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1AD542">
      <w:pPr>
        <w:pStyle w:val="7"/>
        <w:rPr>
          <w:rFonts w:hint="eastAsia" w:ascii="Times New Roman" w:hAnsi="Times New Roman" w:eastAsia="方正小标宋简体" w:cs="Times New Roman"/>
          <w:color w:val="auto"/>
          <w:kern w:val="2"/>
          <w:sz w:val="72"/>
          <w:szCs w:val="72"/>
          <w:highlight w:val="none"/>
          <w:lang w:val="en-US" w:eastAsia="zh-CN" w:bidi="ar-SA"/>
        </w:rPr>
      </w:pPr>
      <w:bookmarkStart w:id="0" w:name="_Toc15377193"/>
      <w:bookmarkStart w:id="1" w:name="_Toc15396475"/>
      <w:bookmarkStart w:id="2" w:name="_Toc15377425"/>
      <w:bookmarkStart w:id="3" w:name="_Toc15306267"/>
      <w:bookmarkStart w:id="4" w:name="_Toc15378441"/>
      <w:bookmarkStart w:id="5" w:name="_Toc15396597"/>
    </w:p>
    <w:p w14:paraId="5F939E8C">
      <w:pPr>
        <w:pStyle w:val="7"/>
        <w:rPr>
          <w:rFonts w:hint="eastAsia" w:ascii="Times New Roman" w:hAnsi="Times New Roman" w:eastAsia="方正小标宋简体" w:cs="Times New Roman"/>
          <w:color w:val="auto"/>
          <w:kern w:val="2"/>
          <w:sz w:val="72"/>
          <w:szCs w:val="72"/>
          <w:highlight w:val="none"/>
          <w:lang w:val="en-US" w:eastAsia="zh-CN" w:bidi="ar-SA"/>
        </w:rPr>
      </w:pPr>
    </w:p>
    <w:p w14:paraId="45370652">
      <w:pPr>
        <w:pStyle w:val="7"/>
        <w:rPr>
          <w:rFonts w:hint="eastAsia" w:ascii="Times New Roman" w:hAnsi="Times New Roman" w:eastAsia="方正小标宋简体" w:cs="Times New Roman"/>
          <w:color w:val="auto"/>
          <w:kern w:val="2"/>
          <w:sz w:val="72"/>
          <w:szCs w:val="72"/>
          <w:highlight w:val="none"/>
          <w:lang w:val="en-US" w:eastAsia="zh-CN" w:bidi="ar-SA"/>
        </w:rPr>
      </w:pPr>
    </w:p>
    <w:p w14:paraId="3CA41556">
      <w:pPr>
        <w:pStyle w:val="7"/>
        <w:jc w:val="both"/>
        <w:rPr>
          <w:rFonts w:hint="eastAsia" w:ascii="Times New Roman" w:hAnsi="Times New Roman" w:eastAsia="方正小标宋简体" w:cs="Times New Roman"/>
          <w:color w:val="auto"/>
          <w:kern w:val="2"/>
          <w:sz w:val="44"/>
          <w:szCs w:val="44"/>
          <w:highlight w:val="none"/>
          <w:lang w:val="en-US" w:eastAsia="zh-CN" w:bidi="ar-SA"/>
        </w:rPr>
      </w:pPr>
    </w:p>
    <w:p w14:paraId="04DF8346">
      <w:pPr>
        <w:pStyle w:val="7"/>
        <w:jc w:val="center"/>
        <w:rPr>
          <w:rFonts w:hint="eastAsia" w:ascii="Times New Roman" w:hAnsi="Times New Roman" w:eastAsia="方正小标宋简体" w:cs="Times New Roman"/>
          <w:color w:val="auto"/>
          <w:kern w:val="2"/>
          <w:sz w:val="44"/>
          <w:szCs w:val="44"/>
          <w:highlight w:val="none"/>
          <w:lang w:val="en-US" w:eastAsia="zh-CN" w:bidi="ar-SA"/>
        </w:rPr>
      </w:pPr>
    </w:p>
    <w:p w14:paraId="7697D584">
      <w:pPr>
        <w:pStyle w:val="7"/>
        <w:jc w:val="center"/>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bookmarkEnd w:id="5"/>
    <w:p w14:paraId="1372B004">
      <w:pPr>
        <w:pStyle w:val="7"/>
        <w:jc w:val="center"/>
        <w:rPr>
          <w:rFonts w:hint="eastAsia" w:ascii="Times New Roman" w:hAnsi="Times New Roman" w:eastAsia="方正小标宋简体" w:cs="Times New Roman"/>
          <w:b/>
          <w:bCs/>
          <w:color w:val="auto"/>
          <w:kern w:val="2"/>
          <w:sz w:val="72"/>
          <w:szCs w:val="72"/>
          <w:highlight w:val="none"/>
          <w:lang w:val="en-US" w:eastAsia="zh-CN" w:bidi="ar-SA"/>
        </w:rPr>
      </w:pPr>
      <w:r>
        <w:rPr>
          <w:rFonts w:hint="eastAsia" w:ascii="Times New Roman" w:hAnsi="Times New Roman" w:eastAsia="方正小标宋简体" w:cs="Times New Roman"/>
          <w:b/>
          <w:bCs/>
          <w:color w:val="auto"/>
          <w:kern w:val="2"/>
          <w:sz w:val="72"/>
          <w:szCs w:val="72"/>
          <w:highlight w:val="none"/>
          <w:lang w:val="en-US" w:eastAsia="zh-CN" w:bidi="ar-SA"/>
        </w:rPr>
        <w:t>2024年度</w:t>
      </w:r>
    </w:p>
    <w:p w14:paraId="228843C5">
      <w:pPr>
        <w:pStyle w:val="7"/>
        <w:jc w:val="center"/>
        <w:rPr>
          <w:rFonts w:hint="eastAsia" w:ascii="Times New Roman" w:eastAsia="方正小标宋简体" w:cs="Times New Roman"/>
          <w:b/>
          <w:bCs/>
          <w:color w:val="auto"/>
          <w:kern w:val="2"/>
          <w:sz w:val="72"/>
          <w:szCs w:val="72"/>
          <w:highlight w:val="none"/>
          <w:lang w:val="en-US" w:eastAsia="zh-CN" w:bidi="ar-SA"/>
        </w:rPr>
      </w:pPr>
      <w:r>
        <w:rPr>
          <w:rFonts w:hint="eastAsia" w:ascii="Times New Roman" w:eastAsia="方正小标宋简体" w:cs="Times New Roman"/>
          <w:b/>
          <w:bCs/>
          <w:color w:val="auto"/>
          <w:kern w:val="2"/>
          <w:sz w:val="72"/>
          <w:szCs w:val="72"/>
          <w:highlight w:val="none"/>
          <w:lang w:val="en-US" w:eastAsia="zh-CN" w:bidi="ar-SA"/>
        </w:rPr>
        <w:t>四川省九寨沟县财政局</w:t>
      </w:r>
    </w:p>
    <w:p w14:paraId="246D098A">
      <w:pPr>
        <w:pStyle w:val="7"/>
        <w:jc w:val="center"/>
        <w:rPr>
          <w:rFonts w:hint="default" w:ascii="Times New Roman" w:hAnsi="Times New Roman" w:eastAsia="方正小标宋简体" w:cs="Times New Roman"/>
          <w:b/>
          <w:bCs/>
          <w:color w:val="auto"/>
          <w:kern w:val="2"/>
          <w:sz w:val="72"/>
          <w:szCs w:val="72"/>
          <w:highlight w:val="none"/>
          <w:lang w:val="en-US" w:eastAsia="zh-CN" w:bidi="ar-SA"/>
        </w:rPr>
      </w:pPr>
      <w:r>
        <w:rPr>
          <w:rFonts w:hint="eastAsia" w:ascii="Times New Roman" w:hAnsi="Times New Roman" w:eastAsia="方正小标宋简体" w:cs="Times New Roman"/>
          <w:b/>
          <w:bCs/>
          <w:color w:val="auto"/>
          <w:kern w:val="2"/>
          <w:sz w:val="72"/>
          <w:szCs w:val="72"/>
          <w:highlight w:val="none"/>
          <w:lang w:val="en-US" w:eastAsia="zh-CN" w:bidi="ar-SA"/>
        </w:rPr>
        <w:t>单位决算</w:t>
      </w:r>
      <w:r>
        <w:rPr>
          <w:rFonts w:hint="eastAsia" w:ascii="Times New Roman" w:eastAsia="方正小标宋简体" w:cs="Times New Roman"/>
          <w:b/>
          <w:bCs/>
          <w:color w:val="auto"/>
          <w:kern w:val="2"/>
          <w:sz w:val="72"/>
          <w:szCs w:val="72"/>
          <w:highlight w:val="none"/>
          <w:lang w:val="en-US" w:eastAsia="zh-CN" w:bidi="ar-SA"/>
        </w:rPr>
        <w:t>公开</w:t>
      </w:r>
    </w:p>
    <w:p w14:paraId="7864A8AA">
      <w:pPr>
        <w:pStyle w:val="21"/>
        <w:rPr>
          <w:rFonts w:ascii="Times New Roman" w:hAnsi="Times New Roman"/>
          <w:b/>
          <w:bCs/>
          <w:sz w:val="72"/>
          <w:szCs w:val="72"/>
        </w:rPr>
        <w:sectPr>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p>
    <w:p w14:paraId="1951DCC7">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14:paraId="2A23561D">
      <w:pPr>
        <w:widowControl/>
        <w:jc w:val="center"/>
        <w:rPr>
          <w:rFonts w:ascii="Times New Roman" w:hAnsi="Times New Roman" w:eastAsia="黑体" w:cstheme="minorBidi"/>
          <w:color w:val="auto"/>
          <w:sz w:val="28"/>
          <w:szCs w:val="28"/>
          <w:highlight w:val="none"/>
        </w:rPr>
      </w:pPr>
    </w:p>
    <w:p w14:paraId="0337D4BC">
      <w:pPr>
        <w:pStyle w:val="12"/>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10  </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 xml:space="preserve"> 17 </w:t>
      </w:r>
      <w:r>
        <w:rPr>
          <w:rFonts w:hint="eastAsia" w:ascii="Times New Roman" w:hAnsi="Times New Roman" w:eastAsia="仿宋_GB2312" w:cs="仿宋_GB2312"/>
          <w:color w:val="auto"/>
          <w:sz w:val="32"/>
          <w:szCs w:val="32"/>
          <w:highlight w:val="none"/>
        </w:rPr>
        <w:t>日</w:t>
      </w:r>
    </w:p>
    <w:p w14:paraId="04D06DF3">
      <w:pPr>
        <w:rPr>
          <w:rFonts w:ascii="Times New Roman" w:hAnsi="Times New Roman"/>
          <w:color w:val="auto"/>
          <w:highlight w:val="none"/>
        </w:rPr>
      </w:pPr>
    </w:p>
    <w:sdt>
      <w:sdtPr>
        <w:rPr>
          <w:rFonts w:ascii="宋体" w:hAnsi="宋体" w:eastAsia="宋体" w:cs="Times New Roman"/>
          <w:kern w:val="2"/>
          <w:sz w:val="21"/>
          <w:szCs w:val="24"/>
          <w:lang w:val="en-US" w:eastAsia="zh-CN" w:bidi="ar-SA"/>
        </w:rPr>
        <w:id w:val="147467223"/>
        <w:docPartObj>
          <w:docPartGallery w:val="Table of Contents"/>
          <w:docPartUnique/>
        </w:docPartObj>
      </w:sdtPr>
      <w:sdtEndPr>
        <w:rPr>
          <w:rFonts w:ascii="宋体" w:hAnsi="宋体" w:eastAsia="宋体" w:cs="Times New Roman"/>
          <w:kern w:val="2"/>
          <w:sz w:val="20"/>
          <w:szCs w:val="20"/>
          <w:lang w:val="en-US" w:eastAsia="zh-CN" w:bidi="ar-SA"/>
        </w:rPr>
      </w:sdtEndPr>
      <w:sdtContent>
        <w:p w14:paraId="62DE3049">
          <w:pPr>
            <w:spacing w:before="0" w:beforeLines="0" w:after="0" w:afterLines="0" w:line="240" w:lineRule="auto"/>
            <w:ind w:left="0" w:leftChars="0" w:right="0" w:rightChars="0" w:firstLine="0" w:firstLineChars="0"/>
            <w:jc w:val="center"/>
          </w:pPr>
          <w:bookmarkStart w:id="6" w:name="_Toc22536_WPSOffice_Type2"/>
          <w:bookmarkStart w:id="7" w:name="_Toc15377196"/>
          <w:bookmarkStart w:id="8" w:name="_Toc15396599"/>
          <w:r>
            <w:rPr>
              <w:rFonts w:ascii="宋体" w:hAnsi="宋体" w:eastAsia="宋体"/>
              <w:sz w:val="21"/>
            </w:rPr>
            <w:t>目录</w:t>
          </w:r>
        </w:p>
        <w:p w14:paraId="75111690">
          <w:pPr>
            <w:pStyle w:val="36"/>
            <w:tabs>
              <w:tab w:val="right" w:leader="dot" w:pos="8306"/>
            </w:tabs>
          </w:pPr>
          <w:r>
            <w:rPr>
              <w:b/>
              <w:bCs/>
            </w:rPr>
            <w:fldChar w:fldCharType="begin"/>
          </w:r>
          <w:r>
            <w:instrText xml:space="preserve"> HYPERLINK \l _Toc17662_WPSOffice_Level1 </w:instrText>
          </w:r>
          <w:r>
            <w:rPr>
              <w:b/>
              <w:bCs/>
            </w:rPr>
            <w:fldChar w:fldCharType="separate"/>
          </w:r>
          <w:sdt>
            <w:sdtPr>
              <w:rPr>
                <w:rFonts w:ascii="Times New Roman" w:hAnsi="Times New Roman" w:eastAsia="宋体" w:cs="Times New Roman"/>
                <w:b/>
                <w:bCs/>
                <w:kern w:val="44"/>
                <w:sz w:val="44"/>
                <w:szCs w:val="44"/>
                <w:lang w:val="en-US" w:eastAsia="zh-CN" w:bidi="ar-SA"/>
              </w:rPr>
              <w:id w:val="147457366"/>
              <w:placeholder>
                <w:docPart w:val="{9e87cf19-f868-4a90-8699-61720475deb3}"/>
              </w:placeholder>
            </w:sdtPr>
            <w:sdtEndPr>
              <w:rPr>
                <w:rFonts w:ascii="Times New Roman" w:hAnsi="Times New Roman" w:eastAsia="宋体" w:cs="Times New Roman"/>
                <w:b/>
                <w:bCs/>
                <w:kern w:val="44"/>
                <w:sz w:val="44"/>
                <w:szCs w:val="44"/>
                <w:lang w:val="en-US" w:eastAsia="zh-CN" w:bidi="ar-SA"/>
              </w:rPr>
            </w:sdtEndPr>
            <w:sdtContent>
              <w:r>
                <w:rPr>
                  <w:rFonts w:hint="eastAsia" w:ascii="Times New Roman" w:hAnsi="Times New Roman" w:eastAsia="方正小标宋简体" w:cs="方正小标宋简体"/>
                  <w:b/>
                  <w:bCs/>
                </w:rPr>
                <w:t>第一部分  部门概况</w:t>
              </w:r>
            </w:sdtContent>
          </w:sdt>
          <w:r>
            <w:rPr>
              <w:b/>
              <w:bCs/>
            </w:rPr>
            <w:tab/>
          </w:r>
          <w:bookmarkStart w:id="9" w:name="_Toc17662_WPSOffice_Level1Page"/>
          <w:r>
            <w:rPr>
              <w:b/>
              <w:bCs/>
            </w:rPr>
            <w:t>2</w:t>
          </w:r>
          <w:bookmarkEnd w:id="9"/>
          <w:r>
            <w:rPr>
              <w:b/>
              <w:bCs/>
            </w:rPr>
            <w:fldChar w:fldCharType="end"/>
          </w:r>
        </w:p>
        <w:p w14:paraId="40ABE0FA">
          <w:pPr>
            <w:pStyle w:val="37"/>
            <w:tabs>
              <w:tab w:val="right" w:leader="dot" w:pos="8306"/>
            </w:tabs>
          </w:pPr>
          <w:r>
            <w:fldChar w:fldCharType="begin"/>
          </w:r>
          <w:r>
            <w:instrText xml:space="preserve"> HYPERLINK \l _Toc22536_WPSOffice_Level2 </w:instrText>
          </w:r>
          <w:r>
            <w:fldChar w:fldCharType="separate"/>
          </w:r>
          <w:sdt>
            <w:sdtPr>
              <w:rPr>
                <w:rFonts w:ascii="Times New Roman" w:hAnsi="Times New Roman" w:eastAsia="宋体" w:cs="Times New Roman"/>
                <w:b/>
                <w:bCs/>
                <w:kern w:val="44"/>
                <w:sz w:val="44"/>
                <w:szCs w:val="44"/>
                <w:lang w:val="en-US" w:eastAsia="zh-CN" w:bidi="ar-SA"/>
              </w:rPr>
              <w:id w:val="147469669"/>
              <w:placeholder>
                <w:docPart w:val="{ae7fec01-0435-44d0-814a-974fc3cc39be}"/>
              </w:placeholder>
            </w:sdtPr>
            <w:sdtEndPr>
              <w:rPr>
                <w:rFonts w:ascii="Times New Roman" w:hAnsi="Times New Roman" w:eastAsia="宋体" w:cs="Times New Roman"/>
                <w:b/>
                <w:bCs/>
                <w:kern w:val="44"/>
                <w:sz w:val="44"/>
                <w:szCs w:val="44"/>
                <w:lang w:val="en-US" w:eastAsia="zh-CN" w:bidi="ar-SA"/>
              </w:rPr>
            </w:sdtEndPr>
            <w:sdtContent>
              <w:r>
                <w:rPr>
                  <w:rFonts w:hint="eastAsia" w:ascii="Times New Roman" w:hAnsi="Times New Roman" w:eastAsia="黑体" w:cstheme="majorBidi"/>
                </w:rPr>
                <w:t>一、 部门职责</w:t>
              </w:r>
            </w:sdtContent>
          </w:sdt>
          <w:r>
            <w:tab/>
          </w:r>
          <w:bookmarkStart w:id="10" w:name="_Toc22536_WPSOffice_Level2Page"/>
          <w:r>
            <w:t>3</w:t>
          </w:r>
          <w:bookmarkEnd w:id="10"/>
          <w:r>
            <w:fldChar w:fldCharType="end"/>
          </w:r>
        </w:p>
        <w:p w14:paraId="46236168">
          <w:pPr>
            <w:pStyle w:val="37"/>
            <w:tabs>
              <w:tab w:val="right" w:leader="dot" w:pos="8306"/>
            </w:tabs>
          </w:pPr>
          <w:r>
            <w:fldChar w:fldCharType="begin"/>
          </w:r>
          <w:r>
            <w:instrText xml:space="preserve"> HYPERLINK \l _Toc26682_WPSOffice_Level2 </w:instrText>
          </w:r>
          <w:r>
            <w:fldChar w:fldCharType="separate"/>
          </w:r>
          <w:sdt>
            <w:sdtPr>
              <w:rPr>
                <w:rFonts w:ascii="Times New Roman" w:hAnsi="Times New Roman" w:eastAsia="宋体" w:cs="Times New Roman"/>
                <w:b/>
                <w:bCs/>
                <w:kern w:val="44"/>
                <w:sz w:val="44"/>
                <w:szCs w:val="44"/>
                <w:lang w:val="en-US" w:eastAsia="zh-CN" w:bidi="ar-SA"/>
              </w:rPr>
              <w:id w:val="147471856"/>
              <w:placeholder>
                <w:docPart w:val="{ea3d2228-cc09-4538-99f5-4dbd70173339}"/>
              </w:placeholder>
            </w:sdtPr>
            <w:sdtEndPr>
              <w:rPr>
                <w:rFonts w:ascii="Times New Roman" w:hAnsi="Times New Roman" w:eastAsia="宋体" w:cs="Times New Roman"/>
                <w:b/>
                <w:bCs/>
                <w:kern w:val="44"/>
                <w:sz w:val="44"/>
                <w:szCs w:val="44"/>
                <w:lang w:val="en-US" w:eastAsia="zh-CN" w:bidi="ar-SA"/>
              </w:rPr>
            </w:sdtEndPr>
            <w:sdtContent>
              <w:r>
                <w:rPr>
                  <w:rFonts w:hint="eastAsia" w:ascii="Times New Roman" w:hAnsi="Times New Roman" w:eastAsia="黑体" w:cstheme="majorBidi"/>
                </w:rPr>
                <w:t>二、机构设置</w:t>
              </w:r>
            </w:sdtContent>
          </w:sdt>
          <w:r>
            <w:tab/>
          </w:r>
          <w:bookmarkStart w:id="11" w:name="_Toc26682_WPSOffice_Level2Page"/>
          <w:r>
            <w:t>5</w:t>
          </w:r>
          <w:bookmarkEnd w:id="11"/>
          <w:r>
            <w:fldChar w:fldCharType="end"/>
          </w:r>
        </w:p>
        <w:p w14:paraId="2E9FA99E">
          <w:pPr>
            <w:pStyle w:val="36"/>
            <w:tabs>
              <w:tab w:val="right" w:leader="dot" w:pos="8306"/>
            </w:tabs>
          </w:pPr>
          <w:r>
            <w:rPr>
              <w:b/>
              <w:bCs/>
            </w:rPr>
            <w:fldChar w:fldCharType="begin"/>
          </w:r>
          <w:r>
            <w:instrText xml:space="preserve"> HYPERLINK \l _Toc22536_WPSOffice_Level1 </w:instrText>
          </w:r>
          <w:r>
            <w:rPr>
              <w:b/>
              <w:bCs/>
            </w:rPr>
            <w:fldChar w:fldCharType="separate"/>
          </w:r>
          <w:sdt>
            <w:sdtPr>
              <w:rPr>
                <w:rFonts w:ascii="Times New Roman" w:hAnsi="Times New Roman" w:eastAsia="宋体" w:cs="Times New Roman"/>
                <w:b/>
                <w:bCs/>
                <w:kern w:val="44"/>
                <w:sz w:val="44"/>
                <w:szCs w:val="44"/>
                <w:lang w:val="en-US" w:eastAsia="zh-CN" w:bidi="ar-SA"/>
              </w:rPr>
              <w:id w:val="147470458"/>
              <w:placeholder>
                <w:docPart w:val="{8ee92af2-e1bf-41c9-ab10-c218970c9b24}"/>
              </w:placeholder>
            </w:sdtPr>
            <w:sdtEndPr>
              <w:rPr>
                <w:rFonts w:ascii="Times New Roman" w:hAnsi="Times New Roman" w:eastAsia="宋体" w:cs="Times New Roman"/>
                <w:b/>
                <w:bCs/>
                <w:kern w:val="44"/>
                <w:sz w:val="44"/>
                <w:szCs w:val="44"/>
                <w:lang w:val="en-US" w:eastAsia="zh-CN" w:bidi="ar-SA"/>
              </w:rPr>
            </w:sdtEndPr>
            <w:sdtContent>
              <w:r>
                <w:rPr>
                  <w:rFonts w:hint="eastAsia" w:ascii="Times New Roman" w:hAnsi="Times New Roman" w:eastAsia="方正小标宋简体" w:cs="方正小标宋简体"/>
                  <w:b/>
                  <w:bCs/>
                </w:rPr>
                <w:t>第二部分  2024年度部门决算情况说明</w:t>
              </w:r>
            </w:sdtContent>
          </w:sdt>
          <w:r>
            <w:rPr>
              <w:b/>
              <w:bCs/>
            </w:rPr>
            <w:tab/>
          </w:r>
          <w:bookmarkStart w:id="12" w:name="_Toc22536_WPSOffice_Level1Page"/>
          <w:r>
            <w:rPr>
              <w:b/>
              <w:bCs/>
            </w:rPr>
            <w:t>7</w:t>
          </w:r>
          <w:bookmarkEnd w:id="12"/>
          <w:r>
            <w:rPr>
              <w:b/>
              <w:bCs/>
            </w:rPr>
            <w:fldChar w:fldCharType="end"/>
          </w:r>
        </w:p>
        <w:p w14:paraId="2E867A19">
          <w:pPr>
            <w:pStyle w:val="37"/>
            <w:tabs>
              <w:tab w:val="right" w:leader="dot" w:pos="8306"/>
            </w:tabs>
          </w:pPr>
          <w:r>
            <w:fldChar w:fldCharType="begin"/>
          </w:r>
          <w:r>
            <w:instrText xml:space="preserve"> HYPERLINK \l _Toc24483_WPSOffice_Level2 </w:instrText>
          </w:r>
          <w:r>
            <w:fldChar w:fldCharType="separate"/>
          </w:r>
          <w:sdt>
            <w:sdtPr>
              <w:rPr>
                <w:rFonts w:ascii="Times New Roman" w:hAnsi="Times New Roman" w:eastAsia="宋体" w:cs="Times New Roman"/>
                <w:b/>
                <w:bCs/>
                <w:kern w:val="44"/>
                <w:sz w:val="44"/>
                <w:szCs w:val="44"/>
                <w:lang w:val="en-US" w:eastAsia="zh-CN" w:bidi="ar-SA"/>
              </w:rPr>
              <w:id w:val="147452713"/>
              <w:placeholder>
                <w:docPart w:val="{fbf0f24a-5e31-4daf-9a3d-88a5777c94ec}"/>
              </w:placeholder>
            </w:sdtPr>
            <w:sdtEndPr>
              <w:rPr>
                <w:rFonts w:ascii="Times New Roman" w:hAnsi="Times New Roman" w:eastAsia="宋体" w:cs="Times New Roman"/>
                <w:b/>
                <w:bCs/>
                <w:kern w:val="44"/>
                <w:sz w:val="44"/>
                <w:szCs w:val="44"/>
                <w:lang w:val="en-US" w:eastAsia="zh-CN" w:bidi="ar-SA"/>
              </w:rPr>
            </w:sdtEndPr>
            <w:sdtContent>
              <w:r>
                <w:rPr>
                  <w:rFonts w:hint="eastAsia" w:ascii="Times New Roman" w:hAnsi="Times New Roman" w:eastAsia="黑体" w:cs="Times New Roman"/>
                </w:rPr>
                <w:t>一、收</w:t>
              </w:r>
              <w:r>
                <w:rPr>
                  <w:rFonts w:hint="eastAsia" w:ascii="Times New Roman" w:hAnsi="Times New Roman" w:eastAsia="黑体" w:cstheme="majorBidi"/>
                </w:rPr>
                <w:t>入支出决算总体情况说明</w:t>
              </w:r>
            </w:sdtContent>
          </w:sdt>
          <w:r>
            <w:tab/>
          </w:r>
          <w:bookmarkStart w:id="13" w:name="_Toc24483_WPSOffice_Level2Page"/>
          <w:r>
            <w:t>7</w:t>
          </w:r>
          <w:bookmarkEnd w:id="13"/>
          <w:r>
            <w:fldChar w:fldCharType="end"/>
          </w:r>
        </w:p>
        <w:p w14:paraId="5EE016C4">
          <w:pPr>
            <w:pStyle w:val="37"/>
            <w:tabs>
              <w:tab w:val="right" w:leader="dot" w:pos="8306"/>
            </w:tabs>
          </w:pPr>
          <w:r>
            <w:fldChar w:fldCharType="begin"/>
          </w:r>
          <w:r>
            <w:instrText xml:space="preserve"> HYPERLINK \l _Toc17053_WPSOffice_Level2 </w:instrText>
          </w:r>
          <w:r>
            <w:fldChar w:fldCharType="separate"/>
          </w:r>
          <w:sdt>
            <w:sdtPr>
              <w:rPr>
                <w:rFonts w:ascii="Times New Roman" w:hAnsi="Times New Roman" w:eastAsia="宋体" w:cs="Times New Roman"/>
                <w:b/>
                <w:bCs/>
                <w:kern w:val="44"/>
                <w:sz w:val="44"/>
                <w:szCs w:val="44"/>
                <w:lang w:val="en-US" w:eastAsia="zh-CN" w:bidi="ar-SA"/>
              </w:rPr>
              <w:id w:val="147476420"/>
              <w:placeholder>
                <w:docPart w:val="{f59549f4-1acc-4a3c-8468-4e5432ee83e8}"/>
              </w:placeholder>
            </w:sdtPr>
            <w:sdtEndPr>
              <w:rPr>
                <w:rFonts w:ascii="Times New Roman" w:hAnsi="Times New Roman" w:eastAsia="宋体" w:cs="Times New Roman"/>
                <w:b/>
                <w:bCs/>
                <w:kern w:val="44"/>
                <w:sz w:val="44"/>
                <w:szCs w:val="44"/>
                <w:lang w:val="en-US" w:eastAsia="zh-CN" w:bidi="ar-SA"/>
              </w:rPr>
            </w:sdtEndPr>
            <w:sdtContent>
              <w:r>
                <w:rPr>
                  <w:rFonts w:hint="eastAsia" w:ascii="Times New Roman" w:hAnsi="Times New Roman" w:eastAsia="黑体" w:cs="Times New Roman"/>
                </w:rPr>
                <w:t>二、收入决算情况说明</w:t>
              </w:r>
            </w:sdtContent>
          </w:sdt>
          <w:r>
            <w:tab/>
          </w:r>
          <w:bookmarkStart w:id="14" w:name="_Toc17053_WPSOffice_Level2Page"/>
          <w:r>
            <w:t>7</w:t>
          </w:r>
          <w:bookmarkEnd w:id="14"/>
          <w:r>
            <w:fldChar w:fldCharType="end"/>
          </w:r>
        </w:p>
        <w:p w14:paraId="41218ECE">
          <w:pPr>
            <w:pStyle w:val="37"/>
            <w:tabs>
              <w:tab w:val="right" w:leader="dot" w:pos="8306"/>
            </w:tabs>
          </w:pPr>
          <w:r>
            <w:fldChar w:fldCharType="begin"/>
          </w:r>
          <w:r>
            <w:instrText xml:space="preserve"> HYPERLINK \l _Toc14977_WPSOffice_Level2 </w:instrText>
          </w:r>
          <w:r>
            <w:fldChar w:fldCharType="separate"/>
          </w:r>
          <w:sdt>
            <w:sdtPr>
              <w:rPr>
                <w:rFonts w:ascii="Times New Roman" w:hAnsi="Times New Roman" w:eastAsia="宋体" w:cs="Times New Roman"/>
                <w:b/>
                <w:bCs/>
                <w:kern w:val="44"/>
                <w:sz w:val="44"/>
                <w:szCs w:val="44"/>
                <w:lang w:val="en-US" w:eastAsia="zh-CN" w:bidi="ar-SA"/>
              </w:rPr>
              <w:id w:val="147468622"/>
              <w:placeholder>
                <w:docPart w:val="{9804393b-bf0b-40a2-8e5f-6ee87948012b}"/>
              </w:placeholder>
            </w:sdtPr>
            <w:sdtEndPr>
              <w:rPr>
                <w:rFonts w:ascii="Times New Roman" w:hAnsi="Times New Roman" w:eastAsia="宋体" w:cs="Times New Roman"/>
                <w:b/>
                <w:bCs/>
                <w:kern w:val="44"/>
                <w:sz w:val="44"/>
                <w:szCs w:val="44"/>
                <w:lang w:val="en-US" w:eastAsia="zh-CN" w:bidi="ar-SA"/>
              </w:rPr>
            </w:sdtEndPr>
            <w:sdtContent>
              <w:r>
                <w:rPr>
                  <w:rFonts w:hint="eastAsia" w:ascii="Times New Roman" w:hAnsi="Times New Roman" w:eastAsia="黑体" w:cs="Times New Roman"/>
                </w:rPr>
                <w:t>三、支</w:t>
              </w:r>
              <w:r>
                <w:rPr>
                  <w:rFonts w:hint="eastAsia" w:ascii="Times New Roman" w:hAnsi="Times New Roman" w:eastAsia="黑体" w:cstheme="majorBidi"/>
                </w:rPr>
                <w:t>出决算情况说明</w:t>
              </w:r>
            </w:sdtContent>
          </w:sdt>
          <w:r>
            <w:tab/>
          </w:r>
          <w:bookmarkStart w:id="15" w:name="_Toc14977_WPSOffice_Level2Page"/>
          <w:r>
            <w:t>7</w:t>
          </w:r>
          <w:bookmarkEnd w:id="15"/>
          <w:r>
            <w:fldChar w:fldCharType="end"/>
          </w:r>
        </w:p>
        <w:p w14:paraId="1705693C">
          <w:pPr>
            <w:pStyle w:val="37"/>
            <w:tabs>
              <w:tab w:val="right" w:leader="dot" w:pos="8306"/>
            </w:tabs>
          </w:pPr>
          <w:r>
            <w:fldChar w:fldCharType="begin"/>
          </w:r>
          <w:r>
            <w:instrText xml:space="preserve"> HYPERLINK \l _Toc15117_WPSOffice_Level2 </w:instrText>
          </w:r>
          <w:r>
            <w:fldChar w:fldCharType="separate"/>
          </w:r>
          <w:sdt>
            <w:sdtPr>
              <w:rPr>
                <w:rFonts w:ascii="Times New Roman" w:hAnsi="Times New Roman" w:eastAsia="宋体" w:cs="Times New Roman"/>
                <w:b/>
                <w:bCs/>
                <w:kern w:val="44"/>
                <w:sz w:val="44"/>
                <w:szCs w:val="44"/>
                <w:lang w:val="en-US" w:eastAsia="zh-CN" w:bidi="ar-SA"/>
              </w:rPr>
              <w:id w:val="147459760"/>
              <w:placeholder>
                <w:docPart w:val="{c47088eb-580b-4dad-b49f-3ef192e772c7}"/>
              </w:placeholder>
            </w:sdtPr>
            <w:sdtEndPr>
              <w:rPr>
                <w:rFonts w:ascii="Times New Roman" w:hAnsi="Times New Roman" w:eastAsia="宋体" w:cs="Times New Roman"/>
                <w:b/>
                <w:bCs/>
                <w:kern w:val="44"/>
                <w:sz w:val="44"/>
                <w:szCs w:val="44"/>
                <w:lang w:val="en-US" w:eastAsia="zh-CN" w:bidi="ar-SA"/>
              </w:rPr>
            </w:sdtEndPr>
            <w:sdtContent>
              <w:r>
                <w:rPr>
                  <w:rFonts w:hint="eastAsia" w:ascii="Times New Roman" w:hAnsi="Times New Roman" w:eastAsia="黑体" w:cs="Times New Roman"/>
                </w:rPr>
                <w:t>四、财</w:t>
              </w:r>
              <w:r>
                <w:rPr>
                  <w:rFonts w:hint="eastAsia" w:ascii="Times New Roman" w:hAnsi="Times New Roman" w:eastAsia="黑体" w:cstheme="majorBidi"/>
                </w:rPr>
                <w:t>政拨款收入支出决算总体情况说明</w:t>
              </w:r>
            </w:sdtContent>
          </w:sdt>
          <w:r>
            <w:tab/>
          </w:r>
          <w:bookmarkStart w:id="16" w:name="_Toc15117_WPSOffice_Level2Page"/>
          <w:r>
            <w:t>7</w:t>
          </w:r>
          <w:bookmarkEnd w:id="16"/>
          <w:r>
            <w:fldChar w:fldCharType="end"/>
          </w:r>
        </w:p>
        <w:p w14:paraId="2B73DFD8">
          <w:pPr>
            <w:pStyle w:val="37"/>
            <w:tabs>
              <w:tab w:val="right" w:leader="dot" w:pos="8306"/>
            </w:tabs>
          </w:pPr>
          <w:r>
            <w:fldChar w:fldCharType="begin"/>
          </w:r>
          <w:r>
            <w:instrText xml:space="preserve"> HYPERLINK \l _Toc24755_WPSOffice_Level2 </w:instrText>
          </w:r>
          <w:r>
            <w:fldChar w:fldCharType="separate"/>
          </w:r>
          <w:sdt>
            <w:sdtPr>
              <w:rPr>
                <w:rFonts w:ascii="Times New Roman" w:hAnsi="Times New Roman" w:eastAsia="宋体" w:cs="Times New Roman"/>
                <w:b/>
                <w:bCs/>
                <w:kern w:val="44"/>
                <w:sz w:val="44"/>
                <w:szCs w:val="44"/>
                <w:lang w:val="en-US" w:eastAsia="zh-CN" w:bidi="ar-SA"/>
              </w:rPr>
              <w:id w:val="147454043"/>
              <w:placeholder>
                <w:docPart w:val="{46a9b5bc-df95-4da3-bfe4-251b88010075}"/>
              </w:placeholder>
            </w:sdtPr>
            <w:sdtEndPr>
              <w:rPr>
                <w:rFonts w:ascii="Times New Roman" w:hAnsi="Times New Roman" w:eastAsia="宋体" w:cs="Times New Roman"/>
                <w:b/>
                <w:bCs/>
                <w:kern w:val="44"/>
                <w:sz w:val="44"/>
                <w:szCs w:val="44"/>
                <w:lang w:val="en-US" w:eastAsia="zh-CN" w:bidi="ar-SA"/>
              </w:rPr>
            </w:sdtEndPr>
            <w:sdtContent>
              <w:r>
                <w:rPr>
                  <w:rFonts w:hint="eastAsia" w:ascii="Times New Roman" w:hAnsi="Times New Roman" w:eastAsia="黑体" w:cs="Times New Roman"/>
                </w:rPr>
                <w:t>五、一</w:t>
              </w:r>
              <w:r>
                <w:rPr>
                  <w:rFonts w:hint="eastAsia" w:ascii="Times New Roman" w:hAnsi="Times New Roman" w:eastAsia="黑体" w:cstheme="majorBidi"/>
                </w:rPr>
                <w:t>般公共预算财政拨款支出决算情况说明</w:t>
              </w:r>
            </w:sdtContent>
          </w:sdt>
          <w:r>
            <w:tab/>
          </w:r>
          <w:bookmarkStart w:id="17" w:name="_Toc24755_WPSOffice_Level2Page"/>
          <w:r>
            <w:t>8</w:t>
          </w:r>
          <w:bookmarkEnd w:id="17"/>
          <w:r>
            <w:fldChar w:fldCharType="end"/>
          </w:r>
        </w:p>
        <w:p w14:paraId="05D4C6F3">
          <w:pPr>
            <w:pStyle w:val="37"/>
            <w:tabs>
              <w:tab w:val="right" w:leader="dot" w:pos="8306"/>
            </w:tabs>
          </w:pPr>
          <w:r>
            <w:fldChar w:fldCharType="begin"/>
          </w:r>
          <w:r>
            <w:instrText xml:space="preserve"> HYPERLINK \l _Toc6672_WPSOffice_Level2 </w:instrText>
          </w:r>
          <w:r>
            <w:fldChar w:fldCharType="separate"/>
          </w:r>
          <w:sdt>
            <w:sdtPr>
              <w:rPr>
                <w:rFonts w:ascii="Times New Roman" w:hAnsi="Times New Roman" w:eastAsia="宋体" w:cs="Times New Roman"/>
                <w:b/>
                <w:bCs/>
                <w:kern w:val="44"/>
                <w:sz w:val="44"/>
                <w:szCs w:val="44"/>
                <w:lang w:val="en-US" w:eastAsia="zh-CN" w:bidi="ar-SA"/>
              </w:rPr>
              <w:id w:val="147480182"/>
              <w:placeholder>
                <w:docPart w:val="{7700dcf3-c272-43cc-b539-c6b177437cab}"/>
              </w:placeholder>
            </w:sdtPr>
            <w:sdtEndPr>
              <w:rPr>
                <w:rFonts w:ascii="Times New Roman" w:hAnsi="Times New Roman" w:eastAsia="宋体" w:cs="Times New Roman"/>
                <w:b/>
                <w:bCs/>
                <w:kern w:val="44"/>
                <w:sz w:val="44"/>
                <w:szCs w:val="44"/>
                <w:lang w:val="en-US" w:eastAsia="zh-CN" w:bidi="ar-SA"/>
              </w:rPr>
            </w:sdtEndPr>
            <w:sdtContent>
              <w:r>
                <w:rPr>
                  <w:rFonts w:hint="eastAsia" w:ascii="Times New Roman" w:hAnsi="Times New Roman" w:eastAsia="黑体" w:cs="Times New Roman"/>
                </w:rPr>
                <w:t>六、一</w:t>
              </w:r>
              <w:r>
                <w:rPr>
                  <w:rFonts w:hint="eastAsia" w:ascii="Times New Roman" w:hAnsi="Times New Roman" w:eastAsia="黑体" w:cstheme="majorBidi"/>
                </w:rPr>
                <w:t>般公共预算财政拨款基本支出决算情况说明</w:t>
              </w:r>
            </w:sdtContent>
          </w:sdt>
          <w:r>
            <w:tab/>
          </w:r>
          <w:bookmarkStart w:id="18" w:name="_Toc6672_WPSOffice_Level2Page"/>
          <w:r>
            <w:t>10</w:t>
          </w:r>
          <w:bookmarkEnd w:id="18"/>
          <w:r>
            <w:fldChar w:fldCharType="end"/>
          </w:r>
        </w:p>
        <w:p w14:paraId="144CCF37">
          <w:pPr>
            <w:pStyle w:val="37"/>
            <w:tabs>
              <w:tab w:val="right" w:leader="dot" w:pos="8306"/>
            </w:tabs>
          </w:pPr>
          <w:r>
            <w:fldChar w:fldCharType="begin"/>
          </w:r>
          <w:r>
            <w:instrText xml:space="preserve"> HYPERLINK \l _Toc20087_WPSOffice_Level2 </w:instrText>
          </w:r>
          <w:r>
            <w:fldChar w:fldCharType="separate"/>
          </w:r>
          <w:sdt>
            <w:sdtPr>
              <w:rPr>
                <w:rFonts w:ascii="Times New Roman" w:hAnsi="Times New Roman" w:eastAsia="宋体" w:cs="Times New Roman"/>
                <w:b/>
                <w:bCs/>
                <w:kern w:val="44"/>
                <w:sz w:val="44"/>
                <w:szCs w:val="44"/>
                <w:lang w:val="en-US" w:eastAsia="zh-CN" w:bidi="ar-SA"/>
              </w:rPr>
              <w:id w:val="147458333"/>
              <w:placeholder>
                <w:docPart w:val="{efaddf99-56aa-45a1-981b-ffcfcc7e9e75}"/>
              </w:placeholder>
            </w:sdtPr>
            <w:sdtEndPr>
              <w:rPr>
                <w:rFonts w:ascii="Times New Roman" w:hAnsi="Times New Roman" w:eastAsia="宋体" w:cs="Times New Roman"/>
                <w:b/>
                <w:bCs/>
                <w:kern w:val="44"/>
                <w:sz w:val="44"/>
                <w:szCs w:val="44"/>
                <w:lang w:val="en-US" w:eastAsia="zh-CN" w:bidi="ar-SA"/>
              </w:rPr>
            </w:sdtEndPr>
            <w:sdtContent>
              <w:r>
                <w:rPr>
                  <w:rFonts w:hint="eastAsia" w:ascii="Times New Roman" w:hAnsi="Times New Roman" w:eastAsia="黑体" w:cs="Times New Roman"/>
                </w:rPr>
                <w:t>七、</w:t>
              </w:r>
              <w:r>
                <w:rPr>
                  <w:rFonts w:hint="eastAsia" w:ascii="Times New Roman" w:hAnsi="Times New Roman" w:eastAsia="黑体" w:cstheme="majorBidi"/>
                </w:rPr>
                <w:t>财政拨款“三公”经费支出决算情况说明</w:t>
              </w:r>
            </w:sdtContent>
          </w:sdt>
          <w:r>
            <w:tab/>
          </w:r>
          <w:bookmarkStart w:id="19" w:name="_Toc20087_WPSOffice_Level2Page"/>
          <w:r>
            <w:t>11</w:t>
          </w:r>
          <w:bookmarkEnd w:id="19"/>
          <w:r>
            <w:fldChar w:fldCharType="end"/>
          </w:r>
        </w:p>
        <w:p w14:paraId="7A8BD278">
          <w:pPr>
            <w:pStyle w:val="37"/>
            <w:tabs>
              <w:tab w:val="right" w:leader="dot" w:pos="8306"/>
            </w:tabs>
          </w:pPr>
          <w:r>
            <w:fldChar w:fldCharType="begin"/>
          </w:r>
          <w:r>
            <w:instrText xml:space="preserve"> HYPERLINK \l _Toc12669_WPSOffice_Level2 </w:instrText>
          </w:r>
          <w:r>
            <w:fldChar w:fldCharType="separate"/>
          </w:r>
          <w:sdt>
            <w:sdtPr>
              <w:rPr>
                <w:rFonts w:ascii="Times New Roman" w:hAnsi="Times New Roman" w:eastAsia="宋体" w:cs="Times New Roman"/>
                <w:b/>
                <w:bCs/>
                <w:kern w:val="44"/>
                <w:sz w:val="44"/>
                <w:szCs w:val="44"/>
                <w:lang w:val="en-US" w:eastAsia="zh-CN" w:bidi="ar-SA"/>
              </w:rPr>
              <w:id w:val="147480402"/>
              <w:placeholder>
                <w:docPart w:val="{584314ab-4a41-4bba-b94e-31f5ab369d79}"/>
              </w:placeholder>
            </w:sdtPr>
            <w:sdtEndPr>
              <w:rPr>
                <w:rFonts w:ascii="Times New Roman" w:hAnsi="Times New Roman" w:eastAsia="宋体" w:cs="Times New Roman"/>
                <w:b/>
                <w:bCs/>
                <w:kern w:val="44"/>
                <w:sz w:val="44"/>
                <w:szCs w:val="44"/>
                <w:lang w:val="en-US" w:eastAsia="zh-CN" w:bidi="ar-SA"/>
              </w:rPr>
            </w:sdtEndPr>
            <w:sdtContent>
              <w:r>
                <w:rPr>
                  <w:rFonts w:hint="eastAsia" w:ascii="Times New Roman" w:hAnsi="Times New Roman" w:eastAsia="黑体" w:cs="Times New Roman"/>
                </w:rPr>
                <w:t>八、</w:t>
              </w:r>
              <w:r>
                <w:rPr>
                  <w:rFonts w:hint="eastAsia" w:ascii="Times New Roman" w:hAnsi="Times New Roman" w:eastAsia="黑体" w:cstheme="majorBidi"/>
                </w:rPr>
                <w:t>政府性基金预算支出决算情况说明</w:t>
              </w:r>
            </w:sdtContent>
          </w:sdt>
          <w:r>
            <w:tab/>
          </w:r>
          <w:bookmarkStart w:id="20" w:name="_Toc12669_WPSOffice_Level2Page"/>
          <w:r>
            <w:t>12</w:t>
          </w:r>
          <w:bookmarkEnd w:id="20"/>
          <w:r>
            <w:fldChar w:fldCharType="end"/>
          </w:r>
        </w:p>
        <w:p w14:paraId="54FF25AF">
          <w:pPr>
            <w:pStyle w:val="37"/>
            <w:tabs>
              <w:tab w:val="right" w:leader="dot" w:pos="8306"/>
            </w:tabs>
          </w:pPr>
          <w:r>
            <w:fldChar w:fldCharType="begin"/>
          </w:r>
          <w:r>
            <w:instrText xml:space="preserve"> HYPERLINK \l _Toc25259_WPSOffice_Level2 </w:instrText>
          </w:r>
          <w:r>
            <w:fldChar w:fldCharType="separate"/>
          </w:r>
          <w:sdt>
            <w:sdtPr>
              <w:rPr>
                <w:rFonts w:ascii="Times New Roman" w:hAnsi="Times New Roman" w:eastAsia="宋体" w:cs="Times New Roman"/>
                <w:b/>
                <w:bCs/>
                <w:kern w:val="44"/>
                <w:sz w:val="44"/>
                <w:szCs w:val="44"/>
                <w:lang w:val="en-US" w:eastAsia="zh-CN" w:bidi="ar-SA"/>
              </w:rPr>
              <w:id w:val="147477259"/>
              <w:placeholder>
                <w:docPart w:val="{c51f38d1-b9ec-4974-80d5-b6c5cbde9c56}"/>
              </w:placeholder>
            </w:sdtPr>
            <w:sdtEndPr>
              <w:rPr>
                <w:rFonts w:ascii="Times New Roman" w:hAnsi="Times New Roman" w:eastAsia="宋体" w:cs="Times New Roman"/>
                <w:b/>
                <w:bCs/>
                <w:kern w:val="44"/>
                <w:sz w:val="44"/>
                <w:szCs w:val="44"/>
                <w:lang w:val="en-US" w:eastAsia="zh-CN" w:bidi="ar-SA"/>
              </w:rPr>
            </w:sdtEndPr>
            <w:sdtContent>
              <w:r>
                <w:rPr>
                  <w:rFonts w:hint="eastAsia" w:ascii="Times New Roman" w:hAnsi="Times New Roman" w:eastAsia="黑体" w:cstheme="majorBidi"/>
                </w:rPr>
                <w:t>九、国有资本经营预算支出决算情况说明</w:t>
              </w:r>
            </w:sdtContent>
          </w:sdt>
          <w:r>
            <w:tab/>
          </w:r>
          <w:bookmarkStart w:id="21" w:name="_Toc25259_WPSOffice_Level2Page"/>
          <w:r>
            <w:t>12</w:t>
          </w:r>
          <w:bookmarkEnd w:id="21"/>
          <w:r>
            <w:fldChar w:fldCharType="end"/>
          </w:r>
        </w:p>
        <w:p w14:paraId="6FF76A32">
          <w:pPr>
            <w:pStyle w:val="37"/>
            <w:tabs>
              <w:tab w:val="right" w:leader="dot" w:pos="8306"/>
            </w:tabs>
          </w:pPr>
          <w:r>
            <w:fldChar w:fldCharType="begin"/>
          </w:r>
          <w:r>
            <w:instrText xml:space="preserve"> HYPERLINK \l _Toc28555_WPSOffice_Level2 </w:instrText>
          </w:r>
          <w:r>
            <w:fldChar w:fldCharType="separate"/>
          </w:r>
          <w:sdt>
            <w:sdtPr>
              <w:rPr>
                <w:rFonts w:ascii="Times New Roman" w:hAnsi="Times New Roman" w:eastAsia="宋体" w:cs="Times New Roman"/>
                <w:b/>
                <w:bCs/>
                <w:kern w:val="44"/>
                <w:sz w:val="44"/>
                <w:szCs w:val="44"/>
                <w:lang w:val="en-US" w:eastAsia="zh-CN" w:bidi="ar-SA"/>
              </w:rPr>
              <w:id w:val="147483238"/>
              <w:placeholder>
                <w:docPart w:val="{c6f6ebaa-66bd-428e-b521-f8c0a2578664}"/>
              </w:placeholder>
            </w:sdtPr>
            <w:sdtEndPr>
              <w:rPr>
                <w:rFonts w:ascii="Times New Roman" w:hAnsi="Times New Roman" w:eastAsia="宋体" w:cs="Times New Roman"/>
                <w:b/>
                <w:bCs/>
                <w:kern w:val="44"/>
                <w:sz w:val="44"/>
                <w:szCs w:val="44"/>
                <w:lang w:val="en-US" w:eastAsia="zh-CN" w:bidi="ar-SA"/>
              </w:rPr>
            </w:sdtEndPr>
            <w:sdtContent>
              <w:r>
                <w:rPr>
                  <w:rFonts w:hint="eastAsia" w:ascii="Times New Roman" w:hAnsi="Times New Roman" w:eastAsia="黑体" w:cstheme="majorBidi"/>
                </w:rPr>
                <w:t>十、其他重要事项的情况说明</w:t>
              </w:r>
            </w:sdtContent>
          </w:sdt>
          <w:r>
            <w:tab/>
          </w:r>
          <w:bookmarkStart w:id="22" w:name="_Toc28555_WPSOffice_Level2Page"/>
          <w:r>
            <w:t>12</w:t>
          </w:r>
          <w:bookmarkEnd w:id="22"/>
          <w:r>
            <w:fldChar w:fldCharType="end"/>
          </w:r>
        </w:p>
        <w:p w14:paraId="6A92BD39">
          <w:pPr>
            <w:pStyle w:val="36"/>
            <w:tabs>
              <w:tab w:val="right" w:leader="dot" w:pos="8306"/>
            </w:tabs>
          </w:pPr>
          <w:r>
            <w:rPr>
              <w:b/>
              <w:bCs/>
            </w:rPr>
            <w:fldChar w:fldCharType="begin"/>
          </w:r>
          <w:r>
            <w:instrText xml:space="preserve"> HYPERLINK \l _Toc26682_WPSOffice_Level1 </w:instrText>
          </w:r>
          <w:r>
            <w:rPr>
              <w:b/>
              <w:bCs/>
            </w:rPr>
            <w:fldChar w:fldCharType="separate"/>
          </w:r>
          <w:sdt>
            <w:sdtPr>
              <w:rPr>
                <w:rFonts w:ascii="Times New Roman" w:hAnsi="Times New Roman" w:eastAsia="宋体" w:cs="Times New Roman"/>
                <w:b/>
                <w:bCs/>
                <w:kern w:val="44"/>
                <w:sz w:val="44"/>
                <w:szCs w:val="44"/>
                <w:lang w:val="en-US" w:eastAsia="zh-CN" w:bidi="ar-SA"/>
              </w:rPr>
              <w:id w:val="147459088"/>
              <w:placeholder>
                <w:docPart w:val="{d373d0e2-2056-4168-887a-e42ef91eb323}"/>
              </w:placeholder>
            </w:sdtPr>
            <w:sdtEndPr>
              <w:rPr>
                <w:rFonts w:ascii="Times New Roman" w:hAnsi="Times New Roman" w:eastAsia="宋体" w:cs="Times New Roman"/>
                <w:b/>
                <w:bCs/>
                <w:kern w:val="44"/>
                <w:sz w:val="44"/>
                <w:szCs w:val="44"/>
                <w:lang w:val="en-US" w:eastAsia="zh-CN" w:bidi="ar-SA"/>
              </w:rPr>
            </w:sdtEndPr>
            <w:sdtContent>
              <w:r>
                <w:rPr>
                  <w:rFonts w:hint="eastAsia" w:ascii="Times New Roman" w:hAnsi="Times New Roman" w:eastAsia="黑体" w:cs="Times New Roman"/>
                  <w:b/>
                  <w:bCs/>
                </w:rPr>
                <w:t>第三部分  名词解释</w:t>
              </w:r>
            </w:sdtContent>
          </w:sdt>
          <w:r>
            <w:rPr>
              <w:b/>
              <w:bCs/>
            </w:rPr>
            <w:tab/>
          </w:r>
          <w:bookmarkStart w:id="23" w:name="_Toc26682_WPSOffice_Level1Page"/>
          <w:r>
            <w:rPr>
              <w:b/>
              <w:bCs/>
            </w:rPr>
            <w:t>14</w:t>
          </w:r>
          <w:bookmarkEnd w:id="23"/>
          <w:r>
            <w:rPr>
              <w:b/>
              <w:bCs/>
            </w:rPr>
            <w:fldChar w:fldCharType="end"/>
          </w:r>
        </w:p>
        <w:p w14:paraId="1AEFDF5A">
          <w:pPr>
            <w:pStyle w:val="36"/>
            <w:tabs>
              <w:tab w:val="right" w:leader="dot" w:pos="8306"/>
            </w:tabs>
          </w:pPr>
          <w:r>
            <w:rPr>
              <w:b/>
              <w:bCs/>
            </w:rPr>
            <w:fldChar w:fldCharType="begin"/>
          </w:r>
          <w:r>
            <w:instrText xml:space="preserve"> HYPERLINK \l _Toc24483_WPSOffice_Level1 </w:instrText>
          </w:r>
          <w:r>
            <w:rPr>
              <w:b/>
              <w:bCs/>
            </w:rPr>
            <w:fldChar w:fldCharType="separate"/>
          </w:r>
          <w:sdt>
            <w:sdtPr>
              <w:rPr>
                <w:rFonts w:ascii="Times New Roman" w:hAnsi="Times New Roman" w:eastAsia="宋体" w:cs="Times New Roman"/>
                <w:b/>
                <w:bCs/>
                <w:kern w:val="44"/>
                <w:sz w:val="44"/>
                <w:szCs w:val="44"/>
                <w:lang w:val="en-US" w:eastAsia="zh-CN" w:bidi="ar-SA"/>
              </w:rPr>
              <w:id w:val="147452406"/>
              <w:placeholder>
                <w:docPart w:val="{4f619b67-7446-4210-bb74-8db79170fb5a}"/>
              </w:placeholder>
            </w:sdtPr>
            <w:sdtEndPr>
              <w:rPr>
                <w:rFonts w:ascii="Times New Roman" w:hAnsi="Times New Roman" w:eastAsia="宋体" w:cs="Times New Roman"/>
                <w:b/>
                <w:bCs/>
                <w:kern w:val="44"/>
                <w:sz w:val="44"/>
                <w:szCs w:val="44"/>
                <w:lang w:val="en-US" w:eastAsia="zh-CN" w:bidi="ar-SA"/>
              </w:rPr>
            </w:sdtEndPr>
            <w:sdtContent>
              <w:r>
                <w:rPr>
                  <w:rFonts w:hint="eastAsia" w:ascii="Times New Roman" w:hAnsi="Times New Roman" w:eastAsia="黑体" w:cs="Times New Roman"/>
                  <w:b/>
                  <w:bCs/>
                </w:rPr>
                <w:t>第四部分  附件</w:t>
              </w:r>
            </w:sdtContent>
          </w:sdt>
          <w:r>
            <w:rPr>
              <w:b/>
              <w:bCs/>
            </w:rPr>
            <w:tab/>
          </w:r>
          <w:bookmarkStart w:id="24" w:name="_Toc24483_WPSOffice_Level1Page"/>
          <w:r>
            <w:rPr>
              <w:b/>
              <w:bCs/>
            </w:rPr>
            <w:t>18</w:t>
          </w:r>
          <w:bookmarkEnd w:id="24"/>
          <w:r>
            <w:rPr>
              <w:b/>
              <w:bCs/>
            </w:rPr>
            <w:fldChar w:fldCharType="end"/>
          </w:r>
        </w:p>
        <w:p w14:paraId="613BA3C1">
          <w:pPr>
            <w:pStyle w:val="37"/>
            <w:tabs>
              <w:tab w:val="right" w:leader="dot" w:pos="8306"/>
            </w:tabs>
          </w:pPr>
          <w:r>
            <w:fldChar w:fldCharType="begin"/>
          </w:r>
          <w:r>
            <w:instrText xml:space="preserve"> HYPERLINK \l _Toc6686_WPSOffice_Level2 </w:instrText>
          </w:r>
          <w:r>
            <w:fldChar w:fldCharType="separate"/>
          </w:r>
          <w:sdt>
            <w:sdtPr>
              <w:rPr>
                <w:rFonts w:ascii="Times New Roman" w:hAnsi="Times New Roman" w:eastAsia="宋体" w:cs="Times New Roman"/>
                <w:b/>
                <w:bCs/>
                <w:kern w:val="44"/>
                <w:sz w:val="44"/>
                <w:szCs w:val="44"/>
                <w:lang w:val="en-US" w:eastAsia="zh-CN" w:bidi="ar-SA"/>
              </w:rPr>
              <w:id w:val="147462502"/>
              <w:placeholder>
                <w:docPart w:val="{29419bbe-b69a-49be-8a27-d86d54d087d4}"/>
              </w:placeholder>
            </w:sdtPr>
            <w:sdtEndPr>
              <w:rPr>
                <w:rFonts w:ascii="Times New Roman" w:hAnsi="Times New Roman" w:eastAsia="宋体" w:cs="Times New Roman"/>
                <w:b/>
                <w:bCs/>
                <w:kern w:val="44"/>
                <w:sz w:val="44"/>
                <w:szCs w:val="44"/>
                <w:lang w:val="en-US" w:eastAsia="zh-CN" w:bidi="ar-SA"/>
              </w:rPr>
            </w:sdtEndPr>
            <w:sdtContent>
              <w:r>
                <w:rPr>
                  <w:rFonts w:hint="eastAsia" w:ascii="黑体" w:hAnsi="黑体" w:eastAsia="黑体" w:cs="黑体"/>
                </w:rPr>
                <w:t>2024年九寨沟县</w:t>
              </w:r>
            </w:sdtContent>
          </w:sdt>
          <w:r>
            <w:tab/>
          </w:r>
          <w:bookmarkStart w:id="25" w:name="_Toc6686_WPSOffice_Level2Page"/>
          <w:r>
            <w:t>18</w:t>
          </w:r>
          <w:bookmarkEnd w:id="25"/>
          <w:r>
            <w:fldChar w:fldCharType="end"/>
          </w:r>
        </w:p>
        <w:p w14:paraId="6C3A0A69">
          <w:pPr>
            <w:pStyle w:val="37"/>
            <w:tabs>
              <w:tab w:val="right" w:leader="dot" w:pos="8306"/>
            </w:tabs>
          </w:pPr>
          <w:r>
            <w:fldChar w:fldCharType="begin"/>
          </w:r>
          <w:r>
            <w:instrText xml:space="preserve"> HYPERLINK \l _Toc20351_WPSOffice_Level2 </w:instrText>
          </w:r>
          <w:r>
            <w:fldChar w:fldCharType="separate"/>
          </w:r>
          <w:sdt>
            <w:sdtPr>
              <w:rPr>
                <w:rFonts w:ascii="Times New Roman" w:hAnsi="Times New Roman" w:eastAsia="宋体" w:cs="Times New Roman"/>
                <w:b/>
                <w:bCs/>
                <w:kern w:val="44"/>
                <w:sz w:val="44"/>
                <w:szCs w:val="44"/>
                <w:lang w:val="en-US" w:eastAsia="zh-CN" w:bidi="ar-SA"/>
              </w:rPr>
              <w:id w:val="147466813"/>
              <w:placeholder>
                <w:docPart w:val="{f106f67a-eda2-4274-a193-03d4ee412e5f}"/>
              </w:placeholder>
            </w:sdtPr>
            <w:sdtEndPr>
              <w:rPr>
                <w:rFonts w:ascii="Times New Roman" w:hAnsi="Times New Roman" w:eastAsia="宋体" w:cs="Times New Roman"/>
                <w:b/>
                <w:bCs/>
                <w:kern w:val="44"/>
                <w:sz w:val="44"/>
                <w:szCs w:val="44"/>
                <w:lang w:val="en-US" w:eastAsia="zh-CN" w:bidi="ar-SA"/>
              </w:rPr>
            </w:sdtEndPr>
            <w:sdtContent>
              <w:r>
                <w:rPr>
                  <w:rFonts w:hint="eastAsia" w:ascii="黑体" w:hAnsi="黑体" w:eastAsia="黑体" w:cs="黑体"/>
                </w:rPr>
                <w:t>财政局整体支出绩效评价报告</w:t>
              </w:r>
            </w:sdtContent>
          </w:sdt>
          <w:r>
            <w:tab/>
          </w:r>
          <w:bookmarkStart w:id="26" w:name="_Toc20351_WPSOffice_Level2Page"/>
          <w:r>
            <w:t>18</w:t>
          </w:r>
          <w:bookmarkEnd w:id="26"/>
          <w:r>
            <w:fldChar w:fldCharType="end"/>
          </w:r>
          <w:bookmarkStart w:id="135" w:name="_GoBack"/>
          <w:bookmarkEnd w:id="135"/>
        </w:p>
        <w:p w14:paraId="2BC36EAD">
          <w:pPr>
            <w:pStyle w:val="37"/>
            <w:tabs>
              <w:tab w:val="right" w:leader="dot" w:pos="8306"/>
            </w:tabs>
          </w:pPr>
          <w:r>
            <w:fldChar w:fldCharType="begin"/>
          </w:r>
          <w:r>
            <w:instrText xml:space="preserve"> HYPERLINK \l _Toc22018_WPSOffice_Level2 </w:instrText>
          </w:r>
          <w:r>
            <w:fldChar w:fldCharType="separate"/>
          </w:r>
          <w:sdt>
            <w:sdtPr>
              <w:rPr>
                <w:rFonts w:ascii="Times New Roman" w:hAnsi="Times New Roman" w:eastAsia="宋体" w:cs="Times New Roman"/>
                <w:b/>
                <w:bCs/>
                <w:kern w:val="44"/>
                <w:sz w:val="44"/>
                <w:szCs w:val="44"/>
                <w:lang w:val="en-US" w:eastAsia="zh-CN" w:bidi="ar-SA"/>
              </w:rPr>
              <w:id w:val="147483288"/>
              <w:placeholder>
                <w:docPart w:val="{5579c168-39ef-4cd8-8f44-caa1f6af4203}"/>
              </w:placeholder>
            </w:sdtPr>
            <w:sdtEndPr>
              <w:rPr>
                <w:rFonts w:ascii="Times New Roman" w:hAnsi="Times New Roman" w:eastAsia="宋体" w:cs="Times New Roman"/>
                <w:b/>
                <w:bCs/>
                <w:kern w:val="44"/>
                <w:sz w:val="44"/>
                <w:szCs w:val="44"/>
                <w:lang w:val="en-US" w:eastAsia="zh-CN" w:bidi="ar-SA"/>
              </w:rPr>
            </w:sdtEndPr>
            <w:sdtContent>
              <w:r>
                <w:rPr>
                  <w:rFonts w:hint="eastAsia" w:ascii="Times New Roman" w:hAnsi="Times New Roman" w:eastAsia="仿宋_GB2312" w:cs="仿宋_GB2312"/>
                </w:rPr>
                <w:t>一、</w:t>
              </w:r>
              <w:r>
                <w:rPr>
                  <w:rFonts w:hint="default" w:ascii="Times New Roman" w:hAnsi="Times New Roman" w:eastAsia="仿宋_GB2312" w:cs="仿宋_GB2312"/>
                </w:rPr>
                <w:t>部门（单位）基本情况</w:t>
              </w:r>
            </w:sdtContent>
          </w:sdt>
          <w:r>
            <w:tab/>
          </w:r>
          <w:bookmarkStart w:id="27" w:name="_Toc22018_WPSOffice_Level2Page"/>
          <w:r>
            <w:t>18</w:t>
          </w:r>
          <w:bookmarkEnd w:id="27"/>
          <w:r>
            <w:fldChar w:fldCharType="end"/>
          </w:r>
        </w:p>
        <w:p w14:paraId="7263E576">
          <w:pPr>
            <w:pStyle w:val="37"/>
            <w:tabs>
              <w:tab w:val="right" w:leader="dot" w:pos="8306"/>
            </w:tabs>
          </w:pPr>
          <w:r>
            <w:fldChar w:fldCharType="begin"/>
          </w:r>
          <w:r>
            <w:instrText xml:space="preserve"> HYPERLINK \l _Toc15544_WPSOffice_Level2 </w:instrText>
          </w:r>
          <w:r>
            <w:fldChar w:fldCharType="separate"/>
          </w:r>
          <w:sdt>
            <w:sdtPr>
              <w:rPr>
                <w:rFonts w:ascii="Times New Roman" w:hAnsi="Times New Roman" w:eastAsia="宋体" w:cs="Times New Roman"/>
                <w:b/>
                <w:bCs/>
                <w:kern w:val="44"/>
                <w:sz w:val="44"/>
                <w:szCs w:val="44"/>
                <w:lang w:val="en-US" w:eastAsia="zh-CN" w:bidi="ar-SA"/>
              </w:rPr>
              <w:id w:val="147453947"/>
              <w:placeholder>
                <w:docPart w:val="{149483d4-6ef6-411b-b9cf-9fc3f791f683}"/>
              </w:placeholder>
            </w:sdtPr>
            <w:sdtEndPr>
              <w:rPr>
                <w:rFonts w:ascii="Times New Roman" w:hAnsi="Times New Roman" w:eastAsia="宋体" w:cs="Times New Roman"/>
                <w:b/>
                <w:bCs/>
                <w:kern w:val="44"/>
                <w:sz w:val="44"/>
                <w:szCs w:val="44"/>
                <w:lang w:val="en-US" w:eastAsia="zh-CN" w:bidi="ar-SA"/>
              </w:rPr>
            </w:sdtEndPr>
            <w:sdtContent>
              <w:r>
                <w:rPr>
                  <w:rFonts w:hint="default" w:ascii="Times New Roman" w:hAnsi="Times New Roman" w:eastAsia="仿宋_GB2312" w:cs="仿宋_GB2312"/>
                </w:rPr>
                <w:t>二、部门资金收支情况</w:t>
              </w:r>
            </w:sdtContent>
          </w:sdt>
          <w:r>
            <w:tab/>
          </w:r>
          <w:bookmarkStart w:id="28" w:name="_Toc15544_WPSOffice_Level2Page"/>
          <w:r>
            <w:t>21</w:t>
          </w:r>
          <w:bookmarkEnd w:id="28"/>
          <w:r>
            <w:fldChar w:fldCharType="end"/>
          </w:r>
        </w:p>
        <w:p w14:paraId="1237BE84">
          <w:pPr>
            <w:pStyle w:val="37"/>
            <w:tabs>
              <w:tab w:val="right" w:leader="dot" w:pos="8306"/>
            </w:tabs>
          </w:pPr>
          <w:r>
            <w:fldChar w:fldCharType="begin"/>
          </w:r>
          <w:r>
            <w:instrText xml:space="preserve"> HYPERLINK \l _Toc3914_WPSOffice_Level2 </w:instrText>
          </w:r>
          <w:r>
            <w:fldChar w:fldCharType="separate"/>
          </w:r>
          <w:sdt>
            <w:sdtPr>
              <w:rPr>
                <w:rFonts w:ascii="Times New Roman" w:hAnsi="Times New Roman" w:eastAsia="宋体" w:cs="Times New Roman"/>
                <w:b/>
                <w:bCs/>
                <w:kern w:val="44"/>
                <w:sz w:val="44"/>
                <w:szCs w:val="44"/>
                <w:lang w:val="en-US" w:eastAsia="zh-CN" w:bidi="ar-SA"/>
              </w:rPr>
              <w:id w:val="147468100"/>
              <w:placeholder>
                <w:docPart w:val="{7eba22f7-adfa-4133-b8a5-8dafdbc0fc45}"/>
              </w:placeholder>
            </w:sdtPr>
            <w:sdtEndPr>
              <w:rPr>
                <w:rFonts w:ascii="Times New Roman" w:hAnsi="Times New Roman" w:eastAsia="宋体" w:cs="Times New Roman"/>
                <w:b/>
                <w:bCs/>
                <w:kern w:val="44"/>
                <w:sz w:val="44"/>
                <w:szCs w:val="44"/>
                <w:lang w:val="en-US" w:eastAsia="zh-CN" w:bidi="ar-SA"/>
              </w:rPr>
            </w:sdtEndPr>
            <w:sdtContent>
              <w:r>
                <w:rPr>
                  <w:rFonts w:hint="default" w:ascii="Times New Roman" w:hAnsi="Times New Roman" w:eastAsia="仿宋_GB2312" w:cs="仿宋_GB2312"/>
                </w:rPr>
                <w:t>三、部门预算绩效分析</w:t>
              </w:r>
            </w:sdtContent>
          </w:sdt>
          <w:r>
            <w:tab/>
          </w:r>
          <w:bookmarkStart w:id="29" w:name="_Toc3914_WPSOffice_Level2Page"/>
          <w:r>
            <w:t>21</w:t>
          </w:r>
          <w:bookmarkEnd w:id="29"/>
          <w:r>
            <w:fldChar w:fldCharType="end"/>
          </w:r>
        </w:p>
        <w:p w14:paraId="6609790A">
          <w:pPr>
            <w:pStyle w:val="37"/>
            <w:tabs>
              <w:tab w:val="right" w:leader="dot" w:pos="8306"/>
            </w:tabs>
          </w:pPr>
          <w:r>
            <w:fldChar w:fldCharType="begin"/>
          </w:r>
          <w:r>
            <w:instrText xml:space="preserve"> HYPERLINK \l _Toc25382_WPSOffice_Level2 </w:instrText>
          </w:r>
          <w:r>
            <w:fldChar w:fldCharType="separate"/>
          </w:r>
          <w:sdt>
            <w:sdtPr>
              <w:rPr>
                <w:rFonts w:ascii="Times New Roman" w:hAnsi="Times New Roman" w:eastAsia="宋体" w:cs="Times New Roman"/>
                <w:b/>
                <w:bCs/>
                <w:kern w:val="44"/>
                <w:sz w:val="44"/>
                <w:szCs w:val="44"/>
                <w:lang w:val="en-US" w:eastAsia="zh-CN" w:bidi="ar-SA"/>
              </w:rPr>
              <w:id w:val="147475106"/>
              <w:placeholder>
                <w:docPart w:val="{384f7138-63f4-4225-b7f7-866d71378ffe}"/>
              </w:placeholder>
            </w:sdtPr>
            <w:sdtEndPr>
              <w:rPr>
                <w:rFonts w:ascii="Times New Roman" w:hAnsi="Times New Roman" w:eastAsia="宋体" w:cs="Times New Roman"/>
                <w:b/>
                <w:bCs/>
                <w:kern w:val="44"/>
                <w:sz w:val="44"/>
                <w:szCs w:val="44"/>
                <w:lang w:val="en-US" w:eastAsia="zh-CN" w:bidi="ar-SA"/>
              </w:rPr>
            </w:sdtEndPr>
            <w:sdtContent>
              <w:r>
                <w:rPr>
                  <w:rFonts w:hint="default" w:ascii="Times New Roman" w:hAnsi="Times New Roman" w:eastAsia="仿宋_GB2312" w:cs="仿宋_GB2312"/>
                </w:rPr>
                <w:t>四、评价结论及建议</w:t>
              </w:r>
            </w:sdtContent>
          </w:sdt>
          <w:r>
            <w:tab/>
          </w:r>
          <w:bookmarkStart w:id="30" w:name="_Toc25382_WPSOffice_Level2Page"/>
          <w:r>
            <w:t>23</w:t>
          </w:r>
          <w:bookmarkEnd w:id="30"/>
          <w:r>
            <w:fldChar w:fldCharType="end"/>
          </w:r>
        </w:p>
        <w:p w14:paraId="6BAB2050">
          <w:pPr>
            <w:pStyle w:val="36"/>
            <w:tabs>
              <w:tab w:val="right" w:leader="dot" w:pos="8306"/>
            </w:tabs>
          </w:pPr>
          <w:r>
            <w:rPr>
              <w:b/>
              <w:bCs/>
            </w:rPr>
            <w:fldChar w:fldCharType="begin"/>
          </w:r>
          <w:r>
            <w:instrText xml:space="preserve"> HYPERLINK \l _Toc17053_WPSOffice_Level1 </w:instrText>
          </w:r>
          <w:r>
            <w:rPr>
              <w:b/>
              <w:bCs/>
            </w:rPr>
            <w:fldChar w:fldCharType="separate"/>
          </w:r>
          <w:sdt>
            <w:sdtPr>
              <w:rPr>
                <w:rFonts w:ascii="Times New Roman" w:hAnsi="Times New Roman" w:eastAsia="宋体" w:cs="Times New Roman"/>
                <w:b/>
                <w:bCs/>
                <w:kern w:val="44"/>
                <w:sz w:val="44"/>
                <w:szCs w:val="44"/>
                <w:lang w:val="en-US" w:eastAsia="zh-CN" w:bidi="ar-SA"/>
              </w:rPr>
              <w:id w:val="147478063"/>
              <w:placeholder>
                <w:docPart w:val="{3f1d8e3b-f0f2-44e9-8fc8-7a7a74bd9fd9}"/>
              </w:placeholder>
            </w:sdtPr>
            <w:sdtEndPr>
              <w:rPr>
                <w:rFonts w:ascii="Times New Roman" w:hAnsi="Times New Roman" w:eastAsia="宋体" w:cs="Times New Roman"/>
                <w:b/>
                <w:bCs/>
                <w:kern w:val="44"/>
                <w:sz w:val="44"/>
                <w:szCs w:val="44"/>
                <w:lang w:val="en-US" w:eastAsia="zh-CN" w:bidi="ar-SA"/>
              </w:rPr>
            </w:sdtEndPr>
            <w:sdtContent>
              <w:r>
                <w:rPr>
                  <w:rFonts w:hint="eastAsia" w:ascii="Times New Roman" w:hAnsi="Times New Roman" w:eastAsia="黑体" w:cs="Times New Roman"/>
                  <w:b/>
                  <w:bCs/>
                </w:rPr>
                <w:t>第五部分 附表</w:t>
              </w:r>
            </w:sdtContent>
          </w:sdt>
          <w:r>
            <w:rPr>
              <w:b/>
              <w:bCs/>
            </w:rPr>
            <w:tab/>
          </w:r>
          <w:bookmarkStart w:id="31" w:name="_Toc17053_WPSOffice_Level1Page"/>
          <w:r>
            <w:rPr>
              <w:b/>
              <w:bCs/>
            </w:rPr>
            <w:t>26</w:t>
          </w:r>
          <w:bookmarkEnd w:id="31"/>
          <w:r>
            <w:rPr>
              <w:b/>
              <w:bCs/>
            </w:rPr>
            <w:fldChar w:fldCharType="end"/>
          </w:r>
        </w:p>
        <w:p w14:paraId="27FD2C9B">
          <w:pPr>
            <w:pStyle w:val="37"/>
            <w:tabs>
              <w:tab w:val="right" w:leader="dot" w:pos="8306"/>
            </w:tabs>
          </w:pPr>
          <w:r>
            <w:fldChar w:fldCharType="begin"/>
          </w:r>
          <w:r>
            <w:instrText xml:space="preserve"> HYPERLINK \l _Toc9671_WPSOffice_Level2 </w:instrText>
          </w:r>
          <w:r>
            <w:fldChar w:fldCharType="separate"/>
          </w:r>
          <w:sdt>
            <w:sdtPr>
              <w:rPr>
                <w:rFonts w:ascii="Times New Roman" w:hAnsi="Times New Roman" w:eastAsia="宋体" w:cs="Times New Roman"/>
                <w:b/>
                <w:bCs/>
                <w:kern w:val="44"/>
                <w:sz w:val="44"/>
                <w:szCs w:val="44"/>
                <w:lang w:val="en-US" w:eastAsia="zh-CN" w:bidi="ar-SA"/>
              </w:rPr>
              <w:id w:val="147453600"/>
              <w:placeholder>
                <w:docPart w:val="{7bf3c04c-701d-427f-b0e2-094d3fbf2c40}"/>
              </w:placeholder>
            </w:sdtPr>
            <w:sdtEndPr>
              <w:rPr>
                <w:rFonts w:ascii="Times New Roman" w:hAnsi="Times New Roman" w:eastAsia="宋体" w:cs="Times New Roman"/>
                <w:b/>
                <w:bCs/>
                <w:kern w:val="44"/>
                <w:sz w:val="44"/>
                <w:szCs w:val="44"/>
                <w:lang w:val="en-US" w:eastAsia="zh-CN" w:bidi="ar-SA"/>
              </w:rPr>
            </w:sdtEndPr>
            <w:sdtContent>
              <w:r>
                <w:rPr>
                  <w:rFonts w:hint="eastAsia" w:ascii="Times New Roman" w:hAnsi="Times New Roman" w:eastAsia="仿宋_GB2312" w:cs="仿宋_GB2312"/>
                </w:rPr>
                <w:t>一、收入支出决算总表</w:t>
              </w:r>
            </w:sdtContent>
          </w:sdt>
          <w:r>
            <w:tab/>
          </w:r>
          <w:bookmarkStart w:id="32" w:name="_Toc9671_WPSOffice_Level2Page"/>
          <w:r>
            <w:t>26</w:t>
          </w:r>
          <w:bookmarkEnd w:id="32"/>
          <w:r>
            <w:fldChar w:fldCharType="end"/>
          </w:r>
        </w:p>
        <w:p w14:paraId="7CFF5265">
          <w:pPr>
            <w:pStyle w:val="37"/>
            <w:tabs>
              <w:tab w:val="right" w:leader="dot" w:pos="8306"/>
            </w:tabs>
          </w:pPr>
          <w:r>
            <w:fldChar w:fldCharType="begin"/>
          </w:r>
          <w:r>
            <w:instrText xml:space="preserve"> HYPERLINK \l _Toc115_WPSOffice_Level2 </w:instrText>
          </w:r>
          <w:r>
            <w:fldChar w:fldCharType="separate"/>
          </w:r>
          <w:sdt>
            <w:sdtPr>
              <w:rPr>
                <w:rFonts w:ascii="Times New Roman" w:hAnsi="Times New Roman" w:eastAsia="宋体" w:cs="Times New Roman"/>
                <w:b/>
                <w:bCs/>
                <w:kern w:val="44"/>
                <w:sz w:val="44"/>
                <w:szCs w:val="44"/>
                <w:lang w:val="en-US" w:eastAsia="zh-CN" w:bidi="ar-SA"/>
              </w:rPr>
              <w:id w:val="147453908"/>
              <w:placeholder>
                <w:docPart w:val="{255dd603-9c99-4d78-a867-c2ee5076c125}"/>
              </w:placeholder>
            </w:sdtPr>
            <w:sdtEndPr>
              <w:rPr>
                <w:rFonts w:ascii="Times New Roman" w:hAnsi="Times New Roman" w:eastAsia="宋体" w:cs="Times New Roman"/>
                <w:b/>
                <w:bCs/>
                <w:kern w:val="44"/>
                <w:sz w:val="44"/>
                <w:szCs w:val="44"/>
                <w:lang w:val="en-US" w:eastAsia="zh-CN" w:bidi="ar-SA"/>
              </w:rPr>
            </w:sdtEndPr>
            <w:sdtContent>
              <w:r>
                <w:rPr>
                  <w:rFonts w:hint="eastAsia" w:ascii="Times New Roman" w:hAnsi="Times New Roman" w:eastAsia="仿宋_GB2312" w:cs="仿宋_GB2312"/>
                </w:rPr>
                <w:t>二、收入决算表</w:t>
              </w:r>
            </w:sdtContent>
          </w:sdt>
          <w:r>
            <w:tab/>
          </w:r>
          <w:bookmarkStart w:id="33" w:name="_Toc115_WPSOffice_Level2Page"/>
          <w:r>
            <w:t>26</w:t>
          </w:r>
          <w:bookmarkEnd w:id="33"/>
          <w:r>
            <w:fldChar w:fldCharType="end"/>
          </w:r>
        </w:p>
        <w:p w14:paraId="3EAC60BC">
          <w:pPr>
            <w:pStyle w:val="37"/>
            <w:tabs>
              <w:tab w:val="right" w:leader="dot" w:pos="8306"/>
            </w:tabs>
          </w:pPr>
          <w:r>
            <w:fldChar w:fldCharType="begin"/>
          </w:r>
          <w:r>
            <w:instrText xml:space="preserve"> HYPERLINK \l _Toc12594_WPSOffice_Level2 </w:instrText>
          </w:r>
          <w:r>
            <w:fldChar w:fldCharType="separate"/>
          </w:r>
          <w:sdt>
            <w:sdtPr>
              <w:rPr>
                <w:rFonts w:ascii="Times New Roman" w:hAnsi="Times New Roman" w:eastAsia="宋体" w:cs="Times New Roman"/>
                <w:b/>
                <w:bCs/>
                <w:kern w:val="44"/>
                <w:sz w:val="44"/>
                <w:szCs w:val="44"/>
                <w:lang w:val="en-US" w:eastAsia="zh-CN" w:bidi="ar-SA"/>
              </w:rPr>
              <w:id w:val="147458357"/>
              <w:placeholder>
                <w:docPart w:val="{80cec9a1-a974-42b1-b36a-b5db9ffaedb3}"/>
              </w:placeholder>
            </w:sdtPr>
            <w:sdtEndPr>
              <w:rPr>
                <w:rFonts w:ascii="Times New Roman" w:hAnsi="Times New Roman" w:eastAsia="宋体" w:cs="Times New Roman"/>
                <w:b/>
                <w:bCs/>
                <w:kern w:val="44"/>
                <w:sz w:val="44"/>
                <w:szCs w:val="44"/>
                <w:lang w:val="en-US" w:eastAsia="zh-CN" w:bidi="ar-SA"/>
              </w:rPr>
            </w:sdtEndPr>
            <w:sdtContent>
              <w:r>
                <w:rPr>
                  <w:rFonts w:hint="eastAsia" w:ascii="Times New Roman" w:hAnsi="Times New Roman" w:eastAsia="仿宋_GB2312" w:cs="仿宋_GB2312"/>
                </w:rPr>
                <w:t>三、支出决算表</w:t>
              </w:r>
            </w:sdtContent>
          </w:sdt>
          <w:r>
            <w:tab/>
          </w:r>
          <w:bookmarkStart w:id="34" w:name="_Toc12594_WPSOffice_Level2Page"/>
          <w:r>
            <w:t>26</w:t>
          </w:r>
          <w:bookmarkEnd w:id="34"/>
          <w:r>
            <w:fldChar w:fldCharType="end"/>
          </w:r>
        </w:p>
        <w:p w14:paraId="5AED7749">
          <w:pPr>
            <w:pStyle w:val="37"/>
            <w:tabs>
              <w:tab w:val="right" w:leader="dot" w:pos="8306"/>
            </w:tabs>
          </w:pPr>
          <w:r>
            <w:fldChar w:fldCharType="begin"/>
          </w:r>
          <w:r>
            <w:instrText xml:space="preserve"> HYPERLINK \l _Toc9055_WPSOffice_Level2 </w:instrText>
          </w:r>
          <w:r>
            <w:fldChar w:fldCharType="separate"/>
          </w:r>
          <w:sdt>
            <w:sdtPr>
              <w:rPr>
                <w:rFonts w:ascii="Times New Roman" w:hAnsi="Times New Roman" w:eastAsia="宋体" w:cs="Times New Roman"/>
                <w:b/>
                <w:bCs/>
                <w:kern w:val="44"/>
                <w:sz w:val="44"/>
                <w:szCs w:val="44"/>
                <w:lang w:val="en-US" w:eastAsia="zh-CN" w:bidi="ar-SA"/>
              </w:rPr>
              <w:id w:val="147464295"/>
              <w:placeholder>
                <w:docPart w:val="{52633d12-8446-4a41-bc70-63d34ec50544}"/>
              </w:placeholder>
            </w:sdtPr>
            <w:sdtEndPr>
              <w:rPr>
                <w:rFonts w:ascii="Times New Roman" w:hAnsi="Times New Roman" w:eastAsia="宋体" w:cs="Times New Roman"/>
                <w:b/>
                <w:bCs/>
                <w:kern w:val="44"/>
                <w:sz w:val="44"/>
                <w:szCs w:val="44"/>
                <w:lang w:val="en-US" w:eastAsia="zh-CN" w:bidi="ar-SA"/>
              </w:rPr>
            </w:sdtEndPr>
            <w:sdtContent>
              <w:r>
                <w:rPr>
                  <w:rFonts w:hint="eastAsia" w:ascii="Times New Roman" w:hAnsi="Times New Roman" w:eastAsia="仿宋_GB2312" w:cs="仿宋_GB2312"/>
                </w:rPr>
                <w:t>四、财政拨款收入支出决算总表</w:t>
              </w:r>
            </w:sdtContent>
          </w:sdt>
          <w:r>
            <w:tab/>
          </w:r>
          <w:bookmarkStart w:id="35" w:name="_Toc9055_WPSOffice_Level2Page"/>
          <w:r>
            <w:t>26</w:t>
          </w:r>
          <w:bookmarkEnd w:id="35"/>
          <w:r>
            <w:fldChar w:fldCharType="end"/>
          </w:r>
        </w:p>
        <w:p w14:paraId="044F5D6E">
          <w:pPr>
            <w:pStyle w:val="37"/>
            <w:tabs>
              <w:tab w:val="right" w:leader="dot" w:pos="8306"/>
            </w:tabs>
          </w:pPr>
          <w:r>
            <w:fldChar w:fldCharType="begin"/>
          </w:r>
          <w:r>
            <w:instrText xml:space="preserve"> HYPERLINK \l _Toc11147_WPSOffice_Level2 </w:instrText>
          </w:r>
          <w:r>
            <w:fldChar w:fldCharType="separate"/>
          </w:r>
          <w:sdt>
            <w:sdtPr>
              <w:rPr>
                <w:rFonts w:ascii="Times New Roman" w:hAnsi="Times New Roman" w:eastAsia="宋体" w:cs="Times New Roman"/>
                <w:b/>
                <w:bCs/>
                <w:kern w:val="44"/>
                <w:sz w:val="44"/>
                <w:szCs w:val="44"/>
                <w:lang w:val="en-US" w:eastAsia="zh-CN" w:bidi="ar-SA"/>
              </w:rPr>
              <w:id w:val="147462627"/>
              <w:placeholder>
                <w:docPart w:val="{482ef0a8-c278-4c5a-b22c-42e5531a28d6}"/>
              </w:placeholder>
            </w:sdtPr>
            <w:sdtEndPr>
              <w:rPr>
                <w:rFonts w:ascii="Times New Roman" w:hAnsi="Times New Roman" w:eastAsia="宋体" w:cs="Times New Roman"/>
                <w:b/>
                <w:bCs/>
                <w:kern w:val="44"/>
                <w:sz w:val="44"/>
                <w:szCs w:val="44"/>
                <w:lang w:val="en-US" w:eastAsia="zh-CN" w:bidi="ar-SA"/>
              </w:rPr>
            </w:sdtEndPr>
            <w:sdtContent>
              <w:r>
                <w:rPr>
                  <w:rFonts w:hint="eastAsia" w:ascii="Times New Roman" w:hAnsi="Times New Roman" w:eastAsia="仿宋_GB2312" w:cs="仿宋_GB2312"/>
                </w:rPr>
                <w:t>五、财政拨款支出决算明细表</w:t>
              </w:r>
            </w:sdtContent>
          </w:sdt>
          <w:r>
            <w:tab/>
          </w:r>
          <w:bookmarkStart w:id="36" w:name="_Toc11147_WPSOffice_Level2Page"/>
          <w:r>
            <w:t>26</w:t>
          </w:r>
          <w:bookmarkEnd w:id="36"/>
          <w:r>
            <w:fldChar w:fldCharType="end"/>
          </w:r>
        </w:p>
        <w:p w14:paraId="4E553EF3">
          <w:pPr>
            <w:pStyle w:val="37"/>
            <w:tabs>
              <w:tab w:val="right" w:leader="dot" w:pos="8306"/>
            </w:tabs>
          </w:pPr>
          <w:r>
            <w:fldChar w:fldCharType="begin"/>
          </w:r>
          <w:r>
            <w:instrText xml:space="preserve"> HYPERLINK \l _Toc29475_WPSOffice_Level2 </w:instrText>
          </w:r>
          <w:r>
            <w:fldChar w:fldCharType="separate"/>
          </w:r>
          <w:sdt>
            <w:sdtPr>
              <w:rPr>
                <w:rFonts w:ascii="Times New Roman" w:hAnsi="Times New Roman" w:eastAsia="宋体" w:cs="Times New Roman"/>
                <w:b/>
                <w:bCs/>
                <w:kern w:val="44"/>
                <w:sz w:val="44"/>
                <w:szCs w:val="44"/>
                <w:lang w:val="en-US" w:eastAsia="zh-CN" w:bidi="ar-SA"/>
              </w:rPr>
              <w:id w:val="147475723"/>
              <w:placeholder>
                <w:docPart w:val="{e5886ebf-25ca-4ee5-82f4-b43a9148dba5}"/>
              </w:placeholder>
            </w:sdtPr>
            <w:sdtEndPr>
              <w:rPr>
                <w:rFonts w:ascii="Times New Roman" w:hAnsi="Times New Roman" w:eastAsia="宋体" w:cs="Times New Roman"/>
                <w:b/>
                <w:bCs/>
                <w:kern w:val="44"/>
                <w:sz w:val="44"/>
                <w:szCs w:val="44"/>
                <w:lang w:val="en-US" w:eastAsia="zh-CN" w:bidi="ar-SA"/>
              </w:rPr>
            </w:sdtEndPr>
            <w:sdtContent>
              <w:r>
                <w:rPr>
                  <w:rFonts w:hint="eastAsia" w:ascii="Times New Roman" w:hAnsi="Times New Roman" w:eastAsia="仿宋_GB2312" w:cs="仿宋_GB2312"/>
                </w:rPr>
                <w:t>六、一般公共预算财政拨款支出决算表</w:t>
              </w:r>
            </w:sdtContent>
          </w:sdt>
          <w:r>
            <w:tab/>
          </w:r>
          <w:bookmarkStart w:id="37" w:name="_Toc29475_WPSOffice_Level2Page"/>
          <w:r>
            <w:t>26</w:t>
          </w:r>
          <w:bookmarkEnd w:id="37"/>
          <w:r>
            <w:fldChar w:fldCharType="end"/>
          </w:r>
        </w:p>
        <w:p w14:paraId="35945CB1">
          <w:pPr>
            <w:pStyle w:val="37"/>
            <w:tabs>
              <w:tab w:val="right" w:leader="dot" w:pos="8306"/>
            </w:tabs>
          </w:pPr>
          <w:r>
            <w:fldChar w:fldCharType="begin"/>
          </w:r>
          <w:r>
            <w:instrText xml:space="preserve"> HYPERLINK \l _Toc18292_WPSOffice_Level2 </w:instrText>
          </w:r>
          <w:r>
            <w:fldChar w:fldCharType="separate"/>
          </w:r>
          <w:sdt>
            <w:sdtPr>
              <w:rPr>
                <w:rFonts w:ascii="Times New Roman" w:hAnsi="Times New Roman" w:eastAsia="宋体" w:cs="Times New Roman"/>
                <w:b/>
                <w:bCs/>
                <w:kern w:val="44"/>
                <w:sz w:val="44"/>
                <w:szCs w:val="44"/>
                <w:lang w:val="en-US" w:eastAsia="zh-CN" w:bidi="ar-SA"/>
              </w:rPr>
              <w:id w:val="147455563"/>
              <w:placeholder>
                <w:docPart w:val="{6248af3d-3516-43b0-9838-0a7398efc398}"/>
              </w:placeholder>
            </w:sdtPr>
            <w:sdtEndPr>
              <w:rPr>
                <w:rFonts w:ascii="Times New Roman" w:hAnsi="Times New Roman" w:eastAsia="宋体" w:cs="Times New Roman"/>
                <w:b/>
                <w:bCs/>
                <w:kern w:val="44"/>
                <w:sz w:val="44"/>
                <w:szCs w:val="44"/>
                <w:lang w:val="en-US" w:eastAsia="zh-CN" w:bidi="ar-SA"/>
              </w:rPr>
            </w:sdtEndPr>
            <w:sdtContent>
              <w:r>
                <w:rPr>
                  <w:rFonts w:hint="eastAsia" w:ascii="Times New Roman" w:hAnsi="Times New Roman" w:eastAsia="仿宋_GB2312" w:cs="仿宋_GB2312"/>
                </w:rPr>
                <w:t>七、一般公共预算财政拨款支出决算明细表</w:t>
              </w:r>
            </w:sdtContent>
          </w:sdt>
          <w:r>
            <w:tab/>
          </w:r>
          <w:bookmarkStart w:id="38" w:name="_Toc18292_WPSOffice_Level2Page"/>
          <w:r>
            <w:t>26</w:t>
          </w:r>
          <w:bookmarkEnd w:id="38"/>
          <w:r>
            <w:fldChar w:fldCharType="end"/>
          </w:r>
        </w:p>
        <w:p w14:paraId="616E63B0">
          <w:pPr>
            <w:pStyle w:val="37"/>
            <w:tabs>
              <w:tab w:val="right" w:leader="dot" w:pos="8306"/>
            </w:tabs>
          </w:pPr>
          <w:r>
            <w:fldChar w:fldCharType="begin"/>
          </w:r>
          <w:r>
            <w:instrText xml:space="preserve"> HYPERLINK \l _Toc9950_WPSOffice_Level2 </w:instrText>
          </w:r>
          <w:r>
            <w:fldChar w:fldCharType="separate"/>
          </w:r>
          <w:sdt>
            <w:sdtPr>
              <w:rPr>
                <w:rFonts w:ascii="Times New Roman" w:hAnsi="Times New Roman" w:eastAsia="宋体" w:cs="Times New Roman"/>
                <w:b/>
                <w:bCs/>
                <w:kern w:val="44"/>
                <w:sz w:val="44"/>
                <w:szCs w:val="44"/>
                <w:lang w:val="en-US" w:eastAsia="zh-CN" w:bidi="ar-SA"/>
              </w:rPr>
              <w:id w:val="147475888"/>
              <w:placeholder>
                <w:docPart w:val="{7c5e45d4-6d2e-4379-8fdc-401baaca20c2}"/>
              </w:placeholder>
            </w:sdtPr>
            <w:sdtEndPr>
              <w:rPr>
                <w:rFonts w:ascii="Times New Roman" w:hAnsi="Times New Roman" w:eastAsia="宋体" w:cs="Times New Roman"/>
                <w:b/>
                <w:bCs/>
                <w:kern w:val="44"/>
                <w:sz w:val="44"/>
                <w:szCs w:val="44"/>
                <w:lang w:val="en-US" w:eastAsia="zh-CN" w:bidi="ar-SA"/>
              </w:rPr>
            </w:sdtEndPr>
            <w:sdtContent>
              <w:r>
                <w:rPr>
                  <w:rFonts w:hint="eastAsia" w:ascii="Times New Roman" w:hAnsi="Times New Roman" w:eastAsia="仿宋_GB2312" w:cs="仿宋_GB2312"/>
                </w:rPr>
                <w:t>八、一般公共预算财政拨款基本支出决算表</w:t>
              </w:r>
            </w:sdtContent>
          </w:sdt>
          <w:r>
            <w:tab/>
          </w:r>
          <w:bookmarkStart w:id="39" w:name="_Toc9950_WPSOffice_Level2Page"/>
          <w:r>
            <w:t>26</w:t>
          </w:r>
          <w:bookmarkEnd w:id="39"/>
          <w:r>
            <w:fldChar w:fldCharType="end"/>
          </w:r>
        </w:p>
        <w:p w14:paraId="3EC0D255">
          <w:pPr>
            <w:pStyle w:val="37"/>
            <w:tabs>
              <w:tab w:val="right" w:leader="dot" w:pos="8306"/>
            </w:tabs>
          </w:pPr>
          <w:r>
            <w:fldChar w:fldCharType="begin"/>
          </w:r>
          <w:r>
            <w:instrText xml:space="preserve"> HYPERLINK \l _Toc6778_WPSOffice_Level2 </w:instrText>
          </w:r>
          <w:r>
            <w:fldChar w:fldCharType="separate"/>
          </w:r>
          <w:sdt>
            <w:sdtPr>
              <w:rPr>
                <w:rFonts w:ascii="Times New Roman" w:hAnsi="Times New Roman" w:eastAsia="宋体" w:cs="Times New Roman"/>
                <w:b/>
                <w:bCs/>
                <w:kern w:val="44"/>
                <w:sz w:val="44"/>
                <w:szCs w:val="44"/>
                <w:lang w:val="en-US" w:eastAsia="zh-CN" w:bidi="ar-SA"/>
              </w:rPr>
              <w:id w:val="147467295"/>
              <w:placeholder>
                <w:docPart w:val="{37541a58-e6c8-49a4-a746-df312f17d76b}"/>
              </w:placeholder>
            </w:sdtPr>
            <w:sdtEndPr>
              <w:rPr>
                <w:rFonts w:ascii="Times New Roman" w:hAnsi="Times New Roman" w:eastAsia="宋体" w:cs="Times New Roman"/>
                <w:b/>
                <w:bCs/>
                <w:kern w:val="44"/>
                <w:sz w:val="44"/>
                <w:szCs w:val="44"/>
                <w:lang w:val="en-US" w:eastAsia="zh-CN" w:bidi="ar-SA"/>
              </w:rPr>
            </w:sdtEndPr>
            <w:sdtContent>
              <w:r>
                <w:rPr>
                  <w:rFonts w:hint="eastAsia" w:ascii="Times New Roman" w:hAnsi="Times New Roman" w:eastAsia="仿宋_GB2312" w:cs="仿宋_GB2312"/>
                </w:rPr>
                <w:t>九、一般公共预算财政拨款项目支出决算表</w:t>
              </w:r>
            </w:sdtContent>
          </w:sdt>
          <w:r>
            <w:tab/>
          </w:r>
          <w:bookmarkStart w:id="40" w:name="_Toc6778_WPSOffice_Level2Page"/>
          <w:r>
            <w:t>26</w:t>
          </w:r>
          <w:bookmarkEnd w:id="40"/>
          <w:r>
            <w:fldChar w:fldCharType="end"/>
          </w:r>
        </w:p>
        <w:p w14:paraId="1D296A36">
          <w:pPr>
            <w:pStyle w:val="37"/>
            <w:tabs>
              <w:tab w:val="right" w:leader="dot" w:pos="8306"/>
            </w:tabs>
          </w:pPr>
          <w:r>
            <w:fldChar w:fldCharType="begin"/>
          </w:r>
          <w:r>
            <w:instrText xml:space="preserve"> HYPERLINK \l _Toc21835_WPSOffice_Level2 </w:instrText>
          </w:r>
          <w:r>
            <w:fldChar w:fldCharType="separate"/>
          </w:r>
          <w:sdt>
            <w:sdtPr>
              <w:rPr>
                <w:rFonts w:ascii="Times New Roman" w:hAnsi="Times New Roman" w:eastAsia="宋体" w:cs="Times New Roman"/>
                <w:b/>
                <w:bCs/>
                <w:kern w:val="44"/>
                <w:sz w:val="44"/>
                <w:szCs w:val="44"/>
                <w:lang w:val="en-US" w:eastAsia="zh-CN" w:bidi="ar-SA"/>
              </w:rPr>
              <w:id w:val="147458252"/>
              <w:placeholder>
                <w:docPart w:val="{2870ae24-1dfc-46a2-9598-febb672dbd62}"/>
              </w:placeholder>
            </w:sdtPr>
            <w:sdtEndPr>
              <w:rPr>
                <w:rFonts w:ascii="Times New Roman" w:hAnsi="Times New Roman" w:eastAsia="宋体" w:cs="Times New Roman"/>
                <w:b/>
                <w:bCs/>
                <w:kern w:val="44"/>
                <w:sz w:val="44"/>
                <w:szCs w:val="44"/>
                <w:lang w:val="en-US" w:eastAsia="zh-CN" w:bidi="ar-SA"/>
              </w:rPr>
            </w:sdtEndPr>
            <w:sdtContent>
              <w:r>
                <w:rPr>
                  <w:rFonts w:hint="eastAsia" w:ascii="Times New Roman" w:hAnsi="Times New Roman" w:eastAsia="仿宋_GB2312" w:cs="仿宋_GB2312"/>
                </w:rPr>
                <w:t>十、政府性基金预算财政拨款收入支出决算表</w:t>
              </w:r>
            </w:sdtContent>
          </w:sdt>
          <w:r>
            <w:tab/>
          </w:r>
          <w:bookmarkStart w:id="41" w:name="_Toc21835_WPSOffice_Level2Page"/>
          <w:r>
            <w:t>26</w:t>
          </w:r>
          <w:bookmarkEnd w:id="41"/>
          <w:r>
            <w:fldChar w:fldCharType="end"/>
          </w:r>
        </w:p>
        <w:p w14:paraId="678384C3">
          <w:pPr>
            <w:pStyle w:val="37"/>
            <w:tabs>
              <w:tab w:val="right" w:leader="dot" w:pos="8306"/>
            </w:tabs>
          </w:pPr>
          <w:r>
            <w:fldChar w:fldCharType="begin"/>
          </w:r>
          <w:r>
            <w:instrText xml:space="preserve"> HYPERLINK \l _Toc16986_WPSOffice_Level2 </w:instrText>
          </w:r>
          <w:r>
            <w:fldChar w:fldCharType="separate"/>
          </w:r>
          <w:sdt>
            <w:sdtPr>
              <w:rPr>
                <w:rFonts w:ascii="Times New Roman" w:hAnsi="Times New Roman" w:eastAsia="宋体" w:cs="Times New Roman"/>
                <w:b/>
                <w:bCs/>
                <w:kern w:val="44"/>
                <w:sz w:val="44"/>
                <w:szCs w:val="44"/>
                <w:lang w:val="en-US" w:eastAsia="zh-CN" w:bidi="ar-SA"/>
              </w:rPr>
              <w:id w:val="147468650"/>
              <w:placeholder>
                <w:docPart w:val="{cb952ce0-b990-4325-9aa4-3984a24b681b}"/>
              </w:placeholder>
            </w:sdtPr>
            <w:sdtEndPr>
              <w:rPr>
                <w:rFonts w:ascii="Times New Roman" w:hAnsi="Times New Roman" w:eastAsia="宋体" w:cs="Times New Roman"/>
                <w:b/>
                <w:bCs/>
                <w:kern w:val="44"/>
                <w:sz w:val="44"/>
                <w:szCs w:val="44"/>
                <w:lang w:val="en-US" w:eastAsia="zh-CN" w:bidi="ar-SA"/>
              </w:rPr>
            </w:sdtEndPr>
            <w:sdtContent>
              <w:r>
                <w:rPr>
                  <w:rFonts w:hint="eastAsia" w:ascii="Times New Roman" w:hAnsi="Times New Roman" w:eastAsia="仿宋_GB2312" w:cs="仿宋_GB2312"/>
                </w:rPr>
                <w:t>十一、国有资本经营预算财政拨款收入支出决算表</w:t>
              </w:r>
            </w:sdtContent>
          </w:sdt>
          <w:r>
            <w:tab/>
          </w:r>
          <w:bookmarkStart w:id="42" w:name="_Toc16986_WPSOffice_Level2Page"/>
          <w:r>
            <w:t>26</w:t>
          </w:r>
          <w:bookmarkEnd w:id="42"/>
          <w:r>
            <w:fldChar w:fldCharType="end"/>
          </w:r>
        </w:p>
        <w:p w14:paraId="40A9EF12">
          <w:pPr>
            <w:pStyle w:val="37"/>
            <w:tabs>
              <w:tab w:val="right" w:leader="dot" w:pos="8306"/>
            </w:tabs>
          </w:pPr>
          <w:r>
            <w:fldChar w:fldCharType="begin"/>
          </w:r>
          <w:r>
            <w:instrText xml:space="preserve"> HYPERLINK \l _Toc18264_WPSOffice_Level2 </w:instrText>
          </w:r>
          <w:r>
            <w:fldChar w:fldCharType="separate"/>
          </w:r>
          <w:sdt>
            <w:sdtPr>
              <w:rPr>
                <w:rFonts w:ascii="Times New Roman" w:hAnsi="Times New Roman" w:eastAsia="宋体" w:cs="Times New Roman"/>
                <w:b/>
                <w:bCs/>
                <w:kern w:val="44"/>
                <w:sz w:val="44"/>
                <w:szCs w:val="44"/>
                <w:lang w:val="en-US" w:eastAsia="zh-CN" w:bidi="ar-SA"/>
              </w:rPr>
              <w:id w:val="147474412"/>
              <w:placeholder>
                <w:docPart w:val="{360bdd10-c669-4643-8597-a93122a00901}"/>
              </w:placeholder>
            </w:sdtPr>
            <w:sdtEndPr>
              <w:rPr>
                <w:rFonts w:ascii="Times New Roman" w:hAnsi="Times New Roman" w:eastAsia="宋体" w:cs="Times New Roman"/>
                <w:b/>
                <w:bCs/>
                <w:kern w:val="44"/>
                <w:sz w:val="44"/>
                <w:szCs w:val="44"/>
                <w:lang w:val="en-US" w:eastAsia="zh-CN" w:bidi="ar-SA"/>
              </w:rPr>
            </w:sdtEndPr>
            <w:sdtContent>
              <w:r>
                <w:rPr>
                  <w:rFonts w:hint="eastAsia" w:ascii="Times New Roman" w:hAnsi="Times New Roman" w:eastAsia="仿宋_GB2312" w:cs="仿宋_GB2312"/>
                </w:rPr>
                <w:t>十二、国有资本经营预算财政拨款支出决算表</w:t>
              </w:r>
            </w:sdtContent>
          </w:sdt>
          <w:r>
            <w:tab/>
          </w:r>
          <w:bookmarkStart w:id="43" w:name="_Toc18264_WPSOffice_Level2Page"/>
          <w:r>
            <w:t>26</w:t>
          </w:r>
          <w:bookmarkEnd w:id="43"/>
          <w:r>
            <w:fldChar w:fldCharType="end"/>
          </w:r>
        </w:p>
        <w:p w14:paraId="5A4EBC6A">
          <w:pPr>
            <w:pStyle w:val="37"/>
            <w:tabs>
              <w:tab w:val="right" w:leader="dot" w:pos="8306"/>
            </w:tabs>
          </w:pPr>
          <w:r>
            <w:fldChar w:fldCharType="begin"/>
          </w:r>
          <w:r>
            <w:instrText xml:space="preserve"> HYPERLINK \l _Toc9675_WPSOffice_Level2 </w:instrText>
          </w:r>
          <w:r>
            <w:fldChar w:fldCharType="separate"/>
          </w:r>
          <w:sdt>
            <w:sdtPr>
              <w:rPr>
                <w:rFonts w:ascii="Times New Roman" w:hAnsi="Times New Roman" w:eastAsia="宋体" w:cs="Times New Roman"/>
                <w:b/>
                <w:bCs/>
                <w:kern w:val="44"/>
                <w:sz w:val="44"/>
                <w:szCs w:val="44"/>
                <w:lang w:val="en-US" w:eastAsia="zh-CN" w:bidi="ar-SA"/>
              </w:rPr>
              <w:id w:val="147467875"/>
              <w:placeholder>
                <w:docPart w:val="{2ba719d6-5470-4972-b2c5-5543c538ab94}"/>
              </w:placeholder>
            </w:sdtPr>
            <w:sdtEndPr>
              <w:rPr>
                <w:rFonts w:ascii="Times New Roman" w:hAnsi="Times New Roman" w:eastAsia="宋体" w:cs="Times New Roman"/>
                <w:b/>
                <w:bCs/>
                <w:kern w:val="44"/>
                <w:sz w:val="44"/>
                <w:szCs w:val="44"/>
                <w:lang w:val="en-US" w:eastAsia="zh-CN" w:bidi="ar-SA"/>
              </w:rPr>
            </w:sdtEndPr>
            <w:sdtContent>
              <w:r>
                <w:rPr>
                  <w:rFonts w:hint="eastAsia" w:ascii="Times New Roman" w:hAnsi="Times New Roman" w:eastAsia="仿宋_GB2312" w:cs="仿宋_GB2312"/>
                </w:rPr>
                <w:t>十三、财政拨款“三公”经费支出决算表</w:t>
              </w:r>
            </w:sdtContent>
          </w:sdt>
          <w:r>
            <w:tab/>
          </w:r>
          <w:bookmarkStart w:id="44" w:name="_Toc9675_WPSOffice_Level2Page"/>
          <w:r>
            <w:t>26</w:t>
          </w:r>
          <w:bookmarkEnd w:id="44"/>
          <w:r>
            <w:fldChar w:fldCharType="end"/>
          </w:r>
          <w:bookmarkEnd w:id="6"/>
        </w:p>
      </w:sdtContent>
    </w:sdt>
    <w:p w14:paraId="210903ED">
      <w:pPr>
        <w:pStyle w:val="4"/>
        <w:jc w:val="center"/>
        <w:rPr>
          <w:rFonts w:ascii="Times New Roman" w:hAnsi="Times New Roman" w:eastAsia="黑体"/>
          <w:color w:val="auto"/>
          <w:sz w:val="32"/>
          <w:szCs w:val="32"/>
          <w:highlight w:val="none"/>
        </w:rPr>
      </w:pPr>
      <w:bookmarkStart w:id="45" w:name="_Toc17662_WPSOffice_Level1"/>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9"/>
          <w:rFonts w:hint="eastAsia" w:ascii="Times New Roman" w:hAnsi="Times New Roman" w:eastAsia="方正小标宋简体" w:cs="方正小标宋简体"/>
          <w:b w:val="0"/>
          <w:bCs w:val="0"/>
          <w:color w:val="auto"/>
          <w:highlight w:val="none"/>
        </w:rPr>
        <w:t>部门概况</w:t>
      </w:r>
      <w:bookmarkEnd w:id="7"/>
      <w:bookmarkEnd w:id="8"/>
      <w:bookmarkEnd w:id="45"/>
    </w:p>
    <w:p w14:paraId="7B9D20F6">
      <w:pPr>
        <w:pStyle w:val="5"/>
        <w:numPr>
          <w:ilvl w:val="0"/>
          <w:numId w:val="1"/>
        </w:numPr>
        <w:rPr>
          <w:rFonts w:hint="eastAsia" w:ascii="Times New Roman" w:hAnsi="Times New Roman" w:eastAsia="黑体"/>
          <w:b w:val="0"/>
          <w:color w:val="auto"/>
          <w:highlight w:val="none"/>
          <w:lang w:eastAsia="zh-CN"/>
        </w:rPr>
      </w:pPr>
      <w:bookmarkStart w:id="46" w:name="_Toc22536_WPSOffice_Level2"/>
      <w:r>
        <w:rPr>
          <w:rFonts w:hint="eastAsia" w:ascii="Times New Roman" w:hAnsi="Times New Roman" w:eastAsia="黑体"/>
          <w:b w:val="0"/>
          <w:color w:val="auto"/>
          <w:highlight w:val="none"/>
          <w:lang w:eastAsia="zh-CN"/>
        </w:rPr>
        <w:t>部门职责</w:t>
      </w:r>
      <w:bookmarkEnd w:id="46"/>
    </w:p>
    <w:p w14:paraId="26A9CC1B">
      <w:pPr>
        <w:pStyle w:val="15"/>
        <w:shd w:val="clear" w:color="auto" w:fill="FFFFFF"/>
        <w:ind w:firstLine="900" w:firstLineChars="300"/>
        <w:rPr>
          <w:rFonts w:hint="eastAsia" w:ascii="Times New Roman" w:hAnsi="Times New Roman" w:eastAsia="仿宋_GB2312" w:cs="Times New Roman"/>
          <w:color w:val="auto"/>
          <w:sz w:val="32"/>
          <w:szCs w:val="32"/>
          <w:lang w:val="en-US" w:eastAsia="zh-CN"/>
        </w:rPr>
      </w:pPr>
      <w:r>
        <w:rPr>
          <w:rFonts w:hint="eastAsia" w:asciiTheme="minorEastAsia" w:hAnsiTheme="minorEastAsia" w:eastAsiaTheme="minorEastAsia" w:cstheme="minorEastAsia"/>
          <w:b w:val="0"/>
          <w:bCs w:val="0"/>
          <w:sz w:val="30"/>
          <w:szCs w:val="30"/>
          <w:lang w:val="en-US" w:eastAsia="zh-CN"/>
        </w:rPr>
        <w:t>1</w:t>
      </w:r>
      <w:r>
        <w:rPr>
          <w:rFonts w:hint="eastAsia" w:ascii="Times New Roman" w:hAnsi="Times New Roman" w:eastAsia="仿宋_GB2312" w:cs="Times New Roman"/>
          <w:color w:val="auto"/>
          <w:sz w:val="32"/>
          <w:szCs w:val="32"/>
          <w:lang w:val="en-US" w:eastAsia="zh-CN"/>
        </w:rPr>
        <w:t>.拟订全县财税发展战略、规划、政策和改革方案并组织实施。分析预测宏观经济形势，参与制定宏观经济政策，提出运用财税政策实施宏观调控和综合平衡社会财力的建议。贯彻落实国家与企业的分配政策，完善鼓励公益事业发展的财税政策。</w:t>
      </w:r>
    </w:p>
    <w:p w14:paraId="1B2FAD69">
      <w:pPr>
        <w:pStyle w:val="15"/>
        <w:shd w:val="clear" w:color="auto" w:fill="FFFFFF"/>
        <w:ind w:firstLine="960" w:firstLineChars="3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2.贯彻执行财政、税收、财务、会计管理的法律法规和规章。提出全县性财税立法规划建议，按照管理权限管理全县税政事项。</w:t>
      </w:r>
    </w:p>
    <w:p w14:paraId="42828398">
      <w:pPr>
        <w:pStyle w:val="15"/>
        <w:shd w:val="clear" w:color="auto" w:fill="FFFFFF"/>
        <w:ind w:firstLine="960" w:firstLineChars="3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3.负责管理各项财政收支。编制年度县级预决算草案并组织执行。组织制定经费开支标准、定额，审核批复部门（单位）年度预决算。受县政府委托，向县人大及其常委会报告财政预算执行和决算等情况。负责政府投资基金县级财政出资的资产管理。负责县级预决算公开。负责全面实施预算绩效管理。</w:t>
      </w:r>
    </w:p>
    <w:p w14:paraId="2A9A38A6">
      <w:pPr>
        <w:pStyle w:val="15"/>
        <w:shd w:val="clear" w:color="auto" w:fill="FFFFFF"/>
        <w:ind w:firstLine="960" w:firstLineChars="3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4.按分工负责政府非税收入管理。负责政府性基金管理，按规定管理行政事业性收费等其他非税收入。管理财政票据。贯彻落实彩票管理政策和有关办法，监管彩票市场，按规定管理彩票基金。</w:t>
      </w:r>
    </w:p>
    <w:p w14:paraId="430225DC">
      <w:pPr>
        <w:pStyle w:val="15"/>
        <w:shd w:val="clear" w:color="auto" w:fill="FFFFFF"/>
        <w:ind w:firstLine="960" w:firstLineChars="3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5.组织制定全县国库管理制度、国库集中收付制度，指导和监督国库业务，开展国库现金管理工作。贯彻执行政府财务报告编制办法并组织实施。负责制定政府采购制度并监督管理。</w:t>
      </w:r>
    </w:p>
    <w:p w14:paraId="44BDC7D5">
      <w:pPr>
        <w:pStyle w:val="15"/>
        <w:shd w:val="clear" w:color="auto" w:fill="FFFFFF"/>
        <w:ind w:firstLine="960" w:firstLineChars="3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6.贯彻执行地方政府债务管理制度和政策，制定具体管理办法，执行地方政府债余额限额计划，统一管理政府外债，防范财政风险。</w:t>
      </w:r>
    </w:p>
    <w:p w14:paraId="23600DB8">
      <w:pPr>
        <w:pStyle w:val="15"/>
        <w:shd w:val="clear" w:color="auto" w:fill="FFFFFF"/>
        <w:ind w:firstLine="960" w:firstLineChars="3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7.牵头编制全县国有资产管理情况报告。根据县政府授权，集中统一履行县级国有金融资本出资人职责。制定县级国有金融资本管理制度。拟订全县行政事业单位国有资产管理制度并组织实施。制定需要全县统一规定的开支标准和支出政策。</w:t>
      </w:r>
    </w:p>
    <w:p w14:paraId="7CEFAE3F">
      <w:pPr>
        <w:pStyle w:val="15"/>
        <w:shd w:val="clear" w:color="auto" w:fill="FFFFFF"/>
        <w:ind w:firstLine="960" w:firstLineChars="3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8.负责审核并汇总编制全县国有资本经营预决算草案。制定国有资本经营预算制度和办法，收取县本级企业国有资本收益。组织实施企业财务制度，负责财政预算内行政事业单位和社会团体的非贸易外汇和财政预算内的国际收支管理。</w:t>
      </w:r>
    </w:p>
    <w:p w14:paraId="635EDDAB">
      <w:pPr>
        <w:pStyle w:val="15"/>
        <w:shd w:val="clear" w:color="auto" w:fill="FFFFFF"/>
        <w:ind w:firstLine="960" w:firstLineChars="3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9.负责审核并汇总编制全县社会保险基金预决算草案，会同有关部门拟订有关资金（基金）财务管理制度，承担社会保险基金财政监管工作。</w:t>
      </w:r>
    </w:p>
    <w:p w14:paraId="73939A9A">
      <w:pPr>
        <w:pStyle w:val="15"/>
        <w:shd w:val="clear" w:color="auto" w:fill="FFFFFF"/>
        <w:ind w:firstLine="960" w:firstLineChars="3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10.负责办理和监督县级财政的经济发展支出、县级政府性投资项目的财政拨款，负责投资评审管理工作，参与拟订县级基建投资有关政策，执行基建财务管理制度。</w:t>
      </w:r>
    </w:p>
    <w:p w14:paraId="47683BED">
      <w:pPr>
        <w:pStyle w:val="15"/>
        <w:shd w:val="clear" w:color="auto" w:fill="FFFFFF"/>
        <w:ind w:firstLine="960" w:firstLineChars="3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11.管理外国政府和国际金融机构贷（赠）款项目的有关业务，参与财经领域的国际交流与合作。</w:t>
      </w:r>
    </w:p>
    <w:p w14:paraId="74F5A261">
      <w:pPr>
        <w:pStyle w:val="15"/>
        <w:shd w:val="clear" w:color="auto" w:fill="FFFFFF"/>
        <w:ind w:firstLine="960" w:firstLineChars="3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12.负责管理全县会计工作，监督和规范会计行为，组织实施国家统一的会计制度，指导和管理社会审计。依法管理资产评估有关工作。</w:t>
      </w:r>
    </w:p>
    <w:p w14:paraId="5C6A2171">
      <w:pPr>
        <w:pStyle w:val="15"/>
        <w:shd w:val="clear" w:color="auto" w:fill="FFFFFF"/>
        <w:ind w:firstLine="960" w:firstLineChars="3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13.负责职责范围内的安全生产和职业健康、生态环境保护、审批服务便民化等工作。</w:t>
      </w:r>
    </w:p>
    <w:p w14:paraId="28E1F4CD">
      <w:pPr>
        <w:pStyle w:val="15"/>
        <w:shd w:val="clear" w:color="auto" w:fill="FFFFFF"/>
        <w:ind w:firstLine="960" w:firstLineChars="3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14.完成县委、县政府交办的其他任务。</w:t>
      </w:r>
    </w:p>
    <w:p w14:paraId="2B3707DE">
      <w:pPr>
        <w:numPr>
          <w:ilvl w:val="0"/>
          <w:numId w:val="0"/>
        </w:numPr>
        <w:rPr>
          <w:rFonts w:hint="eastAsia"/>
          <w:lang w:eastAsia="zh-CN"/>
        </w:rPr>
      </w:pPr>
    </w:p>
    <w:p w14:paraId="0D5CB815">
      <w:pPr>
        <w:pStyle w:val="5"/>
        <w:rPr>
          <w:rStyle w:val="30"/>
          <w:rFonts w:ascii="Times New Roman" w:hAnsi="Times New Roman"/>
          <w:b w:val="0"/>
          <w:bCs w:val="0"/>
          <w:color w:val="auto"/>
          <w:highlight w:val="none"/>
        </w:rPr>
      </w:pPr>
      <w:bookmarkStart w:id="47" w:name="_Toc15396601"/>
      <w:bookmarkStart w:id="48" w:name="_Toc26682_WPSOffice_Level2"/>
      <w:bookmarkStart w:id="49" w:name="_Toc15377200"/>
      <w:r>
        <w:rPr>
          <w:rFonts w:hint="eastAsia" w:ascii="Times New Roman" w:hAnsi="Times New Roman" w:eastAsia="黑体"/>
          <w:b w:val="0"/>
          <w:color w:val="auto"/>
          <w:highlight w:val="none"/>
        </w:rPr>
        <w:t>二、机</w:t>
      </w:r>
      <w:r>
        <w:rPr>
          <w:rStyle w:val="30"/>
          <w:rFonts w:hint="eastAsia" w:ascii="Times New Roman" w:hAnsi="Times New Roman" w:eastAsia="黑体"/>
          <w:b w:val="0"/>
          <w:bCs w:val="0"/>
          <w:color w:val="auto"/>
          <w:highlight w:val="none"/>
        </w:rPr>
        <w:t>构设置</w:t>
      </w:r>
      <w:bookmarkEnd w:id="47"/>
      <w:bookmarkEnd w:id="48"/>
      <w:bookmarkEnd w:id="49"/>
    </w:p>
    <w:p w14:paraId="7555BE88">
      <w:pPr>
        <w:ind w:firstLine="800" w:firstLineChars="250"/>
        <w:rPr>
          <w:rFonts w:ascii="Times New Roman" w:hAnsi="Times New Roman" w:eastAsia="仿宋_GB2312" w:cs="Times New Roman"/>
          <w:b w:val="0"/>
          <w:bCs w:val="0"/>
          <w:kern w:val="0"/>
          <w:sz w:val="32"/>
          <w:szCs w:val="32"/>
          <w:lang w:val="en-US" w:eastAsia="zh-CN" w:bidi="ar-SA"/>
        </w:rPr>
      </w:pPr>
      <w:r>
        <w:rPr>
          <w:rFonts w:hint="eastAsia" w:ascii="Times New Roman" w:hAnsi="Times New Roman" w:eastAsia="仿宋_GB2312" w:cs="Times New Roman"/>
          <w:b w:val="0"/>
          <w:bCs w:val="0"/>
          <w:kern w:val="0"/>
          <w:sz w:val="32"/>
          <w:szCs w:val="32"/>
          <w:lang w:val="en-US" w:eastAsia="zh-CN" w:bidi="ar-SA"/>
        </w:rPr>
        <w:t>财政局下属二级单位</w:t>
      </w:r>
      <w:r>
        <w:rPr>
          <w:rFonts w:hint="eastAsia" w:eastAsia="仿宋_GB2312" w:cs="Times New Roman"/>
          <w:b w:val="0"/>
          <w:bCs w:val="0"/>
          <w:kern w:val="0"/>
          <w:sz w:val="32"/>
          <w:szCs w:val="32"/>
          <w:lang w:val="en-US" w:eastAsia="zh-CN" w:bidi="ar-SA"/>
        </w:rPr>
        <w:t>2</w:t>
      </w:r>
      <w:r>
        <w:rPr>
          <w:rFonts w:hint="eastAsia" w:ascii="Times New Roman" w:hAnsi="Times New Roman" w:eastAsia="仿宋_GB2312" w:cs="Times New Roman"/>
          <w:b w:val="0"/>
          <w:bCs w:val="0"/>
          <w:kern w:val="0"/>
          <w:sz w:val="32"/>
          <w:szCs w:val="32"/>
          <w:lang w:val="en-US" w:eastAsia="zh-CN" w:bidi="ar-SA"/>
        </w:rPr>
        <w:t>个，其中行政单位0个，参照公务员法管理的事业单位</w:t>
      </w:r>
      <w:r>
        <w:rPr>
          <w:rFonts w:hint="eastAsia" w:eastAsia="仿宋_GB2312" w:cs="Times New Roman"/>
          <w:b w:val="0"/>
          <w:bCs w:val="0"/>
          <w:kern w:val="0"/>
          <w:sz w:val="32"/>
          <w:szCs w:val="32"/>
          <w:lang w:val="en-US" w:eastAsia="zh-CN" w:bidi="ar-SA"/>
        </w:rPr>
        <w:t>1</w:t>
      </w:r>
      <w:r>
        <w:rPr>
          <w:rFonts w:hint="eastAsia" w:ascii="Times New Roman" w:hAnsi="Times New Roman" w:eastAsia="仿宋_GB2312" w:cs="Times New Roman"/>
          <w:b w:val="0"/>
          <w:bCs w:val="0"/>
          <w:kern w:val="0"/>
          <w:sz w:val="32"/>
          <w:szCs w:val="32"/>
          <w:lang w:val="en-US" w:eastAsia="zh-CN" w:bidi="ar-SA"/>
        </w:rPr>
        <w:t>个，其他事业单位</w:t>
      </w:r>
      <w:r>
        <w:rPr>
          <w:rFonts w:hint="eastAsia" w:eastAsia="仿宋_GB2312" w:cs="Times New Roman"/>
          <w:b w:val="0"/>
          <w:bCs w:val="0"/>
          <w:kern w:val="0"/>
          <w:sz w:val="32"/>
          <w:szCs w:val="32"/>
          <w:lang w:val="en-US" w:eastAsia="zh-CN" w:bidi="ar-SA"/>
        </w:rPr>
        <w:t>（股级）1</w:t>
      </w:r>
      <w:r>
        <w:rPr>
          <w:rFonts w:hint="eastAsia" w:ascii="Times New Roman" w:hAnsi="Times New Roman" w:eastAsia="仿宋_GB2312" w:cs="Times New Roman"/>
          <w:b w:val="0"/>
          <w:bCs w:val="0"/>
          <w:kern w:val="0"/>
          <w:sz w:val="32"/>
          <w:szCs w:val="32"/>
          <w:lang w:val="en-US" w:eastAsia="zh-CN" w:bidi="ar-SA"/>
        </w:rPr>
        <w:t>个。</w:t>
      </w:r>
    </w:p>
    <w:p w14:paraId="77C2258F">
      <w:pPr>
        <w:pStyle w:val="7"/>
        <w:adjustRightInd w:val="0"/>
        <w:snapToGrid w:val="0"/>
        <w:spacing w:before="93" w:line="600" w:lineRule="exact"/>
        <w:ind w:firstLine="672" w:firstLineChars="210"/>
        <w:rPr>
          <w:rFonts w:ascii="Times New Roman" w:hAnsi="Times New Roman" w:eastAsia="仿宋_GB2312" w:cs="Times New Roman"/>
          <w:b w:val="0"/>
          <w:bCs w:val="0"/>
          <w:kern w:val="0"/>
          <w:sz w:val="32"/>
          <w:szCs w:val="32"/>
          <w:lang w:val="en-US" w:eastAsia="zh-CN" w:bidi="ar-SA"/>
        </w:rPr>
      </w:pPr>
      <w:r>
        <w:rPr>
          <w:rFonts w:hint="eastAsia" w:ascii="Times New Roman" w:hAnsi="Times New Roman" w:eastAsia="仿宋_GB2312" w:cs="Times New Roman"/>
          <w:b w:val="0"/>
          <w:bCs w:val="0"/>
          <w:kern w:val="0"/>
          <w:sz w:val="32"/>
          <w:szCs w:val="32"/>
          <w:lang w:val="en-US" w:eastAsia="zh-CN" w:bidi="ar-SA"/>
        </w:rPr>
        <w:t>纳入财政局202</w:t>
      </w:r>
      <w:r>
        <w:rPr>
          <w:rFonts w:hint="eastAsia" w:ascii="Times New Roman" w:cs="Times New Roman"/>
          <w:b w:val="0"/>
          <w:bCs w:val="0"/>
          <w:kern w:val="0"/>
          <w:sz w:val="32"/>
          <w:szCs w:val="32"/>
          <w:lang w:val="en-US" w:eastAsia="zh-CN" w:bidi="ar-SA"/>
        </w:rPr>
        <w:t>4</w:t>
      </w:r>
      <w:r>
        <w:rPr>
          <w:rFonts w:hint="eastAsia" w:ascii="Times New Roman" w:hAnsi="Times New Roman" w:eastAsia="仿宋_GB2312" w:cs="Times New Roman"/>
          <w:b w:val="0"/>
          <w:bCs w:val="0"/>
          <w:kern w:val="0"/>
          <w:sz w:val="32"/>
          <w:szCs w:val="32"/>
          <w:lang w:val="en-US" w:eastAsia="zh-CN" w:bidi="ar-SA"/>
        </w:rPr>
        <w:t>年度部门决算编制范围的预算单位包括：九寨沟县财政局</w:t>
      </w:r>
    </w:p>
    <w:p w14:paraId="1657D96F">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14:paraId="1B4C1F7B">
      <w:pPr>
        <w:pStyle w:val="4"/>
        <w:jc w:val="center"/>
        <w:rPr>
          <w:rFonts w:hint="eastAsia" w:ascii="Times New Roman" w:hAnsi="Times New Roman" w:eastAsia="方正小标宋简体" w:cs="方正小标宋简体"/>
          <w:b w:val="0"/>
          <w:color w:val="auto"/>
          <w:highlight w:val="none"/>
        </w:rPr>
      </w:pPr>
      <w:bookmarkStart w:id="50" w:name="_Toc15396602"/>
      <w:bookmarkStart w:id="51" w:name="_Toc15377204"/>
      <w:bookmarkStart w:id="52" w:name="_Toc22536_WPSOffice_Level1"/>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50"/>
      <w:bookmarkEnd w:id="51"/>
      <w:bookmarkEnd w:id="52"/>
    </w:p>
    <w:p w14:paraId="3F87507B">
      <w:pPr>
        <w:rPr>
          <w:rFonts w:ascii="Times New Roman" w:hAnsi="Times New Roman"/>
          <w:color w:val="auto"/>
          <w:highlight w:val="none"/>
        </w:rPr>
      </w:pPr>
    </w:p>
    <w:p w14:paraId="60777F73">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53" w:name="_Toc15377205"/>
      <w:bookmarkStart w:id="54" w:name="_Toc15396603"/>
      <w:bookmarkStart w:id="55" w:name="_Toc24483_WPSOffice_Level2"/>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0"/>
          <w:rFonts w:hint="eastAsia" w:ascii="Times New Roman" w:hAnsi="Times New Roman" w:eastAsia="黑体"/>
          <w:b w:val="0"/>
          <w:color w:val="auto"/>
          <w:highlight w:val="none"/>
        </w:rPr>
        <w:t>入支出决算总体情况说明</w:t>
      </w:r>
      <w:bookmarkEnd w:id="53"/>
      <w:bookmarkEnd w:id="54"/>
      <w:bookmarkEnd w:id="55"/>
    </w:p>
    <w:p w14:paraId="46A17179">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775.39</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总计各减少</w:t>
      </w:r>
      <w:r>
        <w:rPr>
          <w:rFonts w:hint="eastAsia" w:eastAsia="仿宋_GB2312" w:cs="仿宋_GB2312"/>
          <w:color w:val="auto"/>
          <w:sz w:val="32"/>
          <w:szCs w:val="32"/>
          <w:highlight w:val="none"/>
          <w:lang w:val="en-US" w:eastAsia="zh-CN"/>
        </w:rPr>
        <w:t>342.27</w:t>
      </w:r>
      <w:r>
        <w:rPr>
          <w:rFonts w:hint="eastAsia" w:ascii="Times New Roman" w:hAnsi="Times New Roman" w:eastAsia="仿宋_GB2312" w:cs="仿宋_GB2312"/>
          <w:color w:val="auto"/>
          <w:sz w:val="32"/>
          <w:szCs w:val="32"/>
          <w:highlight w:val="none"/>
        </w:rPr>
        <w:t>万元，下降</w:t>
      </w:r>
      <w:r>
        <w:rPr>
          <w:rFonts w:hint="eastAsia" w:eastAsia="仿宋_GB2312" w:cs="仿宋_GB2312"/>
          <w:color w:val="auto"/>
          <w:sz w:val="32"/>
          <w:szCs w:val="32"/>
          <w:highlight w:val="none"/>
          <w:lang w:val="en-US" w:eastAsia="zh-CN"/>
        </w:rPr>
        <w:t>30.62</w:t>
      </w:r>
      <w:r>
        <w:rPr>
          <w:rFonts w:hint="eastAsia" w:ascii="Times New Roman" w:hAnsi="Times New Roman" w:eastAsia="仿宋_GB2312" w:cs="仿宋_GB2312"/>
          <w:color w:val="auto"/>
          <w:sz w:val="32"/>
          <w:szCs w:val="32"/>
          <w:highlight w:val="none"/>
        </w:rPr>
        <w:t>%。主要变动原因</w:t>
      </w:r>
      <w:r>
        <w:rPr>
          <w:rFonts w:hint="eastAsia" w:eastAsia="仿宋_GB2312" w:cs="仿宋_GB2312"/>
          <w:color w:val="auto"/>
          <w:sz w:val="32"/>
          <w:szCs w:val="32"/>
          <w:highlight w:val="none"/>
          <w:lang w:val="en-US" w:eastAsia="zh-CN"/>
        </w:rPr>
        <w:t>一是人员减少，二是厉行节约，三是2024年中介机构委托评审费未支付。</w:t>
      </w:r>
    </w:p>
    <w:p w14:paraId="38F915F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p>
    <w:p w14:paraId="403C8EC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p>
    <w:p w14:paraId="7890CF57">
      <w:pPr>
        <w:pStyle w:val="2"/>
        <w:rPr>
          <w:rFonts w:hint="eastAsia" w:eastAsia="仿宋_GB2312"/>
          <w:lang w:eastAsia="zh-CN"/>
        </w:rPr>
      </w:pPr>
      <w:r>
        <w:rPr>
          <w:rFonts w:hint="eastAsia" w:eastAsia="仿宋_GB2312"/>
          <w:lang w:eastAsia="zh-CN"/>
        </w:rPr>
        <w:drawing>
          <wp:inline distT="0" distB="0" distL="114300" distR="114300">
            <wp:extent cx="5080000" cy="3810000"/>
            <wp:effectExtent l="4445" t="4445" r="2095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BF8CC73">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56" w:name="_Toc15396604"/>
      <w:bookmarkStart w:id="57" w:name="_Toc15377206"/>
      <w:bookmarkStart w:id="58" w:name="_Toc17053_WPSOffice_Level2"/>
      <w:r>
        <w:rPr>
          <w:rFonts w:hint="eastAsia" w:ascii="Times New Roman" w:hAnsi="Times New Roman" w:eastAsia="黑体"/>
          <w:color w:val="auto"/>
          <w:sz w:val="32"/>
          <w:szCs w:val="32"/>
          <w:highlight w:val="none"/>
          <w:lang w:eastAsia="zh-CN"/>
        </w:rPr>
        <w:t>二、收入决算情况说明</w:t>
      </w:r>
      <w:bookmarkEnd w:id="56"/>
      <w:bookmarkEnd w:id="57"/>
      <w:bookmarkEnd w:id="58"/>
    </w:p>
    <w:p w14:paraId="7F9E0276">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727.91万元，其中：一般公共预算财政拨款收入727.91</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w:t>
      </w:r>
    </w:p>
    <w:p w14:paraId="5D5ECAEC">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（图2：收入决算结构图）（饼状图）</w:t>
      </w:r>
    </w:p>
    <w:p w14:paraId="405B83E2">
      <w:pPr>
        <w:pStyle w:val="2"/>
        <w:rPr>
          <w:rFonts w:hint="eastAsia" w:ascii="Times New Roman" w:hAnsi="Times New Roman" w:eastAsia="仿宋_GB2312" w:cs="仿宋_GB2312"/>
          <w:color w:val="auto"/>
          <w:sz w:val="32"/>
          <w:szCs w:val="32"/>
          <w:highlight w:val="none"/>
          <w:lang w:eastAsia="zh-CN"/>
        </w:rPr>
      </w:pPr>
    </w:p>
    <w:p w14:paraId="446935B7">
      <w:pPr>
        <w:rPr>
          <w:rFonts w:hint="eastAsia"/>
          <w:lang w:eastAsia="zh-CN"/>
        </w:rPr>
      </w:pPr>
      <w:r>
        <w:rPr>
          <w:rFonts w:hint="eastAsia"/>
          <w:lang w:eastAsia="zh-CN"/>
        </w:rPr>
        <w:drawing>
          <wp:inline distT="0" distB="0" distL="114300" distR="114300">
            <wp:extent cx="5080000" cy="3810000"/>
            <wp:effectExtent l="4445" t="4445" r="20955" b="146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A2CF24E">
      <w:pPr>
        <w:ind w:firstLine="800" w:firstLineChars="250"/>
        <w:rPr>
          <w:rFonts w:hint="eastAsia" w:ascii="Times New Roman" w:hAnsi="Times New Roman" w:eastAsia="仿宋_GB2312" w:cs="仿宋_GB2312"/>
          <w:color w:val="auto"/>
          <w:sz w:val="32"/>
          <w:szCs w:val="32"/>
          <w:highlight w:val="none"/>
          <w:lang w:eastAsia="zh-CN"/>
        </w:rPr>
      </w:pPr>
    </w:p>
    <w:p w14:paraId="7500A396">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59" w:name="_Toc15396605"/>
      <w:bookmarkStart w:id="60" w:name="_Toc14977_WPSOffice_Level2"/>
      <w:bookmarkStart w:id="61" w:name="_Toc15377207"/>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0"/>
          <w:rFonts w:hint="eastAsia" w:ascii="Times New Roman" w:hAnsi="Times New Roman" w:eastAsia="黑体"/>
          <w:b w:val="0"/>
          <w:color w:val="auto"/>
          <w:highlight w:val="none"/>
        </w:rPr>
        <w:t>出决算情况说明</w:t>
      </w:r>
      <w:bookmarkEnd w:id="59"/>
      <w:bookmarkEnd w:id="60"/>
      <w:bookmarkEnd w:id="61"/>
    </w:p>
    <w:p w14:paraId="73124882">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775.39</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673.92</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86.91</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101.47</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13.08</w:t>
      </w:r>
      <w:r>
        <w:rPr>
          <w:rFonts w:hint="eastAsia" w:ascii="仿宋_GB2312" w:hAnsi="仿宋_GB2312" w:eastAsia="仿宋_GB2312" w:cs="仿宋_GB2312"/>
          <w:color w:val="auto"/>
          <w:sz w:val="32"/>
          <w:szCs w:val="32"/>
          <w:highlight w:val="none"/>
          <w:lang w:eastAsia="zh-CN"/>
        </w:rPr>
        <w:t>%；</w:t>
      </w:r>
    </w:p>
    <w:p w14:paraId="220758B6">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（图3：支出决算结构图）（饼状图）</w:t>
      </w:r>
    </w:p>
    <w:p w14:paraId="21A7B74F">
      <w:pPr>
        <w:ind w:firstLine="800" w:firstLineChars="250"/>
        <w:rPr>
          <w:rFonts w:hint="eastAsia" w:ascii="Times New Roman" w:hAnsi="Times New Roman" w:eastAsia="仿宋_GB2312" w:cs="仿宋_GB2312"/>
          <w:color w:val="auto"/>
          <w:sz w:val="32"/>
          <w:szCs w:val="32"/>
          <w:highlight w:val="none"/>
          <w:lang w:eastAsia="zh-CN"/>
        </w:rPr>
      </w:pPr>
    </w:p>
    <w:p w14:paraId="38242DD8">
      <w:pPr>
        <w:pStyle w:val="2"/>
        <w:rPr>
          <w:rFonts w:hint="eastAsia"/>
          <w:lang w:eastAsia="zh-CN"/>
        </w:rPr>
      </w:pPr>
      <w:r>
        <w:rPr>
          <w:rFonts w:hint="eastAsia"/>
          <w:lang w:eastAsia="zh-CN"/>
        </w:rPr>
        <w:drawing>
          <wp:inline distT="0" distB="0" distL="114300" distR="114300">
            <wp:extent cx="5080000" cy="3810000"/>
            <wp:effectExtent l="4445" t="4445" r="2095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6D68819">
      <w:pPr>
        <w:spacing w:line="600" w:lineRule="exact"/>
        <w:ind w:firstLine="640" w:firstLineChars="200"/>
        <w:outlineLvl w:val="1"/>
        <w:rPr>
          <w:rStyle w:val="30"/>
          <w:rFonts w:ascii="Times New Roman" w:hAnsi="Times New Roman" w:eastAsia="黑体"/>
          <w:b w:val="0"/>
          <w:color w:val="auto"/>
          <w:highlight w:val="none"/>
        </w:rPr>
      </w:pPr>
      <w:bookmarkStart w:id="62" w:name="_Toc15396606"/>
      <w:bookmarkStart w:id="63" w:name="_Toc15377208"/>
      <w:bookmarkStart w:id="64" w:name="_Toc15117_WPSOffice_Level2"/>
      <w:r>
        <w:rPr>
          <w:rFonts w:hint="eastAsia" w:ascii="Times New Roman" w:hAnsi="Times New Roman" w:eastAsia="黑体"/>
          <w:color w:val="auto"/>
          <w:sz w:val="32"/>
          <w:szCs w:val="32"/>
          <w:highlight w:val="none"/>
        </w:rPr>
        <w:t>四、财</w:t>
      </w:r>
      <w:r>
        <w:rPr>
          <w:rStyle w:val="30"/>
          <w:rFonts w:hint="eastAsia" w:ascii="Times New Roman" w:hAnsi="Times New Roman" w:eastAsia="黑体"/>
          <w:b w:val="0"/>
          <w:color w:val="auto"/>
          <w:highlight w:val="none"/>
        </w:rPr>
        <w:t>政拨款收入支出决算总体情况说明</w:t>
      </w:r>
      <w:bookmarkEnd w:id="62"/>
      <w:bookmarkEnd w:id="63"/>
      <w:bookmarkEnd w:id="64"/>
    </w:p>
    <w:p w14:paraId="11F4B266">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775.39</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万元。与2023年度相比，财政拨款收入总计、支出总计各减少</w:t>
      </w:r>
      <w:r>
        <w:rPr>
          <w:rFonts w:hint="eastAsia" w:eastAsia="仿宋_GB2312" w:cs="仿宋_GB2312"/>
          <w:color w:val="auto"/>
          <w:kern w:val="2"/>
          <w:sz w:val="32"/>
          <w:szCs w:val="32"/>
          <w:highlight w:val="none"/>
          <w:lang w:val="en-US" w:eastAsia="zh-CN" w:bidi="ar-SA"/>
        </w:rPr>
        <w:t>342.27</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30.62</w:t>
      </w:r>
      <w:r>
        <w:rPr>
          <w:rFonts w:hint="eastAsia" w:ascii="Times New Roman" w:hAnsi="Times New Roman" w:eastAsia="仿宋_GB2312" w:cs="仿宋_GB2312"/>
          <w:color w:val="auto"/>
          <w:kern w:val="2"/>
          <w:sz w:val="32"/>
          <w:szCs w:val="32"/>
          <w:highlight w:val="none"/>
          <w:lang w:val="en-US" w:eastAsia="zh-CN" w:bidi="ar-SA"/>
        </w:rPr>
        <w:t>%。主要变动原因</w:t>
      </w:r>
      <w:r>
        <w:rPr>
          <w:rFonts w:hint="eastAsia" w:eastAsia="仿宋_GB2312" w:cs="仿宋_GB2312"/>
          <w:color w:val="auto"/>
          <w:sz w:val="32"/>
          <w:szCs w:val="32"/>
          <w:highlight w:val="none"/>
          <w:lang w:val="en-US" w:eastAsia="zh-CN"/>
        </w:rPr>
        <w:t>一是人员减少，二是厉行节约，三是2024年中介机构委托评审费未支付。</w:t>
      </w:r>
    </w:p>
    <w:p w14:paraId="18BE702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3D18F32">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14:paraId="77FCE3D5">
      <w:pPr>
        <w:pStyle w:val="2"/>
        <w:rPr>
          <w:rFonts w:hint="eastAsia" w:ascii="Times New Roman" w:hAnsi="Times New Roman" w:eastAsia="仿宋_GB2312" w:cs="仿宋_GB2312"/>
          <w:color w:val="auto"/>
          <w:kern w:val="2"/>
          <w:sz w:val="32"/>
          <w:szCs w:val="32"/>
          <w:highlight w:val="none"/>
          <w:lang w:val="en-US" w:eastAsia="zh-CN" w:bidi="ar-SA"/>
        </w:rPr>
      </w:pPr>
    </w:p>
    <w:p w14:paraId="53F0C7C3">
      <w:pPr>
        <w:rPr>
          <w:rFonts w:hint="eastAsia"/>
          <w:lang w:val="en-US" w:eastAsia="zh-CN"/>
        </w:rPr>
      </w:pPr>
      <w:r>
        <w:rPr>
          <w:rFonts w:hint="eastAsia"/>
          <w:lang w:val="en-US" w:eastAsia="zh-CN"/>
        </w:rPr>
        <w:drawing>
          <wp:inline distT="0" distB="0" distL="114300" distR="114300">
            <wp:extent cx="5080000" cy="3810000"/>
            <wp:effectExtent l="4445" t="4445" r="20955" b="1460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F6516D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2E87D53B">
      <w:pPr>
        <w:spacing w:line="600" w:lineRule="exact"/>
        <w:ind w:firstLine="640" w:firstLineChars="200"/>
        <w:outlineLvl w:val="1"/>
        <w:rPr>
          <w:rStyle w:val="30"/>
          <w:rFonts w:ascii="Times New Roman" w:hAnsi="Times New Roman" w:eastAsia="黑体"/>
          <w:b w:val="0"/>
          <w:color w:val="auto"/>
          <w:highlight w:val="none"/>
        </w:rPr>
      </w:pPr>
      <w:bookmarkStart w:id="65" w:name="_Toc15377209"/>
      <w:bookmarkStart w:id="66" w:name="_Toc15396607"/>
      <w:bookmarkStart w:id="67" w:name="_Toc24755_WPSOffice_Level2"/>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般公共预算财政拨款支出决算情况说明</w:t>
      </w:r>
      <w:bookmarkEnd w:id="65"/>
      <w:bookmarkEnd w:id="66"/>
      <w:bookmarkEnd w:id="67"/>
    </w:p>
    <w:p w14:paraId="6C2ECEE0">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68"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68"/>
    </w:p>
    <w:p w14:paraId="5DBBC76F">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775.39</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%。与2023年度相比，一般公共预算财政拨款支出减少342.27万元，下降30.62%。主要变动原因</w:t>
      </w:r>
      <w:r>
        <w:rPr>
          <w:rFonts w:hint="eastAsia" w:eastAsia="仿宋_GB2312" w:cs="仿宋_GB2312"/>
          <w:color w:val="auto"/>
          <w:sz w:val="32"/>
          <w:szCs w:val="32"/>
          <w:highlight w:val="none"/>
          <w:lang w:val="en-US" w:eastAsia="zh-CN"/>
        </w:rPr>
        <w:t>一是人员减少，二是厉行节约，三是2024年中介机构委托评审费未支付。</w:t>
      </w:r>
    </w:p>
    <w:p w14:paraId="67A3028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p>
    <w:p w14:paraId="7326E828">
      <w:pPr>
        <w:pStyle w:val="2"/>
        <w:rPr>
          <w:rFonts w:hint="eastAsia"/>
          <w:lang w:val="en-US" w:eastAsia="zh-CN"/>
        </w:rPr>
      </w:pPr>
    </w:p>
    <w:p w14:paraId="343017E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A531A96">
      <w:pPr>
        <w:pStyle w:val="2"/>
        <w:rPr>
          <w:rFonts w:hint="eastAsia"/>
          <w:lang w:val="en-US" w:eastAsia="zh-CN"/>
        </w:rPr>
      </w:pPr>
      <w:r>
        <w:rPr>
          <w:rFonts w:hint="eastAsia"/>
          <w:lang w:val="en-US" w:eastAsia="zh-CN"/>
        </w:rPr>
        <w:drawing>
          <wp:inline distT="0" distB="0" distL="114300" distR="114300">
            <wp:extent cx="5080000" cy="3810000"/>
            <wp:effectExtent l="4445" t="4445" r="20955" b="1460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8BE2ED5">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69"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69"/>
    </w:p>
    <w:p w14:paraId="30B8CC8E">
      <w:pPr>
        <w:spacing w:line="600" w:lineRule="exact"/>
        <w:ind w:firstLine="64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775.39</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一般公共服务支出</w:t>
      </w:r>
      <w:r>
        <w:rPr>
          <w:rFonts w:hint="eastAsia" w:eastAsia="仿宋_GB2312" w:cs="仿宋_GB2312"/>
          <w:color w:val="auto"/>
          <w:kern w:val="2"/>
          <w:sz w:val="32"/>
          <w:szCs w:val="32"/>
          <w:highlight w:val="none"/>
          <w:lang w:val="en-US" w:eastAsia="zh-CN" w:bidi="ar-SA"/>
        </w:rPr>
        <w:t>601.74</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77.60</w:t>
      </w:r>
      <w:r>
        <w:rPr>
          <w:rFonts w:hint="eastAsia" w:ascii="Times New Roman" w:hAnsi="Times New Roman" w:eastAsia="仿宋_GB2312" w:cs="仿宋_GB2312"/>
          <w:color w:val="auto"/>
          <w:kern w:val="2"/>
          <w:sz w:val="32"/>
          <w:szCs w:val="32"/>
          <w:highlight w:val="none"/>
          <w:lang w:val="en-US" w:eastAsia="zh-CN" w:bidi="ar-SA"/>
        </w:rPr>
        <w:t>%；社会保障和就业支出</w:t>
      </w:r>
      <w:r>
        <w:rPr>
          <w:rFonts w:hint="eastAsia" w:eastAsia="仿宋_GB2312" w:cs="仿宋_GB2312"/>
          <w:color w:val="auto"/>
          <w:kern w:val="2"/>
          <w:sz w:val="32"/>
          <w:szCs w:val="32"/>
          <w:highlight w:val="none"/>
          <w:lang w:val="en-US" w:eastAsia="zh-CN" w:bidi="ar-SA"/>
        </w:rPr>
        <w:t>82.25</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10.6</w:t>
      </w:r>
      <w:r>
        <w:rPr>
          <w:rFonts w:hint="eastAsia" w:ascii="Times New Roman" w:hAnsi="Times New Roman" w:eastAsia="仿宋_GB2312" w:cs="仿宋_GB2312"/>
          <w:color w:val="auto"/>
          <w:kern w:val="2"/>
          <w:sz w:val="32"/>
          <w:szCs w:val="32"/>
          <w:highlight w:val="none"/>
          <w:lang w:val="en-US" w:eastAsia="zh-CN" w:bidi="ar-SA"/>
        </w:rPr>
        <w:t>%；卫生健康支出</w:t>
      </w:r>
      <w:r>
        <w:rPr>
          <w:rFonts w:hint="eastAsia" w:eastAsia="仿宋_GB2312" w:cs="仿宋_GB2312"/>
          <w:color w:val="auto"/>
          <w:kern w:val="2"/>
          <w:sz w:val="32"/>
          <w:szCs w:val="32"/>
          <w:highlight w:val="none"/>
          <w:lang w:val="en-US" w:eastAsia="zh-CN" w:bidi="ar-SA"/>
        </w:rPr>
        <w:t>33.57</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4.33</w:t>
      </w:r>
      <w:r>
        <w:rPr>
          <w:rFonts w:hint="eastAsia" w:ascii="Times New Roman" w:hAnsi="Times New Roman" w:eastAsia="仿宋_GB2312" w:cs="仿宋_GB2312"/>
          <w:color w:val="auto"/>
          <w:kern w:val="2"/>
          <w:sz w:val="32"/>
          <w:szCs w:val="32"/>
          <w:highlight w:val="none"/>
          <w:lang w:val="en-US" w:eastAsia="zh-CN" w:bidi="ar-SA"/>
        </w:rPr>
        <w:t>%；住房保障支出</w:t>
      </w:r>
      <w:r>
        <w:rPr>
          <w:rFonts w:hint="eastAsia" w:eastAsia="仿宋_GB2312" w:cs="仿宋_GB2312"/>
          <w:color w:val="auto"/>
          <w:kern w:val="2"/>
          <w:sz w:val="32"/>
          <w:szCs w:val="32"/>
          <w:highlight w:val="none"/>
          <w:lang w:val="en-US" w:eastAsia="zh-CN" w:bidi="ar-SA"/>
        </w:rPr>
        <w:t>40.22</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5.19</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农林水支出17.61万元，占2.27%。</w:t>
      </w:r>
    </w:p>
    <w:p w14:paraId="5B25499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14:paraId="1FC3D8A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BDAD2B4">
      <w:pPr>
        <w:pStyle w:val="2"/>
        <w:rPr>
          <w:rFonts w:hint="eastAsia"/>
          <w:lang w:val="en-US" w:eastAsia="zh-CN"/>
        </w:rPr>
      </w:pPr>
      <w:r>
        <w:rPr>
          <w:rFonts w:hint="eastAsia"/>
          <w:lang w:val="en-US" w:eastAsia="zh-CN"/>
        </w:rPr>
        <w:drawing>
          <wp:inline distT="0" distB="0" distL="114300" distR="114300">
            <wp:extent cx="5080000" cy="3810000"/>
            <wp:effectExtent l="4445" t="4445" r="20955" b="1460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30B17D0">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70"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70"/>
    </w:p>
    <w:p w14:paraId="4648004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71" w:name="_Toc15378460"/>
      <w:bookmarkStart w:id="72" w:name="_Toc15377213"/>
      <w:bookmarkStart w:id="73" w:name="_Toc15377444"/>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775.39</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71"/>
      <w:bookmarkEnd w:id="72"/>
      <w:bookmarkEnd w:id="73"/>
    </w:p>
    <w:p w14:paraId="60364083">
      <w:pPr>
        <w:pStyle w:val="15"/>
        <w:shd w:val="clear" w:color="auto" w:fill="FFFFFF"/>
        <w:ind w:firstLine="640" w:firstLineChars="200"/>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1.一般公共服务（201）财政事务（06）行政运行（01）: 支出决算为</w:t>
      </w:r>
      <w:r>
        <w:rPr>
          <w:rFonts w:hint="eastAsia" w:eastAsia="仿宋_GB2312" w:cs="Times New Roman"/>
          <w:color w:val="auto"/>
          <w:sz w:val="32"/>
          <w:szCs w:val="32"/>
          <w:lang w:val="en-US" w:eastAsia="zh-CN"/>
        </w:rPr>
        <w:t>517.88</w:t>
      </w:r>
      <w:r>
        <w:rPr>
          <w:rFonts w:hint="eastAsia" w:ascii="Times New Roman" w:hAnsi="Times New Roman" w:eastAsia="仿宋_GB2312" w:cs="Times New Roman"/>
          <w:color w:val="auto"/>
          <w:sz w:val="32"/>
          <w:szCs w:val="32"/>
          <w:lang w:val="en-US" w:eastAsia="zh-CN"/>
        </w:rPr>
        <w:t>万元，完成预算100%</w:t>
      </w:r>
    </w:p>
    <w:p w14:paraId="5916A7E2">
      <w:pPr>
        <w:pStyle w:val="15"/>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2.一般公共服务（201）财政事务（06）一般行政管理事务（02）: 支出决算为</w:t>
      </w:r>
      <w:r>
        <w:rPr>
          <w:rFonts w:hint="eastAsia" w:eastAsia="仿宋_GB2312" w:cs="Times New Roman"/>
          <w:color w:val="auto"/>
          <w:sz w:val="32"/>
          <w:szCs w:val="32"/>
          <w:lang w:val="en-US" w:eastAsia="zh-CN"/>
        </w:rPr>
        <w:t>77.86</w:t>
      </w:r>
      <w:r>
        <w:rPr>
          <w:rFonts w:hint="eastAsia" w:ascii="Times New Roman" w:hAnsi="Times New Roman" w:eastAsia="仿宋_GB2312" w:cs="Times New Roman"/>
          <w:color w:val="auto"/>
          <w:sz w:val="32"/>
          <w:szCs w:val="32"/>
          <w:lang w:val="en-US" w:eastAsia="zh-CN"/>
        </w:rPr>
        <w:t>万元，完成预算100%</w:t>
      </w:r>
    </w:p>
    <w:p w14:paraId="6ED2E4AA">
      <w:pPr>
        <w:pStyle w:val="15"/>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eastAsia="仿宋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lang w:val="en-US" w:eastAsia="zh-CN"/>
        </w:rPr>
        <w:t>3.一般公共服务（201）财政事务（06）财政委托业务（0</w:t>
      </w:r>
      <w:r>
        <w:rPr>
          <w:rFonts w:hint="eastAsia" w:eastAsia="仿宋_GB2312" w:cs="Times New Roman"/>
          <w:color w:val="auto"/>
          <w:sz w:val="32"/>
          <w:szCs w:val="32"/>
          <w:lang w:val="en-US" w:eastAsia="zh-CN"/>
        </w:rPr>
        <w:t>8</w:t>
      </w:r>
      <w:r>
        <w:rPr>
          <w:rFonts w:hint="eastAsia" w:ascii="Times New Roman" w:hAnsi="Times New Roman" w:eastAsia="仿宋_GB2312" w:cs="Times New Roman"/>
          <w:color w:val="auto"/>
          <w:sz w:val="32"/>
          <w:szCs w:val="32"/>
          <w:lang w:val="en-US" w:eastAsia="zh-CN"/>
        </w:rPr>
        <w:t>）: 支出决算为</w:t>
      </w:r>
      <w:r>
        <w:rPr>
          <w:rFonts w:hint="eastAsia" w:eastAsia="仿宋_GB2312" w:cs="Times New Roman"/>
          <w:color w:val="auto"/>
          <w:sz w:val="32"/>
          <w:szCs w:val="32"/>
          <w:lang w:val="en-US" w:eastAsia="zh-CN"/>
        </w:rPr>
        <w:t>6</w:t>
      </w:r>
      <w:r>
        <w:rPr>
          <w:rFonts w:hint="eastAsia" w:ascii="Times New Roman" w:hAnsi="Times New Roman" w:eastAsia="仿宋_GB2312" w:cs="Times New Roman"/>
          <w:color w:val="auto"/>
          <w:sz w:val="32"/>
          <w:szCs w:val="32"/>
          <w:lang w:val="en-US" w:eastAsia="zh-CN"/>
        </w:rPr>
        <w:t>万元，完成预算100%</w:t>
      </w:r>
    </w:p>
    <w:p w14:paraId="70F9769D">
      <w:pPr>
        <w:pStyle w:val="15"/>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eastAsia="仿宋_GB2312" w:cs="Times New Roman"/>
          <w:color w:val="auto"/>
          <w:sz w:val="32"/>
          <w:szCs w:val="32"/>
          <w:lang w:val="en-US" w:eastAsia="zh-CN"/>
        </w:rPr>
        <w:t>4</w:t>
      </w:r>
      <w:r>
        <w:rPr>
          <w:rFonts w:hint="eastAsia" w:ascii="Times New Roman" w:hAnsi="Times New Roman" w:eastAsia="仿宋_GB2312" w:cs="Times New Roman"/>
          <w:color w:val="auto"/>
          <w:sz w:val="32"/>
          <w:szCs w:val="32"/>
          <w:lang w:val="en-US" w:eastAsia="zh-CN"/>
        </w:rPr>
        <w:t>.社会保障和就业（208）行政和事业单位养老（05）行政和事业单位基本养老保险缴费（05）: 支出决算为</w:t>
      </w:r>
      <w:r>
        <w:rPr>
          <w:rFonts w:hint="eastAsia" w:eastAsia="仿宋_GB2312" w:cs="Times New Roman"/>
          <w:color w:val="auto"/>
          <w:sz w:val="32"/>
          <w:szCs w:val="32"/>
          <w:lang w:val="en-US" w:eastAsia="zh-CN"/>
        </w:rPr>
        <w:t>47.96</w:t>
      </w:r>
      <w:r>
        <w:rPr>
          <w:rFonts w:hint="eastAsia" w:ascii="Times New Roman" w:hAnsi="Times New Roman" w:eastAsia="仿宋_GB2312" w:cs="Times New Roman"/>
          <w:color w:val="auto"/>
          <w:sz w:val="32"/>
          <w:szCs w:val="32"/>
          <w:lang w:val="en-US" w:eastAsia="zh-CN"/>
        </w:rPr>
        <w:t>万元，完成预算100%。</w:t>
      </w:r>
    </w:p>
    <w:p w14:paraId="4B7C31FA">
      <w:pPr>
        <w:pStyle w:val="15"/>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eastAsia="仿宋_GB2312" w:cs="Times New Roman"/>
          <w:color w:val="auto"/>
          <w:sz w:val="32"/>
          <w:szCs w:val="32"/>
          <w:lang w:val="en-US" w:eastAsia="zh-CN"/>
        </w:rPr>
        <w:t>5.</w:t>
      </w:r>
      <w:r>
        <w:rPr>
          <w:rFonts w:hint="eastAsia" w:ascii="Times New Roman" w:hAnsi="Times New Roman" w:eastAsia="仿宋_GB2312" w:cs="Times New Roman"/>
          <w:color w:val="auto"/>
          <w:sz w:val="32"/>
          <w:szCs w:val="32"/>
          <w:lang w:val="en-US" w:eastAsia="zh-CN"/>
        </w:rPr>
        <w:t>社会保障和就业（208）行政和事业单位养老（05）行政和事业单位职业年金缴费（06）: 支出决算为</w:t>
      </w:r>
      <w:r>
        <w:rPr>
          <w:rFonts w:hint="eastAsia" w:eastAsia="仿宋_GB2312" w:cs="Times New Roman"/>
          <w:color w:val="auto"/>
          <w:sz w:val="32"/>
          <w:szCs w:val="32"/>
          <w:lang w:val="en-US" w:eastAsia="zh-CN"/>
        </w:rPr>
        <w:t>34.30</w:t>
      </w:r>
      <w:r>
        <w:rPr>
          <w:rFonts w:hint="eastAsia" w:ascii="Times New Roman" w:hAnsi="Times New Roman" w:eastAsia="仿宋_GB2312" w:cs="Times New Roman"/>
          <w:color w:val="auto"/>
          <w:sz w:val="32"/>
          <w:szCs w:val="32"/>
          <w:lang w:val="en-US" w:eastAsia="zh-CN"/>
        </w:rPr>
        <w:t>万元，完成预算100%。</w:t>
      </w:r>
    </w:p>
    <w:p w14:paraId="12D1B273">
      <w:pPr>
        <w:pStyle w:val="15"/>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eastAsia="仿宋_GB2312" w:cs="Times New Roman"/>
          <w:color w:val="auto"/>
          <w:sz w:val="32"/>
          <w:szCs w:val="32"/>
          <w:lang w:val="en-US" w:eastAsia="zh-CN"/>
        </w:rPr>
        <w:t>6</w:t>
      </w:r>
      <w:r>
        <w:rPr>
          <w:rFonts w:hint="eastAsia" w:ascii="Times New Roman" w:hAnsi="Times New Roman" w:eastAsia="仿宋_GB2312" w:cs="Times New Roman"/>
          <w:color w:val="auto"/>
          <w:sz w:val="32"/>
          <w:szCs w:val="32"/>
          <w:lang w:val="en-US" w:eastAsia="zh-CN"/>
        </w:rPr>
        <w:t>.卫生健康（210）行政事业单位医疗（11）行政单位医疗（01）:支出决算为</w:t>
      </w:r>
      <w:r>
        <w:rPr>
          <w:rFonts w:hint="eastAsia" w:eastAsia="仿宋_GB2312" w:cs="Times New Roman"/>
          <w:color w:val="auto"/>
          <w:sz w:val="32"/>
          <w:szCs w:val="32"/>
          <w:lang w:val="en-US" w:eastAsia="zh-CN"/>
        </w:rPr>
        <w:t>23.56</w:t>
      </w:r>
      <w:r>
        <w:rPr>
          <w:rFonts w:hint="eastAsia" w:ascii="Times New Roman" w:hAnsi="Times New Roman" w:eastAsia="仿宋_GB2312" w:cs="Times New Roman"/>
          <w:color w:val="auto"/>
          <w:sz w:val="32"/>
          <w:szCs w:val="32"/>
          <w:lang w:val="en-US" w:eastAsia="zh-CN"/>
        </w:rPr>
        <w:t xml:space="preserve">万元，完成预算100%。 </w:t>
      </w:r>
    </w:p>
    <w:p w14:paraId="5DF355D9">
      <w:pPr>
        <w:pStyle w:val="15"/>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eastAsia="仿宋_GB2312" w:cs="Times New Roman"/>
          <w:color w:val="auto"/>
          <w:sz w:val="32"/>
          <w:szCs w:val="32"/>
          <w:lang w:val="en-US" w:eastAsia="zh-CN"/>
        </w:rPr>
        <w:t>7</w:t>
      </w:r>
      <w:r>
        <w:rPr>
          <w:rFonts w:hint="eastAsia" w:ascii="Times New Roman" w:hAnsi="Times New Roman" w:eastAsia="仿宋_GB2312" w:cs="Times New Roman"/>
          <w:color w:val="auto"/>
          <w:sz w:val="32"/>
          <w:szCs w:val="32"/>
          <w:lang w:val="en-US" w:eastAsia="zh-CN"/>
        </w:rPr>
        <w:t>.卫生健康（210）行政事业单位医疗（11）公务员医疗补助（03）:支出决算为</w:t>
      </w:r>
      <w:r>
        <w:rPr>
          <w:rFonts w:hint="eastAsia" w:eastAsia="仿宋_GB2312" w:cs="Times New Roman"/>
          <w:color w:val="auto"/>
          <w:sz w:val="32"/>
          <w:szCs w:val="32"/>
          <w:lang w:val="en-US" w:eastAsia="zh-CN"/>
        </w:rPr>
        <w:t>10.01</w:t>
      </w:r>
      <w:r>
        <w:rPr>
          <w:rFonts w:hint="eastAsia" w:ascii="Times New Roman" w:hAnsi="Times New Roman" w:eastAsia="仿宋_GB2312" w:cs="Times New Roman"/>
          <w:color w:val="auto"/>
          <w:sz w:val="32"/>
          <w:szCs w:val="32"/>
          <w:lang w:val="en-US" w:eastAsia="zh-CN"/>
        </w:rPr>
        <w:t>万元，完成预算100%。</w:t>
      </w:r>
    </w:p>
    <w:p w14:paraId="25399762">
      <w:pPr>
        <w:pStyle w:val="15"/>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8.住房保障（221）住房改革支出（02）住房公积金（01）：支出决算为</w:t>
      </w:r>
      <w:r>
        <w:rPr>
          <w:rFonts w:hint="eastAsia" w:eastAsia="仿宋_GB2312" w:cs="Times New Roman"/>
          <w:color w:val="auto"/>
          <w:sz w:val="32"/>
          <w:szCs w:val="32"/>
          <w:lang w:val="en-US" w:eastAsia="zh-CN"/>
        </w:rPr>
        <w:t>40.22</w:t>
      </w:r>
      <w:r>
        <w:rPr>
          <w:rFonts w:hint="eastAsia" w:ascii="Times New Roman" w:hAnsi="Times New Roman" w:eastAsia="仿宋_GB2312" w:cs="Times New Roman"/>
          <w:color w:val="auto"/>
          <w:sz w:val="32"/>
          <w:szCs w:val="32"/>
          <w:lang w:val="en-US" w:eastAsia="zh-CN"/>
        </w:rPr>
        <w:t>万元，完成预算100%。 </w:t>
      </w:r>
    </w:p>
    <w:p w14:paraId="720AE208">
      <w:pPr>
        <w:pStyle w:val="15"/>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eastAsia="仿宋_GB2312" w:cs="Times New Roman"/>
          <w:color w:val="auto"/>
          <w:sz w:val="32"/>
          <w:szCs w:val="32"/>
          <w:lang w:val="en-US" w:eastAsia="zh-CN"/>
        </w:rPr>
        <w:t>9</w:t>
      </w:r>
      <w:r>
        <w:rPr>
          <w:rFonts w:hint="eastAsia" w:ascii="Times New Roman" w:hAnsi="Times New Roman" w:eastAsia="仿宋_GB2312" w:cs="Times New Roman"/>
          <w:color w:val="auto"/>
          <w:sz w:val="32"/>
          <w:szCs w:val="32"/>
          <w:lang w:val="en-US" w:eastAsia="zh-CN"/>
        </w:rPr>
        <w:t>.</w:t>
      </w:r>
      <w:r>
        <w:rPr>
          <w:rFonts w:hint="eastAsia" w:eastAsia="仿宋_GB2312" w:cs="Times New Roman"/>
          <w:color w:val="auto"/>
          <w:sz w:val="32"/>
          <w:szCs w:val="32"/>
          <w:lang w:val="en-US" w:eastAsia="zh-CN"/>
        </w:rPr>
        <w:t>农林水支出</w:t>
      </w:r>
      <w:r>
        <w:rPr>
          <w:rFonts w:hint="eastAsia" w:ascii="Times New Roman" w:hAnsi="Times New Roman" w:eastAsia="仿宋_GB2312" w:cs="Times New Roman"/>
          <w:color w:val="auto"/>
          <w:sz w:val="32"/>
          <w:szCs w:val="32"/>
          <w:lang w:val="en-US" w:eastAsia="zh-CN"/>
        </w:rPr>
        <w:t>（</w:t>
      </w:r>
      <w:r>
        <w:rPr>
          <w:rFonts w:hint="eastAsia" w:eastAsia="仿宋_GB2312" w:cs="Times New Roman"/>
          <w:color w:val="auto"/>
          <w:sz w:val="32"/>
          <w:szCs w:val="32"/>
          <w:lang w:val="en-US" w:eastAsia="zh-CN"/>
        </w:rPr>
        <w:t>213</w:t>
      </w:r>
      <w:r>
        <w:rPr>
          <w:rFonts w:hint="eastAsia" w:ascii="Times New Roman" w:hAnsi="Times New Roman" w:eastAsia="仿宋_GB2312" w:cs="Times New Roman"/>
          <w:color w:val="auto"/>
          <w:sz w:val="32"/>
          <w:szCs w:val="32"/>
          <w:lang w:val="en-US" w:eastAsia="zh-CN"/>
        </w:rPr>
        <w:t>）</w:t>
      </w:r>
      <w:r>
        <w:rPr>
          <w:rFonts w:hint="eastAsia" w:eastAsia="仿宋_GB2312" w:cs="Times New Roman"/>
          <w:color w:val="auto"/>
          <w:sz w:val="32"/>
          <w:szCs w:val="32"/>
          <w:lang w:val="en-US" w:eastAsia="zh-CN"/>
        </w:rPr>
        <w:t>巩固脱贫攻坚成果衔接乡村振兴支出</w:t>
      </w:r>
      <w:r>
        <w:rPr>
          <w:rFonts w:hint="eastAsia" w:ascii="Times New Roman" w:hAnsi="Times New Roman" w:eastAsia="仿宋_GB2312" w:cs="Times New Roman"/>
          <w:color w:val="auto"/>
          <w:sz w:val="32"/>
          <w:szCs w:val="32"/>
          <w:lang w:val="en-US" w:eastAsia="zh-CN"/>
        </w:rPr>
        <w:t>（</w:t>
      </w:r>
      <w:r>
        <w:rPr>
          <w:rFonts w:hint="eastAsia" w:eastAsia="仿宋_GB2312" w:cs="Times New Roman"/>
          <w:color w:val="auto"/>
          <w:sz w:val="32"/>
          <w:szCs w:val="32"/>
          <w:lang w:val="en-US" w:eastAsia="zh-CN"/>
        </w:rPr>
        <w:t>05</w:t>
      </w:r>
      <w:r>
        <w:rPr>
          <w:rFonts w:hint="eastAsia" w:ascii="Times New Roman" w:hAnsi="Times New Roman" w:eastAsia="仿宋_GB2312" w:cs="Times New Roman"/>
          <w:color w:val="auto"/>
          <w:sz w:val="32"/>
          <w:szCs w:val="32"/>
          <w:lang w:val="en-US" w:eastAsia="zh-CN"/>
        </w:rPr>
        <w:t>）</w:t>
      </w:r>
      <w:r>
        <w:rPr>
          <w:rFonts w:hint="eastAsia" w:eastAsia="仿宋_GB2312" w:cs="Times New Roman"/>
          <w:color w:val="auto"/>
          <w:sz w:val="32"/>
          <w:szCs w:val="32"/>
          <w:lang w:val="en-US" w:eastAsia="zh-CN"/>
        </w:rPr>
        <w:t>其他巩固脱贫攻坚成果衔接乡村振兴支出</w:t>
      </w:r>
      <w:r>
        <w:rPr>
          <w:rFonts w:hint="eastAsia" w:ascii="Times New Roman" w:hAnsi="Times New Roman" w:eastAsia="仿宋_GB2312" w:cs="Times New Roman"/>
          <w:color w:val="auto"/>
          <w:sz w:val="32"/>
          <w:szCs w:val="32"/>
          <w:lang w:val="en-US" w:eastAsia="zh-CN"/>
        </w:rPr>
        <w:t>（</w:t>
      </w:r>
      <w:r>
        <w:rPr>
          <w:rFonts w:hint="eastAsia" w:eastAsia="仿宋_GB2312" w:cs="Times New Roman"/>
          <w:color w:val="auto"/>
          <w:sz w:val="32"/>
          <w:szCs w:val="32"/>
          <w:lang w:val="en-US" w:eastAsia="zh-CN"/>
        </w:rPr>
        <w:t>99</w:t>
      </w:r>
      <w:r>
        <w:rPr>
          <w:rFonts w:hint="eastAsia" w:ascii="Times New Roman" w:hAnsi="Times New Roman" w:eastAsia="仿宋_GB2312" w:cs="Times New Roman"/>
          <w:color w:val="auto"/>
          <w:sz w:val="32"/>
          <w:szCs w:val="32"/>
          <w:lang w:val="en-US" w:eastAsia="zh-CN"/>
        </w:rPr>
        <w:t>）：支出决算为</w:t>
      </w:r>
      <w:r>
        <w:rPr>
          <w:rFonts w:hint="eastAsia" w:eastAsia="仿宋_GB2312" w:cs="Times New Roman"/>
          <w:color w:val="auto"/>
          <w:sz w:val="32"/>
          <w:szCs w:val="32"/>
          <w:lang w:val="en-US" w:eastAsia="zh-CN"/>
        </w:rPr>
        <w:t>17.61</w:t>
      </w:r>
      <w:r>
        <w:rPr>
          <w:rFonts w:hint="eastAsia" w:ascii="Times New Roman" w:hAnsi="Times New Roman" w:eastAsia="仿宋_GB2312" w:cs="Times New Roman"/>
          <w:color w:val="auto"/>
          <w:sz w:val="32"/>
          <w:szCs w:val="32"/>
          <w:lang w:val="en-US" w:eastAsia="zh-CN"/>
        </w:rPr>
        <w:t>万元，完成预算100%</w:t>
      </w:r>
    </w:p>
    <w:p w14:paraId="61797B7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5D28370">
      <w:pPr>
        <w:tabs>
          <w:tab w:val="right" w:pos="8306"/>
        </w:tabs>
        <w:spacing w:line="600" w:lineRule="exact"/>
        <w:ind w:firstLine="640"/>
        <w:outlineLvl w:val="1"/>
        <w:rPr>
          <w:rStyle w:val="30"/>
          <w:rFonts w:ascii="Times New Roman" w:hAnsi="Times New Roman"/>
          <w:color w:val="auto"/>
          <w:highlight w:val="none"/>
        </w:rPr>
      </w:pPr>
      <w:bookmarkStart w:id="74" w:name="_Toc6672_WPSOffice_Level2"/>
      <w:bookmarkStart w:id="75" w:name="_Toc15377214"/>
      <w:bookmarkStart w:id="76" w:name="_Toc15396608"/>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般公共预算财政拨款基本支出决算情况说明</w:t>
      </w:r>
      <w:bookmarkEnd w:id="74"/>
      <w:bookmarkEnd w:id="75"/>
      <w:bookmarkEnd w:id="76"/>
      <w:r>
        <w:rPr>
          <w:rStyle w:val="30"/>
          <w:rFonts w:ascii="Times New Roman" w:hAnsi="Times New Roman" w:eastAsia="黑体"/>
          <w:b w:val="0"/>
          <w:color w:val="auto"/>
          <w:highlight w:val="none"/>
        </w:rPr>
        <w:tab/>
      </w:r>
    </w:p>
    <w:p w14:paraId="157DC2E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673.92</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14:paraId="42D8C7A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589.08</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84.84</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50AE89FD">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（注：仅罗列本部门实际支出涉及的经济分类科目）</w:t>
      </w:r>
    </w:p>
    <w:p w14:paraId="41E46E7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3E754156">
      <w:pPr>
        <w:spacing w:line="600" w:lineRule="exact"/>
        <w:ind w:firstLine="640"/>
        <w:outlineLvl w:val="1"/>
        <w:rPr>
          <w:rStyle w:val="30"/>
          <w:rFonts w:ascii="Times New Roman" w:hAnsi="Times New Roman" w:eastAsia="黑体"/>
          <w:b w:val="0"/>
          <w:color w:val="auto"/>
          <w:highlight w:val="none"/>
        </w:rPr>
      </w:pPr>
      <w:bookmarkStart w:id="77" w:name="_Toc15377215"/>
      <w:bookmarkStart w:id="78" w:name="_Toc20087_WPSOffice_Level2"/>
      <w:bookmarkStart w:id="79" w:name="_Toc15396609"/>
      <w:r>
        <w:rPr>
          <w:rFonts w:hint="eastAsia" w:ascii="Times New Roman" w:hAnsi="Times New Roman" w:eastAsia="黑体"/>
          <w:color w:val="auto"/>
          <w:sz w:val="32"/>
          <w:szCs w:val="32"/>
          <w:highlight w:val="none"/>
        </w:rPr>
        <w:t>七、</w:t>
      </w:r>
      <w:r>
        <w:rPr>
          <w:rStyle w:val="30"/>
          <w:rFonts w:hint="eastAsia" w:ascii="Times New Roman" w:hAnsi="Times New Roman" w:eastAsia="黑体"/>
          <w:b w:val="0"/>
          <w:color w:val="auto"/>
          <w:highlight w:val="none"/>
        </w:rPr>
        <w:t>财政拨款</w:t>
      </w:r>
      <w:r>
        <w:rPr>
          <w:rStyle w:val="30"/>
          <w:rFonts w:hint="eastAsia" w:ascii="Times New Roman" w:hAnsi="Times New Roman" w:eastAsia="黑体"/>
          <w:color w:val="auto"/>
          <w:highlight w:val="none"/>
        </w:rPr>
        <w:t>“</w:t>
      </w:r>
      <w:r>
        <w:rPr>
          <w:rStyle w:val="30"/>
          <w:rFonts w:hint="eastAsia" w:ascii="Times New Roman" w:hAnsi="Times New Roman" w:eastAsia="黑体"/>
          <w:b w:val="0"/>
          <w:color w:val="auto"/>
          <w:highlight w:val="none"/>
        </w:rPr>
        <w:t>三公”经费支出决算情况说明</w:t>
      </w:r>
      <w:bookmarkEnd w:id="77"/>
      <w:bookmarkEnd w:id="78"/>
      <w:bookmarkEnd w:id="79"/>
    </w:p>
    <w:p w14:paraId="390F783C">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80"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80"/>
    </w:p>
    <w:p w14:paraId="635901B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17.83</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较上年度减少</w:t>
      </w:r>
      <w:r>
        <w:rPr>
          <w:rFonts w:hint="eastAsia" w:eastAsia="仿宋_GB2312" w:cs="仿宋_GB2312"/>
          <w:color w:val="auto"/>
          <w:kern w:val="2"/>
          <w:sz w:val="32"/>
          <w:szCs w:val="32"/>
          <w:highlight w:val="none"/>
          <w:lang w:val="en-US" w:eastAsia="zh-CN" w:bidi="ar-SA"/>
        </w:rPr>
        <w:t>38.8</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31.49</w:t>
      </w:r>
      <w:r>
        <w:rPr>
          <w:rFonts w:hint="eastAsia" w:ascii="Times New Roman" w:hAnsi="Times New Roman" w:eastAsia="仿宋_GB2312" w:cs="仿宋_GB2312"/>
          <w:color w:val="auto"/>
          <w:kern w:val="2"/>
          <w:sz w:val="32"/>
          <w:szCs w:val="32"/>
          <w:highlight w:val="none"/>
          <w:lang w:val="en-US" w:eastAsia="zh-CN" w:bidi="ar-SA"/>
        </w:rPr>
        <w:t>%。决算数与预算数持平</w:t>
      </w:r>
      <w:r>
        <w:rPr>
          <w:rFonts w:hint="eastAsia" w:eastAsia="仿宋_GB2312" w:cs="仿宋_GB2312"/>
          <w:color w:val="auto"/>
          <w:kern w:val="2"/>
          <w:sz w:val="32"/>
          <w:szCs w:val="32"/>
          <w:highlight w:val="none"/>
          <w:lang w:val="en-US" w:eastAsia="zh-CN" w:bidi="ar-SA"/>
        </w:rPr>
        <w:t>。</w:t>
      </w:r>
    </w:p>
    <w:p w14:paraId="6A3E005C">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（注：上述“预算”口径为全年预算数，包括一般公共预算和政府性基金预算财政拨款支出决算情况）</w:t>
      </w:r>
    </w:p>
    <w:p w14:paraId="6F50702F">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81"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81"/>
    </w:p>
    <w:p w14:paraId="58587908">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万元，占0%；公务用车购置及运行维护费支出决算</w:t>
      </w:r>
      <w:r>
        <w:rPr>
          <w:rFonts w:hint="eastAsia" w:ascii="仿宋_GB2312" w:hAnsi="仿宋_GB2312" w:eastAsia="仿宋_GB2312" w:cs="仿宋_GB2312"/>
          <w:sz w:val="32"/>
          <w:szCs w:val="32"/>
        </w:rPr>
        <w:t>17.74</w:t>
      </w:r>
      <w:r>
        <w:rPr>
          <w:rFonts w:hint="eastAsia" w:ascii="仿宋_GB2312" w:hAnsi="仿宋_GB2312" w:eastAsia="仿宋_GB2312" w:cs="仿宋_GB2312"/>
          <w:color w:val="auto"/>
          <w:kern w:val="2"/>
          <w:sz w:val="32"/>
          <w:szCs w:val="32"/>
          <w:highlight w:val="none"/>
          <w:lang w:val="en-US" w:eastAsia="zh-CN" w:bidi="ar-SA"/>
        </w:rPr>
        <w:t>万元，占99.50%；公务接待费支出决算</w:t>
      </w:r>
      <w:r>
        <w:rPr>
          <w:rFonts w:hint="eastAsia" w:ascii="仿宋_GB2312" w:hAnsi="仿宋_GB2312" w:eastAsia="仿宋_GB2312" w:cs="仿宋_GB2312"/>
          <w:sz w:val="32"/>
          <w:szCs w:val="32"/>
        </w:rPr>
        <w:t>0.09</w:t>
      </w:r>
      <w:r>
        <w:rPr>
          <w:rFonts w:hint="eastAsia" w:ascii="仿宋_GB2312" w:hAnsi="仿宋_GB2312" w:eastAsia="仿宋_GB2312" w:cs="仿宋_GB2312"/>
          <w:color w:val="auto"/>
          <w:kern w:val="2"/>
          <w:sz w:val="32"/>
          <w:szCs w:val="32"/>
          <w:highlight w:val="none"/>
          <w:lang w:val="en-US" w:eastAsia="zh-CN" w:bidi="ar-SA"/>
        </w:rPr>
        <w:t>万元，占0.5%。</w:t>
      </w:r>
    </w:p>
    <w:p w14:paraId="2833925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（图7：“三公”经费财政拨款支出结构）（饼状图）</w:t>
      </w:r>
    </w:p>
    <w:p w14:paraId="77F9936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w:t>
      </w:r>
      <w:r>
        <w:rPr>
          <w:rFonts w:hint="eastAsia" w:eastAsia="仿宋_GB2312" w:cs="仿宋_GB2312"/>
          <w:b/>
          <w:bCs/>
          <w:color w:val="auto"/>
          <w:kern w:val="2"/>
          <w:sz w:val="32"/>
          <w:szCs w:val="32"/>
          <w:highlight w:val="none"/>
          <w:lang w:val="en-US" w:eastAsia="zh-CN" w:bidi="ar-SA"/>
        </w:rPr>
        <w:t>。</w:t>
      </w:r>
    </w:p>
    <w:p w14:paraId="1B2509B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17.74万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公务用车购置及运行维护费支出决算比2023年度减少</w:t>
      </w:r>
      <w:r>
        <w:rPr>
          <w:rFonts w:hint="eastAsia" w:eastAsia="仿宋_GB2312" w:cs="仿宋_GB2312"/>
          <w:color w:val="auto"/>
          <w:kern w:val="2"/>
          <w:sz w:val="32"/>
          <w:szCs w:val="32"/>
          <w:highlight w:val="none"/>
          <w:lang w:val="en-US" w:eastAsia="zh-CN" w:bidi="ar-SA"/>
        </w:rPr>
        <w:t>38.72</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68.58</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2023年单位购置公务用车一辆</w:t>
      </w:r>
      <w:r>
        <w:rPr>
          <w:rFonts w:hint="eastAsia" w:ascii="Times New Roman" w:hAnsi="Times New Roman" w:eastAsia="仿宋_GB2312" w:cs="仿宋_GB2312"/>
          <w:color w:val="auto"/>
          <w:kern w:val="2"/>
          <w:sz w:val="32"/>
          <w:szCs w:val="32"/>
          <w:highlight w:val="none"/>
          <w:lang w:val="en-US" w:eastAsia="zh-CN" w:bidi="ar-SA"/>
        </w:rPr>
        <w:t>。</w:t>
      </w:r>
    </w:p>
    <w:p w14:paraId="2EA039E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截至2024年12月31日，单位共有公务用车</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辆，其中：越野车</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辆。</w:t>
      </w:r>
    </w:p>
    <w:p w14:paraId="4664F24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17.74</w:t>
      </w:r>
      <w:r>
        <w:rPr>
          <w:rFonts w:hint="eastAsia" w:ascii="Times New Roman" w:hAnsi="Times New Roman" w:eastAsia="仿宋_GB2312" w:cs="仿宋_GB2312"/>
          <w:color w:val="auto"/>
          <w:kern w:val="2"/>
          <w:sz w:val="32"/>
          <w:szCs w:val="32"/>
          <w:highlight w:val="none"/>
          <w:lang w:val="en-US" w:eastAsia="zh-CN" w:bidi="ar-SA"/>
        </w:rPr>
        <w:t>万元。主要用于</w:t>
      </w:r>
      <w:r>
        <w:rPr>
          <w:rFonts w:hint="eastAsia" w:ascii="仿宋_GB2312" w:eastAsia="仿宋_GB2312"/>
          <w:sz w:val="32"/>
          <w:szCs w:val="32"/>
          <w:lang w:val="en-US" w:eastAsia="zh-CN"/>
        </w:rPr>
        <w:t>单位职工</w:t>
      </w:r>
      <w:r>
        <w:rPr>
          <w:rFonts w:hint="eastAsia" w:ascii="Times New Roman" w:hAnsi="Times New Roman" w:eastAsia="仿宋_GB2312" w:cs="Times New Roman"/>
          <w:color w:val="auto"/>
          <w:sz w:val="32"/>
          <w:szCs w:val="32"/>
          <w:lang w:val="en-US" w:eastAsia="zh-CN"/>
        </w:rPr>
        <w:t>因公出差、培训、会议、下乡</w:t>
      </w:r>
      <w:r>
        <w:rPr>
          <w:rFonts w:hint="eastAsia" w:ascii="仿宋_GB2312" w:eastAsia="仿宋_GB2312"/>
          <w:sz w:val="32"/>
          <w:szCs w:val="32"/>
        </w:rPr>
        <w:t>等</w:t>
      </w:r>
      <w:r>
        <w:rPr>
          <w:rFonts w:hint="eastAsia" w:ascii="Times New Roman" w:hAnsi="Times New Roman" w:eastAsia="仿宋_GB2312" w:cs="仿宋_GB2312"/>
          <w:color w:val="auto"/>
          <w:kern w:val="2"/>
          <w:sz w:val="32"/>
          <w:szCs w:val="32"/>
          <w:highlight w:val="none"/>
          <w:lang w:val="en-US" w:eastAsia="zh-CN" w:bidi="ar-SA"/>
        </w:rPr>
        <w:t>所需的公务用车燃料费、维修费、过路过桥费、保险费等支出。</w:t>
      </w:r>
    </w:p>
    <w:p w14:paraId="2C705AB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0.09万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公务接待费支出决算比2023年度增加/减少</w:t>
      </w:r>
      <w:r>
        <w:rPr>
          <w:rFonts w:hint="eastAsia" w:eastAsia="仿宋_GB2312" w:cs="仿宋_GB2312"/>
          <w:color w:val="auto"/>
          <w:kern w:val="2"/>
          <w:sz w:val="32"/>
          <w:szCs w:val="32"/>
          <w:highlight w:val="none"/>
          <w:lang w:val="en-US" w:eastAsia="zh-CN" w:bidi="ar-SA"/>
        </w:rPr>
        <w:t>0.08</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47.05</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ascii="仿宋_GB2312" w:eastAsia="仿宋_GB2312"/>
          <w:sz w:val="32"/>
          <w:szCs w:val="32"/>
          <w:lang w:val="en-US" w:eastAsia="zh-CN"/>
        </w:rPr>
        <w:t>厉行节约</w:t>
      </w:r>
      <w:r>
        <w:rPr>
          <w:rFonts w:hint="eastAsia" w:ascii="Times New Roman" w:hAnsi="Times New Roman" w:eastAsia="仿宋_GB2312" w:cs="仿宋_GB2312"/>
          <w:color w:val="auto"/>
          <w:kern w:val="2"/>
          <w:sz w:val="32"/>
          <w:szCs w:val="32"/>
          <w:highlight w:val="none"/>
          <w:lang w:val="en-US" w:eastAsia="zh-CN" w:bidi="ar-SA"/>
        </w:rPr>
        <w:t>。其中：</w:t>
      </w:r>
    </w:p>
    <w:p w14:paraId="35937DF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0.09</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元，主要用于</w:t>
      </w:r>
      <w:r>
        <w:rPr>
          <w:rFonts w:hint="eastAsia" w:ascii="仿宋_GB2312" w:eastAsia="仿宋_GB2312"/>
          <w:sz w:val="32"/>
          <w:szCs w:val="32"/>
          <w:lang w:val="en-US" w:eastAsia="zh-CN"/>
        </w:rPr>
        <w:t>上级检查调研</w:t>
      </w:r>
      <w:r>
        <w:rPr>
          <w:rFonts w:hint="eastAsia" w:ascii="Times New Roman" w:hAnsi="Times New Roman" w:eastAsia="仿宋_GB2312" w:cs="仿宋_GB2312"/>
          <w:color w:val="auto"/>
          <w:kern w:val="2"/>
          <w:sz w:val="32"/>
          <w:szCs w:val="32"/>
          <w:highlight w:val="none"/>
          <w:lang w:val="en-US" w:eastAsia="zh-CN" w:bidi="ar-SA"/>
        </w:rPr>
        <w:t>开展业务活动开支的用餐费等。国内公务接</w:t>
      </w:r>
      <w:r>
        <w:rPr>
          <w:rFonts w:hint="eastAsia" w:ascii="仿宋_GB2312" w:hAnsi="仿宋_GB2312" w:eastAsia="仿宋_GB2312" w:cs="仿宋_GB2312"/>
          <w:color w:val="auto"/>
          <w:kern w:val="2"/>
          <w:sz w:val="32"/>
          <w:szCs w:val="32"/>
          <w:highlight w:val="none"/>
          <w:lang w:val="en-US" w:eastAsia="zh-CN" w:bidi="ar-SA"/>
        </w:rPr>
        <w:t>待</w:t>
      </w:r>
      <w:r>
        <w:rPr>
          <w:rFonts w:hint="eastAsia" w:ascii="仿宋_GB2312" w:hAnsi="仿宋_GB2312" w:eastAsia="仿宋_GB2312" w:cs="仿宋_GB2312"/>
          <w:sz w:val="32"/>
          <w:szCs w:val="32"/>
        </w:rPr>
        <w:t>2</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13</w:t>
      </w:r>
      <w:r>
        <w:rPr>
          <w:rFonts w:hint="eastAsia" w:ascii="Times New Roman" w:hAnsi="Times New Roman" w:eastAsia="仿宋_GB2312" w:cs="仿宋_GB2312"/>
          <w:color w:val="auto"/>
          <w:kern w:val="2"/>
          <w:sz w:val="32"/>
          <w:szCs w:val="32"/>
          <w:highlight w:val="none"/>
          <w:lang w:val="en-US" w:eastAsia="zh-CN" w:bidi="ar-SA"/>
        </w:rPr>
        <w:t>人次（不包括陪同人员），共计支出</w:t>
      </w:r>
      <w:r>
        <w:rPr>
          <w:rFonts w:hint="eastAsia" w:eastAsia="仿宋_GB2312" w:cs="仿宋_GB2312"/>
          <w:color w:val="auto"/>
          <w:kern w:val="2"/>
          <w:sz w:val="32"/>
          <w:szCs w:val="32"/>
          <w:highlight w:val="none"/>
          <w:lang w:val="en-US" w:eastAsia="zh-CN" w:bidi="ar-SA"/>
        </w:rPr>
        <w:t>0.09</w:t>
      </w:r>
      <w:r>
        <w:rPr>
          <w:rFonts w:hint="eastAsia" w:ascii="Times New Roman" w:hAnsi="Times New Roman" w:eastAsia="仿宋_GB2312" w:cs="仿宋_GB2312"/>
          <w:color w:val="auto"/>
          <w:kern w:val="2"/>
          <w:sz w:val="32"/>
          <w:szCs w:val="32"/>
          <w:highlight w:val="none"/>
          <w:lang w:val="en-US" w:eastAsia="zh-CN" w:bidi="ar-SA"/>
        </w:rPr>
        <w:t>万元，具体内容包括：</w:t>
      </w:r>
      <w:r>
        <w:rPr>
          <w:rFonts w:hint="eastAsia" w:eastAsia="仿宋_GB2312" w:cs="仿宋_GB2312"/>
          <w:color w:val="auto"/>
          <w:kern w:val="2"/>
          <w:sz w:val="32"/>
          <w:szCs w:val="32"/>
          <w:highlight w:val="none"/>
          <w:lang w:val="en-US" w:eastAsia="zh-CN" w:bidi="ar-SA"/>
        </w:rPr>
        <w:t>绩效目标检查等</w:t>
      </w:r>
      <w:r>
        <w:rPr>
          <w:rFonts w:hint="eastAsia" w:ascii="Times New Roman" w:hAnsi="Times New Roman" w:eastAsia="仿宋_GB2312" w:cs="仿宋_GB2312"/>
          <w:color w:val="auto"/>
          <w:kern w:val="2"/>
          <w:sz w:val="32"/>
          <w:szCs w:val="32"/>
          <w:highlight w:val="none"/>
          <w:lang w:val="en-US" w:eastAsia="zh-CN" w:bidi="ar-SA"/>
        </w:rPr>
        <w:t>。</w:t>
      </w:r>
    </w:p>
    <w:p w14:paraId="4E845EE8">
      <w:pPr>
        <w:spacing w:line="600" w:lineRule="exact"/>
        <w:ind w:firstLine="640"/>
        <w:outlineLvl w:val="1"/>
        <w:rPr>
          <w:rStyle w:val="30"/>
          <w:rFonts w:ascii="Times New Roman" w:hAnsi="Times New Roman" w:eastAsia="黑体"/>
          <w:color w:val="auto"/>
          <w:highlight w:val="none"/>
        </w:rPr>
      </w:pPr>
      <w:bookmarkStart w:id="82" w:name="_Toc15396610"/>
      <w:bookmarkStart w:id="83" w:name="_Toc15377218"/>
      <w:bookmarkStart w:id="84" w:name="_Toc12669_WPSOffice_Level2"/>
      <w:r>
        <w:rPr>
          <w:rFonts w:hint="eastAsia" w:ascii="Times New Roman" w:hAnsi="Times New Roman" w:eastAsia="黑体"/>
          <w:color w:val="auto"/>
          <w:sz w:val="32"/>
          <w:szCs w:val="32"/>
          <w:highlight w:val="none"/>
        </w:rPr>
        <w:t>八、</w:t>
      </w:r>
      <w:r>
        <w:rPr>
          <w:rStyle w:val="30"/>
          <w:rFonts w:hint="eastAsia" w:ascii="Times New Roman" w:hAnsi="Times New Roman" w:eastAsia="黑体"/>
          <w:b w:val="0"/>
          <w:color w:val="auto"/>
          <w:highlight w:val="none"/>
        </w:rPr>
        <w:t>政府性基金预算支出决算情况说明</w:t>
      </w:r>
      <w:bookmarkEnd w:id="82"/>
      <w:bookmarkEnd w:id="83"/>
      <w:bookmarkEnd w:id="84"/>
    </w:p>
    <w:p w14:paraId="778EE59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14:paraId="1DA8838E">
      <w:pPr>
        <w:numPr>
          <w:ilvl w:val="0"/>
          <w:numId w:val="0"/>
        </w:numPr>
        <w:spacing w:line="600" w:lineRule="exact"/>
        <w:ind w:left="630" w:leftChars="0"/>
        <w:outlineLvl w:val="1"/>
        <w:rPr>
          <w:rStyle w:val="30"/>
          <w:rFonts w:ascii="Times New Roman" w:hAnsi="Times New Roman" w:eastAsia="黑体"/>
          <w:b w:val="0"/>
          <w:color w:val="auto"/>
          <w:highlight w:val="none"/>
        </w:rPr>
      </w:pPr>
      <w:bookmarkStart w:id="85" w:name="_Toc15396611"/>
      <w:bookmarkStart w:id="86" w:name="_Toc25259_WPSOffice_Level2"/>
      <w:bookmarkStart w:id="87" w:name="_Toc15377219"/>
      <w:r>
        <w:rPr>
          <w:rStyle w:val="30"/>
          <w:rFonts w:hint="eastAsia" w:ascii="Times New Roman" w:hAnsi="Times New Roman" w:eastAsia="黑体"/>
          <w:b w:val="0"/>
          <w:color w:val="auto"/>
          <w:highlight w:val="none"/>
          <w:lang w:eastAsia="zh-CN"/>
        </w:rPr>
        <w:t>九、</w:t>
      </w:r>
      <w:r>
        <w:rPr>
          <w:rStyle w:val="30"/>
          <w:rFonts w:hint="eastAsia" w:ascii="Times New Roman" w:hAnsi="Times New Roman" w:eastAsia="黑体"/>
          <w:b w:val="0"/>
          <w:color w:val="auto"/>
          <w:highlight w:val="none"/>
        </w:rPr>
        <w:t>国有资本经营预算支出决算情况说明</w:t>
      </w:r>
      <w:bookmarkEnd w:id="85"/>
      <w:bookmarkEnd w:id="86"/>
      <w:bookmarkEnd w:id="87"/>
    </w:p>
    <w:p w14:paraId="7874CE6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14:paraId="5894D09F">
      <w:pPr>
        <w:numPr>
          <w:ilvl w:val="0"/>
          <w:numId w:val="0"/>
        </w:numPr>
        <w:spacing w:line="600" w:lineRule="exact"/>
        <w:ind w:left="630" w:leftChars="0"/>
        <w:outlineLvl w:val="1"/>
        <w:rPr>
          <w:rStyle w:val="30"/>
          <w:rFonts w:hint="eastAsia" w:ascii="Times New Roman" w:hAnsi="Times New Roman" w:eastAsia="黑体"/>
          <w:b w:val="0"/>
          <w:color w:val="auto"/>
          <w:highlight w:val="none"/>
        </w:rPr>
      </w:pPr>
      <w:bookmarkStart w:id="88" w:name="_Toc15377221"/>
      <w:bookmarkStart w:id="89" w:name="_Toc15396612"/>
      <w:bookmarkStart w:id="90" w:name="_Toc28555_WPSOffice_Level2"/>
      <w:r>
        <w:rPr>
          <w:rStyle w:val="30"/>
          <w:rFonts w:hint="eastAsia" w:ascii="Times New Roman" w:hAnsi="Times New Roman" w:eastAsia="黑体"/>
          <w:b w:val="0"/>
          <w:color w:val="auto"/>
          <w:highlight w:val="none"/>
          <w:lang w:eastAsia="zh-CN"/>
        </w:rPr>
        <w:t>十、</w:t>
      </w:r>
      <w:r>
        <w:rPr>
          <w:rStyle w:val="30"/>
          <w:rFonts w:hint="eastAsia" w:ascii="Times New Roman" w:hAnsi="Times New Roman" w:eastAsia="黑体"/>
          <w:b w:val="0"/>
          <w:color w:val="auto"/>
          <w:highlight w:val="none"/>
        </w:rPr>
        <w:t>其他重要事项的情况说明</w:t>
      </w:r>
      <w:bookmarkEnd w:id="88"/>
      <w:bookmarkEnd w:id="89"/>
      <w:bookmarkEnd w:id="90"/>
    </w:p>
    <w:p w14:paraId="1C5699CD">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91" w:name="_Toc15377222"/>
      <w:r>
        <w:rPr>
          <w:rFonts w:hint="eastAsia" w:ascii="Times New Roman" w:hAnsi="Times New Roman" w:eastAsia="楷体_GB2312" w:cs="楷体_GB2312"/>
          <w:b/>
          <w:color w:val="auto"/>
          <w:sz w:val="32"/>
          <w:szCs w:val="32"/>
          <w:highlight w:val="none"/>
        </w:rPr>
        <w:t>（一）机关运行经费支出情况</w:t>
      </w:r>
      <w:bookmarkEnd w:id="91"/>
    </w:p>
    <w:p w14:paraId="62215229">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九寨沟县财政局（本级）</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84.84</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元，比2023年度减少</w:t>
      </w:r>
      <w:r>
        <w:rPr>
          <w:rFonts w:hint="eastAsia" w:eastAsia="仿宋_GB2312" w:cs="仿宋_GB2312"/>
          <w:color w:val="auto"/>
          <w:kern w:val="2"/>
          <w:sz w:val="32"/>
          <w:szCs w:val="32"/>
          <w:highlight w:val="none"/>
          <w:lang w:val="en-US" w:eastAsia="zh-CN" w:bidi="ar-SA"/>
        </w:rPr>
        <w:t>125.76</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59.71</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2023年单位购置公务用车一辆42.38万元，单位职工培训人员减少等。</w:t>
      </w:r>
    </w:p>
    <w:p w14:paraId="7FC66E99">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92" w:name="_Toc15377223"/>
      <w:r>
        <w:rPr>
          <w:rFonts w:hint="eastAsia" w:ascii="Times New Roman" w:hAnsi="Times New Roman" w:eastAsia="楷体_GB2312" w:cs="楷体_GB2312"/>
          <w:b/>
          <w:color w:val="auto"/>
          <w:sz w:val="32"/>
          <w:szCs w:val="32"/>
          <w:highlight w:val="none"/>
        </w:rPr>
        <w:t>（二）政府采购支出情况</w:t>
      </w:r>
      <w:bookmarkEnd w:id="92"/>
    </w:p>
    <w:p w14:paraId="4DD326E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九寨沟县财政局（本级）</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14:paraId="5384D4DF">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93" w:name="_Toc15377224"/>
      <w:r>
        <w:rPr>
          <w:rFonts w:hint="eastAsia" w:ascii="Times New Roman" w:hAnsi="Times New Roman" w:eastAsia="楷体_GB2312" w:cs="楷体_GB2312"/>
          <w:b/>
          <w:color w:val="auto"/>
          <w:sz w:val="32"/>
          <w:szCs w:val="32"/>
          <w:highlight w:val="none"/>
        </w:rPr>
        <w:t>（三）国有资产占有使用情况</w:t>
      </w:r>
      <w:bookmarkEnd w:id="93"/>
    </w:p>
    <w:p w14:paraId="71A4241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九寨沟县财政局（本级）</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2</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2</w:t>
      </w:r>
      <w:r>
        <w:rPr>
          <w:rFonts w:hint="eastAsia" w:ascii="仿宋_GB2312" w:hAnsi="仿宋_GB2312" w:eastAsia="仿宋_GB2312" w:cs="仿宋_GB2312"/>
          <w:color w:val="auto"/>
          <w:kern w:val="2"/>
          <w:sz w:val="32"/>
          <w:szCs w:val="32"/>
          <w:highlight w:val="none"/>
          <w:lang w:val="en-US" w:eastAsia="zh-CN" w:bidi="ar-SA"/>
        </w:rPr>
        <w:t>辆，其他用车主要是用于</w:t>
      </w:r>
      <w:r>
        <w:rPr>
          <w:rFonts w:hint="eastAsia" w:ascii="仿宋_GB2312" w:eastAsia="仿宋_GB2312"/>
          <w:sz w:val="32"/>
          <w:szCs w:val="32"/>
          <w:lang w:val="en-US" w:eastAsia="zh-CN"/>
        </w:rPr>
        <w:t>单位职工</w:t>
      </w:r>
      <w:r>
        <w:rPr>
          <w:rFonts w:hint="eastAsia" w:ascii="Times New Roman" w:hAnsi="Times New Roman" w:eastAsia="仿宋_GB2312" w:cs="Times New Roman"/>
          <w:color w:val="auto"/>
          <w:sz w:val="32"/>
          <w:szCs w:val="32"/>
          <w:lang w:val="en-US" w:eastAsia="zh-CN"/>
        </w:rPr>
        <w:t>因公出差、培训、会议、下乡</w:t>
      </w:r>
      <w:r>
        <w:rPr>
          <w:rFonts w:hint="eastAsia" w:ascii="仿宋_GB2312" w:eastAsia="仿宋_GB2312"/>
          <w:sz w:val="32"/>
          <w:szCs w:val="32"/>
        </w:rPr>
        <w:t>等</w:t>
      </w:r>
      <w:r>
        <w:rPr>
          <w:rFonts w:hint="eastAsia" w:ascii="Times New Roman" w:hAnsi="Times New Roman" w:eastAsia="仿宋_GB2312" w:cs="仿宋_GB2312"/>
          <w:color w:val="auto"/>
          <w:kern w:val="2"/>
          <w:sz w:val="32"/>
          <w:szCs w:val="32"/>
          <w:highlight w:val="none"/>
          <w:lang w:val="en-US" w:eastAsia="zh-CN" w:bidi="ar-SA"/>
        </w:rPr>
        <w:t>所需的公务用车燃料费、维修费、过路过桥费、保险费等支出。</w:t>
      </w:r>
    </w:p>
    <w:p w14:paraId="7450812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14:paraId="1BCD0E7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26E64080">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497FE521">
      <w:pPr>
        <w:spacing w:line="600" w:lineRule="exact"/>
        <w:ind w:firstLine="640" w:firstLineChars="200"/>
        <w:rPr>
          <w:rFonts w:ascii="仿宋_GB2312" w:eastAsia="仿宋_GB2312"/>
          <w:sz w:val="32"/>
          <w:szCs w:val="32"/>
        </w:rPr>
      </w:pPr>
      <w:r>
        <w:rPr>
          <w:rFonts w:hint="eastAsia" w:ascii="仿宋_GB2312" w:eastAsia="仿宋_GB2312"/>
          <w:sz w:val="32"/>
          <w:szCs w:val="32"/>
        </w:rPr>
        <w:t>根据预算绩效管理要求，本单位在202</w:t>
      </w:r>
      <w:r>
        <w:rPr>
          <w:rFonts w:hint="eastAsia" w:ascii="仿宋_GB2312" w:eastAsia="仿宋_GB2312"/>
          <w:sz w:val="32"/>
          <w:szCs w:val="32"/>
          <w:lang w:val="en-US" w:eastAsia="zh-CN"/>
        </w:rPr>
        <w:t>4</w:t>
      </w:r>
      <w:r>
        <w:rPr>
          <w:rFonts w:hint="eastAsia" w:ascii="仿宋_GB2312" w:eastAsia="仿宋_GB2312"/>
          <w:sz w:val="32"/>
          <w:szCs w:val="32"/>
        </w:rPr>
        <w:t>年度预算编制阶段，组织对</w:t>
      </w:r>
      <w:r>
        <w:rPr>
          <w:rFonts w:hint="eastAsia" w:ascii="仿宋_GB2312" w:eastAsia="仿宋_GB2312"/>
          <w:sz w:val="32"/>
          <w:szCs w:val="32"/>
          <w:lang w:val="en-US" w:eastAsia="zh-CN"/>
        </w:rPr>
        <w:t>中介机构评审</w:t>
      </w:r>
      <w:r>
        <w:rPr>
          <w:rFonts w:hint="eastAsia" w:ascii="仿宋_GB2312" w:eastAsia="仿宋_GB2312"/>
          <w:sz w:val="32"/>
          <w:szCs w:val="32"/>
        </w:rPr>
        <w:t>项目开展了预算事前绩效评估，对</w:t>
      </w:r>
      <w:r>
        <w:rPr>
          <w:rFonts w:hint="eastAsia" w:ascii="仿宋_GB2312" w:eastAsia="仿宋_GB2312"/>
          <w:sz w:val="32"/>
          <w:szCs w:val="32"/>
          <w:lang w:val="en-US" w:eastAsia="zh-CN"/>
        </w:rPr>
        <w:t>1</w:t>
      </w:r>
      <w:r>
        <w:rPr>
          <w:rFonts w:hint="eastAsia" w:ascii="仿宋_GB2312" w:eastAsia="仿宋_GB2312"/>
          <w:sz w:val="32"/>
          <w:szCs w:val="32"/>
        </w:rPr>
        <w:t>个项目编制了绩效目标，预算执行过程中，选取</w:t>
      </w:r>
      <w:r>
        <w:rPr>
          <w:rFonts w:hint="eastAsia" w:ascii="仿宋_GB2312" w:eastAsia="仿宋_GB2312"/>
          <w:sz w:val="32"/>
          <w:szCs w:val="32"/>
          <w:lang w:val="en-US" w:eastAsia="zh-CN"/>
        </w:rPr>
        <w:t>11</w:t>
      </w:r>
      <w:r>
        <w:rPr>
          <w:rFonts w:hint="eastAsia" w:ascii="仿宋_GB2312" w:eastAsia="仿宋_GB2312"/>
          <w:sz w:val="32"/>
          <w:szCs w:val="32"/>
        </w:rPr>
        <w:t>个项目开展绩效监控，组织对</w:t>
      </w:r>
      <w:r>
        <w:rPr>
          <w:rFonts w:hint="eastAsia" w:ascii="仿宋_GB2312" w:eastAsia="仿宋_GB2312"/>
          <w:sz w:val="32"/>
          <w:szCs w:val="32"/>
          <w:lang w:val="en-US" w:eastAsia="zh-CN"/>
        </w:rPr>
        <w:t>1</w:t>
      </w:r>
      <w:r>
        <w:rPr>
          <w:rFonts w:hint="eastAsia" w:ascii="仿宋_GB2312" w:eastAsia="仿宋_GB2312"/>
          <w:sz w:val="32"/>
          <w:szCs w:val="32"/>
        </w:rPr>
        <w:t>个项目开展绩效自评，绩效自评表详见第四部分附件。</w:t>
      </w:r>
    </w:p>
    <w:p w14:paraId="42151D1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A4C2EF9">
      <w:pPr>
        <w:numPr>
          <w:ilvl w:val="0"/>
          <w:numId w:val="0"/>
        </w:numPr>
        <w:spacing w:line="600" w:lineRule="exact"/>
        <w:jc w:val="both"/>
        <w:outlineLvl w:val="0"/>
        <w:rPr>
          <w:rFonts w:hint="eastAsia" w:ascii="Times New Roman" w:hAnsi="Times New Roman" w:eastAsia="黑体"/>
          <w:color w:val="auto"/>
          <w:sz w:val="44"/>
          <w:szCs w:val="44"/>
          <w:highlight w:val="none"/>
        </w:rPr>
      </w:pPr>
      <w:bookmarkStart w:id="94" w:name="_Toc15396613"/>
      <w:bookmarkStart w:id="95" w:name="_Toc15377225"/>
    </w:p>
    <w:p w14:paraId="5EE923EF">
      <w:pPr>
        <w:numPr>
          <w:ilvl w:val="0"/>
          <w:numId w:val="0"/>
        </w:numPr>
        <w:spacing w:line="600" w:lineRule="exact"/>
        <w:jc w:val="both"/>
        <w:outlineLvl w:val="0"/>
        <w:rPr>
          <w:rFonts w:hint="eastAsia" w:ascii="Times New Roman" w:hAnsi="Times New Roman" w:eastAsia="黑体"/>
          <w:color w:val="auto"/>
          <w:sz w:val="44"/>
          <w:szCs w:val="44"/>
          <w:highlight w:val="none"/>
        </w:rPr>
      </w:pPr>
    </w:p>
    <w:p w14:paraId="2C181CC7">
      <w:pPr>
        <w:numPr>
          <w:ilvl w:val="0"/>
          <w:numId w:val="0"/>
        </w:numPr>
        <w:spacing w:line="600" w:lineRule="exact"/>
        <w:jc w:val="both"/>
        <w:outlineLvl w:val="0"/>
        <w:rPr>
          <w:rFonts w:hint="eastAsia" w:ascii="Times New Roman" w:hAnsi="Times New Roman" w:eastAsia="黑体"/>
          <w:color w:val="auto"/>
          <w:sz w:val="44"/>
          <w:szCs w:val="44"/>
          <w:highlight w:val="none"/>
        </w:rPr>
      </w:pPr>
    </w:p>
    <w:p w14:paraId="5CA09D7B">
      <w:pPr>
        <w:numPr>
          <w:ilvl w:val="0"/>
          <w:numId w:val="0"/>
        </w:numPr>
        <w:spacing w:line="600" w:lineRule="exact"/>
        <w:jc w:val="both"/>
        <w:outlineLvl w:val="0"/>
        <w:rPr>
          <w:rFonts w:hint="eastAsia" w:ascii="Times New Roman" w:hAnsi="Times New Roman" w:eastAsia="黑体"/>
          <w:color w:val="auto"/>
          <w:sz w:val="44"/>
          <w:szCs w:val="44"/>
          <w:highlight w:val="none"/>
        </w:rPr>
      </w:pPr>
    </w:p>
    <w:p w14:paraId="7B3A6CA1">
      <w:pPr>
        <w:numPr>
          <w:ilvl w:val="0"/>
          <w:numId w:val="0"/>
        </w:numPr>
        <w:spacing w:line="600" w:lineRule="exact"/>
        <w:jc w:val="both"/>
        <w:outlineLvl w:val="0"/>
        <w:rPr>
          <w:rFonts w:hint="eastAsia" w:ascii="Times New Roman" w:hAnsi="Times New Roman" w:eastAsia="黑体"/>
          <w:color w:val="auto"/>
          <w:sz w:val="44"/>
          <w:szCs w:val="44"/>
          <w:highlight w:val="none"/>
        </w:rPr>
      </w:pPr>
    </w:p>
    <w:p w14:paraId="6E2D09E6">
      <w:pPr>
        <w:numPr>
          <w:ilvl w:val="0"/>
          <w:numId w:val="0"/>
        </w:numPr>
        <w:spacing w:line="600" w:lineRule="exact"/>
        <w:jc w:val="both"/>
        <w:outlineLvl w:val="0"/>
        <w:rPr>
          <w:rFonts w:hint="eastAsia" w:ascii="Times New Roman" w:hAnsi="Times New Roman" w:eastAsia="黑体"/>
          <w:color w:val="auto"/>
          <w:sz w:val="44"/>
          <w:szCs w:val="44"/>
          <w:highlight w:val="none"/>
        </w:rPr>
      </w:pPr>
    </w:p>
    <w:p w14:paraId="1C2B14F6">
      <w:pPr>
        <w:numPr>
          <w:ilvl w:val="0"/>
          <w:numId w:val="0"/>
        </w:numPr>
        <w:spacing w:line="600" w:lineRule="exact"/>
        <w:jc w:val="both"/>
        <w:outlineLvl w:val="0"/>
        <w:rPr>
          <w:rFonts w:hint="eastAsia" w:ascii="Times New Roman" w:hAnsi="Times New Roman" w:eastAsia="黑体"/>
          <w:color w:val="auto"/>
          <w:sz w:val="44"/>
          <w:szCs w:val="44"/>
          <w:highlight w:val="none"/>
        </w:rPr>
      </w:pPr>
    </w:p>
    <w:p w14:paraId="21FB70D4">
      <w:pPr>
        <w:numPr>
          <w:ilvl w:val="0"/>
          <w:numId w:val="0"/>
        </w:numPr>
        <w:spacing w:line="600" w:lineRule="exact"/>
        <w:jc w:val="both"/>
        <w:outlineLvl w:val="0"/>
        <w:rPr>
          <w:rFonts w:hint="eastAsia" w:ascii="Times New Roman" w:hAnsi="Times New Roman" w:eastAsia="黑体"/>
          <w:color w:val="auto"/>
          <w:sz w:val="44"/>
          <w:szCs w:val="44"/>
          <w:highlight w:val="none"/>
        </w:rPr>
      </w:pPr>
    </w:p>
    <w:p w14:paraId="35E6012F">
      <w:pPr>
        <w:numPr>
          <w:ilvl w:val="0"/>
          <w:numId w:val="0"/>
        </w:numPr>
        <w:spacing w:line="600" w:lineRule="exact"/>
        <w:jc w:val="both"/>
        <w:outlineLvl w:val="0"/>
        <w:rPr>
          <w:rFonts w:hint="eastAsia" w:ascii="Times New Roman" w:hAnsi="Times New Roman" w:eastAsia="黑体"/>
          <w:color w:val="auto"/>
          <w:sz w:val="44"/>
          <w:szCs w:val="44"/>
          <w:highlight w:val="none"/>
        </w:rPr>
      </w:pPr>
    </w:p>
    <w:p w14:paraId="7EC53210">
      <w:pPr>
        <w:numPr>
          <w:ilvl w:val="0"/>
          <w:numId w:val="0"/>
        </w:numPr>
        <w:spacing w:line="600" w:lineRule="exact"/>
        <w:jc w:val="both"/>
        <w:outlineLvl w:val="0"/>
        <w:rPr>
          <w:rFonts w:hint="eastAsia" w:ascii="Times New Roman" w:hAnsi="Times New Roman" w:eastAsia="黑体"/>
          <w:color w:val="auto"/>
          <w:sz w:val="44"/>
          <w:szCs w:val="44"/>
          <w:highlight w:val="none"/>
        </w:rPr>
      </w:pPr>
    </w:p>
    <w:p w14:paraId="15B7B65B">
      <w:pPr>
        <w:numPr>
          <w:ilvl w:val="0"/>
          <w:numId w:val="0"/>
        </w:numPr>
        <w:spacing w:line="600" w:lineRule="exact"/>
        <w:jc w:val="both"/>
        <w:outlineLvl w:val="0"/>
        <w:rPr>
          <w:rFonts w:hint="eastAsia" w:ascii="Times New Roman" w:hAnsi="Times New Roman" w:eastAsia="黑体"/>
          <w:color w:val="auto"/>
          <w:sz w:val="44"/>
          <w:szCs w:val="44"/>
          <w:highlight w:val="none"/>
        </w:rPr>
      </w:pPr>
      <w:bookmarkStart w:id="96" w:name="_Toc26682_WPSOffice_Level1"/>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94"/>
      <w:bookmarkEnd w:id="95"/>
      <w:bookmarkEnd w:id="96"/>
    </w:p>
    <w:p w14:paraId="0F319533">
      <w:pPr>
        <w:spacing w:line="600" w:lineRule="exact"/>
        <w:jc w:val="left"/>
        <w:rPr>
          <w:rFonts w:ascii="Times New Roman" w:hAnsi="Times New Roman"/>
          <w:b/>
          <w:color w:val="auto"/>
          <w:sz w:val="44"/>
          <w:szCs w:val="44"/>
          <w:highlight w:val="none"/>
        </w:rPr>
      </w:pPr>
    </w:p>
    <w:p w14:paraId="0239D48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1.财政拨款收入：指单位从同级财政部门取得的财政预算资金。</w:t>
      </w:r>
    </w:p>
    <w:p w14:paraId="0DD76B3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2.事业收入：指事业单位开展专业业务活动及辅助活动取得的收入。如……（二级预算单位事业收入情况）等。</w:t>
      </w:r>
    </w:p>
    <w:p w14:paraId="217ABF2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3.经营收入：指事业单位在专业业务活动及其辅助活动之外开展非独立核算经营活动取得的收入。如……（二级预算单位经营收入情况）等。</w:t>
      </w:r>
    </w:p>
    <w:p w14:paraId="327E7DE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4.其他收入：指单位取得的除上述收入以外的各项收入。主要是……（收入类型）等。 </w:t>
      </w:r>
    </w:p>
    <w:p w14:paraId="76359E8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5.使用非财政拨款结余（含专用结余）：指事业单位使用以前年度积累的非财政拨款结余弥补当年收支差额的金额。 </w:t>
      </w:r>
    </w:p>
    <w:p w14:paraId="3B4E78F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6.年初结转和结余：指以前年度尚未完成、结转到本年按有关规定继续使用的资金。 </w:t>
      </w:r>
    </w:p>
    <w:p w14:paraId="7132FD8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7.结余分配：指事业单位按照会计制度规定缴纳的所得税、提取的专用结余以及转入非财政拨款结余的金额等。</w:t>
      </w:r>
    </w:p>
    <w:p w14:paraId="2030BCA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8.年末结转和结余：指单位按有关规定结转到下年或以后年度继续使用的资金。</w:t>
      </w:r>
    </w:p>
    <w:p w14:paraId="1E15053F">
      <w:pPr>
        <w:pStyle w:val="15"/>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9.一般公共服务（201）财政事务（06）行政运行（01）：指反映政府财政事务支出，反映行政单位（包括实行公务员管理的事业单位）的基本支出。</w:t>
      </w:r>
    </w:p>
    <w:p w14:paraId="5A6113BD">
      <w:pPr>
        <w:pStyle w:val="15"/>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10.一般公共服务（201）财政事务（06）一般行政管理事务(02):反映行政单位（包括实行公务员管理的事业单位）末单独设置的项级科目的其他项目支出。</w:t>
      </w:r>
    </w:p>
    <w:p w14:paraId="37ADD4BA">
      <w:pPr>
        <w:pStyle w:val="15"/>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 xml:space="preserve"> 11.一般公共服务（201）财政事务（06）财政委托业务支出(0</w:t>
      </w:r>
      <w:r>
        <w:rPr>
          <w:rFonts w:hint="eastAsia" w:eastAsia="仿宋_GB2312" w:cs="Times New Roman"/>
          <w:color w:val="auto"/>
          <w:sz w:val="32"/>
          <w:szCs w:val="32"/>
          <w:lang w:val="en-US" w:eastAsia="zh-CN"/>
        </w:rPr>
        <w:t>5</w:t>
      </w:r>
      <w:r>
        <w:rPr>
          <w:rFonts w:hint="eastAsia" w:ascii="Times New Roman" w:hAnsi="Times New Roman" w:eastAsia="仿宋_GB2312" w:cs="Times New Roman"/>
          <w:color w:val="auto"/>
          <w:sz w:val="32"/>
          <w:szCs w:val="32"/>
          <w:lang w:val="en-US" w:eastAsia="zh-CN"/>
        </w:rPr>
        <w:t>):反映财政</w:t>
      </w:r>
      <w:r>
        <w:rPr>
          <w:rFonts w:hint="eastAsia" w:eastAsia="仿宋_GB2312" w:cs="Times New Roman"/>
          <w:color w:val="auto"/>
          <w:sz w:val="32"/>
          <w:szCs w:val="32"/>
          <w:lang w:val="en-US" w:eastAsia="zh-CN"/>
        </w:rPr>
        <w:t>国库</w:t>
      </w:r>
      <w:r>
        <w:rPr>
          <w:rFonts w:hint="eastAsia" w:ascii="Times New Roman" w:hAnsi="Times New Roman" w:eastAsia="仿宋_GB2312" w:cs="Times New Roman"/>
          <w:color w:val="auto"/>
          <w:sz w:val="32"/>
          <w:szCs w:val="32"/>
          <w:lang w:val="en-US" w:eastAsia="zh-CN"/>
        </w:rPr>
        <w:t>业务发生的支出。</w:t>
      </w:r>
    </w:p>
    <w:p w14:paraId="733FD3B6">
      <w:pPr>
        <w:pStyle w:val="15"/>
        <w:shd w:val="clear" w:color="auto" w:fill="FFFFFF"/>
        <w:ind w:firstLine="640" w:firstLineChars="200"/>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 xml:space="preserve"> 1</w:t>
      </w:r>
      <w:r>
        <w:rPr>
          <w:rFonts w:hint="eastAsia" w:eastAsia="仿宋_GB2312" w:cs="Times New Roman"/>
          <w:color w:val="auto"/>
          <w:sz w:val="32"/>
          <w:szCs w:val="32"/>
          <w:lang w:val="en-US" w:eastAsia="zh-CN"/>
        </w:rPr>
        <w:t>2</w:t>
      </w:r>
      <w:r>
        <w:rPr>
          <w:rFonts w:hint="eastAsia" w:ascii="Times New Roman" w:hAnsi="Times New Roman" w:eastAsia="仿宋_GB2312" w:cs="Times New Roman"/>
          <w:color w:val="auto"/>
          <w:sz w:val="32"/>
          <w:szCs w:val="32"/>
          <w:lang w:val="en-US" w:eastAsia="zh-CN"/>
        </w:rPr>
        <w:t>.一般公共服务（201）财政事务（06）财政委托业务支出(08):反映财政委托评审机构进行财政投资评审和委托建设银行等机构代理业务发生的支出。</w:t>
      </w:r>
    </w:p>
    <w:p w14:paraId="69D9E30F">
      <w:pPr>
        <w:pStyle w:val="15"/>
        <w:shd w:val="clear" w:color="auto" w:fill="FFFFFF"/>
        <w:ind w:firstLine="640" w:firstLineChars="200"/>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w:t>
      </w:r>
      <w:r>
        <w:rPr>
          <w:rFonts w:hint="eastAsia" w:eastAsia="仿宋_GB2312" w:cs="Times New Roman"/>
          <w:color w:val="auto"/>
          <w:sz w:val="32"/>
          <w:szCs w:val="32"/>
          <w:lang w:val="en-US" w:eastAsia="zh-CN"/>
        </w:rPr>
        <w:t>3</w:t>
      </w:r>
      <w:r>
        <w:rPr>
          <w:rFonts w:hint="eastAsia" w:ascii="Times New Roman" w:hAnsi="Times New Roman" w:eastAsia="仿宋_GB2312" w:cs="Times New Roman"/>
          <w:color w:val="auto"/>
          <w:sz w:val="32"/>
          <w:szCs w:val="32"/>
          <w:lang w:val="en-US" w:eastAsia="zh-CN"/>
        </w:rPr>
        <w:t>.一般公共服务（201）财政事务（06）其他财政事务支出(08)：反映除上述项目以处其他财政事务方面的支出。</w:t>
      </w:r>
    </w:p>
    <w:p w14:paraId="516537BC">
      <w:pPr>
        <w:pStyle w:val="15"/>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w:t>
      </w:r>
      <w:r>
        <w:rPr>
          <w:rFonts w:hint="eastAsia" w:eastAsia="仿宋_GB2312" w:cs="Times New Roman"/>
          <w:color w:val="auto"/>
          <w:sz w:val="32"/>
          <w:szCs w:val="32"/>
          <w:lang w:val="en-US" w:eastAsia="zh-CN"/>
        </w:rPr>
        <w:t>4</w:t>
      </w:r>
      <w:r>
        <w:rPr>
          <w:rFonts w:hint="eastAsia" w:ascii="Times New Roman" w:hAnsi="Times New Roman" w:eastAsia="仿宋_GB2312" w:cs="Times New Roman"/>
          <w:color w:val="auto"/>
          <w:sz w:val="32"/>
          <w:szCs w:val="32"/>
          <w:lang w:val="en-US" w:eastAsia="zh-CN"/>
        </w:rPr>
        <w:t>.社会保障和就业（208）行政事业单位离退休（05）机关事业单位养老保险缴费支出（05）是指反映机关事业单位实施养老保险制度由单位缴纳的基本养老保险费支出。</w:t>
      </w:r>
    </w:p>
    <w:p w14:paraId="27590B5E">
      <w:pPr>
        <w:pStyle w:val="15"/>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w:t>
      </w:r>
      <w:r>
        <w:rPr>
          <w:rFonts w:hint="eastAsia" w:eastAsia="仿宋_GB2312" w:cs="Times New Roman"/>
          <w:color w:val="auto"/>
          <w:sz w:val="32"/>
          <w:szCs w:val="32"/>
          <w:lang w:val="en-US" w:eastAsia="zh-CN"/>
        </w:rPr>
        <w:t>5</w:t>
      </w:r>
      <w:r>
        <w:rPr>
          <w:rFonts w:hint="eastAsia" w:ascii="Times New Roman" w:hAnsi="Times New Roman" w:eastAsia="仿宋_GB2312" w:cs="Times New Roman"/>
          <w:color w:val="auto"/>
          <w:sz w:val="32"/>
          <w:szCs w:val="32"/>
          <w:lang w:val="en-US" w:eastAsia="zh-CN"/>
        </w:rPr>
        <w:t>、社会保障和就业（208）行政事业单位离退休（05）机关事业单位职业年金缴费支出（06)是指反映机关事业单位实施养老保险制度由单位实际缴纳的职业年金的支出。</w:t>
      </w:r>
    </w:p>
    <w:p w14:paraId="326D1C91">
      <w:pPr>
        <w:pStyle w:val="15"/>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16.卫生健康（210）行政事业单位医疗（11）行政单位医疗（01）是指反映财政部门安排的行政单位（包括实行公务员管理的事业单位）基本医疗保险缴费经费，未参加医疗保险的行政单位的公费医疗经费，按国家规定享受离休人员待遇的医疗经费。</w:t>
      </w:r>
    </w:p>
    <w:p w14:paraId="5CF431A7">
      <w:pPr>
        <w:pStyle w:val="15"/>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17.卫生健康（210）行政事业单位医疗（11）公务员医疗补助（03）是指反映财政部门安排的公务员医疗补助经费。</w:t>
      </w:r>
    </w:p>
    <w:p w14:paraId="41A0B548">
      <w:pPr>
        <w:pStyle w:val="15"/>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w:t>
      </w:r>
      <w:r>
        <w:rPr>
          <w:rFonts w:hint="eastAsia" w:eastAsia="仿宋_GB2312" w:cs="Times New Roman"/>
          <w:color w:val="auto"/>
          <w:sz w:val="32"/>
          <w:szCs w:val="32"/>
          <w:lang w:val="en-US" w:eastAsia="zh-CN"/>
        </w:rPr>
        <w:t>8</w:t>
      </w:r>
      <w:r>
        <w:rPr>
          <w:rFonts w:hint="eastAsia" w:ascii="Times New Roman" w:hAnsi="Times New Roman" w:eastAsia="仿宋_GB2312" w:cs="Times New Roman"/>
          <w:color w:val="auto"/>
          <w:sz w:val="32"/>
          <w:szCs w:val="32"/>
          <w:lang w:val="en-US" w:eastAsia="zh-CN"/>
        </w:rPr>
        <w:t>.住房保障支出（221）住房改革支出（02）住房公积金（01）是指反映行政事业单位按人力资源和社会保障部、财政部规定的基本工资和津贴补贴以及规定比例为职工缴纳的住房公积金。</w:t>
      </w:r>
    </w:p>
    <w:p w14:paraId="36D4C18F">
      <w:pPr>
        <w:pStyle w:val="15"/>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eastAsia="仿宋_GB2312" w:cs="Times New Roman"/>
          <w:color w:val="auto"/>
          <w:sz w:val="32"/>
          <w:szCs w:val="32"/>
          <w:lang w:val="en-US" w:eastAsia="zh-CN"/>
        </w:rPr>
        <w:t>19</w:t>
      </w:r>
      <w:r>
        <w:rPr>
          <w:rFonts w:hint="eastAsia" w:ascii="Times New Roman" w:hAnsi="Times New Roman" w:eastAsia="仿宋_GB2312" w:cs="Times New Roman"/>
          <w:color w:val="auto"/>
          <w:sz w:val="32"/>
          <w:szCs w:val="32"/>
          <w:lang w:val="en-US" w:eastAsia="zh-CN"/>
        </w:rPr>
        <w:t>.</w:t>
      </w:r>
      <w:r>
        <w:rPr>
          <w:rFonts w:hint="eastAsia" w:eastAsia="仿宋_GB2312" w:cs="Times New Roman"/>
          <w:color w:val="auto"/>
          <w:sz w:val="32"/>
          <w:szCs w:val="32"/>
          <w:lang w:val="en-US" w:eastAsia="zh-CN"/>
        </w:rPr>
        <w:t>农林水支出</w:t>
      </w:r>
      <w:r>
        <w:rPr>
          <w:rFonts w:hint="eastAsia" w:ascii="Times New Roman" w:hAnsi="Times New Roman" w:eastAsia="仿宋_GB2312" w:cs="Times New Roman"/>
          <w:color w:val="auto"/>
          <w:sz w:val="32"/>
          <w:szCs w:val="32"/>
          <w:lang w:val="en-US" w:eastAsia="zh-CN"/>
        </w:rPr>
        <w:t>（</w:t>
      </w:r>
      <w:r>
        <w:rPr>
          <w:rFonts w:hint="eastAsia" w:eastAsia="仿宋_GB2312" w:cs="Times New Roman"/>
          <w:color w:val="auto"/>
          <w:sz w:val="32"/>
          <w:szCs w:val="32"/>
          <w:lang w:val="en-US" w:eastAsia="zh-CN"/>
        </w:rPr>
        <w:t>213</w:t>
      </w:r>
      <w:r>
        <w:rPr>
          <w:rFonts w:hint="eastAsia" w:ascii="Times New Roman" w:hAnsi="Times New Roman" w:eastAsia="仿宋_GB2312" w:cs="Times New Roman"/>
          <w:color w:val="auto"/>
          <w:sz w:val="32"/>
          <w:szCs w:val="32"/>
          <w:lang w:val="en-US" w:eastAsia="zh-CN"/>
        </w:rPr>
        <w:t>）</w:t>
      </w:r>
      <w:r>
        <w:rPr>
          <w:rFonts w:hint="eastAsia" w:eastAsia="仿宋_GB2312" w:cs="Times New Roman"/>
          <w:color w:val="auto"/>
          <w:sz w:val="32"/>
          <w:szCs w:val="32"/>
          <w:lang w:val="en-US" w:eastAsia="zh-CN"/>
        </w:rPr>
        <w:t>巩固脱贫攻坚成果衔接乡村振兴支出</w:t>
      </w:r>
      <w:r>
        <w:rPr>
          <w:rFonts w:hint="eastAsia" w:ascii="Times New Roman" w:hAnsi="Times New Roman" w:eastAsia="仿宋_GB2312" w:cs="Times New Roman"/>
          <w:color w:val="auto"/>
          <w:sz w:val="32"/>
          <w:szCs w:val="32"/>
          <w:lang w:val="en-US" w:eastAsia="zh-CN"/>
        </w:rPr>
        <w:t>（</w:t>
      </w:r>
      <w:r>
        <w:rPr>
          <w:rFonts w:hint="eastAsia" w:eastAsia="仿宋_GB2312" w:cs="Times New Roman"/>
          <w:color w:val="auto"/>
          <w:sz w:val="32"/>
          <w:szCs w:val="32"/>
          <w:lang w:val="en-US" w:eastAsia="zh-CN"/>
        </w:rPr>
        <w:t>05</w:t>
      </w:r>
      <w:r>
        <w:rPr>
          <w:rFonts w:hint="eastAsia" w:ascii="Times New Roman" w:hAnsi="Times New Roman" w:eastAsia="仿宋_GB2312" w:cs="Times New Roman"/>
          <w:color w:val="auto"/>
          <w:sz w:val="32"/>
          <w:szCs w:val="32"/>
          <w:lang w:val="en-US" w:eastAsia="zh-CN"/>
        </w:rPr>
        <w:t>）</w:t>
      </w:r>
      <w:r>
        <w:rPr>
          <w:rFonts w:hint="eastAsia" w:eastAsia="仿宋_GB2312" w:cs="Times New Roman"/>
          <w:color w:val="auto"/>
          <w:sz w:val="32"/>
          <w:szCs w:val="32"/>
          <w:lang w:val="en-US" w:eastAsia="zh-CN"/>
        </w:rPr>
        <w:t>其他巩固脱贫攻坚成果衔接乡村振兴支出</w:t>
      </w:r>
      <w:r>
        <w:rPr>
          <w:rFonts w:hint="eastAsia" w:ascii="Times New Roman" w:hAnsi="Times New Roman" w:eastAsia="仿宋_GB2312" w:cs="Times New Roman"/>
          <w:color w:val="auto"/>
          <w:sz w:val="32"/>
          <w:szCs w:val="32"/>
          <w:lang w:val="en-US" w:eastAsia="zh-CN"/>
        </w:rPr>
        <w:t>（</w:t>
      </w:r>
      <w:r>
        <w:rPr>
          <w:rFonts w:hint="eastAsia" w:eastAsia="仿宋_GB2312" w:cs="Times New Roman"/>
          <w:color w:val="auto"/>
          <w:sz w:val="32"/>
          <w:szCs w:val="32"/>
          <w:lang w:val="en-US" w:eastAsia="zh-CN"/>
        </w:rPr>
        <w:t>99</w:t>
      </w:r>
      <w:r>
        <w:rPr>
          <w:rFonts w:hint="eastAsia" w:ascii="Times New Roman" w:hAnsi="Times New Roman" w:eastAsia="仿宋_GB2312" w:cs="Times New Roman"/>
          <w:color w:val="auto"/>
          <w:sz w:val="32"/>
          <w:szCs w:val="32"/>
          <w:lang w:val="en-US" w:eastAsia="zh-CN"/>
        </w:rPr>
        <w:t>）：</w:t>
      </w:r>
    </w:p>
    <w:p w14:paraId="4DED298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.基本支出：指为保障机构正常运转、完成日常工作任务而发生的人员支出和公用支出。</w:t>
      </w:r>
    </w:p>
    <w:p w14:paraId="418A548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 xml:space="preserve">.项目支出：指在基本支出之外为完成特定行政任务和事业发展目标所发生的支出。 </w:t>
      </w:r>
    </w:p>
    <w:p w14:paraId="48F9372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.经营支出：指事业单位在专业业务活动及其辅助活动之外开展非独立核算经营活动发生的支出。</w:t>
      </w:r>
    </w:p>
    <w:p w14:paraId="3812896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3.</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三公</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40119A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24</w:t>
      </w:r>
      <w:r>
        <w:rPr>
          <w:rFonts w:hint="eastAsia" w:ascii="Times New Roman" w:hAnsi="Times New Roman" w:eastAsia="仿宋_GB2312" w:cs="仿宋_GB2312"/>
          <w:color w:val="auto"/>
          <w:kern w:val="2"/>
          <w:sz w:val="32"/>
          <w:szCs w:val="32"/>
          <w:highlight w:val="none"/>
          <w:lang w:val="en-US" w:eastAsia="zh-CN" w:bidi="ar-SA"/>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98AA547">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（注：名词解释部分请根据各部门实际列支情况罗列，并根据本部门职责职能增减名词解释内容）</w:t>
      </w:r>
    </w:p>
    <w:p w14:paraId="7BACBC48">
      <w:pPr>
        <w:spacing w:line="600" w:lineRule="exact"/>
        <w:jc w:val="center"/>
        <w:rPr>
          <w:rStyle w:val="29"/>
          <w:rFonts w:hint="eastAsia" w:ascii="Times New Roman" w:hAnsi="Times New Roman" w:eastAsia="黑体"/>
          <w:b w:val="0"/>
          <w:color w:val="auto"/>
          <w:highlight w:val="none"/>
          <w:lang w:eastAsia="zh-CN"/>
        </w:rPr>
      </w:pPr>
      <w:bookmarkStart w:id="97"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98" w:name="_Toc15396614"/>
      <w:bookmarkStart w:id="99" w:name="_Toc24483_WPSOffice_Level1"/>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98"/>
      <w:bookmarkEnd w:id="99"/>
    </w:p>
    <w:p w14:paraId="651DA924">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14:paraId="2750E0F5">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121C553A">
      <w:pPr>
        <w:keepNext w:val="0"/>
        <w:keepLines w:val="0"/>
        <w:pageBreakBefore w:val="0"/>
        <w:widowControl/>
        <w:kinsoku/>
        <w:wordWrap/>
        <w:overflowPunct/>
        <w:topLinePunct w:val="0"/>
        <w:autoSpaceDE/>
        <w:autoSpaceDN/>
        <w:bidi w:val="0"/>
        <w:spacing w:line="578" w:lineRule="exact"/>
        <w:contextualSpacing/>
        <w:jc w:val="both"/>
        <w:textAlignment w:val="auto"/>
        <w:outlineLvl w:val="9"/>
        <w:rPr>
          <w:rFonts w:hint="default" w:ascii="Times New Roman" w:hAnsi="Times New Roman" w:eastAsia="宋体" w:cs="Times New Roman"/>
          <w:b/>
          <w:sz w:val="44"/>
          <w:szCs w:val="44"/>
          <w:highlight w:val="none"/>
          <w:shd w:val="clear" w:color="auto" w:fill="FFFFFF"/>
        </w:rPr>
      </w:pPr>
    </w:p>
    <w:p w14:paraId="3B3066D4">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sz w:val="48"/>
          <w:szCs w:val="48"/>
          <w:lang w:val="en-US" w:eastAsia="zh-CN"/>
        </w:rPr>
      </w:pPr>
      <w:bookmarkStart w:id="100" w:name="_Toc6686_WPSOffice_Level2"/>
      <w:r>
        <w:rPr>
          <w:rFonts w:hint="eastAsia" w:ascii="黑体" w:hAnsi="黑体" w:eastAsia="黑体" w:cs="黑体"/>
          <w:sz w:val="48"/>
          <w:szCs w:val="48"/>
        </w:rPr>
        <w:t>202</w:t>
      </w:r>
      <w:r>
        <w:rPr>
          <w:rFonts w:hint="eastAsia" w:ascii="黑体" w:hAnsi="黑体" w:eastAsia="黑体" w:cs="黑体"/>
          <w:sz w:val="48"/>
          <w:szCs w:val="48"/>
          <w:lang w:val="en-US" w:eastAsia="zh-CN"/>
        </w:rPr>
        <w:t>4</w:t>
      </w:r>
      <w:r>
        <w:rPr>
          <w:rFonts w:hint="eastAsia" w:ascii="黑体" w:hAnsi="黑体" w:eastAsia="黑体" w:cs="黑体"/>
          <w:sz w:val="48"/>
          <w:szCs w:val="48"/>
        </w:rPr>
        <w:t>年</w:t>
      </w:r>
      <w:r>
        <w:rPr>
          <w:rFonts w:hint="eastAsia" w:ascii="黑体" w:hAnsi="黑体" w:eastAsia="黑体" w:cs="黑体"/>
          <w:sz w:val="48"/>
          <w:szCs w:val="48"/>
          <w:lang w:val="en-US" w:eastAsia="zh-CN"/>
        </w:rPr>
        <w:t>九寨沟县</w:t>
      </w:r>
      <w:bookmarkEnd w:id="100"/>
    </w:p>
    <w:p w14:paraId="2D1D0819">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sz w:val="48"/>
          <w:szCs w:val="48"/>
        </w:rPr>
      </w:pPr>
      <w:bookmarkStart w:id="101" w:name="_Toc20351_WPSOffice_Level2"/>
      <w:r>
        <w:rPr>
          <w:rFonts w:hint="eastAsia" w:ascii="黑体" w:hAnsi="黑体" w:eastAsia="黑体" w:cs="黑体"/>
          <w:sz w:val="48"/>
          <w:szCs w:val="48"/>
          <w:lang w:val="en-US" w:eastAsia="zh-CN"/>
        </w:rPr>
        <w:t>财政局</w:t>
      </w:r>
      <w:r>
        <w:rPr>
          <w:rFonts w:hint="eastAsia" w:ascii="黑体" w:hAnsi="黑体" w:eastAsia="黑体" w:cs="黑体"/>
          <w:sz w:val="48"/>
          <w:szCs w:val="48"/>
        </w:rPr>
        <w:t>整体支出绩效评价报告</w:t>
      </w:r>
      <w:bookmarkEnd w:id="101"/>
    </w:p>
    <w:p w14:paraId="2D90B01D">
      <w:pPr>
        <w:pStyle w:val="2"/>
        <w:rPr>
          <w:rFonts w:hint="eastAsia"/>
        </w:rPr>
      </w:pPr>
    </w:p>
    <w:p w14:paraId="38F7D111">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bookmarkStart w:id="102" w:name="_Toc22018_WPSOffice_Level2"/>
      <w:r>
        <w:rPr>
          <w:rFonts w:hint="eastAsia" w:ascii="Times New Roman" w:hAnsi="Times New Roman" w:eastAsia="仿宋_GB2312" w:cs="仿宋_GB2312"/>
          <w:color w:val="auto"/>
          <w:kern w:val="2"/>
          <w:sz w:val="32"/>
          <w:szCs w:val="32"/>
          <w:highlight w:val="none"/>
          <w:lang w:val="zh-CN" w:eastAsia="zh-CN" w:bidi="ar-SA"/>
        </w:rPr>
        <w:t>一、</w:t>
      </w:r>
      <w:r>
        <w:rPr>
          <w:rFonts w:hint="default" w:ascii="Times New Roman" w:hAnsi="Times New Roman" w:eastAsia="仿宋_GB2312" w:cs="仿宋_GB2312"/>
          <w:color w:val="auto"/>
          <w:kern w:val="2"/>
          <w:sz w:val="32"/>
          <w:szCs w:val="32"/>
          <w:highlight w:val="none"/>
          <w:lang w:val="zh-CN" w:eastAsia="zh-CN" w:bidi="ar-SA"/>
        </w:rPr>
        <w:t>部门（单位）基本情况</w:t>
      </w:r>
      <w:bookmarkEnd w:id="102"/>
    </w:p>
    <w:p w14:paraId="24BD0BCE">
      <w:pPr>
        <w:spacing w:line="600" w:lineRule="exact"/>
        <w:ind w:firstLine="640"/>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zh-CN" w:eastAsia="zh-CN" w:bidi="ar-SA"/>
        </w:rPr>
        <w:t>（一）</w:t>
      </w:r>
      <w:r>
        <w:rPr>
          <w:rFonts w:hint="default" w:ascii="Times New Roman" w:hAnsi="Times New Roman" w:eastAsia="仿宋_GB2312" w:cs="仿宋_GB2312"/>
          <w:color w:val="auto"/>
          <w:kern w:val="2"/>
          <w:sz w:val="32"/>
          <w:szCs w:val="32"/>
          <w:highlight w:val="none"/>
          <w:lang w:val="zh-CN" w:eastAsia="zh-CN" w:bidi="ar-SA"/>
        </w:rPr>
        <w:t>机构组成。</w:t>
      </w:r>
    </w:p>
    <w:p w14:paraId="68D8F5AD">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九寨沟县财政局（简称县财政局）是九寨沟县人民政府工作部门，为正科级，下设办公室、预算股、国库股、法规和资产管理股、政府采购监督管理股、经建和金融股、行政政法和教科文股、社会保障股、自然资源环境和农业农村股、财政监督和绩效评价股、投资评审中心等。另设二级单位，九寨沟县国库集中支付中心。</w:t>
      </w:r>
    </w:p>
    <w:p w14:paraId="70A3C699">
      <w:pPr>
        <w:spacing w:line="600" w:lineRule="exact"/>
        <w:ind w:firstLine="640"/>
        <w:rPr>
          <w:rFonts w:hint="eastAsia" w:ascii="Times New Roman" w:hAnsi="Times New Roman" w:eastAsia="仿宋_GB2312" w:cs="仿宋_GB2312"/>
          <w:color w:val="auto"/>
          <w:kern w:val="2"/>
          <w:sz w:val="32"/>
          <w:szCs w:val="32"/>
          <w:highlight w:val="none"/>
          <w:lang w:val="zh-CN" w:eastAsia="zh-CN" w:bidi="ar-SA"/>
        </w:rPr>
      </w:pPr>
      <w:r>
        <w:rPr>
          <w:rFonts w:hint="default" w:ascii="Times New Roman" w:hAnsi="Times New Roman" w:eastAsia="仿宋_GB2312" w:cs="仿宋_GB2312"/>
          <w:color w:val="auto"/>
          <w:kern w:val="2"/>
          <w:sz w:val="32"/>
          <w:szCs w:val="32"/>
          <w:highlight w:val="none"/>
          <w:lang w:val="zh-CN" w:eastAsia="zh-CN" w:bidi="ar-SA"/>
        </w:rPr>
        <w:t>机构职能</w:t>
      </w:r>
      <w:r>
        <w:rPr>
          <w:rFonts w:hint="eastAsia" w:ascii="Times New Roman" w:hAnsi="Times New Roman" w:eastAsia="仿宋_GB2312" w:cs="仿宋_GB2312"/>
          <w:color w:val="auto"/>
          <w:kern w:val="2"/>
          <w:sz w:val="32"/>
          <w:szCs w:val="32"/>
          <w:highlight w:val="none"/>
          <w:lang w:val="zh-CN" w:eastAsia="zh-CN" w:bidi="ar-SA"/>
        </w:rPr>
        <w:t>。</w:t>
      </w:r>
    </w:p>
    <w:p w14:paraId="7F98FD7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拟订全县财税发展战略、规划、政策和改革方案并组织实施。分析预测宏观经济形势，参与制定宏观经济政策，提出运用财税政策实施宏观调控和综合平衡社会财力的建议。贯彻落实国家与企业的分配政策，完善鼓励公益事业发展的财税政策。</w:t>
      </w:r>
    </w:p>
    <w:p w14:paraId="036D8C0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2.贯彻执行财政、税收、财务、会计管理的法律法规和规章。提出全县性财税立法规划建议，按照管理权限管理全县税政事项。</w:t>
      </w:r>
    </w:p>
    <w:p w14:paraId="150A359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负责管理各项财政收支。编制年度县级预决算草案并组织执行。组织制定经费开支标准、定额，审核批复部门（单位）年度预决算。受县政府委托，向县人大及其常委会报告财政预算执行和决算等情况。负责政府投资基金县级财政出资的资产管理。负责县级预决算公开。负责全面实施预算绩效管理。</w:t>
      </w:r>
    </w:p>
    <w:p w14:paraId="658E6C3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4.按分工负责政府非税收入管理。负责政府性基金管理，按规定管理行政事业性收费等其他非税收入。管理财政票据。贯彻落实彩票管理政策和有关办法，监管彩票市场，按规定管理彩票基金。</w:t>
      </w:r>
    </w:p>
    <w:p w14:paraId="71845D3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5.组织制定全县国库管理制度、国库集中收付制度，指导和监督国库业务，开展国库现金管理工作。贯彻执行政府财务报告编制办法并组织实施。负责制定政府采购制度并监督管理。</w:t>
      </w:r>
    </w:p>
    <w:p w14:paraId="2054A1D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6.贯彻执行地方政府债务管理制度和政策，制定具体管理办法，执行地方政府债余额限额计划，统一管理政府外债，防范财政风险。</w:t>
      </w:r>
    </w:p>
    <w:p w14:paraId="5BF4C73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牵头编制全县国有资产管理情况报告。根据县政府授权，集中统一履行县级国有金融资本出资人职责。制定县级国有金融资本管理制度。拟订全县行政事业单位国有资产管理制度并组织实施。制定需要全县统一规定的开支标准和支出政策。</w:t>
      </w:r>
    </w:p>
    <w:p w14:paraId="10C74A1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负责审核并汇总编制全县国有资本经营预决算草案。制定国有资本经营预算制度和办法，收取县本级企业国有资本收益。组织实施企业财务制度，负责财政预算内行政事业单位和社会团体的非贸易外汇和财政预算内的国际收支管理。</w:t>
      </w:r>
    </w:p>
    <w:p w14:paraId="30B3F44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9.负责审核并汇总编制全县社会保险基金预决算草案，会同有关部门拟订有关资金（基金）财务管理制度，承担社会保险基金财政监管工作。</w:t>
      </w:r>
    </w:p>
    <w:p w14:paraId="4BCBD66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10.负责办理和监督县级财政的经济发展支出、县级政府性投资项目的财政拨款，负责投资评审管理工作，参与拟订县级基建投资有关政策，执行基建财务管理制度。</w:t>
      </w:r>
    </w:p>
    <w:p w14:paraId="5BE53A3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11.管理外国政府和国际金融机构贷（赠）款项目的有关业务，参与财经领域的国际交流与合作。</w:t>
      </w:r>
    </w:p>
    <w:p w14:paraId="69F42A3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12.负责管理全县会计工作，监督和规范会计行为，组织实施国家统一的会计制度，指导和管理社会审计。依法管理资产评估有关工作。</w:t>
      </w:r>
    </w:p>
    <w:p w14:paraId="5D23C80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    13.负责职责范围内的安全生产和职业健康、生态环境保护、审批服务便民化等工作。</w:t>
      </w:r>
    </w:p>
    <w:p w14:paraId="4608BFD3">
      <w:pPr>
        <w:spacing w:line="600" w:lineRule="exact"/>
        <w:ind w:firstLine="640"/>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14.完成县委、县政府交办的其他任务。</w:t>
      </w:r>
    </w:p>
    <w:p w14:paraId="39D97B83">
      <w:pPr>
        <w:spacing w:line="600" w:lineRule="exact"/>
        <w:ind w:firstLine="640"/>
        <w:rPr>
          <w:rFonts w:hint="default" w:ascii="Times New Roman" w:hAnsi="Times New Roman" w:eastAsia="仿宋_GB2312" w:cs="仿宋_GB2312"/>
          <w:color w:val="auto"/>
          <w:kern w:val="2"/>
          <w:sz w:val="32"/>
          <w:szCs w:val="32"/>
          <w:highlight w:val="none"/>
          <w:lang w:val="zh-CN" w:eastAsia="zh-CN" w:bidi="ar-SA"/>
        </w:rPr>
      </w:pPr>
    </w:p>
    <w:p w14:paraId="1815C8F7">
      <w:pPr>
        <w:spacing w:line="600" w:lineRule="exact"/>
        <w:ind w:firstLine="640"/>
        <w:rPr>
          <w:rFonts w:hint="eastAsia" w:ascii="Times New Roman" w:hAnsi="Times New Roman" w:eastAsia="仿宋_GB2312" w:cs="仿宋_GB2312"/>
          <w:color w:val="auto"/>
          <w:kern w:val="2"/>
          <w:sz w:val="32"/>
          <w:szCs w:val="32"/>
          <w:highlight w:val="none"/>
          <w:lang w:val="zh-CN" w:eastAsia="zh-CN" w:bidi="ar-SA"/>
        </w:rPr>
      </w:pPr>
      <w:r>
        <w:rPr>
          <w:rFonts w:hint="default" w:ascii="Times New Roman" w:hAnsi="Times New Roman" w:eastAsia="仿宋_GB2312" w:cs="仿宋_GB2312"/>
          <w:color w:val="auto"/>
          <w:kern w:val="2"/>
          <w:sz w:val="32"/>
          <w:szCs w:val="32"/>
          <w:highlight w:val="none"/>
          <w:lang w:val="zh-CN" w:eastAsia="zh-CN" w:bidi="ar-SA"/>
        </w:rPr>
        <w:t>人员概况</w:t>
      </w:r>
      <w:r>
        <w:rPr>
          <w:rFonts w:hint="eastAsia" w:ascii="Times New Roman" w:hAnsi="Times New Roman" w:eastAsia="仿宋_GB2312" w:cs="仿宋_GB2312"/>
          <w:color w:val="auto"/>
          <w:kern w:val="2"/>
          <w:sz w:val="32"/>
          <w:szCs w:val="32"/>
          <w:highlight w:val="none"/>
          <w:lang w:val="zh-CN" w:eastAsia="zh-CN" w:bidi="ar-SA"/>
        </w:rPr>
        <w:t>。</w:t>
      </w:r>
    </w:p>
    <w:p w14:paraId="11258644">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仿宋_GB2312" w:cs="仿宋_GB2312"/>
          <w:color w:val="auto"/>
          <w:kern w:val="2"/>
          <w:sz w:val="32"/>
          <w:szCs w:val="32"/>
          <w:highlight w:val="none"/>
          <w:lang w:val="en-US" w:eastAsia="zh-CN" w:bidi="ar-SA"/>
        </w:rPr>
        <w:t>截至202</w:t>
      </w:r>
      <w:r>
        <w:rPr>
          <w:rFonts w:hint="eastAsia" w:ascii="Times New Roman" w:hAnsi="Times New Roman" w:eastAsia="仿宋_GB2312" w:cs="仿宋_GB2312"/>
          <w:color w:val="auto"/>
          <w:kern w:val="2"/>
          <w:sz w:val="32"/>
          <w:szCs w:val="32"/>
          <w:highlight w:val="none"/>
          <w:lang w:val="en-US" w:eastAsia="zh-CN" w:bidi="ar-SA"/>
        </w:rPr>
        <w:t>4</w:t>
      </w:r>
      <w:r>
        <w:rPr>
          <w:rFonts w:hint="default" w:ascii="Times New Roman" w:hAnsi="Times New Roman" w:eastAsia="仿宋_GB2312" w:cs="仿宋_GB2312"/>
          <w:color w:val="auto"/>
          <w:kern w:val="2"/>
          <w:sz w:val="32"/>
          <w:szCs w:val="32"/>
          <w:highlight w:val="none"/>
          <w:lang w:val="en-US" w:eastAsia="zh-CN" w:bidi="ar-SA"/>
        </w:rPr>
        <w:t>年末</w:t>
      </w:r>
      <w:r>
        <w:rPr>
          <w:rFonts w:hint="eastAsia" w:ascii="Times New Roman" w:hAnsi="Times New Roman" w:eastAsia="仿宋_GB2312" w:cs="仿宋_GB2312"/>
          <w:color w:val="auto"/>
          <w:kern w:val="2"/>
          <w:sz w:val="32"/>
          <w:szCs w:val="32"/>
          <w:highlight w:val="none"/>
          <w:lang w:val="en-US" w:eastAsia="zh-CN" w:bidi="ar-SA"/>
        </w:rPr>
        <w:t>九寨沟县财政局行政编制18名。其中，局长1名，副局长2名，股级领导职数10名。机关工勤人员编制2名。事业编制11名。2024年12月年末实有人数共计28人，退休20人。下设二级单位一个，九寨沟县国库集中支付中心，属参公单位，编制22名，其中：参公人员21名，工勤人员编制1名，2024年末实有人数共计17人，退休5人。</w:t>
      </w:r>
    </w:p>
    <w:p w14:paraId="77696342">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p>
    <w:p w14:paraId="134EF3D5">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bookmarkStart w:id="103" w:name="_Toc15544_WPSOffice_Level2"/>
      <w:r>
        <w:rPr>
          <w:rFonts w:hint="default" w:ascii="Times New Roman" w:hAnsi="Times New Roman" w:eastAsia="仿宋_GB2312" w:cs="仿宋_GB2312"/>
          <w:color w:val="auto"/>
          <w:kern w:val="2"/>
          <w:sz w:val="32"/>
          <w:szCs w:val="32"/>
          <w:highlight w:val="none"/>
          <w:lang w:val="en-US" w:eastAsia="zh-CN" w:bidi="ar-SA"/>
        </w:rPr>
        <w:t>二、部门资金收支情况</w:t>
      </w:r>
      <w:bookmarkEnd w:id="103"/>
    </w:p>
    <w:p w14:paraId="754CDAD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仿宋_GB2312" w:cs="仿宋_GB2312"/>
          <w:color w:val="auto"/>
          <w:kern w:val="2"/>
          <w:sz w:val="32"/>
          <w:szCs w:val="32"/>
          <w:highlight w:val="none"/>
          <w:lang w:val="zh-CN" w:eastAsia="zh-CN" w:bidi="ar-SA"/>
        </w:rPr>
        <w:t>（一）</w:t>
      </w:r>
      <w:r>
        <w:rPr>
          <w:rFonts w:hint="eastAsia" w:ascii="Times New Roman" w:hAnsi="Times New Roman" w:eastAsia="仿宋_GB2312" w:cs="仿宋_GB2312"/>
          <w:color w:val="auto"/>
          <w:kern w:val="2"/>
          <w:sz w:val="32"/>
          <w:szCs w:val="32"/>
          <w:highlight w:val="none"/>
          <w:lang w:val="zh-CN" w:eastAsia="zh-CN" w:bidi="ar-SA"/>
        </w:rPr>
        <w:t>收入情况</w:t>
      </w:r>
      <w:r>
        <w:rPr>
          <w:rFonts w:hint="default" w:ascii="Times New Roman" w:hAnsi="Times New Roman" w:eastAsia="仿宋_GB2312" w:cs="仿宋_GB2312"/>
          <w:color w:val="auto"/>
          <w:kern w:val="2"/>
          <w:sz w:val="32"/>
          <w:szCs w:val="32"/>
          <w:highlight w:val="none"/>
          <w:lang w:val="zh-CN" w:eastAsia="zh-CN" w:bidi="ar-SA"/>
        </w:rPr>
        <w:t>。</w:t>
      </w:r>
      <w:r>
        <w:rPr>
          <w:rFonts w:hint="eastAsia" w:ascii="Times New Roman" w:hAnsi="Times New Roman" w:eastAsia="仿宋_GB2312" w:cs="仿宋_GB2312"/>
          <w:color w:val="auto"/>
          <w:kern w:val="2"/>
          <w:sz w:val="32"/>
          <w:szCs w:val="32"/>
          <w:highlight w:val="none"/>
          <w:lang w:val="en-US" w:eastAsia="zh-CN" w:bidi="ar-SA"/>
        </w:rPr>
        <w:t xml:space="preserve"> </w:t>
      </w:r>
    </w:p>
    <w:p w14:paraId="436E20D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财政局2024年收入预算1131.8万元，一般公共预算财政拨款收入1131.80万元，占93.33%，当年存量资金80.90万元,占6.67%，其中：一般公共服务支出1212.69万元，社会保障和就业支出146.45万元，卫生健康支出56.35万元，住房保障支出69.88万元。</w:t>
      </w:r>
    </w:p>
    <w:p w14:paraId="3FBB5C1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zh-CN" w:eastAsia="zh-CN" w:bidi="ar-SA"/>
        </w:rPr>
        <w:t>支出情况</w:t>
      </w:r>
      <w:r>
        <w:rPr>
          <w:rFonts w:hint="default" w:ascii="Times New Roman" w:hAnsi="Times New Roman" w:eastAsia="仿宋_GB2312" w:cs="仿宋_GB2312"/>
          <w:color w:val="auto"/>
          <w:kern w:val="2"/>
          <w:sz w:val="32"/>
          <w:szCs w:val="32"/>
          <w:highlight w:val="none"/>
          <w:lang w:val="zh-CN" w:eastAsia="zh-CN" w:bidi="ar-SA"/>
        </w:rPr>
        <w:t>。</w:t>
      </w:r>
      <w:r>
        <w:rPr>
          <w:rFonts w:hint="eastAsia" w:ascii="Times New Roman" w:hAnsi="Times New Roman" w:eastAsia="仿宋_GB2312" w:cs="仿宋_GB2312"/>
          <w:color w:val="auto"/>
          <w:kern w:val="2"/>
          <w:sz w:val="32"/>
          <w:szCs w:val="32"/>
          <w:highlight w:val="none"/>
          <w:lang w:val="en-US" w:eastAsia="zh-CN" w:bidi="ar-SA"/>
        </w:rPr>
        <w:t xml:space="preserve"> </w:t>
      </w:r>
    </w:p>
    <w:p w14:paraId="629DC51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财政局2024年年末累计支出预算1212.69万元，其中：基本支出1111.22万元，占91.63%。项目支出101.47万元，占8.37%。工资性支出917.41万元，商品和服务支出230.76万元，对个人和家庭补助支出64.53万元，资本性支出0万元。</w:t>
      </w:r>
    </w:p>
    <w:p w14:paraId="75A9C81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仿宋_GB2312" w:cs="仿宋_GB2312"/>
          <w:color w:val="auto"/>
          <w:kern w:val="2"/>
          <w:sz w:val="32"/>
          <w:szCs w:val="32"/>
          <w:highlight w:val="none"/>
          <w:lang w:val="en-US" w:eastAsia="zh-CN" w:bidi="ar-SA"/>
        </w:rPr>
        <w:t>结余分配和结转结余情况</w:t>
      </w:r>
      <w:r>
        <w:rPr>
          <w:rFonts w:hint="eastAsia" w:ascii="Times New Roman" w:hAnsi="Times New Roman" w:eastAsia="仿宋_GB2312" w:cs="仿宋_GB2312"/>
          <w:color w:val="auto"/>
          <w:kern w:val="2"/>
          <w:sz w:val="32"/>
          <w:szCs w:val="32"/>
          <w:highlight w:val="none"/>
          <w:lang w:val="en-US" w:eastAsia="zh-CN" w:bidi="ar-SA"/>
        </w:rPr>
        <w:t>。</w:t>
      </w:r>
    </w:p>
    <w:p w14:paraId="293C7308">
      <w:pPr>
        <w:spacing w:line="600" w:lineRule="exact"/>
        <w:ind w:firstLine="640"/>
        <w:rPr>
          <w:rFonts w:hint="default"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财政局2024年决算报表</w:t>
      </w:r>
      <w:r>
        <w:rPr>
          <w:rFonts w:hint="default" w:ascii="Times New Roman" w:hAnsi="Times New Roman" w:eastAsia="仿宋_GB2312" w:cs="仿宋_GB2312"/>
          <w:color w:val="auto"/>
          <w:kern w:val="2"/>
          <w:sz w:val="32"/>
          <w:szCs w:val="32"/>
          <w:highlight w:val="none"/>
          <w:lang w:val="en-US" w:eastAsia="zh-CN" w:bidi="ar-SA"/>
        </w:rPr>
        <w:t>结转结余</w:t>
      </w:r>
      <w:r>
        <w:rPr>
          <w:rFonts w:hint="eastAsia" w:ascii="Times New Roman" w:hAnsi="Times New Roman" w:eastAsia="仿宋_GB2312" w:cs="仿宋_GB2312"/>
          <w:color w:val="auto"/>
          <w:kern w:val="2"/>
          <w:sz w:val="32"/>
          <w:szCs w:val="32"/>
          <w:highlight w:val="none"/>
          <w:lang w:val="en-US" w:eastAsia="zh-CN" w:bidi="ar-SA"/>
        </w:rPr>
        <w:t>为0</w:t>
      </w:r>
      <w:r>
        <w:rPr>
          <w:rFonts w:hint="default" w:ascii="Times New Roman" w:hAnsi="Times New Roman" w:eastAsia="仿宋_GB2312" w:cs="仿宋_GB2312"/>
          <w:color w:val="auto"/>
          <w:kern w:val="2"/>
          <w:sz w:val="32"/>
          <w:szCs w:val="32"/>
          <w:highlight w:val="none"/>
          <w:lang w:val="en-US" w:eastAsia="zh-CN" w:bidi="ar-SA"/>
        </w:rPr>
        <w:t>。</w:t>
      </w:r>
    </w:p>
    <w:p w14:paraId="1EB876D3">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bookmarkStart w:id="104" w:name="_Toc3914_WPSOffice_Level2"/>
      <w:r>
        <w:rPr>
          <w:rFonts w:hint="default" w:ascii="Times New Roman" w:hAnsi="Times New Roman" w:eastAsia="仿宋_GB2312" w:cs="仿宋_GB2312"/>
          <w:color w:val="auto"/>
          <w:kern w:val="2"/>
          <w:sz w:val="32"/>
          <w:szCs w:val="32"/>
          <w:highlight w:val="none"/>
          <w:lang w:val="en-US" w:eastAsia="zh-CN" w:bidi="ar-SA"/>
        </w:rPr>
        <w:t>三、部门预算绩效分析</w:t>
      </w:r>
      <w:bookmarkEnd w:id="104"/>
    </w:p>
    <w:p w14:paraId="3C643EC4">
      <w:pPr>
        <w:spacing w:line="600" w:lineRule="exact"/>
        <w:ind w:firstLine="640"/>
        <w:rPr>
          <w:rFonts w:hint="default" w:ascii="Times New Roman" w:hAnsi="Times New Roman" w:eastAsia="仿宋_GB2312" w:cs="仿宋_GB2312"/>
          <w:color w:val="auto"/>
          <w:kern w:val="2"/>
          <w:sz w:val="32"/>
          <w:szCs w:val="32"/>
          <w:highlight w:val="none"/>
          <w:lang w:val="zh-CN" w:eastAsia="zh-CN" w:bidi="ar-SA"/>
        </w:rPr>
      </w:pPr>
      <w:r>
        <w:rPr>
          <w:rFonts w:hint="default" w:ascii="Times New Roman" w:hAnsi="Times New Roman" w:eastAsia="仿宋_GB2312" w:cs="仿宋_GB2312"/>
          <w:color w:val="auto"/>
          <w:kern w:val="2"/>
          <w:sz w:val="32"/>
          <w:szCs w:val="32"/>
          <w:highlight w:val="none"/>
          <w:lang w:val="zh-CN" w:eastAsia="zh-CN" w:bidi="ar-SA"/>
        </w:rPr>
        <w:t>（一）</w:t>
      </w:r>
      <w:r>
        <w:rPr>
          <w:rFonts w:hint="eastAsia" w:ascii="Times New Roman" w:hAnsi="Times New Roman" w:eastAsia="仿宋_GB2312" w:cs="仿宋_GB2312"/>
          <w:color w:val="auto"/>
          <w:kern w:val="2"/>
          <w:sz w:val="32"/>
          <w:szCs w:val="32"/>
          <w:highlight w:val="none"/>
          <w:lang w:val="zh-CN" w:eastAsia="zh-CN" w:bidi="ar-SA"/>
        </w:rPr>
        <w:t>部门预算</w:t>
      </w:r>
      <w:r>
        <w:rPr>
          <w:rFonts w:hint="default" w:ascii="Times New Roman" w:hAnsi="Times New Roman" w:eastAsia="仿宋_GB2312" w:cs="仿宋_GB2312"/>
          <w:color w:val="auto"/>
          <w:kern w:val="2"/>
          <w:sz w:val="32"/>
          <w:szCs w:val="32"/>
          <w:highlight w:val="none"/>
          <w:lang w:val="zh-CN" w:eastAsia="zh-CN" w:bidi="ar-SA"/>
        </w:rPr>
        <w:t>总体绩效分析。</w:t>
      </w:r>
    </w:p>
    <w:p w14:paraId="28D6FF4B">
      <w:pPr>
        <w:spacing w:line="600" w:lineRule="exact"/>
        <w:ind w:firstLine="640"/>
        <w:rPr>
          <w:rFonts w:hint="default"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财政局2024年部门项目共12个，包括；中介机构委托评审费、财政金财网运行维护费、车辆购置更新、预算绩效评价、监督检查等，共计181.91万元。</w:t>
      </w:r>
    </w:p>
    <w:p w14:paraId="737F1D0A">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zh-CN" w:eastAsia="zh-CN" w:bidi="ar-SA"/>
        </w:rPr>
        <w:t>履职效能。</w:t>
      </w:r>
      <w:r>
        <w:rPr>
          <w:rFonts w:hint="eastAsia" w:ascii="Times New Roman" w:hAnsi="Times New Roman" w:eastAsia="仿宋_GB2312" w:cs="仿宋_GB2312"/>
          <w:color w:val="auto"/>
          <w:kern w:val="2"/>
          <w:sz w:val="32"/>
          <w:szCs w:val="32"/>
          <w:highlight w:val="none"/>
          <w:lang w:val="en-US" w:eastAsia="zh-CN" w:bidi="ar-SA"/>
        </w:rPr>
        <w:t>财政局2024年完成本级一般预算收入20624万元，（其中：税收收入12320万元，非税收入8304万元）政府性基金预算收入462万元，国有资本经营预算收入1200万元。圆满完成年初任务。</w:t>
      </w:r>
    </w:p>
    <w:p w14:paraId="2E4B3CD2">
      <w:pPr>
        <w:spacing w:line="600" w:lineRule="exact"/>
        <w:ind w:firstLine="640"/>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default" w:ascii="Times New Roman" w:hAnsi="Times New Roman" w:eastAsia="仿宋_GB2312" w:cs="仿宋_GB2312"/>
          <w:color w:val="auto"/>
          <w:kern w:val="2"/>
          <w:sz w:val="32"/>
          <w:szCs w:val="32"/>
          <w:highlight w:val="none"/>
          <w:lang w:val="zh-CN" w:eastAsia="zh-CN" w:bidi="ar-SA"/>
        </w:rPr>
        <w:t>预算管理</w:t>
      </w:r>
      <w:r>
        <w:rPr>
          <w:rFonts w:hint="eastAsia" w:ascii="Times New Roman" w:hAnsi="Times New Roman" w:eastAsia="仿宋_GB2312" w:cs="仿宋_GB2312"/>
          <w:color w:val="auto"/>
          <w:kern w:val="2"/>
          <w:sz w:val="32"/>
          <w:szCs w:val="32"/>
          <w:highlight w:val="none"/>
          <w:lang w:val="zh-CN" w:eastAsia="zh-CN" w:bidi="ar-SA"/>
        </w:rPr>
        <w:t>。</w:t>
      </w:r>
      <w:r>
        <w:rPr>
          <w:rFonts w:hint="eastAsia" w:ascii="Times New Roman" w:hAnsi="Times New Roman" w:eastAsia="仿宋_GB2312" w:cs="仿宋_GB2312"/>
          <w:color w:val="auto"/>
          <w:kern w:val="2"/>
          <w:sz w:val="32"/>
          <w:szCs w:val="32"/>
          <w:highlight w:val="none"/>
          <w:lang w:val="en-US" w:eastAsia="zh-CN" w:bidi="ar-SA"/>
        </w:rPr>
        <w:t>我局按照县财政局部门预算编制通知和有关要求，及时准确高质量完成单位部门预算编报，项目库报送工作。部门整体绩效目标能完整、合理,能够反映部门年度职责履行情况，项目编制明确、能有效量化。</w:t>
      </w:r>
    </w:p>
    <w:p w14:paraId="0BE1F091">
      <w:pPr>
        <w:spacing w:line="600" w:lineRule="exact"/>
        <w:ind w:firstLine="640"/>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3.</w:t>
      </w:r>
      <w:r>
        <w:rPr>
          <w:rFonts w:hint="default" w:ascii="Times New Roman" w:hAnsi="Times New Roman" w:eastAsia="仿宋_GB2312" w:cs="仿宋_GB2312"/>
          <w:color w:val="auto"/>
          <w:kern w:val="2"/>
          <w:sz w:val="32"/>
          <w:szCs w:val="32"/>
          <w:highlight w:val="none"/>
          <w:lang w:val="zh-CN" w:eastAsia="zh-CN" w:bidi="ar-SA"/>
        </w:rPr>
        <w:t>财务管理</w:t>
      </w:r>
      <w:r>
        <w:rPr>
          <w:rFonts w:hint="eastAsia" w:ascii="Times New Roman" w:hAnsi="Times New Roman" w:eastAsia="仿宋_GB2312" w:cs="仿宋_GB2312"/>
          <w:color w:val="auto"/>
          <w:kern w:val="2"/>
          <w:sz w:val="32"/>
          <w:szCs w:val="32"/>
          <w:highlight w:val="none"/>
          <w:lang w:val="zh-CN" w:eastAsia="zh-CN" w:bidi="ar-SA"/>
        </w:rPr>
        <w:t>。</w:t>
      </w:r>
      <w:r>
        <w:rPr>
          <w:rFonts w:hint="eastAsia" w:ascii="Times New Roman" w:hAnsi="Times New Roman" w:eastAsia="仿宋_GB2312" w:cs="仿宋_GB2312"/>
          <w:color w:val="auto"/>
          <w:kern w:val="2"/>
          <w:sz w:val="32"/>
          <w:szCs w:val="32"/>
          <w:highlight w:val="none"/>
          <w:lang w:val="en-US" w:eastAsia="zh-CN" w:bidi="ar-SA"/>
        </w:rPr>
        <w:t>单位日常收支严格按照</w:t>
      </w:r>
      <w:r>
        <w:rPr>
          <w:rFonts w:hint="eastAsia" w:ascii="Times New Roman" w:hAnsi="Times New Roman" w:eastAsia="仿宋_GB2312" w:cs="仿宋_GB2312"/>
          <w:color w:val="auto"/>
          <w:kern w:val="2"/>
          <w:sz w:val="32"/>
          <w:szCs w:val="32"/>
          <w:highlight w:val="none"/>
          <w:lang w:val="zh-CN" w:eastAsia="zh-CN" w:bidi="ar-SA"/>
        </w:rPr>
        <w:t>财务管理制度</w:t>
      </w:r>
      <w:r>
        <w:rPr>
          <w:rFonts w:hint="eastAsia" w:ascii="Times New Roman" w:hAnsi="Times New Roman" w:eastAsia="仿宋_GB2312" w:cs="仿宋_GB2312"/>
          <w:color w:val="auto"/>
          <w:kern w:val="2"/>
          <w:sz w:val="32"/>
          <w:szCs w:val="32"/>
          <w:highlight w:val="none"/>
          <w:lang w:val="en-US" w:eastAsia="zh-CN" w:bidi="ar-SA"/>
        </w:rPr>
        <w:t>执行</w:t>
      </w:r>
      <w:r>
        <w:rPr>
          <w:rFonts w:hint="eastAsia" w:ascii="Times New Roman" w:hAnsi="Times New Roman" w:eastAsia="仿宋_GB2312" w:cs="仿宋_GB2312"/>
          <w:color w:val="auto"/>
          <w:kern w:val="2"/>
          <w:sz w:val="32"/>
          <w:szCs w:val="32"/>
          <w:highlight w:val="none"/>
          <w:lang w:val="zh-CN" w:eastAsia="zh-CN" w:bidi="ar-SA"/>
        </w:rPr>
        <w:t>、财务</w:t>
      </w:r>
      <w:r>
        <w:rPr>
          <w:rFonts w:hint="eastAsia" w:ascii="Times New Roman" w:hAnsi="Times New Roman" w:eastAsia="仿宋_GB2312" w:cs="仿宋_GB2312"/>
          <w:color w:val="auto"/>
          <w:kern w:val="2"/>
          <w:sz w:val="32"/>
          <w:szCs w:val="32"/>
          <w:highlight w:val="none"/>
          <w:lang w:val="en-US" w:eastAsia="zh-CN" w:bidi="ar-SA"/>
        </w:rPr>
        <w:t>人员按</w:t>
      </w:r>
      <w:r>
        <w:rPr>
          <w:rFonts w:hint="eastAsia" w:ascii="Times New Roman" w:hAnsi="Times New Roman" w:eastAsia="仿宋_GB2312" w:cs="仿宋_GB2312"/>
          <w:color w:val="auto"/>
          <w:kern w:val="2"/>
          <w:sz w:val="32"/>
          <w:szCs w:val="32"/>
          <w:highlight w:val="none"/>
          <w:lang w:val="zh-CN" w:eastAsia="zh-CN" w:bidi="ar-SA"/>
        </w:rPr>
        <w:t>岗位</w:t>
      </w:r>
      <w:r>
        <w:rPr>
          <w:rFonts w:hint="eastAsia" w:ascii="Times New Roman" w:hAnsi="Times New Roman" w:eastAsia="仿宋_GB2312" w:cs="仿宋_GB2312"/>
          <w:color w:val="auto"/>
          <w:kern w:val="2"/>
          <w:sz w:val="32"/>
          <w:szCs w:val="32"/>
          <w:highlight w:val="none"/>
          <w:lang w:val="en-US" w:eastAsia="zh-CN" w:bidi="ar-SA"/>
        </w:rPr>
        <w:t>不相融原则</w:t>
      </w:r>
      <w:r>
        <w:rPr>
          <w:rFonts w:hint="eastAsia" w:ascii="Times New Roman" w:hAnsi="Times New Roman" w:eastAsia="仿宋_GB2312" w:cs="仿宋_GB2312"/>
          <w:color w:val="auto"/>
          <w:kern w:val="2"/>
          <w:sz w:val="32"/>
          <w:szCs w:val="32"/>
          <w:highlight w:val="none"/>
          <w:lang w:val="zh-CN" w:eastAsia="zh-CN" w:bidi="ar-SA"/>
        </w:rPr>
        <w:t>设置、资金使用规范、</w:t>
      </w:r>
      <w:r>
        <w:rPr>
          <w:rFonts w:hint="eastAsia" w:ascii="Times New Roman" w:hAnsi="Times New Roman" w:eastAsia="仿宋_GB2312" w:cs="仿宋_GB2312"/>
          <w:color w:val="auto"/>
          <w:kern w:val="2"/>
          <w:sz w:val="32"/>
          <w:szCs w:val="32"/>
          <w:highlight w:val="none"/>
          <w:lang w:val="en-US" w:eastAsia="zh-CN" w:bidi="ar-SA"/>
        </w:rPr>
        <w:t>安全、高效</w:t>
      </w:r>
      <w:r>
        <w:rPr>
          <w:rFonts w:hint="eastAsia" w:ascii="Times New Roman" w:hAnsi="Times New Roman" w:eastAsia="仿宋_GB2312" w:cs="仿宋_GB2312"/>
          <w:color w:val="auto"/>
          <w:kern w:val="2"/>
          <w:sz w:val="32"/>
          <w:szCs w:val="32"/>
          <w:highlight w:val="none"/>
          <w:lang w:val="zh-CN" w:eastAsia="zh-CN" w:bidi="ar-SA"/>
        </w:rPr>
        <w:t>。</w:t>
      </w:r>
    </w:p>
    <w:p w14:paraId="4F5E59C0">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4.</w:t>
      </w:r>
      <w:r>
        <w:rPr>
          <w:rFonts w:hint="default" w:ascii="Times New Roman" w:hAnsi="Times New Roman" w:eastAsia="仿宋_GB2312" w:cs="仿宋_GB2312"/>
          <w:color w:val="auto"/>
          <w:kern w:val="2"/>
          <w:sz w:val="32"/>
          <w:szCs w:val="32"/>
          <w:highlight w:val="none"/>
          <w:lang w:val="zh-CN" w:eastAsia="zh-CN" w:bidi="ar-SA"/>
        </w:rPr>
        <w:t>资产管理</w:t>
      </w:r>
      <w:r>
        <w:rPr>
          <w:rFonts w:hint="eastAsia" w:ascii="Times New Roman" w:hAnsi="Times New Roman" w:eastAsia="仿宋_GB2312" w:cs="仿宋_GB2312"/>
          <w:color w:val="auto"/>
          <w:kern w:val="2"/>
          <w:sz w:val="32"/>
          <w:szCs w:val="32"/>
          <w:highlight w:val="none"/>
          <w:lang w:val="zh-CN" w:eastAsia="zh-CN" w:bidi="ar-SA"/>
        </w:rPr>
        <w:t>。我</w:t>
      </w:r>
      <w:r>
        <w:rPr>
          <w:rFonts w:hint="eastAsia" w:ascii="Times New Roman" w:hAnsi="Times New Roman" w:eastAsia="仿宋_GB2312" w:cs="仿宋_GB2312"/>
          <w:color w:val="auto"/>
          <w:kern w:val="2"/>
          <w:sz w:val="32"/>
          <w:szCs w:val="32"/>
          <w:highlight w:val="none"/>
          <w:lang w:val="en-US" w:eastAsia="zh-CN" w:bidi="ar-SA"/>
        </w:rPr>
        <w:t>局</w:t>
      </w:r>
      <w:r>
        <w:rPr>
          <w:rFonts w:hint="eastAsia" w:ascii="Times New Roman" w:hAnsi="Times New Roman" w:eastAsia="仿宋_GB2312" w:cs="仿宋_GB2312"/>
          <w:color w:val="auto"/>
          <w:kern w:val="2"/>
          <w:sz w:val="32"/>
          <w:szCs w:val="32"/>
          <w:highlight w:val="none"/>
          <w:lang w:val="zh-CN" w:eastAsia="zh-CN" w:bidi="ar-SA"/>
        </w:rPr>
        <w:t>以每年资产清理为契机，理清单位固定资产，层层分散做好资产管理，严格执行每年盘点制度。单位人均资产变化率在正常范围，资产利用率达到</w:t>
      </w:r>
      <w:r>
        <w:rPr>
          <w:rFonts w:hint="eastAsia" w:ascii="Times New Roman" w:hAnsi="Times New Roman" w:eastAsia="仿宋_GB2312" w:cs="仿宋_GB2312"/>
          <w:color w:val="auto"/>
          <w:kern w:val="2"/>
          <w:sz w:val="32"/>
          <w:szCs w:val="32"/>
          <w:highlight w:val="none"/>
          <w:lang w:val="en-US" w:eastAsia="zh-CN" w:bidi="ar-SA"/>
        </w:rPr>
        <w:t>100%，2024年财政局无新增资产，单位资产使用良好，无闲置资产。</w:t>
      </w:r>
    </w:p>
    <w:p w14:paraId="1CDD2AF7">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5.</w:t>
      </w:r>
      <w:r>
        <w:rPr>
          <w:rFonts w:hint="default" w:ascii="Times New Roman" w:hAnsi="Times New Roman" w:eastAsia="仿宋_GB2312" w:cs="仿宋_GB2312"/>
          <w:color w:val="auto"/>
          <w:kern w:val="2"/>
          <w:sz w:val="32"/>
          <w:szCs w:val="32"/>
          <w:highlight w:val="none"/>
          <w:lang w:val="zh-CN" w:eastAsia="zh-CN" w:bidi="ar-SA"/>
        </w:rPr>
        <w:t>采购管理</w:t>
      </w:r>
      <w:r>
        <w:rPr>
          <w:rFonts w:hint="eastAsia" w:ascii="Times New Roman" w:hAnsi="Times New Roman" w:eastAsia="仿宋_GB2312" w:cs="仿宋_GB2312"/>
          <w:color w:val="auto"/>
          <w:kern w:val="2"/>
          <w:sz w:val="32"/>
          <w:szCs w:val="32"/>
          <w:highlight w:val="none"/>
          <w:lang w:val="zh-CN" w:eastAsia="zh-CN" w:bidi="ar-SA"/>
        </w:rPr>
        <w:t>。</w:t>
      </w:r>
      <w:r>
        <w:rPr>
          <w:rFonts w:hint="eastAsia" w:ascii="Times New Roman" w:hAnsi="Times New Roman" w:eastAsia="仿宋_GB2312" w:cs="仿宋_GB2312"/>
          <w:color w:val="auto"/>
          <w:kern w:val="2"/>
          <w:sz w:val="32"/>
          <w:szCs w:val="32"/>
          <w:highlight w:val="none"/>
          <w:lang w:val="en-US" w:eastAsia="zh-CN" w:bidi="ar-SA"/>
        </w:rPr>
        <w:t>部门项目支出中“中介机构委托评审费、预算绩效评价、车辆购置更新费”三个项目属政府采购项目，我局严格按照《政府采购法》及采购流程实施。</w:t>
      </w:r>
    </w:p>
    <w:p w14:paraId="1712140C">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仿宋_GB2312" w:cs="仿宋_GB2312"/>
          <w:color w:val="auto"/>
          <w:kern w:val="2"/>
          <w:sz w:val="32"/>
          <w:szCs w:val="32"/>
          <w:highlight w:val="none"/>
          <w:lang w:val="zh-CN" w:eastAsia="zh-CN" w:bidi="ar-SA"/>
        </w:rPr>
        <w:t>（二）部门预算项目绩效分析。</w:t>
      </w:r>
    </w:p>
    <w:p w14:paraId="048151C6">
      <w:pPr>
        <w:spacing w:line="600" w:lineRule="exact"/>
        <w:ind w:firstLine="640"/>
        <w:rPr>
          <w:rFonts w:hint="default" w:ascii="Times New Roman" w:hAnsi="Times New Roman" w:eastAsia="仿宋_GB2312" w:cs="仿宋_GB2312"/>
          <w:color w:val="auto"/>
          <w:kern w:val="2"/>
          <w:sz w:val="32"/>
          <w:szCs w:val="32"/>
          <w:highlight w:val="none"/>
          <w:lang w:val="zh-CN" w:eastAsia="zh-CN" w:bidi="ar-SA"/>
        </w:rPr>
      </w:pPr>
      <w:r>
        <w:rPr>
          <w:rFonts w:hint="default" w:ascii="Times New Roman" w:hAnsi="Times New Roman" w:eastAsia="仿宋_GB2312" w:cs="仿宋_GB2312"/>
          <w:color w:val="auto"/>
          <w:kern w:val="2"/>
          <w:sz w:val="32"/>
          <w:szCs w:val="32"/>
          <w:highlight w:val="none"/>
          <w:lang w:val="en-US" w:eastAsia="zh-CN" w:bidi="ar-SA"/>
        </w:rPr>
        <w:t>常年项目绩效分析。</w:t>
      </w:r>
      <w:r>
        <w:rPr>
          <w:rFonts w:hint="default" w:ascii="Times New Roman" w:hAnsi="Times New Roman" w:eastAsia="仿宋_GB2312" w:cs="仿宋_GB2312"/>
          <w:color w:val="auto"/>
          <w:kern w:val="2"/>
          <w:sz w:val="32"/>
          <w:szCs w:val="32"/>
          <w:highlight w:val="none"/>
          <w:lang w:val="zh-CN" w:eastAsia="zh-CN" w:bidi="ar-SA"/>
        </w:rPr>
        <w:t>该类项目总数</w:t>
      </w:r>
      <w:r>
        <w:rPr>
          <w:rFonts w:hint="default" w:ascii="Times New Roman" w:hAnsi="Times New Roman" w:eastAsia="仿宋_GB2312" w:cs="仿宋_GB2312"/>
          <w:color w:val="auto"/>
          <w:kern w:val="2"/>
          <w:sz w:val="32"/>
          <w:szCs w:val="32"/>
          <w:highlight w:val="none"/>
          <w:lang w:val="en-US" w:eastAsia="zh-CN" w:bidi="ar-SA"/>
        </w:rPr>
        <w:t xml:space="preserve"> </w:t>
      </w:r>
      <w:r>
        <w:rPr>
          <w:rFonts w:hint="eastAsia" w:ascii="Times New Roman" w:hAnsi="Times New Roman" w:eastAsia="仿宋_GB2312" w:cs="仿宋_GB2312"/>
          <w:color w:val="auto"/>
          <w:kern w:val="2"/>
          <w:sz w:val="32"/>
          <w:szCs w:val="32"/>
          <w:highlight w:val="none"/>
          <w:lang w:val="en-US" w:eastAsia="zh-CN" w:bidi="ar-SA"/>
        </w:rPr>
        <w:t>1 1</w:t>
      </w:r>
      <w:r>
        <w:rPr>
          <w:rFonts w:hint="default" w:ascii="Times New Roman" w:hAnsi="Times New Roman" w:eastAsia="仿宋_GB2312" w:cs="仿宋_GB2312"/>
          <w:color w:val="auto"/>
          <w:kern w:val="2"/>
          <w:sz w:val="32"/>
          <w:szCs w:val="32"/>
          <w:highlight w:val="none"/>
          <w:lang w:val="zh-CN" w:eastAsia="zh-CN" w:bidi="ar-SA"/>
        </w:rPr>
        <w:t>个，涉及预算总金额</w:t>
      </w:r>
      <w:r>
        <w:rPr>
          <w:rFonts w:hint="default" w:ascii="Times New Roman" w:hAnsi="Times New Roman" w:eastAsia="仿宋_GB2312" w:cs="仿宋_GB2312"/>
          <w:color w:val="auto"/>
          <w:kern w:val="2"/>
          <w:sz w:val="32"/>
          <w:szCs w:val="32"/>
          <w:highlight w:val="none"/>
          <w:lang w:val="en-US" w:eastAsia="zh-CN" w:bidi="ar-SA"/>
        </w:rPr>
        <w:t xml:space="preserve">   </w:t>
      </w:r>
      <w:r>
        <w:rPr>
          <w:rFonts w:hint="eastAsia" w:ascii="Times New Roman" w:hAnsi="Times New Roman" w:eastAsia="仿宋_GB2312" w:cs="仿宋_GB2312"/>
          <w:color w:val="auto"/>
          <w:kern w:val="2"/>
          <w:sz w:val="32"/>
          <w:szCs w:val="32"/>
          <w:highlight w:val="none"/>
          <w:lang w:val="en-US" w:eastAsia="zh-CN" w:bidi="ar-SA"/>
        </w:rPr>
        <w:t>181.91</w:t>
      </w:r>
      <w:r>
        <w:rPr>
          <w:rFonts w:hint="default" w:ascii="Times New Roman" w:hAnsi="Times New Roman" w:eastAsia="仿宋_GB2312" w:cs="仿宋_GB2312"/>
          <w:color w:val="auto"/>
          <w:kern w:val="2"/>
          <w:sz w:val="32"/>
          <w:szCs w:val="32"/>
          <w:highlight w:val="none"/>
          <w:lang w:val="zh-CN" w:eastAsia="zh-CN" w:bidi="ar-SA"/>
        </w:rPr>
        <w:t>万元，1</w:t>
      </w:r>
      <w:r>
        <w:rPr>
          <w:rFonts w:hint="eastAsia" w:ascii="Times New Roman" w:hAnsi="Times New Roman" w:eastAsia="仿宋_GB2312" w:cs="仿宋_GB2312"/>
          <w:color w:val="auto"/>
          <w:kern w:val="2"/>
          <w:sz w:val="32"/>
          <w:szCs w:val="32"/>
          <w:highlight w:val="none"/>
          <w:lang w:val="zh-CN" w:eastAsia="zh-CN" w:bidi="ar-SA"/>
        </w:rPr>
        <w:t>—</w:t>
      </w:r>
      <w:r>
        <w:rPr>
          <w:rFonts w:hint="default" w:ascii="Times New Roman" w:hAnsi="Times New Roman" w:eastAsia="仿宋_GB2312" w:cs="仿宋_GB2312"/>
          <w:color w:val="auto"/>
          <w:kern w:val="2"/>
          <w:sz w:val="32"/>
          <w:szCs w:val="32"/>
          <w:highlight w:val="none"/>
          <w:lang w:val="zh-CN" w:eastAsia="zh-CN" w:bidi="ar-SA"/>
        </w:rPr>
        <w:t>1</w:t>
      </w:r>
      <w:r>
        <w:rPr>
          <w:rFonts w:hint="default" w:ascii="Times New Roman" w:hAnsi="Times New Roman" w:eastAsia="仿宋_GB2312" w:cs="仿宋_GB2312"/>
          <w:color w:val="auto"/>
          <w:kern w:val="2"/>
          <w:sz w:val="32"/>
          <w:szCs w:val="32"/>
          <w:highlight w:val="none"/>
          <w:lang w:val="en-US" w:eastAsia="zh-CN" w:bidi="ar-SA"/>
        </w:rPr>
        <w:t>2</w:t>
      </w:r>
      <w:r>
        <w:rPr>
          <w:rFonts w:hint="default" w:ascii="Times New Roman" w:hAnsi="Times New Roman" w:eastAsia="仿宋_GB2312" w:cs="仿宋_GB2312"/>
          <w:color w:val="auto"/>
          <w:kern w:val="2"/>
          <w:sz w:val="32"/>
          <w:szCs w:val="32"/>
          <w:highlight w:val="none"/>
          <w:lang w:val="zh-CN" w:eastAsia="zh-CN" w:bidi="ar-SA"/>
        </w:rPr>
        <w:t>月预算执行总体进度为</w:t>
      </w:r>
      <w:r>
        <w:rPr>
          <w:rFonts w:hint="eastAsia" w:ascii="Times New Roman" w:hAnsi="Times New Roman" w:eastAsia="仿宋_GB2312" w:cs="仿宋_GB2312"/>
          <w:color w:val="auto"/>
          <w:kern w:val="2"/>
          <w:sz w:val="32"/>
          <w:szCs w:val="32"/>
          <w:highlight w:val="none"/>
          <w:lang w:val="en-US" w:eastAsia="zh-CN" w:bidi="ar-SA"/>
        </w:rPr>
        <w:t>100</w:t>
      </w:r>
      <w:r>
        <w:rPr>
          <w:rFonts w:hint="default" w:ascii="Times New Roman" w:hAnsi="Times New Roman" w:eastAsia="仿宋_GB2312" w:cs="仿宋_GB2312"/>
          <w:color w:val="auto"/>
          <w:kern w:val="2"/>
          <w:sz w:val="32"/>
          <w:szCs w:val="32"/>
          <w:highlight w:val="none"/>
          <w:lang w:val="en-US" w:eastAsia="zh-CN" w:bidi="ar-SA"/>
        </w:rPr>
        <w:t xml:space="preserve">  </w:t>
      </w:r>
      <w:r>
        <w:rPr>
          <w:rFonts w:hint="default" w:ascii="Times New Roman" w:hAnsi="Times New Roman" w:eastAsia="仿宋_GB2312" w:cs="仿宋_GB2312"/>
          <w:color w:val="auto"/>
          <w:kern w:val="2"/>
          <w:sz w:val="32"/>
          <w:szCs w:val="32"/>
          <w:highlight w:val="none"/>
          <w:lang w:val="zh-CN" w:eastAsia="zh-CN" w:bidi="ar-SA"/>
        </w:rPr>
        <w:t>%。</w:t>
      </w:r>
    </w:p>
    <w:p w14:paraId="419F0F1C">
      <w:pPr>
        <w:spacing w:line="600" w:lineRule="exact"/>
        <w:ind w:firstLine="640"/>
        <w:rPr>
          <w:rFonts w:hint="default" w:ascii="Times New Roman" w:hAnsi="Times New Roman" w:eastAsia="仿宋_GB2312" w:cs="仿宋_GB2312"/>
          <w:color w:val="auto"/>
          <w:kern w:val="2"/>
          <w:sz w:val="32"/>
          <w:szCs w:val="32"/>
          <w:highlight w:val="none"/>
          <w:lang w:val="zh-CN" w:eastAsia="zh-CN" w:bidi="ar-SA"/>
        </w:rPr>
      </w:pPr>
      <w:r>
        <w:rPr>
          <w:rFonts w:hint="default" w:ascii="Times New Roman" w:hAnsi="Times New Roman" w:eastAsia="仿宋_GB2312" w:cs="仿宋_GB2312"/>
          <w:color w:val="auto"/>
          <w:kern w:val="2"/>
          <w:sz w:val="32"/>
          <w:szCs w:val="32"/>
          <w:highlight w:val="none"/>
          <w:lang w:val="en-US" w:eastAsia="zh-CN" w:bidi="ar-SA"/>
        </w:rPr>
        <w:t>阶段</w:t>
      </w:r>
      <w:r>
        <w:rPr>
          <w:rFonts w:hint="eastAsia" w:ascii="Times New Roman" w:hAnsi="Times New Roman" w:eastAsia="仿宋_GB2312" w:cs="仿宋_GB2312"/>
          <w:color w:val="auto"/>
          <w:kern w:val="2"/>
          <w:sz w:val="32"/>
          <w:szCs w:val="32"/>
          <w:highlight w:val="none"/>
          <w:lang w:val="en-US" w:eastAsia="zh-CN" w:bidi="ar-SA"/>
        </w:rPr>
        <w:t>（</w:t>
      </w:r>
      <w:r>
        <w:rPr>
          <w:rFonts w:hint="default" w:ascii="Times New Roman" w:hAnsi="Times New Roman" w:eastAsia="仿宋_GB2312" w:cs="仿宋_GB2312"/>
          <w:color w:val="auto"/>
          <w:kern w:val="2"/>
          <w:sz w:val="32"/>
          <w:szCs w:val="32"/>
          <w:highlight w:val="none"/>
          <w:lang w:val="en-US" w:eastAsia="zh-CN" w:bidi="ar-SA"/>
        </w:rPr>
        <w:t>一次性</w:t>
      </w:r>
      <w:r>
        <w:rPr>
          <w:rFonts w:hint="eastAsia" w:ascii="Times New Roman" w:hAnsi="Times New Roman" w:eastAsia="仿宋_GB2312" w:cs="仿宋_GB2312"/>
          <w:color w:val="auto"/>
          <w:kern w:val="2"/>
          <w:sz w:val="32"/>
          <w:szCs w:val="32"/>
          <w:highlight w:val="none"/>
          <w:lang w:val="en-US" w:eastAsia="zh-CN" w:bidi="ar-SA"/>
        </w:rPr>
        <w:t>）</w:t>
      </w:r>
      <w:r>
        <w:rPr>
          <w:rFonts w:hint="default" w:ascii="Times New Roman" w:hAnsi="Times New Roman" w:eastAsia="仿宋_GB2312" w:cs="仿宋_GB2312"/>
          <w:color w:val="auto"/>
          <w:kern w:val="2"/>
          <w:sz w:val="32"/>
          <w:szCs w:val="32"/>
          <w:highlight w:val="none"/>
          <w:lang w:val="en-US" w:eastAsia="zh-CN" w:bidi="ar-SA"/>
        </w:rPr>
        <w:t>项目绩效分析。</w:t>
      </w:r>
      <w:r>
        <w:rPr>
          <w:rFonts w:hint="default" w:ascii="Times New Roman" w:hAnsi="Times New Roman" w:eastAsia="仿宋_GB2312" w:cs="仿宋_GB2312"/>
          <w:color w:val="auto"/>
          <w:kern w:val="2"/>
          <w:sz w:val="32"/>
          <w:szCs w:val="32"/>
          <w:highlight w:val="none"/>
          <w:lang w:val="zh-CN" w:eastAsia="zh-CN" w:bidi="ar-SA"/>
        </w:rPr>
        <w:t>该类项目总数</w:t>
      </w:r>
      <w:r>
        <w:rPr>
          <w:rFonts w:hint="eastAsia" w:ascii="Times New Roman" w:hAnsi="Times New Roman" w:eastAsia="仿宋_GB2312" w:cs="仿宋_GB2312"/>
          <w:color w:val="auto"/>
          <w:kern w:val="2"/>
          <w:sz w:val="32"/>
          <w:szCs w:val="32"/>
          <w:highlight w:val="none"/>
          <w:lang w:val="en-US" w:eastAsia="zh-CN" w:bidi="ar-SA"/>
        </w:rPr>
        <w:t>0</w:t>
      </w:r>
      <w:r>
        <w:rPr>
          <w:rFonts w:hint="default" w:ascii="Times New Roman" w:hAnsi="Times New Roman" w:eastAsia="仿宋_GB2312" w:cs="仿宋_GB2312"/>
          <w:color w:val="auto"/>
          <w:kern w:val="2"/>
          <w:sz w:val="32"/>
          <w:szCs w:val="32"/>
          <w:highlight w:val="none"/>
          <w:lang w:val="zh-CN" w:eastAsia="zh-CN" w:bidi="ar-SA"/>
        </w:rPr>
        <w:t>个，涉及预算总金额</w:t>
      </w:r>
      <w:r>
        <w:rPr>
          <w:rFonts w:hint="eastAsia" w:ascii="Times New Roman" w:hAnsi="Times New Roman" w:eastAsia="仿宋_GB2312" w:cs="仿宋_GB2312"/>
          <w:color w:val="auto"/>
          <w:kern w:val="2"/>
          <w:sz w:val="32"/>
          <w:szCs w:val="32"/>
          <w:highlight w:val="none"/>
          <w:lang w:val="en-US" w:eastAsia="zh-CN" w:bidi="ar-SA"/>
        </w:rPr>
        <w:t>0</w:t>
      </w:r>
      <w:r>
        <w:rPr>
          <w:rFonts w:hint="default" w:ascii="Times New Roman" w:hAnsi="Times New Roman" w:eastAsia="仿宋_GB2312" w:cs="仿宋_GB2312"/>
          <w:color w:val="auto"/>
          <w:kern w:val="2"/>
          <w:sz w:val="32"/>
          <w:szCs w:val="32"/>
          <w:highlight w:val="none"/>
          <w:lang w:val="zh-CN" w:eastAsia="zh-CN" w:bidi="ar-SA"/>
        </w:rPr>
        <w:t>万元，1</w:t>
      </w:r>
      <w:r>
        <w:rPr>
          <w:rFonts w:hint="eastAsia" w:ascii="Times New Roman" w:hAnsi="Times New Roman" w:eastAsia="仿宋_GB2312" w:cs="仿宋_GB2312"/>
          <w:color w:val="auto"/>
          <w:kern w:val="2"/>
          <w:sz w:val="32"/>
          <w:szCs w:val="32"/>
          <w:highlight w:val="none"/>
          <w:lang w:val="zh-CN" w:eastAsia="zh-CN" w:bidi="ar-SA"/>
        </w:rPr>
        <w:t>—</w:t>
      </w:r>
      <w:r>
        <w:rPr>
          <w:rFonts w:hint="default" w:ascii="Times New Roman" w:hAnsi="Times New Roman" w:eastAsia="仿宋_GB2312" w:cs="仿宋_GB2312"/>
          <w:color w:val="auto"/>
          <w:kern w:val="2"/>
          <w:sz w:val="32"/>
          <w:szCs w:val="32"/>
          <w:highlight w:val="none"/>
          <w:lang w:val="zh-CN" w:eastAsia="zh-CN" w:bidi="ar-SA"/>
        </w:rPr>
        <w:t>1</w:t>
      </w:r>
      <w:r>
        <w:rPr>
          <w:rFonts w:hint="default" w:ascii="Times New Roman" w:hAnsi="Times New Roman" w:eastAsia="仿宋_GB2312" w:cs="仿宋_GB2312"/>
          <w:color w:val="auto"/>
          <w:kern w:val="2"/>
          <w:sz w:val="32"/>
          <w:szCs w:val="32"/>
          <w:highlight w:val="none"/>
          <w:lang w:val="en-US" w:eastAsia="zh-CN" w:bidi="ar-SA"/>
        </w:rPr>
        <w:t>2</w:t>
      </w:r>
      <w:r>
        <w:rPr>
          <w:rFonts w:hint="default" w:ascii="Times New Roman" w:hAnsi="Times New Roman" w:eastAsia="仿宋_GB2312" w:cs="仿宋_GB2312"/>
          <w:color w:val="auto"/>
          <w:kern w:val="2"/>
          <w:sz w:val="32"/>
          <w:szCs w:val="32"/>
          <w:highlight w:val="none"/>
          <w:lang w:val="zh-CN" w:eastAsia="zh-CN" w:bidi="ar-SA"/>
        </w:rPr>
        <w:t>月预算执行总体进度为</w:t>
      </w:r>
      <w:r>
        <w:rPr>
          <w:rFonts w:hint="eastAsia" w:ascii="Times New Roman" w:hAnsi="Times New Roman" w:eastAsia="仿宋_GB2312" w:cs="仿宋_GB2312"/>
          <w:color w:val="auto"/>
          <w:kern w:val="2"/>
          <w:sz w:val="32"/>
          <w:szCs w:val="32"/>
          <w:highlight w:val="none"/>
          <w:lang w:val="en-US" w:eastAsia="zh-CN" w:bidi="ar-SA"/>
        </w:rPr>
        <w:t>100</w:t>
      </w:r>
      <w:r>
        <w:rPr>
          <w:rFonts w:hint="default" w:ascii="Times New Roman" w:hAnsi="Times New Roman" w:eastAsia="仿宋_GB2312" w:cs="仿宋_GB2312"/>
          <w:color w:val="auto"/>
          <w:kern w:val="2"/>
          <w:sz w:val="32"/>
          <w:szCs w:val="32"/>
          <w:highlight w:val="none"/>
          <w:lang w:val="en-US" w:eastAsia="zh-CN" w:bidi="ar-SA"/>
        </w:rPr>
        <w:t xml:space="preserve"> </w:t>
      </w:r>
      <w:r>
        <w:rPr>
          <w:rFonts w:hint="default" w:ascii="Times New Roman" w:hAnsi="Times New Roman" w:eastAsia="仿宋_GB2312" w:cs="仿宋_GB2312"/>
          <w:color w:val="auto"/>
          <w:kern w:val="2"/>
          <w:sz w:val="32"/>
          <w:szCs w:val="32"/>
          <w:highlight w:val="none"/>
          <w:lang w:val="zh-CN" w:eastAsia="zh-CN" w:bidi="ar-SA"/>
        </w:rPr>
        <w:t>%</w:t>
      </w:r>
      <w:r>
        <w:rPr>
          <w:rFonts w:hint="eastAsia" w:ascii="Times New Roman" w:hAnsi="Times New Roman" w:eastAsia="仿宋_GB2312" w:cs="仿宋_GB2312"/>
          <w:color w:val="auto"/>
          <w:kern w:val="2"/>
          <w:sz w:val="32"/>
          <w:szCs w:val="32"/>
          <w:highlight w:val="none"/>
          <w:lang w:val="zh-CN" w:eastAsia="zh-CN" w:bidi="ar-SA"/>
        </w:rPr>
        <w:t>。</w:t>
      </w:r>
    </w:p>
    <w:p w14:paraId="00BBDEA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zh-CN" w:eastAsia="zh-CN" w:bidi="ar-SA"/>
        </w:rPr>
        <w:t>项目决策。在</w:t>
      </w:r>
      <w:r>
        <w:rPr>
          <w:rFonts w:hint="eastAsia" w:ascii="Times New Roman" w:hAnsi="Times New Roman" w:eastAsia="仿宋_GB2312" w:cs="仿宋_GB2312"/>
          <w:color w:val="auto"/>
          <w:kern w:val="2"/>
          <w:sz w:val="32"/>
          <w:szCs w:val="32"/>
          <w:highlight w:val="none"/>
          <w:lang w:val="en-US" w:eastAsia="zh-CN" w:bidi="ar-SA"/>
        </w:rPr>
        <w:t>2024年度中预算项目绩效目标与计划期内的任务量、预算安排的资金量相匹配，绩效目标设置做到了科学合理、规范完整、量化细化，与预算匹配，预算项目在规定时间完成项目入库。</w:t>
      </w:r>
    </w:p>
    <w:p w14:paraId="1E66C09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2.项目执行</w:t>
      </w:r>
      <w:r>
        <w:rPr>
          <w:rFonts w:hint="eastAsia" w:ascii="Times New Roman" w:hAnsi="Times New Roman" w:eastAsia="仿宋_GB2312" w:cs="仿宋_GB2312"/>
          <w:color w:val="auto"/>
          <w:kern w:val="2"/>
          <w:sz w:val="32"/>
          <w:szCs w:val="32"/>
          <w:highlight w:val="none"/>
          <w:lang w:val="zh-CN" w:eastAsia="zh-CN" w:bidi="ar-SA"/>
        </w:rPr>
        <w:t>。预算项目实际列支内容与绩效目标设置方向相符，项目未采取收回预算、调整目标等处置措施，项目预算结余率小于</w:t>
      </w:r>
      <w:r>
        <w:rPr>
          <w:rFonts w:hint="eastAsia" w:ascii="Times New Roman" w:hAnsi="Times New Roman" w:eastAsia="仿宋_GB2312" w:cs="仿宋_GB2312"/>
          <w:color w:val="auto"/>
          <w:kern w:val="2"/>
          <w:sz w:val="32"/>
          <w:szCs w:val="32"/>
          <w:highlight w:val="none"/>
          <w:lang w:val="en-US" w:eastAsia="zh-CN" w:bidi="ar-SA"/>
        </w:rPr>
        <w:t>10%。</w:t>
      </w:r>
    </w:p>
    <w:p w14:paraId="33491F09">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zh-CN" w:eastAsia="zh-CN" w:bidi="ar-SA"/>
        </w:rPr>
        <w:t>目标实现。预算项目绩效目标数量指标资金完成</w:t>
      </w:r>
      <w:r>
        <w:rPr>
          <w:rFonts w:hint="eastAsia" w:ascii="Times New Roman" w:hAnsi="Times New Roman" w:eastAsia="仿宋_GB2312" w:cs="仿宋_GB2312"/>
          <w:color w:val="auto"/>
          <w:kern w:val="2"/>
          <w:sz w:val="32"/>
          <w:szCs w:val="32"/>
          <w:highlight w:val="none"/>
          <w:lang w:val="en-US" w:eastAsia="zh-CN" w:bidi="ar-SA"/>
        </w:rPr>
        <w:t>100%，项目绩效目标数量指标实现程度与预期目标的偏离较小，该项目实施效果基本实现。</w:t>
      </w:r>
    </w:p>
    <w:p w14:paraId="2B2485F3">
      <w:pPr>
        <w:spacing w:line="600" w:lineRule="exact"/>
        <w:ind w:firstLine="640"/>
        <w:rPr>
          <w:rFonts w:hint="default" w:ascii="Times New Roman" w:hAnsi="Times New Roman" w:eastAsia="仿宋_GB2312" w:cs="仿宋_GB2312"/>
          <w:color w:val="auto"/>
          <w:kern w:val="2"/>
          <w:sz w:val="32"/>
          <w:szCs w:val="32"/>
          <w:highlight w:val="none"/>
          <w:lang w:val="zh-CN" w:eastAsia="zh-CN" w:bidi="ar-SA"/>
        </w:rPr>
      </w:pPr>
      <w:r>
        <w:rPr>
          <w:rFonts w:hint="default" w:ascii="Times New Roman" w:hAnsi="Times New Roman" w:eastAsia="仿宋_GB2312" w:cs="仿宋_GB2312"/>
          <w:color w:val="auto"/>
          <w:kern w:val="2"/>
          <w:sz w:val="32"/>
          <w:szCs w:val="32"/>
          <w:highlight w:val="none"/>
          <w:lang w:val="zh-CN" w:eastAsia="zh-CN" w:bidi="ar-SA"/>
        </w:rPr>
        <w:t>（</w:t>
      </w:r>
      <w:r>
        <w:rPr>
          <w:rFonts w:hint="eastAsia" w:ascii="Times New Roman" w:hAnsi="Times New Roman" w:eastAsia="仿宋_GB2312" w:cs="仿宋_GB2312"/>
          <w:color w:val="auto"/>
          <w:kern w:val="2"/>
          <w:sz w:val="32"/>
          <w:szCs w:val="32"/>
          <w:highlight w:val="none"/>
          <w:lang w:val="zh-CN" w:eastAsia="zh-CN" w:bidi="ar-SA"/>
        </w:rPr>
        <w:t>三</w:t>
      </w:r>
      <w:r>
        <w:rPr>
          <w:rFonts w:hint="default" w:ascii="Times New Roman" w:hAnsi="Times New Roman" w:eastAsia="仿宋_GB2312" w:cs="仿宋_GB2312"/>
          <w:color w:val="auto"/>
          <w:kern w:val="2"/>
          <w:sz w:val="32"/>
          <w:szCs w:val="32"/>
          <w:highlight w:val="none"/>
          <w:lang w:val="zh-CN" w:eastAsia="zh-CN" w:bidi="ar-SA"/>
        </w:rPr>
        <w:t>）重点领域绩效分析。</w:t>
      </w:r>
    </w:p>
    <w:p w14:paraId="0E7903B1">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无</w:t>
      </w:r>
    </w:p>
    <w:p w14:paraId="174C08DC">
      <w:pPr>
        <w:spacing w:line="600" w:lineRule="exact"/>
        <w:ind w:firstLine="640"/>
        <w:rPr>
          <w:rFonts w:hint="eastAsia" w:ascii="Times New Roman" w:hAnsi="Times New Roman" w:eastAsia="仿宋_GB2312" w:cs="仿宋_GB2312"/>
          <w:color w:val="auto"/>
          <w:kern w:val="2"/>
          <w:sz w:val="32"/>
          <w:szCs w:val="32"/>
          <w:highlight w:val="none"/>
          <w:lang w:val="zh-CN" w:eastAsia="zh-CN" w:bidi="ar-SA"/>
        </w:rPr>
      </w:pPr>
      <w:r>
        <w:rPr>
          <w:rFonts w:hint="default" w:ascii="Times New Roman" w:hAnsi="Times New Roman" w:eastAsia="仿宋_GB2312" w:cs="仿宋_GB2312"/>
          <w:color w:val="auto"/>
          <w:kern w:val="2"/>
          <w:sz w:val="32"/>
          <w:szCs w:val="32"/>
          <w:highlight w:val="none"/>
          <w:lang w:val="zh-CN" w:eastAsia="zh-CN" w:bidi="ar-SA"/>
        </w:rPr>
        <w:t>绩效结果应用情况</w:t>
      </w:r>
      <w:r>
        <w:rPr>
          <w:rFonts w:hint="eastAsia" w:ascii="Times New Roman" w:hAnsi="Times New Roman" w:eastAsia="仿宋_GB2312" w:cs="仿宋_GB2312"/>
          <w:color w:val="auto"/>
          <w:kern w:val="2"/>
          <w:sz w:val="32"/>
          <w:szCs w:val="32"/>
          <w:highlight w:val="none"/>
          <w:lang w:val="zh-CN" w:eastAsia="zh-CN" w:bidi="ar-SA"/>
        </w:rPr>
        <w:t>。</w:t>
      </w:r>
    </w:p>
    <w:p w14:paraId="66133213">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zh-CN" w:eastAsia="zh-CN" w:bidi="ar-SA"/>
        </w:rPr>
        <w:t>通过自评，202</w:t>
      </w:r>
      <w:r>
        <w:rPr>
          <w:rFonts w:hint="eastAsia" w:ascii="Times New Roman" w:hAnsi="Times New Roman"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zh-CN" w:eastAsia="zh-CN" w:bidi="ar-SA"/>
        </w:rPr>
        <w:t>年度县</w:t>
      </w:r>
      <w:r>
        <w:rPr>
          <w:rFonts w:hint="eastAsia" w:ascii="Times New Roman" w:hAnsi="Times New Roman" w:eastAsia="仿宋_GB2312" w:cs="仿宋_GB2312"/>
          <w:color w:val="auto"/>
          <w:kern w:val="2"/>
          <w:sz w:val="32"/>
          <w:szCs w:val="32"/>
          <w:highlight w:val="none"/>
          <w:lang w:val="en-US" w:eastAsia="zh-CN" w:bidi="ar-SA"/>
        </w:rPr>
        <w:t>财政</w:t>
      </w:r>
      <w:r>
        <w:rPr>
          <w:rFonts w:hint="eastAsia" w:ascii="Times New Roman" w:hAnsi="Times New Roman" w:eastAsia="仿宋_GB2312" w:cs="仿宋_GB2312"/>
          <w:color w:val="auto"/>
          <w:kern w:val="2"/>
          <w:sz w:val="32"/>
          <w:szCs w:val="32"/>
          <w:highlight w:val="none"/>
          <w:lang w:val="zh-CN" w:eastAsia="zh-CN" w:bidi="ar-SA"/>
        </w:rPr>
        <w:t>局各项经费达到对应的绩效目标，圆满完成了县委、县政府下达的各项统计、调查、普查相关工作任务，达到预期绩效目标总体较满意。经综合评价，自评得分9</w:t>
      </w:r>
      <w:r>
        <w:rPr>
          <w:rFonts w:hint="eastAsia" w:ascii="Times New Roman" w:hAnsi="Times New Roman" w:eastAsia="仿宋_GB2312" w:cs="仿宋_GB2312"/>
          <w:color w:val="auto"/>
          <w:kern w:val="2"/>
          <w:sz w:val="32"/>
          <w:szCs w:val="32"/>
          <w:highlight w:val="none"/>
          <w:lang w:val="en-US" w:eastAsia="zh-CN" w:bidi="ar-SA"/>
        </w:rPr>
        <w:t>7</w:t>
      </w:r>
      <w:r>
        <w:rPr>
          <w:rFonts w:hint="eastAsia" w:ascii="Times New Roman" w:hAnsi="Times New Roman" w:eastAsia="仿宋_GB2312" w:cs="仿宋_GB2312"/>
          <w:color w:val="auto"/>
          <w:kern w:val="2"/>
          <w:sz w:val="32"/>
          <w:szCs w:val="32"/>
          <w:highlight w:val="none"/>
          <w:lang w:val="zh-CN" w:eastAsia="zh-CN" w:bidi="ar-SA"/>
        </w:rPr>
        <w:t>分。本部门202</w:t>
      </w:r>
      <w:r>
        <w:rPr>
          <w:rFonts w:hint="eastAsia" w:ascii="Times New Roman" w:hAnsi="Times New Roman"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zh-CN" w:eastAsia="zh-CN" w:bidi="ar-SA"/>
        </w:rPr>
        <w:t>年预算整体绩效评价</w:t>
      </w:r>
      <w:r>
        <w:rPr>
          <w:rFonts w:hint="eastAsia" w:ascii="Times New Roman" w:hAnsi="Times New Roman" w:eastAsia="仿宋_GB2312" w:cs="仿宋_GB2312"/>
          <w:color w:val="auto"/>
          <w:kern w:val="2"/>
          <w:sz w:val="32"/>
          <w:szCs w:val="32"/>
          <w:highlight w:val="none"/>
          <w:lang w:val="en-US" w:eastAsia="zh-CN" w:bidi="ar-SA"/>
        </w:rPr>
        <w:t>良好</w:t>
      </w:r>
    </w:p>
    <w:p w14:paraId="79AE0CC1">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bookmarkStart w:id="105" w:name="_Toc25382_WPSOffice_Level2"/>
      <w:r>
        <w:rPr>
          <w:rFonts w:hint="default" w:ascii="Times New Roman" w:hAnsi="Times New Roman" w:eastAsia="仿宋_GB2312" w:cs="仿宋_GB2312"/>
          <w:color w:val="auto"/>
          <w:kern w:val="2"/>
          <w:sz w:val="32"/>
          <w:szCs w:val="32"/>
          <w:highlight w:val="none"/>
          <w:lang w:val="en-US" w:eastAsia="zh-CN" w:bidi="ar-SA"/>
        </w:rPr>
        <w:t>四、评价结论及建议</w:t>
      </w:r>
      <w:bookmarkEnd w:id="105"/>
    </w:p>
    <w:p w14:paraId="3A89B15F">
      <w:pPr>
        <w:spacing w:line="600" w:lineRule="exact"/>
        <w:ind w:firstLine="640"/>
        <w:rPr>
          <w:rFonts w:hint="default" w:ascii="Times New Roman" w:hAnsi="Times New Roman" w:eastAsia="仿宋_GB2312" w:cs="仿宋_GB2312"/>
          <w:color w:val="auto"/>
          <w:kern w:val="2"/>
          <w:sz w:val="32"/>
          <w:szCs w:val="32"/>
          <w:highlight w:val="none"/>
          <w:lang w:val="zh-CN" w:eastAsia="zh-CN" w:bidi="ar-SA"/>
        </w:rPr>
      </w:pPr>
      <w:r>
        <w:rPr>
          <w:rFonts w:hint="default" w:ascii="Times New Roman" w:hAnsi="Times New Roman" w:eastAsia="仿宋_GB2312" w:cs="仿宋_GB2312"/>
          <w:color w:val="auto"/>
          <w:kern w:val="2"/>
          <w:sz w:val="32"/>
          <w:szCs w:val="32"/>
          <w:highlight w:val="none"/>
          <w:lang w:val="zh-CN" w:eastAsia="zh-CN" w:bidi="ar-SA"/>
        </w:rPr>
        <w:t>（一）评价结论。</w:t>
      </w:r>
    </w:p>
    <w:p w14:paraId="2C80AFB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财政局2024年严格按照部门预算使用资金，资金使用合理、安全、达到预期目标，自评得分94分。</w:t>
      </w:r>
    </w:p>
    <w:p w14:paraId="57F19753">
      <w:pPr>
        <w:spacing w:line="600" w:lineRule="exact"/>
        <w:ind w:firstLine="640"/>
        <w:rPr>
          <w:rFonts w:hint="default" w:ascii="Times New Roman" w:hAnsi="Times New Roman" w:eastAsia="仿宋_GB2312" w:cs="仿宋_GB2312"/>
          <w:color w:val="auto"/>
          <w:kern w:val="2"/>
          <w:sz w:val="32"/>
          <w:szCs w:val="32"/>
          <w:highlight w:val="none"/>
          <w:lang w:val="zh-CN" w:eastAsia="zh-CN" w:bidi="ar-SA"/>
        </w:rPr>
      </w:pPr>
      <w:r>
        <w:rPr>
          <w:rFonts w:hint="default" w:ascii="Times New Roman" w:hAnsi="Times New Roman" w:eastAsia="仿宋_GB2312" w:cs="仿宋_GB2312"/>
          <w:color w:val="auto"/>
          <w:kern w:val="2"/>
          <w:sz w:val="32"/>
          <w:szCs w:val="32"/>
          <w:highlight w:val="none"/>
          <w:lang w:val="zh-CN" w:eastAsia="zh-CN" w:bidi="ar-SA"/>
        </w:rPr>
        <w:t>（二）存在问题。</w:t>
      </w:r>
    </w:p>
    <w:p w14:paraId="787C3E5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部分预算不精准，存在中后期预算调整的情况，2024年初财政批复预算支出与实际支出有一定差距，存在支出预算调整的现象。由于年初预算不足，加上上级临时交办了一些任务，一些无法预计和列入年初预算的支出，需要在年度中间进行预算追加和调整.</w:t>
      </w:r>
    </w:p>
    <w:p w14:paraId="3EE866A8">
      <w:pPr>
        <w:spacing w:line="600" w:lineRule="exact"/>
        <w:ind w:firstLine="640"/>
        <w:rPr>
          <w:rFonts w:hint="default" w:ascii="Times New Roman" w:hAnsi="Times New Roman" w:eastAsia="仿宋_GB2312" w:cs="仿宋_GB2312"/>
          <w:color w:val="auto"/>
          <w:kern w:val="2"/>
          <w:sz w:val="32"/>
          <w:szCs w:val="32"/>
          <w:highlight w:val="none"/>
          <w:lang w:val="zh-CN" w:eastAsia="zh-CN" w:bidi="ar-SA"/>
        </w:rPr>
      </w:pPr>
      <w:r>
        <w:rPr>
          <w:rFonts w:hint="default" w:ascii="Times New Roman" w:hAnsi="Times New Roman" w:eastAsia="仿宋_GB2312" w:cs="仿宋_GB2312"/>
          <w:color w:val="auto"/>
          <w:kern w:val="2"/>
          <w:sz w:val="32"/>
          <w:szCs w:val="32"/>
          <w:highlight w:val="none"/>
          <w:lang w:val="zh-CN" w:eastAsia="zh-CN" w:bidi="ar-SA"/>
        </w:rPr>
        <w:t>改进建议。</w:t>
      </w:r>
      <w:bookmarkStart w:id="106" w:name="_Hlk110546638"/>
    </w:p>
    <w:bookmarkEnd w:id="106"/>
    <w:p w14:paraId="6567BCEF">
      <w:pPr>
        <w:spacing w:line="600" w:lineRule="exact"/>
        <w:ind w:firstLine="640"/>
        <w:rPr>
          <w:rFonts w:hint="default"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科学合理编制预算，严格执行预算。鉴于财政局工作任务繁重，重点工作任务重，年初财政预算要尽量足额，以便在预算执行中，严格按照预算科目支出，为各项工作顺利开展，提供资金保证</w:t>
      </w:r>
    </w:p>
    <w:p w14:paraId="69210819">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p>
    <w:p w14:paraId="211D7A68">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附表：</w:t>
      </w:r>
      <w:r>
        <w:rPr>
          <w:rFonts w:hint="default" w:ascii="Times New Roman" w:hAnsi="Times New Roman" w:eastAsia="仿宋_GB2312" w:cs="仿宋_GB2312"/>
          <w:color w:val="auto"/>
          <w:kern w:val="2"/>
          <w:sz w:val="32"/>
          <w:szCs w:val="32"/>
          <w:highlight w:val="none"/>
          <w:lang w:val="en-US" w:eastAsia="zh-CN" w:bidi="ar-SA"/>
        </w:rPr>
        <w:t>部门整体支出绩效目标表</w:t>
      </w:r>
      <w:r>
        <w:rPr>
          <w:rFonts w:hint="default" w:ascii="Times New Roman" w:hAnsi="Times New Roman" w:eastAsia="仿宋_GB2312" w:cs="仿宋_GB2312"/>
          <w:color w:val="auto"/>
          <w:kern w:val="2"/>
          <w:sz w:val="32"/>
          <w:szCs w:val="32"/>
          <w:highlight w:val="none"/>
          <w:lang w:val="en-US" w:eastAsia="zh-CN" w:bidi="ar-SA"/>
        </w:rPr>
        <w:br w:type="page"/>
      </w:r>
    </w:p>
    <w:tbl>
      <w:tblPr>
        <w:tblStyle w:val="16"/>
        <w:tblW w:w="95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915"/>
        <w:gridCol w:w="1357"/>
        <w:gridCol w:w="1360"/>
        <w:gridCol w:w="2082"/>
        <w:gridCol w:w="1087"/>
        <w:gridCol w:w="1267"/>
        <w:gridCol w:w="814"/>
        <w:gridCol w:w="638"/>
      </w:tblGrid>
      <w:tr w14:paraId="4B537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20" w:hRule="atLeast"/>
        </w:trPr>
        <w:tc>
          <w:tcPr>
            <w:tcW w:w="9520" w:type="dxa"/>
            <w:gridSpan w:val="8"/>
            <w:tcBorders>
              <w:top w:val="nil"/>
              <w:left w:val="nil"/>
              <w:bottom w:val="nil"/>
              <w:right w:val="nil"/>
            </w:tcBorders>
            <w:shd w:val="clear" w:color="auto" w:fill="auto"/>
            <w:tcMar>
              <w:top w:w="15" w:type="dxa"/>
              <w:left w:w="15" w:type="dxa"/>
              <w:right w:w="15" w:type="dxa"/>
            </w:tcMar>
            <w:vAlign w:val="center"/>
          </w:tcPr>
          <w:p w14:paraId="433A7B66">
            <w:pPr>
              <w:keepNext w:val="0"/>
              <w:keepLines w:val="0"/>
              <w:widowControl/>
              <w:suppressLineNumbers w:val="0"/>
              <w:jc w:val="center"/>
              <w:textAlignment w:val="center"/>
              <w:rPr>
                <w:rFonts w:ascii="黑体" w:hAnsi="宋体" w:eastAsia="黑体" w:cs="黑体"/>
                <w:i w:val="0"/>
                <w:color w:val="000000"/>
                <w:sz w:val="30"/>
                <w:szCs w:val="30"/>
                <w:u w:val="none"/>
              </w:rPr>
            </w:pPr>
            <w:r>
              <w:rPr>
                <w:rFonts w:hint="eastAsia" w:ascii="黑体" w:hAnsi="宋体" w:eastAsia="黑体" w:cs="黑体"/>
                <w:i w:val="0"/>
                <w:color w:val="000000"/>
                <w:kern w:val="0"/>
                <w:sz w:val="30"/>
                <w:szCs w:val="30"/>
                <w:u w:val="none"/>
                <w:lang w:val="en-US" w:eastAsia="zh-CN" w:bidi="ar"/>
              </w:rPr>
              <w:t>部门整体支出绩效目标表</w:t>
            </w:r>
          </w:p>
        </w:tc>
      </w:tr>
      <w:tr w14:paraId="6FDC5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9" w:hRule="atLeast"/>
        </w:trPr>
        <w:tc>
          <w:tcPr>
            <w:tcW w:w="9520" w:type="dxa"/>
            <w:gridSpan w:val="8"/>
            <w:tcBorders>
              <w:top w:val="nil"/>
              <w:left w:val="nil"/>
              <w:bottom w:val="nil"/>
              <w:right w:val="nil"/>
            </w:tcBorders>
            <w:shd w:val="clear" w:color="auto" w:fill="auto"/>
            <w:tcMar>
              <w:top w:w="15" w:type="dxa"/>
              <w:left w:w="15" w:type="dxa"/>
              <w:right w:w="15" w:type="dxa"/>
            </w:tcMar>
            <w:vAlign w:val="center"/>
          </w:tcPr>
          <w:p w14:paraId="79D5450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（2024年度）</w:t>
            </w:r>
          </w:p>
        </w:tc>
      </w:tr>
      <w:tr w14:paraId="3E516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9" w:hRule="atLeast"/>
        </w:trPr>
        <w:tc>
          <w:tcPr>
            <w:tcW w:w="9520" w:type="dxa"/>
            <w:gridSpan w:val="8"/>
            <w:tcBorders>
              <w:top w:val="nil"/>
              <w:left w:val="nil"/>
              <w:bottom w:val="single" w:color="000000" w:sz="4" w:space="0"/>
              <w:right w:val="nil"/>
            </w:tcBorders>
            <w:shd w:val="clear" w:color="auto" w:fill="auto"/>
            <w:tcMar>
              <w:top w:w="15" w:type="dxa"/>
              <w:left w:w="15" w:type="dxa"/>
              <w:right w:w="15" w:type="dxa"/>
            </w:tcMar>
            <w:vAlign w:val="center"/>
          </w:tcPr>
          <w:p w14:paraId="562493B7">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金额单位：万元</w:t>
            </w:r>
          </w:p>
        </w:tc>
      </w:tr>
      <w:tr w14:paraId="63961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32" w:hRule="atLeast"/>
        </w:trPr>
        <w:tc>
          <w:tcPr>
            <w:tcW w:w="363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413DB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部门名称</w:t>
            </w:r>
          </w:p>
        </w:tc>
        <w:tc>
          <w:tcPr>
            <w:tcW w:w="588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0A5A5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财政局部门</w:t>
            </w:r>
          </w:p>
        </w:tc>
      </w:tr>
      <w:tr w14:paraId="1F377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32" w:hRule="atLeast"/>
        </w:trPr>
        <w:tc>
          <w:tcPr>
            <w:tcW w:w="9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9710F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年度部门整体支出预算</w:t>
            </w:r>
          </w:p>
        </w:tc>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4E3AF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资金总额</w:t>
            </w:r>
          </w:p>
        </w:tc>
        <w:tc>
          <w:tcPr>
            <w:tcW w:w="31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17E9A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财政拨款</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7B548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r>
      <w:tr w14:paraId="58887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2" w:hRule="atLeast"/>
        </w:trPr>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A1E1E8">
            <w:pPr>
              <w:jc w:val="center"/>
              <w:rPr>
                <w:rFonts w:hint="eastAsia" w:ascii="宋体" w:hAnsi="宋体" w:eastAsia="宋体" w:cs="宋体"/>
                <w:i w:val="0"/>
                <w:color w:val="000000"/>
                <w:sz w:val="18"/>
                <w:szCs w:val="18"/>
                <w:u w:val="none"/>
              </w:rPr>
            </w:pPr>
          </w:p>
        </w:tc>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E4545">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1,070.05</w:t>
            </w:r>
          </w:p>
        </w:tc>
        <w:tc>
          <w:tcPr>
            <w:tcW w:w="31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948786">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1,070.05</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63561A">
            <w:pPr>
              <w:jc w:val="right"/>
              <w:rPr>
                <w:rFonts w:hint="eastAsia" w:ascii="宋体" w:hAnsi="宋体" w:eastAsia="宋体" w:cs="宋体"/>
                <w:i w:val="0"/>
                <w:color w:val="000000"/>
                <w:sz w:val="18"/>
                <w:szCs w:val="18"/>
                <w:u w:val="none"/>
              </w:rPr>
            </w:pPr>
          </w:p>
        </w:tc>
      </w:tr>
      <w:tr w14:paraId="26EA2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33"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58053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年度总体目标</w:t>
            </w:r>
          </w:p>
        </w:tc>
        <w:tc>
          <w:tcPr>
            <w:tcW w:w="860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DC520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积极组织收入，完成收入目标；保证民生顺利支出，促进社会事业稳定发展；加强队伍建设，确保各项安全。</w:t>
            </w:r>
          </w:p>
        </w:tc>
      </w:tr>
      <w:tr w14:paraId="6E74A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32" w:hRule="atLeast"/>
        </w:trPr>
        <w:tc>
          <w:tcPr>
            <w:tcW w:w="9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38C0B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年度主要任务</w:t>
            </w:r>
          </w:p>
        </w:tc>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7F4B6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任务名称</w:t>
            </w:r>
          </w:p>
        </w:tc>
        <w:tc>
          <w:tcPr>
            <w:tcW w:w="588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3CA60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主要内容</w:t>
            </w:r>
          </w:p>
        </w:tc>
      </w:tr>
      <w:tr w14:paraId="5B766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34" w:hRule="atLeast"/>
        </w:trPr>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24F5B3">
            <w:pPr>
              <w:jc w:val="center"/>
              <w:rPr>
                <w:rFonts w:hint="eastAsia" w:ascii="宋体" w:hAnsi="宋体" w:eastAsia="宋体" w:cs="宋体"/>
                <w:i w:val="0"/>
                <w:color w:val="000000"/>
                <w:sz w:val="18"/>
                <w:szCs w:val="18"/>
                <w:u w:val="none"/>
              </w:rPr>
            </w:pPr>
          </w:p>
        </w:tc>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90AA5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切实保障民生支出，优化支出结构</w:t>
            </w:r>
          </w:p>
        </w:tc>
        <w:tc>
          <w:tcPr>
            <w:tcW w:w="588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7E465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1.保工资、保运转、保基本民生产能力。2.落实党政机关过紧日子，压减一般性支出，严控“三公”经费增长。3.加快项目实施资金拨付进度，确保专项资金及时产生效益。</w:t>
            </w:r>
          </w:p>
        </w:tc>
      </w:tr>
      <w:tr w14:paraId="3FA3E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33" w:hRule="atLeast"/>
        </w:trPr>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2AE474">
            <w:pPr>
              <w:jc w:val="center"/>
              <w:rPr>
                <w:rFonts w:hint="eastAsia" w:ascii="宋体" w:hAnsi="宋体" w:eastAsia="宋体" w:cs="宋体"/>
                <w:i w:val="0"/>
                <w:color w:val="000000"/>
                <w:sz w:val="18"/>
                <w:szCs w:val="18"/>
                <w:u w:val="none"/>
              </w:rPr>
            </w:pPr>
          </w:p>
        </w:tc>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27062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全力抓好财务保障，提高管理水平</w:t>
            </w:r>
          </w:p>
        </w:tc>
        <w:tc>
          <w:tcPr>
            <w:tcW w:w="588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05EC1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1.强化库款动态监测。2.积极争取政府债券资金。3.加大存量资金清理回收力度。</w:t>
            </w:r>
          </w:p>
        </w:tc>
      </w:tr>
      <w:tr w14:paraId="61BAD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32" w:hRule="atLeast"/>
        </w:trPr>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815B6D">
            <w:pPr>
              <w:jc w:val="center"/>
              <w:rPr>
                <w:rFonts w:hint="eastAsia" w:ascii="宋体" w:hAnsi="宋体" w:eastAsia="宋体" w:cs="宋体"/>
                <w:i w:val="0"/>
                <w:color w:val="000000"/>
                <w:sz w:val="18"/>
                <w:szCs w:val="18"/>
                <w:u w:val="none"/>
              </w:rPr>
            </w:pPr>
          </w:p>
        </w:tc>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AABF12">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着力打造阳光财政，转变工作作风</w:t>
            </w:r>
          </w:p>
        </w:tc>
        <w:tc>
          <w:tcPr>
            <w:tcW w:w="588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382096">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坚持依法行政，廉洁理财，优化服务质量，提高工作效率。</w:t>
            </w:r>
          </w:p>
        </w:tc>
      </w:tr>
      <w:tr w14:paraId="1FD9E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32" w:hRule="atLeast"/>
        </w:trPr>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8570C6">
            <w:pPr>
              <w:jc w:val="center"/>
              <w:rPr>
                <w:rFonts w:hint="eastAsia" w:ascii="宋体" w:hAnsi="宋体" w:eastAsia="宋体" w:cs="宋体"/>
                <w:i w:val="0"/>
                <w:color w:val="000000"/>
                <w:sz w:val="18"/>
                <w:szCs w:val="18"/>
                <w:u w:val="none"/>
              </w:rPr>
            </w:pPr>
          </w:p>
        </w:tc>
        <w:tc>
          <w:tcPr>
            <w:tcW w:w="2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84A79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聚焦预算目标，努力增收节支</w:t>
            </w:r>
          </w:p>
        </w:tc>
        <w:tc>
          <w:tcPr>
            <w:tcW w:w="588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0A2E0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完成州县收入任务，集中财力保障巩固脱贫成效投入及经济社会发展重点领域。</w:t>
            </w:r>
          </w:p>
        </w:tc>
      </w:tr>
      <w:tr w14:paraId="33EC8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33" w:hRule="atLeast"/>
        </w:trPr>
        <w:tc>
          <w:tcPr>
            <w:tcW w:w="9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DC418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年度绩效指标</w:t>
            </w:r>
          </w:p>
        </w:tc>
        <w:tc>
          <w:tcPr>
            <w:tcW w:w="13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BADC1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11E8D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0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24CCB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1F813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绩效指标性质</w:t>
            </w:r>
          </w:p>
        </w:tc>
        <w:tc>
          <w:tcPr>
            <w:tcW w:w="12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57D0B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绩效指标值</w:t>
            </w:r>
          </w:p>
        </w:tc>
        <w:tc>
          <w:tcPr>
            <w:tcW w:w="8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1AED7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绩效度量单位</w:t>
            </w:r>
          </w:p>
        </w:tc>
        <w:tc>
          <w:tcPr>
            <w:tcW w:w="6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B70E5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r>
      <w:tr w14:paraId="3D0D7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32" w:hRule="atLeast"/>
        </w:trPr>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D46724">
            <w:pPr>
              <w:jc w:val="center"/>
              <w:rPr>
                <w:rFonts w:hint="eastAsia" w:ascii="宋体" w:hAnsi="宋体" w:eastAsia="宋体" w:cs="宋体"/>
                <w:i w:val="0"/>
                <w:color w:val="000000"/>
                <w:sz w:val="18"/>
                <w:szCs w:val="18"/>
                <w:u w:val="none"/>
              </w:rPr>
            </w:pPr>
          </w:p>
        </w:tc>
        <w:tc>
          <w:tcPr>
            <w:tcW w:w="135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8B2AB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36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CEA2F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0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9DAD7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收入完成率</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EB59A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2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79A3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8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A6206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D6B26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r>
      <w:tr w14:paraId="38C15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32" w:hRule="atLeast"/>
        </w:trPr>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6934ED">
            <w:pPr>
              <w:jc w:val="center"/>
              <w:rPr>
                <w:rFonts w:hint="eastAsia" w:ascii="宋体" w:hAnsi="宋体" w:eastAsia="宋体" w:cs="宋体"/>
                <w:i w:val="0"/>
                <w:color w:val="000000"/>
                <w:sz w:val="18"/>
                <w:szCs w:val="18"/>
                <w:u w:val="none"/>
              </w:rPr>
            </w:pPr>
          </w:p>
        </w:tc>
        <w:tc>
          <w:tcPr>
            <w:tcW w:w="13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0533F3">
            <w:pPr>
              <w:jc w:val="left"/>
              <w:rPr>
                <w:rFonts w:hint="eastAsia" w:ascii="宋体" w:hAnsi="宋体" w:eastAsia="宋体" w:cs="宋体"/>
                <w:i w:val="0"/>
                <w:color w:val="000000"/>
                <w:sz w:val="18"/>
                <w:szCs w:val="18"/>
                <w:u w:val="none"/>
              </w:rPr>
            </w:pPr>
          </w:p>
        </w:tc>
        <w:tc>
          <w:tcPr>
            <w:tcW w:w="13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69158E">
            <w:pPr>
              <w:jc w:val="left"/>
              <w:rPr>
                <w:rFonts w:hint="eastAsia" w:ascii="宋体" w:hAnsi="宋体" w:eastAsia="宋体" w:cs="宋体"/>
                <w:i w:val="0"/>
                <w:color w:val="000000"/>
                <w:sz w:val="18"/>
                <w:szCs w:val="18"/>
                <w:u w:val="none"/>
              </w:rPr>
            </w:pPr>
          </w:p>
        </w:tc>
        <w:tc>
          <w:tcPr>
            <w:tcW w:w="20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C203D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工资发放完成率</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B7294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2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05005A">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8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65E09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BFAFD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r>
      <w:tr w14:paraId="74E9A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32" w:hRule="atLeast"/>
        </w:trPr>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149709">
            <w:pPr>
              <w:jc w:val="center"/>
              <w:rPr>
                <w:rFonts w:hint="eastAsia" w:ascii="宋体" w:hAnsi="宋体" w:eastAsia="宋体" w:cs="宋体"/>
                <w:i w:val="0"/>
                <w:color w:val="000000"/>
                <w:sz w:val="18"/>
                <w:szCs w:val="18"/>
                <w:u w:val="none"/>
              </w:rPr>
            </w:pPr>
          </w:p>
        </w:tc>
        <w:tc>
          <w:tcPr>
            <w:tcW w:w="13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71C6FB">
            <w:pPr>
              <w:jc w:val="left"/>
              <w:rPr>
                <w:rFonts w:hint="eastAsia" w:ascii="宋体" w:hAnsi="宋体" w:eastAsia="宋体" w:cs="宋体"/>
                <w:i w:val="0"/>
                <w:color w:val="000000"/>
                <w:sz w:val="18"/>
                <w:szCs w:val="18"/>
                <w:u w:val="none"/>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370A1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20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6CC00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工作完成质量</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F85C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2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9A84F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高</w:t>
            </w:r>
          </w:p>
        </w:tc>
        <w:tc>
          <w:tcPr>
            <w:tcW w:w="8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318E7A">
            <w:pPr>
              <w:jc w:val="left"/>
              <w:rPr>
                <w:rFonts w:hint="eastAsia" w:ascii="宋体" w:hAnsi="宋体" w:eastAsia="宋体" w:cs="宋体"/>
                <w:i w:val="0"/>
                <w:color w:val="000000"/>
                <w:sz w:val="18"/>
                <w:szCs w:val="18"/>
                <w:u w:val="none"/>
              </w:rPr>
            </w:pPr>
          </w:p>
        </w:tc>
        <w:tc>
          <w:tcPr>
            <w:tcW w:w="6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9CEC8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r>
      <w:tr w14:paraId="7A6BC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32" w:hRule="atLeast"/>
        </w:trPr>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49B251">
            <w:pPr>
              <w:jc w:val="center"/>
              <w:rPr>
                <w:rFonts w:hint="eastAsia" w:ascii="宋体" w:hAnsi="宋体" w:eastAsia="宋体" w:cs="宋体"/>
                <w:i w:val="0"/>
                <w:color w:val="000000"/>
                <w:sz w:val="18"/>
                <w:szCs w:val="18"/>
                <w:u w:val="none"/>
              </w:rPr>
            </w:pPr>
          </w:p>
        </w:tc>
        <w:tc>
          <w:tcPr>
            <w:tcW w:w="13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C46984">
            <w:pPr>
              <w:jc w:val="left"/>
              <w:rPr>
                <w:rFonts w:hint="eastAsia" w:ascii="宋体" w:hAnsi="宋体" w:eastAsia="宋体" w:cs="宋体"/>
                <w:i w:val="0"/>
                <w:color w:val="000000"/>
                <w:sz w:val="18"/>
                <w:szCs w:val="18"/>
                <w:u w:val="none"/>
              </w:rPr>
            </w:pPr>
          </w:p>
        </w:tc>
        <w:tc>
          <w:tcPr>
            <w:tcW w:w="136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84109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20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2CC39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工资发放完成时间</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B771A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2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FC5DA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12月之前</w:t>
            </w:r>
          </w:p>
        </w:tc>
        <w:tc>
          <w:tcPr>
            <w:tcW w:w="8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BBE793">
            <w:pPr>
              <w:jc w:val="left"/>
              <w:rPr>
                <w:rFonts w:hint="eastAsia" w:ascii="宋体" w:hAnsi="宋体" w:eastAsia="宋体" w:cs="宋体"/>
                <w:i w:val="0"/>
                <w:color w:val="000000"/>
                <w:sz w:val="18"/>
                <w:szCs w:val="18"/>
                <w:u w:val="none"/>
              </w:rPr>
            </w:pPr>
          </w:p>
        </w:tc>
        <w:tc>
          <w:tcPr>
            <w:tcW w:w="6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48B22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r>
      <w:tr w14:paraId="56607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32" w:hRule="atLeast"/>
        </w:trPr>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19622E">
            <w:pPr>
              <w:jc w:val="center"/>
              <w:rPr>
                <w:rFonts w:hint="eastAsia" w:ascii="宋体" w:hAnsi="宋体" w:eastAsia="宋体" w:cs="宋体"/>
                <w:i w:val="0"/>
                <w:color w:val="000000"/>
                <w:sz w:val="18"/>
                <w:szCs w:val="18"/>
                <w:u w:val="none"/>
              </w:rPr>
            </w:pPr>
          </w:p>
        </w:tc>
        <w:tc>
          <w:tcPr>
            <w:tcW w:w="13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5A5F5F">
            <w:pPr>
              <w:jc w:val="left"/>
              <w:rPr>
                <w:rFonts w:hint="eastAsia" w:ascii="宋体" w:hAnsi="宋体" w:eastAsia="宋体" w:cs="宋体"/>
                <w:i w:val="0"/>
                <w:color w:val="000000"/>
                <w:sz w:val="18"/>
                <w:szCs w:val="18"/>
                <w:u w:val="none"/>
              </w:rPr>
            </w:pPr>
          </w:p>
        </w:tc>
        <w:tc>
          <w:tcPr>
            <w:tcW w:w="13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35076F">
            <w:pPr>
              <w:jc w:val="left"/>
              <w:rPr>
                <w:rFonts w:hint="eastAsia" w:ascii="宋体" w:hAnsi="宋体" w:eastAsia="宋体" w:cs="宋体"/>
                <w:i w:val="0"/>
                <w:color w:val="000000"/>
                <w:sz w:val="18"/>
                <w:szCs w:val="18"/>
                <w:u w:val="none"/>
              </w:rPr>
            </w:pPr>
          </w:p>
        </w:tc>
        <w:tc>
          <w:tcPr>
            <w:tcW w:w="20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7E9D82">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库款动态监测及时率</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62C9D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2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E5362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8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439FB6">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8EFEC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r>
      <w:tr w14:paraId="14BE6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32" w:hRule="atLeast"/>
        </w:trPr>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96CE57">
            <w:pPr>
              <w:jc w:val="center"/>
              <w:rPr>
                <w:rFonts w:hint="eastAsia" w:ascii="宋体" w:hAnsi="宋体" w:eastAsia="宋体" w:cs="宋体"/>
                <w:i w:val="0"/>
                <w:color w:val="000000"/>
                <w:sz w:val="18"/>
                <w:szCs w:val="18"/>
                <w:u w:val="none"/>
              </w:rPr>
            </w:pPr>
          </w:p>
        </w:tc>
        <w:tc>
          <w:tcPr>
            <w:tcW w:w="135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1AA7D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8A66C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20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60468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提高工作效率</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0B7AF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2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8FEA4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有效提高</w:t>
            </w:r>
          </w:p>
        </w:tc>
        <w:tc>
          <w:tcPr>
            <w:tcW w:w="8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D5181C">
            <w:pPr>
              <w:jc w:val="left"/>
              <w:rPr>
                <w:rFonts w:hint="eastAsia" w:ascii="宋体" w:hAnsi="宋体" w:eastAsia="宋体" w:cs="宋体"/>
                <w:i w:val="0"/>
                <w:color w:val="000000"/>
                <w:sz w:val="18"/>
                <w:szCs w:val="18"/>
                <w:u w:val="none"/>
              </w:rPr>
            </w:pPr>
          </w:p>
        </w:tc>
        <w:tc>
          <w:tcPr>
            <w:tcW w:w="6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C7B4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r>
      <w:tr w14:paraId="3D488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32" w:hRule="atLeast"/>
        </w:trPr>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4E5744">
            <w:pPr>
              <w:jc w:val="center"/>
              <w:rPr>
                <w:rFonts w:hint="eastAsia" w:ascii="宋体" w:hAnsi="宋体" w:eastAsia="宋体" w:cs="宋体"/>
                <w:i w:val="0"/>
                <w:color w:val="000000"/>
                <w:sz w:val="18"/>
                <w:szCs w:val="18"/>
                <w:u w:val="none"/>
              </w:rPr>
            </w:pPr>
          </w:p>
        </w:tc>
        <w:tc>
          <w:tcPr>
            <w:tcW w:w="13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12E7B3">
            <w:pPr>
              <w:jc w:val="left"/>
              <w:rPr>
                <w:rFonts w:hint="eastAsia" w:ascii="宋体" w:hAnsi="宋体" w:eastAsia="宋体" w:cs="宋体"/>
                <w:i w:val="0"/>
                <w:color w:val="000000"/>
                <w:sz w:val="18"/>
                <w:szCs w:val="18"/>
                <w:u w:val="none"/>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29D4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20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BE179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保障单位正常运转</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044DB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2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7611C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持续保障</w:t>
            </w:r>
          </w:p>
        </w:tc>
        <w:tc>
          <w:tcPr>
            <w:tcW w:w="8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AC6896">
            <w:pPr>
              <w:jc w:val="left"/>
              <w:rPr>
                <w:rFonts w:hint="eastAsia" w:ascii="宋体" w:hAnsi="宋体" w:eastAsia="宋体" w:cs="宋体"/>
                <w:i w:val="0"/>
                <w:color w:val="000000"/>
                <w:sz w:val="18"/>
                <w:szCs w:val="18"/>
                <w:u w:val="none"/>
              </w:rPr>
            </w:pPr>
          </w:p>
        </w:tc>
        <w:tc>
          <w:tcPr>
            <w:tcW w:w="6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C48DB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r>
      <w:tr w14:paraId="20559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33" w:hRule="atLeast"/>
        </w:trPr>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7C5707">
            <w:pPr>
              <w:jc w:val="center"/>
              <w:rPr>
                <w:rFonts w:hint="eastAsia" w:ascii="宋体" w:hAnsi="宋体" w:eastAsia="宋体" w:cs="宋体"/>
                <w:i w:val="0"/>
                <w:color w:val="000000"/>
                <w:sz w:val="18"/>
                <w:szCs w:val="18"/>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C2336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DC63E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20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C9AED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群众满意度</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8E19D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2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C3642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w:t>
            </w:r>
          </w:p>
        </w:tc>
        <w:tc>
          <w:tcPr>
            <w:tcW w:w="8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A3734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5E4BD6">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r>
      <w:tr w14:paraId="0F87A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45" w:hRule="atLeast"/>
        </w:trPr>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9C5C24">
            <w:pPr>
              <w:jc w:val="center"/>
              <w:rPr>
                <w:rFonts w:hint="eastAsia" w:ascii="宋体" w:hAnsi="宋体" w:eastAsia="宋体" w:cs="宋体"/>
                <w:i w:val="0"/>
                <w:color w:val="000000"/>
                <w:sz w:val="18"/>
                <w:szCs w:val="18"/>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9AAE0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95B7E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20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E1DE3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成本控制率</w:t>
            </w:r>
          </w:p>
        </w:tc>
        <w:tc>
          <w:tcPr>
            <w:tcW w:w="10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74019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2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10875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8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07028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905E4A">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r>
    </w:tbl>
    <w:p w14:paraId="6A244B5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107"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14:paraId="6333CAEB">
      <w:pPr>
        <w:widowControl/>
        <w:jc w:val="center"/>
        <w:rPr>
          <w:rFonts w:hint="eastAsia" w:ascii="Times New Roman" w:hAnsi="Times New Roman" w:eastAsia="仿宋"/>
          <w:b w:val="0"/>
          <w:color w:val="auto"/>
          <w:highlight w:val="none"/>
        </w:rPr>
      </w:pPr>
      <w:bookmarkStart w:id="108" w:name="_Toc17053_WPSOffice_Level1"/>
      <w:r>
        <w:rPr>
          <w:rFonts w:hint="eastAsia" w:ascii="Times New Roman" w:hAnsi="Times New Roman" w:eastAsia="黑体"/>
          <w:color w:val="auto"/>
          <w:sz w:val="44"/>
          <w:szCs w:val="44"/>
          <w:highlight w:val="none"/>
        </w:rPr>
        <w:t>第</w:t>
      </w:r>
      <w:r>
        <w:rPr>
          <w:rStyle w:val="29"/>
          <w:rFonts w:hint="eastAsia" w:ascii="Times New Roman" w:hAnsi="Times New Roman" w:eastAsia="黑体"/>
          <w:b w:val="0"/>
          <w:color w:val="auto"/>
          <w:highlight w:val="none"/>
        </w:rPr>
        <w:t>五部分 附表</w:t>
      </w:r>
      <w:bookmarkEnd w:id="97"/>
      <w:bookmarkEnd w:id="107"/>
      <w:bookmarkEnd w:id="108"/>
      <w:bookmarkStart w:id="109" w:name="_Toc15396619"/>
    </w:p>
    <w:p w14:paraId="1389B03B">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7D585914">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10" w:name="_Toc9671_WPSOffice_Level2"/>
      <w:r>
        <w:rPr>
          <w:rFonts w:hint="eastAsia" w:ascii="Times New Roman" w:hAnsi="Times New Roman" w:eastAsia="仿宋_GB2312" w:cs="仿宋_GB2312"/>
          <w:color w:val="auto"/>
          <w:sz w:val="32"/>
          <w:szCs w:val="32"/>
          <w:highlight w:val="none"/>
        </w:rPr>
        <w:t>一、收入支出决算总表</w:t>
      </w:r>
      <w:bookmarkEnd w:id="109"/>
      <w:bookmarkEnd w:id="110"/>
    </w:p>
    <w:p w14:paraId="462374DF">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11" w:name="_Toc115_WPSOffice_Level2"/>
      <w:bookmarkStart w:id="112" w:name="_Toc15396620"/>
      <w:r>
        <w:rPr>
          <w:rFonts w:hint="eastAsia" w:ascii="Times New Roman" w:hAnsi="Times New Roman" w:eastAsia="仿宋_GB2312" w:cs="仿宋_GB2312"/>
          <w:color w:val="auto"/>
          <w:sz w:val="32"/>
          <w:szCs w:val="32"/>
          <w:highlight w:val="none"/>
        </w:rPr>
        <w:t>二、收入决算表</w:t>
      </w:r>
      <w:bookmarkEnd w:id="111"/>
      <w:bookmarkEnd w:id="112"/>
    </w:p>
    <w:p w14:paraId="6FE50325">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13" w:name="_Toc15396621"/>
      <w:bookmarkStart w:id="114" w:name="_Toc12594_WPSOffice_Level2"/>
      <w:r>
        <w:rPr>
          <w:rFonts w:hint="eastAsia" w:ascii="Times New Roman" w:hAnsi="Times New Roman" w:eastAsia="仿宋_GB2312" w:cs="仿宋_GB2312"/>
          <w:color w:val="auto"/>
          <w:sz w:val="32"/>
          <w:szCs w:val="32"/>
          <w:highlight w:val="none"/>
        </w:rPr>
        <w:t>三、支出决算表</w:t>
      </w:r>
      <w:bookmarkEnd w:id="113"/>
      <w:bookmarkEnd w:id="114"/>
    </w:p>
    <w:p w14:paraId="1C91ADF9">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15" w:name="_Toc15396622"/>
      <w:bookmarkStart w:id="116" w:name="_Toc9055_WPSOffice_Level2"/>
      <w:r>
        <w:rPr>
          <w:rFonts w:hint="eastAsia" w:ascii="Times New Roman" w:hAnsi="Times New Roman" w:eastAsia="仿宋_GB2312" w:cs="仿宋_GB2312"/>
          <w:color w:val="auto"/>
          <w:sz w:val="32"/>
          <w:szCs w:val="32"/>
          <w:highlight w:val="none"/>
        </w:rPr>
        <w:t>四、财政拨款收入支出决算总表</w:t>
      </w:r>
      <w:bookmarkEnd w:id="115"/>
      <w:bookmarkEnd w:id="116"/>
    </w:p>
    <w:p w14:paraId="3899FC66">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17" w:name="_Toc11147_WPSOffice_Level2"/>
      <w:bookmarkStart w:id="118" w:name="_Toc15396623"/>
      <w:r>
        <w:rPr>
          <w:rFonts w:hint="eastAsia" w:ascii="Times New Roman" w:hAnsi="Times New Roman" w:eastAsia="仿宋_GB2312" w:cs="仿宋_GB2312"/>
          <w:color w:val="auto"/>
          <w:sz w:val="32"/>
          <w:szCs w:val="32"/>
          <w:highlight w:val="none"/>
        </w:rPr>
        <w:t>五、财政拨款支出决算明细表</w:t>
      </w:r>
      <w:bookmarkEnd w:id="117"/>
      <w:bookmarkEnd w:id="118"/>
      <w:bookmarkStart w:id="119" w:name="_Toc15396624"/>
    </w:p>
    <w:p w14:paraId="4743F321">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20" w:name="_Toc29475_WPSOffice_Level2"/>
      <w:r>
        <w:rPr>
          <w:rFonts w:hint="eastAsia" w:ascii="Times New Roman" w:hAnsi="Times New Roman" w:eastAsia="仿宋_GB2312" w:cs="仿宋_GB2312"/>
          <w:color w:val="auto"/>
          <w:sz w:val="32"/>
          <w:szCs w:val="32"/>
          <w:highlight w:val="none"/>
        </w:rPr>
        <w:t>六、一般公共预算财政拨款支出决算表</w:t>
      </w:r>
      <w:bookmarkEnd w:id="119"/>
      <w:bookmarkEnd w:id="120"/>
    </w:p>
    <w:p w14:paraId="1183BD06">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21" w:name="_Toc15396625"/>
      <w:bookmarkStart w:id="122" w:name="_Toc18292_WPSOffice_Level2"/>
      <w:r>
        <w:rPr>
          <w:rFonts w:hint="eastAsia" w:ascii="Times New Roman" w:hAnsi="Times New Roman" w:eastAsia="仿宋_GB2312" w:cs="仿宋_GB2312"/>
          <w:color w:val="auto"/>
          <w:sz w:val="32"/>
          <w:szCs w:val="32"/>
          <w:highlight w:val="none"/>
        </w:rPr>
        <w:t>七、一般公共预算财政拨款支出决算明细表</w:t>
      </w:r>
      <w:bookmarkEnd w:id="121"/>
      <w:bookmarkEnd w:id="122"/>
    </w:p>
    <w:p w14:paraId="7680E2C3">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23" w:name="_Toc9950_WPSOffice_Level2"/>
      <w:bookmarkStart w:id="124" w:name="_Toc15396626"/>
      <w:r>
        <w:rPr>
          <w:rFonts w:hint="eastAsia" w:ascii="Times New Roman" w:hAnsi="Times New Roman" w:eastAsia="仿宋_GB2312" w:cs="仿宋_GB2312"/>
          <w:color w:val="auto"/>
          <w:sz w:val="32"/>
          <w:szCs w:val="32"/>
          <w:highlight w:val="none"/>
        </w:rPr>
        <w:t>八、一般公共预算财政拨款基本支出决算表</w:t>
      </w:r>
      <w:bookmarkEnd w:id="123"/>
      <w:bookmarkEnd w:id="124"/>
    </w:p>
    <w:p w14:paraId="4D73BF43">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25" w:name="_Toc6778_WPSOffice_Level2"/>
      <w:bookmarkStart w:id="126" w:name="_Toc15396627"/>
      <w:r>
        <w:rPr>
          <w:rFonts w:hint="eastAsia" w:ascii="Times New Roman" w:hAnsi="Times New Roman" w:eastAsia="仿宋_GB2312" w:cs="仿宋_GB2312"/>
          <w:color w:val="auto"/>
          <w:sz w:val="32"/>
          <w:szCs w:val="32"/>
          <w:highlight w:val="none"/>
        </w:rPr>
        <w:t>九、一般公共预算财政拨款项目支出决算表</w:t>
      </w:r>
      <w:bookmarkEnd w:id="125"/>
      <w:bookmarkEnd w:id="126"/>
    </w:p>
    <w:p w14:paraId="244E6229">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27" w:name="_Toc15396628"/>
      <w:bookmarkStart w:id="128" w:name="_Toc21835_WPSOffice_Level2"/>
      <w:r>
        <w:rPr>
          <w:rFonts w:hint="eastAsia" w:ascii="Times New Roman" w:hAnsi="Times New Roman" w:eastAsia="仿宋_GB2312" w:cs="仿宋_GB2312"/>
          <w:color w:val="auto"/>
          <w:sz w:val="32"/>
          <w:szCs w:val="32"/>
          <w:highlight w:val="none"/>
        </w:rPr>
        <w:t>十、</w:t>
      </w:r>
      <w:bookmarkEnd w:id="127"/>
      <w:r>
        <w:rPr>
          <w:rFonts w:hint="eastAsia" w:ascii="Times New Roman" w:hAnsi="Times New Roman" w:eastAsia="仿宋_GB2312" w:cs="仿宋_GB2312"/>
          <w:color w:val="auto"/>
          <w:sz w:val="32"/>
          <w:szCs w:val="32"/>
          <w:highlight w:val="none"/>
        </w:rPr>
        <w:t>政府性基金预算财政拨款收入支出决算表</w:t>
      </w:r>
      <w:bookmarkEnd w:id="128"/>
    </w:p>
    <w:p w14:paraId="254B3AF6">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29" w:name="_Toc15396629"/>
      <w:bookmarkStart w:id="130" w:name="_Toc16986_WPSOffice_Level2"/>
      <w:r>
        <w:rPr>
          <w:rFonts w:hint="eastAsia" w:ascii="Times New Roman" w:hAnsi="Times New Roman" w:eastAsia="仿宋_GB2312" w:cs="仿宋_GB2312"/>
          <w:color w:val="auto"/>
          <w:sz w:val="32"/>
          <w:szCs w:val="32"/>
          <w:highlight w:val="none"/>
        </w:rPr>
        <w:t>十一、</w:t>
      </w:r>
      <w:bookmarkEnd w:id="129"/>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bookmarkEnd w:id="130"/>
    </w:p>
    <w:p w14:paraId="51181D5E">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31" w:name="_Toc15396630"/>
      <w:bookmarkStart w:id="132" w:name="_Toc18264_WPSOffice_Level2"/>
      <w:r>
        <w:rPr>
          <w:rFonts w:hint="eastAsia" w:ascii="Times New Roman" w:hAnsi="Times New Roman" w:eastAsia="仿宋_GB2312" w:cs="仿宋_GB2312"/>
          <w:color w:val="auto"/>
          <w:sz w:val="32"/>
          <w:szCs w:val="32"/>
          <w:highlight w:val="none"/>
        </w:rPr>
        <w:t>十二、</w:t>
      </w:r>
      <w:bookmarkEnd w:id="131"/>
      <w:r>
        <w:rPr>
          <w:rFonts w:hint="eastAsia" w:ascii="Times New Roman" w:hAnsi="Times New Roman" w:eastAsia="仿宋_GB2312" w:cs="仿宋_GB2312"/>
          <w:color w:val="auto"/>
          <w:sz w:val="32"/>
          <w:szCs w:val="32"/>
          <w:highlight w:val="none"/>
          <w:lang w:eastAsia="zh-CN"/>
        </w:rPr>
        <w:t>国有资本经营预算财政拨款支出决算表</w:t>
      </w:r>
      <w:bookmarkEnd w:id="132"/>
    </w:p>
    <w:p w14:paraId="153610A8">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133" w:name="_Toc15396631"/>
      <w:bookmarkStart w:id="134" w:name="_Toc9675_WPSOffice_Level2"/>
      <w:r>
        <w:rPr>
          <w:rFonts w:hint="eastAsia" w:ascii="Times New Roman" w:hAnsi="Times New Roman" w:eastAsia="仿宋_GB2312" w:cs="仿宋_GB2312"/>
          <w:color w:val="auto"/>
          <w:sz w:val="32"/>
          <w:szCs w:val="32"/>
          <w:highlight w:val="none"/>
        </w:rPr>
        <w:t>十三、</w:t>
      </w:r>
      <w:bookmarkEnd w:id="133"/>
      <w:r>
        <w:rPr>
          <w:rFonts w:hint="eastAsia" w:ascii="Times New Roman" w:hAnsi="Times New Roman" w:eastAsia="仿宋_GB2312" w:cs="仿宋_GB2312"/>
          <w:color w:val="auto"/>
          <w:sz w:val="32"/>
          <w:szCs w:val="32"/>
          <w:highlight w:val="none"/>
          <w:lang w:eastAsia="zh-CN"/>
        </w:rPr>
        <w:t>财政拨款“三公”经费支出决算表</w:t>
      </w:r>
      <w:bookmarkEnd w:id="134"/>
    </w:p>
    <w:p w14:paraId="68C6F502">
      <w:pPr>
        <w:rPr>
          <w:rFonts w:hint="eastAsia" w:ascii="Times New Roman" w:hAnsi="Times New Roman"/>
          <w:lang w:eastAsia="zh-CN"/>
        </w:rPr>
      </w:pPr>
    </w:p>
    <w:sectPr>
      <w:footerReference r:id="rId7" w:type="first"/>
      <w:headerReference r:id="rId5" w:type="default"/>
      <w:footerReference r:id="rId6" w:type="default"/>
      <w:pgSz w:w="11906" w:h="16838"/>
      <w:pgMar w:top="1440" w:right="1800" w:bottom="1440" w:left="1800"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BE39C">
    <w:pPr>
      <w:pStyle w:val="10"/>
      <w:jc w:val="center"/>
    </w:pPr>
  </w:p>
  <w:p w14:paraId="62ECFD81">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97619">
    <w:pPr>
      <w:pStyle w:val="1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14E1E34">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BuFFMd0CAAAmBgAADgAAAAAAAAABACAAAAAfAQAAZHJzL2Uyb0RvYy54bWxQSwUG&#10;AAAAAAYABgBZAQAAbgYAAAAA&#10;">
              <v:fill on="f" focussize="0,0"/>
              <v:stroke on="f" weight="0.5pt"/>
              <v:imagedata o:title=""/>
              <o:lock v:ext="edit" aspectratio="f"/>
              <v:textbox inset="0mm,0mm,0mm,0mm" style="mso-fit-shape-to-text:t;">
                <w:txbxContent>
                  <w:p w14:paraId="214E1E34">
                    <w:pPr>
                      <w:pStyle w:val="10"/>
                    </w:pPr>
                    <w:r>
                      <w:fldChar w:fldCharType="begin"/>
                    </w:r>
                    <w:r>
                      <w:instrText xml:space="preserve"> PAGE  \* MERGEFORMAT </w:instrText>
                    </w:r>
                    <w:r>
                      <w:fldChar w:fldCharType="separate"/>
                    </w:r>
                    <w:r>
                      <w:t>2</w:t>
                    </w:r>
                    <w:r>
                      <w:fldChar w:fldCharType="end"/>
                    </w:r>
                  </w:p>
                </w:txbxContent>
              </v:textbox>
            </v:shape>
          </w:pict>
        </mc:Fallback>
      </mc:AlternateContent>
    </w:r>
  </w:p>
  <w:p w14:paraId="738590D9">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42B1A">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930A65B">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mdhTeAgAAJg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L2mdhTeAgAAJgYAAA4AAAAAAAAAAQAgAAAAHwEAAGRycy9lMm9Eb2MueG1sUEsF&#10;BgAAAAAGAAYAWQEAAG8GAAAAAA==&#10;">
              <v:fill on="f" focussize="0,0"/>
              <v:stroke on="f" weight="0.5pt"/>
              <v:imagedata o:title=""/>
              <o:lock v:ext="edit" aspectratio="f"/>
              <v:textbox inset="0mm,0mm,0mm,0mm" style="mso-fit-shape-to-text:t;">
                <w:txbxContent>
                  <w:p w14:paraId="7930A65B">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1320C">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08741">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F962A8"/>
    <w:multiLevelType w:val="singleLevel"/>
    <w:tmpl w:val="DFF962A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9867E8F"/>
    <w:rsid w:val="0A2032A3"/>
    <w:rsid w:val="0CA8290A"/>
    <w:rsid w:val="0D35B1ED"/>
    <w:rsid w:val="0E254B6B"/>
    <w:rsid w:val="0F98263C"/>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BE77D27"/>
    <w:rsid w:val="1BE8440E"/>
    <w:rsid w:val="1D155CEE"/>
    <w:rsid w:val="1D1638FE"/>
    <w:rsid w:val="1E312DEB"/>
    <w:rsid w:val="1E740ACF"/>
    <w:rsid w:val="1FF35744"/>
    <w:rsid w:val="1FF6BC77"/>
    <w:rsid w:val="2186353C"/>
    <w:rsid w:val="23860B96"/>
    <w:rsid w:val="240371BF"/>
    <w:rsid w:val="244F3473"/>
    <w:rsid w:val="24C97D99"/>
    <w:rsid w:val="25A718F0"/>
    <w:rsid w:val="25BB59F6"/>
    <w:rsid w:val="260F557C"/>
    <w:rsid w:val="26970054"/>
    <w:rsid w:val="281408E2"/>
    <w:rsid w:val="29FD04D3"/>
    <w:rsid w:val="2BFF7BC6"/>
    <w:rsid w:val="2C8A61B5"/>
    <w:rsid w:val="2DF04E50"/>
    <w:rsid w:val="2E586DFA"/>
    <w:rsid w:val="2F040D46"/>
    <w:rsid w:val="2F6B035B"/>
    <w:rsid w:val="2FAE5751"/>
    <w:rsid w:val="2FB1A395"/>
    <w:rsid w:val="2FD9A7D8"/>
    <w:rsid w:val="2FDBF714"/>
    <w:rsid w:val="30AB6865"/>
    <w:rsid w:val="319F7F4E"/>
    <w:rsid w:val="32BD1EF1"/>
    <w:rsid w:val="3304709D"/>
    <w:rsid w:val="33A773CB"/>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160993"/>
    <w:rsid w:val="3E740A63"/>
    <w:rsid w:val="3E78745D"/>
    <w:rsid w:val="3EE17838"/>
    <w:rsid w:val="3F55381A"/>
    <w:rsid w:val="3F7F7599"/>
    <w:rsid w:val="3FF4CAE0"/>
    <w:rsid w:val="3FF7B227"/>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37E6D0A"/>
    <w:rsid w:val="53F74C96"/>
    <w:rsid w:val="55170BA8"/>
    <w:rsid w:val="553218C9"/>
    <w:rsid w:val="55ED0718"/>
    <w:rsid w:val="567E1AA5"/>
    <w:rsid w:val="56E47B74"/>
    <w:rsid w:val="57175D52"/>
    <w:rsid w:val="57A37908"/>
    <w:rsid w:val="57BD3DD4"/>
    <w:rsid w:val="5AF92295"/>
    <w:rsid w:val="5B250254"/>
    <w:rsid w:val="5BDD79E6"/>
    <w:rsid w:val="5BF561CA"/>
    <w:rsid w:val="5BFF5DFC"/>
    <w:rsid w:val="5CD71FC4"/>
    <w:rsid w:val="5D1F11B5"/>
    <w:rsid w:val="5D695134"/>
    <w:rsid w:val="5DAE1B18"/>
    <w:rsid w:val="5DE7D9E5"/>
    <w:rsid w:val="5DED504B"/>
    <w:rsid w:val="5ECEC941"/>
    <w:rsid w:val="5FBF9FF3"/>
    <w:rsid w:val="5FCD4E2C"/>
    <w:rsid w:val="5FEF394A"/>
    <w:rsid w:val="5FF67715"/>
    <w:rsid w:val="62BF3928"/>
    <w:rsid w:val="63B3701E"/>
    <w:rsid w:val="647F5392"/>
    <w:rsid w:val="65E66580"/>
    <w:rsid w:val="664B1D71"/>
    <w:rsid w:val="664B4E8E"/>
    <w:rsid w:val="67277B67"/>
    <w:rsid w:val="67AA3209"/>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2345B4"/>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DA16794"/>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2"/>
    <w:qFormat/>
    <w:uiPriority w:val="0"/>
    <w:pPr>
      <w:spacing w:after="120"/>
      <w:ind w:leftChars="200"/>
    </w:pPr>
    <w:rPr>
      <w:rFonts w:ascii="仿宋_GB2312"/>
      <w:szCs w:val="32"/>
    </w:rPr>
  </w:style>
  <w:style w:type="paragraph" w:styleId="7">
    <w:name w:val="Body Text"/>
    <w:basedOn w:val="1"/>
    <w:link w:val="26"/>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2"/>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2"/>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unhideWhenUsed/>
    <w:qFormat/>
    <w:uiPriority w:val="99"/>
    <w:pPr>
      <w:spacing w:before="100" w:beforeAutospacing="1" w:after="100" w:afterAutospacing="1"/>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character" w:customStyle="1" w:styleId="20">
    <w:name w:val="页眉 Char"/>
    <w:link w:val="11"/>
    <w:semiHidden/>
    <w:qFormat/>
    <w:locked/>
    <w:uiPriority w:val="99"/>
    <w:rPr>
      <w:sz w:val="18"/>
    </w:rPr>
  </w:style>
  <w:style w:type="paragraph" w:customStyle="1" w:styleId="21">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2">
    <w:name w:val="Header Char"/>
    <w:basedOn w:val="17"/>
    <w:semiHidden/>
    <w:qFormat/>
    <w:uiPriority w:val="99"/>
    <w:rPr>
      <w:rFonts w:ascii="Times New Roman" w:hAnsi="Times New Roman"/>
      <w:sz w:val="18"/>
      <w:szCs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0"/>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7"/>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4"/>
    <w:qFormat/>
    <w:uiPriority w:val="9"/>
    <w:rPr>
      <w:rFonts w:ascii="Times New Roman" w:hAnsi="Times New Roman"/>
      <w:b/>
      <w:bCs/>
      <w:kern w:val="44"/>
      <w:sz w:val="44"/>
      <w:szCs w:val="44"/>
    </w:rPr>
  </w:style>
  <w:style w:type="character" w:customStyle="1" w:styleId="30">
    <w:name w:val="标题 2 Char"/>
    <w:basedOn w:val="17"/>
    <w:link w:val="5"/>
    <w:qFormat/>
    <w:uiPriority w:val="9"/>
    <w:rPr>
      <w:rFonts w:asciiTheme="majorHAnsi" w:hAnsiTheme="majorHAnsi" w:eastAsiaTheme="majorEastAsia" w:cstheme="majorBidi"/>
      <w:b/>
      <w:bCs/>
      <w:kern w:val="2"/>
      <w:sz w:val="32"/>
      <w:szCs w:val="32"/>
    </w:rPr>
  </w:style>
  <w:style w:type="paragraph" w:customStyle="1" w:styleId="31">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9"/>
    <w:semiHidden/>
    <w:qFormat/>
    <w:uiPriority w:val="99"/>
    <w:rPr>
      <w:rFonts w:ascii="Times New Roman" w:hAnsi="Times New Roman"/>
      <w:kern w:val="2"/>
      <w:sz w:val="18"/>
      <w:szCs w:val="18"/>
    </w:rPr>
  </w:style>
  <w:style w:type="character" w:customStyle="1" w:styleId="33">
    <w:name w:val="标题 3 Char"/>
    <w:basedOn w:val="17"/>
    <w:link w:val="6"/>
    <w:qFormat/>
    <w:uiPriority w:val="9"/>
    <w:rPr>
      <w:rFonts w:ascii="Times New Roman" w:hAnsi="Times New Roman"/>
      <w:b/>
      <w:bCs/>
      <w:kern w:val="2"/>
      <w:sz w:val="32"/>
      <w:szCs w:val="32"/>
    </w:rPr>
  </w:style>
  <w:style w:type="paragraph" w:customStyle="1" w:styleId="34">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6">
    <w:name w:val="WPSOffice手动目录 1"/>
    <w:uiPriority w:val="0"/>
    <w:pPr>
      <w:ind w:leftChars="0"/>
    </w:pPr>
    <w:rPr>
      <w:rFonts w:asciiTheme="minorHAnsi" w:hAnsiTheme="minorHAnsi" w:eastAsiaTheme="minorEastAsia" w:cstheme="minorBidi"/>
      <w:sz w:val="20"/>
      <w:szCs w:val="20"/>
    </w:rPr>
  </w:style>
  <w:style w:type="paragraph" w:customStyle="1" w:styleId="37">
    <w:name w:val="WPSOffice手动目录 2"/>
    <w:uiPriority w:val="0"/>
    <w:pPr>
      <w:ind w:leftChars="2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glossaryDocument" Target="glossary/document.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2023</c:v>
                </c:pt>
                <c:pt idx="1">
                  <c:v>2024</c:v>
                </c:pt>
              </c:numCache>
            </c:numRef>
          </c:cat>
          <c:val>
            <c:numRef>
              <c:f>Sheet1!$B$2:$B$3</c:f>
              <c:numCache>
                <c:formatCode>General</c:formatCode>
                <c:ptCount val="2"/>
                <c:pt idx="0">
                  <c:v>1117.66</c:v>
                </c:pt>
                <c:pt idx="1">
                  <c:v>775.39</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2023</c:v>
                </c:pt>
                <c:pt idx="1">
                  <c:v>2024</c:v>
                </c:pt>
              </c:numCache>
            </c:numRef>
          </c:cat>
          <c:val>
            <c:numRef>
              <c:f>Sheet1!$C$2:$C$3</c:f>
              <c:numCache>
                <c:formatCode>General</c:formatCode>
                <c:ptCount val="2"/>
                <c:pt idx="0">
                  <c:v>1117.66</c:v>
                </c:pt>
                <c:pt idx="1">
                  <c:v>775.39</c:v>
                </c:pt>
              </c:numCache>
            </c:numRef>
          </c:val>
        </c:ser>
        <c:ser>
          <c:idx val="2"/>
          <c:order val="2"/>
          <c:tx>
            <c:strRef>
              <c:f>Sheet1!#REF!</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2023</c:v>
                </c:pt>
                <c:pt idx="1">
                  <c:v>2024</c:v>
                </c:pt>
              </c:numCache>
            </c:numRef>
          </c:cat>
          <c:val>
            <c:numRef>
              <c:f>Sheet1!#REF!</c:f>
              <c:numCache>
                <c:formatCode>General</c:formatCode>
                <c:ptCount val="1"/>
                <c:pt idx="0">
                  <c:v>1</c:v>
                </c:pt>
              </c:numCache>
            </c:numRef>
          </c:val>
        </c:ser>
        <c:dLbls>
          <c:showLegendKey val="0"/>
          <c:showVal val="1"/>
          <c:showCatName val="0"/>
          <c:showSerName val="0"/>
          <c:showPercent val="0"/>
          <c:showBubbleSize val="0"/>
        </c:dLbls>
        <c:gapWidth val="219"/>
        <c:overlap val="-27"/>
        <c:axId val="695952460"/>
        <c:axId val="828697473"/>
      </c:barChart>
      <c:catAx>
        <c:axId val="695952460"/>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8697473"/>
        <c:crosses val="autoZero"/>
        <c:auto val="1"/>
        <c:lblAlgn val="ctr"/>
        <c:lblOffset val="100"/>
        <c:noMultiLvlLbl val="0"/>
      </c:catAx>
      <c:valAx>
        <c:axId val="82869747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595246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7df7c6c-d201-4369-9892-1d922825e79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列1</c:v>
                </c:pt>
              </c:strCache>
            </c:strRef>
          </c:tx>
          <c:spPr/>
          <c:explosion val="0"/>
          <c:dPt>
            <c:idx val="0"/>
            <c:bubble3D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Sheet1!$B$2</c:f>
              <c:numCache>
                <c:formatCode>0%</c:formatCode>
                <c:ptCount val="1"/>
                <c:pt idx="0">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4aad10f-29b6-4ed7-ae5d-dac1cde3361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比例</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0.00%</c:formatCode>
                <c:ptCount val="2"/>
                <c:pt idx="0">
                  <c:v>0.8691</c:v>
                </c:pt>
                <c:pt idx="1">
                  <c:v>0.1308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040a227-4412-446a-bb82-8e60475c048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2023</c:v>
                </c:pt>
                <c:pt idx="1">
                  <c:v>2024</c:v>
                </c:pt>
              </c:numCache>
            </c:numRef>
          </c:cat>
          <c:val>
            <c:numRef>
              <c:f>Sheet1!$B$2:$B$3</c:f>
              <c:numCache>
                <c:formatCode>General</c:formatCode>
                <c:ptCount val="2"/>
                <c:pt idx="0">
                  <c:v>1117.66</c:v>
                </c:pt>
                <c:pt idx="1">
                  <c:v>775.39</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2023</c:v>
                </c:pt>
                <c:pt idx="1">
                  <c:v>2024</c:v>
                </c:pt>
              </c:numCache>
            </c:numRef>
          </c:cat>
          <c:val>
            <c:numRef>
              <c:f>Sheet1!$C$2:$C$3</c:f>
              <c:numCache>
                <c:formatCode>General</c:formatCode>
                <c:ptCount val="2"/>
                <c:pt idx="0">
                  <c:v>1117.66</c:v>
                </c:pt>
                <c:pt idx="1">
                  <c:v>775.39</c:v>
                </c:pt>
              </c:numCache>
            </c:numRef>
          </c:val>
        </c:ser>
        <c:ser>
          <c:idx val="2"/>
          <c:order val="2"/>
          <c:tx>
            <c:strRef>
              <c:f>Sheet1!$D$1</c:f>
              <c:strCache>
                <c:ptCount val="1"/>
                <c:pt idx="0">
                  <c:v>减少</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2023</c:v>
                </c:pt>
                <c:pt idx="1">
                  <c:v>2024</c:v>
                </c:pt>
              </c:numCache>
            </c:numRef>
          </c:cat>
          <c:val>
            <c:numRef>
              <c:f>Sheet1!$D$2:$D$3</c:f>
              <c:numCache>
                <c:formatCode>General</c:formatCode>
                <c:ptCount val="2"/>
                <c:pt idx="1">
                  <c:v>342.27</c:v>
                </c:pt>
              </c:numCache>
            </c:numRef>
          </c:val>
        </c:ser>
        <c:dLbls>
          <c:showLegendKey val="0"/>
          <c:showVal val="1"/>
          <c:showCatName val="0"/>
          <c:showSerName val="0"/>
          <c:showPercent val="0"/>
          <c:showBubbleSize val="0"/>
        </c:dLbls>
        <c:gapWidth val="219"/>
        <c:overlap val="-27"/>
        <c:axId val="299050029"/>
        <c:axId val="982670136"/>
      </c:barChart>
      <c:catAx>
        <c:axId val="29905002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82670136"/>
        <c:crosses val="autoZero"/>
        <c:auto val="1"/>
        <c:lblAlgn val="ctr"/>
        <c:lblOffset val="100"/>
        <c:noMultiLvlLbl val="0"/>
      </c:catAx>
      <c:valAx>
        <c:axId val="982670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9905002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c8356ba-479a-4d5a-b239-680fa6ab4c6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2023</c:v>
                </c:pt>
                <c:pt idx="1">
                  <c:v>2024</c:v>
                </c:pt>
              </c:numCache>
            </c:numRef>
          </c:cat>
          <c:val>
            <c:numRef>
              <c:f>Sheet1!$B$2:$B$3</c:f>
              <c:numCache>
                <c:formatCode>General</c:formatCode>
                <c:ptCount val="2"/>
                <c:pt idx="0">
                  <c:v>1117.66</c:v>
                </c:pt>
                <c:pt idx="1">
                  <c:v>775.39</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2023</c:v>
                </c:pt>
                <c:pt idx="1">
                  <c:v>2024</c:v>
                </c:pt>
              </c:numCache>
            </c:numRef>
          </c:cat>
          <c:val>
            <c:numRef>
              <c:f>Sheet1!$C$2:$C$3</c:f>
              <c:numCache>
                <c:formatCode>General</c:formatCode>
                <c:ptCount val="2"/>
                <c:pt idx="0">
                  <c:v>1117.66</c:v>
                </c:pt>
                <c:pt idx="1">
                  <c:v>775.39</c:v>
                </c:pt>
              </c:numCache>
            </c:numRef>
          </c:val>
        </c:ser>
        <c:ser>
          <c:idx val="2"/>
          <c:order val="2"/>
          <c:tx>
            <c:strRef>
              <c:f>Sheet1!$D$1</c:f>
              <c:strCache>
                <c:ptCount val="1"/>
                <c:pt idx="0">
                  <c:v>减少</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2023</c:v>
                </c:pt>
                <c:pt idx="1">
                  <c:v>2024</c:v>
                </c:pt>
              </c:numCache>
            </c:numRef>
          </c:cat>
          <c:val>
            <c:numRef>
              <c:f>Sheet1!$D$2:$D$3</c:f>
              <c:numCache>
                <c:formatCode>General</c:formatCode>
                <c:ptCount val="2"/>
                <c:pt idx="1">
                  <c:v>342.27</c:v>
                </c:pt>
              </c:numCache>
            </c:numRef>
          </c:val>
        </c:ser>
        <c:dLbls>
          <c:showLegendKey val="0"/>
          <c:showVal val="1"/>
          <c:showCatName val="0"/>
          <c:showSerName val="0"/>
          <c:showPercent val="0"/>
          <c:showBubbleSize val="0"/>
        </c:dLbls>
        <c:gapWidth val="150"/>
        <c:overlap val="0"/>
        <c:axId val="647636981"/>
        <c:axId val="180560829"/>
      </c:barChart>
      <c:catAx>
        <c:axId val="64763698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0560829"/>
        <c:crosses val="autoZero"/>
        <c:auto val="1"/>
        <c:lblAlgn val="ctr"/>
        <c:lblOffset val="100"/>
        <c:noMultiLvlLbl val="0"/>
      </c:catAx>
      <c:valAx>
        <c:axId val="18056082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4763698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a17189e-a91b-4b0e-9dc4-119bc6409f9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比例</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一般公共服务支出</c:v>
                </c:pt>
                <c:pt idx="1">
                  <c:v>社会保障和就业支出</c:v>
                </c:pt>
                <c:pt idx="2">
                  <c:v>卫生健康支出</c:v>
                </c:pt>
                <c:pt idx="3">
                  <c:v>住房保障支出</c:v>
                </c:pt>
                <c:pt idx="4">
                  <c:v>农林水支出</c:v>
                </c:pt>
              </c:strCache>
            </c:strRef>
          </c:cat>
          <c:val>
            <c:numRef>
              <c:f>Sheet1!$B$2:$B$6</c:f>
              <c:numCache>
                <c:formatCode>0.00%</c:formatCode>
                <c:ptCount val="5"/>
                <c:pt idx="0">
                  <c:v>0.776</c:v>
                </c:pt>
                <c:pt idx="1">
                  <c:v>0.106</c:v>
                </c:pt>
                <c:pt idx="2">
                  <c:v>0.0433</c:v>
                </c:pt>
                <c:pt idx="3">
                  <c:v>0.0519</c:v>
                </c:pt>
                <c:pt idx="4">
                  <c:v>0.0227</c:v>
                </c:pt>
              </c:numCache>
            </c:numRef>
          </c:val>
        </c:ser>
        <c:ser>
          <c:idx val="1"/>
          <c:order val="1"/>
          <c:tx>
            <c:strRef>
              <c:f>Sheet1!$C$1</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一般公共服务支出</c:v>
                </c:pt>
                <c:pt idx="1">
                  <c:v>社会保障和就业支出</c:v>
                </c:pt>
                <c:pt idx="2">
                  <c:v>卫生健康支出</c:v>
                </c:pt>
                <c:pt idx="3">
                  <c:v>住房保障支出</c:v>
                </c:pt>
                <c:pt idx="4">
                  <c:v>农林水支出</c:v>
                </c:pt>
              </c:strCache>
            </c:strRef>
          </c:cat>
          <c:val>
            <c:numRef>
              <c:f>Sheet1!$C$2:$C$6</c:f>
              <c:numCache>
                <c:formatCode>General</c:formatCode>
                <c:ptCount val="5"/>
              </c:numCache>
            </c:numRef>
          </c:val>
        </c:ser>
        <c:ser>
          <c:idx val="2"/>
          <c:order val="2"/>
          <c:tx>
            <c:strRef>
              <c:f>Sheet1!$D$1</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一般公共服务支出</c:v>
                </c:pt>
                <c:pt idx="1">
                  <c:v>社会保障和就业支出</c:v>
                </c:pt>
                <c:pt idx="2">
                  <c:v>卫生健康支出</c:v>
                </c:pt>
                <c:pt idx="3">
                  <c:v>住房保障支出</c:v>
                </c:pt>
                <c:pt idx="4">
                  <c:v>农林水支出</c:v>
                </c:pt>
              </c:strCache>
            </c:strRef>
          </c:cat>
          <c:val>
            <c:numRef>
              <c:f>Sheet1!$D$2:$D$6</c:f>
              <c:numCache>
                <c:formatCode>General</c:formatCode>
                <c:ptCount val="5"/>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d5b474b-c2fc-491a-9277-ed26e26c514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e87cf19-f868-4a90-8699-61720475deb3}"/>
        <w:style w:val=""/>
        <w:category>
          <w:name w:val="常规"/>
          <w:gallery w:val="placeholder"/>
        </w:category>
        <w:types>
          <w:type w:val="bbPlcHdr"/>
        </w:types>
        <w:behaviors>
          <w:behavior w:val="content"/>
        </w:behaviors>
        <w:description w:val=""/>
        <w:guid w:val="{9e87cf19-f868-4a90-8699-61720475deb3}"/>
      </w:docPartPr>
      <w:docPartBody>
        <w:p w14:paraId="28E34B4E">
          <w:r>
            <w:rPr>
              <w:color w:val="808080"/>
            </w:rPr>
            <w:t>单击此处输入文字。</w:t>
          </w:r>
        </w:p>
      </w:docPartBody>
    </w:docPart>
    <w:docPart>
      <w:docPartPr>
        <w:name w:val="{ae7fec01-0435-44d0-814a-974fc3cc39be}"/>
        <w:style w:val=""/>
        <w:category>
          <w:name w:val="常规"/>
          <w:gallery w:val="placeholder"/>
        </w:category>
        <w:types>
          <w:type w:val="bbPlcHdr"/>
        </w:types>
        <w:behaviors>
          <w:behavior w:val="content"/>
        </w:behaviors>
        <w:description w:val=""/>
        <w:guid w:val="{ae7fec01-0435-44d0-814a-974fc3cc39be}"/>
      </w:docPartPr>
      <w:docPartBody>
        <w:p w14:paraId="0B112CA5">
          <w:r>
            <w:rPr>
              <w:color w:val="808080"/>
            </w:rPr>
            <w:t>单击此处输入文字。</w:t>
          </w:r>
        </w:p>
      </w:docPartBody>
    </w:docPart>
    <w:docPart>
      <w:docPartPr>
        <w:name w:val="{ea3d2228-cc09-4538-99f5-4dbd70173339}"/>
        <w:style w:val=""/>
        <w:category>
          <w:name w:val="常规"/>
          <w:gallery w:val="placeholder"/>
        </w:category>
        <w:types>
          <w:type w:val="bbPlcHdr"/>
        </w:types>
        <w:behaviors>
          <w:behavior w:val="content"/>
        </w:behaviors>
        <w:description w:val=""/>
        <w:guid w:val="{ea3d2228-cc09-4538-99f5-4dbd70173339}"/>
      </w:docPartPr>
      <w:docPartBody>
        <w:p w14:paraId="57CA7CD4">
          <w:r>
            <w:rPr>
              <w:color w:val="808080"/>
            </w:rPr>
            <w:t>单击此处输入文字。</w:t>
          </w:r>
        </w:p>
      </w:docPartBody>
    </w:docPart>
    <w:docPart>
      <w:docPartPr>
        <w:name w:val="{8ee92af2-e1bf-41c9-ab10-c218970c9b24}"/>
        <w:style w:val=""/>
        <w:category>
          <w:name w:val="常规"/>
          <w:gallery w:val="placeholder"/>
        </w:category>
        <w:types>
          <w:type w:val="bbPlcHdr"/>
        </w:types>
        <w:behaviors>
          <w:behavior w:val="content"/>
        </w:behaviors>
        <w:description w:val=""/>
        <w:guid w:val="{8ee92af2-e1bf-41c9-ab10-c218970c9b24}"/>
      </w:docPartPr>
      <w:docPartBody>
        <w:p w14:paraId="54F28830">
          <w:r>
            <w:rPr>
              <w:color w:val="808080"/>
            </w:rPr>
            <w:t>单击此处输入文字。</w:t>
          </w:r>
        </w:p>
      </w:docPartBody>
    </w:docPart>
    <w:docPart>
      <w:docPartPr>
        <w:name w:val="{fbf0f24a-5e31-4daf-9a3d-88a5777c94ec}"/>
        <w:style w:val=""/>
        <w:category>
          <w:name w:val="常规"/>
          <w:gallery w:val="placeholder"/>
        </w:category>
        <w:types>
          <w:type w:val="bbPlcHdr"/>
        </w:types>
        <w:behaviors>
          <w:behavior w:val="content"/>
        </w:behaviors>
        <w:description w:val=""/>
        <w:guid w:val="{fbf0f24a-5e31-4daf-9a3d-88a5777c94ec}"/>
      </w:docPartPr>
      <w:docPartBody>
        <w:p w14:paraId="10588BCC">
          <w:r>
            <w:rPr>
              <w:color w:val="808080"/>
            </w:rPr>
            <w:t>单击此处输入文字。</w:t>
          </w:r>
        </w:p>
      </w:docPartBody>
    </w:docPart>
    <w:docPart>
      <w:docPartPr>
        <w:name w:val="{f59549f4-1acc-4a3c-8468-4e5432ee83e8}"/>
        <w:style w:val=""/>
        <w:category>
          <w:name w:val="常规"/>
          <w:gallery w:val="placeholder"/>
        </w:category>
        <w:types>
          <w:type w:val="bbPlcHdr"/>
        </w:types>
        <w:behaviors>
          <w:behavior w:val="content"/>
        </w:behaviors>
        <w:description w:val=""/>
        <w:guid w:val="{f59549f4-1acc-4a3c-8468-4e5432ee83e8}"/>
      </w:docPartPr>
      <w:docPartBody>
        <w:p w14:paraId="482FE33F">
          <w:r>
            <w:rPr>
              <w:color w:val="808080"/>
            </w:rPr>
            <w:t>单击此处输入文字。</w:t>
          </w:r>
        </w:p>
      </w:docPartBody>
    </w:docPart>
    <w:docPart>
      <w:docPartPr>
        <w:name w:val="{9804393b-bf0b-40a2-8e5f-6ee87948012b}"/>
        <w:style w:val=""/>
        <w:category>
          <w:name w:val="常规"/>
          <w:gallery w:val="placeholder"/>
        </w:category>
        <w:types>
          <w:type w:val="bbPlcHdr"/>
        </w:types>
        <w:behaviors>
          <w:behavior w:val="content"/>
        </w:behaviors>
        <w:description w:val=""/>
        <w:guid w:val="{9804393b-bf0b-40a2-8e5f-6ee87948012b}"/>
      </w:docPartPr>
      <w:docPartBody>
        <w:p w14:paraId="6D81B046">
          <w:r>
            <w:rPr>
              <w:color w:val="808080"/>
            </w:rPr>
            <w:t>单击此处输入文字。</w:t>
          </w:r>
        </w:p>
      </w:docPartBody>
    </w:docPart>
    <w:docPart>
      <w:docPartPr>
        <w:name w:val="{c47088eb-580b-4dad-b49f-3ef192e772c7}"/>
        <w:style w:val=""/>
        <w:category>
          <w:name w:val="常规"/>
          <w:gallery w:val="placeholder"/>
        </w:category>
        <w:types>
          <w:type w:val="bbPlcHdr"/>
        </w:types>
        <w:behaviors>
          <w:behavior w:val="content"/>
        </w:behaviors>
        <w:description w:val=""/>
        <w:guid w:val="{c47088eb-580b-4dad-b49f-3ef192e772c7}"/>
      </w:docPartPr>
      <w:docPartBody>
        <w:p w14:paraId="1D86F0FD">
          <w:r>
            <w:rPr>
              <w:color w:val="808080"/>
            </w:rPr>
            <w:t>单击此处输入文字。</w:t>
          </w:r>
        </w:p>
      </w:docPartBody>
    </w:docPart>
    <w:docPart>
      <w:docPartPr>
        <w:name w:val="{46a9b5bc-df95-4da3-bfe4-251b88010075}"/>
        <w:style w:val=""/>
        <w:category>
          <w:name w:val="常规"/>
          <w:gallery w:val="placeholder"/>
        </w:category>
        <w:types>
          <w:type w:val="bbPlcHdr"/>
        </w:types>
        <w:behaviors>
          <w:behavior w:val="content"/>
        </w:behaviors>
        <w:description w:val=""/>
        <w:guid w:val="{46a9b5bc-df95-4da3-bfe4-251b88010075}"/>
      </w:docPartPr>
      <w:docPartBody>
        <w:p w14:paraId="19C47D9C">
          <w:r>
            <w:rPr>
              <w:color w:val="808080"/>
            </w:rPr>
            <w:t>单击此处输入文字。</w:t>
          </w:r>
        </w:p>
      </w:docPartBody>
    </w:docPart>
    <w:docPart>
      <w:docPartPr>
        <w:name w:val="{7700dcf3-c272-43cc-b539-c6b177437cab}"/>
        <w:style w:val=""/>
        <w:category>
          <w:name w:val="常规"/>
          <w:gallery w:val="placeholder"/>
        </w:category>
        <w:types>
          <w:type w:val="bbPlcHdr"/>
        </w:types>
        <w:behaviors>
          <w:behavior w:val="content"/>
        </w:behaviors>
        <w:description w:val=""/>
        <w:guid w:val="{7700dcf3-c272-43cc-b539-c6b177437cab}"/>
      </w:docPartPr>
      <w:docPartBody>
        <w:p w14:paraId="49408345">
          <w:r>
            <w:rPr>
              <w:color w:val="808080"/>
            </w:rPr>
            <w:t>单击此处输入文字。</w:t>
          </w:r>
        </w:p>
      </w:docPartBody>
    </w:docPart>
    <w:docPart>
      <w:docPartPr>
        <w:name w:val="{efaddf99-56aa-45a1-981b-ffcfcc7e9e75}"/>
        <w:style w:val=""/>
        <w:category>
          <w:name w:val="常规"/>
          <w:gallery w:val="placeholder"/>
        </w:category>
        <w:types>
          <w:type w:val="bbPlcHdr"/>
        </w:types>
        <w:behaviors>
          <w:behavior w:val="content"/>
        </w:behaviors>
        <w:description w:val=""/>
        <w:guid w:val="{efaddf99-56aa-45a1-981b-ffcfcc7e9e75}"/>
      </w:docPartPr>
      <w:docPartBody>
        <w:p w14:paraId="66C86721">
          <w:r>
            <w:rPr>
              <w:color w:val="808080"/>
            </w:rPr>
            <w:t>单击此处输入文字。</w:t>
          </w:r>
        </w:p>
      </w:docPartBody>
    </w:docPart>
    <w:docPart>
      <w:docPartPr>
        <w:name w:val="{584314ab-4a41-4bba-b94e-31f5ab369d79}"/>
        <w:style w:val=""/>
        <w:category>
          <w:name w:val="常规"/>
          <w:gallery w:val="placeholder"/>
        </w:category>
        <w:types>
          <w:type w:val="bbPlcHdr"/>
        </w:types>
        <w:behaviors>
          <w:behavior w:val="content"/>
        </w:behaviors>
        <w:description w:val=""/>
        <w:guid w:val="{584314ab-4a41-4bba-b94e-31f5ab369d79}"/>
      </w:docPartPr>
      <w:docPartBody>
        <w:p w14:paraId="1CA84B87">
          <w:r>
            <w:rPr>
              <w:color w:val="808080"/>
            </w:rPr>
            <w:t>单击此处输入文字。</w:t>
          </w:r>
        </w:p>
      </w:docPartBody>
    </w:docPart>
    <w:docPart>
      <w:docPartPr>
        <w:name w:val="{c51f38d1-b9ec-4974-80d5-b6c5cbde9c56}"/>
        <w:style w:val=""/>
        <w:category>
          <w:name w:val="常规"/>
          <w:gallery w:val="placeholder"/>
        </w:category>
        <w:types>
          <w:type w:val="bbPlcHdr"/>
        </w:types>
        <w:behaviors>
          <w:behavior w:val="content"/>
        </w:behaviors>
        <w:description w:val=""/>
        <w:guid w:val="{c51f38d1-b9ec-4974-80d5-b6c5cbde9c56}"/>
      </w:docPartPr>
      <w:docPartBody>
        <w:p w14:paraId="6984E15D">
          <w:r>
            <w:rPr>
              <w:color w:val="808080"/>
            </w:rPr>
            <w:t>单击此处输入文字。</w:t>
          </w:r>
        </w:p>
      </w:docPartBody>
    </w:docPart>
    <w:docPart>
      <w:docPartPr>
        <w:name w:val="{c6f6ebaa-66bd-428e-b521-f8c0a2578664}"/>
        <w:style w:val=""/>
        <w:category>
          <w:name w:val="常规"/>
          <w:gallery w:val="placeholder"/>
        </w:category>
        <w:types>
          <w:type w:val="bbPlcHdr"/>
        </w:types>
        <w:behaviors>
          <w:behavior w:val="content"/>
        </w:behaviors>
        <w:description w:val=""/>
        <w:guid w:val="{c6f6ebaa-66bd-428e-b521-f8c0a2578664}"/>
      </w:docPartPr>
      <w:docPartBody>
        <w:p w14:paraId="36AC57C6">
          <w:r>
            <w:rPr>
              <w:color w:val="808080"/>
            </w:rPr>
            <w:t>单击此处输入文字。</w:t>
          </w:r>
        </w:p>
      </w:docPartBody>
    </w:docPart>
    <w:docPart>
      <w:docPartPr>
        <w:name w:val="{d373d0e2-2056-4168-887a-e42ef91eb323}"/>
        <w:style w:val=""/>
        <w:category>
          <w:name w:val="常规"/>
          <w:gallery w:val="placeholder"/>
        </w:category>
        <w:types>
          <w:type w:val="bbPlcHdr"/>
        </w:types>
        <w:behaviors>
          <w:behavior w:val="content"/>
        </w:behaviors>
        <w:description w:val=""/>
        <w:guid w:val="{d373d0e2-2056-4168-887a-e42ef91eb323}"/>
      </w:docPartPr>
      <w:docPartBody>
        <w:p w14:paraId="31EF1C9D">
          <w:r>
            <w:rPr>
              <w:color w:val="808080"/>
            </w:rPr>
            <w:t>单击此处输入文字。</w:t>
          </w:r>
        </w:p>
      </w:docPartBody>
    </w:docPart>
    <w:docPart>
      <w:docPartPr>
        <w:name w:val="{4f619b67-7446-4210-bb74-8db79170fb5a}"/>
        <w:style w:val=""/>
        <w:category>
          <w:name w:val="常规"/>
          <w:gallery w:val="placeholder"/>
        </w:category>
        <w:types>
          <w:type w:val="bbPlcHdr"/>
        </w:types>
        <w:behaviors>
          <w:behavior w:val="content"/>
        </w:behaviors>
        <w:description w:val=""/>
        <w:guid w:val="{4f619b67-7446-4210-bb74-8db79170fb5a}"/>
      </w:docPartPr>
      <w:docPartBody>
        <w:p w14:paraId="74A0EBBA">
          <w:r>
            <w:rPr>
              <w:color w:val="808080"/>
            </w:rPr>
            <w:t>单击此处输入文字。</w:t>
          </w:r>
        </w:p>
      </w:docPartBody>
    </w:docPart>
    <w:docPart>
      <w:docPartPr>
        <w:name w:val="{29419bbe-b69a-49be-8a27-d86d54d087d4}"/>
        <w:style w:val=""/>
        <w:category>
          <w:name w:val="常规"/>
          <w:gallery w:val="placeholder"/>
        </w:category>
        <w:types>
          <w:type w:val="bbPlcHdr"/>
        </w:types>
        <w:behaviors>
          <w:behavior w:val="content"/>
        </w:behaviors>
        <w:description w:val=""/>
        <w:guid w:val="{29419bbe-b69a-49be-8a27-d86d54d087d4}"/>
      </w:docPartPr>
      <w:docPartBody>
        <w:p w14:paraId="5D633A07">
          <w:r>
            <w:rPr>
              <w:color w:val="808080"/>
            </w:rPr>
            <w:t>单击此处输入文字。</w:t>
          </w:r>
        </w:p>
      </w:docPartBody>
    </w:docPart>
    <w:docPart>
      <w:docPartPr>
        <w:name w:val="{f106f67a-eda2-4274-a193-03d4ee412e5f}"/>
        <w:style w:val=""/>
        <w:category>
          <w:name w:val="常规"/>
          <w:gallery w:val="placeholder"/>
        </w:category>
        <w:types>
          <w:type w:val="bbPlcHdr"/>
        </w:types>
        <w:behaviors>
          <w:behavior w:val="content"/>
        </w:behaviors>
        <w:description w:val=""/>
        <w:guid w:val="{f106f67a-eda2-4274-a193-03d4ee412e5f}"/>
      </w:docPartPr>
      <w:docPartBody>
        <w:p w14:paraId="2C558F07">
          <w:r>
            <w:rPr>
              <w:color w:val="808080"/>
            </w:rPr>
            <w:t>单击此处输入文字。</w:t>
          </w:r>
        </w:p>
      </w:docPartBody>
    </w:docPart>
    <w:docPart>
      <w:docPartPr>
        <w:name w:val="{5579c168-39ef-4cd8-8f44-caa1f6af4203}"/>
        <w:style w:val=""/>
        <w:category>
          <w:name w:val="常规"/>
          <w:gallery w:val="placeholder"/>
        </w:category>
        <w:types>
          <w:type w:val="bbPlcHdr"/>
        </w:types>
        <w:behaviors>
          <w:behavior w:val="content"/>
        </w:behaviors>
        <w:description w:val=""/>
        <w:guid w:val="{5579c168-39ef-4cd8-8f44-caa1f6af4203}"/>
      </w:docPartPr>
      <w:docPartBody>
        <w:p w14:paraId="6BCE6442">
          <w:r>
            <w:rPr>
              <w:color w:val="808080"/>
            </w:rPr>
            <w:t>单击此处输入文字。</w:t>
          </w:r>
        </w:p>
      </w:docPartBody>
    </w:docPart>
    <w:docPart>
      <w:docPartPr>
        <w:name w:val="{149483d4-6ef6-411b-b9cf-9fc3f791f683}"/>
        <w:style w:val=""/>
        <w:category>
          <w:name w:val="常规"/>
          <w:gallery w:val="placeholder"/>
        </w:category>
        <w:types>
          <w:type w:val="bbPlcHdr"/>
        </w:types>
        <w:behaviors>
          <w:behavior w:val="content"/>
        </w:behaviors>
        <w:description w:val=""/>
        <w:guid w:val="{149483d4-6ef6-411b-b9cf-9fc3f791f683}"/>
      </w:docPartPr>
      <w:docPartBody>
        <w:p w14:paraId="16417B2B">
          <w:r>
            <w:rPr>
              <w:color w:val="808080"/>
            </w:rPr>
            <w:t>单击此处输入文字。</w:t>
          </w:r>
        </w:p>
      </w:docPartBody>
    </w:docPart>
    <w:docPart>
      <w:docPartPr>
        <w:name w:val="{7eba22f7-adfa-4133-b8a5-8dafdbc0fc45}"/>
        <w:style w:val=""/>
        <w:category>
          <w:name w:val="常规"/>
          <w:gallery w:val="placeholder"/>
        </w:category>
        <w:types>
          <w:type w:val="bbPlcHdr"/>
        </w:types>
        <w:behaviors>
          <w:behavior w:val="content"/>
        </w:behaviors>
        <w:description w:val=""/>
        <w:guid w:val="{7eba22f7-adfa-4133-b8a5-8dafdbc0fc45}"/>
      </w:docPartPr>
      <w:docPartBody>
        <w:p w14:paraId="1DF502E1">
          <w:r>
            <w:rPr>
              <w:color w:val="808080"/>
            </w:rPr>
            <w:t>单击此处输入文字。</w:t>
          </w:r>
        </w:p>
      </w:docPartBody>
    </w:docPart>
    <w:docPart>
      <w:docPartPr>
        <w:name w:val="{384f7138-63f4-4225-b7f7-866d71378ffe}"/>
        <w:style w:val=""/>
        <w:category>
          <w:name w:val="常规"/>
          <w:gallery w:val="placeholder"/>
        </w:category>
        <w:types>
          <w:type w:val="bbPlcHdr"/>
        </w:types>
        <w:behaviors>
          <w:behavior w:val="content"/>
        </w:behaviors>
        <w:description w:val=""/>
        <w:guid w:val="{384f7138-63f4-4225-b7f7-866d71378ffe}"/>
      </w:docPartPr>
      <w:docPartBody>
        <w:p w14:paraId="61790045">
          <w:r>
            <w:rPr>
              <w:color w:val="808080"/>
            </w:rPr>
            <w:t>单击此处输入文字。</w:t>
          </w:r>
        </w:p>
      </w:docPartBody>
    </w:docPart>
    <w:docPart>
      <w:docPartPr>
        <w:name w:val="{3f1d8e3b-f0f2-44e9-8fc8-7a7a74bd9fd9}"/>
        <w:style w:val=""/>
        <w:category>
          <w:name w:val="常规"/>
          <w:gallery w:val="placeholder"/>
        </w:category>
        <w:types>
          <w:type w:val="bbPlcHdr"/>
        </w:types>
        <w:behaviors>
          <w:behavior w:val="content"/>
        </w:behaviors>
        <w:description w:val=""/>
        <w:guid w:val="{3f1d8e3b-f0f2-44e9-8fc8-7a7a74bd9fd9}"/>
      </w:docPartPr>
      <w:docPartBody>
        <w:p w14:paraId="01A32E7F">
          <w:r>
            <w:rPr>
              <w:color w:val="808080"/>
            </w:rPr>
            <w:t>单击此处输入文字。</w:t>
          </w:r>
        </w:p>
      </w:docPartBody>
    </w:docPart>
    <w:docPart>
      <w:docPartPr>
        <w:name w:val="{7bf3c04c-701d-427f-b0e2-094d3fbf2c40}"/>
        <w:style w:val=""/>
        <w:category>
          <w:name w:val="常规"/>
          <w:gallery w:val="placeholder"/>
        </w:category>
        <w:types>
          <w:type w:val="bbPlcHdr"/>
        </w:types>
        <w:behaviors>
          <w:behavior w:val="content"/>
        </w:behaviors>
        <w:description w:val=""/>
        <w:guid w:val="{7bf3c04c-701d-427f-b0e2-094d3fbf2c40}"/>
      </w:docPartPr>
      <w:docPartBody>
        <w:p w14:paraId="48FDDA5B">
          <w:r>
            <w:rPr>
              <w:color w:val="808080"/>
            </w:rPr>
            <w:t>单击此处输入文字。</w:t>
          </w:r>
        </w:p>
      </w:docPartBody>
    </w:docPart>
    <w:docPart>
      <w:docPartPr>
        <w:name w:val="{255dd603-9c99-4d78-a867-c2ee5076c125}"/>
        <w:style w:val=""/>
        <w:category>
          <w:name w:val="常规"/>
          <w:gallery w:val="placeholder"/>
        </w:category>
        <w:types>
          <w:type w:val="bbPlcHdr"/>
        </w:types>
        <w:behaviors>
          <w:behavior w:val="content"/>
        </w:behaviors>
        <w:description w:val=""/>
        <w:guid w:val="{255dd603-9c99-4d78-a867-c2ee5076c125}"/>
      </w:docPartPr>
      <w:docPartBody>
        <w:p w14:paraId="19F80E6A">
          <w:r>
            <w:rPr>
              <w:color w:val="808080"/>
            </w:rPr>
            <w:t>单击此处输入文字。</w:t>
          </w:r>
        </w:p>
      </w:docPartBody>
    </w:docPart>
    <w:docPart>
      <w:docPartPr>
        <w:name w:val="{80cec9a1-a974-42b1-b36a-b5db9ffaedb3}"/>
        <w:style w:val=""/>
        <w:category>
          <w:name w:val="常规"/>
          <w:gallery w:val="placeholder"/>
        </w:category>
        <w:types>
          <w:type w:val="bbPlcHdr"/>
        </w:types>
        <w:behaviors>
          <w:behavior w:val="content"/>
        </w:behaviors>
        <w:description w:val=""/>
        <w:guid w:val="{80cec9a1-a974-42b1-b36a-b5db9ffaedb3}"/>
      </w:docPartPr>
      <w:docPartBody>
        <w:p w14:paraId="2C7147F0">
          <w:r>
            <w:rPr>
              <w:color w:val="808080"/>
            </w:rPr>
            <w:t>单击此处输入文字。</w:t>
          </w:r>
        </w:p>
      </w:docPartBody>
    </w:docPart>
    <w:docPart>
      <w:docPartPr>
        <w:name w:val="{52633d12-8446-4a41-bc70-63d34ec50544}"/>
        <w:style w:val=""/>
        <w:category>
          <w:name w:val="常规"/>
          <w:gallery w:val="placeholder"/>
        </w:category>
        <w:types>
          <w:type w:val="bbPlcHdr"/>
        </w:types>
        <w:behaviors>
          <w:behavior w:val="content"/>
        </w:behaviors>
        <w:description w:val=""/>
        <w:guid w:val="{52633d12-8446-4a41-bc70-63d34ec50544}"/>
      </w:docPartPr>
      <w:docPartBody>
        <w:p w14:paraId="1E8152ED">
          <w:r>
            <w:rPr>
              <w:color w:val="808080"/>
            </w:rPr>
            <w:t>单击此处输入文字。</w:t>
          </w:r>
        </w:p>
      </w:docPartBody>
    </w:docPart>
    <w:docPart>
      <w:docPartPr>
        <w:name w:val="{482ef0a8-c278-4c5a-b22c-42e5531a28d6}"/>
        <w:style w:val=""/>
        <w:category>
          <w:name w:val="常规"/>
          <w:gallery w:val="placeholder"/>
        </w:category>
        <w:types>
          <w:type w:val="bbPlcHdr"/>
        </w:types>
        <w:behaviors>
          <w:behavior w:val="content"/>
        </w:behaviors>
        <w:description w:val=""/>
        <w:guid w:val="{482ef0a8-c278-4c5a-b22c-42e5531a28d6}"/>
      </w:docPartPr>
      <w:docPartBody>
        <w:p w14:paraId="26830BED">
          <w:r>
            <w:rPr>
              <w:color w:val="808080"/>
            </w:rPr>
            <w:t>单击此处输入文字。</w:t>
          </w:r>
        </w:p>
      </w:docPartBody>
    </w:docPart>
    <w:docPart>
      <w:docPartPr>
        <w:name w:val="{e5886ebf-25ca-4ee5-82f4-b43a9148dba5}"/>
        <w:style w:val=""/>
        <w:category>
          <w:name w:val="常规"/>
          <w:gallery w:val="placeholder"/>
        </w:category>
        <w:types>
          <w:type w:val="bbPlcHdr"/>
        </w:types>
        <w:behaviors>
          <w:behavior w:val="content"/>
        </w:behaviors>
        <w:description w:val=""/>
        <w:guid w:val="{e5886ebf-25ca-4ee5-82f4-b43a9148dba5}"/>
      </w:docPartPr>
      <w:docPartBody>
        <w:p w14:paraId="1F3C60C1">
          <w:r>
            <w:rPr>
              <w:color w:val="808080"/>
            </w:rPr>
            <w:t>单击此处输入文字。</w:t>
          </w:r>
        </w:p>
      </w:docPartBody>
    </w:docPart>
    <w:docPart>
      <w:docPartPr>
        <w:name w:val="{6248af3d-3516-43b0-9838-0a7398efc398}"/>
        <w:style w:val=""/>
        <w:category>
          <w:name w:val="常规"/>
          <w:gallery w:val="placeholder"/>
        </w:category>
        <w:types>
          <w:type w:val="bbPlcHdr"/>
        </w:types>
        <w:behaviors>
          <w:behavior w:val="content"/>
        </w:behaviors>
        <w:description w:val=""/>
        <w:guid w:val="{6248af3d-3516-43b0-9838-0a7398efc398}"/>
      </w:docPartPr>
      <w:docPartBody>
        <w:p w14:paraId="6908E70F">
          <w:r>
            <w:rPr>
              <w:color w:val="808080"/>
            </w:rPr>
            <w:t>单击此处输入文字。</w:t>
          </w:r>
        </w:p>
      </w:docPartBody>
    </w:docPart>
    <w:docPart>
      <w:docPartPr>
        <w:name w:val="{7c5e45d4-6d2e-4379-8fdc-401baaca20c2}"/>
        <w:style w:val=""/>
        <w:category>
          <w:name w:val="常规"/>
          <w:gallery w:val="placeholder"/>
        </w:category>
        <w:types>
          <w:type w:val="bbPlcHdr"/>
        </w:types>
        <w:behaviors>
          <w:behavior w:val="content"/>
        </w:behaviors>
        <w:description w:val=""/>
        <w:guid w:val="{7c5e45d4-6d2e-4379-8fdc-401baaca20c2}"/>
      </w:docPartPr>
      <w:docPartBody>
        <w:p w14:paraId="602A6E49">
          <w:r>
            <w:rPr>
              <w:color w:val="808080"/>
            </w:rPr>
            <w:t>单击此处输入文字。</w:t>
          </w:r>
        </w:p>
      </w:docPartBody>
    </w:docPart>
    <w:docPart>
      <w:docPartPr>
        <w:name w:val="{37541a58-e6c8-49a4-a746-df312f17d76b}"/>
        <w:style w:val=""/>
        <w:category>
          <w:name w:val="常规"/>
          <w:gallery w:val="placeholder"/>
        </w:category>
        <w:types>
          <w:type w:val="bbPlcHdr"/>
        </w:types>
        <w:behaviors>
          <w:behavior w:val="content"/>
        </w:behaviors>
        <w:description w:val=""/>
        <w:guid w:val="{37541a58-e6c8-49a4-a746-df312f17d76b}"/>
      </w:docPartPr>
      <w:docPartBody>
        <w:p w14:paraId="7C381B2C">
          <w:r>
            <w:rPr>
              <w:color w:val="808080"/>
            </w:rPr>
            <w:t>单击此处输入文字。</w:t>
          </w:r>
        </w:p>
      </w:docPartBody>
    </w:docPart>
    <w:docPart>
      <w:docPartPr>
        <w:name w:val="{2870ae24-1dfc-46a2-9598-febb672dbd62}"/>
        <w:style w:val=""/>
        <w:category>
          <w:name w:val="常规"/>
          <w:gallery w:val="placeholder"/>
        </w:category>
        <w:types>
          <w:type w:val="bbPlcHdr"/>
        </w:types>
        <w:behaviors>
          <w:behavior w:val="content"/>
        </w:behaviors>
        <w:description w:val=""/>
        <w:guid w:val="{2870ae24-1dfc-46a2-9598-febb672dbd62}"/>
      </w:docPartPr>
      <w:docPartBody>
        <w:p w14:paraId="30CEC2A0">
          <w:r>
            <w:rPr>
              <w:color w:val="808080"/>
            </w:rPr>
            <w:t>单击此处输入文字。</w:t>
          </w:r>
        </w:p>
      </w:docPartBody>
    </w:docPart>
    <w:docPart>
      <w:docPartPr>
        <w:name w:val="{cb952ce0-b990-4325-9aa4-3984a24b681b}"/>
        <w:style w:val=""/>
        <w:category>
          <w:name w:val="常规"/>
          <w:gallery w:val="placeholder"/>
        </w:category>
        <w:types>
          <w:type w:val="bbPlcHdr"/>
        </w:types>
        <w:behaviors>
          <w:behavior w:val="content"/>
        </w:behaviors>
        <w:description w:val=""/>
        <w:guid w:val="{cb952ce0-b990-4325-9aa4-3984a24b681b}"/>
      </w:docPartPr>
      <w:docPartBody>
        <w:p w14:paraId="0852CFE5">
          <w:r>
            <w:rPr>
              <w:color w:val="808080"/>
            </w:rPr>
            <w:t>单击此处输入文字。</w:t>
          </w:r>
        </w:p>
      </w:docPartBody>
    </w:docPart>
    <w:docPart>
      <w:docPartPr>
        <w:name w:val="{360bdd10-c669-4643-8597-a93122a00901}"/>
        <w:style w:val=""/>
        <w:category>
          <w:name w:val="常规"/>
          <w:gallery w:val="placeholder"/>
        </w:category>
        <w:types>
          <w:type w:val="bbPlcHdr"/>
        </w:types>
        <w:behaviors>
          <w:behavior w:val="content"/>
        </w:behaviors>
        <w:description w:val=""/>
        <w:guid w:val="{360bdd10-c669-4643-8597-a93122a00901}"/>
      </w:docPartPr>
      <w:docPartBody>
        <w:p w14:paraId="3BF0C037">
          <w:r>
            <w:rPr>
              <w:color w:val="808080"/>
            </w:rPr>
            <w:t>单击此处输入文字。</w:t>
          </w:r>
        </w:p>
      </w:docPartBody>
    </w:docPart>
    <w:docPart>
      <w:docPartPr>
        <w:name w:val="{2ba719d6-5470-4972-b2c5-5543c538ab94}"/>
        <w:style w:val=""/>
        <w:category>
          <w:name w:val="常规"/>
          <w:gallery w:val="placeholder"/>
        </w:category>
        <w:types>
          <w:type w:val="bbPlcHdr"/>
        </w:types>
        <w:behaviors>
          <w:behavior w:val="content"/>
        </w:behaviors>
        <w:description w:val=""/>
        <w:guid w:val="{2ba719d6-5470-4972-b2c5-5543c538ab94}"/>
      </w:docPartPr>
      <w:docPartBody>
        <w:p w14:paraId="2AF8F463">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30</Pages>
  <Words>7946</Words>
  <Characters>8721</Characters>
  <Lines>61</Lines>
  <Paragraphs>17</Paragraphs>
  <TotalTime>42</TotalTime>
  <ScaleCrop>false</ScaleCrop>
  <LinksUpToDate>false</LinksUpToDate>
  <CharactersWithSpaces>8874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帅裂苍穹的帅</cp:lastModifiedBy>
  <cp:lastPrinted>2025-08-06T17:34:00Z</cp:lastPrinted>
  <dcterms:modified xsi:type="dcterms:W3CDTF">2025-10-21T08:17:57Z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B55C4F976D274DABBAED48123E7053EB</vt:lpwstr>
  </property>
  <property fmtid="{D5CDD505-2E9C-101B-9397-08002B2CF9AE}" pid="4" name="KSOTemplateDocerSaveRecord">
    <vt:lpwstr>eyJoZGlkIjoiYTczNWRkN2M4MzI5NGNjMzhmMjhhOWZhZjQ5ZDk2ZDYiLCJ1c2VySWQiOiI0MTA2NTQxOTcifQ==</vt:lpwstr>
  </property>
</Properties>
</file>