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AC769">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597"/>
      <w:bookmarkStart w:id="2" w:name="_Toc15377425"/>
      <w:bookmarkStart w:id="3" w:name="_Toc15396475"/>
      <w:bookmarkStart w:id="4" w:name="_Toc15377193"/>
      <w:bookmarkStart w:id="5" w:name="_Toc15306267"/>
    </w:p>
    <w:bookmarkEnd w:id="0"/>
    <w:bookmarkEnd w:id="1"/>
    <w:bookmarkEnd w:id="2"/>
    <w:bookmarkEnd w:id="3"/>
    <w:bookmarkEnd w:id="4"/>
    <w:p w14:paraId="1C43E9E0">
      <w:pPr>
        <w:pStyle w:val="7"/>
        <w:jc w:val="center"/>
        <w:rPr>
          <w:rFonts w:hint="eastAsia" w:ascii="Times New Roman" w:eastAsia="方正小标宋简体" w:cs="Times New Roman"/>
          <w:color w:val="auto"/>
          <w:kern w:val="2"/>
          <w:sz w:val="84"/>
          <w:szCs w:val="84"/>
          <w:highlight w:val="none"/>
          <w:lang w:val="en-US" w:eastAsia="zh-CN" w:bidi="ar-SA"/>
        </w:rPr>
      </w:pPr>
      <w:bookmarkStart w:id="6" w:name="_Toc15396598"/>
      <w:bookmarkStart w:id="7" w:name="_Toc15377194"/>
      <w:bookmarkStart w:id="8" w:name="_Toc15378442"/>
      <w:bookmarkStart w:id="9" w:name="_Toc15377426"/>
      <w:bookmarkStart w:id="10" w:name="_Toc15396476"/>
    </w:p>
    <w:p w14:paraId="3A694F5D">
      <w:pPr>
        <w:pStyle w:val="7"/>
        <w:jc w:val="center"/>
        <w:rPr>
          <w:rFonts w:hint="eastAsia" w:ascii="Times New Roman" w:eastAsia="方正小标宋简体" w:cs="Times New Roman"/>
          <w:color w:val="auto"/>
          <w:kern w:val="2"/>
          <w:sz w:val="72"/>
          <w:szCs w:val="72"/>
          <w:highlight w:val="none"/>
          <w:lang w:val="en-US" w:eastAsia="zh-CN" w:bidi="ar-SA"/>
        </w:rPr>
      </w:pPr>
    </w:p>
    <w:p w14:paraId="00D0524B">
      <w:pPr>
        <w:pStyle w:val="7"/>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eastAsia="方正小标宋简体" w:cs="Times New Roman"/>
          <w:color w:val="auto"/>
          <w:kern w:val="2"/>
          <w:sz w:val="72"/>
          <w:szCs w:val="72"/>
          <w:highlight w:val="none"/>
          <w:lang w:val="en-US" w:eastAsia="zh-CN" w:bidi="ar-SA"/>
        </w:rPr>
        <w:t>2025年度</w:t>
      </w:r>
    </w:p>
    <w:p w14:paraId="3480D5FB">
      <w:pPr>
        <w:pStyle w:val="7"/>
        <w:jc w:val="center"/>
        <w:rPr>
          <w:rFonts w:hint="eastAsia" w:ascii="Times New Roman" w:hAnsi="Times New Roman" w:eastAsia="方正小标宋简体" w:cs="Times New Roman"/>
          <w:color w:val="auto"/>
          <w:kern w:val="2"/>
          <w:sz w:val="72"/>
          <w:szCs w:val="72"/>
          <w:highlight w:val="none"/>
          <w:lang w:val="en-US" w:eastAsia="zh-CN" w:bidi="ar-SA"/>
        </w:rPr>
      </w:pPr>
    </w:p>
    <w:p w14:paraId="03E9921A">
      <w:pPr>
        <w:pStyle w:val="7"/>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hAnsi="Times New Roman" w:eastAsia="方正小标宋简体" w:cs="Times New Roman"/>
          <w:color w:val="auto"/>
          <w:kern w:val="2"/>
          <w:sz w:val="72"/>
          <w:szCs w:val="72"/>
          <w:highlight w:val="none"/>
          <w:lang w:val="en-US" w:eastAsia="zh-CN" w:bidi="ar-SA"/>
        </w:rPr>
        <w:t>四川省</w:t>
      </w:r>
      <w:bookmarkEnd w:id="5"/>
      <w:bookmarkStart w:id="11" w:name="_Toc15306268"/>
      <w:r>
        <w:rPr>
          <w:rFonts w:hint="eastAsia" w:ascii="Times New Roman" w:eastAsia="方正小标宋简体" w:cs="Times New Roman"/>
          <w:color w:val="auto"/>
          <w:kern w:val="2"/>
          <w:sz w:val="72"/>
          <w:szCs w:val="72"/>
          <w:highlight w:val="none"/>
          <w:lang w:val="en-US" w:eastAsia="zh-CN" w:bidi="ar-SA"/>
        </w:rPr>
        <w:t>九寨沟县财政局</w:t>
      </w:r>
    </w:p>
    <w:p w14:paraId="2777345B">
      <w:pPr>
        <w:pStyle w:val="7"/>
        <w:jc w:val="center"/>
        <w:rPr>
          <w:rFonts w:hint="eastAsia" w:ascii="Times New Roman" w:hAnsi="Times New Roman" w:eastAsia="方正小标宋简体" w:cs="Times New Roman"/>
          <w:color w:val="auto"/>
          <w:kern w:val="2"/>
          <w:sz w:val="72"/>
          <w:szCs w:val="72"/>
          <w:highlight w:val="none"/>
          <w:lang w:val="en-US" w:eastAsia="zh-CN" w:bidi="ar-SA"/>
        </w:rPr>
      </w:pPr>
    </w:p>
    <w:p w14:paraId="17CC04BD">
      <w:pPr>
        <w:pStyle w:val="7"/>
        <w:jc w:val="center"/>
        <w:rPr>
          <w:rFonts w:hint="eastAsia" w:ascii="Times New Roman" w:hAnsi="Times New Roman" w:eastAsia="黑体"/>
          <w:color w:val="auto"/>
          <w:sz w:val="72"/>
          <w:szCs w:val="72"/>
          <w:highlight w:val="none"/>
          <w:lang w:val="en-US"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72"/>
          <w:szCs w:val="72"/>
          <w:highlight w:val="none"/>
          <w:lang w:val="en-US" w:eastAsia="zh-CN" w:bidi="ar-SA"/>
        </w:rPr>
        <w:t>单位</w:t>
      </w:r>
      <w:r>
        <w:rPr>
          <w:rFonts w:hint="eastAsia" w:ascii="Times New Roman" w:hAnsi="Times New Roman" w:eastAsia="方正小标宋简体" w:cs="Times New Roman"/>
          <w:color w:val="auto"/>
          <w:kern w:val="2"/>
          <w:sz w:val="72"/>
          <w:szCs w:val="72"/>
          <w:highlight w:val="none"/>
          <w:lang w:val="en-US" w:eastAsia="zh-CN" w:bidi="ar-SA"/>
        </w:rPr>
        <w:t>决算</w:t>
      </w:r>
      <w:bookmarkEnd w:id="6"/>
      <w:bookmarkEnd w:id="7"/>
      <w:bookmarkEnd w:id="8"/>
      <w:bookmarkEnd w:id="9"/>
      <w:bookmarkEnd w:id="10"/>
      <w:bookmarkEnd w:id="11"/>
      <w:r>
        <w:rPr>
          <w:rFonts w:hint="eastAsia" w:eastAsia="黑体"/>
          <w:color w:val="auto"/>
          <w:sz w:val="72"/>
          <w:szCs w:val="72"/>
          <w:highlight w:val="none"/>
          <w:lang w:val="en-US" w:eastAsia="zh-CN"/>
        </w:rPr>
        <w:t>公开</w:t>
      </w:r>
    </w:p>
    <w:p w14:paraId="32DB62D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DD1796A">
      <w:pPr>
        <w:widowControl/>
        <w:jc w:val="center"/>
        <w:rPr>
          <w:rFonts w:ascii="Times New Roman" w:hAnsi="Times New Roman" w:eastAsia="黑体" w:cstheme="minorBidi"/>
          <w:color w:val="auto"/>
          <w:sz w:val="28"/>
          <w:szCs w:val="28"/>
          <w:highlight w:val="none"/>
        </w:rPr>
      </w:pPr>
    </w:p>
    <w:p w14:paraId="4B22BBAD">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8 </w:t>
      </w:r>
      <w:r>
        <w:rPr>
          <w:rFonts w:hint="eastAsia" w:ascii="Times New Roman" w:hAnsi="Times New Roman" w:eastAsia="仿宋_GB2312" w:cs="仿宋_GB2312"/>
          <w:color w:val="auto"/>
          <w:sz w:val="32"/>
          <w:szCs w:val="32"/>
          <w:highlight w:val="none"/>
        </w:rPr>
        <w:t>日</w:t>
      </w:r>
    </w:p>
    <w:p w14:paraId="6D0AA801">
      <w:pPr>
        <w:rPr>
          <w:rFonts w:ascii="Times New Roman" w:hAnsi="Times New Roman"/>
          <w:color w:val="auto"/>
          <w:highlight w:val="none"/>
        </w:rPr>
      </w:pPr>
    </w:p>
    <w:p w14:paraId="164F5D5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075B8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C276E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1C615C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31290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C0BCCC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C16AAE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69CA1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2C1D59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219020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85666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BAC048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5885D2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ABF9BD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20CF74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8F5830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7F1C23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01089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61F58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91A243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6E165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467C02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A2BA8C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C9BFEA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11D96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50FDFE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BB6E7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EFD6A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0070C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337692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7EEF32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FCDD61F">
      <w:pPr>
        <w:pStyle w:val="4"/>
        <w:jc w:val="center"/>
        <w:rPr>
          <w:rFonts w:hint="eastAsia" w:ascii="Times New Roman" w:hAnsi="Times New Roman" w:eastAsia="方正小标宋简体" w:cs="方正小标宋简体"/>
          <w:b w:val="0"/>
          <w:color w:val="auto"/>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5396599"/>
    </w:p>
    <w:p w14:paraId="50A35AAE">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3161CB8E">
      <w:pPr>
        <w:widowControl/>
        <w:jc w:val="left"/>
        <w:rPr>
          <w:rFonts w:ascii="Times New Roman" w:hAnsi="Times New Roman" w:eastAsia="黑体"/>
          <w:color w:val="auto"/>
          <w:sz w:val="32"/>
          <w:szCs w:val="32"/>
          <w:highlight w:val="none"/>
        </w:rPr>
      </w:pPr>
    </w:p>
    <w:p w14:paraId="232611A5">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2DA736D0">
      <w:pPr>
        <w:pStyle w:val="37"/>
        <w:keepNext w:val="0"/>
        <w:keepLines w:val="0"/>
        <w:pageBreakBefore w:val="0"/>
        <w:widowControl/>
        <w:suppressLineNumbers w:val="0"/>
        <w:kinsoku/>
        <w:wordWrap/>
        <w:overflowPunct/>
        <w:topLinePunct w:val="0"/>
        <w:autoSpaceDE/>
        <w:autoSpaceDN/>
        <w:bidi w:val="0"/>
        <w:adjustRightInd/>
        <w:snapToGrid/>
        <w:spacing w:before="0" w:beforeAutospacing="0"/>
        <w:ind w:left="0" w:right="0" w:rightChars="0" w:firstLine="640" w:firstLineChars="200"/>
        <w:jc w:val="left"/>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拟订全县财税发展战略、规划、政策和改革方案并组织实施。分析预测宏观经济形势，参与制定宏观经济政策，提出运用财税政策实施宏观调控和综合平衡社会财力的建议。贯彻落实国家与企业的分配政策，完善鼓励公益事业发展的财税政策。</w:t>
      </w:r>
    </w:p>
    <w:p w14:paraId="6F735F79">
      <w:pPr>
        <w:pStyle w:val="37"/>
        <w:keepNext w:val="0"/>
        <w:keepLines w:val="0"/>
        <w:pageBreakBefore w:val="0"/>
        <w:widowControl/>
        <w:suppressLineNumbers w:val="0"/>
        <w:kinsoku/>
        <w:wordWrap/>
        <w:overflowPunct/>
        <w:topLinePunct w:val="0"/>
        <w:autoSpaceDE/>
        <w:autoSpaceDN/>
        <w:bidi w:val="0"/>
        <w:adjustRightInd/>
        <w:snapToGrid/>
        <w:spacing w:before="0" w:beforeAutospacing="0"/>
        <w:ind w:left="0" w:right="0" w:rightChars="0" w:firstLine="640" w:firstLineChars="200"/>
        <w:jc w:val="left"/>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2.贯彻执行财政、税收、财务、会计管理的法律法规和规章。提出全县性财税立法规划建议，按照管理权限管理全县税政事项。</w:t>
      </w:r>
    </w:p>
    <w:p w14:paraId="35D951AD">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3.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w:t>
      </w:r>
    </w:p>
    <w:p w14:paraId="0B777257">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4.按分工负责政府非税收入管理。负责政府性基金管理，按规定管理行政事业性收费等其他非税收入。管理财政票据。贯彻落实彩票管理政策和有关办法，监管彩票市场，按规定管理彩票基金。</w:t>
      </w:r>
    </w:p>
    <w:p w14:paraId="663D54D5">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5.组织制定全县国库管理制度、国库集中收付制度，指导和监督国库业务，开展国库现金管理工作。贯彻执行政府财务报告编制办法并组织实施。负责制定政府采购制度并监督管理。</w:t>
      </w:r>
    </w:p>
    <w:p w14:paraId="551D6A6E">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6.贯彻执行地方政府债务管理制度和政策，制定具体管理办法，执行地方政府债余额限额计划，统一管理政府外债，防范财政风险。</w:t>
      </w:r>
    </w:p>
    <w:p w14:paraId="06A0AE07">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7.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w:t>
      </w:r>
    </w:p>
    <w:p w14:paraId="663D5B63">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8.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14:paraId="3E6CD472">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9.负责审核并汇总编制全县社会保险基金预决算草案，会同有关部门拟订有关资金（基金）财务管理制度，承担社会保险基金财政监管工作。</w:t>
      </w:r>
    </w:p>
    <w:p w14:paraId="2438A2D7">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10.负责办理和监督县级财政的经济发展支出、县级政府性投资项目的财政拨款，负责投资评审管理工作，参与拟订县级基建投资有关政策，执行基建财务管理制度。</w:t>
      </w:r>
    </w:p>
    <w:p w14:paraId="092BC302">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11.管理外国政府和国际金融机构贷（赠）款项目的有关业务，参与财经领域的国际交流与合作。</w:t>
      </w:r>
    </w:p>
    <w:p w14:paraId="009F2923">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12.负责管理全县会计工作，监督和规范会计行为，组织实施国家统一的会计制度，指导和管理社会审计。依法管理资产评估有关工作。</w:t>
      </w:r>
    </w:p>
    <w:p w14:paraId="2590A569">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13.负责职责范围内的安全生产和职业健康、生态环境保护、审批服务便民化等工作。</w:t>
      </w:r>
    </w:p>
    <w:p w14:paraId="4FCCF3B2">
      <w:pPr>
        <w:pStyle w:val="5"/>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14.完成县委、县政府交办的其他任务。</w:t>
      </w:r>
      <w:bookmarkStart w:id="14" w:name="_Toc15396601"/>
      <w:bookmarkStart w:id="15" w:name="_Toc15377200"/>
    </w:p>
    <w:p w14:paraId="64A19548">
      <w:pPr>
        <w:pStyle w:val="5"/>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14:paraId="4675CEB6">
      <w:pPr>
        <w:ind w:firstLine="800" w:firstLineChars="250"/>
        <w:rPr>
          <w:rFonts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财政局下属二级单位</w:t>
      </w:r>
      <w:r>
        <w:rPr>
          <w:rFonts w:hint="eastAsia" w:eastAsia="仿宋_GB2312" w:cs="Times New Roman"/>
          <w:b w:val="0"/>
          <w:bCs w:val="0"/>
          <w:kern w:val="0"/>
          <w:sz w:val="32"/>
          <w:szCs w:val="32"/>
          <w:lang w:val="en-US" w:eastAsia="zh-CN" w:bidi="ar-SA"/>
        </w:rPr>
        <w:t>2</w:t>
      </w:r>
      <w:r>
        <w:rPr>
          <w:rFonts w:hint="eastAsia" w:ascii="Times New Roman" w:hAnsi="Times New Roman" w:eastAsia="仿宋_GB2312" w:cs="Times New Roman"/>
          <w:b w:val="0"/>
          <w:bCs w:val="0"/>
          <w:kern w:val="0"/>
          <w:sz w:val="32"/>
          <w:szCs w:val="32"/>
          <w:lang w:val="en-US" w:eastAsia="zh-CN" w:bidi="ar-SA"/>
        </w:rPr>
        <w:t>个，其中行政单位0个，参照公务员法管理的事业单位</w:t>
      </w:r>
      <w:r>
        <w:rPr>
          <w:rFonts w:hint="eastAsia" w:eastAsia="仿宋_GB2312" w:cs="Times New Roman"/>
          <w:b w:val="0"/>
          <w:bCs w:val="0"/>
          <w:kern w:val="0"/>
          <w:sz w:val="32"/>
          <w:szCs w:val="32"/>
          <w:lang w:val="en-US" w:eastAsia="zh-CN" w:bidi="ar-SA"/>
        </w:rPr>
        <w:t>1</w:t>
      </w:r>
      <w:r>
        <w:rPr>
          <w:rFonts w:hint="eastAsia" w:ascii="Times New Roman" w:hAnsi="Times New Roman" w:eastAsia="仿宋_GB2312" w:cs="Times New Roman"/>
          <w:b w:val="0"/>
          <w:bCs w:val="0"/>
          <w:kern w:val="0"/>
          <w:sz w:val="32"/>
          <w:szCs w:val="32"/>
          <w:lang w:val="en-US" w:eastAsia="zh-CN" w:bidi="ar-SA"/>
        </w:rPr>
        <w:t>个，其他事业单位</w:t>
      </w:r>
      <w:r>
        <w:rPr>
          <w:rFonts w:hint="eastAsia" w:eastAsia="仿宋_GB2312" w:cs="Times New Roman"/>
          <w:b w:val="0"/>
          <w:bCs w:val="0"/>
          <w:kern w:val="0"/>
          <w:sz w:val="32"/>
          <w:szCs w:val="32"/>
          <w:lang w:val="en-US" w:eastAsia="zh-CN" w:bidi="ar-SA"/>
        </w:rPr>
        <w:t>（股级）1</w:t>
      </w:r>
      <w:r>
        <w:rPr>
          <w:rFonts w:hint="eastAsia" w:ascii="Times New Roman" w:hAnsi="Times New Roman" w:eastAsia="仿宋_GB2312" w:cs="Times New Roman"/>
          <w:b w:val="0"/>
          <w:bCs w:val="0"/>
          <w:kern w:val="0"/>
          <w:sz w:val="32"/>
          <w:szCs w:val="32"/>
          <w:lang w:val="en-US" w:eastAsia="zh-CN" w:bidi="ar-SA"/>
        </w:rPr>
        <w:t>个。</w:t>
      </w:r>
    </w:p>
    <w:p w14:paraId="0D3B9502">
      <w:pPr>
        <w:pStyle w:val="7"/>
        <w:adjustRightInd w:val="0"/>
        <w:snapToGrid w:val="0"/>
        <w:spacing w:before="93" w:line="600" w:lineRule="exact"/>
        <w:ind w:firstLine="672" w:firstLineChars="210"/>
        <w:rPr>
          <w:rFonts w:ascii="Times New Roman" w:hAnsi="Times New Roman" w:eastAsia="仿宋_GB2312" w:cs="Times New Roman"/>
          <w:b w:val="0"/>
          <w:bCs w:val="0"/>
          <w:kern w:val="0"/>
          <w:sz w:val="32"/>
          <w:szCs w:val="32"/>
          <w:lang w:val="en-US" w:eastAsia="zh-CN" w:bidi="ar-SA"/>
        </w:rPr>
      </w:pPr>
      <w:r>
        <w:rPr>
          <w:rFonts w:hint="eastAsia" w:ascii="Times New Roman" w:hAnsi="Times New Roman" w:eastAsia="仿宋_GB2312" w:cs="Times New Roman"/>
          <w:b w:val="0"/>
          <w:bCs w:val="0"/>
          <w:kern w:val="0"/>
          <w:sz w:val="32"/>
          <w:szCs w:val="32"/>
          <w:lang w:val="en-US" w:eastAsia="zh-CN" w:bidi="ar-SA"/>
        </w:rPr>
        <w:t>纳入财政局202</w:t>
      </w:r>
      <w:r>
        <w:rPr>
          <w:rFonts w:hint="eastAsia" w:ascii="Times New Roman" w:cs="Times New Roman"/>
          <w:b w:val="0"/>
          <w:bCs w:val="0"/>
          <w:kern w:val="0"/>
          <w:sz w:val="32"/>
          <w:szCs w:val="32"/>
          <w:lang w:val="en-US" w:eastAsia="zh-CN" w:bidi="ar-SA"/>
        </w:rPr>
        <w:t>4</w:t>
      </w:r>
      <w:r>
        <w:rPr>
          <w:rFonts w:hint="eastAsia" w:ascii="Times New Roman" w:hAnsi="Times New Roman" w:eastAsia="仿宋_GB2312" w:cs="Times New Roman"/>
          <w:b w:val="0"/>
          <w:bCs w:val="0"/>
          <w:kern w:val="0"/>
          <w:sz w:val="32"/>
          <w:szCs w:val="32"/>
          <w:lang w:val="en-US" w:eastAsia="zh-CN" w:bidi="ar-SA"/>
        </w:rPr>
        <w:t>年度部门决算编制范围的预算单位包括：九寨沟县财政局</w:t>
      </w:r>
    </w:p>
    <w:p w14:paraId="658EF6EF">
      <w:pPr>
        <w:numPr>
          <w:ilvl w:val="0"/>
          <w:numId w:val="0"/>
        </w:numPr>
        <w:snapToGrid w:val="0"/>
        <w:spacing w:line="52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人员情况</w:t>
      </w:r>
    </w:p>
    <w:p w14:paraId="3C0DE228">
      <w:pPr>
        <w:keepNext w:val="0"/>
        <w:keepLines w:val="0"/>
        <w:widowControl/>
        <w:suppressLineNumbers w:val="0"/>
        <w:ind w:left="0" w:firstLine="800" w:firstLineChars="250"/>
        <w:rPr>
          <w:rFonts w:hint="default" w:ascii="仿宋_GB2312" w:hAnsi="仿宋_GB2312" w:eastAsia="仿宋_GB2312" w:cs="仿宋_GB2312"/>
          <w:b w:val="0"/>
          <w:kern w:val="0"/>
          <w:sz w:val="32"/>
          <w:szCs w:val="32"/>
          <w:lang w:val="en-US" w:eastAsia="zh-CN"/>
        </w:rPr>
      </w:pPr>
      <w:r>
        <w:rPr>
          <w:rFonts w:hint="eastAsia" w:ascii="仿宋_GB2312" w:hAnsi="仿宋_GB2312" w:eastAsia="仿宋_GB2312" w:cs="仿宋_GB2312"/>
          <w:sz w:val="32"/>
          <w:szCs w:val="32"/>
          <w:lang w:val="en-US" w:eastAsia="zh-CN"/>
        </w:rPr>
        <w:t>财政局年初在职人员</w:t>
      </w:r>
      <w:r>
        <w:rPr>
          <w:rFonts w:hint="eastAsia" w:ascii="仿宋_GB2312" w:hAnsi="仿宋_GB2312" w:cs="仿宋_GB2312"/>
          <w:sz w:val="32"/>
          <w:szCs w:val="32"/>
          <w:lang w:val="en-US" w:eastAsia="zh-CN"/>
        </w:rPr>
        <w:t>28</w:t>
      </w:r>
      <w:r>
        <w:rPr>
          <w:rFonts w:hint="eastAsia" w:ascii="仿宋_GB2312" w:hAnsi="仿宋_GB2312" w:eastAsia="仿宋_GB2312" w:cs="仿宋_GB2312"/>
          <w:sz w:val="32"/>
          <w:szCs w:val="32"/>
          <w:lang w:val="en-US" w:eastAsia="zh-CN"/>
        </w:rPr>
        <w:t>人，本年调出1 人，退休1 人，调入</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人，本年新招</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人，年末在职人员</w:t>
      </w:r>
      <w:r>
        <w:rPr>
          <w:rFonts w:hint="eastAsia" w:ascii="仿宋_GB2312" w:hAnsi="仿宋_GB2312" w:cs="仿宋_GB2312"/>
          <w:sz w:val="32"/>
          <w:szCs w:val="32"/>
          <w:lang w:val="en-US" w:eastAsia="zh-CN"/>
        </w:rPr>
        <w:t>28</w:t>
      </w:r>
      <w:r>
        <w:rPr>
          <w:rFonts w:hint="eastAsia" w:ascii="仿宋_GB2312" w:hAnsi="仿宋_GB2312" w:eastAsia="仿宋_GB2312" w:cs="仿宋_GB2312"/>
          <w:sz w:val="32"/>
          <w:szCs w:val="32"/>
          <w:lang w:val="en-US" w:eastAsia="zh-CN"/>
        </w:rPr>
        <w:t>人，长聘人员3人。</w:t>
      </w:r>
    </w:p>
    <w:p w14:paraId="7C11E49E">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14167FD">
      <w:pPr>
        <w:pStyle w:val="4"/>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4B92138E">
      <w:pPr>
        <w:rPr>
          <w:rFonts w:ascii="Times New Roman" w:hAnsi="Times New Roman"/>
          <w:color w:val="auto"/>
          <w:highlight w:val="none"/>
        </w:rPr>
      </w:pPr>
    </w:p>
    <w:p w14:paraId="2EC9285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14:paraId="3CFE6BB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984.99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209.60</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27.03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439B503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FE39C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46026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1B06F32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984.99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984.99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DD9751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2E7A23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CC4B3C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CB1C6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14:paraId="64C2757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984.99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715.04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72.59</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269.96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27.41</w:t>
      </w:r>
      <w:r>
        <w:rPr>
          <w:rFonts w:hint="eastAsia" w:ascii="Times New Roman" w:hAnsi="Times New Roman" w:eastAsia="仿宋_GB2312" w:cs="仿宋_GB2312"/>
          <w:color w:val="auto"/>
          <w:sz w:val="32"/>
          <w:szCs w:val="32"/>
          <w:highlight w:val="none"/>
          <w:lang w:eastAsia="zh-CN"/>
        </w:rPr>
        <w:t>%；（图3：支出决算结构图）（饼状图）</w:t>
      </w:r>
    </w:p>
    <w:p w14:paraId="025F0B79">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39A3A5">
      <w:pPr>
        <w:spacing w:line="600" w:lineRule="exact"/>
        <w:ind w:firstLine="640" w:firstLineChars="200"/>
        <w:outlineLvl w:val="1"/>
        <w:rPr>
          <w:rStyle w:val="31"/>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14:paraId="1E6434C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984.99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209.60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27.03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465A16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26D5F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EC695EA">
      <w:pPr>
        <w:pStyle w:val="2"/>
        <w:rPr>
          <w:rFonts w:hint="eastAsia"/>
          <w:lang w:val="en-US" w:eastAsia="zh-CN"/>
        </w:rPr>
      </w:pPr>
    </w:p>
    <w:p w14:paraId="477EBB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0248CE">
      <w:pPr>
        <w:pStyle w:val="2"/>
        <w:rPr>
          <w:rFonts w:hint="eastAsia" w:ascii="Times New Roman" w:hAnsi="Times New Roman" w:eastAsia="仿宋_GB2312" w:cs="仿宋_GB2312"/>
          <w:color w:val="auto"/>
          <w:kern w:val="2"/>
          <w:sz w:val="32"/>
          <w:szCs w:val="32"/>
          <w:highlight w:val="none"/>
          <w:lang w:val="en-US" w:eastAsia="zh-CN" w:bidi="ar-SA"/>
        </w:rPr>
      </w:pPr>
    </w:p>
    <w:p w14:paraId="762A7766">
      <w:pPr>
        <w:rPr>
          <w:rFonts w:hint="eastAsia" w:ascii="Times New Roman" w:hAnsi="Times New Roman" w:eastAsia="仿宋_GB2312" w:cs="仿宋_GB2312"/>
          <w:color w:val="auto"/>
          <w:kern w:val="2"/>
          <w:sz w:val="32"/>
          <w:szCs w:val="32"/>
          <w:highlight w:val="none"/>
          <w:lang w:val="en-US" w:eastAsia="zh-CN" w:bidi="ar-SA"/>
        </w:rPr>
      </w:pPr>
    </w:p>
    <w:p w14:paraId="4B1ACB7B">
      <w:pPr>
        <w:pStyle w:val="2"/>
        <w:rPr>
          <w:rFonts w:hint="eastAsia" w:ascii="Times New Roman" w:hAnsi="Times New Roman" w:eastAsia="仿宋_GB2312" w:cs="仿宋_GB2312"/>
          <w:color w:val="auto"/>
          <w:kern w:val="2"/>
          <w:sz w:val="32"/>
          <w:szCs w:val="32"/>
          <w:highlight w:val="none"/>
          <w:lang w:val="en-US" w:eastAsia="zh-CN" w:bidi="ar-SA"/>
        </w:rPr>
      </w:pPr>
    </w:p>
    <w:p w14:paraId="7149CC97">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8E61B3">
      <w:pPr>
        <w:pStyle w:val="2"/>
        <w:rPr>
          <w:rFonts w:hint="eastAsia" w:ascii="Times New Roman" w:hAnsi="Times New Roman" w:eastAsia="仿宋_GB2312" w:cs="仿宋_GB2312"/>
          <w:color w:val="auto"/>
          <w:kern w:val="2"/>
          <w:sz w:val="32"/>
          <w:szCs w:val="32"/>
          <w:highlight w:val="none"/>
          <w:lang w:val="en-US" w:eastAsia="zh-CN" w:bidi="ar-SA"/>
        </w:rPr>
      </w:pPr>
    </w:p>
    <w:p w14:paraId="28239964">
      <w:pPr>
        <w:rPr>
          <w:rFonts w:hint="eastAsia"/>
          <w:lang w:val="en-US" w:eastAsia="zh-CN"/>
        </w:rPr>
      </w:pPr>
    </w:p>
    <w:p w14:paraId="2059E9BC">
      <w:pPr>
        <w:spacing w:line="600" w:lineRule="exact"/>
        <w:ind w:firstLine="640" w:firstLineChars="200"/>
        <w:outlineLvl w:val="1"/>
        <w:rPr>
          <w:rStyle w:val="31"/>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14:paraId="5680EE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2EE6AD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984.99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27.03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12AB0B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041B4AF">
      <w:pPr>
        <w:pStyle w:val="2"/>
        <w:rPr>
          <w:rFonts w:hint="eastAsia"/>
          <w:lang w:val="en-US" w:eastAsia="zh-CN"/>
        </w:rPr>
      </w:pPr>
    </w:p>
    <w:p w14:paraId="71E12D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50961C">
      <w:pPr>
        <w:rPr>
          <w:rFonts w:hint="eastAsia" w:ascii="Times New Roman" w:hAnsi="Times New Roman" w:eastAsia="仿宋_GB2312" w:cs="仿宋_GB2312"/>
          <w:color w:val="auto"/>
          <w:kern w:val="2"/>
          <w:sz w:val="32"/>
          <w:szCs w:val="32"/>
          <w:highlight w:val="none"/>
          <w:lang w:val="en-US" w:eastAsia="zh-CN" w:bidi="ar-SA"/>
        </w:rPr>
      </w:pPr>
    </w:p>
    <w:p w14:paraId="17431DE9">
      <w:pPr>
        <w:pStyle w:val="2"/>
        <w:ind w:left="0" w:leftChars="0" w:firstLine="0" w:firstLineChars="0"/>
        <w:rPr>
          <w:rFonts w:hint="eastAsia"/>
          <w:lang w:val="en-US" w:eastAsia="zh-CN"/>
        </w:rPr>
      </w:pPr>
      <w:r>
        <w:rPr>
          <w:rFonts w:hint="eastAsia"/>
          <w:lang w:val="en-US" w:eastAsia="zh-CN"/>
        </w:rPr>
        <w:drawing>
          <wp:inline distT="0" distB="0" distL="114300" distR="114300">
            <wp:extent cx="5080000" cy="3810000"/>
            <wp:effectExtent l="4445" t="4445" r="20955" b="1460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FB05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1D80D9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984.99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813.19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82.56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89.24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9.06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36.48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3.73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46.08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4.68</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960A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30EEB1">
      <w:pPr>
        <w:pStyle w:val="2"/>
        <w:rPr>
          <w:rFonts w:hint="eastAsia" w:ascii="Times New Roman" w:hAnsi="Times New Roman" w:eastAsia="仿宋_GB2312" w:cs="仿宋_GB2312"/>
          <w:color w:val="auto"/>
          <w:kern w:val="2"/>
          <w:sz w:val="32"/>
          <w:szCs w:val="32"/>
          <w:highlight w:val="none"/>
          <w:lang w:val="en-US" w:eastAsia="zh-CN" w:bidi="ar-SA"/>
        </w:rPr>
      </w:pPr>
    </w:p>
    <w:p w14:paraId="1DE082DF">
      <w:pPr>
        <w:rPr>
          <w:rFonts w:hint="eastAsia" w:ascii="Times New Roman" w:hAnsi="Times New Roman" w:eastAsia="仿宋_GB2312" w:cs="仿宋_GB2312"/>
          <w:color w:val="auto"/>
          <w:kern w:val="2"/>
          <w:sz w:val="32"/>
          <w:szCs w:val="32"/>
          <w:highlight w:val="none"/>
          <w:lang w:val="en-US" w:eastAsia="zh-CN" w:bidi="ar-SA"/>
        </w:rPr>
      </w:pPr>
    </w:p>
    <w:p w14:paraId="5B3D060A">
      <w:pPr>
        <w:pStyle w:val="2"/>
        <w:rPr>
          <w:rFonts w:hint="eastAsia" w:ascii="Times New Roman" w:hAnsi="Times New Roman" w:eastAsia="仿宋_GB2312" w:cs="仿宋_GB2312"/>
          <w:color w:val="auto"/>
          <w:kern w:val="2"/>
          <w:sz w:val="32"/>
          <w:szCs w:val="32"/>
          <w:highlight w:val="none"/>
          <w:lang w:val="en-US" w:eastAsia="zh-CN" w:bidi="ar-SA"/>
        </w:rPr>
      </w:pPr>
    </w:p>
    <w:p w14:paraId="119BF35F">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FECBB9D">
      <w:pPr>
        <w:pStyle w:val="2"/>
        <w:rPr>
          <w:rFonts w:hint="eastAsia"/>
          <w:lang w:val="en-US" w:eastAsia="zh-CN"/>
        </w:rPr>
      </w:pPr>
    </w:p>
    <w:p w14:paraId="7621098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17EB13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984.99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2309633B">
      <w:pPr>
        <w:numPr>
          <w:ilvl w:val="0"/>
          <w:numId w:val="2"/>
        </w:numPr>
        <w:spacing w:line="600" w:lineRule="exact"/>
        <w:ind w:left="-1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813.19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9913370">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89.24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7DB4539">
      <w:pPr>
        <w:numPr>
          <w:ilvl w:val="0"/>
          <w:numId w:val="2"/>
        </w:numPr>
        <w:spacing w:line="600" w:lineRule="exact"/>
        <w:ind w:left="-1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36.48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3561D40">
      <w:pPr>
        <w:numPr>
          <w:ilvl w:val="0"/>
          <w:numId w:val="2"/>
        </w:numPr>
        <w:spacing w:line="600" w:lineRule="exact"/>
        <w:ind w:left="-10" w:leftChars="0" w:firstLine="640" w:firstLineChars="0"/>
        <w:rPr>
          <w:rFonts w:hint="eastAsia"/>
          <w:lang w:val="en-US" w:eastAsia="zh-CN"/>
        </w:rPr>
      </w:pPr>
      <w:r>
        <w:rPr>
          <w:rFonts w:hint="eastAsia" w:ascii="Times New Roman" w:hAnsi="Times New Roman" w:eastAsia="仿宋_GB2312" w:cs="Times New Roman"/>
          <w:color w:val="auto"/>
          <w:sz w:val="32"/>
          <w:szCs w:val="32"/>
          <w:lang w:val="en-US" w:eastAsia="zh-CN"/>
        </w:rPr>
        <w:t>住房保障（221）住房改革支出（02）住房公积金（01）：支出决算为</w:t>
      </w:r>
      <w:r>
        <w:rPr>
          <w:rFonts w:hint="eastAsia" w:eastAsia="仿宋_GB2312" w:cs="Times New Roman"/>
          <w:color w:val="auto"/>
          <w:sz w:val="32"/>
          <w:szCs w:val="32"/>
          <w:lang w:val="en-US" w:eastAsia="zh-CN"/>
        </w:rPr>
        <w:t>46.08</w:t>
      </w:r>
      <w:r>
        <w:rPr>
          <w:rFonts w:hint="eastAsia" w:ascii="Times New Roman" w:hAnsi="Times New Roman" w:eastAsia="仿宋_GB2312" w:cs="Times New Roman"/>
          <w:color w:val="auto"/>
          <w:sz w:val="32"/>
          <w:szCs w:val="32"/>
          <w:lang w:val="en-US" w:eastAsia="zh-CN"/>
        </w:rPr>
        <w:t>万元</w:t>
      </w:r>
      <w:r>
        <w:rPr>
          <w:rStyle w:val="19"/>
          <w:rFonts w:hint="eastAsia" w:ascii="仿宋" w:hAnsi="仿宋" w:eastAsia="仿宋"/>
          <w:b w:val="0"/>
          <w:bCs/>
          <w:sz w:val="32"/>
          <w:szCs w:val="32"/>
        </w:rPr>
        <w:t>，完成预算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，决算数等于预算数。</w:t>
      </w:r>
    </w:p>
    <w:p w14:paraId="5DB79A6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E0F82A1">
      <w:pPr>
        <w:tabs>
          <w:tab w:val="right" w:pos="8306"/>
        </w:tabs>
        <w:spacing w:line="600" w:lineRule="exact"/>
        <w:ind w:firstLine="640"/>
        <w:outlineLvl w:val="1"/>
        <w:rPr>
          <w:rStyle w:val="31"/>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14:paraId="6543DB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813.19</w:t>
      </w:r>
      <w:r>
        <w:rPr>
          <w:rFonts w:hint="eastAsia" w:ascii="Times New Roman" w:hAnsi="Times New Roman" w:eastAsia="仿宋_GB2312" w:cs="仿宋_GB2312"/>
          <w:color w:val="auto"/>
          <w:kern w:val="2"/>
          <w:sz w:val="32"/>
          <w:szCs w:val="32"/>
          <w:highlight w:val="none"/>
          <w:lang w:val="en-US" w:eastAsia="zh-CN" w:bidi="ar-SA"/>
        </w:rPr>
        <w:t>万元，其中：</w:t>
      </w:r>
    </w:p>
    <w:p w14:paraId="2DCED2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628.53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86.51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3E721B5">
      <w:pPr>
        <w:spacing w:line="600" w:lineRule="exact"/>
        <w:ind w:firstLine="640"/>
        <w:outlineLvl w:val="1"/>
        <w:rPr>
          <w:rStyle w:val="31"/>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14:paraId="064C5DB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1BF710E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17.07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3.95</w:t>
      </w:r>
      <w:r>
        <w:rPr>
          <w:rFonts w:hint="eastAsia" w:ascii="Times New Roman" w:hAnsi="Times New Roman" w:eastAsia="仿宋_GB2312" w:cs="仿宋_GB2312"/>
          <w:color w:val="auto"/>
          <w:kern w:val="2"/>
          <w:sz w:val="32"/>
          <w:szCs w:val="32"/>
          <w:highlight w:val="none"/>
          <w:lang w:val="en-US" w:eastAsia="zh-CN" w:bidi="ar-SA"/>
        </w:rPr>
        <w:t>%。决算与预算数持平</w:t>
      </w:r>
      <w:r>
        <w:rPr>
          <w:rFonts w:hint="eastAsia" w:eastAsia="仿宋_GB2312" w:cs="仿宋_GB2312"/>
          <w:color w:val="auto"/>
          <w:kern w:val="2"/>
          <w:sz w:val="32"/>
          <w:szCs w:val="32"/>
          <w:highlight w:val="none"/>
          <w:lang w:val="en-US" w:eastAsia="zh-CN" w:bidi="ar-SA"/>
        </w:rPr>
        <w:t>。</w:t>
      </w:r>
    </w:p>
    <w:p w14:paraId="6D13FA9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55A800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39693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17.04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99.82</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%。具体情况如下：</w:t>
      </w:r>
    </w:p>
    <w:p w14:paraId="63869E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57113CD">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无</w:t>
      </w:r>
    </w:p>
    <w:p w14:paraId="5CFEC189">
      <w:pPr>
        <w:numPr>
          <w:ilvl w:val="0"/>
          <w:numId w:val="3"/>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17.04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14:paraId="44615090">
      <w:pPr>
        <w:numPr>
          <w:ilvl w:val="0"/>
          <w:numId w:val="3"/>
        </w:numPr>
        <w:spacing w:line="600" w:lineRule="exact"/>
        <w:ind w:left="0" w:leftChars="0" w:firstLine="64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3787863F">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17.04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Times New Roman" w:hAnsi="Times New Roman" w:eastAsia="仿宋_GB2312" w:cs="Times New Roman"/>
          <w:color w:val="auto"/>
          <w:sz w:val="32"/>
          <w:szCs w:val="32"/>
          <w:lang w:val="en-US" w:eastAsia="zh-CN"/>
        </w:rPr>
        <w:t>因公出差、培训、会议、下乡等</w:t>
      </w:r>
      <w:r>
        <w:rPr>
          <w:rFonts w:hint="eastAsia" w:ascii="仿宋_GB2312" w:eastAsia="仿宋_GB2312"/>
          <w:sz w:val="32"/>
          <w:szCs w:val="32"/>
        </w:rPr>
        <w:t>所需的公务用车燃料费、维修费、过路过桥费、保险费等支出。</w:t>
      </w:r>
    </w:p>
    <w:p w14:paraId="13E8E3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0.03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66.67</w:t>
      </w:r>
      <w:r>
        <w:rPr>
          <w:rFonts w:hint="eastAsia" w:ascii="Times New Roman" w:hAnsi="Times New Roman" w:eastAsia="仿宋_GB2312" w:cs="仿宋_GB2312"/>
          <w:color w:val="auto"/>
          <w:kern w:val="2"/>
          <w:sz w:val="32"/>
          <w:szCs w:val="32"/>
          <w:highlight w:val="none"/>
          <w:lang w:val="en-US" w:eastAsia="zh-CN" w:bidi="ar-SA"/>
        </w:rPr>
        <w:t>%。主要</w:t>
      </w:r>
      <w:r>
        <w:rPr>
          <w:rFonts w:hint="eastAsia" w:eastAsia="仿宋_GB2312" w:cs="仿宋_GB2312"/>
          <w:color w:val="auto"/>
          <w:kern w:val="2"/>
          <w:sz w:val="32"/>
          <w:szCs w:val="32"/>
          <w:highlight w:val="none"/>
          <w:lang w:val="en-US" w:eastAsia="zh-CN" w:bidi="ar-SA"/>
        </w:rPr>
        <w:t>是厉行节约</w:t>
      </w:r>
      <w:r>
        <w:rPr>
          <w:rFonts w:hint="eastAsia" w:ascii="Times New Roman" w:hAnsi="Times New Roman" w:eastAsia="仿宋_GB2312" w:cs="仿宋_GB2312"/>
          <w:color w:val="auto"/>
          <w:kern w:val="2"/>
          <w:sz w:val="32"/>
          <w:szCs w:val="32"/>
          <w:highlight w:val="none"/>
          <w:lang w:val="en-US" w:eastAsia="zh-CN" w:bidi="ar-SA"/>
        </w:rPr>
        <w:t>其中：</w:t>
      </w:r>
    </w:p>
    <w:p w14:paraId="6B6E5E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万元，主要用于开展业务活动开支的用餐费等。国内公务接待</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77218"/>
      <w:bookmarkStart w:id="41" w:name="_Toc15396610"/>
    </w:p>
    <w:p w14:paraId="5B4B822A">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14:paraId="3747EB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无。</w:t>
      </w:r>
    </w:p>
    <w:p w14:paraId="75E718EE">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96611"/>
      <w:bookmarkStart w:id="43"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14:paraId="52295F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无。</w:t>
      </w:r>
    </w:p>
    <w:p w14:paraId="24AF6A65">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96612"/>
      <w:bookmarkStart w:id="4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14:paraId="5549882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53D7F2B">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财政局部门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86.51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1.67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1.97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人员增加，工作项目增加导致。</w:t>
      </w:r>
      <w:bookmarkStart w:id="47" w:name="_Toc15377223"/>
    </w:p>
    <w:p w14:paraId="153C3DE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7"/>
    </w:p>
    <w:p w14:paraId="0D192B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财政局无</w:t>
      </w:r>
      <w:r>
        <w:rPr>
          <w:rFonts w:hint="eastAsia" w:ascii="Times New Roman" w:hAnsi="Times New Roman" w:eastAsia="仿宋_GB2312" w:cs="仿宋_GB2312"/>
          <w:color w:val="auto"/>
          <w:kern w:val="2"/>
          <w:sz w:val="32"/>
          <w:szCs w:val="32"/>
          <w:highlight w:val="none"/>
          <w:lang w:val="en-US" w:eastAsia="zh-CN" w:bidi="ar-SA"/>
        </w:rPr>
        <w:t>政府采购支出</w:t>
      </w:r>
      <w:r>
        <w:rPr>
          <w:rFonts w:hint="eastAsia" w:eastAsia="仿宋_GB2312" w:cs="仿宋_GB2312"/>
          <w:color w:val="auto"/>
          <w:kern w:val="2"/>
          <w:sz w:val="32"/>
          <w:szCs w:val="32"/>
          <w:highlight w:val="none"/>
          <w:lang w:val="en-US" w:eastAsia="zh-CN" w:bidi="ar-SA"/>
        </w:rPr>
        <w:t>。</w:t>
      </w:r>
    </w:p>
    <w:p w14:paraId="1369B74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66BD7887">
      <w:pPr>
        <w:autoSpaceDE w:val="0"/>
        <w:autoSpaceDN w:val="0"/>
        <w:adjustRightInd w:val="0"/>
        <w:spacing w:line="600" w:lineRule="exact"/>
        <w:ind w:firstLine="640" w:firstLineChars="200"/>
        <w:jc w:val="left"/>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财政局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Times New Roman" w:hAnsi="Times New Roman" w:eastAsia="仿宋_GB2312" w:cs="Times New Roman"/>
          <w:color w:val="auto"/>
          <w:sz w:val="32"/>
          <w:szCs w:val="32"/>
          <w:lang w:val="en-US" w:eastAsia="zh-CN"/>
        </w:rPr>
        <w:t>单位职工出差、培训、会议、下乡等一般公务用车</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万元以上设备</w:t>
      </w:r>
      <w:r>
        <w:rPr>
          <w:sz w:val="32"/>
          <w:szCs w:val="32"/>
        </w:rPr>
        <w:t>0</w:t>
      </w:r>
      <w:r>
        <w:rPr>
          <w:rFonts w:hint="eastAsia" w:ascii="仿宋_GB2312" w:eastAsia="仿宋_GB2312"/>
          <w:sz w:val="32"/>
          <w:szCs w:val="32"/>
        </w:rPr>
        <w:t>台。</w:t>
      </w:r>
    </w:p>
    <w:p w14:paraId="2847BE78">
      <w:pPr>
        <w:spacing w:line="600" w:lineRule="exact"/>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3538AB1">
      <w:pPr>
        <w:spacing w:line="580" w:lineRule="exact"/>
        <w:ind w:firstLine="640" w:firstLineChars="200"/>
        <w:rPr>
          <w:rFonts w:ascii="仿宋_GB2312" w:hAnsi="仿宋_GB2312" w:eastAsia="仿宋_GB2312" w:cs="仿宋_GB2312"/>
          <w:sz w:val="32"/>
          <w:szCs w:val="32"/>
        </w:rPr>
      </w:pPr>
      <w:bookmarkStart w:id="49" w:name="_Toc15377225"/>
      <w:bookmarkStart w:id="50" w:name="_Toc15396613"/>
      <w:r>
        <w:rPr>
          <w:rFonts w:hint="eastAsia" w:ascii="仿宋_GB2312" w:hAnsi="仿宋_GB2312" w:eastAsia="仿宋_GB2312" w:cs="仿宋_GB2312"/>
          <w:sz w:val="32"/>
          <w:szCs w:val="32"/>
        </w:rPr>
        <w:t>根据预算绩效管理要求，本部门在202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年度预算编制阶段，组织项目开展了预算事前绩效评估，对</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项目编制了绩效目标，预算执行过程中，</w:t>
      </w:r>
      <w:r>
        <w:rPr>
          <w:rFonts w:hint="eastAsia" w:ascii="仿宋_GB2312" w:hAnsi="仿宋_GB2312" w:eastAsia="仿宋_GB2312" w:cs="仿宋_GB2312"/>
          <w:sz w:val="32"/>
          <w:szCs w:val="32"/>
          <w:lang w:val="en-US" w:eastAsia="zh-CN"/>
        </w:rPr>
        <w:t>对全部</w:t>
      </w:r>
      <w:r>
        <w:rPr>
          <w:rFonts w:hint="eastAsia" w:ascii="仿宋_GB2312" w:hAnsi="仿宋_GB2312" w:eastAsia="仿宋_GB2312" w:cs="仿宋_GB2312"/>
          <w:sz w:val="32"/>
          <w:szCs w:val="32"/>
        </w:rPr>
        <w:t>项目开展绩效监控。</w:t>
      </w:r>
    </w:p>
    <w:p w14:paraId="0D048730">
      <w:pPr>
        <w:keepNext w:val="0"/>
        <w:keepLines w:val="0"/>
        <w:pageBreakBefore w:val="0"/>
        <w:widowControl w:val="0"/>
        <w:numPr>
          <w:ilvl w:val="0"/>
          <w:numId w:val="0"/>
        </w:numPr>
        <w:kinsoku/>
        <w:wordWrap/>
        <w:overflowPunct/>
        <w:topLinePunct w:val="0"/>
        <w:autoSpaceDE/>
        <w:autoSpaceDN/>
        <w:bidi w:val="0"/>
        <w:snapToGrid w:val="0"/>
        <w:spacing w:line="600" w:lineRule="exact"/>
        <w:ind w:lef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val="en-US" w:eastAsia="zh-CN"/>
        </w:rPr>
        <w:t>九寨沟县财政局</w:t>
      </w:r>
      <w:r>
        <w:rPr>
          <w:rFonts w:hint="eastAsia" w:ascii="仿宋_GB2312" w:hAnsi="仿宋_GB2312" w:eastAsia="仿宋_GB2312" w:cs="仿宋_GB2312"/>
          <w:sz w:val="32"/>
          <w:szCs w:val="32"/>
        </w:rPr>
        <w:t>部门整体（含部门预算项目）绩效自评报告、绩效自评综述：</w:t>
      </w:r>
      <w:r>
        <w:rPr>
          <w:rFonts w:hint="eastAsia" w:ascii="Times New Roman" w:hAnsi="Times New Roman" w:eastAsia="仿宋_GB2312" w:cs="宋体"/>
          <w:b w:val="0"/>
          <w:bCs/>
          <w:color w:val="000000"/>
          <w:kern w:val="0"/>
          <w:sz w:val="32"/>
          <w:szCs w:val="24"/>
          <w:lang w:val="zh-CN" w:eastAsia="zh-CN" w:bidi="ar-SA"/>
        </w:rPr>
        <w:t>通过自评，202</w:t>
      </w:r>
      <w:r>
        <w:rPr>
          <w:rFonts w:hint="eastAsia" w:eastAsia="仿宋_GB2312" w:cs="宋体"/>
          <w:b w:val="0"/>
          <w:bCs/>
          <w:color w:val="000000"/>
          <w:kern w:val="0"/>
          <w:sz w:val="32"/>
          <w:szCs w:val="24"/>
          <w:lang w:val="en-US" w:eastAsia="zh-CN" w:bidi="ar-SA"/>
        </w:rPr>
        <w:t>5</w:t>
      </w:r>
      <w:r>
        <w:rPr>
          <w:rFonts w:hint="eastAsia" w:ascii="Times New Roman" w:hAnsi="Times New Roman" w:eastAsia="仿宋_GB2312" w:cs="宋体"/>
          <w:b w:val="0"/>
          <w:bCs/>
          <w:color w:val="000000"/>
          <w:kern w:val="0"/>
          <w:sz w:val="32"/>
          <w:szCs w:val="24"/>
          <w:lang w:val="zh-CN" w:eastAsia="zh-CN" w:bidi="ar-SA"/>
        </w:rPr>
        <w:t>年度县</w:t>
      </w:r>
      <w:r>
        <w:rPr>
          <w:rFonts w:hint="eastAsia" w:ascii="Times New Roman" w:hAnsi="Times New Roman" w:eastAsia="仿宋_GB2312" w:cs="宋体"/>
          <w:b w:val="0"/>
          <w:bCs/>
          <w:color w:val="000000"/>
          <w:kern w:val="0"/>
          <w:sz w:val="32"/>
          <w:szCs w:val="24"/>
          <w:lang w:val="en-US" w:eastAsia="zh-CN" w:bidi="ar-SA"/>
        </w:rPr>
        <w:t>九寨沟县</w:t>
      </w:r>
      <w:r>
        <w:rPr>
          <w:rFonts w:hint="eastAsia" w:ascii="Times New Roman" w:hAnsi="Times New Roman" w:cs="宋体"/>
          <w:b w:val="0"/>
          <w:bCs/>
          <w:color w:val="000000"/>
          <w:kern w:val="0"/>
          <w:sz w:val="32"/>
          <w:szCs w:val="24"/>
          <w:lang w:val="en-US" w:eastAsia="zh-CN" w:bidi="ar-SA"/>
        </w:rPr>
        <w:t>财政</w:t>
      </w:r>
      <w:r>
        <w:rPr>
          <w:rFonts w:hint="eastAsia" w:ascii="Times New Roman" w:hAnsi="Times New Roman" w:eastAsia="仿宋_GB2312" w:cs="宋体"/>
          <w:b w:val="0"/>
          <w:bCs/>
          <w:color w:val="000000"/>
          <w:kern w:val="0"/>
          <w:sz w:val="32"/>
          <w:szCs w:val="24"/>
          <w:lang w:val="zh-CN" w:eastAsia="zh-CN" w:bidi="ar-SA"/>
        </w:rPr>
        <w:t>局各项经费达到对应的绩效目标，圆满完成了县委、县政府下达的各项统计、调查、普查相关工作任务，达到预期绩效目标总体较满意。经综合评价，自评得分9</w:t>
      </w:r>
      <w:r>
        <w:rPr>
          <w:rFonts w:hint="eastAsia" w:eastAsia="仿宋_GB2312" w:cs="宋体"/>
          <w:b w:val="0"/>
          <w:bCs/>
          <w:color w:val="000000"/>
          <w:kern w:val="0"/>
          <w:sz w:val="32"/>
          <w:szCs w:val="24"/>
          <w:lang w:val="en-US" w:eastAsia="zh-CN" w:bidi="ar-SA"/>
        </w:rPr>
        <w:t>2.3</w:t>
      </w:r>
      <w:r>
        <w:rPr>
          <w:rFonts w:hint="eastAsia" w:ascii="Times New Roman" w:hAnsi="Times New Roman" w:eastAsia="仿宋_GB2312" w:cs="宋体"/>
          <w:b w:val="0"/>
          <w:bCs/>
          <w:color w:val="000000"/>
          <w:kern w:val="0"/>
          <w:sz w:val="32"/>
          <w:szCs w:val="24"/>
          <w:lang w:val="zh-CN" w:eastAsia="zh-CN" w:bidi="ar-SA"/>
        </w:rPr>
        <w:t>分。本部门202</w:t>
      </w:r>
      <w:r>
        <w:rPr>
          <w:rFonts w:hint="eastAsia" w:eastAsia="仿宋_GB2312" w:cs="宋体"/>
          <w:b w:val="0"/>
          <w:bCs/>
          <w:color w:val="000000"/>
          <w:kern w:val="0"/>
          <w:sz w:val="32"/>
          <w:szCs w:val="24"/>
          <w:lang w:val="en-US" w:eastAsia="zh-CN" w:bidi="ar-SA"/>
        </w:rPr>
        <w:t>5</w:t>
      </w:r>
      <w:r>
        <w:rPr>
          <w:rFonts w:hint="eastAsia" w:ascii="Times New Roman" w:hAnsi="Times New Roman" w:eastAsia="仿宋_GB2312" w:cs="宋体"/>
          <w:b w:val="0"/>
          <w:bCs/>
          <w:color w:val="000000"/>
          <w:kern w:val="0"/>
          <w:sz w:val="32"/>
          <w:szCs w:val="24"/>
          <w:lang w:val="zh-CN" w:eastAsia="zh-CN" w:bidi="ar-SA"/>
        </w:rPr>
        <w:t>年预算整体绩效评价</w:t>
      </w:r>
      <w:r>
        <w:rPr>
          <w:rFonts w:hint="eastAsia" w:cs="宋体"/>
          <w:b w:val="0"/>
          <w:bCs/>
          <w:color w:val="000000"/>
          <w:kern w:val="0"/>
          <w:sz w:val="32"/>
          <w:szCs w:val="24"/>
          <w:lang w:val="en-US" w:eastAsia="zh-CN" w:bidi="ar-SA"/>
        </w:rPr>
        <w:t>良好。</w:t>
      </w:r>
      <w:r>
        <w:rPr>
          <w:rFonts w:hint="eastAsia" w:ascii="仿宋_GB2312" w:hAnsi="仿宋_GB2312" w:eastAsia="仿宋_GB2312" w:cs="仿宋_GB2312"/>
          <w:sz w:val="32"/>
          <w:szCs w:val="32"/>
        </w:rPr>
        <w:t>绩效自评报告详见附件。</w:t>
      </w:r>
      <w:r>
        <w:rPr>
          <w:rFonts w:hint="eastAsia" w:ascii="Times New Roman" w:hAnsi="Times New Roman" w:eastAsia="仿宋_GB2312" w:cs="仿宋_GB2312"/>
          <w:color w:val="auto"/>
          <w:kern w:val="2"/>
          <w:sz w:val="32"/>
          <w:szCs w:val="32"/>
          <w:highlight w:val="none"/>
          <w:lang w:val="en-US" w:eastAsia="zh-CN" w:bidi="ar-SA"/>
        </w:rPr>
        <w:t>。</w:t>
      </w:r>
    </w:p>
    <w:p w14:paraId="3251D111">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6052990B">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4EF2EEE8">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29E2D614">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5CC40B6A">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56265B18">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605DAFE3">
      <w:pPr>
        <w:numPr>
          <w:ilvl w:val="0"/>
          <w:numId w:val="0"/>
        </w:numPr>
        <w:spacing w:line="600" w:lineRule="exact"/>
        <w:jc w:val="both"/>
        <w:outlineLvl w:val="0"/>
        <w:rPr>
          <w:rFonts w:hint="eastAsia" w:ascii="Times New Roman" w:hAnsi="Times New Roman" w:eastAsia="仿宋_GB2312" w:cs="仿宋_GB2312"/>
          <w:color w:val="auto"/>
          <w:kern w:val="2"/>
          <w:sz w:val="32"/>
          <w:szCs w:val="32"/>
          <w:highlight w:val="none"/>
          <w:lang w:val="en-US" w:eastAsia="zh-CN" w:bidi="ar-SA"/>
        </w:rPr>
      </w:pPr>
    </w:p>
    <w:p w14:paraId="46ADC83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5FA82D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053348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A764E4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AF8EF1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25F488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A0633C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EC95C3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0479E9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E1AE23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9D5924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AC3C34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F01F05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5E7EFA6">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4606CF6D">
      <w:pPr>
        <w:spacing w:line="600" w:lineRule="exact"/>
        <w:jc w:val="left"/>
        <w:rPr>
          <w:rFonts w:ascii="Times New Roman" w:hAnsi="Times New Roman"/>
          <w:b/>
          <w:color w:val="auto"/>
          <w:sz w:val="44"/>
          <w:szCs w:val="44"/>
          <w:highlight w:val="none"/>
        </w:rPr>
      </w:pPr>
    </w:p>
    <w:p w14:paraId="76B13C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E0E22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6EE54C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2B8C2E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706539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9BD97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744E3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2508D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2DD0204">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仿宋_GB2312" w:eastAsia="仿宋_GB2312"/>
          <w:sz w:val="32"/>
          <w:szCs w:val="32"/>
        </w:rPr>
        <w:t>9.一般公共服务</w:t>
      </w:r>
      <w:r>
        <w:rPr>
          <w:rFonts w:hint="eastAsia" w:ascii="Times New Roman" w:hAnsi="Times New Roman" w:eastAsia="仿宋_GB2312" w:cs="Times New Roman"/>
          <w:color w:val="auto"/>
          <w:sz w:val="32"/>
          <w:szCs w:val="32"/>
          <w:lang w:val="en-US" w:eastAsia="zh-CN"/>
        </w:rPr>
        <w:t>一般公共服务（201）财政事务（06）行政运行（01）：指反映政府财政事务支出，反映行政单位（包括实行公务员管理的事业单位）的基本支出。</w:t>
      </w:r>
    </w:p>
    <w:p w14:paraId="40C22DFB">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10.一般公共服务（201）财政事务（06）一般行政管理事务(02):反映行政单位（包括实行公务员管理的事业单位）末单独设置的项级科目的其他项目支出。</w:t>
      </w:r>
    </w:p>
    <w:p w14:paraId="12B56D68">
      <w:pPr>
        <w:pStyle w:val="15"/>
        <w:shd w:val="clear" w:color="auto" w:fill="FFFFFF"/>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11.一般公共服务（201）财政事务（06）财政委托业务支出(08):反映财政委托评审机构进行财政投资评审和委托建设银行等机构代理业务发生的支出。</w:t>
      </w:r>
    </w:p>
    <w:p w14:paraId="49B3C1BC">
      <w:pPr>
        <w:pStyle w:val="15"/>
        <w:shd w:val="clear" w:color="auto" w:fill="FFFFFF"/>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12.一般公共服务（201）财政事务（06）其他财政事务支出(08)：反映除上述项目以处其他财政事务方面的支出。</w:t>
      </w:r>
    </w:p>
    <w:p w14:paraId="359D5D60">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13.社会保障和就业（208）行政事业单位离退休（05）机关事业单位养老保险缴费支出（05）是指反映机关事业单位实施养老保险制度由单位缴纳的基本养老保险费支出。</w:t>
      </w:r>
    </w:p>
    <w:p w14:paraId="542FA883">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14、社会保障和就业（208）行政事业单位离退休（05）机关事业单位职业年金缴费支出（06)是指反映机关事业单位实施养老保险制度由单位实际缴纳的职业年金的支出。</w:t>
      </w:r>
    </w:p>
    <w:p w14:paraId="796E0EDC">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卫生健康（210）行政事业单位医疗（11）行政单位医疗（01）是指反映财政部门安排的行政单位（包括实行公务员管理的事业单位）基本医疗保险缴费经费，未参加医疗保险的行政单位的公费医疗经费，按国家规定享受离休人员待遇的医疗经费。</w:t>
      </w:r>
    </w:p>
    <w:p w14:paraId="4A0DF494">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.卫生健康（210）行政事业单位医疗（11）公务员医疗补助（03）是指反映财政部门安排的公务员医疗补助经费。</w:t>
      </w:r>
    </w:p>
    <w:p w14:paraId="6021250B">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.住房保障支出（221）住房改革支出（02）住房公积金（01）是指反映行政事业单位按人力资源和社会保障部、财政部规定的基本工资和津贴补贴以及规定比例为职工缴纳的住房公积金。</w:t>
      </w:r>
    </w:p>
    <w:p w14:paraId="1D72ED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30AEC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42334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B6AC2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0309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8751D4">
      <w:pPr>
        <w:spacing w:line="600" w:lineRule="exact"/>
        <w:jc w:val="center"/>
        <w:rPr>
          <w:rFonts w:hint="eastAsia" w:ascii="Times New Roman" w:hAnsi="Times New Roman" w:eastAsia="黑体"/>
          <w:color w:val="auto"/>
          <w:sz w:val="44"/>
          <w:szCs w:val="44"/>
          <w:highlight w:val="none"/>
        </w:rPr>
      </w:pPr>
      <w:bookmarkStart w:id="51" w:name="_Toc15396614"/>
      <w:bookmarkStart w:id="52" w:name="_Toc15377226"/>
    </w:p>
    <w:p w14:paraId="13191242">
      <w:pPr>
        <w:spacing w:line="600" w:lineRule="exact"/>
        <w:jc w:val="center"/>
        <w:rPr>
          <w:rFonts w:hint="eastAsia" w:ascii="Times New Roman" w:hAnsi="Times New Roman" w:eastAsia="黑体"/>
          <w:color w:val="auto"/>
          <w:sz w:val="44"/>
          <w:szCs w:val="44"/>
          <w:highlight w:val="none"/>
        </w:rPr>
      </w:pPr>
    </w:p>
    <w:p w14:paraId="3E5C7BCA">
      <w:pPr>
        <w:spacing w:line="600" w:lineRule="exact"/>
        <w:jc w:val="center"/>
        <w:rPr>
          <w:rFonts w:hint="eastAsia" w:ascii="Times New Roman" w:hAnsi="Times New Roman" w:eastAsia="黑体"/>
          <w:color w:val="auto"/>
          <w:sz w:val="44"/>
          <w:szCs w:val="44"/>
          <w:highlight w:val="none"/>
        </w:rPr>
      </w:pPr>
    </w:p>
    <w:p w14:paraId="4F1BF6F6">
      <w:pPr>
        <w:spacing w:line="600" w:lineRule="exact"/>
        <w:jc w:val="center"/>
        <w:rPr>
          <w:rFonts w:hint="eastAsia" w:ascii="Times New Roman" w:hAnsi="Times New Roman" w:eastAsia="黑体"/>
          <w:color w:val="auto"/>
          <w:sz w:val="44"/>
          <w:szCs w:val="44"/>
          <w:highlight w:val="none"/>
        </w:rPr>
      </w:pPr>
    </w:p>
    <w:p w14:paraId="15F20E09">
      <w:pPr>
        <w:spacing w:line="600" w:lineRule="exact"/>
        <w:jc w:val="center"/>
        <w:rPr>
          <w:rFonts w:hint="eastAsia" w:ascii="Times New Roman" w:hAnsi="Times New Roman" w:eastAsia="黑体"/>
          <w:color w:val="auto"/>
          <w:sz w:val="44"/>
          <w:szCs w:val="44"/>
          <w:highlight w:val="none"/>
        </w:rPr>
      </w:pPr>
    </w:p>
    <w:p w14:paraId="250DA31B">
      <w:pPr>
        <w:spacing w:line="600" w:lineRule="exact"/>
        <w:jc w:val="center"/>
        <w:rPr>
          <w:rFonts w:hint="eastAsia" w:ascii="Times New Roman" w:hAnsi="Times New Roman" w:eastAsia="黑体"/>
          <w:color w:val="auto"/>
          <w:sz w:val="44"/>
          <w:szCs w:val="44"/>
          <w:highlight w:val="none"/>
        </w:rPr>
      </w:pPr>
    </w:p>
    <w:p w14:paraId="1FF768AB">
      <w:pPr>
        <w:spacing w:line="600" w:lineRule="exact"/>
        <w:jc w:val="center"/>
        <w:rPr>
          <w:rFonts w:hint="eastAsia" w:ascii="Times New Roman" w:hAnsi="Times New Roman" w:eastAsia="黑体"/>
          <w:color w:val="auto"/>
          <w:sz w:val="44"/>
          <w:szCs w:val="44"/>
          <w:highlight w:val="none"/>
        </w:rPr>
      </w:pPr>
    </w:p>
    <w:p w14:paraId="47189E16">
      <w:pPr>
        <w:spacing w:line="600" w:lineRule="exact"/>
        <w:jc w:val="center"/>
        <w:rPr>
          <w:rFonts w:hint="eastAsia" w:ascii="Times New Roman" w:hAnsi="Times New Roman" w:eastAsia="黑体"/>
          <w:color w:val="auto"/>
          <w:sz w:val="44"/>
          <w:szCs w:val="44"/>
          <w:highlight w:val="none"/>
        </w:rPr>
      </w:pPr>
    </w:p>
    <w:p w14:paraId="1478CBEB">
      <w:pPr>
        <w:spacing w:line="600" w:lineRule="exact"/>
        <w:jc w:val="center"/>
        <w:rPr>
          <w:rFonts w:hint="eastAsia" w:ascii="Times New Roman" w:hAnsi="Times New Roman" w:eastAsia="黑体"/>
          <w:color w:val="auto"/>
          <w:sz w:val="44"/>
          <w:szCs w:val="44"/>
          <w:highlight w:val="none"/>
        </w:rPr>
      </w:pPr>
    </w:p>
    <w:p w14:paraId="710E108A">
      <w:pPr>
        <w:spacing w:line="600" w:lineRule="exact"/>
        <w:jc w:val="center"/>
        <w:rPr>
          <w:rFonts w:hint="eastAsia" w:ascii="Times New Roman" w:hAnsi="Times New Roman" w:eastAsia="黑体"/>
          <w:color w:val="auto"/>
          <w:sz w:val="44"/>
          <w:szCs w:val="44"/>
          <w:highlight w:val="none"/>
        </w:rPr>
      </w:pPr>
    </w:p>
    <w:p w14:paraId="5730E861">
      <w:pPr>
        <w:spacing w:line="600" w:lineRule="exact"/>
        <w:jc w:val="center"/>
        <w:rPr>
          <w:rFonts w:hint="eastAsia" w:ascii="Times New Roman" w:hAnsi="Times New Roman" w:eastAsia="黑体"/>
          <w:color w:val="auto"/>
          <w:sz w:val="44"/>
          <w:szCs w:val="44"/>
          <w:highlight w:val="none"/>
        </w:rPr>
      </w:pPr>
    </w:p>
    <w:p w14:paraId="1130DAA3">
      <w:pPr>
        <w:spacing w:line="600" w:lineRule="exact"/>
        <w:jc w:val="center"/>
        <w:rPr>
          <w:rFonts w:hint="eastAsia" w:ascii="Times New Roman" w:hAnsi="Times New Roman" w:eastAsia="黑体"/>
          <w:color w:val="auto"/>
          <w:sz w:val="44"/>
          <w:szCs w:val="44"/>
          <w:highlight w:val="none"/>
        </w:rPr>
      </w:pPr>
    </w:p>
    <w:p w14:paraId="65C1A159">
      <w:pPr>
        <w:spacing w:line="600" w:lineRule="exact"/>
        <w:jc w:val="center"/>
        <w:rPr>
          <w:rFonts w:hint="eastAsia" w:ascii="Times New Roman" w:hAnsi="Times New Roman" w:eastAsia="黑体"/>
          <w:color w:val="auto"/>
          <w:sz w:val="44"/>
          <w:szCs w:val="44"/>
          <w:highlight w:val="none"/>
        </w:rPr>
      </w:pPr>
    </w:p>
    <w:p w14:paraId="64E3695D">
      <w:pPr>
        <w:spacing w:line="600" w:lineRule="exact"/>
        <w:jc w:val="center"/>
        <w:rPr>
          <w:rFonts w:hint="eastAsia" w:ascii="Times New Roman" w:hAnsi="Times New Roman" w:eastAsia="黑体"/>
          <w:color w:val="auto"/>
          <w:sz w:val="44"/>
          <w:szCs w:val="44"/>
          <w:highlight w:val="none"/>
        </w:rPr>
      </w:pPr>
    </w:p>
    <w:p w14:paraId="5B0E1665">
      <w:pPr>
        <w:spacing w:line="600" w:lineRule="exact"/>
        <w:jc w:val="center"/>
        <w:rPr>
          <w:rFonts w:hint="eastAsia" w:ascii="Times New Roman" w:hAnsi="Times New Roman" w:eastAsia="黑体"/>
          <w:color w:val="auto"/>
          <w:sz w:val="44"/>
          <w:szCs w:val="44"/>
          <w:highlight w:val="none"/>
        </w:rPr>
      </w:pPr>
    </w:p>
    <w:p w14:paraId="5BA3A807">
      <w:pPr>
        <w:spacing w:line="600" w:lineRule="exact"/>
        <w:jc w:val="center"/>
        <w:rPr>
          <w:rFonts w:hint="eastAsia" w:ascii="Times New Roman" w:hAnsi="Times New Roman" w:eastAsia="黑体"/>
          <w:color w:val="auto"/>
          <w:sz w:val="44"/>
          <w:szCs w:val="44"/>
          <w:highlight w:val="none"/>
        </w:rPr>
      </w:pPr>
    </w:p>
    <w:p w14:paraId="0C77AD16">
      <w:pPr>
        <w:spacing w:line="600" w:lineRule="exact"/>
        <w:jc w:val="center"/>
        <w:rPr>
          <w:rFonts w:hint="eastAsia" w:ascii="Times New Roman" w:hAnsi="Times New Roman" w:eastAsia="黑体"/>
          <w:color w:val="auto"/>
          <w:sz w:val="44"/>
          <w:szCs w:val="44"/>
          <w:highlight w:val="none"/>
        </w:rPr>
      </w:pPr>
    </w:p>
    <w:p w14:paraId="098FE442">
      <w:pPr>
        <w:spacing w:line="600" w:lineRule="exact"/>
        <w:jc w:val="center"/>
        <w:rPr>
          <w:rFonts w:hint="eastAsia" w:ascii="Times New Roman" w:hAnsi="Times New Roman" w:eastAsia="黑体"/>
          <w:color w:val="auto"/>
          <w:sz w:val="44"/>
          <w:szCs w:val="44"/>
          <w:highlight w:val="none"/>
        </w:rPr>
      </w:pPr>
    </w:p>
    <w:p w14:paraId="42F482FD">
      <w:pPr>
        <w:spacing w:line="600" w:lineRule="exact"/>
        <w:jc w:val="center"/>
        <w:rPr>
          <w:rFonts w:hint="eastAsia" w:ascii="Times New Roman" w:hAnsi="Times New Roman" w:eastAsia="黑体"/>
          <w:color w:val="auto"/>
          <w:sz w:val="44"/>
          <w:szCs w:val="44"/>
          <w:highlight w:val="none"/>
        </w:rPr>
      </w:pPr>
    </w:p>
    <w:p w14:paraId="32A16519">
      <w:pPr>
        <w:spacing w:line="600" w:lineRule="exact"/>
        <w:jc w:val="center"/>
        <w:rPr>
          <w:rFonts w:hint="eastAsia" w:ascii="Times New Roman" w:hAnsi="Times New Roman" w:eastAsia="黑体"/>
          <w:color w:val="auto"/>
          <w:sz w:val="44"/>
          <w:szCs w:val="44"/>
          <w:highlight w:val="none"/>
        </w:rPr>
      </w:pPr>
    </w:p>
    <w:p w14:paraId="2471F500">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14:paraId="0500A83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2812ABEF">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kern w:val="0"/>
          <w:sz w:val="24"/>
          <w:szCs w:val="32"/>
          <w:highlight w:val="none"/>
          <w:shd w:val="clear" w:color="auto" w:fill="FFFFFF"/>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6D0FA7B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九寨沟县财政局</w:t>
      </w:r>
    </w:p>
    <w:p w14:paraId="6448DCD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2025年部门预算绩效评价报告</w:t>
      </w:r>
    </w:p>
    <w:p w14:paraId="6BF7713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50CB3D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bCs w:val="0"/>
          <w:sz w:val="32"/>
          <w:szCs w:val="32"/>
          <w:lang w:val="zh-CN" w:eastAsia="zh-CN"/>
        </w:rPr>
      </w:pPr>
      <w:r>
        <w:rPr>
          <w:rFonts w:hint="default" w:ascii="Times New Roman" w:hAnsi="Times New Roman" w:eastAsia="仿宋_GB2312" w:cs="Times New Roman"/>
          <w:b/>
          <w:bCs w:val="0"/>
          <w:sz w:val="32"/>
          <w:szCs w:val="32"/>
          <w:lang w:val="zh-CN" w:eastAsia="zh-CN"/>
        </w:rPr>
        <w:t>一、部门基本情况</w:t>
      </w:r>
    </w:p>
    <w:p w14:paraId="7165B0C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zh-CN" w:eastAsia="zh-CN"/>
        </w:rPr>
        <w:t>（一）机构组成</w:t>
      </w:r>
    </w:p>
    <w:p w14:paraId="069C525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九寨沟县财政局下属二级单位3个，其中行政单位1个，参照公务员法管理的事业单位1个，其他事业单位1个，其他事业单位（股级）1个。</w:t>
      </w:r>
    </w:p>
    <w:p w14:paraId="677E784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纳入财政局2025年度部门决算编制范围的预算单位包括：九寨沟县财政局、九寨沟县国库集中支付中心、九寨沟县财政预算评审管理中心（股级）、九寨沟县金融工作服务中心。</w:t>
      </w:r>
    </w:p>
    <w:p w14:paraId="7464793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（二）机构职能</w:t>
      </w:r>
    </w:p>
    <w:p w14:paraId="4F59F7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拟订全县财税发展战略、规划、政策和改革方案并组织实施。分析预测宏观经济形势，参与制定宏观经济政策，提出运用财税政策实施宏观调控和综合平衡社会财力的建议。贯彻落实国家与企业的分配政策，完善鼓励公益事业发展的财税政策。</w:t>
      </w:r>
    </w:p>
    <w:p w14:paraId="175F004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2.贯彻执行财政、税收、财务、会计管理的法律法规和规章。提出全县性财税立法规划建议，按照管理权限管理全县税政事项。</w:t>
      </w:r>
    </w:p>
    <w:p w14:paraId="6E33AA1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3.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w:t>
      </w:r>
    </w:p>
    <w:p w14:paraId="209368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4.按分工负责政府非税收入管理。负责政府性基金管理，按规定管理行政事业性收费等其他非税收入。管理财政票据。贯彻落实彩票管理政策和有关办法，监管彩票市场，按规定管理彩票基金。</w:t>
      </w:r>
    </w:p>
    <w:p w14:paraId="2465453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5.组织制定全县国库管理制度、国库集中收付制度，指导和监督国库业务，开展国库现金管理工作。贯彻执行政府财务报告编制办法并组织实施。负责制定政府采购制度并监督管理。</w:t>
      </w:r>
    </w:p>
    <w:p w14:paraId="748ECF6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6.贯彻执行地方政府债务管理制度和政策，制定具体管理办法，执行</w:t>
      </w:r>
      <w:r>
        <w:rPr>
          <w:rFonts w:hint="eastAsia" w:eastAsia="仿宋_GB2312" w:cs="Times New Roman"/>
          <w:b w:val="0"/>
          <w:bCs/>
          <w:sz w:val="32"/>
          <w:szCs w:val="32"/>
          <w:lang w:val="en-US" w:eastAsia="zh-CN"/>
        </w:rPr>
        <w:t>地方政府债务限额</w:t>
      </w:r>
      <w:r>
        <w:rPr>
          <w:rFonts w:hint="eastAsia" w:ascii="Times New Roman" w:hAnsi="Times New Roman" w:eastAsia="仿宋_GB2312" w:cs="Times New Roman"/>
          <w:b w:val="0"/>
          <w:bCs/>
          <w:sz w:val="32"/>
          <w:szCs w:val="32"/>
          <w:lang w:val="en-US" w:eastAsia="zh-CN"/>
        </w:rPr>
        <w:t>计划，统一管理政府外债，防范财政风险。</w:t>
      </w:r>
    </w:p>
    <w:p w14:paraId="078274B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7.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w:t>
      </w:r>
      <w:r>
        <w:rPr>
          <w:rFonts w:hint="eastAsia" w:eastAsia="仿宋_GB2312" w:cs="Times New Roman"/>
          <w:b w:val="0"/>
          <w:bCs/>
          <w:sz w:val="32"/>
          <w:szCs w:val="32"/>
          <w:lang w:val="en-US" w:eastAsia="zh-CN"/>
        </w:rPr>
        <w:t>的制度。</w:t>
      </w:r>
    </w:p>
    <w:p w14:paraId="5522A2E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8.负责审核并汇总编制全县</w:t>
      </w:r>
      <w:r>
        <w:rPr>
          <w:rFonts w:hint="eastAsia" w:eastAsia="仿宋_GB2312" w:cs="Times New Roman"/>
          <w:b w:val="0"/>
          <w:bCs/>
          <w:sz w:val="32"/>
          <w:szCs w:val="32"/>
          <w:lang w:val="en-US" w:eastAsia="zh-CN"/>
        </w:rPr>
        <w:t>国有资本经营预算</w:t>
      </w:r>
      <w:r>
        <w:rPr>
          <w:rFonts w:hint="eastAsia" w:ascii="Times New Roman" w:hAnsi="Times New Roman" w:eastAsia="仿宋_GB2312" w:cs="Times New Roman"/>
          <w:b w:val="0"/>
          <w:bCs/>
          <w:sz w:val="32"/>
          <w:szCs w:val="32"/>
          <w:lang w:val="en-US" w:eastAsia="zh-CN"/>
        </w:rPr>
        <w:t>草案。制定国有资本经营预算制度和办法，收取县本级企业国有资本收益。组织实施企业财务制度，负责财政预算内行政事业单位和社会团体的非贸易外汇和财政预算内的国际收支管理。</w:t>
      </w:r>
    </w:p>
    <w:p w14:paraId="0B2F468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9.负责审核并汇总编制全县社会保险基金预决算草案，会同有关部门拟订有关资金（基金）财务管理制度，承担社会保险基金财政监管工作。</w:t>
      </w:r>
    </w:p>
    <w:p w14:paraId="5BDB8D5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10.负责办理和监督县级财政的经济发展支出、县级政府性投资项目的财政拨款，负责投资评审管理工作，参与拟订县级基建投资有关政策，执行基建财务管理制度。</w:t>
      </w:r>
    </w:p>
    <w:p w14:paraId="5046E6A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11.管理外国政府和国际金融机构贷（赠）款项目的有关业务，参与财经领域的国际交流与合作。</w:t>
      </w:r>
    </w:p>
    <w:p w14:paraId="7B77438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12.负责管理全县会计工作，监督和规范会计行为，组织实施国家统一的会计制度，指导和管理社会审计。依法管理资产评估有关工作。</w:t>
      </w:r>
    </w:p>
    <w:p w14:paraId="2E653D3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13.负责职责范围内的安全生产和职业健康、生态环境保护、审批服务便民化等工作。</w:t>
      </w:r>
    </w:p>
    <w:p w14:paraId="01978C6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ascii="Times New Roman" w:hAnsi="Times New Roman" w:eastAsia="仿宋_GB2312" w:cs="Times New Roman"/>
          <w:b w:val="0"/>
          <w:bCs/>
          <w:sz w:val="32"/>
          <w:szCs w:val="32"/>
          <w:lang w:val="en-US" w:eastAsia="zh-CN"/>
        </w:rPr>
        <w:t>14.完成县委、县政府交办的其他任务。</w:t>
      </w:r>
    </w:p>
    <w:p w14:paraId="62990C8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（三）人员概况</w:t>
      </w:r>
    </w:p>
    <w:p w14:paraId="39D018F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截至2025年末，</w:t>
      </w: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共有在编人员</w:t>
      </w:r>
      <w:r>
        <w:rPr>
          <w:rFonts w:hint="eastAsia" w:eastAsia="仿宋_GB2312" w:cs="Times New Roman"/>
          <w:b w:val="0"/>
          <w:bCs/>
          <w:sz w:val="32"/>
          <w:szCs w:val="32"/>
          <w:lang w:val="en-US" w:eastAsia="zh-CN"/>
        </w:rPr>
        <w:t>28</w:t>
      </w:r>
      <w:r>
        <w:rPr>
          <w:rFonts w:hint="default" w:ascii="Times New Roman" w:hAnsi="Times New Roman" w:eastAsia="仿宋_GB2312" w:cs="Times New Roman"/>
          <w:b w:val="0"/>
          <w:bCs/>
          <w:sz w:val="32"/>
          <w:szCs w:val="32"/>
          <w:lang w:val="en-US" w:eastAsia="zh-CN"/>
        </w:rPr>
        <w:t>人、聘用人员</w:t>
      </w:r>
      <w:r>
        <w:rPr>
          <w:rFonts w:hint="eastAsia" w:eastAsia="仿宋_GB2312" w:cs="Times New Roman"/>
          <w:b w:val="0"/>
          <w:bCs/>
          <w:sz w:val="32"/>
          <w:szCs w:val="32"/>
          <w:lang w:val="en-US" w:eastAsia="zh-CN"/>
        </w:rPr>
        <w:t>3</w:t>
      </w:r>
      <w:r>
        <w:rPr>
          <w:rFonts w:hint="default" w:ascii="Times New Roman" w:hAnsi="Times New Roman" w:eastAsia="仿宋_GB2312" w:cs="Times New Roman"/>
          <w:b w:val="0"/>
          <w:bCs/>
          <w:sz w:val="32"/>
          <w:szCs w:val="32"/>
          <w:lang w:val="en-US" w:eastAsia="zh-CN"/>
        </w:rPr>
        <w:t>人</w:t>
      </w:r>
      <w:r>
        <w:rPr>
          <w:rFonts w:hint="eastAsia" w:eastAsia="仿宋_GB2312" w:cs="Times New Roman"/>
          <w:b w:val="0"/>
          <w:bCs/>
          <w:sz w:val="32"/>
          <w:szCs w:val="32"/>
          <w:lang w:val="en-US" w:eastAsia="zh-CN"/>
        </w:rPr>
        <w:t>。</w:t>
      </w:r>
    </w:p>
    <w:p w14:paraId="009A1E3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bCs w:val="0"/>
          <w:sz w:val="32"/>
          <w:szCs w:val="32"/>
          <w:lang w:val="en-US" w:eastAsia="zh-CN"/>
        </w:rPr>
      </w:pPr>
      <w:r>
        <w:rPr>
          <w:rFonts w:hint="default" w:ascii="Times New Roman" w:hAnsi="Times New Roman" w:eastAsia="仿宋_GB2312" w:cs="Times New Roman"/>
          <w:b/>
          <w:bCs w:val="0"/>
          <w:sz w:val="32"/>
          <w:szCs w:val="32"/>
          <w:lang w:val="en-US" w:eastAsia="zh-CN"/>
        </w:rPr>
        <w:t>二、部门资金收支情况</w:t>
      </w:r>
    </w:p>
    <w:p w14:paraId="30F710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（一）收入情况</w:t>
      </w:r>
    </w:p>
    <w:p w14:paraId="3A7BABC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60"/>
          <w:szCs w:val="32"/>
          <w:highlight w:val="none"/>
          <w:lang w:val="en-US"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2025年年初预算收入</w:t>
      </w:r>
      <w:r>
        <w:rPr>
          <w:rFonts w:hint="eastAsia" w:eastAsia="仿宋_GB2312" w:cs="Times New Roman"/>
          <w:b w:val="0"/>
          <w:bCs/>
          <w:sz w:val="32"/>
          <w:szCs w:val="32"/>
          <w:lang w:val="en-US" w:eastAsia="zh-CN"/>
        </w:rPr>
        <w:t>776.90</w:t>
      </w:r>
      <w:r>
        <w:rPr>
          <w:rFonts w:hint="default" w:ascii="Times New Roman" w:hAnsi="Times New Roman" w:eastAsia="仿宋_GB2312" w:cs="Times New Roman"/>
          <w:b w:val="0"/>
          <w:bCs/>
          <w:sz w:val="32"/>
          <w:szCs w:val="32"/>
          <w:lang w:val="en-US" w:eastAsia="zh-CN"/>
        </w:rPr>
        <w:t>万元，其中：一般公共预算财政拨款收入</w:t>
      </w:r>
      <w:r>
        <w:rPr>
          <w:rFonts w:hint="eastAsia" w:eastAsia="仿宋_GB2312" w:cs="Times New Roman"/>
          <w:b w:val="0"/>
          <w:bCs/>
          <w:sz w:val="32"/>
          <w:szCs w:val="32"/>
          <w:lang w:val="en-US" w:eastAsia="zh-CN"/>
        </w:rPr>
        <w:t>776.90</w:t>
      </w:r>
      <w:r>
        <w:rPr>
          <w:rFonts w:hint="default" w:ascii="Times New Roman" w:hAnsi="Times New Roman" w:eastAsia="仿宋_GB2312" w:cs="Times New Roman"/>
          <w:b w:val="0"/>
          <w:bCs/>
          <w:sz w:val="32"/>
          <w:szCs w:val="32"/>
          <w:lang w:val="zh-CN" w:eastAsia="zh-CN"/>
        </w:rPr>
        <w:t>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占比100%</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收入决算数为</w:t>
      </w:r>
      <w:r>
        <w:rPr>
          <w:rFonts w:hint="eastAsia" w:eastAsia="仿宋_GB2312" w:cs="Times New Roman"/>
          <w:b w:val="0"/>
          <w:bCs/>
          <w:sz w:val="32"/>
          <w:szCs w:val="32"/>
          <w:lang w:val="en-US" w:eastAsia="zh-CN"/>
        </w:rPr>
        <w:t>984.99</w:t>
      </w:r>
      <w:r>
        <w:rPr>
          <w:rFonts w:hint="default" w:ascii="Times New Roman" w:hAnsi="Times New Roman" w:eastAsia="仿宋_GB2312" w:cs="Times New Roman"/>
          <w:b w:val="0"/>
          <w:bCs/>
          <w:sz w:val="32"/>
          <w:szCs w:val="32"/>
          <w:lang w:val="en-US" w:eastAsia="zh-CN"/>
        </w:rPr>
        <w:t>万元，</w:t>
      </w:r>
      <w:r>
        <w:rPr>
          <w:rFonts w:hint="default" w:ascii="Times New Roman" w:hAnsi="Times New Roman" w:eastAsia="仿宋_GB2312" w:cs="Times New Roman"/>
          <w:b w:val="0"/>
          <w:bCs/>
          <w:sz w:val="32"/>
          <w:szCs w:val="32"/>
          <w:lang w:val="zh-CN" w:eastAsia="zh-CN"/>
        </w:rPr>
        <w:t>其中：</w:t>
      </w:r>
      <w:r>
        <w:rPr>
          <w:rFonts w:hint="default" w:ascii="Times New Roman" w:hAnsi="Times New Roman" w:eastAsia="仿宋_GB2312" w:cs="Times New Roman"/>
          <w:b w:val="0"/>
          <w:bCs/>
          <w:sz w:val="32"/>
          <w:szCs w:val="32"/>
          <w:lang w:val="en-US" w:eastAsia="zh-CN"/>
        </w:rPr>
        <w:t>一般公共预算财政拨款收入</w:t>
      </w:r>
      <w:r>
        <w:rPr>
          <w:rFonts w:hint="eastAsia" w:eastAsia="仿宋_GB2312" w:cs="Times New Roman"/>
          <w:b w:val="0"/>
          <w:bCs/>
          <w:sz w:val="32"/>
          <w:szCs w:val="32"/>
          <w:lang w:val="en-US" w:eastAsia="zh-CN"/>
        </w:rPr>
        <w:t>决算数为984.99</w:t>
      </w:r>
      <w:r>
        <w:rPr>
          <w:rFonts w:hint="default" w:ascii="Times New Roman" w:hAnsi="Times New Roman" w:eastAsia="仿宋_GB2312" w:cs="Times New Roman"/>
          <w:b w:val="0"/>
          <w:bCs/>
          <w:sz w:val="32"/>
          <w:szCs w:val="32"/>
          <w:lang w:val="zh-CN" w:eastAsia="zh-CN"/>
        </w:rPr>
        <w:t>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占比100%</w:t>
      </w:r>
      <w:r>
        <w:rPr>
          <w:rFonts w:hint="default" w:ascii="Times New Roman" w:hAnsi="Times New Roman" w:eastAsia="仿宋_GB2312" w:cs="Times New Roman"/>
          <w:b w:val="0"/>
          <w:bCs/>
          <w:sz w:val="32"/>
          <w:szCs w:val="32"/>
          <w:lang w:val="zh-CN" w:eastAsia="zh-CN"/>
        </w:rPr>
        <w:t>。</w:t>
      </w:r>
    </w:p>
    <w:p w14:paraId="214DE94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（二）支出情况</w:t>
      </w:r>
    </w:p>
    <w:p w14:paraId="6C9F1CD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60"/>
          <w:szCs w:val="32"/>
          <w:lang w:val="en-US"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2025年年初支出预算为</w:t>
      </w:r>
      <w:r>
        <w:rPr>
          <w:rFonts w:hint="eastAsia" w:eastAsia="仿宋_GB2312" w:cs="Times New Roman"/>
          <w:b w:val="0"/>
          <w:bCs/>
          <w:sz w:val="32"/>
          <w:szCs w:val="32"/>
          <w:lang w:val="en-US" w:eastAsia="zh-CN"/>
        </w:rPr>
        <w:t>776.90</w:t>
      </w:r>
      <w:r>
        <w:rPr>
          <w:rFonts w:hint="default" w:ascii="Times New Roman" w:hAnsi="Times New Roman"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512.10</w:t>
      </w:r>
      <w:r>
        <w:rPr>
          <w:rFonts w:hint="default" w:ascii="Times New Roman" w:hAnsi="Times New Roman" w:eastAsia="仿宋_GB2312" w:cs="Times New Roman"/>
          <w:b w:val="0"/>
          <w:bCs/>
          <w:sz w:val="32"/>
          <w:szCs w:val="32"/>
          <w:lang w:val="zh-CN" w:eastAsia="zh-CN"/>
        </w:rPr>
        <w:t>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w:t>
      </w:r>
      <w:r>
        <w:rPr>
          <w:rFonts w:hint="default" w:ascii="Times New Roman" w:hAnsi="Times New Roman" w:eastAsia="仿宋_GB2312" w:cs="Times New Roman"/>
          <w:b w:val="0"/>
          <w:bCs/>
          <w:sz w:val="32"/>
          <w:szCs w:val="32"/>
          <w:lang w:val="en-US" w:eastAsia="zh-CN"/>
        </w:rPr>
        <w:t>人员经费</w:t>
      </w:r>
      <w:r>
        <w:rPr>
          <w:rFonts w:hint="eastAsia" w:eastAsia="仿宋_GB2312" w:cs="Times New Roman"/>
          <w:b w:val="0"/>
          <w:bCs/>
          <w:sz w:val="32"/>
          <w:szCs w:val="32"/>
          <w:lang w:val="en-US" w:eastAsia="zh-CN"/>
        </w:rPr>
        <w:t>472.34</w:t>
      </w:r>
      <w:r>
        <w:rPr>
          <w:rFonts w:hint="default" w:ascii="Times New Roman" w:hAnsi="Times New Roman" w:eastAsia="仿宋_GB2312" w:cs="Times New Roman"/>
          <w:b w:val="0"/>
          <w:bCs/>
          <w:sz w:val="32"/>
          <w:szCs w:val="32"/>
          <w:lang w:val="en-US" w:eastAsia="zh-CN"/>
        </w:rPr>
        <w:t>万元，公用经费</w:t>
      </w:r>
      <w:r>
        <w:rPr>
          <w:rFonts w:hint="eastAsia" w:eastAsia="仿宋_GB2312" w:cs="Times New Roman"/>
          <w:b w:val="0"/>
          <w:bCs/>
          <w:sz w:val="32"/>
          <w:szCs w:val="32"/>
          <w:lang w:val="en-US" w:eastAsia="zh-CN"/>
        </w:rPr>
        <w:t>39.76</w:t>
      </w:r>
      <w:r>
        <w:rPr>
          <w:rFonts w:hint="default" w:ascii="Times New Roman" w:hAnsi="Times New Roman" w:eastAsia="仿宋_GB2312" w:cs="Times New Roman"/>
          <w:b w:val="0"/>
          <w:bCs/>
          <w:sz w:val="32"/>
          <w:szCs w:val="32"/>
          <w:lang w:val="en-US" w:eastAsia="zh-CN"/>
        </w:rPr>
        <w:t>万元</w:t>
      </w:r>
      <w:r>
        <w:rPr>
          <w:rFonts w:hint="eastAsia" w:eastAsia="仿宋_GB2312" w:cs="Times New Roman"/>
          <w:b w:val="0"/>
          <w:bCs/>
          <w:sz w:val="32"/>
          <w:szCs w:val="32"/>
          <w:lang w:val="en-US" w:eastAsia="zh-CN"/>
        </w:rPr>
        <w:t>）</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项目支出</w:t>
      </w:r>
      <w:r>
        <w:rPr>
          <w:rFonts w:hint="eastAsia" w:eastAsia="仿宋_GB2312" w:cs="Times New Roman"/>
          <w:b w:val="0"/>
          <w:bCs/>
          <w:sz w:val="32"/>
          <w:szCs w:val="32"/>
          <w:lang w:val="en-US" w:eastAsia="zh-CN"/>
        </w:rPr>
        <w:t>264.80</w:t>
      </w:r>
      <w:r>
        <w:rPr>
          <w:rFonts w:hint="default" w:ascii="Times New Roman" w:hAnsi="Times New Roman" w:eastAsia="仿宋_GB2312" w:cs="Times New Roman"/>
          <w:b w:val="0"/>
          <w:bCs/>
          <w:sz w:val="32"/>
          <w:szCs w:val="32"/>
          <w:lang w:val="en-US" w:eastAsia="zh-CN"/>
        </w:rPr>
        <w:t>万元</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支出决算数为</w:t>
      </w:r>
      <w:r>
        <w:rPr>
          <w:rFonts w:hint="eastAsia" w:eastAsia="仿宋_GB2312" w:cs="Times New Roman"/>
          <w:b w:val="0"/>
          <w:bCs/>
          <w:sz w:val="32"/>
          <w:szCs w:val="32"/>
          <w:lang w:val="en-US" w:eastAsia="zh-CN"/>
        </w:rPr>
        <w:t>984.99</w:t>
      </w:r>
      <w:r>
        <w:rPr>
          <w:rFonts w:hint="default" w:ascii="Times New Roman" w:hAnsi="Times New Roman"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715.04</w:t>
      </w:r>
      <w:r>
        <w:rPr>
          <w:rFonts w:hint="default" w:ascii="Times New Roman" w:hAnsi="Times New Roman" w:eastAsia="仿宋_GB2312" w:cs="Times New Roman"/>
          <w:b w:val="0"/>
          <w:bCs/>
          <w:sz w:val="32"/>
          <w:szCs w:val="32"/>
          <w:lang w:val="en-US" w:eastAsia="zh-CN"/>
        </w:rPr>
        <w:t>万元（人员经费</w:t>
      </w:r>
      <w:r>
        <w:rPr>
          <w:rFonts w:hint="eastAsia" w:eastAsia="仿宋_GB2312" w:cs="Times New Roman"/>
          <w:b w:val="0"/>
          <w:bCs/>
          <w:sz w:val="32"/>
          <w:szCs w:val="32"/>
          <w:lang w:val="en-US" w:eastAsia="zh-CN"/>
        </w:rPr>
        <w:t>628.53</w:t>
      </w:r>
      <w:r>
        <w:rPr>
          <w:rFonts w:hint="default" w:ascii="Times New Roman" w:hAnsi="Times New Roman" w:eastAsia="仿宋_GB2312" w:cs="Times New Roman"/>
          <w:b w:val="0"/>
          <w:bCs/>
          <w:sz w:val="32"/>
          <w:szCs w:val="32"/>
          <w:lang w:val="en-US" w:eastAsia="zh-CN"/>
        </w:rPr>
        <w:t>万元，公用经费</w:t>
      </w:r>
      <w:r>
        <w:rPr>
          <w:rFonts w:hint="eastAsia" w:eastAsia="仿宋_GB2312" w:cs="Times New Roman"/>
          <w:b w:val="0"/>
          <w:bCs/>
          <w:sz w:val="32"/>
          <w:szCs w:val="32"/>
          <w:lang w:val="en-US" w:eastAsia="zh-CN"/>
        </w:rPr>
        <w:t>86.51</w:t>
      </w:r>
      <w:r>
        <w:rPr>
          <w:rFonts w:hint="default" w:ascii="Times New Roman" w:hAnsi="Times New Roman" w:eastAsia="仿宋_GB2312" w:cs="Times New Roman"/>
          <w:b w:val="0"/>
          <w:bCs/>
          <w:sz w:val="32"/>
          <w:szCs w:val="32"/>
          <w:lang w:val="en-US" w:eastAsia="zh-CN"/>
        </w:rPr>
        <w:t>万元）；项目支出</w:t>
      </w:r>
      <w:r>
        <w:rPr>
          <w:rFonts w:hint="eastAsia" w:eastAsia="仿宋_GB2312" w:cs="Times New Roman"/>
          <w:b w:val="0"/>
          <w:bCs/>
          <w:sz w:val="32"/>
          <w:szCs w:val="32"/>
          <w:lang w:val="en-US" w:eastAsia="zh-CN"/>
        </w:rPr>
        <w:t>269.96</w:t>
      </w:r>
      <w:r>
        <w:rPr>
          <w:rFonts w:hint="default" w:ascii="Times New Roman" w:hAnsi="Times New Roman" w:eastAsia="仿宋_GB2312" w:cs="Times New Roman"/>
          <w:b w:val="0"/>
          <w:bCs/>
          <w:sz w:val="32"/>
          <w:szCs w:val="32"/>
          <w:lang w:val="en-US" w:eastAsia="zh-CN"/>
        </w:rPr>
        <w:t>万元。</w:t>
      </w:r>
    </w:p>
    <w:p w14:paraId="6303A32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（三）结余分配和结转结余情况</w:t>
      </w:r>
    </w:p>
    <w:p w14:paraId="54D6003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2025年决算报表收支结转结余为</w:t>
      </w:r>
      <w:r>
        <w:rPr>
          <w:rFonts w:hint="eastAsia" w:eastAsia="仿宋_GB2312" w:cs="Times New Roman"/>
          <w:b w:val="0"/>
          <w:bCs/>
          <w:sz w:val="32"/>
          <w:szCs w:val="32"/>
          <w:lang w:val="en-US" w:eastAsia="zh-CN"/>
        </w:rPr>
        <w:t>0</w:t>
      </w:r>
      <w:r>
        <w:rPr>
          <w:rFonts w:hint="default" w:ascii="Times New Roman" w:hAnsi="Times New Roman" w:eastAsia="仿宋_GB2312" w:cs="Times New Roman"/>
          <w:b w:val="0"/>
          <w:bCs/>
          <w:sz w:val="32"/>
          <w:szCs w:val="32"/>
          <w:lang w:val="en-US" w:eastAsia="zh-CN"/>
        </w:rPr>
        <w:t>万元。</w:t>
      </w:r>
    </w:p>
    <w:p w14:paraId="7E8F7D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三、部门预算绩效分析</w:t>
      </w:r>
    </w:p>
    <w:p w14:paraId="403EFF3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zh-CN" w:eastAsia="zh-CN"/>
        </w:rPr>
        <w:t>（一）部门预算总体绩效分析</w:t>
      </w:r>
    </w:p>
    <w:p w14:paraId="341D9FD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en-US" w:eastAsia="zh-CN"/>
        </w:rPr>
        <w:t>1.</w:t>
      </w:r>
      <w:r>
        <w:rPr>
          <w:rFonts w:hint="default" w:ascii="Times New Roman" w:hAnsi="Times New Roman" w:eastAsia="仿宋_GB2312" w:cs="Times New Roman"/>
          <w:b w:val="0"/>
          <w:bCs/>
          <w:sz w:val="32"/>
          <w:szCs w:val="32"/>
          <w:lang w:val="zh-CN" w:eastAsia="zh-CN"/>
        </w:rPr>
        <w:t>履职效能</w:t>
      </w:r>
    </w:p>
    <w:p w14:paraId="4BADA36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为充分反映我部门2025年度部门职能履行成效，本次绩效自评根据《九寨沟县财政局关于开展2026年县级部门绩效自评工作的通知》（</w:t>
      </w:r>
      <w:r>
        <w:rPr>
          <w:rFonts w:hint="default" w:ascii="Times New Roman" w:hAnsi="Times New Roman" w:eastAsia="仿宋_GB2312" w:cs="Times New Roman"/>
          <w:sz w:val="32"/>
          <w:szCs w:val="32"/>
          <w:lang w:val="en-US" w:eastAsia="zh-CN"/>
        </w:rPr>
        <w:t>九财〔202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〕号</w:t>
      </w:r>
      <w:r>
        <w:rPr>
          <w:rFonts w:hint="eastAsia" w:ascii="Times New Roman" w:hAnsi="Times New Roman" w:eastAsia="仿宋_GB2312" w:cs="Times New Roman"/>
          <w:sz w:val="32"/>
          <w:szCs w:val="32"/>
          <w:lang w:val="en-US" w:eastAsia="zh-CN"/>
        </w:rPr>
        <w:t>）要求，结合部门职能职责和2025年度重点工作任务，选取了“切实保障民生支出，优化支出结构；着力打造阳光财政，转变工作作风；全力抓好财务保障，提高管理水平”3个绩效指标作为核心职能目标，各职能目标具体完成情况如下：</w:t>
      </w:r>
    </w:p>
    <w:p w14:paraId="166808C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（1）切实保障民生支出，优化支出结构</w:t>
      </w:r>
    </w:p>
    <w:p w14:paraId="546749B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始终坚持以人民为中心的发展思想，将民生保障作为财政工作的重中之重，不断优化财政支出结构，确保财政资金用在刀刃上。严格落实“保工资、保运转、保基本民生”要求，全力保障机关事业单位人员工资足额发放、基层政权正常运转，切实筑牢基本民生底线，让群众共享发展成果。同时，牢固树立过紧日子思想，严格落实党政机关过紧日子各项要求，坚决压减一般性支出，严控“三公”经费增长，把节省下来的资金集中投向民生领域和重点项目。加快各类项目实施进度，优化资金拨付流程，确保专项资金及时足额到位、高效使用，充分发挥资金使用效益，推动各项民生政策落地见效。</w:t>
      </w:r>
    </w:p>
    <w:p w14:paraId="3131725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6601AAC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（2）着力打造阳光财政，转变工作作风</w:t>
      </w:r>
    </w:p>
    <w:p w14:paraId="18A8BFA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坚持依法行政、廉洁理财，以打造阳光财政为抓手，不断规范财政管理行为，转变工作作风、提升服务效能。严格按照法律法规和财经制度开展财政工作，规范财政资金分配、使用、监管各环节流程，确保财政工作公开、公平、公正。强化廉洁自律意识，筑牢拒腐防变思想防线，坚决杜绝各类违规违纪行为，维护财政资金安全。持续优化服务质量，简化办事流程、提高工作效率，主动对接服务对象，倾听群众诉求，切实解决企业和群众在财政业务办理中的堵点难点问题，以务实作风推动财政工作提质增效。</w:t>
      </w:r>
    </w:p>
    <w:p w14:paraId="4F64AA2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0E96F68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（3）全力抓好财务保障，提高管理水平</w:t>
      </w:r>
    </w:p>
    <w:p w14:paraId="5C18936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聚焦财政管理提质增效，多措并举强化财务保障能力，全面提升财政管理规范化、精细化水平。强化库款动态监测，精准掌握库款运行态势，科学调度资金，确保库款足额供应、合理流动，保障各项工作有序开展。积极主动对接上级部门，精准谋划、全力争取政府债券资金，为地方重点项目建设、民生改善提供坚实资金支撑。加大存量资金清理回收力度，盘活沉淀资金，提高资金使用效率，推动财政资金良性循环。扎实抓好国土收入清缴工作，严格规范收入征管，确保各项国土收入及时足额入库，不断增强财政保障能力。</w:t>
      </w:r>
    </w:p>
    <w:p w14:paraId="5CA779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7A27E4A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综上，根据评分标准，我部门履职效能指标不扣分，得15分。</w:t>
      </w:r>
    </w:p>
    <w:p w14:paraId="5818163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zh-CN" w:eastAsia="zh-CN"/>
        </w:rPr>
        <w:t>预算管理</w:t>
      </w:r>
    </w:p>
    <w:p w14:paraId="4C751D1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预算编制质量</w:t>
      </w:r>
    </w:p>
    <w:p w14:paraId="0598F84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财政拨款预算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w:t>
      </w:r>
      <w:r>
        <w:rPr>
          <w:rFonts w:hint="eastAsia" w:eastAsia="仿宋_GB2312" w:cs="Times New Roman"/>
          <w:sz w:val="32"/>
          <w:szCs w:val="32"/>
          <w:lang w:val="en-US" w:eastAsia="zh-CN"/>
        </w:rPr>
        <w:t>984.99</w:t>
      </w:r>
      <w:r>
        <w:rPr>
          <w:rFonts w:hint="default" w:ascii="Times New Roman" w:hAnsi="Times New Roman" w:eastAsia="仿宋_GB2312" w:cs="Times New Roman"/>
          <w:sz w:val="32"/>
          <w:szCs w:val="32"/>
          <w:lang w:val="en-US" w:eastAsia="zh-CN"/>
        </w:rPr>
        <w:t>万元，财政拨款年初预算数为</w:t>
      </w:r>
      <w:r>
        <w:rPr>
          <w:rFonts w:hint="eastAsia" w:eastAsia="仿宋_GB2312" w:cs="Times New Roman"/>
          <w:sz w:val="32"/>
          <w:szCs w:val="32"/>
          <w:lang w:val="en-US" w:eastAsia="zh-CN"/>
        </w:rPr>
        <w:t>776.90</w:t>
      </w:r>
      <w:r>
        <w:rPr>
          <w:rFonts w:hint="default" w:ascii="Times New Roman" w:hAnsi="Times New Roman" w:eastAsia="仿宋_GB2312" w:cs="Times New Roman"/>
          <w:sz w:val="32"/>
          <w:szCs w:val="32"/>
          <w:lang w:val="en-US" w:eastAsia="zh-CN"/>
        </w:rPr>
        <w:t>万元，财政拨款预算偏离度为</w:t>
      </w:r>
      <w:r>
        <w:rPr>
          <w:rFonts w:hint="eastAsia" w:eastAsia="仿宋_GB2312" w:cs="Times New Roman"/>
          <w:sz w:val="32"/>
          <w:szCs w:val="32"/>
          <w:lang w:val="en-US" w:eastAsia="zh-CN"/>
        </w:rPr>
        <w:t>26.78</w:t>
      </w:r>
      <w:r>
        <w:rPr>
          <w:rFonts w:hint="default" w:ascii="Times New Roman" w:hAnsi="Times New Roman" w:eastAsia="仿宋_GB2312" w:cs="Times New Roman"/>
          <w:sz w:val="32"/>
          <w:szCs w:val="32"/>
          <w:lang w:val="en-US" w:eastAsia="zh-CN"/>
        </w:rPr>
        <w:t>%。</w:t>
      </w:r>
    </w:p>
    <w:p w14:paraId="000BCF9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资产配置预算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数为28.11万元，资产配置年初预算数为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万元，资产配置预算偏离度</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0%。</w:t>
      </w:r>
    </w:p>
    <w:p w14:paraId="75AFFD0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政府采购预算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数为146.02万元，政府采购年初预算数为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万元，政府采购预算偏离度</w:t>
      </w:r>
      <w:r>
        <w:rPr>
          <w:rFonts w:hint="eastAsia"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w:t>
      </w:r>
    </w:p>
    <w:p w14:paraId="4C3AC8F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综上，根据评分标准，该指标扣</w:t>
      </w:r>
      <w:r>
        <w:rPr>
          <w:rFonts w:hint="eastAsia" w:eastAsia="仿宋_GB2312" w:cs="Times New Roman"/>
          <w:sz w:val="32"/>
          <w:szCs w:val="32"/>
          <w:highlight w:val="none"/>
          <w:lang w:val="en-US" w:eastAsia="zh-CN"/>
        </w:rPr>
        <w:t>4.63</w:t>
      </w:r>
      <w:r>
        <w:rPr>
          <w:rFonts w:hint="default" w:ascii="Times New Roman" w:hAnsi="Times New Roman" w:eastAsia="仿宋_GB2312" w:cs="Times New Roman"/>
          <w:sz w:val="32"/>
          <w:szCs w:val="32"/>
          <w:highlight w:val="none"/>
          <w:lang w:val="en-US" w:eastAsia="zh-CN"/>
        </w:rPr>
        <w:t>分，得</w:t>
      </w:r>
      <w:r>
        <w:rPr>
          <w:rFonts w:hint="eastAsia" w:eastAsia="仿宋_GB2312" w:cs="Times New Roman"/>
          <w:sz w:val="32"/>
          <w:szCs w:val="32"/>
          <w:highlight w:val="none"/>
          <w:lang w:val="en-US" w:eastAsia="zh-CN"/>
        </w:rPr>
        <w:t>3.37</w:t>
      </w:r>
      <w:r>
        <w:rPr>
          <w:rFonts w:hint="default" w:ascii="Times New Roman" w:hAnsi="Times New Roman" w:eastAsia="仿宋_GB2312" w:cs="Times New Roman"/>
          <w:sz w:val="32"/>
          <w:szCs w:val="32"/>
          <w:highlight w:val="none"/>
          <w:lang w:val="en-US" w:eastAsia="zh-CN"/>
        </w:rPr>
        <w:t>分。</w:t>
      </w:r>
    </w:p>
    <w:p w14:paraId="4B5A3CB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（2）单位收入统筹</w:t>
      </w:r>
    </w:p>
    <w:p w14:paraId="1C710B9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无自有收入</w:t>
      </w:r>
      <w:r>
        <w:rPr>
          <w:rFonts w:hint="default" w:ascii="Times New Roman" w:hAnsi="Times New Roman" w:eastAsia="仿宋_GB2312" w:cs="Times New Roman"/>
          <w:sz w:val="32"/>
          <w:szCs w:val="32"/>
          <w:lang w:val="en-US" w:eastAsia="zh-CN"/>
        </w:rPr>
        <w:t>。</w:t>
      </w:r>
    </w:p>
    <w:p w14:paraId="768762F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综上，根据评分标准，该项指标不扣分，得4分。</w:t>
      </w:r>
    </w:p>
    <w:p w14:paraId="3B7AAD6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（3）支出执行进度</w:t>
      </w:r>
    </w:p>
    <w:p w14:paraId="4A9E9A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en-US" w:eastAsia="zh-CN"/>
        </w:rPr>
        <w:t>2025年1至6月预算执行数为</w:t>
      </w:r>
      <w:r>
        <w:rPr>
          <w:rFonts w:hint="eastAsia" w:eastAsia="仿宋_GB2312" w:cs="Times New Roman"/>
          <w:sz w:val="32"/>
          <w:szCs w:val="32"/>
          <w:highlight w:val="none"/>
          <w:lang w:val="en-US" w:eastAsia="zh-CN"/>
        </w:rPr>
        <w:t>523.12</w:t>
      </w:r>
      <w:r>
        <w:rPr>
          <w:rFonts w:hint="default" w:ascii="Times New Roman" w:hAnsi="Times New Roman" w:eastAsia="仿宋_GB2312" w:cs="Times New Roman"/>
          <w:sz w:val="32"/>
          <w:szCs w:val="32"/>
          <w:highlight w:val="none"/>
          <w:lang w:val="en-US" w:eastAsia="zh-CN"/>
        </w:rPr>
        <w:t>万元，1至10月预算执行数为</w:t>
      </w:r>
      <w:r>
        <w:rPr>
          <w:rFonts w:hint="eastAsia" w:eastAsia="仿宋_GB2312" w:cs="Times New Roman"/>
          <w:sz w:val="32"/>
          <w:szCs w:val="32"/>
          <w:highlight w:val="none"/>
          <w:lang w:val="en-US" w:eastAsia="zh-CN"/>
        </w:rPr>
        <w:t>798.56</w:t>
      </w:r>
      <w:r>
        <w:rPr>
          <w:rFonts w:hint="default" w:ascii="Times New Roman" w:hAnsi="Times New Roman" w:eastAsia="仿宋_GB2312" w:cs="Times New Roman"/>
          <w:sz w:val="32"/>
          <w:szCs w:val="32"/>
          <w:highlight w:val="none"/>
          <w:lang w:val="en-US" w:eastAsia="zh-CN"/>
        </w:rPr>
        <w:t>万元，部门预算数为</w:t>
      </w:r>
      <w:r>
        <w:rPr>
          <w:rFonts w:hint="eastAsia" w:eastAsia="仿宋_GB2312" w:cs="Times New Roman"/>
          <w:sz w:val="32"/>
          <w:szCs w:val="32"/>
          <w:highlight w:val="none"/>
          <w:lang w:val="en-US" w:eastAsia="zh-CN"/>
        </w:rPr>
        <w:t>776.90</w:t>
      </w:r>
      <w:r>
        <w:rPr>
          <w:rFonts w:hint="default" w:ascii="Times New Roman" w:hAnsi="Times New Roman" w:eastAsia="仿宋_GB2312" w:cs="Times New Roman"/>
          <w:sz w:val="32"/>
          <w:szCs w:val="32"/>
          <w:highlight w:val="none"/>
          <w:lang w:val="en-US" w:eastAsia="zh-CN"/>
        </w:rPr>
        <w:t>万元，1-6月预警金额为0万元，1-6月支出违规金额为0万元，1-10月预警金</w:t>
      </w:r>
      <w:r>
        <w:rPr>
          <w:rFonts w:hint="eastAsia" w:eastAsia="仿宋_GB2312" w:cs="Times New Roman"/>
          <w:sz w:val="32"/>
          <w:szCs w:val="32"/>
          <w:highlight w:val="none"/>
          <w:lang w:val="en-US" w:eastAsia="zh-CN"/>
        </w:rPr>
        <w:t>额为</w:t>
      </w:r>
      <w:r>
        <w:rPr>
          <w:rFonts w:hint="default" w:ascii="Times New Roman" w:hAnsi="Times New Roman" w:eastAsia="仿宋_GB2312" w:cs="Times New Roman"/>
          <w:sz w:val="32"/>
          <w:szCs w:val="32"/>
          <w:highlight w:val="none"/>
          <w:lang w:val="en-US" w:eastAsia="zh-CN"/>
        </w:rPr>
        <w:t>0万元，1-10月支出违规金额为0万元。</w:t>
      </w:r>
    </w:p>
    <w:p w14:paraId="68A92DB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w:t>
      </w:r>
      <w:r>
        <w:rPr>
          <w:rFonts w:hint="eastAsia" w:eastAsia="仿宋_GB2312" w:cs="Times New Roman"/>
          <w:sz w:val="32"/>
          <w:szCs w:val="32"/>
          <w:lang w:val="en-US" w:eastAsia="zh-CN"/>
        </w:rPr>
        <w:t>0.02</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5.98</w:t>
      </w:r>
      <w:r>
        <w:rPr>
          <w:rFonts w:hint="default" w:ascii="Times New Roman" w:hAnsi="Times New Roman" w:eastAsia="仿宋_GB2312" w:cs="Times New Roman"/>
          <w:sz w:val="32"/>
          <w:szCs w:val="32"/>
          <w:lang w:val="en-US" w:eastAsia="zh-CN"/>
        </w:rPr>
        <w:t>分。</w:t>
      </w:r>
    </w:p>
    <w:p w14:paraId="6975447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4</w:t>
      </w: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预算年终结余</w:t>
      </w:r>
    </w:p>
    <w:p w14:paraId="0063CB6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en-US" w:eastAsia="zh-CN"/>
        </w:rPr>
        <w:t>2025年预算总金额为</w:t>
      </w:r>
      <w:r>
        <w:rPr>
          <w:rFonts w:hint="eastAsia" w:eastAsia="仿宋_GB2312" w:cs="Times New Roman"/>
          <w:sz w:val="32"/>
          <w:szCs w:val="32"/>
          <w:highlight w:val="none"/>
          <w:lang w:val="en-US" w:eastAsia="zh-CN"/>
        </w:rPr>
        <w:t>984.99</w:t>
      </w:r>
      <w:r>
        <w:rPr>
          <w:rFonts w:hint="default" w:ascii="Times New Roman" w:hAnsi="Times New Roman" w:eastAsia="仿宋_GB2312" w:cs="Times New Roman"/>
          <w:sz w:val="32"/>
          <w:szCs w:val="32"/>
          <w:highlight w:val="none"/>
          <w:lang w:val="en-US" w:eastAsia="zh-CN"/>
        </w:rPr>
        <w:t>万元，年终部门预算注销金额为</w:t>
      </w:r>
      <w:r>
        <w:rPr>
          <w:rFonts w:hint="eastAsia"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万元，结转金额为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w:t>
      </w:r>
    </w:p>
    <w:p w14:paraId="18380E1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w:t>
      </w:r>
      <w:r>
        <w:rPr>
          <w:rFonts w:hint="eastAsia" w:eastAsia="仿宋_GB2312" w:cs="Times New Roman"/>
          <w:sz w:val="32"/>
          <w:szCs w:val="32"/>
          <w:lang w:val="en-US" w:eastAsia="zh-CN"/>
        </w:rPr>
        <w:t>不扣</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w:t>
      </w:r>
    </w:p>
    <w:p w14:paraId="592F87A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w:t>
      </w:r>
      <w:r>
        <w:rPr>
          <w:rFonts w:hint="eastAsia"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）严控一般性支出</w:t>
      </w:r>
    </w:p>
    <w:p w14:paraId="1CA15332">
      <w:pPr>
        <w:pStyle w:val="7"/>
        <w:ind w:firstLine="640" w:firstLineChars="200"/>
        <w:rPr>
          <w:rFonts w:hint="default" w:ascii="Times New Roman" w:hAnsi="Times New Roman" w:eastAsia="仿宋_GB2312" w:cs="Times New Roman"/>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zh-CN" w:eastAsia="zh-CN"/>
        </w:rPr>
        <w:t>“三公”经费、会议、培训、差旅、办节办展、办公设备购置、信息化建设和运维、课题经费、竞赛活动、规划编制等</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lang w:val="zh-CN" w:eastAsia="zh-CN"/>
        </w:rPr>
        <w:t>项一般性支出情况</w:t>
      </w:r>
      <w:r>
        <w:rPr>
          <w:rFonts w:hint="default" w:ascii="Times New Roman" w:hAnsi="Times New Roman" w:eastAsia="仿宋_GB2312" w:cs="Times New Roman"/>
          <w:sz w:val="32"/>
          <w:szCs w:val="32"/>
          <w:highlight w:val="none"/>
          <w:lang w:val="en-US" w:eastAsia="zh-CN"/>
        </w:rPr>
        <w:t>详见下表3-1</w:t>
      </w:r>
    </w:p>
    <w:p w14:paraId="04C344E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562" w:firstLineChars="200"/>
        <w:contextualSpacing/>
        <w:jc w:val="center"/>
        <w:textAlignment w:val="auto"/>
        <w:outlineLvl w:val="9"/>
        <w:rPr>
          <w:rFonts w:hint="default" w:ascii="Times New Roman" w:hAnsi="Times New Roman" w:cs="Times New Roman"/>
          <w:b/>
          <w:bCs/>
          <w:color w:val="000000"/>
          <w:kern w:val="60"/>
          <w:sz w:val="28"/>
          <w:szCs w:val="28"/>
          <w:highlight w:val="none"/>
          <w:shd w:val="clear" w:color="auto" w:fill="FFFFFF"/>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表3-1</w:t>
      </w:r>
      <w:r>
        <w:rPr>
          <w:rFonts w:hint="default" w:ascii="Times New Roman" w:hAnsi="Times New Roman" w:cs="Times New Roman"/>
          <w:b/>
          <w:bCs/>
          <w:color w:val="000000"/>
          <w:kern w:val="60"/>
          <w:sz w:val="28"/>
          <w:szCs w:val="28"/>
          <w:highlight w:val="none"/>
          <w:shd w:val="clear" w:color="auto" w:fill="FFFFFF"/>
          <w:lang w:val="zh-CN"/>
        </w:rPr>
        <w:t>一般性支出情况</w:t>
      </w:r>
      <w:r>
        <w:rPr>
          <w:rFonts w:hint="default" w:ascii="Times New Roman" w:hAnsi="Times New Roman" w:cs="Times New Roman"/>
          <w:b/>
          <w:bCs/>
          <w:color w:val="000000"/>
          <w:kern w:val="60"/>
          <w:sz w:val="28"/>
          <w:szCs w:val="28"/>
          <w:highlight w:val="none"/>
          <w:shd w:val="clear" w:color="auto" w:fill="FFFFFF"/>
          <w:lang w:val="en-US" w:eastAsia="zh-CN"/>
        </w:rPr>
        <w:t>表</w:t>
      </w:r>
    </w:p>
    <w:p w14:paraId="02E5DB7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right"/>
        <w:textAlignment w:val="auto"/>
        <w:outlineLvl w:val="9"/>
        <w:rPr>
          <w:rFonts w:hint="default" w:ascii="Times New Roman" w:hAnsi="Times New Roman" w:cs="Times New Roman"/>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单位：万元</w:t>
      </w:r>
    </w:p>
    <w:tbl>
      <w:tblPr>
        <w:tblStyle w:val="17"/>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1572"/>
        <w:gridCol w:w="1655"/>
        <w:gridCol w:w="1585"/>
        <w:gridCol w:w="1585"/>
        <w:gridCol w:w="1585"/>
      </w:tblGrid>
      <w:tr w14:paraId="23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596" w:type="dxa"/>
            <w:vMerge w:val="restart"/>
            <w:shd w:val="clear" w:color="auto" w:fill="D7D7D7" w:themeFill="background1" w:themeFillShade="D8"/>
            <w:vAlign w:val="center"/>
          </w:tcPr>
          <w:p w14:paraId="7A4C08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序号</w:t>
            </w:r>
          </w:p>
        </w:tc>
        <w:tc>
          <w:tcPr>
            <w:tcW w:w="1572" w:type="dxa"/>
            <w:vMerge w:val="restart"/>
            <w:shd w:val="clear" w:color="auto" w:fill="D7D7D7" w:themeFill="background1" w:themeFillShade="D8"/>
            <w:vAlign w:val="center"/>
          </w:tcPr>
          <w:p w14:paraId="353ACB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项目名称</w:t>
            </w:r>
          </w:p>
        </w:tc>
        <w:tc>
          <w:tcPr>
            <w:tcW w:w="1655" w:type="dxa"/>
            <w:shd w:val="clear" w:color="auto" w:fill="D7D7D7" w:themeFill="background1" w:themeFillShade="D8"/>
            <w:vAlign w:val="center"/>
          </w:tcPr>
          <w:p w14:paraId="3AFABB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1585" w:type="dxa"/>
            <w:shd w:val="clear" w:color="auto" w:fill="D7D7D7" w:themeFill="background1" w:themeFillShade="D8"/>
            <w:vAlign w:val="center"/>
          </w:tcPr>
          <w:p w14:paraId="4EF5AD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c>
          <w:tcPr>
            <w:tcW w:w="1585" w:type="dxa"/>
            <w:shd w:val="clear" w:color="auto" w:fill="D7D7D7" w:themeFill="background1" w:themeFillShade="D8"/>
            <w:vAlign w:val="center"/>
          </w:tcPr>
          <w:p w14:paraId="30F4E9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1585" w:type="dxa"/>
            <w:shd w:val="clear" w:color="auto" w:fill="D7D7D7" w:themeFill="background1" w:themeFillShade="D8"/>
            <w:vAlign w:val="center"/>
          </w:tcPr>
          <w:p w14:paraId="1F7363D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r>
      <w:tr w14:paraId="2BA1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blHeader/>
          <w:jc w:val="center"/>
        </w:trPr>
        <w:tc>
          <w:tcPr>
            <w:tcW w:w="596" w:type="dxa"/>
            <w:vMerge w:val="continue"/>
            <w:shd w:val="clear" w:color="auto" w:fill="D7D7D7" w:themeFill="background1" w:themeFillShade="D8"/>
            <w:vAlign w:val="center"/>
          </w:tcPr>
          <w:p w14:paraId="237976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1572" w:type="dxa"/>
            <w:vMerge w:val="continue"/>
            <w:shd w:val="clear" w:color="auto" w:fill="D7D7D7" w:themeFill="background1" w:themeFillShade="D8"/>
            <w:vAlign w:val="center"/>
          </w:tcPr>
          <w:p w14:paraId="1ABCC0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1655" w:type="dxa"/>
            <w:shd w:val="clear" w:color="auto" w:fill="D7D7D7" w:themeFill="background1" w:themeFillShade="D8"/>
            <w:vAlign w:val="center"/>
          </w:tcPr>
          <w:p w14:paraId="6AF2A1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1585" w:type="dxa"/>
            <w:shd w:val="clear" w:color="auto" w:fill="D7D7D7" w:themeFill="background1" w:themeFillShade="D8"/>
            <w:vAlign w:val="center"/>
          </w:tcPr>
          <w:p w14:paraId="410C1A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1585" w:type="dxa"/>
            <w:shd w:val="clear" w:color="auto" w:fill="D7D7D7" w:themeFill="background1" w:themeFillShade="D8"/>
            <w:vAlign w:val="center"/>
          </w:tcPr>
          <w:p w14:paraId="15C5FC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c>
          <w:tcPr>
            <w:tcW w:w="1585" w:type="dxa"/>
            <w:shd w:val="clear" w:color="auto" w:fill="D7D7D7" w:themeFill="background1" w:themeFillShade="D8"/>
            <w:vAlign w:val="center"/>
          </w:tcPr>
          <w:p w14:paraId="3DB321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r>
      <w:tr w14:paraId="26B6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5E5879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w:t>
            </w:r>
          </w:p>
        </w:tc>
        <w:tc>
          <w:tcPr>
            <w:tcW w:w="1572" w:type="dxa"/>
            <w:vAlign w:val="center"/>
          </w:tcPr>
          <w:p w14:paraId="12773A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“三公”经费</w:t>
            </w:r>
          </w:p>
        </w:tc>
        <w:tc>
          <w:tcPr>
            <w:tcW w:w="1655" w:type="dxa"/>
            <w:vAlign w:val="center"/>
          </w:tcPr>
          <w:p w14:paraId="2072F41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27.00</w:t>
            </w:r>
          </w:p>
        </w:tc>
        <w:tc>
          <w:tcPr>
            <w:tcW w:w="1585" w:type="dxa"/>
            <w:vAlign w:val="center"/>
          </w:tcPr>
          <w:p w14:paraId="543401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32</w:t>
            </w:r>
          </w:p>
        </w:tc>
        <w:tc>
          <w:tcPr>
            <w:tcW w:w="1585" w:type="dxa"/>
            <w:vAlign w:val="center"/>
          </w:tcPr>
          <w:p w14:paraId="43569B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17.83</w:t>
            </w:r>
          </w:p>
        </w:tc>
        <w:tc>
          <w:tcPr>
            <w:tcW w:w="1585" w:type="dxa"/>
            <w:vAlign w:val="center"/>
          </w:tcPr>
          <w:p w14:paraId="65900F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17.09</w:t>
            </w:r>
          </w:p>
        </w:tc>
      </w:tr>
      <w:tr w14:paraId="7E84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2BABB0B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w:t>
            </w:r>
          </w:p>
        </w:tc>
        <w:tc>
          <w:tcPr>
            <w:tcW w:w="1572" w:type="dxa"/>
            <w:vAlign w:val="center"/>
          </w:tcPr>
          <w:p w14:paraId="2FFB82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会议经费</w:t>
            </w:r>
          </w:p>
        </w:tc>
        <w:tc>
          <w:tcPr>
            <w:tcW w:w="1655" w:type="dxa"/>
            <w:vAlign w:val="center"/>
          </w:tcPr>
          <w:p w14:paraId="3C6E4D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0.1</w:t>
            </w:r>
          </w:p>
        </w:tc>
        <w:tc>
          <w:tcPr>
            <w:tcW w:w="1585" w:type="dxa"/>
            <w:vAlign w:val="center"/>
          </w:tcPr>
          <w:p w14:paraId="3C55811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4DBE3F9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1EADE3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222B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2C2979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w:t>
            </w:r>
          </w:p>
        </w:tc>
        <w:tc>
          <w:tcPr>
            <w:tcW w:w="1572" w:type="dxa"/>
            <w:vAlign w:val="center"/>
          </w:tcPr>
          <w:p w14:paraId="1F33731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培训经费</w:t>
            </w:r>
          </w:p>
        </w:tc>
        <w:tc>
          <w:tcPr>
            <w:tcW w:w="1655" w:type="dxa"/>
            <w:vAlign w:val="center"/>
          </w:tcPr>
          <w:p w14:paraId="7AB2011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16.80</w:t>
            </w:r>
          </w:p>
        </w:tc>
        <w:tc>
          <w:tcPr>
            <w:tcW w:w="1585" w:type="dxa"/>
            <w:vAlign w:val="center"/>
          </w:tcPr>
          <w:p w14:paraId="1923A96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48.21</w:t>
            </w:r>
          </w:p>
        </w:tc>
        <w:tc>
          <w:tcPr>
            <w:tcW w:w="1585" w:type="dxa"/>
            <w:vAlign w:val="center"/>
          </w:tcPr>
          <w:p w14:paraId="426725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39.91</w:t>
            </w:r>
          </w:p>
        </w:tc>
        <w:tc>
          <w:tcPr>
            <w:tcW w:w="1585" w:type="dxa"/>
            <w:vAlign w:val="center"/>
          </w:tcPr>
          <w:p w14:paraId="45710E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6.07</w:t>
            </w:r>
          </w:p>
        </w:tc>
      </w:tr>
      <w:tr w14:paraId="2AE6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5701F9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w:t>
            </w:r>
          </w:p>
        </w:tc>
        <w:tc>
          <w:tcPr>
            <w:tcW w:w="1572" w:type="dxa"/>
            <w:vAlign w:val="center"/>
          </w:tcPr>
          <w:p w14:paraId="4AD249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差旅经费</w:t>
            </w:r>
          </w:p>
        </w:tc>
        <w:tc>
          <w:tcPr>
            <w:tcW w:w="1655" w:type="dxa"/>
            <w:vAlign w:val="center"/>
          </w:tcPr>
          <w:p w14:paraId="51BB63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57.42</w:t>
            </w:r>
          </w:p>
        </w:tc>
        <w:tc>
          <w:tcPr>
            <w:tcW w:w="1585" w:type="dxa"/>
            <w:vAlign w:val="center"/>
          </w:tcPr>
          <w:p w14:paraId="696F61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46</w:t>
            </w:r>
          </w:p>
        </w:tc>
        <w:tc>
          <w:tcPr>
            <w:tcW w:w="1585" w:type="dxa"/>
            <w:vAlign w:val="center"/>
          </w:tcPr>
          <w:p w14:paraId="1BF778C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46.13</w:t>
            </w:r>
          </w:p>
        </w:tc>
        <w:tc>
          <w:tcPr>
            <w:tcW w:w="1585" w:type="dxa"/>
            <w:vAlign w:val="center"/>
          </w:tcPr>
          <w:p w14:paraId="292F62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49.14</w:t>
            </w:r>
          </w:p>
        </w:tc>
      </w:tr>
      <w:tr w14:paraId="5337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96" w:type="dxa"/>
            <w:vAlign w:val="center"/>
          </w:tcPr>
          <w:p w14:paraId="13D21BD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5</w:t>
            </w:r>
          </w:p>
        </w:tc>
        <w:tc>
          <w:tcPr>
            <w:tcW w:w="1572" w:type="dxa"/>
            <w:vAlign w:val="center"/>
          </w:tcPr>
          <w:p w14:paraId="47B3A1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办节办展</w:t>
            </w:r>
          </w:p>
          <w:p w14:paraId="1AB7E13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经费</w:t>
            </w:r>
          </w:p>
        </w:tc>
        <w:tc>
          <w:tcPr>
            <w:tcW w:w="1655" w:type="dxa"/>
            <w:vAlign w:val="center"/>
          </w:tcPr>
          <w:p w14:paraId="43B4D8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3D4CF6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74B121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199EE38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3FEC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596" w:type="dxa"/>
            <w:vAlign w:val="center"/>
          </w:tcPr>
          <w:p w14:paraId="3BFBC9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6</w:t>
            </w:r>
          </w:p>
        </w:tc>
        <w:tc>
          <w:tcPr>
            <w:tcW w:w="1572" w:type="dxa"/>
            <w:vAlign w:val="center"/>
          </w:tcPr>
          <w:p w14:paraId="074706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办公设备</w:t>
            </w:r>
          </w:p>
          <w:p w14:paraId="720E50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购置经费</w:t>
            </w:r>
          </w:p>
        </w:tc>
        <w:tc>
          <w:tcPr>
            <w:tcW w:w="1655" w:type="dxa"/>
            <w:vAlign w:val="center"/>
          </w:tcPr>
          <w:p w14:paraId="0D1C3C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68C4BA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18C2A0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49D6E19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23.96</w:t>
            </w:r>
          </w:p>
        </w:tc>
      </w:tr>
      <w:tr w14:paraId="7ED2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96" w:type="dxa"/>
            <w:vAlign w:val="center"/>
          </w:tcPr>
          <w:p w14:paraId="623A82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7</w:t>
            </w:r>
          </w:p>
        </w:tc>
        <w:tc>
          <w:tcPr>
            <w:tcW w:w="1572" w:type="dxa"/>
            <w:vAlign w:val="center"/>
          </w:tcPr>
          <w:p w14:paraId="400F49B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信息网络及软件购置更新经费</w:t>
            </w:r>
          </w:p>
        </w:tc>
        <w:tc>
          <w:tcPr>
            <w:tcW w:w="1655" w:type="dxa"/>
            <w:vAlign w:val="center"/>
          </w:tcPr>
          <w:p w14:paraId="00CAA1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673B5F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6726F5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32187A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4.15</w:t>
            </w:r>
          </w:p>
        </w:tc>
      </w:tr>
      <w:tr w14:paraId="5694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321F53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8</w:t>
            </w:r>
          </w:p>
        </w:tc>
        <w:tc>
          <w:tcPr>
            <w:tcW w:w="1572" w:type="dxa"/>
            <w:vAlign w:val="center"/>
          </w:tcPr>
          <w:p w14:paraId="444C89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课题经费</w:t>
            </w:r>
          </w:p>
        </w:tc>
        <w:tc>
          <w:tcPr>
            <w:tcW w:w="1655" w:type="dxa"/>
            <w:vAlign w:val="center"/>
          </w:tcPr>
          <w:p w14:paraId="492DA56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2DA5BD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5AA0DF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22752A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6CA4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96" w:type="dxa"/>
            <w:vAlign w:val="center"/>
          </w:tcPr>
          <w:p w14:paraId="29D884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cs="Times New Roman"/>
                <w:color w:val="000000"/>
                <w:kern w:val="60"/>
                <w:sz w:val="21"/>
                <w:szCs w:val="21"/>
                <w:highlight w:val="none"/>
                <w:shd w:val="clear" w:color="auto" w:fill="FFFFFF"/>
                <w:vertAlign w:val="baseline"/>
                <w:lang w:val="en-US" w:eastAsia="zh-CN"/>
              </w:rPr>
              <w:t>9</w:t>
            </w:r>
          </w:p>
        </w:tc>
        <w:tc>
          <w:tcPr>
            <w:tcW w:w="1572" w:type="dxa"/>
            <w:shd w:val="clear" w:color="auto" w:fill="auto"/>
            <w:vAlign w:val="center"/>
          </w:tcPr>
          <w:p w14:paraId="6EBC36F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bidi="ar-SA"/>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合计</w:t>
            </w:r>
          </w:p>
        </w:tc>
        <w:tc>
          <w:tcPr>
            <w:tcW w:w="1655" w:type="dxa"/>
            <w:shd w:val="clear" w:color="auto" w:fill="auto"/>
            <w:vAlign w:val="center"/>
          </w:tcPr>
          <w:p w14:paraId="04A721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101.32</w:t>
            </w:r>
          </w:p>
        </w:tc>
        <w:tc>
          <w:tcPr>
            <w:tcW w:w="1585" w:type="dxa"/>
            <w:shd w:val="clear" w:color="auto" w:fill="auto"/>
            <w:vAlign w:val="center"/>
          </w:tcPr>
          <w:p w14:paraId="4248B57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126.21</w:t>
            </w:r>
          </w:p>
        </w:tc>
        <w:tc>
          <w:tcPr>
            <w:tcW w:w="1585" w:type="dxa"/>
            <w:shd w:val="clear" w:color="auto" w:fill="auto"/>
            <w:vAlign w:val="center"/>
          </w:tcPr>
          <w:p w14:paraId="23C8AA6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103.87</w:t>
            </w:r>
          </w:p>
        </w:tc>
        <w:tc>
          <w:tcPr>
            <w:tcW w:w="1585" w:type="dxa"/>
            <w:shd w:val="clear" w:color="auto" w:fill="auto"/>
            <w:vAlign w:val="center"/>
          </w:tcPr>
          <w:p w14:paraId="24DADCA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100.41</w:t>
            </w:r>
          </w:p>
        </w:tc>
      </w:tr>
    </w:tbl>
    <w:p w14:paraId="65DE9E9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2025年一般性支出年初预算</w:t>
      </w:r>
      <w:r>
        <w:rPr>
          <w:rFonts w:hint="eastAsia" w:ascii="Times New Roman" w:hAnsi="Times New Roman" w:eastAsia="仿宋_GB2312" w:cs="Times New Roman"/>
          <w:sz w:val="32"/>
          <w:szCs w:val="32"/>
          <w:lang w:val="en-US" w:eastAsia="zh-CN"/>
        </w:rPr>
        <w:t>126.21</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2024年一般性支出年初预算</w:t>
      </w:r>
      <w:r>
        <w:rPr>
          <w:rFonts w:hint="eastAsia" w:ascii="Times New Roman" w:hAnsi="Times New Roman" w:eastAsia="仿宋_GB2312" w:cs="Times New Roman"/>
          <w:sz w:val="32"/>
          <w:szCs w:val="32"/>
          <w:lang w:val="en-US" w:eastAsia="zh-CN"/>
        </w:rPr>
        <w:t>101.32</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，未实现压减</w:t>
      </w:r>
      <w:r>
        <w:rPr>
          <w:rFonts w:hint="default" w:ascii="Times New Roman" w:hAnsi="Times New Roman" w:eastAsia="仿宋_GB2312" w:cs="Times New Roman"/>
          <w:sz w:val="32"/>
          <w:szCs w:val="32"/>
          <w:lang w:val="en-US" w:eastAsia="zh-CN"/>
        </w:rPr>
        <w:t>；2025年一般性支出预算执行</w:t>
      </w:r>
      <w:r>
        <w:rPr>
          <w:rFonts w:hint="eastAsia" w:ascii="Times New Roman" w:hAnsi="Times New Roman" w:eastAsia="仿宋_GB2312" w:cs="Times New Roman"/>
          <w:sz w:val="32"/>
          <w:szCs w:val="32"/>
          <w:lang w:val="en-US" w:eastAsia="zh-CN"/>
        </w:rPr>
        <w:t>100.41</w:t>
      </w:r>
      <w:r>
        <w:rPr>
          <w:rFonts w:hint="default" w:ascii="Times New Roman" w:hAnsi="Times New Roman" w:eastAsia="仿宋_GB2312" w:cs="Times New Roman"/>
          <w:sz w:val="32"/>
          <w:szCs w:val="32"/>
          <w:lang w:val="en-US" w:eastAsia="zh-CN"/>
        </w:rPr>
        <w:t>万元，2024年一般性支出预算执行</w:t>
      </w:r>
      <w:r>
        <w:rPr>
          <w:rFonts w:hint="eastAsia" w:ascii="Times New Roman" w:hAnsi="Times New Roman" w:eastAsia="仿宋_GB2312" w:cs="Times New Roman"/>
          <w:sz w:val="32"/>
          <w:szCs w:val="32"/>
          <w:lang w:val="en-US" w:eastAsia="zh-CN"/>
        </w:rPr>
        <w:t>103.87</w:t>
      </w:r>
      <w:r>
        <w:rPr>
          <w:rFonts w:hint="default" w:ascii="Times New Roman" w:hAnsi="Times New Roman" w:eastAsia="仿宋_GB2312" w:cs="Times New Roman"/>
          <w:sz w:val="32"/>
          <w:szCs w:val="32"/>
          <w:lang w:val="en-US" w:eastAsia="zh-CN"/>
        </w:rPr>
        <w:t>万元，实现压减</w:t>
      </w:r>
      <w:r>
        <w:rPr>
          <w:rFonts w:hint="eastAsia" w:ascii="Times New Roman" w:hAnsi="Times New Roman" w:eastAsia="仿宋_GB2312" w:cs="Times New Roman"/>
          <w:sz w:val="32"/>
          <w:szCs w:val="32"/>
          <w:lang w:val="en-US" w:eastAsia="zh-CN"/>
        </w:rPr>
        <w:t>3.27%，</w:t>
      </w:r>
    </w:p>
    <w:p w14:paraId="6BDC99F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lang w:val="en-US" w:eastAsia="zh-CN"/>
        </w:rPr>
        <w:t>分，得2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w:t>
      </w:r>
    </w:p>
    <w:p w14:paraId="782F59A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zh-CN" w:eastAsia="zh-CN"/>
        </w:rPr>
        <w:t>财务管理</w:t>
      </w:r>
    </w:p>
    <w:p w14:paraId="7034259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财务管理制度</w:t>
      </w:r>
    </w:p>
    <w:p w14:paraId="606D29E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为进一步规范机关财务运行，加强财务管理提高财务经费使用效益，根据财政部《行政单位财务规则》及相关财经法规制度，结合校内实际，制订财务管理办法、政府采购项目实施内控规程、资产管理办法，非政府采购项目实施内控规程、合同管理办法等，细化会议费、培训费、差旅费、接待费等报销流程，并将制度严格落到实处，为财务管理质量，财务管理效能提供保障。</w:t>
      </w:r>
    </w:p>
    <w:p w14:paraId="1C3280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7DAF653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（2）财务岗位设置</w:t>
      </w:r>
    </w:p>
    <w:p w14:paraId="50F30CD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已合理设置财务工作岗位，明确职责权限，并严格实行不相容岗位分离，岗位间职责清晰，各岗位按照工作流程有序进行。</w:t>
      </w:r>
    </w:p>
    <w:p w14:paraId="377FE1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综上，根据评分标准，该指标不扣分，得2分。</w:t>
      </w:r>
    </w:p>
    <w:p w14:paraId="53FC790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（3）资金使用规范</w:t>
      </w:r>
    </w:p>
    <w:p w14:paraId="148D053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严格实行逐级审批，各级领导应按权限严把经费审批关，对无预算、超预算开支、开支不明、手续不全虚列开支等情况不予审批。在审批时，明确签署意见和时间，符合管理制度规定。</w:t>
      </w:r>
    </w:p>
    <w:p w14:paraId="0016679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0778CA4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4.</w:t>
      </w:r>
      <w:r>
        <w:rPr>
          <w:rFonts w:hint="default" w:ascii="Times New Roman" w:hAnsi="Times New Roman" w:eastAsia="仿宋_GB2312" w:cs="Times New Roman"/>
          <w:b w:val="0"/>
          <w:bCs/>
          <w:sz w:val="32"/>
          <w:szCs w:val="32"/>
          <w:highlight w:val="none"/>
          <w:lang w:val="zh-CN" w:eastAsia="zh-CN"/>
        </w:rPr>
        <w:t>资产管理</w:t>
      </w:r>
    </w:p>
    <w:p w14:paraId="3B05DE2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人均资产变化率</w:t>
      </w:r>
    </w:p>
    <w:p w14:paraId="4F2F4850">
      <w:pPr>
        <w:bidi w:val="0"/>
        <w:rPr>
          <w:rFonts w:hint="default" w:ascii="Times New Roman" w:hAnsi="Times New Roman" w:eastAsia="仿宋_GB2312" w:cs="Times New Roman"/>
          <w:b w:val="0"/>
          <w:bCs/>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2025年末固定资产和无形资产净值合计</w:t>
      </w:r>
      <w:r>
        <w:rPr>
          <w:rFonts w:hint="eastAsia" w:eastAsia="仿宋_GB2312" w:cs="Times New Roman"/>
          <w:sz w:val="32"/>
          <w:szCs w:val="32"/>
          <w:lang w:val="en-US" w:eastAsia="zh-CN"/>
        </w:rPr>
        <w:t>853.24</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财政局</w:t>
      </w:r>
      <w:r>
        <w:rPr>
          <w:rFonts w:hint="default" w:ascii="Times New Roman" w:hAnsi="Times New Roman" w:eastAsia="仿宋_GB2312" w:cs="Times New Roman"/>
          <w:sz w:val="32"/>
          <w:szCs w:val="32"/>
          <w:lang w:val="en-US" w:eastAsia="zh-CN"/>
        </w:rPr>
        <w:t>在编人数</w:t>
      </w:r>
      <w:r>
        <w:rPr>
          <w:rFonts w:hint="eastAsia"/>
          <w:lang w:val="en-US" w:eastAsia="zh-CN"/>
        </w:rPr>
        <w:t xml:space="preserve"> 46 </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18.55</w:t>
      </w:r>
      <w:r>
        <w:rPr>
          <w:rFonts w:hint="default" w:ascii="Times New Roman" w:hAnsi="Times New Roman" w:eastAsia="仿宋_GB2312" w:cs="Times New Roman"/>
          <w:sz w:val="32"/>
          <w:szCs w:val="32"/>
          <w:lang w:val="en-US" w:eastAsia="zh-CN"/>
        </w:rPr>
        <w:t>万元；2024年末固定资产和无形资产净值合计</w:t>
      </w:r>
      <w:r>
        <w:rPr>
          <w:rFonts w:hint="eastAsia"/>
          <w:lang w:val="en-US" w:eastAsia="zh-CN"/>
        </w:rPr>
        <w:t>853.24</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财政局</w:t>
      </w:r>
      <w:r>
        <w:rPr>
          <w:rFonts w:hint="default" w:ascii="Times New Roman" w:hAnsi="Times New Roman" w:eastAsia="仿宋_GB2312" w:cs="Times New Roman"/>
          <w:sz w:val="32"/>
          <w:szCs w:val="32"/>
          <w:lang w:val="en-US" w:eastAsia="zh-CN"/>
        </w:rPr>
        <w:t>在编人数</w:t>
      </w:r>
      <w:r>
        <w:rPr>
          <w:rFonts w:hint="eastAsia"/>
          <w:lang w:val="en-US" w:eastAsia="zh-CN"/>
        </w:rPr>
        <w:t>46</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18.55</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2025年省直行政事业单位人均资产变化率为</w:t>
      </w:r>
      <w:r>
        <w:rPr>
          <w:rFonts w:hint="eastAsia" w:eastAsia="仿宋_GB2312" w:cs="Times New Roman"/>
          <w:b w:val="0"/>
          <w:bCs/>
          <w:sz w:val="32"/>
          <w:szCs w:val="32"/>
          <w:highlight w:val="none"/>
          <w:lang w:val="en-US" w:eastAsia="zh-CN"/>
        </w:rPr>
        <w:t>-</w:t>
      </w:r>
      <w:r>
        <w:rPr>
          <w:rFonts w:hint="eastAsia" w:eastAsia="仿宋_GB2312" w:cs="Times New Roman"/>
          <w:sz w:val="32"/>
          <w:szCs w:val="32"/>
          <w:highlight w:val="none"/>
          <w:lang w:val="en-US" w:eastAsia="zh-CN"/>
        </w:rPr>
        <w:t>3.49</w:t>
      </w:r>
      <w:r>
        <w:rPr>
          <w:rFonts w:hint="default" w:ascii="Times New Roman" w:hAnsi="Times New Roman" w:eastAsia="仿宋_GB2312" w:cs="Times New Roman"/>
          <w:b w:val="0"/>
          <w:bCs/>
          <w:sz w:val="32"/>
          <w:szCs w:val="32"/>
          <w:highlight w:val="none"/>
          <w:lang w:val="en-US" w:eastAsia="zh-CN"/>
        </w:rPr>
        <w:t>%。2025年省级财政收入增长率为</w:t>
      </w:r>
      <w:r>
        <w:rPr>
          <w:rFonts w:hint="eastAsia" w:eastAsia="仿宋_GB2312" w:cs="Times New Roman"/>
          <w:b w:val="0"/>
          <w:bCs/>
          <w:sz w:val="32"/>
          <w:szCs w:val="32"/>
          <w:highlight w:val="none"/>
          <w:lang w:val="en-US" w:eastAsia="zh-CN"/>
        </w:rPr>
        <w:t>17.1</w:t>
      </w:r>
      <w:r>
        <w:rPr>
          <w:rFonts w:hint="default" w:ascii="Times New Roman" w:hAnsi="Times New Roman" w:eastAsia="仿宋_GB2312" w:cs="Times New Roman"/>
          <w:b w:val="0"/>
          <w:bCs/>
          <w:sz w:val="32"/>
          <w:szCs w:val="32"/>
          <w:highlight w:val="none"/>
          <w:lang w:val="en-US" w:eastAsia="zh-CN"/>
        </w:rPr>
        <w:t>%。</w:t>
      </w:r>
    </w:p>
    <w:p w14:paraId="71C4D27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综上，根据评分标准，该指标</w:t>
      </w:r>
      <w:r>
        <w:rPr>
          <w:rFonts w:hint="eastAsia" w:eastAsia="仿宋_GB2312" w:cs="Times New Roman"/>
          <w:b w:val="0"/>
          <w:bCs/>
          <w:sz w:val="32"/>
          <w:szCs w:val="32"/>
          <w:lang w:val="en-US" w:eastAsia="zh-CN"/>
        </w:rPr>
        <w:t>不</w:t>
      </w:r>
      <w:r>
        <w:rPr>
          <w:rFonts w:hint="default" w:ascii="Times New Roman" w:hAnsi="Times New Roman" w:eastAsia="仿宋_GB2312" w:cs="Times New Roman"/>
          <w:b w:val="0"/>
          <w:bCs/>
          <w:sz w:val="32"/>
          <w:szCs w:val="32"/>
          <w:lang w:val="en-US" w:eastAsia="zh-CN"/>
        </w:rPr>
        <w:t>扣分，得</w:t>
      </w:r>
      <w:r>
        <w:rPr>
          <w:rFonts w:hint="eastAsia" w:eastAsia="仿宋_GB2312" w:cs="Times New Roman"/>
          <w:b w:val="0"/>
          <w:bCs/>
          <w:sz w:val="32"/>
          <w:szCs w:val="32"/>
          <w:lang w:val="en-US" w:eastAsia="zh-CN"/>
        </w:rPr>
        <w:t>3</w:t>
      </w:r>
      <w:r>
        <w:rPr>
          <w:rFonts w:hint="default" w:ascii="Times New Roman" w:hAnsi="Times New Roman" w:eastAsia="仿宋_GB2312" w:cs="Times New Roman"/>
          <w:b w:val="0"/>
          <w:bCs/>
          <w:sz w:val="32"/>
          <w:szCs w:val="32"/>
          <w:lang w:val="en-US" w:eastAsia="zh-CN"/>
        </w:rPr>
        <w:t>分。</w:t>
      </w:r>
    </w:p>
    <w:p w14:paraId="46FCBEC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（2）资产利用率</w:t>
      </w:r>
    </w:p>
    <w:p w14:paraId="0137E3E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办公家具账面原值为</w:t>
      </w:r>
      <w:r>
        <w:rPr>
          <w:rFonts w:hint="eastAsia"/>
          <w:lang w:val="en-US" w:eastAsia="zh-CN"/>
        </w:rPr>
        <w:t>42.38</w:t>
      </w:r>
      <w:r>
        <w:rPr>
          <w:rFonts w:hint="default" w:ascii="Times New Roman" w:hAnsi="Times New Roman" w:eastAsia="仿宋_GB2312" w:cs="Times New Roman"/>
          <w:b w:val="0"/>
          <w:bCs/>
          <w:sz w:val="32"/>
          <w:szCs w:val="32"/>
          <w:highlight w:val="none"/>
          <w:lang w:val="en-US" w:eastAsia="zh-CN"/>
        </w:rPr>
        <w:t>万元，超最低使用年限的办公家具账面原值为</w:t>
      </w:r>
      <w:r>
        <w:rPr>
          <w:rFonts w:hint="eastAsia"/>
          <w:lang w:val="en-US" w:eastAsia="zh-CN"/>
        </w:rPr>
        <w:t>38</w:t>
      </w:r>
      <w:r>
        <w:rPr>
          <w:rFonts w:hint="default" w:ascii="Times New Roman" w:hAnsi="Times New Roman" w:eastAsia="仿宋_GB2312" w:cs="Times New Roman"/>
          <w:b w:val="0"/>
          <w:bCs/>
          <w:sz w:val="32"/>
          <w:szCs w:val="32"/>
          <w:highlight w:val="none"/>
          <w:lang w:val="en-US" w:eastAsia="zh-CN"/>
        </w:rPr>
        <w:t>万元，部门办公家具超最低使用年限资产利用率为11.25%；2025年办公家具超最低使用年限资产利用率的省直行政事业单位平均值为12.93%。</w:t>
      </w:r>
    </w:p>
    <w:p w14:paraId="314B60D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办公设备账面原值为</w:t>
      </w:r>
      <w:r>
        <w:rPr>
          <w:rFonts w:hint="eastAsia"/>
          <w:lang w:val="en-US" w:eastAsia="zh-CN"/>
        </w:rPr>
        <w:t>344.9</w:t>
      </w:r>
      <w:r>
        <w:rPr>
          <w:rFonts w:hint="default" w:ascii="Times New Roman" w:hAnsi="Times New Roman" w:eastAsia="仿宋_GB2312" w:cs="Times New Roman"/>
          <w:b w:val="0"/>
          <w:bCs/>
          <w:sz w:val="32"/>
          <w:szCs w:val="32"/>
          <w:highlight w:val="none"/>
          <w:lang w:val="en-US" w:eastAsia="zh-CN"/>
        </w:rPr>
        <w:t>万元，超最低使用年限的办公设备账面原值为</w:t>
      </w:r>
      <w:r>
        <w:rPr>
          <w:rFonts w:hint="eastAsia"/>
          <w:lang w:val="en-US" w:eastAsia="zh-CN"/>
        </w:rPr>
        <w:t>123</w:t>
      </w:r>
      <w:r>
        <w:rPr>
          <w:rFonts w:hint="default" w:ascii="Times New Roman" w:hAnsi="Times New Roman" w:eastAsia="仿宋_GB2312" w:cs="Times New Roman"/>
          <w:b w:val="0"/>
          <w:bCs/>
          <w:sz w:val="32"/>
          <w:szCs w:val="32"/>
          <w:highlight w:val="none"/>
          <w:lang w:val="en-US" w:eastAsia="zh-CN"/>
        </w:rPr>
        <w:t>万元，部门办公设备超最低使用年限资产利用率为18.59%；2025年办公设备超最低使用年限资产利用率的省直行政事业单位平均值为53.14%。</w:t>
      </w:r>
    </w:p>
    <w:p w14:paraId="6566469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w:t>
      </w:r>
      <w:r>
        <w:rPr>
          <w:rFonts w:hint="eastAsia" w:eastAsia="仿宋_GB2312" w:cs="Times New Roman"/>
          <w:b w:val="0"/>
          <w:bCs/>
          <w:sz w:val="32"/>
          <w:szCs w:val="32"/>
          <w:highlight w:val="none"/>
          <w:lang w:val="en-US" w:eastAsia="zh-CN"/>
        </w:rPr>
        <w:t>不扣</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分。</w:t>
      </w:r>
    </w:p>
    <w:p w14:paraId="557160F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（3）资产盘活率</w:t>
      </w:r>
    </w:p>
    <w:p w14:paraId="23C840F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截至2025年末，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闲置资产账面价值为0。</w:t>
      </w:r>
    </w:p>
    <w:p w14:paraId="7B20D28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2EEC56F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采购管理</w:t>
      </w:r>
    </w:p>
    <w:p w14:paraId="2EC8A90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支持中小企业发展</w:t>
      </w:r>
    </w:p>
    <w:p w14:paraId="0C8B426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已预留采购份额专门面向中小企业采购，并在采购预算中单独列示。</w:t>
      </w:r>
    </w:p>
    <w:p w14:paraId="51E3231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5FFED20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（2）采购执行率</w:t>
      </w:r>
    </w:p>
    <w:p w14:paraId="01D360C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当年政府采购实际支付总金额为146.02万元，当年政府采购总预算数为146.02</w:t>
      </w:r>
      <w:r>
        <w:rPr>
          <w:rFonts w:hint="default" w:ascii="Times New Roman" w:hAnsi="Times New Roman" w:eastAsia="仿宋_GB2312" w:cs="Times New Roman"/>
          <w:b w:val="0"/>
          <w:bCs/>
          <w:sz w:val="32"/>
          <w:szCs w:val="32"/>
          <w:highlight w:val="none"/>
          <w:lang w:val="zh-CN" w:eastAsia="zh-CN"/>
        </w:rPr>
        <w:t>万元</w:t>
      </w:r>
      <w:r>
        <w:rPr>
          <w:rFonts w:hint="default" w:ascii="Times New Roman" w:hAnsi="Times New Roman" w:eastAsia="仿宋_GB2312" w:cs="Times New Roman"/>
          <w:b w:val="0"/>
          <w:bCs/>
          <w:sz w:val="32"/>
          <w:szCs w:val="32"/>
          <w:highlight w:val="none"/>
          <w:lang w:val="en-US" w:eastAsia="zh-CN"/>
        </w:rPr>
        <w:t>，当年已完成采购项目节约金额为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万元。</w:t>
      </w:r>
    </w:p>
    <w:p w14:paraId="130FFBC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w:t>
      </w:r>
      <w:r>
        <w:rPr>
          <w:rFonts w:hint="eastAsia" w:eastAsia="仿宋_GB2312" w:cs="Times New Roman"/>
          <w:b w:val="0"/>
          <w:bCs/>
          <w:sz w:val="32"/>
          <w:szCs w:val="32"/>
          <w:highlight w:val="none"/>
          <w:lang w:val="en-US" w:eastAsia="zh-CN"/>
        </w:rPr>
        <w:t>不扣</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分。</w:t>
      </w:r>
    </w:p>
    <w:p w14:paraId="2135E7B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（二）部门预算项目绩效分析</w:t>
      </w:r>
    </w:p>
    <w:p w14:paraId="20A0B65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常年项目绩效分析。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zh-CN" w:eastAsia="zh-CN"/>
        </w:rPr>
        <w:t>个，涉及预算总金额</w:t>
      </w:r>
      <w:r>
        <w:rPr>
          <w:rFonts w:hint="default" w:ascii="Times New Roman" w:hAnsi="Times New Roman" w:eastAsia="仿宋_GB2312" w:cs="Times New Roman"/>
          <w:b w:val="0"/>
          <w:bCs/>
          <w:sz w:val="32"/>
          <w:szCs w:val="32"/>
          <w:highlight w:val="none"/>
          <w:lang w:val="en-US" w:eastAsia="zh-CN"/>
        </w:rPr>
        <w:t>365.31</w:t>
      </w:r>
      <w:r>
        <w:rPr>
          <w:rFonts w:hint="default" w:ascii="Times New Roman" w:hAnsi="Times New Roman" w:eastAsia="仿宋_GB2312" w:cs="Times New Roman"/>
          <w:b w:val="0"/>
          <w:bCs/>
          <w:sz w:val="32"/>
          <w:szCs w:val="32"/>
          <w:highlight w:val="none"/>
          <w:lang w:val="zh-CN" w:eastAsia="zh-CN"/>
        </w:rPr>
        <w:t>万元，1—1</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月预算执行总体进度为</w:t>
      </w:r>
      <w:r>
        <w:rPr>
          <w:rFonts w:hint="eastAsia" w:eastAsia="仿宋_GB2312" w:cs="Times New Roman"/>
          <w:b w:val="0"/>
          <w:bCs/>
          <w:sz w:val="32"/>
          <w:szCs w:val="32"/>
          <w:highlight w:val="none"/>
          <w:lang w:val="en-US" w:eastAsia="zh-CN"/>
        </w:rPr>
        <w:t>92.60</w:t>
      </w:r>
      <w:r>
        <w:rPr>
          <w:rFonts w:hint="default" w:ascii="Times New Roman" w:hAnsi="Times New Roman" w:eastAsia="仿宋_GB2312" w:cs="Times New Roman"/>
          <w:b w:val="0"/>
          <w:bCs/>
          <w:sz w:val="32"/>
          <w:szCs w:val="32"/>
          <w:highlight w:val="none"/>
          <w:lang w:val="zh-CN" w:eastAsia="zh-CN"/>
        </w:rPr>
        <w:t>%，其中：预算结余率大于</w:t>
      </w:r>
      <w:r>
        <w:rPr>
          <w:rFonts w:hint="default"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lang w:val="zh-CN" w:eastAsia="zh-CN"/>
        </w:rPr>
        <w:t>的项目共计</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个。</w:t>
      </w:r>
    </w:p>
    <w:p w14:paraId="0D0E2F7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阶段（一次性）项目绩效分析。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zh-CN" w:eastAsia="zh-CN"/>
        </w:rPr>
        <w:t>个，涉及预算总金额</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zh-CN" w:eastAsia="zh-CN"/>
        </w:rPr>
        <w:t>万元。</w:t>
      </w:r>
    </w:p>
    <w:p w14:paraId="62E9EA2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项目决策</w:t>
      </w:r>
    </w:p>
    <w:p w14:paraId="38A8AE4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决策程序</w:t>
      </w:r>
    </w:p>
    <w:p w14:paraId="2A0C7B0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部门预算阶段项目（含一次性项目）总数为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个，其中，按照相关规定需要进行事前评估程序的部门预算阶段项目均按要求进行了事前评估。</w:t>
      </w:r>
    </w:p>
    <w:p w14:paraId="306375B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4086DC6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（2）目标设置</w:t>
      </w:r>
    </w:p>
    <w:p w14:paraId="78B9A7E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w:t>
      </w:r>
      <w:r>
        <w:rPr>
          <w:rFonts w:hint="default" w:ascii="Times New Roman" w:hAnsi="Times New Roman" w:eastAsia="仿宋_GB2312" w:cs="Times New Roman"/>
          <w:b w:val="0"/>
          <w:bCs/>
          <w:sz w:val="32"/>
          <w:szCs w:val="32"/>
          <w:highlight w:val="none"/>
          <w:lang w:val="zh-CN" w:eastAsia="zh-CN"/>
        </w:rPr>
        <w:t>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个，绩效目标与计划期内的任务量、预算安排不相匹配的部门预算阶段项目（含一次性项目）数量为0。</w:t>
      </w:r>
    </w:p>
    <w:p w14:paraId="1EC61C2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2937EB3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（3）项目入库</w:t>
      </w:r>
    </w:p>
    <w:p w14:paraId="255DB00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个，均已在规定时间内纳入财政项目库。</w:t>
      </w:r>
    </w:p>
    <w:p w14:paraId="1862FEB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26F9A2B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2.项目执行</w:t>
      </w:r>
    </w:p>
    <w:p w14:paraId="31F80C0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执行同向</w:t>
      </w:r>
    </w:p>
    <w:p w14:paraId="5D972EF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个，实际列支内容与绩效目标设置方向不相符的部门预算阶段项目（含一次性项目）数量为0。</w:t>
      </w:r>
    </w:p>
    <w:p w14:paraId="366373A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31121C5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项目调整</w:t>
      </w:r>
    </w:p>
    <w:p w14:paraId="0532A22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应采取收回预算、调整目标等处置措施的部门预算阶段项目（含一次性项目）</w:t>
      </w:r>
      <w:r>
        <w:rPr>
          <w:rFonts w:hint="default" w:ascii="Times New Roman" w:hAnsi="Times New Roman" w:eastAsia="仿宋_GB2312" w:cs="Times New Roman"/>
          <w:b w:val="0"/>
          <w:bCs/>
          <w:sz w:val="32"/>
          <w:szCs w:val="32"/>
          <w:highlight w:val="none"/>
          <w:lang w:val="en-US" w:eastAsia="zh-CN"/>
        </w:rPr>
        <w:t>均按照规定程序进行收回和调整。</w:t>
      </w:r>
    </w:p>
    <w:p w14:paraId="087DF98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4650500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（3）执行结果</w:t>
      </w:r>
    </w:p>
    <w:p w14:paraId="5FE5792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部门预算结余率小于10%的常年项目数量为</w:t>
      </w:r>
      <w:r>
        <w:rPr>
          <w:rFonts w:hint="eastAsia" w:eastAsia="仿宋_GB2312" w:cs="Times New Roman"/>
          <w:b w:val="0"/>
          <w:bCs/>
          <w:sz w:val="32"/>
          <w:szCs w:val="32"/>
          <w:highlight w:val="none"/>
          <w:lang w:val="en-US" w:eastAsia="zh-CN"/>
        </w:rPr>
        <w:t>15</w:t>
      </w:r>
      <w:r>
        <w:rPr>
          <w:rFonts w:hint="default" w:ascii="Times New Roman" w:hAnsi="Times New Roman" w:eastAsia="仿宋_GB2312" w:cs="Times New Roman"/>
          <w:b w:val="0"/>
          <w:bCs/>
          <w:sz w:val="32"/>
          <w:szCs w:val="32"/>
          <w:highlight w:val="none"/>
          <w:lang w:val="en-US" w:eastAsia="zh-CN"/>
        </w:rPr>
        <w:t>个，部门预算常年项目总数为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个，预算结余率小于10%的一次性项目和阶段项目数量为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个，部门预算一次性项目和阶段项目总数为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个。</w:t>
      </w:r>
    </w:p>
    <w:p w14:paraId="0C27096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综上，根据评分标准，该指标扣</w:t>
      </w:r>
      <w:r>
        <w:rPr>
          <w:rFonts w:hint="eastAsia" w:eastAsia="仿宋_GB2312" w:cs="Times New Roman"/>
          <w:b w:val="0"/>
          <w:bCs/>
          <w:sz w:val="32"/>
          <w:szCs w:val="32"/>
          <w:highlight w:val="none"/>
          <w:lang w:val="en-US" w:eastAsia="zh-CN"/>
        </w:rPr>
        <w:t>0.25</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3.75</w:t>
      </w:r>
      <w:r>
        <w:rPr>
          <w:rFonts w:hint="default" w:ascii="Times New Roman" w:hAnsi="Times New Roman" w:eastAsia="仿宋_GB2312" w:cs="Times New Roman"/>
          <w:b w:val="0"/>
          <w:bCs/>
          <w:sz w:val="32"/>
          <w:szCs w:val="32"/>
          <w:highlight w:val="none"/>
          <w:lang w:val="en-US" w:eastAsia="zh-CN"/>
        </w:rPr>
        <w:t>分。</w:t>
      </w:r>
    </w:p>
    <w:p w14:paraId="43684B6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zh-CN" w:eastAsia="zh-CN"/>
        </w:rPr>
        <w:t>目标实现</w:t>
      </w:r>
    </w:p>
    <w:p w14:paraId="5144F50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目标完成</w:t>
      </w:r>
    </w:p>
    <w:p w14:paraId="7726536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个，已完成绩效目标数量指标的部门预算阶段项目（含一次性项目）数量为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w:t>
      </w:r>
    </w:p>
    <w:p w14:paraId="5813381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7A04D83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（2）目标偏离</w:t>
      </w:r>
    </w:p>
    <w:p w14:paraId="55FAFB6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的所有项目均已完成预期指标值，并且偏离度在30%以内。</w:t>
      </w:r>
    </w:p>
    <w:p w14:paraId="2D30787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79BDD9C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（3）实现效果</w:t>
      </w:r>
    </w:p>
    <w:p w14:paraId="2457EBD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个，完成绩效目标效益指标的部门预算阶段项目（含一次性项目）数量为</w:t>
      </w:r>
      <w:r>
        <w:rPr>
          <w:rFonts w:hint="eastAsia" w:ascii="Times New Roman" w:hAnsi="Times New Roman" w:eastAsia="仿宋_GB2312" w:cs="Times New Roman"/>
          <w:b w:val="0"/>
          <w:bCs/>
          <w:sz w:val="32"/>
          <w:szCs w:val="32"/>
          <w:highlight w:val="none"/>
          <w:lang w:val="en-US" w:eastAsia="zh-CN"/>
        </w:rPr>
        <w:t>7</w:t>
      </w:r>
      <w:r>
        <w:rPr>
          <w:rFonts w:hint="default" w:ascii="Times New Roman" w:hAnsi="Times New Roman" w:eastAsia="仿宋_GB2312" w:cs="Times New Roman"/>
          <w:b w:val="0"/>
          <w:bCs/>
          <w:sz w:val="32"/>
          <w:szCs w:val="32"/>
          <w:highlight w:val="none"/>
          <w:lang w:val="en-US" w:eastAsia="zh-CN"/>
        </w:rPr>
        <w:t>个，本</w:t>
      </w:r>
      <w:r>
        <w:rPr>
          <w:rFonts w:hint="default" w:ascii="Times New Roman" w:hAnsi="Times New Roman" w:eastAsia="仿宋_GB2312" w:cs="Times New Roman"/>
          <w:b w:val="0"/>
          <w:bCs/>
          <w:sz w:val="32"/>
          <w:szCs w:val="32"/>
          <w:highlight w:val="none"/>
          <w:lang w:val="zh-CN" w:eastAsia="zh-CN"/>
        </w:rPr>
        <w:t>部门</w:t>
      </w:r>
      <w:r>
        <w:rPr>
          <w:rFonts w:hint="default" w:ascii="Times New Roman" w:hAnsi="Times New Roman" w:eastAsia="仿宋_GB2312" w:cs="Times New Roman"/>
          <w:b w:val="0"/>
          <w:bCs/>
          <w:sz w:val="32"/>
          <w:szCs w:val="32"/>
          <w:highlight w:val="none"/>
          <w:lang w:val="en-US" w:eastAsia="zh-CN"/>
        </w:rPr>
        <w:t>预算项目绩效目标效益指标实施效果较好，均已达到设定指标值。</w:t>
      </w:r>
    </w:p>
    <w:p w14:paraId="440FE8A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3F0E6965">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（三）绩效结果应用情况</w:t>
      </w:r>
    </w:p>
    <w:p w14:paraId="5D6649D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严格按照要求，财政预算项目应当自觉接受财政、审计等监督部门开展的重点绩效评价，评价结果作为以后年度重点项目资金预算安排的参考依据。对预算编制不精准、绩效评价结果为“中”或“合格”的重点项目，核减项目下年度同类项目资金安排。对绩效评价不合格的重点项目，直接取消项目下年度同类财政项目资金的预算安排。</w:t>
      </w:r>
    </w:p>
    <w:p w14:paraId="0607327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严格按照相关要求，经批复的项目绩效目标、绩效评价结果按规定向社会公开。同时，202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w:t>
      </w:r>
      <w:r>
        <w:rPr>
          <w:rFonts w:hint="eastAsia" w:eastAsia="仿宋_GB2312" w:cs="Times New Roman"/>
          <w:b w:val="0"/>
          <w:bCs/>
          <w:sz w:val="32"/>
          <w:szCs w:val="32"/>
          <w:highlight w:val="none"/>
          <w:lang w:val="zh-CN" w:eastAsia="zh-CN"/>
        </w:rPr>
        <w:t>我局</w:t>
      </w:r>
      <w:r>
        <w:rPr>
          <w:rFonts w:hint="default" w:ascii="Times New Roman" w:hAnsi="Times New Roman" w:eastAsia="仿宋_GB2312" w:cs="Times New Roman"/>
          <w:b w:val="0"/>
          <w:bCs/>
          <w:sz w:val="32"/>
          <w:szCs w:val="32"/>
          <w:highlight w:val="none"/>
          <w:lang w:val="zh-CN" w:eastAsia="zh-CN"/>
        </w:rPr>
        <w:t>在门户网站上公开的202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年部门预算说明中同步公开绩效目标。</w:t>
      </w:r>
    </w:p>
    <w:p w14:paraId="12239FC8">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四、评价结论及建议</w:t>
      </w:r>
    </w:p>
    <w:p w14:paraId="36AE4014">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（一）评价结论</w:t>
      </w:r>
    </w:p>
    <w:p w14:paraId="2F3E72B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eastAsia" w:eastAsia="仿宋_GB2312" w:cs="Times New Roman"/>
          <w:b w:val="0"/>
          <w:bCs/>
          <w:sz w:val="32"/>
          <w:szCs w:val="32"/>
          <w:highlight w:val="none"/>
          <w:lang w:val="en-US" w:eastAsia="zh-CN"/>
        </w:rPr>
      </w:pPr>
      <w:r>
        <w:rPr>
          <w:rFonts w:hint="default"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eastAsia="仿宋_GB2312" w:cs="Times New Roman"/>
          <w:b w:val="0"/>
          <w:bCs/>
          <w:sz w:val="32"/>
          <w:szCs w:val="32"/>
          <w:highlight w:val="none"/>
          <w:lang w:val="en-US" w:eastAsia="zh-CN"/>
        </w:rPr>
        <w:t>履职效果和预算管理效果较好，财务管理、资产管理、采购管理规范，项目决策程序严格</w:t>
      </w:r>
      <w:r>
        <w:rPr>
          <w:rFonts w:hint="default" w:eastAsia="仿宋_GB2312" w:cs="Times New Roman"/>
          <w:b w:val="0"/>
          <w:bCs/>
          <w:sz w:val="32"/>
          <w:szCs w:val="32"/>
          <w:highlight w:val="none"/>
          <w:lang w:val="zh-CN" w:eastAsia="zh-CN"/>
        </w:rPr>
        <w:t>，项目执行</w:t>
      </w:r>
      <w:r>
        <w:rPr>
          <w:rFonts w:hint="default" w:eastAsia="仿宋_GB2312" w:cs="Times New Roman"/>
          <w:b w:val="0"/>
          <w:bCs/>
          <w:sz w:val="32"/>
          <w:szCs w:val="32"/>
          <w:highlight w:val="none"/>
          <w:lang w:val="en-US" w:eastAsia="zh-CN"/>
        </w:rPr>
        <w:t>进度良好，绩效目标实现程度良好，但也存在一般性支出预算执行压减</w:t>
      </w:r>
      <w:r>
        <w:rPr>
          <w:rFonts w:hint="eastAsia" w:eastAsia="仿宋_GB2312" w:cs="Times New Roman"/>
          <w:b w:val="0"/>
          <w:bCs/>
          <w:sz w:val="32"/>
          <w:szCs w:val="32"/>
          <w:highlight w:val="none"/>
          <w:lang w:val="en-US" w:eastAsia="zh-CN"/>
        </w:rPr>
        <w:t>力度不够、预算编制质量有待提升</w:t>
      </w:r>
      <w:r>
        <w:rPr>
          <w:rFonts w:hint="default" w:eastAsia="仿宋_GB2312" w:cs="Times New Roman"/>
          <w:b w:val="0"/>
          <w:bCs/>
          <w:sz w:val="32"/>
          <w:szCs w:val="32"/>
          <w:highlight w:val="none"/>
          <w:lang w:val="en-US" w:eastAsia="zh-CN"/>
        </w:rPr>
        <w:t>等问题。</w:t>
      </w:r>
      <w:r>
        <w:rPr>
          <w:rFonts w:hint="default" w:eastAsia="仿宋_GB2312" w:cs="Times New Roman"/>
          <w:b w:val="0"/>
          <w:bCs/>
          <w:sz w:val="32"/>
          <w:szCs w:val="32"/>
          <w:highlight w:val="none"/>
          <w:lang w:val="zh-CN" w:eastAsia="zh-CN"/>
        </w:rPr>
        <w:t>根据《</w:t>
      </w:r>
      <w:r>
        <w:rPr>
          <w:rFonts w:hint="eastAsia" w:eastAsia="仿宋_GB2312" w:cs="Times New Roman"/>
          <w:b w:val="0"/>
          <w:bCs/>
          <w:sz w:val="32"/>
          <w:szCs w:val="32"/>
          <w:highlight w:val="none"/>
          <w:lang w:val="en-US" w:eastAsia="zh-CN"/>
        </w:rPr>
        <w:t>九寨沟县财政</w:t>
      </w:r>
    </w:p>
    <w:p w14:paraId="1484E373">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局关于开展2026年县级部门绩效自评工作的通知</w:t>
      </w:r>
      <w:r>
        <w:rPr>
          <w:rFonts w:hint="default" w:eastAsia="仿宋_GB2312" w:cs="Times New Roman"/>
          <w:b w:val="0"/>
          <w:bCs/>
          <w:sz w:val="32"/>
          <w:szCs w:val="32"/>
          <w:highlight w:val="none"/>
          <w:lang w:val="zh-CN" w:eastAsia="zh-CN"/>
        </w:rPr>
        <w:t>》（</w:t>
      </w:r>
      <w:r>
        <w:rPr>
          <w:rFonts w:hint="eastAsia" w:eastAsia="仿宋_GB2312" w:cs="Times New Roman"/>
          <w:b w:val="0"/>
          <w:bCs/>
          <w:sz w:val="32"/>
          <w:szCs w:val="32"/>
          <w:highlight w:val="none"/>
          <w:lang w:val="en-US" w:eastAsia="zh-CN"/>
        </w:rPr>
        <w:t xml:space="preserve"> </w:t>
      </w:r>
      <w:r>
        <w:rPr>
          <w:rFonts w:hint="default" w:eastAsia="仿宋_GB2312" w:cs="Times New Roman"/>
          <w:b w:val="0"/>
          <w:bCs/>
          <w:sz w:val="32"/>
          <w:szCs w:val="32"/>
          <w:highlight w:val="none"/>
          <w:lang w:val="zh-CN" w:eastAsia="zh-CN"/>
        </w:rPr>
        <w:t>九财〔202</w:t>
      </w:r>
      <w:r>
        <w:rPr>
          <w:rFonts w:hint="eastAsia" w:eastAsia="仿宋_GB2312" w:cs="Times New Roman"/>
          <w:b w:val="0"/>
          <w:bCs/>
          <w:sz w:val="32"/>
          <w:szCs w:val="32"/>
          <w:highlight w:val="none"/>
          <w:lang w:val="en-US" w:eastAsia="zh-CN"/>
        </w:rPr>
        <w:t>6</w:t>
      </w:r>
      <w:r>
        <w:rPr>
          <w:rFonts w:hint="default" w:eastAsia="仿宋_GB2312" w:cs="Times New Roman"/>
          <w:b w:val="0"/>
          <w:bCs/>
          <w:sz w:val="32"/>
          <w:szCs w:val="32"/>
          <w:highlight w:val="none"/>
          <w:lang w:val="zh-CN" w:eastAsia="zh-CN"/>
        </w:rPr>
        <w:t>〕号</w:t>
      </w:r>
      <w:r>
        <w:rPr>
          <w:rFonts w:hint="eastAsia" w:eastAsia="仿宋_GB2312" w:cs="Times New Roman"/>
          <w:b w:val="0"/>
          <w:bCs/>
          <w:sz w:val="32"/>
          <w:szCs w:val="32"/>
          <w:highlight w:val="none"/>
          <w:lang w:val="en-US" w:eastAsia="zh-CN"/>
        </w:rPr>
        <w:t xml:space="preserve"> </w:t>
      </w:r>
      <w:r>
        <w:rPr>
          <w:rFonts w:hint="default" w:eastAsia="仿宋_GB2312" w:cs="Times New Roman"/>
          <w:b w:val="0"/>
          <w:bCs/>
          <w:sz w:val="32"/>
          <w:szCs w:val="32"/>
          <w:highlight w:val="none"/>
          <w:lang w:val="zh-CN" w:eastAsia="zh-CN"/>
        </w:rPr>
        <w:t>），中部门整体支出绩效评价指标体系，202</w:t>
      </w:r>
      <w:r>
        <w:rPr>
          <w:rFonts w:hint="default" w:eastAsia="仿宋_GB2312" w:cs="Times New Roman"/>
          <w:b w:val="0"/>
          <w:bCs/>
          <w:sz w:val="32"/>
          <w:szCs w:val="32"/>
          <w:highlight w:val="none"/>
          <w:lang w:val="en-US" w:eastAsia="zh-CN"/>
        </w:rPr>
        <w:t>5</w:t>
      </w:r>
      <w:r>
        <w:rPr>
          <w:rFonts w:hint="default" w:eastAsia="仿宋_GB2312" w:cs="Times New Roman"/>
          <w:b w:val="0"/>
          <w:bCs/>
          <w:sz w:val="32"/>
          <w:szCs w:val="32"/>
          <w:highlight w:val="none"/>
          <w:lang w:val="zh-CN" w:eastAsia="zh-CN"/>
        </w:rPr>
        <w:t>年度自评得分</w:t>
      </w:r>
      <w:r>
        <w:rPr>
          <w:rFonts w:hint="eastAsia" w:eastAsia="仿宋_GB2312" w:cs="Times New Roman"/>
          <w:b w:val="0"/>
          <w:bCs/>
          <w:sz w:val="32"/>
          <w:szCs w:val="32"/>
          <w:highlight w:val="none"/>
          <w:lang w:val="en-US" w:eastAsia="zh-CN"/>
        </w:rPr>
        <w:t xml:space="preserve">92.3  </w:t>
      </w:r>
      <w:r>
        <w:rPr>
          <w:rFonts w:hint="default" w:eastAsia="仿宋_GB2312" w:cs="Times New Roman"/>
          <w:b w:val="0"/>
          <w:bCs/>
          <w:sz w:val="32"/>
          <w:szCs w:val="32"/>
          <w:highlight w:val="none"/>
          <w:lang w:val="zh-CN" w:eastAsia="zh-CN"/>
        </w:rPr>
        <w:t>分。</w:t>
      </w:r>
    </w:p>
    <w:p w14:paraId="44F6C501">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eastAsia="仿宋_GB2312" w:cs="Times New Roman"/>
          <w:b w:val="0"/>
          <w:bCs/>
          <w:sz w:val="32"/>
          <w:szCs w:val="32"/>
          <w:highlight w:val="none"/>
          <w:lang w:val="zh-CN" w:eastAsia="zh-CN"/>
        </w:rPr>
      </w:pPr>
      <w:r>
        <w:rPr>
          <w:rFonts w:hint="default" w:eastAsia="仿宋_GB2312" w:cs="Times New Roman"/>
          <w:b w:val="0"/>
          <w:bCs/>
          <w:sz w:val="32"/>
          <w:szCs w:val="32"/>
          <w:highlight w:val="none"/>
          <w:lang w:val="zh-CN" w:eastAsia="zh-CN"/>
        </w:rPr>
        <w:t>（二）存在问题</w:t>
      </w:r>
    </w:p>
    <w:p w14:paraId="73AF79B6">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eastAsia" w:ascii="Times New Roman" w:hAnsi="Times New Roman" w:eastAsia="仿宋_GB2312" w:cs="Times New Roman"/>
          <w:b/>
          <w:bCs w:val="0"/>
          <w:sz w:val="32"/>
          <w:szCs w:val="32"/>
          <w:highlight w:val="none"/>
          <w:lang w:val="en-US" w:eastAsia="zh-CN"/>
        </w:rPr>
      </w:pPr>
      <w:r>
        <w:rPr>
          <w:rFonts w:hint="eastAsia" w:ascii="Times New Roman" w:hAnsi="Times New Roman" w:eastAsia="仿宋_GB2312" w:cs="Times New Roman"/>
          <w:b/>
          <w:bCs w:val="0"/>
          <w:sz w:val="32"/>
          <w:szCs w:val="32"/>
          <w:highlight w:val="none"/>
          <w:lang w:val="en-US" w:eastAsia="zh-CN"/>
        </w:rPr>
        <w:t>1.财政拨款预算偏离度偏高</w:t>
      </w:r>
    </w:p>
    <w:p w14:paraId="5EBFF8E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我局财政拨款预算执行数为461.61万元，年初预算数为341.26万元，预算偏离度为35.27%；资产配置预算执行数为7.82万元，年初未编报相关预算，偏离度超100%；政府采购预算执行数为32.74万元，年初未编报相关预算，偏离度超100%。</w:t>
      </w:r>
    </w:p>
    <w:p w14:paraId="3DA7EE1F">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bCs w:val="0"/>
          <w:sz w:val="32"/>
          <w:szCs w:val="32"/>
          <w:highlight w:val="none"/>
          <w:lang w:val="en-US" w:eastAsia="zh-CN"/>
        </w:rPr>
      </w:pPr>
      <w:r>
        <w:rPr>
          <w:rFonts w:hint="eastAsia" w:ascii="Times New Roman" w:hAnsi="Times New Roman" w:eastAsia="仿宋_GB2312" w:cs="Times New Roman"/>
          <w:b/>
          <w:bCs w:val="0"/>
          <w:sz w:val="32"/>
          <w:szCs w:val="32"/>
          <w:highlight w:val="none"/>
          <w:lang w:val="en-US" w:eastAsia="zh-CN"/>
        </w:rPr>
        <w:t>2</w:t>
      </w:r>
      <w:r>
        <w:rPr>
          <w:rFonts w:hint="default" w:ascii="Times New Roman" w:hAnsi="Times New Roman" w:eastAsia="仿宋_GB2312" w:cs="Times New Roman"/>
          <w:b/>
          <w:bCs w:val="0"/>
          <w:sz w:val="32"/>
          <w:szCs w:val="32"/>
          <w:highlight w:val="none"/>
          <w:lang w:val="en-US" w:eastAsia="zh-CN"/>
        </w:rPr>
        <w:t>.一般性支出管理有待加强。</w:t>
      </w:r>
    </w:p>
    <w:p w14:paraId="2176C3D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2025年一般性支出年初预算</w:t>
      </w:r>
      <w:r>
        <w:rPr>
          <w:rFonts w:hint="eastAsia" w:ascii="Times New Roman" w:hAnsi="Times New Roman" w:eastAsia="仿宋_GB2312" w:cs="Times New Roman"/>
          <w:b w:val="0"/>
          <w:bCs/>
          <w:sz w:val="32"/>
          <w:szCs w:val="32"/>
          <w:highlight w:val="none"/>
          <w:lang w:val="en-US" w:eastAsia="zh-CN"/>
        </w:rPr>
        <w:t>126.21</w:t>
      </w:r>
      <w:r>
        <w:rPr>
          <w:rFonts w:hint="default" w:ascii="Times New Roman" w:hAnsi="Times New Roman" w:eastAsia="仿宋_GB2312" w:cs="Times New Roman"/>
          <w:b w:val="0"/>
          <w:bCs/>
          <w:sz w:val="32"/>
          <w:szCs w:val="32"/>
          <w:highlight w:val="none"/>
          <w:lang w:val="en-US" w:eastAsia="zh-CN"/>
        </w:rPr>
        <w:t>万元，</w:t>
      </w:r>
      <w:r>
        <w:rPr>
          <w:rFonts w:hint="eastAsia" w:ascii="Times New Roman" w:hAnsi="Times New Roman"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2024年一般性支出年初预算</w:t>
      </w:r>
      <w:r>
        <w:rPr>
          <w:rFonts w:hint="eastAsia" w:ascii="Times New Roman" w:hAnsi="Times New Roman" w:eastAsia="仿宋_GB2312" w:cs="Times New Roman"/>
          <w:b w:val="0"/>
          <w:bCs/>
          <w:sz w:val="32"/>
          <w:szCs w:val="32"/>
          <w:highlight w:val="none"/>
          <w:lang w:val="en-US" w:eastAsia="zh-CN"/>
        </w:rPr>
        <w:t>101.32</w:t>
      </w:r>
      <w:r>
        <w:rPr>
          <w:rFonts w:hint="default" w:ascii="Times New Roman" w:hAnsi="Times New Roman" w:eastAsia="仿宋_GB2312" w:cs="Times New Roman"/>
          <w:b w:val="0"/>
          <w:bCs/>
          <w:sz w:val="32"/>
          <w:szCs w:val="32"/>
          <w:highlight w:val="none"/>
          <w:lang w:val="en-US" w:eastAsia="zh-CN"/>
        </w:rPr>
        <w:t>万元</w:t>
      </w:r>
      <w:r>
        <w:rPr>
          <w:rFonts w:hint="eastAsia" w:ascii="Times New Roman" w:hAnsi="Times New Roman" w:eastAsia="仿宋_GB2312" w:cs="Times New Roman"/>
          <w:b w:val="0"/>
          <w:bCs/>
          <w:sz w:val="32"/>
          <w:szCs w:val="32"/>
          <w:highlight w:val="none"/>
          <w:lang w:val="en-US" w:eastAsia="zh-CN"/>
        </w:rPr>
        <w:t>，未实现压减</w:t>
      </w:r>
      <w:r>
        <w:rPr>
          <w:rFonts w:hint="default" w:ascii="Times New Roman" w:hAnsi="Times New Roman" w:eastAsia="仿宋_GB2312" w:cs="Times New Roman"/>
          <w:b w:val="0"/>
          <w:bCs/>
          <w:sz w:val="32"/>
          <w:szCs w:val="32"/>
          <w:highlight w:val="none"/>
          <w:lang w:val="en-US" w:eastAsia="zh-CN"/>
        </w:rPr>
        <w:t>。主要原因是</w:t>
      </w:r>
      <w:r>
        <w:rPr>
          <w:rFonts w:hint="eastAsia" w:ascii="Times New Roman" w:hAnsi="Times New Roman" w:eastAsia="仿宋_GB2312" w:cs="Times New Roman"/>
          <w:b w:val="0"/>
          <w:bCs/>
          <w:sz w:val="32"/>
          <w:szCs w:val="32"/>
          <w:highlight w:val="none"/>
          <w:lang w:val="en-US" w:eastAsia="zh-CN"/>
        </w:rPr>
        <w:t>今年我局因工作需求新购入一</w:t>
      </w:r>
      <w:r>
        <w:rPr>
          <w:rFonts w:hint="eastAsia" w:eastAsia="仿宋_GB2312" w:cs="Times New Roman"/>
          <w:b w:val="0"/>
          <w:bCs/>
          <w:sz w:val="32"/>
          <w:szCs w:val="32"/>
          <w:highlight w:val="none"/>
          <w:lang w:val="en-US" w:eastAsia="zh-CN"/>
        </w:rPr>
        <w:t>批办公设备</w:t>
      </w:r>
      <w:r>
        <w:rPr>
          <w:rFonts w:hint="default" w:ascii="Times New Roman" w:hAnsi="Times New Roman" w:eastAsia="仿宋_GB2312" w:cs="Times New Roman"/>
          <w:b w:val="0"/>
          <w:bCs/>
          <w:sz w:val="32"/>
          <w:szCs w:val="32"/>
          <w:highlight w:val="none"/>
          <w:lang w:val="en-US" w:eastAsia="zh-CN"/>
        </w:rPr>
        <w:t>。</w:t>
      </w:r>
    </w:p>
    <w:p w14:paraId="3ABCDFF0">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bCs w:val="0"/>
          <w:sz w:val="32"/>
          <w:szCs w:val="32"/>
          <w:highlight w:val="none"/>
          <w:lang w:val="zh-CN" w:eastAsia="zh-CN"/>
        </w:rPr>
      </w:pPr>
      <w:r>
        <w:rPr>
          <w:rFonts w:hint="default" w:ascii="Times New Roman" w:hAnsi="Times New Roman" w:eastAsia="仿宋_GB2312" w:cs="Times New Roman"/>
          <w:b/>
          <w:bCs w:val="0"/>
          <w:sz w:val="32"/>
          <w:szCs w:val="32"/>
          <w:highlight w:val="none"/>
          <w:lang w:val="zh-CN" w:eastAsia="zh-CN"/>
        </w:rPr>
        <w:t>（三）改进建议</w:t>
      </w:r>
      <w:bookmarkStart w:id="53" w:name="_Hlk110546638"/>
    </w:p>
    <w:bookmarkEnd w:id="53"/>
    <w:p w14:paraId="23645F5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将增强“过紧日子”思想意识，充分认识“过紧日子”的重要性和必要性，减少非必要的公务接待及出差人员数量。相关领导要以身作则，做好表率，层层压实责任，确保“过紧日子”思想深入人心，厉行节约措施落实到位。</w:t>
      </w:r>
    </w:p>
    <w:p w14:paraId="199EC41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p>
    <w:p w14:paraId="4A4A8C9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附表：</w:t>
      </w:r>
      <w:r>
        <w:rPr>
          <w:rFonts w:hint="eastAsia" w:ascii="Times New Roman" w:hAnsi="Times New Roman" w:eastAsia="仿宋_GB2312" w:cs="Times New Roman"/>
          <w:b w:val="0"/>
          <w:bCs/>
          <w:sz w:val="32"/>
          <w:szCs w:val="32"/>
          <w:highlight w:val="none"/>
          <w:lang w:val="en-US" w:eastAsia="zh-CN"/>
        </w:rPr>
        <w:t>1.部门预算绩效自评打分表</w:t>
      </w:r>
    </w:p>
    <w:p w14:paraId="4D062D5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en-US" w:eastAsia="zh-CN"/>
        </w:rPr>
        <w:t>部门整体</w:t>
      </w:r>
      <w:r>
        <w:rPr>
          <w:rFonts w:hint="eastAsia" w:ascii="Times New Roman" w:hAnsi="Times New Roman" w:eastAsia="仿宋_GB2312" w:cs="Times New Roman"/>
          <w:b w:val="0"/>
          <w:bCs/>
          <w:sz w:val="32"/>
          <w:szCs w:val="32"/>
          <w:highlight w:val="none"/>
          <w:lang w:val="en-US" w:eastAsia="zh-CN"/>
        </w:rPr>
        <w:t>支出</w:t>
      </w:r>
      <w:r>
        <w:rPr>
          <w:rFonts w:hint="default" w:ascii="Times New Roman" w:hAnsi="Times New Roman" w:eastAsia="仿宋_GB2312" w:cs="Times New Roman"/>
          <w:b w:val="0"/>
          <w:bCs/>
          <w:sz w:val="32"/>
          <w:szCs w:val="32"/>
          <w:highlight w:val="none"/>
          <w:lang w:val="en-US" w:eastAsia="zh-CN"/>
        </w:rPr>
        <w:t>绩效目标完成情况自评表</w:t>
      </w:r>
    </w:p>
    <w:p w14:paraId="17FC0B4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部门预算项目支出绩效评价表（202</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年度）</w:t>
      </w:r>
    </w:p>
    <w:p w14:paraId="4F24DB3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eastAsia="黑体"/>
        </w:rPr>
      </w:pPr>
      <w:r>
        <w:rPr>
          <w:rFonts w:hint="default" w:ascii="Times New Roman" w:hAnsi="Times New Roman" w:eastAsia="仿宋_GB2312" w:cs="Times New Roman"/>
          <w:b w:val="0"/>
          <w:bCs/>
          <w:sz w:val="32"/>
          <w:szCs w:val="32"/>
          <w:highlight w:val="none"/>
          <w:lang w:val="en-US" w:eastAsia="zh-CN"/>
        </w:rPr>
        <w:br w:type="page"/>
      </w:r>
      <w:r>
        <w:rPr>
          <w:rFonts w:eastAsia="黑体"/>
        </w:rPr>
        <w:t>附表</w:t>
      </w:r>
      <w:r>
        <w:rPr>
          <w:rFonts w:hint="eastAsia" w:eastAsia="黑体"/>
        </w:rPr>
        <w:t>1</w:t>
      </w:r>
    </w:p>
    <w:p w14:paraId="40BC16F4">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719" w:type="dxa"/>
        <w:jc w:val="center"/>
        <w:tblLayout w:type="fixed"/>
        <w:tblCellMar>
          <w:top w:w="0" w:type="dxa"/>
          <w:left w:w="108" w:type="dxa"/>
          <w:bottom w:w="0" w:type="dxa"/>
          <w:right w:w="108" w:type="dxa"/>
        </w:tblCellMar>
      </w:tblPr>
      <w:tblGrid>
        <w:gridCol w:w="1077"/>
        <w:gridCol w:w="1179"/>
        <w:gridCol w:w="1895"/>
        <w:gridCol w:w="706"/>
        <w:gridCol w:w="4676"/>
        <w:gridCol w:w="717"/>
        <w:gridCol w:w="469"/>
      </w:tblGrid>
      <w:tr w14:paraId="3897A87A">
        <w:tblPrEx>
          <w:tblCellMar>
            <w:top w:w="0" w:type="dxa"/>
            <w:left w:w="108" w:type="dxa"/>
            <w:bottom w:w="0" w:type="dxa"/>
            <w:right w:w="108" w:type="dxa"/>
          </w:tblCellMar>
        </w:tblPrEx>
        <w:trPr>
          <w:trHeight w:val="250" w:hRule="atLeast"/>
          <w:jc w:val="center"/>
        </w:trPr>
        <w:tc>
          <w:tcPr>
            <w:tcW w:w="48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AEAD7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w:t>
            </w:r>
            <w:r>
              <w:rPr>
                <w:rFonts w:hint="eastAsia" w:ascii="黑体" w:hAnsi="宋体" w:eastAsia="黑体" w:cs="黑体"/>
                <w:color w:val="000000"/>
                <w:kern w:val="0"/>
                <w:sz w:val="24"/>
                <w:lang w:eastAsia="zh-CN"/>
              </w:rPr>
              <w:t>指标</w:t>
            </w:r>
            <w:r>
              <w:rPr>
                <w:rFonts w:hint="eastAsia" w:ascii="黑体" w:hAnsi="宋体" w:eastAsia="黑体" w:cs="黑体"/>
                <w:color w:val="000000"/>
                <w:kern w:val="0"/>
                <w:sz w:val="24"/>
              </w:rPr>
              <w:t>分值</w:t>
            </w:r>
          </w:p>
        </w:tc>
        <w:tc>
          <w:tcPr>
            <w:tcW w:w="4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3BF7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17" w:type="dxa"/>
            <w:vMerge w:val="restart"/>
            <w:tcBorders>
              <w:top w:val="single" w:color="000000" w:sz="4" w:space="0"/>
              <w:left w:val="single" w:color="000000" w:sz="4" w:space="0"/>
              <w:right w:val="single" w:color="000000" w:sz="4" w:space="0"/>
            </w:tcBorders>
            <w:shd w:val="clear" w:color="auto" w:fill="auto"/>
            <w:vAlign w:val="center"/>
          </w:tcPr>
          <w:p w14:paraId="79C503D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69" w:type="dxa"/>
            <w:vMerge w:val="restart"/>
            <w:tcBorders>
              <w:top w:val="single" w:color="000000" w:sz="4" w:space="0"/>
              <w:left w:val="single" w:color="000000" w:sz="4" w:space="0"/>
              <w:right w:val="single" w:color="000000" w:sz="4" w:space="0"/>
            </w:tcBorders>
            <w:shd w:val="clear" w:color="auto" w:fill="auto"/>
            <w:vAlign w:val="center"/>
          </w:tcPr>
          <w:p w14:paraId="1BBB7FF7">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019397E8">
        <w:tblPrEx>
          <w:tblCellMar>
            <w:top w:w="0" w:type="dxa"/>
            <w:left w:w="108" w:type="dxa"/>
            <w:bottom w:w="0" w:type="dxa"/>
            <w:right w:w="108" w:type="dxa"/>
          </w:tblCellMar>
        </w:tblPrEx>
        <w:trPr>
          <w:trHeight w:val="489" w:hRule="atLeast"/>
          <w:jc w:val="center"/>
        </w:trPr>
        <w:tc>
          <w:tcPr>
            <w:tcW w:w="1077" w:type="dxa"/>
            <w:tcBorders>
              <w:top w:val="single" w:color="000000" w:sz="4" w:space="0"/>
              <w:left w:val="single" w:color="000000" w:sz="4" w:space="0"/>
              <w:bottom w:val="single" w:color="000000" w:sz="4" w:space="0"/>
              <w:right w:val="nil"/>
            </w:tcBorders>
            <w:shd w:val="clear" w:color="auto" w:fill="auto"/>
            <w:vAlign w:val="center"/>
          </w:tcPr>
          <w:p w14:paraId="3C656F1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3C2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733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40C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2AE63">
            <w:pPr>
              <w:widowControl/>
              <w:spacing w:line="240" w:lineRule="exact"/>
              <w:jc w:val="center"/>
              <w:rPr>
                <w:rFonts w:ascii="黑体" w:hAnsi="宋体" w:eastAsia="黑体" w:cs="黑体"/>
                <w:color w:val="000000"/>
                <w:sz w:val="24"/>
              </w:rPr>
            </w:pPr>
          </w:p>
        </w:tc>
        <w:tc>
          <w:tcPr>
            <w:tcW w:w="717" w:type="dxa"/>
            <w:vMerge w:val="continue"/>
            <w:tcBorders>
              <w:left w:val="single" w:color="000000" w:sz="4" w:space="0"/>
              <w:bottom w:val="single" w:color="000000" w:sz="4" w:space="0"/>
              <w:right w:val="single" w:color="000000" w:sz="4" w:space="0"/>
            </w:tcBorders>
            <w:shd w:val="clear" w:color="auto" w:fill="auto"/>
            <w:vAlign w:val="center"/>
          </w:tcPr>
          <w:p w14:paraId="2AB5C2A6">
            <w:pPr>
              <w:widowControl/>
              <w:spacing w:line="240" w:lineRule="exact"/>
              <w:jc w:val="center"/>
              <w:rPr>
                <w:rFonts w:ascii="黑体" w:hAnsi="宋体" w:eastAsia="黑体" w:cs="黑体"/>
                <w:color w:val="000000"/>
                <w:sz w:val="24"/>
              </w:rPr>
            </w:pPr>
          </w:p>
        </w:tc>
        <w:tc>
          <w:tcPr>
            <w:tcW w:w="469" w:type="dxa"/>
            <w:vMerge w:val="continue"/>
            <w:tcBorders>
              <w:left w:val="single" w:color="000000" w:sz="4" w:space="0"/>
              <w:bottom w:val="single" w:color="000000" w:sz="4" w:space="0"/>
              <w:right w:val="single" w:color="000000" w:sz="4" w:space="0"/>
            </w:tcBorders>
            <w:shd w:val="clear" w:color="auto" w:fill="auto"/>
            <w:vAlign w:val="center"/>
          </w:tcPr>
          <w:p w14:paraId="3D141ADA">
            <w:pPr>
              <w:widowControl/>
              <w:spacing w:line="240" w:lineRule="exact"/>
              <w:jc w:val="center"/>
              <w:rPr>
                <w:rFonts w:ascii="黑体" w:hAnsi="宋体" w:eastAsia="黑体" w:cs="黑体"/>
                <w:color w:val="000000"/>
                <w:sz w:val="24"/>
              </w:rPr>
            </w:pPr>
          </w:p>
        </w:tc>
      </w:tr>
      <w:tr w14:paraId="34E613E1">
        <w:tblPrEx>
          <w:tblCellMar>
            <w:top w:w="0" w:type="dxa"/>
            <w:left w:w="108" w:type="dxa"/>
            <w:bottom w:w="0" w:type="dxa"/>
            <w:right w:w="108" w:type="dxa"/>
          </w:tblCellMar>
        </w:tblPrEx>
        <w:trPr>
          <w:trHeight w:val="240" w:hRule="atLeast"/>
          <w:jc w:val="center"/>
        </w:trPr>
        <w:tc>
          <w:tcPr>
            <w:tcW w:w="1077" w:type="dxa"/>
            <w:vMerge w:val="restart"/>
            <w:tcBorders>
              <w:top w:val="single" w:color="000000" w:sz="4" w:space="0"/>
              <w:left w:val="single" w:color="000000" w:sz="4" w:space="0"/>
              <w:right w:val="single" w:color="000000" w:sz="4" w:space="0"/>
            </w:tcBorders>
            <w:shd w:val="clear" w:color="auto" w:fill="auto"/>
            <w:vAlign w:val="center"/>
          </w:tcPr>
          <w:p w14:paraId="18F2B0C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78E8833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4919">
            <w:pPr>
              <w:keepNext w:val="0"/>
              <w:keepLines w:val="0"/>
              <w:widowControl/>
              <w:suppressLineNumbers w:val="0"/>
              <w:jc w:val="center"/>
              <w:textAlignment w:val="center"/>
              <w:rPr>
                <w:rFonts w:ascii="宋体" w:hAnsi="宋体" w:eastAsia="宋体" w:cs="宋体"/>
                <w:color w:val="000000"/>
                <w:sz w:val="24"/>
              </w:rPr>
            </w:pPr>
            <w:r>
              <w:rPr>
                <w:rFonts w:hint="eastAsia" w:ascii="宋体" w:hAnsi="宋体" w:eastAsia="宋体" w:cs="宋体"/>
                <w:i w:val="0"/>
                <w:iCs w:val="0"/>
                <w:color w:val="000000"/>
                <w:kern w:val="0"/>
                <w:sz w:val="24"/>
                <w:szCs w:val="24"/>
                <w:u w:val="none"/>
                <w:lang w:val="en-US" w:eastAsia="zh-CN" w:bidi="ar"/>
              </w:rPr>
              <w:t>切实保障民生支出，优化支出结构</w:t>
            </w:r>
          </w:p>
        </w:tc>
        <w:tc>
          <w:tcPr>
            <w:tcW w:w="706" w:type="dxa"/>
            <w:vMerge w:val="restart"/>
            <w:tcBorders>
              <w:top w:val="nil"/>
              <w:left w:val="single" w:color="000000" w:sz="4" w:space="0"/>
              <w:right w:val="single" w:color="000000" w:sz="4" w:space="0"/>
            </w:tcBorders>
            <w:shd w:val="clear" w:color="auto" w:fill="auto"/>
            <w:vAlign w:val="center"/>
          </w:tcPr>
          <w:p w14:paraId="5CB1A9A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676" w:type="dxa"/>
            <w:vMerge w:val="restart"/>
            <w:tcBorders>
              <w:top w:val="single" w:color="000000" w:sz="4" w:space="0"/>
              <w:left w:val="single" w:color="000000" w:sz="4" w:space="0"/>
              <w:right w:val="single" w:color="000000" w:sz="4" w:space="0"/>
            </w:tcBorders>
            <w:shd w:val="clear" w:color="auto" w:fill="auto"/>
            <w:vAlign w:val="center"/>
          </w:tcPr>
          <w:p w14:paraId="3366E95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5个核心职能目标，反映该项职能目标完成效果情况</w:t>
            </w:r>
          </w:p>
        </w:tc>
        <w:tc>
          <w:tcPr>
            <w:tcW w:w="717" w:type="dxa"/>
            <w:vMerge w:val="restart"/>
            <w:tcBorders>
              <w:top w:val="single" w:color="000000" w:sz="4" w:space="0"/>
              <w:left w:val="single" w:color="000000" w:sz="4" w:space="0"/>
              <w:right w:val="single" w:color="000000" w:sz="4" w:space="0"/>
            </w:tcBorders>
            <w:shd w:val="clear" w:color="auto" w:fill="auto"/>
            <w:vAlign w:val="center"/>
          </w:tcPr>
          <w:p w14:paraId="47ED049E">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69" w:type="dxa"/>
            <w:vMerge w:val="restart"/>
            <w:tcBorders>
              <w:top w:val="single" w:color="000000" w:sz="4" w:space="0"/>
              <w:left w:val="single" w:color="000000" w:sz="4" w:space="0"/>
              <w:right w:val="single" w:color="000000" w:sz="4" w:space="0"/>
            </w:tcBorders>
            <w:shd w:val="clear" w:color="auto" w:fill="auto"/>
            <w:vAlign w:val="center"/>
          </w:tcPr>
          <w:p w14:paraId="3FDE8C24">
            <w:pPr>
              <w:widowControl/>
              <w:spacing w:line="240" w:lineRule="exact"/>
              <w:jc w:val="left"/>
              <w:textAlignment w:val="center"/>
              <w:rPr>
                <w:rFonts w:ascii="宋体" w:hAnsi="宋体" w:eastAsia="宋体" w:cs="宋体"/>
                <w:color w:val="000000"/>
                <w:kern w:val="0"/>
                <w:sz w:val="24"/>
              </w:rPr>
            </w:pPr>
          </w:p>
        </w:tc>
      </w:tr>
      <w:tr w14:paraId="770ACC7F">
        <w:tblPrEx>
          <w:tblCellMar>
            <w:top w:w="0" w:type="dxa"/>
            <w:left w:w="108" w:type="dxa"/>
            <w:bottom w:w="0" w:type="dxa"/>
            <w:right w:w="108" w:type="dxa"/>
          </w:tblCellMar>
        </w:tblPrEx>
        <w:trPr>
          <w:trHeight w:val="240" w:hRule="atLeast"/>
          <w:jc w:val="center"/>
        </w:trPr>
        <w:tc>
          <w:tcPr>
            <w:tcW w:w="1077" w:type="dxa"/>
            <w:vMerge w:val="continue"/>
            <w:tcBorders>
              <w:left w:val="single" w:color="000000" w:sz="4" w:space="0"/>
              <w:right w:val="single" w:color="000000" w:sz="4" w:space="0"/>
            </w:tcBorders>
            <w:shd w:val="clear" w:color="auto" w:fill="auto"/>
            <w:vAlign w:val="center"/>
          </w:tcPr>
          <w:p w14:paraId="7D9962CA">
            <w:pPr>
              <w:widowControl/>
              <w:spacing w:line="240" w:lineRule="exact"/>
              <w:jc w:val="center"/>
              <w:textAlignment w:val="center"/>
            </w:pPr>
          </w:p>
        </w:tc>
        <w:tc>
          <w:tcPr>
            <w:tcW w:w="1179" w:type="dxa"/>
            <w:vMerge w:val="continue"/>
            <w:tcBorders>
              <w:left w:val="single" w:color="000000" w:sz="4" w:space="0"/>
              <w:right w:val="single" w:color="000000" w:sz="4" w:space="0"/>
            </w:tcBorders>
            <w:shd w:val="clear" w:color="auto" w:fill="auto"/>
            <w:vAlign w:val="center"/>
          </w:tcPr>
          <w:p w14:paraId="2053502F">
            <w:pPr>
              <w:widowControl/>
              <w:spacing w:line="240" w:lineRule="exact"/>
              <w:jc w:val="center"/>
              <w:textAlignment w:val="cente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648A">
            <w:pPr>
              <w:keepNext w:val="0"/>
              <w:keepLines w:val="0"/>
              <w:widowControl/>
              <w:suppressLineNumbers w:val="0"/>
              <w:jc w:val="center"/>
              <w:textAlignment w:val="center"/>
              <w:rPr>
                <w:rFonts w:hint="eastAsia"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着力打造阳光财政，转变工作作风</w:t>
            </w:r>
          </w:p>
        </w:tc>
        <w:tc>
          <w:tcPr>
            <w:tcW w:w="706" w:type="dxa"/>
            <w:vMerge w:val="continue"/>
            <w:tcBorders>
              <w:left w:val="single" w:color="000000" w:sz="4" w:space="0"/>
              <w:right w:val="single" w:color="000000" w:sz="4" w:space="0"/>
            </w:tcBorders>
            <w:shd w:val="clear" w:color="auto" w:fill="auto"/>
            <w:vAlign w:val="center"/>
          </w:tcPr>
          <w:p w14:paraId="27DF0FE0">
            <w:pPr>
              <w:widowControl/>
              <w:spacing w:line="240" w:lineRule="exact"/>
              <w:jc w:val="center"/>
              <w:textAlignment w:val="center"/>
              <w:rPr>
                <w:rFonts w:hint="eastAsia" w:ascii="宋体" w:hAnsi="宋体" w:eastAsia="宋体" w:cs="宋体"/>
                <w:color w:val="000000"/>
                <w:kern w:val="0"/>
                <w:sz w:val="24"/>
              </w:rPr>
            </w:pPr>
          </w:p>
        </w:tc>
        <w:tc>
          <w:tcPr>
            <w:tcW w:w="4676" w:type="dxa"/>
            <w:vMerge w:val="continue"/>
            <w:tcBorders>
              <w:left w:val="single" w:color="000000" w:sz="4" w:space="0"/>
              <w:right w:val="single" w:color="000000" w:sz="4" w:space="0"/>
            </w:tcBorders>
            <w:shd w:val="clear" w:color="auto" w:fill="auto"/>
            <w:vAlign w:val="center"/>
          </w:tcPr>
          <w:p w14:paraId="666529C2">
            <w:pPr>
              <w:widowControl/>
              <w:spacing w:line="240" w:lineRule="exact"/>
              <w:jc w:val="center"/>
              <w:textAlignment w:val="center"/>
              <w:rPr>
                <w:rFonts w:hint="eastAsia" w:ascii="宋体" w:hAnsi="宋体" w:eastAsia="宋体" w:cs="宋体"/>
                <w:color w:val="000000"/>
                <w:kern w:val="0"/>
                <w:sz w:val="24"/>
              </w:rPr>
            </w:pPr>
          </w:p>
        </w:tc>
        <w:tc>
          <w:tcPr>
            <w:tcW w:w="717" w:type="dxa"/>
            <w:vMerge w:val="continue"/>
            <w:tcBorders>
              <w:left w:val="single" w:color="000000" w:sz="4" w:space="0"/>
              <w:right w:val="single" w:color="000000" w:sz="4" w:space="0"/>
            </w:tcBorders>
            <w:shd w:val="clear" w:color="auto" w:fill="auto"/>
            <w:vAlign w:val="center"/>
          </w:tcPr>
          <w:p w14:paraId="401790A8">
            <w:pPr>
              <w:widowControl/>
              <w:spacing w:line="240" w:lineRule="exact"/>
              <w:jc w:val="center"/>
              <w:textAlignment w:val="center"/>
              <w:rPr>
                <w:rFonts w:hint="eastAsia" w:ascii="宋体" w:hAnsi="宋体" w:eastAsia="宋体" w:cs="宋体"/>
                <w:color w:val="000000"/>
                <w:kern w:val="0"/>
                <w:sz w:val="24"/>
              </w:rPr>
            </w:pPr>
          </w:p>
        </w:tc>
        <w:tc>
          <w:tcPr>
            <w:tcW w:w="469" w:type="dxa"/>
            <w:vMerge w:val="continue"/>
            <w:tcBorders>
              <w:left w:val="single" w:color="000000" w:sz="4" w:space="0"/>
              <w:right w:val="single" w:color="000000" w:sz="4" w:space="0"/>
            </w:tcBorders>
            <w:shd w:val="clear" w:color="auto" w:fill="auto"/>
            <w:vAlign w:val="center"/>
          </w:tcPr>
          <w:p w14:paraId="52B46E33">
            <w:pPr>
              <w:widowControl/>
              <w:spacing w:line="240" w:lineRule="exact"/>
              <w:jc w:val="center"/>
              <w:textAlignment w:val="center"/>
              <w:rPr>
                <w:rFonts w:hint="eastAsia" w:ascii="宋体" w:hAnsi="宋体" w:eastAsia="宋体" w:cs="宋体"/>
                <w:color w:val="000000"/>
                <w:kern w:val="0"/>
                <w:sz w:val="24"/>
              </w:rPr>
            </w:pPr>
          </w:p>
        </w:tc>
      </w:tr>
      <w:tr w14:paraId="649D22A0">
        <w:tblPrEx>
          <w:tblCellMar>
            <w:top w:w="0" w:type="dxa"/>
            <w:left w:w="108" w:type="dxa"/>
            <w:bottom w:w="0" w:type="dxa"/>
            <w:right w:w="108" w:type="dxa"/>
          </w:tblCellMar>
        </w:tblPrEx>
        <w:trPr>
          <w:trHeight w:val="240" w:hRule="atLeast"/>
          <w:jc w:val="center"/>
        </w:trPr>
        <w:tc>
          <w:tcPr>
            <w:tcW w:w="1077" w:type="dxa"/>
            <w:vMerge w:val="continue"/>
            <w:tcBorders>
              <w:left w:val="single" w:color="000000" w:sz="4" w:space="0"/>
              <w:right w:val="single" w:color="000000" w:sz="4" w:space="0"/>
            </w:tcBorders>
            <w:shd w:val="clear" w:color="auto" w:fill="auto"/>
            <w:vAlign w:val="center"/>
          </w:tcPr>
          <w:p w14:paraId="7C07D49D">
            <w:pPr>
              <w:widowControl/>
              <w:spacing w:line="240" w:lineRule="exact"/>
              <w:jc w:val="center"/>
              <w:textAlignment w:val="center"/>
              <w:rPr>
                <w:rFonts w:hint="eastAsia" w:ascii="宋体" w:hAnsi="宋体" w:eastAsia="宋体" w:cs="宋体"/>
                <w:color w:val="000000"/>
                <w:kern w:val="0"/>
                <w:sz w:val="24"/>
              </w:rPr>
            </w:pPr>
          </w:p>
        </w:tc>
        <w:tc>
          <w:tcPr>
            <w:tcW w:w="1179" w:type="dxa"/>
            <w:vMerge w:val="continue"/>
            <w:tcBorders>
              <w:left w:val="single" w:color="000000" w:sz="4" w:space="0"/>
              <w:bottom w:val="single" w:color="000000" w:sz="4" w:space="0"/>
              <w:right w:val="single" w:color="000000" w:sz="4" w:space="0"/>
            </w:tcBorders>
            <w:shd w:val="clear" w:color="auto" w:fill="auto"/>
            <w:vAlign w:val="center"/>
          </w:tcPr>
          <w:p w14:paraId="19429DDD">
            <w:pPr>
              <w:widowControl/>
              <w:spacing w:line="240" w:lineRule="exact"/>
              <w:jc w:val="center"/>
              <w:textAlignment w:val="center"/>
              <w:rPr>
                <w:rFonts w:hint="eastAsia" w:ascii="宋体" w:hAnsi="宋体" w:eastAsia="宋体" w:cs="宋体"/>
                <w:color w:val="000000"/>
                <w:kern w:val="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D8E1">
            <w:pPr>
              <w:keepNext w:val="0"/>
              <w:keepLines w:val="0"/>
              <w:widowControl/>
              <w:suppressLineNumbers w:val="0"/>
              <w:jc w:val="center"/>
              <w:textAlignment w:val="center"/>
              <w:rPr>
                <w:rFonts w:hint="eastAsia"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全力抓好财务保障，提高管理水平</w:t>
            </w:r>
          </w:p>
        </w:tc>
        <w:tc>
          <w:tcPr>
            <w:tcW w:w="706" w:type="dxa"/>
            <w:vMerge w:val="continue"/>
            <w:tcBorders>
              <w:left w:val="single" w:color="000000" w:sz="4" w:space="0"/>
              <w:bottom w:val="single" w:color="000000" w:sz="4" w:space="0"/>
              <w:right w:val="single" w:color="000000" w:sz="4" w:space="0"/>
            </w:tcBorders>
            <w:shd w:val="clear" w:color="auto" w:fill="auto"/>
            <w:vAlign w:val="center"/>
          </w:tcPr>
          <w:p w14:paraId="110F1FBA">
            <w:pPr>
              <w:widowControl/>
              <w:spacing w:line="240" w:lineRule="exact"/>
              <w:jc w:val="center"/>
              <w:textAlignment w:val="center"/>
              <w:rPr>
                <w:rFonts w:hint="eastAsia" w:ascii="宋体" w:hAnsi="宋体" w:eastAsia="宋体" w:cs="宋体"/>
                <w:color w:val="000000"/>
                <w:kern w:val="0"/>
                <w:sz w:val="24"/>
              </w:rPr>
            </w:pPr>
          </w:p>
        </w:tc>
        <w:tc>
          <w:tcPr>
            <w:tcW w:w="4676" w:type="dxa"/>
            <w:vMerge w:val="continue"/>
            <w:tcBorders>
              <w:left w:val="single" w:color="000000" w:sz="4" w:space="0"/>
              <w:bottom w:val="single" w:color="000000" w:sz="4" w:space="0"/>
              <w:right w:val="single" w:color="000000" w:sz="4" w:space="0"/>
            </w:tcBorders>
            <w:shd w:val="clear" w:color="auto" w:fill="auto"/>
            <w:vAlign w:val="center"/>
          </w:tcPr>
          <w:p w14:paraId="21F29E37">
            <w:pPr>
              <w:widowControl/>
              <w:spacing w:line="240" w:lineRule="exact"/>
              <w:jc w:val="center"/>
              <w:textAlignment w:val="center"/>
              <w:rPr>
                <w:rFonts w:hint="eastAsia" w:ascii="宋体" w:hAnsi="宋体" w:eastAsia="宋体" w:cs="宋体"/>
                <w:color w:val="000000"/>
                <w:kern w:val="0"/>
                <w:sz w:val="24"/>
              </w:rPr>
            </w:pPr>
          </w:p>
        </w:tc>
        <w:tc>
          <w:tcPr>
            <w:tcW w:w="717" w:type="dxa"/>
            <w:vMerge w:val="continue"/>
            <w:tcBorders>
              <w:left w:val="single" w:color="000000" w:sz="4" w:space="0"/>
              <w:bottom w:val="single" w:color="000000" w:sz="4" w:space="0"/>
              <w:right w:val="single" w:color="000000" w:sz="4" w:space="0"/>
            </w:tcBorders>
            <w:shd w:val="clear" w:color="auto" w:fill="auto"/>
            <w:vAlign w:val="center"/>
          </w:tcPr>
          <w:p w14:paraId="1D249DFC">
            <w:pPr>
              <w:widowControl/>
              <w:spacing w:line="240" w:lineRule="exact"/>
              <w:jc w:val="center"/>
              <w:textAlignment w:val="center"/>
              <w:rPr>
                <w:rFonts w:hint="eastAsia" w:ascii="宋体" w:hAnsi="宋体" w:eastAsia="宋体" w:cs="宋体"/>
                <w:color w:val="000000"/>
                <w:kern w:val="0"/>
                <w:sz w:val="24"/>
              </w:rPr>
            </w:pPr>
          </w:p>
        </w:tc>
        <w:tc>
          <w:tcPr>
            <w:tcW w:w="469" w:type="dxa"/>
            <w:vMerge w:val="continue"/>
            <w:tcBorders>
              <w:left w:val="single" w:color="000000" w:sz="4" w:space="0"/>
              <w:bottom w:val="single" w:color="000000" w:sz="4" w:space="0"/>
              <w:right w:val="single" w:color="000000" w:sz="4" w:space="0"/>
            </w:tcBorders>
            <w:shd w:val="clear" w:color="auto" w:fill="auto"/>
            <w:vAlign w:val="center"/>
          </w:tcPr>
          <w:p w14:paraId="3373EF11">
            <w:pPr>
              <w:widowControl/>
              <w:spacing w:line="240" w:lineRule="exact"/>
              <w:jc w:val="center"/>
              <w:textAlignment w:val="center"/>
              <w:rPr>
                <w:rFonts w:hint="eastAsia" w:ascii="宋体" w:hAnsi="宋体" w:eastAsia="宋体" w:cs="宋体"/>
                <w:color w:val="000000"/>
                <w:kern w:val="0"/>
                <w:sz w:val="24"/>
              </w:rPr>
            </w:pPr>
          </w:p>
        </w:tc>
      </w:tr>
      <w:tr w14:paraId="2E1B5259">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01A097A3">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21CAA44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6B5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EC9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192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DA4F">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3.37</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4C01">
            <w:pPr>
              <w:widowControl/>
              <w:spacing w:line="240" w:lineRule="exact"/>
              <w:jc w:val="left"/>
              <w:textAlignment w:val="center"/>
              <w:rPr>
                <w:rFonts w:ascii="宋体" w:hAnsi="宋体" w:eastAsia="宋体" w:cs="宋体"/>
                <w:color w:val="000000"/>
                <w:kern w:val="0"/>
                <w:sz w:val="24"/>
              </w:rPr>
            </w:pPr>
          </w:p>
        </w:tc>
      </w:tr>
      <w:tr w14:paraId="70FF30B5">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1E3F5356">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3F22C498">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D34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7ED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BA3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8DFC">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2704">
            <w:pPr>
              <w:widowControl/>
              <w:spacing w:line="240" w:lineRule="exact"/>
              <w:jc w:val="left"/>
              <w:textAlignment w:val="center"/>
              <w:rPr>
                <w:rFonts w:ascii="宋体" w:hAnsi="宋体" w:eastAsia="宋体" w:cs="宋体"/>
                <w:color w:val="000000"/>
                <w:kern w:val="0"/>
                <w:sz w:val="24"/>
              </w:rPr>
            </w:pPr>
          </w:p>
        </w:tc>
      </w:tr>
      <w:tr w14:paraId="0238E8C5">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4FC2730C">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735B50B6">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6D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50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87B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1AEF">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5.98</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BD87">
            <w:pPr>
              <w:widowControl/>
              <w:spacing w:line="240" w:lineRule="exact"/>
              <w:jc w:val="left"/>
              <w:textAlignment w:val="center"/>
              <w:rPr>
                <w:rFonts w:ascii="宋体" w:hAnsi="宋体" w:eastAsia="宋体" w:cs="宋体"/>
                <w:color w:val="000000"/>
                <w:kern w:val="0"/>
                <w:sz w:val="24"/>
              </w:rPr>
            </w:pPr>
          </w:p>
        </w:tc>
      </w:tr>
      <w:tr w14:paraId="22E76CC9">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3C590ABD">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46DABA2B">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FB1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399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F83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4D5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FFEC">
            <w:pPr>
              <w:widowControl/>
              <w:spacing w:line="240" w:lineRule="exact"/>
              <w:jc w:val="left"/>
              <w:textAlignment w:val="center"/>
              <w:rPr>
                <w:rFonts w:ascii="宋体" w:hAnsi="宋体" w:eastAsia="宋体" w:cs="宋体"/>
                <w:color w:val="000000"/>
                <w:kern w:val="0"/>
                <w:sz w:val="24"/>
              </w:rPr>
            </w:pPr>
          </w:p>
        </w:tc>
      </w:tr>
      <w:tr w14:paraId="37CD85F2">
        <w:tblPrEx>
          <w:tblCellMar>
            <w:top w:w="0" w:type="dxa"/>
            <w:left w:w="108" w:type="dxa"/>
            <w:bottom w:w="0" w:type="dxa"/>
            <w:right w:w="108" w:type="dxa"/>
          </w:tblCellMar>
        </w:tblPrEx>
        <w:trPr>
          <w:trHeight w:val="967" w:hRule="atLeast"/>
          <w:jc w:val="center"/>
        </w:trPr>
        <w:tc>
          <w:tcPr>
            <w:tcW w:w="1077" w:type="dxa"/>
            <w:vMerge w:val="continue"/>
            <w:tcBorders>
              <w:left w:val="single" w:color="000000" w:sz="4" w:space="0"/>
              <w:right w:val="single" w:color="000000" w:sz="4" w:space="0"/>
            </w:tcBorders>
            <w:shd w:val="clear" w:color="auto" w:fill="auto"/>
            <w:vAlign w:val="center"/>
          </w:tcPr>
          <w:p w14:paraId="5E9CB14B">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7146952F">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A30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68B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808D">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w:t>
            </w:r>
            <w:r>
              <w:rPr>
                <w:rFonts w:hint="eastAsia" w:ascii="宋体" w:hAnsi="宋体" w:eastAsia="宋体" w:cs="宋体"/>
                <w:color w:val="000000"/>
                <w:kern w:val="0"/>
                <w:sz w:val="24"/>
                <w:lang w:eastAsia="zh-CN"/>
              </w:rPr>
              <w:t>制等</w:t>
            </w:r>
            <w:r>
              <w:rPr>
                <w:rFonts w:hint="eastAsia" w:ascii="宋体" w:hAnsi="宋体" w:eastAsia="宋体" w:cs="宋体"/>
                <w:color w:val="000000"/>
                <w:kern w:val="0"/>
                <w:sz w:val="24"/>
              </w:rPr>
              <w:t>一般性支出情况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3F0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DE71">
            <w:pPr>
              <w:widowControl/>
              <w:spacing w:line="240" w:lineRule="exact"/>
              <w:jc w:val="left"/>
              <w:textAlignment w:val="center"/>
              <w:rPr>
                <w:rFonts w:ascii="宋体" w:hAnsi="宋体" w:eastAsia="宋体" w:cs="宋体"/>
                <w:color w:val="000000"/>
                <w:kern w:val="0"/>
                <w:sz w:val="24"/>
              </w:rPr>
            </w:pPr>
          </w:p>
        </w:tc>
      </w:tr>
      <w:tr w14:paraId="41066D0B">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775F2E39">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1B2B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DFB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74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21A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6506">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A976">
            <w:pPr>
              <w:widowControl/>
              <w:spacing w:line="240" w:lineRule="exact"/>
              <w:jc w:val="left"/>
              <w:textAlignment w:val="center"/>
              <w:rPr>
                <w:rFonts w:ascii="宋体" w:hAnsi="宋体" w:eastAsia="宋体" w:cs="宋体"/>
                <w:color w:val="000000"/>
                <w:kern w:val="0"/>
                <w:sz w:val="24"/>
              </w:rPr>
            </w:pPr>
          </w:p>
        </w:tc>
      </w:tr>
      <w:tr w14:paraId="13344E06">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099E5AAF">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759E6">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BAC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0DD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207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CAC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3E5B">
            <w:pPr>
              <w:widowControl/>
              <w:spacing w:line="240" w:lineRule="exact"/>
              <w:jc w:val="left"/>
              <w:textAlignment w:val="center"/>
              <w:rPr>
                <w:rFonts w:ascii="宋体" w:hAnsi="宋体" w:eastAsia="宋体" w:cs="宋体"/>
                <w:color w:val="000000"/>
                <w:kern w:val="0"/>
                <w:sz w:val="24"/>
              </w:rPr>
            </w:pPr>
          </w:p>
        </w:tc>
      </w:tr>
      <w:tr w14:paraId="658440D7">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1945892D">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0F4BC">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9F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027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F58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DC34">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2D2A">
            <w:pPr>
              <w:widowControl/>
              <w:spacing w:line="240" w:lineRule="exact"/>
              <w:jc w:val="left"/>
              <w:textAlignment w:val="center"/>
              <w:rPr>
                <w:rFonts w:ascii="宋体" w:hAnsi="宋体" w:eastAsia="宋体" w:cs="宋体"/>
                <w:color w:val="000000"/>
                <w:kern w:val="0"/>
                <w:sz w:val="24"/>
              </w:rPr>
            </w:pPr>
          </w:p>
        </w:tc>
      </w:tr>
      <w:tr w14:paraId="18CCA006">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22E1F506">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CDEDD">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8ED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F44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0D1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CD27">
            <w:pPr>
              <w:jc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0540">
            <w:pPr>
              <w:widowControl/>
              <w:spacing w:line="240" w:lineRule="exact"/>
              <w:jc w:val="left"/>
              <w:textAlignment w:val="center"/>
              <w:rPr>
                <w:rFonts w:ascii="宋体" w:hAnsi="宋体" w:eastAsia="宋体" w:cs="宋体"/>
                <w:color w:val="000000"/>
                <w:kern w:val="0"/>
                <w:sz w:val="24"/>
              </w:rPr>
            </w:pPr>
          </w:p>
        </w:tc>
      </w:tr>
      <w:tr w14:paraId="45F4A9A6">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3721ACCC">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55DCA">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A24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84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6B7F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A9FA">
            <w:pPr>
              <w:jc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0BF1">
            <w:pPr>
              <w:widowControl/>
              <w:spacing w:line="240" w:lineRule="exact"/>
              <w:jc w:val="left"/>
              <w:textAlignment w:val="center"/>
              <w:rPr>
                <w:rFonts w:ascii="宋体" w:hAnsi="宋体" w:eastAsia="宋体" w:cs="宋体"/>
                <w:color w:val="000000"/>
                <w:kern w:val="0"/>
                <w:sz w:val="24"/>
              </w:rPr>
            </w:pPr>
          </w:p>
        </w:tc>
      </w:tr>
      <w:tr w14:paraId="015E5333">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2D085AA6">
            <w:pPr>
              <w:widowControl/>
              <w:spacing w:line="240" w:lineRule="exact"/>
              <w:jc w:val="center"/>
              <w:textAlignment w:val="center"/>
              <w:rPr>
                <w:rFonts w:ascii="宋体" w:hAnsi="宋体" w:eastAsia="宋体" w:cs="宋体"/>
                <w:b/>
                <w:color w:val="000000"/>
                <w:sz w:val="24"/>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5A4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228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3B5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C1C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87AA">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FE6C3">
            <w:pPr>
              <w:widowControl/>
              <w:spacing w:line="240" w:lineRule="exact"/>
              <w:jc w:val="left"/>
              <w:textAlignment w:val="center"/>
              <w:rPr>
                <w:rFonts w:ascii="宋体" w:hAnsi="宋体" w:eastAsia="宋体" w:cs="宋体"/>
                <w:color w:val="000000"/>
                <w:kern w:val="0"/>
                <w:sz w:val="24"/>
              </w:rPr>
            </w:pPr>
          </w:p>
        </w:tc>
      </w:tr>
      <w:tr w14:paraId="7BCDB235">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2ED9CBF6">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6C8C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E52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618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9E4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71F7">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E195">
            <w:pPr>
              <w:widowControl/>
              <w:spacing w:line="240" w:lineRule="exact"/>
              <w:jc w:val="left"/>
              <w:textAlignment w:val="center"/>
              <w:rPr>
                <w:rFonts w:ascii="宋体" w:hAnsi="宋体" w:eastAsia="宋体" w:cs="宋体"/>
                <w:color w:val="000000"/>
                <w:kern w:val="0"/>
                <w:sz w:val="24"/>
              </w:rPr>
            </w:pPr>
          </w:p>
        </w:tc>
      </w:tr>
      <w:tr w14:paraId="1758BE04">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bottom w:val="single" w:color="000000" w:sz="4" w:space="0"/>
              <w:right w:val="single" w:color="000000" w:sz="4" w:space="0"/>
            </w:tcBorders>
            <w:shd w:val="clear" w:color="auto" w:fill="auto"/>
            <w:vAlign w:val="center"/>
          </w:tcPr>
          <w:p w14:paraId="583CA8DB">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9CB36">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6A2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D3A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511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C258">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33B3">
            <w:pPr>
              <w:widowControl/>
              <w:spacing w:line="240" w:lineRule="exact"/>
              <w:jc w:val="left"/>
              <w:textAlignment w:val="center"/>
              <w:rPr>
                <w:rFonts w:ascii="宋体" w:hAnsi="宋体" w:eastAsia="宋体" w:cs="宋体"/>
                <w:color w:val="000000"/>
                <w:kern w:val="0"/>
                <w:sz w:val="24"/>
              </w:rPr>
            </w:pPr>
          </w:p>
        </w:tc>
      </w:tr>
      <w:tr w14:paraId="34D822DA">
        <w:tblPrEx>
          <w:tblCellMar>
            <w:top w:w="0" w:type="dxa"/>
            <w:left w:w="108" w:type="dxa"/>
            <w:bottom w:w="0" w:type="dxa"/>
            <w:right w:w="108" w:type="dxa"/>
          </w:tblCellMar>
        </w:tblPrEx>
        <w:trPr>
          <w:trHeight w:val="489" w:hRule="atLeast"/>
          <w:jc w:val="center"/>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4FA3D">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179" w:type="dxa"/>
            <w:vMerge w:val="restart"/>
            <w:tcBorders>
              <w:top w:val="single" w:color="000000" w:sz="4" w:space="0"/>
              <w:left w:val="single" w:color="000000" w:sz="4" w:space="0"/>
              <w:bottom w:val="nil"/>
              <w:right w:val="single" w:color="000000" w:sz="4" w:space="0"/>
            </w:tcBorders>
            <w:shd w:val="clear" w:color="auto" w:fill="auto"/>
            <w:vAlign w:val="center"/>
          </w:tcPr>
          <w:p w14:paraId="663862C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811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71D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DC9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4D22">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2690">
            <w:pPr>
              <w:widowControl/>
              <w:spacing w:line="240" w:lineRule="exact"/>
              <w:jc w:val="left"/>
              <w:textAlignment w:val="center"/>
              <w:rPr>
                <w:rFonts w:ascii="宋体" w:hAnsi="宋体" w:eastAsia="宋体" w:cs="宋体"/>
                <w:color w:val="000000"/>
                <w:kern w:val="0"/>
                <w:sz w:val="24"/>
              </w:rPr>
            </w:pPr>
          </w:p>
        </w:tc>
      </w:tr>
      <w:tr w14:paraId="1C45ABD5">
        <w:tblPrEx>
          <w:tblCellMar>
            <w:top w:w="0" w:type="dxa"/>
            <w:left w:w="108" w:type="dxa"/>
            <w:bottom w:w="0" w:type="dxa"/>
            <w:right w:w="108" w:type="dxa"/>
          </w:tblCellMar>
        </w:tblPrEx>
        <w:trPr>
          <w:trHeight w:val="967"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1D4AD">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49A5E8DE">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318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239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9FB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42E2">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1409">
            <w:pPr>
              <w:widowControl/>
              <w:spacing w:line="240" w:lineRule="exact"/>
              <w:jc w:val="left"/>
              <w:textAlignment w:val="center"/>
              <w:rPr>
                <w:rFonts w:ascii="宋体" w:hAnsi="宋体" w:eastAsia="宋体" w:cs="宋体"/>
                <w:color w:val="000000"/>
                <w:kern w:val="0"/>
                <w:sz w:val="24"/>
              </w:rPr>
            </w:pPr>
          </w:p>
        </w:tc>
      </w:tr>
      <w:tr w14:paraId="69BD3657">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1470">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3BE15AF2">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73A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B61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C9D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w:t>
            </w:r>
            <w:r>
              <w:rPr>
                <w:rFonts w:hint="eastAsia" w:ascii="宋体" w:hAnsi="宋体" w:eastAsia="宋体" w:cs="宋体"/>
                <w:color w:val="000000"/>
                <w:kern w:val="0"/>
                <w:sz w:val="24"/>
                <w:lang w:eastAsia="zh-CN"/>
              </w:rPr>
              <w:t>间内</w:t>
            </w:r>
            <w:r>
              <w:rPr>
                <w:rFonts w:hint="eastAsia" w:ascii="宋体" w:hAnsi="宋体" w:eastAsia="宋体" w:cs="宋体"/>
                <w:color w:val="000000"/>
                <w:kern w:val="0"/>
                <w:sz w:val="24"/>
              </w:rPr>
              <w:t>完成项目入库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6BA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8AD4">
            <w:pPr>
              <w:widowControl/>
              <w:spacing w:line="240" w:lineRule="exact"/>
              <w:jc w:val="left"/>
              <w:textAlignment w:val="center"/>
              <w:rPr>
                <w:rFonts w:ascii="宋体" w:hAnsi="宋体" w:eastAsia="宋体" w:cs="宋体"/>
                <w:color w:val="000000"/>
                <w:kern w:val="0"/>
                <w:sz w:val="24"/>
              </w:rPr>
            </w:pPr>
          </w:p>
        </w:tc>
      </w:tr>
      <w:tr w14:paraId="221BCB26">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82748">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nil"/>
              <w:right w:val="single" w:color="000000" w:sz="4" w:space="0"/>
            </w:tcBorders>
            <w:shd w:val="clear" w:color="auto" w:fill="auto"/>
            <w:vAlign w:val="center"/>
          </w:tcPr>
          <w:p w14:paraId="7B774A8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BFD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162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440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2C1D">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C105">
            <w:pPr>
              <w:widowControl/>
              <w:spacing w:line="240" w:lineRule="exact"/>
              <w:jc w:val="left"/>
              <w:textAlignment w:val="center"/>
              <w:rPr>
                <w:rFonts w:ascii="宋体" w:hAnsi="宋体" w:eastAsia="宋体" w:cs="宋体"/>
                <w:color w:val="000000"/>
                <w:kern w:val="0"/>
                <w:sz w:val="24"/>
              </w:rPr>
            </w:pPr>
          </w:p>
        </w:tc>
      </w:tr>
      <w:tr w14:paraId="5FE1C2E6">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F2AC">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4168A4BD">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nil"/>
              <w:right w:val="single" w:color="000000" w:sz="4" w:space="0"/>
            </w:tcBorders>
            <w:shd w:val="clear" w:color="auto" w:fill="auto"/>
            <w:vAlign w:val="center"/>
          </w:tcPr>
          <w:p w14:paraId="4C492AD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36C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4DF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3762">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6D9E">
            <w:pPr>
              <w:widowControl/>
              <w:spacing w:line="240" w:lineRule="exact"/>
              <w:jc w:val="left"/>
              <w:textAlignment w:val="center"/>
              <w:rPr>
                <w:rFonts w:ascii="宋体" w:hAnsi="宋体" w:eastAsia="宋体" w:cs="宋体"/>
                <w:color w:val="000000"/>
                <w:kern w:val="0"/>
                <w:sz w:val="24"/>
              </w:rPr>
            </w:pPr>
          </w:p>
        </w:tc>
      </w:tr>
      <w:tr w14:paraId="7E198D47">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7E2F">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6BDF3E78">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300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4A8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455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9A5F">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3.75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4D6B">
            <w:pPr>
              <w:widowControl/>
              <w:spacing w:line="240" w:lineRule="exact"/>
              <w:jc w:val="left"/>
              <w:textAlignment w:val="center"/>
              <w:rPr>
                <w:rFonts w:ascii="宋体" w:hAnsi="宋体" w:eastAsia="宋体" w:cs="宋体"/>
                <w:color w:val="000000"/>
                <w:kern w:val="0"/>
                <w:sz w:val="24"/>
              </w:rPr>
            </w:pPr>
          </w:p>
        </w:tc>
      </w:tr>
      <w:tr w14:paraId="35D681B1">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0649B">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4142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EFC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EF5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B80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86CD">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5D91">
            <w:pPr>
              <w:widowControl/>
              <w:spacing w:line="240" w:lineRule="exact"/>
              <w:jc w:val="left"/>
              <w:textAlignment w:val="center"/>
              <w:rPr>
                <w:rFonts w:ascii="宋体" w:hAnsi="宋体" w:eastAsia="宋体" w:cs="宋体"/>
                <w:color w:val="000000"/>
                <w:kern w:val="0"/>
                <w:sz w:val="24"/>
              </w:rPr>
            </w:pPr>
          </w:p>
        </w:tc>
      </w:tr>
      <w:tr w14:paraId="3699DF51">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92BC">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A5BBD">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757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283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498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9E88">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50C9">
            <w:pPr>
              <w:widowControl/>
              <w:spacing w:line="240" w:lineRule="exact"/>
              <w:jc w:val="left"/>
              <w:textAlignment w:val="center"/>
              <w:rPr>
                <w:rFonts w:ascii="宋体" w:hAnsi="宋体" w:eastAsia="宋体" w:cs="宋体"/>
                <w:color w:val="000000"/>
                <w:kern w:val="0"/>
                <w:sz w:val="24"/>
              </w:rPr>
            </w:pPr>
          </w:p>
        </w:tc>
      </w:tr>
      <w:tr w14:paraId="02FC9258">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4F248">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7F83">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5EF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78D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1F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7AFC">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B376">
            <w:pPr>
              <w:widowControl/>
              <w:spacing w:line="240" w:lineRule="exact"/>
              <w:jc w:val="left"/>
              <w:textAlignment w:val="center"/>
              <w:rPr>
                <w:rFonts w:ascii="宋体" w:hAnsi="宋体" w:eastAsia="宋体" w:cs="宋体"/>
                <w:color w:val="000000"/>
                <w:kern w:val="0"/>
                <w:sz w:val="24"/>
              </w:rPr>
            </w:pPr>
          </w:p>
        </w:tc>
      </w:tr>
      <w:tr w14:paraId="787D1B2B">
        <w:tblPrEx>
          <w:tblCellMar>
            <w:top w:w="0" w:type="dxa"/>
            <w:left w:w="108" w:type="dxa"/>
            <w:bottom w:w="0" w:type="dxa"/>
            <w:right w:w="108" w:type="dxa"/>
          </w:tblCellMar>
        </w:tblPrEx>
        <w:trPr>
          <w:trHeight w:val="499"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621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A553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8F9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80B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F1C8">
            <w:pPr>
              <w:widowControl/>
              <w:spacing w:line="240" w:lineRule="exact"/>
              <w:jc w:val="left"/>
              <w:textAlignment w:val="center"/>
              <w:rPr>
                <w:rFonts w:ascii="宋体" w:hAnsi="宋体" w:eastAsia="宋体" w:cs="宋体"/>
                <w:color w:val="000000"/>
                <w:kern w:val="0"/>
                <w:sz w:val="24"/>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3914">
            <w:pPr>
              <w:widowControl/>
              <w:spacing w:line="240" w:lineRule="exact"/>
              <w:jc w:val="left"/>
              <w:textAlignment w:val="center"/>
              <w:rPr>
                <w:rFonts w:ascii="宋体" w:hAnsi="宋体" w:eastAsia="宋体" w:cs="宋体"/>
                <w:color w:val="000000"/>
                <w:kern w:val="0"/>
                <w:sz w:val="24"/>
              </w:rPr>
            </w:pPr>
          </w:p>
        </w:tc>
      </w:tr>
    </w:tbl>
    <w:p w14:paraId="62B7F556">
      <w:pPr>
        <w:pStyle w:val="22"/>
        <w:spacing w:line="20" w:lineRule="exact"/>
      </w:pPr>
    </w:p>
    <w:p w14:paraId="508C552F">
      <w:pPr>
        <w:spacing w:line="20" w:lineRule="exact"/>
        <w:rPr>
          <w:rFonts w:eastAsia="黑体"/>
        </w:rPr>
      </w:pPr>
      <w:r>
        <w:rPr>
          <w:rFonts w:eastAsia="黑体"/>
        </w:rPr>
        <w:br w:type="page"/>
      </w:r>
    </w:p>
    <w:p w14:paraId="367AC5E9">
      <w:pPr>
        <w:spacing w:line="578" w:lineRule="exact"/>
        <w:jc w:val="left"/>
        <w:rPr>
          <w:rFonts w:eastAsia="黑体"/>
        </w:rPr>
      </w:pPr>
      <w:r>
        <w:rPr>
          <w:rFonts w:eastAsia="黑体"/>
        </w:rPr>
        <w:t>附表</w:t>
      </w:r>
      <w:r>
        <w:rPr>
          <w:rFonts w:hint="eastAsia" w:eastAsia="黑体"/>
        </w:rPr>
        <w:t>2</w:t>
      </w:r>
    </w:p>
    <w:p w14:paraId="2FAA8622">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2AA8D52">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0E1E6BA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122F8F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w:t>
            </w:r>
            <w:r>
              <w:rPr>
                <w:rFonts w:hint="eastAsia" w:ascii="宋体" w:hAnsi="宋体" w:eastAsia="宋体" w:cs="宋体"/>
                <w:color w:val="000000"/>
                <w:kern w:val="0"/>
                <w:sz w:val="24"/>
              </w:rPr>
              <w:t>财政局部门</w:t>
            </w:r>
          </w:p>
        </w:tc>
      </w:tr>
      <w:tr w14:paraId="411D3C02">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DE18C1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2975087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38F8116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E3FBE5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15C11324">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600D16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2616928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3D6BBC2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7348757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6F45F6DA">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590830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0A6FF31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785EE84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6F79EA2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5913C415">
        <w:tblPrEx>
          <w:tblCellMar>
            <w:top w:w="0" w:type="dxa"/>
            <w:left w:w="108" w:type="dxa"/>
            <w:bottom w:w="0" w:type="dxa"/>
            <w:right w:w="108" w:type="dxa"/>
          </w:tblCellMar>
        </w:tblPrEx>
        <w:trPr>
          <w:trHeight w:val="601"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61CA466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7DCC37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积极组织收入，完成收入目标；保证民生顺利支出，促进社会事业稳定发展；加强队伍建设，确保各项安全。</w:t>
            </w:r>
          </w:p>
        </w:tc>
      </w:tr>
      <w:tr w14:paraId="32E66DAC">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09F8E9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A32823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1B26A7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0DDC69E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95D9B0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BC506F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05AA164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0984EAC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04A7EFD">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F0BA8B4">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530CFC9">
            <w:pPr>
              <w:widowControl/>
              <w:spacing w:line="240" w:lineRule="exact"/>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54D016E8">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5859393">
            <w:pPr>
              <w:widowControl/>
              <w:spacing w:line="240" w:lineRule="exact"/>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407409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3CA995C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B21D82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F97849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20DA4F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2025年</w:t>
            </w:r>
          </w:p>
        </w:tc>
        <w:tc>
          <w:tcPr>
            <w:tcW w:w="1931" w:type="dxa"/>
            <w:vMerge w:val="continue"/>
            <w:tcBorders>
              <w:left w:val="single" w:color="000000" w:sz="4" w:space="0"/>
              <w:right w:val="single" w:color="000000" w:sz="4" w:space="0"/>
            </w:tcBorders>
            <w:noWrap/>
            <w:vAlign w:val="center"/>
          </w:tcPr>
          <w:p w14:paraId="520159DC">
            <w:pPr>
              <w:widowControl/>
              <w:spacing w:line="240" w:lineRule="exact"/>
              <w:jc w:val="center"/>
              <w:textAlignment w:val="center"/>
              <w:rPr>
                <w:rFonts w:hint="eastAsia" w:ascii="宋体" w:hAnsi="宋体" w:eastAsia="宋体" w:cs="宋体"/>
                <w:color w:val="000000"/>
                <w:kern w:val="0"/>
                <w:sz w:val="24"/>
              </w:rPr>
            </w:pPr>
          </w:p>
        </w:tc>
      </w:tr>
      <w:tr w14:paraId="17C296A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4FA158D">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63E248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B14EF2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9FF93D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2B45D1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76DA0B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11A176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83.89%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46C1A6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43.25%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E66FC0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20.34%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92CFE0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p>
        </w:tc>
      </w:tr>
      <w:tr w14:paraId="1A2DD70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0B05E7">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8630DF">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2DB088">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76E138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1E0D7D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C25D1C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5D30B3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D2CAD1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65E807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6E4C51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4624694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DD12CC">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33B92F">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8F19F6E">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C02008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B3C5C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D40946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42D244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A5AC9D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EA708E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300014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46FB9B9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E3B9147">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D9B89C">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1DF67C1">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64EE3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A5FADC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227.1万元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62BB226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70478E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227.1万元</w:t>
            </w:r>
          </w:p>
        </w:tc>
      </w:tr>
      <w:tr w14:paraId="3F4CE5B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1A5E637">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CFD19F9">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BC6F33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397184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977D5C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002DFCB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7DF4BB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6E1EC6F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D1B1F26">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A7AC2FD">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DF6DF3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421CE1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2FBEBA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6B28F6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E0870B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585BE0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6DE9A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E5BE021">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5770F96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5E04ED0">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C0D1D94">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F6CD63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AB6AA5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04F595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102%</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A4CA54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E11E22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00490B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101.13%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8CA981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2CB8C4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06ADAAA">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2C1AE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auto" w:sz="4" w:space="0"/>
              <w:right w:val="single" w:color="000000" w:sz="4" w:space="0"/>
            </w:tcBorders>
            <w:noWrap/>
            <w:vAlign w:val="center"/>
          </w:tcPr>
          <w:p w14:paraId="6250235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auto" w:sz="4" w:space="0"/>
              <w:right w:val="single" w:color="000000" w:sz="4" w:space="0"/>
            </w:tcBorders>
            <w:noWrap/>
            <w:vAlign w:val="center"/>
          </w:tcPr>
          <w:p w14:paraId="279BDCE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auto" w:sz="4" w:space="0"/>
              <w:right w:val="single" w:color="000000" w:sz="4" w:space="0"/>
            </w:tcBorders>
            <w:noWrap/>
            <w:vAlign w:val="center"/>
          </w:tcPr>
          <w:p w14:paraId="3851163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auto" w:sz="4" w:space="0"/>
              <w:right w:val="single" w:color="000000" w:sz="4" w:space="0"/>
            </w:tcBorders>
            <w:noWrap/>
            <w:vAlign w:val="center"/>
          </w:tcPr>
          <w:p w14:paraId="5CC559D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auto" w:sz="4" w:space="0"/>
              <w:right w:val="single" w:color="000000" w:sz="4" w:space="0"/>
            </w:tcBorders>
            <w:noWrap/>
            <w:vAlign w:val="center"/>
          </w:tcPr>
          <w:p w14:paraId="53323EDF">
            <w:pPr>
              <w:widowControl/>
              <w:spacing w:line="240" w:lineRule="exact"/>
              <w:jc w:val="center"/>
              <w:textAlignment w:val="center"/>
              <w:rPr>
                <w:rFonts w:hint="eastAsia" w:ascii="宋体" w:hAnsi="宋体" w:eastAsia="宋体" w:cs="宋体"/>
                <w:color w:val="000000"/>
                <w:kern w:val="0"/>
                <w:sz w:val="24"/>
              </w:rPr>
            </w:pPr>
          </w:p>
        </w:tc>
      </w:tr>
      <w:tr w14:paraId="0B3AB15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70E5F825">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0CFF156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56E9D2E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时效指标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1051200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库款动态监测及时率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746BDC9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大于95%</w:t>
            </w:r>
          </w:p>
        </w:tc>
        <w:tc>
          <w:tcPr>
            <w:tcW w:w="1931" w:type="dxa"/>
            <w:tcBorders>
              <w:top w:val="single" w:color="auto" w:sz="4" w:space="0"/>
              <w:left w:val="single" w:color="auto" w:sz="4" w:space="0"/>
              <w:bottom w:val="single" w:color="auto" w:sz="4" w:space="0"/>
              <w:right w:val="single" w:color="auto" w:sz="4" w:space="0"/>
            </w:tcBorders>
            <w:noWrap/>
            <w:vAlign w:val="center"/>
          </w:tcPr>
          <w:p w14:paraId="4C4B08D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大于95%</w:t>
            </w:r>
          </w:p>
        </w:tc>
      </w:tr>
      <w:tr w14:paraId="462C7032">
        <w:tblPrEx>
          <w:tblCellMar>
            <w:top w:w="0" w:type="dxa"/>
            <w:left w:w="108" w:type="dxa"/>
            <w:bottom w:w="0" w:type="dxa"/>
            <w:right w:w="108" w:type="dxa"/>
          </w:tblCellMar>
        </w:tblPrEx>
        <w:trPr>
          <w:trHeight w:val="660"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21E9F616">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61C6FAF5">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39C242E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数量指标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7CF8111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工资发放完成率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665A080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等于100%</w:t>
            </w:r>
          </w:p>
        </w:tc>
        <w:tc>
          <w:tcPr>
            <w:tcW w:w="1931" w:type="dxa"/>
            <w:tcBorders>
              <w:top w:val="single" w:color="auto" w:sz="4" w:space="0"/>
              <w:left w:val="single" w:color="auto" w:sz="4" w:space="0"/>
              <w:bottom w:val="single" w:color="auto" w:sz="4" w:space="0"/>
              <w:right w:val="single" w:color="auto" w:sz="4" w:space="0"/>
            </w:tcBorders>
            <w:noWrap/>
            <w:vAlign w:val="center"/>
          </w:tcPr>
          <w:p w14:paraId="07E9509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等于100%</w:t>
            </w:r>
          </w:p>
        </w:tc>
      </w:tr>
      <w:tr w14:paraId="4E3E982D">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3E8AFCB4">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47F59A08">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4C1E230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质量指标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4D424BD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工作完成质量</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4E71680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高质量完成</w:t>
            </w:r>
          </w:p>
        </w:tc>
        <w:tc>
          <w:tcPr>
            <w:tcW w:w="1931" w:type="dxa"/>
            <w:tcBorders>
              <w:top w:val="single" w:color="auto" w:sz="4" w:space="0"/>
              <w:left w:val="single" w:color="auto" w:sz="4" w:space="0"/>
              <w:bottom w:val="single" w:color="auto" w:sz="4" w:space="0"/>
              <w:right w:val="single" w:color="auto" w:sz="4" w:space="0"/>
            </w:tcBorders>
            <w:noWrap/>
            <w:vAlign w:val="center"/>
          </w:tcPr>
          <w:p w14:paraId="507482A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高质量完成</w:t>
            </w:r>
          </w:p>
        </w:tc>
      </w:tr>
      <w:tr w14:paraId="10D6CF5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3738CD36">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23DE468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3B5C4B7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可持续影响指标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3EB54BB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保障单位正常运转</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4961F19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持续保障</w:t>
            </w:r>
          </w:p>
        </w:tc>
        <w:tc>
          <w:tcPr>
            <w:tcW w:w="1931" w:type="dxa"/>
            <w:tcBorders>
              <w:top w:val="single" w:color="auto" w:sz="4" w:space="0"/>
              <w:left w:val="single" w:color="auto" w:sz="4" w:space="0"/>
              <w:bottom w:val="single" w:color="auto" w:sz="4" w:space="0"/>
              <w:right w:val="single" w:color="auto" w:sz="4" w:space="0"/>
            </w:tcBorders>
            <w:noWrap/>
            <w:vAlign w:val="center"/>
          </w:tcPr>
          <w:p w14:paraId="395F7C3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持续保障</w:t>
            </w:r>
          </w:p>
        </w:tc>
      </w:tr>
      <w:tr w14:paraId="626E4F6E">
        <w:tblPrEx>
          <w:tblCellMar>
            <w:top w:w="0" w:type="dxa"/>
            <w:left w:w="108" w:type="dxa"/>
            <w:bottom w:w="0" w:type="dxa"/>
            <w:right w:w="108" w:type="dxa"/>
          </w:tblCellMar>
        </w:tblPrEx>
        <w:trPr>
          <w:trHeight w:val="704"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0AE2A2C8">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4C7E5558">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61CD31E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5DBCCFC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提高工作效率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6BF0209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有效提高</w:t>
            </w:r>
          </w:p>
        </w:tc>
        <w:tc>
          <w:tcPr>
            <w:tcW w:w="1931" w:type="dxa"/>
            <w:tcBorders>
              <w:top w:val="single" w:color="auto" w:sz="4" w:space="0"/>
              <w:left w:val="single" w:color="auto" w:sz="4" w:space="0"/>
              <w:bottom w:val="single" w:color="auto" w:sz="4" w:space="0"/>
              <w:right w:val="single" w:color="auto" w:sz="4" w:space="0"/>
            </w:tcBorders>
            <w:noWrap/>
            <w:vAlign w:val="center"/>
          </w:tcPr>
          <w:p w14:paraId="36B4D12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有效提高</w:t>
            </w:r>
          </w:p>
        </w:tc>
      </w:tr>
    </w:tbl>
    <w:p w14:paraId="658515BB">
      <w:pPr>
        <w:rPr>
          <w:rFonts w:eastAsia="黑体"/>
          <w:sz w:val="24"/>
        </w:rPr>
      </w:pPr>
    </w:p>
    <w:p w14:paraId="7A3B66CC">
      <w:pPr>
        <w:rPr>
          <w:rFonts w:eastAsia="黑体"/>
        </w:rPr>
      </w:pPr>
      <w:r>
        <w:rPr>
          <w:rFonts w:eastAsia="黑体"/>
        </w:rPr>
        <w:br w:type="page"/>
      </w:r>
    </w:p>
    <w:p w14:paraId="5275216A">
      <w:pPr>
        <w:pStyle w:val="2"/>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373CB1C0">
      <w:pPr>
        <w:widowControl/>
        <w:spacing w:line="578" w:lineRule="exact"/>
        <w:jc w:val="center"/>
        <w:textAlignment w:val="center"/>
        <w:rPr>
          <w:rFonts w:eastAsia="方正小标宋简体"/>
          <w:color w:val="000000"/>
          <w:kern w:val="0"/>
          <w:sz w:val="44"/>
          <w:szCs w:val="44"/>
        </w:rPr>
      </w:pPr>
    </w:p>
    <w:p w14:paraId="6761210F">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tbl>
      <w:tblPr>
        <w:tblStyle w:val="16"/>
        <w:tblpPr w:leftFromText="180" w:rightFromText="180" w:vertAnchor="text" w:horzAnchor="page" w:tblpX="1214" w:tblpY="396"/>
        <w:tblOverlap w:val="never"/>
        <w:tblW w:w="101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4"/>
        <w:gridCol w:w="1051"/>
        <w:gridCol w:w="1054"/>
        <w:gridCol w:w="1484"/>
        <w:gridCol w:w="1601"/>
        <w:gridCol w:w="1044"/>
        <w:gridCol w:w="1052"/>
        <w:gridCol w:w="1052"/>
        <w:gridCol w:w="1058"/>
      </w:tblGrid>
      <w:tr w14:paraId="3A070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trPr>
        <w:tc>
          <w:tcPr>
            <w:tcW w:w="10160" w:type="dxa"/>
            <w:gridSpan w:val="9"/>
            <w:tcBorders>
              <w:top w:val="nil"/>
              <w:left w:val="nil"/>
              <w:bottom w:val="nil"/>
              <w:right w:val="nil"/>
            </w:tcBorders>
            <w:shd w:val="clear" w:color="auto" w:fill="auto"/>
            <w:tcMar>
              <w:top w:w="15" w:type="dxa"/>
              <w:left w:w="15" w:type="dxa"/>
              <w:right w:w="15" w:type="dxa"/>
            </w:tcMar>
            <w:vAlign w:val="bottom"/>
          </w:tcPr>
          <w:p w14:paraId="699BFD9A">
            <w:pPr>
              <w:keepNext w:val="0"/>
              <w:keepLines w:val="0"/>
              <w:widowControl/>
              <w:suppressLineNumbers w:val="0"/>
              <w:jc w:val="center"/>
              <w:textAlignment w:val="bottom"/>
              <w:rPr>
                <w:rFonts w:hint="eastAsia" w:ascii="宋体" w:hAnsi="宋体" w:eastAsia="宋体" w:cs="宋体"/>
                <w:b/>
                <w:i w:val="0"/>
                <w:color w:val="000000"/>
                <w:sz w:val="30"/>
                <w:szCs w:val="30"/>
                <w:u w:val="none"/>
              </w:rPr>
            </w:pPr>
            <w:r>
              <w:rPr>
                <w:rFonts w:hint="eastAsia" w:ascii="宋体" w:hAnsi="宋体" w:eastAsia="宋体" w:cs="宋体"/>
                <w:b/>
                <w:i w:val="0"/>
                <w:color w:val="000000"/>
                <w:kern w:val="0"/>
                <w:sz w:val="30"/>
                <w:szCs w:val="30"/>
                <w:u w:val="none"/>
                <w:lang w:val="en-US" w:eastAsia="zh-CN" w:bidi="ar"/>
              </w:rPr>
              <w:t>2025年度部门整体绩效目标</w:t>
            </w:r>
          </w:p>
        </w:tc>
      </w:tr>
      <w:tr w14:paraId="682A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5" w:hRule="atLeast"/>
        </w:trPr>
        <w:tc>
          <w:tcPr>
            <w:tcW w:w="764" w:type="dxa"/>
            <w:tcBorders>
              <w:top w:val="nil"/>
              <w:left w:val="nil"/>
              <w:bottom w:val="nil"/>
              <w:right w:val="nil"/>
            </w:tcBorders>
            <w:shd w:val="clear" w:color="auto" w:fill="auto"/>
            <w:tcMar>
              <w:top w:w="15" w:type="dxa"/>
              <w:left w:w="15" w:type="dxa"/>
              <w:right w:w="15" w:type="dxa"/>
            </w:tcMar>
            <w:vAlign w:val="bottom"/>
          </w:tcPr>
          <w:p w14:paraId="7767B96E">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部门名称：</w:t>
            </w:r>
          </w:p>
        </w:tc>
        <w:tc>
          <w:tcPr>
            <w:tcW w:w="6234" w:type="dxa"/>
            <w:gridSpan w:val="5"/>
            <w:tcBorders>
              <w:top w:val="nil"/>
              <w:left w:val="nil"/>
              <w:bottom w:val="nil"/>
              <w:right w:val="nil"/>
            </w:tcBorders>
            <w:shd w:val="clear" w:color="auto" w:fill="auto"/>
            <w:tcMar>
              <w:top w:w="15" w:type="dxa"/>
              <w:left w:w="15" w:type="dxa"/>
              <w:right w:w="15" w:type="dxa"/>
            </w:tcMar>
            <w:vAlign w:val="bottom"/>
          </w:tcPr>
          <w:p w14:paraId="534F5812">
            <w:pPr>
              <w:keepNext w:val="0"/>
              <w:keepLines w:val="0"/>
              <w:widowControl/>
              <w:suppressLineNumbers w:val="0"/>
              <w:jc w:val="left"/>
              <w:textAlignment w:val="bottom"/>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财政局部门</w:t>
            </w:r>
          </w:p>
        </w:tc>
        <w:tc>
          <w:tcPr>
            <w:tcW w:w="1052" w:type="dxa"/>
            <w:tcBorders>
              <w:top w:val="nil"/>
              <w:left w:val="nil"/>
              <w:bottom w:val="nil"/>
              <w:right w:val="nil"/>
            </w:tcBorders>
            <w:shd w:val="clear" w:color="auto" w:fill="auto"/>
            <w:tcMar>
              <w:top w:w="15" w:type="dxa"/>
              <w:left w:w="15" w:type="dxa"/>
              <w:right w:w="15" w:type="dxa"/>
            </w:tcMar>
            <w:vAlign w:val="center"/>
          </w:tcPr>
          <w:p w14:paraId="0FE85023">
            <w:pPr>
              <w:rPr>
                <w:rFonts w:hint="eastAsia" w:ascii="黑体" w:hAnsi="黑体" w:eastAsia="黑体" w:cs="黑体"/>
                <w:i w:val="0"/>
                <w:color w:val="000000"/>
                <w:sz w:val="18"/>
                <w:szCs w:val="18"/>
                <w:u w:val="none"/>
              </w:rPr>
            </w:pPr>
          </w:p>
        </w:tc>
        <w:tc>
          <w:tcPr>
            <w:tcW w:w="1052" w:type="dxa"/>
            <w:tcBorders>
              <w:top w:val="nil"/>
              <w:left w:val="nil"/>
              <w:bottom w:val="nil"/>
              <w:right w:val="nil"/>
            </w:tcBorders>
            <w:shd w:val="clear" w:color="auto" w:fill="auto"/>
            <w:tcMar>
              <w:top w:w="15" w:type="dxa"/>
              <w:left w:w="15" w:type="dxa"/>
              <w:right w:w="15" w:type="dxa"/>
            </w:tcMar>
            <w:vAlign w:val="center"/>
          </w:tcPr>
          <w:p w14:paraId="64756587">
            <w:pPr>
              <w:rPr>
                <w:rFonts w:hint="eastAsia" w:ascii="黑体" w:hAnsi="黑体" w:eastAsia="黑体" w:cs="黑体"/>
                <w:i w:val="0"/>
                <w:color w:val="000000"/>
                <w:sz w:val="18"/>
                <w:szCs w:val="18"/>
                <w:u w:val="none"/>
              </w:rPr>
            </w:pPr>
          </w:p>
        </w:tc>
        <w:tc>
          <w:tcPr>
            <w:tcW w:w="1058" w:type="dxa"/>
            <w:tcBorders>
              <w:top w:val="nil"/>
              <w:left w:val="nil"/>
              <w:bottom w:val="nil"/>
              <w:right w:val="nil"/>
            </w:tcBorders>
            <w:shd w:val="clear" w:color="auto" w:fill="auto"/>
            <w:tcMar>
              <w:top w:w="15" w:type="dxa"/>
              <w:left w:w="15" w:type="dxa"/>
              <w:right w:w="15" w:type="dxa"/>
            </w:tcMar>
            <w:vAlign w:val="bottom"/>
          </w:tcPr>
          <w:p w14:paraId="4645D9F2">
            <w:pPr>
              <w:keepNext w:val="0"/>
              <w:keepLines w:val="0"/>
              <w:widowControl/>
              <w:suppressLineNumbers w:val="0"/>
              <w:jc w:val="right"/>
              <w:textAlignment w:val="bottom"/>
              <w:rPr>
                <w:rFonts w:ascii="宋体" w:hAnsi="宋体" w:eastAsia="宋体" w:cs="宋体"/>
                <w:i w:val="0"/>
                <w:color w:val="000000"/>
                <w:sz w:val="16"/>
                <w:szCs w:val="16"/>
                <w:u w:val="none"/>
              </w:rPr>
            </w:pPr>
            <w:r>
              <w:rPr>
                <w:rFonts w:ascii="宋体" w:hAnsi="宋体" w:eastAsia="宋体" w:cs="宋体"/>
                <w:i w:val="0"/>
                <w:color w:val="000000"/>
                <w:kern w:val="0"/>
                <w:sz w:val="16"/>
                <w:szCs w:val="16"/>
                <w:u w:val="none"/>
                <w:lang w:val="en-US" w:eastAsia="zh-CN" w:bidi="ar"/>
              </w:rPr>
              <w:t>单位：万元</w:t>
            </w:r>
          </w:p>
        </w:tc>
      </w:tr>
      <w:tr w14:paraId="3B11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48E1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年度部门整体预算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53BAE">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资金总额</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67D06">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财政拨款</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454C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其他资金</w:t>
            </w:r>
          </w:p>
        </w:tc>
      </w:tr>
      <w:tr w14:paraId="3DAA0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73F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收入预算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55756">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AD4E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4865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4F5F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C99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支出预算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D139E">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1,174.49</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3F1EE">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1,174.49</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68E7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7A380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3"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F5F85">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年度总体目标</w:t>
            </w:r>
          </w:p>
        </w:tc>
        <w:tc>
          <w:tcPr>
            <w:tcW w:w="729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31BA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积极组织收入，完成收入目标；保证民生顺利支出，促进社会事业稳定发展；加强队伍建设，确保各项安全。</w:t>
            </w:r>
          </w:p>
        </w:tc>
      </w:tr>
      <w:tr w14:paraId="1E9E8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5" w:hRule="atLeast"/>
        </w:trPr>
        <w:tc>
          <w:tcPr>
            <w:tcW w:w="1016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4617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管理效率</w:t>
            </w:r>
          </w:p>
        </w:tc>
      </w:tr>
      <w:tr w14:paraId="5AF7B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7B91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83AEF">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76F5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DD74E">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9C46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864E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指标参考值</w:t>
            </w:r>
          </w:p>
        </w:tc>
      </w:tr>
      <w:tr w14:paraId="04C9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5307E">
            <w:pPr>
              <w:jc w:val="center"/>
              <w:rPr>
                <w:rFonts w:hint="eastAsia" w:ascii="宋体" w:hAnsi="宋体" w:eastAsia="宋体" w:cs="宋体"/>
                <w:b/>
                <w:i w:val="0"/>
                <w:color w:val="000000"/>
                <w:sz w:val="18"/>
                <w:szCs w:val="18"/>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93A50">
            <w:pPr>
              <w:jc w:val="center"/>
              <w:rPr>
                <w:rFonts w:hint="eastAsia" w:ascii="宋体" w:hAnsi="宋体" w:eastAsia="宋体" w:cs="宋体"/>
                <w:b/>
                <w:i w:val="0"/>
                <w:color w:val="000000"/>
                <w:sz w:val="18"/>
                <w:szCs w:val="18"/>
                <w:u w:val="none"/>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147A7">
            <w:pPr>
              <w:jc w:val="center"/>
              <w:rPr>
                <w:rFonts w:hint="eastAsia" w:ascii="宋体" w:hAnsi="宋体" w:eastAsia="宋体" w:cs="宋体"/>
                <w:b/>
                <w:i w:val="0"/>
                <w:color w:val="000000"/>
                <w:sz w:val="18"/>
                <w:szCs w:val="18"/>
                <w:u w:val="none"/>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991D1">
            <w:pPr>
              <w:jc w:val="center"/>
              <w:rPr>
                <w:rFonts w:hint="eastAsia" w:ascii="宋体" w:hAnsi="宋体" w:eastAsia="宋体" w:cs="宋体"/>
                <w:b/>
                <w:i w:val="0"/>
                <w:color w:val="000000"/>
                <w:sz w:val="18"/>
                <w:szCs w:val="18"/>
                <w:u w:val="none"/>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2354F">
            <w:pPr>
              <w:jc w:val="center"/>
              <w:rPr>
                <w:rFonts w:hint="eastAsia" w:ascii="宋体" w:hAnsi="宋体" w:eastAsia="宋体" w:cs="宋体"/>
                <w:b/>
                <w:i w:val="0"/>
                <w:color w:val="000000"/>
                <w:sz w:val="18"/>
                <w:szCs w:val="18"/>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1F8D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三年均值</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494D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2022</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6B6F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2023</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7F76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2024</w:t>
            </w:r>
          </w:p>
        </w:tc>
      </w:tr>
      <w:tr w14:paraId="6936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71F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305D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C35A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A9E5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财政拨款预算偏离度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EEAC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9BA6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49.16%</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A59EE">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83.89%</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B57B4">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43.25%</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D2FB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20.34%</w:t>
            </w:r>
          </w:p>
        </w:tc>
      </w:tr>
      <w:tr w14:paraId="309C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12DA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1035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D7FC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8F06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单位收入统筹度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A524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0133E">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CE95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4090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6F2E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7CE0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F334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57C2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1124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AA9E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预算年终结余率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70E2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AC64A">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D6C9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EB6C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96BB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2A046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6D4E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6FBC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EECE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6F2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一般性支出金额</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B43F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227.1万元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9BC6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227.16万元</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FDF94">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751A5">
            <w:pPr>
              <w:jc w:val="right"/>
              <w:rPr>
                <w:rFonts w:hint="eastAsia" w:ascii="宋体" w:hAnsi="宋体" w:eastAsia="宋体" w:cs="宋体"/>
                <w:i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F3FD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227.16万元</w:t>
            </w:r>
          </w:p>
        </w:tc>
      </w:tr>
      <w:tr w14:paraId="2DF8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EFE0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910A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9733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FECA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财务管理规范</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0C30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优</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1A6D6">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17CA1">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94E61">
            <w:pPr>
              <w:jc w:val="right"/>
              <w:rPr>
                <w:rFonts w:hint="eastAsia" w:ascii="宋体" w:hAnsi="宋体" w:eastAsia="宋体" w:cs="宋体"/>
                <w:i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A21F9">
            <w:pPr>
              <w:jc w:val="right"/>
              <w:rPr>
                <w:rFonts w:hint="eastAsia" w:ascii="宋体" w:hAnsi="宋体" w:eastAsia="宋体" w:cs="宋体"/>
                <w:i w:val="0"/>
                <w:color w:val="000000"/>
                <w:sz w:val="18"/>
                <w:szCs w:val="18"/>
                <w:u w:val="none"/>
              </w:rPr>
            </w:pPr>
          </w:p>
        </w:tc>
      </w:tr>
      <w:tr w14:paraId="6C4F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79D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AB75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5F07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9453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资产配置预算偏离度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2FFF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1F16C">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BBB96">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7CF0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AB97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10962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ED33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8C71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EDA4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C8B0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采购执行率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E1206">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102%</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A5A5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101.13%</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5CE2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6CD1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101.13%</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C35E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1826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1" w:hRule="atLeast"/>
        </w:trPr>
        <w:tc>
          <w:tcPr>
            <w:tcW w:w="1016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9B07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履职效能</w:t>
            </w:r>
          </w:p>
        </w:tc>
      </w:tr>
      <w:tr w14:paraId="4A71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EACD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FFA26">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17A9E">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41B1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CCCDF">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指标值（包括数字及文字描述）</w:t>
            </w:r>
          </w:p>
        </w:tc>
      </w:tr>
      <w:tr w14:paraId="5067E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4D9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5465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9C80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6DC7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库款动态监测及时率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97E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大于95%</w:t>
            </w:r>
          </w:p>
        </w:tc>
      </w:tr>
      <w:tr w14:paraId="71C1B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485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4D8C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AB4F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6751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工资发放完成率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C22D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等于100%</w:t>
            </w:r>
          </w:p>
        </w:tc>
      </w:tr>
      <w:tr w14:paraId="2C307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96BB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21C5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7E1E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FF16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工作完成质量</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1000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高质量完成</w:t>
            </w:r>
          </w:p>
        </w:tc>
      </w:tr>
      <w:tr w14:paraId="78B7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1BE9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EBCE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效益指标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03AB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3D2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保障单位正常运转</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3119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持续保障</w:t>
            </w:r>
          </w:p>
        </w:tc>
      </w:tr>
      <w:tr w14:paraId="44CB7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1"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BF7A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F210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效益指标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DC9E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25BD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提高工作效率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A28D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有效提高</w:t>
            </w:r>
          </w:p>
        </w:tc>
      </w:tr>
    </w:tbl>
    <w:p w14:paraId="4F418B14">
      <w:pPr>
        <w:widowControl/>
        <w:spacing w:line="578" w:lineRule="exact"/>
        <w:jc w:val="center"/>
        <w:textAlignment w:val="center"/>
        <w:rPr>
          <w:rFonts w:eastAsia="方正小标宋简体"/>
          <w:color w:val="000000"/>
          <w:kern w:val="0"/>
          <w:szCs w:val="32"/>
        </w:rPr>
      </w:pPr>
    </w:p>
    <w:p w14:paraId="70C730FC">
      <w:pPr>
        <w:rPr>
          <w:rFonts w:hint="eastAsia" w:ascii="Times New Roman" w:hAnsi="Times New Roman" w:eastAsia="仿宋_GB2312" w:cs="仿宋_GB2312"/>
          <w:b w:val="0"/>
          <w:bCs w:val="0"/>
          <w:kern w:val="0"/>
          <w:position w:val="0"/>
          <w:sz w:val="32"/>
          <w:szCs w:val="32"/>
          <w:highlight w:val="none"/>
          <w:lang w:val="en-US" w:eastAsia="zh-CN" w:bidi="ar-SA"/>
        </w:rPr>
        <w:sectPr>
          <w:footerReference r:id="rId6" w:type="default"/>
          <w:footerReference r:id="rId7" w:type="even"/>
          <w:pgSz w:w="11906" w:h="16838"/>
          <w:pgMar w:top="1440" w:right="1800" w:bottom="1440" w:left="1800" w:header="851" w:footer="992" w:gutter="0"/>
          <w:pgNumType w:fmt="numberInDash" w:start="1"/>
          <w:cols w:space="425" w:num="1"/>
          <w:docGrid w:type="lines" w:linePitch="312" w:charSpace="0"/>
        </w:sectPr>
      </w:pPr>
      <w:bookmarkStart w:id="54" w:name="_Toc15396618"/>
    </w:p>
    <w:p w14:paraId="259B2F7F">
      <w:pPr>
        <w:ind w:firstLine="1320" w:firstLineChars="300"/>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2"/>
      <w:bookmarkEnd w:id="54"/>
      <w:bookmarkStart w:id="55" w:name="_Toc15396619"/>
    </w:p>
    <w:p w14:paraId="62F27C0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B6A50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0A424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22374F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2DB729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266CC3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4F6AF9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366DDA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55DE22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675F08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63D5AD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66EE2F7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18147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398D9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1C920D28">
      <w:pPr>
        <w:rPr>
          <w:rFonts w:hint="eastAsia" w:ascii="Times New Roman" w:hAnsi="Times New Roman"/>
          <w:lang w:eastAsia="zh-CN"/>
        </w:rPr>
      </w:pPr>
    </w:p>
    <w:p w14:paraId="77F35EF4">
      <w:pPr>
        <w:pStyle w:val="2"/>
        <w:rPr>
          <w:rFonts w:hint="eastAsia" w:ascii="Times New Roman" w:hAnsi="Times New Roman"/>
          <w:lang w:eastAsia="zh-CN"/>
        </w:rPr>
      </w:pPr>
    </w:p>
    <w:p w14:paraId="5FB53EF1">
      <w:pPr>
        <w:rPr>
          <w:rFonts w:hint="eastAsia" w:ascii="Times New Roman" w:hAnsi="Times New Roman"/>
          <w:lang w:eastAsia="zh-CN"/>
        </w:rPr>
      </w:pPr>
    </w:p>
    <w:p w14:paraId="4D160E21">
      <w:pPr>
        <w:pStyle w:val="2"/>
        <w:rPr>
          <w:rFonts w:hint="eastAsia" w:ascii="Times New Roman" w:hAnsi="Times New Roman"/>
          <w:lang w:eastAsia="zh-CN"/>
        </w:rPr>
      </w:pPr>
    </w:p>
    <w:p w14:paraId="6495BA4E">
      <w:pPr>
        <w:rPr>
          <w:rFonts w:hint="eastAsia" w:ascii="Times New Roman" w:hAnsi="Times New Roman"/>
          <w:lang w:eastAsia="zh-CN"/>
        </w:rPr>
      </w:pPr>
    </w:p>
    <w:p w14:paraId="3B464F9D">
      <w:pPr>
        <w:pStyle w:val="2"/>
        <w:rPr>
          <w:rFonts w:hint="eastAsia" w:ascii="Times New Roman" w:hAnsi="Times New Roman"/>
          <w:lang w:eastAsia="zh-CN"/>
        </w:rPr>
      </w:pPr>
    </w:p>
    <w:p w14:paraId="7A795E5E">
      <w:pPr>
        <w:rPr>
          <w:rFonts w:hint="eastAsia" w:ascii="Times New Roman" w:hAnsi="Times New Roman"/>
          <w:lang w:eastAsia="zh-CN"/>
        </w:rPr>
        <w:sectPr>
          <w:pgSz w:w="11906" w:h="16838"/>
          <w:pgMar w:top="1440" w:right="1800" w:bottom="1440" w:left="1800" w:header="851" w:footer="992" w:gutter="0"/>
          <w:pgNumType w:fmt="numberInDash"/>
          <w:cols w:space="425" w:num="1"/>
          <w:docGrid w:type="lines" w:linePitch="312" w:charSpace="0"/>
        </w:sectPr>
      </w:pPr>
    </w:p>
    <w:p w14:paraId="031458F3">
      <w:pPr>
        <w:pStyle w:val="2"/>
        <w:ind w:left="0" w:leftChars="0" w:firstLine="0" w:firstLineChars="0"/>
        <w:rPr>
          <w:rFonts w:hint="eastAsia" w:ascii="Times New Roman" w:hAnsi="Times New Roman"/>
          <w:lang w:eastAsia="zh-CN"/>
        </w:rPr>
      </w:pPr>
      <w:r>
        <w:drawing>
          <wp:inline distT="0" distB="0" distL="114300" distR="114300">
            <wp:extent cx="8858250" cy="5438140"/>
            <wp:effectExtent l="0" t="0" r="0" b="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15"/>
                    <a:srcRect l="-215" r="215" b="13162"/>
                    <a:stretch>
                      <a:fillRect/>
                    </a:stretch>
                  </pic:blipFill>
                  <pic:spPr>
                    <a:xfrm>
                      <a:off x="0" y="0"/>
                      <a:ext cx="8858250" cy="5438140"/>
                    </a:xfrm>
                    <a:prstGeom prst="rect">
                      <a:avLst/>
                    </a:prstGeom>
                    <a:noFill/>
                    <a:ln>
                      <a:noFill/>
                    </a:ln>
                  </pic:spPr>
                </pic:pic>
              </a:graphicData>
            </a:graphic>
          </wp:inline>
        </w:drawing>
      </w:r>
    </w:p>
    <w:p w14:paraId="1407E3F7">
      <w:pPr>
        <w:rPr>
          <w:rFonts w:hint="eastAsia" w:ascii="Times New Roman" w:hAnsi="Times New Roman"/>
          <w:lang w:eastAsia="zh-CN"/>
        </w:rPr>
      </w:pPr>
      <w:r>
        <w:drawing>
          <wp:inline distT="0" distB="0" distL="114300" distR="114300">
            <wp:extent cx="7908290" cy="5338445"/>
            <wp:effectExtent l="0" t="0" r="0" b="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6"/>
                    <a:srcRect r="10724" b="14753"/>
                    <a:stretch>
                      <a:fillRect/>
                    </a:stretch>
                  </pic:blipFill>
                  <pic:spPr>
                    <a:xfrm>
                      <a:off x="0" y="0"/>
                      <a:ext cx="7908290" cy="5338445"/>
                    </a:xfrm>
                    <a:prstGeom prst="rect">
                      <a:avLst/>
                    </a:prstGeom>
                    <a:noFill/>
                    <a:ln>
                      <a:noFill/>
                    </a:ln>
                  </pic:spPr>
                </pic:pic>
              </a:graphicData>
            </a:graphic>
          </wp:inline>
        </w:drawing>
      </w:r>
    </w:p>
    <w:p w14:paraId="1FA96059">
      <w:pPr>
        <w:pStyle w:val="2"/>
        <w:tabs>
          <w:tab w:val="left" w:pos="319"/>
        </w:tabs>
        <w:sectPr>
          <w:pgSz w:w="16838" w:h="11906" w:orient="landscape"/>
          <w:pgMar w:top="1800" w:right="1440" w:bottom="1800" w:left="1440" w:header="851" w:footer="992" w:gutter="0"/>
          <w:pgNumType w:fmt="numberInDash"/>
          <w:cols w:space="425" w:num="1"/>
          <w:docGrid w:type="lines" w:linePitch="312" w:charSpace="0"/>
        </w:sectPr>
      </w:pPr>
      <w:r>
        <w:drawing>
          <wp:inline distT="0" distB="0" distL="114300" distR="114300">
            <wp:extent cx="8858250" cy="5731510"/>
            <wp:effectExtent l="0" t="0" r="0" b="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7"/>
                    <a:srcRect b="8477"/>
                    <a:stretch>
                      <a:fillRect/>
                    </a:stretch>
                  </pic:blipFill>
                  <pic:spPr>
                    <a:xfrm>
                      <a:off x="0" y="0"/>
                      <a:ext cx="8858250" cy="5731510"/>
                    </a:xfrm>
                    <a:prstGeom prst="rect">
                      <a:avLst/>
                    </a:prstGeom>
                    <a:noFill/>
                    <a:ln>
                      <a:noFill/>
                    </a:ln>
                  </pic:spPr>
                </pic:pic>
              </a:graphicData>
            </a:graphic>
          </wp:inline>
        </w:drawing>
      </w:r>
      <w:r>
        <w:drawing>
          <wp:inline distT="0" distB="0" distL="114300" distR="114300">
            <wp:extent cx="8858250" cy="5268595"/>
            <wp:effectExtent l="0" t="0" r="0" b="825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18"/>
                    <a:srcRect b="8872"/>
                    <a:stretch>
                      <a:fillRect/>
                    </a:stretch>
                  </pic:blipFill>
                  <pic:spPr>
                    <a:xfrm>
                      <a:off x="0" y="0"/>
                      <a:ext cx="8858250" cy="5268595"/>
                    </a:xfrm>
                    <a:prstGeom prst="rect">
                      <a:avLst/>
                    </a:prstGeom>
                    <a:noFill/>
                    <a:ln>
                      <a:noFill/>
                    </a:ln>
                  </pic:spPr>
                </pic:pic>
              </a:graphicData>
            </a:graphic>
          </wp:inline>
        </w:drawing>
      </w:r>
      <w:r>
        <w:drawing>
          <wp:inline distT="0" distB="0" distL="114300" distR="114300">
            <wp:extent cx="8858250" cy="5895340"/>
            <wp:effectExtent l="0" t="0" r="0" b="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9"/>
                    <a:srcRect b="5861"/>
                    <a:stretch>
                      <a:fillRect/>
                    </a:stretch>
                  </pic:blipFill>
                  <pic:spPr>
                    <a:xfrm>
                      <a:off x="0" y="0"/>
                      <a:ext cx="8858250" cy="5895340"/>
                    </a:xfrm>
                    <a:prstGeom prst="rect">
                      <a:avLst/>
                    </a:prstGeom>
                    <a:noFill/>
                    <a:ln>
                      <a:noFill/>
                    </a:ln>
                  </pic:spPr>
                </pic:pic>
              </a:graphicData>
            </a:graphic>
          </wp:inline>
        </w:drawing>
      </w:r>
      <w:r>
        <w:drawing>
          <wp:inline distT="0" distB="0" distL="114300" distR="114300">
            <wp:extent cx="7787640" cy="5337175"/>
            <wp:effectExtent l="0" t="0" r="3810" b="15875"/>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20"/>
                    <a:srcRect b="3062"/>
                    <a:stretch>
                      <a:fillRect/>
                    </a:stretch>
                  </pic:blipFill>
                  <pic:spPr>
                    <a:xfrm>
                      <a:off x="0" y="0"/>
                      <a:ext cx="7787640" cy="5337175"/>
                    </a:xfrm>
                    <a:prstGeom prst="rect">
                      <a:avLst/>
                    </a:prstGeom>
                    <a:noFill/>
                    <a:ln>
                      <a:noFill/>
                    </a:ln>
                  </pic:spPr>
                </pic:pic>
              </a:graphicData>
            </a:graphic>
          </wp:inline>
        </w:drawing>
      </w:r>
      <w:r>
        <w:drawing>
          <wp:inline distT="0" distB="0" distL="114300" distR="114300">
            <wp:extent cx="8858250" cy="5925820"/>
            <wp:effectExtent l="0" t="0" r="0" b="0"/>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21"/>
                    <a:srcRect b="5374"/>
                    <a:stretch>
                      <a:fillRect/>
                    </a:stretch>
                  </pic:blipFill>
                  <pic:spPr>
                    <a:xfrm>
                      <a:off x="0" y="0"/>
                      <a:ext cx="8858250" cy="5925820"/>
                    </a:xfrm>
                    <a:prstGeom prst="rect">
                      <a:avLst/>
                    </a:prstGeom>
                    <a:noFill/>
                    <a:ln>
                      <a:noFill/>
                    </a:ln>
                  </pic:spPr>
                </pic:pic>
              </a:graphicData>
            </a:graphic>
          </wp:inline>
        </w:drawing>
      </w:r>
      <w:r>
        <w:drawing>
          <wp:inline distT="0" distB="0" distL="114300" distR="114300">
            <wp:extent cx="7272655" cy="5340985"/>
            <wp:effectExtent l="0" t="0" r="4445" b="12065"/>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22"/>
                    <a:srcRect r="13950" b="10617"/>
                    <a:stretch>
                      <a:fillRect/>
                    </a:stretch>
                  </pic:blipFill>
                  <pic:spPr>
                    <a:xfrm>
                      <a:off x="0" y="0"/>
                      <a:ext cx="7272655" cy="5340985"/>
                    </a:xfrm>
                    <a:prstGeom prst="rect">
                      <a:avLst/>
                    </a:prstGeom>
                    <a:noFill/>
                    <a:ln>
                      <a:noFill/>
                    </a:ln>
                  </pic:spPr>
                </pic:pic>
              </a:graphicData>
            </a:graphic>
          </wp:inline>
        </w:drawing>
      </w:r>
      <w:r>
        <w:drawing>
          <wp:inline distT="0" distB="0" distL="114300" distR="114300">
            <wp:extent cx="8858250" cy="6062980"/>
            <wp:effectExtent l="0" t="0" r="0" b="0"/>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23"/>
                    <a:srcRect b="3184"/>
                    <a:stretch>
                      <a:fillRect/>
                    </a:stretch>
                  </pic:blipFill>
                  <pic:spPr>
                    <a:xfrm>
                      <a:off x="0" y="0"/>
                      <a:ext cx="8858250" cy="6062980"/>
                    </a:xfrm>
                    <a:prstGeom prst="rect">
                      <a:avLst/>
                    </a:prstGeom>
                    <a:noFill/>
                    <a:ln>
                      <a:noFill/>
                    </a:ln>
                  </pic:spPr>
                </pic:pic>
              </a:graphicData>
            </a:graphic>
          </wp:inline>
        </w:drawing>
      </w:r>
    </w:p>
    <w:p w14:paraId="0E8885E5">
      <w:pPr>
        <w:pStyle w:val="2"/>
        <w:tabs>
          <w:tab w:val="left" w:pos="319"/>
        </w:tabs>
        <w:sectPr>
          <w:pgSz w:w="16838" w:h="11906" w:orient="landscape"/>
          <w:pgMar w:top="1800" w:right="1440" w:bottom="1800" w:left="1440" w:header="851" w:footer="992" w:gutter="0"/>
          <w:pgNumType w:fmt="numberInDash"/>
          <w:cols w:space="425" w:num="1"/>
          <w:docGrid w:type="lines" w:linePitch="312" w:charSpace="0"/>
        </w:sectPr>
      </w:pPr>
      <w:r>
        <w:drawing>
          <wp:anchor distT="0" distB="0" distL="114300" distR="114300" simplePos="0" relativeHeight="251663360" behindDoc="0" locked="0" layoutInCell="1" allowOverlap="1">
            <wp:simplePos x="0" y="0"/>
            <wp:positionH relativeFrom="column">
              <wp:posOffset>-38100</wp:posOffset>
            </wp:positionH>
            <wp:positionV relativeFrom="paragraph">
              <wp:posOffset>-1000125</wp:posOffset>
            </wp:positionV>
            <wp:extent cx="8858250" cy="6026785"/>
            <wp:effectExtent l="0" t="0" r="0" b="0"/>
            <wp:wrapSquare wrapText="bothSides"/>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24"/>
                    <a:srcRect b="3762"/>
                    <a:stretch>
                      <a:fillRect/>
                    </a:stretch>
                  </pic:blipFill>
                  <pic:spPr>
                    <a:xfrm>
                      <a:off x="0" y="0"/>
                      <a:ext cx="8858250" cy="6026785"/>
                    </a:xfrm>
                    <a:prstGeom prst="rect">
                      <a:avLst/>
                    </a:prstGeom>
                    <a:noFill/>
                    <a:ln>
                      <a:noFill/>
                    </a:ln>
                  </pic:spPr>
                </pic:pic>
              </a:graphicData>
            </a:graphic>
          </wp:anchor>
        </w:drawing>
      </w:r>
    </w:p>
    <w:p w14:paraId="23890B6E">
      <w:pPr>
        <w:pStyle w:val="2"/>
        <w:tabs>
          <w:tab w:val="left" w:pos="319"/>
        </w:tabs>
        <w:rPr>
          <w:rFonts w:hint="eastAsia" w:ascii="Times New Roman" w:hAnsi="Times New Roman"/>
          <w:lang w:eastAsia="zh-CN"/>
        </w:rPr>
        <w:sectPr>
          <w:pgSz w:w="16838" w:h="11906" w:orient="landscape"/>
          <w:pgMar w:top="1800" w:right="1440" w:bottom="1800" w:left="1440" w:header="851" w:footer="992" w:gutter="0"/>
          <w:pgNumType w:fmt="numberInDash"/>
          <w:cols w:space="425" w:num="1"/>
          <w:docGrid w:type="lines" w:linePitch="312" w:charSpace="0"/>
        </w:sectPr>
      </w:pPr>
      <w:r>
        <w:drawing>
          <wp:anchor distT="0" distB="0" distL="114300" distR="114300" simplePos="0" relativeHeight="251661312" behindDoc="1" locked="0" layoutInCell="1" allowOverlap="1">
            <wp:simplePos x="0" y="0"/>
            <wp:positionH relativeFrom="column">
              <wp:posOffset>358775</wp:posOffset>
            </wp:positionH>
            <wp:positionV relativeFrom="paragraph">
              <wp:posOffset>-307340</wp:posOffset>
            </wp:positionV>
            <wp:extent cx="8552180" cy="5843270"/>
            <wp:effectExtent l="0" t="0" r="1270" b="5080"/>
            <wp:wrapTight wrapText="bothSides">
              <wp:wrapPolygon>
                <wp:start x="0" y="0"/>
                <wp:lineTo x="0" y="21548"/>
                <wp:lineTo x="21555" y="21548"/>
                <wp:lineTo x="21555" y="0"/>
                <wp:lineTo x="0" y="0"/>
              </wp:wrapPolygon>
            </wp:wrapTight>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5"/>
                    <a:srcRect b="3356"/>
                    <a:stretch>
                      <a:fillRect/>
                    </a:stretch>
                  </pic:blipFill>
                  <pic:spPr>
                    <a:xfrm>
                      <a:off x="0" y="0"/>
                      <a:ext cx="8552180" cy="5843270"/>
                    </a:xfrm>
                    <a:prstGeom prst="rect">
                      <a:avLst/>
                    </a:prstGeom>
                    <a:noFill/>
                    <a:ln>
                      <a:noFill/>
                    </a:ln>
                  </pic:spPr>
                </pic:pic>
              </a:graphicData>
            </a:graphic>
          </wp:anchor>
        </w:drawing>
      </w:r>
    </w:p>
    <w:p w14:paraId="3337547F">
      <w:pPr>
        <w:pStyle w:val="2"/>
        <w:tabs>
          <w:tab w:val="left" w:pos="319"/>
        </w:tabs>
        <w:rPr>
          <w:rFonts w:hint="eastAsia" w:ascii="Times New Roman" w:hAnsi="Times New Roman"/>
          <w:lang w:eastAsia="zh-CN"/>
        </w:rPr>
      </w:pPr>
      <w:r>
        <w:drawing>
          <wp:anchor distT="0" distB="0" distL="114300" distR="114300" simplePos="0" relativeHeight="251662336" behindDoc="1" locked="0" layoutInCell="1" allowOverlap="1">
            <wp:simplePos x="0" y="0"/>
            <wp:positionH relativeFrom="column">
              <wp:posOffset>9525</wp:posOffset>
            </wp:positionH>
            <wp:positionV relativeFrom="paragraph">
              <wp:posOffset>-262890</wp:posOffset>
            </wp:positionV>
            <wp:extent cx="7979410" cy="5450205"/>
            <wp:effectExtent l="0" t="0" r="2540" b="17145"/>
            <wp:wrapTight wrapText="bothSides">
              <wp:wrapPolygon>
                <wp:start x="0" y="0"/>
                <wp:lineTo x="0" y="21517"/>
                <wp:lineTo x="21555" y="21517"/>
                <wp:lineTo x="21555" y="0"/>
                <wp:lineTo x="0" y="0"/>
              </wp:wrapPolygon>
            </wp:wrapTight>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26"/>
                    <a:srcRect b="3387"/>
                    <a:stretch>
                      <a:fillRect/>
                    </a:stretch>
                  </pic:blipFill>
                  <pic:spPr>
                    <a:xfrm>
                      <a:off x="0" y="0"/>
                      <a:ext cx="7979410" cy="5450205"/>
                    </a:xfrm>
                    <a:prstGeom prst="rect">
                      <a:avLst/>
                    </a:prstGeom>
                    <a:noFill/>
                    <a:ln>
                      <a:noFill/>
                    </a:ln>
                  </pic:spPr>
                </pic:pic>
              </a:graphicData>
            </a:graphic>
          </wp:anchor>
        </w:drawing>
      </w:r>
    </w:p>
    <w:p w14:paraId="1D1FC35B">
      <w:pPr>
        <w:pStyle w:val="2"/>
      </w:pPr>
      <w:r>
        <w:drawing>
          <wp:anchor distT="0" distB="0" distL="114300" distR="114300" simplePos="0" relativeHeight="251660288" behindDoc="1" locked="0" layoutInCell="1" allowOverlap="1">
            <wp:simplePos x="0" y="0"/>
            <wp:positionH relativeFrom="column">
              <wp:posOffset>0</wp:posOffset>
            </wp:positionH>
            <wp:positionV relativeFrom="paragraph">
              <wp:posOffset>-830580</wp:posOffset>
            </wp:positionV>
            <wp:extent cx="8858250" cy="6067425"/>
            <wp:effectExtent l="0" t="0" r="0" b="0"/>
            <wp:wrapTight wrapText="bothSides">
              <wp:wrapPolygon>
                <wp:start x="0" y="0"/>
                <wp:lineTo x="0" y="21566"/>
                <wp:lineTo x="21554" y="21566"/>
                <wp:lineTo x="21554" y="0"/>
                <wp:lineTo x="0" y="0"/>
              </wp:wrapPolygon>
            </wp:wrapTight>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27"/>
                    <a:srcRect b="3113"/>
                    <a:stretch>
                      <a:fillRect/>
                    </a:stretch>
                  </pic:blipFill>
                  <pic:spPr>
                    <a:xfrm>
                      <a:off x="0" y="0"/>
                      <a:ext cx="8858250" cy="6067425"/>
                    </a:xfrm>
                    <a:prstGeom prst="rect">
                      <a:avLst/>
                    </a:prstGeom>
                    <a:noFill/>
                    <a:ln>
                      <a:noFill/>
                    </a:ln>
                  </pic:spPr>
                </pic:pic>
              </a:graphicData>
            </a:graphic>
          </wp:anchor>
        </w:drawing>
      </w:r>
    </w:p>
    <w:p w14:paraId="2BF57496">
      <w:pPr>
        <w:pStyle w:val="2"/>
        <w:ind w:left="0" w:leftChars="0" w:firstLine="0" w:firstLineChars="0"/>
      </w:pPr>
      <w:r>
        <w:drawing>
          <wp:inline distT="0" distB="0" distL="114300" distR="114300">
            <wp:extent cx="8858250" cy="5293995"/>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28"/>
                    <a:srcRect b="15463"/>
                    <a:stretch>
                      <a:fillRect/>
                    </a:stretch>
                  </pic:blipFill>
                  <pic:spPr>
                    <a:xfrm>
                      <a:off x="0" y="0"/>
                      <a:ext cx="8858250" cy="5293995"/>
                    </a:xfrm>
                    <a:prstGeom prst="rect">
                      <a:avLst/>
                    </a:prstGeom>
                    <a:noFill/>
                    <a:ln>
                      <a:noFill/>
                    </a:ln>
                  </pic:spPr>
                </pic:pic>
              </a:graphicData>
            </a:graphic>
          </wp:inline>
        </w:drawing>
      </w:r>
    </w:p>
    <w:p w14:paraId="6A0D564F">
      <w:pPr>
        <w:rPr>
          <w:rFonts w:hint="default"/>
          <w:lang w:val="en-US" w:eastAsia="zh-CN"/>
        </w:rPr>
        <w:sectPr>
          <w:pgSz w:w="16838" w:h="11906" w:orient="landscape"/>
          <w:pgMar w:top="1800" w:right="1440" w:bottom="1800" w:left="1440" w:header="851" w:footer="992" w:gutter="0"/>
          <w:pgNumType w:fmt="numberInDash"/>
          <w:cols w:space="425" w:num="1"/>
          <w:docGrid w:type="lines" w:linePitch="312" w:charSpace="0"/>
        </w:sectPr>
      </w:pPr>
    </w:p>
    <w:p w14:paraId="14A4B904">
      <w:pPr>
        <w:sectPr>
          <w:pgSz w:w="16838" w:h="11906" w:orient="landscape"/>
          <w:pgMar w:top="1800" w:right="1440" w:bottom="1800" w:left="1440" w:header="851" w:footer="992" w:gutter="0"/>
          <w:pgNumType w:fmt="numberInDash"/>
          <w:cols w:space="425" w:num="1"/>
          <w:docGrid w:type="lines" w:linePitch="312" w:charSpace="0"/>
        </w:sectPr>
      </w:pPr>
      <w:r>
        <w:drawing>
          <wp:inline distT="0" distB="0" distL="114300" distR="114300">
            <wp:extent cx="8026400" cy="5143500"/>
            <wp:effectExtent l="0" t="0" r="12700" b="0"/>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29"/>
                    <a:srcRect t="6094" b="3265"/>
                    <a:stretch>
                      <a:fillRect/>
                    </a:stretch>
                  </pic:blipFill>
                  <pic:spPr>
                    <a:xfrm>
                      <a:off x="0" y="0"/>
                      <a:ext cx="8026400" cy="5143500"/>
                    </a:xfrm>
                    <a:prstGeom prst="rect">
                      <a:avLst/>
                    </a:prstGeom>
                    <a:noFill/>
                    <a:ln>
                      <a:noFill/>
                    </a:ln>
                  </pic:spPr>
                </pic:pic>
              </a:graphicData>
            </a:graphic>
          </wp:inline>
        </w:drawing>
      </w:r>
    </w:p>
    <w:p w14:paraId="1DC0039E">
      <w:pPr>
        <w:pStyle w:val="2"/>
        <w:sectPr>
          <w:pgSz w:w="16838" w:h="11906" w:orient="landscape"/>
          <w:pgMar w:top="1800" w:right="1440" w:bottom="1800" w:left="1440" w:header="851" w:footer="992" w:gutter="0"/>
          <w:pgNumType w:fmt="numberInDash"/>
          <w:cols w:space="425" w:num="1"/>
          <w:docGrid w:type="lines" w:linePitch="312" w:charSpace="0"/>
        </w:sectPr>
      </w:pPr>
      <w:r>
        <w:drawing>
          <wp:anchor distT="0" distB="0" distL="114300" distR="114300" simplePos="0" relativeHeight="251659264" behindDoc="1" locked="0" layoutInCell="1" allowOverlap="1">
            <wp:simplePos x="0" y="0"/>
            <wp:positionH relativeFrom="column">
              <wp:posOffset>28575</wp:posOffset>
            </wp:positionH>
            <wp:positionV relativeFrom="paragraph">
              <wp:posOffset>-121285</wp:posOffset>
            </wp:positionV>
            <wp:extent cx="7647305" cy="5231765"/>
            <wp:effectExtent l="0" t="0" r="10795" b="6985"/>
            <wp:wrapTight wrapText="bothSides">
              <wp:wrapPolygon>
                <wp:start x="0" y="0"/>
                <wp:lineTo x="0" y="21550"/>
                <wp:lineTo x="21523" y="21550"/>
                <wp:lineTo x="21523" y="0"/>
                <wp:lineTo x="0" y="0"/>
              </wp:wrapPolygon>
            </wp:wrapTight>
            <wp:docPr id="4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
                    <pic:cNvPicPr>
                      <a:picLocks noChangeAspect="1"/>
                    </pic:cNvPicPr>
                  </pic:nvPicPr>
                  <pic:blipFill>
                    <a:blip r:embed="rId30"/>
                    <a:srcRect b="3235"/>
                    <a:stretch>
                      <a:fillRect/>
                    </a:stretch>
                  </pic:blipFill>
                  <pic:spPr>
                    <a:xfrm>
                      <a:off x="0" y="0"/>
                      <a:ext cx="7647305" cy="5231765"/>
                    </a:xfrm>
                    <a:prstGeom prst="rect">
                      <a:avLst/>
                    </a:prstGeom>
                    <a:noFill/>
                    <a:ln>
                      <a:noFill/>
                    </a:ln>
                  </pic:spPr>
                </pic:pic>
              </a:graphicData>
            </a:graphic>
          </wp:anchor>
        </w:drawing>
      </w:r>
    </w:p>
    <w:p w14:paraId="2ABA9EBB">
      <w:pPr>
        <w:sectPr>
          <w:pgSz w:w="16838" w:h="11906" w:orient="landscape"/>
          <w:pgMar w:top="1800" w:right="1440" w:bottom="1800" w:left="1440" w:header="851" w:footer="992" w:gutter="0"/>
          <w:pgNumType w:fmt="numberInDash"/>
          <w:cols w:space="425" w:num="1"/>
          <w:docGrid w:type="lines" w:linePitch="312" w:charSpace="0"/>
        </w:sectPr>
      </w:pPr>
      <w:r>
        <w:drawing>
          <wp:inline distT="0" distB="0" distL="114300" distR="114300">
            <wp:extent cx="7954010" cy="5427345"/>
            <wp:effectExtent l="0" t="0" r="8890" b="1905"/>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31"/>
                    <a:srcRect b="3478"/>
                    <a:stretch>
                      <a:fillRect/>
                    </a:stretch>
                  </pic:blipFill>
                  <pic:spPr>
                    <a:xfrm>
                      <a:off x="0" y="0"/>
                      <a:ext cx="7954010" cy="5427345"/>
                    </a:xfrm>
                    <a:prstGeom prst="rect">
                      <a:avLst/>
                    </a:prstGeom>
                    <a:noFill/>
                    <a:ln>
                      <a:noFill/>
                    </a:ln>
                  </pic:spPr>
                </pic:pic>
              </a:graphicData>
            </a:graphic>
          </wp:inline>
        </w:drawing>
      </w:r>
    </w:p>
    <w:p w14:paraId="1F26A051">
      <w:pPr>
        <w:pStyle w:val="2"/>
      </w:pPr>
      <w:bookmarkStart w:id="68" w:name="_GoBack"/>
      <w:bookmarkEnd w:id="68"/>
      <w:r>
        <w:drawing>
          <wp:anchor distT="0" distB="0" distL="114300" distR="114300" simplePos="0" relativeHeight="251664384" behindDoc="0" locked="0" layoutInCell="1" allowOverlap="1">
            <wp:simplePos x="0" y="0"/>
            <wp:positionH relativeFrom="column">
              <wp:posOffset>-57150</wp:posOffset>
            </wp:positionH>
            <wp:positionV relativeFrom="paragraph">
              <wp:posOffset>-171450</wp:posOffset>
            </wp:positionV>
            <wp:extent cx="8343900" cy="5677535"/>
            <wp:effectExtent l="0" t="0" r="0" b="18415"/>
            <wp:wrapSquare wrapText="bothSides"/>
            <wp:docPr id="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9"/>
                    <pic:cNvPicPr>
                      <a:picLocks noChangeAspect="1"/>
                    </pic:cNvPicPr>
                  </pic:nvPicPr>
                  <pic:blipFill>
                    <a:blip r:embed="rId32"/>
                    <a:srcRect b="3752"/>
                    <a:stretch>
                      <a:fillRect/>
                    </a:stretch>
                  </pic:blipFill>
                  <pic:spPr>
                    <a:xfrm>
                      <a:off x="0" y="0"/>
                      <a:ext cx="8343900" cy="5677535"/>
                    </a:xfrm>
                    <a:prstGeom prst="rect">
                      <a:avLst/>
                    </a:prstGeom>
                    <a:noFill/>
                    <a:ln>
                      <a:noFill/>
                    </a:ln>
                  </pic:spPr>
                </pic:pic>
              </a:graphicData>
            </a:graphic>
          </wp:anchor>
        </w:drawing>
      </w:r>
    </w:p>
    <w:p w14:paraId="16C85100">
      <w:pPr>
        <w:pStyle w:val="2"/>
        <w:sectPr>
          <w:pgSz w:w="16838" w:h="11906" w:orient="landscape"/>
          <w:pgMar w:top="1800" w:right="1440" w:bottom="1800" w:left="1440" w:header="851" w:footer="992" w:gutter="0"/>
          <w:pgNumType w:fmt="numberInDash"/>
          <w:cols w:space="425" w:num="1"/>
          <w:docGrid w:type="lines" w:linePitch="312" w:charSpace="0"/>
        </w:sectPr>
      </w:pPr>
    </w:p>
    <w:p w14:paraId="457EA68B">
      <w:pPr>
        <w:pStyle w:val="2"/>
        <w:ind w:left="0" w:leftChars="0" w:firstLine="0" w:firstLineChars="0"/>
        <w:sectPr>
          <w:pgSz w:w="16838" w:h="11906" w:orient="landscape"/>
          <w:pgMar w:top="1800" w:right="1440" w:bottom="1800" w:left="1440" w:header="851" w:footer="992" w:gutter="0"/>
          <w:pgNumType w:fmt="numberInDash"/>
          <w:cols w:space="425" w:num="1"/>
          <w:docGrid w:type="lines" w:linePitch="312" w:charSpace="0"/>
        </w:sectPr>
      </w:pPr>
      <w:r>
        <w:drawing>
          <wp:inline distT="0" distB="0" distL="114300" distR="114300">
            <wp:extent cx="8858250" cy="4065270"/>
            <wp:effectExtent l="0" t="0" r="0" b="0"/>
            <wp:docPr id="4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1"/>
                    <pic:cNvPicPr>
                      <a:picLocks noChangeAspect="1"/>
                    </pic:cNvPicPr>
                  </pic:nvPicPr>
                  <pic:blipFill>
                    <a:blip r:embed="rId33"/>
                    <a:srcRect b="35084"/>
                    <a:stretch>
                      <a:fillRect/>
                    </a:stretch>
                  </pic:blipFill>
                  <pic:spPr>
                    <a:xfrm>
                      <a:off x="0" y="0"/>
                      <a:ext cx="8858250" cy="4065270"/>
                    </a:xfrm>
                    <a:prstGeom prst="rect">
                      <a:avLst/>
                    </a:prstGeom>
                    <a:noFill/>
                    <a:ln>
                      <a:noFill/>
                    </a:ln>
                  </pic:spPr>
                </pic:pic>
              </a:graphicData>
            </a:graphic>
          </wp:inline>
        </w:drawing>
      </w:r>
    </w:p>
    <w:p w14:paraId="490B59C5"/>
    <w:p w14:paraId="524D3C93"/>
    <w:p w14:paraId="7B3017C6"/>
    <w:tbl>
      <w:tblPr>
        <w:tblStyle w:val="16"/>
        <w:tblW w:w="130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1382"/>
        <w:gridCol w:w="1722"/>
        <w:gridCol w:w="1473"/>
        <w:gridCol w:w="1872"/>
        <w:gridCol w:w="1839"/>
        <w:gridCol w:w="1552"/>
        <w:gridCol w:w="1872"/>
      </w:tblGrid>
      <w:tr w14:paraId="74059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3008" w:type="dxa"/>
            <w:gridSpan w:val="10"/>
            <w:tcBorders>
              <w:top w:val="nil"/>
              <w:left w:val="nil"/>
              <w:bottom w:val="nil"/>
              <w:right w:val="nil"/>
            </w:tcBorders>
            <w:shd w:val="clear" w:color="auto" w:fill="auto"/>
            <w:noWrap/>
            <w:tcMar>
              <w:top w:w="15" w:type="dxa"/>
              <w:left w:w="15" w:type="dxa"/>
              <w:right w:w="15" w:type="dxa"/>
            </w:tcMar>
            <w:vAlign w:val="center"/>
          </w:tcPr>
          <w:p w14:paraId="0B4AA41F">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政府性基金预算财政拨款收入支出决算表</w:t>
            </w:r>
          </w:p>
        </w:tc>
      </w:tr>
      <w:tr w14:paraId="49D1F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4977E5A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49A5EA5">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486CAC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500810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BC5A8B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CC19D2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158B0A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DC0BCA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B5887C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6E0811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财决公开10表</w:t>
            </w:r>
          </w:p>
        </w:tc>
      </w:tr>
      <w:tr w14:paraId="27D9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gridSpan w:val="4"/>
            <w:tcBorders>
              <w:top w:val="nil"/>
              <w:left w:val="nil"/>
              <w:bottom w:val="nil"/>
              <w:right w:val="nil"/>
            </w:tcBorders>
            <w:shd w:val="clear" w:color="auto" w:fill="auto"/>
            <w:noWrap/>
            <w:tcMar>
              <w:top w:w="15" w:type="dxa"/>
              <w:left w:w="15" w:type="dxa"/>
              <w:right w:w="15" w:type="dxa"/>
            </w:tcMar>
            <w:vAlign w:val="bottom"/>
          </w:tcPr>
          <w:p w14:paraId="23966BE6">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bottom"/>
          </w:tcPr>
          <w:p w14:paraId="7F3138C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C02ED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bottom"/>
          </w:tcPr>
          <w:p w14:paraId="282F9C78">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7A719C9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45E809E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4B1CC3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670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83F60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38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53027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72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85918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47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C9344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5263"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56105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0313B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7796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B768F9E">
            <w:pPr>
              <w:jc w:val="center"/>
              <w:rPr>
                <w:rFonts w:hint="eastAsia" w:ascii="宋体" w:hAnsi="宋体" w:eastAsia="宋体" w:cs="宋体"/>
                <w:i w:val="0"/>
                <w:color w:val="000000"/>
                <w:sz w:val="22"/>
                <w:szCs w:val="22"/>
                <w:u w:val="none"/>
              </w:rPr>
            </w:pPr>
          </w:p>
        </w:tc>
        <w:tc>
          <w:tcPr>
            <w:tcW w:w="138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D3DFAA7">
            <w:pPr>
              <w:jc w:val="center"/>
              <w:rPr>
                <w:rFonts w:hint="eastAsia" w:ascii="宋体" w:hAnsi="宋体" w:eastAsia="宋体" w:cs="宋体"/>
                <w:i w:val="0"/>
                <w:color w:val="000000"/>
                <w:sz w:val="22"/>
                <w:szCs w:val="22"/>
                <w:u w:val="none"/>
              </w:rPr>
            </w:pPr>
          </w:p>
        </w:tc>
        <w:tc>
          <w:tcPr>
            <w:tcW w:w="172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8453731">
            <w:pPr>
              <w:jc w:val="center"/>
              <w:rPr>
                <w:rFonts w:hint="eastAsia" w:ascii="宋体" w:hAnsi="宋体" w:eastAsia="宋体" w:cs="宋体"/>
                <w:i w:val="0"/>
                <w:color w:val="000000"/>
                <w:sz w:val="22"/>
                <w:szCs w:val="22"/>
                <w:u w:val="none"/>
              </w:rPr>
            </w:pPr>
          </w:p>
        </w:tc>
        <w:tc>
          <w:tcPr>
            <w:tcW w:w="147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839F006">
            <w:pPr>
              <w:jc w:val="center"/>
              <w:rPr>
                <w:rFonts w:hint="eastAsia" w:ascii="宋体" w:hAnsi="宋体" w:eastAsia="宋体" w:cs="宋体"/>
                <w:i w:val="0"/>
                <w:color w:val="000000"/>
                <w:sz w:val="22"/>
                <w:szCs w:val="22"/>
                <w:u w:val="none"/>
              </w:rPr>
            </w:pPr>
          </w:p>
        </w:tc>
        <w:tc>
          <w:tcPr>
            <w:tcW w:w="18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D51C6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839"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46C5A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55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47836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B3082BB">
            <w:pPr>
              <w:jc w:val="center"/>
              <w:rPr>
                <w:rFonts w:hint="eastAsia" w:ascii="宋体" w:hAnsi="宋体" w:eastAsia="宋体" w:cs="宋体"/>
                <w:i w:val="0"/>
                <w:color w:val="000000"/>
                <w:sz w:val="22"/>
                <w:szCs w:val="22"/>
                <w:u w:val="none"/>
              </w:rPr>
            </w:pPr>
          </w:p>
        </w:tc>
      </w:tr>
      <w:tr w14:paraId="6894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29E1E0C">
            <w:pPr>
              <w:jc w:val="center"/>
              <w:rPr>
                <w:rFonts w:hint="eastAsia" w:ascii="宋体" w:hAnsi="宋体" w:eastAsia="宋体" w:cs="宋体"/>
                <w:i w:val="0"/>
                <w:color w:val="000000"/>
                <w:sz w:val="22"/>
                <w:szCs w:val="22"/>
                <w:u w:val="none"/>
              </w:rPr>
            </w:pPr>
          </w:p>
        </w:tc>
        <w:tc>
          <w:tcPr>
            <w:tcW w:w="138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EA2F82C">
            <w:pPr>
              <w:jc w:val="center"/>
              <w:rPr>
                <w:rFonts w:hint="eastAsia" w:ascii="宋体" w:hAnsi="宋体" w:eastAsia="宋体" w:cs="宋体"/>
                <w:i w:val="0"/>
                <w:color w:val="000000"/>
                <w:sz w:val="22"/>
                <w:szCs w:val="22"/>
                <w:u w:val="none"/>
              </w:rPr>
            </w:pPr>
          </w:p>
        </w:tc>
        <w:tc>
          <w:tcPr>
            <w:tcW w:w="172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00A9AC1">
            <w:pPr>
              <w:jc w:val="center"/>
              <w:rPr>
                <w:rFonts w:hint="eastAsia" w:ascii="宋体" w:hAnsi="宋体" w:eastAsia="宋体" w:cs="宋体"/>
                <w:i w:val="0"/>
                <w:color w:val="000000"/>
                <w:sz w:val="22"/>
                <w:szCs w:val="22"/>
                <w:u w:val="none"/>
              </w:rPr>
            </w:pPr>
          </w:p>
        </w:tc>
        <w:tc>
          <w:tcPr>
            <w:tcW w:w="147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D2CB1A1">
            <w:pPr>
              <w:jc w:val="center"/>
              <w:rPr>
                <w:rFonts w:hint="eastAsia" w:ascii="宋体" w:hAnsi="宋体" w:eastAsia="宋体" w:cs="宋体"/>
                <w:i w:val="0"/>
                <w:color w:val="000000"/>
                <w:sz w:val="22"/>
                <w:szCs w:val="22"/>
                <w:u w:val="none"/>
              </w:rPr>
            </w:pPr>
          </w:p>
        </w:tc>
        <w:tc>
          <w:tcPr>
            <w:tcW w:w="18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3839503">
            <w:pPr>
              <w:jc w:val="center"/>
              <w:rPr>
                <w:rFonts w:hint="eastAsia" w:ascii="宋体" w:hAnsi="宋体" w:eastAsia="宋体" w:cs="宋体"/>
                <w:i w:val="0"/>
                <w:color w:val="000000"/>
                <w:sz w:val="22"/>
                <w:szCs w:val="22"/>
                <w:u w:val="none"/>
              </w:rPr>
            </w:pPr>
          </w:p>
        </w:tc>
        <w:tc>
          <w:tcPr>
            <w:tcW w:w="1839"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0E636ED">
            <w:pPr>
              <w:jc w:val="center"/>
              <w:rPr>
                <w:rFonts w:hint="eastAsia" w:ascii="宋体" w:hAnsi="宋体" w:eastAsia="宋体" w:cs="宋体"/>
                <w:i w:val="0"/>
                <w:color w:val="000000"/>
                <w:sz w:val="22"/>
                <w:szCs w:val="22"/>
                <w:u w:val="none"/>
              </w:rPr>
            </w:pPr>
          </w:p>
        </w:tc>
        <w:tc>
          <w:tcPr>
            <w:tcW w:w="155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6F269DD">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EB879A5">
            <w:pPr>
              <w:jc w:val="center"/>
              <w:rPr>
                <w:rFonts w:hint="eastAsia" w:ascii="宋体" w:hAnsi="宋体" w:eastAsia="宋体" w:cs="宋体"/>
                <w:i w:val="0"/>
                <w:color w:val="000000"/>
                <w:sz w:val="22"/>
                <w:szCs w:val="22"/>
                <w:u w:val="none"/>
              </w:rPr>
            </w:pPr>
          </w:p>
        </w:tc>
      </w:tr>
      <w:tr w14:paraId="03B0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546F9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46780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64E4C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38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57FE0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651F50D">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 表 无 数 据</w:t>
            </w:r>
          </w:p>
        </w:tc>
      </w:tr>
      <w:tr w14:paraId="026B5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14:paraId="49F1E7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5D524997">
      <w:pPr>
        <w:pStyle w:val="2"/>
      </w:pPr>
    </w:p>
    <w:p w14:paraId="676BB63B"/>
    <w:p w14:paraId="04C68823">
      <w:pPr>
        <w:pStyle w:val="2"/>
      </w:pPr>
    </w:p>
    <w:p w14:paraId="521E9492"/>
    <w:p w14:paraId="715EFE1F">
      <w:pPr>
        <w:pStyle w:val="2"/>
      </w:pPr>
    </w:p>
    <w:p w14:paraId="02C57813"/>
    <w:p w14:paraId="5EF92D82">
      <w:pPr>
        <w:pStyle w:val="2"/>
      </w:pPr>
    </w:p>
    <w:p w14:paraId="2700934A"/>
    <w:p w14:paraId="000174B8">
      <w:pPr>
        <w:pStyle w:val="2"/>
      </w:pPr>
    </w:p>
    <w:p w14:paraId="4B8530AD"/>
    <w:p w14:paraId="188C2163">
      <w:pPr>
        <w:pStyle w:val="2"/>
      </w:pPr>
    </w:p>
    <w:p w14:paraId="46CFF0DE"/>
    <w:p w14:paraId="4246DFB8">
      <w:pPr>
        <w:pStyle w:val="2"/>
      </w:pPr>
    </w:p>
    <w:tbl>
      <w:tblPr>
        <w:tblStyle w:val="16"/>
        <w:tblW w:w="103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430"/>
        <w:gridCol w:w="432"/>
        <w:gridCol w:w="432"/>
        <w:gridCol w:w="1271"/>
        <w:gridCol w:w="1872"/>
        <w:gridCol w:w="1017"/>
        <w:gridCol w:w="1022"/>
        <w:gridCol w:w="1872"/>
      </w:tblGrid>
      <w:tr w14:paraId="5C703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0348" w:type="dxa"/>
            <w:gridSpan w:val="8"/>
            <w:tcBorders>
              <w:top w:val="nil"/>
              <w:left w:val="nil"/>
              <w:bottom w:val="nil"/>
              <w:right w:val="nil"/>
            </w:tcBorders>
            <w:shd w:val="clear" w:color="auto" w:fill="auto"/>
            <w:noWrap/>
            <w:tcMar>
              <w:top w:w="15" w:type="dxa"/>
              <w:left w:w="15" w:type="dxa"/>
              <w:right w:w="15" w:type="dxa"/>
            </w:tcMar>
            <w:vAlign w:val="center"/>
          </w:tcPr>
          <w:p w14:paraId="6543440F">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国有资本经营预算财政拨款收入支出决算表</w:t>
            </w:r>
          </w:p>
        </w:tc>
      </w:tr>
      <w:tr w14:paraId="18E78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77CB08B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8FABF3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ED3D5E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4601F6F">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892613D">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56DF6D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DFB349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257FE9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财决公开11表</w:t>
            </w:r>
          </w:p>
        </w:tc>
      </w:tr>
      <w:tr w14:paraId="514B7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bottom"/>
          </w:tcPr>
          <w:p w14:paraId="0A7EE2A0">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bottom"/>
          </w:tcPr>
          <w:p w14:paraId="776030C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48CFF5C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196DD35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00540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2BCF1C2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0B21AC4">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BD16DB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13BB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3461"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F613F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A3BD6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56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C1F30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578"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9ECA5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BADA4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4E67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6"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2952B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165"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9CED0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9EC487E">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5BDFC0E">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A92F7CE">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A873E52">
            <w:pPr>
              <w:jc w:val="center"/>
              <w:rPr>
                <w:rFonts w:hint="eastAsia" w:ascii="宋体" w:hAnsi="宋体" w:eastAsia="宋体" w:cs="宋体"/>
                <w:i w:val="0"/>
                <w:color w:val="000000"/>
                <w:sz w:val="22"/>
                <w:szCs w:val="22"/>
                <w:u w:val="none"/>
              </w:rPr>
            </w:pPr>
          </w:p>
        </w:tc>
      </w:tr>
      <w:tr w14:paraId="70BDD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3A7A216">
            <w:pPr>
              <w:jc w:val="center"/>
              <w:rPr>
                <w:rFonts w:hint="eastAsia" w:ascii="宋体" w:hAnsi="宋体" w:eastAsia="宋体" w:cs="宋体"/>
                <w:i w:val="0"/>
                <w:color w:val="000000"/>
                <w:sz w:val="22"/>
                <w:szCs w:val="22"/>
                <w:u w:val="none"/>
              </w:rPr>
            </w:pPr>
          </w:p>
        </w:tc>
        <w:tc>
          <w:tcPr>
            <w:tcW w:w="216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4CE6298">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0E934B7">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B2A222A">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FBA2BA2">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02724F9">
            <w:pPr>
              <w:jc w:val="center"/>
              <w:rPr>
                <w:rFonts w:hint="eastAsia" w:ascii="宋体" w:hAnsi="宋体" w:eastAsia="宋体" w:cs="宋体"/>
                <w:i w:val="0"/>
                <w:color w:val="000000"/>
                <w:sz w:val="22"/>
                <w:szCs w:val="22"/>
                <w:u w:val="none"/>
              </w:rPr>
            </w:pPr>
          </w:p>
        </w:tc>
      </w:tr>
      <w:tr w14:paraId="62FFB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90BA88A">
            <w:pPr>
              <w:jc w:val="center"/>
              <w:rPr>
                <w:rFonts w:hint="eastAsia" w:ascii="宋体" w:hAnsi="宋体" w:eastAsia="宋体" w:cs="宋体"/>
                <w:i w:val="0"/>
                <w:color w:val="000000"/>
                <w:sz w:val="22"/>
                <w:szCs w:val="22"/>
                <w:u w:val="none"/>
              </w:rPr>
            </w:pPr>
          </w:p>
        </w:tc>
        <w:tc>
          <w:tcPr>
            <w:tcW w:w="216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8EF8D70">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D892933">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C8F5B59">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F1C5A2B">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E21D57C">
            <w:pPr>
              <w:jc w:val="center"/>
              <w:rPr>
                <w:rFonts w:hint="eastAsia" w:ascii="宋体" w:hAnsi="宋体" w:eastAsia="宋体" w:cs="宋体"/>
                <w:i w:val="0"/>
                <w:color w:val="000000"/>
                <w:sz w:val="22"/>
                <w:szCs w:val="22"/>
                <w:u w:val="none"/>
              </w:rPr>
            </w:pPr>
          </w:p>
        </w:tc>
      </w:tr>
      <w:tr w14:paraId="77C1D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29522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070D1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81109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2165"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304B3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BDAAB02">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此表无数据</w:t>
            </w:r>
          </w:p>
        </w:tc>
      </w:tr>
      <w:tr w14:paraId="1DB9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trPr>
        <w:tc>
          <w:tcPr>
            <w:tcW w:w="10348" w:type="dxa"/>
            <w:gridSpan w:val="8"/>
            <w:tcBorders>
              <w:top w:val="nil"/>
              <w:left w:val="nil"/>
              <w:bottom w:val="nil"/>
              <w:right w:val="nil"/>
            </w:tcBorders>
            <w:shd w:val="clear" w:color="auto" w:fill="auto"/>
            <w:tcMar>
              <w:top w:w="15" w:type="dxa"/>
              <w:left w:w="15" w:type="dxa"/>
              <w:right w:w="15" w:type="dxa"/>
            </w:tcMar>
            <w:vAlign w:val="center"/>
          </w:tcPr>
          <w:p w14:paraId="08D0EE0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注：本表反映部门本年度国有资本经营预算财政拨款收入、支出及结转和结余情况。</w:t>
            </w:r>
          </w:p>
        </w:tc>
      </w:tr>
    </w:tbl>
    <w:p w14:paraId="35330527"/>
    <w:p w14:paraId="6ECECAF1">
      <w:pPr>
        <w:pStyle w:val="2"/>
      </w:pPr>
    </w:p>
    <w:p w14:paraId="36FD7356"/>
    <w:p w14:paraId="6900CBD8">
      <w:pPr>
        <w:pStyle w:val="2"/>
      </w:pPr>
    </w:p>
    <w:p w14:paraId="670B2E37"/>
    <w:p w14:paraId="4FA4772D">
      <w:pPr>
        <w:pStyle w:val="2"/>
      </w:pPr>
    </w:p>
    <w:p w14:paraId="2A95DB31"/>
    <w:p w14:paraId="54B93B6C">
      <w:pPr>
        <w:pStyle w:val="2"/>
      </w:pPr>
    </w:p>
    <w:p w14:paraId="5A01E4ED"/>
    <w:p w14:paraId="1E3B277C">
      <w:pPr>
        <w:pStyle w:val="2"/>
      </w:pPr>
    </w:p>
    <w:p w14:paraId="13BB4905"/>
    <w:p w14:paraId="1D204C72">
      <w:pPr>
        <w:pStyle w:val="2"/>
      </w:pPr>
    </w:p>
    <w:tbl>
      <w:tblPr>
        <w:tblStyle w:val="16"/>
        <w:tblW w:w="11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2973"/>
        <w:gridCol w:w="2472"/>
        <w:gridCol w:w="2472"/>
        <w:gridCol w:w="2472"/>
      </w:tblGrid>
      <w:tr w14:paraId="16498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1685" w:type="dxa"/>
            <w:gridSpan w:val="7"/>
            <w:tcBorders>
              <w:top w:val="nil"/>
              <w:left w:val="nil"/>
              <w:bottom w:val="nil"/>
              <w:right w:val="nil"/>
            </w:tcBorders>
            <w:shd w:val="clear" w:color="auto" w:fill="auto"/>
            <w:noWrap/>
            <w:tcMar>
              <w:top w:w="15" w:type="dxa"/>
              <w:left w:w="15" w:type="dxa"/>
              <w:right w:w="15" w:type="dxa"/>
            </w:tcMar>
            <w:vAlign w:val="center"/>
          </w:tcPr>
          <w:p w14:paraId="4FF6D456">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国有资本经营预算财政拨款支出决算表</w:t>
            </w:r>
          </w:p>
        </w:tc>
      </w:tr>
      <w:tr w14:paraId="36A39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2D265FA7">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789E24A">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714A5AB">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78A98D2E">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4BACDAA">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27754C6">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8F7DB0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财决公开12表</w:t>
            </w:r>
          </w:p>
        </w:tc>
      </w:tr>
      <w:tr w14:paraId="4EDA6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color="auto" w:fill="auto"/>
            <w:noWrap/>
            <w:tcMar>
              <w:top w:w="15" w:type="dxa"/>
              <w:left w:w="15" w:type="dxa"/>
              <w:right w:w="15" w:type="dxa"/>
            </w:tcMar>
            <w:vAlign w:val="center"/>
          </w:tcPr>
          <w:p w14:paraId="7411B2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center"/>
          </w:tcPr>
          <w:p w14:paraId="43B1C41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252495C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C4C9DD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F25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269"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029F7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741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5B3EF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1BD6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262EA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973"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F0549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7AB70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5093A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4A781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381F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85DB6A1">
            <w:pPr>
              <w:jc w:val="center"/>
              <w:rPr>
                <w:rFonts w:hint="eastAsia" w:ascii="宋体" w:hAnsi="宋体" w:eastAsia="宋体" w:cs="宋体"/>
                <w:i w:val="0"/>
                <w:color w:val="000000"/>
                <w:sz w:val="22"/>
                <w:szCs w:val="22"/>
                <w:u w:val="none"/>
              </w:rPr>
            </w:pPr>
          </w:p>
        </w:tc>
        <w:tc>
          <w:tcPr>
            <w:tcW w:w="29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A76D37D">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8604496">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3182D8C">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B4E1522">
            <w:pPr>
              <w:jc w:val="center"/>
              <w:rPr>
                <w:rFonts w:hint="eastAsia" w:ascii="宋体" w:hAnsi="宋体" w:eastAsia="宋体" w:cs="宋体"/>
                <w:i w:val="0"/>
                <w:color w:val="000000"/>
                <w:sz w:val="22"/>
                <w:szCs w:val="22"/>
                <w:u w:val="none"/>
              </w:rPr>
            </w:pPr>
          </w:p>
        </w:tc>
      </w:tr>
      <w:tr w14:paraId="104B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AB74D1F">
            <w:pPr>
              <w:jc w:val="center"/>
              <w:rPr>
                <w:rFonts w:hint="eastAsia" w:ascii="宋体" w:hAnsi="宋体" w:eastAsia="宋体" w:cs="宋体"/>
                <w:i w:val="0"/>
                <w:color w:val="000000"/>
                <w:sz w:val="22"/>
                <w:szCs w:val="22"/>
                <w:u w:val="none"/>
              </w:rPr>
            </w:pPr>
          </w:p>
        </w:tc>
        <w:tc>
          <w:tcPr>
            <w:tcW w:w="29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8F6CD3E">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8418E60">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C82D782">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37D5E45">
            <w:pPr>
              <w:jc w:val="center"/>
              <w:rPr>
                <w:rFonts w:hint="eastAsia" w:ascii="宋体" w:hAnsi="宋体" w:eastAsia="宋体" w:cs="宋体"/>
                <w:i w:val="0"/>
                <w:color w:val="000000"/>
                <w:sz w:val="22"/>
                <w:szCs w:val="22"/>
                <w:u w:val="none"/>
              </w:rPr>
            </w:pPr>
          </w:p>
        </w:tc>
      </w:tr>
      <w:tr w14:paraId="2A22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60985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D4915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5AE7C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2973"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9ED1D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85CEFE4">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此表无数据</w:t>
            </w:r>
          </w:p>
        </w:tc>
      </w:tr>
      <w:tr w14:paraId="2F76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11685" w:type="dxa"/>
            <w:gridSpan w:val="7"/>
            <w:tcBorders>
              <w:top w:val="nil"/>
              <w:left w:val="nil"/>
              <w:bottom w:val="nil"/>
              <w:right w:val="nil"/>
            </w:tcBorders>
            <w:shd w:val="clear" w:color="auto" w:fill="auto"/>
            <w:tcMar>
              <w:top w:w="15" w:type="dxa"/>
              <w:left w:w="15" w:type="dxa"/>
              <w:right w:w="15" w:type="dxa"/>
            </w:tcMar>
            <w:vAlign w:val="center"/>
          </w:tcPr>
          <w:p w14:paraId="441231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14:paraId="4AAE6320"/>
    <w:p w14:paraId="56396484">
      <w:pPr>
        <w:rPr>
          <w:rFonts w:hint="default"/>
          <w:lang w:val="en-US" w:eastAsia="zh-CN"/>
        </w:rPr>
      </w:pPr>
      <w:r>
        <w:drawing>
          <wp:inline distT="0" distB="0" distL="114300" distR="114300">
            <wp:extent cx="8858885" cy="5132070"/>
            <wp:effectExtent l="0" t="0" r="0" b="0"/>
            <wp:docPr id="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pic:cNvPicPr>
                      <a:picLocks noChangeAspect="1"/>
                    </pic:cNvPicPr>
                  </pic:nvPicPr>
                  <pic:blipFill>
                    <a:blip r:embed="rId34"/>
                    <a:srcRect b="18057"/>
                    <a:stretch>
                      <a:fillRect/>
                    </a:stretch>
                  </pic:blipFill>
                  <pic:spPr>
                    <a:xfrm>
                      <a:off x="0" y="0"/>
                      <a:ext cx="8858885" cy="5132070"/>
                    </a:xfrm>
                    <a:prstGeom prst="rect">
                      <a:avLst/>
                    </a:prstGeom>
                    <a:noFill/>
                    <a:ln>
                      <a:noFill/>
                    </a:ln>
                  </pic:spPr>
                </pic:pic>
              </a:graphicData>
            </a:graphic>
          </wp:inline>
        </w:drawing>
      </w: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9C1AB">
    <w:pPr>
      <w:pStyle w:val="10"/>
      <w:jc w:val="center"/>
    </w:pPr>
  </w:p>
  <w:p w14:paraId="24137CB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28A56">
    <w:pPr>
      <w:pStyle w:val="10"/>
      <w:jc w:val="center"/>
    </w:pPr>
  </w:p>
  <w:p w14:paraId="03531536">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16C1E">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310BA5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7310BA58">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p w14:paraId="533EF3A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5441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posOffset>5067300</wp:posOffset>
              </wp:positionH>
              <wp:positionV relativeFrom="paragraph">
                <wp:posOffset>-111125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0AE56C4">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9pt;margin-top:-8.75pt;height:144pt;width:144pt;mso-position-horizontal-relative:margin;mso-wrap-style:none;z-index:251660288;mso-width-relative:page;mso-height-relative:page;" filled="f" stroked="f" coordsize="21600,21600" o:gfxdata="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Ck1kCm2QAAAAwBAAAPAAAAAAAAAAEAIAAAACIAAABkcnMvZG93bnJldi54&#10;bWxQSwECFAAUAAAACACHTuJAMDJ3Ut0CAAAkBgAADgAAAAAAAAABACAAAAAoAQAAZHJzL2Uyb0Rv&#10;Yy54bWxQSwUGAAAAAAYABgBZAQAAdwYAAAAA&#10;">
              <v:fill on="f" focussize="0,0"/>
              <v:stroke on="f" weight="0.5pt"/>
              <v:imagedata o:title=""/>
              <o:lock v:ext="edit" aspectratio="f"/>
              <v:textbox inset="0mm,0mm,0mm,0mm" style="mso-fit-shape-to-text:t;">
                <w:txbxContent>
                  <w:p w14:paraId="60AE56C4">
                    <w:pPr>
                      <w:pStyle w:val="10"/>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708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996FD8"/>
    <w:multiLevelType w:val="singleLevel"/>
    <w:tmpl w:val="F1996FD8"/>
    <w:lvl w:ilvl="0" w:tentative="0">
      <w:start w:val="1"/>
      <w:numFmt w:val="chineseCounting"/>
      <w:suff w:val="nothing"/>
      <w:lvlText w:val="%1、"/>
      <w:lvlJc w:val="left"/>
      <w:rPr>
        <w:rFonts w:hint="eastAsia"/>
      </w:rPr>
    </w:lvl>
  </w:abstractNum>
  <w:abstractNum w:abstractNumId="1">
    <w:nsid w:val="2148E8AE"/>
    <w:multiLevelType w:val="singleLevel"/>
    <w:tmpl w:val="2148E8AE"/>
    <w:lvl w:ilvl="0" w:tentative="0">
      <w:start w:val="1"/>
      <w:numFmt w:val="decimal"/>
      <w:lvlText w:val="%1."/>
      <w:lvlJc w:val="left"/>
      <w:pPr>
        <w:tabs>
          <w:tab w:val="left" w:pos="312"/>
        </w:tabs>
      </w:pPr>
    </w:lvl>
  </w:abstractNum>
  <w:abstractNum w:abstractNumId="2">
    <w:nsid w:val="56BE0FE7"/>
    <w:multiLevelType w:val="singleLevel"/>
    <w:tmpl w:val="56BE0FE7"/>
    <w:lvl w:ilvl="0" w:tentative="0">
      <w:start w:val="1"/>
      <w:numFmt w:val="decimal"/>
      <w:lvlText w:val="%1."/>
      <w:lvlJc w:val="left"/>
      <w:pPr>
        <w:tabs>
          <w:tab w:val="left" w:pos="312"/>
        </w:tabs>
        <w:ind w:left="-1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92B42"/>
    <w:rsid w:val="02317B1B"/>
    <w:rsid w:val="02480CA4"/>
    <w:rsid w:val="02FEBE30"/>
    <w:rsid w:val="061E35DE"/>
    <w:rsid w:val="066E0107"/>
    <w:rsid w:val="07996F6E"/>
    <w:rsid w:val="07DFD8BA"/>
    <w:rsid w:val="08DB07E4"/>
    <w:rsid w:val="09867E8F"/>
    <w:rsid w:val="0A2032A3"/>
    <w:rsid w:val="0B7901EC"/>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7A817D2"/>
    <w:rsid w:val="281408E2"/>
    <w:rsid w:val="29FD04D3"/>
    <w:rsid w:val="2BFF7BC6"/>
    <w:rsid w:val="2C8A61B5"/>
    <w:rsid w:val="2D2E01CF"/>
    <w:rsid w:val="2DF04E50"/>
    <w:rsid w:val="2E9545B0"/>
    <w:rsid w:val="2F040D46"/>
    <w:rsid w:val="2FAE5751"/>
    <w:rsid w:val="2FB1A395"/>
    <w:rsid w:val="2FD9A7D8"/>
    <w:rsid w:val="30DA7F89"/>
    <w:rsid w:val="319F7F4E"/>
    <w:rsid w:val="321B2544"/>
    <w:rsid w:val="3304709D"/>
    <w:rsid w:val="34003137"/>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6925AD"/>
    <w:rsid w:val="3B7EF35A"/>
    <w:rsid w:val="3B9FDB6C"/>
    <w:rsid w:val="3BF5BC2F"/>
    <w:rsid w:val="3CEBA265"/>
    <w:rsid w:val="3D98207C"/>
    <w:rsid w:val="3D9B0D99"/>
    <w:rsid w:val="3DEE7CF3"/>
    <w:rsid w:val="3DF02244"/>
    <w:rsid w:val="3E78745D"/>
    <w:rsid w:val="3FF4CAE0"/>
    <w:rsid w:val="3FF7B227"/>
    <w:rsid w:val="40157882"/>
    <w:rsid w:val="40E54C45"/>
    <w:rsid w:val="43A407DF"/>
    <w:rsid w:val="44515BEA"/>
    <w:rsid w:val="44E268DA"/>
    <w:rsid w:val="453F7E5B"/>
    <w:rsid w:val="481E6C8D"/>
    <w:rsid w:val="486A6C7A"/>
    <w:rsid w:val="49176D9B"/>
    <w:rsid w:val="4A627F82"/>
    <w:rsid w:val="4B0E749A"/>
    <w:rsid w:val="4B4F25DA"/>
    <w:rsid w:val="4BDA0CFB"/>
    <w:rsid w:val="4BE068DB"/>
    <w:rsid w:val="4C750EC6"/>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AB413A"/>
    <w:rsid w:val="5BDD79E6"/>
    <w:rsid w:val="5BF561CA"/>
    <w:rsid w:val="5BFF5DFC"/>
    <w:rsid w:val="5CD71FC4"/>
    <w:rsid w:val="5D1F11B5"/>
    <w:rsid w:val="5DAE1B18"/>
    <w:rsid w:val="5DE7D9E5"/>
    <w:rsid w:val="5ECEC941"/>
    <w:rsid w:val="5F493CB7"/>
    <w:rsid w:val="5FBF9FF3"/>
    <w:rsid w:val="5FCD4E2C"/>
    <w:rsid w:val="5FD15F49"/>
    <w:rsid w:val="5FEF394A"/>
    <w:rsid w:val="5FF67715"/>
    <w:rsid w:val="60C1134D"/>
    <w:rsid w:val="62792C65"/>
    <w:rsid w:val="62BF3928"/>
    <w:rsid w:val="63725CB2"/>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230AB"/>
    <w:rsid w:val="6FCE6052"/>
    <w:rsid w:val="6FD57C00"/>
    <w:rsid w:val="6FEFFFD8"/>
    <w:rsid w:val="6FF5CC65"/>
    <w:rsid w:val="6FFB47EC"/>
    <w:rsid w:val="6FFF034A"/>
    <w:rsid w:val="703231F1"/>
    <w:rsid w:val="70496804"/>
    <w:rsid w:val="712A28F1"/>
    <w:rsid w:val="715C0E4B"/>
    <w:rsid w:val="718A7ADF"/>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AC21AA"/>
    <w:rsid w:val="7CBFC87B"/>
    <w:rsid w:val="7CE315C6"/>
    <w:rsid w:val="7CFE0F48"/>
    <w:rsid w:val="7D7EC23E"/>
    <w:rsid w:val="7D916348"/>
    <w:rsid w:val="7DCD308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next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100" w:beforeAutospacing="1" w:after="100" w:afterAutospacing="1"/>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页眉 Char"/>
    <w:link w:val="11"/>
    <w:semiHidden/>
    <w:qFormat/>
    <w:locked/>
    <w:uiPriority w:val="99"/>
    <w:rPr>
      <w:sz w:val="18"/>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38">
    <w:name w:val="图表目录1"/>
    <w:basedOn w:val="1"/>
    <w:next w:val="1"/>
    <w:qFormat/>
    <w:uiPriority w:val="0"/>
    <w:pPr>
      <w:keepNext w:val="0"/>
      <w:keepLines w:val="0"/>
      <w:widowControl w:val="0"/>
      <w:suppressLineNumbers w:val="0"/>
      <w:ind w:left="200" w:leftChars="200" w:hanging="200" w:hangingChars="200"/>
      <w:jc w:val="both"/>
    </w:pPr>
    <w:rPr>
      <w:rFonts w:hint="default" w:ascii="Calibri" w:hAnsi="Calibri" w:eastAsia="仿宋_GB2312" w:cs="Times New Roman"/>
      <w:kern w:val="2"/>
      <w:sz w:val="32"/>
      <w:szCs w:val="3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manualLayout>
          <c:layoutTarget val="inner"/>
          <c:xMode val="edge"/>
          <c:yMode val="edge"/>
          <c:x val="0.07495"/>
          <c:y val="0.127"/>
          <c:w val="0.8938"/>
          <c:h val="0.716566666666667"/>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775.39</c:v>
                </c:pt>
                <c:pt idx="1">
                  <c:v>984.99</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775.39</c:v>
                </c:pt>
                <c:pt idx="1">
                  <c:v>984.99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0895732"/>
        <c:axId val="296306841"/>
      </c:barChart>
      <c:catAx>
        <c:axId val="908957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306841"/>
        <c:crosses val="autoZero"/>
        <c:auto val="1"/>
        <c:lblAlgn val="ctr"/>
        <c:lblOffset val="100"/>
        <c:noMultiLvlLbl val="0"/>
      </c:catAx>
      <c:valAx>
        <c:axId val="29630684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957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f30d4b6-2131-4449-bbdc-b756b8c902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一般公共预算支出</c:v>
                </c:pt>
              </c:strCache>
            </c:strRef>
          </c:cat>
          <c:val>
            <c:numRef>
              <c:f>Sheet1!$B$2</c:f>
              <c:numCache>
                <c:formatCode>General</c:formatCode>
                <c:ptCount val="1"/>
                <c:pt idx="0">
                  <c:v>984.99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53626f67-1f40-4150-8817-5bacc903d9a1}"/>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spc="0" normalizeH="0" baseline="0">
              <a:solidFill>
                <a:schemeClr val="dk1">
                  <a:lumMod val="50000"/>
                  <a:lumOff val="50000"/>
                </a:schemeClr>
              </a:solidFill>
              <a:latin typeface="+mj-lt"/>
              <a:ea typeface="+mj-ea"/>
              <a:cs typeface="+mj-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715.04</c:v>
                </c:pt>
                <c:pt idx="1">
                  <c:v>269.96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alpha val="50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181293-6c62-4c24-853d-1ee86d1a012d}"/>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t>财政拨款收、支决算总计变动情况</a:t>
            </a:r>
          </a:p>
        </c:rich>
      </c:tx>
      <c:layout>
        <c:manualLayout>
          <c:xMode val="edge"/>
          <c:yMode val="edge"/>
          <c:x val="0.2075"/>
          <c:y val="0.007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775.39</c:v>
                </c:pt>
                <c:pt idx="1">
                  <c:v>984.99</c:v>
                </c:pt>
              </c:numCache>
            </c:numRef>
          </c:val>
        </c:ser>
        <c:ser>
          <c:idx val="1"/>
          <c:order val="1"/>
          <c:tx>
            <c:strRef>
              <c:f>Sheet1!$C$1</c:f>
              <c:strCache>
                <c:ptCount val="1"/>
                <c:pt idx="0">
                  <c:v>支出</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Sheet1!$C$2:$C$3</c:f>
              <c:numCache>
                <c:formatCode>General</c:formatCode>
                <c:ptCount val="2"/>
                <c:pt idx="0">
                  <c:v>775.39</c:v>
                </c:pt>
                <c:pt idx="1">
                  <c:v>984.99</c:v>
                </c:pt>
              </c:numCache>
            </c:numRef>
          </c:val>
        </c:ser>
        <c:ser>
          <c:idx val="2"/>
          <c:order val="2"/>
          <c:tx>
            <c:strRef>
              <c:f>Sheet1!#REF!</c:f>
              <c:strCache>
                <c:ptCount val="1"/>
                <c:pt idx="0">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64"/>
        <c:overlap val="-22"/>
        <c:axId val="306816547"/>
        <c:axId val="534338107"/>
      </c:barChart>
      <c:catAx>
        <c:axId val="306816547"/>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338107"/>
        <c:crosses val="autoZero"/>
        <c:auto val="1"/>
        <c:lblAlgn val="ctr"/>
        <c:lblOffset val="100"/>
        <c:noMultiLvlLbl val="0"/>
      </c:catAx>
      <c:valAx>
        <c:axId val="534338107"/>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816547"/>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5f0296-0900-4f9e-a8fa-fc68ecead2a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39875"/>
          <c:y val="0.00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支出 </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775.39</c:v>
                </c:pt>
                <c:pt idx="1">
                  <c:v>984.99</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732046971"/>
        <c:axId val="386194615"/>
      </c:barChart>
      <c:catAx>
        <c:axId val="7320469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94615"/>
        <c:crosses val="autoZero"/>
        <c:auto val="1"/>
        <c:lblAlgn val="ctr"/>
        <c:lblOffset val="100"/>
        <c:noMultiLvlLbl val="0"/>
      </c:catAx>
      <c:valAx>
        <c:axId val="386194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0469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c26c65-e2e8-4cf3-93a1-556069a6a6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一般公共服务支出</c:v>
                </c:pt>
                <c:pt idx="1">
                  <c:v>社会保障和就业服务支出</c:v>
                </c:pt>
                <c:pt idx="2">
                  <c:v>卫生健康支出</c:v>
                </c:pt>
                <c:pt idx="3">
                  <c:v>住房保障支出</c:v>
                </c:pt>
              </c:strCache>
            </c:strRef>
          </c:cat>
          <c:val>
            <c:numRef>
              <c:f>Sheet1!$B$2:$B$5</c:f>
              <c:numCache>
                <c:formatCode>General</c:formatCode>
                <c:ptCount val="4"/>
                <c:pt idx="0">
                  <c:v>813.19</c:v>
                </c:pt>
                <c:pt idx="1">
                  <c:v>89.24</c:v>
                </c:pt>
                <c:pt idx="2">
                  <c:v>36.48</c:v>
                </c:pt>
                <c:pt idx="3">
                  <c:v>46.08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a70d796b-9213-4592-937d-6f1fb9a9e1cf}"/>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63</Pages>
  <Words>21</Words>
  <Characters>24</Characters>
  <Lines>61</Lines>
  <Paragraphs>17</Paragraphs>
  <TotalTime>10</TotalTime>
  <ScaleCrop>false</ScaleCrop>
  <LinksUpToDate>false</LinksUpToDate>
  <CharactersWithSpaces>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陈小马</cp:lastModifiedBy>
  <cp:lastPrinted>2026-08-03T09:27:00Z</cp:lastPrinted>
  <dcterms:modified xsi:type="dcterms:W3CDTF">2026-10-29T01:34:03Z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4215A0077260487BA6774CD1D241877F</vt:lpwstr>
  </property>
  <property fmtid="{D5CDD505-2E9C-101B-9397-08002B2CF9AE}" pid="4" name="KSOTemplateDocerSaveRecord">
    <vt:lpwstr>eyJoZGlkIjoiYTczNWRkN2M4MzI5NGNjMzhmMjhhOWZhZjQ5ZDk2ZDYiLCJ1c2VySWQiOiI3ODgwNTE2OTAifQ==</vt:lpwstr>
  </property>
</Properties>
</file>