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F41C3">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597"/>
      <w:bookmarkStart w:id="2" w:name="_Toc15377425"/>
      <w:bookmarkStart w:id="3" w:name="_Toc15306267"/>
      <w:bookmarkStart w:id="4" w:name="_Toc15378441"/>
      <w:bookmarkStart w:id="5" w:name="_Toc15396475"/>
    </w:p>
    <w:p w14:paraId="3073A482">
      <w:pPr>
        <w:pStyle w:val="8"/>
        <w:rPr>
          <w:rFonts w:hint="eastAsia" w:ascii="Times New Roman" w:hAnsi="Times New Roman" w:eastAsia="方正小标宋简体" w:cs="Times New Roman"/>
          <w:color w:val="auto"/>
          <w:kern w:val="2"/>
          <w:sz w:val="72"/>
          <w:szCs w:val="72"/>
          <w:highlight w:val="none"/>
          <w:lang w:val="en-US" w:eastAsia="zh-CN" w:bidi="ar-SA"/>
        </w:rPr>
      </w:pPr>
    </w:p>
    <w:p w14:paraId="5F7A6ABA">
      <w:pPr>
        <w:pStyle w:val="8"/>
        <w:rPr>
          <w:rFonts w:hint="eastAsia" w:ascii="Times New Roman" w:hAnsi="Times New Roman" w:eastAsia="方正小标宋简体" w:cs="Times New Roman"/>
          <w:color w:val="auto"/>
          <w:kern w:val="2"/>
          <w:sz w:val="72"/>
          <w:szCs w:val="72"/>
          <w:highlight w:val="none"/>
          <w:lang w:val="en-US" w:eastAsia="zh-CN" w:bidi="ar-SA"/>
        </w:rPr>
      </w:pPr>
    </w:p>
    <w:p w14:paraId="40338E70">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378074308"/>
      <w:r>
        <w:rPr>
          <w:rFonts w:hint="eastAsia" w:ascii="方正小标宋简体" w:hAnsi="方正小标宋简体" w:eastAsia="方正小标宋简体" w:cs="方正小标宋简体"/>
          <w:sz w:val="72"/>
          <w:szCs w:val="72"/>
          <w:lang w:val="en-US" w:eastAsia="zh-CN"/>
        </w:rPr>
        <w:t>2025</w:t>
      </w:r>
      <w:r>
        <w:rPr>
          <w:rFonts w:hint="eastAsia" w:ascii="方正小标宋简体" w:hAnsi="方正小标宋简体" w:eastAsia="方正小标宋简体" w:cs="方正小标宋简体"/>
          <w:sz w:val="72"/>
          <w:szCs w:val="72"/>
        </w:rPr>
        <w:t>年度</w:t>
      </w:r>
      <w:bookmarkEnd w:id="6"/>
    </w:p>
    <w:p w14:paraId="5058F445">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bookmarkStart w:id="7" w:name="_Toc29082"/>
      <w:bookmarkStart w:id="8" w:name="_Toc1738475241"/>
      <w:r>
        <w:rPr>
          <w:rFonts w:hint="eastAsia" w:ascii="方正小标宋简体" w:hAnsi="方正小标宋简体" w:eastAsia="方正小标宋简体" w:cs="方正小标宋简体"/>
          <w:sz w:val="72"/>
          <w:szCs w:val="72"/>
        </w:rPr>
        <w:t>四川省阿坝州九寨沟县审计局(固定资产投资审计中心）单位决算</w:t>
      </w:r>
      <w:bookmarkEnd w:id="7"/>
      <w:bookmarkEnd w:id="8"/>
    </w:p>
    <w:p w14:paraId="0E194A43">
      <w:pPr>
        <w:rPr>
          <w:rFonts w:ascii="Times New Roman" w:hAnsi="Times New Roman"/>
        </w:rPr>
      </w:pPr>
    </w:p>
    <w:p w14:paraId="2119286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2ED2E0F">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6853B81">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145D80D7">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454A13B7">
      <w:pPr>
        <w:widowControl/>
        <w:jc w:val="center"/>
        <w:rPr>
          <w:rFonts w:hint="eastAsia" w:ascii="Times New Roman" w:hAnsi="Times New Roman" w:eastAsia="黑体"/>
          <w:color w:val="auto"/>
          <w:sz w:val="48"/>
          <w:szCs w:val="48"/>
          <w:highlight w:val="none"/>
        </w:rPr>
      </w:pPr>
    </w:p>
    <w:p w14:paraId="6D6B8A64">
      <w:pPr>
        <w:widowControl/>
        <w:jc w:val="center"/>
        <w:rPr>
          <w:rFonts w:hint="eastAsia" w:ascii="Times New Roman" w:hAnsi="Times New Roman" w:eastAsia="黑体"/>
          <w:color w:val="auto"/>
          <w:sz w:val="48"/>
          <w:szCs w:val="48"/>
          <w:highlight w:val="none"/>
        </w:rPr>
        <w:sectPr>
          <w:footerReference r:id="rId3" w:type="default"/>
          <w:pgSz w:w="11915" w:h="16851"/>
          <w:pgMar w:top="1440" w:right="1800" w:bottom="1440" w:left="1800" w:header="851" w:footer="992" w:gutter="0"/>
          <w:pgNumType w:fmt="decimal" w:start="1"/>
          <w:cols w:space="0" w:num="1"/>
          <w:docGrid w:type="lines" w:linePitch="312" w:charSpace="0"/>
        </w:sectPr>
      </w:pPr>
    </w:p>
    <w:p w14:paraId="7A749E5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B3BE7AC">
      <w:pPr>
        <w:widowControl/>
        <w:jc w:val="center"/>
        <w:rPr>
          <w:rFonts w:ascii="Times New Roman" w:hAnsi="Times New Roman" w:eastAsia="黑体" w:cstheme="minorBidi"/>
          <w:color w:val="auto"/>
          <w:sz w:val="28"/>
          <w:szCs w:val="28"/>
          <w:highlight w:val="none"/>
        </w:rPr>
      </w:pPr>
    </w:p>
    <w:p w14:paraId="30701723">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29</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587405659"/>
        <w15:color w:val="DBDBDB"/>
        <w:docPartObj>
          <w:docPartGallery w:val="Table of Contents"/>
          <w:docPartUnique/>
        </w:docPartObj>
      </w:sdtPr>
      <w:sdtEndPr>
        <w:rPr>
          <w:rFonts w:hint="eastAsia" w:ascii="方正仿宋_GBK" w:hAnsi="方正仿宋_GBK" w:eastAsia="方正仿宋_GBK" w:cs="方正仿宋_GBK"/>
          <w:b/>
          <w:color w:val="auto"/>
          <w:kern w:val="2"/>
          <w:sz w:val="32"/>
          <w:szCs w:val="32"/>
          <w:highlight w:val="none"/>
          <w:lang w:val="en-US" w:eastAsia="zh-CN" w:bidi="ar-SA"/>
        </w:rPr>
      </w:sdtEndPr>
      <w:sdtContent>
        <w:p w14:paraId="3CB5385A">
          <w:pPr>
            <w:spacing w:before="0" w:beforeLines="0" w:after="0" w:afterLines="0" w:line="240" w:lineRule="auto"/>
            <w:ind w:left="0" w:leftChars="0" w:right="0" w:rightChars="0" w:firstLine="0" w:firstLineChars="0"/>
            <w:jc w:val="center"/>
          </w:pPr>
        </w:p>
        <w:p w14:paraId="317D4FDC">
          <w:pPr>
            <w:pStyle w:val="13"/>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color w:val="auto"/>
              <w:sz w:val="32"/>
              <w:szCs w:val="32"/>
              <w:highlight w:val="none"/>
            </w:rPr>
            <w:instrText xml:space="preserve">TOC \o "1-2" \h \u </w:instrText>
          </w:r>
          <w:r>
            <w:rPr>
              <w:rFonts w:hint="eastAsia" w:ascii="方正仿宋_GBK" w:hAnsi="方正仿宋_GBK" w:eastAsia="方正仿宋_GBK" w:cs="方正仿宋_GBK"/>
              <w:color w:val="auto"/>
              <w:sz w:val="32"/>
              <w:szCs w:val="32"/>
              <w:highlight w:val="none"/>
            </w:rPr>
            <w:fldChar w:fldCharType="separate"/>
          </w:r>
        </w:p>
        <w:p w14:paraId="633191B0">
          <w:pPr>
            <w:pStyle w:val="13"/>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_Toc2056494431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第一部分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部门概况</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_Toc2056494431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693D818B">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_Toc1570175156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lang w:eastAsia="zh-CN"/>
            </w:rPr>
            <w:t xml:space="preserve">一、 </w:t>
          </w:r>
          <w:r>
            <w:rPr>
              <w:rFonts w:hint="eastAsia" w:ascii="方正仿宋_GBK" w:hAnsi="方正仿宋_GBK" w:eastAsia="方正仿宋_GBK" w:cs="方正仿宋_GBK"/>
              <w:sz w:val="32"/>
              <w:szCs w:val="32"/>
              <w:highlight w:val="none"/>
              <w:lang w:eastAsia="zh-CN"/>
            </w:rPr>
            <w:t>部门职责</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_Toc1570175156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4E3A959F">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_Toc1293459914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二、机</w:t>
          </w:r>
          <w:r>
            <w:rPr>
              <w:rFonts w:hint="eastAsia" w:ascii="方正仿宋_GBK" w:hAnsi="方正仿宋_GBK" w:eastAsia="方正仿宋_GBK" w:cs="方正仿宋_GBK"/>
              <w:bCs w:val="0"/>
              <w:sz w:val="32"/>
              <w:szCs w:val="32"/>
              <w:highlight w:val="none"/>
            </w:rPr>
            <w:t>构设置</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_Toc1293459914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4B960834">
          <w:pPr>
            <w:pStyle w:val="13"/>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_Toc587480162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第二部分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w:t>
          </w:r>
          <w:r>
            <w:rPr>
              <w:rFonts w:hint="eastAsia" w:ascii="方正仿宋_GBK" w:hAnsi="方正仿宋_GBK" w:eastAsia="方正仿宋_GBK" w:cs="方正仿宋_GBK"/>
              <w:b/>
              <w:bCs/>
              <w:sz w:val="32"/>
              <w:szCs w:val="32"/>
              <w:highlight w:val="none"/>
              <w:lang w:val="en-US" w:eastAsia="zh-CN"/>
            </w:rPr>
            <w:t>2025年度</w:t>
          </w:r>
          <w:r>
            <w:rPr>
              <w:rFonts w:hint="eastAsia" w:ascii="方正仿宋_GBK" w:hAnsi="方正仿宋_GBK" w:eastAsia="方正仿宋_GBK" w:cs="方正仿宋_GBK"/>
              <w:b/>
              <w:bCs/>
              <w:sz w:val="32"/>
              <w:szCs w:val="32"/>
              <w:highlight w:val="none"/>
            </w:rPr>
            <w:t>部门决算情况说明</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_Toc587480162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2</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2674D3EB">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_Toc982016214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一、</w:t>
          </w:r>
          <w:r>
            <w:rPr>
              <w:rFonts w:hint="eastAsia" w:ascii="方正仿宋_GBK" w:hAnsi="方正仿宋_GBK" w:eastAsia="方正仿宋_GBK" w:cs="方正仿宋_GBK"/>
              <w:sz w:val="32"/>
              <w:szCs w:val="32"/>
              <w:highlight w:val="none"/>
            </w:rPr>
            <w:t>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_Toc982016214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03C2972D">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_Toc563107214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二、收入决算情况说明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_Toc563107214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2B359AB1">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_Toc1803333837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三、</w:t>
          </w:r>
          <w:r>
            <w:rPr>
              <w:rFonts w:hint="eastAsia" w:ascii="方正仿宋_GBK" w:hAnsi="方正仿宋_GBK" w:eastAsia="方正仿宋_GBK" w:cs="方正仿宋_GBK"/>
              <w:sz w:val="32"/>
              <w:szCs w:val="32"/>
              <w:highlight w:val="none"/>
            </w:rPr>
            <w:t>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_Toc1803333837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5AD34FA7">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_Toc956139581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四、财政拨款收入支出决算总体情况说明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_Toc956139581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593CDD22">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_Toc1824985258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五、一般公共预算财政拨款支出决算情况说明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_Toc1824985258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4</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0A7C5406">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_Toc259748908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六、一般公共预算财政拨款基本支出决算情况说明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_Toc259748908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6</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6C807893">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_Toc465788974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七、财政拨款“三公”经费支出决算情况说明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_Toc465788974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6CC15ECE">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_Toc497145217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八、政府性基金预算支出决算情况说明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_Toc497145217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3F522EF1">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_Toc794061087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九、</w:t>
          </w:r>
          <w:r>
            <w:rPr>
              <w:rFonts w:hint="eastAsia" w:ascii="方正仿宋_GBK" w:hAnsi="方正仿宋_GBK" w:eastAsia="方正仿宋_GBK" w:cs="方正仿宋_GBK"/>
              <w:sz w:val="32"/>
              <w:szCs w:val="32"/>
              <w:highlight w:val="none"/>
            </w:rPr>
            <w:t>国有资本经营预算支出决算情况说明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_Toc794061087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34A5BC01">
          <w:pPr>
            <w:pStyle w:val="15"/>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_Toc1229819613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十、</w:t>
          </w:r>
          <w:r>
            <w:rPr>
              <w:rFonts w:hint="eastAsia" w:ascii="方正仿宋_GBK" w:hAnsi="方正仿宋_GBK" w:eastAsia="方正仿宋_GBK" w:cs="方正仿宋_GBK"/>
              <w:sz w:val="32"/>
              <w:szCs w:val="32"/>
              <w:highlight w:val="none"/>
            </w:rPr>
            <w:t>其他重要事项的情况说明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_Toc1229819613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54905B57">
          <w:pPr>
            <w:pStyle w:val="13"/>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_Toc1170155435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rPr>
            <w:t>第三部分 名词解释</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_Toc1170155435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9</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467A03E1">
          <w:pPr>
            <w:pStyle w:val="13"/>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_Toc102891749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第四部分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附件</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_Toc102891749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12</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414B324C">
          <w:pPr>
            <w:pStyle w:val="13"/>
            <w:keepNext w:val="0"/>
            <w:keepLines w:val="0"/>
            <w:pageBreakBefore w:val="0"/>
            <w:widowControl w:val="0"/>
            <w:tabs>
              <w:tab w:val="right" w:leader="dot" w:pos="8315"/>
              <w:tab w:val="clear" w:pos="8296"/>
            </w:tabs>
            <w:kinsoku/>
            <w:wordWrap/>
            <w:overflowPunct/>
            <w:topLinePunct w:val="0"/>
            <w:autoSpaceDE/>
            <w:autoSpaceDN/>
            <w:bidi w:val="0"/>
            <w:spacing w:line="520" w:lineRule="exac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_Toc1911616778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第五部分 附表</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_Toc1911616778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13</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r>
            <w:rPr>
              <w:rFonts w:hint="eastAsia" w:ascii="方正仿宋_GBK" w:hAnsi="方正仿宋_GBK" w:eastAsia="方正仿宋_GBK" w:cs="方正仿宋_GBK"/>
              <w:color w:val="auto"/>
              <w:sz w:val="32"/>
              <w:szCs w:val="32"/>
              <w:highlight w:val="none"/>
            </w:rPr>
            <w:fldChar w:fldCharType="end"/>
          </w:r>
        </w:p>
        <w:p w14:paraId="052F448D">
          <w:pPr>
            <w:pStyle w:val="13"/>
            <w:keepNext w:val="0"/>
            <w:keepLines w:val="0"/>
            <w:pageBreakBefore w:val="0"/>
            <w:widowControl w:val="0"/>
            <w:tabs>
              <w:tab w:val="right" w:leader="dot" w:pos="8315"/>
              <w:tab w:val="clear" w:pos="8296"/>
            </w:tabs>
            <w:kinsoku/>
            <w:wordWrap/>
            <w:overflowPunct/>
            <w:topLinePunct w:val="0"/>
            <w:autoSpaceDE/>
            <w:autoSpaceDN/>
            <w:bidi w:val="0"/>
            <w:spacing w:line="520" w:lineRule="exact"/>
            <w:ind w:firstLine="320" w:firstLineChars="1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一、收入支出决算总表</w:t>
          </w:r>
        </w:p>
        <w:p w14:paraId="2AF14BD9">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二、收入决算表</w:t>
          </w:r>
        </w:p>
        <w:p w14:paraId="5D047E04">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三、支出决算表</w:t>
          </w:r>
          <w:bookmarkStart w:id="82" w:name="_GoBack"/>
          <w:bookmarkEnd w:id="82"/>
        </w:p>
        <w:p w14:paraId="1B7D21BC">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四、财政拨款收入支出决算总表</w:t>
          </w:r>
        </w:p>
        <w:p w14:paraId="6D3D0E69">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五、财政拨款支出决算明细表</w:t>
          </w:r>
        </w:p>
        <w:p w14:paraId="18E537EA">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六、一般公共预算财政拨款支出决算表</w:t>
          </w:r>
        </w:p>
        <w:p w14:paraId="630DD0C0">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七、一般公共预算财政拨款支出决算明细表</w:t>
          </w:r>
        </w:p>
        <w:p w14:paraId="2D1CFE2F">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八、一般公共预算财政拨款基本支出决算表</w:t>
          </w:r>
        </w:p>
        <w:p w14:paraId="0FAE324D">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九、一般公共预算财政拨款项目支出决算表</w:t>
          </w:r>
        </w:p>
        <w:p w14:paraId="762FE93C">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十、政府性基金预算财政拨款收入支出决算表</w:t>
          </w:r>
        </w:p>
        <w:p w14:paraId="679406ED">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十一、国有资本经营预算</w:t>
          </w:r>
          <w:r>
            <w:rPr>
              <w:rFonts w:hint="eastAsia" w:ascii="方正仿宋_GBK" w:hAnsi="方正仿宋_GBK" w:eastAsia="方正仿宋_GBK" w:cs="方正仿宋_GBK"/>
              <w:color w:val="auto"/>
              <w:sz w:val="32"/>
              <w:szCs w:val="32"/>
              <w:highlight w:val="none"/>
              <w:lang w:eastAsia="zh-CN"/>
            </w:rPr>
            <w:t>财政拨款收入</w:t>
          </w:r>
          <w:r>
            <w:rPr>
              <w:rFonts w:hint="eastAsia" w:ascii="方正仿宋_GBK" w:hAnsi="方正仿宋_GBK" w:eastAsia="方正仿宋_GBK" w:cs="方正仿宋_GBK"/>
              <w:color w:val="auto"/>
              <w:sz w:val="32"/>
              <w:szCs w:val="32"/>
              <w:highlight w:val="none"/>
            </w:rPr>
            <w:t>支出决算表</w:t>
          </w:r>
        </w:p>
        <w:p w14:paraId="2711613E">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十二、</w:t>
          </w:r>
          <w:r>
            <w:rPr>
              <w:rFonts w:hint="eastAsia" w:ascii="方正仿宋_GBK" w:hAnsi="方正仿宋_GBK" w:eastAsia="方正仿宋_GBK" w:cs="方正仿宋_GBK"/>
              <w:color w:val="auto"/>
              <w:sz w:val="32"/>
              <w:szCs w:val="32"/>
              <w:highlight w:val="none"/>
              <w:lang w:eastAsia="zh-CN"/>
            </w:rPr>
            <w:t>国有资本经营预算财政拨款支出决算表</w:t>
          </w:r>
        </w:p>
        <w:p w14:paraId="2D725BD7">
          <w:pPr>
            <w:pStyle w:val="15"/>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十三、</w:t>
          </w:r>
          <w:r>
            <w:rPr>
              <w:rFonts w:hint="eastAsia" w:ascii="方正仿宋_GBK" w:hAnsi="方正仿宋_GBK" w:eastAsia="方正仿宋_GBK" w:cs="方正仿宋_GBK"/>
              <w:color w:val="auto"/>
              <w:sz w:val="32"/>
              <w:szCs w:val="32"/>
              <w:highlight w:val="none"/>
              <w:lang w:eastAsia="zh-CN"/>
            </w:rPr>
            <w:t>财政拨款“三公”经费支出决算表</w:t>
          </w:r>
        </w:p>
        <w:p w14:paraId="05C1174D">
          <w:pPr>
            <w:keepNext w:val="0"/>
            <w:keepLines w:val="0"/>
            <w:pageBreakBefore w:val="0"/>
            <w:widowControl w:val="0"/>
            <w:kinsoku/>
            <w:wordWrap/>
            <w:overflowPunct/>
            <w:topLinePunct w:val="0"/>
            <w:autoSpaceDE/>
            <w:autoSpaceDN/>
            <w:bidi w:val="0"/>
            <w:spacing w:line="520" w:lineRule="exact"/>
            <w:textAlignment w:val="auto"/>
            <w:rPr>
              <w:rFonts w:hint="eastAsia" w:ascii="方正仿宋_GBK" w:hAnsi="方正仿宋_GBK" w:eastAsia="方正仿宋_GBK" w:cs="方正仿宋_GBK"/>
              <w:b/>
              <w:color w:val="auto"/>
              <w:kern w:val="2"/>
              <w:sz w:val="32"/>
              <w:szCs w:val="32"/>
              <w:highlight w:val="none"/>
              <w:lang w:val="en-US" w:eastAsia="zh-CN" w:bidi="ar-SA"/>
            </w:rPr>
          </w:pPr>
        </w:p>
      </w:sdtContent>
    </w:sdt>
    <w:p w14:paraId="50B1B816">
      <w:pPr>
        <w:pStyle w:val="2"/>
        <w:keepNext w:val="0"/>
        <w:keepLines w:val="0"/>
        <w:pageBreakBefore w:val="0"/>
        <w:widowControl w:val="0"/>
        <w:kinsoku/>
        <w:wordWrap/>
        <w:overflowPunct/>
        <w:topLinePunct w:val="0"/>
        <w:autoSpaceDE/>
        <w:autoSpaceDN/>
        <w:bidi w:val="0"/>
        <w:spacing w:line="520" w:lineRule="exact"/>
        <w:textAlignment w:val="auto"/>
        <w:rPr>
          <w:rFonts w:hint="eastAsia" w:ascii="方正仿宋_GBK" w:hAnsi="方正仿宋_GBK" w:eastAsia="方正仿宋_GBK" w:cs="方正仿宋_GBK"/>
          <w:sz w:val="32"/>
          <w:szCs w:val="32"/>
        </w:rPr>
      </w:pPr>
    </w:p>
    <w:p w14:paraId="0111AE42">
      <w:pPr>
        <w:pStyle w:val="5"/>
        <w:keepNext/>
        <w:keepLines/>
        <w:pageBreakBefore w:val="0"/>
        <w:widowControl w:val="0"/>
        <w:kinsoku/>
        <w:wordWrap/>
        <w:overflowPunct/>
        <w:topLinePunct w:val="0"/>
        <w:autoSpaceDE/>
        <w:autoSpaceDN/>
        <w:bidi w:val="0"/>
        <w:adjustRightInd/>
        <w:snapToGrid/>
        <w:spacing w:line="579" w:lineRule="auto"/>
        <w:jc w:val="center"/>
        <w:textAlignment w:val="auto"/>
        <w:outlineLvl w:val="9"/>
        <w:rPr>
          <w:rFonts w:hint="eastAsia" w:ascii="Times New Roman" w:hAnsi="Times New Roman" w:eastAsia="方正小标宋简体" w:cs="方正小标宋简体"/>
          <w:b w:val="0"/>
          <w:color w:val="auto"/>
          <w:highlight w:val="none"/>
        </w:rPr>
      </w:pPr>
      <w:bookmarkStart w:id="9" w:name="_Toc15396599"/>
      <w:bookmarkStart w:id="10" w:name="_Toc15377196"/>
    </w:p>
    <w:p w14:paraId="5E2F89D4">
      <w:pPr>
        <w:pStyle w:val="5"/>
        <w:keepNext/>
        <w:keepLines/>
        <w:pageBreakBefore w:val="0"/>
        <w:widowControl w:val="0"/>
        <w:kinsoku/>
        <w:wordWrap/>
        <w:overflowPunct/>
        <w:topLinePunct w:val="0"/>
        <w:autoSpaceDE/>
        <w:autoSpaceDN/>
        <w:bidi w:val="0"/>
        <w:adjustRightInd/>
        <w:snapToGrid/>
        <w:spacing w:line="579" w:lineRule="auto"/>
        <w:jc w:val="center"/>
        <w:textAlignment w:val="auto"/>
        <w:outlineLvl w:val="9"/>
        <w:rPr>
          <w:rFonts w:hint="eastAsia" w:ascii="Times New Roman" w:hAnsi="Times New Roman" w:eastAsia="方正小标宋简体" w:cs="方正小标宋简体"/>
          <w:b w:val="0"/>
          <w:color w:val="auto"/>
          <w:highlight w:val="none"/>
        </w:rPr>
      </w:pPr>
    </w:p>
    <w:p w14:paraId="4AF8FC86">
      <w:pPr>
        <w:pStyle w:val="5"/>
        <w:keepNext/>
        <w:keepLines/>
        <w:pageBreakBefore w:val="0"/>
        <w:widowControl w:val="0"/>
        <w:kinsoku/>
        <w:wordWrap/>
        <w:overflowPunct/>
        <w:topLinePunct w:val="0"/>
        <w:autoSpaceDE/>
        <w:autoSpaceDN/>
        <w:bidi w:val="0"/>
        <w:adjustRightInd/>
        <w:snapToGrid/>
        <w:spacing w:line="579" w:lineRule="auto"/>
        <w:jc w:val="center"/>
        <w:textAlignment w:val="auto"/>
        <w:outlineLvl w:val="9"/>
        <w:rPr>
          <w:rFonts w:hint="eastAsia" w:ascii="Times New Roman" w:hAnsi="Times New Roman" w:eastAsia="方正小标宋简体" w:cs="方正小标宋简体"/>
          <w:b w:val="0"/>
          <w:color w:val="auto"/>
          <w:highlight w:val="none"/>
        </w:rPr>
      </w:pPr>
    </w:p>
    <w:p w14:paraId="08591046">
      <w:pPr>
        <w:pStyle w:val="5"/>
        <w:keepNext/>
        <w:keepLines/>
        <w:pageBreakBefore w:val="0"/>
        <w:widowControl w:val="0"/>
        <w:kinsoku/>
        <w:wordWrap/>
        <w:overflowPunct/>
        <w:topLinePunct w:val="0"/>
        <w:autoSpaceDE/>
        <w:autoSpaceDN/>
        <w:bidi w:val="0"/>
        <w:adjustRightInd/>
        <w:snapToGrid/>
        <w:spacing w:line="579" w:lineRule="auto"/>
        <w:jc w:val="both"/>
        <w:textAlignment w:val="auto"/>
        <w:rPr>
          <w:rFonts w:hint="eastAsia" w:ascii="Times New Roman" w:hAnsi="Times New Roman" w:eastAsia="方正小标宋简体" w:cs="方正小标宋简体"/>
          <w:b w:val="0"/>
          <w:color w:val="auto"/>
          <w:highlight w:val="none"/>
        </w:rPr>
      </w:pPr>
      <w:bookmarkStart w:id="11" w:name="_Toc2056494431"/>
    </w:p>
    <w:p w14:paraId="3DA9E00D">
      <w:pPr>
        <w:rPr>
          <w:rFonts w:hint="eastAsia" w:ascii="Times New Roman" w:hAnsi="Times New Roman" w:eastAsia="方正小标宋简体" w:cs="方正小标宋简体"/>
          <w:b w:val="0"/>
          <w:color w:val="auto"/>
          <w:highlight w:val="none"/>
        </w:rPr>
      </w:pPr>
    </w:p>
    <w:p w14:paraId="7DD48640">
      <w:pPr>
        <w:pStyle w:val="2"/>
        <w:rPr>
          <w:rFonts w:hint="eastAsia"/>
        </w:rPr>
      </w:pPr>
    </w:p>
    <w:p w14:paraId="6E9C2057">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sectPr>
          <w:footerReference r:id="rId4" w:type="default"/>
          <w:pgSz w:w="11915" w:h="16851"/>
          <w:pgMar w:top="1440" w:right="1800" w:bottom="1440" w:left="1800" w:header="851" w:footer="992" w:gutter="0"/>
          <w:pgNumType w:fmt="decimal" w:start="1"/>
          <w:cols w:space="0" w:num="1"/>
          <w:docGrid w:type="lines" w:linePitch="312" w:charSpace="0"/>
        </w:sectPr>
      </w:pPr>
    </w:p>
    <w:p w14:paraId="1E0412BC">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9"/>
      <w:bookmarkEnd w:id="10"/>
      <w:bookmarkEnd w:id="11"/>
    </w:p>
    <w:p w14:paraId="13AC5783">
      <w:pPr>
        <w:widowControl/>
        <w:jc w:val="left"/>
        <w:rPr>
          <w:rFonts w:ascii="Times New Roman" w:hAnsi="Times New Roman" w:eastAsia="黑体"/>
          <w:color w:val="auto"/>
          <w:sz w:val="32"/>
          <w:szCs w:val="32"/>
          <w:highlight w:val="none"/>
        </w:rPr>
      </w:pPr>
    </w:p>
    <w:p w14:paraId="40075C2A">
      <w:pPr>
        <w:pStyle w:val="6"/>
        <w:keepNext/>
        <w:keepLines/>
        <w:pageBreakBefore w:val="0"/>
        <w:widowControl w:val="0"/>
        <w:numPr>
          <w:ilvl w:val="0"/>
          <w:numId w:val="1"/>
        </w:numPr>
        <w:kinsoku/>
        <w:wordWrap/>
        <w:overflowPunct/>
        <w:topLinePunct w:val="0"/>
        <w:autoSpaceDE/>
        <w:autoSpaceDN/>
        <w:bidi w:val="0"/>
        <w:adjustRightInd/>
        <w:snapToGrid/>
        <w:spacing w:line="416" w:lineRule="auto"/>
        <w:textAlignment w:val="auto"/>
        <w:rPr>
          <w:rFonts w:hint="eastAsia" w:ascii="Times New Roman" w:hAnsi="Times New Roman" w:eastAsia="黑体"/>
          <w:b w:val="0"/>
          <w:color w:val="auto"/>
          <w:highlight w:val="none"/>
          <w:lang w:eastAsia="zh-CN"/>
        </w:rPr>
      </w:pPr>
      <w:bookmarkStart w:id="12" w:name="_Toc1570175156"/>
      <w:r>
        <w:rPr>
          <w:rFonts w:hint="eastAsia" w:ascii="Times New Roman" w:hAnsi="Times New Roman" w:eastAsia="黑体"/>
          <w:b w:val="0"/>
          <w:color w:val="auto"/>
          <w:highlight w:val="none"/>
          <w:lang w:eastAsia="zh-CN"/>
        </w:rPr>
        <w:t>部门职责</w:t>
      </w:r>
      <w:bookmarkEnd w:id="12"/>
    </w:p>
    <w:p w14:paraId="0D24A927">
      <w:pPr>
        <w:pStyle w:val="8"/>
        <w:keepNext w:val="0"/>
        <w:keepLines w:val="0"/>
        <w:widowControl/>
        <w:suppressLineNumbers w:val="0"/>
        <w:adjustRightInd w:val="0"/>
        <w:snapToGrid w:val="0"/>
        <w:spacing w:before="0" w:beforeLines="0" w:beforeAutospacing="0" w:after="0" w:afterAutospacing="0" w:line="560" w:lineRule="exact"/>
        <w:ind w:left="0" w:leftChars="0" w:right="0" w:firstLine="640" w:firstLineChars="200"/>
        <w:jc w:val="left"/>
        <w:rPr>
          <w:rFonts w:hint="eastAsia" w:ascii="仿宋" w:hAnsi="仿宋" w:eastAsia="仿宋" w:cs="仿宋"/>
          <w:kern w:val="0"/>
          <w:sz w:val="32"/>
          <w:szCs w:val="32"/>
          <w:shd w:val="clear" w:fill="FFFFFF"/>
        </w:rPr>
      </w:pPr>
      <w:r>
        <w:rPr>
          <w:rFonts w:hint="eastAsia" w:ascii="仿宋" w:hAnsi="仿宋" w:eastAsia="仿宋" w:cs="仿宋"/>
          <w:bCs/>
          <w:color w:val="000000"/>
          <w:kern w:val="0"/>
          <w:sz w:val="32"/>
          <w:szCs w:val="32"/>
        </w:rPr>
        <w:t>贯彻执行国家有关审计工作的法律法规和方针政策；负责对县级财政收支和法律法规规定属审计监督范围的财务收支的真实、合法和效益进行审计监督，维护国家财政经济秩序，提高</w:t>
      </w:r>
      <w:r>
        <w:rPr>
          <w:rFonts w:hint="eastAsia" w:ascii="仿宋" w:hAnsi="仿宋" w:eastAsia="仿宋" w:cs="仿宋"/>
          <w:bCs/>
          <w:color w:val="000000"/>
          <w:kern w:val="0"/>
          <w:sz w:val="32"/>
          <w:szCs w:val="32"/>
          <w:lang w:eastAsia="zh-CN"/>
        </w:rPr>
        <w:t>财政资金使用</w:t>
      </w:r>
      <w:r>
        <w:rPr>
          <w:rFonts w:hint="eastAsia" w:ascii="仿宋" w:hAnsi="仿宋" w:eastAsia="仿宋" w:cs="仿宋"/>
          <w:bCs/>
          <w:color w:val="000000"/>
          <w:kern w:val="0"/>
          <w:sz w:val="32"/>
          <w:szCs w:val="32"/>
        </w:rPr>
        <w:t>效益，促进廉政建设；向县长提出县级预算执行和其他财政收支情况审计结果报告，受政府委托向县人大提出县级预算执行和其他财政收支情况的审计工作报告；依据《</w:t>
      </w:r>
      <w:r>
        <w:rPr>
          <w:rFonts w:hint="eastAsia" w:ascii="仿宋" w:hAnsi="仿宋" w:eastAsia="仿宋" w:cs="仿宋"/>
          <w:bCs/>
          <w:color w:val="000000"/>
          <w:kern w:val="0"/>
          <w:sz w:val="32"/>
          <w:szCs w:val="32"/>
          <w:lang w:eastAsia="zh-CN"/>
        </w:rPr>
        <w:t>中华人民共和国审计法</w:t>
      </w:r>
      <w:r>
        <w:rPr>
          <w:rFonts w:hint="eastAsia" w:ascii="仿宋" w:hAnsi="仿宋" w:eastAsia="仿宋" w:cs="仿宋"/>
          <w:bCs/>
          <w:color w:val="000000"/>
          <w:kern w:val="0"/>
          <w:sz w:val="32"/>
          <w:szCs w:val="32"/>
        </w:rPr>
        <w:t>》等规定，直接审计乡级、县级各部门预算的执行情况、决算和其他财政收支，政府投资和以政府投资为主的建设项目预算执行情况等。</w:t>
      </w:r>
    </w:p>
    <w:p w14:paraId="5E5397FD">
      <w:pPr>
        <w:numPr>
          <w:ilvl w:val="0"/>
          <w:numId w:val="0"/>
        </w:numPr>
        <w:rPr>
          <w:rFonts w:hint="eastAsia"/>
          <w:lang w:eastAsia="zh-CN"/>
        </w:rPr>
      </w:pPr>
    </w:p>
    <w:p w14:paraId="0EC0F933">
      <w:pPr>
        <w:pStyle w:val="6"/>
        <w:rPr>
          <w:rStyle w:val="30"/>
          <w:rFonts w:ascii="Times New Roman" w:hAnsi="Times New Roman"/>
          <w:b w:val="0"/>
          <w:bCs w:val="0"/>
          <w:color w:val="auto"/>
          <w:highlight w:val="none"/>
        </w:rPr>
      </w:pPr>
      <w:bookmarkStart w:id="13" w:name="_Toc1293459914"/>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3"/>
      <w:bookmarkEnd w:id="14"/>
      <w:bookmarkEnd w:id="15"/>
    </w:p>
    <w:p w14:paraId="2B201E6C">
      <w:pPr>
        <w:keepNext w:val="0"/>
        <w:keepLines w:val="0"/>
        <w:widowControl/>
        <w:suppressLineNumbers w:val="0"/>
        <w:autoSpaceDE w:val="0"/>
        <w:autoSpaceDN/>
        <w:spacing w:before="0" w:beforeAutospacing="0" w:after="0" w:afterAutospacing="0" w:line="560" w:lineRule="exact"/>
        <w:ind w:right="0" w:rightChars="0" w:firstLine="640" w:firstLineChars="200"/>
        <w:jc w:val="left"/>
        <w:rPr>
          <w:rFonts w:hint="default" w:ascii="仿宋_GB2312" w:hAnsi="宋体" w:eastAsia="仿宋_GB2312" w:cs="宋体"/>
          <w:b w:val="0"/>
          <w:bCs w:val="0"/>
          <w:color w:val="000000"/>
          <w:kern w:val="0"/>
          <w:sz w:val="32"/>
          <w:szCs w:val="32"/>
        </w:rPr>
      </w:pPr>
      <w:r>
        <w:rPr>
          <w:rFonts w:hint="eastAsia" w:ascii="仿宋_GB2312" w:hAnsi="宋体" w:eastAsia="仿宋_GB2312" w:cs="仿宋_GB2312"/>
          <w:b w:val="0"/>
          <w:bCs w:val="0"/>
          <w:color w:val="000000"/>
          <w:kern w:val="0"/>
          <w:sz w:val="32"/>
          <w:szCs w:val="32"/>
          <w:lang w:eastAsia="zh-CN"/>
        </w:rPr>
        <w:t>九寨沟县</w:t>
      </w:r>
      <w:r>
        <w:rPr>
          <w:rFonts w:hint="default" w:ascii="仿宋_GB2312" w:hAnsi="宋体" w:eastAsia="仿宋_GB2312" w:cs="仿宋_GB2312"/>
          <w:b w:val="0"/>
          <w:bCs w:val="0"/>
          <w:color w:val="000000"/>
          <w:kern w:val="0"/>
          <w:sz w:val="32"/>
          <w:szCs w:val="32"/>
        </w:rPr>
        <w:t>固定资产投资审计中心是</w:t>
      </w:r>
      <w:r>
        <w:rPr>
          <w:rFonts w:hint="eastAsia" w:ascii="仿宋_GB2312" w:hAnsi="宋体" w:eastAsia="仿宋_GB2312" w:cs="仿宋_GB2312"/>
          <w:b w:val="0"/>
          <w:bCs w:val="0"/>
          <w:color w:val="000000"/>
          <w:kern w:val="0"/>
          <w:sz w:val="32"/>
          <w:szCs w:val="32"/>
          <w:lang w:eastAsia="zh-CN"/>
        </w:rPr>
        <w:t>九寨沟县</w:t>
      </w:r>
      <w:r>
        <w:rPr>
          <w:rFonts w:hint="eastAsia" w:ascii="仿宋" w:hAnsi="仿宋" w:eastAsia="仿宋" w:cs="仿宋"/>
          <w:bCs/>
          <w:color w:val="000000"/>
          <w:kern w:val="0"/>
          <w:sz w:val="32"/>
          <w:szCs w:val="32"/>
        </w:rPr>
        <w:t>审计局下设</w:t>
      </w:r>
      <w:r>
        <w:rPr>
          <w:rFonts w:hint="default" w:ascii="仿宋_GB2312" w:hAnsi="宋体" w:eastAsia="仿宋_GB2312" w:cs="仿宋_GB2312"/>
          <w:b w:val="0"/>
          <w:bCs w:val="0"/>
          <w:color w:val="000000"/>
          <w:kern w:val="0"/>
          <w:sz w:val="32"/>
          <w:szCs w:val="32"/>
        </w:rPr>
        <w:t>公益一类全额拨款事业单位。</w:t>
      </w:r>
    </w:p>
    <w:p w14:paraId="26679030">
      <w:pPr>
        <w:pStyle w:val="36"/>
        <w:keepNext w:val="0"/>
        <w:keepLines w:val="0"/>
        <w:widowControl/>
        <w:suppressLineNumbers w:val="0"/>
        <w:spacing w:before="0" w:beforeAutospacing="0" w:after="0" w:afterAutospacing="0" w:line="560" w:lineRule="exact"/>
        <w:ind w:left="0" w:leftChars="0" w:right="0" w:rightChars="0" w:firstLine="723" w:firstLineChars="200"/>
        <w:jc w:val="left"/>
        <w:rPr>
          <w:rFonts w:hint="eastAsia" w:ascii="宋体" w:hAnsi="宋体" w:eastAsia="宋体" w:cs="宋体"/>
          <w:b/>
          <w:bCs/>
          <w:kern w:val="0"/>
          <w:sz w:val="36"/>
          <w:szCs w:val="36"/>
          <w:shd w:val="clear" w:fill="FFFFFF"/>
        </w:rPr>
      </w:pPr>
      <w:r>
        <w:rPr>
          <w:rFonts w:hint="eastAsia" w:ascii="宋体" w:hAnsi="宋体" w:eastAsia="宋体" w:cs="宋体"/>
          <w:b/>
          <w:bCs/>
          <w:kern w:val="0"/>
          <w:sz w:val="36"/>
          <w:szCs w:val="36"/>
          <w:shd w:val="clear" w:fill="FFFFFF"/>
        </w:rPr>
        <w:t xml:space="preserve"> </w:t>
      </w:r>
    </w:p>
    <w:p w14:paraId="6F63C8C6">
      <w:pPr>
        <w:pStyle w:val="5"/>
        <w:keepNext/>
        <w:keepLines/>
        <w:pageBreakBefore w:val="0"/>
        <w:widowControl w:val="0"/>
        <w:kinsoku/>
        <w:wordWrap/>
        <w:overflowPunct/>
        <w:topLinePunct w:val="0"/>
        <w:autoSpaceDE/>
        <w:autoSpaceDN/>
        <w:bidi w:val="0"/>
        <w:adjustRightInd/>
        <w:snapToGrid/>
        <w:spacing w:line="579" w:lineRule="auto"/>
        <w:jc w:val="center"/>
        <w:textAlignment w:val="auto"/>
        <w:outlineLvl w:val="9"/>
        <w:rPr>
          <w:rFonts w:hint="eastAsia" w:ascii="Times New Roman" w:hAnsi="Times New Roman" w:eastAsia="方正小标宋简体" w:cs="方正小标宋简体"/>
          <w:b w:val="0"/>
          <w:color w:val="auto"/>
          <w:highlight w:val="none"/>
        </w:rPr>
      </w:pPr>
      <w:bookmarkStart w:id="16" w:name="_Toc15396602"/>
      <w:bookmarkStart w:id="17" w:name="_Toc15377204"/>
    </w:p>
    <w:p w14:paraId="5FEB3BAF">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bookmarkStart w:id="18" w:name="_Toc58748016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6"/>
      <w:bookmarkEnd w:id="17"/>
      <w:bookmarkEnd w:id="18"/>
    </w:p>
    <w:p w14:paraId="45B51C07">
      <w:pPr>
        <w:rPr>
          <w:rFonts w:ascii="Times New Roman" w:hAnsi="Times New Roman"/>
          <w:color w:val="auto"/>
          <w:highlight w:val="none"/>
        </w:rPr>
      </w:pPr>
    </w:p>
    <w:p w14:paraId="28A2832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9" w:name="_Toc15377205"/>
      <w:bookmarkStart w:id="20" w:name="_Toc15396603"/>
      <w:bookmarkStart w:id="21" w:name="_Toc982016214"/>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9"/>
      <w:bookmarkEnd w:id="20"/>
      <w:bookmarkEnd w:id="21"/>
    </w:p>
    <w:p w14:paraId="06057E0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均为184.41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7.81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4.42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有人员增加。</w:t>
      </w:r>
    </w:p>
    <w:p w14:paraId="3DCF31A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eastAsia="zh-CN"/>
        </w:rPr>
      </w:pPr>
      <w:r>
        <w:rPr>
          <w:rFonts w:hint="eastAsia" w:ascii="仿宋" w:hAnsi="仿宋" w:eastAsia="仿宋"/>
          <w:sz w:val="32"/>
          <w:szCs w:val="32"/>
          <w:lang w:eastAsia="zh-CN"/>
        </w:rPr>
        <w:drawing>
          <wp:anchor distT="0" distB="0" distL="114300" distR="114300" simplePos="0" relativeHeight="251659264" behindDoc="1" locked="0" layoutInCell="1" allowOverlap="1">
            <wp:simplePos x="0" y="0"/>
            <wp:positionH relativeFrom="column">
              <wp:posOffset>687705</wp:posOffset>
            </wp:positionH>
            <wp:positionV relativeFrom="paragraph">
              <wp:posOffset>26670</wp:posOffset>
            </wp:positionV>
            <wp:extent cx="3940175" cy="2078355"/>
            <wp:effectExtent l="4445" t="4445" r="17780" b="12700"/>
            <wp:wrapTight wrapText="bothSides">
              <wp:wrapPolygon>
                <wp:start x="-24" y="-46"/>
                <wp:lineTo x="-24" y="21534"/>
                <wp:lineTo x="21489" y="21534"/>
                <wp:lineTo x="21489" y="-46"/>
                <wp:lineTo x="-24" y="-46"/>
              </wp:wrapPolygon>
            </wp:wrapTight>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5BF735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eastAsia="zh-CN"/>
        </w:rPr>
      </w:pPr>
    </w:p>
    <w:p w14:paraId="0C8A6F3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val="en-US" w:eastAsia="zh-CN"/>
        </w:rPr>
      </w:pPr>
    </w:p>
    <w:p w14:paraId="400CE2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2F28B7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77206"/>
      <w:bookmarkStart w:id="23" w:name="_Toc563107214"/>
      <w:bookmarkStart w:id="24" w:name="_Toc15396604"/>
      <w:r>
        <w:rPr>
          <w:rFonts w:hint="eastAsia" w:ascii="Times New Roman" w:hAnsi="Times New Roman" w:eastAsia="黑体"/>
          <w:color w:val="auto"/>
          <w:sz w:val="32"/>
          <w:szCs w:val="32"/>
          <w:highlight w:val="none"/>
          <w:lang w:eastAsia="zh-CN"/>
        </w:rPr>
        <w:t>二、收入决算情况说明</w:t>
      </w:r>
      <w:bookmarkEnd w:id="22"/>
      <w:bookmarkEnd w:id="23"/>
      <w:bookmarkEnd w:id="24"/>
    </w:p>
    <w:p w14:paraId="175835A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Times New Roman" w:hAnsi="Times New Roman" w:eastAsia="仿宋_GB2312" w:cs="仿宋_GB2312"/>
          <w:color w:val="auto"/>
          <w:sz w:val="32"/>
          <w:szCs w:val="32"/>
          <w:highlight w:val="none"/>
          <w:lang w:eastAsia="zh-CN"/>
        </w:rPr>
        <w:t>184.41</w:t>
      </w:r>
      <w:r>
        <w:rPr>
          <w:rFonts w:hint="eastAsia" w:ascii="仿宋_GB2312" w:hAnsi="仿宋_GB2312" w:eastAsia="仿宋_GB2312" w:cs="仿宋_GB2312"/>
          <w:sz w:val="32"/>
          <w:szCs w:val="32"/>
        </w:rPr>
        <w:t>万元，其中：一般公共预算财政拨款收入</w:t>
      </w:r>
      <w:r>
        <w:rPr>
          <w:rFonts w:hint="eastAsia" w:ascii="Times New Roman" w:hAnsi="Times New Roman" w:eastAsia="仿宋_GB2312" w:cs="仿宋_GB2312"/>
          <w:color w:val="auto"/>
          <w:sz w:val="32"/>
          <w:szCs w:val="32"/>
          <w:highlight w:val="none"/>
          <w:lang w:eastAsia="zh-CN"/>
        </w:rPr>
        <w:t>184.41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797AA4A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 w:hAnsi="仿宋" w:eastAsia="仿宋"/>
          <w:sz w:val="32"/>
          <w:szCs w:val="32"/>
          <w:lang w:eastAsia="zh-CN"/>
        </w:rPr>
        <w:drawing>
          <wp:anchor distT="0" distB="0" distL="114300" distR="114300" simplePos="0" relativeHeight="251660288" behindDoc="0" locked="0" layoutInCell="1" allowOverlap="1">
            <wp:simplePos x="0" y="0"/>
            <wp:positionH relativeFrom="column">
              <wp:posOffset>748665</wp:posOffset>
            </wp:positionH>
            <wp:positionV relativeFrom="paragraph">
              <wp:posOffset>-588010</wp:posOffset>
            </wp:positionV>
            <wp:extent cx="4183380" cy="2226945"/>
            <wp:effectExtent l="4445" t="5080" r="22225" b="1587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EBA05F7">
      <w:pPr>
        <w:ind w:firstLine="800" w:firstLineChars="250"/>
        <w:rPr>
          <w:rFonts w:hint="eastAsia" w:ascii="Times New Roman" w:hAnsi="Times New Roman" w:eastAsia="仿宋_GB2312" w:cs="仿宋_GB2312"/>
          <w:color w:val="auto"/>
          <w:sz w:val="32"/>
          <w:szCs w:val="32"/>
          <w:highlight w:val="none"/>
          <w:lang w:eastAsia="zh-CN"/>
        </w:rPr>
      </w:pPr>
    </w:p>
    <w:p w14:paraId="74078046">
      <w:pPr>
        <w:ind w:firstLine="800" w:firstLineChars="250"/>
        <w:rPr>
          <w:rFonts w:hint="eastAsia" w:ascii="Times New Roman" w:hAnsi="Times New Roman" w:eastAsia="仿宋_GB2312" w:cs="仿宋_GB2312"/>
          <w:color w:val="auto"/>
          <w:sz w:val="32"/>
          <w:szCs w:val="32"/>
          <w:highlight w:val="none"/>
          <w:lang w:eastAsia="zh-CN"/>
        </w:rPr>
      </w:pPr>
    </w:p>
    <w:p w14:paraId="4D6103F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w:t>
      </w:r>
    </w:p>
    <w:p w14:paraId="0B6032B4">
      <w:pPr>
        <w:ind w:left="1758" w:leftChars="456" w:hanging="800" w:hangingChars="250"/>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图2：收入决算结构图）（饼状图）</w:t>
      </w:r>
    </w:p>
    <w:p w14:paraId="7B83140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5" w:name="_Toc15377207"/>
      <w:bookmarkStart w:id="26" w:name="_Toc15396605"/>
      <w:bookmarkStart w:id="27" w:name="_Toc180333383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5"/>
      <w:bookmarkEnd w:id="26"/>
      <w:bookmarkEnd w:id="27"/>
    </w:p>
    <w:p w14:paraId="06C48B2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Times New Roman" w:hAnsi="Times New Roman" w:eastAsia="仿宋_GB2312" w:cs="仿宋_GB2312"/>
          <w:color w:val="auto"/>
          <w:sz w:val="32"/>
          <w:szCs w:val="32"/>
          <w:highlight w:val="none"/>
          <w:lang w:eastAsia="zh-CN"/>
        </w:rPr>
        <w:t>184.41</w:t>
      </w:r>
      <w:r>
        <w:rPr>
          <w:rFonts w:hint="eastAsia" w:ascii="仿宋_GB2312" w:hAnsi="仿宋_GB2312" w:eastAsia="仿宋_GB2312" w:cs="仿宋_GB2312"/>
          <w:color w:val="auto"/>
          <w:sz w:val="32"/>
          <w:szCs w:val="32"/>
          <w:highlight w:val="none"/>
          <w:lang w:eastAsia="zh-CN"/>
        </w:rPr>
        <w:t>万元，其中：基本支出</w:t>
      </w:r>
      <w:r>
        <w:rPr>
          <w:rFonts w:hint="eastAsia" w:ascii="Times New Roman" w:hAnsi="Times New Roman" w:eastAsia="仿宋_GB2312" w:cs="仿宋_GB2312"/>
          <w:color w:val="auto"/>
          <w:sz w:val="32"/>
          <w:szCs w:val="32"/>
          <w:highlight w:val="none"/>
          <w:lang w:eastAsia="zh-CN"/>
        </w:rPr>
        <w:t>184.41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0F92E364">
      <w:pPr>
        <w:ind w:firstLine="525" w:firstLineChars="250"/>
        <w:rPr>
          <w:rFonts w:hint="eastAsia" w:ascii="Times New Roman" w:hAnsi="Times New Roman" w:eastAsia="仿宋_GB2312" w:cs="仿宋_GB2312"/>
          <w:color w:val="auto"/>
          <w:sz w:val="32"/>
          <w:szCs w:val="32"/>
          <w:highlight w:val="none"/>
          <w:lang w:eastAsia="zh-CN"/>
        </w:rPr>
      </w:pPr>
      <w:r>
        <w:rPr>
          <w:rFonts w:hint="eastAsia" w:eastAsia="仿宋"/>
          <w:lang w:eastAsia="zh-CN"/>
        </w:rPr>
        <w:drawing>
          <wp:anchor distT="0" distB="0" distL="114300" distR="114300" simplePos="0" relativeHeight="251661312" behindDoc="1" locked="0" layoutInCell="1" allowOverlap="1">
            <wp:simplePos x="0" y="0"/>
            <wp:positionH relativeFrom="column">
              <wp:posOffset>1018540</wp:posOffset>
            </wp:positionH>
            <wp:positionV relativeFrom="paragraph">
              <wp:posOffset>111760</wp:posOffset>
            </wp:positionV>
            <wp:extent cx="3067685" cy="2010410"/>
            <wp:effectExtent l="5080" t="4445" r="13335" b="23495"/>
            <wp:wrapTight wrapText="bothSides">
              <wp:wrapPolygon>
                <wp:start x="-36" y="-48"/>
                <wp:lineTo x="-36" y="21443"/>
                <wp:lineTo x="21560" y="21443"/>
                <wp:lineTo x="21560" y="-48"/>
                <wp:lineTo x="-36" y="-48"/>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9EBFF25">
      <w:pPr>
        <w:ind w:firstLine="800" w:firstLineChars="250"/>
        <w:rPr>
          <w:rFonts w:hint="eastAsia" w:ascii="Times New Roman" w:hAnsi="Times New Roman" w:eastAsia="仿宋_GB2312" w:cs="仿宋_GB2312"/>
          <w:color w:val="auto"/>
          <w:sz w:val="32"/>
          <w:szCs w:val="32"/>
          <w:highlight w:val="none"/>
          <w:lang w:eastAsia="zh-CN"/>
        </w:rPr>
      </w:pPr>
    </w:p>
    <w:p w14:paraId="063B192E">
      <w:pPr>
        <w:ind w:firstLine="800" w:firstLineChars="250"/>
        <w:rPr>
          <w:rFonts w:hint="eastAsia" w:ascii="Times New Roman" w:hAnsi="Times New Roman" w:eastAsia="仿宋_GB2312" w:cs="仿宋_GB2312"/>
          <w:color w:val="auto"/>
          <w:sz w:val="32"/>
          <w:szCs w:val="32"/>
          <w:highlight w:val="none"/>
          <w:lang w:eastAsia="zh-CN"/>
        </w:rPr>
      </w:pPr>
    </w:p>
    <w:p w14:paraId="1E3FD373">
      <w:pPr>
        <w:ind w:firstLine="800" w:firstLineChars="250"/>
        <w:rPr>
          <w:rFonts w:hint="eastAsia" w:ascii="Times New Roman" w:hAnsi="Times New Roman" w:eastAsia="仿宋_GB2312" w:cs="仿宋_GB2312"/>
          <w:color w:val="auto"/>
          <w:sz w:val="32"/>
          <w:szCs w:val="32"/>
          <w:highlight w:val="none"/>
          <w:lang w:eastAsia="zh-CN"/>
        </w:rPr>
      </w:pPr>
    </w:p>
    <w:p w14:paraId="77062598">
      <w:pPr>
        <w:ind w:firstLine="800" w:firstLineChars="250"/>
        <w:rPr>
          <w:rFonts w:hint="eastAsia" w:ascii="Times New Roman" w:hAnsi="Times New Roman" w:eastAsia="仿宋_GB2312" w:cs="仿宋_GB2312"/>
          <w:color w:val="auto"/>
          <w:sz w:val="32"/>
          <w:szCs w:val="32"/>
          <w:highlight w:val="none"/>
          <w:lang w:eastAsia="zh-CN"/>
        </w:rPr>
      </w:pPr>
    </w:p>
    <w:p w14:paraId="42C7B882">
      <w:pPr>
        <w:ind w:firstLine="800" w:firstLineChars="250"/>
        <w:rPr>
          <w:rFonts w:hint="eastAsia" w:ascii="Times New Roman" w:hAnsi="Times New Roman" w:eastAsia="仿宋_GB2312" w:cs="仿宋_GB2312"/>
          <w:color w:val="auto"/>
          <w:sz w:val="32"/>
          <w:szCs w:val="32"/>
          <w:highlight w:val="none"/>
          <w:lang w:eastAsia="zh-CN"/>
        </w:rPr>
      </w:pPr>
    </w:p>
    <w:p w14:paraId="21D79376">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16CD20B6">
      <w:pPr>
        <w:spacing w:line="600" w:lineRule="exact"/>
        <w:ind w:firstLine="640" w:firstLineChars="200"/>
        <w:outlineLvl w:val="1"/>
        <w:rPr>
          <w:rStyle w:val="30"/>
          <w:rFonts w:ascii="Times New Roman" w:hAnsi="Times New Roman" w:eastAsia="黑体"/>
          <w:b w:val="0"/>
          <w:color w:val="auto"/>
          <w:highlight w:val="none"/>
        </w:rPr>
      </w:pPr>
      <w:bookmarkStart w:id="28" w:name="_Toc15377208"/>
      <w:bookmarkStart w:id="29" w:name="_Toc15396606"/>
      <w:bookmarkStart w:id="30" w:name="_Toc956139581"/>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8"/>
      <w:bookmarkEnd w:id="29"/>
      <w:bookmarkEnd w:id="30"/>
    </w:p>
    <w:p w14:paraId="13EA66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Times New Roman" w:hAnsi="Times New Roman" w:eastAsia="仿宋_GB2312" w:cs="仿宋_GB2312"/>
          <w:color w:val="auto"/>
          <w:sz w:val="32"/>
          <w:szCs w:val="32"/>
          <w:highlight w:val="none"/>
          <w:lang w:eastAsia="zh-CN"/>
        </w:rPr>
        <w:t>184.41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eastAsia="仿宋_GB2312" w:cs="仿宋_GB2312"/>
          <w:color w:val="auto"/>
          <w:sz w:val="32"/>
          <w:szCs w:val="32"/>
          <w:highlight w:val="none"/>
          <w:lang w:val="en-US" w:eastAsia="zh-CN"/>
        </w:rPr>
        <w:t>7.81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4.42</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有人员增加。</w:t>
      </w:r>
    </w:p>
    <w:p w14:paraId="1702677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2336" behindDoc="1" locked="0" layoutInCell="1" allowOverlap="1">
            <wp:simplePos x="0" y="0"/>
            <wp:positionH relativeFrom="column">
              <wp:posOffset>722630</wp:posOffset>
            </wp:positionH>
            <wp:positionV relativeFrom="paragraph">
              <wp:posOffset>-381635</wp:posOffset>
            </wp:positionV>
            <wp:extent cx="3871595" cy="1931035"/>
            <wp:effectExtent l="5080" t="5080" r="9525" b="6985"/>
            <wp:wrapTight wrapText="bothSides">
              <wp:wrapPolygon>
                <wp:start x="-28" y="-57"/>
                <wp:lineTo x="-28" y="21465"/>
                <wp:lineTo x="21547" y="21465"/>
                <wp:lineTo x="21547" y="-57"/>
                <wp:lineTo x="-28" y="-57"/>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0B0989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2C38AF67">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DF10D2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139E70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56186C">
      <w:pPr>
        <w:spacing w:line="600" w:lineRule="exact"/>
        <w:ind w:firstLine="640" w:firstLineChars="200"/>
        <w:outlineLvl w:val="1"/>
        <w:rPr>
          <w:rStyle w:val="30"/>
          <w:rFonts w:ascii="Times New Roman" w:hAnsi="Times New Roman" w:eastAsia="黑体"/>
          <w:b w:val="0"/>
          <w:color w:val="auto"/>
          <w:highlight w:val="none"/>
        </w:rPr>
      </w:pPr>
      <w:bookmarkStart w:id="31" w:name="_Toc1824985258"/>
      <w:bookmarkStart w:id="32" w:name="_Toc15396607"/>
      <w:bookmarkStart w:id="33"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1"/>
      <w:bookmarkEnd w:id="32"/>
      <w:bookmarkEnd w:id="33"/>
    </w:p>
    <w:p w14:paraId="45418ED8">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14:paraId="77AC1062">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Times New Roman" w:hAnsi="Times New Roman" w:eastAsia="仿宋_GB2312" w:cs="仿宋_GB2312"/>
          <w:color w:val="auto"/>
          <w:sz w:val="32"/>
          <w:szCs w:val="32"/>
          <w:highlight w:val="none"/>
          <w:lang w:eastAsia="zh-CN"/>
        </w:rPr>
        <w:t>184.41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eastAsia="仿宋_GB2312" w:cs="仿宋_GB2312"/>
          <w:color w:val="auto"/>
          <w:sz w:val="32"/>
          <w:szCs w:val="32"/>
          <w:highlight w:val="none"/>
          <w:lang w:val="en-US" w:eastAsia="zh-CN"/>
        </w:rPr>
        <w:t>7.81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4.42</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有人员增加。</w:t>
      </w:r>
    </w:p>
    <w:p w14:paraId="1DA612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3360" behindDoc="1" locked="0" layoutInCell="1" allowOverlap="1">
            <wp:simplePos x="0" y="0"/>
            <wp:positionH relativeFrom="column">
              <wp:posOffset>619125</wp:posOffset>
            </wp:positionH>
            <wp:positionV relativeFrom="paragraph">
              <wp:posOffset>85725</wp:posOffset>
            </wp:positionV>
            <wp:extent cx="4273550" cy="2078355"/>
            <wp:effectExtent l="4445" t="4445" r="8255" b="12700"/>
            <wp:wrapTight wrapText="bothSides">
              <wp:wrapPolygon>
                <wp:start x="-22" y="-46"/>
                <wp:lineTo x="-22" y="21534"/>
                <wp:lineTo x="21545" y="21534"/>
                <wp:lineTo x="21545" y="-46"/>
                <wp:lineTo x="-22" y="-46"/>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045C1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31304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5B6AD5">
      <w:pPr>
        <w:pStyle w:val="2"/>
        <w:rPr>
          <w:rFonts w:hint="eastAsia"/>
          <w:lang w:val="en-US" w:eastAsia="zh-CN"/>
        </w:rPr>
      </w:pPr>
    </w:p>
    <w:p w14:paraId="55F078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C323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184D71B">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5"/>
    </w:p>
    <w:p w14:paraId="66DCBD0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Times New Roman" w:hAnsi="Times New Roman" w:eastAsia="仿宋_GB2312" w:cs="仿宋_GB2312"/>
          <w:color w:val="auto"/>
          <w:sz w:val="32"/>
          <w:szCs w:val="32"/>
          <w:highlight w:val="none"/>
          <w:lang w:eastAsia="zh-CN"/>
        </w:rPr>
        <w:t>184.41</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一般公共服务支出140.49万元，占</w:t>
      </w:r>
      <w:r>
        <w:rPr>
          <w:rFonts w:hint="eastAsia" w:eastAsia="仿宋_GB2312" w:cs="仿宋_GB2312"/>
          <w:color w:val="auto"/>
          <w:kern w:val="2"/>
          <w:sz w:val="32"/>
          <w:szCs w:val="32"/>
          <w:highlight w:val="none"/>
          <w:lang w:val="en-US" w:eastAsia="zh-CN" w:bidi="ar-SA"/>
        </w:rPr>
        <w:t>76.18</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%；社会保障和就业支出24.50万元，占</w:t>
      </w:r>
      <w:r>
        <w:rPr>
          <w:rFonts w:hint="eastAsia" w:eastAsia="仿宋_GB2312" w:cs="仿宋_GB2312"/>
          <w:color w:val="auto"/>
          <w:kern w:val="2"/>
          <w:sz w:val="32"/>
          <w:szCs w:val="32"/>
          <w:highlight w:val="none"/>
          <w:lang w:val="en-US" w:eastAsia="zh-CN" w:bidi="ar-SA"/>
        </w:rPr>
        <w:t>13.29</w:t>
      </w:r>
      <w:r>
        <w:rPr>
          <w:rFonts w:hint="eastAsia" w:ascii="Times New Roman" w:hAnsi="Times New Roman" w:eastAsia="仿宋_GB2312" w:cs="仿宋_GB2312"/>
          <w:color w:val="auto"/>
          <w:kern w:val="2"/>
          <w:sz w:val="32"/>
          <w:szCs w:val="32"/>
          <w:highlight w:val="none"/>
          <w:lang w:val="en-US" w:eastAsia="zh-CN" w:bidi="ar-SA"/>
        </w:rPr>
        <w:t>%；卫生健康支出9.86万元，占</w:t>
      </w:r>
      <w:r>
        <w:rPr>
          <w:rFonts w:hint="eastAsia" w:eastAsia="仿宋_GB2312" w:cs="仿宋_GB2312"/>
          <w:color w:val="auto"/>
          <w:kern w:val="2"/>
          <w:sz w:val="32"/>
          <w:szCs w:val="32"/>
          <w:highlight w:val="none"/>
          <w:lang w:val="en-US" w:eastAsia="zh-CN" w:bidi="ar-SA"/>
        </w:rPr>
        <w:t>5.35</w:t>
      </w:r>
      <w:r>
        <w:rPr>
          <w:rFonts w:hint="eastAsia" w:ascii="Times New Roman" w:hAnsi="Times New Roman" w:eastAsia="仿宋_GB2312" w:cs="仿宋_GB2312"/>
          <w:color w:val="auto"/>
          <w:kern w:val="2"/>
          <w:sz w:val="32"/>
          <w:szCs w:val="32"/>
          <w:highlight w:val="none"/>
          <w:lang w:val="en-US" w:eastAsia="zh-CN" w:bidi="ar-SA"/>
        </w:rPr>
        <w:t>%；住房保障支出9.56万元，占</w:t>
      </w:r>
      <w:r>
        <w:rPr>
          <w:rFonts w:hint="eastAsia" w:eastAsia="仿宋_GB2312" w:cs="仿宋_GB2312"/>
          <w:color w:val="auto"/>
          <w:kern w:val="2"/>
          <w:sz w:val="32"/>
          <w:szCs w:val="32"/>
          <w:highlight w:val="none"/>
          <w:lang w:val="en-US" w:eastAsia="zh-CN" w:bidi="ar-SA"/>
        </w:rPr>
        <w:t>5.18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F69D610">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4384" behindDoc="1" locked="0" layoutInCell="1" allowOverlap="1">
            <wp:simplePos x="0" y="0"/>
            <wp:positionH relativeFrom="column">
              <wp:posOffset>680720</wp:posOffset>
            </wp:positionH>
            <wp:positionV relativeFrom="paragraph">
              <wp:posOffset>267970</wp:posOffset>
            </wp:positionV>
            <wp:extent cx="4431665" cy="2353945"/>
            <wp:effectExtent l="4445" t="5080" r="21590" b="22225"/>
            <wp:wrapTight wrapText="bothSides">
              <wp:wrapPolygon>
                <wp:start x="-22" y="-47"/>
                <wp:lineTo x="-22" y="21454"/>
                <wp:lineTo x="21520" y="21454"/>
                <wp:lineTo x="21520" y="-47"/>
                <wp:lineTo x="-22" y="-47"/>
              </wp:wrapPolygon>
            </wp:wrapTight>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5039C01">
      <w:pPr>
        <w:spacing w:line="600" w:lineRule="exact"/>
        <w:ind w:firstLine="640"/>
        <w:rPr>
          <w:rFonts w:hint="eastAsia" w:eastAsia="仿宋_GB2312" w:cs="仿宋_GB2312"/>
          <w:color w:val="auto"/>
          <w:kern w:val="2"/>
          <w:sz w:val="32"/>
          <w:szCs w:val="32"/>
          <w:highlight w:val="none"/>
          <w:lang w:val="en-US" w:eastAsia="zh-CN" w:bidi="ar-SA"/>
        </w:rPr>
      </w:pPr>
    </w:p>
    <w:p w14:paraId="12482FAB">
      <w:pPr>
        <w:spacing w:line="600" w:lineRule="exact"/>
        <w:ind w:firstLine="640"/>
        <w:rPr>
          <w:rFonts w:hint="eastAsia" w:eastAsia="仿宋_GB2312" w:cs="仿宋_GB2312"/>
          <w:color w:val="auto"/>
          <w:kern w:val="2"/>
          <w:sz w:val="32"/>
          <w:szCs w:val="32"/>
          <w:highlight w:val="none"/>
          <w:lang w:val="en-US" w:eastAsia="zh-CN" w:bidi="ar-SA"/>
        </w:rPr>
      </w:pPr>
    </w:p>
    <w:p w14:paraId="176B76CF">
      <w:pPr>
        <w:spacing w:line="600" w:lineRule="exact"/>
        <w:ind w:firstLine="640"/>
        <w:rPr>
          <w:rFonts w:hint="eastAsia" w:eastAsia="仿宋_GB2312" w:cs="仿宋_GB2312"/>
          <w:color w:val="auto"/>
          <w:kern w:val="2"/>
          <w:sz w:val="32"/>
          <w:szCs w:val="32"/>
          <w:highlight w:val="none"/>
          <w:lang w:val="en-US" w:eastAsia="zh-CN" w:bidi="ar-SA"/>
        </w:rPr>
      </w:pPr>
    </w:p>
    <w:p w14:paraId="5AB1D0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06898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13F250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6"/>
    </w:p>
    <w:p w14:paraId="4C3AD2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7" w:name="_Toc15377444"/>
      <w:bookmarkStart w:id="38" w:name="_Toc15377213"/>
      <w:bookmarkStart w:id="39" w:name="_Toc15378460"/>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年度一般公共预算财政拨款支出决算数为184.41</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7"/>
      <w:bookmarkEnd w:id="38"/>
      <w:bookmarkEnd w:id="39"/>
    </w:p>
    <w:p w14:paraId="7D6ECE80">
      <w:pPr>
        <w:keepNext w:val="0"/>
        <w:keepLines w:val="0"/>
        <w:widowControl/>
        <w:suppressLineNumbers w:val="0"/>
        <w:autoSpaceDE w:val="0"/>
        <w:autoSpaceDN/>
        <w:spacing w:before="0" w:beforeAutospacing="0" w:after="0" w:afterAutospacing="0" w:line="560" w:lineRule="exact"/>
        <w:ind w:left="0" w:leftChars="0" w:firstLine="643" w:firstLineChars="200"/>
        <w:rPr>
          <w:rFonts w:hint="eastAsia" w:ascii="仿宋" w:hAnsi="仿宋" w:eastAsia="仿宋" w:cs="仿宋"/>
          <w:b w:val="0"/>
          <w:bCs/>
          <w:kern w:val="0"/>
          <w:sz w:val="32"/>
          <w:szCs w:val="32"/>
          <w:shd w:val="clear" w:fill="FFFFFF"/>
        </w:rPr>
      </w:pPr>
      <w:r>
        <w:rPr>
          <w:rStyle w:val="37"/>
          <w:rFonts w:hint="eastAsia" w:ascii="仿宋" w:hAnsi="仿宋" w:eastAsia="仿宋" w:cs="仿宋"/>
          <w:b/>
          <w:bCs w:val="0"/>
          <w:kern w:val="0"/>
          <w:sz w:val="32"/>
          <w:szCs w:val="32"/>
          <w:shd w:val="clear" w:fill="FFFFFF"/>
        </w:rPr>
        <w:t xml:space="preserve">1.一般公共服务（201）审计事务（08）事业运行（50）: </w:t>
      </w:r>
      <w:r>
        <w:rPr>
          <w:rStyle w:val="37"/>
          <w:rFonts w:hint="eastAsia" w:ascii="仿宋" w:hAnsi="仿宋" w:eastAsia="仿宋" w:cs="仿宋"/>
          <w:b w:val="0"/>
          <w:bCs/>
          <w:kern w:val="0"/>
          <w:sz w:val="32"/>
          <w:szCs w:val="32"/>
          <w:shd w:val="clear" w:fill="FFFFFF"/>
        </w:rPr>
        <w:t xml:space="preserve">支出决算为140.49万元，完成预算100%。 </w:t>
      </w:r>
    </w:p>
    <w:p w14:paraId="5537873B">
      <w:pPr>
        <w:keepNext w:val="0"/>
        <w:keepLines w:val="0"/>
        <w:widowControl/>
        <w:suppressLineNumbers w:val="0"/>
        <w:autoSpaceDE w:val="0"/>
        <w:autoSpaceDN/>
        <w:spacing w:before="0" w:beforeAutospacing="0" w:after="0" w:afterAutospacing="0" w:line="560" w:lineRule="exact"/>
        <w:ind w:left="0" w:leftChars="0" w:firstLine="643" w:firstLineChars="200"/>
        <w:rPr>
          <w:rFonts w:hint="eastAsia" w:ascii="仿宋" w:hAnsi="仿宋" w:eastAsia="仿宋" w:cs="仿宋"/>
          <w:b/>
          <w:bCs w:val="0"/>
          <w:kern w:val="0"/>
          <w:sz w:val="32"/>
          <w:szCs w:val="32"/>
          <w:shd w:val="clear" w:fill="FFFFFF"/>
        </w:rPr>
      </w:pPr>
      <w:r>
        <w:rPr>
          <w:rStyle w:val="37"/>
          <w:rFonts w:hint="eastAsia" w:ascii="仿宋" w:hAnsi="仿宋" w:eastAsia="仿宋" w:cs="仿宋"/>
          <w:b/>
          <w:bCs w:val="0"/>
          <w:kern w:val="0"/>
          <w:sz w:val="32"/>
          <w:szCs w:val="32"/>
          <w:shd w:val="clear" w:fill="FFFFFF"/>
        </w:rPr>
        <w:t>2.社会保障和就业（208）行政事业单位离退休（05）机关事业单位基本养老保险缴费（05）：</w:t>
      </w:r>
      <w:r>
        <w:rPr>
          <w:rStyle w:val="37"/>
          <w:rFonts w:hint="eastAsia" w:ascii="仿宋" w:hAnsi="仿宋" w:eastAsia="仿宋" w:cs="仿宋"/>
          <w:b w:val="0"/>
          <w:bCs/>
          <w:kern w:val="0"/>
          <w:sz w:val="32"/>
          <w:szCs w:val="32"/>
          <w:shd w:val="clear" w:fill="FFFFFF"/>
        </w:rPr>
        <w:t>支出决算为16.34万元，完成预算100%；</w:t>
      </w:r>
    </w:p>
    <w:p w14:paraId="38A6851A">
      <w:pPr>
        <w:keepNext w:val="0"/>
        <w:keepLines w:val="0"/>
        <w:widowControl/>
        <w:suppressLineNumbers w:val="0"/>
        <w:autoSpaceDE w:val="0"/>
        <w:autoSpaceDN/>
        <w:spacing w:before="0" w:beforeAutospacing="0" w:after="0" w:afterAutospacing="0" w:line="560" w:lineRule="exact"/>
        <w:ind w:left="0" w:leftChars="0" w:firstLine="643" w:firstLineChars="200"/>
        <w:rPr>
          <w:rFonts w:hint="eastAsia" w:ascii="仿宋" w:hAnsi="仿宋" w:eastAsia="仿宋" w:cs="仿宋"/>
          <w:kern w:val="0"/>
          <w:sz w:val="32"/>
          <w:szCs w:val="32"/>
        </w:rPr>
      </w:pPr>
      <w:r>
        <w:rPr>
          <w:rStyle w:val="37"/>
          <w:rFonts w:hint="eastAsia" w:ascii="仿宋" w:hAnsi="仿宋" w:eastAsia="仿宋" w:cs="仿宋"/>
          <w:b/>
          <w:bCs w:val="0"/>
          <w:kern w:val="0"/>
          <w:sz w:val="32"/>
          <w:szCs w:val="32"/>
          <w:shd w:val="clear" w:fill="FFFFFF"/>
        </w:rPr>
        <w:t>3.社会保障和就业（208）行政事业单位离退休（05）机关事业单位职业年金缴费（06）:</w:t>
      </w:r>
      <w:r>
        <w:rPr>
          <w:rStyle w:val="37"/>
          <w:rFonts w:hint="eastAsia" w:ascii="仿宋" w:hAnsi="仿宋" w:eastAsia="仿宋" w:cs="仿宋"/>
          <w:b w:val="0"/>
          <w:bCs/>
          <w:kern w:val="0"/>
          <w:sz w:val="32"/>
          <w:szCs w:val="32"/>
          <w:shd w:val="clear" w:fill="FFFFFF"/>
        </w:rPr>
        <w:t>支出决算为8.17万元，完成预算100%。</w:t>
      </w:r>
    </w:p>
    <w:p w14:paraId="486AB962">
      <w:pPr>
        <w:keepNext w:val="0"/>
        <w:keepLines w:val="0"/>
        <w:widowControl/>
        <w:suppressLineNumbers w:val="0"/>
        <w:autoSpaceDE w:val="0"/>
        <w:autoSpaceDN/>
        <w:spacing w:before="0" w:beforeAutospacing="0" w:after="0" w:afterAutospacing="0" w:line="560" w:lineRule="exact"/>
        <w:ind w:left="0" w:leftChars="0" w:firstLine="643" w:firstLineChars="200"/>
        <w:rPr>
          <w:rFonts w:hint="eastAsia" w:ascii="仿宋" w:hAnsi="仿宋" w:eastAsia="仿宋" w:cs="仿宋"/>
          <w:b/>
          <w:bCs w:val="0"/>
          <w:kern w:val="0"/>
          <w:sz w:val="32"/>
          <w:szCs w:val="32"/>
          <w:shd w:val="clear" w:fill="FFFFFF"/>
        </w:rPr>
      </w:pPr>
      <w:r>
        <w:rPr>
          <w:rStyle w:val="37"/>
          <w:rFonts w:hint="eastAsia" w:ascii="仿宋" w:hAnsi="仿宋" w:eastAsia="仿宋" w:cs="仿宋"/>
          <w:b/>
          <w:bCs w:val="0"/>
          <w:kern w:val="0"/>
          <w:sz w:val="32"/>
          <w:szCs w:val="32"/>
          <w:shd w:val="clear" w:fill="FFFFFF"/>
        </w:rPr>
        <w:t>4.卫生健康（210）行政事业单位医疗（11）事业单位医疗（02）：</w:t>
      </w:r>
      <w:r>
        <w:rPr>
          <w:rStyle w:val="37"/>
          <w:rFonts w:hint="eastAsia" w:ascii="仿宋" w:hAnsi="仿宋" w:eastAsia="仿宋" w:cs="仿宋"/>
          <w:b w:val="0"/>
          <w:bCs/>
          <w:kern w:val="0"/>
          <w:sz w:val="32"/>
          <w:szCs w:val="32"/>
          <w:shd w:val="clear" w:fill="FFFFFF"/>
        </w:rPr>
        <w:t>支出决算为8.19万元，完成预算100%。</w:t>
      </w:r>
    </w:p>
    <w:p w14:paraId="06413191">
      <w:pPr>
        <w:keepNext w:val="0"/>
        <w:keepLines w:val="0"/>
        <w:widowControl/>
        <w:suppressLineNumbers w:val="0"/>
        <w:autoSpaceDE w:val="0"/>
        <w:autoSpaceDN/>
        <w:spacing w:before="0" w:beforeAutospacing="0" w:after="0" w:afterAutospacing="0" w:line="560" w:lineRule="exact"/>
        <w:ind w:left="0" w:leftChars="0" w:firstLine="643" w:firstLineChars="200"/>
        <w:rPr>
          <w:rFonts w:hint="eastAsia" w:ascii="仿宋" w:hAnsi="仿宋" w:eastAsia="仿宋" w:cs="仿宋"/>
          <w:b/>
          <w:bCs w:val="0"/>
          <w:kern w:val="0"/>
          <w:sz w:val="32"/>
          <w:szCs w:val="32"/>
          <w:shd w:val="clear" w:fill="FFFFFF"/>
        </w:rPr>
      </w:pPr>
      <w:r>
        <w:rPr>
          <w:rStyle w:val="37"/>
          <w:rFonts w:hint="eastAsia" w:ascii="仿宋" w:hAnsi="仿宋" w:eastAsia="仿宋" w:cs="仿宋"/>
          <w:b/>
          <w:bCs w:val="0"/>
          <w:kern w:val="0"/>
          <w:sz w:val="32"/>
          <w:szCs w:val="32"/>
          <w:shd w:val="clear" w:fill="FFFFFF"/>
        </w:rPr>
        <w:t>5.卫生健康（210）行政事业单位医疗（11）其他卫生健康管理事务（99）：</w:t>
      </w:r>
      <w:r>
        <w:rPr>
          <w:rStyle w:val="37"/>
          <w:rFonts w:hint="eastAsia" w:ascii="仿宋" w:hAnsi="仿宋" w:eastAsia="仿宋" w:cs="仿宋"/>
          <w:b w:val="0"/>
          <w:bCs/>
          <w:kern w:val="0"/>
          <w:sz w:val="32"/>
          <w:szCs w:val="32"/>
          <w:shd w:val="clear" w:fill="FFFFFF"/>
        </w:rPr>
        <w:t>支出决算为1.67万元，完成预算100%。</w:t>
      </w:r>
    </w:p>
    <w:p w14:paraId="57410AFE">
      <w:pPr>
        <w:keepNext w:val="0"/>
        <w:keepLines w:val="0"/>
        <w:widowControl/>
        <w:suppressLineNumbers w:val="0"/>
        <w:autoSpaceDE w:val="0"/>
        <w:autoSpaceDN/>
        <w:spacing w:before="0" w:beforeAutospacing="0" w:after="0" w:afterAutospacing="0" w:line="560" w:lineRule="exact"/>
        <w:ind w:left="0" w:leftChars="0" w:firstLine="643" w:firstLineChars="200"/>
        <w:rPr>
          <w:rStyle w:val="37"/>
          <w:rFonts w:hint="eastAsia" w:ascii="仿宋" w:hAnsi="仿宋" w:eastAsia="仿宋" w:cs="仿宋"/>
          <w:b w:val="0"/>
          <w:bCs/>
          <w:kern w:val="0"/>
          <w:sz w:val="32"/>
          <w:szCs w:val="32"/>
          <w:shd w:val="clear" w:fill="FFFFFF"/>
        </w:rPr>
      </w:pPr>
      <w:r>
        <w:rPr>
          <w:rStyle w:val="37"/>
          <w:rFonts w:hint="eastAsia" w:ascii="仿宋" w:hAnsi="仿宋" w:eastAsia="仿宋" w:cs="仿宋"/>
          <w:b/>
          <w:bCs w:val="0"/>
          <w:kern w:val="0"/>
          <w:sz w:val="32"/>
          <w:szCs w:val="32"/>
          <w:shd w:val="clear" w:fill="FFFFFF"/>
        </w:rPr>
        <w:t>6.住房保障（221）住房改革（02）住房</w:t>
      </w:r>
      <w:r>
        <w:rPr>
          <w:rStyle w:val="37"/>
          <w:rFonts w:hint="eastAsia" w:ascii="宋体" w:hAnsi="宋体" w:eastAsia="宋体" w:cs="宋体"/>
          <w:b/>
          <w:bCs w:val="0"/>
          <w:kern w:val="0"/>
          <w:sz w:val="24"/>
          <w:szCs w:val="24"/>
          <w:shd w:val="clear" w:fill="FFFFFF"/>
        </w:rPr>
        <w:t>公积金（01）：</w:t>
      </w:r>
      <w:r>
        <w:rPr>
          <w:rStyle w:val="37"/>
          <w:rFonts w:hint="eastAsia" w:ascii="仿宋" w:hAnsi="仿宋" w:eastAsia="仿宋" w:cs="仿宋"/>
          <w:b w:val="0"/>
          <w:bCs/>
          <w:kern w:val="0"/>
          <w:sz w:val="32"/>
          <w:szCs w:val="32"/>
          <w:shd w:val="clear" w:fill="FFFFFF"/>
        </w:rPr>
        <w:t>支出决算为9.56万元，完成预算100%。</w:t>
      </w:r>
    </w:p>
    <w:p w14:paraId="2FE5AE83">
      <w:pPr>
        <w:tabs>
          <w:tab w:val="right" w:pos="8306"/>
        </w:tabs>
        <w:spacing w:line="600" w:lineRule="exact"/>
        <w:ind w:firstLine="640"/>
        <w:outlineLvl w:val="1"/>
        <w:rPr>
          <w:rStyle w:val="30"/>
          <w:rFonts w:ascii="Times New Roman" w:hAnsi="Times New Roman"/>
          <w:color w:val="auto"/>
          <w:highlight w:val="none"/>
        </w:rPr>
      </w:pPr>
      <w:bookmarkStart w:id="40" w:name="_Toc15396608"/>
      <w:bookmarkStart w:id="41" w:name="_Toc15377214"/>
      <w:bookmarkStart w:id="42" w:name="_Toc2597489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0"/>
      <w:bookmarkEnd w:id="41"/>
      <w:bookmarkEnd w:id="42"/>
      <w:r>
        <w:rPr>
          <w:rStyle w:val="30"/>
          <w:rFonts w:ascii="Times New Roman" w:hAnsi="Times New Roman" w:eastAsia="黑体"/>
          <w:b w:val="0"/>
          <w:color w:val="auto"/>
          <w:highlight w:val="none"/>
        </w:rPr>
        <w:tab/>
      </w:r>
    </w:p>
    <w:p w14:paraId="0EA61D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184.41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1251B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人员经费173.05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00E49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公用经费11.36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31FD1C9">
      <w:pPr>
        <w:spacing w:line="600" w:lineRule="exact"/>
        <w:ind w:firstLine="640"/>
        <w:outlineLvl w:val="1"/>
        <w:rPr>
          <w:rStyle w:val="30"/>
          <w:rFonts w:ascii="Times New Roman" w:hAnsi="Times New Roman" w:eastAsia="黑体"/>
          <w:b w:val="0"/>
          <w:color w:val="auto"/>
          <w:highlight w:val="none"/>
        </w:rPr>
      </w:pPr>
      <w:bookmarkStart w:id="43" w:name="_Toc15396609"/>
      <w:bookmarkStart w:id="44" w:name="_Toc15377215"/>
      <w:bookmarkStart w:id="45" w:name="_Toc465788974"/>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3"/>
      <w:bookmarkEnd w:id="44"/>
      <w:bookmarkEnd w:id="45"/>
    </w:p>
    <w:p w14:paraId="4786D45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6"/>
    </w:p>
    <w:p w14:paraId="50B0D691">
      <w:pPr>
        <w:spacing w:line="600" w:lineRule="exact"/>
        <w:ind w:firstLine="640"/>
        <w:rPr>
          <w:rFonts w:ascii="仿宋" w:hAnsi="仿宋" w:eastAsia="仿宋"/>
          <w:sz w:val="32"/>
          <w:szCs w:val="32"/>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 w:hAnsi="仿宋" w:eastAsia="仿宋"/>
          <w:sz w:val="32"/>
          <w:szCs w:val="32"/>
          <w:lang w:eastAsia="zh-CN"/>
        </w:rPr>
        <w:t>与</w:t>
      </w:r>
      <w:r>
        <w:rPr>
          <w:rFonts w:hint="eastAsia" w:ascii="仿宋" w:hAnsi="仿宋" w:eastAsia="仿宋"/>
          <w:sz w:val="32"/>
          <w:szCs w:val="32"/>
          <w:lang w:val="en-US" w:eastAsia="zh-CN"/>
        </w:rPr>
        <w:t>2024年</w:t>
      </w:r>
      <w:r>
        <w:rPr>
          <w:rFonts w:hint="eastAsia" w:ascii="仿宋" w:hAnsi="仿宋" w:eastAsia="仿宋"/>
          <w:sz w:val="32"/>
          <w:szCs w:val="32"/>
          <w:lang w:eastAsia="zh-CN"/>
        </w:rPr>
        <w:t>持平</w:t>
      </w:r>
      <w:r>
        <w:rPr>
          <w:rFonts w:hint="eastAsia" w:ascii="仿宋" w:hAnsi="仿宋" w:eastAsia="仿宋"/>
          <w:sz w:val="32"/>
          <w:szCs w:val="32"/>
        </w:rPr>
        <w:t>。</w:t>
      </w:r>
    </w:p>
    <w:p w14:paraId="5F0A6932">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7"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7"/>
    </w:p>
    <w:p w14:paraId="5095453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6707BAB5">
      <w:pPr>
        <w:spacing w:line="600" w:lineRule="exact"/>
        <w:ind w:firstLine="640"/>
        <w:rPr>
          <w:rFonts w:ascii="仿宋_GB2312" w:eastAsia="仿宋_GB2312"/>
          <w:sz w:val="32"/>
          <w:szCs w:val="32"/>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sz w:val="32"/>
          <w:szCs w:val="32"/>
          <w:lang w:eastAsia="zh-CN"/>
        </w:rPr>
        <w:t>与</w:t>
      </w:r>
      <w:r>
        <w:rPr>
          <w:rFonts w:hint="eastAsia" w:ascii="仿宋" w:hAnsi="仿宋" w:eastAsia="仿宋"/>
          <w:sz w:val="32"/>
          <w:szCs w:val="32"/>
          <w:lang w:val="en-US" w:eastAsia="zh-CN"/>
        </w:rPr>
        <w:t>2024年</w:t>
      </w:r>
      <w:r>
        <w:rPr>
          <w:rFonts w:hint="eastAsia" w:ascii="仿宋" w:hAnsi="仿宋" w:eastAsia="仿宋"/>
          <w:sz w:val="32"/>
          <w:szCs w:val="32"/>
          <w:lang w:eastAsia="zh-CN"/>
        </w:rPr>
        <w:t>持平。</w:t>
      </w:r>
    </w:p>
    <w:p w14:paraId="71B933C0">
      <w:pPr>
        <w:spacing w:line="600" w:lineRule="exact"/>
        <w:ind w:firstLine="640"/>
        <w:rPr>
          <w:rFonts w:ascii="仿宋_GB2312" w:eastAsia="仿宋_GB2312"/>
          <w:sz w:val="32"/>
          <w:szCs w:val="32"/>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仿宋" w:hAnsi="仿宋" w:eastAsia="仿宋"/>
          <w:sz w:val="32"/>
          <w:szCs w:val="32"/>
          <w:lang w:eastAsia="zh-CN"/>
        </w:rPr>
        <w:t>与</w:t>
      </w:r>
      <w:r>
        <w:rPr>
          <w:rFonts w:hint="eastAsia" w:ascii="仿宋" w:hAnsi="仿宋" w:eastAsia="仿宋"/>
          <w:sz w:val="32"/>
          <w:szCs w:val="32"/>
          <w:lang w:val="en-US" w:eastAsia="zh-CN"/>
        </w:rPr>
        <w:t>2024年</w:t>
      </w:r>
      <w:r>
        <w:rPr>
          <w:rFonts w:hint="eastAsia" w:ascii="仿宋" w:hAnsi="仿宋" w:eastAsia="仿宋"/>
          <w:sz w:val="32"/>
          <w:szCs w:val="32"/>
          <w:lang w:eastAsia="zh-CN"/>
        </w:rPr>
        <w:t>持平。</w:t>
      </w:r>
    </w:p>
    <w:p w14:paraId="528B0133">
      <w:pPr>
        <w:spacing w:line="600" w:lineRule="exact"/>
        <w:ind w:firstLine="640"/>
        <w:rPr>
          <w:rFonts w:ascii="仿宋_GB2312" w:eastAsia="仿宋_GB2312"/>
          <w:sz w:val="32"/>
          <w:szCs w:val="32"/>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仿宋" w:hAnsi="仿宋" w:eastAsia="仿宋"/>
          <w:sz w:val="32"/>
          <w:szCs w:val="32"/>
          <w:lang w:eastAsia="zh-CN"/>
        </w:rPr>
        <w:t>与</w:t>
      </w:r>
      <w:r>
        <w:rPr>
          <w:rFonts w:hint="eastAsia" w:ascii="仿宋" w:hAnsi="仿宋" w:eastAsia="仿宋"/>
          <w:sz w:val="32"/>
          <w:szCs w:val="32"/>
          <w:lang w:val="en-US" w:eastAsia="zh-CN"/>
        </w:rPr>
        <w:t>2024年</w:t>
      </w:r>
      <w:r>
        <w:rPr>
          <w:rFonts w:hint="eastAsia" w:ascii="仿宋" w:hAnsi="仿宋" w:eastAsia="仿宋"/>
          <w:sz w:val="32"/>
          <w:szCs w:val="32"/>
          <w:lang w:eastAsia="zh-CN"/>
        </w:rPr>
        <w:t>持平。</w:t>
      </w:r>
    </w:p>
    <w:p w14:paraId="2EE5A363">
      <w:pPr>
        <w:spacing w:line="600" w:lineRule="exact"/>
        <w:ind w:firstLine="640"/>
        <w:outlineLvl w:val="1"/>
        <w:rPr>
          <w:rStyle w:val="30"/>
          <w:rFonts w:ascii="Times New Roman" w:hAnsi="Times New Roman" w:eastAsia="黑体"/>
          <w:color w:val="auto"/>
          <w:highlight w:val="none"/>
        </w:rPr>
      </w:pPr>
      <w:bookmarkStart w:id="48" w:name="_Toc15377218"/>
      <w:bookmarkStart w:id="49" w:name="_Toc15396610"/>
      <w:bookmarkStart w:id="50" w:name="_Toc497145217"/>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8"/>
      <w:bookmarkEnd w:id="49"/>
      <w:bookmarkEnd w:id="50"/>
    </w:p>
    <w:p w14:paraId="026AA5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 w:hAnsi="仿宋" w:eastAsia="仿宋"/>
          <w:sz w:val="32"/>
          <w:szCs w:val="32"/>
          <w:lang w:eastAsia="zh-CN"/>
        </w:rPr>
        <w:t>与</w:t>
      </w:r>
      <w:r>
        <w:rPr>
          <w:rFonts w:hint="eastAsia" w:ascii="仿宋" w:hAnsi="仿宋" w:eastAsia="仿宋"/>
          <w:sz w:val="32"/>
          <w:szCs w:val="32"/>
          <w:lang w:val="en-US" w:eastAsia="zh-CN"/>
        </w:rPr>
        <w:t>2024年</w:t>
      </w:r>
      <w:r>
        <w:rPr>
          <w:rFonts w:hint="eastAsia" w:ascii="仿宋" w:hAnsi="仿宋" w:eastAsia="仿宋"/>
          <w:sz w:val="32"/>
          <w:szCs w:val="32"/>
          <w:lang w:eastAsia="zh-CN"/>
        </w:rPr>
        <w:t>持平。</w:t>
      </w:r>
    </w:p>
    <w:p w14:paraId="505F3189">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1" w:name="_Toc15377219"/>
      <w:bookmarkStart w:id="52" w:name="_Toc15396611"/>
      <w:bookmarkStart w:id="53" w:name="_Toc794061087"/>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1"/>
      <w:bookmarkEnd w:id="52"/>
      <w:bookmarkEnd w:id="53"/>
    </w:p>
    <w:p w14:paraId="7EEB8154">
      <w:pPr>
        <w:numPr>
          <w:ilvl w:val="0"/>
          <w:numId w:val="0"/>
        </w:numPr>
        <w:spacing w:line="600" w:lineRule="exact"/>
        <w:ind w:left="630" w:leftChars="0"/>
        <w:outlineLvl w:val="9"/>
        <w:rPr>
          <w:rFonts w:hint="eastAsia" w:ascii="仿宋" w:hAnsi="仿宋" w:eastAsia="仿宋"/>
          <w:sz w:val="32"/>
          <w:szCs w:val="32"/>
          <w:lang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bookmarkStart w:id="54" w:name="_Toc15396612"/>
      <w:bookmarkStart w:id="55" w:name="_Toc15377221"/>
      <w:r>
        <w:rPr>
          <w:rFonts w:hint="eastAsia" w:ascii="仿宋" w:hAnsi="仿宋" w:eastAsia="仿宋"/>
          <w:sz w:val="32"/>
          <w:szCs w:val="32"/>
          <w:lang w:eastAsia="zh-CN"/>
        </w:rPr>
        <w:t>持平。</w:t>
      </w:r>
    </w:p>
    <w:p w14:paraId="07835C23">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6" w:name="_Toc1229819613"/>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4"/>
      <w:bookmarkEnd w:id="55"/>
      <w:bookmarkEnd w:id="56"/>
    </w:p>
    <w:p w14:paraId="6E73569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7" w:name="_Toc15377222"/>
      <w:r>
        <w:rPr>
          <w:rFonts w:hint="eastAsia" w:ascii="Times New Roman" w:hAnsi="Times New Roman" w:eastAsia="楷体_GB2312" w:cs="楷体_GB2312"/>
          <w:b/>
          <w:color w:val="auto"/>
          <w:sz w:val="32"/>
          <w:szCs w:val="32"/>
          <w:highlight w:val="none"/>
        </w:rPr>
        <w:t>（一）机关运行经费支出情况</w:t>
      </w:r>
      <w:bookmarkEnd w:id="57"/>
    </w:p>
    <w:p w14:paraId="63AFAE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九寨沟县固定资产投资审计中心</w:t>
      </w:r>
      <w:r>
        <w:rPr>
          <w:rFonts w:hint="eastAsia" w:ascii="仿宋_GB2312" w:hAnsi="仿宋_GB2312" w:eastAsia="仿宋_GB2312" w:cs="仿宋_GB2312"/>
          <w:color w:val="auto"/>
          <w:kern w:val="2"/>
          <w:sz w:val="32"/>
          <w:szCs w:val="32"/>
          <w:highlight w:val="none"/>
          <w:lang w:val="en-US" w:eastAsia="zh-CN" w:bidi="ar-SA"/>
        </w:rPr>
        <w:t>机关运行经费支出11.36万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5.84</w:t>
      </w:r>
      <w:r>
        <w:rPr>
          <w:rFonts w:hint="eastAsia" w:ascii="Times New Roman" w:hAnsi="Times New Roman" w:eastAsia="仿宋_GB2312" w:cs="仿宋_GB2312"/>
          <w:color w:val="auto"/>
          <w:kern w:val="2"/>
          <w:sz w:val="32"/>
          <w:szCs w:val="32"/>
          <w:highlight w:val="none"/>
          <w:lang w:val="en-US" w:eastAsia="zh-CN" w:bidi="ar-SA"/>
        </w:rPr>
        <w:t>万元。主要原因是</w:t>
      </w:r>
      <w:r>
        <w:rPr>
          <w:rFonts w:hint="eastAsia" w:eastAsia="仿宋_GB2312" w:cs="仿宋_GB2312"/>
          <w:color w:val="auto"/>
          <w:kern w:val="2"/>
          <w:sz w:val="32"/>
          <w:szCs w:val="32"/>
          <w:highlight w:val="none"/>
          <w:lang w:val="en-US" w:eastAsia="zh-CN" w:bidi="ar-SA"/>
        </w:rPr>
        <w:t>人员增加、人均公用经费增加。</w:t>
      </w:r>
    </w:p>
    <w:p w14:paraId="5A944D1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3"/>
      <w:r>
        <w:rPr>
          <w:rFonts w:hint="eastAsia" w:ascii="Times New Roman" w:hAnsi="Times New Roman" w:eastAsia="楷体_GB2312" w:cs="楷体_GB2312"/>
          <w:b/>
          <w:color w:val="auto"/>
          <w:sz w:val="32"/>
          <w:szCs w:val="32"/>
          <w:highlight w:val="none"/>
        </w:rPr>
        <w:t>（二）政府采购支出情况</w:t>
      </w:r>
      <w:bookmarkEnd w:id="58"/>
    </w:p>
    <w:p w14:paraId="35F952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九寨沟县固定资产投资审计中心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630EDD18">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9" w:name="_Toc15377224"/>
      <w:r>
        <w:rPr>
          <w:rFonts w:hint="eastAsia" w:ascii="Times New Roman" w:hAnsi="Times New Roman" w:eastAsia="楷体_GB2312" w:cs="楷体_GB2312"/>
          <w:b/>
          <w:color w:val="auto"/>
          <w:sz w:val="32"/>
          <w:szCs w:val="32"/>
          <w:highlight w:val="none"/>
        </w:rPr>
        <w:t>（三）国有资产占有使用情况</w:t>
      </w:r>
      <w:bookmarkEnd w:id="59"/>
    </w:p>
    <w:p w14:paraId="01EFF6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九寨沟县固定资产投资审计中心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w:t>
      </w:r>
      <w:r>
        <w:rPr>
          <w:rFonts w:hint="eastAsia" w:ascii="Times New Roman" w:hAnsi="Times New Roman" w:eastAsia="仿宋_GB2312" w:cs="仿宋_GB2312"/>
          <w:color w:val="auto"/>
          <w:kern w:val="2"/>
          <w:sz w:val="32"/>
          <w:szCs w:val="32"/>
          <w:highlight w:val="none"/>
          <w:lang w:val="en-US" w:eastAsia="zh-CN" w:bidi="ar-SA"/>
        </w:rPr>
        <w:t>。</w:t>
      </w:r>
    </w:p>
    <w:p w14:paraId="03BDA83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BCB13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rPr>
        <w:t>九寨沟县固定资产投资审计中心</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1C7770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B42D51">
      <w:pPr>
        <w:pStyle w:val="2"/>
        <w:rPr>
          <w:rFonts w:hint="eastAsia" w:ascii="Times New Roman" w:hAnsi="Times New Roman" w:eastAsia="仿宋_GB2312" w:cs="仿宋_GB2312"/>
          <w:color w:val="auto"/>
          <w:kern w:val="2"/>
          <w:sz w:val="32"/>
          <w:szCs w:val="32"/>
          <w:highlight w:val="none"/>
          <w:lang w:val="en-US" w:eastAsia="zh-CN" w:bidi="ar-SA"/>
        </w:rPr>
      </w:pPr>
    </w:p>
    <w:p w14:paraId="52414787">
      <w:pPr>
        <w:pStyle w:val="4"/>
        <w:rPr>
          <w:rFonts w:hint="eastAsia" w:ascii="Times New Roman" w:hAnsi="Times New Roman" w:eastAsia="仿宋_GB2312" w:cs="仿宋_GB2312"/>
          <w:color w:val="auto"/>
          <w:kern w:val="2"/>
          <w:sz w:val="32"/>
          <w:szCs w:val="32"/>
          <w:highlight w:val="none"/>
          <w:lang w:val="en-US" w:eastAsia="zh-CN" w:bidi="ar-SA"/>
        </w:rPr>
      </w:pPr>
    </w:p>
    <w:p w14:paraId="30A86390">
      <w:pPr>
        <w:rPr>
          <w:rFonts w:hint="eastAsia" w:ascii="Times New Roman" w:hAnsi="Times New Roman" w:eastAsia="仿宋_GB2312" w:cs="仿宋_GB2312"/>
          <w:color w:val="auto"/>
          <w:kern w:val="2"/>
          <w:sz w:val="32"/>
          <w:szCs w:val="32"/>
          <w:highlight w:val="none"/>
          <w:lang w:val="en-US" w:eastAsia="zh-CN" w:bidi="ar-SA"/>
        </w:rPr>
      </w:pPr>
    </w:p>
    <w:p w14:paraId="4813CAC5">
      <w:pPr>
        <w:pStyle w:val="2"/>
        <w:rPr>
          <w:rFonts w:hint="eastAsia" w:ascii="Times New Roman" w:hAnsi="Times New Roman" w:eastAsia="仿宋_GB2312" w:cs="仿宋_GB2312"/>
          <w:color w:val="auto"/>
          <w:kern w:val="2"/>
          <w:sz w:val="32"/>
          <w:szCs w:val="32"/>
          <w:highlight w:val="none"/>
          <w:lang w:val="en-US" w:eastAsia="zh-CN" w:bidi="ar-SA"/>
        </w:rPr>
      </w:pPr>
    </w:p>
    <w:p w14:paraId="7DA62E20">
      <w:pPr>
        <w:pStyle w:val="4"/>
        <w:rPr>
          <w:rFonts w:hint="eastAsia" w:ascii="Times New Roman" w:hAnsi="Times New Roman" w:eastAsia="仿宋_GB2312" w:cs="仿宋_GB2312"/>
          <w:color w:val="auto"/>
          <w:kern w:val="2"/>
          <w:sz w:val="32"/>
          <w:szCs w:val="32"/>
          <w:highlight w:val="none"/>
          <w:lang w:val="en-US" w:eastAsia="zh-CN" w:bidi="ar-SA"/>
        </w:rPr>
      </w:pPr>
    </w:p>
    <w:p w14:paraId="31C0613B">
      <w:pPr>
        <w:rPr>
          <w:rFonts w:hint="eastAsia" w:ascii="Times New Roman" w:hAnsi="Times New Roman" w:eastAsia="仿宋_GB2312" w:cs="仿宋_GB2312"/>
          <w:color w:val="auto"/>
          <w:kern w:val="2"/>
          <w:sz w:val="32"/>
          <w:szCs w:val="32"/>
          <w:highlight w:val="none"/>
          <w:lang w:val="en-US" w:eastAsia="zh-CN" w:bidi="ar-SA"/>
        </w:rPr>
      </w:pPr>
    </w:p>
    <w:p w14:paraId="566F5CC7">
      <w:pPr>
        <w:pStyle w:val="2"/>
        <w:rPr>
          <w:rFonts w:hint="eastAsia"/>
          <w:lang w:val="en-US" w:eastAsia="zh-CN"/>
        </w:rPr>
      </w:pPr>
    </w:p>
    <w:p w14:paraId="5A709DB3">
      <w:pPr>
        <w:numPr>
          <w:ilvl w:val="0"/>
          <w:numId w:val="2"/>
        </w:numPr>
        <w:spacing w:line="600" w:lineRule="exact"/>
        <w:ind w:firstLine="660" w:firstLineChars="150"/>
        <w:jc w:val="center"/>
        <w:outlineLvl w:val="0"/>
        <w:rPr>
          <w:rStyle w:val="38"/>
          <w:rFonts w:ascii="黑体" w:hAnsi="黑体" w:eastAsia="黑体"/>
          <w:b w:val="0"/>
        </w:rPr>
      </w:pPr>
      <w:bookmarkStart w:id="60" w:name="_Toc15377225"/>
      <w:bookmarkStart w:id="61" w:name="_Toc12606"/>
      <w:bookmarkStart w:id="62" w:name="_Toc15396613"/>
      <w:bookmarkStart w:id="63" w:name="_Toc1170155435"/>
      <w:bookmarkStart w:id="64" w:name="_Toc15396614"/>
      <w:bookmarkStart w:id="65" w:name="_Toc15377226"/>
      <w:r>
        <w:rPr>
          <w:rFonts w:hint="eastAsia" w:ascii="黑体" w:hAnsi="黑体" w:eastAsia="黑体"/>
          <w:sz w:val="44"/>
          <w:szCs w:val="44"/>
        </w:rPr>
        <w:t>名</w:t>
      </w:r>
      <w:r>
        <w:rPr>
          <w:rStyle w:val="38"/>
          <w:rFonts w:hint="eastAsia" w:ascii="黑体" w:hAnsi="黑体" w:eastAsia="黑体"/>
          <w:b w:val="0"/>
        </w:rPr>
        <w:t>词解释</w:t>
      </w:r>
      <w:bookmarkEnd w:id="60"/>
      <w:bookmarkEnd w:id="61"/>
      <w:bookmarkEnd w:id="62"/>
      <w:bookmarkEnd w:id="63"/>
    </w:p>
    <w:p w14:paraId="1486E5C3">
      <w:pPr>
        <w:spacing w:line="600" w:lineRule="exact"/>
        <w:jc w:val="left"/>
        <w:rPr>
          <w:rFonts w:ascii="宋体"/>
          <w:b/>
          <w:sz w:val="44"/>
          <w:szCs w:val="44"/>
        </w:rPr>
      </w:pPr>
    </w:p>
    <w:p w14:paraId="050B2F13">
      <w:pPr>
        <w:pStyle w:val="27"/>
        <w:keepNext w:val="0"/>
        <w:keepLines w:val="0"/>
        <w:widowControl w:val="0"/>
        <w:suppressLineNumbers w:val="0"/>
        <w:spacing w:line="560" w:lineRule="exact"/>
        <w:ind w:left="0" w:leftChars="0" w:firstLine="640" w:firstLineChars="200"/>
        <w:rPr>
          <w:rFonts w:hint="default" w:ascii="仿宋_GB2312" w:hAnsi="Times New Roman" w:eastAsia="仿宋_GB2312" w:cs="仿宋"/>
          <w:color w:val="000000"/>
          <w:kern w:val="0"/>
          <w:sz w:val="32"/>
          <w:szCs w:val="32"/>
        </w:rPr>
      </w:pPr>
      <w:r>
        <w:rPr>
          <w:rFonts w:hint="default" w:ascii="仿宋_GB2312" w:hAnsi="Times New Roman" w:eastAsia="仿宋_GB2312" w:cs="仿宋"/>
          <w:color w:val="000000"/>
          <w:kern w:val="0"/>
          <w:sz w:val="32"/>
          <w:szCs w:val="32"/>
        </w:rPr>
        <w:t>1.</w:t>
      </w:r>
      <w:r>
        <w:rPr>
          <w:rFonts w:hint="default" w:ascii="仿宋_GB2312" w:hAnsi="Times New Roman" w:eastAsia="仿宋_GB2312" w:cs="仿宋_GB2312"/>
          <w:color w:val="000000"/>
          <w:kern w:val="0"/>
          <w:sz w:val="32"/>
          <w:szCs w:val="32"/>
        </w:rPr>
        <w:t>财政拨款收入：指单位从同级财政部门取得的财政预算资金。</w:t>
      </w:r>
    </w:p>
    <w:p w14:paraId="55B4A0B4">
      <w:pPr>
        <w:pStyle w:val="27"/>
        <w:keepNext w:val="0"/>
        <w:keepLines w:val="0"/>
        <w:widowControl w:val="0"/>
        <w:suppressLineNumbers w:val="0"/>
        <w:spacing w:line="560" w:lineRule="exact"/>
        <w:ind w:left="0" w:leftChars="0" w:firstLine="640" w:firstLineChars="200"/>
        <w:rPr>
          <w:rFonts w:hint="default" w:ascii="仿宋_GB2312" w:hAnsi="Times New Roman" w:eastAsia="仿宋_GB2312" w:cs="仿宋"/>
          <w:color w:val="000000"/>
          <w:kern w:val="0"/>
          <w:sz w:val="32"/>
          <w:szCs w:val="32"/>
        </w:rPr>
      </w:pPr>
      <w:r>
        <w:rPr>
          <w:rFonts w:hint="default" w:ascii="仿宋_GB2312" w:hAnsi="Times New Roman" w:eastAsia="仿宋_GB2312" w:cs="仿宋"/>
          <w:color w:val="000000"/>
          <w:kern w:val="0"/>
          <w:sz w:val="32"/>
          <w:szCs w:val="32"/>
        </w:rPr>
        <w:t>2.</w:t>
      </w:r>
      <w:r>
        <w:rPr>
          <w:rFonts w:hint="default" w:ascii="仿宋_GB2312" w:hAnsi="Times New Roman" w:eastAsia="仿宋_GB2312" w:cs="仿宋_GB2312"/>
          <w:color w:val="000000"/>
          <w:kern w:val="0"/>
          <w:sz w:val="32"/>
          <w:szCs w:val="32"/>
        </w:rPr>
        <w:t>年初结转和结余：指以前年度尚未完成、结转到本年按有关规定继续使用的资金。</w:t>
      </w:r>
      <w:r>
        <w:rPr>
          <w:rFonts w:hint="default" w:ascii="仿宋_GB2312" w:hAnsi="Times New Roman" w:eastAsia="仿宋_GB2312" w:cs="仿宋"/>
          <w:color w:val="000000"/>
          <w:kern w:val="0"/>
          <w:sz w:val="32"/>
          <w:szCs w:val="32"/>
        </w:rPr>
        <w:t xml:space="preserve"> </w:t>
      </w:r>
    </w:p>
    <w:p w14:paraId="1AE3B5B0">
      <w:pPr>
        <w:pStyle w:val="27"/>
        <w:keepNext w:val="0"/>
        <w:keepLines w:val="0"/>
        <w:widowControl w:val="0"/>
        <w:suppressLineNumbers w:val="0"/>
        <w:spacing w:line="560" w:lineRule="exact"/>
        <w:ind w:left="0" w:leftChars="0" w:firstLine="640" w:firstLineChars="200"/>
        <w:rPr>
          <w:rFonts w:hint="default" w:ascii="仿宋_GB2312" w:hAnsi="Times New Roman" w:eastAsia="仿宋_GB2312" w:cs="仿宋"/>
          <w:color w:val="000000"/>
          <w:kern w:val="0"/>
          <w:sz w:val="32"/>
          <w:szCs w:val="32"/>
        </w:rPr>
      </w:pPr>
      <w:r>
        <w:rPr>
          <w:rFonts w:hint="default" w:ascii="仿宋_GB2312" w:hAnsi="Times New Roman" w:eastAsia="仿宋_GB2312" w:cs="仿宋"/>
          <w:color w:val="000000"/>
          <w:kern w:val="0"/>
          <w:sz w:val="32"/>
          <w:szCs w:val="32"/>
        </w:rPr>
        <w:t>3.</w:t>
      </w:r>
      <w:r>
        <w:rPr>
          <w:rFonts w:hint="default" w:ascii="仿宋_GB2312" w:hAnsi="Times New Roman" w:eastAsia="仿宋_GB2312" w:cs="仿宋_GB2312"/>
          <w:color w:val="000000"/>
          <w:kern w:val="0"/>
          <w:sz w:val="32"/>
          <w:szCs w:val="32"/>
        </w:rPr>
        <w:t>年末结转和结余：指单位按有关规定结转到下年或以后年度继续使用的资金。</w:t>
      </w:r>
    </w:p>
    <w:p w14:paraId="69BD8AE0">
      <w:pPr>
        <w:keepNext w:val="0"/>
        <w:keepLines w:val="0"/>
        <w:widowControl w:val="0"/>
        <w:suppressLineNumbers w:val="0"/>
        <w:spacing w:before="0" w:beforeAutospacing="0" w:after="0" w:afterAutospacing="0" w:line="560" w:lineRule="exact"/>
        <w:ind w:left="0" w:leftChars="0" w:firstLine="640" w:firstLineChars="200"/>
        <w:rPr>
          <w:rFonts w:hint="default" w:ascii="仿宋_GB2312" w:hAnsi="宋体" w:eastAsia="仿宋_GB2312" w:cs="宋体"/>
          <w:kern w:val="0"/>
          <w:sz w:val="32"/>
          <w:szCs w:val="32"/>
        </w:rPr>
      </w:pPr>
      <w:r>
        <w:rPr>
          <w:rFonts w:hint="default" w:ascii="仿宋_GB2312" w:hAnsi="宋体" w:eastAsia="仿宋_GB2312" w:cs="仿宋_GB2312"/>
          <w:color w:val="000000"/>
          <w:kern w:val="0"/>
          <w:sz w:val="32"/>
          <w:szCs w:val="32"/>
        </w:rPr>
        <w:t>4.一般公共服务：一般公共服务支出（201）审计事务（08）事业运行（50）反映事业单位审计方面的基本支出。</w:t>
      </w:r>
      <w:r>
        <w:rPr>
          <w:rFonts w:hint="default" w:ascii="仿宋_GB2312" w:hAnsi="宋体" w:eastAsia="仿宋_GB2312" w:cs="仿宋_GB2312"/>
          <w:kern w:val="0"/>
          <w:sz w:val="32"/>
          <w:szCs w:val="32"/>
        </w:rPr>
        <w:t>是用于保障局机关机构正常运转的日常支出，包括基本工资、津贴补贴等人员经费以及办公费、印刷费、水电费、办公设备购置等日常公用经费。</w:t>
      </w:r>
    </w:p>
    <w:p w14:paraId="2994B787">
      <w:pPr>
        <w:keepNext w:val="0"/>
        <w:keepLines w:val="0"/>
        <w:widowControl w:val="0"/>
        <w:suppressLineNumbers w:val="0"/>
        <w:spacing w:before="0" w:beforeAutospacing="0" w:after="0" w:afterAutospacing="0" w:line="560" w:lineRule="exact"/>
        <w:ind w:left="0" w:leftChars="0" w:firstLine="640" w:firstLineChars="200"/>
        <w:rPr>
          <w:rFonts w:hint="default" w:ascii="仿宋_GB2312" w:hAnsi="宋体" w:eastAsia="仿宋_GB2312" w:cs="仿宋"/>
          <w:color w:val="000000"/>
          <w:kern w:val="0"/>
          <w:sz w:val="32"/>
          <w:szCs w:val="32"/>
        </w:rPr>
      </w:pPr>
      <w:r>
        <w:rPr>
          <w:rFonts w:hint="default" w:ascii="仿宋_GB2312" w:hAnsi="宋体" w:eastAsia="仿宋_GB2312" w:cs="仿宋_GB2312"/>
          <w:color w:val="000000"/>
          <w:kern w:val="0"/>
          <w:sz w:val="32"/>
          <w:szCs w:val="32"/>
        </w:rPr>
        <w:t>5.社会保障和就业支出（208）行政事业单位离退休（05）机关事业单位基本养老保险缴费支出（05）指机关事业单位实施养老保险制度由单位缴费的基本养老保险费支出。</w:t>
      </w:r>
    </w:p>
    <w:p w14:paraId="55660DB5">
      <w:pPr>
        <w:pStyle w:val="2"/>
        <w:keepNext w:val="0"/>
        <w:keepLines w:val="0"/>
        <w:widowControl w:val="0"/>
        <w:suppressLineNumbers w:val="0"/>
        <w:spacing w:before="0" w:beforeAutospacing="0" w:after="0" w:afterAutospacing="0" w:line="560" w:lineRule="exact"/>
        <w:ind w:left="0" w:leftChars="0" w:firstLine="640" w:firstLineChars="200"/>
        <w:rPr>
          <w:rFonts w:hint="default" w:ascii="Times New Roman" w:hAnsi="Times New Roman" w:eastAsia="仿宋_GB2312" w:cs="Times New Roman"/>
          <w:b w:val="0"/>
          <w:bCs/>
          <w:kern w:val="2"/>
          <w:sz w:val="21"/>
          <w:szCs w:val="21"/>
        </w:rPr>
      </w:pPr>
      <w:r>
        <w:rPr>
          <w:rFonts w:hint="default" w:ascii="仿宋_GB2312" w:hAnsi="Times New Roman" w:eastAsia="仿宋_GB2312" w:cs="仿宋_GB2312"/>
          <w:b w:val="0"/>
          <w:bCs/>
          <w:color w:val="000000"/>
          <w:kern w:val="0"/>
          <w:sz w:val="32"/>
          <w:szCs w:val="32"/>
        </w:rPr>
        <w:t>6.社会保障和就业支出（208）行政事业单位离退休（05）机关事业单位职业年金缴费（06）指机关事业单位实施养老保险制度由单位缴费的基本职业年金缴费支出。</w:t>
      </w:r>
    </w:p>
    <w:p w14:paraId="396BDCE7">
      <w:pPr>
        <w:keepNext w:val="0"/>
        <w:keepLines w:val="0"/>
        <w:widowControl w:val="0"/>
        <w:suppressLineNumbers w:val="0"/>
        <w:spacing w:before="0" w:beforeAutospacing="0" w:after="0" w:afterAutospacing="0" w:line="560" w:lineRule="exact"/>
        <w:ind w:left="0" w:leftChars="0" w:firstLine="640" w:firstLineChars="200"/>
        <w:rPr>
          <w:rFonts w:hint="default" w:ascii="仿宋_GB2312" w:hAnsi="宋体" w:eastAsia="仿宋_GB2312" w:cs="宋体"/>
          <w:kern w:val="0"/>
          <w:sz w:val="32"/>
          <w:szCs w:val="32"/>
        </w:rPr>
      </w:pPr>
      <w:r>
        <w:rPr>
          <w:rFonts w:hint="default" w:ascii="仿宋_GB2312" w:hAnsi="宋体" w:eastAsia="仿宋_GB2312" w:cs="仿宋_GB2312"/>
          <w:color w:val="000000"/>
          <w:kern w:val="0"/>
          <w:sz w:val="32"/>
          <w:szCs w:val="32"/>
        </w:rPr>
        <w:t>7.医疗卫生与计划生育：</w:t>
      </w:r>
      <w:r>
        <w:rPr>
          <w:rFonts w:hint="default" w:ascii="仿宋_GB2312" w:hAnsi="宋体" w:eastAsia="仿宋_GB2312" w:cs="仿宋_GB2312"/>
          <w:bCs/>
          <w:kern w:val="0"/>
          <w:sz w:val="32"/>
          <w:szCs w:val="32"/>
        </w:rPr>
        <w:t>卫生健康支出（210）行政事业单位医疗卫生(11)行政单位医疗（01）</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财政部门安排的行政单位</w:t>
      </w:r>
      <w:r>
        <w:rPr>
          <w:rFonts w:hint="default" w:ascii="仿宋_GB2312" w:hAnsi="宋体" w:eastAsia="仿宋_GB2312" w:cs="仿宋_GB2312"/>
          <w:color w:val="000000"/>
          <w:kern w:val="0"/>
          <w:sz w:val="32"/>
          <w:szCs w:val="32"/>
        </w:rPr>
        <w:t>（包括实行公务员管理的事业单位）基本医疗保险经费</w:t>
      </w:r>
      <w:r>
        <w:rPr>
          <w:rFonts w:hint="default" w:ascii="仿宋_GB2312" w:hAnsi="宋体" w:eastAsia="仿宋_GB2312" w:cs="仿宋_GB2312"/>
          <w:kern w:val="0"/>
          <w:sz w:val="32"/>
          <w:szCs w:val="32"/>
        </w:rPr>
        <w:t>。</w:t>
      </w:r>
    </w:p>
    <w:p w14:paraId="4458B879">
      <w:pPr>
        <w:keepNext w:val="0"/>
        <w:keepLines w:val="0"/>
        <w:widowControl w:val="0"/>
        <w:suppressLineNumbers w:val="0"/>
        <w:spacing w:before="0" w:beforeAutospacing="0" w:after="0" w:afterAutospacing="0" w:line="560" w:lineRule="exact"/>
        <w:ind w:left="0" w:leftChars="0" w:firstLine="640" w:firstLineChars="200"/>
        <w:rPr>
          <w:rFonts w:hint="default" w:ascii="仿宋_GB2312" w:hAnsi="宋体" w:eastAsia="仿宋_GB2312" w:cs="仿宋"/>
          <w:bCs/>
          <w:kern w:val="0"/>
          <w:sz w:val="32"/>
          <w:szCs w:val="32"/>
        </w:rPr>
      </w:pPr>
      <w:r>
        <w:rPr>
          <w:rFonts w:hint="default" w:ascii="仿宋_GB2312" w:hAnsi="宋体" w:eastAsia="仿宋_GB2312" w:cs="仿宋_GB2312"/>
          <w:kern w:val="0"/>
          <w:sz w:val="32"/>
          <w:szCs w:val="32"/>
        </w:rPr>
        <w:t>8.</w:t>
      </w:r>
      <w:r>
        <w:rPr>
          <w:rFonts w:hint="default" w:ascii="仿宋_GB2312" w:hAnsi="宋体" w:eastAsia="仿宋_GB2312" w:cs="仿宋_GB2312"/>
          <w:color w:val="000000"/>
          <w:kern w:val="0"/>
          <w:sz w:val="32"/>
          <w:szCs w:val="32"/>
        </w:rPr>
        <w:t>医疗卫生与计划生育：</w:t>
      </w:r>
      <w:r>
        <w:rPr>
          <w:rFonts w:hint="default" w:ascii="仿宋_GB2312" w:hAnsi="宋体" w:eastAsia="仿宋_GB2312" w:cs="仿宋_GB2312"/>
          <w:bCs/>
          <w:kern w:val="0"/>
          <w:sz w:val="32"/>
          <w:szCs w:val="32"/>
        </w:rPr>
        <w:t>卫生健康支出（210）行政事业单位医疗卫生(11)公务员医疗补助（03）</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财政部门安排的公务员医疗补助经费。</w:t>
      </w:r>
    </w:p>
    <w:p w14:paraId="39C6F969">
      <w:pPr>
        <w:keepNext w:val="0"/>
        <w:keepLines w:val="0"/>
        <w:widowControl w:val="0"/>
        <w:suppressLineNumbers w:val="0"/>
        <w:spacing w:before="0" w:beforeAutospacing="0" w:after="0" w:afterAutospacing="0" w:line="560" w:lineRule="exact"/>
        <w:ind w:left="0" w:leftChars="0" w:firstLine="640" w:firstLineChars="200"/>
        <w:rPr>
          <w:rFonts w:hint="default" w:ascii="仿宋_GB2312" w:hAnsi="宋体" w:eastAsia="仿宋_GB2312" w:cs="宋体"/>
          <w:kern w:val="0"/>
          <w:sz w:val="32"/>
          <w:szCs w:val="32"/>
        </w:rPr>
      </w:pPr>
      <w:r>
        <w:rPr>
          <w:rFonts w:hint="default" w:ascii="仿宋_GB2312" w:hAnsi="宋体" w:eastAsia="仿宋_GB2312" w:cs="仿宋_GB2312"/>
          <w:bCs/>
          <w:kern w:val="0"/>
          <w:sz w:val="32"/>
          <w:szCs w:val="32"/>
        </w:rPr>
        <w:t>9.</w:t>
      </w:r>
      <w:r>
        <w:rPr>
          <w:rFonts w:hint="default" w:ascii="仿宋_GB2312" w:hAnsi="宋体" w:eastAsia="仿宋_GB2312" w:cs="仿宋_GB2312"/>
          <w:color w:val="000000"/>
          <w:kern w:val="0"/>
          <w:sz w:val="32"/>
          <w:szCs w:val="32"/>
        </w:rPr>
        <w:t>医疗卫生与计划生育：</w:t>
      </w:r>
      <w:r>
        <w:rPr>
          <w:rFonts w:hint="default" w:ascii="仿宋_GB2312" w:hAnsi="宋体" w:eastAsia="仿宋_GB2312" w:cs="仿宋_GB2312"/>
          <w:bCs/>
          <w:kern w:val="0"/>
          <w:sz w:val="32"/>
          <w:szCs w:val="32"/>
        </w:rPr>
        <w:t>卫生健康支出（210）行政事业单位医疗卫生(11)其他行政事业单位医疗（99）</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除上述项目以外的其他用于行政事业单位医疗方面的支出</w:t>
      </w:r>
      <w:r>
        <w:rPr>
          <w:rFonts w:hint="default" w:ascii="仿宋_GB2312" w:hAnsi="宋体" w:eastAsia="仿宋_GB2312" w:cs="仿宋_GB2312"/>
          <w:kern w:val="0"/>
          <w:sz w:val="32"/>
          <w:szCs w:val="32"/>
        </w:rPr>
        <w:t>。</w:t>
      </w:r>
    </w:p>
    <w:p w14:paraId="53937B1E">
      <w:pPr>
        <w:keepNext w:val="0"/>
        <w:keepLines w:val="0"/>
        <w:widowControl w:val="0"/>
        <w:suppressLineNumbers w:val="0"/>
        <w:spacing w:before="0" w:beforeAutospacing="0" w:after="0" w:afterAutospacing="0" w:line="560" w:lineRule="exact"/>
        <w:ind w:left="0" w:leftChars="0" w:firstLine="640" w:firstLineChars="200"/>
        <w:rPr>
          <w:rFonts w:hint="default" w:ascii="仿宋_GB2312" w:hAnsi="宋体" w:eastAsia="仿宋_GB2312" w:cs="仿宋"/>
          <w:color w:val="000000"/>
          <w:kern w:val="0"/>
          <w:sz w:val="32"/>
          <w:szCs w:val="32"/>
        </w:rPr>
      </w:pPr>
      <w:r>
        <w:rPr>
          <w:rFonts w:hint="default" w:ascii="仿宋_GB2312" w:hAnsi="宋体" w:eastAsia="仿宋_GB2312" w:cs="仿宋_GB2312"/>
          <w:color w:val="000000"/>
          <w:kern w:val="0"/>
          <w:sz w:val="32"/>
          <w:szCs w:val="32"/>
        </w:rPr>
        <w:t>10.住房保障支出（221）住房改革支出（02）住房公积金（01）指行政事业单位按照人力资源和社会保障部、财政部规定的基本工资和津贴补贴以及规定比例为职工缴纳的住房公积金</w:t>
      </w:r>
      <w:r>
        <w:rPr>
          <w:rFonts w:hint="default" w:ascii="仿宋_GB2312" w:hAnsi="宋体" w:eastAsia="仿宋_GB2312" w:cs="仿宋_GB2312"/>
          <w:kern w:val="0"/>
          <w:sz w:val="32"/>
          <w:szCs w:val="32"/>
        </w:rPr>
        <w:t>的支出。</w:t>
      </w:r>
    </w:p>
    <w:p w14:paraId="180B9524">
      <w:pPr>
        <w:keepNext w:val="0"/>
        <w:keepLines w:val="0"/>
        <w:widowControl w:val="0"/>
        <w:suppressLineNumbers w:val="0"/>
        <w:spacing w:before="0" w:beforeAutospacing="0" w:after="0" w:afterAutospacing="0" w:line="560" w:lineRule="exact"/>
        <w:ind w:left="0" w:leftChars="0" w:firstLine="640" w:firstLineChars="200"/>
        <w:rPr>
          <w:rFonts w:hint="default" w:ascii="仿宋_GB2312" w:hAnsi="宋体" w:eastAsia="仿宋_GB2312" w:cs="宋体"/>
          <w:color w:val="000000"/>
          <w:kern w:val="0"/>
          <w:sz w:val="32"/>
          <w:szCs w:val="32"/>
        </w:rPr>
      </w:pPr>
      <w:r>
        <w:rPr>
          <w:rFonts w:hint="default" w:ascii="仿宋_GB2312" w:hAnsi="宋体" w:eastAsia="仿宋_GB2312" w:cs="仿宋_GB2312"/>
          <w:color w:val="000000"/>
          <w:kern w:val="0"/>
          <w:sz w:val="32"/>
          <w:szCs w:val="32"/>
        </w:rPr>
        <w:t>11.基本支出：指为保障机构正常运转、完成日常工作任务而发生的人员支出和公用支出。</w:t>
      </w:r>
    </w:p>
    <w:p w14:paraId="0950524D">
      <w:pPr>
        <w:keepNext w:val="0"/>
        <w:keepLines w:val="0"/>
        <w:widowControl w:val="0"/>
        <w:suppressLineNumbers w:val="0"/>
        <w:spacing w:before="0" w:beforeAutospacing="0" w:after="0" w:afterAutospacing="0" w:line="560" w:lineRule="exact"/>
        <w:ind w:left="0" w:leftChars="0" w:firstLine="640" w:firstLineChars="200"/>
        <w:rPr>
          <w:rFonts w:hint="default" w:ascii="仿宋_GB2312" w:hAnsi="宋体" w:eastAsia="仿宋_GB2312" w:cs="宋体"/>
          <w:color w:val="000000"/>
          <w:kern w:val="0"/>
          <w:sz w:val="32"/>
          <w:szCs w:val="32"/>
        </w:rPr>
      </w:pPr>
      <w:r>
        <w:rPr>
          <w:rFonts w:hint="default" w:ascii="仿宋_GB2312" w:hAnsi="宋体" w:eastAsia="仿宋_GB2312" w:cs="仿宋_GB2312"/>
          <w:color w:val="000000"/>
          <w:kern w:val="0"/>
          <w:sz w:val="32"/>
          <w:szCs w:val="32"/>
        </w:rPr>
        <w:t>12.项目支出：指在基本支出之外为完成特定行政任务和事业发展目标所发生的支出。</w:t>
      </w:r>
      <w:r>
        <w:rPr>
          <w:rFonts w:hint="default" w:ascii="仿宋_GB2312" w:hAnsi="宋体" w:eastAsia="仿宋_GB2312" w:cs="宋体"/>
          <w:color w:val="000000"/>
          <w:kern w:val="0"/>
          <w:sz w:val="32"/>
          <w:szCs w:val="32"/>
        </w:rPr>
        <w:t xml:space="preserve"> </w:t>
      </w:r>
    </w:p>
    <w:p w14:paraId="52306FE8">
      <w:pPr>
        <w:pStyle w:val="27"/>
        <w:keepNext w:val="0"/>
        <w:keepLines w:val="0"/>
        <w:widowControl w:val="0"/>
        <w:suppressLineNumbers w:val="0"/>
        <w:spacing w:line="560" w:lineRule="exact"/>
        <w:ind w:left="0" w:leftChars="0" w:firstLine="640" w:firstLineChars="200"/>
        <w:rPr>
          <w:rFonts w:hint="default" w:ascii="仿宋_GB2312" w:hAnsi="Times New Roman" w:eastAsia="仿宋_GB2312" w:cs="仿宋"/>
          <w:color w:val="000000"/>
          <w:kern w:val="0"/>
          <w:sz w:val="32"/>
          <w:szCs w:val="32"/>
        </w:rPr>
      </w:pPr>
      <w:r>
        <w:rPr>
          <w:rFonts w:hint="default" w:ascii="仿宋_GB2312" w:hAnsi="Times New Roman" w:eastAsia="仿宋_GB2312" w:cs="仿宋_GB2312"/>
          <w:color w:val="000000"/>
          <w:kern w:val="0"/>
          <w:sz w:val="32"/>
          <w:szCs w:val="32"/>
        </w:rPr>
        <w:t>13.</w:t>
      </w:r>
      <w:r>
        <w:rPr>
          <w:rFonts w:hint="default" w:ascii="Times New Roman" w:hAnsi="Times New Roman" w:eastAsia="仿宋_GB2312" w:cs="Times New Roman"/>
          <w:color w:val="000000"/>
          <w:kern w:val="0"/>
          <w:sz w:val="32"/>
          <w:szCs w:val="32"/>
        </w:rPr>
        <w:t>“</w:t>
      </w:r>
      <w:r>
        <w:rPr>
          <w:rFonts w:hint="default" w:ascii="仿宋_GB2312" w:hAnsi="Times New Roman" w:eastAsia="仿宋_GB2312" w:cs="仿宋_GB2312"/>
          <w:color w:val="000000"/>
          <w:kern w:val="0"/>
          <w:sz w:val="32"/>
          <w:szCs w:val="32"/>
        </w:rPr>
        <w:t>三公</w:t>
      </w:r>
      <w:r>
        <w:rPr>
          <w:rFonts w:hint="default" w:ascii="Times New Roman" w:hAnsi="Times New Roman" w:eastAsia="仿宋_GB2312" w:cs="Times New Roman"/>
          <w:color w:val="000000"/>
          <w:kern w:val="0"/>
          <w:sz w:val="32"/>
          <w:szCs w:val="32"/>
        </w:rPr>
        <w:t>”</w:t>
      </w:r>
      <w:r>
        <w:rPr>
          <w:rFonts w:hint="default" w:ascii="仿宋_GB2312" w:hAnsi="Times New Roman" w:eastAsia="仿宋_GB2312" w:cs="仿宋_GB2312"/>
          <w:color w:val="000000"/>
          <w:kern w:val="0"/>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02552FA">
      <w:pPr>
        <w:pStyle w:val="27"/>
        <w:keepNext w:val="0"/>
        <w:keepLines w:val="0"/>
        <w:widowControl w:val="0"/>
        <w:suppressLineNumbers w:val="0"/>
        <w:spacing w:line="560" w:lineRule="exact"/>
        <w:ind w:left="0" w:leftChars="0" w:firstLine="640" w:firstLineChars="200"/>
        <w:rPr>
          <w:rFonts w:hint="default" w:ascii="仿宋_GB2312" w:hAnsi="Times New Roman" w:eastAsia="仿宋_GB2312" w:cs="仿宋"/>
          <w:color w:val="000000"/>
          <w:kern w:val="0"/>
          <w:sz w:val="32"/>
          <w:szCs w:val="32"/>
        </w:rPr>
      </w:pPr>
      <w:r>
        <w:rPr>
          <w:rFonts w:hint="default" w:ascii="仿宋_GB2312" w:hAnsi="Times New Roman" w:eastAsia="仿宋_GB2312" w:cs="仿宋_GB2312"/>
          <w:color w:val="000000"/>
          <w:kern w:val="0"/>
          <w:sz w:val="32"/>
          <w:szCs w:val="32"/>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CD90DF3">
      <w:pPr>
        <w:pStyle w:val="36"/>
        <w:keepNext w:val="0"/>
        <w:keepLines w:val="0"/>
        <w:widowControl/>
        <w:suppressLineNumbers w:val="0"/>
        <w:spacing w:before="0" w:beforeAutospacing="0" w:after="0" w:afterAutospacing="0" w:line="560" w:lineRule="exact"/>
        <w:ind w:left="0" w:leftChars="0" w:firstLine="883" w:firstLineChars="200"/>
        <w:jc w:val="center"/>
        <w:outlineLvl w:val="0"/>
        <w:rPr>
          <w:rStyle w:val="29"/>
          <w:rFonts w:hint="eastAsia" w:ascii="Times New Roman" w:hAnsi="Times New Roman" w:eastAsia="黑体"/>
          <w:b w:val="0"/>
          <w:color w:val="auto"/>
          <w:highlight w:val="none"/>
          <w:lang w:eastAsia="zh-CN"/>
        </w:rPr>
      </w:pPr>
      <w:r>
        <w:rPr>
          <w:rFonts w:ascii="宋体"/>
          <w:b/>
          <w:sz w:val="44"/>
          <w:szCs w:val="44"/>
        </w:rPr>
        <w:br w:type="page"/>
      </w:r>
      <w:bookmarkStart w:id="66" w:name="_Toc102891749"/>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4"/>
      <w:bookmarkEnd w:id="66"/>
    </w:p>
    <w:p w14:paraId="14216BA5">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04CDD2C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9CBBFA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E12955B">
      <w:pPr>
        <w:pStyle w:val="36"/>
        <w:keepNext w:val="0"/>
        <w:keepLines w:val="0"/>
        <w:widowControl/>
        <w:suppressLineNumbers w:val="0"/>
        <w:spacing w:before="0" w:beforeAutospacing="0" w:after="0" w:afterAutospacing="0" w:line="560" w:lineRule="exact"/>
        <w:ind w:firstLine="960" w:firstLineChars="300"/>
        <w:jc w:val="left"/>
        <w:rPr>
          <w:rFonts w:hint="default" w:ascii="仿宋_GB2312" w:hAnsi="Times New Roman" w:eastAsia="仿宋_GB2312" w:cs="Times New Roman"/>
          <w:color w:val="000000"/>
          <w:kern w:val="0"/>
          <w:sz w:val="32"/>
          <w:szCs w:val="32"/>
        </w:rPr>
      </w:pPr>
      <w:bookmarkStart w:id="67" w:name="_Toc15396618"/>
      <w:r>
        <w:rPr>
          <w:rFonts w:hint="eastAsia" w:ascii="仿宋_GB2312" w:hAnsi="Times New Roman" w:eastAsia="仿宋_GB2312" w:cs="仿宋_GB2312"/>
          <w:color w:val="000000"/>
          <w:kern w:val="0"/>
          <w:sz w:val="32"/>
          <w:szCs w:val="32"/>
          <w:lang w:eastAsia="zh-CN"/>
        </w:rPr>
        <w:t>九寨沟县</w:t>
      </w:r>
      <w:r>
        <w:rPr>
          <w:rFonts w:hint="default" w:ascii="仿宋_GB2312" w:hAnsi="Times New Roman" w:eastAsia="仿宋_GB2312" w:cs="仿宋_GB2312"/>
          <w:color w:val="000000"/>
          <w:kern w:val="0"/>
          <w:sz w:val="32"/>
          <w:szCs w:val="32"/>
        </w:rPr>
        <w:t>固定资产投资审计中心</w:t>
      </w:r>
      <w:r>
        <w:rPr>
          <w:rFonts w:hint="eastAsia" w:ascii="仿宋_GB2312" w:eastAsia="仿宋_GB2312" w:cs="仿宋_GB2312"/>
          <w:b w:val="0"/>
          <w:bCs/>
          <w:kern w:val="2"/>
          <w:sz w:val="32"/>
          <w:szCs w:val="32"/>
          <w:lang w:eastAsia="zh-CN"/>
        </w:rPr>
        <w:t>2025</w:t>
      </w:r>
      <w:r>
        <w:rPr>
          <w:rFonts w:hint="default" w:ascii="仿宋_GB2312" w:hAnsi="Times New Roman" w:eastAsia="仿宋_GB2312" w:cs="仿宋_GB2312"/>
          <w:b w:val="0"/>
          <w:bCs/>
          <w:kern w:val="2"/>
          <w:sz w:val="32"/>
          <w:szCs w:val="32"/>
        </w:rPr>
        <w:t>年度无</w:t>
      </w:r>
      <w:r>
        <w:rPr>
          <w:rFonts w:hint="default" w:ascii="仿宋_GB2312" w:hAnsi="Times New Roman" w:eastAsia="仿宋_GB2312" w:cs="仿宋_GB2312"/>
          <w:color w:val="000000"/>
          <w:kern w:val="0"/>
          <w:sz w:val="32"/>
          <w:szCs w:val="32"/>
        </w:rPr>
        <w:t>部门预算项目支出绩效评</w:t>
      </w:r>
      <w:r>
        <w:rPr>
          <w:rFonts w:hint="default" w:ascii="仿宋_GB2312" w:hAnsi="Times New Roman" w:eastAsia="仿宋_GB2312" w:cs="仿宋_GB2312"/>
          <w:b w:val="0"/>
          <w:bCs/>
          <w:kern w:val="2"/>
          <w:sz w:val="32"/>
          <w:szCs w:val="32"/>
        </w:rPr>
        <w:t>价。</w:t>
      </w:r>
    </w:p>
    <w:p w14:paraId="2B6EC712">
      <w:pPr>
        <w:pStyle w:val="36"/>
        <w:keepNext w:val="0"/>
        <w:keepLines w:val="0"/>
        <w:widowControl/>
        <w:suppressLineNumbers w:val="0"/>
        <w:spacing w:before="0" w:beforeAutospacing="0" w:after="0" w:afterAutospacing="0" w:line="560" w:lineRule="exact"/>
        <w:ind w:left="0" w:leftChars="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shd w:val="clear" w:fill="FFFFFF"/>
        </w:rPr>
        <w:t xml:space="preserve"> </w:t>
      </w:r>
    </w:p>
    <w:p w14:paraId="6CB0A738">
      <w:pPr>
        <w:rPr>
          <w:rFonts w:hint="eastAsia" w:ascii="宋体" w:hAnsi="宋体" w:eastAsia="宋体" w:cs="宋体"/>
          <w:kern w:val="0"/>
          <w:sz w:val="24"/>
          <w:szCs w:val="24"/>
          <w:shd w:val="clear" w:fill="FFFFFF"/>
        </w:rPr>
        <w:sectPr>
          <w:footerReference r:id="rId5" w:type="default"/>
          <w:pgSz w:w="11915" w:h="16851"/>
          <w:pgMar w:top="1440" w:right="1800" w:bottom="1440" w:left="1800" w:header="851" w:footer="992" w:gutter="0"/>
          <w:pgNumType w:fmt="decimal" w:start="1"/>
          <w:cols w:space="0" w:num="1"/>
          <w:docGrid w:type="lines" w:linePitch="312" w:charSpace="0"/>
        </w:sectPr>
      </w:pPr>
    </w:p>
    <w:p w14:paraId="13B01C4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8A3E3FC">
      <w:pPr>
        <w:widowControl/>
        <w:jc w:val="center"/>
        <w:outlineLvl w:val="0"/>
        <w:rPr>
          <w:rFonts w:hint="eastAsia" w:ascii="Times New Roman" w:hAnsi="Times New Roman" w:eastAsia="仿宋"/>
          <w:b w:val="0"/>
          <w:color w:val="auto"/>
          <w:highlight w:val="none"/>
        </w:rPr>
      </w:pPr>
      <w:bookmarkStart w:id="68" w:name="_Toc191161677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5"/>
      <w:bookmarkEnd w:id="67"/>
      <w:bookmarkEnd w:id="68"/>
      <w:bookmarkStart w:id="69" w:name="_Toc15396619"/>
    </w:p>
    <w:p w14:paraId="3702489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C504F7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9"/>
    </w:p>
    <w:p w14:paraId="41BC386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0"/>
      <w:r>
        <w:rPr>
          <w:rFonts w:hint="eastAsia" w:ascii="Times New Roman" w:hAnsi="Times New Roman" w:eastAsia="仿宋_GB2312" w:cs="仿宋_GB2312"/>
          <w:color w:val="auto"/>
          <w:sz w:val="32"/>
          <w:szCs w:val="32"/>
          <w:highlight w:val="none"/>
        </w:rPr>
        <w:t>二、收入决算表</w:t>
      </w:r>
      <w:bookmarkEnd w:id="70"/>
    </w:p>
    <w:p w14:paraId="4768E67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1"/>
      <w:r>
        <w:rPr>
          <w:rFonts w:hint="eastAsia" w:ascii="Times New Roman" w:hAnsi="Times New Roman" w:eastAsia="仿宋_GB2312" w:cs="仿宋_GB2312"/>
          <w:color w:val="auto"/>
          <w:sz w:val="32"/>
          <w:szCs w:val="32"/>
          <w:highlight w:val="none"/>
        </w:rPr>
        <w:t>三、支出决算表</w:t>
      </w:r>
      <w:bookmarkEnd w:id="71"/>
    </w:p>
    <w:p w14:paraId="26E6D18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2"/>
      <w:r>
        <w:rPr>
          <w:rFonts w:hint="eastAsia" w:ascii="Times New Roman" w:hAnsi="Times New Roman" w:eastAsia="仿宋_GB2312" w:cs="仿宋_GB2312"/>
          <w:color w:val="auto"/>
          <w:sz w:val="32"/>
          <w:szCs w:val="32"/>
          <w:highlight w:val="none"/>
        </w:rPr>
        <w:t>四、财政拨款收入支出决算总表</w:t>
      </w:r>
      <w:bookmarkEnd w:id="72"/>
    </w:p>
    <w:p w14:paraId="627CABE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3"/>
      <w:r>
        <w:rPr>
          <w:rFonts w:hint="eastAsia" w:ascii="Times New Roman" w:hAnsi="Times New Roman" w:eastAsia="仿宋_GB2312" w:cs="仿宋_GB2312"/>
          <w:color w:val="auto"/>
          <w:sz w:val="32"/>
          <w:szCs w:val="32"/>
          <w:highlight w:val="none"/>
        </w:rPr>
        <w:t>五、财政拨款支出决算明细表</w:t>
      </w:r>
      <w:bookmarkEnd w:id="73"/>
      <w:bookmarkStart w:id="74" w:name="_Toc15396624"/>
    </w:p>
    <w:p w14:paraId="47A8114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4"/>
    </w:p>
    <w:p w14:paraId="59594A8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5"/>
      <w:r>
        <w:rPr>
          <w:rFonts w:hint="eastAsia" w:ascii="Times New Roman" w:hAnsi="Times New Roman" w:eastAsia="仿宋_GB2312" w:cs="仿宋_GB2312"/>
          <w:color w:val="auto"/>
          <w:sz w:val="32"/>
          <w:szCs w:val="32"/>
          <w:highlight w:val="none"/>
        </w:rPr>
        <w:t>七、一般公共预算财政拨款支出决算明细表</w:t>
      </w:r>
      <w:bookmarkEnd w:id="75"/>
    </w:p>
    <w:p w14:paraId="162A741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6"/>
      <w:r>
        <w:rPr>
          <w:rFonts w:hint="eastAsia" w:ascii="Times New Roman" w:hAnsi="Times New Roman" w:eastAsia="仿宋_GB2312" w:cs="仿宋_GB2312"/>
          <w:color w:val="auto"/>
          <w:sz w:val="32"/>
          <w:szCs w:val="32"/>
          <w:highlight w:val="none"/>
        </w:rPr>
        <w:t>八、一般公共预算财政拨款基本支出决算表</w:t>
      </w:r>
      <w:bookmarkEnd w:id="76"/>
    </w:p>
    <w:p w14:paraId="375916A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7"/>
      <w:r>
        <w:rPr>
          <w:rFonts w:hint="eastAsia" w:ascii="Times New Roman" w:hAnsi="Times New Roman" w:eastAsia="仿宋_GB2312" w:cs="仿宋_GB2312"/>
          <w:color w:val="auto"/>
          <w:sz w:val="32"/>
          <w:szCs w:val="32"/>
          <w:highlight w:val="none"/>
        </w:rPr>
        <w:t>九、一般公共预算财政拨款项目支出决算表</w:t>
      </w:r>
      <w:bookmarkEnd w:id="77"/>
    </w:p>
    <w:p w14:paraId="4DC2C8A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8"/>
      <w:r>
        <w:rPr>
          <w:rFonts w:hint="eastAsia" w:ascii="Times New Roman" w:hAnsi="Times New Roman" w:eastAsia="仿宋_GB2312" w:cs="仿宋_GB2312"/>
          <w:color w:val="auto"/>
          <w:sz w:val="32"/>
          <w:szCs w:val="32"/>
          <w:highlight w:val="none"/>
        </w:rPr>
        <w:t>十、</w:t>
      </w:r>
      <w:bookmarkEnd w:id="78"/>
      <w:r>
        <w:rPr>
          <w:rFonts w:hint="eastAsia" w:ascii="Times New Roman" w:hAnsi="Times New Roman" w:eastAsia="仿宋_GB2312" w:cs="仿宋_GB2312"/>
          <w:color w:val="auto"/>
          <w:sz w:val="32"/>
          <w:szCs w:val="32"/>
          <w:highlight w:val="none"/>
        </w:rPr>
        <w:t>政府性基金预算财政拨款收入支出决算表</w:t>
      </w:r>
    </w:p>
    <w:p w14:paraId="07A18A5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9"/>
      <w:r>
        <w:rPr>
          <w:rFonts w:hint="eastAsia" w:ascii="Times New Roman" w:hAnsi="Times New Roman" w:eastAsia="仿宋_GB2312" w:cs="仿宋_GB2312"/>
          <w:color w:val="auto"/>
          <w:sz w:val="32"/>
          <w:szCs w:val="32"/>
          <w:highlight w:val="none"/>
        </w:rPr>
        <w:t>十一、</w:t>
      </w:r>
      <w:bookmarkEnd w:id="7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34432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30"/>
      <w:r>
        <w:rPr>
          <w:rFonts w:hint="eastAsia" w:ascii="Times New Roman" w:hAnsi="Times New Roman" w:eastAsia="仿宋_GB2312" w:cs="仿宋_GB2312"/>
          <w:color w:val="auto"/>
          <w:sz w:val="32"/>
          <w:szCs w:val="32"/>
          <w:highlight w:val="none"/>
        </w:rPr>
        <w:t>十二、</w:t>
      </w:r>
      <w:bookmarkEnd w:id="80"/>
      <w:r>
        <w:rPr>
          <w:rFonts w:hint="eastAsia" w:ascii="Times New Roman" w:hAnsi="Times New Roman" w:eastAsia="仿宋_GB2312" w:cs="仿宋_GB2312"/>
          <w:color w:val="auto"/>
          <w:sz w:val="32"/>
          <w:szCs w:val="32"/>
          <w:highlight w:val="none"/>
          <w:lang w:eastAsia="zh-CN"/>
        </w:rPr>
        <w:t>国有资本经营预算财政拨款支出决算表</w:t>
      </w:r>
    </w:p>
    <w:p w14:paraId="171BF1C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1" w:name="_Toc15396631"/>
      <w:r>
        <w:rPr>
          <w:rFonts w:hint="eastAsia" w:ascii="Times New Roman" w:hAnsi="Times New Roman" w:eastAsia="仿宋_GB2312" w:cs="仿宋_GB2312"/>
          <w:color w:val="auto"/>
          <w:sz w:val="32"/>
          <w:szCs w:val="32"/>
          <w:highlight w:val="none"/>
        </w:rPr>
        <w:t>十三、</w:t>
      </w:r>
      <w:bookmarkEnd w:id="81"/>
      <w:r>
        <w:rPr>
          <w:rFonts w:hint="eastAsia" w:ascii="Times New Roman" w:hAnsi="Times New Roman" w:eastAsia="仿宋_GB2312" w:cs="仿宋_GB2312"/>
          <w:color w:val="auto"/>
          <w:sz w:val="32"/>
          <w:szCs w:val="32"/>
          <w:highlight w:val="none"/>
          <w:lang w:eastAsia="zh-CN"/>
        </w:rPr>
        <w:t>财政拨款“三公”经费支出决算表</w:t>
      </w:r>
    </w:p>
    <w:p w14:paraId="1CCCF8CF">
      <w:pPr>
        <w:rPr>
          <w:rFonts w:hint="eastAsia" w:ascii="Times New Roman" w:hAnsi="Times New Roman"/>
          <w:lang w:eastAsia="zh-CN"/>
        </w:rPr>
      </w:pPr>
    </w:p>
    <w:sectPr>
      <w:footerReference r:id="rId8" w:type="first"/>
      <w:headerReference r:id="rId6" w:type="default"/>
      <w:footerReference r:id="rId7" w:type="default"/>
      <w:pgSz w:w="11906" w:h="16838"/>
      <w:pgMar w:top="1440" w:right="1800" w:bottom="1440" w:left="1800" w:header="851" w:footer="992" w:gutter="0"/>
      <w:pgNumType w:fmt="decimal" w:start="1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553B4">
    <w:pPr>
      <w:pStyle w:val="11"/>
      <w:keepNext w:val="0"/>
      <w:keepLines w:val="0"/>
      <w:widowControl/>
      <w:suppressLineNumbers w:val="0"/>
      <w:rPr>
        <w:rFonts w:hint="eastAsia" w:ascii="宋体" w:hAnsi="宋体" w:eastAsia="宋体" w:cs="宋体"/>
        <w:kern w:val="0"/>
        <w:sz w:val="18"/>
        <w:szCs w:val="18"/>
      </w:rPr>
    </w:pPr>
  </w:p>
  <w:p w14:paraId="519E37D7">
    <w:pPr>
      <w:pStyle w:val="11"/>
      <w:keepNext w:val="0"/>
      <w:keepLines w:val="0"/>
      <w:widowControl/>
      <w:suppressLineNumbers w:val="0"/>
      <w:rPr>
        <w:rFonts w:hint="eastAsia" w:ascii="宋体" w:hAnsi="宋体" w:eastAsia="宋体" w:cs="宋体"/>
        <w:kern w:val="0"/>
        <w:sz w:val="18"/>
        <w:szCs w:val="18"/>
      </w:rPr>
    </w:pPr>
    <w:r>
      <w:rPr>
        <w:rFonts w:hint="eastAsia" w:ascii="宋体" w:hAnsi="宋体" w:eastAsia="宋体" w:cs="宋体"/>
        <w:kern w:val="0"/>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3A395">
    <w:pPr>
      <w:pStyle w:val="11"/>
      <w:keepNext w:val="0"/>
      <w:keepLines w:val="0"/>
      <w:widowControl/>
      <w:suppressLineNumbers w:val="0"/>
      <w:rPr>
        <w:rFonts w:hint="eastAsia" w:ascii="宋体" w:hAnsi="宋体" w:eastAsia="宋体" w:cs="宋体"/>
        <w:kern w:val="0"/>
        <w:sz w:val="18"/>
        <w:szCs w:val="18"/>
      </w:rPr>
    </w:pPr>
  </w:p>
  <w:p w14:paraId="31380989">
    <w:pPr>
      <w:pStyle w:val="11"/>
      <w:keepNext w:val="0"/>
      <w:keepLines w:val="0"/>
      <w:widowControl/>
      <w:suppressLineNumbers w:val="0"/>
      <w:tabs>
        <w:tab w:val="center" w:pos="4157"/>
        <w:tab w:val="clear" w:pos="4153"/>
      </w:tabs>
      <w:rPr>
        <w:rFonts w:hint="eastAsia" w:ascii="宋体" w:hAnsi="宋体" w:eastAsia="宋体" w:cs="宋体"/>
        <w:kern w:val="0"/>
        <w:sz w:val="18"/>
        <w:szCs w:val="18"/>
        <w:lang w:eastAsia="zh-CN"/>
      </w:rPr>
    </w:pPr>
    <w:r>
      <w:rPr>
        <w:rFonts w:hint="eastAsia" w:ascii="宋体" w:hAnsi="宋体" w:eastAsia="宋体" w:cs="宋体"/>
        <w:kern w:val="0"/>
        <w:sz w:val="18"/>
        <w:szCs w:val="18"/>
      </w:rPr>
      <w:t xml:space="preserve"> </w:t>
    </w:r>
    <w:r>
      <w:rPr>
        <w:rFonts w:hint="eastAsia" w:ascii="宋体" w:hAnsi="宋体" w:cs="宋体"/>
        <w:kern w:val="0"/>
        <w:sz w:val="18"/>
        <w:szCs w:val="18"/>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16928">
    <w:pPr>
      <w:pStyle w:val="11"/>
      <w:keepNext w:val="0"/>
      <w:keepLines w:val="0"/>
      <w:widowControl/>
      <w:suppressLineNumbers w:val="0"/>
      <w:rPr>
        <w:rFonts w:hint="eastAsia" w:ascii="宋体" w:hAnsi="宋体" w:eastAsia="宋体" w:cs="宋体"/>
        <w:kern w:val="0"/>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22392">
                          <w:pPr>
                            <w:pStyle w:val="11"/>
                            <w:keepNext w:val="0"/>
                            <w:keepLines w:val="0"/>
                            <w:pageBreakBefore w:val="0"/>
                            <w:widowControl w:val="0"/>
                            <w:kinsoku/>
                            <w:wordWrap/>
                            <w:overflowPunct/>
                            <w:topLinePunct w:val="0"/>
                            <w:bidi w:val="0"/>
                            <w:adjustRightInd/>
                            <w:snapToGrid w:val="0"/>
                            <w:ind w:left="210" w:leftChars="100" w:right="210" w:rightChars="100"/>
                            <w:textAlignment w:val="auto"/>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922392">
                    <w:pPr>
                      <w:pStyle w:val="11"/>
                      <w:keepNext w:val="0"/>
                      <w:keepLines w:val="0"/>
                      <w:pageBreakBefore w:val="0"/>
                      <w:widowControl w:val="0"/>
                      <w:kinsoku/>
                      <w:wordWrap/>
                      <w:overflowPunct/>
                      <w:topLinePunct w:val="0"/>
                      <w:bidi w:val="0"/>
                      <w:adjustRightInd/>
                      <w:snapToGrid w:val="0"/>
                      <w:ind w:left="210" w:leftChars="100" w:right="210" w:rightChars="100"/>
                      <w:textAlignment w:val="auto"/>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p>
                </w:txbxContent>
              </v:textbox>
            </v:shape>
          </w:pict>
        </mc:Fallback>
      </mc:AlternateContent>
    </w:r>
  </w:p>
  <w:p w14:paraId="2AE306E2">
    <w:pPr>
      <w:pStyle w:val="11"/>
      <w:keepNext w:val="0"/>
      <w:keepLines w:val="0"/>
      <w:widowControl/>
      <w:suppressLineNumbers w:val="0"/>
      <w:tabs>
        <w:tab w:val="center" w:pos="4157"/>
        <w:tab w:val="clear" w:pos="4153"/>
      </w:tabs>
      <w:rPr>
        <w:rFonts w:hint="eastAsia" w:ascii="宋体" w:hAnsi="宋体" w:eastAsia="宋体" w:cs="宋体"/>
        <w:kern w:val="0"/>
        <w:sz w:val="18"/>
        <w:szCs w:val="18"/>
        <w:lang w:eastAsia="zh-CN"/>
      </w:rPr>
    </w:pPr>
    <w:r>
      <w:rPr>
        <w:rFonts w:hint="eastAsia" w:ascii="宋体" w:hAnsi="宋体" w:eastAsia="宋体" w:cs="宋体"/>
        <w:kern w:val="0"/>
        <w:sz w:val="18"/>
        <w:szCs w:val="18"/>
      </w:rPr>
      <w:t xml:space="preserve"> </w:t>
    </w:r>
    <w:r>
      <w:rPr>
        <w:rFonts w:hint="eastAsia" w:ascii="宋体" w:hAnsi="宋体" w:cs="宋体"/>
        <w:kern w:val="0"/>
        <w:sz w:val="18"/>
        <w:szCs w:val="18"/>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8C189">
    <w:pPr>
      <w:pStyle w:val="1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D531F">
                          <w:pPr>
                            <w:pStyle w:val="11"/>
                            <w:keepNext w:val="0"/>
                            <w:keepLines w:val="0"/>
                            <w:pageBreakBefore w:val="0"/>
                            <w:widowControl w:val="0"/>
                            <w:kinsoku/>
                            <w:wordWrap/>
                            <w:overflowPunct/>
                            <w:topLinePunct w:val="0"/>
                            <w:bidi w:val="0"/>
                            <w:adjustRightInd/>
                            <w:snapToGrid w:val="0"/>
                            <w:ind w:left="210" w:leftChars="100" w:right="210" w:rightChars="100"/>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19D531F">
                    <w:pPr>
                      <w:pStyle w:val="11"/>
                      <w:keepNext w:val="0"/>
                      <w:keepLines w:val="0"/>
                      <w:pageBreakBefore w:val="0"/>
                      <w:widowControl w:val="0"/>
                      <w:kinsoku/>
                      <w:wordWrap/>
                      <w:overflowPunct/>
                      <w:topLinePunct w:val="0"/>
                      <w:bidi w:val="0"/>
                      <w:adjustRightInd/>
                      <w:snapToGrid w:val="0"/>
                      <w:ind w:left="210" w:leftChars="100" w:right="210" w:rightChars="100"/>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p w14:paraId="508BC9E4">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6D601">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98405">
                          <w:pPr>
                            <w:pStyle w:val="11"/>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E698405">
                    <w:pPr>
                      <w:pStyle w:val="11"/>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AC31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1">
    <w:nsid w:val="6885158C"/>
    <w:multiLevelType w:val="singleLevel"/>
    <w:tmpl w:val="6885158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yZDc4OWY0NzYxN2JiZDM2Nzg2YmUzMTY1MWQ4OT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501910"/>
    <w:rsid w:val="0CA8290A"/>
    <w:rsid w:val="0D35B1ED"/>
    <w:rsid w:val="0D5D6145"/>
    <w:rsid w:val="0E254B6B"/>
    <w:rsid w:val="0F98263C"/>
    <w:rsid w:val="101860EC"/>
    <w:rsid w:val="101F47CC"/>
    <w:rsid w:val="10306B1E"/>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091A7A"/>
    <w:rsid w:val="244F3473"/>
    <w:rsid w:val="24C97D99"/>
    <w:rsid w:val="25A718F0"/>
    <w:rsid w:val="25BB59F6"/>
    <w:rsid w:val="260F557C"/>
    <w:rsid w:val="26970054"/>
    <w:rsid w:val="281408E2"/>
    <w:rsid w:val="29FD04D3"/>
    <w:rsid w:val="2BFF7BC6"/>
    <w:rsid w:val="2C8A61B5"/>
    <w:rsid w:val="2D001D6C"/>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AC3C67"/>
    <w:rsid w:val="36BE0DA7"/>
    <w:rsid w:val="376B6AA6"/>
    <w:rsid w:val="376D39B2"/>
    <w:rsid w:val="37E16F03"/>
    <w:rsid w:val="37F53A3B"/>
    <w:rsid w:val="389B6C89"/>
    <w:rsid w:val="38D469F0"/>
    <w:rsid w:val="39177DFF"/>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2AC74A2"/>
    <w:rsid w:val="439A7D36"/>
    <w:rsid w:val="44E268DA"/>
    <w:rsid w:val="450D13D7"/>
    <w:rsid w:val="45506656"/>
    <w:rsid w:val="458430F2"/>
    <w:rsid w:val="47BC11DC"/>
    <w:rsid w:val="486A6C7A"/>
    <w:rsid w:val="4A113A61"/>
    <w:rsid w:val="4A627F82"/>
    <w:rsid w:val="4B0E749A"/>
    <w:rsid w:val="4B2477C4"/>
    <w:rsid w:val="4B4F25DA"/>
    <w:rsid w:val="4B756F90"/>
    <w:rsid w:val="4BE068DB"/>
    <w:rsid w:val="4D577224"/>
    <w:rsid w:val="4DBF1CEB"/>
    <w:rsid w:val="4DF0007C"/>
    <w:rsid w:val="4EAB630A"/>
    <w:rsid w:val="4ECE2238"/>
    <w:rsid w:val="4F833267"/>
    <w:rsid w:val="4FE9BD67"/>
    <w:rsid w:val="4FFB052F"/>
    <w:rsid w:val="537E6D0A"/>
    <w:rsid w:val="53F74C96"/>
    <w:rsid w:val="548D1D2F"/>
    <w:rsid w:val="55170BA8"/>
    <w:rsid w:val="553218C9"/>
    <w:rsid w:val="567E1AA5"/>
    <w:rsid w:val="56E47B74"/>
    <w:rsid w:val="57175D52"/>
    <w:rsid w:val="57BD3DD4"/>
    <w:rsid w:val="5A1D167E"/>
    <w:rsid w:val="5AF92295"/>
    <w:rsid w:val="5B250254"/>
    <w:rsid w:val="5BDD79E6"/>
    <w:rsid w:val="5BF561CA"/>
    <w:rsid w:val="5BFF5DFC"/>
    <w:rsid w:val="5CD71FC4"/>
    <w:rsid w:val="5D1F11B5"/>
    <w:rsid w:val="5D695134"/>
    <w:rsid w:val="5D787E89"/>
    <w:rsid w:val="5DAE1B18"/>
    <w:rsid w:val="5DE7D9E5"/>
    <w:rsid w:val="5ECEC941"/>
    <w:rsid w:val="5FBF9FF3"/>
    <w:rsid w:val="5FCD4E2C"/>
    <w:rsid w:val="5FEF394A"/>
    <w:rsid w:val="5FF67715"/>
    <w:rsid w:val="60B35252"/>
    <w:rsid w:val="62BF3928"/>
    <w:rsid w:val="63B3701E"/>
    <w:rsid w:val="647F5392"/>
    <w:rsid w:val="65E66580"/>
    <w:rsid w:val="664B1D71"/>
    <w:rsid w:val="664B4E8E"/>
    <w:rsid w:val="67277B67"/>
    <w:rsid w:val="67AA3209"/>
    <w:rsid w:val="698D0931"/>
    <w:rsid w:val="699D0B3A"/>
    <w:rsid w:val="6A7FE5F3"/>
    <w:rsid w:val="6B053271"/>
    <w:rsid w:val="6B8E5075"/>
    <w:rsid w:val="6BDD78B3"/>
    <w:rsid w:val="6C4A05C8"/>
    <w:rsid w:val="6C8742B8"/>
    <w:rsid w:val="6CC661A3"/>
    <w:rsid w:val="6D7F2896"/>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AE5256"/>
    <w:rsid w:val="74BBD01D"/>
    <w:rsid w:val="74ED5379"/>
    <w:rsid w:val="75DEEEC2"/>
    <w:rsid w:val="75E32345"/>
    <w:rsid w:val="76E3355F"/>
    <w:rsid w:val="76FF5125"/>
    <w:rsid w:val="776F6FFA"/>
    <w:rsid w:val="778769C8"/>
    <w:rsid w:val="77A75DCA"/>
    <w:rsid w:val="77DC22F5"/>
    <w:rsid w:val="781B1BEE"/>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A66CC8"/>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EE7D2"/>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8"/>
    <w:autoRedefine/>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autoRedefine/>
    <w:unhideWhenUsed/>
    <w:qFormat/>
    <w:uiPriority w:val="9"/>
    <w:pPr>
      <w:keepNext/>
      <w:keepLines/>
      <w:spacing w:before="260" w:after="260" w:line="416" w:lineRule="auto"/>
      <w:outlineLvl w:val="2"/>
    </w:pPr>
    <w:rPr>
      <w:b/>
      <w:bCs/>
      <w:sz w:val="32"/>
      <w:szCs w:val="32"/>
    </w:rPr>
  </w:style>
  <w:style w:type="character" w:default="1" w:styleId="17">
    <w:name w:val="Default Paragraph Font"/>
    <w:autoRedefine/>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autoRedefine/>
    <w:unhideWhenUsed/>
    <w:qFormat/>
    <w:uiPriority w:val="99"/>
    <w:pPr>
      <w:ind w:firstLine="420" w:firstLineChars="200"/>
    </w:pPr>
  </w:style>
  <w:style w:type="paragraph" w:styleId="3">
    <w:name w:val="Body Text Indent"/>
    <w:basedOn w:val="1"/>
    <w:next w:val="2"/>
    <w:autoRedefine/>
    <w:qFormat/>
    <w:uiPriority w:val="0"/>
    <w:pPr>
      <w:spacing w:after="120"/>
      <w:ind w:leftChars="200"/>
    </w:pPr>
    <w:rPr>
      <w:rFonts w:ascii="仿宋_GB2312"/>
      <w:szCs w:val="32"/>
    </w:rPr>
  </w:style>
  <w:style w:type="paragraph" w:styleId="4">
    <w:name w:val="toc 9"/>
    <w:basedOn w:val="1"/>
    <w:next w:val="1"/>
    <w:autoRedefine/>
    <w:qFormat/>
    <w:uiPriority w:val="0"/>
    <w:pPr>
      <w:spacing w:before="0" w:beforeAutospacing="0" w:after="0" w:afterAutospacing="0"/>
      <w:ind w:left="1680" w:right="0"/>
      <w:jc w:val="left"/>
    </w:pPr>
    <w:rPr>
      <w:rFonts w:hint="default" w:ascii="等线" w:hAnsi="宋体" w:eastAsia="等线" w:cs="宋体"/>
      <w:kern w:val="0"/>
      <w:sz w:val="18"/>
      <w:szCs w:val="18"/>
      <w:lang w:val="en-US" w:eastAsia="zh-CN" w:bidi="ar"/>
    </w:rPr>
  </w:style>
  <w:style w:type="paragraph" w:styleId="8">
    <w:name w:val="Body Text"/>
    <w:basedOn w:val="1"/>
    <w:link w:val="26"/>
    <w:autoRedefine/>
    <w:qFormat/>
    <w:uiPriority w:val="99"/>
    <w:pPr>
      <w:spacing w:beforeLines="30"/>
    </w:pPr>
    <w:rPr>
      <w:rFonts w:ascii="仿宋_GB2312" w:eastAsia="仿宋_GB2312"/>
      <w:kern w:val="0"/>
      <w:sz w:val="30"/>
    </w:rPr>
  </w:style>
  <w:style w:type="paragraph" w:styleId="9">
    <w:name w:val="toc 3"/>
    <w:basedOn w:val="1"/>
    <w:next w:val="1"/>
    <w:autoRedefine/>
    <w:unhideWhenUsed/>
    <w:qFormat/>
    <w:uiPriority w:val="39"/>
    <w:pPr>
      <w:tabs>
        <w:tab w:val="right" w:leader="dot" w:pos="8296"/>
      </w:tabs>
      <w:ind w:left="840" w:leftChars="400"/>
    </w:pPr>
  </w:style>
  <w:style w:type="paragraph" w:styleId="10">
    <w:name w:val="Balloon Text"/>
    <w:basedOn w:val="1"/>
    <w:link w:val="32"/>
    <w:autoRedefine/>
    <w:semiHidden/>
    <w:unhideWhenUsed/>
    <w:qFormat/>
    <w:uiPriority w:val="99"/>
    <w:rPr>
      <w:sz w:val="18"/>
      <w:szCs w:val="18"/>
    </w:rPr>
  </w:style>
  <w:style w:type="paragraph" w:styleId="11">
    <w:name w:val="footer"/>
    <w:basedOn w:val="1"/>
    <w:link w:val="24"/>
    <w:autoRedefine/>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autoRedefine/>
    <w:semiHidden/>
    <w:qFormat/>
    <w:uiPriority w:val="0"/>
    <w:pPr>
      <w:snapToGrid w:val="0"/>
      <w:jc w:val="left"/>
    </w:pPr>
    <w:rPr>
      <w:sz w:val="18"/>
      <w:szCs w:val="18"/>
    </w:rPr>
  </w:style>
  <w:style w:type="paragraph" w:styleId="15">
    <w:name w:val="toc 2"/>
    <w:basedOn w:val="1"/>
    <w:next w:val="1"/>
    <w:autoRedefine/>
    <w:unhideWhenUsed/>
    <w:qFormat/>
    <w:uiPriority w:val="39"/>
    <w:pPr>
      <w:tabs>
        <w:tab w:val="right" w:leader="dot" w:pos="8296"/>
      </w:tabs>
      <w:ind w:left="420" w:leftChars="200"/>
    </w:pPr>
  </w:style>
  <w:style w:type="character" w:styleId="18">
    <w:name w:val="Strong"/>
    <w:basedOn w:val="17"/>
    <w:autoRedefine/>
    <w:qFormat/>
    <w:uiPriority w:val="99"/>
    <w:rPr>
      <w:b/>
    </w:rPr>
  </w:style>
  <w:style w:type="character" w:styleId="19">
    <w:name w:val="Hyperlink"/>
    <w:basedOn w:val="17"/>
    <w:autoRedefine/>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autoRedefine/>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autoRedefine/>
    <w:semiHidden/>
    <w:qFormat/>
    <w:uiPriority w:val="99"/>
    <w:rPr>
      <w:rFonts w:ascii="Times New Roman" w:hAnsi="Times New Roman"/>
      <w:sz w:val="18"/>
      <w:szCs w:val="18"/>
    </w:rPr>
  </w:style>
  <w:style w:type="character" w:customStyle="1" w:styleId="22">
    <w:name w:val="页眉 Char"/>
    <w:link w:val="12"/>
    <w:autoRedefine/>
    <w:semiHidden/>
    <w:qFormat/>
    <w:locked/>
    <w:uiPriority w:val="99"/>
    <w:rPr>
      <w:sz w:val="18"/>
    </w:rPr>
  </w:style>
  <w:style w:type="character" w:customStyle="1" w:styleId="23">
    <w:name w:val="Footer Char"/>
    <w:basedOn w:val="17"/>
    <w:autoRedefine/>
    <w:semiHidden/>
    <w:qFormat/>
    <w:uiPriority w:val="99"/>
    <w:rPr>
      <w:rFonts w:ascii="Times New Roman" w:hAnsi="Times New Roman"/>
      <w:sz w:val="18"/>
      <w:szCs w:val="18"/>
    </w:rPr>
  </w:style>
  <w:style w:type="character" w:customStyle="1" w:styleId="24">
    <w:name w:val="页脚 Char"/>
    <w:link w:val="11"/>
    <w:autoRedefine/>
    <w:qFormat/>
    <w:locked/>
    <w:uiPriority w:val="99"/>
    <w:rPr>
      <w:sz w:val="18"/>
    </w:rPr>
  </w:style>
  <w:style w:type="character" w:customStyle="1" w:styleId="25">
    <w:name w:val="Body Text Char"/>
    <w:basedOn w:val="17"/>
    <w:autoRedefine/>
    <w:semiHidden/>
    <w:qFormat/>
    <w:uiPriority w:val="99"/>
    <w:rPr>
      <w:rFonts w:ascii="Times New Roman" w:hAnsi="Times New Roman"/>
      <w:szCs w:val="24"/>
    </w:rPr>
  </w:style>
  <w:style w:type="character" w:customStyle="1" w:styleId="26">
    <w:name w:val="正文文本 Char"/>
    <w:link w:val="8"/>
    <w:autoRedefine/>
    <w:qFormat/>
    <w:locked/>
    <w:uiPriority w:val="99"/>
    <w:rPr>
      <w:rFonts w:ascii="仿宋_GB2312" w:hAnsi="Times New Roman" w:eastAsia="仿宋_GB2312"/>
      <w:sz w:val="24"/>
    </w:rPr>
  </w:style>
  <w:style w:type="paragraph" w:customStyle="1" w:styleId="27">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autoRedefine/>
    <w:qFormat/>
    <w:uiPriority w:val="34"/>
    <w:pPr>
      <w:ind w:firstLine="420" w:firstLineChars="200"/>
    </w:pPr>
  </w:style>
  <w:style w:type="character" w:customStyle="1" w:styleId="29">
    <w:name w:val="标题 1 Char"/>
    <w:basedOn w:val="17"/>
    <w:link w:val="5"/>
    <w:autoRedefine/>
    <w:qFormat/>
    <w:uiPriority w:val="9"/>
    <w:rPr>
      <w:rFonts w:ascii="Times New Roman" w:hAnsi="Times New Roman"/>
      <w:b/>
      <w:bCs/>
      <w:kern w:val="44"/>
      <w:sz w:val="44"/>
      <w:szCs w:val="44"/>
    </w:rPr>
  </w:style>
  <w:style w:type="character" w:customStyle="1" w:styleId="30">
    <w:name w:val="标题 2 Char"/>
    <w:basedOn w:val="17"/>
    <w:link w:val="6"/>
    <w:autoRedefine/>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autoRedefine/>
    <w:semiHidden/>
    <w:qFormat/>
    <w:uiPriority w:val="99"/>
    <w:rPr>
      <w:rFonts w:ascii="Times New Roman" w:hAnsi="Times New Roman"/>
      <w:kern w:val="2"/>
      <w:sz w:val="18"/>
      <w:szCs w:val="18"/>
    </w:rPr>
  </w:style>
  <w:style w:type="character" w:customStyle="1" w:styleId="33">
    <w:name w:val="标题 3 Char"/>
    <w:basedOn w:val="17"/>
    <w:link w:val="7"/>
    <w:autoRedefine/>
    <w:qFormat/>
    <w:uiPriority w:val="9"/>
    <w:rPr>
      <w:rFonts w:ascii="Times New Roman" w:hAnsi="Times New Roman"/>
      <w:b/>
      <w:bCs/>
      <w:kern w:val="2"/>
      <w:sz w:val="32"/>
      <w:szCs w:val="32"/>
    </w:rPr>
  </w:style>
  <w:style w:type="paragraph" w:customStyle="1" w:styleId="34">
    <w:name w:val="TOC Heading"/>
    <w:basedOn w:val="5"/>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autoRedefine/>
    <w:qFormat/>
    <w:uiPriority w:val="0"/>
    <w:pPr>
      <w:spacing w:line="360" w:lineRule="auto"/>
    </w:pPr>
    <w:rPr>
      <w:rFonts w:ascii="??" w:hAnsi="??" w:eastAsia="宋体"/>
      <w:color w:val="000000"/>
      <w:kern w:val="0"/>
      <w:sz w:val="28"/>
      <w:szCs w:val="21"/>
      <w:lang w:val="zh-CN" w:eastAsia="zh-CN"/>
    </w:rPr>
  </w:style>
  <w:style w:type="paragraph" w:customStyle="1" w:styleId="36">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7">
    <w:name w:val="18"/>
    <w:basedOn w:val="17"/>
    <w:autoRedefine/>
    <w:qFormat/>
    <w:uiPriority w:val="0"/>
    <w:rPr>
      <w:rFonts w:hint="default" w:ascii="Times New Roman" w:hAnsi="Times New Roman" w:cs="Times New Roman"/>
      <w:b/>
    </w:rPr>
  </w:style>
  <w:style w:type="character" w:customStyle="1" w:styleId="38">
    <w:name w:val="标题 1 字符"/>
    <w:basedOn w:val="17"/>
    <w:link w:val="5"/>
    <w:autoRedefine/>
    <w:qFormat/>
    <w:uiPriority w:val="9"/>
    <w:rPr>
      <w:rFonts w:ascii="Times New Roman" w:hAnsi="Times New Roman"/>
      <w:b/>
      <w:bCs/>
      <w:kern w:val="44"/>
      <w:sz w:val="44"/>
      <w:szCs w:val="44"/>
    </w:rPr>
  </w:style>
  <w:style w:type="paragraph" w:customStyle="1" w:styleId="39">
    <w:name w:val="WPSOffice手动目录 1"/>
    <w:qFormat/>
    <w:uiPriority w:val="0"/>
    <w:pPr>
      <w:ind w:leftChars="0"/>
    </w:pPr>
    <w:rPr>
      <w:rFonts w:ascii="Times New Roman" w:hAnsi="Times New Roman" w:eastAsia="宋体" w:cs="Times New Roman"/>
      <w:sz w:val="20"/>
      <w:szCs w:val="20"/>
    </w:rPr>
  </w:style>
  <w:style w:type="paragraph" w:customStyle="1" w:styleId="4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收、支决算总计变动情况图</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176.6</c:v>
                </c:pt>
                <c:pt idx="1">
                  <c:v>184.41</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c97ae2c-c8e4-4bf6-a1bf-9bb380c554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184.41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ab71eff-3cb0-4e24-bbdf-d99fa66d1a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2393738868483"/>
          <c:y val="0.00947567909033481"/>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General</c:formatCode>
                <c:ptCount val="1"/>
                <c:pt idx="0">
                  <c:v>184.41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b797886-5ce6-4506-9eba-7b19f213765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18291700241741"/>
          <c:y val="0.00916590284142988"/>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176.6</c:v>
                </c:pt>
                <c:pt idx="1">
                  <c:v>184.41</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31b72be-9b79-41a0-bced-b2264dc4092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18291700241741"/>
          <c:y val="0.00916590284142988"/>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176.6</c:v>
                </c:pt>
                <c:pt idx="1">
                  <c:v>184.41</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6b557be-dacf-4a5c-af2a-1760811497a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37483880212065"/>
          <c:y val="0.00809279741030483"/>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140.49</c:v>
                </c:pt>
                <c:pt idx="1">
                  <c:v>24.5</c:v>
                </c:pt>
                <c:pt idx="2">
                  <c:v>9.86</c:v>
                </c:pt>
                <c:pt idx="3">
                  <c:v>9.56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a6911fb-41bb-4b47-94f2-494867a6433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4266</Words>
  <Characters>4643</Characters>
  <Lines>61</Lines>
  <Paragraphs>17</Paragraphs>
  <TotalTime>9</TotalTime>
  <ScaleCrop>false</ScaleCrop>
  <LinksUpToDate>false</LinksUpToDate>
  <CharactersWithSpaces>4718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哈哈</cp:lastModifiedBy>
  <cp:lastPrinted>2025-08-07T01:34:00Z</cp:lastPrinted>
  <dcterms:modified xsi:type="dcterms:W3CDTF">2026-09-29T02:27:47Z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F5B1CAFD0FFC4199B279DCCD8FB07AF6_13</vt:lpwstr>
  </property>
  <property fmtid="{D5CDD505-2E9C-101B-9397-08002B2CF9AE}" pid="4" name="KSOTemplateDocerSaveRecord">
    <vt:lpwstr>eyJoZGlkIjoiNWU1ZjZlOTY1ZjEwYTgyNGNhZmJhZmI2ZjY3MmM5NGUiLCJ1c2VySWQiOiI4ODUwNzU3MTIifQ==</vt:lpwstr>
  </property>
</Properties>
</file>