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FFD8E">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2</w:t>
      </w:r>
    </w:p>
    <w:p w14:paraId="6066917C">
      <w:pPr>
        <w:jc w:val="both"/>
        <w:rPr>
          <w:rFonts w:ascii="方正小标宋简体" w:hAnsi="黑体" w:eastAsia="方正小标宋简体"/>
          <w:sz w:val="84"/>
          <w:szCs w:val="84"/>
          <w:highlight w:val="none"/>
        </w:rPr>
      </w:pPr>
    </w:p>
    <w:p w14:paraId="170AA1E8">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eastAsia="zh-CN"/>
        </w:rPr>
        <w:t>九寨沟县住房和城乡建设局</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年部门预算</w:t>
      </w:r>
    </w:p>
    <w:p w14:paraId="1A525D27">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1C049510">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65C201F5">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九寨沟县住房和城乡建设局</w:t>
      </w:r>
      <w:r>
        <w:rPr>
          <w:rFonts w:hint="eastAsia" w:ascii="黑体" w:hAnsi="黑体" w:eastAsia="黑体"/>
          <w:sz w:val="32"/>
          <w:szCs w:val="32"/>
          <w:highlight w:val="none"/>
        </w:rPr>
        <w:t>概况</w:t>
      </w:r>
    </w:p>
    <w:p w14:paraId="5D587B1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14:paraId="433B508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33D8B302">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九寨沟县住房和城乡建设局2</w:t>
      </w:r>
      <w:r>
        <w:rPr>
          <w:rFonts w:ascii="黑体" w:hAnsi="黑体" w:eastAsia="黑体"/>
          <w:sz w:val="32"/>
          <w:szCs w:val="32"/>
          <w:highlight w:val="none"/>
        </w:rPr>
        <w:t>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年部门预算表</w:t>
      </w:r>
    </w:p>
    <w:p w14:paraId="2190BB39">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14:paraId="5FA8CCA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34E4724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rPr>
        <w:t>部门支出总表</w:t>
      </w:r>
    </w:p>
    <w:p w14:paraId="4C8804C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3B87EFD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3D0833C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453E54B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4E3C075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4850F0A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4E62AF6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4022C97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083B504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61E215F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p w14:paraId="1CA4A38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14 </w:t>
      </w:r>
      <w:r>
        <w:rPr>
          <w:rFonts w:hint="eastAsia" w:ascii="仿宋_GB2312" w:hAnsi="仿宋" w:eastAsia="仿宋_GB2312"/>
          <w:sz w:val="32"/>
          <w:szCs w:val="32"/>
          <w:highlight w:val="none"/>
        </w:rPr>
        <w:t>部门整体支出绩效目标表</w:t>
      </w:r>
    </w:p>
    <w:p w14:paraId="44F4D0B7">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九寨沟县住房和城乡建设局</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年部门预算情况说明</w:t>
      </w:r>
    </w:p>
    <w:p w14:paraId="69828AEF">
      <w:pPr>
        <w:jc w:val="both"/>
        <w:rPr>
          <w:rFonts w:ascii="方正小标宋简体" w:hAnsi="黑体" w:eastAsia="方正小标宋简体"/>
          <w:sz w:val="44"/>
          <w:szCs w:val="44"/>
          <w:highlight w:val="none"/>
        </w:rPr>
      </w:pPr>
      <w:r>
        <w:rPr>
          <w:rFonts w:hint="eastAsia" w:ascii="黑体" w:hAnsi="黑体" w:eastAsia="黑体"/>
          <w:sz w:val="32"/>
          <w:szCs w:val="32"/>
          <w:highlight w:val="none"/>
        </w:rPr>
        <w:t>第四部分  名词解释</w:t>
      </w:r>
    </w:p>
    <w:p w14:paraId="4FBFECC6">
      <w:pPr>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第一部分  </w:t>
      </w:r>
      <w:r>
        <w:rPr>
          <w:rFonts w:hint="eastAsia" w:ascii="方正小标宋简体" w:hAnsi="黑体" w:eastAsia="方正小标宋简体"/>
          <w:sz w:val="36"/>
          <w:szCs w:val="36"/>
          <w:highlight w:val="none"/>
          <w:lang w:eastAsia="zh-CN"/>
        </w:rPr>
        <w:t>九寨沟县住房和城乡建设局</w:t>
      </w:r>
      <w:r>
        <w:rPr>
          <w:rFonts w:hint="eastAsia" w:ascii="方正小标宋简体" w:hAnsi="黑体" w:eastAsia="方正小标宋简体"/>
          <w:sz w:val="36"/>
          <w:szCs w:val="36"/>
          <w:highlight w:val="none"/>
        </w:rPr>
        <w:t>概况</w:t>
      </w:r>
    </w:p>
    <w:p w14:paraId="62B6F213">
      <w:pPr>
        <w:ind w:firstLine="640" w:firstLineChars="200"/>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、基本职能及主要工作</w:t>
      </w:r>
    </w:p>
    <w:p w14:paraId="3B1F9838">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0" w:name="_Toc79163603"/>
      <w:bookmarkStart w:id="1" w:name="_Toc79163853"/>
      <w:bookmarkStart w:id="2" w:name="_Toc15377198"/>
      <w:bookmarkStart w:id="3" w:name="_Toc15378445"/>
      <w:r>
        <w:rPr>
          <w:rFonts w:hint="eastAsia" w:ascii="仿宋" w:hAnsi="仿宋" w:eastAsia="仿宋"/>
          <w:bCs/>
          <w:color w:val="000000"/>
          <w:sz w:val="32"/>
          <w:szCs w:val="32"/>
        </w:rPr>
        <w:t>（一）主要职能。</w:t>
      </w:r>
      <w:bookmarkEnd w:id="0"/>
      <w:bookmarkEnd w:id="1"/>
    </w:p>
    <w:bookmarkEnd w:id="2"/>
    <w:bookmarkEnd w:id="3"/>
    <w:p w14:paraId="4F872282">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1.贯彻执行国家、省、州住房保障和城乡</w:t>
      </w:r>
      <w:r>
        <w:rPr>
          <w:rFonts w:hint="eastAsia" w:ascii="仿宋_GB2312" w:hAnsi="宋体" w:eastAsia="仿宋_GB2312" w:cs="宋体"/>
          <w:color w:val="000000" w:themeColor="text1"/>
          <w:kern w:val="0"/>
          <w:sz w:val="32"/>
          <w:szCs w:val="32"/>
          <w:lang w:eastAsia="zh-CN"/>
          <w14:textFill>
            <w14:solidFill>
              <w14:schemeClr w14:val="tx1"/>
            </w14:solidFill>
          </w14:textFill>
        </w:rPr>
        <w:t>建设</w:t>
      </w:r>
      <w:r>
        <w:rPr>
          <w:rFonts w:hint="eastAsia" w:ascii="仿宋_GB2312" w:hAnsi="宋体" w:eastAsia="仿宋_GB2312" w:cs="宋体"/>
          <w:color w:val="000000" w:themeColor="text1"/>
          <w:kern w:val="0"/>
          <w:sz w:val="32"/>
          <w:szCs w:val="32"/>
          <w14:textFill>
            <w14:solidFill>
              <w14:schemeClr w14:val="tx1"/>
            </w14:solidFill>
          </w14:textFill>
        </w:rPr>
        <w:t>的法律法规和方针政策。研究拟定住房保障、工程建设、城乡建设、建筑业、房屋装饰装修业、住宅与房地产业、勘察设计</w:t>
      </w:r>
      <w:r>
        <w:rPr>
          <w:rFonts w:hint="eastAsia" w:ascii="仿宋_GB2312" w:hAnsi="宋体" w:eastAsia="仿宋_GB2312" w:cs="宋体"/>
          <w:color w:val="000000" w:themeColor="text1"/>
          <w:kern w:val="0"/>
          <w:sz w:val="32"/>
          <w:szCs w:val="32"/>
          <w:lang w:eastAsia="zh-CN"/>
          <w14:textFill>
            <w14:solidFill>
              <w14:schemeClr w14:val="tx1"/>
            </w14:solidFill>
          </w14:textFill>
        </w:rPr>
        <w:t>服务</w:t>
      </w:r>
      <w:r>
        <w:rPr>
          <w:rFonts w:hint="eastAsia" w:ascii="仿宋_GB2312" w:hAnsi="宋体" w:eastAsia="仿宋_GB2312" w:cs="宋体"/>
          <w:color w:val="000000" w:themeColor="text1"/>
          <w:kern w:val="0"/>
          <w:sz w:val="32"/>
          <w:szCs w:val="32"/>
          <w14:textFill>
            <w14:solidFill>
              <w14:schemeClr w14:val="tx1"/>
            </w14:solidFill>
          </w14:textFill>
        </w:rPr>
        <w:t>业、</w:t>
      </w:r>
      <w:r>
        <w:rPr>
          <w:rFonts w:hint="eastAsia" w:ascii="仿宋_GB2312" w:hAnsi="宋体" w:eastAsia="仿宋_GB2312" w:cs="宋体"/>
          <w:color w:val="000000" w:themeColor="text1"/>
          <w:kern w:val="0"/>
          <w:sz w:val="32"/>
          <w:szCs w:val="32"/>
          <w:lang w:eastAsia="zh-CN"/>
          <w14:textFill>
            <w14:solidFill>
              <w14:schemeClr w14:val="tx1"/>
            </w14:solidFill>
          </w14:textFill>
        </w:rPr>
        <w:t>市政公用服务管理有关规范性文件和制度草案，</w:t>
      </w:r>
      <w:r>
        <w:rPr>
          <w:rFonts w:hint="eastAsia" w:ascii="仿宋_GB2312" w:hAnsi="宋体" w:eastAsia="仿宋_GB2312" w:cs="宋体"/>
          <w:color w:val="000000" w:themeColor="text1"/>
          <w:kern w:val="0"/>
          <w:sz w:val="32"/>
          <w:szCs w:val="32"/>
          <w14:textFill>
            <w14:solidFill>
              <w14:schemeClr w14:val="tx1"/>
            </w14:solidFill>
          </w14:textFill>
        </w:rPr>
        <w:t>负责依法行政工作。</w:t>
      </w:r>
    </w:p>
    <w:p w14:paraId="2D36037F">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承担住房保障工作。拟订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14:paraId="142CBA62">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hint="eastAsia" w:ascii="仿宋_GB2312" w:hAnsi="宋体" w:eastAsia="仿宋_GB2312" w:cs="宋体"/>
          <w:color w:val="000000" w:themeColor="text1"/>
          <w:kern w:val="0"/>
          <w:sz w:val="32"/>
          <w:szCs w:val="32"/>
          <w:lang w:eastAsia="zh-CN"/>
          <w14:textFill>
            <w14:solidFill>
              <w14:schemeClr w14:val="tx1"/>
            </w14:solidFill>
          </w14:textFill>
        </w:rPr>
        <w:t>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白蚁防治、房地产估价与经纪管理、物业管理、国有土地上房屋征收拆迁的规范性文件并监督执行。</w:t>
      </w:r>
    </w:p>
    <w:p w14:paraId="6B89E2CA">
      <w:pPr>
        <w:pStyle w:val="2"/>
        <w:rPr>
          <w:rFonts w:hint="default"/>
          <w:lang w:val="en-US" w:eastAsia="zh-CN"/>
        </w:rPr>
      </w:pPr>
    </w:p>
    <w:p w14:paraId="2812DA76">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bCs/>
          <w:color w:val="000000" w:themeColor="text1"/>
          <w:kern w:val="0"/>
          <w:sz w:val="32"/>
          <w:szCs w:val="32"/>
          <w14:textFill>
            <w14:solidFill>
              <w14:schemeClr w14:val="tx1"/>
            </w14:solidFill>
          </w14:textFill>
        </w:rPr>
        <w:t>.承担监督管理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w:t>
      </w:r>
      <w:r>
        <w:rPr>
          <w:rFonts w:hint="eastAsia" w:ascii="仿宋_GB2312" w:hAnsi="宋体" w:eastAsia="仿宋_GB2312" w:cs="宋体"/>
          <w:bCs/>
          <w:color w:val="000000" w:themeColor="text1"/>
          <w:kern w:val="0"/>
          <w:sz w:val="32"/>
          <w:szCs w:val="32"/>
          <w14:textFill>
            <w14:solidFill>
              <w14:schemeClr w14:val="tx1"/>
            </w14:solidFill>
          </w14:textFill>
        </w:rPr>
        <w:t>建筑</w:t>
      </w:r>
      <w:r>
        <w:rPr>
          <w:rFonts w:hint="eastAsia" w:ascii="仿宋_GB2312" w:hAnsi="宋体" w:eastAsia="仿宋_GB2312" w:cs="宋体"/>
          <w:bCs/>
          <w:color w:val="000000" w:themeColor="text1"/>
          <w:kern w:val="0"/>
          <w:sz w:val="32"/>
          <w:szCs w:val="32"/>
          <w:lang w:eastAsia="zh-CN"/>
          <w14:textFill>
            <w14:solidFill>
              <w14:schemeClr w14:val="tx1"/>
            </w14:solidFill>
          </w14:textFill>
        </w:rPr>
        <w:t>和市政基础设施建设项目建筑</w:t>
      </w:r>
      <w:r>
        <w:rPr>
          <w:rFonts w:hint="eastAsia" w:ascii="仿宋_GB2312" w:hAnsi="宋体" w:eastAsia="仿宋_GB2312" w:cs="宋体"/>
          <w:bCs/>
          <w:color w:val="000000" w:themeColor="text1"/>
          <w:kern w:val="0"/>
          <w:sz w:val="32"/>
          <w:szCs w:val="32"/>
          <w14:textFill>
            <w14:solidFill>
              <w14:schemeClr w14:val="tx1"/>
            </w14:solidFill>
          </w14:textFill>
        </w:rPr>
        <w:t>市场、规范市场各方主体行为的责任。</w:t>
      </w:r>
      <w:r>
        <w:rPr>
          <w:rFonts w:ascii="仿宋_GB2312" w:hAnsi="宋体" w:eastAsia="仿宋_GB2312" w:cs="宋体"/>
          <w:bCs/>
          <w:color w:val="000000" w:themeColor="text1"/>
          <w:kern w:val="0"/>
          <w:sz w:val="32"/>
          <w:szCs w:val="32"/>
          <w14:textFill>
            <w14:solidFill>
              <w14:schemeClr w14:val="tx1"/>
            </w14:solidFill>
          </w14:textFill>
        </w:rPr>
        <w:t>指导全</w:t>
      </w:r>
      <w:r>
        <w:rPr>
          <w:rFonts w:hint="eastAsia" w:ascii="仿宋_GB2312" w:hAnsi="宋体" w:eastAsia="仿宋_GB2312" w:cs="宋体"/>
          <w:bCs/>
          <w:color w:val="000000" w:themeColor="text1"/>
          <w:kern w:val="0"/>
          <w:sz w:val="32"/>
          <w:szCs w:val="32"/>
          <w14:textFill>
            <w14:solidFill>
              <w14:schemeClr w14:val="tx1"/>
            </w14:solidFill>
          </w14:textFill>
        </w:rPr>
        <w:t>县</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w:t>
      </w:r>
      <w:r>
        <w:rPr>
          <w:rFonts w:ascii="仿宋_GB2312" w:hAnsi="宋体" w:eastAsia="仿宋_GB2312" w:cs="宋体"/>
          <w:bCs/>
          <w:color w:val="000000" w:themeColor="text1"/>
          <w:kern w:val="0"/>
          <w:sz w:val="32"/>
          <w:szCs w:val="32"/>
          <w14:textFill>
            <w14:solidFill>
              <w14:schemeClr w14:val="tx1"/>
            </w14:solidFill>
          </w14:textFill>
        </w:rPr>
        <w:t>建</w:t>
      </w:r>
      <w:r>
        <w:rPr>
          <w:rFonts w:hint="eastAsia" w:ascii="仿宋_GB2312" w:hAnsi="宋体" w:eastAsia="仿宋_GB2312" w:cs="宋体"/>
          <w:bCs/>
          <w:color w:val="000000" w:themeColor="text1"/>
          <w:kern w:val="0"/>
          <w:sz w:val="32"/>
          <w:szCs w:val="32"/>
          <w:lang w:eastAsia="zh-CN"/>
          <w14:textFill>
            <w14:solidFill>
              <w14:schemeClr w14:val="tx1"/>
            </w14:solidFill>
          </w14:textFill>
        </w:rPr>
        <w:t>市政类建筑活动，</w:t>
      </w:r>
      <w:r>
        <w:rPr>
          <w:rFonts w:ascii="仿宋_GB2312" w:hAnsi="宋体" w:eastAsia="仿宋_GB2312" w:cs="宋体"/>
          <w:bCs/>
          <w:color w:val="000000" w:themeColor="text1"/>
          <w:kern w:val="0"/>
          <w:sz w:val="32"/>
          <w:szCs w:val="32"/>
          <w14:textFill>
            <w14:solidFill>
              <w14:schemeClr w14:val="tx1"/>
            </w14:solidFill>
          </w14:textFill>
        </w:rPr>
        <w:t>负责</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房屋建筑和市政基础设施</w:t>
      </w:r>
      <w:r>
        <w:rPr>
          <w:rFonts w:ascii="仿宋_GB2312" w:hAnsi="宋体" w:eastAsia="仿宋_GB2312" w:cs="宋体"/>
          <w:bCs/>
          <w:color w:val="000000" w:themeColor="text1"/>
          <w:kern w:val="0"/>
          <w:sz w:val="32"/>
          <w:szCs w:val="32"/>
          <w14:textFill>
            <w14:solidFill>
              <w14:schemeClr w14:val="tx1"/>
            </w14:solidFill>
          </w14:textFill>
        </w:rPr>
        <w:t>建设</w:t>
      </w:r>
      <w:r>
        <w:rPr>
          <w:rFonts w:hint="eastAsia" w:ascii="仿宋_GB2312" w:hAnsi="宋体" w:eastAsia="仿宋_GB2312" w:cs="宋体"/>
          <w:bCs/>
          <w:color w:val="000000" w:themeColor="text1"/>
          <w:kern w:val="0"/>
          <w:sz w:val="32"/>
          <w:szCs w:val="32"/>
          <w:lang w:eastAsia="zh-CN"/>
          <w14:textFill>
            <w14:solidFill>
              <w14:schemeClr w14:val="tx1"/>
            </w14:solidFill>
          </w14:textFill>
        </w:rPr>
        <w:t>项目</w:t>
      </w:r>
      <w:r>
        <w:rPr>
          <w:rFonts w:ascii="仿宋_GB2312" w:hAnsi="宋体" w:eastAsia="仿宋_GB2312" w:cs="宋体"/>
          <w:bCs/>
          <w:color w:val="000000" w:themeColor="text1"/>
          <w:kern w:val="0"/>
          <w:sz w:val="32"/>
          <w:szCs w:val="32"/>
          <w14:textFill>
            <w14:solidFill>
              <w14:schemeClr w14:val="tx1"/>
            </w14:solidFill>
          </w14:textFill>
        </w:rPr>
        <w:t>工程招标投标活动的监督管理，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指导监督县行政审批局</w:t>
      </w:r>
      <w:r>
        <w:rPr>
          <w:rFonts w:ascii="仿宋_GB2312" w:hAnsi="宋体" w:eastAsia="仿宋_GB2312" w:cs="宋体"/>
          <w:bCs/>
          <w:color w:val="000000" w:themeColor="text1"/>
          <w:kern w:val="0"/>
          <w:sz w:val="32"/>
          <w:szCs w:val="32"/>
          <w14:textFill>
            <w14:solidFill>
              <w14:schemeClr w14:val="tx1"/>
            </w14:solidFill>
          </w14:textFill>
        </w:rPr>
        <w:t>《建设工程施工许可证》</w:t>
      </w:r>
      <w:r>
        <w:rPr>
          <w:rFonts w:hint="eastAsia" w:ascii="仿宋_GB2312" w:hAnsi="宋体" w:eastAsia="仿宋_GB2312" w:cs="宋体"/>
          <w:bCs/>
          <w:color w:val="000000" w:themeColor="text1"/>
          <w:kern w:val="0"/>
          <w:sz w:val="32"/>
          <w:szCs w:val="32"/>
          <w:lang w:eastAsia="zh-CN"/>
          <w14:textFill>
            <w14:solidFill>
              <w14:schemeClr w14:val="tx1"/>
            </w14:solidFill>
          </w14:textFill>
        </w:rPr>
        <w:t>核发</w:t>
      </w:r>
      <w:r>
        <w:rPr>
          <w:rFonts w:ascii="仿宋_GB2312" w:hAnsi="宋体" w:eastAsia="仿宋_GB2312" w:cs="宋体"/>
          <w:bCs/>
          <w:color w:val="000000" w:themeColor="text1"/>
          <w:kern w:val="0"/>
          <w:sz w:val="32"/>
          <w:szCs w:val="32"/>
          <w14:textFill>
            <w14:solidFill>
              <w14:schemeClr w14:val="tx1"/>
            </w14:solidFill>
          </w14:textFill>
        </w:rPr>
        <w:t xml:space="preserve">，指导监督建设工程标准定额的实施。负责建设工程质量安全监管，负责竣工验收备案管理，组织或参与工程质量安全事故的调查处理。 </w:t>
      </w:r>
    </w:p>
    <w:p w14:paraId="14AE98EC">
      <w:pPr>
        <w:keepNext w:val="0"/>
        <w:keepLines w:val="0"/>
        <w:pageBreakBefore w:val="0"/>
        <w:widowControl/>
        <w:numPr>
          <w:ilvl w:val="0"/>
          <w:numId w:val="1"/>
        </w:numPr>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bCs/>
          <w:color w:val="000000" w:themeColor="text1"/>
          <w:kern w:val="0"/>
          <w:sz w:val="32"/>
          <w:szCs w:val="32"/>
          <w14:textFill>
            <w14:solidFill>
              <w14:schemeClr w14:val="tx1"/>
            </w14:solidFill>
          </w14:textFill>
        </w:rPr>
      </w:pPr>
      <w:r>
        <w:rPr>
          <w:rFonts w:hint="eastAsia" w:ascii="仿宋_GB2312" w:hAnsi="宋体" w:eastAsia="仿宋_GB2312" w:cs="宋体"/>
          <w:bCs/>
          <w:color w:val="000000" w:themeColor="text1"/>
          <w:kern w:val="0"/>
          <w:sz w:val="32"/>
          <w:szCs w:val="32"/>
          <w14:textFill>
            <w14:solidFill>
              <w14:schemeClr w14:val="tx1"/>
            </w14:solidFill>
          </w14:textFill>
        </w:rPr>
        <w:t>承担规范和指导村镇建设的责任。指导农村住房建设管理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w:t>
      </w:r>
      <w:r>
        <w:rPr>
          <w:rFonts w:hint="eastAsia" w:ascii="仿宋_GB2312" w:hAnsi="宋体" w:eastAsia="仿宋_GB2312" w:cs="宋体"/>
          <w:bCs/>
          <w:color w:val="000000" w:themeColor="text1"/>
          <w:kern w:val="0"/>
          <w:sz w:val="32"/>
          <w:szCs w:val="32"/>
          <w14:textFill>
            <w14:solidFill>
              <w14:schemeClr w14:val="tx1"/>
            </w14:solidFill>
          </w14:textFill>
        </w:rPr>
        <w:t>危房改造</w:t>
      </w:r>
      <w:r>
        <w:rPr>
          <w:rFonts w:hint="eastAsia" w:ascii="仿宋_GB2312" w:hAnsi="宋体" w:eastAsia="仿宋_GB2312" w:cs="宋体"/>
          <w:bCs/>
          <w:color w:val="000000" w:themeColor="text1"/>
          <w:kern w:val="0"/>
          <w:sz w:val="32"/>
          <w:szCs w:val="32"/>
          <w:lang w:eastAsia="zh-CN"/>
          <w14:textFill>
            <w14:solidFill>
              <w14:schemeClr w14:val="tx1"/>
            </w14:solidFill>
          </w14:textFill>
        </w:rPr>
        <w:t>、小城镇人</w:t>
      </w:r>
      <w:r>
        <w:rPr>
          <w:rFonts w:hint="eastAsia" w:ascii="仿宋_GB2312" w:eastAsia="仿宋_GB2312"/>
          <w:color w:val="000000" w:themeColor="text1"/>
          <w:sz w:val="32"/>
          <w:szCs w:val="32"/>
          <w14:textFill>
            <w14:solidFill>
              <w14:schemeClr w14:val="tx1"/>
            </w14:solidFill>
          </w14:textFill>
        </w:rPr>
        <w:t>居生态环境的改善工作，指导受灾村镇及国家大型重点建设项目地区村镇迁建、重建的规划建设和管理工作。</w:t>
      </w:r>
      <w:r>
        <w:rPr>
          <w:rFonts w:ascii="仿宋_GB2312" w:hAnsi="宋体" w:eastAsia="仿宋_GB2312" w:cs="宋体"/>
          <w:bCs/>
          <w:color w:val="000000" w:themeColor="text1"/>
          <w:kern w:val="0"/>
          <w:sz w:val="32"/>
          <w:szCs w:val="32"/>
          <w14:textFill>
            <w14:solidFill>
              <w14:schemeClr w14:val="tx1"/>
            </w14:solidFill>
          </w14:textFill>
        </w:rPr>
        <w:t xml:space="preserve"> </w:t>
      </w:r>
    </w:p>
    <w:p w14:paraId="622250F3">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指导城镇燃气相关配套设施的建设运营维护监督管理及审批工作。</w:t>
      </w:r>
    </w:p>
    <w:p w14:paraId="55072BF0">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推进全县建筑节能、城镇减排的责任。拟订并监督实施全县住房和城乡建设的科技发展、建筑节能规划；组织实施全县重大建筑节能项目，推进城镇减排；组织实施重点建筑科技项目的研究开发，指导房屋墙体材料革新工作，竣工验收许可相关职责以及建设工程消防设计审查验收相关职责。</w:t>
      </w:r>
    </w:p>
    <w:p w14:paraId="01657AF8">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指导建设工程抗震设防工作，组织编制并实施房屋建筑和市政设施抗震技术地方规范和标准图集，组织开展城镇建筑物抗震性能普查、鉴定加固和改造工作，指导村镇和农村建设抗震工作。</w:t>
      </w:r>
    </w:p>
    <w:p w14:paraId="3CEB66C2">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承担房屋建筑工程和市政基础设施工程防雷装置设计审核、竣工验收许可相关职责。</w:t>
      </w:r>
    </w:p>
    <w:p w14:paraId="1C562A30">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10.</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承担全县散装水泥发展和应用的监督管理职责。</w:t>
      </w:r>
    </w:p>
    <w:p w14:paraId="5E773710">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11.指导城市勘察、市政工程测量和历史文化名城（镇、村）审核报批、保护和监督管理。</w:t>
      </w:r>
    </w:p>
    <w:p w14:paraId="7DBF4479">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12.</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承担职责范围内的安全生产和职业健康、生态环境保护、公共机构节能减排、审批服务便民化等工作。</w:t>
      </w:r>
    </w:p>
    <w:p w14:paraId="0A4D8DFB">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13.</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承担县委、县政府交办的其他工作</w:t>
      </w:r>
    </w:p>
    <w:p w14:paraId="2E3A1978">
      <w:pPr>
        <w:ind w:firstLine="640" w:firstLineChars="200"/>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14.职能转变。       　　</w:t>
      </w:r>
    </w:p>
    <w:p w14:paraId="47A0B4F7">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eastAsia" w:ascii="楷体" w:hAnsi="楷体" w:eastAsia="楷体"/>
          <w:b/>
          <w:sz w:val="32"/>
          <w:szCs w:val="32"/>
          <w:highlight w:val="none"/>
          <w:lang w:val="en-US" w:eastAsia="zh-CN"/>
        </w:rPr>
        <w:t xml:space="preserve"> </w:t>
      </w:r>
      <w:r>
        <w:rPr>
          <w:rFonts w:hint="eastAsia" w:ascii="仿宋_GB2312" w:eastAsia="仿宋_GB2312"/>
          <w:b/>
          <w:bCs/>
          <w:color w:val="000000" w:themeColor="text1"/>
          <w:sz w:val="32"/>
          <w:szCs w:val="32"/>
          <w:shd w:val="clear" w:color="auto" w:fill="FFFFFF"/>
          <w:lang w:eastAsia="zh-CN"/>
          <w14:textFill>
            <w14:solidFill>
              <w14:schemeClr w14:val="tx1"/>
            </w14:solidFill>
          </w14:textFill>
        </w:rPr>
        <w:t>九寨沟县住房和城乡建设局</w:t>
      </w:r>
      <w:r>
        <w:rPr>
          <w:rFonts w:hint="eastAsia" w:ascii="楷体" w:hAnsi="楷体" w:eastAsia="楷体"/>
          <w:b/>
          <w:sz w:val="32"/>
          <w:szCs w:val="32"/>
          <w:highlight w:val="none"/>
        </w:rPr>
        <w:t>2</w:t>
      </w:r>
      <w:r>
        <w:rPr>
          <w:rFonts w:ascii="楷体" w:hAnsi="楷体" w:eastAsia="楷体"/>
          <w:b/>
          <w:sz w:val="32"/>
          <w:szCs w:val="32"/>
          <w:highlight w:val="none"/>
        </w:rPr>
        <w:t>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w:t>
      </w:r>
      <w:r>
        <w:rPr>
          <w:rFonts w:ascii="楷体" w:hAnsi="楷体" w:eastAsia="楷体"/>
          <w:b/>
          <w:sz w:val="32"/>
          <w:szCs w:val="32"/>
          <w:highlight w:val="none"/>
        </w:rPr>
        <w:t>重点</w:t>
      </w:r>
      <w:r>
        <w:rPr>
          <w:rFonts w:hint="eastAsia" w:ascii="楷体" w:hAnsi="楷体" w:eastAsia="楷体"/>
          <w:b/>
          <w:sz w:val="32"/>
          <w:szCs w:val="32"/>
          <w:highlight w:val="none"/>
          <w:lang w:eastAsia="zh-CN"/>
        </w:rPr>
        <w:t>完成</w:t>
      </w:r>
      <w:r>
        <w:rPr>
          <w:rFonts w:ascii="楷体" w:hAnsi="楷体" w:eastAsia="楷体"/>
          <w:b/>
          <w:sz w:val="32"/>
          <w:szCs w:val="32"/>
          <w:highlight w:val="none"/>
        </w:rPr>
        <w:t>工作</w:t>
      </w:r>
    </w:p>
    <w:p w14:paraId="7B24BB1E">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1.党建及党风廉政建设。</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全面发挥党建统领全局作用，坚持党建工作与业务工作同部署、同落实，不断提升基层党建工作的能力和水平；</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认真开展中央八项规定精神学习教育活动，引导干部职工深刻领会中央八项规定精神的内涵和实质，局班子查摆问题16项，已完成整改14项，2项问题正在推进中，计划年底前完成整改；</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严格执行“三会一课”、主题党日、组织生活会等制度，开展主题党日活动10次，召开支部委员会12次，党员大会5次，讲党课3次，中心组专题学习7次；</w:t>
      </w:r>
      <w:r>
        <w:rPr>
          <w:rFonts w:hint="eastAsia" w:ascii="Times New Roman" w:hAnsi="Times New Roman" w:eastAsia="仿宋_GB2312" w:cs="Times New Roman"/>
          <w:b/>
          <w:bCs/>
          <w:sz w:val="32"/>
          <w:szCs w:val="32"/>
          <w:lang w:val="en-US" w:eastAsia="zh-CN"/>
        </w:rPr>
        <w:t>四是</w:t>
      </w:r>
      <w:r>
        <w:rPr>
          <w:rFonts w:hint="eastAsia" w:ascii="Times New Roman" w:hAnsi="Times New Roman" w:eastAsia="仿宋_GB2312" w:cs="Times New Roman"/>
          <w:sz w:val="32"/>
          <w:szCs w:val="32"/>
          <w:lang w:val="en-US" w:eastAsia="zh-CN"/>
        </w:rPr>
        <w:t>专题研究党风廉政工作4次，建立健全廉政风险防控机制，组织开展警示教育、约谈警示5次，会前学纪学法11次，分层级签订党风廉政建设和反腐败工作责任书20份、职工廉政承诺书39份，撰写廉政风险防控和承诺登记表39份，全面增强党员干部的廉洁自律意识；</w:t>
      </w:r>
      <w:r>
        <w:rPr>
          <w:rFonts w:hint="eastAsia" w:ascii="Times New Roman" w:hAnsi="Times New Roman" w:eastAsia="仿宋_GB2312" w:cs="Times New Roman"/>
          <w:b/>
          <w:bCs/>
          <w:sz w:val="32"/>
          <w:szCs w:val="32"/>
          <w:lang w:val="en-US" w:eastAsia="zh-CN"/>
        </w:rPr>
        <w:t>五是</w:t>
      </w:r>
      <w:r>
        <w:rPr>
          <w:rFonts w:hint="eastAsia" w:ascii="Times New Roman" w:hAnsi="Times New Roman" w:eastAsia="仿宋_GB2312" w:cs="Times New Roman"/>
          <w:sz w:val="32"/>
          <w:szCs w:val="32"/>
          <w:lang w:val="en-US" w:eastAsia="zh-CN"/>
        </w:rPr>
        <w:t>将意识形态工作纳入全局重点工作，召开专题会议2次，安排部署意识形态工作，开展中心组专题学习12次，积极建设网宣队伍，强化重要时段和敏感时期的舆情监管，及时收集社情民意，积极开展信访事项、12345诉求件处理工作，及时消除各类安全风险，牢牢掌握意识形态工作的主动权。</w:t>
      </w:r>
    </w:p>
    <w:p w14:paraId="25F71F8C">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2.房地产市场监管。</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专项检查“整治物业服务履约不到位、侵占业主公共收益等问题”13次，累计发现问题31个，完成整改31个；</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办理存量房网签和交易住宅109宗，交易金额4978.68万元，商品房94宗，交易金额7069.10万元，商铺1宗，交易金额68万元，监督管理2个房地产开发企业缴存预售监管资金的行为，监督缴存重点监管资金3685.72万元，已划拨重点资金2182.63万元，剩余重点监管资金1503.09万元；</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购房补贴申报情况，第一批申报购房补贴的96户，金额3,469,575.00元，发放州级30%资金104.09万元，第二批购房补贴正在收集材料审核。</w:t>
      </w:r>
    </w:p>
    <w:p w14:paraId="45A1D05B">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default" w:ascii="仿宋_GB2312" w:eastAsia="仿宋_GB2312"/>
          <w:kern w:val="0"/>
          <w:sz w:val="32"/>
          <w:szCs w:val="32"/>
          <w:lang w:val="en-US" w:eastAsia="zh-CN"/>
        </w:rPr>
      </w:pPr>
      <w:r>
        <w:rPr>
          <w:rFonts w:hint="eastAsia" w:ascii="楷体" w:hAnsi="楷体" w:eastAsia="楷体" w:cs="楷体"/>
          <w:b/>
          <w:bCs/>
          <w:sz w:val="32"/>
          <w:szCs w:val="32"/>
          <w:u w:val="none"/>
          <w:lang w:val="en-US" w:eastAsia="zh-CN"/>
        </w:rPr>
        <w:t>3.建筑市场管理。</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2025年通过四川省一体化政务服务平台协助行政审批局核发建筑工程施工许可证22个，办理建设工程勘察文件及施工图设计文件审查备案22个，押证施工备案登记14个，工程项目建设登记18个，普通消防设计审查8个，特殊消防设计审查2个；</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按照《中华人民共和国招投标法》等法律法规，参与房建、市政类项目的公开招投标监督工作14次，收到投诉0起，下发招标意见监督书2份；</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开展了房建、市政类项目招投标环节专项整治工作，累计梳理项目226个，按照1.5%进行抽查，对14个项目进行了招投标环节资料抽查工作；</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2025上级部门对我县下达建筑业产值目标任务为5.27亿元，较去年增长8%，前三季度累计完成产值3.87亿元，同比增长12.1%，在全州排名是第10位，全年预计完成5.28亿元，同比增长8.19%，五是联合人社、综合执法等部门开展</w:t>
      </w:r>
      <w:r>
        <w:rPr>
          <w:rFonts w:hint="eastAsia" w:ascii="仿宋_GB2312" w:eastAsia="仿宋_GB2312"/>
          <w:sz w:val="32"/>
          <w:szCs w:val="32"/>
          <w:lang w:val="en-US" w:eastAsia="zh-CN"/>
        </w:rPr>
        <w:t>检查工地68次，</w:t>
      </w:r>
      <w:r>
        <w:rPr>
          <w:rFonts w:hint="eastAsia" w:ascii="仿宋_GB2312" w:eastAsia="仿宋_GB2312"/>
          <w:sz w:val="32"/>
          <w:szCs w:val="32"/>
          <w:lang w:eastAsia="zh-CN"/>
        </w:rPr>
        <w:t>下发整改通知</w:t>
      </w:r>
      <w:r>
        <w:rPr>
          <w:rFonts w:hint="eastAsia" w:ascii="仿宋_GB2312" w:eastAsia="仿宋_GB2312"/>
          <w:sz w:val="32"/>
          <w:szCs w:val="32"/>
          <w:lang w:val="en-US" w:eastAsia="zh-CN"/>
        </w:rPr>
        <w:t>40起，移交执法局7起，收到欠薪</w:t>
      </w:r>
      <w:r>
        <w:rPr>
          <w:rFonts w:hint="eastAsia" w:ascii="仿宋_GB2312" w:eastAsia="仿宋_GB2312" w:cs="Times New Roman"/>
          <w:b w:val="0"/>
          <w:bCs w:val="0"/>
          <w:sz w:val="32"/>
          <w:szCs w:val="32"/>
          <w:lang w:val="en-US" w:eastAsia="zh-CN"/>
        </w:rPr>
        <w:t>投诉8起，均已协调处理。</w:t>
      </w:r>
    </w:p>
    <w:p w14:paraId="28BED04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sz w:val="32"/>
          <w:szCs w:val="32"/>
          <w:u w:val="none"/>
          <w:lang w:val="en-US" w:eastAsia="zh-CN"/>
        </w:rPr>
        <w:t>4.住房保障。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kern w:val="2"/>
          <w:sz w:val="32"/>
          <w:szCs w:val="32"/>
          <w:lang w:val="en-US" w:eastAsia="zh-CN" w:bidi="ar-SA"/>
        </w:rPr>
        <w:t>按照</w:t>
      </w:r>
      <w:r>
        <w:rPr>
          <w:rFonts w:hint="default" w:ascii="仿宋_GB2312" w:hAnsi="仿宋_GB2312" w:eastAsia="仿宋_GB2312" w:cs="仿宋_GB2312"/>
          <w:kern w:val="2"/>
          <w:sz w:val="32"/>
          <w:szCs w:val="32"/>
          <w:lang w:val="en-US" w:eastAsia="zh-CN" w:bidi="ar-SA"/>
        </w:rPr>
        <w:t>《九寨沟县公共租赁住房和廉租住房并轨运行的实施细则》</w:t>
      </w:r>
      <w:r>
        <w:rPr>
          <w:rFonts w:hint="eastAsia" w:ascii="仿宋_GB2312" w:hAnsi="仿宋_GB2312" w:eastAsia="仿宋_GB2312" w:cs="仿宋_GB2312"/>
          <w:kern w:val="2"/>
          <w:sz w:val="32"/>
          <w:szCs w:val="32"/>
          <w:lang w:val="en-US" w:eastAsia="zh-CN" w:bidi="ar-SA"/>
        </w:rPr>
        <w:t>要求，对30名符合实物配租条件人员完成了房屋配租工作；</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kern w:val="2"/>
          <w:sz w:val="32"/>
          <w:szCs w:val="32"/>
          <w:lang w:val="en-US" w:eastAsia="zh-CN" w:bidi="ar-SA"/>
        </w:rPr>
        <w:t>积极推进2025年既有住宅电梯增设工作，截止目前已开工建设73部，已完工38部；</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完成了2025年5户危房改造工作，已竣工验收，预计11月中旬兑现补助资金“7.16”“7.24”强降雨导致房屋受损共计341户（其中维修加固305户，重建28户），截至目前已全部完工；</w:t>
      </w:r>
      <w:r>
        <w:rPr>
          <w:rFonts w:hint="eastAsia" w:ascii="仿宋_GB2312" w:hAnsi="仿宋_GB2312" w:eastAsia="仿宋_GB2312" w:cs="仿宋_GB2312"/>
          <w:color w:val="auto"/>
          <w:kern w:val="2"/>
          <w:sz w:val="32"/>
          <w:szCs w:val="32"/>
          <w:lang w:val="en-US" w:eastAsia="zh-CN" w:bidi="ar-SA"/>
        </w:rPr>
        <w:t>四是</w:t>
      </w:r>
      <w:r>
        <w:rPr>
          <w:rFonts w:hint="eastAsia" w:ascii="仿宋_GB2312" w:hAnsi="仿宋_GB2312" w:eastAsia="仿宋_GB2312" w:cs="仿宋_GB2312"/>
          <w:kern w:val="2"/>
          <w:sz w:val="32"/>
          <w:szCs w:val="32"/>
          <w:lang w:val="en-US" w:eastAsia="zh-CN" w:bidi="ar-SA"/>
        </w:rPr>
        <w:t>常态化开展做好全县自建房安全动态监测工作，暂未发现存在隐患房屋。</w:t>
      </w:r>
    </w:p>
    <w:p w14:paraId="4C4003A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u w:val="none"/>
          <w:lang w:val="en-US" w:eastAsia="zh-CN"/>
        </w:rPr>
        <w:t>5.项目建设。</w:t>
      </w:r>
      <w:r>
        <w:rPr>
          <w:rFonts w:hint="eastAsia" w:ascii="仿宋_GB2312" w:hAnsi="仿宋_GB2312" w:eastAsia="仿宋_GB2312" w:cs="仿宋_GB2312"/>
          <w:sz w:val="32"/>
          <w:szCs w:val="32"/>
          <w:lang w:val="en-US" w:eastAsia="zh-CN"/>
        </w:rPr>
        <w:t>2025年实施项目共6个，总投资14508万元。</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sz w:val="32"/>
          <w:szCs w:val="32"/>
          <w:lang w:val="en-US" w:eastAsia="zh-CN"/>
        </w:rPr>
        <w:t>九寨沟县永丰旅游产业配套基础设施建设项目，已完成总工程量的88%，计划2025年12月完成建设；</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sz w:val="32"/>
          <w:szCs w:val="32"/>
          <w:lang w:val="en-US" w:eastAsia="zh-CN"/>
        </w:rPr>
        <w:t>九寨沟县乡镇干部职工周转宿舍建设项目，已完成总工程量的90%，计划2025年12月底完成建设；</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sz w:val="32"/>
          <w:szCs w:val="32"/>
          <w:lang w:val="en-US" w:eastAsia="zh-CN"/>
        </w:rPr>
        <w:t>九寨沟县垃圾分类项目，已完成总工程量的80%，目前正在争取缺口资金，待资金下达后立即实施后续工作，计划2025年12月完成建设；</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sz w:val="32"/>
          <w:szCs w:val="32"/>
          <w:lang w:val="en-US" w:eastAsia="zh-CN"/>
        </w:rPr>
        <w:t>2024年城镇老旧小区改造项目，已完工；</w:t>
      </w:r>
      <w:r>
        <w:rPr>
          <w:rFonts w:hint="eastAsia" w:ascii="仿宋_GB2312" w:hAnsi="仿宋_GB2312" w:eastAsia="仿宋_GB2312" w:cs="仿宋_GB2312"/>
          <w:b/>
          <w:bCs/>
          <w:color w:val="auto"/>
          <w:kern w:val="2"/>
          <w:sz w:val="32"/>
          <w:szCs w:val="32"/>
          <w:lang w:val="en-US" w:eastAsia="zh-CN" w:bidi="ar-SA"/>
        </w:rPr>
        <w:t>五是</w:t>
      </w:r>
      <w:r>
        <w:rPr>
          <w:rFonts w:hint="eastAsia" w:ascii="仿宋_GB2312" w:hAnsi="仿宋_GB2312" w:eastAsia="仿宋_GB2312" w:cs="仿宋_GB2312"/>
          <w:sz w:val="32"/>
          <w:szCs w:val="32"/>
          <w:lang w:val="en-US" w:eastAsia="zh-CN"/>
        </w:rPr>
        <w:t>九寨沟县主城区供水管网改造项目，已完成工程量的95%，计划2025年12月完成建设；</w:t>
      </w:r>
      <w:r>
        <w:rPr>
          <w:rFonts w:hint="eastAsia" w:ascii="仿宋_GB2312" w:hAnsi="仿宋_GB2312" w:eastAsia="仿宋_GB2312" w:cs="仿宋_GB2312"/>
          <w:b/>
          <w:bCs/>
          <w:color w:val="auto"/>
          <w:kern w:val="2"/>
          <w:sz w:val="32"/>
          <w:szCs w:val="32"/>
          <w:lang w:val="en-US" w:eastAsia="zh-CN" w:bidi="ar-SA"/>
        </w:rPr>
        <w:t>六是</w:t>
      </w:r>
      <w:r>
        <w:rPr>
          <w:rFonts w:hint="eastAsia" w:ascii="仿宋_GB2312" w:hAnsi="仿宋_GB2312" w:eastAsia="仿宋_GB2312" w:cs="仿宋_GB2312"/>
          <w:sz w:val="32"/>
          <w:szCs w:val="32"/>
          <w:lang w:val="en-US" w:eastAsia="zh-CN"/>
        </w:rPr>
        <w:t>九寨沟县二号桥至下双河村基础设施建设项目，已完成投资3200万元，完成工程量的80%，计划2025年12月完成建设。</w:t>
      </w:r>
    </w:p>
    <w:p w14:paraId="213FCC2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u w:val="none"/>
          <w:lang w:val="en-US" w:eastAsia="zh-CN"/>
        </w:rPr>
        <w:t>6.环境保护。</w:t>
      </w:r>
      <w:r>
        <w:rPr>
          <w:rFonts w:hint="eastAsia" w:ascii="仿宋_GB2312" w:hAnsi="仿宋_GB2312" w:eastAsia="仿宋_GB2312" w:cs="仿宋_GB2312"/>
          <w:sz w:val="32"/>
          <w:szCs w:val="32"/>
          <w:lang w:val="en-US" w:eastAsia="zh-CN"/>
        </w:rPr>
        <w:t>紧盯前期未整改完成问题和2025年第三轮省级环保督察反馈问题清单，全力推进整改工作。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前期未完成整的中央第二轮11项（省级整改任务49项）问题正在整改中，第二轮省级生态环境保护督察反馈问题（2项）已完成整改措施落地、效果核查等前期工作，目前正按程序准备销号材料，待上级审核通过后即可完成销号；</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sz w:val="32"/>
          <w:szCs w:val="32"/>
          <w:lang w:val="en-US" w:eastAsia="zh-CN"/>
        </w:rPr>
        <w:t>2025年第三轮省级环保督察反馈问题11个，已整改完成8个，剩余3个问题整在整改中。</w:t>
      </w:r>
    </w:p>
    <w:p w14:paraId="62DAEDA4">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7.城乡环境质量提升。</w:t>
      </w:r>
      <w:r>
        <w:rPr>
          <w:rFonts w:hint="eastAsia"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sz w:val="32"/>
          <w:szCs w:val="32"/>
          <w:lang w:val="en-US" w:eastAsia="zh-CN"/>
        </w:rPr>
        <w:t>以</w:t>
      </w:r>
      <w:r>
        <w:rPr>
          <w:rFonts w:hint="eastAsia" w:ascii="Times New Roman" w:hAnsi="Times New Roman" w:eastAsia="仿宋_GB2312" w:cs="Times New Roman"/>
          <w:sz w:val="32"/>
          <w:szCs w:val="32"/>
          <w:lang w:val="en-US" w:eastAsia="zh-CN"/>
        </w:rPr>
        <w:t>“2+5”专项整治、“三化、两提升”行动</w:t>
      </w:r>
      <w:r>
        <w:rPr>
          <w:rFonts w:hint="default" w:ascii="Times New Roman" w:hAnsi="Times New Roman" w:eastAsia="仿宋_GB2312" w:cs="Times New Roman"/>
          <w:sz w:val="32"/>
          <w:szCs w:val="32"/>
          <w:lang w:val="en-US" w:eastAsia="zh-CN"/>
        </w:rPr>
        <w:t>为切入点，采取“四不两直”的方式对各乡（镇）和牵头部门</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开展情况</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lang w:val="en-US" w:eastAsia="zh-CN"/>
        </w:rPr>
        <w:t>督导1次，对</w:t>
      </w:r>
      <w:r>
        <w:rPr>
          <w:rFonts w:hint="eastAsia" w:ascii="Times New Roman" w:hAnsi="Times New Roman" w:eastAsia="仿宋_GB2312" w:cs="Times New Roman"/>
          <w:sz w:val="32"/>
          <w:szCs w:val="32"/>
          <w:lang w:val="en-US" w:eastAsia="zh-CN"/>
        </w:rPr>
        <w:t>督导</w:t>
      </w:r>
      <w:r>
        <w:rPr>
          <w:rFonts w:hint="default" w:ascii="Times New Roman" w:hAnsi="Times New Roman" w:eastAsia="仿宋_GB2312" w:cs="Times New Roman"/>
          <w:sz w:val="32"/>
          <w:szCs w:val="32"/>
          <w:lang w:val="en-US" w:eastAsia="zh-CN"/>
        </w:rPr>
        <w:t>中发现问题</w:t>
      </w:r>
      <w:r>
        <w:rPr>
          <w:rFonts w:hint="eastAsia" w:ascii="Times New Roman" w:hAnsi="Times New Roman" w:eastAsia="仿宋_GB2312" w:cs="Times New Roman"/>
          <w:sz w:val="32"/>
          <w:szCs w:val="32"/>
          <w:lang w:val="en-US" w:eastAsia="zh-CN"/>
        </w:rPr>
        <w:t>及时进行了反馈，</w:t>
      </w:r>
      <w:r>
        <w:rPr>
          <w:rFonts w:hint="default" w:ascii="Times New Roman" w:hAnsi="Times New Roman" w:eastAsia="仿宋_GB2312" w:cs="Times New Roman"/>
          <w:sz w:val="32"/>
          <w:szCs w:val="32"/>
          <w:lang w:val="en-US" w:eastAsia="zh-CN"/>
        </w:rPr>
        <w:t>以督促改、以改提效</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国省干线沿线、水域、路域、公厕环境环境综合治理开展督查3次，累计发出问题交办单单50份，整治各类环境问题385项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整改</w:t>
      </w:r>
      <w:r>
        <w:rPr>
          <w:rFonts w:hint="eastAsia"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lang w:val="en-US" w:eastAsia="zh-CN"/>
        </w:rPr>
        <w:t>率100%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lang w:val="en-US" w:eastAsia="zh-CN"/>
        </w:rPr>
        <w:t>开展“全域全民</w:t>
      </w:r>
      <w:r>
        <w:rPr>
          <w:rFonts w:hint="eastAsia" w:ascii="Times New Roman" w:hAnsi="Times New Roman" w:eastAsia="仿宋_GB2312" w:cs="Times New Roman"/>
          <w:sz w:val="32"/>
          <w:szCs w:val="32"/>
          <w:lang w:val="en-US" w:eastAsia="zh-CN"/>
        </w:rPr>
        <w:t>、全域无垃圾”</w:t>
      </w:r>
      <w:r>
        <w:rPr>
          <w:rFonts w:hint="default" w:ascii="Times New Roman" w:hAnsi="Times New Roman" w:eastAsia="仿宋_GB2312" w:cs="Times New Roman"/>
          <w:sz w:val="32"/>
          <w:szCs w:val="32"/>
          <w:lang w:val="en-US" w:eastAsia="zh-CN"/>
        </w:rPr>
        <w:t>城乡环境卫生大扫除</w:t>
      </w:r>
      <w:r>
        <w:rPr>
          <w:rFonts w:hint="eastAsia" w:ascii="Times New Roman" w:hAnsi="Times New Roman" w:eastAsia="仿宋_GB2312" w:cs="Times New Roman"/>
          <w:sz w:val="32"/>
          <w:szCs w:val="32"/>
          <w:lang w:val="en-US" w:eastAsia="zh-CN"/>
        </w:rPr>
        <w:t>、大整治、大提升</w:t>
      </w:r>
      <w:r>
        <w:rPr>
          <w:rFonts w:hint="default" w:ascii="Times New Roman" w:hAnsi="Times New Roman" w:eastAsia="仿宋_GB2312" w:cs="Times New Roman"/>
          <w:sz w:val="32"/>
          <w:szCs w:val="32"/>
          <w:lang w:val="en-US" w:eastAsia="zh-CN"/>
        </w:rPr>
        <w:t>活动12</w:t>
      </w:r>
      <w:r>
        <w:rPr>
          <w:rFonts w:hint="eastAsia" w:ascii="Times New Roman" w:hAnsi="Times New Roman" w:eastAsia="仿宋_GB2312" w:cs="Times New Roman"/>
          <w:sz w:val="32"/>
          <w:szCs w:val="32"/>
          <w:lang w:val="en-US" w:eastAsia="zh-CN"/>
        </w:rPr>
        <w:t>次，顺利完成了年度各项工作任务。</w:t>
      </w:r>
    </w:p>
    <w:p w14:paraId="45C97088">
      <w:pPr>
        <w:keepNext w:val="0"/>
        <w:keepLines w:val="0"/>
        <w:pageBreakBefore w:val="0"/>
        <w:widowControl w:val="0"/>
        <w:kinsoku/>
        <w:wordWrap/>
        <w:overflowPunct/>
        <w:topLinePunct w:val="0"/>
        <w:autoSpaceDE/>
        <w:autoSpaceDN/>
        <w:bidi w:val="0"/>
        <w:adjustRightInd/>
        <w:snapToGrid/>
        <w:spacing w:line="576" w:lineRule="exact"/>
        <w:ind w:leftChars="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8.城市管理工作。</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积极</w:t>
      </w:r>
      <w:r>
        <w:rPr>
          <w:rFonts w:hint="default" w:ascii="Times New Roman" w:hAnsi="Times New Roman" w:eastAsia="仿宋_GB2312" w:cs="Times New Roman"/>
          <w:sz w:val="32"/>
          <w:szCs w:val="32"/>
          <w:lang w:val="en-US" w:eastAsia="zh-CN"/>
        </w:rPr>
        <w:t>营造文明有序的市容环境，累计规范占道经营500余次、跨门经营600余次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文明劝导流动商贩500余人次；规范以车为市500余车次；联合县执法局、县交警大队、县市场监督管理局开展联合执法5次，整治跨门经营商户6家，下达整改通知书5份；审批店招店牌48个、商户户外活动的备案10起；按照旅游示范公厕标准，累计清理垃圾10000余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清理幕布及小广告“牛皮癣”1500余处；</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val="en-US" w:eastAsia="zh-CN"/>
        </w:rPr>
        <w:t>是</w:t>
      </w:r>
      <w:r>
        <w:rPr>
          <w:rFonts w:hint="default" w:ascii="Times New Roman" w:hAnsi="Times New Roman" w:eastAsia="仿宋_GB2312" w:cs="Times New Roman"/>
          <w:sz w:val="32"/>
          <w:szCs w:val="32"/>
          <w:lang w:val="en-US" w:eastAsia="zh-CN"/>
        </w:rPr>
        <w:t>根据季节更换城区主次干道花箱、时令草花20000余盆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补植老城死亡行道树21棵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定时开展园林绿化隐患排查，排查出隐患</w:t>
      </w:r>
      <w:r>
        <w:rPr>
          <w:rFonts w:hint="eastAsia" w:ascii="Times New Roman" w:hAnsi="Times New Roman" w:eastAsia="仿宋_GB2312" w:cs="Times New Roman"/>
          <w:sz w:val="32"/>
          <w:szCs w:val="32"/>
          <w:lang w:val="en-US" w:eastAsia="zh-CN"/>
        </w:rPr>
        <w:t>问题</w:t>
      </w:r>
      <w:r>
        <w:rPr>
          <w:rFonts w:hint="default"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lang w:val="en-US" w:eastAsia="zh-CN"/>
        </w:rPr>
        <w:t>已</w:t>
      </w:r>
      <w:r>
        <w:rPr>
          <w:rFonts w:hint="eastAsia" w:ascii="Times New Roman" w:hAnsi="Times New Roman" w:eastAsia="仿宋_GB2312" w:cs="Times New Roman"/>
          <w:sz w:val="32"/>
          <w:szCs w:val="32"/>
          <w:lang w:val="en-US" w:eastAsia="zh-CN"/>
        </w:rPr>
        <w:t>全部</w:t>
      </w:r>
      <w:r>
        <w:rPr>
          <w:rFonts w:hint="default" w:ascii="Times New Roman" w:hAnsi="Times New Roman" w:eastAsia="仿宋_GB2312" w:cs="Times New Roman"/>
          <w:sz w:val="32"/>
          <w:szCs w:val="32"/>
          <w:lang w:val="en-US" w:eastAsia="zh-CN"/>
        </w:rPr>
        <w:t>处理</w:t>
      </w:r>
      <w:r>
        <w:rPr>
          <w:rFonts w:hint="eastAsia"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lang w:val="en-US" w:eastAsia="zh-CN"/>
        </w:rPr>
        <w:t>处理车祸损毁绿化5起、办理绿化占用审批2次</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对城区破损及存在安全隐患的设施设备进行维修翻新，</w:t>
      </w:r>
      <w:r>
        <w:rPr>
          <w:rFonts w:hint="default" w:ascii="Times New Roman" w:hAnsi="Times New Roman" w:eastAsia="仿宋_GB2312" w:cs="Times New Roman"/>
          <w:sz w:val="32"/>
          <w:szCs w:val="32"/>
          <w:lang w:val="en-US" w:eastAsia="zh-CN"/>
        </w:rPr>
        <w:t>累计修复破损人行道及路面约300平方米，修补路缘石约600米；清理排水管道约18公里，疏通雨水井、污水井900余个；审批临时占用市政手续8起</w:t>
      </w:r>
      <w:r>
        <w:rPr>
          <w:rFonts w:hint="eastAsia" w:ascii="Times New Roman" w:hAnsi="Times New Roman" w:eastAsia="仿宋_GB2312" w:cs="Times New Roman"/>
          <w:sz w:val="32"/>
          <w:szCs w:val="32"/>
          <w:lang w:val="en-US" w:eastAsia="zh-CN"/>
        </w:rPr>
        <w:t>，完成办理退还4起，开展系统化排查检测排水管网5.9公里，</w:t>
      </w:r>
      <w:r>
        <w:rPr>
          <w:rFonts w:hint="default" w:ascii="Times New Roman" w:hAnsi="Times New Roman" w:eastAsia="仿宋_GB2312" w:cs="Times New Roman"/>
          <w:sz w:val="32"/>
          <w:szCs w:val="32"/>
          <w:lang w:val="en-US" w:eastAsia="zh-CN"/>
        </w:rPr>
        <w:t>更换损坏灯泡1610个、维修电缆线路160余米、处理故障灯杆233余次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亮灯率达98%。</w:t>
      </w:r>
    </w:p>
    <w:p w14:paraId="7918CD2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sz w:val="32"/>
          <w:szCs w:val="32"/>
          <w:u w:val="none"/>
          <w:lang w:val="en-US" w:eastAsia="zh-CN"/>
        </w:rPr>
        <w:t>9.安全生产工作。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开展燃气场站安全日常检查12次,排查出一般安全隐患39个，整改完成一般安全隐患35个，剩余4个问题正在整改中；联合消防、应急、市场监管、综合执法等部门对人员密集场所开展排查3次，累计检查场所340家，发现隐患58个，整改完成58个；发放宣传资料1500余份、开展应急演练2次，全力提高居民和企业应对突发情况的能力和水平；</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组织召开电梯加装专题会议4次，组织电梯加装企业、小区代表召开会议8次，建立电梯增设专项备案制度，全面审核设计、施工、监理等单位的资质条件，从源头上把好“入门关”，取“四不两直”方式，开展检查8次，发现安全问题3个，发现问题已全部整改完成，全力确保电梯加装全过程安全；</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组织施工、监理企业召开安全生产专题会、培训会2次，累计开展建筑工地质量安全检查97余次，发现问题隐患42个，其中重大隐患2个，目前均已整改完成；针对安全生产工作，移交立案查处企业和人员问题11个，处罚金额18.48万元，检查特种作业人员持证上岗情况20余次，发现问题2个，均已整改完成，有效杜绝了无证上岗等问题；</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专项检查物业小区消防安全、电动自行车安全隐患整治11次，累计发现一般安全安全隐患41个，完成整改40个，推送安全提示15次，发放宣传手册170余份，物业企业开展应急演练3次，有效防止物业小区火灾事故，保障了业主生命财产安全。</w:t>
      </w:r>
    </w:p>
    <w:p w14:paraId="51EB8C6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textAlignment w:val="auto"/>
        <w:outlineLvl w:val="2"/>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1625C4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textAlignment w:val="auto"/>
        <w:outlineLvl w:val="2"/>
        <w:rPr>
          <w:rFonts w:ascii="仿宋_GB2312" w:hAnsi="仿宋" w:eastAsia="仿宋_GB2312"/>
          <w:sz w:val="32"/>
          <w:szCs w:val="32"/>
          <w:highlight w:val="none"/>
        </w:rPr>
      </w:pPr>
      <w:r>
        <w:rPr>
          <w:rFonts w:hint="eastAsia" w:ascii="仿宋_GB2312" w:hAnsi="仿宋" w:eastAsia="仿宋_GB2312"/>
          <w:sz w:val="32"/>
          <w:szCs w:val="32"/>
          <w:highlight w:val="none"/>
          <w:lang w:eastAsia="zh-CN"/>
        </w:rPr>
        <w:t>九寨沟县住房和城乡局</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个，主要包括：</w:t>
      </w:r>
    </w:p>
    <w:tbl>
      <w:tblPr>
        <w:tblStyle w:val="12"/>
        <w:tblW w:w="7360" w:type="dxa"/>
        <w:jc w:val="center"/>
        <w:tblLayout w:type="autofit"/>
        <w:tblCellMar>
          <w:top w:w="0" w:type="dxa"/>
          <w:left w:w="108" w:type="dxa"/>
          <w:bottom w:w="0" w:type="dxa"/>
          <w:right w:w="108" w:type="dxa"/>
        </w:tblCellMar>
      </w:tblPr>
      <w:tblGrid>
        <w:gridCol w:w="1020"/>
        <w:gridCol w:w="6340"/>
      </w:tblGrid>
      <w:tr w14:paraId="5B44D939">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D281B">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79F3568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55B8EDD9">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E28DDDC">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261AE576">
            <w:pPr>
              <w:widowControl/>
              <w:jc w:val="both"/>
              <w:rPr>
                <w:rFonts w:hint="eastAsia" w:ascii="仿宋_GB2312" w:hAnsi="仿宋" w:eastAsia="仿宋_GB2312" w:cs="Arial"/>
                <w:kern w:val="0"/>
                <w:sz w:val="32"/>
                <w:szCs w:val="32"/>
                <w:highlight w:val="none"/>
                <w:lang w:eastAsia="zh-CN"/>
              </w:rPr>
            </w:pPr>
            <w:r>
              <w:rPr>
                <w:rFonts w:hint="eastAsia" w:ascii="仿宋_GB2312" w:hAnsi="仿宋" w:eastAsia="仿宋_GB2312" w:cs="Arial"/>
                <w:kern w:val="0"/>
                <w:sz w:val="32"/>
                <w:szCs w:val="32"/>
                <w:highlight w:val="none"/>
                <w:lang w:eastAsia="zh-CN"/>
              </w:rPr>
              <w:t>九寨沟县建设工程质量安全监督站</w:t>
            </w:r>
          </w:p>
        </w:tc>
      </w:tr>
      <w:tr w14:paraId="0CAEC752">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6E6F79F">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2C08349E">
            <w:pPr>
              <w:widowControl/>
              <w:jc w:val="both"/>
              <w:rPr>
                <w:rFonts w:ascii="仿宋_GB2312" w:hAnsi="仿宋" w:eastAsia="仿宋_GB2312" w:cs="Arial"/>
                <w:kern w:val="0"/>
                <w:sz w:val="32"/>
                <w:szCs w:val="32"/>
                <w:highlight w:val="none"/>
              </w:rPr>
            </w:pPr>
          </w:p>
        </w:tc>
      </w:tr>
      <w:tr w14:paraId="13B391E8">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4C7A81B">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636F8213">
            <w:pPr>
              <w:widowControl/>
              <w:jc w:val="both"/>
              <w:rPr>
                <w:rFonts w:ascii="仿宋_GB2312" w:hAnsi="仿宋" w:eastAsia="仿宋_GB2312" w:cs="Arial"/>
                <w:kern w:val="0"/>
                <w:sz w:val="32"/>
                <w:szCs w:val="32"/>
                <w:highlight w:val="none"/>
              </w:rPr>
            </w:pPr>
          </w:p>
        </w:tc>
      </w:tr>
      <w:tr w14:paraId="03A09273">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559D04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07ECE5BF">
            <w:pPr>
              <w:widowControl/>
              <w:jc w:val="both"/>
              <w:rPr>
                <w:rFonts w:ascii="仿宋_GB2312" w:hAnsi="仿宋" w:eastAsia="仿宋_GB2312" w:cs="Arial"/>
                <w:kern w:val="0"/>
                <w:sz w:val="32"/>
                <w:szCs w:val="32"/>
                <w:highlight w:val="none"/>
              </w:rPr>
            </w:pPr>
          </w:p>
        </w:tc>
      </w:tr>
      <w:tr w14:paraId="4480DA1C">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20475B44">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6B496CE7">
            <w:pPr>
              <w:widowControl/>
              <w:jc w:val="both"/>
              <w:rPr>
                <w:rFonts w:ascii="仿宋_GB2312" w:hAnsi="仿宋" w:eastAsia="仿宋_GB2312" w:cs="Arial"/>
                <w:kern w:val="0"/>
                <w:sz w:val="32"/>
                <w:szCs w:val="32"/>
                <w:highlight w:val="none"/>
              </w:rPr>
            </w:pPr>
          </w:p>
        </w:tc>
      </w:tr>
      <w:tr w14:paraId="21FA60C2">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D7FB217">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14:paraId="2B54E2AE">
            <w:pPr>
              <w:widowControl/>
              <w:jc w:val="both"/>
              <w:rPr>
                <w:rFonts w:ascii="仿宋_GB2312" w:hAnsi="仿宋" w:eastAsia="仿宋_GB2312" w:cs="Arial"/>
                <w:kern w:val="0"/>
                <w:sz w:val="32"/>
                <w:szCs w:val="32"/>
                <w:highlight w:val="none"/>
              </w:rPr>
            </w:pPr>
          </w:p>
        </w:tc>
      </w:tr>
      <w:tr w14:paraId="04C53F0A">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A5465DF">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7</w:t>
            </w:r>
          </w:p>
        </w:tc>
        <w:tc>
          <w:tcPr>
            <w:tcW w:w="6340" w:type="dxa"/>
            <w:tcBorders>
              <w:top w:val="nil"/>
              <w:left w:val="nil"/>
              <w:bottom w:val="single" w:color="auto" w:sz="4" w:space="0"/>
              <w:right w:val="single" w:color="auto" w:sz="4" w:space="0"/>
            </w:tcBorders>
            <w:shd w:val="clear" w:color="auto" w:fill="auto"/>
            <w:vAlign w:val="center"/>
          </w:tcPr>
          <w:p w14:paraId="6F32AB97">
            <w:pPr>
              <w:widowControl/>
              <w:jc w:val="both"/>
              <w:rPr>
                <w:rFonts w:ascii="仿宋_GB2312" w:hAnsi="仿宋" w:eastAsia="仿宋_GB2312" w:cs="Arial"/>
                <w:kern w:val="0"/>
                <w:sz w:val="32"/>
                <w:szCs w:val="32"/>
                <w:highlight w:val="none"/>
              </w:rPr>
            </w:pPr>
          </w:p>
        </w:tc>
      </w:tr>
      <w:tr w14:paraId="2667FBCD">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4A280E2">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8</w:t>
            </w:r>
          </w:p>
        </w:tc>
        <w:tc>
          <w:tcPr>
            <w:tcW w:w="6340" w:type="dxa"/>
            <w:tcBorders>
              <w:top w:val="nil"/>
              <w:left w:val="nil"/>
              <w:bottom w:val="single" w:color="auto" w:sz="4" w:space="0"/>
              <w:right w:val="single" w:color="auto" w:sz="4" w:space="0"/>
            </w:tcBorders>
            <w:shd w:val="clear" w:color="auto" w:fill="auto"/>
            <w:vAlign w:val="center"/>
          </w:tcPr>
          <w:p w14:paraId="5CA967AB">
            <w:pPr>
              <w:widowControl/>
              <w:jc w:val="both"/>
              <w:rPr>
                <w:rFonts w:ascii="仿宋_GB2312" w:hAnsi="仿宋" w:eastAsia="仿宋_GB2312" w:cs="Arial"/>
                <w:kern w:val="0"/>
                <w:sz w:val="32"/>
                <w:szCs w:val="32"/>
                <w:highlight w:val="none"/>
              </w:rPr>
            </w:pPr>
          </w:p>
        </w:tc>
      </w:tr>
      <w:tr w14:paraId="59B9A9A5">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1E93FBC">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9</w:t>
            </w:r>
          </w:p>
        </w:tc>
        <w:tc>
          <w:tcPr>
            <w:tcW w:w="6340" w:type="dxa"/>
            <w:tcBorders>
              <w:top w:val="nil"/>
              <w:left w:val="nil"/>
              <w:bottom w:val="single" w:color="auto" w:sz="4" w:space="0"/>
              <w:right w:val="single" w:color="auto" w:sz="4" w:space="0"/>
            </w:tcBorders>
            <w:shd w:val="clear" w:color="auto" w:fill="auto"/>
            <w:vAlign w:val="center"/>
          </w:tcPr>
          <w:p w14:paraId="773B7011">
            <w:pPr>
              <w:widowControl/>
              <w:jc w:val="both"/>
              <w:rPr>
                <w:rFonts w:ascii="仿宋_GB2312" w:hAnsi="仿宋" w:eastAsia="仿宋_GB2312" w:cs="Arial"/>
                <w:kern w:val="0"/>
                <w:sz w:val="32"/>
                <w:szCs w:val="32"/>
                <w:highlight w:val="none"/>
              </w:rPr>
            </w:pPr>
          </w:p>
        </w:tc>
      </w:tr>
    </w:tbl>
    <w:p w14:paraId="02CA761D">
      <w:pPr>
        <w:jc w:val="cente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九寨沟县住房和城乡建设局</w:t>
      </w:r>
      <w:r>
        <w:rPr>
          <w:rFonts w:hint="eastAsia" w:ascii="方正小标宋简体" w:hAnsi="黑体" w:eastAsia="方正小标宋简体"/>
          <w:sz w:val="44"/>
          <w:szCs w:val="44"/>
          <w:highlight w:val="none"/>
          <w:lang w:val="en-US" w:eastAsia="zh-CN"/>
        </w:rPr>
        <w:t xml:space="preserve">  </w:t>
      </w:r>
      <w:bookmarkStart w:id="4" w:name="_GoBack"/>
      <w:bookmarkEnd w:id="4"/>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部门预算表</w:t>
      </w:r>
      <w:r>
        <w:drawing>
          <wp:inline distT="0" distB="0" distL="114300" distR="114300">
            <wp:extent cx="5173980" cy="6644005"/>
            <wp:effectExtent l="0" t="0" r="762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73980" cy="6644005"/>
                    </a:xfrm>
                    <a:prstGeom prst="rect">
                      <a:avLst/>
                    </a:prstGeom>
                    <a:noFill/>
                    <a:ln>
                      <a:noFill/>
                    </a:ln>
                  </pic:spPr>
                </pic:pic>
              </a:graphicData>
            </a:graphic>
          </wp:inline>
        </w:drawing>
      </w:r>
    </w:p>
    <w:p w14:paraId="58E25E4C">
      <w:pPr>
        <w:pStyle w:val="2"/>
        <w:ind w:left="0" w:leftChars="0" w:firstLine="0" w:firstLineChars="0"/>
        <w:rPr>
          <w:rFonts w:hint="default"/>
          <w:lang w:eastAsia="zh-Hans"/>
        </w:rPr>
      </w:pPr>
      <w:r>
        <w:drawing>
          <wp:inline distT="0" distB="0" distL="114300" distR="114300">
            <wp:extent cx="8855075" cy="1059815"/>
            <wp:effectExtent l="0" t="0" r="317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8855075" cy="1059815"/>
                    </a:xfrm>
                    <a:prstGeom prst="rect">
                      <a:avLst/>
                    </a:prstGeom>
                    <a:noFill/>
                    <a:ln>
                      <a:noFill/>
                    </a:ln>
                  </pic:spPr>
                </pic:pic>
              </a:graphicData>
            </a:graphic>
          </wp:inline>
        </w:drawing>
      </w:r>
    </w:p>
    <w:p w14:paraId="2E86A18B">
      <w:pPr>
        <w:pStyle w:val="2"/>
        <w:rPr>
          <w:rFonts w:hint="default"/>
          <w:lang w:eastAsia="zh-Hans"/>
        </w:rPr>
      </w:pPr>
    </w:p>
    <w:p w14:paraId="7A92342D">
      <w:pPr>
        <w:pStyle w:val="2"/>
        <w:rPr>
          <w:rFonts w:hint="default"/>
          <w:lang w:eastAsia="zh-Hans"/>
        </w:rPr>
      </w:pPr>
    </w:p>
    <w:p w14:paraId="2D9E65CB">
      <w:pPr>
        <w:pStyle w:val="2"/>
        <w:rPr>
          <w:rFonts w:hint="default"/>
          <w:lang w:eastAsia="zh-Hans"/>
        </w:rPr>
      </w:pPr>
    </w:p>
    <w:p w14:paraId="34D0DCE1">
      <w:pPr>
        <w:pStyle w:val="2"/>
        <w:rPr>
          <w:rFonts w:hint="default"/>
          <w:lang w:eastAsia="zh-Hans"/>
        </w:rPr>
      </w:pPr>
    </w:p>
    <w:p w14:paraId="0A6EA31E">
      <w:pPr>
        <w:pStyle w:val="2"/>
        <w:rPr>
          <w:rFonts w:hint="default"/>
          <w:lang w:eastAsia="zh-Hans"/>
        </w:rPr>
      </w:pPr>
    </w:p>
    <w:p w14:paraId="4727FD24"/>
    <w:p w14:paraId="02059820">
      <w:pPr>
        <w:pStyle w:val="2"/>
        <w:rPr>
          <w:rFonts w:hint="default"/>
          <w:lang w:eastAsia="zh-Hans"/>
        </w:rPr>
        <w:sectPr>
          <w:pgSz w:w="16838" w:h="11906" w:orient="landscape"/>
          <w:pgMar w:top="1800" w:right="1440" w:bottom="1800" w:left="1440" w:header="851" w:footer="992" w:gutter="0"/>
          <w:cols w:space="0" w:num="1"/>
          <w:rtlGutter w:val="0"/>
          <w:docGrid w:type="lines" w:linePitch="312" w:charSpace="0"/>
        </w:sectPr>
      </w:pPr>
    </w:p>
    <w:p w14:paraId="07AAE5CD">
      <w:pPr>
        <w:rPr>
          <w:rFonts w:hint="default"/>
          <w:lang w:eastAsia="zh-Hans"/>
        </w:rPr>
      </w:pPr>
      <w:r>
        <w:drawing>
          <wp:inline distT="0" distB="0" distL="114300" distR="114300">
            <wp:extent cx="5269230" cy="3526790"/>
            <wp:effectExtent l="0" t="0" r="762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9230" cy="3526790"/>
                    </a:xfrm>
                    <a:prstGeom prst="rect">
                      <a:avLst/>
                    </a:prstGeom>
                    <a:noFill/>
                    <a:ln>
                      <a:noFill/>
                    </a:ln>
                  </pic:spPr>
                </pic:pic>
              </a:graphicData>
            </a:graphic>
          </wp:inline>
        </w:drawing>
      </w:r>
    </w:p>
    <w:p w14:paraId="64338CCE">
      <w:pPr>
        <w:pStyle w:val="2"/>
        <w:rPr>
          <w:rFonts w:hint="default"/>
          <w:lang w:eastAsia="zh-Hans"/>
        </w:rPr>
      </w:pPr>
    </w:p>
    <w:p w14:paraId="6FF76FE7">
      <w:pPr>
        <w:rPr>
          <w:rFonts w:hint="default"/>
          <w:lang w:eastAsia="zh-Hans"/>
        </w:rPr>
      </w:pPr>
      <w:r>
        <w:rPr>
          <w:rFonts w:hint="default"/>
          <w:lang w:eastAsia="zh-Hans"/>
        </w:rPr>
        <w:br w:type="page"/>
      </w:r>
    </w:p>
    <w:p w14:paraId="3C13FB0D">
      <w:pPr>
        <w:rPr>
          <w:rFonts w:hint="default"/>
          <w:lang w:eastAsia="zh-Hans"/>
        </w:rPr>
      </w:pPr>
      <w:r>
        <w:drawing>
          <wp:inline distT="0" distB="0" distL="114300" distR="114300">
            <wp:extent cx="5264150" cy="3909060"/>
            <wp:effectExtent l="0" t="0" r="12700" b="152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4150" cy="3909060"/>
                    </a:xfrm>
                    <a:prstGeom prst="rect">
                      <a:avLst/>
                    </a:prstGeom>
                    <a:noFill/>
                    <a:ln>
                      <a:noFill/>
                    </a:ln>
                  </pic:spPr>
                </pic:pic>
              </a:graphicData>
            </a:graphic>
          </wp:inline>
        </w:drawing>
      </w:r>
    </w:p>
    <w:p w14:paraId="2B008C96">
      <w:pPr>
        <w:pStyle w:val="2"/>
        <w:rPr>
          <w:rFonts w:hint="default"/>
          <w:lang w:eastAsia="zh-Hans"/>
        </w:rPr>
      </w:pPr>
    </w:p>
    <w:p w14:paraId="69BE54A6">
      <w:pPr>
        <w:pStyle w:val="2"/>
        <w:rPr>
          <w:rFonts w:hint="default"/>
          <w:lang w:eastAsia="zh-Hans"/>
        </w:rPr>
      </w:pPr>
    </w:p>
    <w:p w14:paraId="5F6A4D85">
      <w:pPr>
        <w:pStyle w:val="2"/>
        <w:rPr>
          <w:rFonts w:hint="default"/>
          <w:lang w:eastAsia="zh-Hans"/>
        </w:rPr>
      </w:pPr>
    </w:p>
    <w:p w14:paraId="1BCA0631">
      <w:pPr>
        <w:pStyle w:val="2"/>
        <w:rPr>
          <w:rFonts w:hint="default"/>
          <w:lang w:eastAsia="zh-Hans"/>
        </w:rPr>
      </w:pPr>
    </w:p>
    <w:p w14:paraId="0EEA5B90">
      <w:pPr>
        <w:pStyle w:val="2"/>
        <w:rPr>
          <w:rFonts w:hint="default"/>
          <w:lang w:eastAsia="zh-Hans"/>
        </w:rPr>
      </w:pPr>
    </w:p>
    <w:p w14:paraId="7DADB9E5">
      <w:pPr>
        <w:pStyle w:val="2"/>
        <w:rPr>
          <w:rFonts w:hint="default"/>
          <w:lang w:eastAsia="zh-Hans"/>
        </w:rPr>
      </w:pPr>
    </w:p>
    <w:p w14:paraId="11233496">
      <w:pPr>
        <w:pStyle w:val="2"/>
        <w:rPr>
          <w:rFonts w:hint="default"/>
          <w:lang w:eastAsia="zh-Hans"/>
        </w:rPr>
        <w:sectPr>
          <w:pgSz w:w="11906" w:h="16838"/>
          <w:pgMar w:top="1440" w:right="1800" w:bottom="1440" w:left="1800" w:header="851" w:footer="992" w:gutter="0"/>
          <w:cols w:space="425" w:num="1"/>
          <w:docGrid w:type="lines" w:linePitch="312" w:charSpace="0"/>
        </w:sectPr>
      </w:pPr>
    </w:p>
    <w:p w14:paraId="602D2388">
      <w:pPr>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44280" cy="5497195"/>
            <wp:effectExtent l="0" t="0" r="1397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8844280" cy="5497195"/>
                    </a:xfrm>
                    <a:prstGeom prst="rect">
                      <a:avLst/>
                    </a:prstGeom>
                    <a:noFill/>
                    <a:ln>
                      <a:noFill/>
                    </a:ln>
                  </pic:spPr>
                </pic:pic>
              </a:graphicData>
            </a:graphic>
          </wp:inline>
        </w:drawing>
      </w:r>
    </w:p>
    <w:p w14:paraId="36ED1DB9">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5710" cy="432181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8855710" cy="4321810"/>
                    </a:xfrm>
                    <a:prstGeom prst="rect">
                      <a:avLst/>
                    </a:prstGeom>
                    <a:noFill/>
                    <a:ln>
                      <a:noFill/>
                    </a:ln>
                  </pic:spPr>
                </pic:pic>
              </a:graphicData>
            </a:graphic>
          </wp:inline>
        </w:drawing>
      </w:r>
    </w:p>
    <w:p w14:paraId="271739BD">
      <w:pPr>
        <w:pStyle w:val="2"/>
        <w:ind w:left="0" w:leftChars="0" w:firstLine="0" w:firstLineChars="0"/>
        <w:rPr>
          <w:rFonts w:hint="default"/>
          <w:lang w:eastAsia="zh-Hans"/>
        </w:rPr>
        <w:sectPr>
          <w:pgSz w:w="11906" w:h="16838"/>
          <w:pgMar w:top="1440" w:right="1800" w:bottom="1440" w:left="1800" w:header="851" w:footer="992" w:gutter="0"/>
          <w:cols w:space="425" w:num="1"/>
          <w:docGrid w:type="lines" w:linePitch="312" w:charSpace="0"/>
        </w:sectPr>
      </w:pPr>
      <w:r>
        <w:drawing>
          <wp:inline distT="0" distB="0" distL="114300" distR="114300">
            <wp:extent cx="5274310" cy="105156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74310" cy="10515600"/>
                    </a:xfrm>
                    <a:prstGeom prst="rect">
                      <a:avLst/>
                    </a:prstGeom>
                    <a:noFill/>
                    <a:ln>
                      <a:noFill/>
                    </a:ln>
                  </pic:spPr>
                </pic:pic>
              </a:graphicData>
            </a:graphic>
          </wp:inline>
        </w:drawing>
      </w:r>
    </w:p>
    <w:p w14:paraId="6AD9390F">
      <w:pPr>
        <w:rPr>
          <w:rFonts w:hint="default"/>
          <w:lang w:eastAsia="zh-Hans"/>
        </w:rPr>
        <w:sectPr>
          <w:pgSz w:w="11906" w:h="16838"/>
          <w:pgMar w:top="1440" w:right="1800" w:bottom="1440" w:left="1800" w:header="851" w:footer="992" w:gutter="0"/>
          <w:cols w:space="425" w:num="1"/>
          <w:docGrid w:type="lines" w:linePitch="312" w:charSpace="0"/>
        </w:sectPr>
      </w:pPr>
      <w:r>
        <w:drawing>
          <wp:inline distT="0" distB="0" distL="114300" distR="114300">
            <wp:extent cx="5270500" cy="2451100"/>
            <wp:effectExtent l="0" t="0" r="635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0500" cy="2451100"/>
                    </a:xfrm>
                    <a:prstGeom prst="rect">
                      <a:avLst/>
                    </a:prstGeom>
                    <a:noFill/>
                    <a:ln>
                      <a:noFill/>
                    </a:ln>
                  </pic:spPr>
                </pic:pic>
              </a:graphicData>
            </a:graphic>
          </wp:inline>
        </w:drawing>
      </w:r>
    </w:p>
    <w:p w14:paraId="2D0C1BE3">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62695" cy="1838325"/>
            <wp:effectExtent l="0" t="0" r="1460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8862695" cy="1838325"/>
                    </a:xfrm>
                    <a:prstGeom prst="rect">
                      <a:avLst/>
                    </a:prstGeom>
                    <a:noFill/>
                    <a:ln>
                      <a:noFill/>
                    </a:ln>
                  </pic:spPr>
                </pic:pic>
              </a:graphicData>
            </a:graphic>
          </wp:inline>
        </w:drawing>
      </w:r>
    </w:p>
    <w:p w14:paraId="7DE6B7D1">
      <w:pPr>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9520" cy="2559685"/>
            <wp:effectExtent l="0" t="0" r="17780"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8859520" cy="2559685"/>
                    </a:xfrm>
                    <a:prstGeom prst="rect">
                      <a:avLst/>
                    </a:prstGeom>
                    <a:noFill/>
                    <a:ln>
                      <a:noFill/>
                    </a:ln>
                  </pic:spPr>
                </pic:pic>
              </a:graphicData>
            </a:graphic>
          </wp:inline>
        </w:drawing>
      </w:r>
    </w:p>
    <w:p w14:paraId="6B8DF60B">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7615" cy="1746885"/>
            <wp:effectExtent l="0" t="0" r="635"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8857615" cy="1746885"/>
                    </a:xfrm>
                    <a:prstGeom prst="rect">
                      <a:avLst/>
                    </a:prstGeom>
                    <a:noFill/>
                    <a:ln>
                      <a:noFill/>
                    </a:ln>
                  </pic:spPr>
                </pic:pic>
              </a:graphicData>
            </a:graphic>
          </wp:inline>
        </w:drawing>
      </w:r>
    </w:p>
    <w:p w14:paraId="2FEF35F7">
      <w:pPr>
        <w:rPr>
          <w:rFonts w:hint="default"/>
          <w:lang w:eastAsia="zh-Hans"/>
        </w:rPr>
      </w:pPr>
      <w:r>
        <w:drawing>
          <wp:inline distT="0" distB="0" distL="114300" distR="114300">
            <wp:extent cx="8859520" cy="2324100"/>
            <wp:effectExtent l="0" t="0" r="177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8859520" cy="2324100"/>
                    </a:xfrm>
                    <a:prstGeom prst="rect">
                      <a:avLst/>
                    </a:prstGeom>
                    <a:noFill/>
                    <a:ln>
                      <a:noFill/>
                    </a:ln>
                  </pic:spPr>
                </pic:pic>
              </a:graphicData>
            </a:graphic>
          </wp:inline>
        </w:drawing>
      </w:r>
    </w:p>
    <w:p w14:paraId="0C3B37B0">
      <w:pPr>
        <w:pStyle w:val="2"/>
        <w:rPr>
          <w:rFonts w:hint="default"/>
          <w:lang w:eastAsia="zh-Hans"/>
        </w:rPr>
      </w:pPr>
    </w:p>
    <w:p w14:paraId="3810F1D0">
      <w:pPr>
        <w:rPr>
          <w:rFonts w:hint="default"/>
          <w:lang w:eastAsia="zh-Hans"/>
        </w:rPr>
      </w:pPr>
    </w:p>
    <w:p w14:paraId="5A0342F2">
      <w:pPr>
        <w:pStyle w:val="2"/>
        <w:rPr>
          <w:rFonts w:hint="default"/>
          <w:lang w:eastAsia="zh-Hans"/>
        </w:rPr>
      </w:pPr>
    </w:p>
    <w:p w14:paraId="782EF27F">
      <w:pPr>
        <w:rPr>
          <w:rFonts w:hint="default"/>
          <w:lang w:eastAsia="zh-Hans"/>
        </w:rPr>
      </w:pPr>
    </w:p>
    <w:p w14:paraId="7994E6C5">
      <w:pPr>
        <w:pStyle w:val="2"/>
        <w:rPr>
          <w:rFonts w:hint="default"/>
          <w:lang w:eastAsia="zh-Hans"/>
        </w:rPr>
      </w:pPr>
    </w:p>
    <w:p w14:paraId="0C9D838B">
      <w:pPr>
        <w:pStyle w:val="2"/>
        <w:ind w:left="0" w:leftChars="0" w:firstLine="0" w:firstLineChars="0"/>
        <w:rPr>
          <w:rFonts w:hint="default"/>
          <w:lang w:eastAsia="zh-Hans"/>
        </w:rPr>
      </w:pPr>
    </w:p>
    <w:p w14:paraId="15A43A03">
      <w:pPr>
        <w:rPr>
          <w:rFonts w:hint="default"/>
          <w:lang w:eastAsia="zh-Hans"/>
        </w:rPr>
      </w:pPr>
    </w:p>
    <w:p w14:paraId="0FD85CE6">
      <w:pPr>
        <w:pStyle w:val="2"/>
        <w:rPr>
          <w:rFonts w:hint="default"/>
          <w:lang w:eastAsia="zh-Hans"/>
        </w:rPr>
      </w:pPr>
    </w:p>
    <w:p w14:paraId="6FC2A5B3">
      <w:pPr>
        <w:rPr>
          <w:rFonts w:hint="default"/>
          <w:lang w:eastAsia="zh-Hans"/>
        </w:rPr>
      </w:pPr>
    </w:p>
    <w:p w14:paraId="7767FC96">
      <w:pPr>
        <w:pStyle w:val="2"/>
        <w:rPr>
          <w:rFonts w:hint="default"/>
          <w:lang w:eastAsia="zh-Hans"/>
        </w:rPr>
      </w:pPr>
    </w:p>
    <w:p w14:paraId="1F6591BA">
      <w:pPr>
        <w:rPr>
          <w:rFonts w:hint="default"/>
          <w:lang w:eastAsia="zh-Hans"/>
        </w:rPr>
      </w:pPr>
    </w:p>
    <w:p w14:paraId="3E4ACB77">
      <w:pPr>
        <w:pStyle w:val="2"/>
        <w:rPr>
          <w:rFonts w:hint="default"/>
          <w:lang w:eastAsia="zh-Hans"/>
        </w:rPr>
      </w:pPr>
    </w:p>
    <w:p w14:paraId="44439D83">
      <w:pPr>
        <w:rPr>
          <w:rFonts w:hint="default"/>
          <w:lang w:eastAsia="zh-Hans"/>
        </w:rPr>
        <w:sectPr>
          <w:pgSz w:w="16838" w:h="11906" w:orient="landscape"/>
          <w:pgMar w:top="1800" w:right="1440" w:bottom="1800" w:left="1440" w:header="851" w:footer="992" w:gutter="0"/>
          <w:cols w:space="425" w:num="1"/>
          <w:docGrid w:type="lines" w:linePitch="312" w:charSpace="0"/>
        </w:sectPr>
      </w:pPr>
    </w:p>
    <w:p w14:paraId="4C401B0A">
      <w:pPr>
        <w:pStyle w:val="2"/>
        <w:ind w:left="0" w:leftChars="0" w:firstLine="0" w:firstLineChars="0"/>
        <w:rPr>
          <w:rFonts w:hint="default"/>
          <w:lang w:eastAsia="zh-Hans"/>
        </w:rPr>
        <w:sectPr>
          <w:type w:val="continuous"/>
          <w:pgSz w:w="16838" w:h="11906" w:orient="landscape"/>
          <w:pgMar w:top="1800" w:right="1440" w:bottom="1800" w:left="1440" w:header="851" w:footer="992" w:gutter="0"/>
          <w:cols w:space="425" w:num="1"/>
          <w:docGrid w:type="lines" w:linePitch="312" w:charSpace="0"/>
        </w:sectPr>
      </w:pPr>
    </w:p>
    <w:p w14:paraId="15FB0865">
      <w:pPr>
        <w:rPr>
          <w:rFonts w:hint="default"/>
          <w:lang w:eastAsia="zh-Hans"/>
        </w:rPr>
        <w:sectPr>
          <w:pgSz w:w="11906" w:h="16838"/>
          <w:pgMar w:top="1440" w:right="1800" w:bottom="1440" w:left="1800" w:header="851" w:footer="992" w:gutter="0"/>
          <w:cols w:space="425" w:num="1"/>
          <w:docGrid w:type="lines" w:linePitch="312" w:charSpace="0"/>
        </w:sectPr>
      </w:pPr>
      <w:r>
        <w:drawing>
          <wp:inline distT="0" distB="0" distL="114300" distR="114300">
            <wp:extent cx="5267325" cy="8729980"/>
            <wp:effectExtent l="0" t="0" r="9525" b="1397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7"/>
                    <a:stretch>
                      <a:fillRect/>
                    </a:stretch>
                  </pic:blipFill>
                  <pic:spPr>
                    <a:xfrm>
                      <a:off x="0" y="0"/>
                      <a:ext cx="5267325" cy="8729980"/>
                    </a:xfrm>
                    <a:prstGeom prst="rect">
                      <a:avLst/>
                    </a:prstGeom>
                    <a:noFill/>
                    <a:ln>
                      <a:noFill/>
                    </a:ln>
                  </pic:spPr>
                </pic:pic>
              </a:graphicData>
            </a:graphic>
          </wp:inline>
        </w:drawing>
      </w:r>
    </w:p>
    <w:p w14:paraId="187165DD">
      <w:pPr>
        <w:pStyle w:val="2"/>
        <w:ind w:left="0" w:leftChars="0" w:firstLine="0" w:firstLineChars="0"/>
        <w:sectPr>
          <w:pgSz w:w="11906" w:h="16838"/>
          <w:pgMar w:top="1440" w:right="1800" w:bottom="1440" w:left="1800" w:header="851" w:footer="992" w:gutter="0"/>
          <w:cols w:space="425" w:num="1"/>
          <w:docGrid w:type="lines" w:linePitch="312" w:charSpace="0"/>
        </w:sectPr>
      </w:pPr>
      <w:r>
        <w:drawing>
          <wp:inline distT="0" distB="0" distL="114300" distR="114300">
            <wp:extent cx="5268595" cy="5880735"/>
            <wp:effectExtent l="0" t="0" r="825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268595" cy="5880735"/>
                    </a:xfrm>
                    <a:prstGeom prst="rect">
                      <a:avLst/>
                    </a:prstGeom>
                    <a:noFill/>
                    <a:ln>
                      <a:noFill/>
                    </a:ln>
                  </pic:spPr>
                </pic:pic>
              </a:graphicData>
            </a:graphic>
          </wp:inline>
        </w:drawing>
      </w:r>
    </w:p>
    <w:p w14:paraId="0ABC63F8"/>
    <w:p w14:paraId="5D5C77CB"/>
    <w:p w14:paraId="061C09C2">
      <w:pPr>
        <w:pStyle w:val="2"/>
      </w:pPr>
    </w:p>
    <w:p w14:paraId="3C84C12C"/>
    <w:p w14:paraId="120FB0A7">
      <w:pPr>
        <w:pStyle w:val="2"/>
      </w:pPr>
    </w:p>
    <w:p w14:paraId="7C864E2C">
      <w:pPr>
        <w:pStyle w:val="2"/>
        <w:ind w:left="0" w:leftChars="0" w:firstLine="0" w:firstLineChars="0"/>
      </w:pPr>
    </w:p>
    <w:p w14:paraId="1BF00F25">
      <w:pPr>
        <w:jc w:val="center"/>
        <w:rPr>
          <w:rFonts w:hint="eastAsia" w:ascii="方正小标宋简体" w:hAnsi="黑体" w:eastAsia="方正小标宋简体"/>
          <w:color w:val="auto"/>
          <w:sz w:val="36"/>
          <w:szCs w:val="36"/>
          <w:highlight w:val="none"/>
        </w:rPr>
      </w:pPr>
      <w:r>
        <w:rPr>
          <w:rFonts w:hint="eastAsia" w:ascii="方正小标宋简体" w:hAnsi="黑体" w:eastAsia="方正小标宋简体"/>
          <w:color w:val="auto"/>
          <w:sz w:val="36"/>
          <w:szCs w:val="36"/>
          <w:highlight w:val="none"/>
        </w:rPr>
        <w:t xml:space="preserve">第三部分  </w:t>
      </w:r>
      <w:r>
        <w:rPr>
          <w:rFonts w:hint="eastAsia" w:ascii="方正小标宋简体" w:hAnsi="黑体" w:eastAsia="方正小标宋简体"/>
          <w:color w:val="auto"/>
          <w:sz w:val="36"/>
          <w:szCs w:val="36"/>
          <w:highlight w:val="none"/>
          <w:lang w:eastAsia="zh-CN"/>
        </w:rPr>
        <w:t>九寨沟县住房和城乡建设局</w:t>
      </w:r>
      <w:r>
        <w:rPr>
          <w:rFonts w:hint="eastAsia" w:ascii="方正小标宋简体" w:hAnsi="黑体" w:eastAsia="方正小标宋简体"/>
          <w:color w:val="auto"/>
          <w:sz w:val="36"/>
          <w:szCs w:val="36"/>
          <w:highlight w:val="none"/>
        </w:rPr>
        <w:t>2</w:t>
      </w:r>
      <w:r>
        <w:rPr>
          <w:rFonts w:ascii="方正小标宋简体" w:hAnsi="黑体" w:eastAsia="方正小标宋简体"/>
          <w:color w:val="auto"/>
          <w:sz w:val="36"/>
          <w:szCs w:val="36"/>
          <w:highlight w:val="none"/>
        </w:rPr>
        <w:t>02</w:t>
      </w:r>
      <w:r>
        <w:rPr>
          <w:rFonts w:hint="eastAsia" w:ascii="方正小标宋简体" w:hAnsi="黑体" w:eastAsia="方正小标宋简体"/>
          <w:color w:val="auto"/>
          <w:sz w:val="36"/>
          <w:szCs w:val="36"/>
          <w:highlight w:val="none"/>
          <w:lang w:val="en-US" w:eastAsia="zh-CN"/>
        </w:rPr>
        <w:t>6</w:t>
      </w:r>
      <w:r>
        <w:rPr>
          <w:rFonts w:hint="eastAsia" w:ascii="方正小标宋简体" w:hAnsi="黑体" w:eastAsia="方正小标宋简体"/>
          <w:color w:val="auto"/>
          <w:sz w:val="36"/>
          <w:szCs w:val="36"/>
          <w:highlight w:val="none"/>
        </w:rPr>
        <w:t>年</w:t>
      </w:r>
      <w:r>
        <w:rPr>
          <w:rFonts w:ascii="方正小标宋简体" w:hAnsi="黑体" w:eastAsia="方正小标宋简体"/>
          <w:color w:val="auto"/>
          <w:sz w:val="36"/>
          <w:szCs w:val="36"/>
          <w:highlight w:val="none"/>
        </w:rPr>
        <w:t>部门预算</w:t>
      </w:r>
      <w:r>
        <w:rPr>
          <w:rFonts w:hint="eastAsia" w:ascii="方正小标宋简体" w:hAnsi="黑体" w:eastAsia="方正小标宋简体"/>
          <w:color w:val="auto"/>
          <w:sz w:val="36"/>
          <w:szCs w:val="36"/>
          <w:highlight w:val="none"/>
        </w:rPr>
        <w:t>情况说明</w:t>
      </w:r>
    </w:p>
    <w:p w14:paraId="5D597A7D">
      <w:pPr>
        <w:ind w:left="2520" w:hanging="2240" w:hangingChars="7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一、收支预算情况说明</w:t>
      </w:r>
    </w:p>
    <w:p w14:paraId="695A4289">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按照综合预算的原则，</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年收支预算总数</w:t>
      </w:r>
      <w:r>
        <w:rPr>
          <w:rFonts w:hint="eastAsia" w:ascii="仿宋_GB2312" w:hAnsi="黑体" w:eastAsia="仿宋_GB2312"/>
          <w:color w:val="auto"/>
          <w:sz w:val="32"/>
          <w:szCs w:val="32"/>
          <w:highlight w:val="none"/>
          <w:lang w:val="en-US" w:eastAsia="zh-CN"/>
        </w:rPr>
        <w:t>1248.30</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年收支预算总数增加</w:t>
      </w:r>
      <w:r>
        <w:rPr>
          <w:rFonts w:hint="eastAsia" w:ascii="仿宋_GB2312" w:hAnsi="黑体" w:eastAsia="仿宋_GB2312"/>
          <w:color w:val="auto"/>
          <w:sz w:val="32"/>
          <w:szCs w:val="32"/>
          <w:highlight w:val="none"/>
          <w:lang w:val="en-US" w:eastAsia="zh-CN"/>
        </w:rPr>
        <w:t>651.49</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24C207C4">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（一）收入预算情况</w:t>
      </w:r>
    </w:p>
    <w:p w14:paraId="0BF09604">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年收入预算</w:t>
      </w:r>
      <w:r>
        <w:rPr>
          <w:rFonts w:hint="eastAsia" w:ascii="仿宋_GB2312" w:hAnsi="黑体" w:eastAsia="仿宋_GB2312"/>
          <w:color w:val="auto"/>
          <w:sz w:val="32"/>
          <w:szCs w:val="32"/>
          <w:highlight w:val="none"/>
          <w:lang w:val="en-US" w:eastAsia="zh-CN"/>
        </w:rPr>
        <w:t>1248.30</w:t>
      </w:r>
      <w:r>
        <w:rPr>
          <w:rFonts w:hint="eastAsia" w:ascii="仿宋_GB2312" w:hAnsi="黑体" w:eastAsia="仿宋_GB2312"/>
          <w:color w:val="auto"/>
          <w:sz w:val="32"/>
          <w:szCs w:val="32"/>
          <w:highlight w:val="none"/>
        </w:rPr>
        <w:t>万元，其中：一般公共预算拨款收入</w:t>
      </w:r>
      <w:r>
        <w:rPr>
          <w:rFonts w:hint="eastAsia" w:ascii="仿宋_GB2312" w:hAnsi="黑体" w:eastAsia="仿宋_GB2312"/>
          <w:color w:val="auto"/>
          <w:sz w:val="32"/>
          <w:szCs w:val="32"/>
          <w:highlight w:val="none"/>
          <w:lang w:val="en-US" w:eastAsia="zh-CN"/>
        </w:rPr>
        <w:t>948.3</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75.77</w:t>
      </w:r>
      <w:r>
        <w:rPr>
          <w:rFonts w:hint="eastAsia" w:ascii="仿宋_GB2312" w:hAnsi="黑体" w:eastAsia="仿宋_GB2312"/>
          <w:color w:val="auto"/>
          <w:sz w:val="32"/>
          <w:szCs w:val="32"/>
          <w:highlight w:val="none"/>
        </w:rPr>
        <w:t>%；政府性基金预算拨款收入</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24.23</w:t>
      </w:r>
      <w:r>
        <w:rPr>
          <w:rFonts w:hint="eastAsia" w:ascii="仿宋_GB2312" w:hAnsi="黑体" w:eastAsia="仿宋_GB2312"/>
          <w:color w:val="auto"/>
          <w:sz w:val="32"/>
          <w:szCs w:val="32"/>
          <w:highlight w:val="none"/>
        </w:rPr>
        <w:t>%。</w:t>
      </w:r>
    </w:p>
    <w:p w14:paraId="6F3B5698">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（二）支出预算情况</w:t>
      </w:r>
    </w:p>
    <w:p w14:paraId="0BA798F4">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年支出预算</w:t>
      </w:r>
      <w:r>
        <w:rPr>
          <w:rFonts w:hint="eastAsia" w:ascii="仿宋_GB2312" w:hAnsi="黑体" w:eastAsia="仿宋_GB2312"/>
          <w:color w:val="auto"/>
          <w:sz w:val="32"/>
          <w:szCs w:val="32"/>
          <w:highlight w:val="none"/>
          <w:lang w:val="en-US" w:eastAsia="zh-CN"/>
        </w:rPr>
        <w:t>1248.3</w:t>
      </w:r>
      <w:r>
        <w:rPr>
          <w:rFonts w:hint="eastAsia" w:ascii="仿宋_GB2312" w:hAnsi="黑体" w:eastAsia="仿宋_GB2312"/>
          <w:color w:val="auto"/>
          <w:sz w:val="32"/>
          <w:szCs w:val="32"/>
          <w:highlight w:val="none"/>
        </w:rPr>
        <w:t>万元，其中：基本支出</w:t>
      </w:r>
      <w:r>
        <w:rPr>
          <w:rFonts w:hint="eastAsia" w:ascii="仿宋_GB2312" w:hAnsi="黑体" w:eastAsia="仿宋_GB2312"/>
          <w:color w:val="auto"/>
          <w:sz w:val="32"/>
          <w:szCs w:val="32"/>
          <w:highlight w:val="none"/>
          <w:lang w:val="en-US" w:eastAsia="zh-CN"/>
        </w:rPr>
        <w:t>578.3</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46.33</w:t>
      </w:r>
      <w:r>
        <w:rPr>
          <w:rFonts w:hint="eastAsia" w:ascii="仿宋_GB2312" w:hAnsi="黑体" w:eastAsia="仿宋_GB2312"/>
          <w:color w:val="auto"/>
          <w:sz w:val="32"/>
          <w:szCs w:val="32"/>
          <w:highlight w:val="none"/>
        </w:rPr>
        <w:t>%；项目支出</w:t>
      </w:r>
      <w:r>
        <w:rPr>
          <w:rFonts w:hint="eastAsia" w:ascii="仿宋_GB2312" w:hAnsi="黑体" w:eastAsia="仿宋_GB2312"/>
          <w:color w:val="auto"/>
          <w:sz w:val="32"/>
          <w:szCs w:val="32"/>
          <w:highlight w:val="none"/>
          <w:lang w:val="en-US" w:eastAsia="zh-CN"/>
        </w:rPr>
        <w:t>670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53.67</w:t>
      </w:r>
      <w:r>
        <w:rPr>
          <w:rFonts w:hint="eastAsia" w:ascii="仿宋_GB2312" w:hAnsi="黑体" w:eastAsia="仿宋_GB2312"/>
          <w:color w:val="auto"/>
          <w:sz w:val="32"/>
          <w:szCs w:val="32"/>
          <w:highlight w:val="none"/>
        </w:rPr>
        <w:t>%。</w:t>
      </w:r>
    </w:p>
    <w:p w14:paraId="240E7BAB">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二、财政拨款收支预算情况说明</w:t>
      </w:r>
    </w:p>
    <w:p w14:paraId="7AD102BA">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年财政拨款收支预算总数</w:t>
      </w:r>
      <w:r>
        <w:rPr>
          <w:rFonts w:hint="eastAsia" w:ascii="仿宋_GB2312" w:hAnsi="黑体" w:eastAsia="仿宋_GB2312"/>
          <w:color w:val="auto"/>
          <w:sz w:val="32"/>
          <w:szCs w:val="32"/>
          <w:highlight w:val="none"/>
          <w:lang w:val="en-US" w:eastAsia="zh-CN"/>
        </w:rPr>
        <w:t>1248.3</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年财政拨款收支预算总数增</w:t>
      </w:r>
      <w:r>
        <w:rPr>
          <w:rFonts w:hint="eastAsia" w:ascii="仿宋_GB2312" w:hAnsi="黑体" w:eastAsia="仿宋_GB2312"/>
          <w:color w:val="auto"/>
          <w:sz w:val="32"/>
          <w:szCs w:val="32"/>
          <w:highlight w:val="none"/>
          <w:lang w:val="en-US" w:eastAsia="zh-CN"/>
        </w:rPr>
        <w:t>651.49</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2EC93359">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收入包括：本年一般公共预算拨款收入</w:t>
      </w:r>
      <w:r>
        <w:rPr>
          <w:rFonts w:hint="eastAsia" w:ascii="仿宋_GB2312" w:hAnsi="黑体" w:eastAsia="仿宋_GB2312"/>
          <w:color w:val="auto"/>
          <w:sz w:val="32"/>
          <w:szCs w:val="32"/>
          <w:highlight w:val="none"/>
          <w:lang w:val="en-US" w:eastAsia="zh-CN"/>
        </w:rPr>
        <w:t>948.3</w:t>
      </w:r>
      <w:r>
        <w:rPr>
          <w:rFonts w:hint="eastAsia" w:ascii="仿宋_GB2312" w:hAnsi="黑体" w:eastAsia="仿宋_GB2312"/>
          <w:color w:val="auto"/>
          <w:sz w:val="32"/>
          <w:szCs w:val="32"/>
          <w:highlight w:val="none"/>
        </w:rPr>
        <w:t>万元、政府性基金预算拨款收入</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万元；支出包括：一般公共服务支出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万元、外交支出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万元、国防支出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万元、公共安全支出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万元、教育支出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万元、科学技术支出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万元、文化旅游体育与传媒支出</w:t>
      </w:r>
      <w:r>
        <w:rPr>
          <w:rFonts w:hint="eastAsia" w:ascii="仿宋_GB2312" w:hAnsi="黑体" w:eastAsia="仿宋_GB2312"/>
          <w:color w:val="auto"/>
          <w:sz w:val="32"/>
          <w:szCs w:val="32"/>
          <w:highlight w:val="none"/>
          <w:lang w:val="en-US" w:eastAsia="zh-CN"/>
        </w:rPr>
        <w:t xml:space="preserve"> </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86.94</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34.63</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46.4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、城乡社区支出：</w:t>
      </w:r>
      <w:r>
        <w:rPr>
          <w:rFonts w:hint="eastAsia" w:ascii="仿宋_GB2312" w:hAnsi="黑体" w:eastAsia="仿宋_GB2312"/>
          <w:color w:val="auto"/>
          <w:sz w:val="32"/>
          <w:szCs w:val="32"/>
          <w:highlight w:val="none"/>
          <w:lang w:val="en-US" w:eastAsia="zh-CN"/>
        </w:rPr>
        <w:t>1211.93万元</w:t>
      </w:r>
      <w:r>
        <w:rPr>
          <w:rFonts w:hint="eastAsia" w:ascii="仿宋_GB2312" w:hAnsi="黑体" w:eastAsia="仿宋_GB2312"/>
          <w:color w:val="auto"/>
          <w:sz w:val="32"/>
          <w:szCs w:val="32"/>
          <w:highlight w:val="none"/>
        </w:rPr>
        <w:t>。</w:t>
      </w:r>
    </w:p>
    <w:p w14:paraId="73C711FE">
      <w:pPr>
        <w:pStyle w:val="2"/>
        <w:rPr>
          <w:rFonts w:hint="default" w:eastAsia="仿宋_GB2312"/>
          <w:color w:val="auto"/>
          <w:lang w:val="en-US" w:eastAsia="zh-CN"/>
        </w:rPr>
      </w:pPr>
      <w:r>
        <w:rPr>
          <w:rFonts w:hint="eastAsia" w:ascii="仿宋_GB2312" w:hAnsi="黑体" w:eastAsia="仿宋_GB2312"/>
          <w:color w:val="auto"/>
          <w:sz w:val="32"/>
          <w:szCs w:val="32"/>
          <w:highlight w:val="none"/>
          <w:lang w:eastAsia="zh-CN"/>
        </w:rPr>
        <w:t>上年结转：</w:t>
      </w:r>
      <w:r>
        <w:rPr>
          <w:rFonts w:hint="eastAsia" w:ascii="仿宋_GB2312" w:hAnsi="黑体" w:eastAsia="仿宋_GB2312"/>
          <w:color w:val="auto"/>
          <w:sz w:val="32"/>
          <w:szCs w:val="32"/>
          <w:highlight w:val="none"/>
          <w:lang w:val="en-US" w:eastAsia="zh-CN"/>
        </w:rPr>
        <w:t>131.60万元</w:t>
      </w:r>
      <w:r>
        <w:rPr>
          <w:rFonts w:hint="eastAsia" w:ascii="仿宋_GB2312" w:hAnsi="黑体" w:eastAsia="仿宋_GB2312"/>
          <w:color w:val="auto"/>
          <w:sz w:val="32"/>
          <w:szCs w:val="32"/>
          <w:highlight w:val="none"/>
        </w:rPr>
        <w:t>。</w:t>
      </w:r>
    </w:p>
    <w:p w14:paraId="4FE547CC">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三、一般公共预算当年拨款情况说明</w:t>
      </w:r>
    </w:p>
    <w:p w14:paraId="525D844D">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（一）一般公共预算当年拨款规模变化情况</w:t>
      </w:r>
    </w:p>
    <w:p w14:paraId="743C0FB7">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年一般公共预算当年拨款</w:t>
      </w:r>
      <w:r>
        <w:rPr>
          <w:rFonts w:hint="eastAsia" w:ascii="仿宋_GB2312" w:hAnsi="黑体" w:eastAsia="仿宋_GB2312"/>
          <w:color w:val="auto"/>
          <w:sz w:val="32"/>
          <w:szCs w:val="32"/>
          <w:highlight w:val="none"/>
          <w:lang w:val="en-US" w:eastAsia="zh-CN"/>
        </w:rPr>
        <w:t>1248.3</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年预算数增加</w:t>
      </w:r>
      <w:r>
        <w:rPr>
          <w:rFonts w:hint="eastAsia" w:ascii="仿宋_GB2312" w:hAnsi="黑体" w:eastAsia="仿宋_GB2312"/>
          <w:color w:val="auto"/>
          <w:sz w:val="32"/>
          <w:szCs w:val="32"/>
          <w:highlight w:val="none"/>
          <w:lang w:val="en-US" w:eastAsia="zh-CN"/>
        </w:rPr>
        <w:t>651.49</w:t>
      </w:r>
      <w:r>
        <w:rPr>
          <w:rFonts w:hint="eastAsia" w:ascii="仿宋_GB2312" w:hAnsi="黑体" w:eastAsia="仿宋_GB2312"/>
          <w:color w:val="auto"/>
          <w:sz w:val="32"/>
          <w:szCs w:val="32"/>
          <w:highlight w:val="none"/>
        </w:rPr>
        <w:t>万元，主要原因</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5CB57296">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（二）一般公共预算当年拨款结构情况</w:t>
      </w:r>
    </w:p>
    <w:p w14:paraId="16C58F7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一般公共服务支出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%；外交支出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%；国防支出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%；公共安全支出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%；教育支出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%；科学技术支出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%；文化旅游体育与传媒支出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%；社会保障和就业支出</w:t>
      </w:r>
      <w:r>
        <w:rPr>
          <w:rFonts w:hint="eastAsia" w:ascii="仿宋_GB2312" w:hAnsi="黑体" w:eastAsia="仿宋_GB2312"/>
          <w:color w:val="auto"/>
          <w:sz w:val="32"/>
          <w:szCs w:val="32"/>
          <w:highlight w:val="none"/>
          <w:lang w:val="en-US" w:eastAsia="zh-CN"/>
        </w:rPr>
        <w:t>86.94</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6.3</w:t>
      </w:r>
      <w:r>
        <w:rPr>
          <w:rFonts w:hint="eastAsia" w:ascii="仿宋_GB2312" w:hAnsi="黑体" w:eastAsia="仿宋_GB2312"/>
          <w:color w:val="auto"/>
          <w:sz w:val="32"/>
          <w:szCs w:val="32"/>
          <w:highlight w:val="none"/>
        </w:rPr>
        <w:t>%；卫生健康支出</w:t>
      </w:r>
      <w:r>
        <w:rPr>
          <w:rFonts w:hint="eastAsia" w:ascii="仿宋_GB2312" w:hAnsi="黑体" w:eastAsia="仿宋_GB2312"/>
          <w:color w:val="auto"/>
          <w:sz w:val="32"/>
          <w:szCs w:val="32"/>
          <w:highlight w:val="none"/>
          <w:lang w:val="en-US" w:eastAsia="zh-CN"/>
        </w:rPr>
        <w:t>34.63</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2.51</w:t>
      </w:r>
      <w:r>
        <w:rPr>
          <w:rFonts w:hint="eastAsia" w:ascii="仿宋_GB2312" w:hAnsi="黑体" w:eastAsia="仿宋_GB2312"/>
          <w:color w:val="auto"/>
          <w:sz w:val="32"/>
          <w:szCs w:val="32"/>
          <w:highlight w:val="none"/>
        </w:rPr>
        <w:t>%；住房保障支出</w:t>
      </w:r>
      <w:r>
        <w:rPr>
          <w:rFonts w:hint="eastAsia" w:ascii="仿宋_GB2312" w:hAnsi="黑体" w:eastAsia="仿宋_GB2312"/>
          <w:color w:val="auto"/>
          <w:sz w:val="32"/>
          <w:szCs w:val="32"/>
          <w:highlight w:val="none"/>
          <w:lang w:val="en-US" w:eastAsia="zh-CN"/>
        </w:rPr>
        <w:t>46.4</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3.36</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、城乡社区支出</w:t>
      </w:r>
      <w:r>
        <w:rPr>
          <w:rFonts w:hint="eastAsia" w:ascii="仿宋_GB2312" w:hAnsi="黑体" w:eastAsia="仿宋_GB2312"/>
          <w:color w:val="auto"/>
          <w:sz w:val="32"/>
          <w:szCs w:val="32"/>
          <w:highlight w:val="none"/>
          <w:lang w:val="en-US" w:eastAsia="zh-CN"/>
        </w:rPr>
        <w:t>1211.93万元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占</w:t>
      </w:r>
      <w:r>
        <w:rPr>
          <w:rFonts w:hint="eastAsia" w:ascii="仿宋_GB2312" w:hAnsi="黑体" w:eastAsia="仿宋_GB2312"/>
          <w:color w:val="auto"/>
          <w:sz w:val="32"/>
          <w:szCs w:val="32"/>
          <w:highlight w:val="none"/>
          <w:lang w:val="en-US" w:eastAsia="zh-CN"/>
        </w:rPr>
        <w:t>87.83</w:t>
      </w:r>
      <w:r>
        <w:rPr>
          <w:rFonts w:hint="eastAsia" w:ascii="仿宋_GB2312" w:hAnsi="黑体" w:eastAsia="仿宋_GB2312"/>
          <w:color w:val="auto"/>
          <w:sz w:val="32"/>
          <w:szCs w:val="32"/>
          <w:highlight w:val="none"/>
        </w:rPr>
        <w:t>%。</w:t>
      </w:r>
    </w:p>
    <w:p w14:paraId="695BADF1">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（三）一般公共预算当年拨款具体使用情况</w:t>
      </w:r>
    </w:p>
    <w:p w14:paraId="76486501">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.社会保障和就业（</w:t>
      </w:r>
      <w:r>
        <w:rPr>
          <w:rFonts w:hint="eastAsia" w:ascii="仿宋_GB2312" w:hAnsi="黑体" w:eastAsia="仿宋_GB2312"/>
          <w:color w:val="auto"/>
          <w:sz w:val="32"/>
          <w:szCs w:val="32"/>
          <w:highlight w:val="none"/>
          <w:lang w:val="en-US" w:eastAsia="zh-CN"/>
        </w:rPr>
        <w:t>208</w:t>
      </w:r>
      <w:r>
        <w:rPr>
          <w:rFonts w:hint="eastAsia" w:ascii="仿宋_GB2312" w:hAnsi="黑体" w:eastAsia="仿宋_GB2312"/>
          <w:color w:val="auto"/>
          <w:sz w:val="32"/>
          <w:szCs w:val="32"/>
          <w:highlight w:val="none"/>
        </w:rPr>
        <w:t>）行政事业单位养老支出（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）机关事业单位基本养老保险缴费支出（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56.02</w:t>
      </w:r>
      <w:r>
        <w:rPr>
          <w:rFonts w:hint="eastAsia" w:ascii="仿宋_GB2312" w:hAnsi="黑体" w:eastAsia="仿宋_GB2312"/>
          <w:color w:val="auto"/>
          <w:sz w:val="32"/>
          <w:szCs w:val="32"/>
          <w:highlight w:val="none"/>
        </w:rPr>
        <w:t>万元，主要用于：实施养老保险制度由单位缴纳的基本养老保险支出。</w:t>
      </w:r>
    </w:p>
    <w:p w14:paraId="1B67EF0A">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.社会保障和就业（</w:t>
      </w:r>
      <w:r>
        <w:rPr>
          <w:rFonts w:hint="eastAsia" w:ascii="仿宋_GB2312" w:hAnsi="黑体" w:eastAsia="仿宋_GB2312"/>
          <w:color w:val="auto"/>
          <w:sz w:val="32"/>
          <w:szCs w:val="32"/>
          <w:highlight w:val="none"/>
          <w:lang w:val="en-US" w:eastAsia="zh-CN"/>
        </w:rPr>
        <w:t>208</w:t>
      </w:r>
      <w:r>
        <w:rPr>
          <w:rFonts w:hint="eastAsia" w:ascii="仿宋_GB2312" w:hAnsi="黑体" w:eastAsia="仿宋_GB2312"/>
          <w:color w:val="auto"/>
          <w:sz w:val="32"/>
          <w:szCs w:val="32"/>
          <w:highlight w:val="none"/>
        </w:rPr>
        <w:t>）行政事业单位养老支出（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）机关事业单位职业年金缴费支出（</w:t>
      </w:r>
      <w:r>
        <w:rPr>
          <w:rFonts w:hint="eastAsia" w:ascii="仿宋_GB2312" w:hAnsi="黑体" w:eastAsia="仿宋_GB2312"/>
          <w:color w:val="auto"/>
          <w:sz w:val="32"/>
          <w:szCs w:val="32"/>
          <w:highlight w:val="none"/>
          <w:lang w:val="en-US" w:eastAsia="zh-CN"/>
        </w:rPr>
        <w:t>06</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30.92</w:t>
      </w:r>
      <w:r>
        <w:rPr>
          <w:rFonts w:hint="eastAsia" w:ascii="仿宋_GB2312" w:hAnsi="黑体" w:eastAsia="仿宋_GB2312"/>
          <w:color w:val="auto"/>
          <w:sz w:val="32"/>
          <w:szCs w:val="32"/>
          <w:highlight w:val="none"/>
        </w:rPr>
        <w:t>万元，主要用于：实施养老保险制度由单位缴纳的职业年金支出。</w:t>
      </w:r>
    </w:p>
    <w:p w14:paraId="44E63521">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）行政单位医疗</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01</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7.34</w:t>
      </w:r>
      <w:r>
        <w:rPr>
          <w:rFonts w:hint="eastAsia" w:ascii="仿宋_GB2312" w:hAnsi="黑体" w:eastAsia="仿宋_GB2312"/>
          <w:color w:val="auto"/>
          <w:sz w:val="32"/>
          <w:szCs w:val="32"/>
          <w:highlight w:val="none"/>
        </w:rPr>
        <w:t>万元，主要用于：</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按规定由单位缴纳的基本医疗保险支出。</w:t>
      </w:r>
    </w:p>
    <w:p w14:paraId="0E9C0D8F">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）事业单位医疗（</w:t>
      </w:r>
      <w:r>
        <w:rPr>
          <w:rFonts w:hint="eastAsia" w:ascii="仿宋_GB2312" w:hAnsi="黑体" w:eastAsia="仿宋_GB2312"/>
          <w:color w:val="auto"/>
          <w:sz w:val="32"/>
          <w:szCs w:val="32"/>
          <w:highlight w:val="none"/>
          <w:lang w:val="en-US" w:eastAsia="zh-CN"/>
        </w:rPr>
        <w:t>02</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 xml:space="preserve"> 19.71</w:t>
      </w:r>
      <w:r>
        <w:rPr>
          <w:rFonts w:hint="eastAsia" w:ascii="仿宋_GB2312" w:hAnsi="黑体" w:eastAsia="仿宋_GB2312"/>
          <w:color w:val="auto"/>
          <w:sz w:val="32"/>
          <w:szCs w:val="32"/>
          <w:highlight w:val="none"/>
        </w:rPr>
        <w:t>万元，主要用于：部门下属事业单位按规定由单位缴纳的基本医疗保险支出。</w:t>
      </w:r>
    </w:p>
    <w:p w14:paraId="3FE9B696">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）公务员医疗补功（</w:t>
      </w:r>
      <w:r>
        <w:rPr>
          <w:rFonts w:hint="eastAsia" w:ascii="仿宋_GB2312" w:hAnsi="黑体" w:eastAsia="仿宋_GB2312"/>
          <w:color w:val="auto"/>
          <w:sz w:val="32"/>
          <w:szCs w:val="32"/>
          <w:highlight w:val="none"/>
          <w:lang w:val="en-US" w:eastAsia="zh-CN"/>
        </w:rPr>
        <w:t>03</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2.53</w:t>
      </w:r>
      <w:r>
        <w:rPr>
          <w:rFonts w:hint="eastAsia" w:ascii="仿宋_GB2312" w:hAnsi="黑体" w:eastAsia="仿宋_GB2312"/>
          <w:color w:val="auto"/>
          <w:sz w:val="32"/>
          <w:szCs w:val="32"/>
          <w:highlight w:val="none"/>
        </w:rPr>
        <w:t>万元，主要用于：</w:t>
      </w:r>
      <w:r>
        <w:rPr>
          <w:rFonts w:hint="eastAsia" w:ascii="仿宋_GB2312" w:hAnsi="黑体" w:eastAsia="仿宋_GB2312"/>
          <w:color w:val="auto"/>
          <w:sz w:val="32"/>
          <w:szCs w:val="32"/>
          <w:highlight w:val="none"/>
          <w:lang w:eastAsia="zh-CN"/>
        </w:rPr>
        <w:t>寨沟县住房和城乡建设局</w:t>
      </w:r>
      <w:r>
        <w:rPr>
          <w:rFonts w:hint="eastAsia" w:ascii="仿宋_GB2312" w:hAnsi="黑体" w:eastAsia="仿宋_GB2312"/>
          <w:color w:val="auto"/>
          <w:sz w:val="32"/>
          <w:szCs w:val="32"/>
          <w:highlight w:val="none"/>
        </w:rPr>
        <w:t>缴纳公务员医疗补助支出。</w:t>
      </w:r>
    </w:p>
    <w:p w14:paraId="66E8B3E3">
      <w:pPr>
        <w:ind w:firstLine="420" w:firstLineChars="200"/>
        <w:jc w:val="both"/>
        <w:rPr>
          <w:rFonts w:hint="eastAsia" w:ascii="仿宋_GB2312" w:hAnsi="黑体" w:eastAsia="仿宋_GB2312"/>
          <w:color w:val="auto"/>
          <w:sz w:val="32"/>
          <w:szCs w:val="32"/>
          <w:highlight w:val="none"/>
          <w:lang w:eastAsia="zh-CN"/>
        </w:rPr>
      </w:pPr>
      <w:r>
        <w:rPr>
          <w:rFonts w:hint="eastAsia" w:eastAsia="仿宋_GB2312"/>
          <w:lang w:val="en-US" w:eastAsia="zh-CN"/>
        </w:rPr>
        <w:t xml:space="preserve">   </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 其他行政事业单位医疗支出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99</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5.05</w:t>
      </w:r>
      <w:r>
        <w:rPr>
          <w:rFonts w:hint="eastAsia" w:ascii="仿宋_GB2312" w:hAnsi="黑体" w:eastAsia="仿宋_GB2312"/>
          <w:color w:val="auto"/>
          <w:sz w:val="32"/>
          <w:szCs w:val="32"/>
          <w:highlight w:val="none"/>
        </w:rPr>
        <w:t>万元，主要用于：主要用于：</w:t>
      </w:r>
      <w:r>
        <w:rPr>
          <w:rFonts w:hint="eastAsia" w:ascii="仿宋_GB2312" w:hAnsi="黑体" w:eastAsia="仿宋_GB2312"/>
          <w:color w:val="auto"/>
          <w:sz w:val="32"/>
          <w:szCs w:val="32"/>
          <w:highlight w:val="none"/>
          <w:lang w:eastAsia="zh-CN"/>
        </w:rPr>
        <w:t>建设工程质量安全监督站</w:t>
      </w:r>
      <w:r>
        <w:rPr>
          <w:rFonts w:hint="eastAsia" w:ascii="仿宋_GB2312" w:hAnsi="黑体" w:eastAsia="仿宋_GB2312"/>
          <w:color w:val="auto"/>
          <w:sz w:val="32"/>
          <w:szCs w:val="32"/>
          <w:highlight w:val="none"/>
        </w:rPr>
        <w:t>集中缴纳其他社会保险费支出</w:t>
      </w:r>
      <w:r>
        <w:rPr>
          <w:rFonts w:hint="eastAsia" w:ascii="仿宋_GB2312" w:hAnsi="黑体" w:eastAsia="仿宋_GB2312"/>
          <w:color w:val="auto"/>
          <w:sz w:val="32"/>
          <w:szCs w:val="32"/>
          <w:highlight w:val="none"/>
          <w:lang w:eastAsia="zh-CN"/>
        </w:rPr>
        <w:t>。</w:t>
      </w:r>
    </w:p>
    <w:p w14:paraId="06DB5E38">
      <w:pPr>
        <w:ind w:firstLine="320" w:firstLineChars="100"/>
        <w:jc w:val="both"/>
        <w:rPr>
          <w:rFonts w:hint="default"/>
          <w:lang w:val="en-US" w:eastAsia="zh-CN"/>
        </w:rPr>
      </w:pPr>
      <w:r>
        <w:rPr>
          <w:rFonts w:hint="eastAsia" w:ascii="仿宋_GB2312" w:hAnsi="黑体" w:eastAsia="仿宋_GB2312"/>
          <w:color w:val="auto"/>
          <w:sz w:val="32"/>
          <w:szCs w:val="32"/>
          <w:highlight w:val="none"/>
          <w:lang w:val="en-US" w:eastAsia="zh-CN"/>
        </w:rPr>
        <w:t xml:space="preserve">   7.</w:t>
      </w:r>
      <w:r>
        <w:rPr>
          <w:rFonts w:hint="eastAsia" w:ascii="仿宋_GB2312" w:hAnsi="黑体" w:eastAsia="仿宋_GB2312" w:cstheme="minorBidi"/>
          <w:b w:val="0"/>
          <w:bCs w:val="0"/>
          <w:color w:val="auto"/>
          <w:kern w:val="2"/>
          <w:sz w:val="32"/>
          <w:szCs w:val="32"/>
          <w:highlight w:val="none"/>
          <w:lang w:val="en-US" w:eastAsia="zh-CN" w:bidi="ar-SA"/>
        </w:rPr>
        <w:t>城乡社区（212）管理事务（01）行政运行（01）:2025年预算数130.94万元，主要用于：局机关人员正常运转的基本支出，包括基本工资、津贴补贴等人员经费以及办公费、印刷费、邮电费等日常公用经费。</w:t>
      </w:r>
    </w:p>
    <w:p w14:paraId="300AE82D">
      <w:pPr>
        <w:ind w:firstLine="64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8.城乡社区（212）城乡社区管理事务（01）其他城乡社区管理事务支出（99）:2026年预算数为327.97万元，主要用于：其他用于城乡社区管理事务方面的项目支出。</w:t>
      </w:r>
    </w:p>
    <w:p w14:paraId="2F46DFF3">
      <w:pPr>
        <w:ind w:firstLine="42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color w:val="auto"/>
          <w:lang w:val="en-US" w:eastAsia="zh-CN"/>
        </w:rPr>
        <w:t xml:space="preserve">  </w:t>
      </w:r>
      <w:r>
        <w:rPr>
          <w:rFonts w:hint="eastAsia" w:ascii="仿宋_GB2312" w:hAnsi="黑体" w:eastAsia="仿宋_GB2312" w:cstheme="minorBidi"/>
          <w:b w:val="0"/>
          <w:bCs w:val="0"/>
          <w:color w:val="auto"/>
          <w:kern w:val="2"/>
          <w:sz w:val="32"/>
          <w:szCs w:val="32"/>
          <w:highlight w:val="none"/>
          <w:lang w:val="en-US" w:eastAsia="zh-CN" w:bidi="ar-SA"/>
        </w:rPr>
        <w:t>9.城乡社区（212）城乡社区公共设施（03）其他城乡社区支出（99）2026年预算数为70万元，主要用于：其他用于城乡社区方面的项目支出。</w:t>
      </w:r>
    </w:p>
    <w:p w14:paraId="7349D0F6">
      <w:pPr>
        <w:pStyle w:val="2"/>
        <w:ind w:left="0" w:leftChars="0" w:firstLine="640" w:firstLineChars="2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10.城乡社区（212）农业农村生态环境支出（08）其他国有土地收益基金支出（99）2026年预算数为103.65万元</w:t>
      </w:r>
      <w:r>
        <w:rPr>
          <w:rFonts w:hint="eastAsia" w:ascii="仿宋_GB2312" w:hAnsi="黑体" w:eastAsia="仿宋_GB2312" w:cstheme="minorBidi"/>
          <w:b w:val="0"/>
          <w:bCs w:val="0"/>
          <w:color w:val="0000FF"/>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主要用于：不包括市县级政府当年按规定用于土地出让收入向中央和省级政府缴纳的新增建设用地土地有偿使用方面的支出。</w:t>
      </w:r>
    </w:p>
    <w:p w14:paraId="6B88A93B">
      <w:pPr>
        <w:pStyle w:val="2"/>
        <w:ind w:left="0" w:leftChars="0" w:firstLine="320" w:firstLineChars="1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 xml:space="preserve">  11.城乡社区（212）污水处理费安排的支出（14）污水处理设施建设和运营（01）2026年预算数为300万元。主要用于：污水处理方面的运行经费支出。</w:t>
      </w:r>
    </w:p>
    <w:p w14:paraId="13770169">
      <w:pPr>
        <w:ind w:firstLine="640" w:firstLineChars="200"/>
        <w:jc w:val="both"/>
        <w:rPr>
          <w:rFonts w:hint="default"/>
          <w:lang w:val="en-US" w:eastAsia="zh-CN"/>
        </w:rPr>
      </w:pPr>
      <w:r>
        <w:rPr>
          <w:rFonts w:hint="eastAsia" w:ascii="仿宋_GB2312" w:hAnsi="黑体" w:eastAsia="仿宋_GB2312"/>
          <w:color w:val="auto"/>
          <w:sz w:val="32"/>
          <w:szCs w:val="32"/>
          <w:highlight w:val="none"/>
          <w:lang w:val="en-US" w:eastAsia="zh-CN"/>
        </w:rPr>
        <w:t>12</w:t>
      </w:r>
      <w:r>
        <w:rPr>
          <w:rFonts w:hint="eastAsia" w:ascii="仿宋_GB2312" w:hAnsi="黑体" w:eastAsia="仿宋_GB2312"/>
          <w:color w:val="auto"/>
          <w:sz w:val="32"/>
          <w:szCs w:val="32"/>
          <w:highlight w:val="none"/>
        </w:rPr>
        <w:t>.住房保障（</w:t>
      </w:r>
      <w:r>
        <w:rPr>
          <w:rFonts w:hint="eastAsia" w:ascii="仿宋_GB2312" w:hAnsi="黑体" w:eastAsia="仿宋_GB2312"/>
          <w:color w:val="auto"/>
          <w:sz w:val="32"/>
          <w:szCs w:val="32"/>
          <w:highlight w:val="none"/>
          <w:lang w:val="en-US" w:eastAsia="zh-CN"/>
        </w:rPr>
        <w:t>221</w:t>
      </w:r>
      <w:r>
        <w:rPr>
          <w:rFonts w:hint="eastAsia" w:ascii="仿宋_GB2312" w:hAnsi="黑体" w:eastAsia="仿宋_GB2312"/>
          <w:color w:val="auto"/>
          <w:sz w:val="32"/>
          <w:szCs w:val="32"/>
          <w:highlight w:val="none"/>
        </w:rPr>
        <w:t>）住房改革支出（</w:t>
      </w:r>
      <w:r>
        <w:rPr>
          <w:rFonts w:hint="eastAsia" w:ascii="仿宋_GB2312" w:hAnsi="黑体" w:eastAsia="仿宋_GB2312"/>
          <w:color w:val="auto"/>
          <w:sz w:val="32"/>
          <w:szCs w:val="32"/>
          <w:highlight w:val="none"/>
          <w:lang w:val="en-US" w:eastAsia="zh-CN"/>
        </w:rPr>
        <w:t>02</w:t>
      </w:r>
      <w:r>
        <w:rPr>
          <w:rFonts w:hint="eastAsia" w:ascii="仿宋_GB2312" w:hAnsi="黑体" w:eastAsia="仿宋_GB2312"/>
          <w:color w:val="auto"/>
          <w:sz w:val="32"/>
          <w:szCs w:val="32"/>
          <w:highlight w:val="none"/>
        </w:rPr>
        <w:t>）住房公积金（</w:t>
      </w:r>
      <w:r>
        <w:rPr>
          <w:rFonts w:hint="eastAsia" w:ascii="仿宋_GB2312" w:hAnsi="黑体" w:eastAsia="仿宋_GB2312"/>
          <w:color w:val="auto"/>
          <w:sz w:val="32"/>
          <w:szCs w:val="32"/>
          <w:highlight w:val="none"/>
          <w:lang w:val="en-US" w:eastAsia="zh-CN"/>
        </w:rPr>
        <w:t>01</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46.4</w:t>
      </w:r>
      <w:r>
        <w:rPr>
          <w:rFonts w:hint="eastAsia" w:ascii="仿宋_GB2312" w:hAnsi="黑体" w:eastAsia="仿宋_GB2312"/>
          <w:color w:val="auto"/>
          <w:sz w:val="32"/>
          <w:szCs w:val="32"/>
          <w:highlight w:val="none"/>
        </w:rPr>
        <w:t>万元，主要用于：部门按规定为职工缴纳的住房公积金支出。</w:t>
      </w:r>
      <w:r>
        <w:rPr>
          <w:rFonts w:hint="eastAsia" w:ascii="仿宋_GB2312" w:hAnsi="黑体" w:eastAsia="仿宋_GB2312" w:cstheme="minorBidi"/>
          <w:b w:val="0"/>
          <w:bCs w:val="0"/>
          <w:color w:val="auto"/>
          <w:kern w:val="2"/>
          <w:sz w:val="32"/>
          <w:szCs w:val="32"/>
          <w:highlight w:val="none"/>
          <w:lang w:val="en-US" w:eastAsia="zh-CN" w:bidi="ar-SA"/>
        </w:rPr>
        <w:t xml:space="preserve">   </w:t>
      </w:r>
    </w:p>
    <w:p w14:paraId="734A34AC">
      <w:pPr>
        <w:pStyle w:val="2"/>
        <w:ind w:left="0" w:leftChars="0" w:firstLine="0" w:firstLineChars="0"/>
        <w:rPr>
          <w:rFonts w:hint="eastAsia" w:eastAsia="仿宋_GB2312"/>
          <w:lang w:val="en-US" w:eastAsia="zh-CN"/>
        </w:rPr>
      </w:pPr>
    </w:p>
    <w:p w14:paraId="637DB21A">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四、一般公共预算基本支出情况说明</w:t>
      </w:r>
    </w:p>
    <w:p w14:paraId="4637281E">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年一般公共预算基本支出</w:t>
      </w:r>
      <w:r>
        <w:rPr>
          <w:rFonts w:hint="eastAsia" w:ascii="仿宋_GB2312" w:hAnsi="黑体" w:eastAsia="仿宋_GB2312"/>
          <w:color w:val="auto"/>
          <w:sz w:val="32"/>
          <w:szCs w:val="32"/>
          <w:highlight w:val="none"/>
          <w:lang w:val="en-US" w:eastAsia="zh-CN"/>
        </w:rPr>
        <w:t>578.3</w:t>
      </w:r>
      <w:r>
        <w:rPr>
          <w:rFonts w:hint="eastAsia" w:ascii="仿宋_GB2312" w:hAnsi="黑体" w:eastAsia="仿宋_GB2312"/>
          <w:color w:val="auto"/>
          <w:sz w:val="32"/>
          <w:szCs w:val="32"/>
          <w:highlight w:val="none"/>
        </w:rPr>
        <w:t>万元，其中：</w:t>
      </w:r>
    </w:p>
    <w:p w14:paraId="38FDFE2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人员经费</w:t>
      </w:r>
      <w:r>
        <w:rPr>
          <w:rFonts w:hint="eastAsia" w:ascii="仿宋_GB2312" w:hAnsi="黑体" w:eastAsia="仿宋_GB2312"/>
          <w:color w:val="auto"/>
          <w:sz w:val="32"/>
          <w:szCs w:val="32"/>
          <w:highlight w:val="none"/>
          <w:lang w:val="en-US" w:eastAsia="zh-CN"/>
        </w:rPr>
        <w:t>545.64</w:t>
      </w:r>
      <w:r>
        <w:rPr>
          <w:rFonts w:hint="eastAsia" w:ascii="仿宋_GB2312" w:hAnsi="黑体" w:eastAsia="仿宋_GB2312"/>
          <w:color w:val="auto"/>
          <w:sz w:val="32"/>
          <w:szCs w:val="32"/>
          <w:highlight w:val="none"/>
        </w:rPr>
        <w:t>万元，主要包括：基本工资、津贴补贴、奖金、社会保险缴费、离休费、住房公积金、福利费、工会经费、其他交通费用等支出。</w:t>
      </w:r>
    </w:p>
    <w:p w14:paraId="61450FBD">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w:t>
      </w:r>
      <w:r>
        <w:rPr>
          <w:rFonts w:hint="eastAsia" w:ascii="仿宋_GB2312" w:hAnsi="黑体" w:eastAsia="仿宋_GB2312"/>
          <w:color w:val="auto"/>
          <w:sz w:val="32"/>
          <w:szCs w:val="32"/>
          <w:highlight w:val="none"/>
          <w:lang w:val="en-US" w:eastAsia="zh-CN"/>
        </w:rPr>
        <w:t>32.66</w:t>
      </w:r>
      <w:r>
        <w:rPr>
          <w:rFonts w:hint="eastAsia" w:ascii="仿宋_GB2312" w:hAnsi="黑体" w:eastAsia="仿宋_GB2312"/>
          <w:color w:val="auto"/>
          <w:sz w:val="32"/>
          <w:szCs w:val="32"/>
          <w:highlight w:val="none"/>
        </w:rPr>
        <w:t>万元，主要包活：办公费、印刷费、水费、电费、邮电费、物业管理费、差旅费、会议费、培训费、公务接待费、劳务费、公务用车运行维护费等支出。</w:t>
      </w:r>
    </w:p>
    <w:p w14:paraId="1B1730D3">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五、“三公”经费财政拨款预算安排情况说明</w:t>
      </w:r>
    </w:p>
    <w:p w14:paraId="601953B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年“三公”经费财政拨款预算数</w:t>
      </w:r>
      <w:r>
        <w:rPr>
          <w:rFonts w:hint="eastAsia" w:ascii="仿宋_GB2312" w:hAnsi="黑体" w:eastAsia="仿宋_GB2312"/>
          <w:color w:val="auto"/>
          <w:sz w:val="32"/>
          <w:szCs w:val="32"/>
          <w:highlight w:val="none"/>
          <w:lang w:val="en-US" w:eastAsia="zh-CN"/>
        </w:rPr>
        <w:t>5.61</w:t>
      </w:r>
      <w:r>
        <w:rPr>
          <w:rFonts w:hint="eastAsia" w:ascii="仿宋_GB2312" w:hAnsi="黑体" w:eastAsia="仿宋_GB2312"/>
          <w:color w:val="auto"/>
          <w:sz w:val="32"/>
          <w:szCs w:val="32"/>
          <w:highlight w:val="none"/>
        </w:rPr>
        <w:t>万元，其中：公务接待费</w:t>
      </w:r>
      <w:r>
        <w:rPr>
          <w:rFonts w:hint="eastAsia" w:ascii="仿宋_GB2312" w:hAnsi="黑体" w:eastAsia="仿宋_GB2312"/>
          <w:color w:val="auto"/>
          <w:sz w:val="32"/>
          <w:szCs w:val="32"/>
          <w:highlight w:val="none"/>
          <w:lang w:val="en-US" w:eastAsia="zh-CN"/>
        </w:rPr>
        <w:t>0.61</w:t>
      </w:r>
      <w:r>
        <w:rPr>
          <w:rFonts w:hint="eastAsia" w:ascii="仿宋_GB2312" w:hAnsi="黑体" w:eastAsia="仿宋_GB2312"/>
          <w:color w:val="auto"/>
          <w:sz w:val="32"/>
          <w:szCs w:val="32"/>
          <w:highlight w:val="none"/>
        </w:rPr>
        <w:t>万元，公务用车购置及运行维护费</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万元,因公出国（境）经费</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14:paraId="5F4DFD3E">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（一）公务接待费与（较</w:t>
      </w:r>
      <w:r>
        <w:rPr>
          <w:rFonts w:ascii="楷体" w:hAnsi="楷体" w:eastAsia="楷体"/>
          <w:b/>
          <w:color w:val="auto"/>
          <w:sz w:val="32"/>
          <w:szCs w:val="32"/>
          <w:highlight w:val="none"/>
        </w:rPr>
        <w:t>）</w:t>
      </w:r>
      <w:r>
        <w:rPr>
          <w:rFonts w:hint="eastAsia" w:ascii="楷体" w:hAnsi="楷体" w:eastAsia="楷体"/>
          <w:b/>
          <w:color w:val="auto"/>
          <w:sz w:val="32"/>
          <w:szCs w:val="32"/>
          <w:highlight w:val="none"/>
        </w:rPr>
        <w:t>202</w:t>
      </w:r>
      <w:r>
        <w:rPr>
          <w:rFonts w:hint="eastAsia" w:ascii="楷体" w:hAnsi="楷体" w:eastAsia="楷体"/>
          <w:b/>
          <w:color w:val="auto"/>
          <w:sz w:val="32"/>
          <w:szCs w:val="32"/>
          <w:highlight w:val="none"/>
          <w:lang w:val="en-US" w:eastAsia="zh-CN"/>
        </w:rPr>
        <w:t>5</w:t>
      </w:r>
      <w:r>
        <w:rPr>
          <w:rFonts w:hint="eastAsia" w:ascii="楷体" w:hAnsi="楷体" w:eastAsia="楷体"/>
          <w:b/>
          <w:color w:val="auto"/>
          <w:sz w:val="32"/>
          <w:szCs w:val="32"/>
          <w:highlight w:val="none"/>
        </w:rPr>
        <w:t>年预算</w:t>
      </w:r>
      <w:r>
        <w:rPr>
          <w:rFonts w:ascii="楷体" w:hAnsi="楷体" w:eastAsia="楷体"/>
          <w:b/>
          <w:color w:val="auto"/>
          <w:sz w:val="32"/>
          <w:szCs w:val="32"/>
          <w:highlight w:val="none"/>
        </w:rPr>
        <w:t>减少</w:t>
      </w:r>
      <w:r>
        <w:rPr>
          <w:rFonts w:hint="eastAsia" w:ascii="楷体" w:hAnsi="楷体" w:eastAsia="楷体"/>
          <w:b/>
          <w:color w:val="auto"/>
          <w:sz w:val="32"/>
          <w:szCs w:val="32"/>
          <w:highlight w:val="none"/>
        </w:rPr>
        <w:t>。</w:t>
      </w:r>
    </w:p>
    <w:p w14:paraId="2436E800">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年公务接待费计划用于执行</w:t>
      </w:r>
      <w:r>
        <w:rPr>
          <w:rFonts w:hint="eastAsia" w:ascii="仿宋_GB2312" w:hAnsi="黑体" w:eastAsia="仿宋_GB2312"/>
          <w:color w:val="auto"/>
          <w:sz w:val="32"/>
          <w:szCs w:val="32"/>
          <w:highlight w:val="none"/>
          <w:lang w:eastAsia="zh-CN"/>
        </w:rPr>
        <w:t>本单位接待上级督导检查以及涉及本单位开展工作的相关接待</w:t>
      </w:r>
      <w:r>
        <w:rPr>
          <w:rFonts w:hint="eastAsia" w:ascii="仿宋_GB2312" w:hAnsi="黑体" w:eastAsia="仿宋_GB2312"/>
          <w:color w:val="auto"/>
          <w:sz w:val="32"/>
          <w:szCs w:val="32"/>
          <w:highlight w:val="none"/>
        </w:rPr>
        <w:t>等。</w:t>
      </w:r>
    </w:p>
    <w:p w14:paraId="07008E01">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（二）公务用车购置及运行维护费与（较）202</w:t>
      </w:r>
      <w:r>
        <w:rPr>
          <w:rFonts w:hint="eastAsia" w:ascii="楷体" w:hAnsi="楷体" w:eastAsia="楷体"/>
          <w:b/>
          <w:color w:val="auto"/>
          <w:sz w:val="32"/>
          <w:szCs w:val="32"/>
          <w:highlight w:val="none"/>
          <w:lang w:val="en-US" w:eastAsia="zh-CN"/>
        </w:rPr>
        <w:t>5</w:t>
      </w:r>
      <w:r>
        <w:rPr>
          <w:rFonts w:hint="eastAsia" w:ascii="楷体" w:hAnsi="楷体" w:eastAsia="楷体"/>
          <w:b/>
          <w:color w:val="auto"/>
          <w:sz w:val="32"/>
          <w:szCs w:val="32"/>
          <w:highlight w:val="none"/>
        </w:rPr>
        <w:t>年预算</w:t>
      </w:r>
      <w:r>
        <w:rPr>
          <w:rFonts w:ascii="楷体" w:hAnsi="楷体" w:eastAsia="楷体"/>
          <w:b/>
          <w:color w:val="auto"/>
          <w:sz w:val="32"/>
          <w:szCs w:val="32"/>
          <w:highlight w:val="none"/>
        </w:rPr>
        <w:t>减少</w:t>
      </w:r>
      <w:r>
        <w:rPr>
          <w:rFonts w:hint="eastAsia" w:ascii="楷体" w:hAnsi="楷体" w:eastAsia="楷体"/>
          <w:b/>
          <w:color w:val="auto"/>
          <w:sz w:val="32"/>
          <w:szCs w:val="32"/>
          <w:highlight w:val="none"/>
        </w:rPr>
        <w:t>。</w:t>
      </w:r>
    </w:p>
    <w:p w14:paraId="1FE03C13">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单位现有公务用车</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辆，其中：轿车</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辆，旅行车（含商务车）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辆，越野车</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辆。</w:t>
      </w:r>
    </w:p>
    <w:p w14:paraId="7D3EBBD6">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年安排公务用车运行维护费</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万元，用于</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辆公务用车燃油、过路（桥）、维修、保险等方面支出，主要保障机关及下属单位</w:t>
      </w:r>
      <w:r>
        <w:rPr>
          <w:rFonts w:hint="eastAsia" w:ascii="仿宋_GB2312" w:hAnsi="黑体" w:eastAsia="仿宋_GB2312"/>
          <w:color w:val="auto"/>
          <w:sz w:val="32"/>
          <w:szCs w:val="32"/>
          <w:highlight w:val="none"/>
          <w:lang w:eastAsia="zh-CN"/>
        </w:rPr>
        <w:t>公务用车</w:t>
      </w:r>
      <w:r>
        <w:rPr>
          <w:rFonts w:hint="eastAsia" w:ascii="仿宋_GB2312" w:hAnsi="黑体" w:eastAsia="仿宋_GB2312"/>
          <w:color w:val="auto"/>
          <w:sz w:val="32"/>
          <w:szCs w:val="32"/>
          <w:highlight w:val="none"/>
        </w:rPr>
        <w:t>等工作开展。</w:t>
      </w:r>
    </w:p>
    <w:p w14:paraId="6135B61B">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六、政府性基金预算支出情况说明</w:t>
      </w:r>
    </w:p>
    <w:p w14:paraId="522F5590">
      <w:pPr>
        <w:ind w:firstLine="64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年使用政府性基金预算拨款安排的支出</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计划用于</w:t>
      </w:r>
      <w:r>
        <w:rPr>
          <w:rFonts w:hint="eastAsia" w:ascii="仿宋_GB2312" w:hAnsi="黑体" w:eastAsia="仿宋_GB2312" w:cstheme="minorBidi"/>
          <w:b w:val="0"/>
          <w:bCs w:val="0"/>
          <w:color w:val="auto"/>
          <w:kern w:val="2"/>
          <w:sz w:val="32"/>
          <w:szCs w:val="32"/>
          <w:highlight w:val="none"/>
          <w:lang w:val="en-US" w:eastAsia="zh-CN" w:bidi="ar-SA"/>
        </w:rPr>
        <w:t>污水处理方面的运行经费支出。</w:t>
      </w:r>
    </w:p>
    <w:p w14:paraId="359919F9">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七、国有资本经营预算情况说明</w:t>
      </w:r>
    </w:p>
    <w:p w14:paraId="625FA44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年使用政府性基金预算拨款安排的支出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万元，没有使用国有资本经营预算拨款安排的支出。</w:t>
      </w:r>
    </w:p>
    <w:p w14:paraId="2CD93AB0">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八、其他重要事项的情况说明</w:t>
      </w:r>
    </w:p>
    <w:p w14:paraId="7643953B">
      <w:pPr>
        <w:ind w:firstLine="643" w:firstLineChars="200"/>
        <w:jc w:val="both"/>
        <w:rPr>
          <w:rFonts w:ascii="楷体" w:hAnsi="楷体" w:eastAsia="楷体"/>
          <w:b/>
          <w:color w:val="auto"/>
          <w:sz w:val="32"/>
          <w:szCs w:val="32"/>
          <w:highlight w:val="none"/>
        </w:rPr>
      </w:pP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一</w:t>
      </w: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机关运行经费情况</w:t>
      </w:r>
    </w:p>
    <w:p w14:paraId="162E1BE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下属</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机构的机关运行经费财政拨款预算为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万元，与（较）202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年预算持平。</w:t>
      </w:r>
    </w:p>
    <w:p w14:paraId="1B3C2795">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w:t>
      </w: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政府采购情况</w:t>
      </w:r>
    </w:p>
    <w:p w14:paraId="22188B8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w:t>
      </w:r>
      <w:r>
        <w:rPr>
          <w:rFonts w:ascii="仿宋_GB2312" w:hAnsi="黑体" w:eastAsia="仿宋_GB2312"/>
          <w:color w:val="auto"/>
          <w:sz w:val="32"/>
          <w:szCs w:val="32"/>
          <w:highlight w:val="none"/>
        </w:rPr>
        <w:t>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安排政府采购预算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万元；政府采购工程预算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万元；政府采购服务预算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14:paraId="61BBE53A">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（三）国有资产占有使用情况</w:t>
      </w:r>
    </w:p>
    <w:p w14:paraId="0E4039D3">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截至202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年底，</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所属各预算单位共有车辆</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辆，其中，</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领导干部用车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辆、定向保障用车</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辆、执法执勤用车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辆。单位价值200万元以上大型设备</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台</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套</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w:t>
      </w:r>
    </w:p>
    <w:p w14:paraId="5A5141AE">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年部门预算</w:t>
      </w:r>
      <w:r>
        <w:rPr>
          <w:rFonts w:hint="eastAsia" w:ascii="仿宋_GB2312" w:hAnsi="黑体" w:eastAsia="仿宋_GB2312"/>
          <w:color w:val="auto"/>
          <w:sz w:val="32"/>
          <w:szCs w:val="32"/>
          <w:highlight w:val="none"/>
          <w:lang w:eastAsia="zh-CN"/>
        </w:rPr>
        <w:t>没有</w:t>
      </w:r>
      <w:r>
        <w:rPr>
          <w:rFonts w:hint="eastAsia" w:ascii="仿宋_GB2312" w:hAnsi="黑体" w:eastAsia="仿宋_GB2312"/>
          <w:color w:val="auto"/>
          <w:sz w:val="32"/>
          <w:szCs w:val="32"/>
          <w:highlight w:val="none"/>
        </w:rPr>
        <w:t>安排购置车辆及单位价值200万元以上大型设备。</w:t>
      </w:r>
    </w:p>
    <w:p w14:paraId="2F1A718F">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（四）预算绩效情况</w:t>
      </w:r>
    </w:p>
    <w:p w14:paraId="7902BBCD">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开展绩效目标管理的项目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万元。其中：人员类项目</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177.06</w:t>
      </w:r>
      <w:r>
        <w:rPr>
          <w:rFonts w:hint="eastAsia" w:ascii="仿宋_GB2312" w:hAnsi="黑体" w:eastAsia="仿宋_GB2312"/>
          <w:color w:val="auto"/>
          <w:sz w:val="32"/>
          <w:szCs w:val="32"/>
          <w:highlight w:val="none"/>
        </w:rPr>
        <w:t>万元；运转类项目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万元；特定目标类项目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元。</w:t>
      </w:r>
    </w:p>
    <w:p w14:paraId="1B58F1A5">
      <w:pPr>
        <w:rPr>
          <w:rFonts w:ascii="方正小标宋简体" w:hAnsi="黑体" w:eastAsia="方正小标宋简体"/>
          <w:color w:val="auto"/>
          <w:sz w:val="44"/>
          <w:szCs w:val="44"/>
          <w:highlight w:val="none"/>
        </w:rPr>
      </w:pPr>
      <w:r>
        <w:rPr>
          <w:rFonts w:hint="eastAsia" w:ascii="仿宋_GB2312" w:hAnsi="黑体" w:eastAsia="仿宋_GB2312"/>
          <w:color w:val="auto"/>
          <w:sz w:val="32"/>
          <w:szCs w:val="32"/>
          <w:highlight w:val="none"/>
        </w:rPr>
        <w:br w:type="page"/>
      </w:r>
    </w:p>
    <w:p w14:paraId="7501AF54">
      <w:pPr>
        <w:jc w:val="both"/>
        <w:rPr>
          <w:rFonts w:ascii="方正小标宋简体" w:hAnsi="黑体" w:eastAsia="方正小标宋简体"/>
          <w:sz w:val="44"/>
          <w:szCs w:val="44"/>
          <w:highlight w:val="none"/>
        </w:rPr>
      </w:pPr>
    </w:p>
    <w:p w14:paraId="326E5F0C">
      <w:pPr>
        <w:ind w:firstLine="1320" w:firstLineChars="300"/>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6B3F7D7D">
      <w:pPr>
        <w:rPr>
          <w:rFonts w:asciiTheme="minorHAnsi" w:hAnsiTheme="minorHAnsi" w:eastAsiaTheme="minorEastAsia" w:cstheme="minorBidi"/>
          <w:kern w:val="2"/>
          <w:sz w:val="21"/>
          <w:szCs w:val="22"/>
          <w:lang w:val="en-US" w:eastAsia="zh-CN" w:bidi="ar-SA"/>
        </w:rPr>
      </w:pPr>
    </w:p>
    <w:p w14:paraId="0282A18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6E09B792">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24E2C51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14:paraId="75E3528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：指部门实施养老保险制度由单位缴纳的养老保险的支出。</w:t>
      </w:r>
    </w:p>
    <w:p w14:paraId="5733ED70">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）：指部门实施养老保险制度由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14:paraId="1849E383">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）行政率业单位医疗（</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及参公管理事业单位用于单位应缴纳基本医疗保险支出。</w:t>
      </w:r>
    </w:p>
    <w:p w14:paraId="2BC0C56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用于单位应缴纳基本医疗保险支出。</w:t>
      </w:r>
    </w:p>
    <w:p w14:paraId="4FD89E9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）公务员医疗补助（</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及参公管理事业单位用于集中缴纳公务员医疗补助支出。</w:t>
      </w:r>
    </w:p>
    <w:p w14:paraId="018E635C">
      <w:pPr>
        <w:ind w:firstLine="640" w:firstLineChars="200"/>
        <w:jc w:val="both"/>
        <w:rPr>
          <w:rFonts w:hint="eastAsia"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221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02</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）：指按照《住房公积金管理条例》的规定，由单位及其在职职工缴存的长期住房储金。</w:t>
      </w:r>
    </w:p>
    <w:p w14:paraId="71382D03">
      <w:pPr>
        <w:keepNext w:val="0"/>
        <w:keepLines w:val="0"/>
        <w:pageBreakBefore w:val="0"/>
        <w:kinsoku/>
        <w:wordWrap/>
        <w:overflowPunct/>
        <w:topLinePunct w:val="0"/>
        <w:autoSpaceDE/>
        <w:autoSpaceDN/>
        <w:bidi w:val="0"/>
        <w:spacing w:line="580" w:lineRule="exact"/>
        <w:ind w:right="0" w:rightChars="0" w:firstLine="636"/>
        <w:jc w:val="both"/>
        <w:textAlignment w:val="auto"/>
        <w:outlineLvl w:val="9"/>
        <w:rPr>
          <w:rFonts w:hint="eastAsia" w:ascii="仿宋_GB2312" w:eastAsia="仿宋_GB2312"/>
          <w:color w:val="auto"/>
          <w:sz w:val="32"/>
          <w:szCs w:val="32"/>
          <w:shd w:val="clear" w:color="auto" w:fill="FFFFFF"/>
        </w:rPr>
      </w:pP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九</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城乡社区支出</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212</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管理事务（01）行政运行（01）：</w:t>
      </w:r>
      <w:r>
        <w:rPr>
          <w:rFonts w:hint="eastAsia" w:ascii="仿宋_GB2312" w:eastAsia="仿宋_GB2312"/>
          <w:color w:val="auto"/>
          <w:sz w:val="32"/>
          <w:szCs w:val="32"/>
          <w:shd w:val="clear" w:color="auto" w:fill="FFFFFF"/>
        </w:rPr>
        <w:t>指行政单位（包括实行公务员管理的事业单位）的基本支出。</w:t>
      </w:r>
    </w:p>
    <w:p w14:paraId="4677AB3F">
      <w:pPr>
        <w:pStyle w:val="2"/>
        <w:rPr>
          <w:rFonts w:hint="eastAsia"/>
        </w:rPr>
      </w:pPr>
    </w:p>
    <w:p w14:paraId="4229F8DD">
      <w:pPr>
        <w:keepNext w:val="0"/>
        <w:keepLines w:val="0"/>
        <w:pageBreakBefore w:val="0"/>
        <w:kinsoku/>
        <w:wordWrap/>
        <w:overflowPunct/>
        <w:topLinePunct w:val="0"/>
        <w:autoSpaceDE/>
        <w:autoSpaceDN/>
        <w:bidi w:val="0"/>
        <w:spacing w:line="580" w:lineRule="exact"/>
        <w:ind w:right="0" w:rightChars="0" w:firstLine="636"/>
        <w:jc w:val="both"/>
        <w:textAlignment w:val="auto"/>
        <w:outlineLvl w:val="9"/>
        <w:rPr>
          <w:rFonts w:hint="default" w:ascii="仿宋_GB2312" w:eastAsia="仿宋_GB2312"/>
          <w:color w:val="auto"/>
          <w:sz w:val="32"/>
          <w:szCs w:val="32"/>
          <w:shd w:val="clear" w:color="auto" w:fill="FFFFFF"/>
          <w:lang w:val="en-US" w:eastAsia="zh-CN"/>
        </w:rPr>
      </w:pP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十</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城乡社区支出</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212</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管理事务（01）行政运行（99）：反映除上述项目以外其他用于城乡社区管理事务方面的支出。</w:t>
      </w:r>
      <w:r>
        <w:rPr>
          <w:rFonts w:hint="eastAsia" w:ascii="仿宋_GB2312" w:eastAsia="仿宋_GB2312"/>
          <w:color w:val="auto"/>
          <w:sz w:val="32"/>
          <w:szCs w:val="32"/>
          <w:shd w:val="clear" w:color="auto" w:fill="FFFFFF"/>
          <w:lang w:val="en-US" w:eastAsia="zh-CN"/>
        </w:rPr>
        <w:t xml:space="preserve">                                                                                                                                                                                                                                                                                                                                                                                                                                                                                                                 </w:t>
      </w:r>
    </w:p>
    <w:p w14:paraId="55C7F74A">
      <w:pPr>
        <w:ind w:firstLine="42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lang w:val="en-US" w:eastAsia="zh-CN"/>
        </w:rPr>
        <w:t xml:space="preserve"> </w:t>
      </w:r>
      <w:r>
        <w:rPr>
          <w:rFonts w:hint="eastAsia" w:ascii="仿宋_GB2312" w:hAnsi="黑体" w:eastAsia="仿宋_GB2312" w:cstheme="minorBidi"/>
          <w:b w:val="0"/>
          <w:bCs w:val="0"/>
          <w:color w:val="auto"/>
          <w:kern w:val="2"/>
          <w:sz w:val="32"/>
          <w:szCs w:val="32"/>
          <w:highlight w:val="none"/>
          <w:lang w:val="en-US" w:eastAsia="zh-CN" w:bidi="ar-SA"/>
        </w:rPr>
        <w:t>（十一）.城乡社区（212）城乡社区公共设施（03）其他城乡社区支出（99）：反映除上述项目以外其他用于城乡社区方面的支出。</w:t>
      </w:r>
    </w:p>
    <w:p w14:paraId="20BDB05F">
      <w:pPr>
        <w:pStyle w:val="2"/>
        <w:ind w:left="0" w:leftChars="0" w:firstLine="640" w:firstLineChars="2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十二）.城乡社区（212）农业农村生态环境支出（08）其他国有土地收益基金支出（99）：反映土地出让其他方面的支出。不包括市县级政府当年按规定用于土地出让收入向中央和省级政府缴纳的新增建设用地土地有偿使用费的支出。</w:t>
      </w:r>
    </w:p>
    <w:p w14:paraId="487FC1CB">
      <w:pPr>
        <w:pStyle w:val="2"/>
        <w:ind w:left="0" w:leftChars="0" w:firstLine="320" w:firstLineChars="100"/>
        <w:rPr>
          <w:rFonts w:hint="eastAsia"/>
          <w:lang w:val="en-US" w:eastAsia="zh-CN"/>
        </w:rPr>
      </w:pPr>
      <w:r>
        <w:rPr>
          <w:rFonts w:hint="eastAsia" w:ascii="仿宋_GB2312" w:hAnsi="黑体" w:eastAsia="仿宋_GB2312" w:cstheme="minorBidi"/>
          <w:b w:val="0"/>
          <w:bCs w:val="0"/>
          <w:color w:val="auto"/>
          <w:kern w:val="2"/>
          <w:sz w:val="32"/>
          <w:szCs w:val="32"/>
          <w:highlight w:val="none"/>
          <w:lang w:val="en-US" w:eastAsia="zh-CN" w:bidi="ar-SA"/>
        </w:rPr>
        <w:t xml:space="preserve">  （十三）.城乡社区（212）污水处理费安排的支出（14）污水处理设施建设和运营（01）：反映用污水处理费安排的用于污水处理设施建设和运营方面的支出。</w:t>
      </w:r>
    </w:p>
    <w:p w14:paraId="2FD3216C">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）基本支出：指为保证机构正常运转，完成日常工作任务而发生的人员支出和公用支出。</w:t>
      </w:r>
    </w:p>
    <w:p w14:paraId="2416634F">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五</w:t>
      </w:r>
      <w:r>
        <w:rPr>
          <w:rFonts w:hint="eastAsia" w:ascii="仿宋_GB2312" w:hAnsi="黑体" w:eastAsia="仿宋_GB2312"/>
          <w:sz w:val="32"/>
          <w:szCs w:val="32"/>
          <w:highlight w:val="none"/>
        </w:rPr>
        <w:t>）项目支出；指在基本支出之外为完成特定行政任务和事业发展目标所发生的支出。</w:t>
      </w:r>
    </w:p>
    <w:p w14:paraId="7167CF2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27E6A29B">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92CFF">
    <w:pPr>
      <w:pStyle w:val="8"/>
      <w:framePr w:wrap="around" w:vAnchor="text" w:hAnchor="margin" w:xAlign="outside" w:y="1"/>
      <w:ind w:right="284"/>
      <w:rPr>
        <w:rStyle w:val="15"/>
        <w:rFonts w:hint="eastAsia" w:eastAsia="宋体"/>
        <w:lang w:val="en-US" w:eastAsia="zh-CN"/>
      </w:rPr>
    </w:pPr>
    <w:r>
      <w:rPr>
        <w:rStyle w:val="15"/>
        <w:sz w:val="28"/>
      </w:rPr>
      <w:t xml:space="preserve"> </w:t>
    </w:r>
    <w:r>
      <w:rPr>
        <w:rStyle w:val="15"/>
        <w:rFonts w:hint="eastAsia" w:ascii="仿宋_GB2312" w:hAnsi="仿宋_GB2312" w:eastAsia="仿宋_GB2312" w:cs="仿宋_GB2312"/>
        <w:sz w:val="28"/>
        <w:lang w:eastAsia="zh-CN"/>
      </w:rPr>
      <w:t>—</w:t>
    </w:r>
    <w:r>
      <w:rPr>
        <w:rStyle w:val="15"/>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5"/>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5"/>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318380CE">
    <w:pPr>
      <w:pStyle w:val="8"/>
      <w:ind w:right="360" w:firstLine="360"/>
    </w:pPr>
  </w:p>
  <w:p w14:paraId="511BDC8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17ED10"/>
    <w:multiLevelType w:val="singleLevel"/>
    <w:tmpl w:val="F517ED10"/>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wMjQyZjQ0YTc5YjU4NWIyM2FjYWEwZmJhMWU2ZjQ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0F7574"/>
    <w:rsid w:val="03B463CF"/>
    <w:rsid w:val="049B7E4B"/>
    <w:rsid w:val="05B53FBF"/>
    <w:rsid w:val="0961056B"/>
    <w:rsid w:val="0AE42E25"/>
    <w:rsid w:val="0B745DC1"/>
    <w:rsid w:val="0BBC7A4C"/>
    <w:rsid w:val="0F672DA8"/>
    <w:rsid w:val="101E4984"/>
    <w:rsid w:val="10BB4B83"/>
    <w:rsid w:val="113F4CD8"/>
    <w:rsid w:val="14787726"/>
    <w:rsid w:val="176D963B"/>
    <w:rsid w:val="18771FF8"/>
    <w:rsid w:val="197E58BE"/>
    <w:rsid w:val="1AFB5D50"/>
    <w:rsid w:val="1B7F798D"/>
    <w:rsid w:val="1CF83F5B"/>
    <w:rsid w:val="1CFB52CC"/>
    <w:rsid w:val="1DFF4B37"/>
    <w:rsid w:val="1EFB714F"/>
    <w:rsid w:val="22744A83"/>
    <w:rsid w:val="22FA378A"/>
    <w:rsid w:val="26EE14B3"/>
    <w:rsid w:val="27211EDA"/>
    <w:rsid w:val="27FB2020"/>
    <w:rsid w:val="2977121F"/>
    <w:rsid w:val="29C656CF"/>
    <w:rsid w:val="2A6E0274"/>
    <w:rsid w:val="2D4D55C4"/>
    <w:rsid w:val="2DEF8D6A"/>
    <w:rsid w:val="2F0E4C02"/>
    <w:rsid w:val="2FBA91A6"/>
    <w:rsid w:val="31DB6C9A"/>
    <w:rsid w:val="31FDF41B"/>
    <w:rsid w:val="3257C860"/>
    <w:rsid w:val="33F4E35E"/>
    <w:rsid w:val="33FFF3CD"/>
    <w:rsid w:val="34101DF8"/>
    <w:rsid w:val="352A11F6"/>
    <w:rsid w:val="37BB51FF"/>
    <w:rsid w:val="37FE0A31"/>
    <w:rsid w:val="39D792D9"/>
    <w:rsid w:val="3DBE345E"/>
    <w:rsid w:val="3DC200D1"/>
    <w:rsid w:val="3DCA363E"/>
    <w:rsid w:val="3DF3E130"/>
    <w:rsid w:val="3EBFD5CF"/>
    <w:rsid w:val="3EDEA73B"/>
    <w:rsid w:val="3EED8CAE"/>
    <w:rsid w:val="3F2F6BA0"/>
    <w:rsid w:val="3FB354BC"/>
    <w:rsid w:val="3FDF2925"/>
    <w:rsid w:val="3FE5F325"/>
    <w:rsid w:val="3FEF3B35"/>
    <w:rsid w:val="3FFADC58"/>
    <w:rsid w:val="412E465F"/>
    <w:rsid w:val="47FF5D5C"/>
    <w:rsid w:val="4B4B6108"/>
    <w:rsid w:val="4C3D4521"/>
    <w:rsid w:val="4DCA0626"/>
    <w:rsid w:val="504760DC"/>
    <w:rsid w:val="50D4CD38"/>
    <w:rsid w:val="52A200E3"/>
    <w:rsid w:val="53A88E30"/>
    <w:rsid w:val="53FAD87A"/>
    <w:rsid w:val="543F3109"/>
    <w:rsid w:val="54FFF2CF"/>
    <w:rsid w:val="56DBADA4"/>
    <w:rsid w:val="576C7970"/>
    <w:rsid w:val="57DE3EB4"/>
    <w:rsid w:val="589E1F00"/>
    <w:rsid w:val="591D6CF1"/>
    <w:rsid w:val="5BE6CD66"/>
    <w:rsid w:val="5DECE95B"/>
    <w:rsid w:val="5DFFBFAA"/>
    <w:rsid w:val="5EFEFE9A"/>
    <w:rsid w:val="5EFFDDE2"/>
    <w:rsid w:val="5F763C0F"/>
    <w:rsid w:val="5F7A982F"/>
    <w:rsid w:val="5FFBA1B4"/>
    <w:rsid w:val="62262A35"/>
    <w:rsid w:val="628059B6"/>
    <w:rsid w:val="628429D5"/>
    <w:rsid w:val="62EB34DB"/>
    <w:rsid w:val="62EC217A"/>
    <w:rsid w:val="63F5FE37"/>
    <w:rsid w:val="647F6670"/>
    <w:rsid w:val="64FD11BC"/>
    <w:rsid w:val="65980A56"/>
    <w:rsid w:val="697460D1"/>
    <w:rsid w:val="6A1C2E49"/>
    <w:rsid w:val="6A4FC826"/>
    <w:rsid w:val="6ADF4B0D"/>
    <w:rsid w:val="6B95175B"/>
    <w:rsid w:val="6BE79D42"/>
    <w:rsid w:val="6C7B5F76"/>
    <w:rsid w:val="6CAE79F5"/>
    <w:rsid w:val="6D235CF7"/>
    <w:rsid w:val="6DDE03AF"/>
    <w:rsid w:val="6F8A1CA7"/>
    <w:rsid w:val="6FED552A"/>
    <w:rsid w:val="6FF9921E"/>
    <w:rsid w:val="6FFC7CC5"/>
    <w:rsid w:val="6FFD7550"/>
    <w:rsid w:val="71EA1B63"/>
    <w:rsid w:val="723D7739"/>
    <w:rsid w:val="73FF4953"/>
    <w:rsid w:val="757FB40B"/>
    <w:rsid w:val="75B7E1FE"/>
    <w:rsid w:val="76E803D9"/>
    <w:rsid w:val="76FF1A62"/>
    <w:rsid w:val="779BE033"/>
    <w:rsid w:val="77D7EAC5"/>
    <w:rsid w:val="77FF6978"/>
    <w:rsid w:val="77FFA2D4"/>
    <w:rsid w:val="78CF47EC"/>
    <w:rsid w:val="78FF8B8B"/>
    <w:rsid w:val="795757FF"/>
    <w:rsid w:val="7AAF51D0"/>
    <w:rsid w:val="7B6D3540"/>
    <w:rsid w:val="7B7E99B8"/>
    <w:rsid w:val="7BD32D96"/>
    <w:rsid w:val="7BE51F1C"/>
    <w:rsid w:val="7BEB0FF4"/>
    <w:rsid w:val="7BF2448C"/>
    <w:rsid w:val="7BF3F8E7"/>
    <w:rsid w:val="7C7D07A2"/>
    <w:rsid w:val="7CFFD8D7"/>
    <w:rsid w:val="7D174C4C"/>
    <w:rsid w:val="7D2FEEDE"/>
    <w:rsid w:val="7DFDFA62"/>
    <w:rsid w:val="7E39513C"/>
    <w:rsid w:val="7E945451"/>
    <w:rsid w:val="7E974710"/>
    <w:rsid w:val="7EF34040"/>
    <w:rsid w:val="7EFC883D"/>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2"/>
    <w:qFormat/>
    <w:uiPriority w:val="99"/>
    <w:pPr>
      <w:ind w:left="420" w:leftChars="200"/>
    </w:pPr>
  </w:style>
  <w:style w:type="paragraph" w:styleId="5">
    <w:name w:val="Body Text"/>
    <w:basedOn w:val="1"/>
    <w:next w:val="1"/>
    <w:qFormat/>
    <w:uiPriority w:val="99"/>
    <w:pPr>
      <w:spacing w:beforeLines="30"/>
    </w:pPr>
    <w:rPr>
      <w:rFonts w:ascii="仿宋_GB2312" w:eastAsia="仿宋_GB2312"/>
      <w:kern w:val="0"/>
      <w:sz w:val="30"/>
    </w:rPr>
  </w:style>
  <w:style w:type="paragraph" w:styleId="6">
    <w:name w:val="Plain Text"/>
    <w:basedOn w:val="1"/>
    <w:next w:val="7"/>
    <w:qFormat/>
    <w:uiPriority w:val="0"/>
    <w:rPr>
      <w:rFonts w:ascii="宋体" w:hAnsi="Courier New"/>
    </w:rPr>
  </w:style>
  <w:style w:type="paragraph" w:customStyle="1" w:styleId="7">
    <w:name w:val="表格"/>
    <w:basedOn w:val="1"/>
    <w:qFormat/>
    <w:uiPriority w:val="0"/>
    <w:pPr>
      <w:adjustRightInd w:val="0"/>
      <w:snapToGrid w:val="0"/>
      <w:ind w:firstLine="0" w:firstLineChars="0"/>
    </w:pPr>
    <w:rPr>
      <w:rFonts w:eastAsia="仿宋_GB2312"/>
      <w:snapToGrid w:val="0"/>
      <w:kern w:val="0"/>
      <w:szCs w:val="20"/>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unhideWhenUsed/>
    <w:qFormat/>
    <w:uiPriority w:val="99"/>
    <w:pPr>
      <w:ind w:left="0" w:leftChars="200" w:hanging="200" w:hanging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4">
    <w:name w:val="Strong"/>
    <w:basedOn w:val="13"/>
    <w:qFormat/>
    <w:uiPriority w:val="0"/>
    <w:rPr>
      <w:b/>
      <w:bCs/>
    </w:rPr>
  </w:style>
  <w:style w:type="character" w:styleId="15">
    <w:name w:val="page number"/>
    <w:basedOn w:val="13"/>
    <w:qFormat/>
    <w:uiPriority w:val="0"/>
  </w:style>
  <w:style w:type="paragraph" w:styleId="16">
    <w:name w:val="List Paragraph"/>
    <w:basedOn w:val="1"/>
    <w:qFormat/>
    <w:uiPriority w:val="34"/>
    <w:pPr>
      <w:ind w:firstLine="420" w:firstLineChars="200"/>
    </w:p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font61"/>
    <w:basedOn w:val="13"/>
    <w:qFormat/>
    <w:uiPriority w:val="0"/>
    <w:rPr>
      <w:rFonts w:hint="eastAsia" w:ascii="宋体" w:hAnsi="宋体" w:eastAsia="宋体" w:cs="宋体"/>
      <w:color w:val="000000"/>
      <w:sz w:val="22"/>
      <w:szCs w:val="22"/>
      <w:u w:val="none"/>
    </w:rPr>
  </w:style>
  <w:style w:type="character" w:customStyle="1" w:styleId="20">
    <w:name w:val="font7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8635</Words>
  <Characters>9398</Characters>
  <Lines>35</Lines>
  <Paragraphs>9</Paragraphs>
  <TotalTime>2</TotalTime>
  <ScaleCrop>false</ScaleCrop>
  <LinksUpToDate>false</LinksUpToDate>
  <CharactersWithSpaces>9956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三胖</cp:lastModifiedBy>
  <dcterms:modified xsi:type="dcterms:W3CDTF">2026-03-24T09:20:25Z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56F6812F92658F74351AF763469E14C2_42</vt:lpwstr>
  </property>
  <property fmtid="{D5CDD505-2E9C-101B-9397-08002B2CF9AE}" pid="4" name="KSOTemplateDocerSaveRecord">
    <vt:lpwstr>eyJoZGlkIjoiMTQ5Mjk4NTkwNmY2NGRmOTdkNzgwNDQxZThhNmYwZGQiLCJ1c2VySWQiOiIyODUyNDgyMTUifQ==</vt:lpwstr>
  </property>
</Properties>
</file>