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6BCED">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2</w:t>
      </w:r>
    </w:p>
    <w:p w14:paraId="3B35CC64">
      <w:pPr>
        <w:jc w:val="both"/>
        <w:rPr>
          <w:rFonts w:ascii="方正小标宋简体" w:hAnsi="黑体" w:eastAsia="方正小标宋简体"/>
          <w:sz w:val="84"/>
          <w:szCs w:val="84"/>
          <w:highlight w:val="none"/>
        </w:rPr>
      </w:pPr>
    </w:p>
    <w:p w14:paraId="4F06BD15">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eastAsia="zh-CN"/>
        </w:rPr>
        <w:t>九寨沟县住房和城乡建设局</w:t>
      </w: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6</w:t>
      </w:r>
      <w:r>
        <w:rPr>
          <w:rFonts w:hint="eastAsia" w:ascii="方正小标宋简体" w:hAnsi="黑体" w:eastAsia="方正小标宋简体"/>
          <w:sz w:val="84"/>
          <w:szCs w:val="84"/>
          <w:highlight w:val="none"/>
        </w:rPr>
        <w:t>年部门预算</w:t>
      </w:r>
    </w:p>
    <w:p w14:paraId="7C9FC41B">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14:paraId="3C043E21">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1AA31ECB">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九寨沟县住房和城乡建设局</w:t>
      </w:r>
      <w:r>
        <w:rPr>
          <w:rFonts w:hint="eastAsia" w:ascii="黑体" w:hAnsi="黑体" w:eastAsia="黑体"/>
          <w:sz w:val="32"/>
          <w:szCs w:val="32"/>
          <w:highlight w:val="none"/>
        </w:rPr>
        <w:t>概况</w:t>
      </w:r>
    </w:p>
    <w:p w14:paraId="4363F3CC">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一、基本职能及主要工作</w:t>
      </w:r>
    </w:p>
    <w:p w14:paraId="560E9AB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14:paraId="57821CE0">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九寨沟县住房和城乡建设局2</w:t>
      </w:r>
      <w:r>
        <w:rPr>
          <w:rFonts w:ascii="黑体" w:hAnsi="黑体" w:eastAsia="黑体"/>
          <w:sz w:val="32"/>
          <w:szCs w:val="32"/>
          <w:highlight w:val="none"/>
        </w:rPr>
        <w:t>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年部门预算表</w:t>
      </w:r>
    </w:p>
    <w:p w14:paraId="7897731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p w14:paraId="2D49362A">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p w14:paraId="794D8AD0">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rPr>
        <w:t>部门支出总表</w:t>
      </w:r>
    </w:p>
    <w:p w14:paraId="3D87B2C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14:paraId="11E0EEAB">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401A0169">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14:paraId="1E5D6650">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14:paraId="5ABBE1E5">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14:paraId="23949E0A">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14:paraId="4C654296">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14:paraId="1A590486">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14:paraId="518DF2F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14:paraId="7AA7ECA6">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rPr>
        <w:t>部门预算项目绩效目标表</w:t>
      </w:r>
    </w:p>
    <w:p w14:paraId="5DDB5C7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14 </w:t>
      </w:r>
      <w:r>
        <w:rPr>
          <w:rFonts w:hint="eastAsia" w:ascii="仿宋_GB2312" w:hAnsi="仿宋" w:eastAsia="仿宋_GB2312"/>
          <w:sz w:val="32"/>
          <w:szCs w:val="32"/>
          <w:highlight w:val="none"/>
        </w:rPr>
        <w:t>部门整体支出绩效目标表</w:t>
      </w:r>
    </w:p>
    <w:p w14:paraId="70167833">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九寨沟县住房和城乡建设局</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年部门预算情况说明</w:t>
      </w:r>
    </w:p>
    <w:p w14:paraId="52AD4C65">
      <w:pPr>
        <w:jc w:val="both"/>
        <w:rPr>
          <w:rFonts w:ascii="方正小标宋简体" w:hAnsi="黑体" w:eastAsia="方正小标宋简体"/>
          <w:sz w:val="44"/>
          <w:szCs w:val="44"/>
          <w:highlight w:val="none"/>
        </w:rPr>
      </w:pPr>
      <w:r>
        <w:rPr>
          <w:rFonts w:hint="eastAsia" w:ascii="黑体" w:hAnsi="黑体" w:eastAsia="黑体"/>
          <w:sz w:val="32"/>
          <w:szCs w:val="32"/>
          <w:highlight w:val="none"/>
        </w:rPr>
        <w:t>第四部分  名词解释</w:t>
      </w:r>
    </w:p>
    <w:p w14:paraId="7CE5FA64">
      <w:pPr>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第一部分  </w:t>
      </w:r>
      <w:r>
        <w:rPr>
          <w:rFonts w:hint="eastAsia" w:ascii="方正小标宋简体" w:hAnsi="黑体" w:eastAsia="方正小标宋简体"/>
          <w:sz w:val="36"/>
          <w:szCs w:val="36"/>
          <w:highlight w:val="none"/>
          <w:lang w:eastAsia="zh-CN"/>
        </w:rPr>
        <w:t>九寨沟县住房和城乡建设局</w:t>
      </w:r>
      <w:r>
        <w:rPr>
          <w:rFonts w:hint="eastAsia" w:ascii="方正小标宋简体" w:hAnsi="黑体" w:eastAsia="方正小标宋简体"/>
          <w:sz w:val="36"/>
          <w:szCs w:val="36"/>
          <w:highlight w:val="none"/>
        </w:rPr>
        <w:t>概况</w:t>
      </w:r>
    </w:p>
    <w:p w14:paraId="27F8B967">
      <w:pPr>
        <w:ind w:firstLine="640" w:firstLineChars="200"/>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、基本职能及主要工作</w:t>
      </w:r>
    </w:p>
    <w:p w14:paraId="6FF4F604">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0" w:name="_Toc79163853"/>
      <w:bookmarkStart w:id="1" w:name="_Toc79163603"/>
      <w:bookmarkStart w:id="2" w:name="_Toc15377198"/>
      <w:bookmarkStart w:id="3" w:name="_Toc15378445"/>
      <w:r>
        <w:rPr>
          <w:rFonts w:hint="eastAsia" w:ascii="仿宋" w:hAnsi="仿宋" w:eastAsia="仿宋"/>
          <w:bCs/>
          <w:color w:val="000000"/>
          <w:sz w:val="32"/>
          <w:szCs w:val="32"/>
        </w:rPr>
        <w:t>（一）主要职能。</w:t>
      </w:r>
      <w:bookmarkEnd w:id="0"/>
      <w:bookmarkEnd w:id="1"/>
    </w:p>
    <w:bookmarkEnd w:id="2"/>
    <w:bookmarkEnd w:id="3"/>
    <w:p w14:paraId="239B15D2">
      <w:pPr>
        <w:keepNext w:val="0"/>
        <w:keepLines w:val="0"/>
        <w:pageBreakBefore w:val="0"/>
        <w:widowControl/>
        <w:kinsoku/>
        <w:wordWrap/>
        <w:overflowPunct/>
        <w:topLinePunct w:val="0"/>
        <w:autoSpaceDE/>
        <w:autoSpaceDN/>
        <w:bidi w:val="0"/>
        <w:spacing w:line="580" w:lineRule="exact"/>
        <w:ind w:right="0" w:rightChars="0" w:firstLine="720"/>
        <w:jc w:val="both"/>
        <w:textAlignment w:val="auto"/>
        <w:outlineLvl w:val="9"/>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1.贯彻执行国家、省、州住房保障和城乡</w:t>
      </w:r>
      <w:r>
        <w:rPr>
          <w:rFonts w:hint="eastAsia" w:ascii="仿宋_GB2312" w:hAnsi="宋体" w:eastAsia="仿宋_GB2312" w:cs="宋体"/>
          <w:color w:val="000000" w:themeColor="text1"/>
          <w:kern w:val="0"/>
          <w:sz w:val="32"/>
          <w:szCs w:val="32"/>
          <w:lang w:eastAsia="zh-CN"/>
          <w14:textFill>
            <w14:solidFill>
              <w14:schemeClr w14:val="tx1"/>
            </w14:solidFill>
          </w14:textFill>
        </w:rPr>
        <w:t>建设</w:t>
      </w:r>
      <w:r>
        <w:rPr>
          <w:rFonts w:hint="eastAsia" w:ascii="仿宋_GB2312" w:hAnsi="宋体" w:eastAsia="仿宋_GB2312" w:cs="宋体"/>
          <w:color w:val="000000" w:themeColor="text1"/>
          <w:kern w:val="0"/>
          <w:sz w:val="32"/>
          <w:szCs w:val="32"/>
          <w14:textFill>
            <w14:solidFill>
              <w14:schemeClr w14:val="tx1"/>
            </w14:solidFill>
          </w14:textFill>
        </w:rPr>
        <w:t>的法律法规和方针政策。研究拟定住房保障、工程建设、城乡建设、建筑业、房屋装饰装修业、住宅与房地产业、勘察设计</w:t>
      </w:r>
      <w:r>
        <w:rPr>
          <w:rFonts w:hint="eastAsia" w:ascii="仿宋_GB2312" w:hAnsi="宋体" w:eastAsia="仿宋_GB2312" w:cs="宋体"/>
          <w:color w:val="000000" w:themeColor="text1"/>
          <w:kern w:val="0"/>
          <w:sz w:val="32"/>
          <w:szCs w:val="32"/>
          <w:lang w:eastAsia="zh-CN"/>
          <w14:textFill>
            <w14:solidFill>
              <w14:schemeClr w14:val="tx1"/>
            </w14:solidFill>
          </w14:textFill>
        </w:rPr>
        <w:t>服务</w:t>
      </w:r>
      <w:r>
        <w:rPr>
          <w:rFonts w:hint="eastAsia" w:ascii="仿宋_GB2312" w:hAnsi="宋体" w:eastAsia="仿宋_GB2312" w:cs="宋体"/>
          <w:color w:val="000000" w:themeColor="text1"/>
          <w:kern w:val="0"/>
          <w:sz w:val="32"/>
          <w:szCs w:val="32"/>
          <w14:textFill>
            <w14:solidFill>
              <w14:schemeClr w14:val="tx1"/>
            </w14:solidFill>
          </w14:textFill>
        </w:rPr>
        <w:t>业、</w:t>
      </w:r>
      <w:r>
        <w:rPr>
          <w:rFonts w:hint="eastAsia" w:ascii="仿宋_GB2312" w:hAnsi="宋体" w:eastAsia="仿宋_GB2312" w:cs="宋体"/>
          <w:color w:val="000000" w:themeColor="text1"/>
          <w:kern w:val="0"/>
          <w:sz w:val="32"/>
          <w:szCs w:val="32"/>
          <w:lang w:eastAsia="zh-CN"/>
          <w14:textFill>
            <w14:solidFill>
              <w14:schemeClr w14:val="tx1"/>
            </w14:solidFill>
          </w14:textFill>
        </w:rPr>
        <w:t>市政公用服务管理有关规范性文件和制度草案，</w:t>
      </w:r>
      <w:r>
        <w:rPr>
          <w:rFonts w:hint="eastAsia" w:ascii="仿宋_GB2312" w:hAnsi="宋体" w:eastAsia="仿宋_GB2312" w:cs="宋体"/>
          <w:color w:val="000000" w:themeColor="text1"/>
          <w:kern w:val="0"/>
          <w:sz w:val="32"/>
          <w:szCs w:val="32"/>
          <w14:textFill>
            <w14:solidFill>
              <w14:schemeClr w14:val="tx1"/>
            </w14:solidFill>
          </w14:textFill>
        </w:rPr>
        <w:t>负责依法行政工作。</w:t>
      </w:r>
    </w:p>
    <w:p w14:paraId="13B7F519">
      <w:pPr>
        <w:keepNext w:val="0"/>
        <w:keepLines w:val="0"/>
        <w:pageBreakBefore w:val="0"/>
        <w:widowControl/>
        <w:kinsoku/>
        <w:wordWrap/>
        <w:overflowPunct/>
        <w:topLinePunct w:val="0"/>
        <w:autoSpaceDE/>
        <w:autoSpaceDN/>
        <w:bidi w:val="0"/>
        <w:spacing w:line="580" w:lineRule="exact"/>
        <w:ind w:right="0" w:rightChars="0" w:firstLine="720"/>
        <w:jc w:val="both"/>
        <w:textAlignment w:val="auto"/>
        <w:outlineLvl w:val="9"/>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承担住房保障工作。拟订全县住房及住房保障相关政策并指导实施，指导住房建设和住房制度改革。拟订廉租住房规划及政策，会同有关部门做好国家、省、州有关廉租住房资金安排并监督地方组织实施。编制住房保障发展规划和年度计划并监督实施。</w:t>
      </w:r>
    </w:p>
    <w:p w14:paraId="5B112785">
      <w:pPr>
        <w:keepNext w:val="0"/>
        <w:keepLines w:val="0"/>
        <w:pageBreakBefore w:val="0"/>
        <w:widowControl/>
        <w:kinsoku/>
        <w:wordWrap/>
        <w:overflowPunct/>
        <w:topLinePunct w:val="0"/>
        <w:autoSpaceDE/>
        <w:autoSpaceDN/>
        <w:bidi w:val="0"/>
        <w:spacing w:line="580" w:lineRule="exact"/>
        <w:ind w:right="0" w:rightChars="0" w:firstLine="720"/>
        <w:jc w:val="both"/>
        <w:textAlignment w:val="auto"/>
        <w:outlineLvl w:val="9"/>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w:t>
      </w:r>
      <w:r>
        <w:rPr>
          <w:rFonts w:hint="eastAsia" w:ascii="仿宋_GB2312" w:hAnsi="宋体" w:eastAsia="仿宋_GB2312" w:cs="宋体"/>
          <w:color w:val="000000" w:themeColor="text1"/>
          <w:kern w:val="0"/>
          <w:sz w:val="32"/>
          <w:szCs w:val="32"/>
          <w:lang w:eastAsia="zh-CN"/>
          <w14:textFill>
            <w14:solidFill>
              <w14:schemeClr w14:val="tx1"/>
            </w14:solidFill>
          </w14:textFill>
        </w:rPr>
        <w:t>承担规范房地产市场秩序、监督管理房地产市场的责任。会同有关部门组织拟订房地产市场监督管理政策并监督执行；指导城镇土地使用权有偿转让和开发利用工作，提出房地产业的行业发展规划和产业政策；制定房地产开发、房屋权属管理、房屋租赁、房屋面积管理、白蚁防治、房地产估价与经纪管理、物业管理、国有土地上房屋征收拆迁的规范性文件并监督执行。</w:t>
      </w:r>
    </w:p>
    <w:p w14:paraId="5A569699">
      <w:pPr>
        <w:pStyle w:val="2"/>
        <w:rPr>
          <w:rFonts w:hint="default"/>
          <w:lang w:val="en-US" w:eastAsia="zh-CN"/>
        </w:rPr>
      </w:pPr>
    </w:p>
    <w:p w14:paraId="326CD82E">
      <w:pPr>
        <w:keepNext w:val="0"/>
        <w:keepLines w:val="0"/>
        <w:pageBreakBefore w:val="0"/>
        <w:widowControl/>
        <w:kinsoku/>
        <w:wordWrap/>
        <w:overflowPunct/>
        <w:topLinePunct w:val="0"/>
        <w:autoSpaceDE/>
        <w:autoSpaceDN/>
        <w:bidi w:val="0"/>
        <w:spacing w:line="580" w:lineRule="exact"/>
        <w:ind w:right="0" w:rightChars="0" w:firstLine="720"/>
        <w:jc w:val="both"/>
        <w:textAlignment w:val="auto"/>
        <w:outlineLvl w:val="9"/>
      </w:pPr>
      <w:r>
        <w:rPr>
          <w:rFonts w:hint="eastAsia" w:ascii="仿宋_GB2312" w:hAnsi="宋体" w:eastAsia="仿宋_GB2312" w:cs="宋体"/>
          <w:bCs/>
          <w:color w:val="000000" w:themeColor="text1"/>
          <w:kern w:val="0"/>
          <w:sz w:val="32"/>
          <w:szCs w:val="32"/>
          <w:lang w:val="en-US" w:eastAsia="zh-CN"/>
          <w14:textFill>
            <w14:solidFill>
              <w14:schemeClr w14:val="tx1"/>
            </w14:solidFill>
          </w14:textFill>
        </w:rPr>
        <w:t>4</w:t>
      </w:r>
      <w:r>
        <w:rPr>
          <w:rFonts w:hint="eastAsia" w:ascii="仿宋_GB2312" w:hAnsi="宋体" w:eastAsia="仿宋_GB2312" w:cs="宋体"/>
          <w:bCs/>
          <w:color w:val="000000" w:themeColor="text1"/>
          <w:kern w:val="0"/>
          <w:sz w:val="32"/>
          <w:szCs w:val="32"/>
          <w14:textFill>
            <w14:solidFill>
              <w14:schemeClr w14:val="tx1"/>
            </w14:solidFill>
          </w14:textFill>
        </w:rPr>
        <w:t>.承担监督管理</w:t>
      </w:r>
      <w:r>
        <w:rPr>
          <w:rFonts w:hint="eastAsia" w:ascii="仿宋_GB2312" w:hAnsi="宋体" w:eastAsia="仿宋_GB2312" w:cs="宋体"/>
          <w:bCs/>
          <w:color w:val="000000" w:themeColor="text1"/>
          <w:kern w:val="0"/>
          <w:sz w:val="32"/>
          <w:szCs w:val="32"/>
          <w:lang w:eastAsia="zh-CN"/>
          <w14:textFill>
            <w14:solidFill>
              <w14:schemeClr w14:val="tx1"/>
            </w14:solidFill>
          </w14:textFill>
        </w:rPr>
        <w:t>房屋</w:t>
      </w:r>
      <w:r>
        <w:rPr>
          <w:rFonts w:hint="eastAsia" w:ascii="仿宋_GB2312" w:hAnsi="宋体" w:eastAsia="仿宋_GB2312" w:cs="宋体"/>
          <w:bCs/>
          <w:color w:val="000000" w:themeColor="text1"/>
          <w:kern w:val="0"/>
          <w:sz w:val="32"/>
          <w:szCs w:val="32"/>
          <w14:textFill>
            <w14:solidFill>
              <w14:schemeClr w14:val="tx1"/>
            </w14:solidFill>
          </w14:textFill>
        </w:rPr>
        <w:t>建筑</w:t>
      </w:r>
      <w:r>
        <w:rPr>
          <w:rFonts w:hint="eastAsia" w:ascii="仿宋_GB2312" w:hAnsi="宋体" w:eastAsia="仿宋_GB2312" w:cs="宋体"/>
          <w:bCs/>
          <w:color w:val="000000" w:themeColor="text1"/>
          <w:kern w:val="0"/>
          <w:sz w:val="32"/>
          <w:szCs w:val="32"/>
          <w:lang w:eastAsia="zh-CN"/>
          <w14:textFill>
            <w14:solidFill>
              <w14:schemeClr w14:val="tx1"/>
            </w14:solidFill>
          </w14:textFill>
        </w:rPr>
        <w:t>和市政基础设施建设项目建筑</w:t>
      </w:r>
      <w:r>
        <w:rPr>
          <w:rFonts w:hint="eastAsia" w:ascii="仿宋_GB2312" w:hAnsi="宋体" w:eastAsia="仿宋_GB2312" w:cs="宋体"/>
          <w:bCs/>
          <w:color w:val="000000" w:themeColor="text1"/>
          <w:kern w:val="0"/>
          <w:sz w:val="32"/>
          <w:szCs w:val="32"/>
          <w14:textFill>
            <w14:solidFill>
              <w14:schemeClr w14:val="tx1"/>
            </w14:solidFill>
          </w14:textFill>
        </w:rPr>
        <w:t>市场、规范市场各方主体行为的责任。</w:t>
      </w:r>
      <w:r>
        <w:rPr>
          <w:rFonts w:ascii="仿宋_GB2312" w:hAnsi="宋体" w:eastAsia="仿宋_GB2312" w:cs="宋体"/>
          <w:bCs/>
          <w:color w:val="000000" w:themeColor="text1"/>
          <w:kern w:val="0"/>
          <w:sz w:val="32"/>
          <w:szCs w:val="32"/>
          <w14:textFill>
            <w14:solidFill>
              <w14:schemeClr w14:val="tx1"/>
            </w14:solidFill>
          </w14:textFill>
        </w:rPr>
        <w:t>指导全</w:t>
      </w:r>
      <w:r>
        <w:rPr>
          <w:rFonts w:hint="eastAsia" w:ascii="仿宋_GB2312" w:hAnsi="宋体" w:eastAsia="仿宋_GB2312" w:cs="宋体"/>
          <w:bCs/>
          <w:color w:val="000000" w:themeColor="text1"/>
          <w:kern w:val="0"/>
          <w:sz w:val="32"/>
          <w:szCs w:val="32"/>
          <w14:textFill>
            <w14:solidFill>
              <w14:schemeClr w14:val="tx1"/>
            </w14:solidFill>
          </w14:textFill>
        </w:rPr>
        <w:t>县</w:t>
      </w:r>
      <w:r>
        <w:rPr>
          <w:rFonts w:hint="eastAsia" w:ascii="仿宋_GB2312" w:hAnsi="宋体" w:eastAsia="仿宋_GB2312" w:cs="宋体"/>
          <w:bCs/>
          <w:color w:val="000000" w:themeColor="text1"/>
          <w:kern w:val="0"/>
          <w:sz w:val="32"/>
          <w:szCs w:val="32"/>
          <w:lang w:eastAsia="zh-CN"/>
          <w14:textFill>
            <w14:solidFill>
              <w14:schemeClr w14:val="tx1"/>
            </w14:solidFill>
          </w14:textFill>
        </w:rPr>
        <w:t>房</w:t>
      </w:r>
      <w:r>
        <w:rPr>
          <w:rFonts w:ascii="仿宋_GB2312" w:hAnsi="宋体" w:eastAsia="仿宋_GB2312" w:cs="宋体"/>
          <w:bCs/>
          <w:color w:val="000000" w:themeColor="text1"/>
          <w:kern w:val="0"/>
          <w:sz w:val="32"/>
          <w:szCs w:val="32"/>
          <w14:textFill>
            <w14:solidFill>
              <w14:schemeClr w14:val="tx1"/>
            </w14:solidFill>
          </w14:textFill>
        </w:rPr>
        <w:t>建</w:t>
      </w:r>
      <w:r>
        <w:rPr>
          <w:rFonts w:hint="eastAsia" w:ascii="仿宋_GB2312" w:hAnsi="宋体" w:eastAsia="仿宋_GB2312" w:cs="宋体"/>
          <w:bCs/>
          <w:color w:val="000000" w:themeColor="text1"/>
          <w:kern w:val="0"/>
          <w:sz w:val="32"/>
          <w:szCs w:val="32"/>
          <w:lang w:eastAsia="zh-CN"/>
          <w14:textFill>
            <w14:solidFill>
              <w14:schemeClr w14:val="tx1"/>
            </w14:solidFill>
          </w14:textFill>
        </w:rPr>
        <w:t>市政类建筑活动，</w:t>
      </w:r>
      <w:r>
        <w:rPr>
          <w:rFonts w:ascii="仿宋_GB2312" w:hAnsi="宋体" w:eastAsia="仿宋_GB2312" w:cs="宋体"/>
          <w:bCs/>
          <w:color w:val="000000" w:themeColor="text1"/>
          <w:kern w:val="0"/>
          <w:sz w:val="32"/>
          <w:szCs w:val="32"/>
          <w14:textFill>
            <w14:solidFill>
              <w14:schemeClr w14:val="tx1"/>
            </w14:solidFill>
          </w14:textFill>
        </w:rPr>
        <w:t>负责</w:t>
      </w:r>
      <w:r>
        <w:rPr>
          <w:rFonts w:hint="eastAsia" w:ascii="仿宋_GB2312" w:hAnsi="宋体" w:eastAsia="仿宋_GB2312" w:cs="宋体"/>
          <w:bCs/>
          <w:color w:val="000000" w:themeColor="text1"/>
          <w:kern w:val="0"/>
          <w:sz w:val="32"/>
          <w:szCs w:val="32"/>
          <w:lang w:eastAsia="zh-CN"/>
          <w14:textFill>
            <w14:solidFill>
              <w14:schemeClr w14:val="tx1"/>
            </w14:solidFill>
          </w14:textFill>
        </w:rPr>
        <w:t>房屋建筑和市政基础设施</w:t>
      </w:r>
      <w:r>
        <w:rPr>
          <w:rFonts w:ascii="仿宋_GB2312" w:hAnsi="宋体" w:eastAsia="仿宋_GB2312" w:cs="宋体"/>
          <w:bCs/>
          <w:color w:val="000000" w:themeColor="text1"/>
          <w:kern w:val="0"/>
          <w:sz w:val="32"/>
          <w:szCs w:val="32"/>
          <w14:textFill>
            <w14:solidFill>
              <w14:schemeClr w14:val="tx1"/>
            </w14:solidFill>
          </w14:textFill>
        </w:rPr>
        <w:t>建设</w:t>
      </w:r>
      <w:r>
        <w:rPr>
          <w:rFonts w:hint="eastAsia" w:ascii="仿宋_GB2312" w:hAnsi="宋体" w:eastAsia="仿宋_GB2312" w:cs="宋体"/>
          <w:bCs/>
          <w:color w:val="000000" w:themeColor="text1"/>
          <w:kern w:val="0"/>
          <w:sz w:val="32"/>
          <w:szCs w:val="32"/>
          <w:lang w:eastAsia="zh-CN"/>
          <w14:textFill>
            <w14:solidFill>
              <w14:schemeClr w14:val="tx1"/>
            </w14:solidFill>
          </w14:textFill>
        </w:rPr>
        <w:t>项目</w:t>
      </w:r>
      <w:r>
        <w:rPr>
          <w:rFonts w:ascii="仿宋_GB2312" w:hAnsi="宋体" w:eastAsia="仿宋_GB2312" w:cs="宋体"/>
          <w:bCs/>
          <w:color w:val="000000" w:themeColor="text1"/>
          <w:kern w:val="0"/>
          <w:sz w:val="32"/>
          <w:szCs w:val="32"/>
          <w14:textFill>
            <w14:solidFill>
              <w14:schemeClr w14:val="tx1"/>
            </w14:solidFill>
          </w14:textFill>
        </w:rPr>
        <w:t>工程招标投标活动的监督管理，</w:t>
      </w:r>
      <w:r>
        <w:rPr>
          <w:rFonts w:hint="eastAsia" w:ascii="仿宋_GB2312" w:hAnsi="宋体" w:eastAsia="仿宋_GB2312" w:cs="宋体"/>
          <w:bCs/>
          <w:color w:val="000000" w:themeColor="text1"/>
          <w:kern w:val="0"/>
          <w:sz w:val="32"/>
          <w:szCs w:val="32"/>
          <w:lang w:eastAsia="zh-CN"/>
          <w14:textFill>
            <w14:solidFill>
              <w14:schemeClr w14:val="tx1"/>
            </w14:solidFill>
          </w14:textFill>
        </w:rPr>
        <w:t>指导监督县行政审批局</w:t>
      </w:r>
      <w:r>
        <w:rPr>
          <w:rFonts w:ascii="仿宋_GB2312" w:hAnsi="宋体" w:eastAsia="仿宋_GB2312" w:cs="宋体"/>
          <w:bCs/>
          <w:color w:val="000000" w:themeColor="text1"/>
          <w:kern w:val="0"/>
          <w:sz w:val="32"/>
          <w:szCs w:val="32"/>
          <w14:textFill>
            <w14:solidFill>
              <w14:schemeClr w14:val="tx1"/>
            </w14:solidFill>
          </w14:textFill>
        </w:rPr>
        <w:t>《建设工程施工许可证》</w:t>
      </w:r>
      <w:r>
        <w:rPr>
          <w:rFonts w:hint="eastAsia" w:ascii="仿宋_GB2312" w:hAnsi="宋体" w:eastAsia="仿宋_GB2312" w:cs="宋体"/>
          <w:bCs/>
          <w:color w:val="000000" w:themeColor="text1"/>
          <w:kern w:val="0"/>
          <w:sz w:val="32"/>
          <w:szCs w:val="32"/>
          <w:lang w:eastAsia="zh-CN"/>
          <w14:textFill>
            <w14:solidFill>
              <w14:schemeClr w14:val="tx1"/>
            </w14:solidFill>
          </w14:textFill>
        </w:rPr>
        <w:t>核发</w:t>
      </w:r>
      <w:r>
        <w:rPr>
          <w:rFonts w:ascii="仿宋_GB2312" w:hAnsi="宋体" w:eastAsia="仿宋_GB2312" w:cs="宋体"/>
          <w:bCs/>
          <w:color w:val="000000" w:themeColor="text1"/>
          <w:kern w:val="0"/>
          <w:sz w:val="32"/>
          <w:szCs w:val="32"/>
          <w14:textFill>
            <w14:solidFill>
              <w14:schemeClr w14:val="tx1"/>
            </w14:solidFill>
          </w14:textFill>
        </w:rPr>
        <w:t xml:space="preserve">，指导监督建设工程标准定额的实施。负责建设工程质量安全监管，负责竣工验收备案管理，组织或参与工程质量安全事故的调查处理。 </w:t>
      </w:r>
    </w:p>
    <w:p w14:paraId="19F34AE6">
      <w:pPr>
        <w:keepNext w:val="0"/>
        <w:keepLines w:val="0"/>
        <w:pageBreakBefore w:val="0"/>
        <w:widowControl/>
        <w:numPr>
          <w:ilvl w:val="0"/>
          <w:numId w:val="1"/>
        </w:numPr>
        <w:kinsoku/>
        <w:wordWrap/>
        <w:overflowPunct/>
        <w:topLinePunct w:val="0"/>
        <w:autoSpaceDE/>
        <w:autoSpaceDN/>
        <w:bidi w:val="0"/>
        <w:spacing w:line="580" w:lineRule="exact"/>
        <w:ind w:right="0" w:rightChars="0" w:firstLine="720"/>
        <w:jc w:val="both"/>
        <w:textAlignment w:val="auto"/>
        <w:outlineLvl w:val="9"/>
        <w:rPr>
          <w:rFonts w:ascii="仿宋_GB2312" w:hAnsi="宋体" w:eastAsia="仿宋_GB2312" w:cs="宋体"/>
          <w:bCs/>
          <w:color w:val="000000" w:themeColor="text1"/>
          <w:kern w:val="0"/>
          <w:sz w:val="32"/>
          <w:szCs w:val="32"/>
          <w14:textFill>
            <w14:solidFill>
              <w14:schemeClr w14:val="tx1"/>
            </w14:solidFill>
          </w14:textFill>
        </w:rPr>
      </w:pPr>
      <w:r>
        <w:rPr>
          <w:rFonts w:hint="eastAsia" w:ascii="仿宋_GB2312" w:hAnsi="宋体" w:eastAsia="仿宋_GB2312" w:cs="宋体"/>
          <w:bCs/>
          <w:color w:val="000000" w:themeColor="text1"/>
          <w:kern w:val="0"/>
          <w:sz w:val="32"/>
          <w:szCs w:val="32"/>
          <w14:textFill>
            <w14:solidFill>
              <w14:schemeClr w14:val="tx1"/>
            </w14:solidFill>
          </w14:textFill>
        </w:rPr>
        <w:t>承担规范和指导村镇建设的责任。指导农村住房建设管理</w:t>
      </w:r>
      <w:r>
        <w:rPr>
          <w:rFonts w:hint="eastAsia" w:ascii="仿宋_GB2312" w:hAnsi="宋体" w:eastAsia="仿宋_GB2312" w:cs="宋体"/>
          <w:bCs/>
          <w:color w:val="000000" w:themeColor="text1"/>
          <w:kern w:val="0"/>
          <w:sz w:val="32"/>
          <w:szCs w:val="32"/>
          <w:lang w:eastAsia="zh-CN"/>
          <w14:textFill>
            <w14:solidFill>
              <w14:schemeClr w14:val="tx1"/>
            </w14:solidFill>
          </w14:textFill>
        </w:rPr>
        <w:t>、</w:t>
      </w:r>
      <w:r>
        <w:rPr>
          <w:rFonts w:hint="eastAsia" w:ascii="仿宋_GB2312" w:hAnsi="宋体" w:eastAsia="仿宋_GB2312" w:cs="宋体"/>
          <w:bCs/>
          <w:color w:val="000000" w:themeColor="text1"/>
          <w:kern w:val="0"/>
          <w:sz w:val="32"/>
          <w:szCs w:val="32"/>
          <w14:textFill>
            <w14:solidFill>
              <w14:schemeClr w14:val="tx1"/>
            </w14:solidFill>
          </w14:textFill>
        </w:rPr>
        <w:t>危房改造</w:t>
      </w:r>
      <w:r>
        <w:rPr>
          <w:rFonts w:hint="eastAsia" w:ascii="仿宋_GB2312" w:hAnsi="宋体" w:eastAsia="仿宋_GB2312" w:cs="宋体"/>
          <w:bCs/>
          <w:color w:val="000000" w:themeColor="text1"/>
          <w:kern w:val="0"/>
          <w:sz w:val="32"/>
          <w:szCs w:val="32"/>
          <w:lang w:eastAsia="zh-CN"/>
          <w14:textFill>
            <w14:solidFill>
              <w14:schemeClr w14:val="tx1"/>
            </w14:solidFill>
          </w14:textFill>
        </w:rPr>
        <w:t>、小城镇人</w:t>
      </w:r>
      <w:r>
        <w:rPr>
          <w:rFonts w:hint="eastAsia" w:ascii="仿宋_GB2312" w:eastAsia="仿宋_GB2312"/>
          <w:color w:val="000000" w:themeColor="text1"/>
          <w:sz w:val="32"/>
          <w:szCs w:val="32"/>
          <w14:textFill>
            <w14:solidFill>
              <w14:schemeClr w14:val="tx1"/>
            </w14:solidFill>
          </w14:textFill>
        </w:rPr>
        <w:t>居生态环境的改善工作，指导受灾村镇及国家大型重点建设项目地区村镇迁建、重建的规划建设和管理工作。</w:t>
      </w:r>
      <w:r>
        <w:rPr>
          <w:rFonts w:ascii="仿宋_GB2312" w:hAnsi="宋体" w:eastAsia="仿宋_GB2312" w:cs="宋体"/>
          <w:bCs/>
          <w:color w:val="000000" w:themeColor="text1"/>
          <w:kern w:val="0"/>
          <w:sz w:val="32"/>
          <w:szCs w:val="32"/>
          <w14:textFill>
            <w14:solidFill>
              <w14:schemeClr w14:val="tx1"/>
            </w14:solidFill>
          </w14:textFill>
        </w:rPr>
        <w:t xml:space="preserve"> </w:t>
      </w:r>
    </w:p>
    <w:p w14:paraId="3D8EC349">
      <w:pPr>
        <w:keepNext w:val="0"/>
        <w:keepLines w:val="0"/>
        <w:pageBreakBefore w:val="0"/>
        <w:widowControl/>
        <w:numPr>
          <w:ilvl w:val="0"/>
          <w:numId w:val="1"/>
        </w:numPr>
        <w:kinsoku/>
        <w:wordWrap/>
        <w:overflowPunct/>
        <w:topLinePunct w:val="0"/>
        <w:autoSpaceDE/>
        <w:autoSpaceDN/>
        <w:bidi w:val="0"/>
        <w:spacing w:line="580" w:lineRule="exact"/>
        <w:ind w:left="0" w:leftChars="0" w:right="0" w:rightChars="0" w:firstLine="720" w:firstLine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指导城镇燃气相关配套设施的建设运营维护监督管理及审批工作。</w:t>
      </w:r>
    </w:p>
    <w:p w14:paraId="18AB02AC">
      <w:pPr>
        <w:keepNext w:val="0"/>
        <w:keepLines w:val="0"/>
        <w:pageBreakBefore w:val="0"/>
        <w:widowControl/>
        <w:numPr>
          <w:ilvl w:val="0"/>
          <w:numId w:val="1"/>
        </w:numPr>
        <w:kinsoku/>
        <w:wordWrap/>
        <w:overflowPunct/>
        <w:topLinePunct w:val="0"/>
        <w:autoSpaceDE/>
        <w:autoSpaceDN/>
        <w:bidi w:val="0"/>
        <w:spacing w:line="580" w:lineRule="exact"/>
        <w:ind w:left="0" w:leftChars="0" w:right="0" w:rightChars="0" w:firstLine="720" w:firstLine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承担推进全县建筑节能、城镇减排的责任。拟订并监督实施全县住房和城乡建设的科技发展、建筑节能规划；组织实施全县重大建筑节能项目，推进城镇减排；组织实施重点建筑科技项目的研究开发，指导房屋墙体材料革新工作，竣工验收许可相关职责以及建设工程消防设计审查验收相关职责。</w:t>
      </w:r>
    </w:p>
    <w:p w14:paraId="110C4194">
      <w:pPr>
        <w:keepNext w:val="0"/>
        <w:keepLines w:val="0"/>
        <w:pageBreakBefore w:val="0"/>
        <w:widowControl/>
        <w:numPr>
          <w:ilvl w:val="0"/>
          <w:numId w:val="1"/>
        </w:numPr>
        <w:kinsoku/>
        <w:wordWrap/>
        <w:overflowPunct/>
        <w:topLinePunct w:val="0"/>
        <w:autoSpaceDE/>
        <w:autoSpaceDN/>
        <w:bidi w:val="0"/>
        <w:spacing w:line="580" w:lineRule="exact"/>
        <w:ind w:left="0" w:leftChars="0" w:right="0" w:rightChars="0" w:firstLine="720" w:firstLine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指导建设工程抗震设防工作，组织编制并实施房屋建筑和市政设施抗震技术地方规范和标准图集，组织开展城镇建筑物抗震性能普查、鉴定加固和改造工作，指导村镇和农村建设抗震工作。</w:t>
      </w:r>
    </w:p>
    <w:p w14:paraId="7637778A">
      <w:pPr>
        <w:keepNext w:val="0"/>
        <w:keepLines w:val="0"/>
        <w:pageBreakBefore w:val="0"/>
        <w:widowControl/>
        <w:numPr>
          <w:ilvl w:val="0"/>
          <w:numId w:val="1"/>
        </w:numPr>
        <w:kinsoku/>
        <w:wordWrap/>
        <w:overflowPunct/>
        <w:topLinePunct w:val="0"/>
        <w:autoSpaceDE/>
        <w:autoSpaceDN/>
        <w:bidi w:val="0"/>
        <w:spacing w:line="580" w:lineRule="exact"/>
        <w:ind w:left="0" w:leftChars="0" w:right="0" w:rightChars="0" w:firstLine="720" w:firstLine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承担房屋建筑工程和市政基础设施工程防雷装置设计审核、竣工验收许可相关职责。</w:t>
      </w:r>
    </w:p>
    <w:p w14:paraId="295ECDBD">
      <w:pPr>
        <w:keepNext w:val="0"/>
        <w:keepLines w:val="0"/>
        <w:pageBreakBefore w:val="0"/>
        <w:widowControl/>
        <w:numPr>
          <w:ilvl w:val="0"/>
          <w:numId w:val="0"/>
        </w:numPr>
        <w:kinsoku/>
        <w:wordWrap/>
        <w:overflowPunct/>
        <w:topLinePunct w:val="0"/>
        <w:autoSpaceDE/>
        <w:autoSpaceDN/>
        <w:bidi w:val="0"/>
        <w:spacing w:line="580" w:lineRule="exact"/>
        <w:ind w:left="720" w:leftChars="0" w:right="0" w:rightChars="0"/>
        <w:jc w:val="both"/>
        <w:textAlignment w:val="auto"/>
        <w:outlineLvl w:val="9"/>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10.</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承担全县散装水泥发展和应用的监督管理职责。</w:t>
      </w:r>
    </w:p>
    <w:p w14:paraId="198A6CD0">
      <w:pPr>
        <w:keepNext w:val="0"/>
        <w:keepLines w:val="0"/>
        <w:pageBreakBefore w:val="0"/>
        <w:widowControl/>
        <w:numPr>
          <w:ilvl w:val="0"/>
          <w:numId w:val="0"/>
        </w:numPr>
        <w:kinsoku/>
        <w:wordWrap/>
        <w:overflowPunct/>
        <w:topLinePunct w:val="0"/>
        <w:autoSpaceDE/>
        <w:autoSpaceDN/>
        <w:bidi w:val="0"/>
        <w:spacing w:line="580" w:lineRule="exact"/>
        <w:ind w:left="720" w:leftChars="0" w:right="0" w:rightChars="0"/>
        <w:jc w:val="both"/>
        <w:textAlignment w:val="auto"/>
        <w:outlineLvl w:val="9"/>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11.指导城市勘察、市政工程测量和历史文化名城（镇、村）审核报批、保护和监督管理。</w:t>
      </w:r>
    </w:p>
    <w:p w14:paraId="079CDEC1">
      <w:pPr>
        <w:keepNext w:val="0"/>
        <w:keepLines w:val="0"/>
        <w:pageBreakBefore w:val="0"/>
        <w:widowControl/>
        <w:numPr>
          <w:ilvl w:val="0"/>
          <w:numId w:val="0"/>
        </w:numPr>
        <w:kinsoku/>
        <w:wordWrap/>
        <w:overflowPunct/>
        <w:topLinePunct w:val="0"/>
        <w:autoSpaceDE/>
        <w:autoSpaceDN/>
        <w:bidi w:val="0"/>
        <w:spacing w:line="580" w:lineRule="exact"/>
        <w:ind w:left="720" w:leftChars="0" w:right="0" w:right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12.</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承担职责范围内的安全生产和职业健康、生态环境保护、公共机构节能减排、审批服务便民化等工作。</w:t>
      </w:r>
    </w:p>
    <w:p w14:paraId="277C1733">
      <w:pPr>
        <w:keepNext w:val="0"/>
        <w:keepLines w:val="0"/>
        <w:pageBreakBefore w:val="0"/>
        <w:widowControl/>
        <w:numPr>
          <w:ilvl w:val="0"/>
          <w:numId w:val="0"/>
        </w:numPr>
        <w:kinsoku/>
        <w:wordWrap/>
        <w:overflowPunct/>
        <w:topLinePunct w:val="0"/>
        <w:autoSpaceDE/>
        <w:autoSpaceDN/>
        <w:bidi w:val="0"/>
        <w:spacing w:line="580" w:lineRule="exact"/>
        <w:ind w:left="720" w:leftChars="0" w:right="0" w:rightChars="0"/>
        <w:jc w:val="both"/>
        <w:textAlignment w:val="auto"/>
        <w:outlineLvl w:val="9"/>
        <w:rPr>
          <w:rFonts w:hint="eastAsia" w:ascii="仿宋_GB2312"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13.</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承担县委、县政府交办的其他工作</w:t>
      </w:r>
    </w:p>
    <w:p w14:paraId="321705BC">
      <w:pPr>
        <w:ind w:firstLine="640" w:firstLineChars="200"/>
      </w:pPr>
      <w:r>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t>14.职能转变。       　　</w:t>
      </w:r>
    </w:p>
    <w:p w14:paraId="634A45AD">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eastAsia" w:ascii="楷体" w:hAnsi="楷体" w:eastAsia="楷体"/>
          <w:b/>
          <w:sz w:val="32"/>
          <w:szCs w:val="32"/>
          <w:highlight w:val="none"/>
          <w:lang w:val="en-US" w:eastAsia="zh-CN"/>
        </w:rPr>
        <w:t xml:space="preserve"> </w:t>
      </w:r>
      <w:r>
        <w:rPr>
          <w:rFonts w:hint="eastAsia" w:ascii="仿宋_GB2312" w:eastAsia="仿宋_GB2312"/>
          <w:b/>
          <w:bCs/>
          <w:color w:val="000000" w:themeColor="text1"/>
          <w:sz w:val="32"/>
          <w:szCs w:val="32"/>
          <w:shd w:val="clear" w:color="auto" w:fill="FFFFFF"/>
          <w:lang w:eastAsia="zh-CN"/>
          <w14:textFill>
            <w14:solidFill>
              <w14:schemeClr w14:val="tx1"/>
            </w14:solidFill>
          </w14:textFill>
        </w:rPr>
        <w:t>九寨沟县住房和城乡建设局</w:t>
      </w:r>
      <w:r>
        <w:rPr>
          <w:rFonts w:hint="eastAsia" w:ascii="楷体" w:hAnsi="楷体" w:eastAsia="楷体"/>
          <w:b/>
          <w:sz w:val="32"/>
          <w:szCs w:val="32"/>
          <w:highlight w:val="none"/>
        </w:rPr>
        <w:t>2</w:t>
      </w:r>
      <w:r>
        <w:rPr>
          <w:rFonts w:ascii="楷体" w:hAnsi="楷体" w:eastAsia="楷体"/>
          <w:b/>
          <w:sz w:val="32"/>
          <w:szCs w:val="32"/>
          <w:highlight w:val="none"/>
        </w:rPr>
        <w:t>02</w:t>
      </w: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rPr>
        <w:t>年</w:t>
      </w:r>
      <w:r>
        <w:rPr>
          <w:rFonts w:ascii="楷体" w:hAnsi="楷体" w:eastAsia="楷体"/>
          <w:b/>
          <w:sz w:val="32"/>
          <w:szCs w:val="32"/>
          <w:highlight w:val="none"/>
        </w:rPr>
        <w:t>重点</w:t>
      </w:r>
      <w:r>
        <w:rPr>
          <w:rFonts w:hint="eastAsia" w:ascii="楷体" w:hAnsi="楷体" w:eastAsia="楷体"/>
          <w:b/>
          <w:sz w:val="32"/>
          <w:szCs w:val="32"/>
          <w:highlight w:val="none"/>
          <w:lang w:eastAsia="zh-CN"/>
        </w:rPr>
        <w:t>完成</w:t>
      </w:r>
      <w:r>
        <w:rPr>
          <w:rFonts w:ascii="楷体" w:hAnsi="楷体" w:eastAsia="楷体"/>
          <w:b/>
          <w:sz w:val="32"/>
          <w:szCs w:val="32"/>
          <w:highlight w:val="none"/>
        </w:rPr>
        <w:t>工作</w:t>
      </w:r>
    </w:p>
    <w:p w14:paraId="7A038F61">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76" w:lineRule="exact"/>
        <w:ind w:right="0" w:firstLine="643" w:firstLineChars="200"/>
        <w:jc w:val="both"/>
        <w:textAlignment w:val="baseline"/>
        <w:outlineLvl w:val="9"/>
        <w:rPr>
          <w:rFonts w:hint="eastAsia" w:ascii="Times New Roman" w:hAnsi="Times New Roman" w:eastAsia="仿宋_GB2312" w:cs="Times New Roman"/>
          <w:sz w:val="32"/>
          <w:szCs w:val="32"/>
          <w:lang w:val="en-US" w:eastAsia="zh-CN"/>
        </w:rPr>
      </w:pPr>
      <w:r>
        <w:rPr>
          <w:rFonts w:hint="eastAsia" w:ascii="楷体" w:hAnsi="楷体" w:eastAsia="楷体" w:cs="楷体"/>
          <w:b/>
          <w:bCs/>
          <w:sz w:val="32"/>
          <w:szCs w:val="32"/>
          <w:u w:val="none"/>
          <w:lang w:val="en-US" w:eastAsia="zh-CN"/>
        </w:rPr>
        <w:t>1.党建及党风廉政建设。</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全面发挥党建统领全局作用，坚持党建工作与业务工作同部署、同落实，不断提升基层党建工作的能力和水平；</w:t>
      </w: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sz w:val="32"/>
          <w:szCs w:val="32"/>
          <w:lang w:val="en-US" w:eastAsia="zh-CN"/>
        </w:rPr>
        <w:t>认真开展中央八项规定精神学习教育活动，引导干部职工深刻领会中央八项规定精神的内涵和实质，局班子查摆问题16项，已完成整改14项，2项问题正在推进中，计划年底前完成整改；</w:t>
      </w:r>
      <w:r>
        <w:rPr>
          <w:rFonts w:hint="eastAsia"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sz w:val="32"/>
          <w:szCs w:val="32"/>
          <w:lang w:val="en-US" w:eastAsia="zh-CN"/>
        </w:rPr>
        <w:t>严格执行“三会一课”、主题党日、组织生活会等制度，开展主题党日活动10次，召开支部委员会12次，党员大会5次，讲党课3次，中心组专题学习7次；</w:t>
      </w:r>
      <w:r>
        <w:rPr>
          <w:rFonts w:hint="eastAsia" w:ascii="Times New Roman" w:hAnsi="Times New Roman" w:eastAsia="仿宋_GB2312" w:cs="Times New Roman"/>
          <w:b/>
          <w:bCs/>
          <w:sz w:val="32"/>
          <w:szCs w:val="32"/>
          <w:lang w:val="en-US" w:eastAsia="zh-CN"/>
        </w:rPr>
        <w:t>四是</w:t>
      </w:r>
      <w:r>
        <w:rPr>
          <w:rFonts w:hint="eastAsia" w:ascii="Times New Roman" w:hAnsi="Times New Roman" w:eastAsia="仿宋_GB2312" w:cs="Times New Roman"/>
          <w:sz w:val="32"/>
          <w:szCs w:val="32"/>
          <w:lang w:val="en-US" w:eastAsia="zh-CN"/>
        </w:rPr>
        <w:t>专题研究党风廉政工作4次，建立健全廉政风险防控机制，组织开展警示教育、约谈警示5次，会前学纪学法11次，分层级签订党风廉政建设和反腐败工作责任书20份、职工廉政承诺书39份，撰写廉政风险防控和承诺登记表39份，全面增强党员干部的廉洁自律意识；</w:t>
      </w:r>
      <w:r>
        <w:rPr>
          <w:rFonts w:hint="eastAsia" w:ascii="Times New Roman" w:hAnsi="Times New Roman" w:eastAsia="仿宋_GB2312" w:cs="Times New Roman"/>
          <w:b/>
          <w:bCs/>
          <w:sz w:val="32"/>
          <w:szCs w:val="32"/>
          <w:lang w:val="en-US" w:eastAsia="zh-CN"/>
        </w:rPr>
        <w:t>五是</w:t>
      </w:r>
      <w:r>
        <w:rPr>
          <w:rFonts w:hint="eastAsia" w:ascii="Times New Roman" w:hAnsi="Times New Roman" w:eastAsia="仿宋_GB2312" w:cs="Times New Roman"/>
          <w:sz w:val="32"/>
          <w:szCs w:val="32"/>
          <w:lang w:val="en-US" w:eastAsia="zh-CN"/>
        </w:rPr>
        <w:t>将意识形态工作纳入全局重点工作，召开专题会议2次，安排部署意识形态工作，开展中心组专题学习12次，积极建设网宣队伍，强化重要时段和敏感时期的舆情监管，及时收集社情民意，积极开展信访事项、12345诉求件处理工作，及时消除各类安全风险，牢牢掌握意识形态工作的主动权。</w:t>
      </w:r>
    </w:p>
    <w:p w14:paraId="7C0E66B1">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76" w:lineRule="exact"/>
        <w:ind w:right="0" w:firstLine="643" w:firstLineChars="200"/>
        <w:jc w:val="both"/>
        <w:textAlignment w:val="baseline"/>
        <w:outlineLvl w:val="9"/>
        <w:rPr>
          <w:rFonts w:hint="eastAsia" w:ascii="Times New Roman" w:hAnsi="Times New Roman" w:eastAsia="仿宋_GB2312" w:cs="Times New Roman"/>
          <w:sz w:val="32"/>
          <w:szCs w:val="32"/>
          <w:lang w:val="en-US" w:eastAsia="zh-CN"/>
        </w:rPr>
      </w:pPr>
      <w:r>
        <w:rPr>
          <w:rFonts w:hint="eastAsia" w:ascii="楷体" w:hAnsi="楷体" w:eastAsia="楷体" w:cs="楷体"/>
          <w:b/>
          <w:bCs/>
          <w:sz w:val="32"/>
          <w:szCs w:val="32"/>
          <w:u w:val="none"/>
          <w:lang w:val="en-US" w:eastAsia="zh-CN"/>
        </w:rPr>
        <w:t>2.房地产市场监管。</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专项检查“整治物业服务履约不到位、侵占业主公共收益等问题”13次，累计发现问题31个，完成整改31个；</w:t>
      </w: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sz w:val="32"/>
          <w:szCs w:val="32"/>
          <w:lang w:val="en-US" w:eastAsia="zh-CN"/>
        </w:rPr>
        <w:t>办理存量房网签和交易住宅109宗，交易金额4978.68万元，商品房94宗，交易金额7069.10万元，商铺1宗，交易金额68万元，监督管理2个房地产开发企业缴存预售监管资金的行为，监督缴存重点监管资金3685.72万元，已划拨重点资金2182.63万元，剩余重点监管资金1503.09万元；</w:t>
      </w:r>
      <w:r>
        <w:rPr>
          <w:rFonts w:hint="eastAsia"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sz w:val="32"/>
          <w:szCs w:val="32"/>
          <w:lang w:val="en-US" w:eastAsia="zh-CN"/>
        </w:rPr>
        <w:t>购房补贴申报情况，第一批申报购房补贴的96户，金额3,469,575.00元，发放州级30%资金104.09万元，第二批购房补贴正在收集材料审核。</w:t>
      </w:r>
    </w:p>
    <w:p w14:paraId="62F7CF95">
      <w:pPr>
        <w:keepNext w:val="0"/>
        <w:keepLines w:val="0"/>
        <w:pageBreakBefore w:val="0"/>
        <w:widowControl w:val="0"/>
        <w:kinsoku/>
        <w:wordWrap/>
        <w:overflowPunct/>
        <w:topLinePunct w:val="0"/>
        <w:autoSpaceDE/>
        <w:autoSpaceDN/>
        <w:bidi w:val="0"/>
        <w:snapToGrid/>
        <w:spacing w:before="0" w:beforeLines="0" w:beforeAutospacing="0" w:after="0" w:afterLines="0" w:afterAutospacing="0" w:line="576" w:lineRule="exact"/>
        <w:ind w:right="0" w:firstLine="643" w:firstLineChars="200"/>
        <w:jc w:val="both"/>
        <w:textAlignment w:val="baseline"/>
        <w:outlineLvl w:val="9"/>
        <w:rPr>
          <w:rFonts w:hint="default" w:ascii="仿宋_GB2312" w:eastAsia="仿宋_GB2312"/>
          <w:kern w:val="0"/>
          <w:sz w:val="32"/>
          <w:szCs w:val="32"/>
          <w:lang w:val="en-US" w:eastAsia="zh-CN"/>
        </w:rPr>
      </w:pPr>
      <w:r>
        <w:rPr>
          <w:rFonts w:hint="eastAsia" w:ascii="楷体" w:hAnsi="楷体" w:eastAsia="楷体" w:cs="楷体"/>
          <w:b/>
          <w:bCs/>
          <w:sz w:val="32"/>
          <w:szCs w:val="32"/>
          <w:u w:val="none"/>
          <w:lang w:val="en-US" w:eastAsia="zh-CN"/>
        </w:rPr>
        <w:t>3.建筑市场管理。</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2025年通过四川省一体化政务服务平台协助行政审批局核发建筑工程施工许可证22个，办理建设工程勘察文件及施工图设计文件审查备案22个，押证施工备案登记14个，工程项目建设登记18个，普通消防设计审查8个，特殊消防设计审查2个；</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按照《中华人民共和国招投标法》等法律法规，参与房建、市政类项目的公开招投标监督工作14次，收到投诉0起，下发招标意见监督书2份；</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开展了房建、市政类项目招投标环节专项整治工作，累计梳理项目226个，按照1.5%进行抽查，对14个项目进行了招投标环节资料抽查工作；</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2025上级部门对我县下达建筑业产值目标任务为5.27亿元，较去年增长8%，前三季度累计完成产值3.87亿元，同比增长12.1%，在全州排名是第10位，全年预计完成5.28亿元，同比增长8.19%，五是联合人社、综合执法等部门开展</w:t>
      </w:r>
      <w:r>
        <w:rPr>
          <w:rFonts w:hint="eastAsia" w:ascii="仿宋_GB2312" w:eastAsia="仿宋_GB2312"/>
          <w:sz w:val="32"/>
          <w:szCs w:val="32"/>
          <w:lang w:val="en-US" w:eastAsia="zh-CN"/>
        </w:rPr>
        <w:t>检查工地68次，</w:t>
      </w:r>
      <w:r>
        <w:rPr>
          <w:rFonts w:hint="eastAsia" w:ascii="仿宋_GB2312" w:eastAsia="仿宋_GB2312"/>
          <w:sz w:val="32"/>
          <w:szCs w:val="32"/>
          <w:lang w:eastAsia="zh-CN"/>
        </w:rPr>
        <w:t>下发整改通知</w:t>
      </w:r>
      <w:r>
        <w:rPr>
          <w:rFonts w:hint="eastAsia" w:ascii="仿宋_GB2312" w:eastAsia="仿宋_GB2312"/>
          <w:sz w:val="32"/>
          <w:szCs w:val="32"/>
          <w:lang w:val="en-US" w:eastAsia="zh-CN"/>
        </w:rPr>
        <w:t>40起，移交执法局7起，收到欠薪</w:t>
      </w:r>
      <w:r>
        <w:rPr>
          <w:rFonts w:hint="eastAsia" w:ascii="仿宋_GB2312" w:eastAsia="仿宋_GB2312" w:cs="Times New Roman"/>
          <w:b w:val="0"/>
          <w:bCs w:val="0"/>
          <w:sz w:val="32"/>
          <w:szCs w:val="32"/>
          <w:lang w:val="en-US" w:eastAsia="zh-CN"/>
        </w:rPr>
        <w:t>投诉8起，均已协调处理。</w:t>
      </w:r>
    </w:p>
    <w:p w14:paraId="40842D2C">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楷体" w:hAnsi="楷体" w:eastAsia="楷体" w:cs="楷体"/>
          <w:b/>
          <w:bCs/>
          <w:sz w:val="32"/>
          <w:szCs w:val="32"/>
          <w:u w:val="none"/>
          <w:lang w:val="en-US" w:eastAsia="zh-CN"/>
        </w:rPr>
        <w:t>4.住房保障。</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kern w:val="2"/>
          <w:sz w:val="32"/>
          <w:szCs w:val="32"/>
          <w:lang w:val="en-US" w:eastAsia="zh-CN" w:bidi="ar-SA"/>
        </w:rPr>
        <w:t>按照</w:t>
      </w:r>
      <w:r>
        <w:rPr>
          <w:rFonts w:hint="default" w:ascii="仿宋_GB2312" w:hAnsi="仿宋_GB2312" w:eastAsia="仿宋_GB2312" w:cs="仿宋_GB2312"/>
          <w:kern w:val="2"/>
          <w:sz w:val="32"/>
          <w:szCs w:val="32"/>
          <w:lang w:val="en-US" w:eastAsia="zh-CN" w:bidi="ar-SA"/>
        </w:rPr>
        <w:t>《九寨沟县公共租赁住房和廉租住房并轨运行的实施细则》</w:t>
      </w:r>
      <w:r>
        <w:rPr>
          <w:rFonts w:hint="eastAsia" w:ascii="仿宋_GB2312" w:hAnsi="仿宋_GB2312" w:eastAsia="仿宋_GB2312" w:cs="仿宋_GB2312"/>
          <w:kern w:val="2"/>
          <w:sz w:val="32"/>
          <w:szCs w:val="32"/>
          <w:lang w:val="en-US" w:eastAsia="zh-CN" w:bidi="ar-SA"/>
        </w:rPr>
        <w:t>要求，对30名符合实物配租条件人员完成了房屋配租工作；</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kern w:val="2"/>
          <w:sz w:val="32"/>
          <w:szCs w:val="32"/>
          <w:lang w:val="en-US" w:eastAsia="zh-CN" w:bidi="ar-SA"/>
        </w:rPr>
        <w:t>积极推进2025年既有住宅电梯增设工作，截止目前已开工建设73部，已完工38部；</w:t>
      </w:r>
      <w:r>
        <w:rPr>
          <w:rFonts w:hint="eastAsia" w:ascii="仿宋_GB2312" w:hAnsi="仿宋_GB2312" w:eastAsia="仿宋_GB2312" w:cs="仿宋_GB2312"/>
          <w:b/>
          <w:bCs/>
          <w:color w:val="auto"/>
          <w:kern w:val="2"/>
          <w:sz w:val="32"/>
          <w:szCs w:val="32"/>
          <w:lang w:val="en-US" w:eastAsia="zh-CN" w:bidi="ar-SA"/>
        </w:rPr>
        <w:t>三是</w:t>
      </w:r>
      <w:r>
        <w:rPr>
          <w:rFonts w:hint="eastAsia" w:ascii="仿宋_GB2312" w:hAnsi="仿宋_GB2312" w:eastAsia="仿宋_GB2312" w:cs="仿宋_GB2312"/>
          <w:kern w:val="2"/>
          <w:sz w:val="32"/>
          <w:szCs w:val="32"/>
          <w:lang w:val="en-US" w:eastAsia="zh-CN" w:bidi="ar-SA"/>
        </w:rPr>
        <w:t>完成了2025年5户危房改造工作，已竣工验收，预计11月中旬兑现补助资金“7.16”“7.24”强降雨导致房屋受损共计341户（其中维修加固305户，重建28户），截至目前已全部完工；</w:t>
      </w:r>
      <w:r>
        <w:rPr>
          <w:rFonts w:hint="eastAsia" w:ascii="仿宋_GB2312" w:hAnsi="仿宋_GB2312" w:eastAsia="仿宋_GB2312" w:cs="仿宋_GB2312"/>
          <w:color w:val="auto"/>
          <w:kern w:val="2"/>
          <w:sz w:val="32"/>
          <w:szCs w:val="32"/>
          <w:lang w:val="en-US" w:eastAsia="zh-CN" w:bidi="ar-SA"/>
        </w:rPr>
        <w:t>四是</w:t>
      </w:r>
      <w:r>
        <w:rPr>
          <w:rFonts w:hint="eastAsia" w:ascii="仿宋_GB2312" w:hAnsi="仿宋_GB2312" w:eastAsia="仿宋_GB2312" w:cs="仿宋_GB2312"/>
          <w:kern w:val="2"/>
          <w:sz w:val="32"/>
          <w:szCs w:val="32"/>
          <w:lang w:val="en-US" w:eastAsia="zh-CN" w:bidi="ar-SA"/>
        </w:rPr>
        <w:t>常态化开展做好全县自建房安全动态监测工作，暂未发现存在隐患房屋。</w:t>
      </w:r>
    </w:p>
    <w:p w14:paraId="07E17CB0">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u w:val="none"/>
          <w:lang w:val="en-US" w:eastAsia="zh-CN"/>
        </w:rPr>
        <w:t>5.项目建设。</w:t>
      </w:r>
      <w:r>
        <w:rPr>
          <w:rFonts w:hint="eastAsia" w:ascii="仿宋_GB2312" w:hAnsi="仿宋_GB2312" w:eastAsia="仿宋_GB2312" w:cs="仿宋_GB2312"/>
          <w:sz w:val="32"/>
          <w:szCs w:val="32"/>
          <w:lang w:val="en-US" w:eastAsia="zh-CN"/>
        </w:rPr>
        <w:t>2025年实施项目共6个，总投资14508万元。</w:t>
      </w:r>
      <w:r>
        <w:rPr>
          <w:rFonts w:hint="eastAsia" w:ascii="仿宋_GB2312" w:hAnsi="仿宋_GB2312" w:eastAsia="仿宋_GB2312" w:cs="仿宋_GB2312"/>
          <w:b/>
          <w:bCs/>
          <w:color w:val="auto"/>
          <w:kern w:val="2"/>
          <w:sz w:val="32"/>
          <w:szCs w:val="32"/>
          <w:lang w:val="en-US" w:eastAsia="zh-CN" w:bidi="ar-SA"/>
        </w:rPr>
        <w:t>一是</w:t>
      </w:r>
      <w:r>
        <w:rPr>
          <w:rFonts w:hint="eastAsia" w:ascii="仿宋_GB2312" w:hAnsi="仿宋_GB2312" w:eastAsia="仿宋_GB2312" w:cs="仿宋_GB2312"/>
          <w:sz w:val="32"/>
          <w:szCs w:val="32"/>
          <w:lang w:val="en-US" w:eastAsia="zh-CN"/>
        </w:rPr>
        <w:t>九寨沟县永丰旅游产业配套基础设施建设项目，已完成总工程量的88%，计划2025年12月完成建设；</w:t>
      </w:r>
      <w:r>
        <w:rPr>
          <w:rFonts w:hint="eastAsia" w:ascii="仿宋_GB2312" w:hAnsi="仿宋_GB2312" w:eastAsia="仿宋_GB2312" w:cs="仿宋_GB2312"/>
          <w:b/>
          <w:bCs/>
          <w:color w:val="auto"/>
          <w:kern w:val="2"/>
          <w:sz w:val="32"/>
          <w:szCs w:val="32"/>
          <w:lang w:val="en-US" w:eastAsia="zh-CN" w:bidi="ar-SA"/>
        </w:rPr>
        <w:t>二是</w:t>
      </w:r>
      <w:r>
        <w:rPr>
          <w:rFonts w:hint="eastAsia" w:ascii="仿宋_GB2312" w:hAnsi="仿宋_GB2312" w:eastAsia="仿宋_GB2312" w:cs="仿宋_GB2312"/>
          <w:sz w:val="32"/>
          <w:szCs w:val="32"/>
          <w:lang w:val="en-US" w:eastAsia="zh-CN"/>
        </w:rPr>
        <w:t>九寨沟县乡镇干部职工周转宿舍建设项目，已完成总工程量的90%，计划2025年12月底完成建设；</w:t>
      </w:r>
      <w:r>
        <w:rPr>
          <w:rFonts w:hint="eastAsia" w:ascii="仿宋_GB2312" w:hAnsi="仿宋_GB2312" w:eastAsia="仿宋_GB2312" w:cs="仿宋_GB2312"/>
          <w:b/>
          <w:bCs/>
          <w:color w:val="auto"/>
          <w:kern w:val="2"/>
          <w:sz w:val="32"/>
          <w:szCs w:val="32"/>
          <w:lang w:val="en-US" w:eastAsia="zh-CN" w:bidi="ar-SA"/>
        </w:rPr>
        <w:t>三是</w:t>
      </w:r>
      <w:r>
        <w:rPr>
          <w:rFonts w:hint="eastAsia" w:ascii="仿宋_GB2312" w:hAnsi="仿宋_GB2312" w:eastAsia="仿宋_GB2312" w:cs="仿宋_GB2312"/>
          <w:sz w:val="32"/>
          <w:szCs w:val="32"/>
          <w:lang w:val="en-US" w:eastAsia="zh-CN"/>
        </w:rPr>
        <w:t>九寨沟县垃圾分类项目，已完成总工程量的80%，目前正在争取缺口资金，待资金下达后立即实施后续工作，计划2025年12月完成建设；</w:t>
      </w:r>
      <w:r>
        <w:rPr>
          <w:rFonts w:hint="eastAsia" w:ascii="仿宋_GB2312" w:hAnsi="仿宋_GB2312" w:eastAsia="仿宋_GB2312" w:cs="仿宋_GB2312"/>
          <w:b/>
          <w:bCs/>
          <w:color w:val="auto"/>
          <w:kern w:val="2"/>
          <w:sz w:val="32"/>
          <w:szCs w:val="32"/>
          <w:lang w:val="en-US" w:eastAsia="zh-CN" w:bidi="ar-SA"/>
        </w:rPr>
        <w:t>四是</w:t>
      </w:r>
      <w:r>
        <w:rPr>
          <w:rFonts w:hint="eastAsia" w:ascii="仿宋_GB2312" w:hAnsi="仿宋_GB2312" w:eastAsia="仿宋_GB2312" w:cs="仿宋_GB2312"/>
          <w:sz w:val="32"/>
          <w:szCs w:val="32"/>
          <w:lang w:val="en-US" w:eastAsia="zh-CN"/>
        </w:rPr>
        <w:t>2024年城镇老旧小区改造项目，已完工；</w:t>
      </w:r>
      <w:r>
        <w:rPr>
          <w:rFonts w:hint="eastAsia" w:ascii="仿宋_GB2312" w:hAnsi="仿宋_GB2312" w:eastAsia="仿宋_GB2312" w:cs="仿宋_GB2312"/>
          <w:b/>
          <w:bCs/>
          <w:color w:val="auto"/>
          <w:kern w:val="2"/>
          <w:sz w:val="32"/>
          <w:szCs w:val="32"/>
          <w:lang w:val="en-US" w:eastAsia="zh-CN" w:bidi="ar-SA"/>
        </w:rPr>
        <w:t>五是</w:t>
      </w:r>
      <w:r>
        <w:rPr>
          <w:rFonts w:hint="eastAsia" w:ascii="仿宋_GB2312" w:hAnsi="仿宋_GB2312" w:eastAsia="仿宋_GB2312" w:cs="仿宋_GB2312"/>
          <w:sz w:val="32"/>
          <w:szCs w:val="32"/>
          <w:lang w:val="en-US" w:eastAsia="zh-CN"/>
        </w:rPr>
        <w:t>九寨沟县主城区供水管网改造项目，已完成工程量的95%，计划2025年12月完成建设；</w:t>
      </w:r>
      <w:r>
        <w:rPr>
          <w:rFonts w:hint="eastAsia" w:ascii="仿宋_GB2312" w:hAnsi="仿宋_GB2312" w:eastAsia="仿宋_GB2312" w:cs="仿宋_GB2312"/>
          <w:b/>
          <w:bCs/>
          <w:color w:val="auto"/>
          <w:kern w:val="2"/>
          <w:sz w:val="32"/>
          <w:szCs w:val="32"/>
          <w:lang w:val="en-US" w:eastAsia="zh-CN" w:bidi="ar-SA"/>
        </w:rPr>
        <w:t>六是</w:t>
      </w:r>
      <w:r>
        <w:rPr>
          <w:rFonts w:hint="eastAsia" w:ascii="仿宋_GB2312" w:hAnsi="仿宋_GB2312" w:eastAsia="仿宋_GB2312" w:cs="仿宋_GB2312"/>
          <w:sz w:val="32"/>
          <w:szCs w:val="32"/>
          <w:lang w:val="en-US" w:eastAsia="zh-CN"/>
        </w:rPr>
        <w:t>九寨沟县二号桥至下双河村基础设施建设项目，已完成投资3200万元，完成工程量的80%，计划2025年12月完成建设。</w:t>
      </w:r>
    </w:p>
    <w:p w14:paraId="69236E69">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u w:val="none"/>
          <w:lang w:val="en-US" w:eastAsia="zh-CN"/>
        </w:rPr>
        <w:t>6.环境保护。</w:t>
      </w:r>
      <w:r>
        <w:rPr>
          <w:rFonts w:hint="eastAsia" w:ascii="仿宋_GB2312" w:hAnsi="仿宋_GB2312" w:eastAsia="仿宋_GB2312" w:cs="仿宋_GB2312"/>
          <w:sz w:val="32"/>
          <w:szCs w:val="32"/>
          <w:lang w:val="en-US" w:eastAsia="zh-CN"/>
        </w:rPr>
        <w:t>紧盯前期未整改完成问题和2025年第三轮省级环保督察反馈问题清单，全力推进整改工作。</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前期未完成整的中央第二轮11项（省级整改任务49项）问题正在整改中，第二轮省级生态环境保护督察反馈问题（2项）已完成整改措施落地、效果核查等前期工作，目前正按程序准备销号材料，待上级审核通过后即可完成销号；</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sz w:val="32"/>
          <w:szCs w:val="32"/>
          <w:lang w:val="en-US" w:eastAsia="zh-CN"/>
        </w:rPr>
        <w:t>2025年第三轮省级环保督察反馈问题11个，已整改完成8个，剩余3个问题整在整改中。</w:t>
      </w:r>
    </w:p>
    <w:p w14:paraId="67AC712A">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楷体" w:hAnsi="楷体" w:eastAsia="楷体" w:cs="楷体"/>
          <w:b/>
          <w:bCs/>
          <w:sz w:val="32"/>
          <w:szCs w:val="32"/>
          <w:u w:val="none"/>
          <w:lang w:val="en-US" w:eastAsia="zh-CN"/>
        </w:rPr>
        <w:t>7.城乡环境质量提升。</w:t>
      </w:r>
      <w:r>
        <w:rPr>
          <w:rFonts w:hint="eastAsia" w:ascii="Times New Roman" w:hAnsi="Times New Roman" w:eastAsia="仿宋_GB2312" w:cs="Times New Roman"/>
          <w:b/>
          <w:bCs/>
          <w:color w:val="auto"/>
          <w:sz w:val="32"/>
          <w:szCs w:val="32"/>
          <w:lang w:val="en-US" w:eastAsia="zh-CN"/>
        </w:rPr>
        <w:t>一是</w:t>
      </w:r>
      <w:r>
        <w:rPr>
          <w:rFonts w:hint="default" w:ascii="Times New Roman" w:hAnsi="Times New Roman" w:eastAsia="仿宋_GB2312" w:cs="Times New Roman"/>
          <w:sz w:val="32"/>
          <w:szCs w:val="32"/>
          <w:lang w:val="en-US" w:eastAsia="zh-CN"/>
        </w:rPr>
        <w:t>以</w:t>
      </w:r>
      <w:r>
        <w:rPr>
          <w:rFonts w:hint="eastAsia" w:ascii="Times New Roman" w:hAnsi="Times New Roman" w:eastAsia="仿宋_GB2312" w:cs="Times New Roman"/>
          <w:sz w:val="32"/>
          <w:szCs w:val="32"/>
          <w:lang w:val="en-US" w:eastAsia="zh-CN"/>
        </w:rPr>
        <w:t>“2+5”专项整治、“三化、两提升”行动</w:t>
      </w:r>
      <w:r>
        <w:rPr>
          <w:rFonts w:hint="default" w:ascii="Times New Roman" w:hAnsi="Times New Roman" w:eastAsia="仿宋_GB2312" w:cs="Times New Roman"/>
          <w:sz w:val="32"/>
          <w:szCs w:val="32"/>
          <w:lang w:val="en-US" w:eastAsia="zh-CN"/>
        </w:rPr>
        <w:t>为切入点，采取“四不两直”的方式对各乡（镇）和牵头部门</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开展情况</w:t>
      </w:r>
      <w:r>
        <w:rPr>
          <w:rFonts w:hint="eastAsia" w:ascii="Times New Roman" w:hAnsi="Times New Roman" w:eastAsia="仿宋_GB2312" w:cs="Times New Roman"/>
          <w:sz w:val="32"/>
          <w:szCs w:val="32"/>
          <w:lang w:val="en-US" w:eastAsia="zh-CN"/>
        </w:rPr>
        <w:t>开展</w:t>
      </w:r>
      <w:r>
        <w:rPr>
          <w:rFonts w:hint="default" w:ascii="Times New Roman" w:hAnsi="Times New Roman" w:eastAsia="仿宋_GB2312" w:cs="Times New Roman"/>
          <w:sz w:val="32"/>
          <w:szCs w:val="32"/>
          <w:lang w:val="en-US" w:eastAsia="zh-CN"/>
        </w:rPr>
        <w:t>督导1次，对</w:t>
      </w:r>
      <w:r>
        <w:rPr>
          <w:rFonts w:hint="eastAsia" w:ascii="Times New Roman" w:hAnsi="Times New Roman" w:eastAsia="仿宋_GB2312" w:cs="Times New Roman"/>
          <w:sz w:val="32"/>
          <w:szCs w:val="32"/>
          <w:lang w:val="en-US" w:eastAsia="zh-CN"/>
        </w:rPr>
        <w:t>督导</w:t>
      </w:r>
      <w:r>
        <w:rPr>
          <w:rFonts w:hint="default" w:ascii="Times New Roman" w:hAnsi="Times New Roman" w:eastAsia="仿宋_GB2312" w:cs="Times New Roman"/>
          <w:sz w:val="32"/>
          <w:szCs w:val="32"/>
          <w:lang w:val="en-US" w:eastAsia="zh-CN"/>
        </w:rPr>
        <w:t>中发现问题</w:t>
      </w:r>
      <w:r>
        <w:rPr>
          <w:rFonts w:hint="eastAsia" w:ascii="Times New Roman" w:hAnsi="Times New Roman" w:eastAsia="仿宋_GB2312" w:cs="Times New Roman"/>
          <w:sz w:val="32"/>
          <w:szCs w:val="32"/>
          <w:lang w:val="en-US" w:eastAsia="zh-CN"/>
        </w:rPr>
        <w:t>及时进行了反馈，</w:t>
      </w:r>
      <w:r>
        <w:rPr>
          <w:rFonts w:hint="default" w:ascii="Times New Roman" w:hAnsi="Times New Roman" w:eastAsia="仿宋_GB2312" w:cs="Times New Roman"/>
          <w:sz w:val="32"/>
          <w:szCs w:val="32"/>
          <w:lang w:val="en-US" w:eastAsia="zh-CN"/>
        </w:rPr>
        <w:t>以督促改、以改提效</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b/>
          <w:bCs/>
          <w:color w:val="auto"/>
          <w:sz w:val="32"/>
          <w:szCs w:val="32"/>
          <w:lang w:val="en-US" w:eastAsia="zh-CN"/>
        </w:rPr>
        <w:t>二是</w:t>
      </w:r>
      <w:r>
        <w:rPr>
          <w:rFonts w:hint="eastAsia"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lang w:val="en-US" w:eastAsia="zh-CN"/>
        </w:rPr>
        <w:t>国省干线沿线、水域、路域、公厕环境环境综合治理开展督查3次，累计发出问题交办单单50份，整治各类环境问题385项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整改</w:t>
      </w:r>
      <w:r>
        <w:rPr>
          <w:rFonts w:hint="eastAsia" w:ascii="Times New Roman" w:hAnsi="Times New Roman" w:eastAsia="仿宋_GB2312" w:cs="Times New Roman"/>
          <w:sz w:val="32"/>
          <w:szCs w:val="32"/>
          <w:lang w:val="en-US" w:eastAsia="zh-CN"/>
        </w:rPr>
        <w:t>完成</w:t>
      </w:r>
      <w:r>
        <w:rPr>
          <w:rFonts w:hint="default" w:ascii="Times New Roman" w:hAnsi="Times New Roman" w:eastAsia="仿宋_GB2312" w:cs="Times New Roman"/>
          <w:sz w:val="32"/>
          <w:szCs w:val="32"/>
          <w:lang w:val="en-US" w:eastAsia="zh-CN"/>
        </w:rPr>
        <w:t>率100%</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b/>
          <w:bCs/>
          <w:color w:val="auto"/>
          <w:sz w:val="32"/>
          <w:szCs w:val="32"/>
          <w:lang w:val="en-US" w:eastAsia="zh-CN"/>
        </w:rPr>
        <w:t>三是</w:t>
      </w:r>
      <w:r>
        <w:rPr>
          <w:rFonts w:hint="eastAsia" w:ascii="Times New Roman" w:hAnsi="Times New Roman" w:eastAsia="仿宋_GB2312" w:cs="Times New Roman"/>
          <w:sz w:val="32"/>
          <w:szCs w:val="32"/>
          <w:lang w:val="en-US" w:eastAsia="zh-CN"/>
        </w:rPr>
        <w:t>组织</w:t>
      </w:r>
      <w:r>
        <w:rPr>
          <w:rFonts w:hint="default" w:ascii="Times New Roman" w:hAnsi="Times New Roman" w:eastAsia="仿宋_GB2312" w:cs="Times New Roman"/>
          <w:sz w:val="32"/>
          <w:szCs w:val="32"/>
          <w:lang w:val="en-US" w:eastAsia="zh-CN"/>
        </w:rPr>
        <w:t>开展“全域全民</w:t>
      </w:r>
      <w:r>
        <w:rPr>
          <w:rFonts w:hint="eastAsia" w:ascii="Times New Roman" w:hAnsi="Times New Roman" w:eastAsia="仿宋_GB2312" w:cs="Times New Roman"/>
          <w:sz w:val="32"/>
          <w:szCs w:val="32"/>
          <w:lang w:val="en-US" w:eastAsia="zh-CN"/>
        </w:rPr>
        <w:t>、全域无垃圾”</w:t>
      </w:r>
      <w:r>
        <w:rPr>
          <w:rFonts w:hint="default" w:ascii="Times New Roman" w:hAnsi="Times New Roman" w:eastAsia="仿宋_GB2312" w:cs="Times New Roman"/>
          <w:sz w:val="32"/>
          <w:szCs w:val="32"/>
          <w:lang w:val="en-US" w:eastAsia="zh-CN"/>
        </w:rPr>
        <w:t>城乡环境卫生大扫除</w:t>
      </w:r>
      <w:r>
        <w:rPr>
          <w:rFonts w:hint="eastAsia" w:ascii="Times New Roman" w:hAnsi="Times New Roman" w:eastAsia="仿宋_GB2312" w:cs="Times New Roman"/>
          <w:sz w:val="32"/>
          <w:szCs w:val="32"/>
          <w:lang w:val="en-US" w:eastAsia="zh-CN"/>
        </w:rPr>
        <w:t>、大整治、大提升</w:t>
      </w:r>
      <w:r>
        <w:rPr>
          <w:rFonts w:hint="default" w:ascii="Times New Roman" w:hAnsi="Times New Roman" w:eastAsia="仿宋_GB2312" w:cs="Times New Roman"/>
          <w:sz w:val="32"/>
          <w:szCs w:val="32"/>
          <w:lang w:val="en-US" w:eastAsia="zh-CN"/>
        </w:rPr>
        <w:t>活动12</w:t>
      </w:r>
      <w:r>
        <w:rPr>
          <w:rFonts w:hint="eastAsia" w:ascii="Times New Roman" w:hAnsi="Times New Roman" w:eastAsia="仿宋_GB2312" w:cs="Times New Roman"/>
          <w:sz w:val="32"/>
          <w:szCs w:val="32"/>
          <w:lang w:val="en-US" w:eastAsia="zh-CN"/>
        </w:rPr>
        <w:t>次，顺利完成了年度各项工作任务。</w:t>
      </w:r>
    </w:p>
    <w:p w14:paraId="4E6D20A1">
      <w:pPr>
        <w:keepNext w:val="0"/>
        <w:keepLines w:val="0"/>
        <w:pageBreakBefore w:val="0"/>
        <w:widowControl w:val="0"/>
        <w:kinsoku/>
        <w:wordWrap/>
        <w:overflowPunct/>
        <w:topLinePunct w:val="0"/>
        <w:autoSpaceDE/>
        <w:autoSpaceDN/>
        <w:bidi w:val="0"/>
        <w:adjustRightInd/>
        <w:snapToGrid/>
        <w:spacing w:line="576" w:lineRule="exact"/>
        <w:ind w:leftChars="0" w:firstLine="643" w:firstLineChars="200"/>
        <w:jc w:val="both"/>
        <w:textAlignment w:val="auto"/>
        <w:rPr>
          <w:rFonts w:hint="default" w:ascii="Times New Roman" w:hAnsi="Times New Roman" w:eastAsia="仿宋_GB2312" w:cs="Times New Roman"/>
          <w:sz w:val="32"/>
          <w:szCs w:val="32"/>
          <w:lang w:val="en-US" w:eastAsia="zh-CN"/>
        </w:rPr>
      </w:pPr>
      <w:r>
        <w:rPr>
          <w:rFonts w:hint="eastAsia" w:ascii="楷体" w:hAnsi="楷体" w:eastAsia="楷体" w:cs="楷体"/>
          <w:b/>
          <w:bCs/>
          <w:sz w:val="32"/>
          <w:szCs w:val="32"/>
          <w:u w:val="none"/>
          <w:lang w:val="en-US" w:eastAsia="zh-CN"/>
        </w:rPr>
        <w:t>8.城市管理工作。</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积极</w:t>
      </w:r>
      <w:r>
        <w:rPr>
          <w:rFonts w:hint="default" w:ascii="Times New Roman" w:hAnsi="Times New Roman" w:eastAsia="仿宋_GB2312" w:cs="Times New Roman"/>
          <w:sz w:val="32"/>
          <w:szCs w:val="32"/>
          <w:lang w:val="en-US" w:eastAsia="zh-CN"/>
        </w:rPr>
        <w:t>营造文明有序的市容环境，累计规范占道经营500余次、跨门经营600余次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文明劝导流动商贩500余人次；规范以车为市500余车次；联合县执法局、县交警大队、县市场监督管理局开展联合执法5次，整治跨门经营商户6家，下达整改通知书5份；审批店招店牌48个、商户户外活动的备案10起；按照旅游示范公厕标准，累计清理垃圾10000余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清理幕布及小广告“牛皮癣”1500余处；</w:t>
      </w:r>
      <w:r>
        <w:rPr>
          <w:rFonts w:hint="eastAsia"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lang w:val="en-US" w:eastAsia="zh-CN"/>
        </w:rPr>
        <w:t>是</w:t>
      </w:r>
      <w:r>
        <w:rPr>
          <w:rFonts w:hint="default" w:ascii="Times New Roman" w:hAnsi="Times New Roman" w:eastAsia="仿宋_GB2312" w:cs="Times New Roman"/>
          <w:sz w:val="32"/>
          <w:szCs w:val="32"/>
          <w:lang w:val="en-US" w:eastAsia="zh-CN"/>
        </w:rPr>
        <w:t>根据季节更换城区主次干道花箱、时令草花20000余盆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补植老城死亡行道树21棵</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定时开展园林绿化隐患排查，排查出隐患</w:t>
      </w:r>
      <w:r>
        <w:rPr>
          <w:rFonts w:hint="eastAsia" w:ascii="Times New Roman" w:hAnsi="Times New Roman" w:eastAsia="仿宋_GB2312" w:cs="Times New Roman"/>
          <w:sz w:val="32"/>
          <w:szCs w:val="32"/>
          <w:lang w:val="en-US" w:eastAsia="zh-CN"/>
        </w:rPr>
        <w:t>问题</w:t>
      </w:r>
      <w:r>
        <w:rPr>
          <w:rFonts w:hint="default"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val="en-US" w:eastAsia="zh-CN"/>
        </w:rPr>
        <w:t>个，</w:t>
      </w:r>
      <w:r>
        <w:rPr>
          <w:rFonts w:hint="default" w:ascii="Times New Roman" w:hAnsi="Times New Roman" w:eastAsia="仿宋_GB2312" w:cs="Times New Roman"/>
          <w:sz w:val="32"/>
          <w:szCs w:val="32"/>
          <w:lang w:val="en-US" w:eastAsia="zh-CN"/>
        </w:rPr>
        <w:t>已</w:t>
      </w:r>
      <w:r>
        <w:rPr>
          <w:rFonts w:hint="eastAsia" w:ascii="Times New Roman" w:hAnsi="Times New Roman" w:eastAsia="仿宋_GB2312" w:cs="Times New Roman"/>
          <w:sz w:val="32"/>
          <w:szCs w:val="32"/>
          <w:lang w:val="en-US" w:eastAsia="zh-CN"/>
        </w:rPr>
        <w:t>全部</w:t>
      </w:r>
      <w:r>
        <w:rPr>
          <w:rFonts w:hint="default" w:ascii="Times New Roman" w:hAnsi="Times New Roman" w:eastAsia="仿宋_GB2312" w:cs="Times New Roman"/>
          <w:sz w:val="32"/>
          <w:szCs w:val="32"/>
          <w:lang w:val="en-US" w:eastAsia="zh-CN"/>
        </w:rPr>
        <w:t>处理</w:t>
      </w:r>
      <w:r>
        <w:rPr>
          <w:rFonts w:hint="eastAsia" w:ascii="Times New Roman" w:hAnsi="Times New Roman" w:eastAsia="仿宋_GB2312" w:cs="Times New Roman"/>
          <w:sz w:val="32"/>
          <w:szCs w:val="32"/>
          <w:lang w:val="en-US" w:eastAsia="zh-CN"/>
        </w:rPr>
        <w:t>完成，</w:t>
      </w:r>
      <w:r>
        <w:rPr>
          <w:rFonts w:hint="default" w:ascii="Times New Roman" w:hAnsi="Times New Roman" w:eastAsia="仿宋_GB2312" w:cs="Times New Roman"/>
          <w:sz w:val="32"/>
          <w:szCs w:val="32"/>
          <w:lang w:val="en-US" w:eastAsia="zh-CN"/>
        </w:rPr>
        <w:t>处理车祸损毁绿化5起、办理绿化占用审批2次</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sz w:val="32"/>
          <w:szCs w:val="32"/>
          <w:lang w:val="en-US" w:eastAsia="zh-CN"/>
        </w:rPr>
        <w:t>对城区破损及存在安全隐患的设施设备进行维修翻新，</w:t>
      </w:r>
      <w:r>
        <w:rPr>
          <w:rFonts w:hint="default" w:ascii="Times New Roman" w:hAnsi="Times New Roman" w:eastAsia="仿宋_GB2312" w:cs="Times New Roman"/>
          <w:sz w:val="32"/>
          <w:szCs w:val="32"/>
          <w:lang w:val="en-US" w:eastAsia="zh-CN"/>
        </w:rPr>
        <w:t>累计修复破损人行道及路面约300平方米，修补路缘石约600米；清理排水管道约18公里，疏通雨水井、污水井900余个；审批临时占用市政手续8起</w:t>
      </w:r>
      <w:r>
        <w:rPr>
          <w:rFonts w:hint="eastAsia" w:ascii="Times New Roman" w:hAnsi="Times New Roman" w:eastAsia="仿宋_GB2312" w:cs="Times New Roman"/>
          <w:sz w:val="32"/>
          <w:szCs w:val="32"/>
          <w:lang w:val="en-US" w:eastAsia="zh-CN"/>
        </w:rPr>
        <w:t>，完成办理退还4起，开展系统化排查检测排水管网5.9公里，</w:t>
      </w:r>
      <w:r>
        <w:rPr>
          <w:rFonts w:hint="default" w:ascii="Times New Roman" w:hAnsi="Times New Roman" w:eastAsia="仿宋_GB2312" w:cs="Times New Roman"/>
          <w:sz w:val="32"/>
          <w:szCs w:val="32"/>
          <w:lang w:val="en-US" w:eastAsia="zh-CN"/>
        </w:rPr>
        <w:t>更换损坏灯泡1610个、维修电缆线路160余米、处理故障灯杆233余次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亮灯率达98%。</w:t>
      </w:r>
    </w:p>
    <w:p w14:paraId="41D62D4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textAlignment w:val="auto"/>
        <w:outlineLvl w:val="2"/>
        <w:rPr>
          <w:rFonts w:hint="default" w:ascii="Times New Roman" w:hAnsi="Times New Roman" w:eastAsia="仿宋_GB2312" w:cs="仿宋_GB2312"/>
          <w:sz w:val="32"/>
          <w:szCs w:val="32"/>
          <w:lang w:val="en-US" w:eastAsia="zh-CN"/>
        </w:rPr>
      </w:pPr>
      <w:r>
        <w:rPr>
          <w:rFonts w:hint="eastAsia" w:ascii="楷体" w:hAnsi="楷体" w:eastAsia="楷体" w:cs="楷体"/>
          <w:b/>
          <w:bCs/>
          <w:sz w:val="32"/>
          <w:szCs w:val="32"/>
          <w:u w:val="none"/>
          <w:lang w:val="en-US" w:eastAsia="zh-CN"/>
        </w:rPr>
        <w:t>9.安全生产工作。</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开展燃气场站安全日常检查12次,排查出一般安全隐患39个，整改完成一般安全隐患35个，剩余4个问题正在整改中；联合消防、应急、市场监管、综合执法等部门对人员密集场所开展排查3次，累计检查场所340家，发现隐患58个，整改完成58个；发放宣传资料1500余份、开展应急演练2次，全力提高居民和企业应对突发情况的能力和水平；</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组织召开电梯加装专题会议4次，组织电梯加装企业、小区代表召开会议8次，建立电梯增设专项备案制度，全面审核设计、施工、监理等单位的资质条件，从源头上把好“入门关”，取“四不两直”方式，开展检查8次，发现安全问题3个，发现问题已全部整改完成，全力确保电梯加装全过程安全；</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组织施工、监理企业召开安全生产专题会、培训会2次，累计开展建筑工地质量安全检查97余次，发现问题隐患42个，其中重大隐患2个，目前均已整改完成；针对安全生产工作，移交立案查处企业和人员问题11个，处罚金额18.48万元，检查特种作业人员持证上岗情况20余次，发现问题2个，均已整改完成，有效杜绝了无证上岗等问题；</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专项检查物业小区消防安全、电动自行车安全隐患整治11次，累计发现一般安全安全隐患41个，完成整改40个，推送安全提示15次，发放宣传手册170余份，物业企业开展应急演练3次，有效防止物业小区火灾事故，保障了业主生命财产安全。</w:t>
      </w:r>
    </w:p>
    <w:p w14:paraId="2E1F06CE">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w:t>
      </w:r>
      <w:r>
        <w:rPr>
          <w:rFonts w:ascii="黑体" w:hAnsi="黑体" w:eastAsia="黑体"/>
          <w:sz w:val="32"/>
          <w:szCs w:val="32"/>
          <w:highlight w:val="none"/>
        </w:rPr>
        <w:t>、</w:t>
      </w:r>
      <w:r>
        <w:rPr>
          <w:rFonts w:hint="eastAsia" w:ascii="黑体" w:hAnsi="黑体" w:eastAsia="黑体"/>
          <w:sz w:val="32"/>
          <w:szCs w:val="32"/>
          <w:highlight w:val="none"/>
        </w:rPr>
        <w:t>部门预算单位</w:t>
      </w:r>
      <w:r>
        <w:rPr>
          <w:rFonts w:ascii="黑体" w:hAnsi="黑体" w:eastAsia="黑体"/>
          <w:sz w:val="32"/>
          <w:szCs w:val="32"/>
          <w:highlight w:val="none"/>
        </w:rPr>
        <w:t>构成</w:t>
      </w:r>
    </w:p>
    <w:p w14:paraId="245F2F25">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lang w:eastAsia="zh-CN"/>
        </w:rPr>
        <w:t>九寨沟县住房和城乡局</w:t>
      </w:r>
      <w:r>
        <w:rPr>
          <w:rFonts w:hint="eastAsia" w:ascii="仿宋_GB2312" w:hAnsi="仿宋" w:eastAsia="仿宋_GB2312"/>
          <w:sz w:val="32"/>
          <w:szCs w:val="32"/>
          <w:highlight w:val="none"/>
        </w:rPr>
        <w:t>下属二级预算单位</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个，下属机构</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个，内设机构</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个，主要包括：</w:t>
      </w:r>
    </w:p>
    <w:tbl>
      <w:tblPr>
        <w:tblStyle w:val="12"/>
        <w:tblW w:w="7360" w:type="dxa"/>
        <w:jc w:val="center"/>
        <w:tblLayout w:type="autofit"/>
        <w:tblCellMar>
          <w:top w:w="0" w:type="dxa"/>
          <w:left w:w="108" w:type="dxa"/>
          <w:bottom w:w="0" w:type="dxa"/>
          <w:right w:w="108" w:type="dxa"/>
        </w:tblCellMar>
      </w:tblPr>
      <w:tblGrid>
        <w:gridCol w:w="1020"/>
        <w:gridCol w:w="6340"/>
      </w:tblGrid>
      <w:tr w14:paraId="5F74E8CA">
        <w:tblPrEx>
          <w:tblCellMar>
            <w:top w:w="0" w:type="dxa"/>
            <w:left w:w="108" w:type="dxa"/>
            <w:bottom w:w="0" w:type="dxa"/>
            <w:right w:w="108" w:type="dxa"/>
          </w:tblCellMar>
        </w:tblPrEx>
        <w:trPr>
          <w:trHeight w:val="285" w:hRule="atLeast"/>
          <w:jc w:val="center"/>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BD599">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3533FED9">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机构名称</w:t>
            </w:r>
          </w:p>
        </w:tc>
      </w:tr>
      <w:tr w14:paraId="2424C2C6">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70916E59">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w:t>
            </w:r>
          </w:p>
        </w:tc>
        <w:tc>
          <w:tcPr>
            <w:tcW w:w="6340" w:type="dxa"/>
            <w:tcBorders>
              <w:top w:val="nil"/>
              <w:left w:val="nil"/>
              <w:bottom w:val="single" w:color="auto" w:sz="4" w:space="0"/>
              <w:right w:val="single" w:color="auto" w:sz="4" w:space="0"/>
            </w:tcBorders>
            <w:shd w:val="clear" w:color="auto" w:fill="auto"/>
            <w:vAlign w:val="center"/>
          </w:tcPr>
          <w:p w14:paraId="24BA96D2">
            <w:pPr>
              <w:widowControl/>
              <w:jc w:val="both"/>
              <w:rPr>
                <w:rFonts w:hint="eastAsia" w:ascii="仿宋_GB2312" w:hAnsi="仿宋" w:eastAsia="仿宋_GB2312" w:cs="Arial"/>
                <w:kern w:val="0"/>
                <w:sz w:val="32"/>
                <w:szCs w:val="32"/>
                <w:highlight w:val="none"/>
                <w:lang w:eastAsia="zh-CN"/>
              </w:rPr>
            </w:pPr>
            <w:r>
              <w:rPr>
                <w:rFonts w:hint="eastAsia" w:ascii="仿宋_GB2312" w:hAnsi="仿宋" w:eastAsia="仿宋_GB2312" w:cs="Arial"/>
                <w:kern w:val="0"/>
                <w:sz w:val="32"/>
                <w:szCs w:val="32"/>
                <w:highlight w:val="none"/>
                <w:lang w:eastAsia="zh-CN"/>
              </w:rPr>
              <w:t>九寨沟县建设工程质量安全监督站</w:t>
            </w:r>
          </w:p>
        </w:tc>
      </w:tr>
      <w:tr w14:paraId="6B9935BB">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B5B4D61">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2</w:t>
            </w:r>
          </w:p>
        </w:tc>
        <w:tc>
          <w:tcPr>
            <w:tcW w:w="6340" w:type="dxa"/>
            <w:tcBorders>
              <w:top w:val="nil"/>
              <w:left w:val="nil"/>
              <w:bottom w:val="single" w:color="auto" w:sz="4" w:space="0"/>
              <w:right w:val="single" w:color="auto" w:sz="4" w:space="0"/>
            </w:tcBorders>
            <w:shd w:val="clear" w:color="auto" w:fill="auto"/>
            <w:vAlign w:val="center"/>
          </w:tcPr>
          <w:p w14:paraId="46DB7444">
            <w:pPr>
              <w:widowControl/>
              <w:jc w:val="both"/>
              <w:rPr>
                <w:rFonts w:ascii="仿宋_GB2312" w:hAnsi="仿宋" w:eastAsia="仿宋_GB2312" w:cs="Arial"/>
                <w:kern w:val="0"/>
                <w:sz w:val="32"/>
                <w:szCs w:val="32"/>
                <w:highlight w:val="none"/>
              </w:rPr>
            </w:pPr>
          </w:p>
        </w:tc>
      </w:tr>
      <w:tr w14:paraId="2F6AB31F">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DE92AE5">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3</w:t>
            </w:r>
          </w:p>
        </w:tc>
        <w:tc>
          <w:tcPr>
            <w:tcW w:w="6340" w:type="dxa"/>
            <w:tcBorders>
              <w:top w:val="nil"/>
              <w:left w:val="nil"/>
              <w:bottom w:val="single" w:color="auto" w:sz="4" w:space="0"/>
              <w:right w:val="single" w:color="auto" w:sz="4" w:space="0"/>
            </w:tcBorders>
            <w:shd w:val="clear" w:color="auto" w:fill="auto"/>
            <w:vAlign w:val="center"/>
          </w:tcPr>
          <w:p w14:paraId="51312DF8">
            <w:pPr>
              <w:widowControl/>
              <w:jc w:val="both"/>
              <w:rPr>
                <w:rFonts w:ascii="仿宋_GB2312" w:hAnsi="仿宋" w:eastAsia="仿宋_GB2312" w:cs="Arial"/>
                <w:kern w:val="0"/>
                <w:sz w:val="32"/>
                <w:szCs w:val="32"/>
                <w:highlight w:val="none"/>
              </w:rPr>
            </w:pPr>
          </w:p>
        </w:tc>
      </w:tr>
      <w:tr w14:paraId="0C8E2E2C">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4F2427F5">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4</w:t>
            </w:r>
          </w:p>
        </w:tc>
        <w:tc>
          <w:tcPr>
            <w:tcW w:w="6340" w:type="dxa"/>
            <w:tcBorders>
              <w:top w:val="nil"/>
              <w:left w:val="nil"/>
              <w:bottom w:val="single" w:color="auto" w:sz="4" w:space="0"/>
              <w:right w:val="single" w:color="auto" w:sz="4" w:space="0"/>
            </w:tcBorders>
            <w:shd w:val="clear" w:color="auto" w:fill="auto"/>
            <w:vAlign w:val="center"/>
          </w:tcPr>
          <w:p w14:paraId="66B3524B">
            <w:pPr>
              <w:widowControl/>
              <w:jc w:val="both"/>
              <w:rPr>
                <w:rFonts w:ascii="仿宋_GB2312" w:hAnsi="仿宋" w:eastAsia="仿宋_GB2312" w:cs="Arial"/>
                <w:kern w:val="0"/>
                <w:sz w:val="32"/>
                <w:szCs w:val="32"/>
                <w:highlight w:val="none"/>
              </w:rPr>
            </w:pPr>
          </w:p>
        </w:tc>
      </w:tr>
      <w:tr w14:paraId="6C7AACC5">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5D45117C">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5</w:t>
            </w:r>
          </w:p>
        </w:tc>
        <w:tc>
          <w:tcPr>
            <w:tcW w:w="6340" w:type="dxa"/>
            <w:tcBorders>
              <w:top w:val="nil"/>
              <w:left w:val="nil"/>
              <w:bottom w:val="single" w:color="auto" w:sz="4" w:space="0"/>
              <w:right w:val="single" w:color="auto" w:sz="4" w:space="0"/>
            </w:tcBorders>
            <w:shd w:val="clear" w:color="auto" w:fill="auto"/>
            <w:vAlign w:val="center"/>
          </w:tcPr>
          <w:p w14:paraId="11913BB5">
            <w:pPr>
              <w:widowControl/>
              <w:jc w:val="both"/>
              <w:rPr>
                <w:rFonts w:ascii="仿宋_GB2312" w:hAnsi="仿宋" w:eastAsia="仿宋_GB2312" w:cs="Arial"/>
                <w:kern w:val="0"/>
                <w:sz w:val="32"/>
                <w:szCs w:val="32"/>
                <w:highlight w:val="none"/>
              </w:rPr>
            </w:pPr>
          </w:p>
        </w:tc>
      </w:tr>
      <w:tr w14:paraId="5F4DD7A5">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E62FFAE">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6</w:t>
            </w:r>
          </w:p>
        </w:tc>
        <w:tc>
          <w:tcPr>
            <w:tcW w:w="6340" w:type="dxa"/>
            <w:tcBorders>
              <w:top w:val="nil"/>
              <w:left w:val="nil"/>
              <w:bottom w:val="single" w:color="auto" w:sz="4" w:space="0"/>
              <w:right w:val="single" w:color="auto" w:sz="4" w:space="0"/>
            </w:tcBorders>
            <w:shd w:val="clear" w:color="auto" w:fill="auto"/>
            <w:vAlign w:val="center"/>
          </w:tcPr>
          <w:p w14:paraId="407C80A8">
            <w:pPr>
              <w:widowControl/>
              <w:jc w:val="both"/>
              <w:rPr>
                <w:rFonts w:ascii="仿宋_GB2312" w:hAnsi="仿宋" w:eastAsia="仿宋_GB2312" w:cs="Arial"/>
                <w:kern w:val="0"/>
                <w:sz w:val="32"/>
                <w:szCs w:val="32"/>
                <w:highlight w:val="none"/>
              </w:rPr>
            </w:pPr>
          </w:p>
        </w:tc>
      </w:tr>
      <w:tr w14:paraId="0F60F8C8">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2BA34444">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7</w:t>
            </w:r>
          </w:p>
        </w:tc>
        <w:tc>
          <w:tcPr>
            <w:tcW w:w="6340" w:type="dxa"/>
            <w:tcBorders>
              <w:top w:val="nil"/>
              <w:left w:val="nil"/>
              <w:bottom w:val="single" w:color="auto" w:sz="4" w:space="0"/>
              <w:right w:val="single" w:color="auto" w:sz="4" w:space="0"/>
            </w:tcBorders>
            <w:shd w:val="clear" w:color="auto" w:fill="auto"/>
            <w:vAlign w:val="center"/>
          </w:tcPr>
          <w:p w14:paraId="650D0968">
            <w:pPr>
              <w:widowControl/>
              <w:jc w:val="both"/>
              <w:rPr>
                <w:rFonts w:ascii="仿宋_GB2312" w:hAnsi="仿宋" w:eastAsia="仿宋_GB2312" w:cs="Arial"/>
                <w:kern w:val="0"/>
                <w:sz w:val="32"/>
                <w:szCs w:val="32"/>
                <w:highlight w:val="none"/>
              </w:rPr>
            </w:pPr>
          </w:p>
        </w:tc>
      </w:tr>
      <w:tr w14:paraId="2CDA0C77">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360DCE36">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8</w:t>
            </w:r>
          </w:p>
        </w:tc>
        <w:tc>
          <w:tcPr>
            <w:tcW w:w="6340" w:type="dxa"/>
            <w:tcBorders>
              <w:top w:val="nil"/>
              <w:left w:val="nil"/>
              <w:bottom w:val="single" w:color="auto" w:sz="4" w:space="0"/>
              <w:right w:val="single" w:color="auto" w:sz="4" w:space="0"/>
            </w:tcBorders>
            <w:shd w:val="clear" w:color="auto" w:fill="auto"/>
            <w:vAlign w:val="center"/>
          </w:tcPr>
          <w:p w14:paraId="29BA48FC">
            <w:pPr>
              <w:widowControl/>
              <w:jc w:val="both"/>
              <w:rPr>
                <w:rFonts w:ascii="仿宋_GB2312" w:hAnsi="仿宋" w:eastAsia="仿宋_GB2312" w:cs="Arial"/>
                <w:kern w:val="0"/>
                <w:sz w:val="32"/>
                <w:szCs w:val="32"/>
                <w:highlight w:val="none"/>
              </w:rPr>
            </w:pPr>
          </w:p>
        </w:tc>
      </w:tr>
      <w:tr w14:paraId="5A546FDF">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6AB8723B">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9</w:t>
            </w:r>
          </w:p>
        </w:tc>
        <w:tc>
          <w:tcPr>
            <w:tcW w:w="6340" w:type="dxa"/>
            <w:tcBorders>
              <w:top w:val="nil"/>
              <w:left w:val="nil"/>
              <w:bottom w:val="single" w:color="auto" w:sz="4" w:space="0"/>
              <w:right w:val="single" w:color="auto" w:sz="4" w:space="0"/>
            </w:tcBorders>
            <w:shd w:val="clear" w:color="auto" w:fill="auto"/>
            <w:vAlign w:val="center"/>
          </w:tcPr>
          <w:p w14:paraId="63CDA141">
            <w:pPr>
              <w:widowControl/>
              <w:jc w:val="both"/>
              <w:rPr>
                <w:rFonts w:ascii="仿宋_GB2312" w:hAnsi="仿宋" w:eastAsia="仿宋_GB2312" w:cs="Arial"/>
                <w:kern w:val="0"/>
                <w:sz w:val="32"/>
                <w:szCs w:val="32"/>
                <w:highlight w:val="none"/>
              </w:rPr>
            </w:pPr>
          </w:p>
        </w:tc>
      </w:tr>
      <w:tr w14:paraId="7C405705">
        <w:tblPrEx>
          <w:tblCellMar>
            <w:top w:w="0" w:type="dxa"/>
            <w:left w:w="108" w:type="dxa"/>
            <w:bottom w:w="0" w:type="dxa"/>
            <w:right w:w="108" w:type="dxa"/>
          </w:tblCellMar>
        </w:tblPrEx>
        <w:trPr>
          <w:trHeight w:val="383" w:hRule="atLeast"/>
          <w:jc w:val="center"/>
        </w:trPr>
        <w:tc>
          <w:tcPr>
            <w:tcW w:w="1020" w:type="dxa"/>
            <w:tcBorders>
              <w:top w:val="nil"/>
              <w:left w:val="single" w:color="auto" w:sz="4" w:space="0"/>
              <w:bottom w:val="single" w:color="auto" w:sz="4" w:space="0"/>
              <w:right w:val="single" w:color="auto" w:sz="4" w:space="0"/>
            </w:tcBorders>
            <w:shd w:val="clear" w:color="auto" w:fill="auto"/>
            <w:vAlign w:val="center"/>
          </w:tcPr>
          <w:p w14:paraId="1D7240E5">
            <w:pPr>
              <w:widowControl/>
              <w:jc w:val="both"/>
              <w:rPr>
                <w:rFonts w:ascii="仿宋_GB2312" w:hAnsi="仿宋" w:eastAsia="仿宋_GB2312" w:cs="Arial"/>
                <w:kern w:val="0"/>
                <w:sz w:val="32"/>
                <w:szCs w:val="32"/>
                <w:highlight w:val="none"/>
              </w:rPr>
            </w:pPr>
            <w:r>
              <w:rPr>
                <w:rFonts w:hint="eastAsia" w:ascii="仿宋_GB2312" w:hAnsi="仿宋" w:eastAsia="仿宋_GB2312" w:cs="Arial"/>
                <w:kern w:val="0"/>
                <w:sz w:val="32"/>
                <w:szCs w:val="32"/>
                <w:highlight w:val="none"/>
              </w:rPr>
              <w:t>10</w:t>
            </w:r>
          </w:p>
        </w:tc>
        <w:tc>
          <w:tcPr>
            <w:tcW w:w="6340" w:type="dxa"/>
            <w:tcBorders>
              <w:top w:val="nil"/>
              <w:left w:val="nil"/>
              <w:bottom w:val="single" w:color="auto" w:sz="4" w:space="0"/>
              <w:right w:val="single" w:color="auto" w:sz="4" w:space="0"/>
            </w:tcBorders>
            <w:shd w:val="clear" w:color="auto" w:fill="auto"/>
            <w:vAlign w:val="center"/>
          </w:tcPr>
          <w:p w14:paraId="17DE34D3">
            <w:pPr>
              <w:widowControl/>
              <w:jc w:val="both"/>
              <w:rPr>
                <w:rFonts w:ascii="仿宋_GB2312" w:hAnsi="仿宋" w:eastAsia="仿宋_GB2312" w:cs="Arial"/>
                <w:kern w:val="0"/>
                <w:sz w:val="32"/>
                <w:szCs w:val="32"/>
                <w:highlight w:val="none"/>
              </w:rPr>
            </w:pPr>
          </w:p>
        </w:tc>
      </w:tr>
    </w:tbl>
    <w:p w14:paraId="05A9D79F">
      <w:pPr>
        <w:pStyle w:val="2"/>
        <w:ind w:left="0" w:leftChars="0" w:firstLine="0" w:firstLineChars="0"/>
        <w:rPr>
          <w:rFonts w:ascii="方正小标宋简体" w:hAnsi="黑体" w:eastAsia="方正小标宋简体"/>
          <w:sz w:val="44"/>
          <w:szCs w:val="44"/>
          <w:highlight w:val="none"/>
        </w:rPr>
      </w:pPr>
    </w:p>
    <w:p w14:paraId="40495D2E">
      <w:pPr>
        <w:rPr>
          <w:rFonts w:ascii="方正小标宋简体" w:hAnsi="黑体" w:eastAsia="方正小标宋简体"/>
          <w:sz w:val="44"/>
          <w:szCs w:val="44"/>
          <w:highlight w:val="none"/>
        </w:rPr>
      </w:pPr>
    </w:p>
    <w:p w14:paraId="3F1BAF69">
      <w:pPr>
        <w:pStyle w:val="2"/>
        <w:rPr>
          <w:rFonts w:ascii="方正小标宋简体" w:hAnsi="黑体" w:eastAsia="方正小标宋简体"/>
          <w:sz w:val="44"/>
          <w:szCs w:val="44"/>
          <w:highlight w:val="none"/>
        </w:rPr>
      </w:pPr>
    </w:p>
    <w:p w14:paraId="4849251B">
      <w:pPr>
        <w:ind w:left="3080" w:hanging="3080" w:hangingChars="700"/>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第二部分  </w:t>
      </w:r>
      <w:r>
        <w:rPr>
          <w:rFonts w:hint="eastAsia" w:ascii="方正小标宋简体" w:hAnsi="黑体" w:eastAsia="方正小标宋简体"/>
          <w:sz w:val="44"/>
          <w:szCs w:val="44"/>
          <w:highlight w:val="none"/>
          <w:lang w:eastAsia="zh-CN"/>
        </w:rPr>
        <w:t>九寨沟县住房和城乡建设局</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6</w:t>
      </w:r>
      <w:r>
        <w:rPr>
          <w:rFonts w:hint="eastAsia" w:ascii="方正小标宋简体" w:hAnsi="黑体" w:eastAsia="方正小标宋简体"/>
          <w:sz w:val="44"/>
          <w:szCs w:val="44"/>
          <w:highlight w:val="none"/>
        </w:rPr>
        <w:t>年</w:t>
      </w:r>
      <w:r>
        <w:rPr>
          <w:rFonts w:ascii="方正小标宋简体" w:hAnsi="黑体" w:eastAsia="方正小标宋简体"/>
          <w:sz w:val="44"/>
          <w:szCs w:val="44"/>
          <w:highlight w:val="none"/>
        </w:rPr>
        <w:t>部门预算表</w:t>
      </w:r>
    </w:p>
    <w:p w14:paraId="2C27D7BD">
      <w:pPr>
        <w:rPr>
          <w:rFonts w:hint="default" w:ascii="仿宋_GB2312" w:hAnsi="黑体" w:eastAsia="仿宋_GB2312"/>
          <w:sz w:val="32"/>
          <w:szCs w:val="32"/>
          <w:highlight w:val="none"/>
          <w:lang w:eastAsia="zh-Hans"/>
        </w:rPr>
        <w:sectPr>
          <w:footerReference r:id="rId3" w:type="default"/>
          <w:pgSz w:w="11906" w:h="16838"/>
          <w:pgMar w:top="1440" w:right="1800" w:bottom="1440" w:left="1800" w:header="851" w:footer="992" w:gutter="0"/>
          <w:cols w:space="425" w:num="1"/>
          <w:docGrid w:type="lines" w:linePitch="312" w:charSpace="0"/>
        </w:sectPr>
      </w:pPr>
      <w:r>
        <w:rPr>
          <w:rFonts w:hint="default" w:ascii="仿宋_GB2312" w:hAnsi="黑体" w:eastAsia="仿宋_GB2312"/>
          <w:sz w:val="32"/>
          <w:szCs w:val="32"/>
          <w:highlight w:val="none"/>
          <w:lang w:eastAsia="zh-Hans"/>
        </w:rPr>
        <w:br w:type="page"/>
      </w:r>
    </w:p>
    <w:p w14:paraId="0B06768E">
      <w:pPr>
        <w:pStyle w:val="2"/>
        <w:rPr>
          <w:rFonts w:hint="default"/>
          <w:lang w:eastAsia="zh-Hans"/>
        </w:rPr>
      </w:pPr>
    </w:p>
    <w:p w14:paraId="28855D12">
      <w:pPr>
        <w:pStyle w:val="2"/>
        <w:rPr>
          <w:rFonts w:hint="default"/>
          <w:lang w:eastAsia="zh-Hans"/>
        </w:rPr>
      </w:pPr>
      <w:r>
        <w:drawing>
          <wp:inline distT="0" distB="0" distL="114300" distR="114300">
            <wp:extent cx="5269865" cy="5327015"/>
            <wp:effectExtent l="0" t="0" r="6985" b="698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269865" cy="5327015"/>
                    </a:xfrm>
                    <a:prstGeom prst="rect">
                      <a:avLst/>
                    </a:prstGeom>
                    <a:noFill/>
                    <a:ln>
                      <a:noFill/>
                    </a:ln>
                  </pic:spPr>
                </pic:pic>
              </a:graphicData>
            </a:graphic>
          </wp:inline>
        </w:drawing>
      </w:r>
    </w:p>
    <w:p w14:paraId="1CBEFA73">
      <w:pPr>
        <w:pStyle w:val="2"/>
        <w:rPr>
          <w:rFonts w:hint="default"/>
          <w:lang w:eastAsia="zh-Hans"/>
        </w:rPr>
      </w:pPr>
    </w:p>
    <w:p w14:paraId="3991B61E">
      <w:pPr>
        <w:pStyle w:val="2"/>
        <w:rPr>
          <w:rFonts w:hint="default"/>
          <w:lang w:eastAsia="zh-Hans"/>
        </w:rPr>
      </w:pPr>
    </w:p>
    <w:p w14:paraId="194DA305">
      <w:pPr>
        <w:pStyle w:val="2"/>
        <w:rPr>
          <w:rFonts w:hint="default"/>
          <w:lang w:eastAsia="zh-Hans"/>
        </w:rPr>
      </w:pPr>
    </w:p>
    <w:p w14:paraId="7E9C0A20">
      <w:pPr>
        <w:pStyle w:val="2"/>
        <w:rPr>
          <w:rFonts w:hint="default"/>
          <w:lang w:eastAsia="zh-Hans"/>
        </w:rPr>
      </w:pPr>
    </w:p>
    <w:p w14:paraId="2D37D984">
      <w:pPr>
        <w:pStyle w:val="2"/>
        <w:rPr>
          <w:rFonts w:hint="default"/>
          <w:lang w:eastAsia="zh-Hans"/>
        </w:rPr>
      </w:pPr>
    </w:p>
    <w:p w14:paraId="00A7B793">
      <w:pPr>
        <w:pStyle w:val="2"/>
        <w:rPr>
          <w:rFonts w:hint="default"/>
          <w:lang w:eastAsia="zh-Hans"/>
        </w:rPr>
      </w:pPr>
    </w:p>
    <w:p w14:paraId="169E44E4">
      <w:pPr>
        <w:pStyle w:val="2"/>
        <w:rPr>
          <w:rFonts w:hint="default"/>
          <w:lang w:eastAsia="zh-Hans"/>
        </w:rPr>
      </w:pPr>
    </w:p>
    <w:p w14:paraId="1872D71F">
      <w:pPr>
        <w:pStyle w:val="2"/>
        <w:rPr>
          <w:rFonts w:hint="default"/>
          <w:lang w:eastAsia="zh-Hans"/>
        </w:rPr>
      </w:pPr>
    </w:p>
    <w:p w14:paraId="2FE7D3E8">
      <w:pPr>
        <w:pStyle w:val="2"/>
        <w:rPr>
          <w:rFonts w:hint="default"/>
          <w:lang w:eastAsia="zh-Hans"/>
        </w:rPr>
      </w:pPr>
    </w:p>
    <w:p w14:paraId="15567F1C">
      <w:pPr>
        <w:pStyle w:val="2"/>
        <w:rPr>
          <w:rFonts w:hint="default"/>
          <w:lang w:eastAsia="zh-Hans"/>
        </w:rPr>
      </w:pPr>
    </w:p>
    <w:p w14:paraId="6D62E346">
      <w:pPr>
        <w:pStyle w:val="2"/>
        <w:rPr>
          <w:rFonts w:hint="default"/>
          <w:lang w:eastAsia="zh-Hans"/>
        </w:rPr>
      </w:pPr>
    </w:p>
    <w:p w14:paraId="2F690D87">
      <w:pPr>
        <w:pStyle w:val="2"/>
        <w:rPr>
          <w:rFonts w:hint="default"/>
          <w:lang w:eastAsia="zh-Hans"/>
        </w:rPr>
      </w:pPr>
    </w:p>
    <w:p w14:paraId="0FC1AC4C">
      <w:pPr>
        <w:pStyle w:val="2"/>
        <w:rPr>
          <w:rFonts w:hint="default"/>
          <w:lang w:eastAsia="zh-Hans"/>
        </w:rPr>
      </w:pPr>
    </w:p>
    <w:p w14:paraId="450BFA89">
      <w:pPr>
        <w:pStyle w:val="2"/>
        <w:rPr>
          <w:rFonts w:hint="default"/>
          <w:lang w:eastAsia="zh-Hans"/>
        </w:rPr>
      </w:pPr>
    </w:p>
    <w:p w14:paraId="58BE9F3D">
      <w:pPr>
        <w:pStyle w:val="2"/>
        <w:rPr>
          <w:rFonts w:hint="default"/>
          <w:lang w:eastAsia="zh-Hans"/>
        </w:rPr>
      </w:pPr>
    </w:p>
    <w:p w14:paraId="69982758">
      <w:pPr>
        <w:pStyle w:val="2"/>
        <w:rPr>
          <w:rFonts w:hint="default"/>
          <w:lang w:eastAsia="zh-Hans"/>
        </w:rPr>
      </w:pPr>
    </w:p>
    <w:p w14:paraId="56C29191">
      <w:pPr>
        <w:rPr>
          <w:rFonts w:hint="default"/>
          <w:lang w:eastAsia="zh-Hans"/>
        </w:rPr>
        <w:sectPr>
          <w:pgSz w:w="11906" w:h="16838"/>
          <w:pgMar w:top="1440" w:right="1800" w:bottom="1440" w:left="1800" w:header="851" w:footer="992" w:gutter="0"/>
          <w:cols w:space="0" w:num="1"/>
          <w:rtlGutter w:val="0"/>
          <w:docGrid w:type="lines" w:linePitch="312" w:charSpace="0"/>
        </w:sectPr>
      </w:pPr>
      <w:r>
        <w:rPr>
          <w:rFonts w:hint="default"/>
          <w:lang w:eastAsia="zh-Hans"/>
        </w:rPr>
        <w:br w:type="page"/>
      </w:r>
    </w:p>
    <w:p w14:paraId="6E136146">
      <w:pPr>
        <w:pStyle w:val="2"/>
        <w:rPr>
          <w:rFonts w:hint="default"/>
          <w:lang w:eastAsia="zh-Hans"/>
        </w:rPr>
      </w:pPr>
      <w:r>
        <w:drawing>
          <wp:inline distT="0" distB="0" distL="114300" distR="114300">
            <wp:extent cx="8846820" cy="938530"/>
            <wp:effectExtent l="0" t="0" r="11430" b="1397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6"/>
                    <a:stretch>
                      <a:fillRect/>
                    </a:stretch>
                  </pic:blipFill>
                  <pic:spPr>
                    <a:xfrm>
                      <a:off x="0" y="0"/>
                      <a:ext cx="8846820" cy="938530"/>
                    </a:xfrm>
                    <a:prstGeom prst="rect">
                      <a:avLst/>
                    </a:prstGeom>
                    <a:noFill/>
                    <a:ln>
                      <a:noFill/>
                    </a:ln>
                  </pic:spPr>
                </pic:pic>
              </a:graphicData>
            </a:graphic>
          </wp:inline>
        </w:drawing>
      </w:r>
    </w:p>
    <w:p w14:paraId="2CC4B38E">
      <w:pPr>
        <w:pStyle w:val="2"/>
        <w:rPr>
          <w:rFonts w:hint="default"/>
          <w:lang w:eastAsia="zh-Hans"/>
        </w:rPr>
      </w:pPr>
    </w:p>
    <w:p w14:paraId="64110C09">
      <w:pPr>
        <w:pStyle w:val="2"/>
        <w:rPr>
          <w:rFonts w:hint="default"/>
          <w:lang w:eastAsia="zh-Hans"/>
        </w:rPr>
      </w:pPr>
    </w:p>
    <w:p w14:paraId="71AB3AAE">
      <w:pPr>
        <w:pStyle w:val="2"/>
        <w:rPr>
          <w:rFonts w:hint="default"/>
          <w:lang w:eastAsia="zh-Hans"/>
        </w:rPr>
      </w:pPr>
    </w:p>
    <w:p w14:paraId="0A70062F">
      <w:pPr>
        <w:pStyle w:val="2"/>
        <w:rPr>
          <w:rFonts w:hint="default"/>
          <w:lang w:eastAsia="zh-Hans"/>
        </w:rPr>
      </w:pPr>
    </w:p>
    <w:p w14:paraId="44B2C7F7">
      <w:pPr>
        <w:pStyle w:val="2"/>
        <w:rPr>
          <w:rFonts w:hint="default"/>
          <w:lang w:eastAsia="zh-Hans"/>
        </w:rPr>
      </w:pPr>
    </w:p>
    <w:p w14:paraId="0A12DC11"/>
    <w:p w14:paraId="30E1DA4D">
      <w:pPr>
        <w:pStyle w:val="2"/>
        <w:rPr>
          <w:rFonts w:hint="default"/>
          <w:lang w:eastAsia="zh-Hans"/>
        </w:rPr>
        <w:sectPr>
          <w:pgSz w:w="16838" w:h="11906" w:orient="landscape"/>
          <w:pgMar w:top="1800" w:right="1440" w:bottom="1800" w:left="1440" w:header="851" w:footer="992" w:gutter="0"/>
          <w:cols w:space="0" w:num="1"/>
          <w:rtlGutter w:val="0"/>
          <w:docGrid w:type="lines" w:linePitch="312" w:charSpace="0"/>
        </w:sectPr>
      </w:pPr>
    </w:p>
    <w:p w14:paraId="216F211D">
      <w:pPr>
        <w:rPr>
          <w:rFonts w:hint="default"/>
          <w:lang w:eastAsia="zh-Hans"/>
        </w:rPr>
      </w:pPr>
      <w:r>
        <w:drawing>
          <wp:inline distT="0" distB="0" distL="114300" distR="114300">
            <wp:extent cx="5269230" cy="2298700"/>
            <wp:effectExtent l="0" t="0" r="7620" b="635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7"/>
                    <a:stretch>
                      <a:fillRect/>
                    </a:stretch>
                  </pic:blipFill>
                  <pic:spPr>
                    <a:xfrm>
                      <a:off x="0" y="0"/>
                      <a:ext cx="5269230" cy="2298700"/>
                    </a:xfrm>
                    <a:prstGeom prst="rect">
                      <a:avLst/>
                    </a:prstGeom>
                    <a:noFill/>
                    <a:ln>
                      <a:noFill/>
                    </a:ln>
                  </pic:spPr>
                </pic:pic>
              </a:graphicData>
            </a:graphic>
          </wp:inline>
        </w:drawing>
      </w:r>
    </w:p>
    <w:p w14:paraId="32494E08">
      <w:pPr>
        <w:pStyle w:val="2"/>
        <w:rPr>
          <w:rFonts w:hint="default"/>
          <w:lang w:eastAsia="zh-Hans"/>
        </w:rPr>
      </w:pPr>
    </w:p>
    <w:p w14:paraId="706EFF76">
      <w:pPr>
        <w:rPr>
          <w:rFonts w:hint="default"/>
          <w:lang w:eastAsia="zh-Hans"/>
        </w:rPr>
      </w:pPr>
      <w:r>
        <w:rPr>
          <w:rFonts w:hint="default"/>
          <w:lang w:eastAsia="zh-Hans"/>
        </w:rPr>
        <w:br w:type="page"/>
      </w:r>
    </w:p>
    <w:p w14:paraId="0987BF7B">
      <w:pPr>
        <w:rPr>
          <w:rFonts w:hint="default"/>
          <w:lang w:eastAsia="zh-Hans"/>
        </w:rPr>
      </w:pPr>
      <w:r>
        <w:drawing>
          <wp:inline distT="0" distB="0" distL="114300" distR="114300">
            <wp:extent cx="5267960" cy="3947795"/>
            <wp:effectExtent l="0" t="0" r="8890" b="1460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8"/>
                    <a:stretch>
                      <a:fillRect/>
                    </a:stretch>
                  </pic:blipFill>
                  <pic:spPr>
                    <a:xfrm>
                      <a:off x="0" y="0"/>
                      <a:ext cx="5267960" cy="3947795"/>
                    </a:xfrm>
                    <a:prstGeom prst="rect">
                      <a:avLst/>
                    </a:prstGeom>
                    <a:noFill/>
                    <a:ln>
                      <a:noFill/>
                    </a:ln>
                  </pic:spPr>
                </pic:pic>
              </a:graphicData>
            </a:graphic>
          </wp:inline>
        </w:drawing>
      </w:r>
    </w:p>
    <w:p w14:paraId="4B58E58E">
      <w:pPr>
        <w:pStyle w:val="2"/>
        <w:rPr>
          <w:rFonts w:hint="default"/>
          <w:lang w:eastAsia="zh-Hans"/>
        </w:rPr>
      </w:pPr>
    </w:p>
    <w:p w14:paraId="3E285981">
      <w:pPr>
        <w:pStyle w:val="2"/>
        <w:rPr>
          <w:rFonts w:hint="default"/>
          <w:lang w:eastAsia="zh-Hans"/>
        </w:rPr>
      </w:pPr>
    </w:p>
    <w:p w14:paraId="60F5D8B2">
      <w:pPr>
        <w:pStyle w:val="2"/>
        <w:rPr>
          <w:rFonts w:hint="default"/>
          <w:lang w:eastAsia="zh-Hans"/>
        </w:rPr>
      </w:pPr>
    </w:p>
    <w:p w14:paraId="0EBB2296">
      <w:pPr>
        <w:pStyle w:val="2"/>
        <w:rPr>
          <w:rFonts w:hint="default"/>
          <w:lang w:eastAsia="zh-Hans"/>
        </w:rPr>
      </w:pPr>
    </w:p>
    <w:p w14:paraId="5706BCA8">
      <w:pPr>
        <w:pStyle w:val="2"/>
        <w:rPr>
          <w:rFonts w:hint="default"/>
          <w:lang w:eastAsia="zh-Hans"/>
        </w:rPr>
      </w:pPr>
    </w:p>
    <w:p w14:paraId="11B4AC7A">
      <w:pPr>
        <w:pStyle w:val="2"/>
        <w:rPr>
          <w:rFonts w:hint="default"/>
          <w:lang w:eastAsia="zh-Hans"/>
        </w:rPr>
      </w:pPr>
    </w:p>
    <w:p w14:paraId="107670DC">
      <w:pPr>
        <w:pStyle w:val="2"/>
        <w:rPr>
          <w:rFonts w:hint="default"/>
          <w:lang w:eastAsia="zh-Hans"/>
        </w:rPr>
        <w:sectPr>
          <w:pgSz w:w="11906" w:h="16838"/>
          <w:pgMar w:top="1440" w:right="1800" w:bottom="1440" w:left="1800" w:header="851" w:footer="992" w:gutter="0"/>
          <w:cols w:space="425" w:num="1"/>
          <w:docGrid w:type="lines" w:linePitch="312" w:charSpace="0"/>
        </w:sectPr>
      </w:pPr>
    </w:p>
    <w:p w14:paraId="00A4DE7D">
      <w:pPr>
        <w:rPr>
          <w:rFonts w:hint="default"/>
          <w:lang w:eastAsia="zh-Hans"/>
        </w:r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44280" cy="3419475"/>
            <wp:effectExtent l="0" t="0" r="13970" b="952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9"/>
                    <a:stretch>
                      <a:fillRect/>
                    </a:stretch>
                  </pic:blipFill>
                  <pic:spPr>
                    <a:xfrm>
                      <a:off x="0" y="0"/>
                      <a:ext cx="8844280" cy="3419475"/>
                    </a:xfrm>
                    <a:prstGeom prst="rect">
                      <a:avLst/>
                    </a:prstGeom>
                    <a:noFill/>
                    <a:ln>
                      <a:noFill/>
                    </a:ln>
                  </pic:spPr>
                </pic:pic>
              </a:graphicData>
            </a:graphic>
          </wp:inline>
        </w:drawing>
      </w:r>
    </w:p>
    <w:p w14:paraId="4EAC7A74">
      <w:pPr>
        <w:pStyle w:val="2"/>
        <w:ind w:left="0" w:leftChars="0" w:firstLine="0" w:firstLineChars="0"/>
        <w:rPr>
          <w:rFonts w:hint="default"/>
          <w:lang w:eastAsia="zh-Hans"/>
        </w:r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7391400" cy="5273675"/>
            <wp:effectExtent l="0" t="0" r="0" b="317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0"/>
                    <a:stretch>
                      <a:fillRect/>
                    </a:stretch>
                  </pic:blipFill>
                  <pic:spPr>
                    <a:xfrm>
                      <a:off x="0" y="0"/>
                      <a:ext cx="7391400" cy="5273675"/>
                    </a:xfrm>
                    <a:prstGeom prst="rect">
                      <a:avLst/>
                    </a:prstGeom>
                    <a:noFill/>
                    <a:ln>
                      <a:noFill/>
                    </a:ln>
                  </pic:spPr>
                </pic:pic>
              </a:graphicData>
            </a:graphic>
          </wp:inline>
        </w:drawing>
      </w:r>
    </w:p>
    <w:p w14:paraId="5D36CB3D">
      <w:pPr>
        <w:pStyle w:val="2"/>
        <w:ind w:left="0" w:leftChars="0" w:firstLine="0" w:firstLineChars="0"/>
        <w:rPr>
          <w:rFonts w:hint="default"/>
          <w:lang w:eastAsia="zh-Hans"/>
        </w:rPr>
        <w:sectPr>
          <w:pgSz w:w="11906" w:h="16838"/>
          <w:pgMar w:top="1440" w:right="1800" w:bottom="1440" w:left="1800" w:header="851" w:footer="992" w:gutter="0"/>
          <w:cols w:space="425" w:num="1"/>
          <w:docGrid w:type="lines" w:linePitch="312" w:charSpace="0"/>
        </w:sectPr>
      </w:pPr>
      <w:r>
        <w:drawing>
          <wp:inline distT="0" distB="0" distL="114300" distR="114300">
            <wp:extent cx="5267325" cy="6004560"/>
            <wp:effectExtent l="0" t="0" r="9525" b="1524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1"/>
                    <a:stretch>
                      <a:fillRect/>
                    </a:stretch>
                  </pic:blipFill>
                  <pic:spPr>
                    <a:xfrm>
                      <a:off x="0" y="0"/>
                      <a:ext cx="5267325" cy="6004560"/>
                    </a:xfrm>
                    <a:prstGeom prst="rect">
                      <a:avLst/>
                    </a:prstGeom>
                    <a:noFill/>
                    <a:ln>
                      <a:noFill/>
                    </a:ln>
                  </pic:spPr>
                </pic:pic>
              </a:graphicData>
            </a:graphic>
          </wp:inline>
        </w:drawing>
      </w:r>
    </w:p>
    <w:p w14:paraId="4A4DA8D2">
      <w:pPr>
        <w:rPr>
          <w:rFonts w:hint="default"/>
          <w:lang w:eastAsia="zh-Hans"/>
        </w:rPr>
        <w:sectPr>
          <w:pgSz w:w="11906" w:h="16838"/>
          <w:pgMar w:top="1440" w:right="1800" w:bottom="1440" w:left="1800" w:header="851" w:footer="992" w:gutter="0"/>
          <w:cols w:space="425" w:num="1"/>
          <w:docGrid w:type="lines" w:linePitch="312" w:charSpace="0"/>
        </w:sectPr>
      </w:pPr>
      <w:r>
        <w:drawing>
          <wp:inline distT="0" distB="0" distL="114300" distR="114300">
            <wp:extent cx="5269230" cy="2032000"/>
            <wp:effectExtent l="0" t="0" r="7620" b="635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2"/>
                    <a:stretch>
                      <a:fillRect/>
                    </a:stretch>
                  </pic:blipFill>
                  <pic:spPr>
                    <a:xfrm>
                      <a:off x="0" y="0"/>
                      <a:ext cx="5269230" cy="2032000"/>
                    </a:xfrm>
                    <a:prstGeom prst="rect">
                      <a:avLst/>
                    </a:prstGeom>
                    <a:noFill/>
                    <a:ln>
                      <a:noFill/>
                    </a:ln>
                  </pic:spPr>
                </pic:pic>
              </a:graphicData>
            </a:graphic>
          </wp:inline>
        </w:drawing>
      </w:r>
    </w:p>
    <w:p w14:paraId="2560742D">
      <w:pPr>
        <w:pStyle w:val="2"/>
        <w:ind w:left="0" w:leftChars="0" w:firstLine="0" w:firstLineChars="0"/>
        <w:rPr>
          <w:rFonts w:hint="default"/>
          <w:lang w:eastAsia="zh-Hans"/>
        </w:r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57615" cy="1478915"/>
            <wp:effectExtent l="0" t="0" r="635" b="698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13"/>
                    <a:stretch>
                      <a:fillRect/>
                    </a:stretch>
                  </pic:blipFill>
                  <pic:spPr>
                    <a:xfrm>
                      <a:off x="0" y="0"/>
                      <a:ext cx="8857615" cy="1478915"/>
                    </a:xfrm>
                    <a:prstGeom prst="rect">
                      <a:avLst/>
                    </a:prstGeom>
                    <a:noFill/>
                    <a:ln>
                      <a:noFill/>
                    </a:ln>
                  </pic:spPr>
                </pic:pic>
              </a:graphicData>
            </a:graphic>
          </wp:inline>
        </w:drawing>
      </w:r>
    </w:p>
    <w:p w14:paraId="43ADFCDC">
      <w:pPr>
        <w:rPr>
          <w:rFonts w:hint="default"/>
          <w:lang w:eastAsia="zh-Hans"/>
        </w:r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59520" cy="2087880"/>
            <wp:effectExtent l="0" t="0" r="17780" b="762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14"/>
                    <a:stretch>
                      <a:fillRect/>
                    </a:stretch>
                  </pic:blipFill>
                  <pic:spPr>
                    <a:xfrm>
                      <a:off x="0" y="0"/>
                      <a:ext cx="8859520" cy="2087880"/>
                    </a:xfrm>
                    <a:prstGeom prst="rect">
                      <a:avLst/>
                    </a:prstGeom>
                    <a:noFill/>
                    <a:ln>
                      <a:noFill/>
                    </a:ln>
                  </pic:spPr>
                </pic:pic>
              </a:graphicData>
            </a:graphic>
          </wp:inline>
        </w:drawing>
      </w:r>
    </w:p>
    <w:p w14:paraId="5A310440">
      <w:pPr>
        <w:pStyle w:val="2"/>
        <w:ind w:left="0" w:leftChars="0" w:firstLine="0" w:firstLineChars="0"/>
        <w:rPr>
          <w:rFonts w:hint="default"/>
          <w:lang w:eastAsia="zh-Hans"/>
        </w:r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57615" cy="1478915"/>
            <wp:effectExtent l="0" t="0" r="635" b="6985"/>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15"/>
                    <a:stretch>
                      <a:fillRect/>
                    </a:stretch>
                  </pic:blipFill>
                  <pic:spPr>
                    <a:xfrm>
                      <a:off x="0" y="0"/>
                      <a:ext cx="8857615" cy="1478915"/>
                    </a:xfrm>
                    <a:prstGeom prst="rect">
                      <a:avLst/>
                    </a:prstGeom>
                    <a:noFill/>
                    <a:ln>
                      <a:noFill/>
                    </a:ln>
                  </pic:spPr>
                </pic:pic>
              </a:graphicData>
            </a:graphic>
          </wp:inline>
        </w:drawing>
      </w:r>
    </w:p>
    <w:p w14:paraId="2D1022DD">
      <w:pPr>
        <w:rPr>
          <w:rFonts w:hint="default"/>
          <w:lang w:eastAsia="zh-Hans"/>
        </w:rPr>
      </w:pPr>
      <w:r>
        <w:drawing>
          <wp:inline distT="0" distB="0" distL="114300" distR="114300">
            <wp:extent cx="8859520" cy="1851660"/>
            <wp:effectExtent l="0" t="0" r="17780" b="15240"/>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16"/>
                    <a:stretch>
                      <a:fillRect/>
                    </a:stretch>
                  </pic:blipFill>
                  <pic:spPr>
                    <a:xfrm>
                      <a:off x="0" y="0"/>
                      <a:ext cx="8859520" cy="1851660"/>
                    </a:xfrm>
                    <a:prstGeom prst="rect">
                      <a:avLst/>
                    </a:prstGeom>
                    <a:noFill/>
                    <a:ln>
                      <a:noFill/>
                    </a:ln>
                  </pic:spPr>
                </pic:pic>
              </a:graphicData>
            </a:graphic>
          </wp:inline>
        </w:drawing>
      </w:r>
    </w:p>
    <w:p w14:paraId="17966131">
      <w:pPr>
        <w:pStyle w:val="2"/>
        <w:rPr>
          <w:rFonts w:hint="default"/>
          <w:lang w:eastAsia="zh-Hans"/>
        </w:rPr>
      </w:pPr>
    </w:p>
    <w:p w14:paraId="29E5A5ED">
      <w:pPr>
        <w:rPr>
          <w:rFonts w:hint="default"/>
          <w:lang w:eastAsia="zh-Hans"/>
        </w:rPr>
      </w:pPr>
    </w:p>
    <w:p w14:paraId="612AE81D">
      <w:pPr>
        <w:pStyle w:val="2"/>
        <w:rPr>
          <w:rFonts w:hint="default"/>
          <w:lang w:eastAsia="zh-Hans"/>
        </w:rPr>
      </w:pPr>
    </w:p>
    <w:p w14:paraId="10ED40AB">
      <w:pPr>
        <w:rPr>
          <w:rFonts w:hint="default"/>
          <w:lang w:eastAsia="zh-Hans"/>
        </w:rPr>
      </w:pPr>
    </w:p>
    <w:p w14:paraId="68D3BBA5">
      <w:pPr>
        <w:pStyle w:val="2"/>
        <w:rPr>
          <w:rFonts w:hint="default"/>
          <w:lang w:eastAsia="zh-Hans"/>
        </w:rPr>
      </w:pPr>
    </w:p>
    <w:p w14:paraId="621BCCFA">
      <w:pPr>
        <w:pStyle w:val="2"/>
        <w:ind w:left="0" w:leftChars="0" w:firstLine="0" w:firstLineChars="0"/>
        <w:rPr>
          <w:rFonts w:hint="default"/>
          <w:lang w:eastAsia="zh-Hans"/>
        </w:rPr>
      </w:pPr>
    </w:p>
    <w:p w14:paraId="32675AB6">
      <w:pPr>
        <w:rPr>
          <w:rFonts w:hint="default"/>
          <w:lang w:eastAsia="zh-Hans"/>
        </w:rPr>
      </w:pPr>
    </w:p>
    <w:p w14:paraId="155B4F32">
      <w:pPr>
        <w:pStyle w:val="2"/>
        <w:rPr>
          <w:rFonts w:hint="default"/>
          <w:lang w:eastAsia="zh-Hans"/>
        </w:rPr>
      </w:pPr>
    </w:p>
    <w:p w14:paraId="4B4373B1">
      <w:pPr>
        <w:rPr>
          <w:rFonts w:hint="default"/>
          <w:lang w:eastAsia="zh-Hans"/>
        </w:rPr>
      </w:pPr>
    </w:p>
    <w:p w14:paraId="47126325">
      <w:pPr>
        <w:pStyle w:val="2"/>
        <w:rPr>
          <w:rFonts w:hint="default"/>
          <w:lang w:eastAsia="zh-Hans"/>
        </w:rPr>
      </w:pPr>
    </w:p>
    <w:p w14:paraId="677A2281">
      <w:pPr>
        <w:rPr>
          <w:rFonts w:hint="default"/>
          <w:lang w:eastAsia="zh-Hans"/>
        </w:rPr>
      </w:pPr>
    </w:p>
    <w:p w14:paraId="6AAD3E94">
      <w:pPr>
        <w:pStyle w:val="2"/>
        <w:rPr>
          <w:rFonts w:hint="default"/>
          <w:lang w:eastAsia="zh-Hans"/>
        </w:rPr>
      </w:pPr>
    </w:p>
    <w:p w14:paraId="1CB9C952">
      <w:pPr>
        <w:rPr>
          <w:rFonts w:hint="default"/>
          <w:lang w:eastAsia="zh-Hans"/>
        </w:rPr>
        <w:sectPr>
          <w:pgSz w:w="16838" w:h="11906" w:orient="landscape"/>
          <w:pgMar w:top="1800" w:right="1440" w:bottom="1800" w:left="1440" w:header="851" w:footer="992" w:gutter="0"/>
          <w:cols w:space="425" w:num="1"/>
          <w:docGrid w:type="lines" w:linePitch="312" w:charSpace="0"/>
        </w:sectPr>
      </w:pPr>
    </w:p>
    <w:p w14:paraId="095E485C">
      <w:pPr>
        <w:pStyle w:val="2"/>
        <w:ind w:left="0" w:leftChars="0" w:firstLine="0" w:firstLineChars="0"/>
        <w:rPr>
          <w:rFonts w:hint="default"/>
          <w:lang w:eastAsia="zh-Hans"/>
        </w:rPr>
        <w:sectPr>
          <w:type w:val="continuous"/>
          <w:pgSz w:w="16838" w:h="11906" w:orient="landscape"/>
          <w:pgMar w:top="1800" w:right="1440" w:bottom="1800" w:left="1440" w:header="851" w:footer="992" w:gutter="0"/>
          <w:cols w:space="425" w:num="1"/>
          <w:docGrid w:type="lines" w:linePitch="312" w:charSpace="0"/>
        </w:sectPr>
      </w:pPr>
    </w:p>
    <w:p w14:paraId="4C2531A9">
      <w:pPr>
        <w:sectPr>
          <w:pgSz w:w="11906" w:h="16838"/>
          <w:pgMar w:top="1440" w:right="1800" w:bottom="1440" w:left="1800" w:header="851" w:footer="992" w:gutter="0"/>
          <w:cols w:space="425" w:num="1"/>
          <w:docGrid w:type="lines" w:linePitch="312" w:charSpace="0"/>
        </w:sectPr>
      </w:pPr>
      <w:r>
        <w:drawing>
          <wp:inline distT="0" distB="0" distL="114300" distR="114300">
            <wp:extent cx="5267325" cy="8729980"/>
            <wp:effectExtent l="0" t="0" r="952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267325" cy="8729980"/>
                    </a:xfrm>
                    <a:prstGeom prst="rect">
                      <a:avLst/>
                    </a:prstGeom>
                    <a:noFill/>
                    <a:ln>
                      <a:noFill/>
                    </a:ln>
                  </pic:spPr>
                </pic:pic>
              </a:graphicData>
            </a:graphic>
          </wp:inline>
        </w:drawing>
      </w:r>
    </w:p>
    <w:p w14:paraId="54C13D56">
      <w:pPr>
        <w:pStyle w:val="2"/>
        <w:ind w:left="0" w:leftChars="0" w:firstLine="0" w:firstLineChars="0"/>
      </w:pPr>
    </w:p>
    <w:p w14:paraId="5C7316C4">
      <w:pPr>
        <w:jc w:val="center"/>
        <w:rPr>
          <w:rFonts w:hint="eastAsia" w:ascii="方正小标宋简体" w:hAnsi="黑体" w:eastAsia="方正小标宋简体"/>
          <w:color w:val="auto"/>
          <w:sz w:val="36"/>
          <w:szCs w:val="36"/>
          <w:highlight w:val="none"/>
        </w:rPr>
      </w:pPr>
      <w:r>
        <w:rPr>
          <w:rFonts w:hint="eastAsia" w:ascii="方正小标宋简体" w:hAnsi="黑体" w:eastAsia="方正小标宋简体"/>
          <w:color w:val="auto"/>
          <w:sz w:val="36"/>
          <w:szCs w:val="36"/>
          <w:highlight w:val="none"/>
        </w:rPr>
        <w:t xml:space="preserve">第三部分  </w:t>
      </w:r>
      <w:r>
        <w:rPr>
          <w:rFonts w:hint="eastAsia" w:ascii="方正小标宋简体" w:hAnsi="黑体" w:eastAsia="方正小标宋简体"/>
          <w:color w:val="auto"/>
          <w:sz w:val="36"/>
          <w:szCs w:val="36"/>
          <w:highlight w:val="none"/>
          <w:lang w:eastAsia="zh-CN"/>
        </w:rPr>
        <w:t>九寨沟县住房和城乡建设局</w:t>
      </w:r>
      <w:r>
        <w:rPr>
          <w:rFonts w:hint="eastAsia" w:ascii="方正小标宋简体" w:hAnsi="黑体" w:eastAsia="方正小标宋简体"/>
          <w:color w:val="auto"/>
          <w:sz w:val="36"/>
          <w:szCs w:val="36"/>
          <w:highlight w:val="none"/>
        </w:rPr>
        <w:t>2</w:t>
      </w:r>
      <w:r>
        <w:rPr>
          <w:rFonts w:ascii="方正小标宋简体" w:hAnsi="黑体" w:eastAsia="方正小标宋简体"/>
          <w:color w:val="auto"/>
          <w:sz w:val="36"/>
          <w:szCs w:val="36"/>
          <w:highlight w:val="none"/>
        </w:rPr>
        <w:t>02</w:t>
      </w:r>
      <w:r>
        <w:rPr>
          <w:rFonts w:hint="eastAsia" w:ascii="方正小标宋简体" w:hAnsi="黑体" w:eastAsia="方正小标宋简体"/>
          <w:color w:val="auto"/>
          <w:sz w:val="36"/>
          <w:szCs w:val="36"/>
          <w:highlight w:val="none"/>
          <w:lang w:val="en-US" w:eastAsia="zh-CN"/>
        </w:rPr>
        <w:t>6</w:t>
      </w:r>
      <w:r>
        <w:rPr>
          <w:rFonts w:hint="eastAsia" w:ascii="方正小标宋简体" w:hAnsi="黑体" w:eastAsia="方正小标宋简体"/>
          <w:color w:val="auto"/>
          <w:sz w:val="36"/>
          <w:szCs w:val="36"/>
          <w:highlight w:val="none"/>
        </w:rPr>
        <w:t>年</w:t>
      </w:r>
      <w:r>
        <w:rPr>
          <w:rFonts w:ascii="方正小标宋简体" w:hAnsi="黑体" w:eastAsia="方正小标宋简体"/>
          <w:color w:val="auto"/>
          <w:sz w:val="36"/>
          <w:szCs w:val="36"/>
          <w:highlight w:val="none"/>
        </w:rPr>
        <w:t>部门预算</w:t>
      </w:r>
      <w:r>
        <w:rPr>
          <w:rFonts w:hint="eastAsia" w:ascii="方正小标宋简体" w:hAnsi="黑体" w:eastAsia="方正小标宋简体"/>
          <w:color w:val="auto"/>
          <w:sz w:val="36"/>
          <w:szCs w:val="36"/>
          <w:highlight w:val="none"/>
        </w:rPr>
        <w:t>情况说明</w:t>
      </w:r>
    </w:p>
    <w:p w14:paraId="78035D83">
      <w:pPr>
        <w:ind w:left="2520" w:hanging="2240" w:hangingChars="7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一、收支预算情况说明</w:t>
      </w:r>
    </w:p>
    <w:p w14:paraId="6A53F25B">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按照综合预算的原则，</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所有收入和支出均纳入部门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支出。</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年收支预算总数</w:t>
      </w:r>
      <w:r>
        <w:rPr>
          <w:rFonts w:hint="eastAsia" w:ascii="仿宋_GB2312" w:hAnsi="黑体" w:eastAsia="仿宋_GB2312"/>
          <w:color w:val="auto"/>
          <w:sz w:val="32"/>
          <w:szCs w:val="32"/>
          <w:highlight w:val="none"/>
          <w:lang w:val="en-US" w:eastAsia="zh-CN"/>
        </w:rPr>
        <w:t>847.06</w:t>
      </w:r>
      <w:r>
        <w:rPr>
          <w:rFonts w:hint="eastAsia" w:ascii="仿宋_GB2312" w:hAnsi="黑体" w:eastAsia="仿宋_GB2312"/>
          <w:color w:val="auto"/>
          <w:sz w:val="32"/>
          <w:szCs w:val="32"/>
          <w:highlight w:val="none"/>
        </w:rPr>
        <w:t>万元，比202</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年收支预算总数增加</w:t>
      </w:r>
      <w:r>
        <w:rPr>
          <w:rFonts w:hint="eastAsia" w:ascii="仿宋_GB2312" w:hAnsi="黑体" w:eastAsia="仿宋_GB2312"/>
          <w:color w:val="auto"/>
          <w:sz w:val="32"/>
          <w:szCs w:val="32"/>
          <w:highlight w:val="none"/>
          <w:lang w:val="en-US" w:eastAsia="zh-CN"/>
        </w:rPr>
        <w:t>653.61</w:t>
      </w:r>
      <w:r>
        <w:rPr>
          <w:rFonts w:hint="eastAsia" w:ascii="仿宋_GB2312" w:hAnsi="黑体" w:eastAsia="仿宋_GB2312"/>
          <w:color w:val="auto"/>
          <w:sz w:val="32"/>
          <w:szCs w:val="32"/>
          <w:highlight w:val="none"/>
        </w:rPr>
        <w:t>万元，主要原因是</w:t>
      </w:r>
      <w:r>
        <w:rPr>
          <w:rFonts w:hint="eastAsia" w:ascii="仿宋_GB2312" w:hAnsi="黑体" w:eastAsia="仿宋_GB2312"/>
          <w:color w:val="auto"/>
          <w:sz w:val="32"/>
          <w:szCs w:val="32"/>
          <w:highlight w:val="none"/>
          <w:lang w:val="en-US" w:eastAsia="zh-CN"/>
        </w:rPr>
        <w:t>2026年预算包含了九寨沟县城市投资开发有限公司垃圾三厂及污水处理厂运行经费600.00万元，市政中心零星维修项目70.00万元，故增加预算数</w:t>
      </w:r>
      <w:r>
        <w:rPr>
          <w:rFonts w:hint="eastAsia" w:ascii="仿宋_GB2312" w:hAnsi="黑体" w:eastAsia="仿宋_GB2312"/>
          <w:color w:val="auto"/>
          <w:sz w:val="32"/>
          <w:szCs w:val="32"/>
          <w:highlight w:val="none"/>
        </w:rPr>
        <w:t>。</w:t>
      </w:r>
    </w:p>
    <w:p w14:paraId="60A58A08">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（一）收入预算情况</w:t>
      </w:r>
    </w:p>
    <w:p w14:paraId="1CDFB075">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年收入预算</w:t>
      </w:r>
      <w:r>
        <w:rPr>
          <w:rFonts w:hint="eastAsia" w:ascii="仿宋_GB2312" w:hAnsi="黑体" w:eastAsia="仿宋_GB2312"/>
          <w:color w:val="auto"/>
          <w:sz w:val="32"/>
          <w:szCs w:val="32"/>
          <w:highlight w:val="none"/>
          <w:lang w:val="en-US" w:eastAsia="zh-CN"/>
        </w:rPr>
        <w:t>847.06</w:t>
      </w:r>
      <w:r>
        <w:rPr>
          <w:rFonts w:hint="eastAsia" w:ascii="仿宋_GB2312" w:hAnsi="黑体" w:eastAsia="仿宋_GB2312"/>
          <w:color w:val="auto"/>
          <w:sz w:val="32"/>
          <w:szCs w:val="32"/>
          <w:highlight w:val="none"/>
        </w:rPr>
        <w:t>万元，其中：一般公共预算拨款收入</w:t>
      </w:r>
      <w:r>
        <w:rPr>
          <w:rFonts w:hint="eastAsia" w:ascii="仿宋_GB2312" w:hAnsi="黑体" w:eastAsia="仿宋_GB2312"/>
          <w:color w:val="auto"/>
          <w:sz w:val="32"/>
          <w:szCs w:val="32"/>
          <w:highlight w:val="none"/>
          <w:lang w:val="en-US" w:eastAsia="zh-CN"/>
        </w:rPr>
        <w:t>547.06</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64.58</w:t>
      </w:r>
      <w:r>
        <w:rPr>
          <w:rFonts w:hint="eastAsia" w:ascii="仿宋_GB2312" w:hAnsi="黑体" w:eastAsia="仿宋_GB2312"/>
          <w:color w:val="auto"/>
          <w:sz w:val="32"/>
          <w:szCs w:val="32"/>
          <w:highlight w:val="none"/>
        </w:rPr>
        <w:t>%；政府性基金预算拨款收入</w:t>
      </w:r>
      <w:r>
        <w:rPr>
          <w:rFonts w:hint="eastAsia" w:ascii="仿宋_GB2312" w:hAnsi="黑体" w:eastAsia="仿宋_GB2312"/>
          <w:color w:val="auto"/>
          <w:sz w:val="32"/>
          <w:szCs w:val="32"/>
          <w:highlight w:val="none"/>
          <w:lang w:val="en-US" w:eastAsia="zh-CN"/>
        </w:rPr>
        <w:t>300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35.42</w:t>
      </w:r>
      <w:r>
        <w:rPr>
          <w:rFonts w:hint="eastAsia" w:ascii="仿宋_GB2312" w:hAnsi="黑体" w:eastAsia="仿宋_GB2312"/>
          <w:color w:val="auto"/>
          <w:sz w:val="32"/>
          <w:szCs w:val="32"/>
          <w:highlight w:val="none"/>
        </w:rPr>
        <w:t>%。</w:t>
      </w:r>
    </w:p>
    <w:p w14:paraId="0FE30CA3">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（二）支出预算情况</w:t>
      </w:r>
    </w:p>
    <w:p w14:paraId="172C86B3">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年支出预算</w:t>
      </w:r>
      <w:r>
        <w:rPr>
          <w:rFonts w:hint="eastAsia" w:ascii="仿宋_GB2312" w:hAnsi="黑体" w:eastAsia="仿宋_GB2312"/>
          <w:color w:val="auto"/>
          <w:sz w:val="32"/>
          <w:szCs w:val="32"/>
          <w:highlight w:val="none"/>
          <w:lang w:val="en-US" w:eastAsia="zh-CN"/>
        </w:rPr>
        <w:t>847.06</w:t>
      </w:r>
      <w:r>
        <w:rPr>
          <w:rFonts w:hint="eastAsia" w:ascii="仿宋_GB2312" w:hAnsi="黑体" w:eastAsia="仿宋_GB2312"/>
          <w:color w:val="auto"/>
          <w:sz w:val="32"/>
          <w:szCs w:val="32"/>
          <w:highlight w:val="none"/>
        </w:rPr>
        <w:t>万元，其中：基本支出</w:t>
      </w:r>
      <w:r>
        <w:rPr>
          <w:rFonts w:hint="eastAsia" w:ascii="仿宋_GB2312" w:hAnsi="黑体" w:eastAsia="仿宋_GB2312"/>
          <w:color w:val="auto"/>
          <w:sz w:val="32"/>
          <w:szCs w:val="32"/>
          <w:highlight w:val="none"/>
          <w:lang w:val="en-US" w:eastAsia="zh-CN"/>
        </w:rPr>
        <w:t>177.06</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20.9</w:t>
      </w:r>
      <w:r>
        <w:rPr>
          <w:rFonts w:hint="eastAsia" w:ascii="仿宋_GB2312" w:hAnsi="黑体" w:eastAsia="仿宋_GB2312"/>
          <w:color w:val="auto"/>
          <w:sz w:val="32"/>
          <w:szCs w:val="32"/>
          <w:highlight w:val="none"/>
        </w:rPr>
        <w:t>%；项目支出</w:t>
      </w:r>
      <w:r>
        <w:rPr>
          <w:rFonts w:hint="eastAsia" w:ascii="仿宋_GB2312" w:hAnsi="黑体" w:eastAsia="仿宋_GB2312"/>
          <w:color w:val="auto"/>
          <w:sz w:val="32"/>
          <w:szCs w:val="32"/>
          <w:highlight w:val="none"/>
          <w:lang w:val="en-US" w:eastAsia="zh-CN"/>
        </w:rPr>
        <w:t>670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79.1</w:t>
      </w:r>
      <w:r>
        <w:rPr>
          <w:rFonts w:hint="eastAsia" w:ascii="仿宋_GB2312" w:hAnsi="黑体" w:eastAsia="仿宋_GB2312"/>
          <w:color w:val="auto"/>
          <w:sz w:val="32"/>
          <w:szCs w:val="32"/>
          <w:highlight w:val="none"/>
        </w:rPr>
        <w:t>%。</w:t>
      </w:r>
    </w:p>
    <w:p w14:paraId="0D0FA9BD">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二、财政拨款收支预算情况说明</w:t>
      </w:r>
    </w:p>
    <w:p w14:paraId="0FAEC269">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年财政拨款收支预算总数</w:t>
      </w:r>
      <w:r>
        <w:rPr>
          <w:rFonts w:hint="eastAsia" w:ascii="仿宋_GB2312" w:hAnsi="黑体" w:eastAsia="仿宋_GB2312"/>
          <w:color w:val="auto"/>
          <w:sz w:val="32"/>
          <w:szCs w:val="32"/>
          <w:highlight w:val="none"/>
          <w:lang w:val="en-US" w:eastAsia="zh-CN"/>
        </w:rPr>
        <w:t>847.06</w:t>
      </w:r>
      <w:r>
        <w:rPr>
          <w:rFonts w:hint="eastAsia" w:ascii="仿宋_GB2312" w:hAnsi="黑体" w:eastAsia="仿宋_GB2312"/>
          <w:color w:val="auto"/>
          <w:sz w:val="32"/>
          <w:szCs w:val="32"/>
          <w:highlight w:val="none"/>
        </w:rPr>
        <w:t>万元，比202</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年财政拨款收支预算总数增</w:t>
      </w:r>
      <w:r>
        <w:rPr>
          <w:rFonts w:hint="eastAsia" w:ascii="仿宋_GB2312" w:hAnsi="黑体" w:eastAsia="仿宋_GB2312"/>
          <w:color w:val="auto"/>
          <w:sz w:val="32"/>
          <w:szCs w:val="32"/>
          <w:highlight w:val="none"/>
          <w:lang w:val="en-US" w:eastAsia="zh-CN"/>
        </w:rPr>
        <w:t>653.61</w:t>
      </w:r>
      <w:r>
        <w:rPr>
          <w:rFonts w:hint="eastAsia" w:ascii="仿宋_GB2312" w:hAnsi="黑体" w:eastAsia="仿宋_GB2312"/>
          <w:color w:val="auto"/>
          <w:sz w:val="32"/>
          <w:szCs w:val="32"/>
          <w:highlight w:val="none"/>
        </w:rPr>
        <w:t>万元，主要原因是</w:t>
      </w:r>
      <w:r>
        <w:rPr>
          <w:rFonts w:hint="eastAsia" w:ascii="仿宋_GB2312" w:hAnsi="黑体" w:eastAsia="仿宋_GB2312"/>
          <w:color w:val="auto"/>
          <w:sz w:val="32"/>
          <w:szCs w:val="32"/>
          <w:highlight w:val="none"/>
          <w:lang w:val="en-US" w:eastAsia="zh-CN"/>
        </w:rPr>
        <w:t>2026年预算包含了九寨沟县城市投资开发有限公司垃圾三厂及污水处理厂运行经费600.00万元，市政中心零星维修项目70.00万元，故增加预算数</w:t>
      </w:r>
      <w:r>
        <w:rPr>
          <w:rFonts w:hint="eastAsia" w:ascii="仿宋_GB2312" w:hAnsi="黑体" w:eastAsia="仿宋_GB2312"/>
          <w:color w:val="auto"/>
          <w:sz w:val="32"/>
          <w:szCs w:val="32"/>
          <w:highlight w:val="none"/>
        </w:rPr>
        <w:t>。</w:t>
      </w:r>
    </w:p>
    <w:p w14:paraId="7529F333">
      <w:pPr>
        <w:ind w:firstLine="640" w:firstLineChars="200"/>
        <w:jc w:val="both"/>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收入包括：本年一般公共预算拨款收入</w:t>
      </w:r>
      <w:r>
        <w:rPr>
          <w:rFonts w:hint="eastAsia" w:ascii="仿宋_GB2312" w:hAnsi="黑体" w:eastAsia="仿宋_GB2312"/>
          <w:color w:val="auto"/>
          <w:sz w:val="32"/>
          <w:szCs w:val="32"/>
          <w:highlight w:val="none"/>
          <w:lang w:val="en-US" w:eastAsia="zh-CN"/>
        </w:rPr>
        <w:t>547.06</w:t>
      </w:r>
      <w:r>
        <w:rPr>
          <w:rFonts w:hint="eastAsia" w:ascii="仿宋_GB2312" w:hAnsi="黑体" w:eastAsia="仿宋_GB2312"/>
          <w:color w:val="auto"/>
          <w:sz w:val="32"/>
          <w:szCs w:val="32"/>
          <w:highlight w:val="none"/>
        </w:rPr>
        <w:t>万元、政府性基金预算拨款收入</w:t>
      </w:r>
      <w:r>
        <w:rPr>
          <w:rFonts w:hint="eastAsia" w:ascii="仿宋_GB2312" w:hAnsi="黑体" w:eastAsia="仿宋_GB2312"/>
          <w:color w:val="auto"/>
          <w:sz w:val="32"/>
          <w:szCs w:val="32"/>
          <w:highlight w:val="none"/>
          <w:lang w:val="en-US" w:eastAsia="zh-CN"/>
        </w:rPr>
        <w:t>300</w:t>
      </w:r>
      <w:r>
        <w:rPr>
          <w:rFonts w:hint="eastAsia" w:ascii="仿宋_GB2312" w:hAnsi="黑体" w:eastAsia="仿宋_GB2312"/>
          <w:color w:val="auto"/>
          <w:sz w:val="32"/>
          <w:szCs w:val="32"/>
          <w:highlight w:val="none"/>
        </w:rPr>
        <w:t>万元；</w:t>
      </w:r>
    </w:p>
    <w:p w14:paraId="52089CED">
      <w:pPr>
        <w:ind w:firstLine="640" w:firstLineChars="200"/>
        <w:jc w:val="both"/>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支出包括：一般公共服务支出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万元、外交支出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万元、国防支出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万元、公共安全支出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万元、教育支出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万元、科学技术支出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万元、文化旅游体育与传媒支出</w:t>
      </w:r>
      <w:r>
        <w:rPr>
          <w:rFonts w:hint="eastAsia" w:ascii="仿宋_GB2312" w:hAnsi="黑体" w:eastAsia="仿宋_GB2312"/>
          <w:color w:val="auto"/>
          <w:sz w:val="32"/>
          <w:szCs w:val="32"/>
          <w:highlight w:val="none"/>
          <w:lang w:val="en-US" w:eastAsia="zh-CN"/>
        </w:rPr>
        <w:t xml:space="preserve"> </w:t>
      </w:r>
      <w:r>
        <w:rPr>
          <w:rFonts w:hint="eastAsia" w:ascii="仿宋_GB2312" w:hAnsi="黑体" w:eastAsia="仿宋_GB2312"/>
          <w:color w:val="auto"/>
          <w:sz w:val="32"/>
          <w:szCs w:val="32"/>
          <w:highlight w:val="none"/>
        </w:rPr>
        <w:t>万元、社会保障和就业支出</w:t>
      </w:r>
      <w:r>
        <w:rPr>
          <w:rFonts w:hint="eastAsia" w:ascii="仿宋_GB2312" w:hAnsi="黑体" w:eastAsia="仿宋_GB2312"/>
          <w:color w:val="auto"/>
          <w:sz w:val="32"/>
          <w:szCs w:val="32"/>
          <w:highlight w:val="none"/>
          <w:lang w:val="en-US" w:eastAsia="zh-CN"/>
        </w:rPr>
        <w:t>23.67</w:t>
      </w:r>
      <w:r>
        <w:rPr>
          <w:rFonts w:hint="eastAsia" w:ascii="仿宋_GB2312" w:hAnsi="黑体" w:eastAsia="仿宋_GB2312"/>
          <w:color w:val="auto"/>
          <w:sz w:val="32"/>
          <w:szCs w:val="32"/>
          <w:highlight w:val="none"/>
        </w:rPr>
        <w:t>万元、卫生健康支出</w:t>
      </w:r>
      <w:r>
        <w:rPr>
          <w:rFonts w:hint="eastAsia" w:ascii="仿宋_GB2312" w:hAnsi="黑体" w:eastAsia="仿宋_GB2312"/>
          <w:color w:val="auto"/>
          <w:sz w:val="32"/>
          <w:szCs w:val="32"/>
          <w:highlight w:val="none"/>
          <w:lang w:val="en-US" w:eastAsia="zh-CN"/>
        </w:rPr>
        <w:t>9.86</w:t>
      </w:r>
      <w:r>
        <w:rPr>
          <w:rFonts w:hint="eastAsia" w:ascii="仿宋_GB2312" w:hAnsi="黑体" w:eastAsia="仿宋_GB2312"/>
          <w:color w:val="auto"/>
          <w:sz w:val="32"/>
          <w:szCs w:val="32"/>
          <w:highlight w:val="none"/>
        </w:rPr>
        <w:t>万元、住房保障支出</w:t>
      </w:r>
      <w:r>
        <w:rPr>
          <w:rFonts w:hint="eastAsia" w:ascii="仿宋_GB2312" w:hAnsi="黑体" w:eastAsia="仿宋_GB2312"/>
          <w:color w:val="auto"/>
          <w:sz w:val="32"/>
          <w:szCs w:val="32"/>
          <w:highlight w:val="none"/>
          <w:lang w:val="en-US" w:eastAsia="zh-CN"/>
        </w:rPr>
        <w:t>12.59</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、城乡社区支出：</w:t>
      </w:r>
      <w:r>
        <w:rPr>
          <w:rFonts w:hint="eastAsia" w:ascii="仿宋_GB2312" w:hAnsi="黑体" w:eastAsia="仿宋_GB2312"/>
          <w:color w:val="auto"/>
          <w:sz w:val="32"/>
          <w:szCs w:val="32"/>
          <w:highlight w:val="none"/>
          <w:lang w:val="en-US" w:eastAsia="zh-CN"/>
        </w:rPr>
        <w:t>932.54万元</w:t>
      </w:r>
      <w:r>
        <w:rPr>
          <w:rFonts w:hint="eastAsia" w:ascii="仿宋_GB2312" w:hAnsi="黑体" w:eastAsia="仿宋_GB2312"/>
          <w:color w:val="auto"/>
          <w:sz w:val="32"/>
          <w:szCs w:val="32"/>
          <w:highlight w:val="none"/>
        </w:rPr>
        <w:t>。</w:t>
      </w:r>
    </w:p>
    <w:p w14:paraId="5E5B19AD">
      <w:pPr>
        <w:pStyle w:val="2"/>
        <w:rPr>
          <w:rFonts w:hint="default" w:eastAsia="仿宋_GB2312"/>
          <w:color w:val="auto"/>
          <w:lang w:val="en-US" w:eastAsia="zh-CN"/>
        </w:rPr>
      </w:pPr>
      <w:r>
        <w:rPr>
          <w:rFonts w:hint="eastAsia" w:ascii="仿宋_GB2312" w:hAnsi="黑体" w:eastAsia="仿宋_GB2312"/>
          <w:color w:val="auto"/>
          <w:sz w:val="32"/>
          <w:szCs w:val="32"/>
          <w:highlight w:val="none"/>
          <w:lang w:eastAsia="zh-CN"/>
        </w:rPr>
        <w:t>上年结转：</w:t>
      </w:r>
      <w:r>
        <w:rPr>
          <w:rFonts w:hint="eastAsia" w:ascii="仿宋_GB2312" w:hAnsi="黑体" w:eastAsia="仿宋_GB2312"/>
          <w:color w:val="auto"/>
          <w:sz w:val="32"/>
          <w:szCs w:val="32"/>
          <w:highlight w:val="none"/>
          <w:lang w:val="en-US" w:eastAsia="zh-CN"/>
        </w:rPr>
        <w:t>131.60万元</w:t>
      </w:r>
      <w:r>
        <w:rPr>
          <w:rFonts w:hint="eastAsia" w:ascii="仿宋_GB2312" w:hAnsi="黑体" w:eastAsia="仿宋_GB2312"/>
          <w:color w:val="auto"/>
          <w:sz w:val="32"/>
          <w:szCs w:val="32"/>
          <w:highlight w:val="none"/>
        </w:rPr>
        <w:t>。</w:t>
      </w:r>
    </w:p>
    <w:p w14:paraId="08C5D88F">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三、一般公共预算当年拨款情况说明</w:t>
      </w:r>
    </w:p>
    <w:p w14:paraId="6CE2BAD6">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（一）一般公共预算当年拨款规模变化情况</w:t>
      </w:r>
    </w:p>
    <w:p w14:paraId="64360C6A">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年一般公共预算当年拨款</w:t>
      </w:r>
      <w:r>
        <w:rPr>
          <w:rFonts w:hint="eastAsia" w:ascii="仿宋_GB2312" w:hAnsi="黑体" w:eastAsia="仿宋_GB2312"/>
          <w:color w:val="auto"/>
          <w:sz w:val="32"/>
          <w:szCs w:val="32"/>
          <w:highlight w:val="none"/>
          <w:lang w:val="en-US" w:eastAsia="zh-CN"/>
        </w:rPr>
        <w:t>547.06</w:t>
      </w:r>
      <w:r>
        <w:rPr>
          <w:rFonts w:hint="eastAsia" w:ascii="仿宋_GB2312" w:hAnsi="黑体" w:eastAsia="仿宋_GB2312"/>
          <w:color w:val="auto"/>
          <w:sz w:val="32"/>
          <w:szCs w:val="32"/>
          <w:highlight w:val="none"/>
        </w:rPr>
        <w:t>万元，比202</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年预算数增加</w:t>
      </w:r>
      <w:r>
        <w:rPr>
          <w:rFonts w:hint="eastAsia" w:ascii="仿宋_GB2312" w:hAnsi="黑体" w:eastAsia="仿宋_GB2312"/>
          <w:color w:val="auto"/>
          <w:sz w:val="32"/>
          <w:szCs w:val="32"/>
          <w:highlight w:val="none"/>
          <w:lang w:val="en-US" w:eastAsia="zh-CN"/>
        </w:rPr>
        <w:t>653.61</w:t>
      </w:r>
      <w:r>
        <w:rPr>
          <w:rFonts w:hint="eastAsia" w:ascii="仿宋_GB2312" w:hAnsi="黑体" w:eastAsia="仿宋_GB2312"/>
          <w:color w:val="auto"/>
          <w:sz w:val="32"/>
          <w:szCs w:val="32"/>
          <w:highlight w:val="none"/>
        </w:rPr>
        <w:t>万元，主要原因</w:t>
      </w:r>
      <w:r>
        <w:rPr>
          <w:rFonts w:hint="eastAsia" w:ascii="仿宋_GB2312" w:hAnsi="黑体" w:eastAsia="仿宋_GB2312"/>
          <w:color w:val="auto"/>
          <w:sz w:val="32"/>
          <w:szCs w:val="32"/>
          <w:highlight w:val="none"/>
          <w:lang w:val="en-US" w:eastAsia="zh-CN"/>
        </w:rPr>
        <w:t>2026年预算包含了九寨沟县城市投资开发有限公司垃圾三厂及污水处理厂运行经费600.00万元，市政中心零星维修项目70.00万元，故增加预算数</w:t>
      </w:r>
      <w:r>
        <w:rPr>
          <w:rFonts w:hint="eastAsia" w:ascii="仿宋_GB2312" w:hAnsi="黑体" w:eastAsia="仿宋_GB2312"/>
          <w:color w:val="auto"/>
          <w:sz w:val="32"/>
          <w:szCs w:val="32"/>
          <w:highlight w:val="none"/>
        </w:rPr>
        <w:t>。</w:t>
      </w:r>
    </w:p>
    <w:p w14:paraId="1B040B71">
      <w:pPr>
        <w:ind w:firstLine="640" w:firstLineChars="200"/>
        <w:jc w:val="both"/>
        <w:rPr>
          <w:rFonts w:ascii="仿宋_GB2312" w:hAnsi="黑体" w:eastAsia="仿宋_GB2312"/>
          <w:color w:val="auto"/>
          <w:sz w:val="32"/>
          <w:szCs w:val="32"/>
          <w:highlight w:val="none"/>
        </w:rPr>
      </w:pPr>
    </w:p>
    <w:p w14:paraId="63A436E3">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（二）一般公共预算当年拨款结构情况</w:t>
      </w:r>
    </w:p>
    <w:p w14:paraId="3CD2302B">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一般公共服务支出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%；外交支出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%；国防支出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%；公共安全支出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%；教育支出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%；科学技术支出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%；文化旅游体育与传媒支出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%；社会保障和就业支出</w:t>
      </w:r>
      <w:r>
        <w:rPr>
          <w:rFonts w:hint="eastAsia" w:ascii="仿宋_GB2312" w:hAnsi="黑体" w:eastAsia="仿宋_GB2312"/>
          <w:color w:val="auto"/>
          <w:sz w:val="32"/>
          <w:szCs w:val="32"/>
          <w:highlight w:val="none"/>
          <w:lang w:val="en-US" w:eastAsia="zh-CN"/>
        </w:rPr>
        <w:t>23.67</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2.42</w:t>
      </w:r>
      <w:r>
        <w:rPr>
          <w:rFonts w:hint="eastAsia" w:ascii="仿宋_GB2312" w:hAnsi="黑体" w:eastAsia="仿宋_GB2312"/>
          <w:color w:val="auto"/>
          <w:sz w:val="32"/>
          <w:szCs w:val="32"/>
          <w:highlight w:val="none"/>
        </w:rPr>
        <w:t>%；卫生健康支出</w:t>
      </w:r>
      <w:r>
        <w:rPr>
          <w:rFonts w:hint="eastAsia" w:ascii="仿宋_GB2312" w:hAnsi="黑体" w:eastAsia="仿宋_GB2312"/>
          <w:color w:val="auto"/>
          <w:sz w:val="32"/>
          <w:szCs w:val="32"/>
          <w:highlight w:val="none"/>
          <w:lang w:val="en-US" w:eastAsia="zh-CN"/>
        </w:rPr>
        <w:t>9.86</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1</w:t>
      </w:r>
      <w:r>
        <w:rPr>
          <w:rFonts w:hint="eastAsia" w:ascii="仿宋_GB2312" w:hAnsi="黑体" w:eastAsia="仿宋_GB2312"/>
          <w:color w:val="auto"/>
          <w:sz w:val="32"/>
          <w:szCs w:val="32"/>
          <w:highlight w:val="none"/>
        </w:rPr>
        <w:t>%；住房保障支出</w:t>
      </w:r>
      <w:r>
        <w:rPr>
          <w:rFonts w:hint="eastAsia" w:ascii="仿宋_GB2312" w:hAnsi="黑体" w:eastAsia="仿宋_GB2312"/>
          <w:color w:val="auto"/>
          <w:sz w:val="32"/>
          <w:szCs w:val="32"/>
          <w:highlight w:val="none"/>
          <w:lang w:val="en-US" w:eastAsia="zh-CN"/>
        </w:rPr>
        <w:t>12.59</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1.29</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eastAsia="zh-CN"/>
        </w:rPr>
        <w:t>、城乡社区支出</w:t>
      </w:r>
      <w:r>
        <w:rPr>
          <w:rFonts w:hint="eastAsia" w:ascii="仿宋_GB2312" w:hAnsi="黑体" w:eastAsia="仿宋_GB2312"/>
          <w:color w:val="auto"/>
          <w:sz w:val="32"/>
          <w:szCs w:val="32"/>
          <w:highlight w:val="none"/>
          <w:lang w:val="en-US" w:eastAsia="zh-CN"/>
        </w:rPr>
        <w:t>932.54万元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占</w:t>
      </w:r>
      <w:r>
        <w:rPr>
          <w:rFonts w:hint="eastAsia" w:ascii="仿宋_GB2312" w:hAnsi="黑体" w:eastAsia="仿宋_GB2312"/>
          <w:color w:val="auto"/>
          <w:sz w:val="32"/>
          <w:szCs w:val="32"/>
          <w:highlight w:val="none"/>
          <w:lang w:val="en-US" w:eastAsia="zh-CN"/>
        </w:rPr>
        <w:t>95.29</w:t>
      </w:r>
      <w:r>
        <w:rPr>
          <w:rFonts w:hint="eastAsia" w:ascii="仿宋_GB2312" w:hAnsi="黑体" w:eastAsia="仿宋_GB2312"/>
          <w:color w:val="auto"/>
          <w:sz w:val="32"/>
          <w:szCs w:val="32"/>
          <w:highlight w:val="none"/>
        </w:rPr>
        <w:t>%。</w:t>
      </w:r>
    </w:p>
    <w:p w14:paraId="08EB1FB7">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（三）一般公共预算当年拨款具体使用情况</w:t>
      </w:r>
    </w:p>
    <w:p w14:paraId="006719C1">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1</w:t>
      </w:r>
      <w:r>
        <w:rPr>
          <w:rFonts w:hint="eastAsia" w:ascii="仿宋_GB2312" w:hAnsi="黑体" w:eastAsia="仿宋_GB2312"/>
          <w:color w:val="auto"/>
          <w:sz w:val="32"/>
          <w:szCs w:val="32"/>
          <w:highlight w:val="none"/>
        </w:rPr>
        <w:t>.社会保障和就业（</w:t>
      </w:r>
      <w:r>
        <w:rPr>
          <w:rFonts w:hint="eastAsia" w:ascii="仿宋_GB2312" w:hAnsi="黑体" w:eastAsia="仿宋_GB2312"/>
          <w:color w:val="auto"/>
          <w:sz w:val="32"/>
          <w:szCs w:val="32"/>
          <w:highlight w:val="none"/>
          <w:lang w:val="en-US" w:eastAsia="zh-CN"/>
        </w:rPr>
        <w:t>208</w:t>
      </w:r>
      <w:r>
        <w:rPr>
          <w:rFonts w:hint="eastAsia" w:ascii="仿宋_GB2312" w:hAnsi="黑体" w:eastAsia="仿宋_GB2312"/>
          <w:color w:val="auto"/>
          <w:sz w:val="32"/>
          <w:szCs w:val="32"/>
          <w:highlight w:val="none"/>
        </w:rPr>
        <w:t>）行政事业单位养老支出（</w:t>
      </w:r>
      <w:r>
        <w:rPr>
          <w:rFonts w:hint="eastAsia" w:ascii="仿宋_GB2312" w:hAnsi="黑体" w:eastAsia="仿宋_GB2312"/>
          <w:color w:val="auto"/>
          <w:sz w:val="32"/>
          <w:szCs w:val="32"/>
          <w:highlight w:val="none"/>
          <w:lang w:val="en-US" w:eastAsia="zh-CN"/>
        </w:rPr>
        <w:t>05</w:t>
      </w:r>
      <w:r>
        <w:rPr>
          <w:rFonts w:hint="eastAsia" w:ascii="仿宋_GB2312" w:hAnsi="黑体" w:eastAsia="仿宋_GB2312"/>
          <w:color w:val="auto"/>
          <w:sz w:val="32"/>
          <w:szCs w:val="32"/>
          <w:highlight w:val="none"/>
        </w:rPr>
        <w:t>）机关事业单位基本养老保险缴费支出（</w:t>
      </w:r>
      <w:r>
        <w:rPr>
          <w:rFonts w:hint="eastAsia" w:ascii="仿宋_GB2312" w:hAnsi="黑体" w:eastAsia="仿宋_GB2312"/>
          <w:color w:val="auto"/>
          <w:sz w:val="32"/>
          <w:szCs w:val="32"/>
          <w:highlight w:val="none"/>
          <w:lang w:val="en-US" w:eastAsia="zh-CN"/>
        </w:rPr>
        <w:t>05</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15.28</w:t>
      </w:r>
      <w:r>
        <w:rPr>
          <w:rFonts w:hint="eastAsia" w:ascii="仿宋_GB2312" w:hAnsi="黑体" w:eastAsia="仿宋_GB2312"/>
          <w:color w:val="auto"/>
          <w:sz w:val="32"/>
          <w:szCs w:val="32"/>
          <w:highlight w:val="none"/>
        </w:rPr>
        <w:t>万元，主要用于：实施养老保险制度由单位缴纳的基本养老保险支出。</w:t>
      </w:r>
    </w:p>
    <w:p w14:paraId="0B2509BC">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.社会保障和就业（</w:t>
      </w:r>
      <w:r>
        <w:rPr>
          <w:rFonts w:hint="eastAsia" w:ascii="仿宋_GB2312" w:hAnsi="黑体" w:eastAsia="仿宋_GB2312"/>
          <w:color w:val="auto"/>
          <w:sz w:val="32"/>
          <w:szCs w:val="32"/>
          <w:highlight w:val="none"/>
          <w:lang w:val="en-US" w:eastAsia="zh-CN"/>
        </w:rPr>
        <w:t>208</w:t>
      </w:r>
      <w:r>
        <w:rPr>
          <w:rFonts w:hint="eastAsia" w:ascii="仿宋_GB2312" w:hAnsi="黑体" w:eastAsia="仿宋_GB2312"/>
          <w:color w:val="auto"/>
          <w:sz w:val="32"/>
          <w:szCs w:val="32"/>
          <w:highlight w:val="none"/>
        </w:rPr>
        <w:t>）行政事业单位养老支出（</w:t>
      </w:r>
      <w:r>
        <w:rPr>
          <w:rFonts w:hint="eastAsia" w:ascii="仿宋_GB2312" w:hAnsi="黑体" w:eastAsia="仿宋_GB2312"/>
          <w:color w:val="auto"/>
          <w:sz w:val="32"/>
          <w:szCs w:val="32"/>
          <w:highlight w:val="none"/>
          <w:lang w:val="en-US" w:eastAsia="zh-CN"/>
        </w:rPr>
        <w:t>05</w:t>
      </w:r>
      <w:r>
        <w:rPr>
          <w:rFonts w:hint="eastAsia" w:ascii="仿宋_GB2312" w:hAnsi="黑体" w:eastAsia="仿宋_GB2312"/>
          <w:color w:val="auto"/>
          <w:sz w:val="32"/>
          <w:szCs w:val="32"/>
          <w:highlight w:val="none"/>
        </w:rPr>
        <w:t>）机关事业单位职业年金缴费支出（</w:t>
      </w:r>
      <w:r>
        <w:rPr>
          <w:rFonts w:hint="eastAsia" w:ascii="仿宋_GB2312" w:hAnsi="黑体" w:eastAsia="仿宋_GB2312"/>
          <w:color w:val="auto"/>
          <w:sz w:val="32"/>
          <w:szCs w:val="32"/>
          <w:highlight w:val="none"/>
          <w:lang w:val="en-US" w:eastAsia="zh-CN"/>
        </w:rPr>
        <w:t>06</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8.39</w:t>
      </w:r>
      <w:r>
        <w:rPr>
          <w:rFonts w:hint="eastAsia" w:ascii="仿宋_GB2312" w:hAnsi="黑体" w:eastAsia="仿宋_GB2312"/>
          <w:color w:val="auto"/>
          <w:sz w:val="32"/>
          <w:szCs w:val="32"/>
          <w:highlight w:val="none"/>
        </w:rPr>
        <w:t>万元，主要用于：实施养老保险制度由单位缴纳的职业年金支出。</w:t>
      </w:r>
    </w:p>
    <w:p w14:paraId="702F0F44">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.卫生健康（</w:t>
      </w:r>
      <w:r>
        <w:rPr>
          <w:rFonts w:hint="eastAsia" w:ascii="仿宋_GB2312" w:hAnsi="黑体" w:eastAsia="仿宋_GB2312"/>
          <w:color w:val="auto"/>
          <w:sz w:val="32"/>
          <w:szCs w:val="32"/>
          <w:highlight w:val="none"/>
          <w:lang w:val="en-US" w:eastAsia="zh-CN"/>
        </w:rPr>
        <w:t>210</w:t>
      </w:r>
      <w:r>
        <w:rPr>
          <w:rFonts w:hint="eastAsia" w:ascii="仿宋_GB2312" w:hAnsi="黑体" w:eastAsia="仿宋_GB2312"/>
          <w:color w:val="auto"/>
          <w:sz w:val="32"/>
          <w:szCs w:val="32"/>
          <w:highlight w:val="none"/>
        </w:rPr>
        <w:t>）行政事业单位医疗（</w:t>
      </w:r>
      <w:r>
        <w:rPr>
          <w:rFonts w:hint="eastAsia" w:ascii="仿宋_GB2312" w:hAnsi="黑体" w:eastAsia="仿宋_GB2312"/>
          <w:color w:val="auto"/>
          <w:sz w:val="32"/>
          <w:szCs w:val="32"/>
          <w:highlight w:val="none"/>
          <w:lang w:val="en-US" w:eastAsia="zh-CN"/>
        </w:rPr>
        <w:t>11</w:t>
      </w:r>
      <w:r>
        <w:rPr>
          <w:rFonts w:hint="eastAsia" w:ascii="仿宋_GB2312" w:hAnsi="黑体" w:eastAsia="仿宋_GB2312"/>
          <w:color w:val="auto"/>
          <w:sz w:val="32"/>
          <w:szCs w:val="32"/>
          <w:highlight w:val="none"/>
        </w:rPr>
        <w:t>）行政单位医疗</w:t>
      </w:r>
      <w:r>
        <w:rPr>
          <w:rFonts w:hint="default"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val="en-US" w:eastAsia="zh-CN"/>
        </w:rPr>
        <w:t>01</w:t>
      </w:r>
      <w:r>
        <w:rPr>
          <w:rFonts w:hint="default"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7.32</w:t>
      </w:r>
      <w:r>
        <w:rPr>
          <w:rFonts w:hint="eastAsia" w:ascii="仿宋_GB2312" w:hAnsi="黑体" w:eastAsia="仿宋_GB2312"/>
          <w:color w:val="auto"/>
          <w:sz w:val="32"/>
          <w:szCs w:val="32"/>
          <w:highlight w:val="none"/>
        </w:rPr>
        <w:t>万元，主要用于：</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按规定由单位缴纳的基本医疗保险支出。</w:t>
      </w:r>
    </w:p>
    <w:p w14:paraId="6C38D0E5">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rPr>
        <w:t>.卫生健康（</w:t>
      </w:r>
      <w:r>
        <w:rPr>
          <w:rFonts w:hint="eastAsia" w:ascii="仿宋_GB2312" w:hAnsi="黑体" w:eastAsia="仿宋_GB2312"/>
          <w:color w:val="auto"/>
          <w:sz w:val="32"/>
          <w:szCs w:val="32"/>
          <w:highlight w:val="none"/>
          <w:lang w:val="en-US" w:eastAsia="zh-CN"/>
        </w:rPr>
        <w:t>210</w:t>
      </w:r>
      <w:r>
        <w:rPr>
          <w:rFonts w:hint="eastAsia" w:ascii="仿宋_GB2312" w:hAnsi="黑体" w:eastAsia="仿宋_GB2312"/>
          <w:color w:val="auto"/>
          <w:sz w:val="32"/>
          <w:szCs w:val="32"/>
          <w:highlight w:val="none"/>
        </w:rPr>
        <w:t>）行政事业单位医疗（</w:t>
      </w:r>
      <w:r>
        <w:rPr>
          <w:rFonts w:hint="eastAsia" w:ascii="仿宋_GB2312" w:hAnsi="黑体" w:eastAsia="仿宋_GB2312"/>
          <w:color w:val="auto"/>
          <w:sz w:val="32"/>
          <w:szCs w:val="32"/>
          <w:highlight w:val="none"/>
          <w:lang w:val="en-US" w:eastAsia="zh-CN"/>
        </w:rPr>
        <w:t>11</w:t>
      </w:r>
      <w:r>
        <w:rPr>
          <w:rFonts w:hint="eastAsia" w:ascii="仿宋_GB2312" w:hAnsi="黑体" w:eastAsia="仿宋_GB2312"/>
          <w:color w:val="auto"/>
          <w:sz w:val="32"/>
          <w:szCs w:val="32"/>
          <w:highlight w:val="none"/>
        </w:rPr>
        <w:t>）事业单位医疗（</w:t>
      </w:r>
      <w:r>
        <w:rPr>
          <w:rFonts w:hint="eastAsia" w:ascii="仿宋_GB2312" w:hAnsi="黑体" w:eastAsia="仿宋_GB2312"/>
          <w:color w:val="auto"/>
          <w:sz w:val="32"/>
          <w:szCs w:val="32"/>
          <w:highlight w:val="none"/>
          <w:lang w:val="en-US" w:eastAsia="zh-CN"/>
        </w:rPr>
        <w:t>02</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 xml:space="preserve"> 0</w:t>
      </w:r>
      <w:r>
        <w:rPr>
          <w:rFonts w:hint="eastAsia" w:ascii="仿宋_GB2312" w:hAnsi="黑体" w:eastAsia="仿宋_GB2312"/>
          <w:color w:val="auto"/>
          <w:sz w:val="32"/>
          <w:szCs w:val="32"/>
          <w:highlight w:val="none"/>
        </w:rPr>
        <w:t>万元，主要用于：部门下属事业单位按规定由单位缴纳的基本医疗保险支出。</w:t>
      </w:r>
    </w:p>
    <w:p w14:paraId="70EDB275">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.卫生健康（</w:t>
      </w:r>
      <w:r>
        <w:rPr>
          <w:rFonts w:hint="eastAsia" w:ascii="仿宋_GB2312" w:hAnsi="黑体" w:eastAsia="仿宋_GB2312"/>
          <w:color w:val="auto"/>
          <w:sz w:val="32"/>
          <w:szCs w:val="32"/>
          <w:highlight w:val="none"/>
          <w:lang w:val="en-US" w:eastAsia="zh-CN"/>
        </w:rPr>
        <w:t>210</w:t>
      </w:r>
      <w:r>
        <w:rPr>
          <w:rFonts w:hint="eastAsia" w:ascii="仿宋_GB2312" w:hAnsi="黑体" w:eastAsia="仿宋_GB2312"/>
          <w:color w:val="auto"/>
          <w:sz w:val="32"/>
          <w:szCs w:val="32"/>
          <w:highlight w:val="none"/>
        </w:rPr>
        <w:t>）行政事业单位医疗（</w:t>
      </w:r>
      <w:r>
        <w:rPr>
          <w:rFonts w:hint="eastAsia" w:ascii="仿宋_GB2312" w:hAnsi="黑体" w:eastAsia="仿宋_GB2312"/>
          <w:color w:val="auto"/>
          <w:sz w:val="32"/>
          <w:szCs w:val="32"/>
          <w:highlight w:val="none"/>
          <w:lang w:val="en-US" w:eastAsia="zh-CN"/>
        </w:rPr>
        <w:t>11</w:t>
      </w:r>
      <w:r>
        <w:rPr>
          <w:rFonts w:hint="eastAsia" w:ascii="仿宋_GB2312" w:hAnsi="黑体" w:eastAsia="仿宋_GB2312"/>
          <w:color w:val="auto"/>
          <w:sz w:val="32"/>
          <w:szCs w:val="32"/>
          <w:highlight w:val="none"/>
        </w:rPr>
        <w:t>）公务员医疗补功（</w:t>
      </w:r>
      <w:r>
        <w:rPr>
          <w:rFonts w:hint="eastAsia" w:ascii="仿宋_GB2312" w:hAnsi="黑体" w:eastAsia="仿宋_GB2312"/>
          <w:color w:val="auto"/>
          <w:sz w:val="32"/>
          <w:szCs w:val="32"/>
          <w:highlight w:val="none"/>
          <w:lang w:val="en-US" w:eastAsia="zh-CN"/>
        </w:rPr>
        <w:t>03</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2.53</w:t>
      </w:r>
      <w:r>
        <w:rPr>
          <w:rFonts w:hint="eastAsia" w:ascii="仿宋_GB2312" w:hAnsi="黑体" w:eastAsia="仿宋_GB2312"/>
          <w:color w:val="auto"/>
          <w:sz w:val="32"/>
          <w:szCs w:val="32"/>
          <w:highlight w:val="none"/>
        </w:rPr>
        <w:t>万元，主要用于：</w:t>
      </w:r>
      <w:r>
        <w:rPr>
          <w:rFonts w:hint="eastAsia" w:ascii="仿宋_GB2312" w:hAnsi="黑体" w:eastAsia="仿宋_GB2312"/>
          <w:color w:val="auto"/>
          <w:sz w:val="32"/>
          <w:szCs w:val="32"/>
          <w:highlight w:val="none"/>
          <w:lang w:eastAsia="zh-CN"/>
        </w:rPr>
        <w:t>寨沟县住房和城乡建设局</w:t>
      </w:r>
      <w:r>
        <w:rPr>
          <w:rFonts w:hint="eastAsia" w:ascii="仿宋_GB2312" w:hAnsi="黑体" w:eastAsia="仿宋_GB2312"/>
          <w:color w:val="auto"/>
          <w:sz w:val="32"/>
          <w:szCs w:val="32"/>
          <w:highlight w:val="none"/>
        </w:rPr>
        <w:t>缴纳公务员医疗补助支出。</w:t>
      </w:r>
    </w:p>
    <w:p w14:paraId="153508AE">
      <w:pPr>
        <w:ind w:firstLine="320" w:firstLineChars="100"/>
        <w:jc w:val="both"/>
        <w:rPr>
          <w:rFonts w:hint="eastAsia" w:ascii="仿宋_GB2312" w:hAnsi="黑体" w:eastAsia="仿宋_GB2312" w:cstheme="minorBidi"/>
          <w:b w:val="0"/>
          <w:bCs w:val="0"/>
          <w:color w:val="auto"/>
          <w:kern w:val="2"/>
          <w:sz w:val="32"/>
          <w:szCs w:val="32"/>
          <w:highlight w:val="none"/>
          <w:lang w:val="en-US" w:eastAsia="zh-CN" w:bidi="ar-SA"/>
        </w:rPr>
      </w:pPr>
      <w:r>
        <w:rPr>
          <w:rFonts w:hint="eastAsia" w:ascii="仿宋_GB2312" w:hAnsi="黑体" w:eastAsia="仿宋_GB2312"/>
          <w:color w:val="auto"/>
          <w:sz w:val="32"/>
          <w:szCs w:val="32"/>
          <w:highlight w:val="none"/>
          <w:lang w:val="en-US" w:eastAsia="zh-CN"/>
        </w:rPr>
        <w:t xml:space="preserve"> 6.</w:t>
      </w:r>
      <w:r>
        <w:rPr>
          <w:rFonts w:hint="eastAsia" w:ascii="仿宋_GB2312" w:hAnsi="黑体" w:eastAsia="仿宋_GB2312" w:cstheme="minorBidi"/>
          <w:b w:val="0"/>
          <w:bCs w:val="0"/>
          <w:color w:val="auto"/>
          <w:kern w:val="2"/>
          <w:sz w:val="32"/>
          <w:szCs w:val="32"/>
          <w:highlight w:val="none"/>
          <w:lang w:val="en-US" w:eastAsia="zh-CN" w:bidi="ar-SA"/>
        </w:rPr>
        <w:t>城乡社区（212）管理事务（01）行政运行（01）:2025年预算数130.94万元，主要用于：局机关人员正常运转的基本支出，包括基本工资、津贴补贴等人员经费以及办公费、印刷费、邮电费等日常公用经费。</w:t>
      </w:r>
    </w:p>
    <w:p w14:paraId="642342F7">
      <w:pPr>
        <w:pStyle w:val="2"/>
        <w:ind w:left="0" w:leftChars="0" w:firstLine="0" w:firstLineChars="0"/>
        <w:rPr>
          <w:rFonts w:hint="default" w:eastAsia="仿宋_GB2312"/>
          <w:lang w:val="en-US" w:eastAsia="zh-CN"/>
        </w:rPr>
      </w:pPr>
    </w:p>
    <w:p w14:paraId="0D31D339">
      <w:pPr>
        <w:ind w:firstLine="640" w:firstLineChars="200"/>
        <w:jc w:val="both"/>
        <w:rPr>
          <w:rFonts w:hint="eastAsia" w:ascii="仿宋_GB2312" w:hAnsi="黑体" w:eastAsia="仿宋_GB2312" w:cstheme="minorBidi"/>
          <w:b w:val="0"/>
          <w:bCs w:val="0"/>
          <w:color w:val="auto"/>
          <w:kern w:val="2"/>
          <w:sz w:val="32"/>
          <w:szCs w:val="32"/>
          <w:highlight w:val="none"/>
          <w:lang w:val="en-US" w:eastAsia="zh-CN" w:bidi="ar-SA"/>
        </w:rPr>
      </w:pPr>
      <w:r>
        <w:rPr>
          <w:rFonts w:hint="eastAsia" w:ascii="仿宋_GB2312" w:hAnsi="黑体" w:eastAsia="仿宋_GB2312" w:cstheme="minorBidi"/>
          <w:b w:val="0"/>
          <w:bCs w:val="0"/>
          <w:color w:val="auto"/>
          <w:kern w:val="2"/>
          <w:sz w:val="32"/>
          <w:szCs w:val="32"/>
          <w:highlight w:val="none"/>
          <w:lang w:val="en-US" w:eastAsia="zh-CN" w:bidi="ar-SA"/>
        </w:rPr>
        <w:t>7.城乡社区（212）城乡社区管理事务（01）其他城乡社区管理事务支出（99）:2026年预算数为327.97万元，主要用于：其他用于城乡社区管理事务方面的项目支出。</w:t>
      </w:r>
    </w:p>
    <w:p w14:paraId="07CD997D">
      <w:pPr>
        <w:ind w:firstLine="420" w:firstLineChars="200"/>
        <w:jc w:val="both"/>
        <w:rPr>
          <w:rFonts w:hint="eastAsia" w:ascii="仿宋_GB2312" w:hAnsi="黑体" w:eastAsia="仿宋_GB2312" w:cstheme="minorBidi"/>
          <w:b w:val="0"/>
          <w:bCs w:val="0"/>
          <w:color w:val="auto"/>
          <w:kern w:val="2"/>
          <w:sz w:val="32"/>
          <w:szCs w:val="32"/>
          <w:highlight w:val="none"/>
          <w:lang w:val="en-US" w:eastAsia="zh-CN" w:bidi="ar-SA"/>
        </w:rPr>
      </w:pPr>
      <w:r>
        <w:rPr>
          <w:rFonts w:hint="eastAsia"/>
          <w:lang w:val="en-US" w:eastAsia="zh-CN"/>
        </w:rPr>
        <w:t xml:space="preserve">  </w:t>
      </w:r>
      <w:r>
        <w:rPr>
          <w:rFonts w:hint="eastAsia" w:ascii="仿宋_GB2312" w:hAnsi="黑体" w:eastAsia="仿宋_GB2312" w:cstheme="minorBidi"/>
          <w:b w:val="0"/>
          <w:bCs w:val="0"/>
          <w:color w:val="auto"/>
          <w:kern w:val="2"/>
          <w:sz w:val="32"/>
          <w:szCs w:val="32"/>
          <w:highlight w:val="none"/>
          <w:lang w:val="en-US" w:eastAsia="zh-CN" w:bidi="ar-SA"/>
        </w:rPr>
        <w:t>8.城乡社区（212）城乡社区公共设施（03）其他城乡社区支出（99）2026年预算数为70万元，主要用于：其他用于城乡社区方面的项目支出。</w:t>
      </w:r>
    </w:p>
    <w:p w14:paraId="2F35ABD2">
      <w:pPr>
        <w:pStyle w:val="2"/>
        <w:ind w:left="0" w:leftChars="0" w:firstLine="640" w:firstLineChars="200"/>
        <w:rPr>
          <w:rFonts w:hint="eastAsia" w:ascii="仿宋_GB2312" w:hAnsi="黑体" w:eastAsia="仿宋_GB2312" w:cstheme="minorBidi"/>
          <w:b w:val="0"/>
          <w:bCs w:val="0"/>
          <w:color w:val="auto"/>
          <w:kern w:val="2"/>
          <w:sz w:val="32"/>
          <w:szCs w:val="32"/>
          <w:highlight w:val="none"/>
          <w:lang w:val="en-US" w:eastAsia="zh-CN" w:bidi="ar-SA"/>
        </w:rPr>
      </w:pPr>
      <w:r>
        <w:rPr>
          <w:rFonts w:hint="eastAsia" w:ascii="仿宋_GB2312" w:hAnsi="黑体" w:eastAsia="仿宋_GB2312" w:cstheme="minorBidi"/>
          <w:b w:val="0"/>
          <w:bCs w:val="0"/>
          <w:color w:val="auto"/>
          <w:kern w:val="2"/>
          <w:sz w:val="32"/>
          <w:szCs w:val="32"/>
          <w:highlight w:val="none"/>
          <w:lang w:val="en-US" w:eastAsia="zh-CN" w:bidi="ar-SA"/>
        </w:rPr>
        <w:t>9.城乡社区（212）农业农村生态环境支出（08）其他国有土地收益基金支出（99）2026年预算数为103.63万元。主要用于：不包括市县级政府当年按规定用于土地出让收入向中央和省级政府缴纳的新增建设用地土地有偿使用方面的支出。</w:t>
      </w:r>
    </w:p>
    <w:p w14:paraId="222D96B7">
      <w:pPr>
        <w:pStyle w:val="2"/>
        <w:ind w:left="0" w:leftChars="0" w:firstLine="320" w:firstLineChars="100"/>
        <w:rPr>
          <w:rFonts w:hint="eastAsia" w:ascii="仿宋_GB2312" w:hAnsi="黑体" w:eastAsia="仿宋_GB2312" w:cstheme="minorBidi"/>
          <w:b w:val="0"/>
          <w:bCs w:val="0"/>
          <w:color w:val="auto"/>
          <w:kern w:val="2"/>
          <w:sz w:val="32"/>
          <w:szCs w:val="32"/>
          <w:highlight w:val="none"/>
          <w:lang w:val="en-US" w:eastAsia="zh-CN" w:bidi="ar-SA"/>
        </w:rPr>
      </w:pPr>
      <w:r>
        <w:rPr>
          <w:rFonts w:hint="eastAsia" w:ascii="仿宋_GB2312" w:hAnsi="黑体" w:eastAsia="仿宋_GB2312" w:cstheme="minorBidi"/>
          <w:b w:val="0"/>
          <w:bCs w:val="0"/>
          <w:color w:val="auto"/>
          <w:kern w:val="2"/>
          <w:sz w:val="32"/>
          <w:szCs w:val="32"/>
          <w:highlight w:val="none"/>
          <w:lang w:val="en-US" w:eastAsia="zh-CN" w:bidi="ar-SA"/>
        </w:rPr>
        <w:t xml:space="preserve">  10.城乡社区（212）污水处理费安排的支出（14）污水处理设施建设和运营（01）2026年预算数为300万元。主要用于：污水处理方面的运行经费支出。</w:t>
      </w:r>
    </w:p>
    <w:p w14:paraId="7ACE6832">
      <w:pPr>
        <w:ind w:firstLine="640" w:firstLineChars="200"/>
        <w:jc w:val="both"/>
        <w:rPr>
          <w:rFonts w:hint="eastAsia" w:eastAsia="仿宋_GB2312"/>
          <w:lang w:val="en-US" w:eastAsia="zh-CN"/>
        </w:rPr>
      </w:pPr>
      <w:r>
        <w:rPr>
          <w:rFonts w:hint="eastAsia" w:ascii="仿宋_GB2312" w:hAnsi="黑体" w:eastAsia="仿宋_GB2312"/>
          <w:color w:val="auto"/>
          <w:sz w:val="32"/>
          <w:szCs w:val="32"/>
          <w:highlight w:val="none"/>
          <w:lang w:val="en-US" w:eastAsia="zh-CN"/>
        </w:rPr>
        <w:t>11</w:t>
      </w:r>
      <w:r>
        <w:rPr>
          <w:rFonts w:hint="eastAsia" w:ascii="仿宋_GB2312" w:hAnsi="黑体" w:eastAsia="仿宋_GB2312"/>
          <w:color w:val="auto"/>
          <w:sz w:val="32"/>
          <w:szCs w:val="32"/>
          <w:highlight w:val="none"/>
        </w:rPr>
        <w:t>.住房保障（</w:t>
      </w:r>
      <w:r>
        <w:rPr>
          <w:rFonts w:hint="eastAsia" w:ascii="仿宋_GB2312" w:hAnsi="黑体" w:eastAsia="仿宋_GB2312"/>
          <w:color w:val="auto"/>
          <w:sz w:val="32"/>
          <w:szCs w:val="32"/>
          <w:highlight w:val="none"/>
          <w:lang w:val="en-US" w:eastAsia="zh-CN"/>
        </w:rPr>
        <w:t>221</w:t>
      </w:r>
      <w:r>
        <w:rPr>
          <w:rFonts w:hint="eastAsia" w:ascii="仿宋_GB2312" w:hAnsi="黑体" w:eastAsia="仿宋_GB2312"/>
          <w:color w:val="auto"/>
          <w:sz w:val="32"/>
          <w:szCs w:val="32"/>
          <w:highlight w:val="none"/>
        </w:rPr>
        <w:t>）住房改革支出（</w:t>
      </w:r>
      <w:r>
        <w:rPr>
          <w:rFonts w:hint="eastAsia" w:ascii="仿宋_GB2312" w:hAnsi="黑体" w:eastAsia="仿宋_GB2312"/>
          <w:color w:val="auto"/>
          <w:sz w:val="32"/>
          <w:szCs w:val="32"/>
          <w:highlight w:val="none"/>
          <w:lang w:val="en-US" w:eastAsia="zh-CN"/>
        </w:rPr>
        <w:t>02</w:t>
      </w:r>
      <w:r>
        <w:rPr>
          <w:rFonts w:hint="eastAsia" w:ascii="仿宋_GB2312" w:hAnsi="黑体" w:eastAsia="仿宋_GB2312"/>
          <w:color w:val="auto"/>
          <w:sz w:val="32"/>
          <w:szCs w:val="32"/>
          <w:highlight w:val="none"/>
        </w:rPr>
        <w:t>）住房公积金（</w:t>
      </w:r>
      <w:r>
        <w:rPr>
          <w:rFonts w:hint="eastAsia" w:ascii="仿宋_GB2312" w:hAnsi="黑体" w:eastAsia="仿宋_GB2312"/>
          <w:color w:val="auto"/>
          <w:sz w:val="32"/>
          <w:szCs w:val="32"/>
          <w:highlight w:val="none"/>
          <w:lang w:val="en-US" w:eastAsia="zh-CN"/>
        </w:rPr>
        <w:t>01</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12.59</w:t>
      </w:r>
      <w:r>
        <w:rPr>
          <w:rFonts w:hint="eastAsia" w:ascii="仿宋_GB2312" w:hAnsi="黑体" w:eastAsia="仿宋_GB2312"/>
          <w:color w:val="auto"/>
          <w:sz w:val="32"/>
          <w:szCs w:val="32"/>
          <w:highlight w:val="none"/>
        </w:rPr>
        <w:t>万元，主要用于：部门按规定为职工缴纳的住房公积金支出</w:t>
      </w:r>
      <w:r>
        <w:rPr>
          <w:rFonts w:hint="eastAsia" w:ascii="仿宋_GB2312" w:hAnsi="黑体" w:eastAsia="仿宋_GB2312"/>
          <w:color w:val="auto"/>
          <w:sz w:val="32"/>
          <w:szCs w:val="32"/>
          <w:highlight w:val="none"/>
          <w:lang w:eastAsia="zh-CN"/>
        </w:rPr>
        <w:t>。</w:t>
      </w:r>
    </w:p>
    <w:p w14:paraId="32F8F0C8">
      <w:pPr>
        <w:rPr>
          <w:rFonts w:hint="eastAsia" w:eastAsia="仿宋_GB2312"/>
          <w:lang w:val="en-US" w:eastAsia="zh-CN"/>
        </w:rPr>
      </w:pPr>
      <w:r>
        <w:rPr>
          <w:rFonts w:hint="eastAsia" w:ascii="仿宋_GB2312" w:hAnsi="黑体" w:eastAsia="仿宋_GB2312" w:cstheme="minorBidi"/>
          <w:b w:val="0"/>
          <w:bCs w:val="0"/>
          <w:color w:val="auto"/>
          <w:kern w:val="2"/>
          <w:sz w:val="32"/>
          <w:szCs w:val="32"/>
          <w:highlight w:val="none"/>
          <w:lang w:val="en-US" w:eastAsia="zh-CN" w:bidi="ar-SA"/>
        </w:rPr>
        <w:t xml:space="preserve">     </w:t>
      </w:r>
    </w:p>
    <w:p w14:paraId="38A1C3A3">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四、一般公共预算基本支出情况说明</w:t>
      </w:r>
    </w:p>
    <w:p w14:paraId="12894D0C">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年一般公共预算基本支出</w:t>
      </w:r>
      <w:r>
        <w:rPr>
          <w:rFonts w:hint="eastAsia" w:ascii="仿宋_GB2312" w:hAnsi="黑体" w:eastAsia="仿宋_GB2312"/>
          <w:color w:val="auto"/>
          <w:sz w:val="32"/>
          <w:szCs w:val="32"/>
          <w:highlight w:val="none"/>
          <w:lang w:val="en-US" w:eastAsia="zh-CN"/>
        </w:rPr>
        <w:t>177.06</w:t>
      </w:r>
      <w:r>
        <w:rPr>
          <w:rFonts w:hint="eastAsia" w:ascii="仿宋_GB2312" w:hAnsi="黑体" w:eastAsia="仿宋_GB2312"/>
          <w:color w:val="auto"/>
          <w:sz w:val="32"/>
          <w:szCs w:val="32"/>
          <w:highlight w:val="none"/>
        </w:rPr>
        <w:t>万元，其中：</w:t>
      </w:r>
    </w:p>
    <w:p w14:paraId="4872619B">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人员经费</w:t>
      </w:r>
      <w:r>
        <w:rPr>
          <w:rFonts w:hint="eastAsia" w:ascii="仿宋_GB2312" w:hAnsi="黑体" w:eastAsia="仿宋_GB2312"/>
          <w:color w:val="auto"/>
          <w:sz w:val="32"/>
          <w:szCs w:val="32"/>
          <w:highlight w:val="none"/>
          <w:lang w:val="en-US" w:eastAsia="zh-CN"/>
        </w:rPr>
        <w:t>167.12</w:t>
      </w:r>
      <w:r>
        <w:rPr>
          <w:rFonts w:hint="eastAsia" w:ascii="仿宋_GB2312" w:hAnsi="黑体" w:eastAsia="仿宋_GB2312"/>
          <w:color w:val="auto"/>
          <w:sz w:val="32"/>
          <w:szCs w:val="32"/>
          <w:highlight w:val="none"/>
        </w:rPr>
        <w:t>万元，主要包括：基本工资、津贴补贴、奖金、社会保险缴费、离休费、住房公积金、福利费、工会经费、其他交通费用等支出。</w:t>
      </w:r>
    </w:p>
    <w:p w14:paraId="51A3B497">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公用经</w:t>
      </w:r>
      <w:r>
        <w:rPr>
          <w:rFonts w:hint="eastAsia" w:ascii="仿宋_GB2312" w:hAnsi="黑体" w:eastAsia="仿宋_GB2312"/>
          <w:color w:val="auto"/>
          <w:sz w:val="32"/>
          <w:szCs w:val="32"/>
          <w:highlight w:val="none"/>
          <w:lang w:val="en-US" w:eastAsia="zh-CN"/>
        </w:rPr>
        <w:t>9.94</w:t>
      </w:r>
      <w:r>
        <w:rPr>
          <w:rFonts w:hint="eastAsia" w:ascii="仿宋_GB2312" w:hAnsi="黑体" w:eastAsia="仿宋_GB2312"/>
          <w:color w:val="auto"/>
          <w:sz w:val="32"/>
          <w:szCs w:val="32"/>
          <w:highlight w:val="none"/>
        </w:rPr>
        <w:t>万元，主要包活：办公费、印刷费、水费、电费、邮电费、物业管理费、差旅费、会议费、培训费、公务接待费、劳务费、公务用车运行维护费等支出。</w:t>
      </w:r>
    </w:p>
    <w:p w14:paraId="554C2E1D">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五、“三公”经费财政拨款预算安排情况说明</w:t>
      </w:r>
    </w:p>
    <w:p w14:paraId="251566DD">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年“三公”经费财政拨款预算数</w:t>
      </w:r>
      <w:r>
        <w:rPr>
          <w:rFonts w:hint="eastAsia" w:ascii="仿宋_GB2312" w:hAnsi="黑体" w:eastAsia="仿宋_GB2312"/>
          <w:color w:val="auto"/>
          <w:sz w:val="32"/>
          <w:szCs w:val="32"/>
          <w:highlight w:val="none"/>
          <w:lang w:val="en-US" w:eastAsia="zh-CN"/>
        </w:rPr>
        <w:t>5.2</w:t>
      </w:r>
      <w:r>
        <w:rPr>
          <w:rFonts w:hint="eastAsia" w:ascii="仿宋_GB2312" w:hAnsi="黑体" w:eastAsia="仿宋_GB2312"/>
          <w:color w:val="auto"/>
          <w:sz w:val="32"/>
          <w:szCs w:val="32"/>
          <w:highlight w:val="none"/>
        </w:rPr>
        <w:t>万元，其中：公务接待费</w:t>
      </w:r>
      <w:r>
        <w:rPr>
          <w:rFonts w:hint="eastAsia" w:ascii="仿宋_GB2312" w:hAnsi="黑体" w:eastAsia="仿宋_GB2312"/>
          <w:color w:val="auto"/>
          <w:sz w:val="32"/>
          <w:szCs w:val="32"/>
          <w:highlight w:val="none"/>
          <w:lang w:val="en-US" w:eastAsia="zh-CN"/>
        </w:rPr>
        <w:t>0.20</w:t>
      </w:r>
      <w:r>
        <w:rPr>
          <w:rFonts w:hint="eastAsia" w:ascii="仿宋_GB2312" w:hAnsi="黑体" w:eastAsia="仿宋_GB2312"/>
          <w:color w:val="auto"/>
          <w:sz w:val="32"/>
          <w:szCs w:val="32"/>
          <w:highlight w:val="none"/>
        </w:rPr>
        <w:t>万元，公务用车购置及运行维护费</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万元,因公出国（境）经费</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p>
    <w:p w14:paraId="37E5CF1E">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（一）公务接待费与（较</w:t>
      </w:r>
      <w:r>
        <w:rPr>
          <w:rFonts w:ascii="楷体" w:hAnsi="楷体" w:eastAsia="楷体"/>
          <w:b/>
          <w:color w:val="auto"/>
          <w:sz w:val="32"/>
          <w:szCs w:val="32"/>
          <w:highlight w:val="none"/>
        </w:rPr>
        <w:t>）</w:t>
      </w:r>
      <w:r>
        <w:rPr>
          <w:rFonts w:hint="eastAsia" w:ascii="楷体" w:hAnsi="楷体" w:eastAsia="楷体"/>
          <w:b/>
          <w:color w:val="auto"/>
          <w:sz w:val="32"/>
          <w:szCs w:val="32"/>
          <w:highlight w:val="none"/>
        </w:rPr>
        <w:t>202</w:t>
      </w:r>
      <w:r>
        <w:rPr>
          <w:rFonts w:hint="eastAsia" w:ascii="楷体" w:hAnsi="楷体" w:eastAsia="楷体"/>
          <w:b/>
          <w:color w:val="auto"/>
          <w:sz w:val="32"/>
          <w:szCs w:val="32"/>
          <w:highlight w:val="none"/>
          <w:lang w:val="en-US" w:eastAsia="zh-CN"/>
        </w:rPr>
        <w:t>5</w:t>
      </w:r>
      <w:r>
        <w:rPr>
          <w:rFonts w:hint="eastAsia" w:ascii="楷体" w:hAnsi="楷体" w:eastAsia="楷体"/>
          <w:b/>
          <w:color w:val="auto"/>
          <w:sz w:val="32"/>
          <w:szCs w:val="32"/>
          <w:highlight w:val="none"/>
        </w:rPr>
        <w:t>年预算</w:t>
      </w:r>
      <w:r>
        <w:rPr>
          <w:rFonts w:ascii="楷体" w:hAnsi="楷体" w:eastAsia="楷体"/>
          <w:b/>
          <w:color w:val="auto"/>
          <w:sz w:val="32"/>
          <w:szCs w:val="32"/>
          <w:highlight w:val="none"/>
        </w:rPr>
        <w:t>减少</w:t>
      </w:r>
      <w:r>
        <w:rPr>
          <w:rFonts w:hint="eastAsia" w:ascii="楷体" w:hAnsi="楷体" w:eastAsia="楷体"/>
          <w:b/>
          <w:color w:val="auto"/>
          <w:sz w:val="32"/>
          <w:szCs w:val="32"/>
          <w:highlight w:val="none"/>
        </w:rPr>
        <w:t>。</w:t>
      </w:r>
    </w:p>
    <w:p w14:paraId="74678928">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年公务接待费计划用于执行</w:t>
      </w:r>
      <w:r>
        <w:rPr>
          <w:rFonts w:hint="eastAsia" w:ascii="仿宋_GB2312" w:hAnsi="黑体" w:eastAsia="仿宋_GB2312"/>
          <w:color w:val="auto"/>
          <w:sz w:val="32"/>
          <w:szCs w:val="32"/>
          <w:highlight w:val="none"/>
          <w:lang w:eastAsia="zh-CN"/>
        </w:rPr>
        <w:t>本单位接待上级督导检查以及涉及本单位开展工作的相关接待</w:t>
      </w:r>
      <w:r>
        <w:rPr>
          <w:rFonts w:hint="eastAsia" w:ascii="仿宋_GB2312" w:hAnsi="黑体" w:eastAsia="仿宋_GB2312"/>
          <w:color w:val="auto"/>
          <w:sz w:val="32"/>
          <w:szCs w:val="32"/>
          <w:highlight w:val="none"/>
        </w:rPr>
        <w:t>等。</w:t>
      </w:r>
    </w:p>
    <w:p w14:paraId="1925BD7A">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（二）公务用车购置及运行维护费与（较）202</w:t>
      </w:r>
      <w:r>
        <w:rPr>
          <w:rFonts w:hint="eastAsia" w:ascii="楷体" w:hAnsi="楷体" w:eastAsia="楷体"/>
          <w:b/>
          <w:color w:val="auto"/>
          <w:sz w:val="32"/>
          <w:szCs w:val="32"/>
          <w:highlight w:val="none"/>
          <w:lang w:val="en-US" w:eastAsia="zh-CN"/>
        </w:rPr>
        <w:t>5</w:t>
      </w:r>
      <w:r>
        <w:rPr>
          <w:rFonts w:hint="eastAsia" w:ascii="楷体" w:hAnsi="楷体" w:eastAsia="楷体"/>
          <w:b/>
          <w:color w:val="auto"/>
          <w:sz w:val="32"/>
          <w:szCs w:val="32"/>
          <w:highlight w:val="none"/>
        </w:rPr>
        <w:t>年预算</w:t>
      </w:r>
      <w:r>
        <w:rPr>
          <w:rFonts w:ascii="楷体" w:hAnsi="楷体" w:eastAsia="楷体"/>
          <w:b/>
          <w:color w:val="auto"/>
          <w:sz w:val="32"/>
          <w:szCs w:val="32"/>
          <w:highlight w:val="none"/>
        </w:rPr>
        <w:t>减少</w:t>
      </w:r>
      <w:r>
        <w:rPr>
          <w:rFonts w:hint="eastAsia" w:ascii="楷体" w:hAnsi="楷体" w:eastAsia="楷体"/>
          <w:b/>
          <w:color w:val="auto"/>
          <w:sz w:val="32"/>
          <w:szCs w:val="32"/>
          <w:highlight w:val="none"/>
        </w:rPr>
        <w:t>。</w:t>
      </w:r>
    </w:p>
    <w:p w14:paraId="2D641E02">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单位现有公务用车</w:t>
      </w: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辆，其中：轿车</w:t>
      </w:r>
      <w:r>
        <w:rPr>
          <w:rFonts w:hint="eastAsia" w:ascii="仿宋_GB2312" w:hAnsi="黑体" w:eastAsia="仿宋_GB2312"/>
          <w:color w:val="auto"/>
          <w:sz w:val="32"/>
          <w:szCs w:val="32"/>
          <w:highlight w:val="none"/>
          <w:lang w:val="en-US" w:eastAsia="zh-CN"/>
        </w:rPr>
        <w:t>1</w:t>
      </w:r>
      <w:r>
        <w:rPr>
          <w:rFonts w:hint="eastAsia" w:ascii="仿宋_GB2312" w:hAnsi="黑体" w:eastAsia="仿宋_GB2312"/>
          <w:color w:val="auto"/>
          <w:sz w:val="32"/>
          <w:szCs w:val="32"/>
          <w:highlight w:val="none"/>
        </w:rPr>
        <w:t>辆，旅行车（含商务车）</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辆，越野车</w:t>
      </w: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辆。</w:t>
      </w:r>
    </w:p>
    <w:p w14:paraId="3625F92C">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年安排公务用车运行维护费</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万元，用于</w:t>
      </w: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辆公务用车燃油、过路（桥）、维修、保险等方面支出，主要保障机关及下属单位</w:t>
      </w:r>
      <w:r>
        <w:rPr>
          <w:rFonts w:hint="eastAsia" w:ascii="仿宋_GB2312" w:hAnsi="黑体" w:eastAsia="仿宋_GB2312"/>
          <w:color w:val="auto"/>
          <w:sz w:val="32"/>
          <w:szCs w:val="32"/>
          <w:highlight w:val="none"/>
          <w:lang w:eastAsia="zh-CN"/>
        </w:rPr>
        <w:t>公务用车</w:t>
      </w:r>
      <w:r>
        <w:rPr>
          <w:rFonts w:hint="eastAsia" w:ascii="仿宋_GB2312" w:hAnsi="黑体" w:eastAsia="仿宋_GB2312"/>
          <w:color w:val="auto"/>
          <w:sz w:val="32"/>
          <w:szCs w:val="32"/>
          <w:highlight w:val="none"/>
        </w:rPr>
        <w:t>等工作开展。</w:t>
      </w:r>
    </w:p>
    <w:p w14:paraId="753CF55D">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六、政府性基金预算支出情况说明</w:t>
      </w:r>
    </w:p>
    <w:p w14:paraId="4B34EEDD">
      <w:pPr>
        <w:ind w:firstLine="640" w:firstLineChars="200"/>
        <w:jc w:val="both"/>
        <w:rPr>
          <w:rFonts w:hint="eastAsia" w:ascii="仿宋_GB2312" w:hAnsi="黑体" w:eastAsia="仿宋_GB2312" w:cstheme="minorBidi"/>
          <w:b w:val="0"/>
          <w:bCs w:val="0"/>
          <w:color w:val="auto"/>
          <w:kern w:val="2"/>
          <w:sz w:val="32"/>
          <w:szCs w:val="32"/>
          <w:highlight w:val="none"/>
          <w:lang w:val="en-US" w:eastAsia="zh-CN" w:bidi="ar-SA"/>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年使用政府性基金预算拨款安排的支出</w:t>
      </w:r>
      <w:r>
        <w:rPr>
          <w:rFonts w:hint="eastAsia" w:ascii="仿宋_GB2312" w:hAnsi="黑体" w:eastAsia="仿宋_GB2312"/>
          <w:color w:val="auto"/>
          <w:sz w:val="32"/>
          <w:szCs w:val="32"/>
          <w:highlight w:val="none"/>
          <w:lang w:val="en-US" w:eastAsia="zh-CN"/>
        </w:rPr>
        <w:t>300</w:t>
      </w:r>
      <w:r>
        <w:rPr>
          <w:rFonts w:hint="eastAsia" w:ascii="仿宋_GB2312" w:hAnsi="黑体" w:eastAsia="仿宋_GB2312"/>
          <w:color w:val="auto"/>
          <w:sz w:val="32"/>
          <w:szCs w:val="32"/>
          <w:highlight w:val="none"/>
        </w:rPr>
        <w:t>万元</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eastAsia="zh-CN"/>
        </w:rPr>
        <w:t>计划用于</w:t>
      </w:r>
      <w:r>
        <w:rPr>
          <w:rFonts w:hint="eastAsia" w:ascii="仿宋_GB2312" w:hAnsi="黑体" w:eastAsia="仿宋_GB2312" w:cstheme="minorBidi"/>
          <w:b w:val="0"/>
          <w:bCs w:val="0"/>
          <w:color w:val="auto"/>
          <w:kern w:val="2"/>
          <w:sz w:val="32"/>
          <w:szCs w:val="32"/>
          <w:highlight w:val="none"/>
          <w:lang w:val="en-US" w:eastAsia="zh-CN" w:bidi="ar-SA"/>
        </w:rPr>
        <w:t>污水处理方面的运行经费支出。</w:t>
      </w:r>
    </w:p>
    <w:p w14:paraId="51D916D9">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七、国有资本经营预算情况说明</w:t>
      </w:r>
    </w:p>
    <w:p w14:paraId="3431AD2A">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年使用政府性基金预算拨款安排的支出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万元，没有使用国有资本经营预算拨款安排的支出。</w:t>
      </w:r>
    </w:p>
    <w:p w14:paraId="2C7283BC">
      <w:pPr>
        <w:ind w:firstLine="640" w:firstLineChars="200"/>
        <w:jc w:val="both"/>
        <w:rPr>
          <w:rFonts w:ascii="黑体" w:hAnsi="黑体" w:eastAsia="黑体"/>
          <w:color w:val="auto"/>
          <w:sz w:val="32"/>
          <w:szCs w:val="32"/>
          <w:highlight w:val="none"/>
        </w:rPr>
      </w:pPr>
      <w:r>
        <w:rPr>
          <w:rFonts w:hint="eastAsia" w:ascii="黑体" w:hAnsi="黑体" w:eastAsia="黑体"/>
          <w:color w:val="auto"/>
          <w:sz w:val="32"/>
          <w:szCs w:val="32"/>
          <w:highlight w:val="none"/>
        </w:rPr>
        <w:t>八、其他重要事项的情况说明</w:t>
      </w:r>
    </w:p>
    <w:p w14:paraId="00ADEF6D">
      <w:pPr>
        <w:ind w:firstLine="643" w:firstLineChars="200"/>
        <w:jc w:val="both"/>
        <w:rPr>
          <w:rFonts w:ascii="楷体" w:hAnsi="楷体" w:eastAsia="楷体"/>
          <w:b/>
          <w:color w:val="auto"/>
          <w:sz w:val="32"/>
          <w:szCs w:val="32"/>
          <w:highlight w:val="none"/>
        </w:rPr>
      </w:pPr>
      <w:r>
        <w:rPr>
          <w:rFonts w:hint="default" w:ascii="楷体" w:hAnsi="楷体" w:eastAsia="楷体"/>
          <w:b/>
          <w:color w:val="auto"/>
          <w:sz w:val="32"/>
          <w:szCs w:val="32"/>
          <w:highlight w:val="none"/>
        </w:rPr>
        <w:t>（</w:t>
      </w:r>
      <w:r>
        <w:rPr>
          <w:rFonts w:hint="eastAsia" w:ascii="楷体" w:hAnsi="楷体" w:eastAsia="楷体"/>
          <w:b/>
          <w:color w:val="auto"/>
          <w:sz w:val="32"/>
          <w:szCs w:val="32"/>
          <w:highlight w:val="none"/>
        </w:rPr>
        <w:t>一</w:t>
      </w:r>
      <w:r>
        <w:rPr>
          <w:rFonts w:hint="default" w:ascii="楷体" w:hAnsi="楷体" w:eastAsia="楷体"/>
          <w:b/>
          <w:color w:val="auto"/>
          <w:sz w:val="32"/>
          <w:szCs w:val="32"/>
          <w:highlight w:val="none"/>
        </w:rPr>
        <w:t>）</w:t>
      </w:r>
      <w:r>
        <w:rPr>
          <w:rFonts w:hint="eastAsia" w:ascii="楷体" w:hAnsi="楷体" w:eastAsia="楷体"/>
          <w:b/>
          <w:color w:val="auto"/>
          <w:sz w:val="32"/>
          <w:szCs w:val="32"/>
          <w:highlight w:val="none"/>
        </w:rPr>
        <w:t>机关运行经费情况</w:t>
      </w:r>
    </w:p>
    <w:p w14:paraId="063D3BC5">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下属</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机构的机关运行经费财政拨款预算为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万元，与（较）202</w:t>
      </w: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年预算持平。</w:t>
      </w:r>
    </w:p>
    <w:p w14:paraId="1CDAC8DA">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（二</w:t>
      </w:r>
      <w:r>
        <w:rPr>
          <w:rFonts w:hint="default" w:ascii="楷体" w:hAnsi="楷体" w:eastAsia="楷体"/>
          <w:b/>
          <w:color w:val="auto"/>
          <w:sz w:val="32"/>
          <w:szCs w:val="32"/>
          <w:highlight w:val="none"/>
        </w:rPr>
        <w:t>）</w:t>
      </w:r>
      <w:r>
        <w:rPr>
          <w:rFonts w:hint="eastAsia" w:ascii="楷体" w:hAnsi="楷体" w:eastAsia="楷体"/>
          <w:b/>
          <w:color w:val="auto"/>
          <w:sz w:val="32"/>
          <w:szCs w:val="32"/>
          <w:highlight w:val="none"/>
        </w:rPr>
        <w:t>政府采购情况</w:t>
      </w:r>
    </w:p>
    <w:p w14:paraId="217A59C5">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w:t>
      </w:r>
      <w:r>
        <w:rPr>
          <w:rFonts w:ascii="仿宋_GB2312" w:hAnsi="黑体" w:eastAsia="仿宋_GB2312"/>
          <w:color w:val="auto"/>
          <w:sz w:val="32"/>
          <w:szCs w:val="32"/>
          <w:highlight w:val="none"/>
        </w:rPr>
        <w:t>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安排政府采购预算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万元，其中，政府采购货物预算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万元；政府采购工程预算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万元；政府采购服务预算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p>
    <w:p w14:paraId="1FC612BA">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（三）国有资产占有使用情况</w:t>
      </w:r>
    </w:p>
    <w:p w14:paraId="0CD94450">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截至202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年底，</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所属各预算单位共有车辆</w:t>
      </w: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辆，其中，</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领导干部用车</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辆、定向保障用车</w:t>
      </w: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辆、执法执勤用车</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辆。单位价值200万元以上大型设备</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台</w:t>
      </w:r>
      <w:r>
        <w:rPr>
          <w:rFonts w:hint="default"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套</w:t>
      </w:r>
      <w:r>
        <w:rPr>
          <w:rFonts w:hint="default"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w:t>
      </w:r>
    </w:p>
    <w:p w14:paraId="7A286A66">
      <w:pPr>
        <w:ind w:firstLine="640" w:firstLineChars="200"/>
        <w:jc w:val="both"/>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年部门预算</w:t>
      </w:r>
      <w:r>
        <w:rPr>
          <w:rFonts w:hint="eastAsia" w:ascii="仿宋_GB2312" w:hAnsi="黑体" w:eastAsia="仿宋_GB2312"/>
          <w:color w:val="auto"/>
          <w:sz w:val="32"/>
          <w:szCs w:val="32"/>
          <w:highlight w:val="none"/>
          <w:lang w:eastAsia="zh-CN"/>
        </w:rPr>
        <w:t>没有</w:t>
      </w:r>
      <w:r>
        <w:rPr>
          <w:rFonts w:hint="eastAsia" w:ascii="仿宋_GB2312" w:hAnsi="黑体" w:eastAsia="仿宋_GB2312"/>
          <w:color w:val="auto"/>
          <w:sz w:val="32"/>
          <w:szCs w:val="32"/>
          <w:highlight w:val="none"/>
        </w:rPr>
        <w:t>安排购置车辆及单位价值200万元以上大型设备。</w:t>
      </w:r>
    </w:p>
    <w:p w14:paraId="1C00E7B2">
      <w:pPr>
        <w:ind w:firstLine="643" w:firstLineChars="200"/>
        <w:jc w:val="both"/>
        <w:rPr>
          <w:rFonts w:ascii="楷体" w:hAnsi="楷体" w:eastAsia="楷体"/>
          <w:b/>
          <w:color w:val="auto"/>
          <w:sz w:val="32"/>
          <w:szCs w:val="32"/>
          <w:highlight w:val="none"/>
        </w:rPr>
      </w:pPr>
      <w:r>
        <w:rPr>
          <w:rFonts w:hint="eastAsia" w:ascii="楷体" w:hAnsi="楷体" w:eastAsia="楷体"/>
          <w:b/>
          <w:color w:val="auto"/>
          <w:sz w:val="32"/>
          <w:szCs w:val="32"/>
          <w:highlight w:val="none"/>
        </w:rPr>
        <w:t>（四）预算绩效情况</w:t>
      </w:r>
    </w:p>
    <w:p w14:paraId="4DC07366">
      <w:pPr>
        <w:ind w:firstLine="640" w:firstLineChars="200"/>
        <w:jc w:val="both"/>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6</w:t>
      </w:r>
      <w:r>
        <w:rPr>
          <w:rFonts w:hint="eastAsia" w:ascii="仿宋_GB2312" w:hAnsi="黑体" w:eastAsia="仿宋_GB2312"/>
          <w:color w:val="auto"/>
          <w:sz w:val="32"/>
          <w:szCs w:val="32"/>
          <w:highlight w:val="none"/>
        </w:rPr>
        <w:t>年</w:t>
      </w:r>
      <w:r>
        <w:rPr>
          <w:rFonts w:hint="eastAsia" w:ascii="仿宋_GB2312" w:hAnsi="黑体" w:eastAsia="仿宋_GB2312"/>
          <w:color w:val="auto"/>
          <w:sz w:val="32"/>
          <w:szCs w:val="32"/>
          <w:highlight w:val="none"/>
          <w:lang w:eastAsia="zh-CN"/>
        </w:rPr>
        <w:t>九寨沟县住房和城乡建设局</w:t>
      </w:r>
      <w:r>
        <w:rPr>
          <w:rFonts w:hint="eastAsia" w:ascii="仿宋_GB2312" w:hAnsi="黑体" w:eastAsia="仿宋_GB2312"/>
          <w:color w:val="auto"/>
          <w:sz w:val="32"/>
          <w:szCs w:val="32"/>
          <w:highlight w:val="none"/>
        </w:rPr>
        <w:t>开展绩效目标管理的项目</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个，涉及预算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万元。其中：人员类项目</w:t>
      </w: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个，涉及预算</w:t>
      </w:r>
      <w:r>
        <w:rPr>
          <w:rFonts w:hint="eastAsia" w:ascii="仿宋_GB2312" w:hAnsi="黑体" w:eastAsia="仿宋_GB2312"/>
          <w:color w:val="auto"/>
          <w:sz w:val="32"/>
          <w:szCs w:val="32"/>
          <w:highlight w:val="none"/>
          <w:lang w:val="en-US" w:eastAsia="zh-CN"/>
        </w:rPr>
        <w:t>177.06</w:t>
      </w:r>
      <w:r>
        <w:rPr>
          <w:rFonts w:hint="eastAsia" w:ascii="仿宋_GB2312" w:hAnsi="黑体" w:eastAsia="仿宋_GB2312"/>
          <w:color w:val="auto"/>
          <w:sz w:val="32"/>
          <w:szCs w:val="32"/>
          <w:highlight w:val="none"/>
        </w:rPr>
        <w:t>万元；运转类项目</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个，涉及预算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万元；特定目标类项目</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个，涉及预算</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元。</w:t>
      </w:r>
    </w:p>
    <w:p w14:paraId="5CF4811D">
      <w:pPr>
        <w:ind w:firstLine="880" w:firstLineChars="200"/>
        <w:rPr>
          <w:rFonts w:asciiTheme="minorHAnsi" w:hAnsiTheme="minorHAnsi" w:eastAsiaTheme="minorEastAsia" w:cstheme="minorBidi"/>
          <w:kern w:val="2"/>
          <w:sz w:val="21"/>
          <w:szCs w:val="22"/>
          <w:lang w:val="en-US" w:eastAsia="zh-CN" w:bidi="ar-SA"/>
        </w:rPr>
      </w:pPr>
      <w:bookmarkStart w:id="4" w:name="_GoBack"/>
      <w:bookmarkEnd w:id="4"/>
      <w:r>
        <w:rPr>
          <w:rFonts w:hint="eastAsia" w:ascii="方正小标宋简体" w:hAnsi="黑体" w:eastAsia="方正小标宋简体"/>
          <w:sz w:val="44"/>
          <w:szCs w:val="44"/>
          <w:highlight w:val="none"/>
        </w:rPr>
        <w:t>第四部分  名词解释</w:t>
      </w:r>
    </w:p>
    <w:p w14:paraId="6D53A52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14:paraId="44EFD2F4">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14:paraId="77B82B7B">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（二）政府性基金预算收入：指按规定收取、转入或通过当年财政安排，纳入政府预算管理，具有指定用途的政府性基金收入。</w:t>
      </w:r>
    </w:p>
    <w:p w14:paraId="52C2B02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三</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机关事业单位基本养老保险缴费支出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：指部门实施养老保险制度由单位缴纳的养老保险的支出。</w:t>
      </w:r>
    </w:p>
    <w:p w14:paraId="753EB926">
      <w:pPr>
        <w:ind w:firstLine="640" w:firstLineChars="200"/>
        <w:jc w:val="both"/>
        <w:rPr>
          <w:rFonts w:hint="default"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四</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）机关事业单位职业年金缴费支出（</w:t>
      </w:r>
      <w:r>
        <w:rPr>
          <w:rFonts w:hint="eastAsia" w:ascii="仿宋_GB2312" w:hAnsi="黑体" w:eastAsia="仿宋_GB2312"/>
          <w:sz w:val="32"/>
          <w:szCs w:val="32"/>
          <w:highlight w:val="none"/>
          <w:lang w:val="en-US" w:eastAsia="zh-CN"/>
        </w:rPr>
        <w:t>06</w:t>
      </w:r>
      <w:r>
        <w:rPr>
          <w:rFonts w:hint="eastAsia" w:ascii="仿宋_GB2312" w:hAnsi="黑体" w:eastAsia="仿宋_GB2312"/>
          <w:sz w:val="32"/>
          <w:szCs w:val="32"/>
          <w:highlight w:val="none"/>
        </w:rPr>
        <w:t>）：指部门实施养老保险制度由</w:t>
      </w:r>
      <w:r>
        <w:rPr>
          <w:rFonts w:hint="eastAsia" w:ascii="仿宋_GB2312" w:hAnsi="黑体" w:eastAsia="仿宋_GB2312"/>
          <w:sz w:val="32"/>
          <w:szCs w:val="32"/>
          <w:highlight w:val="none"/>
          <w:lang w:val="en-US" w:eastAsia="zh-Hans"/>
        </w:rPr>
        <w:t>单</w:t>
      </w:r>
      <w:r>
        <w:rPr>
          <w:rFonts w:hint="eastAsia" w:ascii="仿宋_GB2312" w:hAnsi="黑体" w:eastAsia="仿宋_GB2312"/>
          <w:sz w:val="32"/>
          <w:szCs w:val="32"/>
          <w:highlight w:val="none"/>
        </w:rPr>
        <w:t>位缴纳的职业年金的支出。</w:t>
      </w:r>
    </w:p>
    <w:p w14:paraId="18160AE1">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五</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卫生健康</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）行政率业单位医疗（</w:t>
      </w:r>
      <w:r>
        <w:rPr>
          <w:rFonts w:hint="eastAsia" w:ascii="仿宋_GB2312" w:hAnsi="黑体" w:eastAsia="仿宋_GB2312"/>
          <w:sz w:val="32"/>
          <w:szCs w:val="32"/>
          <w:highlight w:val="none"/>
          <w:lang w:val="en-US" w:eastAsia="zh-CN"/>
        </w:rPr>
        <w:t>11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行政单位医疗（</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九寨沟县住建局</w:t>
      </w:r>
      <w:r>
        <w:rPr>
          <w:rFonts w:hint="eastAsia" w:ascii="仿宋_GB2312" w:hAnsi="黑体" w:eastAsia="仿宋_GB2312"/>
          <w:sz w:val="32"/>
          <w:szCs w:val="32"/>
          <w:highlight w:val="none"/>
        </w:rPr>
        <w:t>及参公管理事业单位用于单位应缴纳基本医疗保险支出。</w:t>
      </w:r>
    </w:p>
    <w:p w14:paraId="0A2FC06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六</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11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事业单位医疗（</w:t>
      </w:r>
      <w:r>
        <w:rPr>
          <w:rFonts w:hint="eastAsia" w:ascii="仿宋_GB2312" w:hAnsi="黑体" w:eastAsia="仿宋_GB2312"/>
          <w:sz w:val="32"/>
          <w:szCs w:val="32"/>
          <w:highlight w:val="none"/>
          <w:lang w:val="en-US" w:eastAsia="zh-CN"/>
        </w:rPr>
        <w:t>02</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九寨沟县住建局</w:t>
      </w:r>
      <w:r>
        <w:rPr>
          <w:rFonts w:hint="eastAsia" w:ascii="仿宋_GB2312" w:hAnsi="黑体" w:eastAsia="仿宋_GB2312"/>
          <w:sz w:val="32"/>
          <w:szCs w:val="32"/>
          <w:highlight w:val="none"/>
        </w:rPr>
        <w:t>用于单位应缴纳基本医疗保险支出。</w:t>
      </w:r>
    </w:p>
    <w:p w14:paraId="031764AE">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七</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）公务员医疗补助（</w:t>
      </w:r>
      <w:r>
        <w:rPr>
          <w:rFonts w:hint="eastAsia" w:ascii="仿宋_GB2312" w:hAnsi="黑体" w:eastAsia="仿宋_GB2312"/>
          <w:sz w:val="32"/>
          <w:szCs w:val="32"/>
          <w:highlight w:val="none"/>
          <w:lang w:val="en-US" w:eastAsia="zh-CN"/>
        </w:rPr>
        <w:t>03）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九寨沟县住建局</w:t>
      </w:r>
      <w:r>
        <w:rPr>
          <w:rFonts w:hint="eastAsia" w:ascii="仿宋_GB2312" w:hAnsi="黑体" w:eastAsia="仿宋_GB2312"/>
          <w:sz w:val="32"/>
          <w:szCs w:val="32"/>
          <w:highlight w:val="none"/>
        </w:rPr>
        <w:t>及参公管理事业单位用于集中缴纳公务员医疗补助支出。</w:t>
      </w:r>
    </w:p>
    <w:p w14:paraId="0A18E5DA">
      <w:pPr>
        <w:ind w:firstLine="640" w:firstLineChars="200"/>
        <w:jc w:val="both"/>
        <w:rPr>
          <w:rFonts w:hint="eastAsia"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八</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住房保障</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221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住房改革支出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02</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）：指按照《住房公积金管理条例》的规定，由单位及其在职职工缴存的长期住房储金。</w:t>
      </w:r>
    </w:p>
    <w:p w14:paraId="6FED7799">
      <w:pPr>
        <w:keepNext w:val="0"/>
        <w:keepLines w:val="0"/>
        <w:pageBreakBefore w:val="0"/>
        <w:kinsoku/>
        <w:wordWrap/>
        <w:overflowPunct/>
        <w:topLinePunct w:val="0"/>
        <w:autoSpaceDE/>
        <w:autoSpaceDN/>
        <w:bidi w:val="0"/>
        <w:spacing w:line="580" w:lineRule="exact"/>
        <w:ind w:right="0" w:rightChars="0" w:firstLine="636"/>
        <w:jc w:val="both"/>
        <w:textAlignment w:val="auto"/>
        <w:outlineLvl w:val="9"/>
        <w:rPr>
          <w:rFonts w:hint="eastAsia" w:ascii="仿宋_GB2312" w:eastAsia="仿宋_GB2312"/>
          <w:color w:val="auto"/>
          <w:sz w:val="32"/>
          <w:szCs w:val="32"/>
          <w:shd w:val="clear" w:color="auto" w:fill="FFFFFF"/>
        </w:rPr>
      </w:pPr>
      <w:r>
        <w:rPr>
          <w:rFonts w:hint="default" w:ascii="仿宋_GB2312" w:hAnsi="黑体" w:eastAsia="仿宋_GB2312" w:cstheme="minorBidi"/>
          <w:b w:val="0"/>
          <w:bCs w:val="0"/>
          <w:color w:val="auto"/>
          <w:kern w:val="2"/>
          <w:sz w:val="32"/>
          <w:szCs w:val="32"/>
          <w:highlight w:val="none"/>
          <w:lang w:val="en-US" w:eastAsia="zh-CN" w:bidi="ar-SA"/>
        </w:rPr>
        <w:t>（</w:t>
      </w:r>
      <w:r>
        <w:rPr>
          <w:rFonts w:hint="eastAsia" w:ascii="仿宋_GB2312" w:hAnsi="黑体" w:eastAsia="仿宋_GB2312" w:cstheme="minorBidi"/>
          <w:b w:val="0"/>
          <w:bCs w:val="0"/>
          <w:color w:val="auto"/>
          <w:kern w:val="2"/>
          <w:sz w:val="32"/>
          <w:szCs w:val="32"/>
          <w:highlight w:val="none"/>
          <w:lang w:val="en-US" w:eastAsia="zh-CN" w:bidi="ar-SA"/>
        </w:rPr>
        <w:t>九</w:t>
      </w:r>
      <w:r>
        <w:rPr>
          <w:rFonts w:hint="default" w:ascii="仿宋_GB2312" w:hAnsi="黑体" w:eastAsia="仿宋_GB2312" w:cstheme="minorBidi"/>
          <w:b w:val="0"/>
          <w:bCs w:val="0"/>
          <w:color w:val="auto"/>
          <w:kern w:val="2"/>
          <w:sz w:val="32"/>
          <w:szCs w:val="32"/>
          <w:highlight w:val="none"/>
          <w:lang w:val="en-US" w:eastAsia="zh-CN" w:bidi="ar-SA"/>
        </w:rPr>
        <w:t>）</w:t>
      </w:r>
      <w:r>
        <w:rPr>
          <w:rFonts w:hint="eastAsia" w:ascii="仿宋_GB2312" w:hAnsi="黑体" w:eastAsia="仿宋_GB2312" w:cstheme="minorBidi"/>
          <w:b w:val="0"/>
          <w:bCs w:val="0"/>
          <w:color w:val="auto"/>
          <w:kern w:val="2"/>
          <w:sz w:val="32"/>
          <w:szCs w:val="32"/>
          <w:highlight w:val="none"/>
          <w:lang w:val="en-US" w:eastAsia="zh-CN" w:bidi="ar-SA"/>
        </w:rPr>
        <w:t>城乡社区支出</w:t>
      </w:r>
      <w:r>
        <w:rPr>
          <w:rFonts w:hint="default" w:ascii="仿宋_GB2312" w:hAnsi="黑体" w:eastAsia="仿宋_GB2312" w:cstheme="minorBidi"/>
          <w:b w:val="0"/>
          <w:bCs w:val="0"/>
          <w:color w:val="auto"/>
          <w:kern w:val="2"/>
          <w:sz w:val="32"/>
          <w:szCs w:val="32"/>
          <w:highlight w:val="none"/>
          <w:lang w:val="en-US" w:eastAsia="zh-CN" w:bidi="ar-SA"/>
        </w:rPr>
        <w:t>（</w:t>
      </w:r>
      <w:r>
        <w:rPr>
          <w:rFonts w:hint="eastAsia" w:ascii="仿宋_GB2312" w:hAnsi="黑体" w:eastAsia="仿宋_GB2312" w:cstheme="minorBidi"/>
          <w:b w:val="0"/>
          <w:bCs w:val="0"/>
          <w:color w:val="auto"/>
          <w:kern w:val="2"/>
          <w:sz w:val="32"/>
          <w:szCs w:val="32"/>
          <w:highlight w:val="none"/>
          <w:lang w:val="en-US" w:eastAsia="zh-CN" w:bidi="ar-SA"/>
        </w:rPr>
        <w:t>212</w:t>
      </w:r>
      <w:r>
        <w:rPr>
          <w:rFonts w:hint="default" w:ascii="仿宋_GB2312" w:hAnsi="黑体" w:eastAsia="仿宋_GB2312" w:cstheme="minorBidi"/>
          <w:b w:val="0"/>
          <w:bCs w:val="0"/>
          <w:color w:val="auto"/>
          <w:kern w:val="2"/>
          <w:sz w:val="32"/>
          <w:szCs w:val="32"/>
          <w:highlight w:val="none"/>
          <w:lang w:val="en-US" w:eastAsia="zh-CN" w:bidi="ar-SA"/>
        </w:rPr>
        <w:t>）</w:t>
      </w:r>
      <w:r>
        <w:rPr>
          <w:rFonts w:hint="eastAsia" w:ascii="仿宋_GB2312" w:hAnsi="黑体" w:eastAsia="仿宋_GB2312" w:cstheme="minorBidi"/>
          <w:b w:val="0"/>
          <w:bCs w:val="0"/>
          <w:color w:val="auto"/>
          <w:kern w:val="2"/>
          <w:sz w:val="32"/>
          <w:szCs w:val="32"/>
          <w:highlight w:val="none"/>
          <w:lang w:val="en-US" w:eastAsia="zh-CN" w:bidi="ar-SA"/>
        </w:rPr>
        <w:t>管理事务（01）行政运行（01）：</w:t>
      </w:r>
      <w:r>
        <w:rPr>
          <w:rFonts w:hint="eastAsia" w:ascii="仿宋_GB2312" w:eastAsia="仿宋_GB2312"/>
          <w:color w:val="auto"/>
          <w:sz w:val="32"/>
          <w:szCs w:val="32"/>
          <w:shd w:val="clear" w:color="auto" w:fill="FFFFFF"/>
        </w:rPr>
        <w:t>指行政单位（包括实行公务员管理的事业单位）的基本支出。</w:t>
      </w:r>
    </w:p>
    <w:p w14:paraId="74A5C1B5">
      <w:pPr>
        <w:pStyle w:val="2"/>
        <w:rPr>
          <w:rFonts w:hint="eastAsia"/>
        </w:rPr>
      </w:pPr>
    </w:p>
    <w:p w14:paraId="1491927B">
      <w:pPr>
        <w:keepNext w:val="0"/>
        <w:keepLines w:val="0"/>
        <w:pageBreakBefore w:val="0"/>
        <w:kinsoku/>
        <w:wordWrap/>
        <w:overflowPunct/>
        <w:topLinePunct w:val="0"/>
        <w:autoSpaceDE/>
        <w:autoSpaceDN/>
        <w:bidi w:val="0"/>
        <w:spacing w:line="580" w:lineRule="exact"/>
        <w:ind w:right="0" w:rightChars="0" w:firstLine="636"/>
        <w:jc w:val="both"/>
        <w:textAlignment w:val="auto"/>
        <w:outlineLvl w:val="9"/>
        <w:rPr>
          <w:rFonts w:hint="default" w:ascii="仿宋_GB2312" w:eastAsia="仿宋_GB2312"/>
          <w:color w:val="auto"/>
          <w:sz w:val="32"/>
          <w:szCs w:val="32"/>
          <w:shd w:val="clear" w:color="auto" w:fill="FFFFFF"/>
          <w:lang w:val="en-US" w:eastAsia="zh-CN"/>
        </w:rPr>
      </w:pP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十</w:t>
      </w: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城乡社区支出</w:t>
      </w: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212</w:t>
      </w: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管理事务（01）行政运行（99）：反映除上述项目以外其他用于城乡社区管理事务方面的支出。</w:t>
      </w:r>
      <w:r>
        <w:rPr>
          <w:rFonts w:hint="eastAsia" w:ascii="仿宋_GB2312" w:eastAsia="仿宋_GB2312"/>
          <w:color w:val="auto"/>
          <w:sz w:val="32"/>
          <w:szCs w:val="32"/>
          <w:shd w:val="clear" w:color="auto" w:fill="FFFFFF"/>
          <w:lang w:val="en-US" w:eastAsia="zh-CN"/>
        </w:rPr>
        <w:t xml:space="preserve">                                                                                                                                                                                                                                                                                                                                                                                                                                                                                                                 </w:t>
      </w:r>
    </w:p>
    <w:p w14:paraId="2E97A10C">
      <w:pPr>
        <w:ind w:firstLine="420" w:firstLineChars="200"/>
        <w:jc w:val="both"/>
        <w:rPr>
          <w:rFonts w:hint="eastAsia" w:ascii="仿宋_GB2312" w:hAnsi="黑体" w:eastAsia="仿宋_GB2312" w:cstheme="minorBidi"/>
          <w:b w:val="0"/>
          <w:bCs w:val="0"/>
          <w:color w:val="auto"/>
          <w:kern w:val="2"/>
          <w:sz w:val="32"/>
          <w:szCs w:val="32"/>
          <w:highlight w:val="none"/>
          <w:lang w:val="en-US" w:eastAsia="zh-CN" w:bidi="ar-SA"/>
        </w:rPr>
      </w:pPr>
      <w:r>
        <w:rPr>
          <w:rFonts w:hint="eastAsia"/>
          <w:lang w:val="en-US" w:eastAsia="zh-CN"/>
        </w:rPr>
        <w:t xml:space="preserve"> </w:t>
      </w:r>
      <w:r>
        <w:rPr>
          <w:rFonts w:hint="eastAsia" w:ascii="仿宋_GB2312" w:hAnsi="黑体" w:eastAsia="仿宋_GB2312" w:cstheme="minorBidi"/>
          <w:b w:val="0"/>
          <w:bCs w:val="0"/>
          <w:color w:val="auto"/>
          <w:kern w:val="2"/>
          <w:sz w:val="32"/>
          <w:szCs w:val="32"/>
          <w:highlight w:val="none"/>
          <w:lang w:val="en-US" w:eastAsia="zh-CN" w:bidi="ar-SA"/>
        </w:rPr>
        <w:t>（十一）.城乡社区（212）城乡社区公共设施（03）其他城乡社区支出（99）：反映除上述项目以外其他用于城乡社区方面的支出。</w:t>
      </w:r>
    </w:p>
    <w:p w14:paraId="30269E73">
      <w:pPr>
        <w:pStyle w:val="2"/>
        <w:ind w:left="0" w:leftChars="0" w:firstLine="640" w:firstLineChars="200"/>
        <w:rPr>
          <w:rFonts w:hint="eastAsia" w:ascii="仿宋_GB2312" w:hAnsi="黑体" w:eastAsia="仿宋_GB2312" w:cstheme="minorBidi"/>
          <w:b w:val="0"/>
          <w:bCs w:val="0"/>
          <w:color w:val="auto"/>
          <w:kern w:val="2"/>
          <w:sz w:val="32"/>
          <w:szCs w:val="32"/>
          <w:highlight w:val="none"/>
          <w:lang w:val="en-US" w:eastAsia="zh-CN" w:bidi="ar-SA"/>
        </w:rPr>
      </w:pPr>
      <w:r>
        <w:rPr>
          <w:rFonts w:hint="eastAsia" w:ascii="仿宋_GB2312" w:hAnsi="黑体" w:eastAsia="仿宋_GB2312" w:cstheme="minorBidi"/>
          <w:b w:val="0"/>
          <w:bCs w:val="0"/>
          <w:color w:val="auto"/>
          <w:kern w:val="2"/>
          <w:sz w:val="32"/>
          <w:szCs w:val="32"/>
          <w:highlight w:val="none"/>
          <w:lang w:val="en-US" w:eastAsia="zh-CN" w:bidi="ar-SA"/>
        </w:rPr>
        <w:t>（十二）.城乡社区（212）农业农村生态环境支出（08）其他国有土地收益基金支出（99）：反映土地出让其他方面的支出。不包括市县级政府当年按规定用于土地出让收入向中央和省级政府缴纳的新增建设用地土地有偿使用费的支出。</w:t>
      </w:r>
    </w:p>
    <w:p w14:paraId="7A9EF570">
      <w:pPr>
        <w:pStyle w:val="2"/>
        <w:ind w:left="0" w:leftChars="0" w:firstLine="320" w:firstLineChars="100"/>
        <w:rPr>
          <w:rFonts w:hint="eastAsia"/>
          <w:lang w:val="en-US" w:eastAsia="zh-CN"/>
        </w:rPr>
      </w:pPr>
      <w:r>
        <w:rPr>
          <w:rFonts w:hint="eastAsia" w:ascii="仿宋_GB2312" w:hAnsi="黑体" w:eastAsia="仿宋_GB2312" w:cstheme="minorBidi"/>
          <w:b w:val="0"/>
          <w:bCs w:val="0"/>
          <w:color w:val="auto"/>
          <w:kern w:val="2"/>
          <w:sz w:val="32"/>
          <w:szCs w:val="32"/>
          <w:highlight w:val="none"/>
          <w:lang w:val="en-US" w:eastAsia="zh-CN" w:bidi="ar-SA"/>
        </w:rPr>
        <w:t xml:space="preserve">  （十三）.城乡社区（212）污水处理费安排的支出（14）污水处理设施建设和运营（01）：反映用污水处理费安排的用于污水处理设施建设和运营方面的支出。</w:t>
      </w:r>
    </w:p>
    <w:p w14:paraId="6C01601A">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四</w:t>
      </w:r>
      <w:r>
        <w:rPr>
          <w:rFonts w:hint="eastAsia" w:ascii="仿宋_GB2312" w:hAnsi="黑体" w:eastAsia="仿宋_GB2312"/>
          <w:sz w:val="32"/>
          <w:szCs w:val="32"/>
          <w:highlight w:val="none"/>
        </w:rPr>
        <w:t>）基本支出：指为保证机构正常运转，完成日常工作任务而发生的人员支出和公用支出。</w:t>
      </w:r>
    </w:p>
    <w:p w14:paraId="78702B27">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五</w:t>
      </w:r>
      <w:r>
        <w:rPr>
          <w:rFonts w:hint="eastAsia" w:ascii="仿宋_GB2312" w:hAnsi="黑体" w:eastAsia="仿宋_GB2312"/>
          <w:sz w:val="32"/>
          <w:szCs w:val="32"/>
          <w:highlight w:val="none"/>
        </w:rPr>
        <w:t>）项目支出；指在基本支出之外为完成特定行政任务和事业发展目标所发生的支出。</w:t>
      </w:r>
    </w:p>
    <w:p w14:paraId="1BA10E96">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六</w:t>
      </w:r>
      <w:r>
        <w:rPr>
          <w:rFonts w:hint="eastAsia" w:ascii="仿宋_GB2312" w:hAnsi="黑体" w:eastAsia="仿宋_GB2312"/>
          <w:sz w:val="32"/>
          <w:szCs w:val="32"/>
          <w:highlight w:val="none"/>
        </w:rPr>
        <w:t>）“三公”经费：纳入</w:t>
      </w:r>
      <w:r>
        <w:rPr>
          <w:rFonts w:hint="eastAsia" w:ascii="仿宋_GB2312" w:hAnsi="黑体" w:eastAsia="仿宋_GB2312"/>
          <w:sz w:val="32"/>
          <w:szCs w:val="32"/>
          <w:highlight w:val="none"/>
          <w:lang w:val="en-US" w:eastAsia="zh-CN"/>
        </w:rPr>
        <w:t>九寨沟县住建局</w:t>
      </w:r>
      <w:r>
        <w:rPr>
          <w:rFonts w:hint="eastAsia" w:ascii="仿宋_GB2312" w:hAnsi="黑体" w:eastAsia="仿宋_GB2312"/>
          <w:sz w:val="32"/>
          <w:szCs w:val="32"/>
          <w:highlight w:val="none"/>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7B940322">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eastAsia="zh-CN"/>
        </w:rPr>
        <w:t>七</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22307">
    <w:pPr>
      <w:pStyle w:val="8"/>
      <w:framePr w:wrap="around" w:vAnchor="text" w:hAnchor="margin" w:xAlign="outside" w:y="1"/>
      <w:ind w:right="284"/>
      <w:rPr>
        <w:rStyle w:val="15"/>
        <w:rFonts w:hint="eastAsia" w:eastAsia="宋体"/>
        <w:lang w:val="en-US" w:eastAsia="zh-CN"/>
      </w:rPr>
    </w:pPr>
    <w:r>
      <w:rPr>
        <w:rStyle w:val="15"/>
        <w:sz w:val="28"/>
      </w:rPr>
      <w:t xml:space="preserve"> </w:t>
    </w:r>
    <w:r>
      <w:rPr>
        <w:rStyle w:val="15"/>
        <w:rFonts w:hint="eastAsia" w:ascii="仿宋_GB2312" w:hAnsi="仿宋_GB2312" w:eastAsia="仿宋_GB2312" w:cs="仿宋_GB2312"/>
        <w:sz w:val="28"/>
        <w:lang w:eastAsia="zh-CN"/>
      </w:rPr>
      <w:t>—</w:t>
    </w:r>
    <w:r>
      <w:rPr>
        <w:rStyle w:val="15"/>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15"/>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15"/>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5380B2B4">
    <w:pPr>
      <w:pStyle w:val="8"/>
      <w:ind w:right="360" w:firstLine="360"/>
    </w:pPr>
  </w:p>
  <w:p w14:paraId="678C12F9">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17ED10"/>
    <w:multiLevelType w:val="singleLevel"/>
    <w:tmpl w:val="F517ED10"/>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wMjQyZjQ0YTc5YjU4NWIyM2FjYWEwZmJhMWU2ZjQ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10F7574"/>
    <w:rsid w:val="05B53FBF"/>
    <w:rsid w:val="08380AA8"/>
    <w:rsid w:val="0AE42E25"/>
    <w:rsid w:val="0B745DC1"/>
    <w:rsid w:val="0F672DA8"/>
    <w:rsid w:val="101E4984"/>
    <w:rsid w:val="10BB4B83"/>
    <w:rsid w:val="113F4CD8"/>
    <w:rsid w:val="120C720F"/>
    <w:rsid w:val="176D963B"/>
    <w:rsid w:val="18771FF8"/>
    <w:rsid w:val="197E58BE"/>
    <w:rsid w:val="1AFB5D50"/>
    <w:rsid w:val="1B7F798D"/>
    <w:rsid w:val="1CFB52CC"/>
    <w:rsid w:val="1DFF4B37"/>
    <w:rsid w:val="1EFB714F"/>
    <w:rsid w:val="22744A83"/>
    <w:rsid w:val="22FA378A"/>
    <w:rsid w:val="23C3354F"/>
    <w:rsid w:val="26EE14B3"/>
    <w:rsid w:val="27211EDA"/>
    <w:rsid w:val="27FB2020"/>
    <w:rsid w:val="2977121F"/>
    <w:rsid w:val="29C656CF"/>
    <w:rsid w:val="2A6E0274"/>
    <w:rsid w:val="2AC52FA0"/>
    <w:rsid w:val="2D4D55C4"/>
    <w:rsid w:val="2DEF8D6A"/>
    <w:rsid w:val="2FBA91A6"/>
    <w:rsid w:val="31DB6C9A"/>
    <w:rsid w:val="31FDF41B"/>
    <w:rsid w:val="3257C860"/>
    <w:rsid w:val="33F4E35E"/>
    <w:rsid w:val="33FFF3CD"/>
    <w:rsid w:val="352A11F6"/>
    <w:rsid w:val="37BB51FF"/>
    <w:rsid w:val="37FE0A31"/>
    <w:rsid w:val="39D792D9"/>
    <w:rsid w:val="39E71CBC"/>
    <w:rsid w:val="3BFC521B"/>
    <w:rsid w:val="3DBE345E"/>
    <w:rsid w:val="3DCA363E"/>
    <w:rsid w:val="3DF3E130"/>
    <w:rsid w:val="3EBFD5CF"/>
    <w:rsid w:val="3EDEA73B"/>
    <w:rsid w:val="3EED8CAE"/>
    <w:rsid w:val="3F2F6BA0"/>
    <w:rsid w:val="3FB354BC"/>
    <w:rsid w:val="3FDF2925"/>
    <w:rsid w:val="3FE5F325"/>
    <w:rsid w:val="3FEF3B35"/>
    <w:rsid w:val="3FFADC58"/>
    <w:rsid w:val="47FF5D5C"/>
    <w:rsid w:val="4B4B6108"/>
    <w:rsid w:val="4C3D4521"/>
    <w:rsid w:val="4DCA0626"/>
    <w:rsid w:val="504760DC"/>
    <w:rsid w:val="50D4CD38"/>
    <w:rsid w:val="52A200E3"/>
    <w:rsid w:val="53A88E30"/>
    <w:rsid w:val="53DF3120"/>
    <w:rsid w:val="53FAD87A"/>
    <w:rsid w:val="543F3109"/>
    <w:rsid w:val="54FFF2CF"/>
    <w:rsid w:val="56DBADA4"/>
    <w:rsid w:val="591D6CF1"/>
    <w:rsid w:val="5BE6CD66"/>
    <w:rsid w:val="5DECE95B"/>
    <w:rsid w:val="5DFFBFAA"/>
    <w:rsid w:val="5EFEFE9A"/>
    <w:rsid w:val="5EFFDDE2"/>
    <w:rsid w:val="5F763C0F"/>
    <w:rsid w:val="5F7A982F"/>
    <w:rsid w:val="5FFBA1B4"/>
    <w:rsid w:val="62262A35"/>
    <w:rsid w:val="628059B6"/>
    <w:rsid w:val="628429D5"/>
    <w:rsid w:val="62EB34DB"/>
    <w:rsid w:val="62EC217A"/>
    <w:rsid w:val="63F5FE37"/>
    <w:rsid w:val="647F6670"/>
    <w:rsid w:val="64FD11BC"/>
    <w:rsid w:val="65980A56"/>
    <w:rsid w:val="697460D1"/>
    <w:rsid w:val="6A1C2E49"/>
    <w:rsid w:val="6A4FC826"/>
    <w:rsid w:val="6ADF4B0D"/>
    <w:rsid w:val="6B95175B"/>
    <w:rsid w:val="6BE79D42"/>
    <w:rsid w:val="6C7B5F76"/>
    <w:rsid w:val="6D235CF7"/>
    <w:rsid w:val="6DDE03AF"/>
    <w:rsid w:val="6F8A1CA7"/>
    <w:rsid w:val="6FED552A"/>
    <w:rsid w:val="6FF9921E"/>
    <w:rsid w:val="6FFC7CC5"/>
    <w:rsid w:val="6FFD7550"/>
    <w:rsid w:val="71EA1B63"/>
    <w:rsid w:val="723D7739"/>
    <w:rsid w:val="73FF4953"/>
    <w:rsid w:val="74794DC3"/>
    <w:rsid w:val="757FB40B"/>
    <w:rsid w:val="75B7E1FE"/>
    <w:rsid w:val="76FF1A62"/>
    <w:rsid w:val="779BE033"/>
    <w:rsid w:val="77D7EAC5"/>
    <w:rsid w:val="77FF6978"/>
    <w:rsid w:val="77FFA2D4"/>
    <w:rsid w:val="78FF8B8B"/>
    <w:rsid w:val="795757FF"/>
    <w:rsid w:val="7AAF51D0"/>
    <w:rsid w:val="7B6D3540"/>
    <w:rsid w:val="7B7E99B8"/>
    <w:rsid w:val="7BD32D96"/>
    <w:rsid w:val="7BE51F1C"/>
    <w:rsid w:val="7BEB0FF4"/>
    <w:rsid w:val="7BF3F8E7"/>
    <w:rsid w:val="7C7D07A2"/>
    <w:rsid w:val="7CFFD8D7"/>
    <w:rsid w:val="7D174C4C"/>
    <w:rsid w:val="7D29576E"/>
    <w:rsid w:val="7D2FEEDE"/>
    <w:rsid w:val="7DFDFA62"/>
    <w:rsid w:val="7E39513C"/>
    <w:rsid w:val="7E945451"/>
    <w:rsid w:val="7E974710"/>
    <w:rsid w:val="7EF34040"/>
    <w:rsid w:val="7EFC883D"/>
    <w:rsid w:val="7F7F3162"/>
    <w:rsid w:val="7F8FE411"/>
    <w:rsid w:val="7FAF7028"/>
    <w:rsid w:val="7FE3BE53"/>
    <w:rsid w:val="7FEB5A38"/>
    <w:rsid w:val="7FEF6970"/>
    <w:rsid w:val="7FEFC594"/>
    <w:rsid w:val="7FFA16E6"/>
    <w:rsid w:val="7FFD1587"/>
    <w:rsid w:val="7FFDA272"/>
    <w:rsid w:val="7FFFB9CD"/>
    <w:rsid w:val="87ABC856"/>
    <w:rsid w:val="9767E044"/>
    <w:rsid w:val="97EF27D3"/>
    <w:rsid w:val="9AA7DA11"/>
    <w:rsid w:val="9B574AE3"/>
    <w:rsid w:val="9B73A3E3"/>
    <w:rsid w:val="9EFE49BF"/>
    <w:rsid w:val="9FF38918"/>
    <w:rsid w:val="A0C6DDB1"/>
    <w:rsid w:val="AB1FD8BA"/>
    <w:rsid w:val="ADDF38F2"/>
    <w:rsid w:val="AF5CE252"/>
    <w:rsid w:val="AFFE8BD6"/>
    <w:rsid w:val="AFFF310E"/>
    <w:rsid w:val="BABFBEC2"/>
    <w:rsid w:val="BAFE81EC"/>
    <w:rsid w:val="BB7B0EF0"/>
    <w:rsid w:val="BB7D7ED0"/>
    <w:rsid w:val="BBF6799A"/>
    <w:rsid w:val="BBF76DB5"/>
    <w:rsid w:val="BEFF11A2"/>
    <w:rsid w:val="BF7AA0C7"/>
    <w:rsid w:val="BF7B907F"/>
    <w:rsid w:val="BFFFDA6B"/>
    <w:rsid w:val="CBEF53D1"/>
    <w:rsid w:val="CBFD459B"/>
    <w:rsid w:val="CCF36B7F"/>
    <w:rsid w:val="CDDD22BD"/>
    <w:rsid w:val="CE6B020C"/>
    <w:rsid w:val="CFB38A34"/>
    <w:rsid w:val="D6BB871A"/>
    <w:rsid w:val="D8F90E45"/>
    <w:rsid w:val="DB69221C"/>
    <w:rsid w:val="DB6BB29E"/>
    <w:rsid w:val="DDDB5D75"/>
    <w:rsid w:val="DDE615BE"/>
    <w:rsid w:val="DDE93CA1"/>
    <w:rsid w:val="DDFF7C65"/>
    <w:rsid w:val="DFB2FD0A"/>
    <w:rsid w:val="DFF77A7C"/>
    <w:rsid w:val="DFFC187D"/>
    <w:rsid w:val="E1FF1D2A"/>
    <w:rsid w:val="E5BF1F7A"/>
    <w:rsid w:val="E7D73AE8"/>
    <w:rsid w:val="E7FFE372"/>
    <w:rsid w:val="EB56B17D"/>
    <w:rsid w:val="EBAF8934"/>
    <w:rsid w:val="EBFF853F"/>
    <w:rsid w:val="EC78D2B5"/>
    <w:rsid w:val="EDEF6995"/>
    <w:rsid w:val="EE68C828"/>
    <w:rsid w:val="EEBB293F"/>
    <w:rsid w:val="EEBF2019"/>
    <w:rsid w:val="EEF3BCDA"/>
    <w:rsid w:val="EEFA08AC"/>
    <w:rsid w:val="EF77AE72"/>
    <w:rsid w:val="EF873099"/>
    <w:rsid w:val="EFD3EFE9"/>
    <w:rsid w:val="EFDA1682"/>
    <w:rsid w:val="EFDFA71A"/>
    <w:rsid w:val="EFF7B623"/>
    <w:rsid w:val="EFFC88EA"/>
    <w:rsid w:val="F4775C87"/>
    <w:rsid w:val="F5BF7E28"/>
    <w:rsid w:val="F5F2A0A8"/>
    <w:rsid w:val="F5FD27DC"/>
    <w:rsid w:val="F65F7D10"/>
    <w:rsid w:val="F77D958F"/>
    <w:rsid w:val="F79FD4C9"/>
    <w:rsid w:val="F7BA3B44"/>
    <w:rsid w:val="F869B69C"/>
    <w:rsid w:val="FB6F2214"/>
    <w:rsid w:val="FBD1E3F9"/>
    <w:rsid w:val="FBF83A41"/>
    <w:rsid w:val="FCBDE7E1"/>
    <w:rsid w:val="FCCECB8A"/>
    <w:rsid w:val="FCD43CFC"/>
    <w:rsid w:val="FCFDE973"/>
    <w:rsid w:val="FCFECF9F"/>
    <w:rsid w:val="FD6B635B"/>
    <w:rsid w:val="FDAB932F"/>
    <w:rsid w:val="FDF66219"/>
    <w:rsid w:val="FDFF08EC"/>
    <w:rsid w:val="FE77D094"/>
    <w:rsid w:val="FE79A2DF"/>
    <w:rsid w:val="FEDAFF21"/>
    <w:rsid w:val="FF6E8A29"/>
    <w:rsid w:val="FF6EABBC"/>
    <w:rsid w:val="FF7ABB1F"/>
    <w:rsid w:val="FFB7687C"/>
    <w:rsid w:val="FFB7B438"/>
    <w:rsid w:val="FFBA4AD9"/>
    <w:rsid w:val="FFBB1691"/>
    <w:rsid w:val="FFBDC1F4"/>
    <w:rsid w:val="FFCF7B63"/>
    <w:rsid w:val="FFD48020"/>
    <w:rsid w:val="FFD6F139"/>
    <w:rsid w:val="FFDECB48"/>
    <w:rsid w:val="FFEEBA7B"/>
    <w:rsid w:val="FFEFFEE3"/>
    <w:rsid w:val="FFF705FF"/>
    <w:rsid w:val="FFFD6FE4"/>
    <w:rsid w:val="FFFD91BB"/>
    <w:rsid w:val="FFFF1A2E"/>
    <w:rsid w:val="FFFF8804"/>
    <w:rsid w:val="FFFFB4B3"/>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style>
  <w:style w:type="paragraph" w:styleId="3">
    <w:name w:val="Body Text Indent"/>
    <w:basedOn w:val="1"/>
    <w:next w:val="2"/>
    <w:qFormat/>
    <w:uiPriority w:val="99"/>
    <w:pPr>
      <w:ind w:left="420" w:leftChars="200"/>
    </w:pPr>
  </w:style>
  <w:style w:type="paragraph" w:styleId="5">
    <w:name w:val="Body Text"/>
    <w:basedOn w:val="1"/>
    <w:next w:val="1"/>
    <w:qFormat/>
    <w:uiPriority w:val="99"/>
    <w:pPr>
      <w:spacing w:beforeLines="30"/>
    </w:pPr>
    <w:rPr>
      <w:rFonts w:ascii="仿宋_GB2312" w:eastAsia="仿宋_GB2312"/>
      <w:kern w:val="0"/>
      <w:sz w:val="30"/>
    </w:rPr>
  </w:style>
  <w:style w:type="paragraph" w:styleId="6">
    <w:name w:val="Plain Text"/>
    <w:basedOn w:val="1"/>
    <w:next w:val="7"/>
    <w:qFormat/>
    <w:uiPriority w:val="0"/>
    <w:rPr>
      <w:rFonts w:ascii="宋体" w:hAnsi="Courier New"/>
    </w:rPr>
  </w:style>
  <w:style w:type="paragraph" w:customStyle="1" w:styleId="7">
    <w:name w:val="表格"/>
    <w:basedOn w:val="1"/>
    <w:qFormat/>
    <w:uiPriority w:val="0"/>
    <w:pPr>
      <w:adjustRightInd w:val="0"/>
      <w:snapToGrid w:val="0"/>
      <w:ind w:firstLine="0" w:firstLineChars="0"/>
    </w:pPr>
    <w:rPr>
      <w:rFonts w:eastAsia="仿宋_GB2312"/>
      <w:snapToGrid w:val="0"/>
      <w:kern w:val="0"/>
      <w:szCs w:val="20"/>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able of figures"/>
    <w:basedOn w:val="1"/>
    <w:next w:val="1"/>
    <w:unhideWhenUsed/>
    <w:qFormat/>
    <w:uiPriority w:val="99"/>
    <w:pPr>
      <w:ind w:left="0" w:leftChars="200" w:hanging="200" w:hangingChars="200"/>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4">
    <w:name w:val="Strong"/>
    <w:basedOn w:val="13"/>
    <w:qFormat/>
    <w:uiPriority w:val="0"/>
    <w:rPr>
      <w:b/>
      <w:bCs/>
    </w:rPr>
  </w:style>
  <w:style w:type="character" w:styleId="15">
    <w:name w:val="page number"/>
    <w:basedOn w:val="13"/>
    <w:qFormat/>
    <w:uiPriority w:val="0"/>
  </w:style>
  <w:style w:type="paragraph" w:styleId="16">
    <w:name w:val="List Paragraph"/>
    <w:basedOn w:val="1"/>
    <w:qFormat/>
    <w:uiPriority w:val="34"/>
    <w:pPr>
      <w:ind w:firstLine="420" w:firstLineChars="200"/>
    </w:pPr>
  </w:style>
  <w:style w:type="character" w:customStyle="1" w:styleId="17">
    <w:name w:val="页眉 Char"/>
    <w:basedOn w:val="13"/>
    <w:link w:val="9"/>
    <w:qFormat/>
    <w:uiPriority w:val="99"/>
    <w:rPr>
      <w:sz w:val="18"/>
      <w:szCs w:val="18"/>
    </w:rPr>
  </w:style>
  <w:style w:type="character" w:customStyle="1" w:styleId="18">
    <w:name w:val="页脚 Char"/>
    <w:basedOn w:val="13"/>
    <w:link w:val="8"/>
    <w:qFormat/>
    <w:uiPriority w:val="99"/>
    <w:rPr>
      <w:sz w:val="18"/>
      <w:szCs w:val="18"/>
    </w:rPr>
  </w:style>
  <w:style w:type="character" w:customStyle="1" w:styleId="19">
    <w:name w:val="font61"/>
    <w:basedOn w:val="13"/>
    <w:qFormat/>
    <w:uiPriority w:val="0"/>
    <w:rPr>
      <w:rFonts w:hint="eastAsia" w:ascii="宋体" w:hAnsi="宋体" w:eastAsia="宋体" w:cs="宋体"/>
      <w:color w:val="000000"/>
      <w:sz w:val="22"/>
      <w:szCs w:val="22"/>
      <w:u w:val="none"/>
    </w:rPr>
  </w:style>
  <w:style w:type="character" w:customStyle="1" w:styleId="20">
    <w:name w:val="font7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8556</Words>
  <Characters>9297</Characters>
  <Lines>35</Lines>
  <Paragraphs>9</Paragraphs>
  <TotalTime>4</TotalTime>
  <ScaleCrop>false</ScaleCrop>
  <LinksUpToDate>false</LinksUpToDate>
  <CharactersWithSpaces>9851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2023-02-25T02:38:00Z</dcterms:created>
  <dc:creator>ASUS</dc:creator>
  <cp:lastModifiedBy>三胖</cp:lastModifiedBy>
  <dcterms:modified xsi:type="dcterms:W3CDTF">2026-03-24T09:16:45Z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56F6812F92658F74351AF763469E14C2_42</vt:lpwstr>
  </property>
  <property fmtid="{D5CDD505-2E9C-101B-9397-08002B2CF9AE}" pid="4" name="KSOTemplateDocerSaveRecord">
    <vt:lpwstr>eyJoZGlkIjoiMTQ5Mjk4NTkwNmY2NGRmOTdkNzgwNDQxZThhNmYwZGQiLCJ1c2VySWQiOiIyODUyNDgyMTUifQ==</vt:lpwstr>
  </property>
</Properties>
</file>