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174FC">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14:paraId="41864FBA">
      <w:pPr>
        <w:jc w:val="both"/>
        <w:rPr>
          <w:rFonts w:ascii="方正小标宋简体" w:hAnsi="黑体" w:eastAsia="方正小标宋简体"/>
          <w:sz w:val="84"/>
          <w:szCs w:val="84"/>
          <w:highlight w:val="none"/>
        </w:rPr>
      </w:pPr>
    </w:p>
    <w:p w14:paraId="62338034">
      <w:pPr>
        <w:jc w:val="both"/>
        <w:rPr>
          <w:rFonts w:ascii="方正小标宋简体" w:hAnsi="黑体" w:eastAsia="方正小标宋简体"/>
          <w:sz w:val="84"/>
          <w:szCs w:val="84"/>
          <w:highlight w:val="none"/>
        </w:rPr>
      </w:pPr>
    </w:p>
    <w:p w14:paraId="38CBF4B4">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eastAsia="zh-CN"/>
        </w:rPr>
        <w:t>建设工程质量安全监督站</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14:paraId="650DC5F3">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70F790B0">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65A170B4">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九寨沟县建设工程安全监督站</w:t>
      </w:r>
      <w:r>
        <w:rPr>
          <w:rFonts w:hint="eastAsia" w:ascii="黑体" w:hAnsi="黑体" w:eastAsia="黑体"/>
          <w:sz w:val="32"/>
          <w:szCs w:val="32"/>
          <w:highlight w:val="none"/>
        </w:rPr>
        <w:t>概况</w:t>
      </w:r>
    </w:p>
    <w:p w14:paraId="3DF5B3C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黑体" w:hAnsi="黑体" w:eastAsia="黑体"/>
          <w:sz w:val="32"/>
          <w:szCs w:val="32"/>
          <w:highlight w:val="none"/>
          <w:lang w:eastAsia="zh-CN"/>
        </w:rPr>
        <w:t>九寨沟县建设工程安全监督站</w:t>
      </w:r>
      <w:r>
        <w:rPr>
          <w:rFonts w:hint="eastAsia" w:ascii="仿宋_GB2312" w:hAnsi="仿宋" w:eastAsia="仿宋_GB2312"/>
          <w:sz w:val="32"/>
          <w:szCs w:val="32"/>
          <w:highlight w:val="none"/>
        </w:rPr>
        <w:t>职能简介</w:t>
      </w:r>
    </w:p>
    <w:p w14:paraId="2CCAA78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黑体" w:hAnsi="黑体" w:eastAsia="黑体"/>
          <w:sz w:val="32"/>
          <w:szCs w:val="32"/>
          <w:highlight w:val="none"/>
          <w:lang w:eastAsia="zh-CN"/>
        </w:rPr>
        <w:t>九寨沟县建设工程安全监督站</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年重点工作</w:t>
      </w:r>
    </w:p>
    <w:p w14:paraId="1A0B337C">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九寨沟县建设工程安全监督站</w:t>
      </w:r>
      <w:r>
        <w:rPr>
          <w:rFonts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14:paraId="7A96A23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791A0CE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14:paraId="78D48679">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5C801309">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56EFA81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2DB7E345">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51823ED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70E7F99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67DFD5B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4C79346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5E0C40F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4A7CF18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6AD1300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14:paraId="65E50EB7">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lang w:eastAsia="zh-CN"/>
        </w:rPr>
        <w:t>九寨沟县建设工程安全监督站</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14:paraId="62A3EE30">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71A385C7">
      <w:pPr>
        <w:rPr>
          <w:rFonts w:ascii="方正小标宋简体" w:hAnsi="黑体" w:eastAsia="方正小标宋简体"/>
          <w:sz w:val="44"/>
          <w:szCs w:val="44"/>
          <w:highlight w:val="none"/>
        </w:rPr>
      </w:pPr>
      <w:r>
        <w:rPr>
          <w:rFonts w:hint="eastAsia" w:ascii="黑体" w:hAnsi="黑体" w:eastAsia="黑体"/>
          <w:sz w:val="32"/>
          <w:szCs w:val="32"/>
          <w:highlight w:val="none"/>
        </w:rPr>
        <w:br w:type="page"/>
      </w:r>
    </w:p>
    <w:p w14:paraId="142E8E5A">
      <w:pPr>
        <w:jc w:val="both"/>
        <w:rPr>
          <w:rFonts w:ascii="方正小标宋简体" w:hAnsi="黑体" w:eastAsia="方正小标宋简体"/>
          <w:sz w:val="44"/>
          <w:szCs w:val="44"/>
          <w:highlight w:val="none"/>
        </w:rPr>
      </w:pPr>
    </w:p>
    <w:p w14:paraId="02AA003D">
      <w:pPr>
        <w:jc w:val="both"/>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 xml:space="preserve">第一部分  </w:t>
      </w:r>
      <w:r>
        <w:rPr>
          <w:rFonts w:hint="eastAsia" w:ascii="方正小标宋简体" w:hAnsi="黑体" w:eastAsia="方正小标宋简体"/>
          <w:sz w:val="36"/>
          <w:szCs w:val="36"/>
          <w:highlight w:val="none"/>
          <w:lang w:eastAsia="zh-CN"/>
        </w:rPr>
        <w:t>九寨沟县建设工程安全监督站</w:t>
      </w:r>
      <w:r>
        <w:rPr>
          <w:rFonts w:hint="eastAsia" w:ascii="方正小标宋简体" w:hAnsi="黑体" w:eastAsia="方正小标宋简体"/>
          <w:sz w:val="36"/>
          <w:szCs w:val="36"/>
          <w:highlight w:val="none"/>
        </w:rPr>
        <w:t>概况</w:t>
      </w:r>
    </w:p>
    <w:p w14:paraId="7EDDC609">
      <w:pPr>
        <w:ind w:firstLine="640" w:firstLineChars="200"/>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lang w:eastAsia="zh-CN"/>
        </w:rPr>
        <w:t>九寨沟县建设工程安全监督站</w:t>
      </w:r>
      <w:r>
        <w:rPr>
          <w:rFonts w:hint="eastAsia" w:ascii="黑体" w:hAnsi="黑体" w:eastAsia="黑体"/>
          <w:sz w:val="32"/>
          <w:szCs w:val="32"/>
          <w:highlight w:val="none"/>
        </w:rPr>
        <w:t>职能</w:t>
      </w:r>
      <w:r>
        <w:rPr>
          <w:rFonts w:ascii="黑体" w:hAnsi="黑体" w:eastAsia="黑体"/>
          <w:sz w:val="32"/>
          <w:szCs w:val="32"/>
          <w:highlight w:val="none"/>
        </w:rPr>
        <w:t>简介</w:t>
      </w:r>
    </w:p>
    <w:p w14:paraId="31BD6008">
      <w:pPr>
        <w:keepNext w:val="0"/>
        <w:keepLines w:val="0"/>
        <w:pageBreakBefore w:val="0"/>
        <w:widowControl/>
        <w:kinsoku/>
        <w:wordWrap/>
        <w:overflowPunct/>
        <w:topLinePunct w:val="0"/>
        <w:autoSpaceDE/>
        <w:autoSpaceDN/>
        <w:bidi w:val="0"/>
        <w:spacing w:line="580" w:lineRule="exact"/>
        <w:ind w:right="0" w:rightChars="0" w:firstLine="720"/>
        <w:jc w:val="both"/>
        <w:textAlignment w:val="auto"/>
        <w:outlineLvl w:val="9"/>
        <w:rPr>
          <w:rFonts w:ascii="仿宋_GB2312" w:hAnsi="仿宋" w:eastAsia="仿宋_GB2312"/>
          <w:sz w:val="32"/>
          <w:szCs w:val="32"/>
          <w:highlight w:val="none"/>
        </w:rPr>
      </w:pPr>
      <w:r>
        <w:rPr>
          <w:rFonts w:hint="eastAsia" w:ascii="仿宋_GB2312" w:hAnsi="宋体" w:eastAsia="仿宋_GB2312" w:cs="宋体"/>
          <w:bCs/>
          <w:color w:val="000000" w:themeColor="text1"/>
          <w:kern w:val="0"/>
          <w:sz w:val="32"/>
          <w:szCs w:val="32"/>
          <w14:textFill>
            <w14:solidFill>
              <w14:schemeClr w14:val="tx1"/>
            </w14:solidFill>
          </w14:textFill>
        </w:rPr>
        <w:t>承担监督管理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房屋</w:t>
      </w:r>
      <w:r>
        <w:rPr>
          <w:rFonts w:hint="eastAsia" w:ascii="仿宋_GB2312" w:hAnsi="宋体" w:eastAsia="仿宋_GB2312" w:cs="宋体"/>
          <w:bCs/>
          <w:color w:val="000000" w:themeColor="text1"/>
          <w:kern w:val="0"/>
          <w:sz w:val="32"/>
          <w:szCs w:val="32"/>
          <w14:textFill>
            <w14:solidFill>
              <w14:schemeClr w14:val="tx1"/>
            </w14:solidFill>
          </w14:textFill>
        </w:rPr>
        <w:t>建筑</w:t>
      </w:r>
      <w:r>
        <w:rPr>
          <w:rFonts w:hint="eastAsia" w:ascii="仿宋_GB2312" w:hAnsi="宋体" w:eastAsia="仿宋_GB2312" w:cs="宋体"/>
          <w:bCs/>
          <w:color w:val="000000" w:themeColor="text1"/>
          <w:kern w:val="0"/>
          <w:sz w:val="32"/>
          <w:szCs w:val="32"/>
          <w:lang w:eastAsia="zh-CN"/>
          <w14:textFill>
            <w14:solidFill>
              <w14:schemeClr w14:val="tx1"/>
            </w14:solidFill>
          </w14:textFill>
        </w:rPr>
        <w:t>和市政基础设施建设项目建筑</w:t>
      </w:r>
      <w:r>
        <w:rPr>
          <w:rFonts w:hint="eastAsia" w:ascii="仿宋_GB2312" w:hAnsi="宋体" w:eastAsia="仿宋_GB2312" w:cs="宋体"/>
          <w:bCs/>
          <w:color w:val="000000" w:themeColor="text1"/>
          <w:kern w:val="0"/>
          <w:sz w:val="32"/>
          <w:szCs w:val="32"/>
          <w14:textFill>
            <w14:solidFill>
              <w14:schemeClr w14:val="tx1"/>
            </w14:solidFill>
          </w14:textFill>
        </w:rPr>
        <w:t>市场、规范市场各方主体行为的责任。</w:t>
      </w:r>
      <w:r>
        <w:rPr>
          <w:rFonts w:ascii="仿宋_GB2312" w:hAnsi="宋体" w:eastAsia="仿宋_GB2312" w:cs="宋体"/>
          <w:bCs/>
          <w:color w:val="000000" w:themeColor="text1"/>
          <w:kern w:val="0"/>
          <w:sz w:val="32"/>
          <w:szCs w:val="32"/>
          <w14:textFill>
            <w14:solidFill>
              <w14:schemeClr w14:val="tx1"/>
            </w14:solidFill>
          </w14:textFill>
        </w:rPr>
        <w:t>指导全</w:t>
      </w:r>
      <w:r>
        <w:rPr>
          <w:rFonts w:hint="eastAsia" w:ascii="仿宋_GB2312" w:hAnsi="宋体" w:eastAsia="仿宋_GB2312" w:cs="宋体"/>
          <w:bCs/>
          <w:color w:val="000000" w:themeColor="text1"/>
          <w:kern w:val="0"/>
          <w:sz w:val="32"/>
          <w:szCs w:val="32"/>
          <w14:textFill>
            <w14:solidFill>
              <w14:schemeClr w14:val="tx1"/>
            </w14:solidFill>
          </w14:textFill>
        </w:rPr>
        <w:t>县</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w:t>
      </w:r>
      <w:r>
        <w:rPr>
          <w:rFonts w:ascii="仿宋_GB2312" w:hAnsi="宋体" w:eastAsia="仿宋_GB2312" w:cs="宋体"/>
          <w:bCs/>
          <w:color w:val="000000" w:themeColor="text1"/>
          <w:kern w:val="0"/>
          <w:sz w:val="32"/>
          <w:szCs w:val="32"/>
          <w14:textFill>
            <w14:solidFill>
              <w14:schemeClr w14:val="tx1"/>
            </w14:solidFill>
          </w14:textFill>
        </w:rPr>
        <w:t>建</w:t>
      </w:r>
      <w:r>
        <w:rPr>
          <w:rFonts w:hint="eastAsia" w:ascii="仿宋_GB2312" w:hAnsi="宋体" w:eastAsia="仿宋_GB2312" w:cs="宋体"/>
          <w:bCs/>
          <w:color w:val="000000" w:themeColor="text1"/>
          <w:kern w:val="0"/>
          <w:sz w:val="32"/>
          <w:szCs w:val="32"/>
          <w:lang w:eastAsia="zh-CN"/>
          <w14:textFill>
            <w14:solidFill>
              <w14:schemeClr w14:val="tx1"/>
            </w14:solidFill>
          </w14:textFill>
        </w:rPr>
        <w:t>市政类建筑活动，</w:t>
      </w:r>
      <w:r>
        <w:rPr>
          <w:rFonts w:ascii="仿宋_GB2312" w:hAnsi="宋体" w:eastAsia="仿宋_GB2312" w:cs="宋体"/>
          <w:bCs/>
          <w:color w:val="000000" w:themeColor="text1"/>
          <w:kern w:val="0"/>
          <w:sz w:val="32"/>
          <w:szCs w:val="32"/>
          <w14:textFill>
            <w14:solidFill>
              <w14:schemeClr w14:val="tx1"/>
            </w14:solidFill>
          </w14:textFill>
        </w:rPr>
        <w:t>负责</w:t>
      </w:r>
      <w:r>
        <w:rPr>
          <w:rFonts w:hint="eastAsia" w:ascii="仿宋_GB2312" w:hAnsi="宋体" w:eastAsia="仿宋_GB2312" w:cs="宋体"/>
          <w:bCs/>
          <w:color w:val="000000" w:themeColor="text1"/>
          <w:kern w:val="0"/>
          <w:sz w:val="32"/>
          <w:szCs w:val="32"/>
          <w:lang w:eastAsia="zh-CN"/>
          <w14:textFill>
            <w14:solidFill>
              <w14:schemeClr w14:val="tx1"/>
            </w14:solidFill>
          </w14:textFill>
        </w:rPr>
        <w:t>房屋建筑和市政基础设施</w:t>
      </w:r>
      <w:r>
        <w:rPr>
          <w:rFonts w:ascii="仿宋_GB2312" w:hAnsi="宋体" w:eastAsia="仿宋_GB2312" w:cs="宋体"/>
          <w:bCs/>
          <w:color w:val="000000" w:themeColor="text1"/>
          <w:kern w:val="0"/>
          <w:sz w:val="32"/>
          <w:szCs w:val="32"/>
          <w14:textFill>
            <w14:solidFill>
              <w14:schemeClr w14:val="tx1"/>
            </w14:solidFill>
          </w14:textFill>
        </w:rPr>
        <w:t>建设</w:t>
      </w:r>
      <w:r>
        <w:rPr>
          <w:rFonts w:hint="eastAsia" w:ascii="仿宋_GB2312" w:hAnsi="宋体" w:eastAsia="仿宋_GB2312" w:cs="宋体"/>
          <w:bCs/>
          <w:color w:val="000000" w:themeColor="text1"/>
          <w:kern w:val="0"/>
          <w:sz w:val="32"/>
          <w:szCs w:val="32"/>
          <w:lang w:eastAsia="zh-CN"/>
          <w14:textFill>
            <w14:solidFill>
              <w14:schemeClr w14:val="tx1"/>
            </w14:solidFill>
          </w14:textFill>
        </w:rPr>
        <w:t>项目</w:t>
      </w:r>
      <w:r>
        <w:rPr>
          <w:rFonts w:ascii="仿宋_GB2312" w:hAnsi="宋体" w:eastAsia="仿宋_GB2312" w:cs="宋体"/>
          <w:bCs/>
          <w:color w:val="000000" w:themeColor="text1"/>
          <w:kern w:val="0"/>
          <w:sz w:val="32"/>
          <w:szCs w:val="32"/>
          <w14:textFill>
            <w14:solidFill>
              <w14:schemeClr w14:val="tx1"/>
            </w14:solidFill>
          </w14:textFill>
        </w:rPr>
        <w:t>工程招标投标活动的监督管理，</w:t>
      </w:r>
      <w:r>
        <w:rPr>
          <w:rFonts w:hint="eastAsia" w:ascii="仿宋_GB2312" w:hAnsi="宋体" w:eastAsia="仿宋_GB2312" w:cs="宋体"/>
          <w:bCs/>
          <w:color w:val="000000" w:themeColor="text1"/>
          <w:kern w:val="0"/>
          <w:sz w:val="32"/>
          <w:szCs w:val="32"/>
          <w:lang w:eastAsia="zh-CN"/>
          <w14:textFill>
            <w14:solidFill>
              <w14:schemeClr w14:val="tx1"/>
            </w14:solidFill>
          </w14:textFill>
        </w:rPr>
        <w:t>指导监督县行政审批局</w:t>
      </w:r>
      <w:r>
        <w:rPr>
          <w:rFonts w:ascii="仿宋_GB2312" w:hAnsi="宋体" w:eastAsia="仿宋_GB2312" w:cs="宋体"/>
          <w:bCs/>
          <w:color w:val="000000" w:themeColor="text1"/>
          <w:kern w:val="0"/>
          <w:sz w:val="32"/>
          <w:szCs w:val="32"/>
          <w14:textFill>
            <w14:solidFill>
              <w14:schemeClr w14:val="tx1"/>
            </w14:solidFill>
          </w14:textFill>
        </w:rPr>
        <w:t>《建设工程施工许可证》</w:t>
      </w:r>
      <w:r>
        <w:rPr>
          <w:rFonts w:hint="eastAsia" w:ascii="仿宋_GB2312" w:hAnsi="宋体" w:eastAsia="仿宋_GB2312" w:cs="宋体"/>
          <w:bCs/>
          <w:color w:val="000000" w:themeColor="text1"/>
          <w:kern w:val="0"/>
          <w:sz w:val="32"/>
          <w:szCs w:val="32"/>
          <w:lang w:eastAsia="zh-CN"/>
          <w14:textFill>
            <w14:solidFill>
              <w14:schemeClr w14:val="tx1"/>
            </w14:solidFill>
          </w14:textFill>
        </w:rPr>
        <w:t>核发</w:t>
      </w:r>
      <w:r>
        <w:rPr>
          <w:rFonts w:ascii="仿宋_GB2312" w:hAnsi="宋体" w:eastAsia="仿宋_GB2312" w:cs="宋体"/>
          <w:bCs/>
          <w:color w:val="000000" w:themeColor="text1"/>
          <w:kern w:val="0"/>
          <w:sz w:val="32"/>
          <w:szCs w:val="32"/>
          <w14:textFill>
            <w14:solidFill>
              <w14:schemeClr w14:val="tx1"/>
            </w14:solidFill>
          </w14:textFill>
        </w:rPr>
        <w:t xml:space="preserve">，指导监督建设工程标准定额的实施。负责建设工程质量安全监管，负责竣工验收备案管理，组织或参与工程质量安全事故的调查处理。 </w:t>
      </w:r>
    </w:p>
    <w:p w14:paraId="1AA8E51D">
      <w:pPr>
        <w:ind w:firstLine="640" w:firstLineChars="200"/>
        <w:jc w:val="both"/>
        <w:rPr>
          <w:rFonts w:hint="eastAsia" w:ascii="黑体" w:hAnsi="黑体" w:eastAsia="黑体"/>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黑体" w:hAnsi="黑体" w:eastAsia="黑体"/>
          <w:sz w:val="32"/>
          <w:szCs w:val="32"/>
          <w:highlight w:val="none"/>
          <w:lang w:eastAsia="zh-CN"/>
        </w:rPr>
        <w:t>九寨沟县建设工程安全监督站</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5</w:t>
      </w:r>
      <w:r>
        <w:rPr>
          <w:rFonts w:hint="eastAsia" w:ascii="黑体" w:hAnsi="黑体" w:eastAsia="黑体"/>
          <w:sz w:val="32"/>
          <w:szCs w:val="32"/>
          <w:highlight w:val="none"/>
        </w:rPr>
        <w:t>年重点工作</w:t>
      </w:r>
    </w:p>
    <w:p w14:paraId="33191BA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3" w:firstLineChars="200"/>
        <w:textAlignment w:val="auto"/>
        <w:outlineLvl w:val="2"/>
        <w:rPr>
          <w:rFonts w:ascii="仿宋_GB2312" w:hAnsi="仿宋" w:eastAsia="仿宋_GB2312"/>
          <w:sz w:val="32"/>
          <w:szCs w:val="32"/>
          <w:highlight w:val="none"/>
        </w:rPr>
      </w:pPr>
      <w:r>
        <w:rPr>
          <w:rFonts w:hint="eastAsia" w:ascii="楷体" w:hAnsi="楷体" w:eastAsia="楷体" w:cs="楷体"/>
          <w:b/>
          <w:bCs/>
          <w:sz w:val="32"/>
          <w:szCs w:val="32"/>
          <w:u w:val="none"/>
          <w:lang w:val="en-US" w:eastAsia="zh-CN"/>
        </w:rPr>
        <w:t>安全生产工作。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开展燃气场站安全日常检查12次,排查出一般安全隐患39个，整改完成一般安全隐患35个，剩余4个问题正在整改中；联合消防、应急、市场监管、综合执法等部门对人员密集场所开展排查3次，累计检查场所340家，发现隐患58个，整改完成58个；发放宣传资料1500余份、开展应急演练2次，全力提高居民和企业应对突发情况的能力和水平；</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组织召开电梯加装专题会议4次，组织电梯加装企业、小区代表召开会议8次，建立电梯增设专项备案制度，全面审核设计、施工、监理等单位的资质条件，从源头上把好“入门关”，取“四不两直”方式，开展检查8次，发现安全问题3个，发现问题已全部整改完成，全力确保电梯加装全过程安全；</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组织施工、监理企业召开安全生产专题会、培训会2次，累计开展建筑工地质量安全检查97余次，发现问题隐患42个，其中重大隐患2个，目前均已整改完成；针对安全生产工作，移交立案查处企业和人员问题11个，处罚金额18.48万元，检查特种作业人员持证上岗情况20余次，发现问题2个，均已整改完成，有效杜绝了无证上岗等问题；</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专项检查物业小区消防安全、电动自行车安全隐患整治11次，累计发现一般安全安全隐患41个，完成整改40个，推送安全提示15次，发放宣传手册170余份，物业企业开展应急演练3次，有效防止物业小区火灾事故，保障了业主生命财产安全。</w:t>
      </w:r>
    </w:p>
    <w:p w14:paraId="46EE42D5">
      <w:pPr>
        <w:pStyle w:val="2"/>
      </w:pPr>
    </w:p>
    <w:p w14:paraId="7B4AE0AC">
      <w:pPr>
        <w:numPr>
          <w:ilvl w:val="0"/>
          <w:numId w:val="0"/>
        </w:numPr>
        <w:jc w:val="both"/>
        <w:rPr>
          <w:rFonts w:hint="default" w:eastAsiaTheme="minorEastAsia"/>
          <w:lang w:val="en-US" w:eastAsia="zh-CN"/>
        </w:rPr>
      </w:pPr>
      <w:r>
        <w:rPr>
          <w:rFonts w:hint="eastAsia" w:ascii="方正小标宋简体" w:hAnsi="黑体" w:eastAsia="方正小标宋简体"/>
          <w:sz w:val="36"/>
          <w:szCs w:val="36"/>
          <w:highlight w:val="none"/>
          <w:lang w:eastAsia="zh-CN"/>
        </w:rPr>
        <w:t>第二部分</w:t>
      </w:r>
      <w:r>
        <w:rPr>
          <w:rFonts w:hint="eastAsia" w:ascii="方正小标宋简体" w:hAnsi="黑体" w:eastAsia="方正小标宋简体"/>
          <w:sz w:val="36"/>
          <w:szCs w:val="36"/>
          <w:highlight w:val="none"/>
        </w:rPr>
        <w:t xml:space="preserve"> </w:t>
      </w:r>
      <w:r>
        <w:rPr>
          <w:rFonts w:hint="eastAsia" w:ascii="方正小标宋简体" w:hAnsi="黑体" w:eastAsia="方正小标宋简体"/>
          <w:sz w:val="36"/>
          <w:szCs w:val="36"/>
          <w:highlight w:val="none"/>
          <w:lang w:eastAsia="zh-CN"/>
        </w:rPr>
        <w:t>九寨沟县建设工程安全监督站</w:t>
      </w:r>
      <w:r>
        <w:rPr>
          <w:rFonts w:hint="eastAsia" w:ascii="方正小标宋简体" w:hAnsi="黑体" w:eastAsia="方正小标宋简体"/>
          <w:sz w:val="36"/>
          <w:szCs w:val="36"/>
          <w:highlight w:val="none"/>
        </w:rPr>
        <w:t>2</w:t>
      </w:r>
      <w:r>
        <w:rPr>
          <w:rFonts w:ascii="方正小标宋简体" w:hAnsi="黑体" w:eastAsia="方正小标宋简体"/>
          <w:sz w:val="36"/>
          <w:szCs w:val="36"/>
          <w:highlight w:val="none"/>
        </w:rPr>
        <w:t>02</w:t>
      </w:r>
      <w:r>
        <w:rPr>
          <w:rFonts w:hint="eastAsia" w:ascii="方正小标宋简体" w:hAnsi="黑体" w:eastAsia="方正小标宋简体"/>
          <w:sz w:val="36"/>
          <w:szCs w:val="36"/>
          <w:highlight w:val="none"/>
          <w:lang w:val="en-US" w:eastAsia="zh-CN"/>
        </w:rPr>
        <w:t>6</w:t>
      </w:r>
      <w:r>
        <w:rPr>
          <w:rFonts w:hint="eastAsia" w:ascii="方正小标宋简体" w:hAnsi="黑体" w:eastAsia="方正小标宋简体"/>
          <w:sz w:val="36"/>
          <w:szCs w:val="36"/>
          <w:highlight w:val="none"/>
        </w:rPr>
        <w:t>年</w:t>
      </w:r>
      <w:r>
        <w:rPr>
          <w:rFonts w:hint="eastAsia" w:ascii="方正小标宋简体" w:hAnsi="黑体" w:eastAsia="方正小标宋简体"/>
          <w:sz w:val="36"/>
          <w:szCs w:val="36"/>
          <w:highlight w:val="none"/>
          <w:lang w:val="en-US" w:eastAsia="zh-Hans"/>
        </w:rPr>
        <w:t>单位</w:t>
      </w:r>
      <w:r>
        <w:rPr>
          <w:rFonts w:ascii="方正小标宋简体" w:hAnsi="黑体" w:eastAsia="方正小标宋简体"/>
          <w:sz w:val="36"/>
          <w:szCs w:val="36"/>
          <w:highlight w:val="none"/>
        </w:rPr>
        <w:t>预算表</w:t>
      </w:r>
    </w:p>
    <w:p w14:paraId="165FCADB">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p w14:paraId="440AF345">
      <w:pPr>
        <w:pStyle w:val="2"/>
        <w:ind w:left="0" w:leftChars="0" w:firstLine="0" w:firstLineChars="0"/>
        <w:rPr>
          <w:rFonts w:hint="default" w:eastAsiaTheme="minorEastAsia"/>
          <w:lang w:val="en-US" w:eastAsia="zh-CN"/>
        </w:rPr>
      </w:pPr>
    </w:p>
    <w:p w14:paraId="719CA52D">
      <w:pPr>
        <w:pStyle w:val="2"/>
        <w:ind w:left="0" w:leftChars="0" w:firstLine="0" w:firstLineChars="0"/>
        <w:rPr>
          <w:rFonts w:hint="default"/>
          <w:lang w:eastAsia="zh-Hans"/>
        </w:rPr>
      </w:pPr>
      <w:r>
        <w:drawing>
          <wp:inline distT="0" distB="0" distL="114300" distR="114300">
            <wp:extent cx="5269865" cy="5389880"/>
            <wp:effectExtent l="0" t="0" r="698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9865" cy="5389880"/>
                    </a:xfrm>
                    <a:prstGeom prst="rect">
                      <a:avLst/>
                    </a:prstGeom>
                    <a:noFill/>
                    <a:ln>
                      <a:noFill/>
                    </a:ln>
                  </pic:spPr>
                </pic:pic>
              </a:graphicData>
            </a:graphic>
          </wp:inline>
        </w:drawing>
      </w:r>
    </w:p>
    <w:p w14:paraId="259BEDD4">
      <w:pPr>
        <w:rPr>
          <w:rFonts w:hint="default" w:ascii="仿宋_GB2312" w:hAnsi="黑体" w:eastAsia="仿宋_GB2312"/>
          <w:sz w:val="32"/>
          <w:szCs w:val="32"/>
          <w:highlight w:val="none"/>
          <w:lang w:eastAsia="zh-Hans"/>
        </w:rPr>
        <w:sectPr>
          <w:pgSz w:w="11906" w:h="16838"/>
          <w:pgMar w:top="1440" w:right="1800" w:bottom="1440" w:left="1800" w:header="851" w:footer="992" w:gutter="0"/>
          <w:cols w:space="425" w:num="1"/>
          <w:docGrid w:type="lines" w:linePitch="312" w:charSpace="0"/>
        </w:sectPr>
      </w:pPr>
      <w:r>
        <w:rPr>
          <w:rFonts w:hint="default" w:ascii="仿宋_GB2312" w:hAnsi="黑体" w:eastAsia="仿宋_GB2312"/>
          <w:sz w:val="32"/>
          <w:szCs w:val="32"/>
          <w:highlight w:val="none"/>
          <w:lang w:eastAsia="zh-Hans"/>
        </w:rPr>
        <w:br w:type="page"/>
      </w:r>
    </w:p>
    <w:p w14:paraId="4F8CA9D1">
      <w:pPr>
        <w:pStyle w:val="2"/>
        <w:ind w:left="0" w:leftChars="0" w:firstLine="0" w:firstLineChars="0"/>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5075" cy="948055"/>
            <wp:effectExtent l="0" t="0" r="317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8855075" cy="948055"/>
                    </a:xfrm>
                    <a:prstGeom prst="rect">
                      <a:avLst/>
                    </a:prstGeom>
                    <a:noFill/>
                    <a:ln>
                      <a:noFill/>
                    </a:ln>
                  </pic:spPr>
                </pic:pic>
              </a:graphicData>
            </a:graphic>
          </wp:inline>
        </w:drawing>
      </w:r>
    </w:p>
    <w:p w14:paraId="32098A36">
      <w:r>
        <w:drawing>
          <wp:inline distT="0" distB="0" distL="114300" distR="114300">
            <wp:extent cx="5269230" cy="1753235"/>
            <wp:effectExtent l="0" t="0" r="762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69230" cy="1753235"/>
                    </a:xfrm>
                    <a:prstGeom prst="rect">
                      <a:avLst/>
                    </a:prstGeom>
                    <a:noFill/>
                    <a:ln>
                      <a:noFill/>
                    </a:ln>
                  </pic:spPr>
                </pic:pic>
              </a:graphicData>
            </a:graphic>
          </wp:inline>
        </w:drawing>
      </w:r>
    </w:p>
    <w:p w14:paraId="6C3BFA34">
      <w:pPr>
        <w:sectPr>
          <w:pgSz w:w="11906" w:h="16838"/>
          <w:pgMar w:top="1440" w:right="1800" w:bottom="1440" w:left="1800" w:header="851" w:footer="992" w:gutter="0"/>
          <w:cols w:space="425" w:num="1"/>
          <w:docGrid w:type="lines" w:linePitch="312" w:charSpace="0"/>
        </w:sectPr>
      </w:pPr>
    </w:p>
    <w:p w14:paraId="1113858B">
      <w:pPr>
        <w:pStyle w:val="2"/>
        <w:ind w:left="0" w:leftChars="0" w:firstLine="0" w:firstLineChars="0"/>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60790" cy="6610350"/>
            <wp:effectExtent l="0" t="0" r="165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8860790" cy="6610350"/>
                    </a:xfrm>
                    <a:prstGeom prst="rect">
                      <a:avLst/>
                    </a:prstGeom>
                    <a:noFill/>
                    <a:ln>
                      <a:noFill/>
                    </a:ln>
                  </pic:spPr>
                </pic:pic>
              </a:graphicData>
            </a:graphic>
          </wp:inline>
        </w:drawing>
      </w:r>
    </w:p>
    <w:p w14:paraId="222348A4">
      <w:pPr>
        <w:sectPr>
          <w:pgSz w:w="11906" w:h="16838"/>
          <w:pgMar w:top="1440" w:right="1800" w:bottom="1440" w:left="1800" w:header="851" w:footer="992" w:gutter="0"/>
          <w:cols w:space="425" w:num="1"/>
          <w:docGrid w:type="lines" w:linePitch="312" w:charSpace="0"/>
        </w:sectPr>
      </w:pPr>
      <w:r>
        <w:drawing>
          <wp:inline distT="0" distB="0" distL="114300" distR="114300">
            <wp:extent cx="5267960" cy="1383030"/>
            <wp:effectExtent l="0" t="0" r="889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7960" cy="1383030"/>
                    </a:xfrm>
                    <a:prstGeom prst="rect">
                      <a:avLst/>
                    </a:prstGeom>
                    <a:noFill/>
                    <a:ln>
                      <a:noFill/>
                    </a:ln>
                  </pic:spPr>
                </pic:pic>
              </a:graphicData>
            </a:graphic>
          </wp:inline>
        </w:drawing>
      </w:r>
    </w:p>
    <w:p w14:paraId="7D6F86C4">
      <w:pPr>
        <w:pStyle w:val="2"/>
        <w:ind w:left="0" w:leftChars="0" w:firstLine="0" w:firstLineChars="0"/>
        <w:sectPr>
          <w:pgSz w:w="11906" w:h="16838"/>
          <w:pgMar w:top="1440" w:right="1800" w:bottom="1440" w:left="1800" w:header="851" w:footer="992" w:gutter="0"/>
          <w:cols w:space="425" w:num="1"/>
          <w:docGrid w:type="lines" w:linePitch="312" w:charSpace="0"/>
        </w:sectPr>
      </w:pPr>
      <w:r>
        <w:drawing>
          <wp:inline distT="0" distB="0" distL="114300" distR="114300">
            <wp:extent cx="5272405" cy="3288665"/>
            <wp:effectExtent l="0" t="0" r="444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2405" cy="3288665"/>
                    </a:xfrm>
                    <a:prstGeom prst="rect">
                      <a:avLst/>
                    </a:prstGeom>
                    <a:noFill/>
                    <a:ln>
                      <a:noFill/>
                    </a:ln>
                  </pic:spPr>
                </pic:pic>
              </a:graphicData>
            </a:graphic>
          </wp:inline>
        </w:drawing>
      </w:r>
    </w:p>
    <w:p w14:paraId="0AFF57C3">
      <w:pPr>
        <w:pStyle w:val="2"/>
        <w:ind w:left="0" w:leftChars="0" w:firstLine="0" w:firstLineChars="0"/>
      </w:pPr>
      <w:r>
        <w:drawing>
          <wp:inline distT="0" distB="0" distL="114300" distR="114300">
            <wp:extent cx="8858250" cy="7703185"/>
            <wp:effectExtent l="0" t="0" r="0" b="1206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8858250" cy="7703185"/>
                    </a:xfrm>
                    <a:prstGeom prst="rect">
                      <a:avLst/>
                    </a:prstGeom>
                    <a:noFill/>
                    <a:ln>
                      <a:noFill/>
                    </a:ln>
                  </pic:spPr>
                </pic:pic>
              </a:graphicData>
            </a:graphic>
          </wp:inline>
        </w:drawing>
      </w:r>
    </w:p>
    <w:p w14:paraId="41A0BE37">
      <w:pPr>
        <w:pStyle w:val="2"/>
        <w:ind w:left="0" w:leftChars="0" w:firstLine="0" w:firstLineChars="0"/>
      </w:pPr>
    </w:p>
    <w:p w14:paraId="3AF3FDD0">
      <w:pPr>
        <w:pStyle w:val="2"/>
        <w:ind w:left="0" w:leftChars="0" w:firstLine="0" w:firstLineChars="0"/>
        <w:rPr>
          <w:rFonts w:hint="eastAsia" w:eastAsiaTheme="minorEastAsia"/>
          <w:lang w:val="en-US" w:eastAsia="zh-CN"/>
        </w:rPr>
      </w:pPr>
      <w:r>
        <w:rPr>
          <w:rFonts w:hint="eastAsia"/>
          <w:lang w:val="en-US" w:eastAsia="zh-CN"/>
        </w:rPr>
        <w:t xml:space="preserve"> </w:t>
      </w:r>
      <w:r>
        <w:drawing>
          <wp:inline distT="0" distB="0" distL="114300" distR="114300">
            <wp:extent cx="6915150" cy="1924050"/>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2"/>
                    <a:stretch>
                      <a:fillRect/>
                    </a:stretch>
                  </pic:blipFill>
                  <pic:spPr>
                    <a:xfrm>
                      <a:off x="0" y="0"/>
                      <a:ext cx="6915150" cy="1924050"/>
                    </a:xfrm>
                    <a:prstGeom prst="rect">
                      <a:avLst/>
                    </a:prstGeom>
                    <a:noFill/>
                    <a:ln>
                      <a:noFill/>
                    </a:ln>
                  </pic:spPr>
                </pic:pic>
              </a:graphicData>
            </a:graphic>
          </wp:inline>
        </w:drawing>
      </w:r>
    </w:p>
    <w:p w14:paraId="11B3D1E2">
      <w:pPr>
        <w:pStyle w:val="2"/>
        <w:ind w:left="0" w:leftChars="0" w:firstLine="0" w:firstLineChars="0"/>
      </w:pPr>
    </w:p>
    <w:p w14:paraId="36409266">
      <w:pPr>
        <w:pStyle w:val="2"/>
        <w:ind w:left="0" w:leftChars="0" w:firstLine="0" w:firstLineChars="0"/>
      </w:pPr>
    </w:p>
    <w:p w14:paraId="757FADF0">
      <w:pPr>
        <w:pStyle w:val="2"/>
        <w:ind w:left="0" w:leftChars="0" w:firstLine="0" w:firstLineChars="0"/>
      </w:pPr>
    </w:p>
    <w:p w14:paraId="5BECC2C4">
      <w:pPr>
        <w:pStyle w:val="2"/>
        <w:ind w:left="0" w:leftChars="0" w:firstLine="0" w:firstLineChars="0"/>
      </w:pPr>
    </w:p>
    <w:p w14:paraId="6194AFA4">
      <w:pPr>
        <w:pStyle w:val="2"/>
        <w:ind w:left="0" w:leftChars="0" w:firstLine="0" w:firstLineChars="0"/>
      </w:pPr>
    </w:p>
    <w:p w14:paraId="001C5DA1">
      <w:pPr>
        <w:pStyle w:val="2"/>
        <w:ind w:left="0" w:leftChars="0" w:firstLine="0" w:firstLineChars="0"/>
      </w:pPr>
    </w:p>
    <w:p w14:paraId="383FC729">
      <w:pPr>
        <w:pStyle w:val="2"/>
        <w:ind w:left="0" w:leftChars="0" w:firstLine="0" w:firstLineChars="0"/>
      </w:pPr>
    </w:p>
    <w:p w14:paraId="24D03162">
      <w:pPr>
        <w:pStyle w:val="2"/>
        <w:ind w:left="0" w:leftChars="0" w:firstLine="0" w:firstLineChars="0"/>
      </w:pPr>
    </w:p>
    <w:p w14:paraId="67F6874C">
      <w:pPr>
        <w:pStyle w:val="2"/>
        <w:ind w:left="0" w:leftChars="0" w:firstLine="0" w:firstLineChars="0"/>
      </w:pPr>
    </w:p>
    <w:p w14:paraId="713FC3BF">
      <w:pPr>
        <w:pStyle w:val="2"/>
        <w:ind w:left="0" w:leftChars="0" w:firstLine="0" w:firstLineChars="0"/>
      </w:pPr>
    </w:p>
    <w:p w14:paraId="7C62396E">
      <w:pPr>
        <w:pStyle w:val="2"/>
        <w:ind w:left="0" w:leftChars="0" w:firstLine="0" w:firstLineChars="0"/>
      </w:pPr>
    </w:p>
    <w:p w14:paraId="0472B46F">
      <w:pPr>
        <w:pStyle w:val="2"/>
        <w:ind w:left="0" w:leftChars="0" w:firstLine="0" w:firstLineChars="0"/>
      </w:pPr>
    </w:p>
    <w:p w14:paraId="1C396A99">
      <w:pPr>
        <w:pStyle w:val="2"/>
        <w:ind w:left="0" w:leftChars="0" w:firstLine="0" w:firstLineChars="0"/>
      </w:pPr>
    </w:p>
    <w:p w14:paraId="13008257">
      <w:pPr>
        <w:pStyle w:val="2"/>
        <w:ind w:left="0" w:leftChars="0" w:firstLine="0" w:firstLineChars="0"/>
      </w:pPr>
    </w:p>
    <w:p w14:paraId="53139804">
      <w:pPr>
        <w:pStyle w:val="2"/>
        <w:ind w:left="0" w:leftChars="0" w:firstLine="0" w:firstLineChars="0"/>
      </w:pPr>
    </w:p>
    <w:p w14:paraId="3FF44D2C">
      <w:pPr>
        <w:pStyle w:val="2"/>
        <w:ind w:left="0" w:leftChars="0" w:firstLine="0" w:firstLineChars="0"/>
        <w:sectPr>
          <w:pgSz w:w="16838" w:h="11906" w:orient="landscape"/>
          <w:pgMar w:top="1800" w:right="1440" w:bottom="1800" w:left="1440" w:header="851" w:footer="992" w:gutter="0"/>
          <w:cols w:space="425" w:num="1"/>
          <w:docGrid w:type="lines" w:linePitch="312" w:charSpace="0"/>
        </w:sectPr>
      </w:pPr>
    </w:p>
    <w:p w14:paraId="6A289645">
      <w:pPr>
        <w:pStyle w:val="2"/>
        <w:ind w:left="0" w:leftChars="0" w:firstLine="0" w:firstLineChars="0"/>
      </w:pPr>
      <w:r>
        <w:drawing>
          <wp:inline distT="0" distB="0" distL="114300" distR="114300">
            <wp:extent cx="5272405" cy="880110"/>
            <wp:effectExtent l="0" t="0" r="4445" b="1524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3"/>
                    <a:stretch>
                      <a:fillRect/>
                    </a:stretch>
                  </pic:blipFill>
                  <pic:spPr>
                    <a:xfrm>
                      <a:off x="0" y="0"/>
                      <a:ext cx="5272405" cy="880110"/>
                    </a:xfrm>
                    <a:prstGeom prst="rect">
                      <a:avLst/>
                    </a:prstGeom>
                    <a:noFill/>
                    <a:ln>
                      <a:noFill/>
                    </a:ln>
                  </pic:spPr>
                </pic:pic>
              </a:graphicData>
            </a:graphic>
          </wp:inline>
        </w:drawing>
      </w:r>
    </w:p>
    <w:p w14:paraId="244585D7">
      <w:pPr>
        <w:pStyle w:val="2"/>
        <w:ind w:left="0" w:leftChars="0" w:firstLine="0" w:firstLineChars="0"/>
      </w:pPr>
    </w:p>
    <w:p w14:paraId="54A300A5">
      <w:pPr>
        <w:pStyle w:val="2"/>
        <w:ind w:left="0" w:leftChars="0" w:firstLine="0" w:firstLineChars="0"/>
      </w:pPr>
    </w:p>
    <w:p w14:paraId="6629F4C5">
      <w:pPr>
        <w:pStyle w:val="2"/>
        <w:ind w:left="0" w:leftChars="0" w:firstLine="0" w:firstLineChars="0"/>
      </w:pPr>
    </w:p>
    <w:p w14:paraId="7B253EB0">
      <w:pPr>
        <w:pStyle w:val="2"/>
        <w:ind w:left="0" w:leftChars="0" w:firstLine="0" w:firstLineChars="0"/>
      </w:pPr>
      <w:bookmarkStart w:id="0" w:name="_GoBack"/>
      <w:bookmarkEnd w:id="0"/>
    </w:p>
    <w:p w14:paraId="639498A5">
      <w:pPr>
        <w:pStyle w:val="2"/>
        <w:ind w:left="0" w:leftChars="0" w:firstLine="0" w:firstLineChars="0"/>
      </w:pPr>
    </w:p>
    <w:p w14:paraId="38E8124A">
      <w:pPr>
        <w:pStyle w:val="2"/>
        <w:ind w:left="0" w:leftChars="0" w:firstLine="0" w:firstLineChars="0"/>
      </w:pPr>
    </w:p>
    <w:p w14:paraId="271766AC">
      <w:pPr>
        <w:pStyle w:val="2"/>
        <w:ind w:left="0" w:leftChars="0" w:firstLine="0" w:firstLineChars="0"/>
      </w:pPr>
    </w:p>
    <w:p w14:paraId="5E4B0789">
      <w:pPr>
        <w:pStyle w:val="2"/>
        <w:ind w:left="0" w:leftChars="0" w:firstLine="0" w:firstLineChars="0"/>
      </w:pPr>
    </w:p>
    <w:p w14:paraId="64072E29">
      <w:pPr>
        <w:pStyle w:val="2"/>
        <w:ind w:left="0" w:leftChars="0" w:firstLine="0" w:firstLineChars="0"/>
      </w:pPr>
    </w:p>
    <w:p w14:paraId="0420D4EE">
      <w:pPr>
        <w:pStyle w:val="2"/>
        <w:ind w:left="0" w:leftChars="0" w:firstLine="0" w:firstLineChars="0"/>
      </w:pPr>
    </w:p>
    <w:p w14:paraId="4C2E027D">
      <w:pPr>
        <w:pStyle w:val="2"/>
        <w:ind w:left="0" w:leftChars="0" w:firstLine="0" w:firstLineChars="0"/>
      </w:pPr>
    </w:p>
    <w:p w14:paraId="368EEBAC">
      <w:pPr>
        <w:pStyle w:val="2"/>
        <w:ind w:left="0" w:leftChars="0" w:firstLine="0" w:firstLineChars="0"/>
      </w:pPr>
    </w:p>
    <w:p w14:paraId="7C44464E">
      <w:pPr>
        <w:pStyle w:val="2"/>
        <w:ind w:left="0" w:leftChars="0" w:firstLine="0" w:firstLineChars="0"/>
      </w:pPr>
    </w:p>
    <w:p w14:paraId="425E56D5">
      <w:pPr>
        <w:pStyle w:val="2"/>
        <w:ind w:left="0" w:leftChars="0" w:firstLine="0" w:firstLineChars="0"/>
      </w:pPr>
    </w:p>
    <w:p w14:paraId="401FAD47">
      <w:pPr>
        <w:pStyle w:val="2"/>
        <w:ind w:left="0" w:leftChars="0" w:firstLine="0" w:firstLineChars="0"/>
      </w:pPr>
    </w:p>
    <w:p w14:paraId="617AE992">
      <w:pPr>
        <w:pStyle w:val="2"/>
        <w:ind w:left="0" w:leftChars="0" w:firstLine="0" w:firstLineChars="0"/>
      </w:pPr>
    </w:p>
    <w:p w14:paraId="3BBCD174">
      <w:pPr>
        <w:pStyle w:val="2"/>
        <w:ind w:left="0" w:leftChars="0" w:firstLine="0" w:firstLineChars="0"/>
      </w:pPr>
    </w:p>
    <w:p w14:paraId="440A4C7A">
      <w:pPr>
        <w:pStyle w:val="2"/>
        <w:ind w:left="0" w:leftChars="0" w:firstLine="0" w:firstLineChars="0"/>
      </w:pPr>
    </w:p>
    <w:p w14:paraId="2501C52E">
      <w:pPr>
        <w:pStyle w:val="2"/>
        <w:ind w:left="0" w:leftChars="0" w:firstLine="0" w:firstLineChars="0"/>
      </w:pPr>
    </w:p>
    <w:p w14:paraId="5E999877">
      <w:pPr>
        <w:pStyle w:val="2"/>
        <w:ind w:left="0" w:leftChars="0" w:firstLine="0" w:firstLineChars="0"/>
      </w:pPr>
    </w:p>
    <w:p w14:paraId="63114940">
      <w:pPr>
        <w:pStyle w:val="2"/>
        <w:ind w:left="0" w:leftChars="0" w:firstLine="0" w:firstLineChars="0"/>
      </w:pPr>
    </w:p>
    <w:p w14:paraId="6AFD29FD">
      <w:pPr>
        <w:pStyle w:val="2"/>
        <w:ind w:left="0" w:leftChars="0" w:firstLine="0" w:firstLineChars="0"/>
      </w:pPr>
    </w:p>
    <w:p w14:paraId="0A4F4A9E">
      <w:pPr>
        <w:pStyle w:val="2"/>
        <w:ind w:left="0" w:leftChars="0" w:firstLine="0" w:firstLineChars="0"/>
      </w:pPr>
    </w:p>
    <w:p w14:paraId="370893D8">
      <w:pPr>
        <w:pStyle w:val="2"/>
        <w:ind w:left="0" w:leftChars="0" w:firstLine="0" w:firstLineChars="0"/>
      </w:pPr>
    </w:p>
    <w:p w14:paraId="20D54555">
      <w:pPr>
        <w:pStyle w:val="2"/>
        <w:ind w:left="0" w:leftChars="0" w:firstLine="0" w:firstLineChars="0"/>
      </w:pPr>
    </w:p>
    <w:p w14:paraId="3C08A3E9">
      <w:pPr>
        <w:pStyle w:val="2"/>
        <w:ind w:left="0" w:leftChars="0" w:firstLine="0" w:firstLineChars="0"/>
      </w:pPr>
    </w:p>
    <w:p w14:paraId="51C357F7">
      <w:pPr>
        <w:pStyle w:val="2"/>
        <w:ind w:left="0" w:leftChars="0" w:firstLine="0" w:firstLineChars="0"/>
      </w:pPr>
    </w:p>
    <w:p w14:paraId="0518DB33">
      <w:pPr>
        <w:pStyle w:val="2"/>
        <w:ind w:left="0" w:leftChars="0" w:firstLine="0" w:firstLineChars="0"/>
      </w:pPr>
    </w:p>
    <w:p w14:paraId="14730994">
      <w:pPr>
        <w:pStyle w:val="2"/>
        <w:ind w:left="0" w:leftChars="0" w:firstLine="0" w:firstLineChars="0"/>
      </w:pPr>
    </w:p>
    <w:p w14:paraId="6DA89C6F">
      <w:pPr>
        <w:pStyle w:val="2"/>
        <w:ind w:left="0" w:leftChars="0" w:firstLine="0" w:firstLineChars="0"/>
      </w:pPr>
    </w:p>
    <w:p w14:paraId="71D7C74E">
      <w:pPr>
        <w:pStyle w:val="2"/>
        <w:ind w:left="0" w:leftChars="0" w:firstLine="0" w:firstLineChars="0"/>
      </w:pPr>
    </w:p>
    <w:p w14:paraId="503E834E">
      <w:pPr>
        <w:pStyle w:val="2"/>
        <w:ind w:left="0" w:leftChars="0" w:firstLine="0" w:firstLineChars="0"/>
      </w:pPr>
    </w:p>
    <w:p w14:paraId="7D7600E1">
      <w:pPr>
        <w:pStyle w:val="2"/>
        <w:ind w:left="0" w:leftChars="0" w:firstLine="0" w:firstLineChars="0"/>
      </w:pPr>
    </w:p>
    <w:p w14:paraId="1024DCD8">
      <w:pPr>
        <w:pStyle w:val="2"/>
        <w:ind w:left="0" w:leftChars="0" w:firstLine="0" w:firstLineChars="0"/>
      </w:pPr>
    </w:p>
    <w:p w14:paraId="21DF2362">
      <w:pPr>
        <w:pStyle w:val="2"/>
        <w:ind w:left="0" w:leftChars="0" w:firstLine="0" w:firstLineChars="0"/>
      </w:pPr>
    </w:p>
    <w:p w14:paraId="33583518">
      <w:pPr>
        <w:pStyle w:val="2"/>
        <w:ind w:left="0" w:leftChars="0" w:firstLine="0" w:firstLineChars="0"/>
      </w:pPr>
    </w:p>
    <w:p w14:paraId="58868639">
      <w:pPr>
        <w:pStyle w:val="2"/>
        <w:ind w:left="0" w:leftChars="0" w:firstLine="0" w:firstLineChars="0"/>
      </w:pPr>
    </w:p>
    <w:p w14:paraId="6C060195">
      <w:pPr>
        <w:pStyle w:val="2"/>
        <w:ind w:left="0" w:leftChars="0" w:firstLine="0" w:firstLineChars="0"/>
      </w:pPr>
    </w:p>
    <w:p w14:paraId="194F61B2">
      <w:pPr>
        <w:pStyle w:val="2"/>
        <w:ind w:left="0" w:leftChars="0" w:firstLine="0" w:firstLineChars="0"/>
      </w:pPr>
    </w:p>
    <w:p w14:paraId="1761410A">
      <w:pPr>
        <w:pStyle w:val="2"/>
        <w:ind w:left="0" w:leftChars="0" w:firstLine="0" w:firstLineChars="0"/>
        <w:sectPr>
          <w:pgSz w:w="11906" w:h="16838"/>
          <w:pgMar w:top="1440" w:right="1800" w:bottom="1440" w:left="1800" w:header="851" w:footer="992" w:gutter="0"/>
          <w:cols w:space="425" w:num="1"/>
          <w:docGrid w:type="lines" w:linePitch="312" w:charSpace="0"/>
        </w:sectPr>
      </w:pPr>
    </w:p>
    <w:p w14:paraId="45812AE6">
      <w:pPr>
        <w:sectPr>
          <w:pgSz w:w="16838" w:h="11906" w:orient="landscape"/>
          <w:pgMar w:top="1800" w:right="1440" w:bottom="1800" w:left="1440" w:header="851" w:footer="992" w:gutter="0"/>
          <w:cols w:space="425" w:num="1"/>
          <w:docGrid w:type="lines" w:linePitch="312" w:charSpace="0"/>
        </w:sectPr>
      </w:pPr>
      <w:r>
        <w:drawing>
          <wp:inline distT="0" distB="0" distL="114300" distR="114300">
            <wp:extent cx="8859520" cy="1851660"/>
            <wp:effectExtent l="0" t="0" r="17780" b="1524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4"/>
                    <a:stretch>
                      <a:fillRect/>
                    </a:stretch>
                  </pic:blipFill>
                  <pic:spPr>
                    <a:xfrm>
                      <a:off x="0" y="0"/>
                      <a:ext cx="8859520" cy="1851660"/>
                    </a:xfrm>
                    <a:prstGeom prst="rect">
                      <a:avLst/>
                    </a:prstGeom>
                    <a:noFill/>
                    <a:ln>
                      <a:noFill/>
                    </a:ln>
                  </pic:spPr>
                </pic:pic>
              </a:graphicData>
            </a:graphic>
          </wp:inline>
        </w:drawing>
      </w:r>
    </w:p>
    <w:p w14:paraId="5FE475E7">
      <w:pPr>
        <w:pStyle w:val="2"/>
        <w:ind w:left="0" w:leftChars="0" w:firstLine="0" w:firstLineChars="0"/>
        <w:sectPr>
          <w:pgSz w:w="11906" w:h="16838"/>
          <w:pgMar w:top="1440" w:right="1800" w:bottom="1440" w:left="1800" w:header="851" w:footer="992" w:gutter="0"/>
          <w:cols w:space="425" w:num="1"/>
          <w:docGrid w:type="lines" w:linePitch="312" w:charSpace="0"/>
        </w:sectPr>
      </w:pPr>
      <w:r>
        <w:drawing>
          <wp:inline distT="0" distB="0" distL="114300" distR="114300">
            <wp:extent cx="5272405" cy="880110"/>
            <wp:effectExtent l="0" t="0" r="4445" b="1524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72405" cy="880110"/>
                    </a:xfrm>
                    <a:prstGeom prst="rect">
                      <a:avLst/>
                    </a:prstGeom>
                    <a:noFill/>
                    <a:ln>
                      <a:noFill/>
                    </a:ln>
                  </pic:spPr>
                </pic:pic>
              </a:graphicData>
            </a:graphic>
          </wp:inline>
        </w:drawing>
      </w:r>
    </w:p>
    <w:p w14:paraId="5185A40B"/>
    <w:p w14:paraId="1809D8B2">
      <w:pPr>
        <w:pStyle w:val="2"/>
      </w:pPr>
    </w:p>
    <w:p w14:paraId="30C48DDB">
      <w:r>
        <w:drawing>
          <wp:inline distT="0" distB="0" distL="114300" distR="114300">
            <wp:extent cx="5271135" cy="1101725"/>
            <wp:effectExtent l="0" t="0" r="5715" b="317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6"/>
                    <a:stretch>
                      <a:fillRect/>
                    </a:stretch>
                  </pic:blipFill>
                  <pic:spPr>
                    <a:xfrm>
                      <a:off x="0" y="0"/>
                      <a:ext cx="5271135" cy="1101725"/>
                    </a:xfrm>
                    <a:prstGeom prst="rect">
                      <a:avLst/>
                    </a:prstGeom>
                    <a:noFill/>
                    <a:ln>
                      <a:noFill/>
                    </a:ln>
                  </pic:spPr>
                </pic:pic>
              </a:graphicData>
            </a:graphic>
          </wp:inline>
        </w:drawing>
      </w:r>
    </w:p>
    <w:p w14:paraId="5F9131FA">
      <w:pPr>
        <w:pStyle w:val="2"/>
      </w:pPr>
    </w:p>
    <w:p w14:paraId="59DA3AB8"/>
    <w:p w14:paraId="5D0A283A">
      <w:pPr>
        <w:pStyle w:val="2"/>
      </w:pPr>
    </w:p>
    <w:p w14:paraId="2975472E"/>
    <w:p w14:paraId="2B51A43F">
      <w:pPr>
        <w:pStyle w:val="2"/>
      </w:pPr>
    </w:p>
    <w:p w14:paraId="04217020"/>
    <w:p w14:paraId="5882D9A4">
      <w:pPr>
        <w:pStyle w:val="2"/>
      </w:pPr>
    </w:p>
    <w:p w14:paraId="28D2EAA8">
      <w:r>
        <w:drawing>
          <wp:inline distT="0" distB="0" distL="114300" distR="114300">
            <wp:extent cx="5267325" cy="8729980"/>
            <wp:effectExtent l="0" t="0" r="9525"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5267325" cy="8729980"/>
                    </a:xfrm>
                    <a:prstGeom prst="rect">
                      <a:avLst/>
                    </a:prstGeom>
                    <a:noFill/>
                    <a:ln>
                      <a:noFill/>
                    </a:ln>
                  </pic:spPr>
                </pic:pic>
              </a:graphicData>
            </a:graphic>
          </wp:inline>
        </w:drawing>
      </w:r>
    </w:p>
    <w:p w14:paraId="18FC9A3D"/>
    <w:p w14:paraId="39A99080">
      <w:pPr>
        <w:pStyle w:val="2"/>
      </w:pPr>
    </w:p>
    <w:p w14:paraId="1FCD50CF"/>
    <w:p w14:paraId="762D0B8D">
      <w:pPr>
        <w:pStyle w:val="2"/>
      </w:pPr>
    </w:p>
    <w:p w14:paraId="1482985E"/>
    <w:p w14:paraId="1415EF9D">
      <w:pPr>
        <w:pStyle w:val="2"/>
      </w:pPr>
    </w:p>
    <w:p w14:paraId="1E1D15DA"/>
    <w:p w14:paraId="4FD7341A">
      <w:pPr>
        <w:pStyle w:val="2"/>
        <w:ind w:left="0" w:leftChars="0" w:firstLine="0" w:firstLineChars="0"/>
      </w:pPr>
    </w:p>
    <w:p w14:paraId="50C2856B"/>
    <w:p w14:paraId="0A4F4A8C">
      <w:pPr>
        <w:pStyle w:val="2"/>
      </w:pPr>
    </w:p>
    <w:p w14:paraId="184157B9">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eastAsia="zh-CN"/>
        </w:rPr>
        <w:t>九寨沟县建设工程安全监督站</w:t>
      </w:r>
      <w:r>
        <w:rPr>
          <w:rFonts w:hint="eastAsia" w:ascii="方正小标宋简体" w:hAnsi="黑体" w:eastAsia="方正小标宋简体"/>
          <w:sz w:val="44"/>
          <w:szCs w:val="44"/>
          <w:highlight w:val="none"/>
          <w:lang w:val="en-US" w:eastAsia="zh-CN"/>
        </w:rPr>
        <w:t xml:space="preserve">   </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14:paraId="19903297">
      <w:pPr>
        <w:rPr>
          <w:rFonts w:hint="eastAsia" w:ascii="黑体" w:hAnsi="黑体" w:eastAsia="黑体"/>
          <w:sz w:val="32"/>
          <w:szCs w:val="32"/>
          <w:highlight w:val="none"/>
        </w:rPr>
      </w:pPr>
    </w:p>
    <w:p w14:paraId="6CAD6D84">
      <w:pPr>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235C0D32">
      <w:pPr>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eastAsia="zh-CN"/>
        </w:rPr>
        <w:t>九寨沟县建设工程安全监督站</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highlight w:val="none"/>
          <w:lang w:eastAsia="zh-CN"/>
        </w:rPr>
        <w:t>九寨沟县建设工程安全监督站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-2.12</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2025年年末在职人员减少，退休人员及调出人员增加，故预算数减少。</w:t>
      </w:r>
    </w:p>
    <w:p w14:paraId="629250E7">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691C67A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14:paraId="59F90C0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7B4B67B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14:paraId="3C70E5F5">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2CDEEFAB">
      <w:pPr>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eastAsia="zh-CN"/>
        </w:rPr>
        <w:t>九寨沟县建设工程安全监督站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年财政拨款收支预算总数增增加</w:t>
      </w:r>
      <w:r>
        <w:rPr>
          <w:rFonts w:hint="eastAsia" w:ascii="仿宋_GB2312" w:hAnsi="黑体" w:eastAsia="仿宋_GB2312"/>
          <w:sz w:val="32"/>
          <w:szCs w:val="32"/>
          <w:highlight w:val="none"/>
          <w:lang w:val="en-US" w:eastAsia="zh-CN"/>
        </w:rPr>
        <w:t>-2.12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主要原因是</w:t>
      </w:r>
      <w:r>
        <w:rPr>
          <w:rFonts w:hint="eastAsia" w:ascii="仿宋_GB2312" w:hAnsi="黑体" w:eastAsia="仿宋_GB2312"/>
          <w:sz w:val="32"/>
          <w:szCs w:val="32"/>
          <w:highlight w:val="none"/>
          <w:lang w:val="en-US" w:eastAsia="zh-CN"/>
        </w:rPr>
        <w:t>2025年在职人员减少，退休人员及调出人员增加，故预算数减少。</w:t>
      </w:r>
    </w:p>
    <w:p w14:paraId="0ABFF77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万元、外交支出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万元、国防支出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万元、公共安全支出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万元、教育支出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万元、科学技术支出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万元、文化旅游体育与传媒支出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63.27</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24.77</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33.81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、城乡社区支出：</w:t>
      </w:r>
      <w:r>
        <w:rPr>
          <w:rFonts w:hint="eastAsia" w:ascii="仿宋_GB2312" w:hAnsi="黑体" w:eastAsia="仿宋_GB2312"/>
          <w:sz w:val="32"/>
          <w:szCs w:val="32"/>
          <w:highlight w:val="none"/>
          <w:lang w:val="en-US" w:eastAsia="zh-CN"/>
        </w:rPr>
        <w:t>279.39万元</w:t>
      </w:r>
      <w:r>
        <w:rPr>
          <w:rFonts w:hint="eastAsia" w:ascii="仿宋_GB2312" w:hAnsi="黑体" w:eastAsia="仿宋_GB2312"/>
          <w:sz w:val="32"/>
          <w:szCs w:val="32"/>
          <w:highlight w:val="none"/>
        </w:rPr>
        <w:t>。</w:t>
      </w:r>
    </w:p>
    <w:p w14:paraId="096D5437">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14D48EA2">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3A390C22">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-2.12</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2025年在职人员减少，退休人员及调出人员增加，故预算数减少。</w:t>
      </w:r>
    </w:p>
    <w:p w14:paraId="7A26C61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544B53A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%；外交支出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%；国防支出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%；公共安全支出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%；教育支出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%；科学技术支出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%；文化旅游体育与传媒支出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63.27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15.77</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24.77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6.17</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33.81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8.43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、城乡社区支出：</w:t>
      </w:r>
      <w:r>
        <w:rPr>
          <w:rFonts w:hint="eastAsia" w:ascii="仿宋_GB2312" w:hAnsi="黑体" w:eastAsia="仿宋_GB2312"/>
          <w:sz w:val="32"/>
          <w:szCs w:val="32"/>
          <w:highlight w:val="none"/>
          <w:lang w:val="en-US" w:eastAsia="zh-CN"/>
        </w:rPr>
        <w:t>279.39万元，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69.63</w:t>
      </w:r>
      <w:r>
        <w:rPr>
          <w:rFonts w:hint="eastAsia" w:ascii="仿宋_GB2312" w:hAnsi="黑体" w:eastAsia="仿宋_GB2312"/>
          <w:sz w:val="32"/>
          <w:szCs w:val="32"/>
          <w:highlight w:val="none"/>
        </w:rPr>
        <w:t>%。</w:t>
      </w:r>
    </w:p>
    <w:p w14:paraId="070B5C4C">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0DAFA96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w:t>
      </w:r>
      <w:r>
        <w:rPr>
          <w:rFonts w:hint="eastAsia" w:ascii="仿宋_GB2312" w:hAnsi="黑体" w:eastAsia="仿宋_GB2312" w:cstheme="minorBidi"/>
          <w:b w:val="0"/>
          <w:bCs w:val="0"/>
          <w:kern w:val="2"/>
          <w:sz w:val="32"/>
          <w:szCs w:val="32"/>
          <w:highlight w:val="none"/>
          <w:lang w:val="en-US" w:eastAsia="zh-CN" w:bidi="ar-SA"/>
        </w:rPr>
        <w:t>城乡社区支出</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212</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管理事务（01）其他城乡社区管理事务支出（99）</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279.39</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建设工程质量安全监督站</w:t>
      </w:r>
      <w:r>
        <w:rPr>
          <w:rFonts w:hint="eastAsia" w:ascii="仿宋_GB2312" w:hAnsi="黑体" w:eastAsia="仿宋_GB2312"/>
          <w:sz w:val="32"/>
          <w:szCs w:val="32"/>
          <w:highlight w:val="none"/>
        </w:rPr>
        <w:t>正常运转的基本支出，包括基本工资、津贴补贴等人员经费以及办公费、印刷费、水电费等日常公用经费，保障正常运转。</w:t>
      </w:r>
    </w:p>
    <w:p w14:paraId="765EC8E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）机关事业单位基本养老保险缴费支出（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40.74</w:t>
      </w:r>
      <w:r>
        <w:rPr>
          <w:rFonts w:hint="eastAsia" w:ascii="仿宋_GB2312" w:hAnsi="黑体" w:eastAsia="仿宋_GB2312"/>
          <w:sz w:val="32"/>
          <w:szCs w:val="32"/>
          <w:highlight w:val="none"/>
        </w:rPr>
        <w:t>万元，主要用于：实施养老保险制度由单位缴纳的基本养老保险支出。</w:t>
      </w:r>
    </w:p>
    <w:p w14:paraId="6EA78713">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22.53</w:t>
      </w:r>
      <w:r>
        <w:rPr>
          <w:rFonts w:hint="eastAsia" w:ascii="仿宋_GB2312" w:hAnsi="黑体" w:eastAsia="仿宋_GB2312"/>
          <w:sz w:val="32"/>
          <w:szCs w:val="32"/>
          <w:highlight w:val="none"/>
        </w:rPr>
        <w:t>万元，主要用于：实施养老保险制度由单位缴纳的职业年金支出。</w:t>
      </w:r>
    </w:p>
    <w:p w14:paraId="0562750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）事业单位医疗（</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19.71</w:t>
      </w:r>
      <w:r>
        <w:rPr>
          <w:rFonts w:hint="eastAsia" w:ascii="仿宋_GB2312" w:hAnsi="黑体" w:eastAsia="仿宋_GB2312"/>
          <w:sz w:val="32"/>
          <w:szCs w:val="32"/>
          <w:highlight w:val="none"/>
        </w:rPr>
        <w:t>万元，主要用于：单位按规定由单位缴纳的基本医疗保险支出。</w:t>
      </w:r>
    </w:p>
    <w:p w14:paraId="1153EF61">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 其他行政事业单位医疗支出（</w:t>
      </w:r>
      <w:r>
        <w:rPr>
          <w:rFonts w:hint="eastAsia" w:ascii="仿宋_GB2312" w:hAnsi="黑体" w:eastAsia="仿宋_GB2312"/>
          <w:sz w:val="32"/>
          <w:szCs w:val="32"/>
          <w:highlight w:val="none"/>
          <w:lang w:val="en-US" w:eastAsia="zh-CN"/>
        </w:rPr>
        <w:t>99</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5.05</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建设工程质量安全监督站</w:t>
      </w:r>
      <w:r>
        <w:rPr>
          <w:rFonts w:hint="eastAsia" w:ascii="仿宋_GB2312" w:hAnsi="黑体" w:eastAsia="仿宋_GB2312"/>
          <w:sz w:val="32"/>
          <w:szCs w:val="32"/>
          <w:highlight w:val="none"/>
        </w:rPr>
        <w:t>集中缴纳其他社会保险费支出</w:t>
      </w:r>
      <w:r>
        <w:rPr>
          <w:rFonts w:hint="eastAsia" w:ascii="仿宋_GB2312" w:hAnsi="黑体" w:eastAsia="仿宋_GB2312"/>
          <w:sz w:val="32"/>
          <w:szCs w:val="32"/>
          <w:highlight w:val="none"/>
          <w:lang w:eastAsia="zh-CN"/>
        </w:rPr>
        <w:t>。</w:t>
      </w:r>
    </w:p>
    <w:p w14:paraId="09CFB2C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.住房保障（</w:t>
      </w:r>
      <w:r>
        <w:rPr>
          <w:rFonts w:hint="eastAsia" w:ascii="仿宋_GB2312" w:hAnsi="黑体" w:eastAsia="仿宋_GB2312"/>
          <w:sz w:val="32"/>
          <w:szCs w:val="32"/>
          <w:highlight w:val="none"/>
          <w:lang w:val="en-US" w:eastAsia="zh-CN"/>
        </w:rPr>
        <w:t>221</w:t>
      </w:r>
      <w:r>
        <w:rPr>
          <w:rFonts w:hint="eastAsia" w:ascii="仿宋_GB2312" w:hAnsi="黑体" w:eastAsia="仿宋_GB2312"/>
          <w:sz w:val="32"/>
          <w:szCs w:val="32"/>
          <w:highlight w:val="none"/>
        </w:rPr>
        <w:t>）住房改革支出（</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33.81</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按规定为职工缴纳的住房公积金支出。</w:t>
      </w:r>
    </w:p>
    <w:p w14:paraId="2E5CA084">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14:paraId="53C1517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万元，其中：</w:t>
      </w:r>
    </w:p>
    <w:p w14:paraId="4FE357C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378.52</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14:paraId="5E5D480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22.72</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14:paraId="43618F9C">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1FC924F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0.41</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0.41</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0A64C5D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（一）公务接待费较202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w:t>
      </w:r>
      <w:r>
        <w:rPr>
          <w:rFonts w:ascii="楷体" w:hAnsi="楷体" w:eastAsia="楷体"/>
          <w:b/>
          <w:sz w:val="32"/>
          <w:szCs w:val="32"/>
          <w:highlight w:val="none"/>
        </w:rPr>
        <w:t>减少</w:t>
      </w:r>
      <w:r>
        <w:rPr>
          <w:rFonts w:hint="eastAsia" w:ascii="楷体" w:hAnsi="楷体" w:eastAsia="楷体"/>
          <w:b/>
          <w:sz w:val="32"/>
          <w:szCs w:val="32"/>
          <w:highlight w:val="none"/>
        </w:rPr>
        <w:t>。</w:t>
      </w:r>
    </w:p>
    <w:p w14:paraId="204CDFB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年公务接待费计划用于执行</w:t>
      </w:r>
      <w:r>
        <w:rPr>
          <w:rFonts w:hint="eastAsia" w:ascii="仿宋_GB2312" w:hAnsi="黑体" w:eastAsia="仿宋_GB2312"/>
          <w:sz w:val="32"/>
          <w:szCs w:val="32"/>
          <w:highlight w:val="none"/>
          <w:lang w:eastAsia="zh-CN"/>
        </w:rPr>
        <w:t>本单位接待上级督导检查以及涉及本单位开展工作的相关接待</w:t>
      </w:r>
      <w:r>
        <w:rPr>
          <w:rFonts w:hint="eastAsia" w:ascii="仿宋_GB2312" w:hAnsi="黑体" w:eastAsia="仿宋_GB2312"/>
          <w:sz w:val="32"/>
          <w:szCs w:val="32"/>
          <w:highlight w:val="none"/>
        </w:rPr>
        <w:t>等。</w:t>
      </w:r>
    </w:p>
    <w:p w14:paraId="28C4FBFD">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（二）公务用车购置及运行维护费较202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p>
    <w:p w14:paraId="4C1FCCD5">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14:paraId="44E838E1">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辆公务用车燃油、过路（桥）、维修、保险等方面支出，主要保障单位等工作开展。</w:t>
      </w:r>
    </w:p>
    <w:p w14:paraId="45AEF182">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4AEEFA3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14:paraId="0C6723C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3B2DB81D">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14:paraId="445AE935">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707D92D5">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3FDABFB9">
      <w:pPr>
        <w:spacing w:line="480" w:lineRule="auto"/>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-2.14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p>
    <w:p w14:paraId="75DE7EE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2DE60C0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6EE41DD9">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4BC4BC8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共有车辆</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辆，其中，领导干部用车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14:paraId="1795D53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预算是</w:t>
      </w:r>
      <w:r>
        <w:rPr>
          <w:rFonts w:ascii="仿宋_GB2312" w:hAnsi="黑体" w:eastAsia="仿宋_GB2312"/>
          <w:sz w:val="32"/>
          <w:szCs w:val="32"/>
          <w:highlight w:val="none"/>
        </w:rPr>
        <w:t>（</w:t>
      </w:r>
      <w:r>
        <w:rPr>
          <w:rFonts w:hint="eastAsia" w:ascii="仿宋_GB2312" w:hAnsi="黑体" w:eastAsia="仿宋_GB2312"/>
          <w:sz w:val="32"/>
          <w:szCs w:val="32"/>
          <w:highlight w:val="none"/>
        </w:rPr>
        <w:t>否）安排购置车辆及单位价值200万元以上大型设备。</w:t>
      </w:r>
    </w:p>
    <w:p w14:paraId="73A845BA">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545856A0">
      <w:pPr>
        <w:ind w:firstLine="640" w:firstLineChars="200"/>
        <w:jc w:val="both"/>
        <w:rPr>
          <w:rFonts w:ascii="方正小标宋简体" w:hAnsi="黑体" w:eastAsia="方正小标宋简体"/>
          <w:sz w:val="44"/>
          <w:szCs w:val="44"/>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九寨沟县建设工程质量安全监督站</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401.24</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14:paraId="70000488">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1E3E0FE1">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14:paraId="4459E3ED">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14:paraId="26C6C3D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（二）政府性基金预算收入：指按规定收取、转入或通过当年财政安排，纳入政府预算管理，具有指定用途的政府性基金收入。</w:t>
      </w:r>
    </w:p>
    <w:p w14:paraId="2C98498E">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三</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：指部门实施养老保险制度由单位缴纳的养老保险的支出。</w:t>
      </w:r>
    </w:p>
    <w:p w14:paraId="33CF448C">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四</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）：指部门实施养老保险制度由</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位缴纳的职业年金的支出。</w:t>
      </w:r>
    </w:p>
    <w:p w14:paraId="491DF11E">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五</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卫生健康</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）行政率业单位医疗（</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行政单位医疗（</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及参公管理事业单位用于单位应缴纳基本医疗保险支出。</w:t>
      </w:r>
    </w:p>
    <w:p w14:paraId="3D883B4B">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六</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用于单位应缴纳基本医疗保险支出。</w:t>
      </w:r>
    </w:p>
    <w:p w14:paraId="6C0B72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七</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其他社会保险</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99）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 其他行政事业单位医疗支出</w:t>
      </w:r>
      <w:r>
        <w:rPr>
          <w:rFonts w:hint="eastAsia" w:ascii="仿宋_GB2312" w:hAnsi="黑体" w:eastAsia="仿宋_GB2312"/>
          <w:sz w:val="32"/>
          <w:szCs w:val="32"/>
          <w:highlight w:val="none"/>
        </w:rPr>
        <w:t>。</w:t>
      </w:r>
    </w:p>
    <w:p w14:paraId="11509937">
      <w:pPr>
        <w:ind w:firstLine="640" w:firstLineChars="200"/>
        <w:jc w:val="both"/>
        <w:rPr>
          <w:rFonts w:hint="eastAsia"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八</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221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02</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）：指按照《住房公积金管理条例》的规定，由单位及其在职职工缴存的长期住房储金。</w:t>
      </w:r>
    </w:p>
    <w:p w14:paraId="16540A3C">
      <w:pPr>
        <w:keepNext w:val="0"/>
        <w:keepLines w:val="0"/>
        <w:pageBreakBefore w:val="0"/>
        <w:kinsoku/>
        <w:wordWrap/>
        <w:overflowPunct/>
        <w:topLinePunct w:val="0"/>
        <w:autoSpaceDE/>
        <w:autoSpaceDN/>
        <w:bidi w:val="0"/>
        <w:spacing w:line="580" w:lineRule="exact"/>
        <w:ind w:right="0" w:rightChars="0" w:firstLine="636"/>
        <w:jc w:val="both"/>
        <w:textAlignment w:val="auto"/>
        <w:outlineLvl w:val="9"/>
        <w:rPr>
          <w:rFonts w:hint="eastAsia" w:ascii="仿宋_GB2312" w:hAnsi="黑体" w:eastAsia="仿宋_GB2312" w:cstheme="minorBidi"/>
          <w:b w:val="0"/>
          <w:bCs w:val="0"/>
          <w:color w:val="FF0000"/>
          <w:kern w:val="2"/>
          <w:sz w:val="32"/>
          <w:szCs w:val="32"/>
          <w:highlight w:val="none"/>
          <w:lang w:val="en-US" w:eastAsia="zh-CN" w:bidi="ar-SA"/>
        </w:rPr>
      </w:pP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九</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城乡社区支出</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212</w:t>
      </w:r>
      <w:r>
        <w:rPr>
          <w:rFonts w:hint="default" w:ascii="仿宋_GB2312" w:hAnsi="黑体" w:eastAsia="仿宋_GB2312" w:cstheme="minorBidi"/>
          <w:b w:val="0"/>
          <w:bCs w:val="0"/>
          <w:kern w:val="2"/>
          <w:sz w:val="32"/>
          <w:szCs w:val="32"/>
          <w:highlight w:val="none"/>
          <w:lang w:val="en-US" w:eastAsia="zh-CN" w:bidi="ar-SA"/>
        </w:rPr>
        <w:t>）</w:t>
      </w:r>
      <w:r>
        <w:rPr>
          <w:rFonts w:hint="eastAsia" w:ascii="仿宋_GB2312" w:hAnsi="黑体" w:eastAsia="仿宋_GB2312" w:cstheme="minorBidi"/>
          <w:b w:val="0"/>
          <w:bCs w:val="0"/>
          <w:kern w:val="2"/>
          <w:sz w:val="32"/>
          <w:szCs w:val="32"/>
          <w:highlight w:val="none"/>
          <w:lang w:val="en-US" w:eastAsia="zh-CN" w:bidi="ar-SA"/>
        </w:rPr>
        <w:t>管理事务（01）其他城乡社区管理事务支出（99）：</w:t>
      </w:r>
      <w:r>
        <w:rPr>
          <w:rFonts w:hint="eastAsia" w:ascii="仿宋_GB2312" w:eastAsia="仿宋_GB2312"/>
          <w:color w:val="auto"/>
          <w:sz w:val="32"/>
          <w:szCs w:val="32"/>
          <w:shd w:val="clear" w:color="auto" w:fill="FFFFFF"/>
        </w:rPr>
        <w:t>指行政单位（包括实行公务员管理的事业单位）的基本支出。</w:t>
      </w:r>
    </w:p>
    <w:p w14:paraId="51AE77A4">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14:paraId="334CFA18">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十一）项目支出；指在基本支出之外为完成特定行政任务和事业发展目标所发生的支出。</w:t>
      </w:r>
    </w:p>
    <w:p w14:paraId="1654E6E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（十二）“三公”经费：纳入</w:t>
      </w:r>
      <w:r>
        <w:rPr>
          <w:rFonts w:hint="eastAsia" w:ascii="仿宋_GB2312" w:hAnsi="黑体" w:eastAsia="仿宋_GB2312"/>
          <w:sz w:val="32"/>
          <w:szCs w:val="32"/>
          <w:highlight w:val="none"/>
          <w:lang w:val="en-US" w:eastAsia="zh-CN"/>
        </w:rPr>
        <w:t>九寨沟县住建局</w:t>
      </w:r>
      <w:r>
        <w:rPr>
          <w:rFonts w:hint="eastAsia" w:ascii="仿宋_GB2312" w:hAnsi="黑体"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05AE151E">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4608A6A0">
      <w:pPr>
        <w:ind w:firstLine="643" w:firstLineChars="200"/>
        <w:jc w:val="both"/>
        <w:rPr>
          <w:rFonts w:ascii="仿宋" w:hAnsi="仿宋" w:eastAsia="仿宋"/>
          <w:b/>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49D18">
    <w:pPr>
      <w:pStyle w:val="5"/>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hAns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0"/>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0"/>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5967AF96">
    <w:pPr>
      <w:pStyle w:val="5"/>
      <w:ind w:right="360" w:firstLine="360"/>
    </w:pPr>
  </w:p>
  <w:p w14:paraId="3FA80DD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wMjQyZjQ0YTc5YjU4NWIyM2FjYWEwZmJhMWU2ZjQifQ=="/>
  </w:docVars>
  <w:rsids>
    <w:rsidRoot w:val="00540C06"/>
    <w:rsid w:val="0008303D"/>
    <w:rsid w:val="0009191B"/>
    <w:rsid w:val="0021158A"/>
    <w:rsid w:val="00212FEA"/>
    <w:rsid w:val="002141F6"/>
    <w:rsid w:val="002255E8"/>
    <w:rsid w:val="002679B4"/>
    <w:rsid w:val="002834D7"/>
    <w:rsid w:val="00294CEB"/>
    <w:rsid w:val="002A6393"/>
    <w:rsid w:val="002A66DF"/>
    <w:rsid w:val="00304080"/>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43C1F3F"/>
    <w:rsid w:val="05FEC680"/>
    <w:rsid w:val="09781400"/>
    <w:rsid w:val="09F63243"/>
    <w:rsid w:val="0DC91529"/>
    <w:rsid w:val="0ECDBE52"/>
    <w:rsid w:val="0FFFB353"/>
    <w:rsid w:val="10E753BB"/>
    <w:rsid w:val="1430143A"/>
    <w:rsid w:val="16B549EC"/>
    <w:rsid w:val="176D963B"/>
    <w:rsid w:val="18CC7686"/>
    <w:rsid w:val="1B68421B"/>
    <w:rsid w:val="1B7F798D"/>
    <w:rsid w:val="1DBA477C"/>
    <w:rsid w:val="1DCA7AC1"/>
    <w:rsid w:val="1F3B0AC1"/>
    <w:rsid w:val="1F5E9DB6"/>
    <w:rsid w:val="2117AD81"/>
    <w:rsid w:val="21DE4D2F"/>
    <w:rsid w:val="21F75307"/>
    <w:rsid w:val="22E7352B"/>
    <w:rsid w:val="27FB2020"/>
    <w:rsid w:val="2AB253C7"/>
    <w:rsid w:val="2BEE6E8A"/>
    <w:rsid w:val="2C0A397A"/>
    <w:rsid w:val="2E7ACAF3"/>
    <w:rsid w:val="2EFFE7AD"/>
    <w:rsid w:val="2FEDA3F1"/>
    <w:rsid w:val="306C21B9"/>
    <w:rsid w:val="3257C860"/>
    <w:rsid w:val="33FFF3CD"/>
    <w:rsid w:val="34897518"/>
    <w:rsid w:val="352A11F6"/>
    <w:rsid w:val="37ED2099"/>
    <w:rsid w:val="37FE0A31"/>
    <w:rsid w:val="385A3916"/>
    <w:rsid w:val="38EB6B30"/>
    <w:rsid w:val="39D792D9"/>
    <w:rsid w:val="3AFBF1C6"/>
    <w:rsid w:val="3BBFDE14"/>
    <w:rsid w:val="3CB393A4"/>
    <w:rsid w:val="3CFE796A"/>
    <w:rsid w:val="3D8D6EEC"/>
    <w:rsid w:val="3DF3E130"/>
    <w:rsid w:val="3E25240E"/>
    <w:rsid w:val="3EED8CAE"/>
    <w:rsid w:val="3EFFEFC0"/>
    <w:rsid w:val="3FB5E172"/>
    <w:rsid w:val="3FDF2925"/>
    <w:rsid w:val="3FDFA91F"/>
    <w:rsid w:val="3FE1DEFB"/>
    <w:rsid w:val="3FE5F325"/>
    <w:rsid w:val="3FEF3B35"/>
    <w:rsid w:val="3FFADC58"/>
    <w:rsid w:val="41C76FB7"/>
    <w:rsid w:val="47FF5D5C"/>
    <w:rsid w:val="4A364155"/>
    <w:rsid w:val="4B3E44B7"/>
    <w:rsid w:val="4CB144F8"/>
    <w:rsid w:val="4FDE78CE"/>
    <w:rsid w:val="4FFFAA23"/>
    <w:rsid w:val="50594E08"/>
    <w:rsid w:val="510A59B8"/>
    <w:rsid w:val="514775B9"/>
    <w:rsid w:val="52A200E3"/>
    <w:rsid w:val="53A88E30"/>
    <w:rsid w:val="53FAD87A"/>
    <w:rsid w:val="54FFF2CF"/>
    <w:rsid w:val="55486E43"/>
    <w:rsid w:val="567D553A"/>
    <w:rsid w:val="56DBADA4"/>
    <w:rsid w:val="579CE624"/>
    <w:rsid w:val="599B52C6"/>
    <w:rsid w:val="5A35532B"/>
    <w:rsid w:val="5A7BF1E5"/>
    <w:rsid w:val="5BA78D5E"/>
    <w:rsid w:val="5BB87DBA"/>
    <w:rsid w:val="5BE762D4"/>
    <w:rsid w:val="5D621CAC"/>
    <w:rsid w:val="5DDDD882"/>
    <w:rsid w:val="5DE7BCA1"/>
    <w:rsid w:val="5DFFBFAA"/>
    <w:rsid w:val="5EFFDDE2"/>
    <w:rsid w:val="5F763C0F"/>
    <w:rsid w:val="5F7A982F"/>
    <w:rsid w:val="5FBF1457"/>
    <w:rsid w:val="5FED60AA"/>
    <w:rsid w:val="5FEFF4C2"/>
    <w:rsid w:val="63F385C0"/>
    <w:rsid w:val="63F5FE37"/>
    <w:rsid w:val="647F6670"/>
    <w:rsid w:val="659D35D4"/>
    <w:rsid w:val="67F5B1D0"/>
    <w:rsid w:val="69A71AE0"/>
    <w:rsid w:val="6A4FC826"/>
    <w:rsid w:val="6ADF4B0D"/>
    <w:rsid w:val="6AF76FF0"/>
    <w:rsid w:val="6B7923A5"/>
    <w:rsid w:val="6B95175B"/>
    <w:rsid w:val="6BDF5376"/>
    <w:rsid w:val="6BE53CCB"/>
    <w:rsid w:val="6C7B5F76"/>
    <w:rsid w:val="6CEF960A"/>
    <w:rsid w:val="6D235CF7"/>
    <w:rsid w:val="6DDE03AF"/>
    <w:rsid w:val="6DFD6765"/>
    <w:rsid w:val="6E7E5440"/>
    <w:rsid w:val="6ED5ABCE"/>
    <w:rsid w:val="6EFF482F"/>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FFA147"/>
    <w:rsid w:val="7AFEFDCB"/>
    <w:rsid w:val="7B417B2A"/>
    <w:rsid w:val="7B7E99B8"/>
    <w:rsid w:val="7BD32D96"/>
    <w:rsid w:val="7BE51F1C"/>
    <w:rsid w:val="7BF37176"/>
    <w:rsid w:val="7BF3F8E7"/>
    <w:rsid w:val="7BFF7F25"/>
    <w:rsid w:val="7C4E60F0"/>
    <w:rsid w:val="7CB5F156"/>
    <w:rsid w:val="7CFFD8D7"/>
    <w:rsid w:val="7D106E4A"/>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2"/>
    <w:qFormat/>
    <w:uiPriority w:val="99"/>
    <w:pPr>
      <w:ind w:left="420" w:leftChars="2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unhideWhenUsed/>
    <w:qFormat/>
    <w:uiPriority w:val="99"/>
    <w:pPr>
      <w:ind w:left="0" w:leftChars="200" w:hanging="200" w:hangingChars="200"/>
    </w:pPr>
  </w:style>
  <w:style w:type="character" w:styleId="10">
    <w:name w:val="page number"/>
    <w:basedOn w:val="9"/>
    <w:qFormat/>
    <w:uiPriority w:val="0"/>
  </w:style>
  <w:style w:type="paragraph" w:styleId="11">
    <w:name w:val="List Paragraph"/>
    <w:basedOn w:val="1"/>
    <w:qFormat/>
    <w:uiPriority w:val="34"/>
    <w:pPr>
      <w:ind w:firstLine="420" w:firstLineChars="200"/>
    </w:p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font51"/>
    <w:basedOn w:val="9"/>
    <w:qFormat/>
    <w:uiPriority w:val="0"/>
    <w:rPr>
      <w:rFonts w:hint="eastAsia" w:ascii="宋体" w:hAnsi="宋体" w:eastAsia="宋体" w:cs="宋体"/>
      <w:color w:val="000000"/>
      <w:sz w:val="22"/>
      <w:szCs w:val="22"/>
      <w:u w:val="none"/>
    </w:rPr>
  </w:style>
  <w:style w:type="character" w:customStyle="1" w:styleId="15">
    <w:name w:val="font6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4482</Words>
  <Characters>4863</Characters>
  <Lines>35</Lines>
  <Paragraphs>9</Paragraphs>
  <TotalTime>11</TotalTime>
  <ScaleCrop>false</ScaleCrop>
  <LinksUpToDate>false</LinksUpToDate>
  <CharactersWithSpaces>4897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三胖</cp:lastModifiedBy>
  <dcterms:modified xsi:type="dcterms:W3CDTF">2026-03-24T08:56:19Z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56F6812F92658F74351AF763469E14C2_42</vt:lpwstr>
  </property>
  <property fmtid="{D5CDD505-2E9C-101B-9397-08002B2CF9AE}" pid="4" name="KSOTemplateDocerSaveRecord">
    <vt:lpwstr>eyJoZGlkIjoiMTQ5Mjk4NTkwNmY2NGRmOTdkNzgwNDQxZThhNmYwZGQiLCJ1c2VySWQiOiIyODUyNDgyMTUifQ==</vt:lpwstr>
  </property>
</Properties>
</file>