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681F6">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77193"/>
      <w:bookmarkStart w:id="3" w:name="_Toc15377425"/>
      <w:bookmarkStart w:id="4" w:name="_Toc15306267"/>
      <w:bookmarkStart w:id="5" w:name="_Toc15396597"/>
    </w:p>
    <w:p w14:paraId="5753EF79">
      <w:pPr>
        <w:pStyle w:val="5"/>
        <w:rPr>
          <w:rFonts w:hint="eastAsia" w:ascii="Times New Roman" w:hAnsi="Times New Roman" w:eastAsia="方正小标宋简体" w:cs="Times New Roman"/>
          <w:color w:val="auto"/>
          <w:kern w:val="2"/>
          <w:sz w:val="72"/>
          <w:szCs w:val="72"/>
          <w:highlight w:val="none"/>
          <w:lang w:val="en-US" w:eastAsia="zh-CN" w:bidi="ar-SA"/>
        </w:rPr>
      </w:pPr>
    </w:p>
    <w:p w14:paraId="072A164C">
      <w:pPr>
        <w:pStyle w:val="5"/>
        <w:rPr>
          <w:rFonts w:hint="eastAsia" w:ascii="Times New Roman" w:hAnsi="Times New Roman" w:eastAsia="方正小标宋简体" w:cs="Times New Roman"/>
          <w:color w:val="auto"/>
          <w:kern w:val="2"/>
          <w:sz w:val="72"/>
          <w:szCs w:val="72"/>
          <w:highlight w:val="none"/>
          <w:lang w:val="en-US" w:eastAsia="zh-CN" w:bidi="ar-SA"/>
        </w:rPr>
      </w:pPr>
    </w:p>
    <w:p w14:paraId="053DF543">
      <w:pPr>
        <w:adjustRightInd w:val="0"/>
        <w:snapToGrid w:val="0"/>
        <w:spacing w:line="360" w:lineRule="auto"/>
        <w:jc w:val="center"/>
        <w:outlineLvl w:val="0"/>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rPr>
        <w:t>年度</w:t>
      </w:r>
    </w:p>
    <w:p w14:paraId="63ABD849">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52"/>
          <w:szCs w:val="52"/>
        </w:rPr>
        <w:t>四川省九寨沟县建设工程质量安全监督站单位决算</w:t>
      </w:r>
    </w:p>
    <w:p w14:paraId="3D218D61">
      <w:pPr>
        <w:rPr>
          <w:rFonts w:hint="eastAsia" w:ascii="Times New Roman" w:hAnsi="Times New Roman" w:eastAsia="方正小标宋简体" w:cs="Times New Roman"/>
          <w:color w:val="auto"/>
          <w:kern w:val="2"/>
          <w:sz w:val="44"/>
          <w:szCs w:val="44"/>
          <w:highlight w:val="none"/>
          <w:lang w:val="en-US" w:eastAsia="zh-CN" w:bidi="ar-SA"/>
        </w:rPr>
      </w:pPr>
      <w:r>
        <w:rPr>
          <w:rFonts w:ascii="方正小标宋简体" w:hAnsi="宋体" w:eastAsia="方正小标宋简体"/>
          <w:sz w:val="36"/>
          <w:szCs w:val="36"/>
        </w:rPr>
        <w:br w:type="page"/>
      </w:r>
    </w:p>
    <w:bookmarkEnd w:id="0"/>
    <w:bookmarkEnd w:id="1"/>
    <w:bookmarkEnd w:id="2"/>
    <w:bookmarkEnd w:id="3"/>
    <w:bookmarkEnd w:id="4"/>
    <w:bookmarkEnd w:id="5"/>
    <w:p w14:paraId="6F7F469A">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52A02E2E">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8</w:t>
      </w:r>
      <w:bookmarkStart w:id="60" w:name="_GoBack"/>
      <w:bookmarkEnd w:id="60"/>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14:paraId="5CEF89CA">
      <w:pPr>
        <w:rPr>
          <w:rFonts w:ascii="Times New Roman" w:hAnsi="Times New Roman"/>
          <w:color w:val="auto"/>
          <w:highlight w:val="none"/>
        </w:rPr>
      </w:pPr>
    </w:p>
    <w:p w14:paraId="1FDC81D9">
      <w:pPr>
        <w:pStyle w:val="12"/>
        <w:pageBreakBefore w:val="0"/>
        <w:widowControl w:val="0"/>
        <w:kinsoku/>
        <w:wordWrap/>
        <w:overflowPunct/>
        <w:topLinePunct w:val="0"/>
        <w:autoSpaceDE/>
        <w:autoSpaceDN/>
        <w:bidi w:val="0"/>
        <w:adjustRightInd/>
        <w:snapToGrid/>
        <w:spacing w:line="240" w:lineRule="atLeast"/>
        <w:textAlignment w:val="auto"/>
        <w:rPr>
          <w:rFonts w:hint="eastAsia"/>
          <w:lang w:val="en-US" w:eastAsia="zh-CN"/>
        </w:rPr>
      </w:pPr>
      <w:bookmarkStart w:id="6" w:name="_Toc15396599"/>
      <w:bookmarkStart w:id="7" w:name="_Toc15377196"/>
      <w:bookmarkStart w:id="8" w:name="_Toc15396602"/>
      <w:bookmarkStart w:id="9" w:name="_Toc15377204"/>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rPr>
        <w:t xml:space="preserve">第一部分 </w:t>
      </w:r>
      <w:r>
        <w:rPr>
          <w:rFonts w:ascii="黑体" w:hAnsi="黑体" w:eastAsia="黑体"/>
          <w:b w:val="0"/>
          <w:bCs w:val="0"/>
        </w:rPr>
        <w:t>部门概况</w:t>
      </w:r>
      <w:r>
        <w:tab/>
      </w:r>
      <w:r>
        <w:rPr>
          <w:rFonts w:hint="eastAsia"/>
          <w:lang w:val="en-US" w:eastAsia="zh-CN"/>
        </w:rPr>
        <w:t>4</w:t>
      </w:r>
    </w:p>
    <w:p w14:paraId="2D130CEA">
      <w:pPr>
        <w:pStyle w:val="14"/>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lang w:val="en-US" w:eastAsia="zh-CN"/>
        </w:rPr>
      </w:pPr>
      <w:r>
        <w:rPr>
          <w:rFonts w:ascii="黑体" w:hAnsi="黑体" w:eastAsia="黑体"/>
          <w:color w:val="000000"/>
        </w:rPr>
        <w:t>一、基</w:t>
      </w:r>
      <w:r>
        <w:rPr>
          <w:rFonts w:ascii="黑体" w:hAnsi="黑体" w:eastAsia="黑体"/>
        </w:rPr>
        <w:t>本职能</w:t>
      </w:r>
      <w:r>
        <w:tab/>
      </w:r>
      <w:r>
        <w:rPr>
          <w:rFonts w:hint="eastAsia"/>
          <w:lang w:val="en-US" w:eastAsia="zh-CN"/>
        </w:rPr>
        <w:t>4</w:t>
      </w:r>
    </w:p>
    <w:p w14:paraId="53CA04FE">
      <w:pPr>
        <w:pStyle w:val="8"/>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eastAsia="宋体"/>
          <w:lang w:eastAsia="zh-CN"/>
        </w:rPr>
      </w:pPr>
      <w:r>
        <w:rPr>
          <w:rFonts w:ascii="仿宋" w:hAnsi="仿宋" w:eastAsia="仿宋"/>
          <w:bCs/>
          <w:color w:val="000000"/>
        </w:rPr>
        <w:t>（一）主要职能。</w:t>
      </w:r>
      <w:r>
        <w:tab/>
      </w:r>
      <w:r>
        <w:rPr>
          <w:rFonts w:hint="eastAsia"/>
          <w:lang w:val="en-US" w:eastAsia="zh-CN"/>
        </w:rPr>
        <w:t>4</w:t>
      </w:r>
    </w:p>
    <w:p w14:paraId="5CE82DC7">
      <w:pPr>
        <w:pStyle w:val="14"/>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eastAsia="宋体"/>
          <w:lang w:eastAsia="zh-CN"/>
        </w:rPr>
      </w:pPr>
      <w:r>
        <w:rPr>
          <w:rFonts w:ascii="黑体" w:eastAsia="黑体"/>
          <w:color w:val="000000"/>
        </w:rPr>
        <w:t>二、</w:t>
      </w:r>
      <w:r>
        <w:rPr>
          <w:rFonts w:ascii="黑体" w:hAnsi="黑体" w:eastAsia="黑体"/>
          <w:color w:val="000000"/>
        </w:rPr>
        <w:t>机</w:t>
      </w:r>
      <w:r>
        <w:rPr>
          <w:rFonts w:ascii="黑体" w:hAnsi="黑体" w:eastAsia="黑体"/>
        </w:rPr>
        <w:t>构设置</w:t>
      </w:r>
      <w:r>
        <w:tab/>
      </w:r>
      <w:r>
        <w:rPr>
          <w:rFonts w:hint="eastAsia"/>
          <w:lang w:val="en-US" w:eastAsia="zh-CN"/>
        </w:rPr>
        <w:t>5</w:t>
      </w:r>
    </w:p>
    <w:p w14:paraId="04806663">
      <w:pPr>
        <w:pageBreakBefore w:val="0"/>
        <w:widowControl w:val="0"/>
        <w:kinsoku/>
        <w:wordWrap/>
        <w:overflowPunct/>
        <w:topLinePunct w:val="0"/>
        <w:autoSpaceDE/>
        <w:autoSpaceDN/>
        <w:bidi w:val="0"/>
        <w:adjustRightInd/>
        <w:snapToGrid/>
        <w:spacing w:line="240" w:lineRule="atLeast"/>
        <w:textAlignment w:val="auto"/>
      </w:pPr>
    </w:p>
    <w:p w14:paraId="6F62F86A">
      <w:pPr>
        <w:pStyle w:val="14"/>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eastAsia="宋体"/>
          <w:lang w:val="en-US" w:eastAsia="zh-CN"/>
        </w:rPr>
      </w:pPr>
      <w:r>
        <w:rPr>
          <w:rFonts w:ascii="黑体" w:hAnsi="黑体" w:eastAsia="黑体"/>
          <w:b w:val="0"/>
          <w:color w:val="000000"/>
        </w:rPr>
        <w:t>第二部分</w:t>
      </w:r>
      <w:r>
        <w:rPr>
          <w:rFonts w:ascii="黑体" w:hAnsi="黑体" w:eastAsia="黑体"/>
          <w:color w:val="000000"/>
        </w:rPr>
        <w:t xml:space="preserve"> </w:t>
      </w:r>
      <w:r>
        <w:rPr>
          <w:rFonts w:ascii="黑体" w:hAnsi="黑体" w:eastAsia="黑体"/>
          <w:b w:val="0"/>
          <w:bCs w:val="0"/>
        </w:rPr>
        <w:t>202</w:t>
      </w:r>
      <w:r>
        <w:rPr>
          <w:rFonts w:hint="eastAsia" w:ascii="黑体" w:hAnsi="黑体" w:eastAsia="黑体"/>
          <w:b w:val="0"/>
          <w:bCs w:val="0"/>
          <w:lang w:val="en-US" w:eastAsia="zh-CN"/>
        </w:rPr>
        <w:t>5</w:t>
      </w:r>
      <w:r>
        <w:rPr>
          <w:rFonts w:ascii="黑体" w:hAnsi="黑体" w:eastAsia="黑体"/>
          <w:b w:val="0"/>
          <w:bCs w:val="0"/>
        </w:rPr>
        <w:t>年度部门决算情况说明</w:t>
      </w:r>
      <w:r>
        <w:tab/>
      </w:r>
      <w:r>
        <w:rPr>
          <w:rFonts w:hint="eastAsia"/>
          <w:lang w:val="en-US" w:eastAsia="zh-CN"/>
        </w:rPr>
        <w:t>5</w:t>
      </w:r>
    </w:p>
    <w:p w14:paraId="2FFEA7A2">
      <w:pPr>
        <w:pageBreakBefore w:val="0"/>
        <w:widowControl w:val="0"/>
        <w:kinsoku/>
        <w:wordWrap/>
        <w:overflowPunct/>
        <w:topLinePunct w:val="0"/>
        <w:autoSpaceDE/>
        <w:autoSpaceDN/>
        <w:bidi w:val="0"/>
        <w:adjustRightInd/>
        <w:snapToGrid/>
        <w:spacing w:line="240" w:lineRule="atLeast"/>
        <w:textAlignment w:val="auto"/>
      </w:pPr>
    </w:p>
    <w:p w14:paraId="1FFE7F2C">
      <w:pPr>
        <w:pStyle w:val="14"/>
        <w:pageBreakBefore w:val="0"/>
        <w:widowControl w:val="0"/>
        <w:tabs>
          <w:tab w:val="left" w:pos="840"/>
        </w:tabs>
        <w:kinsoku/>
        <w:wordWrap/>
        <w:overflowPunct/>
        <w:topLinePunct w:val="0"/>
        <w:autoSpaceDE/>
        <w:autoSpaceDN/>
        <w:bidi w:val="0"/>
        <w:adjustRightInd/>
        <w:snapToGrid/>
        <w:spacing w:line="240" w:lineRule="atLeast"/>
        <w:textAlignment w:val="auto"/>
        <w:rPr>
          <w:rFonts w:hint="eastAsia" w:eastAsiaTheme="minorEastAsia"/>
          <w:lang w:eastAsia="zh-CN"/>
        </w:rPr>
      </w:pPr>
      <w:r>
        <w:rPr>
          <w:rFonts w:ascii="黑体" w:hAnsi="黑体" w:eastAsia="黑体"/>
          <w:bCs/>
        </w:rPr>
        <w:t>一、</w:t>
      </w:r>
      <w:r>
        <w:rPr>
          <w:rFonts w:ascii="黑体" w:hAnsi="黑体" w:eastAsia="黑体"/>
          <w:color w:val="000000"/>
        </w:rPr>
        <w:t>收</w:t>
      </w:r>
      <w:r>
        <w:rPr>
          <w:rFonts w:ascii="黑体" w:hAnsi="黑体" w:eastAsia="黑体"/>
          <w:bCs/>
        </w:rPr>
        <w:t>入支出决算总体情况说明</w:t>
      </w:r>
      <w:r>
        <w:rPr>
          <w:rFonts w:hAnsiTheme="minorHAnsi" w:eastAsiaTheme="minorEastAsia" w:cstheme="minorBidi"/>
          <w:smallCaps w:val="0"/>
          <w:sz w:val="21"/>
          <w:szCs w:val="22"/>
        </w:rPr>
        <w:tab/>
      </w:r>
      <w:r>
        <w:rPr>
          <w:rFonts w:hint="eastAsia" w:eastAsiaTheme="minorEastAsia"/>
          <w:lang w:val="en-US" w:eastAsia="zh-CN"/>
        </w:rPr>
        <w:t>5</w:t>
      </w:r>
    </w:p>
    <w:p w14:paraId="28F1364D">
      <w:pPr>
        <w:pageBreakBefore w:val="0"/>
        <w:widowControl w:val="0"/>
        <w:kinsoku/>
        <w:wordWrap/>
        <w:overflowPunct/>
        <w:topLinePunct w:val="0"/>
        <w:autoSpaceDE/>
        <w:autoSpaceDN/>
        <w:bidi w:val="0"/>
        <w:adjustRightInd/>
        <w:snapToGrid/>
        <w:spacing w:line="240" w:lineRule="atLeast"/>
        <w:textAlignment w:val="auto"/>
      </w:pPr>
    </w:p>
    <w:p w14:paraId="48170B55">
      <w:pPr>
        <w:pStyle w:val="14"/>
        <w:pageBreakBefore w:val="0"/>
        <w:widowControl w:val="0"/>
        <w:tabs>
          <w:tab w:val="left" w:pos="840"/>
        </w:tabs>
        <w:kinsoku/>
        <w:wordWrap/>
        <w:overflowPunct/>
        <w:topLinePunct w:val="0"/>
        <w:autoSpaceDE/>
        <w:autoSpaceDN/>
        <w:bidi w:val="0"/>
        <w:adjustRightInd/>
        <w:snapToGrid/>
        <w:spacing w:line="240" w:lineRule="atLeast"/>
        <w:textAlignment w:val="auto"/>
        <w:rPr>
          <w:rFonts w:hint="eastAsia" w:eastAsiaTheme="minorEastAsia"/>
          <w:lang w:val="en-US" w:eastAsia="zh-CN"/>
        </w:rPr>
      </w:pPr>
      <w:r>
        <w:rPr>
          <w:rFonts w:ascii="黑体" w:hAnsi="黑体" w:eastAsia="黑体"/>
          <w:bCs/>
        </w:rPr>
        <w:t>二、</w:t>
      </w:r>
      <w:r>
        <w:rPr>
          <w:rFonts w:ascii="黑体" w:hAnsi="黑体" w:eastAsia="黑体"/>
          <w:color w:val="000000"/>
        </w:rPr>
        <w:t>收</w:t>
      </w:r>
      <w:r>
        <w:rPr>
          <w:rFonts w:ascii="黑体" w:hAnsi="黑体" w:eastAsia="黑体"/>
          <w:bCs/>
        </w:rPr>
        <w:t>入决算情况说明</w:t>
      </w:r>
      <w:r>
        <w:rPr>
          <w:rFonts w:hAnsiTheme="minorHAnsi" w:eastAsiaTheme="minorEastAsia" w:cstheme="minorBidi"/>
          <w:smallCaps w:val="0"/>
          <w:sz w:val="21"/>
          <w:szCs w:val="22"/>
        </w:rPr>
        <w:tab/>
      </w:r>
      <w:r>
        <w:rPr>
          <w:rFonts w:hint="eastAsia" w:eastAsiaTheme="minorEastAsia"/>
          <w:lang w:val="en-US" w:eastAsia="zh-CN"/>
        </w:rPr>
        <w:t>5</w:t>
      </w:r>
    </w:p>
    <w:p w14:paraId="7A6A3E81">
      <w:pPr>
        <w:pageBreakBefore w:val="0"/>
        <w:widowControl w:val="0"/>
        <w:kinsoku/>
        <w:wordWrap/>
        <w:overflowPunct/>
        <w:topLinePunct w:val="0"/>
        <w:autoSpaceDE/>
        <w:autoSpaceDN/>
        <w:bidi w:val="0"/>
        <w:adjustRightInd/>
        <w:snapToGrid/>
        <w:spacing w:line="240" w:lineRule="atLeast"/>
        <w:textAlignment w:val="auto"/>
      </w:pPr>
    </w:p>
    <w:p w14:paraId="2384AC2F">
      <w:pPr>
        <w:pStyle w:val="14"/>
        <w:pageBreakBefore w:val="0"/>
        <w:widowControl w:val="0"/>
        <w:kinsoku/>
        <w:wordWrap/>
        <w:overflowPunct/>
        <w:topLinePunct w:val="0"/>
        <w:autoSpaceDE/>
        <w:autoSpaceDN/>
        <w:bidi w:val="0"/>
        <w:adjustRightInd/>
        <w:snapToGrid/>
        <w:spacing w:line="240" w:lineRule="atLeast"/>
        <w:textAlignment w:val="auto"/>
        <w:rPr>
          <w:rFonts w:hint="eastAsia" w:eastAsiaTheme="minorEastAsia"/>
          <w:lang w:val="en-US" w:eastAsia="zh-CN"/>
        </w:rPr>
      </w:pPr>
      <w:r>
        <w:rPr>
          <w:rFonts w:ascii="黑体" w:hAnsi="黑体" w:eastAsia="黑体"/>
          <w:bCs/>
        </w:rPr>
        <w:t>三、</w:t>
      </w:r>
      <w:r>
        <w:rPr>
          <w:rFonts w:ascii="黑体" w:hAnsi="黑体" w:eastAsia="黑体"/>
          <w:color w:val="000000"/>
        </w:rPr>
        <w:t>支</w:t>
      </w:r>
      <w:r>
        <w:rPr>
          <w:rFonts w:ascii="黑体" w:hAnsi="黑体" w:eastAsia="黑体"/>
          <w:bCs/>
        </w:rPr>
        <w:t>出决算情况说明</w:t>
      </w:r>
      <w:r>
        <w:rPr>
          <w:rFonts w:hAnsiTheme="minorHAnsi" w:eastAsiaTheme="minorEastAsia" w:cstheme="minorBidi"/>
          <w:smallCaps w:val="0"/>
          <w:sz w:val="21"/>
          <w:szCs w:val="22"/>
        </w:rPr>
        <w:tab/>
      </w:r>
      <w:r>
        <w:rPr>
          <w:rFonts w:hint="eastAsia" w:eastAsiaTheme="minorEastAsia"/>
          <w:lang w:val="en-US" w:eastAsia="zh-CN"/>
        </w:rPr>
        <w:t>6</w:t>
      </w:r>
    </w:p>
    <w:p w14:paraId="507808DE">
      <w:pPr>
        <w:pageBreakBefore w:val="0"/>
        <w:widowControl w:val="0"/>
        <w:kinsoku/>
        <w:wordWrap/>
        <w:overflowPunct/>
        <w:topLinePunct w:val="0"/>
        <w:autoSpaceDE/>
        <w:autoSpaceDN/>
        <w:bidi w:val="0"/>
        <w:adjustRightInd/>
        <w:snapToGrid/>
        <w:spacing w:line="240" w:lineRule="atLeast"/>
        <w:textAlignment w:val="auto"/>
        <w:rPr>
          <w:rFonts w:hint="eastAsia"/>
          <w:lang w:val="en-US" w:eastAsia="zh-CN"/>
        </w:rPr>
      </w:pPr>
    </w:p>
    <w:p w14:paraId="586D8666">
      <w:pPr>
        <w:pStyle w:val="14"/>
        <w:pageBreakBefore w:val="0"/>
        <w:widowControl w:val="0"/>
        <w:kinsoku/>
        <w:wordWrap/>
        <w:overflowPunct/>
        <w:topLinePunct w:val="0"/>
        <w:autoSpaceDE/>
        <w:autoSpaceDN/>
        <w:bidi w:val="0"/>
        <w:adjustRightInd/>
        <w:snapToGrid/>
        <w:spacing w:line="240" w:lineRule="atLeast"/>
        <w:textAlignment w:val="auto"/>
        <w:rPr>
          <w:rFonts w:hint="eastAsia" w:eastAsia="宋体"/>
          <w:lang w:eastAsia="zh-CN"/>
        </w:rPr>
      </w:pPr>
      <w:r>
        <w:rPr>
          <w:rFonts w:ascii="黑体" w:hAnsi="黑体" w:eastAsia="黑体"/>
          <w:color w:val="000000"/>
        </w:rPr>
        <w:t>四、财</w:t>
      </w:r>
      <w:r>
        <w:rPr>
          <w:rFonts w:ascii="黑体" w:hAnsi="黑体" w:eastAsia="黑体"/>
          <w:bCs/>
        </w:rPr>
        <w:t>政拨款收入支出决算总体情况说明</w:t>
      </w:r>
      <w:r>
        <w:tab/>
      </w:r>
      <w:r>
        <w:rPr>
          <w:rFonts w:hint="eastAsia"/>
          <w:lang w:val="en-US" w:eastAsia="zh-CN"/>
        </w:rPr>
        <w:t>6</w:t>
      </w:r>
    </w:p>
    <w:p w14:paraId="67D24E0B">
      <w:pPr>
        <w:pageBreakBefore w:val="0"/>
        <w:widowControl w:val="0"/>
        <w:kinsoku/>
        <w:wordWrap/>
        <w:overflowPunct/>
        <w:topLinePunct w:val="0"/>
        <w:autoSpaceDE/>
        <w:autoSpaceDN/>
        <w:bidi w:val="0"/>
        <w:adjustRightInd/>
        <w:snapToGrid/>
        <w:spacing w:line="240" w:lineRule="atLeast"/>
        <w:textAlignment w:val="auto"/>
      </w:pPr>
    </w:p>
    <w:p w14:paraId="5BCE818B">
      <w:pPr>
        <w:pStyle w:val="14"/>
        <w:pageBreakBefore w:val="0"/>
        <w:widowControl w:val="0"/>
        <w:kinsoku/>
        <w:wordWrap/>
        <w:overflowPunct/>
        <w:topLinePunct w:val="0"/>
        <w:autoSpaceDE/>
        <w:autoSpaceDN/>
        <w:bidi w:val="0"/>
        <w:adjustRightInd/>
        <w:snapToGrid/>
        <w:spacing w:line="240" w:lineRule="atLeast"/>
        <w:textAlignment w:val="auto"/>
        <w:rPr>
          <w:rFonts w:hint="eastAsia" w:eastAsia="宋体"/>
          <w:lang w:eastAsia="zh-CN"/>
        </w:rPr>
      </w:pPr>
      <w:r>
        <w:rPr>
          <w:rFonts w:ascii="黑体" w:hAnsi="黑体" w:eastAsia="黑体"/>
          <w:color w:val="000000"/>
        </w:rPr>
        <w:t>五、</w:t>
      </w:r>
      <w:r>
        <w:rPr>
          <w:rFonts w:ascii="黑体" w:hAnsi="黑体" w:eastAsia="黑体"/>
          <w:b/>
          <w:color w:val="000000"/>
        </w:rPr>
        <w:t>一</w:t>
      </w:r>
      <w:r>
        <w:rPr>
          <w:rFonts w:ascii="黑体" w:hAnsi="黑体" w:eastAsia="黑体"/>
          <w:bCs/>
        </w:rPr>
        <w:t>般公共预算财政拨款支出决算情况说明</w:t>
      </w:r>
      <w:r>
        <w:tab/>
      </w:r>
      <w:r>
        <w:rPr>
          <w:rFonts w:hint="eastAsia"/>
          <w:lang w:val="en-US" w:eastAsia="zh-CN"/>
        </w:rPr>
        <w:t>6</w:t>
      </w:r>
    </w:p>
    <w:p w14:paraId="044208ED">
      <w:pPr>
        <w:pageBreakBefore w:val="0"/>
        <w:widowControl w:val="0"/>
        <w:kinsoku/>
        <w:wordWrap/>
        <w:overflowPunct/>
        <w:topLinePunct w:val="0"/>
        <w:autoSpaceDE/>
        <w:autoSpaceDN/>
        <w:bidi w:val="0"/>
        <w:adjustRightInd/>
        <w:snapToGrid/>
        <w:spacing w:line="240" w:lineRule="atLeast"/>
        <w:textAlignment w:val="auto"/>
      </w:pPr>
    </w:p>
    <w:p w14:paraId="2B345C70">
      <w:pPr>
        <w:pStyle w:val="8"/>
        <w:pageBreakBefore w:val="0"/>
        <w:widowControl w:val="0"/>
        <w:kinsoku/>
        <w:wordWrap/>
        <w:overflowPunct/>
        <w:topLinePunct w:val="0"/>
        <w:autoSpaceDE/>
        <w:autoSpaceDN/>
        <w:bidi w:val="0"/>
        <w:adjustRightInd/>
        <w:snapToGrid/>
        <w:spacing w:line="240" w:lineRule="atLeast"/>
        <w:textAlignment w:val="auto"/>
        <w:rPr>
          <w:rFonts w:hint="eastAsia" w:eastAsia="宋体"/>
          <w:lang w:val="en-US" w:eastAsia="zh-CN"/>
        </w:rPr>
      </w:pPr>
      <w:r>
        <w:rPr>
          <w:rFonts w:ascii="仿宋" w:hAnsi="仿宋" w:eastAsia="仿宋"/>
          <w:b/>
          <w:color w:val="000000"/>
        </w:rPr>
        <w:t>（一）一般公共预算财政拨款支出决算总体情况</w:t>
      </w:r>
      <w:r>
        <w:tab/>
      </w:r>
      <w:r>
        <w:rPr>
          <w:rFonts w:hint="eastAsia"/>
          <w:lang w:val="en-US" w:eastAsia="zh-CN"/>
        </w:rPr>
        <w:t>6</w:t>
      </w:r>
    </w:p>
    <w:p w14:paraId="4D1B1CE2">
      <w:pPr>
        <w:pageBreakBefore w:val="0"/>
        <w:widowControl w:val="0"/>
        <w:kinsoku/>
        <w:wordWrap/>
        <w:overflowPunct/>
        <w:topLinePunct w:val="0"/>
        <w:autoSpaceDE/>
        <w:autoSpaceDN/>
        <w:bidi w:val="0"/>
        <w:adjustRightInd/>
        <w:snapToGrid/>
        <w:spacing w:line="240" w:lineRule="atLeast"/>
        <w:textAlignment w:val="auto"/>
      </w:pPr>
    </w:p>
    <w:p w14:paraId="6088572A">
      <w:pPr>
        <w:pStyle w:val="8"/>
        <w:pageBreakBefore w:val="0"/>
        <w:widowControl w:val="0"/>
        <w:kinsoku/>
        <w:wordWrap/>
        <w:overflowPunct/>
        <w:topLinePunct w:val="0"/>
        <w:autoSpaceDE/>
        <w:autoSpaceDN/>
        <w:bidi w:val="0"/>
        <w:adjustRightInd/>
        <w:snapToGrid/>
        <w:spacing w:line="240" w:lineRule="atLeast"/>
        <w:textAlignment w:val="auto"/>
        <w:rPr>
          <w:rFonts w:hint="eastAsia" w:eastAsia="宋体"/>
          <w:lang w:eastAsia="zh-CN"/>
        </w:rPr>
      </w:pPr>
      <w:r>
        <w:rPr>
          <w:rFonts w:ascii="仿宋" w:hAnsi="仿宋" w:eastAsia="仿宋"/>
          <w:b/>
          <w:color w:val="000000"/>
        </w:rPr>
        <w:t>（二）一般公共预算财政拨款支出决算结构情况</w:t>
      </w:r>
      <w:r>
        <w:tab/>
      </w:r>
      <w:r>
        <w:rPr>
          <w:rFonts w:hint="eastAsia"/>
          <w:lang w:val="en-US" w:eastAsia="zh-CN"/>
        </w:rPr>
        <w:t>6</w:t>
      </w:r>
    </w:p>
    <w:p w14:paraId="0ACD70E6">
      <w:pPr>
        <w:pageBreakBefore w:val="0"/>
        <w:widowControl w:val="0"/>
        <w:kinsoku/>
        <w:wordWrap/>
        <w:overflowPunct/>
        <w:topLinePunct w:val="0"/>
        <w:autoSpaceDE/>
        <w:autoSpaceDN/>
        <w:bidi w:val="0"/>
        <w:adjustRightInd/>
        <w:snapToGrid/>
        <w:spacing w:line="240" w:lineRule="atLeast"/>
        <w:textAlignment w:val="auto"/>
      </w:pPr>
    </w:p>
    <w:p w14:paraId="54168B27">
      <w:pPr>
        <w:pStyle w:val="8"/>
        <w:pageBreakBefore w:val="0"/>
        <w:widowControl w:val="0"/>
        <w:kinsoku/>
        <w:wordWrap/>
        <w:overflowPunct/>
        <w:topLinePunct w:val="0"/>
        <w:autoSpaceDE/>
        <w:autoSpaceDN/>
        <w:bidi w:val="0"/>
        <w:adjustRightInd/>
        <w:snapToGrid/>
        <w:spacing w:line="240" w:lineRule="atLeast"/>
        <w:textAlignment w:val="auto"/>
        <w:rPr>
          <w:rFonts w:hint="eastAsia" w:eastAsia="宋体"/>
          <w:lang w:val="en-US" w:eastAsia="zh-CN"/>
        </w:rPr>
      </w:pPr>
      <w:r>
        <w:rPr>
          <w:rFonts w:ascii="仿宋" w:hAnsi="仿宋" w:eastAsia="仿宋"/>
          <w:b/>
          <w:color w:val="000000"/>
        </w:rPr>
        <w:t>（三）一般公共预算财政拨款支出决算具体情况</w:t>
      </w:r>
      <w:r>
        <w:tab/>
      </w:r>
      <w:r>
        <w:rPr>
          <w:rFonts w:hint="eastAsia"/>
          <w:lang w:val="en-US" w:eastAsia="zh-CN"/>
        </w:rPr>
        <w:t>7</w:t>
      </w:r>
    </w:p>
    <w:p w14:paraId="02D95859">
      <w:pPr>
        <w:pageBreakBefore w:val="0"/>
        <w:widowControl w:val="0"/>
        <w:kinsoku/>
        <w:wordWrap/>
        <w:overflowPunct/>
        <w:topLinePunct w:val="0"/>
        <w:autoSpaceDE/>
        <w:autoSpaceDN/>
        <w:bidi w:val="0"/>
        <w:adjustRightInd/>
        <w:snapToGrid/>
        <w:spacing w:line="240" w:lineRule="atLeast"/>
        <w:textAlignment w:val="auto"/>
        <w:rPr>
          <w:rFonts w:hint="default"/>
          <w:lang w:val="en-US" w:eastAsia="zh-CN"/>
        </w:rPr>
      </w:pPr>
    </w:p>
    <w:p w14:paraId="2CC73682">
      <w:pPr>
        <w:pStyle w:val="14"/>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ascii="黑体" w:eastAsia="黑体"/>
          <w:color w:val="000000"/>
        </w:rPr>
        <w:t>六</w:t>
      </w:r>
      <w:r>
        <w:rPr>
          <w:rFonts w:ascii="黑体" w:eastAsia="黑体"/>
          <w:b/>
          <w:color w:val="000000"/>
        </w:rPr>
        <w:t>、</w:t>
      </w:r>
      <w:r>
        <w:rPr>
          <w:rFonts w:ascii="黑体" w:hAnsi="黑体" w:eastAsia="黑体"/>
          <w:b/>
          <w:color w:val="000000"/>
        </w:rPr>
        <w:t>一</w:t>
      </w:r>
      <w:r>
        <w:rPr>
          <w:rFonts w:ascii="黑体" w:hAnsi="黑体" w:eastAsia="黑体"/>
          <w:bCs/>
        </w:rPr>
        <w:t>般公共预算财政拨款基本支出决算情况说明</w:t>
      </w:r>
      <w:r>
        <w:tab/>
      </w:r>
      <w:r>
        <w:rPr>
          <w:rFonts w:hint="eastAsia"/>
          <w:lang w:val="en-US" w:eastAsia="zh-CN"/>
        </w:rPr>
        <w:t>8</w:t>
      </w:r>
    </w:p>
    <w:p w14:paraId="698F2C19">
      <w:pPr>
        <w:pageBreakBefore w:val="0"/>
        <w:widowControl w:val="0"/>
        <w:kinsoku/>
        <w:wordWrap/>
        <w:overflowPunct/>
        <w:topLinePunct w:val="0"/>
        <w:autoSpaceDE/>
        <w:autoSpaceDN/>
        <w:bidi w:val="0"/>
        <w:adjustRightInd/>
        <w:snapToGrid/>
        <w:spacing w:line="240" w:lineRule="atLeast"/>
        <w:textAlignment w:val="auto"/>
        <w:rPr>
          <w:rFonts w:hint="default"/>
          <w:lang w:val="en-US" w:eastAsia="zh-CN"/>
        </w:rPr>
      </w:pPr>
    </w:p>
    <w:p w14:paraId="228170E7">
      <w:pPr>
        <w:pStyle w:val="14"/>
        <w:pageBreakBefore w:val="0"/>
        <w:widowControl w:val="0"/>
        <w:kinsoku/>
        <w:wordWrap/>
        <w:overflowPunct/>
        <w:topLinePunct w:val="0"/>
        <w:autoSpaceDE/>
        <w:autoSpaceDN/>
        <w:bidi w:val="0"/>
        <w:adjustRightInd/>
        <w:snapToGrid/>
        <w:spacing w:line="240" w:lineRule="atLeast"/>
        <w:textAlignment w:val="auto"/>
        <w:rPr>
          <w:rFonts w:hint="eastAsia" w:eastAsia="宋体"/>
          <w:lang w:eastAsia="zh-CN"/>
        </w:rPr>
      </w:pPr>
      <w:r>
        <w:rPr>
          <w:rFonts w:ascii="黑体" w:eastAsia="黑体"/>
          <w:color w:val="000000"/>
        </w:rPr>
        <w:t>七、</w:t>
      </w:r>
      <w:r>
        <w:rPr>
          <w:rFonts w:ascii="黑体" w:hAnsi="黑体" w:eastAsia="黑体"/>
          <w:b/>
          <w:bCs/>
        </w:rPr>
        <w:t>“</w:t>
      </w:r>
      <w:r>
        <w:rPr>
          <w:rFonts w:ascii="黑体" w:hAnsi="黑体" w:eastAsia="黑体"/>
          <w:bCs/>
        </w:rPr>
        <w:t>三公”经费财政拨款支出决算情况说明</w:t>
      </w:r>
      <w:r>
        <w:tab/>
      </w:r>
      <w:r>
        <w:rPr>
          <w:rFonts w:hint="eastAsia"/>
          <w:lang w:val="en-US" w:eastAsia="zh-CN"/>
        </w:rPr>
        <w:t>9</w:t>
      </w:r>
    </w:p>
    <w:p w14:paraId="60FCD6F7">
      <w:pPr>
        <w:pageBreakBefore w:val="0"/>
        <w:widowControl w:val="0"/>
        <w:kinsoku/>
        <w:wordWrap/>
        <w:overflowPunct/>
        <w:topLinePunct w:val="0"/>
        <w:autoSpaceDE/>
        <w:autoSpaceDN/>
        <w:bidi w:val="0"/>
        <w:adjustRightInd/>
        <w:snapToGrid/>
        <w:spacing w:line="240" w:lineRule="atLeast"/>
        <w:textAlignment w:val="auto"/>
      </w:pPr>
    </w:p>
    <w:p w14:paraId="1626E199">
      <w:pPr>
        <w:pStyle w:val="8"/>
        <w:pageBreakBefore w:val="0"/>
        <w:widowControl w:val="0"/>
        <w:kinsoku/>
        <w:wordWrap/>
        <w:overflowPunct/>
        <w:topLinePunct w:val="0"/>
        <w:autoSpaceDE/>
        <w:autoSpaceDN/>
        <w:bidi w:val="0"/>
        <w:adjustRightInd/>
        <w:snapToGrid/>
        <w:spacing w:line="240" w:lineRule="atLeast"/>
        <w:textAlignment w:val="auto"/>
        <w:rPr>
          <w:rFonts w:hint="eastAsia" w:eastAsia="宋体"/>
          <w:lang w:eastAsia="zh-CN"/>
        </w:rPr>
      </w:pPr>
      <w:r>
        <w:rPr>
          <w:rFonts w:ascii="仿宋" w:hAnsi="仿宋" w:eastAsia="仿宋"/>
          <w:b/>
          <w:color w:val="000000"/>
        </w:rPr>
        <w:t>（一）“三公”经费财政拨款支出决算总体情况说明</w:t>
      </w:r>
      <w:r>
        <w:tab/>
      </w:r>
      <w:r>
        <w:rPr>
          <w:rFonts w:hint="eastAsia"/>
          <w:lang w:val="en-US" w:eastAsia="zh-CN"/>
        </w:rPr>
        <w:t>9</w:t>
      </w:r>
    </w:p>
    <w:p w14:paraId="19C0F298">
      <w:pPr>
        <w:pageBreakBefore w:val="0"/>
        <w:widowControl w:val="0"/>
        <w:kinsoku/>
        <w:wordWrap/>
        <w:overflowPunct/>
        <w:topLinePunct w:val="0"/>
        <w:autoSpaceDE/>
        <w:autoSpaceDN/>
        <w:bidi w:val="0"/>
        <w:adjustRightInd/>
        <w:snapToGrid/>
        <w:spacing w:line="240" w:lineRule="atLeast"/>
        <w:textAlignment w:val="auto"/>
      </w:pPr>
    </w:p>
    <w:p w14:paraId="09506027">
      <w:pPr>
        <w:pStyle w:val="8"/>
        <w:pageBreakBefore w:val="0"/>
        <w:widowControl w:val="0"/>
        <w:kinsoku/>
        <w:wordWrap/>
        <w:overflowPunct/>
        <w:topLinePunct w:val="0"/>
        <w:autoSpaceDE/>
        <w:autoSpaceDN/>
        <w:bidi w:val="0"/>
        <w:adjustRightInd/>
        <w:snapToGrid/>
        <w:spacing w:line="240" w:lineRule="atLeast"/>
        <w:textAlignment w:val="auto"/>
        <w:rPr>
          <w:rFonts w:hint="eastAsia"/>
          <w:lang w:val="en-US" w:eastAsia="zh-CN"/>
        </w:rPr>
      </w:pPr>
      <w:r>
        <w:rPr>
          <w:rFonts w:ascii="仿宋" w:hAnsi="仿宋" w:eastAsia="仿宋"/>
          <w:b/>
          <w:color w:val="000000"/>
        </w:rPr>
        <w:t>（二）“三公”经费财政拨款支出决算具体情况说明</w:t>
      </w:r>
      <w:r>
        <w:tab/>
      </w:r>
      <w:r>
        <w:rPr>
          <w:rFonts w:hint="eastAsia"/>
          <w:lang w:val="en-US" w:eastAsia="zh-CN"/>
        </w:rPr>
        <w:t>9</w:t>
      </w:r>
    </w:p>
    <w:p w14:paraId="3D81FDF0">
      <w:pPr>
        <w:pageBreakBefore w:val="0"/>
        <w:widowControl w:val="0"/>
        <w:kinsoku/>
        <w:wordWrap/>
        <w:overflowPunct/>
        <w:topLinePunct w:val="0"/>
        <w:autoSpaceDE/>
        <w:autoSpaceDN/>
        <w:bidi w:val="0"/>
        <w:adjustRightInd/>
        <w:snapToGrid/>
        <w:spacing w:line="240" w:lineRule="atLeast"/>
        <w:textAlignment w:val="auto"/>
        <w:rPr>
          <w:rFonts w:hint="default"/>
          <w:lang w:val="en-US" w:eastAsia="zh-CN"/>
        </w:rPr>
      </w:pPr>
    </w:p>
    <w:p w14:paraId="7BADB161">
      <w:pPr>
        <w:pStyle w:val="14"/>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ascii="黑体" w:eastAsia="黑体"/>
          <w:color w:val="000000"/>
        </w:rPr>
        <w:t>八、</w:t>
      </w:r>
      <w:r>
        <w:rPr>
          <w:rFonts w:ascii="黑体" w:hAnsi="黑体" w:eastAsia="黑体"/>
          <w:bCs/>
        </w:rPr>
        <w:t>政府性基金预算支出决算情况说明</w:t>
      </w:r>
      <w:r>
        <w:tab/>
      </w:r>
      <w:r>
        <w:rPr>
          <w:rFonts w:hint="eastAsia"/>
          <w:lang w:val="en-US" w:eastAsia="zh-CN"/>
        </w:rPr>
        <w:t>10</w:t>
      </w:r>
    </w:p>
    <w:p w14:paraId="755083DA">
      <w:pPr>
        <w:pageBreakBefore w:val="0"/>
        <w:widowControl w:val="0"/>
        <w:kinsoku/>
        <w:wordWrap/>
        <w:overflowPunct/>
        <w:topLinePunct w:val="0"/>
        <w:autoSpaceDE/>
        <w:autoSpaceDN/>
        <w:bidi w:val="0"/>
        <w:adjustRightInd/>
        <w:snapToGrid/>
        <w:spacing w:line="240" w:lineRule="atLeast"/>
        <w:textAlignment w:val="auto"/>
      </w:pPr>
    </w:p>
    <w:p w14:paraId="1B1A7FA6">
      <w:pPr>
        <w:pStyle w:val="14"/>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eastAsia="宋体" w:hAnsiTheme="minorHAnsi" w:cstheme="minorBidi"/>
          <w:smallCaps w:val="0"/>
          <w:sz w:val="21"/>
          <w:szCs w:val="22"/>
          <w:lang w:val="en-US" w:eastAsia="zh-CN"/>
        </w:rPr>
      </w:pPr>
      <w:r>
        <w:rPr>
          <w:rFonts w:ascii="黑体" w:hAnsi="黑体" w:eastAsia="黑体"/>
          <w:bCs/>
        </w:rPr>
        <w:t>九、 国有资本经营预算支出决算情况说明</w:t>
      </w:r>
      <w:r>
        <w:tab/>
      </w:r>
      <w:r>
        <w:rPr>
          <w:rFonts w:hint="eastAsia"/>
          <w:lang w:val="en-US" w:eastAsia="zh-CN"/>
        </w:rPr>
        <w:t>10</w:t>
      </w:r>
    </w:p>
    <w:p w14:paraId="573E4B9F">
      <w:pPr>
        <w:pStyle w:val="14"/>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ascii="黑体" w:hAnsi="黑体" w:eastAsia="黑体"/>
          <w:color w:val="000000"/>
        </w:rPr>
        <w:t>十</w:t>
      </w:r>
      <w:r>
        <w:rPr>
          <w:rFonts w:ascii="黑体" w:hAnsi="黑体" w:eastAsia="黑体"/>
          <w:b/>
          <w:bCs/>
        </w:rPr>
        <w:t>、</w:t>
      </w:r>
      <w:r>
        <w:rPr>
          <w:rFonts w:ascii="黑体" w:hAnsi="黑体" w:eastAsia="黑体"/>
          <w:bCs/>
        </w:rPr>
        <w:t>其他重要事项的情况说明</w:t>
      </w:r>
      <w:r>
        <w:tab/>
      </w:r>
      <w:r>
        <w:rPr>
          <w:rFonts w:hint="eastAsia"/>
          <w:lang w:val="en-US" w:eastAsia="zh-CN"/>
        </w:rPr>
        <w:t>10</w:t>
      </w:r>
    </w:p>
    <w:p w14:paraId="0A08EB8B">
      <w:pPr>
        <w:pageBreakBefore w:val="0"/>
        <w:widowControl w:val="0"/>
        <w:kinsoku/>
        <w:wordWrap/>
        <w:overflowPunct/>
        <w:topLinePunct w:val="0"/>
        <w:autoSpaceDE/>
        <w:autoSpaceDN/>
        <w:bidi w:val="0"/>
        <w:adjustRightInd/>
        <w:snapToGrid/>
        <w:spacing w:line="240" w:lineRule="atLeast"/>
        <w:textAlignment w:val="auto"/>
      </w:pPr>
    </w:p>
    <w:p w14:paraId="1CA1FFAC">
      <w:pPr>
        <w:pStyle w:val="8"/>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ascii="仿宋" w:hAnsi="仿宋" w:eastAsia="仿宋"/>
          <w:b/>
          <w:color w:val="000000"/>
        </w:rPr>
        <w:t>（一）机关运行经费支出情况</w:t>
      </w:r>
      <w:r>
        <w:tab/>
      </w:r>
      <w:r>
        <w:rPr>
          <w:rFonts w:hint="eastAsia"/>
          <w:lang w:val="en-US" w:eastAsia="zh-CN"/>
        </w:rPr>
        <w:t>10</w:t>
      </w:r>
    </w:p>
    <w:p w14:paraId="5C28BA17">
      <w:pPr>
        <w:pageBreakBefore w:val="0"/>
        <w:widowControl w:val="0"/>
        <w:kinsoku/>
        <w:wordWrap/>
        <w:overflowPunct/>
        <w:topLinePunct w:val="0"/>
        <w:autoSpaceDE/>
        <w:autoSpaceDN/>
        <w:bidi w:val="0"/>
        <w:adjustRightInd/>
        <w:snapToGrid/>
        <w:spacing w:line="240" w:lineRule="atLeast"/>
        <w:textAlignment w:val="auto"/>
      </w:pPr>
    </w:p>
    <w:p w14:paraId="1572321B">
      <w:pPr>
        <w:pStyle w:val="8"/>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ascii="仿宋" w:hAnsi="仿宋" w:eastAsia="仿宋"/>
          <w:b/>
          <w:color w:val="000000"/>
        </w:rPr>
        <w:t>（二）政府采购支出情况</w:t>
      </w:r>
      <w:r>
        <w:tab/>
      </w:r>
      <w:r>
        <w:rPr>
          <w:rFonts w:hint="eastAsia"/>
          <w:lang w:val="en-US" w:eastAsia="zh-CN"/>
        </w:rPr>
        <w:t>11</w:t>
      </w:r>
    </w:p>
    <w:p w14:paraId="72580FA6">
      <w:pPr>
        <w:pageBreakBefore w:val="0"/>
        <w:widowControl w:val="0"/>
        <w:kinsoku/>
        <w:wordWrap/>
        <w:overflowPunct/>
        <w:topLinePunct w:val="0"/>
        <w:autoSpaceDE/>
        <w:autoSpaceDN/>
        <w:bidi w:val="0"/>
        <w:adjustRightInd/>
        <w:snapToGrid/>
        <w:spacing w:line="240" w:lineRule="atLeast"/>
        <w:textAlignment w:val="auto"/>
      </w:pPr>
    </w:p>
    <w:p w14:paraId="366D0570">
      <w:pPr>
        <w:pStyle w:val="8"/>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ascii="仿宋" w:hAnsi="仿宋" w:eastAsia="仿宋"/>
          <w:b/>
          <w:color w:val="000000"/>
        </w:rPr>
        <w:t>（三）国有资产占有使用情况</w:t>
      </w:r>
      <w:r>
        <w:tab/>
      </w:r>
      <w:r>
        <w:rPr>
          <w:rFonts w:hint="eastAsia"/>
          <w:lang w:val="en-US" w:eastAsia="zh-CN"/>
        </w:rPr>
        <w:t>11</w:t>
      </w:r>
    </w:p>
    <w:p w14:paraId="520A1A15">
      <w:pPr>
        <w:pageBreakBefore w:val="0"/>
        <w:widowControl w:val="0"/>
        <w:kinsoku/>
        <w:wordWrap/>
        <w:overflowPunct/>
        <w:topLinePunct w:val="0"/>
        <w:autoSpaceDE/>
        <w:autoSpaceDN/>
        <w:bidi w:val="0"/>
        <w:adjustRightInd/>
        <w:snapToGrid/>
        <w:spacing w:line="240" w:lineRule="atLeast"/>
        <w:textAlignment w:val="auto"/>
      </w:pPr>
    </w:p>
    <w:p w14:paraId="429BF69C">
      <w:pPr>
        <w:pStyle w:val="8"/>
        <w:pageBreakBefore w:val="0"/>
        <w:widowControl w:val="0"/>
        <w:kinsoku/>
        <w:wordWrap/>
        <w:overflowPunct/>
        <w:topLinePunct w:val="0"/>
        <w:autoSpaceDE/>
        <w:autoSpaceDN/>
        <w:bidi w:val="0"/>
        <w:adjustRightInd/>
        <w:snapToGrid/>
        <w:spacing w:line="240" w:lineRule="atLeast"/>
        <w:textAlignment w:val="auto"/>
        <w:rPr>
          <w:rFonts w:hint="default" w:eastAsia="宋体" w:hAnsiTheme="minorHAnsi" w:cstheme="minorBidi"/>
          <w:i w:val="0"/>
          <w:iCs w:val="0"/>
          <w:sz w:val="21"/>
          <w:szCs w:val="22"/>
          <w:lang w:val="en-US" w:eastAsia="zh-CN"/>
        </w:rPr>
      </w:pPr>
      <w:r>
        <w:rPr>
          <w:rFonts w:ascii="仿宋" w:hAnsi="仿宋" w:eastAsia="仿宋"/>
          <w:b/>
          <w:color w:val="000000"/>
        </w:rPr>
        <w:t>（四）预算绩效管理情况。</w:t>
      </w:r>
      <w:r>
        <w:tab/>
      </w:r>
      <w:r>
        <w:rPr>
          <w:rFonts w:hint="eastAsia"/>
          <w:lang w:val="en-US" w:eastAsia="zh-CN"/>
        </w:rPr>
        <w:t>11</w:t>
      </w:r>
    </w:p>
    <w:p w14:paraId="787AECA8">
      <w:pPr>
        <w:pStyle w:val="12"/>
        <w:pageBreakBefore w:val="0"/>
        <w:widowControl w:val="0"/>
        <w:kinsoku/>
        <w:wordWrap/>
        <w:overflowPunct/>
        <w:topLinePunct w:val="0"/>
        <w:autoSpaceDE/>
        <w:autoSpaceDN/>
        <w:bidi w:val="0"/>
        <w:adjustRightInd/>
        <w:snapToGrid/>
        <w:spacing w:line="240" w:lineRule="atLeast"/>
        <w:textAlignment w:val="auto"/>
        <w:rPr>
          <w:rFonts w:hint="default"/>
          <w:lang w:val="en-US" w:eastAsia="zh-CN"/>
        </w:rPr>
      </w:pPr>
      <w:r>
        <w:rPr>
          <w:rFonts w:ascii="黑体" w:hAnsi="黑体" w:eastAsia="黑体"/>
          <w:kern w:val="44"/>
        </w:rPr>
        <w:t>第三部分</w:t>
      </w:r>
      <w:r>
        <w:rPr>
          <w:rFonts w:ascii="黑体" w:hAnsi="黑体" w:eastAsia="黑体"/>
          <w:color w:val="000000"/>
        </w:rPr>
        <w:t xml:space="preserve"> 名</w:t>
      </w:r>
      <w:r>
        <w:rPr>
          <w:rFonts w:ascii="黑体" w:hAnsi="黑体" w:eastAsia="黑体"/>
          <w:kern w:val="44"/>
        </w:rPr>
        <w:t>词解释</w:t>
      </w:r>
      <w:r>
        <w:tab/>
      </w:r>
      <w:r>
        <w:rPr>
          <w:rFonts w:hint="eastAsia"/>
          <w:lang w:val="en-US" w:eastAsia="zh-CN"/>
        </w:rPr>
        <w:t>12-14</w:t>
      </w:r>
    </w:p>
    <w:p w14:paraId="7A3FF79D">
      <w:pPr>
        <w:pStyle w:val="12"/>
        <w:pageBreakBefore w:val="0"/>
        <w:widowControl w:val="0"/>
        <w:kinsoku/>
        <w:wordWrap/>
        <w:overflowPunct/>
        <w:topLinePunct w:val="0"/>
        <w:autoSpaceDE/>
        <w:autoSpaceDN/>
        <w:bidi w:val="0"/>
        <w:adjustRightInd/>
        <w:snapToGrid/>
        <w:spacing w:line="240" w:lineRule="atLeast"/>
        <w:textAlignment w:val="auto"/>
        <w:rPr>
          <w:rFonts w:hint="default" w:eastAsia="仿宋" w:hAnsi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四部分 附件</w:t>
      </w:r>
      <w:r>
        <w:tab/>
      </w:r>
      <w:r>
        <w:rPr>
          <w:rFonts w:hint="eastAsia"/>
          <w:lang w:val="en-US" w:eastAsia="zh-CN"/>
        </w:rPr>
        <w:t>14</w:t>
      </w:r>
    </w:p>
    <w:p w14:paraId="48C5AA1F">
      <w:pPr>
        <w:pStyle w:val="12"/>
        <w:pageBreakBefore w:val="0"/>
        <w:widowControl w:val="0"/>
        <w:kinsoku/>
        <w:wordWrap/>
        <w:overflowPunct/>
        <w:topLinePunct w:val="0"/>
        <w:autoSpaceDE/>
        <w:autoSpaceDN/>
        <w:bidi w:val="0"/>
        <w:adjustRightInd/>
        <w:snapToGrid/>
        <w:spacing w:line="240" w:lineRule="atLeast"/>
        <w:textAlignment w:val="auto"/>
        <w:rPr>
          <w:rFonts w:hint="default"/>
          <w:lang w:val="en-US" w:eastAsia="zh-CN"/>
        </w:rPr>
      </w:pPr>
      <w:r>
        <w:rPr>
          <w:rFonts w:ascii="黑体" w:hAnsi="黑体" w:eastAsia="黑体" w:cs="黑体"/>
        </w:rPr>
        <w:t>附件1</w:t>
      </w:r>
      <w:r>
        <w:tab/>
      </w:r>
      <w:r>
        <w:rPr>
          <w:rFonts w:hint="eastAsia"/>
          <w:lang w:val="en-US" w:eastAsia="zh-CN"/>
        </w:rPr>
        <w:t>15</w:t>
      </w:r>
    </w:p>
    <w:p w14:paraId="46151602">
      <w:pPr>
        <w:pStyle w:val="12"/>
        <w:pageBreakBefore w:val="0"/>
        <w:widowControl w:val="0"/>
        <w:kinsoku/>
        <w:wordWrap/>
        <w:overflowPunct/>
        <w:topLinePunct w:val="0"/>
        <w:autoSpaceDE/>
        <w:autoSpaceDN/>
        <w:bidi w:val="0"/>
        <w:adjustRightInd/>
        <w:snapToGrid/>
        <w:spacing w:line="240" w:lineRule="atLeast"/>
        <w:textAlignment w:val="auto"/>
        <w:rPr>
          <w:rFonts w:hint="default" w:eastAsia="仿宋"/>
          <w:lang w:val="en-US" w:eastAsia="zh-CN"/>
        </w:rPr>
      </w:pPr>
      <w:r>
        <w:rPr>
          <w:rFonts w:hint="eastAsia" w:ascii="方正小标宋简体" w:hAnsi="黑体" w:eastAsia="方正小标宋简体" w:cs="黑体"/>
          <w:sz w:val="18"/>
          <w:szCs w:val="18"/>
          <w:lang w:val="en-US" w:eastAsia="zh-CN"/>
        </w:rPr>
        <w:t>九寨沟县建设工程质量安全监督站</w:t>
      </w:r>
      <w:r>
        <w:rPr>
          <w:rFonts w:ascii="方正小标宋简体" w:hAnsi="黑体" w:eastAsia="方正小标宋简体" w:cs="黑体"/>
          <w:sz w:val="18"/>
          <w:szCs w:val="18"/>
        </w:rPr>
        <w:t>2020年部门整体支出绩效评价报告</w:t>
      </w:r>
      <w:r>
        <w:tab/>
      </w:r>
      <w:r>
        <w:rPr>
          <w:rFonts w:hint="eastAsia"/>
          <w:lang w:val="en-US" w:eastAsia="zh-CN"/>
        </w:rPr>
        <w:t>15-17</w:t>
      </w:r>
    </w:p>
    <w:p w14:paraId="011D2FC8">
      <w:pPr>
        <w:pStyle w:val="12"/>
        <w:pageBreakBefore w:val="0"/>
        <w:widowControl w:val="0"/>
        <w:kinsoku/>
        <w:wordWrap/>
        <w:overflowPunct/>
        <w:topLinePunct w:val="0"/>
        <w:autoSpaceDE/>
        <w:autoSpaceDN/>
        <w:bidi w:val="0"/>
        <w:adjustRightInd/>
        <w:snapToGrid/>
        <w:spacing w:line="240" w:lineRule="atLeast"/>
        <w:textAlignment w:val="auto"/>
        <w:rPr>
          <w:rFonts w:hint="default" w:eastAsia="仿宋" w:hAnsi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五部分 附表</w:t>
      </w:r>
      <w:r>
        <w:tab/>
      </w:r>
      <w:r>
        <w:rPr>
          <w:rFonts w:hint="eastAsia"/>
          <w:lang w:val="en-US" w:eastAsia="zh-CN"/>
        </w:rPr>
        <w:t>18</w:t>
      </w:r>
    </w:p>
    <w:p w14:paraId="18B8ADE4">
      <w:pPr>
        <w:pStyle w:val="14"/>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ascii="仿宋" w:hAnsi="仿宋" w:eastAsia="仿宋"/>
          <w:color w:val="000000"/>
        </w:rPr>
        <w:t>一、收</w:t>
      </w:r>
      <w:r>
        <w:rPr>
          <w:rFonts w:ascii="仿宋" w:hAnsi="仿宋" w:eastAsia="仿宋"/>
        </w:rPr>
        <w:t>入支出决算总表</w:t>
      </w:r>
      <w:r>
        <w:tab/>
      </w:r>
      <w:r>
        <w:rPr>
          <w:rFonts w:hint="eastAsia"/>
          <w:lang w:val="en-US" w:eastAsia="zh-CN"/>
        </w:rPr>
        <w:t>18</w:t>
      </w:r>
    </w:p>
    <w:p w14:paraId="40B51255">
      <w:pPr>
        <w:pageBreakBefore w:val="0"/>
        <w:widowControl w:val="0"/>
        <w:kinsoku/>
        <w:wordWrap/>
        <w:overflowPunct/>
        <w:topLinePunct w:val="0"/>
        <w:autoSpaceDE/>
        <w:autoSpaceDN/>
        <w:bidi w:val="0"/>
        <w:adjustRightInd/>
        <w:snapToGrid/>
        <w:spacing w:line="240" w:lineRule="atLeast"/>
        <w:textAlignment w:val="auto"/>
      </w:pPr>
    </w:p>
    <w:p w14:paraId="140D80B1">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color w:val="000000"/>
        </w:rPr>
        <w:t>二、收</w:t>
      </w:r>
      <w:r>
        <w:rPr>
          <w:rFonts w:ascii="仿宋" w:hAnsi="仿宋" w:eastAsia="仿宋"/>
        </w:rPr>
        <w:t>入决算表</w:t>
      </w:r>
      <w:r>
        <w:tab/>
      </w:r>
      <w:r>
        <w:rPr>
          <w:rFonts w:hint="eastAsia"/>
          <w:lang w:val="en-US" w:eastAsia="zh-CN"/>
        </w:rPr>
        <w:t>18</w:t>
      </w:r>
    </w:p>
    <w:p w14:paraId="38C2CF14">
      <w:pPr>
        <w:pageBreakBefore w:val="0"/>
        <w:widowControl w:val="0"/>
        <w:kinsoku/>
        <w:wordWrap/>
        <w:overflowPunct/>
        <w:topLinePunct w:val="0"/>
        <w:autoSpaceDE/>
        <w:autoSpaceDN/>
        <w:bidi w:val="0"/>
        <w:adjustRightInd/>
        <w:snapToGrid/>
        <w:spacing w:line="240" w:lineRule="atLeast"/>
        <w:textAlignment w:val="auto"/>
      </w:pPr>
    </w:p>
    <w:p w14:paraId="104B30B8">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三、</w:t>
      </w:r>
      <w:r>
        <w:rPr>
          <w:rFonts w:ascii="仿宋" w:hAnsi="仿宋" w:eastAsia="仿宋"/>
          <w:color w:val="000000"/>
        </w:rPr>
        <w:t>支</w:t>
      </w:r>
      <w:r>
        <w:rPr>
          <w:rFonts w:ascii="仿宋" w:hAnsi="仿宋" w:eastAsia="仿宋"/>
        </w:rPr>
        <w:t>出决算表</w:t>
      </w:r>
      <w:r>
        <w:tab/>
      </w:r>
      <w:r>
        <w:rPr>
          <w:rFonts w:hint="eastAsia"/>
          <w:lang w:val="en-US" w:eastAsia="zh-CN"/>
        </w:rPr>
        <w:t>18</w:t>
      </w:r>
    </w:p>
    <w:p w14:paraId="70219C95">
      <w:pPr>
        <w:pageBreakBefore w:val="0"/>
        <w:widowControl w:val="0"/>
        <w:kinsoku/>
        <w:wordWrap/>
        <w:overflowPunct/>
        <w:topLinePunct w:val="0"/>
        <w:autoSpaceDE/>
        <w:autoSpaceDN/>
        <w:bidi w:val="0"/>
        <w:adjustRightInd/>
        <w:snapToGrid/>
        <w:spacing w:line="240" w:lineRule="atLeast"/>
        <w:textAlignment w:val="auto"/>
      </w:pPr>
    </w:p>
    <w:p w14:paraId="7462222A">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rPr>
          <w:rFonts w:hint="eastAsia"/>
          <w:lang w:val="en-US" w:eastAsia="zh-CN"/>
        </w:rPr>
        <w:t>18</w:t>
      </w:r>
    </w:p>
    <w:p w14:paraId="18D4F0BF">
      <w:pPr>
        <w:pageBreakBefore w:val="0"/>
        <w:widowControl w:val="0"/>
        <w:kinsoku/>
        <w:wordWrap/>
        <w:overflowPunct/>
        <w:topLinePunct w:val="0"/>
        <w:autoSpaceDE/>
        <w:autoSpaceDN/>
        <w:bidi w:val="0"/>
        <w:adjustRightInd/>
        <w:snapToGrid/>
        <w:spacing w:line="240" w:lineRule="atLeast"/>
        <w:textAlignment w:val="auto"/>
      </w:pPr>
    </w:p>
    <w:p w14:paraId="480400B3">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rPr>
          <w:rFonts w:hint="eastAsia"/>
          <w:lang w:val="en-US" w:eastAsia="zh-CN"/>
        </w:rPr>
        <w:t>18</w:t>
      </w:r>
    </w:p>
    <w:p w14:paraId="15534FEF">
      <w:pPr>
        <w:pageBreakBefore w:val="0"/>
        <w:widowControl w:val="0"/>
        <w:kinsoku/>
        <w:wordWrap/>
        <w:overflowPunct/>
        <w:topLinePunct w:val="0"/>
        <w:autoSpaceDE/>
        <w:autoSpaceDN/>
        <w:bidi w:val="0"/>
        <w:adjustRightInd/>
        <w:snapToGrid/>
        <w:spacing w:line="240" w:lineRule="atLeast"/>
        <w:textAlignment w:val="auto"/>
      </w:pPr>
    </w:p>
    <w:p w14:paraId="334D2756">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rPr>
          <w:rFonts w:hint="eastAsia"/>
          <w:lang w:val="en-US" w:eastAsia="zh-CN"/>
        </w:rPr>
        <w:t>18</w:t>
      </w:r>
    </w:p>
    <w:p w14:paraId="71FB5EF7">
      <w:pPr>
        <w:pageBreakBefore w:val="0"/>
        <w:widowControl w:val="0"/>
        <w:kinsoku/>
        <w:wordWrap/>
        <w:overflowPunct/>
        <w:topLinePunct w:val="0"/>
        <w:autoSpaceDE/>
        <w:autoSpaceDN/>
        <w:bidi w:val="0"/>
        <w:adjustRightInd/>
        <w:snapToGrid/>
        <w:spacing w:line="240" w:lineRule="atLeast"/>
        <w:textAlignment w:val="auto"/>
      </w:pPr>
    </w:p>
    <w:p w14:paraId="0819B35C">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rPr>
          <w:rFonts w:hint="eastAsia"/>
          <w:lang w:val="en-US" w:eastAsia="zh-CN"/>
        </w:rPr>
        <w:t>18</w:t>
      </w:r>
    </w:p>
    <w:p w14:paraId="4041469F">
      <w:pPr>
        <w:pageBreakBefore w:val="0"/>
        <w:widowControl w:val="0"/>
        <w:kinsoku/>
        <w:wordWrap/>
        <w:overflowPunct/>
        <w:topLinePunct w:val="0"/>
        <w:autoSpaceDE/>
        <w:autoSpaceDN/>
        <w:bidi w:val="0"/>
        <w:adjustRightInd/>
        <w:snapToGrid/>
        <w:spacing w:line="240" w:lineRule="atLeast"/>
        <w:textAlignment w:val="auto"/>
      </w:pPr>
    </w:p>
    <w:p w14:paraId="2508276F">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rPr>
          <w:rFonts w:hint="eastAsia"/>
          <w:lang w:val="en-US" w:eastAsia="zh-CN"/>
        </w:rPr>
        <w:t>18</w:t>
      </w:r>
    </w:p>
    <w:p w14:paraId="2659FCEF">
      <w:pPr>
        <w:pageBreakBefore w:val="0"/>
        <w:widowControl w:val="0"/>
        <w:kinsoku/>
        <w:wordWrap/>
        <w:overflowPunct/>
        <w:topLinePunct w:val="0"/>
        <w:autoSpaceDE/>
        <w:autoSpaceDN/>
        <w:bidi w:val="0"/>
        <w:adjustRightInd/>
        <w:snapToGrid/>
        <w:spacing w:line="240" w:lineRule="atLeast"/>
        <w:textAlignment w:val="auto"/>
      </w:pPr>
    </w:p>
    <w:p w14:paraId="6B8D22E2">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rPr>
          <w:rFonts w:hint="eastAsia"/>
          <w:lang w:val="en-US" w:eastAsia="zh-CN"/>
        </w:rPr>
        <w:t>18</w:t>
      </w:r>
    </w:p>
    <w:p w14:paraId="6DFAA57B">
      <w:pPr>
        <w:pageBreakBefore w:val="0"/>
        <w:widowControl w:val="0"/>
        <w:kinsoku/>
        <w:wordWrap/>
        <w:overflowPunct/>
        <w:topLinePunct w:val="0"/>
        <w:autoSpaceDE/>
        <w:autoSpaceDN/>
        <w:bidi w:val="0"/>
        <w:adjustRightInd/>
        <w:snapToGrid/>
        <w:spacing w:line="240" w:lineRule="atLeast"/>
        <w:textAlignment w:val="auto"/>
      </w:pPr>
    </w:p>
    <w:p w14:paraId="7DA55318">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十、</w:t>
      </w:r>
      <w:r>
        <w:rPr>
          <w:rFonts w:ascii="仿宋" w:hAnsi="仿宋" w:eastAsia="仿宋"/>
          <w:color w:val="000000"/>
        </w:rPr>
        <w:t>一</w:t>
      </w:r>
      <w:r>
        <w:rPr>
          <w:rFonts w:ascii="仿宋" w:hAnsi="仿宋" w:eastAsia="仿宋"/>
        </w:rPr>
        <w:t>般公共预算财政拨款“三公”经费支出决算表</w:t>
      </w:r>
      <w:r>
        <w:tab/>
      </w:r>
      <w:r>
        <w:rPr>
          <w:rFonts w:hint="eastAsia"/>
          <w:lang w:val="en-US" w:eastAsia="zh-CN"/>
        </w:rPr>
        <w:t>18</w:t>
      </w:r>
    </w:p>
    <w:p w14:paraId="305A2473">
      <w:pPr>
        <w:pageBreakBefore w:val="0"/>
        <w:widowControl w:val="0"/>
        <w:kinsoku/>
        <w:wordWrap/>
        <w:overflowPunct/>
        <w:topLinePunct w:val="0"/>
        <w:autoSpaceDE/>
        <w:autoSpaceDN/>
        <w:bidi w:val="0"/>
        <w:adjustRightInd/>
        <w:snapToGrid/>
        <w:spacing w:line="240" w:lineRule="atLeast"/>
        <w:textAlignment w:val="auto"/>
      </w:pPr>
    </w:p>
    <w:p w14:paraId="261ACDC0">
      <w:pPr>
        <w:pStyle w:val="14"/>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十一、</w:t>
      </w:r>
      <w:r>
        <w:rPr>
          <w:rFonts w:ascii="仿宋" w:hAnsi="仿宋" w:eastAsia="仿宋"/>
          <w:color w:val="000000"/>
        </w:rPr>
        <w:t>政</w:t>
      </w:r>
      <w:r>
        <w:rPr>
          <w:rFonts w:ascii="仿宋" w:hAnsi="仿宋" w:eastAsia="仿宋"/>
        </w:rPr>
        <w:t>府性基金预算财政拨款收入支出决算表</w:t>
      </w:r>
      <w:r>
        <w:tab/>
      </w:r>
      <w:r>
        <w:rPr>
          <w:rFonts w:hint="eastAsia"/>
          <w:lang w:val="en-US" w:eastAsia="zh-CN"/>
        </w:rPr>
        <w:t>18</w:t>
      </w:r>
    </w:p>
    <w:p w14:paraId="2376F890">
      <w:pPr>
        <w:pageBreakBefore w:val="0"/>
        <w:widowControl w:val="0"/>
        <w:kinsoku/>
        <w:wordWrap/>
        <w:overflowPunct/>
        <w:topLinePunct w:val="0"/>
        <w:autoSpaceDE/>
        <w:autoSpaceDN/>
        <w:bidi w:val="0"/>
        <w:adjustRightInd/>
        <w:snapToGrid/>
        <w:spacing w:line="240" w:lineRule="atLeast"/>
        <w:textAlignment w:val="auto"/>
      </w:pPr>
    </w:p>
    <w:p w14:paraId="4B10EBC1">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十二、</w:t>
      </w:r>
      <w:r>
        <w:rPr>
          <w:rFonts w:ascii="仿宋" w:hAnsi="仿宋" w:eastAsia="仿宋"/>
          <w:color w:val="000000"/>
        </w:rPr>
        <w:t>政</w:t>
      </w:r>
      <w:r>
        <w:rPr>
          <w:rFonts w:ascii="仿宋" w:hAnsi="仿宋" w:eastAsia="仿宋"/>
        </w:rPr>
        <w:t>府性基金预算财政拨款“三公”经费支出决算表</w:t>
      </w:r>
      <w:r>
        <w:tab/>
      </w:r>
      <w:r>
        <w:rPr>
          <w:rFonts w:hint="eastAsia"/>
          <w:lang w:val="en-US" w:eastAsia="zh-CN"/>
        </w:rPr>
        <w:t>17</w:t>
      </w:r>
    </w:p>
    <w:p w14:paraId="0ED6FA82">
      <w:pPr>
        <w:pageBreakBefore w:val="0"/>
        <w:widowControl w:val="0"/>
        <w:kinsoku/>
        <w:wordWrap/>
        <w:overflowPunct/>
        <w:topLinePunct w:val="0"/>
        <w:autoSpaceDE/>
        <w:autoSpaceDN/>
        <w:bidi w:val="0"/>
        <w:adjustRightInd/>
        <w:snapToGrid/>
        <w:spacing w:line="240" w:lineRule="atLeast"/>
        <w:textAlignment w:val="auto"/>
      </w:pPr>
    </w:p>
    <w:p w14:paraId="3FFD8A6E">
      <w:pPr>
        <w:pStyle w:val="14"/>
        <w:pageBreakBefore w:val="0"/>
        <w:widowControl w:val="0"/>
        <w:kinsoku/>
        <w:wordWrap/>
        <w:overflowPunct/>
        <w:topLinePunct w:val="0"/>
        <w:autoSpaceDE/>
        <w:autoSpaceDN/>
        <w:bidi w:val="0"/>
        <w:adjustRightInd/>
        <w:snapToGrid/>
        <w:spacing w:line="240" w:lineRule="atLeast"/>
        <w:textAlignment w:val="auto"/>
        <w:rPr>
          <w:rFonts w:hint="default"/>
          <w:lang w:val="en-US"/>
        </w:rPr>
      </w:pPr>
      <w:r>
        <w:rPr>
          <w:rFonts w:ascii="仿宋" w:hAnsi="仿宋" w:eastAsia="仿宋"/>
        </w:rPr>
        <w:t>十三、</w:t>
      </w:r>
      <w:r>
        <w:rPr>
          <w:rFonts w:ascii="仿宋" w:hAnsi="仿宋" w:eastAsia="仿宋"/>
          <w:color w:val="000000"/>
        </w:rPr>
        <w:t>国</w:t>
      </w:r>
      <w:r>
        <w:rPr>
          <w:rFonts w:ascii="仿宋" w:hAnsi="仿宋" w:eastAsia="仿宋"/>
        </w:rPr>
        <w:t>有资本经营预算财政拨款</w:t>
      </w:r>
      <w:r>
        <w:rPr>
          <w:rFonts w:hint="eastAsia" w:ascii="仿宋" w:hAnsi="仿宋" w:eastAsia="仿宋"/>
          <w:lang w:eastAsia="zh-CN"/>
        </w:rPr>
        <w:t>收入</w:t>
      </w:r>
      <w:r>
        <w:rPr>
          <w:rFonts w:ascii="仿宋" w:hAnsi="仿宋" w:eastAsia="仿宋"/>
        </w:rPr>
        <w:t>支出决算表</w:t>
      </w:r>
      <w:r>
        <w:tab/>
      </w:r>
      <w:r>
        <w:rPr>
          <w:rFonts w:hint="eastAsia"/>
          <w:lang w:val="en-US" w:eastAsia="zh-CN"/>
        </w:rPr>
        <w:t>17</w:t>
      </w:r>
    </w:p>
    <w:p w14:paraId="65004D7F">
      <w:pPr>
        <w:pageBreakBefore w:val="0"/>
        <w:widowControl w:val="0"/>
        <w:kinsoku/>
        <w:wordWrap/>
        <w:overflowPunct/>
        <w:topLinePunct w:val="0"/>
        <w:autoSpaceDE/>
        <w:autoSpaceDN/>
        <w:bidi w:val="0"/>
        <w:adjustRightInd/>
        <w:snapToGrid/>
        <w:spacing w:line="240" w:lineRule="atLeast"/>
        <w:textAlignment w:val="auto"/>
      </w:pPr>
    </w:p>
    <w:p w14:paraId="5FE1C897">
      <w:pPr>
        <w:pStyle w:val="14"/>
        <w:pageBreakBefore w:val="0"/>
        <w:widowControl w:val="0"/>
        <w:kinsoku/>
        <w:wordWrap/>
        <w:overflowPunct/>
        <w:topLinePunct w:val="0"/>
        <w:autoSpaceDE/>
        <w:autoSpaceDN/>
        <w:bidi w:val="0"/>
        <w:adjustRightInd/>
        <w:snapToGrid/>
        <w:spacing w:line="240" w:lineRule="atLeast"/>
        <w:textAlignment w:val="auto"/>
        <w:rPr>
          <w:rFonts w:hint="default" w:hAnsiTheme="minorHAnsi" w:eastAsiaTheme="minorEastAsia" w:cstheme="minorBidi"/>
          <w:smallCaps w:val="0"/>
          <w:sz w:val="21"/>
          <w:szCs w:val="22"/>
          <w:lang w:val="en-US"/>
        </w:rPr>
      </w:pPr>
      <w:r>
        <w:rPr>
          <w:rFonts w:ascii="仿宋" w:hAnsi="仿宋" w:eastAsia="仿宋"/>
        </w:rPr>
        <w:t>十四、国有资本经营预算财政拨款支出决算表</w:t>
      </w:r>
      <w:r>
        <w:tab/>
      </w:r>
      <w:r>
        <w:rPr>
          <w:rFonts w:hint="eastAsia"/>
          <w:lang w:val="en-US" w:eastAsia="zh-CN"/>
        </w:rPr>
        <w:t>17</w:t>
      </w:r>
    </w:p>
    <w:p w14:paraId="5D300493">
      <w:pPr>
        <w:pStyle w:val="3"/>
        <w:pageBreakBefore w:val="0"/>
        <w:widowControl w:val="0"/>
        <w:kinsoku/>
        <w:wordWrap/>
        <w:overflowPunct/>
        <w:topLinePunct w:val="0"/>
        <w:autoSpaceDE/>
        <w:autoSpaceDN/>
        <w:bidi w:val="0"/>
        <w:adjustRightInd/>
        <w:snapToGrid/>
        <w:spacing w:line="240" w:lineRule="atLeast"/>
        <w:jc w:val="both"/>
        <w:textAlignment w:val="auto"/>
        <w:rPr>
          <w:rFonts w:hint="eastAsia" w:ascii="黑体" w:hAnsi="黑体" w:eastAsia="黑体"/>
          <w:b w:val="0"/>
        </w:rPr>
      </w:pPr>
      <w:r>
        <w:rPr>
          <w:rFonts w:asciiTheme="minorHAnsi" w:eastAsiaTheme="minorHAnsi"/>
          <w:b/>
          <w:bCs/>
          <w:caps/>
          <w:sz w:val="20"/>
          <w:szCs w:val="20"/>
        </w:rPr>
        <w:fldChar w:fldCharType="end"/>
      </w:r>
      <w:bookmarkEnd w:id="6"/>
      <w:bookmarkEnd w:id="7"/>
    </w:p>
    <w:p w14:paraId="79FC541B">
      <w:pPr>
        <w:pStyle w:val="3"/>
        <w:pageBreakBefore w:val="0"/>
        <w:widowControl w:val="0"/>
        <w:kinsoku/>
        <w:wordWrap/>
        <w:overflowPunct/>
        <w:topLinePunct w:val="0"/>
        <w:autoSpaceDE/>
        <w:autoSpaceDN/>
        <w:bidi w:val="0"/>
        <w:adjustRightInd/>
        <w:snapToGrid/>
        <w:spacing w:line="240" w:lineRule="atLeast"/>
        <w:jc w:val="center"/>
        <w:textAlignment w:val="auto"/>
        <w:rPr>
          <w:rStyle w:val="36"/>
          <w:rFonts w:ascii="黑体" w:hAnsi="黑体" w:eastAsia="黑体"/>
          <w:b/>
          <w:bCs w:val="0"/>
        </w:rPr>
      </w:pPr>
      <w:r>
        <w:rPr>
          <w:rFonts w:hint="eastAsia" w:ascii="黑体" w:hAnsi="黑体" w:eastAsia="黑体"/>
          <w:b w:val="0"/>
        </w:rPr>
        <w:t>第一部分 单位</w:t>
      </w:r>
      <w:r>
        <w:rPr>
          <w:rStyle w:val="36"/>
          <w:rFonts w:hint="eastAsia" w:ascii="黑体" w:hAnsi="黑体" w:eastAsia="黑体"/>
          <w:b w:val="0"/>
          <w:bCs w:val="0"/>
        </w:rPr>
        <w:t>概况</w:t>
      </w:r>
    </w:p>
    <w:p w14:paraId="4FA6D8D4">
      <w:pPr>
        <w:widowControl/>
        <w:jc w:val="left"/>
        <w:rPr>
          <w:rFonts w:ascii="黑体" w:eastAsia="黑体"/>
          <w:sz w:val="32"/>
          <w:szCs w:val="32"/>
        </w:rPr>
      </w:pPr>
    </w:p>
    <w:p w14:paraId="522CB63B">
      <w:pPr>
        <w:pStyle w:val="2"/>
        <w:numPr>
          <w:ilvl w:val="0"/>
          <w:numId w:val="1"/>
        </w:numPr>
        <w:rPr>
          <w:rStyle w:val="37"/>
          <w:rFonts w:ascii="黑体" w:hAnsi="黑体" w:eastAsia="黑体"/>
          <w:b w:val="0"/>
          <w:bCs w:val="0"/>
        </w:rPr>
      </w:pPr>
      <w:bookmarkStart w:id="10" w:name="_Toc15377197"/>
      <w:bookmarkStart w:id="11" w:name="_Toc15396600"/>
      <w:r>
        <w:rPr>
          <w:rStyle w:val="37"/>
          <w:rFonts w:hint="eastAsia" w:ascii="黑体" w:hAnsi="黑体" w:eastAsia="黑体"/>
          <w:b w:val="0"/>
          <w:bCs w:val="0"/>
        </w:rPr>
        <w:t>主要职责</w:t>
      </w:r>
    </w:p>
    <w:p w14:paraId="24378BA8">
      <w:r>
        <w:rPr>
          <w:rFonts w:hint="eastAsia" w:ascii="仿宋_GB2312" w:hAnsi="宋体" w:eastAsia="仿宋_GB2312" w:cs="宋体"/>
          <w:bCs/>
          <w:color w:val="000000" w:themeColor="text1"/>
          <w:kern w:val="0"/>
          <w:sz w:val="32"/>
          <w:szCs w:val="32"/>
          <w14:textFill>
            <w14:solidFill>
              <w14:schemeClr w14:val="tx1"/>
            </w14:solidFill>
          </w14:textFill>
        </w:rPr>
        <w:t>承担监督管理</w:t>
      </w:r>
      <w:r>
        <w:rPr>
          <w:rFonts w:hint="eastAsia" w:ascii="仿宋_GB2312" w:hAnsi="宋体" w:eastAsia="仿宋_GB2312" w:cs="宋体"/>
          <w:bCs/>
          <w:color w:val="000000" w:themeColor="text1"/>
          <w:kern w:val="0"/>
          <w:sz w:val="32"/>
          <w:szCs w:val="32"/>
          <w:lang w:eastAsia="zh-CN"/>
          <w14:textFill>
            <w14:solidFill>
              <w14:schemeClr w14:val="tx1"/>
            </w14:solidFill>
          </w14:textFill>
        </w:rPr>
        <w:t>房屋</w:t>
      </w:r>
      <w:r>
        <w:rPr>
          <w:rFonts w:hint="eastAsia" w:ascii="仿宋_GB2312" w:hAnsi="宋体" w:eastAsia="仿宋_GB2312" w:cs="宋体"/>
          <w:bCs/>
          <w:color w:val="000000" w:themeColor="text1"/>
          <w:kern w:val="0"/>
          <w:sz w:val="32"/>
          <w:szCs w:val="32"/>
          <w14:textFill>
            <w14:solidFill>
              <w14:schemeClr w14:val="tx1"/>
            </w14:solidFill>
          </w14:textFill>
        </w:rPr>
        <w:t>建筑</w:t>
      </w:r>
      <w:r>
        <w:rPr>
          <w:rFonts w:hint="eastAsia" w:ascii="仿宋_GB2312" w:hAnsi="宋体" w:eastAsia="仿宋_GB2312" w:cs="宋体"/>
          <w:bCs/>
          <w:color w:val="000000" w:themeColor="text1"/>
          <w:kern w:val="0"/>
          <w:sz w:val="32"/>
          <w:szCs w:val="32"/>
          <w:lang w:eastAsia="zh-CN"/>
          <w14:textFill>
            <w14:solidFill>
              <w14:schemeClr w14:val="tx1"/>
            </w14:solidFill>
          </w14:textFill>
        </w:rPr>
        <w:t>和市政基础设施建设项目建筑</w:t>
      </w:r>
      <w:r>
        <w:rPr>
          <w:rFonts w:hint="eastAsia" w:ascii="仿宋_GB2312" w:hAnsi="宋体" w:eastAsia="仿宋_GB2312" w:cs="宋体"/>
          <w:bCs/>
          <w:color w:val="000000" w:themeColor="text1"/>
          <w:kern w:val="0"/>
          <w:sz w:val="32"/>
          <w:szCs w:val="32"/>
          <w14:textFill>
            <w14:solidFill>
              <w14:schemeClr w14:val="tx1"/>
            </w14:solidFill>
          </w14:textFill>
        </w:rPr>
        <w:t>市场、规范市场各方主体行为的责任。</w:t>
      </w:r>
      <w:r>
        <w:rPr>
          <w:rFonts w:ascii="仿宋_GB2312" w:hAnsi="宋体" w:eastAsia="仿宋_GB2312" w:cs="宋体"/>
          <w:bCs/>
          <w:color w:val="000000" w:themeColor="text1"/>
          <w:kern w:val="0"/>
          <w:sz w:val="32"/>
          <w:szCs w:val="32"/>
          <w14:textFill>
            <w14:solidFill>
              <w14:schemeClr w14:val="tx1"/>
            </w14:solidFill>
          </w14:textFill>
        </w:rPr>
        <w:t>指导全</w:t>
      </w:r>
      <w:r>
        <w:rPr>
          <w:rFonts w:hint="eastAsia" w:ascii="仿宋_GB2312" w:hAnsi="宋体" w:eastAsia="仿宋_GB2312" w:cs="宋体"/>
          <w:bCs/>
          <w:color w:val="000000" w:themeColor="text1"/>
          <w:kern w:val="0"/>
          <w:sz w:val="32"/>
          <w:szCs w:val="32"/>
          <w14:textFill>
            <w14:solidFill>
              <w14:schemeClr w14:val="tx1"/>
            </w14:solidFill>
          </w14:textFill>
        </w:rPr>
        <w:t>县</w:t>
      </w:r>
      <w:r>
        <w:rPr>
          <w:rFonts w:hint="eastAsia" w:ascii="仿宋_GB2312" w:hAnsi="宋体" w:eastAsia="仿宋_GB2312" w:cs="宋体"/>
          <w:bCs/>
          <w:color w:val="000000" w:themeColor="text1"/>
          <w:kern w:val="0"/>
          <w:sz w:val="32"/>
          <w:szCs w:val="32"/>
          <w:lang w:eastAsia="zh-CN"/>
          <w14:textFill>
            <w14:solidFill>
              <w14:schemeClr w14:val="tx1"/>
            </w14:solidFill>
          </w14:textFill>
        </w:rPr>
        <w:t>房</w:t>
      </w:r>
      <w:r>
        <w:rPr>
          <w:rFonts w:ascii="仿宋_GB2312" w:hAnsi="宋体" w:eastAsia="仿宋_GB2312" w:cs="宋体"/>
          <w:bCs/>
          <w:color w:val="000000" w:themeColor="text1"/>
          <w:kern w:val="0"/>
          <w:sz w:val="32"/>
          <w:szCs w:val="32"/>
          <w14:textFill>
            <w14:solidFill>
              <w14:schemeClr w14:val="tx1"/>
            </w14:solidFill>
          </w14:textFill>
        </w:rPr>
        <w:t>建</w:t>
      </w:r>
      <w:r>
        <w:rPr>
          <w:rFonts w:hint="eastAsia" w:ascii="仿宋_GB2312" w:hAnsi="宋体" w:eastAsia="仿宋_GB2312" w:cs="宋体"/>
          <w:bCs/>
          <w:color w:val="000000" w:themeColor="text1"/>
          <w:kern w:val="0"/>
          <w:sz w:val="32"/>
          <w:szCs w:val="32"/>
          <w:lang w:eastAsia="zh-CN"/>
          <w14:textFill>
            <w14:solidFill>
              <w14:schemeClr w14:val="tx1"/>
            </w14:solidFill>
          </w14:textFill>
        </w:rPr>
        <w:t>市政类建筑活动，</w:t>
      </w:r>
      <w:r>
        <w:rPr>
          <w:rFonts w:ascii="仿宋_GB2312" w:hAnsi="宋体" w:eastAsia="仿宋_GB2312" w:cs="宋体"/>
          <w:bCs/>
          <w:color w:val="000000" w:themeColor="text1"/>
          <w:kern w:val="0"/>
          <w:sz w:val="32"/>
          <w:szCs w:val="32"/>
          <w14:textFill>
            <w14:solidFill>
              <w14:schemeClr w14:val="tx1"/>
            </w14:solidFill>
          </w14:textFill>
        </w:rPr>
        <w:t>负责</w:t>
      </w:r>
      <w:r>
        <w:rPr>
          <w:rFonts w:hint="eastAsia" w:ascii="仿宋_GB2312" w:hAnsi="宋体" w:eastAsia="仿宋_GB2312" w:cs="宋体"/>
          <w:bCs/>
          <w:color w:val="000000" w:themeColor="text1"/>
          <w:kern w:val="0"/>
          <w:sz w:val="32"/>
          <w:szCs w:val="32"/>
          <w:lang w:eastAsia="zh-CN"/>
          <w14:textFill>
            <w14:solidFill>
              <w14:schemeClr w14:val="tx1"/>
            </w14:solidFill>
          </w14:textFill>
        </w:rPr>
        <w:t>房屋建筑和市政基础设施</w:t>
      </w:r>
      <w:r>
        <w:rPr>
          <w:rFonts w:ascii="仿宋_GB2312" w:hAnsi="宋体" w:eastAsia="仿宋_GB2312" w:cs="宋体"/>
          <w:bCs/>
          <w:color w:val="000000" w:themeColor="text1"/>
          <w:kern w:val="0"/>
          <w:sz w:val="32"/>
          <w:szCs w:val="32"/>
          <w14:textFill>
            <w14:solidFill>
              <w14:schemeClr w14:val="tx1"/>
            </w14:solidFill>
          </w14:textFill>
        </w:rPr>
        <w:t>建设</w:t>
      </w:r>
      <w:r>
        <w:rPr>
          <w:rFonts w:hint="eastAsia" w:ascii="仿宋_GB2312" w:hAnsi="宋体" w:eastAsia="仿宋_GB2312" w:cs="宋体"/>
          <w:bCs/>
          <w:color w:val="000000" w:themeColor="text1"/>
          <w:kern w:val="0"/>
          <w:sz w:val="32"/>
          <w:szCs w:val="32"/>
          <w:lang w:eastAsia="zh-CN"/>
          <w14:textFill>
            <w14:solidFill>
              <w14:schemeClr w14:val="tx1"/>
            </w14:solidFill>
          </w14:textFill>
        </w:rPr>
        <w:t>项目</w:t>
      </w:r>
      <w:r>
        <w:rPr>
          <w:rFonts w:ascii="仿宋_GB2312" w:hAnsi="宋体" w:eastAsia="仿宋_GB2312" w:cs="宋体"/>
          <w:bCs/>
          <w:color w:val="000000" w:themeColor="text1"/>
          <w:kern w:val="0"/>
          <w:sz w:val="32"/>
          <w:szCs w:val="32"/>
          <w14:textFill>
            <w14:solidFill>
              <w14:schemeClr w14:val="tx1"/>
            </w14:solidFill>
          </w14:textFill>
        </w:rPr>
        <w:t>工程招标投标活动的监督管理，</w:t>
      </w:r>
      <w:r>
        <w:rPr>
          <w:rFonts w:hint="eastAsia" w:ascii="仿宋_GB2312" w:hAnsi="宋体" w:eastAsia="仿宋_GB2312" w:cs="宋体"/>
          <w:bCs/>
          <w:color w:val="000000" w:themeColor="text1"/>
          <w:kern w:val="0"/>
          <w:sz w:val="32"/>
          <w:szCs w:val="32"/>
          <w:lang w:eastAsia="zh-CN"/>
          <w14:textFill>
            <w14:solidFill>
              <w14:schemeClr w14:val="tx1"/>
            </w14:solidFill>
          </w14:textFill>
        </w:rPr>
        <w:t>指导监督县行政审批局</w:t>
      </w:r>
      <w:r>
        <w:rPr>
          <w:rFonts w:ascii="仿宋_GB2312" w:hAnsi="宋体" w:eastAsia="仿宋_GB2312" w:cs="宋体"/>
          <w:bCs/>
          <w:color w:val="000000" w:themeColor="text1"/>
          <w:kern w:val="0"/>
          <w:sz w:val="32"/>
          <w:szCs w:val="32"/>
          <w14:textFill>
            <w14:solidFill>
              <w14:schemeClr w14:val="tx1"/>
            </w14:solidFill>
          </w14:textFill>
        </w:rPr>
        <w:t>《建设工程施工许可证》</w:t>
      </w:r>
      <w:r>
        <w:rPr>
          <w:rFonts w:hint="eastAsia" w:ascii="仿宋_GB2312" w:hAnsi="宋体" w:eastAsia="仿宋_GB2312" w:cs="宋体"/>
          <w:bCs/>
          <w:color w:val="000000" w:themeColor="text1"/>
          <w:kern w:val="0"/>
          <w:sz w:val="32"/>
          <w:szCs w:val="32"/>
          <w:lang w:eastAsia="zh-CN"/>
          <w14:textFill>
            <w14:solidFill>
              <w14:schemeClr w14:val="tx1"/>
            </w14:solidFill>
          </w14:textFill>
        </w:rPr>
        <w:t>核发</w:t>
      </w:r>
      <w:r>
        <w:rPr>
          <w:rFonts w:ascii="仿宋_GB2312" w:hAnsi="宋体" w:eastAsia="仿宋_GB2312" w:cs="宋体"/>
          <w:bCs/>
          <w:color w:val="000000" w:themeColor="text1"/>
          <w:kern w:val="0"/>
          <w:sz w:val="32"/>
          <w:szCs w:val="32"/>
          <w14:textFill>
            <w14:solidFill>
              <w14:schemeClr w14:val="tx1"/>
            </w14:solidFill>
          </w14:textFill>
        </w:rPr>
        <w:t>，指导监督建设工程标准定额的实施。负责建设工程质量安全监管，负责竣工验收备案管理，组织或参与工程质量安全事故的调查处理。</w:t>
      </w:r>
    </w:p>
    <w:p w14:paraId="2FEBAB2C">
      <w:pPr>
        <w:pStyle w:val="2"/>
        <w:numPr>
          <w:ilvl w:val="0"/>
          <w:numId w:val="1"/>
        </w:numPr>
        <w:ind w:left="0" w:leftChars="0" w:firstLine="0" w:firstLineChars="0"/>
      </w:pPr>
      <w:r>
        <w:rPr>
          <w:rFonts w:hint="eastAsia" w:ascii="黑体" w:hAnsi="黑体" w:eastAsia="黑体"/>
          <w:b w:val="0"/>
        </w:rPr>
        <w:t>机构设置</w:t>
      </w:r>
    </w:p>
    <w:p w14:paraId="75F47483">
      <w:pPr>
        <w:ind w:firstLine="800" w:firstLineChars="250"/>
        <w:rPr>
          <w:rFonts w:ascii="仿宋" w:eastAsia="仿宋"/>
          <w:sz w:val="32"/>
          <w:szCs w:val="32"/>
        </w:rPr>
      </w:pPr>
      <w:r>
        <w:rPr>
          <w:rFonts w:hint="eastAsia" w:ascii="仿宋" w:eastAsia="仿宋" w:cs="Times New Roman"/>
          <w:sz w:val="32"/>
          <w:szCs w:val="32"/>
          <w:lang w:val="en-US" w:eastAsia="zh-CN"/>
        </w:rPr>
        <w:t>九寨沟县建设工程质量安全监督站</w:t>
      </w:r>
      <w:r>
        <w:rPr>
          <w:rFonts w:hint="eastAsia" w:ascii="仿宋" w:eastAsia="仿宋" w:cs="Times New Roman"/>
          <w:sz w:val="32"/>
          <w:szCs w:val="32"/>
        </w:rPr>
        <w:t>下</w:t>
      </w:r>
      <w:r>
        <w:rPr>
          <w:rFonts w:hint="eastAsia" w:ascii="仿宋" w:eastAsia="仿宋"/>
          <w:sz w:val="32"/>
          <w:szCs w:val="32"/>
        </w:rPr>
        <w:t>属二级单位</w:t>
      </w:r>
      <w:r>
        <w:rPr>
          <w:rFonts w:hint="eastAsia" w:ascii="仿宋" w:eastAsia="仿宋"/>
          <w:sz w:val="32"/>
          <w:szCs w:val="32"/>
          <w:lang w:val="en-US" w:eastAsia="zh-CN"/>
        </w:rPr>
        <w:t>0</w:t>
      </w:r>
      <w:r>
        <w:rPr>
          <w:rFonts w:hint="eastAsia" w:ascii="仿宋" w:eastAsia="仿宋"/>
          <w:sz w:val="32"/>
          <w:szCs w:val="32"/>
        </w:rPr>
        <w:t>个，其中行政单位</w:t>
      </w:r>
      <w:r>
        <w:rPr>
          <w:rFonts w:hint="eastAsia" w:ascii="仿宋" w:eastAsia="仿宋"/>
          <w:sz w:val="32"/>
          <w:szCs w:val="32"/>
          <w:lang w:val="en-US" w:eastAsia="zh-CN"/>
        </w:rPr>
        <w:t>0</w:t>
      </w:r>
      <w:r>
        <w:rPr>
          <w:rFonts w:hint="eastAsia" w:ascii="仿宋" w:eastAsia="仿宋"/>
          <w:sz w:val="32"/>
          <w:szCs w:val="32"/>
        </w:rPr>
        <w:t>个，参照公务员法管理的事业单位</w:t>
      </w:r>
      <w:r>
        <w:rPr>
          <w:rFonts w:hint="eastAsia" w:ascii="仿宋" w:eastAsia="仿宋"/>
          <w:bCs/>
          <w:sz w:val="32"/>
          <w:szCs w:val="32"/>
          <w:lang w:val="en-US" w:eastAsia="zh-CN"/>
        </w:rPr>
        <w:t>0</w:t>
      </w:r>
      <w:r>
        <w:rPr>
          <w:rFonts w:hint="eastAsia" w:ascii="仿宋" w:eastAsia="仿宋"/>
          <w:sz w:val="32"/>
          <w:szCs w:val="32"/>
        </w:rPr>
        <w:t>个，其他事业单位</w:t>
      </w:r>
      <w:r>
        <w:rPr>
          <w:rFonts w:hint="eastAsia" w:ascii="仿宋" w:eastAsia="仿宋"/>
          <w:sz w:val="32"/>
          <w:szCs w:val="32"/>
          <w:lang w:val="en-US" w:eastAsia="zh-CN"/>
        </w:rPr>
        <w:t>0</w:t>
      </w:r>
      <w:r>
        <w:rPr>
          <w:rFonts w:hint="eastAsia" w:ascii="仿宋" w:eastAsia="仿宋"/>
          <w:sz w:val="32"/>
          <w:szCs w:val="32"/>
        </w:rPr>
        <w:t>个。</w:t>
      </w:r>
    </w:p>
    <w:p w14:paraId="0D87200C"/>
    <w:p w14:paraId="1A4EC33F">
      <w:pPr>
        <w:pStyle w:val="20"/>
      </w:pPr>
    </w:p>
    <w:bookmarkEnd w:id="10"/>
    <w:bookmarkEnd w:id="11"/>
    <w:p w14:paraId="0A0D848D">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8"/>
      <w:bookmarkEnd w:id="9"/>
    </w:p>
    <w:p w14:paraId="0E25AF0E">
      <w:pPr>
        <w:rPr>
          <w:rFonts w:ascii="Times New Roman" w:hAnsi="Times New Roman"/>
          <w:color w:val="auto"/>
          <w:highlight w:val="none"/>
        </w:rPr>
      </w:pPr>
    </w:p>
    <w:p w14:paraId="7661046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607E48A1">
      <w:pPr>
        <w:spacing w:line="600" w:lineRule="exact"/>
        <w:ind w:firstLine="640" w:firstLineChars="200"/>
        <w:rPr>
          <w:rFonts w:ascii="仿宋_GB2312" w:eastAsia="仿宋_GB2312"/>
          <w:sz w:val="32"/>
          <w:szCs w:val="32"/>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435.83</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7.82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增涨</w:t>
      </w:r>
      <w:r>
        <w:rPr>
          <w:rFonts w:hint="eastAsia"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：人员基本工资增加及正常晋升岗位工资增加</w:t>
      </w:r>
      <w:r>
        <w:rPr>
          <w:rFonts w:hint="eastAsia" w:ascii="仿宋" w:hAnsi="仿宋" w:eastAsia="仿宋"/>
          <w:sz w:val="32"/>
          <w:szCs w:val="32"/>
        </w:rPr>
        <w:t>。</w:t>
      </w:r>
    </w:p>
    <w:p w14:paraId="4E7DEF20">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r>
        <w:rPr>
          <w:rFonts w:hint="eastAsia"/>
          <w:lang w:val="en-US" w:eastAsia="zh-CN"/>
        </w:rPr>
        <w:t xml:space="preserve">                </w:t>
      </w:r>
      <w:r>
        <w:drawing>
          <wp:inline distT="0" distB="0" distL="114300" distR="114300">
            <wp:extent cx="3039745" cy="1268730"/>
            <wp:effectExtent l="4445" t="4445" r="22860" b="2222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8DEC30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4E78CB5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20B904C4">
      <w:pPr>
        <w:ind w:firstLine="525" w:firstLineChars="250"/>
        <w:rPr>
          <w:rFonts w:hint="eastAsia" w:ascii="Times New Roman" w:hAnsi="Times New Roman" w:eastAsia="仿宋_GB2312" w:cs="仿宋_GB2312"/>
          <w:color w:val="auto"/>
          <w:sz w:val="32"/>
          <w:szCs w:val="32"/>
          <w:highlight w:val="none"/>
          <w:lang w:eastAsia="zh-CN"/>
        </w:rPr>
      </w:pPr>
      <w:r>
        <w:rPr>
          <w:rFonts w:hint="eastAsia"/>
          <w:lang w:val="en-US" w:eastAsia="zh-CN"/>
        </w:rPr>
        <w:t xml:space="preserve">            </w:t>
      </w:r>
      <w:r>
        <w:drawing>
          <wp:inline distT="0" distB="0" distL="114300" distR="114300">
            <wp:extent cx="3544570" cy="1554480"/>
            <wp:effectExtent l="4445" t="4445" r="13335" b="2222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9CBF1B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03F1DE73">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3C94108">
      <w:pPr>
        <w:ind w:firstLine="525" w:firstLineChars="250"/>
        <w:rPr>
          <w:rFonts w:hint="eastAsia" w:ascii="Times New Roman" w:hAnsi="Times New Roman" w:eastAsia="仿宋_GB2312" w:cs="仿宋_GB2312"/>
          <w:color w:val="auto"/>
          <w:sz w:val="32"/>
          <w:szCs w:val="32"/>
          <w:highlight w:val="none"/>
          <w:lang w:eastAsia="zh-CN"/>
        </w:rPr>
      </w:pPr>
      <w:r>
        <w:rPr>
          <w:rFonts w:hint="eastAsia"/>
          <w:lang w:val="en-US" w:eastAsia="zh-CN"/>
        </w:rPr>
        <w:t xml:space="preserve">            </w:t>
      </w:r>
      <w:r>
        <w:drawing>
          <wp:inline distT="0" distB="0" distL="114300" distR="114300">
            <wp:extent cx="3239135" cy="1534160"/>
            <wp:effectExtent l="4445" t="4445" r="13970" b="2349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C2EA56">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000D4F90">
      <w:pPr>
        <w:spacing w:line="600" w:lineRule="exact"/>
        <w:ind w:firstLine="640" w:firstLineChars="200"/>
        <w:rPr>
          <w:rFonts w:hint="eastAsia" w:ascii="仿宋" w:hAnsi="仿宋" w:eastAsia="仿宋"/>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435.83</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7.82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：人员基本工资增加及正常晋升岗位工资增加</w:t>
      </w:r>
      <w:r>
        <w:rPr>
          <w:rFonts w:hint="eastAsia" w:ascii="仿宋" w:hAnsi="仿宋" w:eastAsia="仿宋"/>
          <w:sz w:val="32"/>
          <w:szCs w:val="32"/>
        </w:rPr>
        <w:t>。</w:t>
      </w:r>
    </w:p>
    <w:p w14:paraId="2B8D6481">
      <w:pPr>
        <w:pStyle w:val="2"/>
        <w:rPr>
          <w:rFonts w:hint="eastAsia"/>
          <w:lang w:val="en-US" w:eastAsia="zh-CN"/>
        </w:rPr>
      </w:pPr>
      <w:r>
        <w:rPr>
          <w:rFonts w:hint="eastAsia"/>
          <w:lang w:val="en-US" w:eastAsia="zh-CN"/>
        </w:rPr>
        <w:t xml:space="preserve">          </w:t>
      </w:r>
      <w:r>
        <w:drawing>
          <wp:inline distT="0" distB="0" distL="114300" distR="114300">
            <wp:extent cx="3772535" cy="1886585"/>
            <wp:effectExtent l="4445" t="4445" r="13970" b="13970"/>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1FBABD">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6087763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1BBFC9BB">
      <w:pPr>
        <w:spacing w:line="600" w:lineRule="exact"/>
        <w:ind w:firstLine="640" w:firstLineChars="200"/>
        <w:rPr>
          <w:rFonts w:hint="eastAsia" w:ascii="仿宋" w:hAnsi="仿宋" w:eastAsia="仿宋"/>
          <w:sz w:val="32"/>
          <w:szCs w:val="32"/>
        </w:rPr>
      </w:pP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w:t>
      </w:r>
      <w:r>
        <w:rPr>
          <w:rFonts w:hint="eastAsia" w:eastAsia="仿宋_GB2312" w:cs="仿宋_GB2312"/>
          <w:color w:val="auto"/>
          <w:sz w:val="32"/>
          <w:szCs w:val="32"/>
          <w:highlight w:val="none"/>
          <w:lang w:val="en-US" w:eastAsia="zh-CN"/>
        </w:rPr>
        <w:t>7.82</w:t>
      </w:r>
      <w:r>
        <w:rPr>
          <w:rFonts w:hint="eastAsia" w:ascii="仿宋_GB2312" w:hAnsi="仿宋_GB2312"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eastAsia="zh-CN"/>
        </w:rPr>
        <w:t>增长</w:t>
      </w:r>
      <w:r>
        <w:rPr>
          <w:rFonts w:hint="eastAsia" w:ascii="仿宋_GB2312" w:hAnsi="仿宋_GB2312" w:eastAsia="仿宋_GB2312" w:cs="仿宋_GB2312"/>
          <w:color w:val="auto"/>
          <w:kern w:val="2"/>
          <w:sz w:val="32"/>
          <w:szCs w:val="32"/>
          <w:highlight w:val="none"/>
          <w:lang w:val="en-US" w:eastAsia="zh-CN" w:bidi="ar-SA"/>
        </w:rPr>
        <w:t>1.8%。</w:t>
      </w:r>
      <w:r>
        <w:rPr>
          <w:rFonts w:hint="eastAsia" w:eastAsia="仿宋_GB2312" w:cs="仿宋_GB2312"/>
          <w:color w:val="auto"/>
          <w:sz w:val="32"/>
          <w:szCs w:val="32"/>
          <w:highlight w:val="none"/>
          <w:lang w:eastAsia="zh-CN"/>
        </w:rPr>
        <w:t>人员基本工资增加及正常晋升岗位工资增加</w:t>
      </w:r>
      <w:r>
        <w:rPr>
          <w:rFonts w:hint="eastAsia" w:ascii="仿宋" w:hAnsi="仿宋" w:eastAsia="仿宋"/>
          <w:sz w:val="32"/>
          <w:szCs w:val="32"/>
        </w:rPr>
        <w:t>。</w:t>
      </w:r>
    </w:p>
    <w:p w14:paraId="09B74302">
      <w:pPr>
        <w:pStyle w:val="2"/>
        <w:rPr>
          <w:rFonts w:hint="eastAsia"/>
          <w:lang w:val="en-US" w:eastAsia="zh-CN"/>
        </w:rPr>
      </w:pPr>
      <w:r>
        <w:rPr>
          <w:rFonts w:hint="eastAsia"/>
          <w:lang w:val="en-US" w:eastAsia="zh-CN"/>
        </w:rPr>
        <w:t xml:space="preserve">        </w:t>
      </w:r>
      <w:r>
        <w:drawing>
          <wp:inline distT="0" distB="0" distL="114300" distR="114300">
            <wp:extent cx="3184525" cy="1457960"/>
            <wp:effectExtent l="4445" t="5080" r="11430" b="22860"/>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9905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332BC522">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p>
    <w:p w14:paraId="41883BC7">
      <w:pPr>
        <w:pStyle w:val="15"/>
        <w:numPr>
          <w:ilvl w:val="0"/>
          <w:numId w:val="2"/>
        </w:numPr>
        <w:shd w:val="clear" w:color="auto" w:fill="FFFFFF"/>
        <w:rPr>
          <w:rFonts w:hint="eastAsia" w:ascii="仿宋" w:eastAsia="仿宋"/>
          <w:color w:val="000000"/>
          <w:sz w:val="32"/>
          <w:szCs w:val="32"/>
        </w:rPr>
      </w:pPr>
      <w:bookmarkStart w:id="24" w:name="_Toc15377212"/>
      <w:r>
        <w:rPr>
          <w:rFonts w:hint="eastAsia" w:ascii="仿宋" w:hAnsi="仿宋" w:eastAsia="仿宋" w:cs="Times New Roman"/>
          <w:b/>
          <w:bCs/>
          <w:kern w:val="2"/>
          <w:sz w:val="32"/>
          <w:szCs w:val="32"/>
          <w:lang w:val="en-US" w:eastAsia="zh-CN" w:bidi="ar-SA"/>
        </w:rPr>
        <w:t>社会保障和就业（208）行政事业单位养老支出(05</w:t>
      </w:r>
      <w:r>
        <w:rPr>
          <w:rFonts w:hint="eastAsia" w:ascii="仿宋" w:hAnsi="仿宋" w:eastAsia="仿宋" w:cs="Times New Roman"/>
          <w:kern w:val="2"/>
          <w:sz w:val="32"/>
          <w:szCs w:val="32"/>
          <w:lang w:val="en-US" w:eastAsia="zh-CN" w:bidi="ar-SA"/>
        </w:rPr>
        <w:t>) 机关事业单位基本养老保险缴费支出(05)支出39.87万元，占9.1%；</w:t>
      </w:r>
    </w:p>
    <w:p w14:paraId="672C9A4B">
      <w:pPr>
        <w:pStyle w:val="15"/>
        <w:numPr>
          <w:ilvl w:val="0"/>
          <w:numId w:val="2"/>
        </w:numPr>
        <w:shd w:val="clear" w:color="auto" w:fill="FFFFFF"/>
        <w:rPr>
          <w:rFonts w:hint="eastAsia" w:ascii="仿宋" w:eastAsia="仿宋"/>
          <w:color w:val="000000"/>
          <w:sz w:val="32"/>
          <w:szCs w:val="32"/>
        </w:rPr>
      </w:pPr>
      <w:r>
        <w:rPr>
          <w:rFonts w:hint="eastAsia" w:ascii="仿宋" w:hAnsi="仿宋" w:eastAsia="仿宋" w:cs="Times New Roman"/>
          <w:b/>
          <w:bCs/>
          <w:kern w:val="2"/>
          <w:sz w:val="32"/>
          <w:szCs w:val="32"/>
          <w:lang w:val="en-US" w:eastAsia="zh-CN" w:bidi="ar-SA"/>
        </w:rPr>
        <w:t>社会保障和就业（208）机关事业单位职业年金缴费支出(06)</w:t>
      </w:r>
      <w:r>
        <w:rPr>
          <w:rFonts w:hint="eastAsia" w:ascii="仿宋" w:hAnsi="仿宋" w:eastAsia="仿宋" w:cs="Times New Roman"/>
          <w:kern w:val="2"/>
          <w:sz w:val="32"/>
          <w:szCs w:val="32"/>
          <w:lang w:val="en-US" w:eastAsia="zh-CN" w:bidi="ar-SA"/>
        </w:rPr>
        <w:t xml:space="preserve"> 机关事业单位职业年金缴费支出(06)支出19.95万元，占4.6%；</w:t>
      </w:r>
    </w:p>
    <w:p w14:paraId="04BC13FD">
      <w:pPr>
        <w:pStyle w:val="15"/>
        <w:numPr>
          <w:ilvl w:val="0"/>
          <w:numId w:val="2"/>
        </w:numPr>
        <w:shd w:val="clear" w:color="auto" w:fill="FFFFFF"/>
        <w:rPr>
          <w:rFonts w:hint="eastAsia" w:ascii="仿宋" w:eastAsia="仿宋"/>
          <w:color w:val="000000"/>
          <w:sz w:val="32"/>
          <w:szCs w:val="32"/>
        </w:rPr>
      </w:pPr>
      <w:r>
        <w:rPr>
          <w:rFonts w:hint="eastAsia" w:ascii="仿宋" w:hAnsi="仿宋" w:eastAsia="仿宋" w:cs="Times New Roman"/>
          <w:b/>
          <w:bCs/>
          <w:kern w:val="2"/>
          <w:sz w:val="32"/>
          <w:szCs w:val="32"/>
          <w:lang w:val="en-US" w:eastAsia="zh-CN" w:bidi="ar-SA"/>
        </w:rPr>
        <w:t>卫生健康支出(210)行政事业单位医疗(11)</w:t>
      </w:r>
      <w:r>
        <w:rPr>
          <w:rFonts w:hint="eastAsia" w:ascii="仿宋" w:hAnsi="仿宋" w:eastAsia="仿宋" w:cs="Times New Roman"/>
          <w:kern w:val="2"/>
          <w:sz w:val="32"/>
          <w:szCs w:val="32"/>
          <w:lang w:val="en-US" w:eastAsia="zh-CN" w:bidi="ar-SA"/>
        </w:rPr>
        <w:t xml:space="preserve"> 事业单位医疗(02)支出:19.7万元，占4.5%；</w:t>
      </w:r>
    </w:p>
    <w:p w14:paraId="1D522614">
      <w:pPr>
        <w:pStyle w:val="15"/>
        <w:numPr>
          <w:ilvl w:val="0"/>
          <w:numId w:val="2"/>
        </w:numPr>
        <w:shd w:val="clear" w:color="auto" w:fill="FFFFFF"/>
        <w:rPr>
          <w:rFonts w:hint="eastAsia" w:ascii="仿宋" w:eastAsia="仿宋"/>
          <w:color w:val="000000"/>
          <w:sz w:val="32"/>
          <w:szCs w:val="32"/>
        </w:rPr>
      </w:pPr>
      <w:r>
        <w:rPr>
          <w:rFonts w:hint="eastAsia" w:ascii="仿宋" w:hAnsi="仿宋" w:eastAsia="仿宋" w:cs="Times New Roman"/>
          <w:b/>
          <w:bCs/>
          <w:kern w:val="2"/>
          <w:sz w:val="32"/>
          <w:szCs w:val="32"/>
          <w:lang w:val="en-US" w:eastAsia="zh-CN" w:bidi="ar-SA"/>
        </w:rPr>
        <w:t>卫生健康支出(210)行政事业单位医疗(11)</w:t>
      </w:r>
      <w:r>
        <w:rPr>
          <w:rFonts w:hint="eastAsia" w:ascii="仿宋" w:hAnsi="仿宋" w:eastAsia="仿宋" w:cs="Times New Roman"/>
          <w:kern w:val="2"/>
          <w:sz w:val="32"/>
          <w:szCs w:val="32"/>
          <w:lang w:val="en-US" w:eastAsia="zh-CN" w:bidi="ar-SA"/>
        </w:rPr>
        <w:t>其他行政事业单位医疗(99)支出:4.95万元，占1.1%</w:t>
      </w:r>
    </w:p>
    <w:p w14:paraId="21AD2B64">
      <w:pPr>
        <w:pStyle w:val="15"/>
        <w:numPr>
          <w:ilvl w:val="0"/>
          <w:numId w:val="0"/>
        </w:numPr>
        <w:shd w:val="clear" w:color="auto" w:fill="FFFFFF"/>
        <w:rPr>
          <w:rFonts w:hint="eastAsia" w:ascii="仿宋" w:eastAsia="仿宋"/>
          <w:color w:val="000000"/>
          <w:sz w:val="32"/>
          <w:szCs w:val="32"/>
        </w:rPr>
      </w:pPr>
      <w:r>
        <w:rPr>
          <w:rFonts w:hint="eastAsia" w:ascii="仿宋" w:hAnsi="Times New Roman" w:eastAsia="仿宋" w:cs="Times New Roman"/>
          <w:b/>
          <w:color w:val="000000"/>
          <w:sz w:val="32"/>
          <w:szCs w:val="32"/>
          <w:lang w:val="en-US" w:eastAsia="zh-CN"/>
        </w:rPr>
        <w:t>4、</w:t>
      </w:r>
      <w:r>
        <w:rPr>
          <w:rFonts w:hint="eastAsia" w:ascii="仿宋" w:hAnsi="仿宋" w:eastAsia="仿宋" w:cs="Times New Roman"/>
          <w:b/>
          <w:bCs/>
          <w:kern w:val="2"/>
          <w:sz w:val="32"/>
          <w:szCs w:val="32"/>
          <w:lang w:val="en-US" w:eastAsia="zh-CN" w:bidi="ar-SA"/>
        </w:rPr>
        <w:t>住房保障支出(221)住房改革支出(02)</w:t>
      </w:r>
      <w:r>
        <w:rPr>
          <w:rFonts w:hint="eastAsia" w:ascii="仿宋" w:hAnsi="仿宋" w:eastAsia="仿宋" w:cs="Times New Roman"/>
          <w:kern w:val="2"/>
          <w:sz w:val="32"/>
          <w:szCs w:val="32"/>
          <w:lang w:val="en-US" w:eastAsia="zh-CN" w:bidi="ar-SA"/>
        </w:rPr>
        <w:t>其住房公积金(01)支出：32.81万元，占7.5%</w:t>
      </w:r>
    </w:p>
    <w:p w14:paraId="25ED3C2D">
      <w:pPr>
        <w:pStyle w:val="15"/>
        <w:numPr>
          <w:ilvl w:val="0"/>
          <w:numId w:val="0"/>
        </w:numPr>
        <w:shd w:val="clear" w:color="auto" w:fill="FFFFFF"/>
        <w:rPr>
          <w:rFonts w:hint="eastAsia" w:ascii="仿宋" w:hAnsi="仿宋" w:eastAsia="仿宋" w:cs="Times New Roman"/>
          <w:kern w:val="2"/>
          <w:sz w:val="32"/>
          <w:szCs w:val="32"/>
          <w:lang w:val="en-US" w:eastAsia="zh-CN" w:bidi="ar-SA"/>
        </w:rPr>
      </w:pPr>
      <w:r>
        <w:rPr>
          <w:rStyle w:val="18"/>
          <w:rFonts w:hint="eastAsia" w:ascii="仿宋" w:eastAsia="仿宋"/>
          <w:bCs/>
          <w:color w:val="000000"/>
          <w:sz w:val="32"/>
          <w:szCs w:val="32"/>
          <w:lang w:val="en-US" w:eastAsia="zh-CN"/>
        </w:rPr>
        <w:t>5、</w:t>
      </w:r>
      <w:r>
        <w:rPr>
          <w:rFonts w:hint="eastAsia" w:ascii="仿宋" w:hAnsi="仿宋" w:eastAsia="仿宋" w:cs="Times New Roman"/>
          <w:b/>
          <w:bCs/>
          <w:kern w:val="2"/>
          <w:sz w:val="32"/>
          <w:szCs w:val="32"/>
          <w:lang w:val="en-US" w:eastAsia="zh-CN" w:bidi="ar-SA"/>
        </w:rPr>
        <w:t>城乡社区支出(212)行政运行(01)</w:t>
      </w:r>
      <w:r>
        <w:rPr>
          <w:rFonts w:hint="eastAsia" w:ascii="仿宋" w:hAnsi="仿宋" w:eastAsia="仿宋" w:cs="Times New Roman"/>
          <w:kern w:val="2"/>
          <w:sz w:val="32"/>
          <w:szCs w:val="32"/>
          <w:lang w:val="en-US" w:eastAsia="zh-CN" w:bidi="ar-SA"/>
        </w:rPr>
        <w:t>其他城乡社区管理事务支出(99)支出：318.51万元，占73.1%；</w:t>
      </w:r>
    </w:p>
    <w:p w14:paraId="3E643C6C">
      <w:pPr>
        <w:pStyle w:val="15"/>
        <w:numPr>
          <w:ilvl w:val="0"/>
          <w:numId w:val="0"/>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 xml:space="preserve">          </w:t>
      </w:r>
      <w:r>
        <w:rPr>
          <w:rFonts w:hint="eastAsia" w:ascii="仿宋" w:hAnsi="仿宋" w:eastAsia="仿宋" w:cs="Times New Roman"/>
          <w:kern w:val="2"/>
          <w:sz w:val="32"/>
          <w:szCs w:val="32"/>
          <w:lang w:val="en-US" w:eastAsia="zh-CN" w:bidi="ar-SA"/>
        </w:rPr>
        <w:drawing>
          <wp:inline distT="0" distB="0" distL="114300" distR="114300">
            <wp:extent cx="3082925" cy="1595120"/>
            <wp:effectExtent l="5080" t="4445" r="17145" b="1968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E5EC6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313F05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8460"/>
      <w:bookmarkStart w:id="27"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7F842A40">
      <w:pPr>
        <w:spacing w:line="600" w:lineRule="exact"/>
        <w:ind w:firstLine="643" w:firstLineChars="200"/>
        <w:rPr>
          <w:rFonts w:hint="eastAsia" w:ascii="仿宋" w:eastAsia="仿宋"/>
          <w:b/>
          <w:color w:val="000000"/>
          <w:sz w:val="32"/>
          <w:szCs w:val="32"/>
          <w:lang w:val="en-US" w:eastAsia="zh-CN"/>
        </w:rPr>
      </w:pPr>
      <w:r>
        <w:rPr>
          <w:rStyle w:val="18"/>
          <w:rFonts w:hint="eastAsia" w:ascii="仿宋" w:eastAsia="仿宋"/>
          <w:bCs/>
          <w:color w:val="000000"/>
          <w:sz w:val="32"/>
          <w:szCs w:val="32"/>
          <w:lang w:val="en-US" w:eastAsia="zh-CN"/>
        </w:rPr>
        <w:t>1</w:t>
      </w:r>
      <w:r>
        <w:rPr>
          <w:rStyle w:val="18"/>
          <w:rFonts w:ascii="仿宋" w:eastAsia="仿宋"/>
          <w:bCs/>
          <w:color w:val="000000"/>
          <w:sz w:val="32"/>
          <w:szCs w:val="32"/>
        </w:rPr>
        <w:t>.</w:t>
      </w:r>
      <w:r>
        <w:rPr>
          <w:rStyle w:val="18"/>
          <w:rFonts w:hint="eastAsia" w:ascii="仿宋" w:eastAsia="仿宋"/>
          <w:bCs/>
          <w:color w:val="000000"/>
          <w:sz w:val="32"/>
          <w:szCs w:val="32"/>
        </w:rPr>
        <w:t>社会保障和就业（</w:t>
      </w:r>
      <w:r>
        <w:rPr>
          <w:rStyle w:val="18"/>
          <w:rFonts w:hint="eastAsia" w:ascii="仿宋" w:eastAsia="仿宋"/>
          <w:bCs/>
          <w:color w:val="000000"/>
          <w:sz w:val="32"/>
          <w:szCs w:val="32"/>
          <w:lang w:val="en-US" w:eastAsia="zh-CN"/>
        </w:rPr>
        <w:t>208</w:t>
      </w:r>
      <w:r>
        <w:rPr>
          <w:rStyle w:val="18"/>
          <w:rFonts w:hint="eastAsia" w:ascii="仿宋" w:eastAsia="仿宋"/>
          <w:bCs/>
          <w:color w:val="000000"/>
          <w:sz w:val="32"/>
          <w:szCs w:val="32"/>
        </w:rPr>
        <w:t>）行政事业单位离退休（</w:t>
      </w:r>
      <w:r>
        <w:rPr>
          <w:rStyle w:val="18"/>
          <w:rFonts w:hint="eastAsia" w:ascii="仿宋" w:eastAsia="仿宋"/>
          <w:bCs/>
          <w:color w:val="000000"/>
          <w:sz w:val="32"/>
          <w:szCs w:val="32"/>
          <w:lang w:val="en-US" w:eastAsia="zh-CN"/>
        </w:rPr>
        <w:t>05</w:t>
      </w:r>
      <w:r>
        <w:rPr>
          <w:rStyle w:val="18"/>
          <w:rFonts w:hint="eastAsia" w:ascii="仿宋" w:eastAsia="仿宋"/>
          <w:bCs/>
          <w:color w:val="000000"/>
          <w:sz w:val="32"/>
          <w:szCs w:val="32"/>
        </w:rPr>
        <w:t>）机关事业单位基本养老保险缴费支出（</w:t>
      </w:r>
      <w:r>
        <w:rPr>
          <w:rStyle w:val="18"/>
          <w:rFonts w:hint="eastAsia" w:ascii="仿宋" w:eastAsia="仿宋"/>
          <w:bCs/>
          <w:color w:val="000000"/>
          <w:sz w:val="32"/>
          <w:szCs w:val="32"/>
          <w:lang w:val="en-US" w:eastAsia="zh-CN"/>
        </w:rPr>
        <w:t>05</w:t>
      </w:r>
      <w:r>
        <w:rPr>
          <w:rStyle w:val="18"/>
          <w:rFonts w:hint="eastAsia" w:ascii="仿宋" w:eastAsia="仿宋"/>
          <w:bCs/>
          <w:color w:val="000000"/>
          <w:sz w:val="32"/>
          <w:szCs w:val="32"/>
        </w:rPr>
        <w:t>）</w:t>
      </w:r>
      <w:r>
        <w:rPr>
          <w:rStyle w:val="18"/>
          <w:rFonts w:ascii="仿宋" w:eastAsia="仿宋"/>
          <w:bCs/>
          <w:color w:val="000000"/>
          <w:sz w:val="32"/>
          <w:szCs w:val="32"/>
        </w:rPr>
        <w:t>:</w:t>
      </w:r>
      <w:r>
        <w:rPr>
          <w:rStyle w:val="18"/>
          <w:rFonts w:ascii="仿宋" w:eastAsia="仿宋"/>
          <w:b w:val="0"/>
          <w:bCs/>
          <w:color w:val="000000"/>
          <w:sz w:val="32"/>
          <w:szCs w:val="32"/>
        </w:rPr>
        <w:t xml:space="preserve"> </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39.91</w:t>
      </w:r>
      <w:r>
        <w:rPr>
          <w:rStyle w:val="18"/>
          <w:rFonts w:hint="eastAsia" w:ascii="仿宋" w:eastAsia="仿宋"/>
          <w:b w:val="0"/>
          <w:bCs/>
          <w:color w:val="000000"/>
          <w:sz w:val="32"/>
          <w:szCs w:val="32"/>
        </w:rPr>
        <w:t>万元，完成预算</w:t>
      </w:r>
      <w:r>
        <w:rPr>
          <w:rStyle w:val="18"/>
          <w:rFonts w:hint="eastAsia" w:ascii="仿宋" w:eastAsia="仿宋"/>
          <w:b w:val="0"/>
          <w:bCs/>
          <w:color w:val="000000"/>
          <w:sz w:val="32"/>
          <w:szCs w:val="32"/>
          <w:lang w:val="en-US" w:eastAsia="zh-CN"/>
        </w:rPr>
        <w:t>100</w:t>
      </w:r>
      <w:r>
        <w:rPr>
          <w:rStyle w:val="18"/>
          <w:rFonts w:ascii="仿宋" w:eastAsia="仿宋"/>
          <w:b w:val="0"/>
          <w:bCs/>
          <w:color w:val="000000"/>
          <w:sz w:val="32"/>
          <w:szCs w:val="32"/>
        </w:rPr>
        <w:t>%</w:t>
      </w:r>
      <w:r>
        <w:rPr>
          <w:rStyle w:val="18"/>
          <w:rFonts w:hint="eastAsia" w:ascii="仿宋" w:eastAsia="仿宋"/>
          <w:b w:val="0"/>
          <w:bCs/>
          <w:color w:val="000000"/>
          <w:sz w:val="32"/>
          <w:szCs w:val="32"/>
        </w:rPr>
        <w:t>，决算数等于预算数</w:t>
      </w:r>
      <w:r>
        <w:rPr>
          <w:rStyle w:val="18"/>
          <w:rFonts w:hint="eastAsia" w:ascii="仿宋" w:eastAsia="仿宋"/>
          <w:b w:val="0"/>
          <w:bCs/>
          <w:color w:val="000000"/>
          <w:sz w:val="32"/>
          <w:szCs w:val="32"/>
          <w:lang w:eastAsia="zh-CN"/>
        </w:rPr>
        <w:t>。</w:t>
      </w:r>
      <w:r>
        <w:rPr>
          <w:rStyle w:val="18"/>
          <w:rFonts w:hint="eastAsia" w:ascii="仿宋" w:eastAsia="仿宋" w:cs="Times New Roman"/>
          <w:bCs/>
          <w:color w:val="000000"/>
          <w:sz w:val="32"/>
          <w:szCs w:val="32"/>
        </w:rPr>
        <w:t>机关事业单位职业年金缴费支出</w:t>
      </w:r>
      <w:r>
        <w:rPr>
          <w:rStyle w:val="18"/>
          <w:rFonts w:hint="eastAsia" w:ascii="仿宋" w:eastAsia="仿宋" w:cs="Times New Roman"/>
          <w:bCs/>
          <w:color w:val="000000"/>
          <w:sz w:val="32"/>
          <w:szCs w:val="32"/>
          <w:lang w:val="en-US" w:eastAsia="zh-CN"/>
        </w:rPr>
        <w:t>(06)</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19.95</w:t>
      </w:r>
      <w:r>
        <w:rPr>
          <w:rStyle w:val="18"/>
          <w:rFonts w:hint="eastAsia" w:ascii="仿宋" w:eastAsia="仿宋"/>
          <w:b w:val="0"/>
          <w:bCs/>
          <w:color w:val="000000"/>
          <w:sz w:val="32"/>
          <w:szCs w:val="32"/>
        </w:rPr>
        <w:t>万元</w:t>
      </w:r>
      <w:r>
        <w:rPr>
          <w:rStyle w:val="18"/>
          <w:rFonts w:hint="eastAsia" w:ascii="仿宋" w:eastAsia="仿宋"/>
          <w:b w:val="0"/>
          <w:bCs/>
          <w:color w:val="000000"/>
          <w:sz w:val="32"/>
          <w:szCs w:val="32"/>
          <w:lang w:val="en-US" w:eastAsia="zh-CN"/>
        </w:rPr>
        <w:t>,</w:t>
      </w:r>
      <w:r>
        <w:rPr>
          <w:rStyle w:val="18"/>
          <w:rFonts w:hint="eastAsia" w:ascii="仿宋" w:eastAsia="仿宋"/>
          <w:b w:val="0"/>
          <w:bCs/>
          <w:color w:val="000000"/>
          <w:sz w:val="32"/>
          <w:szCs w:val="32"/>
        </w:rPr>
        <w:t>完成预算</w:t>
      </w:r>
      <w:r>
        <w:rPr>
          <w:rStyle w:val="18"/>
          <w:rFonts w:hint="eastAsia" w:ascii="仿宋" w:eastAsia="仿宋"/>
          <w:b w:val="0"/>
          <w:bCs/>
          <w:color w:val="000000"/>
          <w:sz w:val="32"/>
          <w:szCs w:val="32"/>
          <w:lang w:val="en-US" w:eastAsia="zh-CN"/>
        </w:rPr>
        <w:t>100</w:t>
      </w:r>
      <w:r>
        <w:rPr>
          <w:rStyle w:val="18"/>
          <w:rFonts w:ascii="仿宋" w:eastAsia="仿宋"/>
          <w:b w:val="0"/>
          <w:bCs/>
          <w:color w:val="000000"/>
          <w:sz w:val="32"/>
          <w:szCs w:val="32"/>
        </w:rPr>
        <w:t>%</w:t>
      </w:r>
      <w:r>
        <w:rPr>
          <w:rStyle w:val="18"/>
          <w:rFonts w:hint="eastAsia" w:ascii="仿宋" w:eastAsia="仿宋"/>
          <w:b w:val="0"/>
          <w:bCs/>
          <w:color w:val="000000"/>
          <w:sz w:val="32"/>
          <w:szCs w:val="32"/>
        </w:rPr>
        <w:t>，决算数等于预算数</w:t>
      </w:r>
      <w:r>
        <w:rPr>
          <w:rStyle w:val="18"/>
          <w:rFonts w:hint="eastAsia" w:ascii="仿宋" w:eastAsia="仿宋"/>
          <w:b w:val="0"/>
          <w:bCs/>
          <w:color w:val="000000"/>
          <w:sz w:val="32"/>
          <w:szCs w:val="32"/>
          <w:lang w:eastAsia="zh-CN"/>
        </w:rPr>
        <w:t>。</w:t>
      </w:r>
    </w:p>
    <w:p w14:paraId="3C822BC9">
      <w:pPr>
        <w:spacing w:line="600" w:lineRule="exact"/>
        <w:ind w:firstLine="643" w:firstLineChars="200"/>
        <w:rPr>
          <w:rStyle w:val="18"/>
          <w:rFonts w:hint="eastAsia" w:ascii="仿宋" w:eastAsia="仿宋"/>
          <w:b w:val="0"/>
          <w:bCs/>
          <w:color w:val="000000"/>
          <w:sz w:val="32"/>
          <w:szCs w:val="32"/>
        </w:rPr>
      </w:pPr>
      <w:r>
        <w:rPr>
          <w:rStyle w:val="18"/>
          <w:rFonts w:hint="eastAsia" w:ascii="仿宋" w:eastAsia="仿宋"/>
          <w:bCs/>
          <w:color w:val="000000"/>
          <w:sz w:val="32"/>
          <w:szCs w:val="32"/>
          <w:lang w:val="en-US" w:eastAsia="zh-CN"/>
        </w:rPr>
        <w:t>2</w:t>
      </w:r>
      <w:r>
        <w:rPr>
          <w:rStyle w:val="18"/>
          <w:rFonts w:ascii="仿宋" w:eastAsia="仿宋"/>
          <w:bCs/>
          <w:color w:val="000000"/>
          <w:sz w:val="32"/>
          <w:szCs w:val="32"/>
        </w:rPr>
        <w:t>.</w:t>
      </w:r>
      <w:r>
        <w:rPr>
          <w:rFonts w:hint="eastAsia" w:ascii="仿宋" w:eastAsia="仿宋"/>
          <w:b/>
          <w:bCs/>
          <w:color w:val="000000"/>
          <w:sz w:val="32"/>
          <w:szCs w:val="32"/>
        </w:rPr>
        <w:t>卫生健康</w:t>
      </w:r>
      <w:r>
        <w:rPr>
          <w:rStyle w:val="18"/>
          <w:rFonts w:hint="eastAsia" w:ascii="仿宋" w:eastAsia="仿宋"/>
          <w:bCs/>
          <w:color w:val="000000"/>
          <w:sz w:val="32"/>
          <w:szCs w:val="32"/>
        </w:rPr>
        <w:t>（</w:t>
      </w:r>
      <w:r>
        <w:rPr>
          <w:rStyle w:val="18"/>
          <w:rFonts w:hint="eastAsia" w:ascii="仿宋" w:eastAsia="仿宋"/>
          <w:bCs/>
          <w:color w:val="000000"/>
          <w:sz w:val="32"/>
          <w:szCs w:val="32"/>
          <w:lang w:val="en-US" w:eastAsia="zh-CN"/>
        </w:rPr>
        <w:t>210</w:t>
      </w:r>
      <w:r>
        <w:rPr>
          <w:rStyle w:val="18"/>
          <w:rFonts w:hint="eastAsia" w:ascii="仿宋" w:eastAsia="仿宋"/>
          <w:bCs/>
          <w:color w:val="000000"/>
          <w:sz w:val="32"/>
          <w:szCs w:val="32"/>
        </w:rPr>
        <w:t>）行政事业单位医疗（</w:t>
      </w:r>
      <w:r>
        <w:rPr>
          <w:rStyle w:val="18"/>
          <w:rFonts w:ascii="仿宋" w:eastAsia="仿宋"/>
          <w:bCs/>
          <w:color w:val="000000"/>
          <w:sz w:val="32"/>
          <w:szCs w:val="32"/>
        </w:rPr>
        <w:t>11</w:t>
      </w:r>
      <w:r>
        <w:rPr>
          <w:rStyle w:val="18"/>
          <w:rFonts w:hint="eastAsia" w:ascii="仿宋" w:eastAsia="仿宋"/>
          <w:bCs/>
          <w:color w:val="000000"/>
          <w:sz w:val="32"/>
          <w:szCs w:val="32"/>
        </w:rPr>
        <w:t>）</w:t>
      </w:r>
      <w:r>
        <w:rPr>
          <w:rStyle w:val="18"/>
          <w:rFonts w:hint="eastAsia" w:ascii="仿宋" w:eastAsia="仿宋"/>
          <w:bCs/>
          <w:color w:val="000000"/>
          <w:sz w:val="32"/>
          <w:szCs w:val="32"/>
          <w:lang w:eastAsia="zh-CN"/>
        </w:rPr>
        <w:t xml:space="preserve"> 事业单位医疗</w:t>
      </w:r>
      <w:r>
        <w:rPr>
          <w:rStyle w:val="18"/>
          <w:rFonts w:hint="eastAsia" w:ascii="仿宋" w:eastAsia="仿宋"/>
          <w:bCs/>
          <w:color w:val="000000"/>
          <w:sz w:val="32"/>
          <w:szCs w:val="32"/>
        </w:rPr>
        <w:t>（</w:t>
      </w:r>
      <w:r>
        <w:rPr>
          <w:rStyle w:val="18"/>
          <w:rFonts w:hint="eastAsia" w:ascii="仿宋" w:eastAsia="仿宋"/>
          <w:bCs/>
          <w:color w:val="000000"/>
          <w:sz w:val="32"/>
          <w:szCs w:val="32"/>
          <w:lang w:val="en-US" w:eastAsia="zh-CN"/>
        </w:rPr>
        <w:t>02</w:t>
      </w:r>
      <w:r>
        <w:rPr>
          <w:rStyle w:val="18"/>
          <w:rFonts w:hint="eastAsia" w:ascii="仿宋" w:eastAsia="仿宋"/>
          <w:bCs/>
          <w:color w:val="000000"/>
          <w:sz w:val="32"/>
          <w:szCs w:val="32"/>
        </w:rPr>
        <w:t>）</w:t>
      </w:r>
      <w:r>
        <w:rPr>
          <w:rStyle w:val="18"/>
          <w:rFonts w:ascii="仿宋" w:eastAsia="仿宋"/>
          <w:bCs/>
          <w:color w:val="000000"/>
          <w:sz w:val="32"/>
          <w:szCs w:val="32"/>
        </w:rPr>
        <w:t>:</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19.7</w:t>
      </w:r>
      <w:r>
        <w:rPr>
          <w:rStyle w:val="18"/>
          <w:rFonts w:hint="eastAsia" w:ascii="仿宋" w:eastAsia="仿宋"/>
          <w:b w:val="0"/>
          <w:bCs/>
          <w:color w:val="000000"/>
          <w:sz w:val="32"/>
          <w:szCs w:val="32"/>
        </w:rPr>
        <w:t>万元，完成预算</w:t>
      </w:r>
      <w:r>
        <w:rPr>
          <w:rStyle w:val="18"/>
          <w:rFonts w:hint="eastAsia" w:ascii="仿宋" w:eastAsia="仿宋"/>
          <w:b w:val="0"/>
          <w:bCs/>
          <w:color w:val="000000"/>
          <w:sz w:val="32"/>
          <w:szCs w:val="32"/>
          <w:lang w:val="en-US" w:eastAsia="zh-CN"/>
        </w:rPr>
        <w:t>100</w:t>
      </w:r>
      <w:r>
        <w:rPr>
          <w:rStyle w:val="18"/>
          <w:rFonts w:ascii="仿宋" w:eastAsia="仿宋"/>
          <w:b w:val="0"/>
          <w:bCs/>
          <w:color w:val="000000"/>
          <w:sz w:val="32"/>
          <w:szCs w:val="32"/>
        </w:rPr>
        <w:t>%</w:t>
      </w:r>
      <w:r>
        <w:rPr>
          <w:rStyle w:val="18"/>
          <w:rFonts w:hint="eastAsia" w:ascii="仿宋" w:eastAsia="仿宋"/>
          <w:b w:val="0"/>
          <w:bCs/>
          <w:color w:val="000000"/>
          <w:sz w:val="32"/>
          <w:szCs w:val="32"/>
        </w:rPr>
        <w:t>，决算数等于预算数。</w:t>
      </w:r>
    </w:p>
    <w:p w14:paraId="2A49AACA">
      <w:pPr>
        <w:spacing w:line="600" w:lineRule="exact"/>
        <w:ind w:firstLine="643" w:firstLineChars="200"/>
        <w:rPr>
          <w:rStyle w:val="18"/>
          <w:rFonts w:ascii="仿宋" w:eastAsia="仿宋"/>
          <w:bCs/>
          <w:color w:val="000000"/>
          <w:sz w:val="32"/>
          <w:szCs w:val="32"/>
        </w:rPr>
      </w:pPr>
      <w:r>
        <w:rPr>
          <w:rStyle w:val="18"/>
          <w:rFonts w:hint="eastAsia" w:ascii="仿宋" w:eastAsia="仿宋"/>
          <w:bCs/>
          <w:color w:val="000000"/>
          <w:sz w:val="32"/>
          <w:szCs w:val="32"/>
          <w:lang w:val="en-US" w:eastAsia="zh-CN"/>
        </w:rPr>
        <w:t>3</w:t>
      </w:r>
      <w:r>
        <w:rPr>
          <w:rStyle w:val="18"/>
          <w:rFonts w:ascii="仿宋" w:eastAsia="仿宋"/>
          <w:bCs/>
          <w:color w:val="000000"/>
          <w:sz w:val="32"/>
          <w:szCs w:val="32"/>
        </w:rPr>
        <w:t>.</w:t>
      </w:r>
      <w:r>
        <w:rPr>
          <w:rFonts w:hint="eastAsia" w:ascii="仿宋" w:eastAsia="仿宋"/>
          <w:b/>
          <w:bCs/>
          <w:color w:val="000000"/>
          <w:sz w:val="32"/>
          <w:szCs w:val="32"/>
        </w:rPr>
        <w:t>卫生健康</w:t>
      </w:r>
      <w:r>
        <w:rPr>
          <w:rStyle w:val="18"/>
          <w:rFonts w:hint="eastAsia" w:ascii="仿宋" w:eastAsia="仿宋"/>
          <w:bCs/>
          <w:color w:val="000000"/>
          <w:sz w:val="32"/>
          <w:szCs w:val="32"/>
        </w:rPr>
        <w:t>（</w:t>
      </w:r>
      <w:r>
        <w:rPr>
          <w:rStyle w:val="18"/>
          <w:rFonts w:hint="eastAsia" w:ascii="仿宋" w:eastAsia="仿宋"/>
          <w:bCs/>
          <w:color w:val="000000"/>
          <w:sz w:val="32"/>
          <w:szCs w:val="32"/>
          <w:lang w:val="en-US" w:eastAsia="zh-CN"/>
        </w:rPr>
        <w:t>210</w:t>
      </w:r>
      <w:r>
        <w:rPr>
          <w:rStyle w:val="18"/>
          <w:rFonts w:hint="eastAsia" w:ascii="仿宋" w:eastAsia="仿宋"/>
          <w:bCs/>
          <w:color w:val="000000"/>
          <w:sz w:val="32"/>
          <w:szCs w:val="32"/>
        </w:rPr>
        <w:t>）行政事业单位医疗（</w:t>
      </w:r>
      <w:r>
        <w:rPr>
          <w:rStyle w:val="18"/>
          <w:rFonts w:ascii="仿宋" w:eastAsia="仿宋"/>
          <w:bCs/>
          <w:color w:val="000000"/>
          <w:sz w:val="32"/>
          <w:szCs w:val="32"/>
        </w:rPr>
        <w:t>11</w:t>
      </w:r>
      <w:r>
        <w:rPr>
          <w:rStyle w:val="18"/>
          <w:rFonts w:hint="eastAsia" w:ascii="仿宋" w:eastAsia="仿宋"/>
          <w:bCs/>
          <w:color w:val="000000"/>
          <w:sz w:val="32"/>
          <w:szCs w:val="32"/>
        </w:rPr>
        <w:t>）</w:t>
      </w:r>
      <w:r>
        <w:rPr>
          <w:rStyle w:val="18"/>
          <w:rFonts w:hint="eastAsia" w:ascii="仿宋" w:eastAsia="仿宋"/>
          <w:bCs/>
          <w:color w:val="000000"/>
          <w:sz w:val="32"/>
          <w:szCs w:val="32"/>
          <w:lang w:eastAsia="zh-CN"/>
        </w:rPr>
        <w:t>其他行政事业单位医疗支出</w:t>
      </w:r>
      <w:r>
        <w:rPr>
          <w:rStyle w:val="18"/>
          <w:rFonts w:hint="eastAsia" w:ascii="仿宋" w:eastAsia="仿宋"/>
          <w:bCs/>
          <w:color w:val="000000"/>
          <w:sz w:val="32"/>
          <w:szCs w:val="32"/>
        </w:rPr>
        <w:t>（</w:t>
      </w:r>
      <w:r>
        <w:rPr>
          <w:rStyle w:val="18"/>
          <w:rFonts w:hint="eastAsia" w:ascii="仿宋" w:eastAsia="仿宋"/>
          <w:bCs/>
          <w:color w:val="000000"/>
          <w:sz w:val="32"/>
          <w:szCs w:val="32"/>
          <w:lang w:val="en-US" w:eastAsia="zh-CN"/>
        </w:rPr>
        <w:t>99</w:t>
      </w:r>
      <w:r>
        <w:rPr>
          <w:rStyle w:val="18"/>
          <w:rFonts w:hint="eastAsia" w:ascii="仿宋" w:eastAsia="仿宋"/>
          <w:bCs/>
          <w:color w:val="000000"/>
          <w:sz w:val="32"/>
          <w:szCs w:val="32"/>
        </w:rPr>
        <w:t>）</w:t>
      </w:r>
      <w:r>
        <w:rPr>
          <w:rStyle w:val="18"/>
          <w:rFonts w:ascii="仿宋" w:eastAsia="仿宋"/>
          <w:bCs/>
          <w:color w:val="000000"/>
          <w:sz w:val="32"/>
          <w:szCs w:val="32"/>
        </w:rPr>
        <w:t>:</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4.95</w:t>
      </w:r>
      <w:r>
        <w:rPr>
          <w:rStyle w:val="18"/>
          <w:rFonts w:hint="eastAsia" w:ascii="仿宋" w:eastAsia="仿宋"/>
          <w:b w:val="0"/>
          <w:bCs/>
          <w:color w:val="000000"/>
          <w:sz w:val="32"/>
          <w:szCs w:val="32"/>
        </w:rPr>
        <w:t>万元，完成预算</w:t>
      </w:r>
      <w:r>
        <w:rPr>
          <w:rStyle w:val="18"/>
          <w:rFonts w:hint="eastAsia" w:ascii="仿宋" w:eastAsia="仿宋"/>
          <w:b w:val="0"/>
          <w:bCs/>
          <w:color w:val="000000"/>
          <w:sz w:val="32"/>
          <w:szCs w:val="32"/>
          <w:lang w:val="en-US" w:eastAsia="zh-CN"/>
        </w:rPr>
        <w:t>100</w:t>
      </w:r>
      <w:r>
        <w:rPr>
          <w:rStyle w:val="18"/>
          <w:rFonts w:ascii="仿宋" w:eastAsia="仿宋"/>
          <w:b w:val="0"/>
          <w:bCs/>
          <w:color w:val="000000"/>
          <w:sz w:val="32"/>
          <w:szCs w:val="32"/>
        </w:rPr>
        <w:t>%</w:t>
      </w:r>
      <w:r>
        <w:rPr>
          <w:rStyle w:val="18"/>
          <w:rFonts w:hint="eastAsia" w:ascii="仿宋" w:eastAsia="仿宋"/>
          <w:b w:val="0"/>
          <w:bCs/>
          <w:color w:val="000000"/>
          <w:sz w:val="32"/>
          <w:szCs w:val="32"/>
        </w:rPr>
        <w:t>，决算数等于预算数。</w:t>
      </w:r>
    </w:p>
    <w:p w14:paraId="4F98672D">
      <w:pPr>
        <w:spacing w:line="600" w:lineRule="exact"/>
        <w:ind w:firstLine="643" w:firstLineChars="200"/>
        <w:rPr>
          <w:rStyle w:val="18"/>
          <w:rFonts w:hint="eastAsia" w:ascii="仿宋" w:eastAsia="仿宋"/>
          <w:b w:val="0"/>
          <w:bCs/>
          <w:color w:val="000000"/>
          <w:sz w:val="32"/>
          <w:szCs w:val="32"/>
        </w:rPr>
      </w:pPr>
      <w:r>
        <w:rPr>
          <w:rStyle w:val="18"/>
          <w:rFonts w:hint="eastAsia" w:ascii="仿宋" w:eastAsia="仿宋"/>
          <w:bCs/>
          <w:color w:val="000000"/>
          <w:sz w:val="32"/>
          <w:szCs w:val="32"/>
          <w:lang w:val="en-US" w:eastAsia="zh-CN"/>
        </w:rPr>
        <w:t>4、</w:t>
      </w:r>
      <w:r>
        <w:rPr>
          <w:rStyle w:val="18"/>
          <w:rFonts w:hint="eastAsia" w:ascii="仿宋" w:eastAsia="仿宋"/>
          <w:bCs/>
          <w:color w:val="000000"/>
          <w:sz w:val="32"/>
          <w:szCs w:val="32"/>
        </w:rPr>
        <w:t>住房保障支出（</w:t>
      </w:r>
      <w:r>
        <w:rPr>
          <w:rStyle w:val="18"/>
          <w:rFonts w:ascii="仿宋" w:eastAsia="仿宋"/>
          <w:bCs/>
          <w:color w:val="000000"/>
          <w:sz w:val="32"/>
          <w:szCs w:val="32"/>
        </w:rPr>
        <w:t>221</w:t>
      </w:r>
      <w:r>
        <w:rPr>
          <w:rStyle w:val="18"/>
          <w:rFonts w:hint="eastAsia" w:ascii="仿宋" w:eastAsia="仿宋"/>
          <w:bCs/>
          <w:color w:val="000000"/>
          <w:sz w:val="32"/>
          <w:szCs w:val="32"/>
        </w:rPr>
        <w:t>）住房改革支出（</w:t>
      </w:r>
      <w:r>
        <w:rPr>
          <w:rStyle w:val="18"/>
          <w:rFonts w:ascii="仿宋" w:eastAsia="仿宋"/>
          <w:bCs/>
          <w:color w:val="000000"/>
          <w:sz w:val="32"/>
          <w:szCs w:val="32"/>
        </w:rPr>
        <w:t>02</w:t>
      </w:r>
      <w:r>
        <w:rPr>
          <w:rStyle w:val="18"/>
          <w:rFonts w:hint="eastAsia" w:ascii="仿宋" w:eastAsia="仿宋"/>
          <w:bCs/>
          <w:color w:val="000000"/>
          <w:sz w:val="32"/>
          <w:szCs w:val="32"/>
        </w:rPr>
        <w:t>）住房公积金</w:t>
      </w:r>
      <w:r>
        <w:rPr>
          <w:rStyle w:val="18"/>
          <w:rFonts w:hint="eastAsia" w:ascii="仿宋" w:eastAsia="仿宋" w:cs="Times New Roman"/>
          <w:bCs/>
          <w:color w:val="000000"/>
          <w:sz w:val="32"/>
          <w:szCs w:val="32"/>
        </w:rPr>
        <w:t>（01）:</w:t>
      </w:r>
      <w:r>
        <w:rPr>
          <w:rStyle w:val="18"/>
          <w:rFonts w:hint="eastAsia" w:ascii="仿宋" w:eastAsia="仿宋" w:cs="Times New Roman"/>
          <w:b w:val="0"/>
          <w:bCs w:val="0"/>
          <w:color w:val="000000"/>
          <w:sz w:val="32"/>
          <w:szCs w:val="32"/>
        </w:rPr>
        <w:t xml:space="preserve"> 支出决算为</w:t>
      </w:r>
      <w:r>
        <w:rPr>
          <w:rStyle w:val="18"/>
          <w:rFonts w:hint="eastAsia" w:ascii="仿宋" w:eastAsia="仿宋" w:cs="Times New Roman"/>
          <w:b w:val="0"/>
          <w:bCs w:val="0"/>
          <w:color w:val="000000"/>
          <w:sz w:val="32"/>
          <w:szCs w:val="32"/>
          <w:lang w:val="en-US" w:eastAsia="zh-CN"/>
        </w:rPr>
        <w:t>32.81</w:t>
      </w:r>
      <w:r>
        <w:rPr>
          <w:rStyle w:val="18"/>
          <w:rFonts w:hint="eastAsia" w:ascii="仿宋" w:eastAsia="仿宋"/>
          <w:b w:val="0"/>
          <w:bCs w:val="0"/>
          <w:color w:val="000000"/>
          <w:sz w:val="32"/>
          <w:szCs w:val="32"/>
        </w:rPr>
        <w:t>万元，完成预算</w:t>
      </w:r>
      <w:r>
        <w:rPr>
          <w:rStyle w:val="18"/>
          <w:rFonts w:hint="eastAsia" w:ascii="仿宋" w:eastAsia="仿宋"/>
          <w:b w:val="0"/>
          <w:bCs w:val="0"/>
          <w:color w:val="000000"/>
          <w:sz w:val="32"/>
          <w:szCs w:val="32"/>
          <w:lang w:val="en-US" w:eastAsia="zh-CN"/>
        </w:rPr>
        <w:t>100</w:t>
      </w:r>
      <w:r>
        <w:rPr>
          <w:rStyle w:val="18"/>
          <w:rFonts w:ascii="仿宋" w:eastAsia="仿宋"/>
          <w:b w:val="0"/>
          <w:bCs w:val="0"/>
          <w:color w:val="000000"/>
          <w:sz w:val="32"/>
          <w:szCs w:val="32"/>
        </w:rPr>
        <w:t>%</w:t>
      </w:r>
      <w:r>
        <w:rPr>
          <w:rStyle w:val="18"/>
          <w:rFonts w:hint="eastAsia" w:ascii="仿宋" w:eastAsia="仿宋"/>
          <w:b w:val="0"/>
          <w:bCs w:val="0"/>
          <w:color w:val="000000"/>
          <w:sz w:val="32"/>
          <w:szCs w:val="32"/>
        </w:rPr>
        <w:t>。</w:t>
      </w:r>
      <w:r>
        <w:rPr>
          <w:rStyle w:val="18"/>
          <w:rFonts w:hint="eastAsia" w:ascii="仿宋" w:eastAsia="仿宋"/>
          <w:b w:val="0"/>
          <w:bCs/>
          <w:color w:val="000000"/>
          <w:sz w:val="32"/>
          <w:szCs w:val="32"/>
        </w:rPr>
        <w:t>决算数等于预算数。</w:t>
      </w:r>
    </w:p>
    <w:p w14:paraId="4B5620D5">
      <w:pPr>
        <w:spacing w:line="600" w:lineRule="exact"/>
        <w:ind w:firstLine="643"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Style w:val="18"/>
          <w:rFonts w:hint="eastAsia" w:ascii="仿宋" w:eastAsia="仿宋" w:cs="Times New Roman"/>
          <w:bCs/>
          <w:color w:val="000000"/>
          <w:sz w:val="32"/>
          <w:szCs w:val="32"/>
          <w:lang w:val="en-US" w:eastAsia="zh-CN"/>
        </w:rPr>
        <w:t>5、城</w:t>
      </w:r>
      <w:r>
        <w:rPr>
          <w:rStyle w:val="18"/>
          <w:rFonts w:hint="eastAsia" w:ascii="仿宋" w:eastAsia="仿宋"/>
          <w:bCs/>
          <w:color w:val="000000"/>
          <w:sz w:val="32"/>
          <w:szCs w:val="32"/>
        </w:rPr>
        <w:t>乡社区支出（</w:t>
      </w:r>
      <w:r>
        <w:rPr>
          <w:rStyle w:val="18"/>
          <w:rFonts w:ascii="仿宋" w:eastAsia="仿宋"/>
          <w:bCs/>
          <w:color w:val="000000"/>
          <w:sz w:val="32"/>
          <w:szCs w:val="32"/>
        </w:rPr>
        <w:t>212</w:t>
      </w:r>
      <w:r>
        <w:rPr>
          <w:rStyle w:val="18"/>
          <w:rFonts w:hint="eastAsia" w:ascii="仿宋" w:eastAsia="仿宋"/>
          <w:bCs/>
          <w:color w:val="000000"/>
          <w:sz w:val="32"/>
          <w:szCs w:val="32"/>
        </w:rPr>
        <w:t>）城乡社区管理事务（</w:t>
      </w:r>
      <w:r>
        <w:rPr>
          <w:rStyle w:val="18"/>
          <w:rFonts w:ascii="仿宋" w:eastAsia="仿宋"/>
          <w:bCs/>
          <w:color w:val="000000"/>
          <w:sz w:val="32"/>
          <w:szCs w:val="32"/>
        </w:rPr>
        <w:t>01</w:t>
      </w:r>
      <w:r>
        <w:rPr>
          <w:rStyle w:val="18"/>
          <w:rFonts w:hint="eastAsia" w:ascii="仿宋" w:eastAsia="仿宋"/>
          <w:bCs/>
          <w:color w:val="000000"/>
          <w:sz w:val="32"/>
          <w:szCs w:val="32"/>
        </w:rPr>
        <w:t>）其他城乡社区管理事务支出（</w:t>
      </w:r>
      <w:r>
        <w:rPr>
          <w:rStyle w:val="18"/>
          <w:rFonts w:ascii="仿宋" w:eastAsia="仿宋"/>
          <w:bCs/>
          <w:color w:val="000000"/>
          <w:sz w:val="32"/>
          <w:szCs w:val="32"/>
        </w:rPr>
        <w:t>99</w:t>
      </w:r>
      <w:r>
        <w:rPr>
          <w:rStyle w:val="18"/>
          <w:rFonts w:hint="eastAsia" w:ascii="仿宋" w:eastAsia="仿宋"/>
          <w:bCs/>
          <w:color w:val="000000"/>
          <w:sz w:val="32"/>
          <w:szCs w:val="32"/>
        </w:rPr>
        <w:t>）</w:t>
      </w:r>
      <w:r>
        <w:rPr>
          <w:rStyle w:val="18"/>
          <w:rFonts w:ascii="仿宋" w:eastAsia="仿宋"/>
          <w:bCs/>
          <w:color w:val="000000"/>
          <w:sz w:val="32"/>
          <w:szCs w:val="32"/>
        </w:rPr>
        <w:t>:</w:t>
      </w:r>
      <w:r>
        <w:rPr>
          <w:rStyle w:val="18"/>
          <w:rFonts w:ascii="仿宋" w:eastAsia="仿宋"/>
          <w:b w:val="0"/>
          <w:bCs/>
          <w:color w:val="000000"/>
          <w:sz w:val="32"/>
          <w:szCs w:val="32"/>
        </w:rPr>
        <w:t xml:space="preserve"> </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318.51</w:t>
      </w:r>
      <w:r>
        <w:rPr>
          <w:rStyle w:val="18"/>
          <w:rFonts w:hint="eastAsia" w:ascii="仿宋" w:eastAsia="仿宋"/>
          <w:b w:val="0"/>
          <w:bCs/>
          <w:color w:val="000000"/>
          <w:sz w:val="32"/>
          <w:szCs w:val="32"/>
        </w:rPr>
        <w:t>万元</w:t>
      </w:r>
      <w:r>
        <w:rPr>
          <w:rStyle w:val="18"/>
          <w:rFonts w:hint="eastAsia" w:ascii="仿宋" w:eastAsia="仿宋"/>
          <w:b w:val="0"/>
          <w:bCs/>
          <w:color w:val="000000"/>
          <w:sz w:val="32"/>
          <w:szCs w:val="32"/>
          <w:lang w:eastAsia="zh-CN"/>
        </w:rPr>
        <w:t>。</w:t>
      </w:r>
      <w:r>
        <w:rPr>
          <w:rStyle w:val="18"/>
          <w:rFonts w:hint="eastAsia" w:ascii="仿宋" w:eastAsia="仿宋"/>
          <w:b w:val="0"/>
          <w:bCs w:val="0"/>
          <w:color w:val="000000"/>
          <w:sz w:val="32"/>
          <w:szCs w:val="32"/>
        </w:rPr>
        <w:t>完成预算</w:t>
      </w:r>
      <w:r>
        <w:rPr>
          <w:rStyle w:val="18"/>
          <w:rFonts w:hint="eastAsia" w:ascii="仿宋" w:eastAsia="仿宋"/>
          <w:b w:val="0"/>
          <w:bCs w:val="0"/>
          <w:color w:val="000000"/>
          <w:sz w:val="32"/>
          <w:szCs w:val="32"/>
          <w:lang w:val="en-US" w:eastAsia="zh-CN"/>
        </w:rPr>
        <w:t>100</w:t>
      </w:r>
      <w:r>
        <w:rPr>
          <w:rStyle w:val="18"/>
          <w:rFonts w:ascii="仿宋" w:eastAsia="仿宋"/>
          <w:b w:val="0"/>
          <w:bCs w:val="0"/>
          <w:color w:val="000000"/>
          <w:sz w:val="32"/>
          <w:szCs w:val="32"/>
        </w:rPr>
        <w:t>%</w:t>
      </w:r>
      <w:r>
        <w:rPr>
          <w:rStyle w:val="18"/>
          <w:rFonts w:hint="eastAsia" w:ascii="仿宋" w:eastAsia="仿宋"/>
          <w:b w:val="0"/>
          <w:bCs w:val="0"/>
          <w:color w:val="000000"/>
          <w:sz w:val="32"/>
          <w:szCs w:val="32"/>
        </w:rPr>
        <w:t>。</w:t>
      </w:r>
      <w:r>
        <w:rPr>
          <w:rStyle w:val="18"/>
          <w:rFonts w:hint="eastAsia" w:ascii="仿宋" w:eastAsia="仿宋"/>
          <w:b w:val="0"/>
          <w:bCs/>
          <w:color w:val="000000"/>
          <w:sz w:val="32"/>
          <w:szCs w:val="32"/>
        </w:rPr>
        <w:t>决算数等于预算数</w:t>
      </w:r>
    </w:p>
    <w:p w14:paraId="43CF3BFB">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549FD6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435.83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50FFE6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418.14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17.69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F2CB6B1">
      <w:pPr>
        <w:spacing w:line="600" w:lineRule="exact"/>
        <w:outlineLvl w:val="1"/>
        <w:rPr>
          <w:rFonts w:hint="eastAsia" w:ascii="Times New Roman" w:hAnsi="Times New Roman" w:eastAsia="黑体"/>
          <w:color w:val="auto"/>
          <w:sz w:val="32"/>
          <w:szCs w:val="32"/>
          <w:highlight w:val="none"/>
        </w:rPr>
      </w:pPr>
      <w:bookmarkStart w:id="30" w:name="_Toc15396609"/>
      <w:bookmarkStart w:id="31" w:name="_Toc15377215"/>
    </w:p>
    <w:p w14:paraId="00D2F159">
      <w:pPr>
        <w:spacing w:line="600" w:lineRule="exact"/>
        <w:ind w:firstLine="64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54A487A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14:paraId="770EE949">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增加了0.15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增长300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上年接待费大部分在行政经费中支付，本年平均支付故导致年增长率高。</w:t>
      </w:r>
    </w:p>
    <w:p w14:paraId="234B63F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3"/>
    </w:p>
    <w:p w14:paraId="51DECD9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color w:val="auto"/>
          <w:kern w:val="2"/>
          <w:sz w:val="32"/>
          <w:szCs w:val="32"/>
          <w:highlight w:val="none"/>
          <w:lang w:val="en-US" w:eastAsia="zh-CN" w:bidi="ar-SA"/>
        </w:rPr>
        <w:t>万元，占100%。具体情况如下：</w:t>
      </w:r>
    </w:p>
    <w:p w14:paraId="132DF230">
      <w:pPr>
        <w:pStyle w:val="2"/>
        <w:rPr>
          <w:rFonts w:hint="eastAsia"/>
          <w:lang w:val="en-US" w:eastAsia="zh-CN"/>
        </w:rPr>
      </w:pPr>
      <w:r>
        <w:rPr>
          <w:rFonts w:hint="eastAsia"/>
          <w:lang w:val="en-US" w:eastAsia="zh-CN"/>
        </w:rPr>
        <w:t xml:space="preserve">                                                                          </w:t>
      </w:r>
      <w:r>
        <w:drawing>
          <wp:inline distT="0" distB="0" distL="114300" distR="114300">
            <wp:extent cx="3258820" cy="1570990"/>
            <wp:effectExtent l="4445" t="4445" r="13335" b="5715"/>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81EC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9C6CD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A0DC1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万元，主要用于……。截至2024年12月31日，单位共有公务用车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B7635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0B0329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0.2万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增长300</w:t>
      </w:r>
      <w:r>
        <w:rPr>
          <w:rFonts w:hint="eastAsia" w:ascii="Times New Roman" w:hAnsi="Times New Roman" w:eastAsia="仿宋_GB2312" w:cs="仿宋_GB2312"/>
          <w:color w:val="auto"/>
          <w:kern w:val="2"/>
          <w:sz w:val="32"/>
          <w:szCs w:val="32"/>
          <w:highlight w:val="none"/>
          <w:lang w:val="en-US" w:eastAsia="zh-CN" w:bidi="ar-SA"/>
        </w:rPr>
        <w:t>%。主要原因主要原因</w:t>
      </w:r>
      <w:r>
        <w:rPr>
          <w:rFonts w:hint="eastAsia" w:eastAsia="仿宋_GB2312" w:cs="仿宋_GB2312"/>
          <w:color w:val="auto"/>
          <w:kern w:val="2"/>
          <w:sz w:val="32"/>
          <w:szCs w:val="32"/>
          <w:highlight w:val="none"/>
          <w:lang w:val="en-US" w:eastAsia="zh-CN" w:bidi="ar-SA"/>
        </w:rPr>
        <w:t>上年接待费大部分在本单位行政经费中支付后，不足部分在本单位支付，故导本年比率失调。</w:t>
      </w:r>
    </w:p>
    <w:p w14:paraId="5EFDB03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color w:val="auto"/>
          <w:sz w:val="32"/>
          <w:szCs w:val="32"/>
        </w:rPr>
        <w:t>8</w:t>
      </w:r>
      <w:r>
        <w:rPr>
          <w:rFonts w:hint="eastAsia" w:ascii="Times New Roman" w:hAnsi="Times New Roman" w:eastAsia="仿宋_GB2312" w:cs="仿宋_GB2312"/>
          <w:color w:val="auto"/>
          <w:kern w:val="2"/>
          <w:sz w:val="32"/>
          <w:szCs w:val="32"/>
          <w:highlight w:val="none"/>
          <w:lang w:val="en-US" w:eastAsia="zh-CN" w:bidi="ar-SA"/>
        </w:rPr>
        <w:t>人次（包括陪同人员），共计支出</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万元。</w:t>
      </w:r>
    </w:p>
    <w:p w14:paraId="2A328D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796F26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14:paraId="091606E7">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253620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A4E5B9D">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96611"/>
      <w:bookmarkStart w:id="3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01A66E07">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38" w:name="_Toc15396612"/>
      <w:bookmarkStart w:id="39" w:name="_Toc15377221"/>
    </w:p>
    <w:p w14:paraId="4D41F1DF">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21E79D7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6FC3C4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九寨沟县建设工程质量安全监督站</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17.69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上年部分支出先用行政单位经费支付后，不足部分在本单位支付，故导致本年度指标同比增长明显。</w:t>
      </w:r>
    </w:p>
    <w:p w14:paraId="0F81100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7C5966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九寨沟县建设工程质量安全监督站</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063448A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5D2E58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九寨沟县建设工程质量安全监督站</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辆，其他用车主要是用于……。单价100万元（含）以上设备（不含车辆）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2475AB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9E5F289">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根据预算绩效管理要求，本部门（单位）在年初预算编制阶段，组织对</w:t>
      </w:r>
      <w:r>
        <w:rPr>
          <w:rFonts w:hint="eastAsia" w:ascii="仿宋_GB2312" w:eastAsia="仿宋_GB2312" w:cs="仿宋_GB2312"/>
          <w:sz w:val="32"/>
          <w:szCs w:val="32"/>
          <w:lang w:val="en-US" w:eastAsia="zh-CN"/>
        </w:rPr>
        <w:t>0</w:t>
      </w:r>
      <w:r>
        <w:rPr>
          <w:rFonts w:hint="eastAsia" w:ascii="仿宋_GB2312" w:eastAsia="仿宋_GB2312" w:cs="仿宋_GB2312"/>
          <w:sz w:val="32"/>
          <w:szCs w:val="32"/>
        </w:rPr>
        <w:t>项目（项目名称）开展了预算事前绩效评估，对</w:t>
      </w:r>
      <w:r>
        <w:rPr>
          <w:rFonts w:hint="eastAsia" w:ascii="仿宋_GB2312" w:eastAsia="仿宋_GB2312" w:cs="仿宋_GB2312"/>
          <w:sz w:val="32"/>
          <w:szCs w:val="32"/>
          <w:lang w:val="en-US" w:eastAsia="zh-CN"/>
        </w:rPr>
        <w:t>0</w:t>
      </w:r>
      <w:r>
        <w:rPr>
          <w:rFonts w:hint="eastAsia" w:ascii="仿宋_GB2312" w:eastAsia="仿宋_GB2312" w:cs="仿宋_GB2312"/>
          <w:sz w:val="32"/>
          <w:szCs w:val="32"/>
        </w:rPr>
        <w:t>个项目编制了绩效目标，预算执行过程中，选取</w:t>
      </w:r>
      <w:r>
        <w:rPr>
          <w:rFonts w:hint="eastAsia" w:ascii="仿宋_GB2312" w:eastAsia="仿宋_GB2312" w:cs="仿宋_GB2312"/>
          <w:sz w:val="32"/>
          <w:szCs w:val="32"/>
          <w:lang w:val="en-US" w:eastAsia="zh-CN"/>
        </w:rPr>
        <w:t>0</w:t>
      </w:r>
      <w:r>
        <w:rPr>
          <w:rFonts w:hint="eastAsia" w:ascii="仿宋_GB2312" w:eastAsia="仿宋_GB2312" w:cs="仿宋_GB2312"/>
          <w:sz w:val="32"/>
          <w:szCs w:val="32"/>
        </w:rPr>
        <w:t>个项目开展绩效监控，年终执行完毕后，对</w:t>
      </w:r>
      <w:r>
        <w:rPr>
          <w:rFonts w:hint="eastAsia" w:ascii="仿宋_GB2312" w:eastAsia="仿宋_GB2312" w:cs="仿宋_GB2312"/>
          <w:sz w:val="32"/>
          <w:szCs w:val="32"/>
          <w:lang w:val="en-US" w:eastAsia="zh-CN"/>
        </w:rPr>
        <w:t>0</w:t>
      </w:r>
      <w:r>
        <w:rPr>
          <w:rFonts w:hint="eastAsia" w:ascii="仿宋_GB2312" w:eastAsia="仿宋_GB2312" w:cs="仿宋_GB2312"/>
          <w:sz w:val="32"/>
          <w:szCs w:val="32"/>
        </w:rPr>
        <w:t>个项目开展了绩效目标完成情况自评。</w:t>
      </w:r>
    </w:p>
    <w:p w14:paraId="3ADF11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A7EE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8B97B4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50F83D58">
      <w:pPr>
        <w:spacing w:line="600" w:lineRule="exact"/>
        <w:jc w:val="left"/>
        <w:rPr>
          <w:rFonts w:ascii="Times New Roman" w:hAnsi="Times New Roman"/>
          <w:b/>
          <w:color w:val="auto"/>
          <w:sz w:val="44"/>
          <w:szCs w:val="44"/>
          <w:highlight w:val="none"/>
        </w:rPr>
      </w:pPr>
    </w:p>
    <w:p w14:paraId="3ECFC9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6F2DD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4CD13E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00F00E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1F0F1A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8F42F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ACC75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BA5F3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49FA6EF">
      <w:pPr>
        <w:ind w:firstLine="640" w:firstLineChars="200"/>
        <w:rPr>
          <w:rFonts w:hint="eastAsia" w:ascii="仿宋_GB2312" w:eastAsia="仿宋_GB2312" w:cs="仿宋"/>
          <w:color w:val="000000"/>
          <w:kern w:val="0"/>
          <w:sz w:val="32"/>
          <w:szCs w:val="32"/>
          <w:lang w:val="en-US" w:eastAsia="zh-CN" w:bidi="ar-SA"/>
        </w:rPr>
      </w:pPr>
      <w:r>
        <w:rPr>
          <w:rFonts w:ascii="仿宋_GB2312" w:eastAsia="仿宋_GB2312"/>
          <w:color w:val="000000"/>
          <w:sz w:val="32"/>
          <w:szCs w:val="32"/>
        </w:rPr>
        <w:t>9</w:t>
      </w:r>
      <w:r>
        <w:rPr>
          <w:rFonts w:hint="eastAsia" w:ascii="仿宋_GB2312" w:eastAsia="仿宋_GB2312" w:cs="仿宋"/>
          <w:color w:val="000000"/>
          <w:kern w:val="0"/>
          <w:sz w:val="32"/>
          <w:szCs w:val="32"/>
          <w:lang w:val="en-US" w:eastAsia="zh-CN" w:bidi="ar-SA"/>
        </w:rPr>
        <w:t>.</w:t>
      </w:r>
      <w:r>
        <w:rPr>
          <w:rFonts w:hint="eastAsia" w:ascii="仿宋_GB2312" w:eastAsia="仿宋_GB2312"/>
          <w:b/>
          <w:bCs/>
          <w:color w:val="000000"/>
          <w:sz w:val="32"/>
          <w:szCs w:val="32"/>
        </w:rPr>
        <w:t>社会保障和就业</w:t>
      </w:r>
      <w:r>
        <w:rPr>
          <w:rStyle w:val="18"/>
          <w:rFonts w:hint="eastAsia" w:ascii="仿宋" w:eastAsia="仿宋"/>
          <w:bCs/>
          <w:color w:val="000000"/>
          <w:sz w:val="32"/>
          <w:szCs w:val="32"/>
        </w:rPr>
        <w:t>社会保障和就业（</w:t>
      </w:r>
      <w:r>
        <w:rPr>
          <w:rStyle w:val="18"/>
          <w:rFonts w:hint="eastAsia" w:ascii="仿宋" w:eastAsia="仿宋"/>
          <w:bCs/>
          <w:color w:val="000000"/>
          <w:sz w:val="32"/>
          <w:szCs w:val="32"/>
          <w:lang w:val="en-US" w:eastAsia="zh-CN"/>
        </w:rPr>
        <w:t>208</w:t>
      </w:r>
      <w:r>
        <w:rPr>
          <w:rStyle w:val="18"/>
          <w:rFonts w:hint="eastAsia" w:ascii="仿宋" w:eastAsia="仿宋"/>
          <w:bCs/>
          <w:color w:val="000000"/>
          <w:sz w:val="32"/>
          <w:szCs w:val="32"/>
        </w:rPr>
        <w:t>）行政事业单位离退休（</w:t>
      </w:r>
      <w:r>
        <w:rPr>
          <w:rStyle w:val="18"/>
          <w:rFonts w:hint="eastAsia" w:ascii="仿宋" w:eastAsia="仿宋"/>
          <w:bCs/>
          <w:color w:val="000000"/>
          <w:sz w:val="32"/>
          <w:szCs w:val="32"/>
          <w:lang w:val="en-US" w:eastAsia="zh-CN"/>
        </w:rPr>
        <w:t>05</w:t>
      </w:r>
      <w:r>
        <w:rPr>
          <w:rStyle w:val="18"/>
          <w:rFonts w:hint="eastAsia" w:ascii="仿宋" w:eastAsia="仿宋"/>
          <w:bCs/>
          <w:color w:val="000000"/>
          <w:sz w:val="32"/>
          <w:szCs w:val="32"/>
        </w:rPr>
        <w:t>）机关事业单位基本养老保险缴费支出（</w:t>
      </w:r>
      <w:r>
        <w:rPr>
          <w:rStyle w:val="18"/>
          <w:rFonts w:hint="eastAsia" w:ascii="仿宋" w:eastAsia="仿宋"/>
          <w:bCs/>
          <w:color w:val="000000"/>
          <w:sz w:val="32"/>
          <w:szCs w:val="32"/>
          <w:lang w:val="en-US" w:eastAsia="zh-CN"/>
        </w:rPr>
        <w:t>05</w:t>
      </w:r>
      <w:r>
        <w:rPr>
          <w:rStyle w:val="18"/>
          <w:rFonts w:hint="eastAsia" w:ascii="仿宋" w:eastAsia="仿宋"/>
          <w:bCs/>
          <w:color w:val="000000"/>
          <w:sz w:val="32"/>
          <w:szCs w:val="32"/>
        </w:rPr>
        <w:t>）</w:t>
      </w:r>
      <w:r>
        <w:rPr>
          <w:rFonts w:hint="eastAsia" w:ascii="仿宋_GB2312" w:eastAsia="仿宋_GB2312" w:cs="仿宋"/>
          <w:color w:val="000000"/>
          <w:kern w:val="0"/>
          <w:sz w:val="32"/>
          <w:szCs w:val="32"/>
          <w:lang w:val="en-US" w:eastAsia="zh-CN" w:bidi="ar-SA"/>
        </w:rPr>
        <w:t>：反映机关事业单位实施养老保险制度由单位缴纳的基本养老保险费支出；</w:t>
      </w:r>
      <w:r>
        <w:rPr>
          <w:rStyle w:val="18"/>
          <w:rFonts w:hint="eastAsia" w:ascii="仿宋" w:eastAsia="仿宋"/>
          <w:bCs/>
          <w:color w:val="000000"/>
          <w:sz w:val="32"/>
          <w:szCs w:val="32"/>
        </w:rPr>
        <w:t>社会保障和就业（</w:t>
      </w:r>
      <w:r>
        <w:rPr>
          <w:rStyle w:val="18"/>
          <w:rFonts w:hint="eastAsia" w:ascii="仿宋" w:eastAsia="仿宋"/>
          <w:bCs/>
          <w:color w:val="000000"/>
          <w:sz w:val="32"/>
          <w:szCs w:val="32"/>
          <w:lang w:val="en-US" w:eastAsia="zh-CN"/>
        </w:rPr>
        <w:t>208</w:t>
      </w:r>
      <w:r>
        <w:rPr>
          <w:rStyle w:val="18"/>
          <w:rFonts w:hint="eastAsia" w:ascii="仿宋" w:eastAsia="仿宋"/>
          <w:bCs/>
          <w:color w:val="000000"/>
          <w:sz w:val="32"/>
          <w:szCs w:val="32"/>
        </w:rPr>
        <w:t>）行政事业单位离退休（</w:t>
      </w:r>
      <w:r>
        <w:rPr>
          <w:rStyle w:val="18"/>
          <w:rFonts w:hint="eastAsia" w:ascii="仿宋" w:eastAsia="仿宋"/>
          <w:bCs/>
          <w:color w:val="000000"/>
          <w:sz w:val="32"/>
          <w:szCs w:val="32"/>
          <w:lang w:val="en-US" w:eastAsia="zh-CN"/>
        </w:rPr>
        <w:t>05</w:t>
      </w:r>
      <w:r>
        <w:rPr>
          <w:rStyle w:val="18"/>
          <w:rFonts w:hint="eastAsia" w:ascii="仿宋" w:eastAsia="仿宋"/>
          <w:bCs/>
          <w:color w:val="000000"/>
          <w:sz w:val="32"/>
          <w:szCs w:val="32"/>
        </w:rPr>
        <w:t>）</w:t>
      </w:r>
      <w:r>
        <w:rPr>
          <w:rStyle w:val="18"/>
          <w:rFonts w:hint="eastAsia" w:ascii="仿宋" w:eastAsia="仿宋" w:cs="Times New Roman"/>
          <w:bCs/>
          <w:color w:val="000000"/>
          <w:sz w:val="32"/>
          <w:szCs w:val="32"/>
        </w:rPr>
        <w:t>机关事业单位职业年金缴费支出</w:t>
      </w:r>
      <w:r>
        <w:rPr>
          <w:rStyle w:val="18"/>
          <w:rFonts w:hint="eastAsia" w:ascii="仿宋" w:eastAsia="仿宋"/>
          <w:bCs/>
          <w:color w:val="000000"/>
          <w:sz w:val="32"/>
          <w:szCs w:val="32"/>
        </w:rPr>
        <w:t>（</w:t>
      </w:r>
      <w:r>
        <w:rPr>
          <w:rStyle w:val="18"/>
          <w:rFonts w:hint="eastAsia" w:ascii="仿宋" w:eastAsia="仿宋"/>
          <w:bCs/>
          <w:color w:val="000000"/>
          <w:sz w:val="32"/>
          <w:szCs w:val="32"/>
          <w:lang w:val="en-US" w:eastAsia="zh-CN"/>
        </w:rPr>
        <w:t>06</w:t>
      </w:r>
      <w:r>
        <w:rPr>
          <w:rStyle w:val="18"/>
          <w:rFonts w:hint="eastAsia" w:ascii="仿宋" w:eastAsia="仿宋"/>
          <w:bCs/>
          <w:color w:val="000000"/>
          <w:sz w:val="32"/>
          <w:szCs w:val="32"/>
        </w:rPr>
        <w:t>）</w:t>
      </w:r>
      <w:r>
        <w:rPr>
          <w:rFonts w:hint="eastAsia" w:ascii="仿宋_GB2312" w:eastAsia="仿宋_GB2312" w:cs="仿宋"/>
          <w:color w:val="000000"/>
          <w:kern w:val="0"/>
          <w:sz w:val="32"/>
          <w:szCs w:val="32"/>
          <w:lang w:val="en-US" w:eastAsia="zh-CN" w:bidi="ar-SA"/>
        </w:rPr>
        <w:t>反映机关事业单位实施养老保险制度由单位缴纳的基本职业年金支出。</w:t>
      </w:r>
    </w:p>
    <w:p w14:paraId="13F7A1F5">
      <w:pPr>
        <w:ind w:firstLine="640" w:firstLineChars="200"/>
        <w:rPr>
          <w:rFonts w:hint="eastAsia" w:ascii="仿宋_GB2312" w:eastAsia="仿宋_GB2312" w:cs="仿宋"/>
          <w:color w:val="000000"/>
          <w:kern w:val="0"/>
          <w:sz w:val="32"/>
          <w:szCs w:val="32"/>
          <w:lang w:val="en-US" w:eastAsia="zh-CN" w:bidi="ar-SA"/>
        </w:rPr>
      </w:pPr>
      <w:r>
        <w:rPr>
          <w:rFonts w:hint="eastAsia" w:ascii="仿宋_GB2312" w:eastAsia="仿宋_GB2312" w:cs="仿宋"/>
          <w:color w:val="000000"/>
          <w:kern w:val="0"/>
          <w:sz w:val="32"/>
          <w:szCs w:val="32"/>
          <w:lang w:val="en-US" w:eastAsia="zh-CN" w:bidi="ar-SA"/>
        </w:rPr>
        <w:t>10.</w:t>
      </w:r>
      <w:r>
        <w:rPr>
          <w:rStyle w:val="18"/>
          <w:rFonts w:hint="eastAsia" w:ascii="仿宋" w:eastAsia="仿宋"/>
          <w:bCs/>
          <w:color w:val="000000"/>
          <w:sz w:val="32"/>
          <w:szCs w:val="32"/>
        </w:rPr>
        <w:t>城乡社区支出（</w:t>
      </w:r>
      <w:r>
        <w:rPr>
          <w:rStyle w:val="18"/>
          <w:rFonts w:ascii="仿宋" w:eastAsia="仿宋"/>
          <w:bCs/>
          <w:color w:val="000000"/>
          <w:sz w:val="32"/>
          <w:szCs w:val="32"/>
        </w:rPr>
        <w:t>212</w:t>
      </w:r>
      <w:r>
        <w:rPr>
          <w:rStyle w:val="18"/>
          <w:rFonts w:hint="eastAsia" w:ascii="仿宋" w:eastAsia="仿宋"/>
          <w:bCs/>
          <w:color w:val="000000"/>
          <w:sz w:val="32"/>
          <w:szCs w:val="32"/>
        </w:rPr>
        <w:t>）城乡社区管理事务（</w:t>
      </w:r>
      <w:r>
        <w:rPr>
          <w:rStyle w:val="18"/>
          <w:rFonts w:ascii="仿宋" w:eastAsia="仿宋"/>
          <w:bCs/>
          <w:color w:val="000000"/>
          <w:sz w:val="32"/>
          <w:szCs w:val="32"/>
        </w:rPr>
        <w:t>01</w:t>
      </w:r>
      <w:r>
        <w:rPr>
          <w:rStyle w:val="18"/>
          <w:rFonts w:hint="eastAsia" w:ascii="仿宋" w:eastAsia="仿宋"/>
          <w:bCs/>
          <w:color w:val="000000"/>
          <w:sz w:val="32"/>
          <w:szCs w:val="32"/>
        </w:rPr>
        <w:t>）其他城乡社区管理事务支出（</w:t>
      </w:r>
      <w:r>
        <w:rPr>
          <w:rStyle w:val="18"/>
          <w:rFonts w:ascii="仿宋" w:eastAsia="仿宋"/>
          <w:bCs/>
          <w:color w:val="000000"/>
          <w:sz w:val="32"/>
          <w:szCs w:val="32"/>
        </w:rPr>
        <w:t>99</w:t>
      </w:r>
      <w:r>
        <w:rPr>
          <w:rStyle w:val="18"/>
          <w:rFonts w:hint="eastAsia" w:ascii="仿宋" w:eastAsia="仿宋"/>
          <w:bCs/>
          <w:color w:val="000000"/>
          <w:sz w:val="32"/>
          <w:szCs w:val="32"/>
        </w:rPr>
        <w:t>）</w:t>
      </w:r>
      <w:r>
        <w:rPr>
          <w:rFonts w:hint="eastAsia" w:ascii="仿宋_GB2312" w:eastAsia="仿宋_GB2312" w:cs="仿宋"/>
          <w:color w:val="000000"/>
          <w:kern w:val="0"/>
          <w:sz w:val="32"/>
          <w:szCs w:val="32"/>
          <w:lang w:val="en-US" w:eastAsia="zh-CN" w:bidi="ar-SA"/>
        </w:rPr>
        <w:t>：反映除上述项目以外其他用于城乡社区管理事务方面的支出。</w:t>
      </w:r>
    </w:p>
    <w:p w14:paraId="7F8446D6">
      <w:pPr>
        <w:ind w:firstLine="640" w:firstLineChars="200"/>
        <w:rPr>
          <w:rFonts w:hint="eastAsia" w:ascii="仿宋_GB2312" w:eastAsia="仿宋_GB2312" w:cs="仿宋"/>
          <w:color w:val="000000"/>
          <w:kern w:val="0"/>
          <w:sz w:val="32"/>
          <w:szCs w:val="32"/>
          <w:lang w:val="en-US" w:eastAsia="zh-CN" w:bidi="ar-SA"/>
        </w:rPr>
      </w:pPr>
      <w:r>
        <w:rPr>
          <w:rFonts w:hint="eastAsia" w:ascii="仿宋_GB2312" w:eastAsia="仿宋_GB2312" w:cs="仿宋"/>
          <w:color w:val="000000"/>
          <w:kern w:val="0"/>
          <w:sz w:val="32"/>
          <w:szCs w:val="32"/>
          <w:lang w:val="en-US" w:eastAsia="zh-CN" w:bidi="ar-SA"/>
        </w:rPr>
        <w:t>11.</w:t>
      </w:r>
      <w:r>
        <w:rPr>
          <w:rFonts w:hint="eastAsia" w:ascii="仿宋_GB2312" w:eastAsia="仿宋_GB2312" w:cs="仿宋"/>
          <w:b/>
          <w:bCs/>
          <w:color w:val="000000"/>
          <w:kern w:val="0"/>
          <w:sz w:val="32"/>
          <w:szCs w:val="32"/>
          <w:lang w:val="en-US" w:eastAsia="zh-CN" w:bidi="ar-SA"/>
        </w:rPr>
        <w:t>卫生健康（210）</w:t>
      </w:r>
      <w:r>
        <w:rPr>
          <w:rStyle w:val="18"/>
          <w:rFonts w:hint="eastAsia" w:ascii="仿宋" w:eastAsia="仿宋"/>
          <w:bCs/>
          <w:color w:val="000000"/>
          <w:sz w:val="32"/>
          <w:szCs w:val="32"/>
        </w:rPr>
        <w:t>行政事业单位医疗（</w:t>
      </w:r>
      <w:r>
        <w:rPr>
          <w:rStyle w:val="18"/>
          <w:rFonts w:ascii="仿宋" w:eastAsia="仿宋"/>
          <w:bCs/>
          <w:color w:val="000000"/>
          <w:sz w:val="32"/>
          <w:szCs w:val="32"/>
        </w:rPr>
        <w:t>11</w:t>
      </w:r>
      <w:r>
        <w:rPr>
          <w:rStyle w:val="18"/>
          <w:rFonts w:hint="eastAsia" w:ascii="仿宋" w:eastAsia="仿宋"/>
          <w:bCs/>
          <w:color w:val="000000"/>
          <w:sz w:val="32"/>
          <w:szCs w:val="32"/>
        </w:rPr>
        <w:t>）</w:t>
      </w:r>
      <w:r>
        <w:rPr>
          <w:rStyle w:val="18"/>
          <w:rFonts w:hint="eastAsia" w:ascii="仿宋" w:eastAsia="仿宋"/>
          <w:bCs/>
          <w:color w:val="000000"/>
          <w:sz w:val="32"/>
          <w:szCs w:val="32"/>
          <w:lang w:eastAsia="zh-CN"/>
        </w:rPr>
        <w:t>事业</w:t>
      </w:r>
      <w:r>
        <w:rPr>
          <w:rStyle w:val="18"/>
          <w:rFonts w:hint="eastAsia" w:ascii="仿宋" w:eastAsia="仿宋"/>
          <w:bCs/>
          <w:color w:val="000000"/>
          <w:sz w:val="32"/>
          <w:szCs w:val="32"/>
        </w:rPr>
        <w:t>单位医疗（</w:t>
      </w:r>
      <w:r>
        <w:rPr>
          <w:rStyle w:val="18"/>
          <w:rFonts w:ascii="仿宋" w:eastAsia="仿宋"/>
          <w:bCs/>
          <w:color w:val="000000"/>
          <w:sz w:val="32"/>
          <w:szCs w:val="32"/>
        </w:rPr>
        <w:t>0</w:t>
      </w:r>
      <w:r>
        <w:rPr>
          <w:rStyle w:val="18"/>
          <w:rFonts w:hint="eastAsia" w:ascii="仿宋" w:eastAsia="仿宋"/>
          <w:bCs/>
          <w:color w:val="000000"/>
          <w:sz w:val="32"/>
          <w:szCs w:val="32"/>
          <w:lang w:val="en-US" w:eastAsia="zh-CN"/>
        </w:rPr>
        <w:t>2</w:t>
      </w:r>
      <w:r>
        <w:rPr>
          <w:rStyle w:val="18"/>
          <w:rFonts w:hint="eastAsia" w:ascii="仿宋" w:eastAsia="仿宋"/>
          <w:bCs/>
          <w:color w:val="000000"/>
          <w:sz w:val="32"/>
          <w:szCs w:val="32"/>
        </w:rPr>
        <w:t>）</w:t>
      </w:r>
      <w:r>
        <w:rPr>
          <w:rFonts w:hint="eastAsia" w:ascii="仿宋_GB2312" w:eastAsia="仿宋_GB2312" w:cs="仿宋"/>
          <w:color w:val="000000"/>
          <w:kern w:val="0"/>
          <w:sz w:val="32"/>
          <w:szCs w:val="32"/>
          <w:lang w:val="en-US" w:eastAsia="zh-CN" w:bidi="ar-SA"/>
        </w:rPr>
        <w:t>反映财政部门安排的事业医疗补助经费。</w:t>
      </w:r>
    </w:p>
    <w:p w14:paraId="28B8D1A3">
      <w:pPr>
        <w:ind w:firstLine="640" w:firstLineChars="200"/>
        <w:rPr>
          <w:rFonts w:hint="eastAsia" w:ascii="仿宋_GB2312" w:eastAsia="仿宋_GB2312" w:cs="仿宋"/>
          <w:color w:val="000000"/>
          <w:kern w:val="0"/>
          <w:sz w:val="32"/>
          <w:szCs w:val="32"/>
          <w:lang w:val="en-US" w:eastAsia="zh-CN" w:bidi="ar-SA"/>
        </w:rPr>
      </w:pPr>
      <w:r>
        <w:rPr>
          <w:rFonts w:hint="eastAsia" w:ascii="仿宋_GB2312" w:eastAsia="仿宋_GB2312" w:cs="仿宋"/>
          <w:color w:val="000000"/>
          <w:kern w:val="0"/>
          <w:sz w:val="32"/>
          <w:szCs w:val="32"/>
          <w:lang w:val="en-US" w:eastAsia="zh-CN" w:bidi="ar-SA"/>
        </w:rPr>
        <w:t>12.</w:t>
      </w:r>
      <w:r>
        <w:rPr>
          <w:rFonts w:hint="eastAsia" w:ascii="仿宋_GB2312" w:eastAsia="仿宋_GB2312" w:cs="仿宋"/>
          <w:b/>
          <w:bCs/>
          <w:color w:val="000000"/>
          <w:kern w:val="0"/>
          <w:sz w:val="32"/>
          <w:szCs w:val="32"/>
          <w:lang w:val="en-US" w:eastAsia="zh-CN" w:bidi="ar-SA"/>
        </w:rPr>
        <w:t>卫生健康（210）</w:t>
      </w:r>
      <w:r>
        <w:rPr>
          <w:rStyle w:val="18"/>
          <w:rFonts w:hint="eastAsia" w:ascii="仿宋" w:eastAsia="仿宋"/>
          <w:bCs/>
          <w:color w:val="000000"/>
          <w:sz w:val="32"/>
          <w:szCs w:val="32"/>
        </w:rPr>
        <w:t>行政事业单位医疗（</w:t>
      </w:r>
      <w:r>
        <w:rPr>
          <w:rStyle w:val="18"/>
          <w:rFonts w:ascii="仿宋" w:eastAsia="仿宋"/>
          <w:bCs/>
          <w:color w:val="000000"/>
          <w:sz w:val="32"/>
          <w:szCs w:val="32"/>
        </w:rPr>
        <w:t>11</w:t>
      </w:r>
      <w:r>
        <w:rPr>
          <w:rStyle w:val="18"/>
          <w:rFonts w:hint="eastAsia" w:ascii="仿宋" w:eastAsia="仿宋"/>
          <w:bCs/>
          <w:color w:val="000000"/>
          <w:sz w:val="32"/>
          <w:szCs w:val="32"/>
        </w:rPr>
        <w:t>）</w:t>
      </w:r>
      <w:r>
        <w:rPr>
          <w:rStyle w:val="18"/>
          <w:rFonts w:hint="eastAsia" w:ascii="仿宋" w:eastAsia="仿宋"/>
          <w:bCs/>
          <w:color w:val="000000"/>
          <w:sz w:val="32"/>
          <w:szCs w:val="32"/>
          <w:lang w:eastAsia="zh-CN"/>
        </w:rPr>
        <w:t>其他行政事业</w:t>
      </w:r>
      <w:r>
        <w:rPr>
          <w:rStyle w:val="18"/>
          <w:rFonts w:hint="eastAsia" w:ascii="仿宋" w:eastAsia="仿宋"/>
          <w:bCs/>
          <w:color w:val="000000"/>
          <w:sz w:val="32"/>
          <w:szCs w:val="32"/>
        </w:rPr>
        <w:t>单位医疗（</w:t>
      </w:r>
      <w:r>
        <w:rPr>
          <w:rStyle w:val="18"/>
          <w:rFonts w:hint="eastAsia" w:ascii="仿宋" w:eastAsia="仿宋"/>
          <w:bCs/>
          <w:color w:val="000000"/>
          <w:sz w:val="32"/>
          <w:szCs w:val="32"/>
          <w:lang w:val="en-US" w:eastAsia="zh-CN"/>
        </w:rPr>
        <w:t>99</w:t>
      </w:r>
      <w:r>
        <w:rPr>
          <w:rStyle w:val="18"/>
          <w:rFonts w:hint="eastAsia" w:ascii="仿宋" w:eastAsia="仿宋"/>
          <w:bCs/>
          <w:color w:val="000000"/>
          <w:sz w:val="32"/>
          <w:szCs w:val="32"/>
        </w:rPr>
        <w:t>）</w:t>
      </w:r>
      <w:r>
        <w:rPr>
          <w:rFonts w:hint="eastAsia" w:ascii="仿宋_GB2312" w:eastAsia="仿宋_GB2312" w:cs="仿宋"/>
          <w:color w:val="000000"/>
          <w:kern w:val="0"/>
          <w:sz w:val="32"/>
          <w:szCs w:val="32"/>
          <w:lang w:val="en-US" w:eastAsia="zh-CN" w:bidi="ar-SA"/>
        </w:rPr>
        <w:t>反映上述项目以外的其他用于公立医院方面的支出。</w:t>
      </w:r>
    </w:p>
    <w:p w14:paraId="4C25796C">
      <w:pPr>
        <w:ind w:firstLine="640" w:firstLineChars="200"/>
        <w:rPr>
          <w:rFonts w:hint="eastAsia" w:ascii="仿宋_GB2312" w:eastAsia="仿宋_GB2312" w:cs="仿宋"/>
          <w:color w:val="000000"/>
          <w:kern w:val="0"/>
          <w:sz w:val="32"/>
          <w:szCs w:val="32"/>
          <w:lang w:val="en-US" w:eastAsia="zh-CN" w:bidi="ar-SA"/>
        </w:rPr>
      </w:pPr>
      <w:r>
        <w:rPr>
          <w:rFonts w:hint="eastAsia" w:ascii="仿宋_GB2312" w:eastAsia="仿宋_GB2312" w:cs="仿宋"/>
          <w:color w:val="000000"/>
          <w:kern w:val="0"/>
          <w:sz w:val="32"/>
          <w:szCs w:val="32"/>
          <w:lang w:val="en-US" w:eastAsia="zh-CN" w:bidi="ar-SA"/>
        </w:rPr>
        <w:t>13.</w:t>
      </w:r>
      <w:r>
        <w:rPr>
          <w:rStyle w:val="18"/>
          <w:rFonts w:hint="eastAsia" w:ascii="仿宋" w:eastAsia="仿宋"/>
          <w:bCs/>
          <w:color w:val="000000"/>
          <w:sz w:val="32"/>
          <w:szCs w:val="32"/>
        </w:rPr>
        <w:t>住房保障支出（</w:t>
      </w:r>
      <w:r>
        <w:rPr>
          <w:rStyle w:val="18"/>
          <w:rFonts w:ascii="仿宋" w:eastAsia="仿宋"/>
          <w:bCs/>
          <w:color w:val="000000"/>
          <w:sz w:val="32"/>
          <w:szCs w:val="32"/>
        </w:rPr>
        <w:t>221</w:t>
      </w:r>
      <w:r>
        <w:rPr>
          <w:rStyle w:val="18"/>
          <w:rFonts w:hint="eastAsia" w:ascii="仿宋" w:eastAsia="仿宋"/>
          <w:bCs/>
          <w:color w:val="000000"/>
          <w:sz w:val="32"/>
          <w:szCs w:val="32"/>
        </w:rPr>
        <w:t>）住房改革支出（</w:t>
      </w:r>
      <w:r>
        <w:rPr>
          <w:rStyle w:val="18"/>
          <w:rFonts w:ascii="仿宋" w:eastAsia="仿宋"/>
          <w:bCs/>
          <w:color w:val="000000"/>
          <w:sz w:val="32"/>
          <w:szCs w:val="32"/>
        </w:rPr>
        <w:t>02</w:t>
      </w:r>
      <w:r>
        <w:rPr>
          <w:rStyle w:val="18"/>
          <w:rFonts w:hint="eastAsia" w:ascii="仿宋" w:eastAsia="仿宋"/>
          <w:bCs/>
          <w:color w:val="000000"/>
          <w:sz w:val="32"/>
          <w:szCs w:val="32"/>
        </w:rPr>
        <w:t>）住房公积金</w:t>
      </w:r>
      <w:r>
        <w:rPr>
          <w:rStyle w:val="18"/>
          <w:rFonts w:hint="eastAsia" w:ascii="仿宋" w:eastAsia="仿宋" w:cs="Times New Roman"/>
          <w:bCs/>
          <w:color w:val="000000"/>
          <w:sz w:val="32"/>
          <w:szCs w:val="32"/>
        </w:rPr>
        <w:t>（01）</w:t>
      </w:r>
      <w:r>
        <w:rPr>
          <w:rStyle w:val="18"/>
          <w:rFonts w:hint="eastAsia" w:ascii="仿宋" w:eastAsia="仿宋" w:cs="Times New Roman"/>
          <w:bCs/>
          <w:color w:val="000000"/>
          <w:sz w:val="32"/>
          <w:szCs w:val="32"/>
          <w:lang w:eastAsia="zh-CN"/>
        </w:rPr>
        <w:t>：</w:t>
      </w:r>
      <w:r>
        <w:rPr>
          <w:rFonts w:hint="eastAsia" w:ascii="仿宋_GB2312" w:eastAsia="仿宋_GB2312" w:cs="仿宋"/>
          <w:color w:val="000000"/>
          <w:kern w:val="0"/>
          <w:sz w:val="32"/>
          <w:szCs w:val="32"/>
          <w:lang w:val="en-US" w:eastAsia="zh-CN" w:bidi="ar-SA"/>
        </w:rPr>
        <w:t>反映行政事业单位按人力资源和社会保障部、财政部规定的基本工资和津补贴以及规定比例为职工缴纳的住房公积金。</w:t>
      </w:r>
    </w:p>
    <w:p w14:paraId="010D3105">
      <w:pPr>
        <w:ind w:firstLine="640" w:firstLineChars="200"/>
        <w:rPr>
          <w:rFonts w:hint="eastAsia" w:ascii="仿宋_GB2312" w:eastAsia="仿宋_GB2312" w:cs="仿宋"/>
          <w:color w:val="000000"/>
          <w:kern w:val="0"/>
          <w:sz w:val="32"/>
          <w:szCs w:val="32"/>
          <w:lang w:val="en-US" w:eastAsia="zh-CN" w:bidi="ar-SA"/>
        </w:rPr>
      </w:pPr>
      <w:r>
        <w:rPr>
          <w:rFonts w:hint="eastAsia" w:ascii="仿宋_GB2312" w:eastAsia="仿宋_GB2312" w:cs="仿宋"/>
          <w:color w:val="000000"/>
          <w:kern w:val="0"/>
          <w:sz w:val="32"/>
          <w:szCs w:val="32"/>
          <w:lang w:val="en-US" w:eastAsia="zh-CN" w:bidi="ar-SA"/>
        </w:rPr>
        <w:t>14.基本支出：指为保障机构正常运转、完成日常工作任务而发生的人员支出和公用支出。</w:t>
      </w:r>
    </w:p>
    <w:p w14:paraId="275888C7">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
          <w:color w:val="000000"/>
          <w:kern w:val="0"/>
          <w:sz w:val="32"/>
          <w:szCs w:val="32"/>
          <w:lang w:val="en-US" w:eastAsia="zh-CN" w:bidi="ar-SA"/>
        </w:rPr>
        <w:t>15.项目支出：指在基本支出之外为完成特定行政任务和</w:t>
      </w:r>
      <w:r>
        <w:rPr>
          <w:rFonts w:hint="eastAsia" w:ascii="Times New Roman" w:hAnsi="Times New Roman" w:eastAsia="仿宋_GB2312" w:cs="仿宋_GB2312"/>
          <w:color w:val="auto"/>
          <w:kern w:val="2"/>
          <w:sz w:val="32"/>
          <w:szCs w:val="32"/>
          <w:highlight w:val="none"/>
          <w:lang w:val="en-US" w:eastAsia="zh-CN" w:bidi="ar-SA"/>
        </w:rPr>
        <w:t xml:space="preserve">事业发展目标所发生的支出。 </w:t>
      </w:r>
    </w:p>
    <w:p w14:paraId="56C6A9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7ACBE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43F06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11198DE">
      <w:pPr>
        <w:spacing w:line="600" w:lineRule="exact"/>
        <w:jc w:val="center"/>
        <w:outlineLvl w:val="0"/>
        <w:rPr>
          <w:rStyle w:val="38"/>
          <w:rFonts w:ascii="黑体" w:eastAsia="黑体"/>
          <w:b w:val="0"/>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8"/>
      <w:r>
        <w:rPr>
          <w:rFonts w:hint="eastAsia" w:ascii="黑体" w:eastAsia="黑体"/>
          <w:color w:val="000000"/>
          <w:sz w:val="44"/>
          <w:szCs w:val="44"/>
        </w:rPr>
        <w:t>第</w:t>
      </w:r>
      <w:r>
        <w:rPr>
          <w:rStyle w:val="38"/>
          <w:rFonts w:hint="eastAsia" w:ascii="黑体" w:eastAsia="黑体"/>
          <w:b w:val="0"/>
        </w:rPr>
        <w:t>四部分 附件</w:t>
      </w:r>
    </w:p>
    <w:p w14:paraId="3A2E6165">
      <w:pPr>
        <w:spacing w:line="600" w:lineRule="exact"/>
        <w:jc w:val="left"/>
        <w:outlineLvl w:val="0"/>
        <w:rPr>
          <w:rFonts w:ascii="方正小标宋简体" w:eastAsia="方正小标宋简体" w:cs="方正小标宋简体"/>
          <w:sz w:val="32"/>
          <w:szCs w:val="32"/>
        </w:rPr>
      </w:pPr>
      <w:r>
        <w:rPr>
          <w:rFonts w:hint="eastAsia" w:ascii="黑体" w:eastAsia="黑体" w:cs="黑体"/>
          <w:sz w:val="32"/>
          <w:szCs w:val="32"/>
        </w:rPr>
        <w:t>附件1</w:t>
      </w:r>
    </w:p>
    <w:p w14:paraId="56C7A8DD">
      <w:pPr>
        <w:spacing w:line="580" w:lineRule="exact"/>
        <w:jc w:val="center"/>
        <w:rPr>
          <w:rFonts w:ascii="方正小标宋简体" w:eastAsia="方正小标宋简体" w:cs="方正小标宋简体"/>
          <w:sz w:val="44"/>
          <w:szCs w:val="44"/>
        </w:rPr>
      </w:pPr>
    </w:p>
    <w:p w14:paraId="1CF026DC">
      <w:pPr>
        <w:spacing w:line="600" w:lineRule="exact"/>
        <w:jc w:val="center"/>
        <w:rPr>
          <w:rFonts w:ascii="方正小标宋简体" w:eastAsia="方正小标宋简体"/>
          <w:color w:val="000000"/>
          <w:kern w:val="0"/>
          <w:sz w:val="40"/>
          <w:szCs w:val="44"/>
          <w:lang w:val="zh-CN"/>
        </w:rPr>
      </w:pPr>
      <w:r>
        <w:rPr>
          <w:rFonts w:hint="eastAsia" w:ascii="方正小标宋简体" w:eastAsia="方正小标宋简体"/>
          <w:color w:val="000000"/>
          <w:kern w:val="0"/>
          <w:sz w:val="40"/>
          <w:szCs w:val="44"/>
          <w:lang w:eastAsia="zh-CN"/>
        </w:rPr>
        <w:t>九寨沟县质量安全监督站</w:t>
      </w:r>
      <w:r>
        <w:rPr>
          <w:rFonts w:hint="eastAsia" w:ascii="方正小标宋简体" w:eastAsia="方正小标宋简体"/>
          <w:color w:val="000000"/>
          <w:kern w:val="0"/>
          <w:sz w:val="40"/>
          <w:szCs w:val="44"/>
          <w:lang w:val="en-US" w:eastAsia="zh-CN"/>
        </w:rPr>
        <w:t>2025</w:t>
      </w:r>
      <w:r>
        <w:rPr>
          <w:rFonts w:ascii="方正小标宋简体" w:eastAsia="方正小标宋简体"/>
          <w:color w:val="000000"/>
          <w:kern w:val="0"/>
          <w:sz w:val="40"/>
          <w:szCs w:val="44"/>
        </w:rPr>
        <w:t>年部门</w:t>
      </w:r>
      <w:r>
        <w:rPr>
          <w:rFonts w:hint="eastAsia" w:ascii="方正小标宋简体" w:eastAsia="方正小标宋简体"/>
          <w:color w:val="000000"/>
          <w:kern w:val="0"/>
          <w:sz w:val="40"/>
          <w:szCs w:val="44"/>
          <w:lang w:val="zh-CN"/>
        </w:rPr>
        <w:t>整体支出绩效评价报告</w:t>
      </w:r>
    </w:p>
    <w:p w14:paraId="4ADBC67F">
      <w:pPr>
        <w:widowControl/>
        <w:spacing w:line="580" w:lineRule="exact"/>
        <w:ind w:firstLine="640" w:firstLineChars="200"/>
        <w:contextualSpacing/>
        <w:jc w:val="center"/>
        <w:rPr>
          <w:rFonts w:ascii="黑体" w:eastAsia="黑体" w:cs="宋体"/>
          <w:color w:val="000000"/>
          <w:kern w:val="0"/>
          <w:sz w:val="24"/>
          <w:szCs w:val="32"/>
          <w:shd w:val="clear" w:color="auto" w:fill="FFFFFF"/>
        </w:rPr>
      </w:pPr>
      <w:r>
        <w:rPr>
          <w:rFonts w:hint="eastAsia" w:ascii="仿宋_GB2312" w:eastAsia="仿宋_GB2312"/>
          <w:sz w:val="32"/>
          <w:szCs w:val="32"/>
          <w:shd w:val="clear" w:color="auto" w:fill="FFFFFF"/>
        </w:rPr>
        <w:t>（报告范围包括机关和下属单位）</w:t>
      </w:r>
    </w:p>
    <w:p w14:paraId="047470B2">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lang w:val="zh-CN"/>
        </w:rPr>
      </w:pPr>
      <w:r>
        <w:rPr>
          <w:rFonts w:hint="eastAsia" w:ascii="黑体" w:eastAsia="黑体" w:cs="宋体"/>
          <w:color w:val="000000"/>
          <w:kern w:val="0"/>
          <w:sz w:val="32"/>
          <w:szCs w:val="32"/>
          <w:shd w:val="clear" w:color="auto" w:fill="FFFFFF"/>
        </w:rPr>
        <w:t>一、</w:t>
      </w:r>
      <w:r>
        <w:rPr>
          <w:rFonts w:hint="eastAsia" w:ascii="黑体" w:eastAsia="黑体" w:cs="宋体"/>
          <w:color w:val="000000"/>
          <w:kern w:val="0"/>
          <w:sz w:val="32"/>
          <w:szCs w:val="32"/>
          <w:shd w:val="clear" w:color="auto" w:fill="FFFFFF"/>
          <w:lang w:val="zh-CN"/>
        </w:rPr>
        <w:t>部门（单位）概况</w:t>
      </w:r>
    </w:p>
    <w:p w14:paraId="04FD5F18">
      <w:pPr>
        <w:widowControl/>
        <w:adjustRightInd w:val="0"/>
        <w:snapToGrid w:val="0"/>
        <w:spacing w:line="580" w:lineRule="exact"/>
        <w:contextualSpacing/>
        <w:jc w:val="left"/>
        <w:rPr>
          <w:rFonts w:hint="eastAsia"/>
          <w:lang w:val="zh-CN"/>
        </w:rPr>
      </w:pPr>
      <w:r>
        <w:rPr>
          <w:rFonts w:hint="eastAsia" w:ascii="仿宋_GB2312" w:eastAsia="仿宋_GB2312" w:cs="宋体"/>
          <w:color w:val="000000"/>
          <w:kern w:val="0"/>
          <w:sz w:val="32"/>
          <w:szCs w:val="32"/>
          <w:shd w:val="clear" w:color="auto" w:fill="FFFFFF"/>
          <w:lang w:val="zh-CN"/>
        </w:rPr>
        <w:t>（一）机构组成。</w:t>
      </w:r>
    </w:p>
    <w:p w14:paraId="2E0D0377">
      <w:pPr>
        <w:pStyle w:val="7"/>
        <w:ind w:left="0" w:leftChars="0" w:firstLine="640" w:firstLineChars="200"/>
        <w:rPr>
          <w:rFonts w:hint="eastAsia" w:ascii="仿宋_GB2312"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eastAsia="仿宋_GB2312" w:cs="宋体"/>
          <w:color w:val="000000"/>
          <w:kern w:val="0"/>
          <w:sz w:val="32"/>
          <w:szCs w:val="32"/>
          <w:lang w:val="en-US" w:eastAsia="zh-CN"/>
        </w:rPr>
        <w:t>事业股室</w:t>
      </w:r>
      <w:r>
        <w:rPr>
          <w:rFonts w:hint="eastAsia" w:eastAsia="仿宋_GB2312" w:cs="宋体"/>
          <w:color w:val="000000"/>
          <w:kern w:val="0"/>
          <w:sz w:val="32"/>
          <w:szCs w:val="32"/>
          <w:lang w:val="en-US" w:eastAsia="zh-CN"/>
        </w:rPr>
        <w:t>3</w:t>
      </w:r>
      <w:r>
        <w:rPr>
          <w:rFonts w:hint="eastAsia" w:ascii="仿宋_GB2312" w:eastAsia="仿宋_GB2312" w:cs="宋体"/>
          <w:color w:val="000000"/>
          <w:kern w:val="0"/>
          <w:sz w:val="32"/>
          <w:szCs w:val="32"/>
          <w:lang w:val="en-US" w:eastAsia="zh-CN"/>
        </w:rPr>
        <w:t>个：</w:t>
      </w:r>
      <w:r>
        <w:rPr>
          <w:rFonts w:hint="eastAsia" w:ascii="仿宋_GB2312" w:hAnsi="Times New Roman" w:eastAsia="仿宋_GB2312" w:cs="Times New Roman"/>
          <w:color w:val="000000" w:themeColor="text1"/>
          <w:kern w:val="2"/>
          <w:sz w:val="32"/>
          <w:szCs w:val="32"/>
          <w:lang w:val="en-US" w:eastAsia="zh-CN" w:bidi="ar-SA"/>
          <w14:textFill>
            <w14:solidFill>
              <w14:schemeClr w14:val="tx1"/>
            </w14:solidFill>
          </w14:textFill>
        </w:rPr>
        <w:t>1、</w:t>
      </w:r>
      <w:r>
        <w:rPr>
          <w:rFonts w:hint="eastAsia" w:ascii="仿宋_GB2312" w:eastAsia="仿宋_GB2312" w:cs="Times New Roman"/>
          <w:color w:val="000000" w:themeColor="text1"/>
          <w:kern w:val="2"/>
          <w:sz w:val="32"/>
          <w:szCs w:val="32"/>
          <w:lang w:val="en-US" w:eastAsia="zh-CN" w:bidi="ar-SA"/>
          <w14:textFill>
            <w14:solidFill>
              <w14:schemeClr w14:val="tx1"/>
            </w14:solidFill>
          </w14:textFill>
        </w:rPr>
        <w:t xml:space="preserve">质监站   </w:t>
      </w:r>
      <w:r>
        <w:rPr>
          <w:rFonts w:hint="eastAsia" w:ascii="仿宋_GB2312" w:hAnsi="Times New Roman" w:eastAsia="仿宋_GB2312" w:cs="Times New Roman"/>
          <w:color w:val="000000" w:themeColor="text1"/>
          <w:kern w:val="2"/>
          <w:sz w:val="32"/>
          <w:szCs w:val="32"/>
          <w:lang w:val="en-US" w:eastAsia="zh-CN" w:bidi="ar-SA"/>
          <w14:textFill>
            <w14:solidFill>
              <w14:schemeClr w14:val="tx1"/>
            </w14:solidFill>
          </w14:textFill>
        </w:rPr>
        <w:t>2、</w:t>
      </w:r>
      <w:r>
        <w:rPr>
          <w:rFonts w:hint="eastAsia" w:ascii="仿宋_GB2312" w:eastAsia="仿宋_GB2312" w:cs="Times New Roman"/>
          <w:color w:val="000000" w:themeColor="text1"/>
          <w:kern w:val="2"/>
          <w:sz w:val="32"/>
          <w:szCs w:val="32"/>
          <w:lang w:val="en-US" w:eastAsia="zh-CN" w:bidi="ar-SA"/>
          <w14:textFill>
            <w14:solidFill>
              <w14:schemeClr w14:val="tx1"/>
            </w14:solidFill>
          </w14:textFill>
        </w:rPr>
        <w:t xml:space="preserve">房管所     </w:t>
      </w:r>
      <w:r>
        <w:rPr>
          <w:rFonts w:hint="eastAsia" w:ascii="仿宋_GB2312" w:hAnsi="Times New Roman" w:eastAsia="仿宋_GB2312" w:cs="Times New Roman"/>
          <w:color w:val="000000" w:themeColor="text1"/>
          <w:kern w:val="2"/>
          <w:sz w:val="32"/>
          <w:szCs w:val="32"/>
          <w:lang w:val="en-US" w:eastAsia="zh-CN" w:bidi="ar-SA"/>
          <w14:textFill>
            <w14:solidFill>
              <w14:schemeClr w14:val="tx1"/>
            </w14:solidFill>
          </w14:textFill>
        </w:rPr>
        <w:t>3</w:t>
      </w:r>
      <w:r>
        <w:rPr>
          <w:rFonts w:hint="eastAsia" w:ascii="仿宋_GB2312" w:eastAsia="仿宋_GB2312" w:cs="Times New Roman"/>
          <w:color w:val="000000" w:themeColor="text1"/>
          <w:kern w:val="2"/>
          <w:sz w:val="32"/>
          <w:szCs w:val="32"/>
          <w:lang w:val="en-US" w:eastAsia="zh-CN" w:bidi="ar-SA"/>
          <w14:textFill>
            <w14:solidFill>
              <w14:schemeClr w14:val="tx1"/>
            </w14:solidFill>
          </w14:textFill>
        </w:rPr>
        <w:t>造价站</w:t>
      </w:r>
    </w:p>
    <w:p w14:paraId="7E34E2EB">
      <w:pPr>
        <w:widowControl/>
        <w:numPr>
          <w:ilvl w:val="0"/>
          <w:numId w:val="3"/>
        </w:numPr>
        <w:adjustRightInd w:val="0"/>
        <w:snapToGrid w:val="0"/>
        <w:spacing w:line="580" w:lineRule="exact"/>
        <w:contextualSpacing/>
        <w:jc w:val="left"/>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机构职能。</w:t>
      </w:r>
    </w:p>
    <w:p w14:paraId="602A8060">
      <w:pPr>
        <w:pStyle w:val="5"/>
        <w:ind w:left="0" w:firstLine="640" w:firstLineChars="200"/>
        <w:rPr>
          <w:lang w:val="zh-CN"/>
        </w:rPr>
      </w:pPr>
      <w:r>
        <w:rPr>
          <w:rFonts w:hint="eastAsia" w:ascii="仿宋_GB2312" w:eastAsia="仿宋_GB2312" w:cs="宋体"/>
          <w:color w:val="000000"/>
          <w:kern w:val="0"/>
          <w:sz w:val="32"/>
          <w:szCs w:val="32"/>
        </w:rPr>
        <w:t>承担监督管理</w:t>
      </w:r>
      <w:r>
        <w:rPr>
          <w:rFonts w:hint="eastAsia" w:ascii="仿宋_GB2312" w:eastAsia="仿宋_GB2312" w:cs="宋体"/>
          <w:color w:val="000000"/>
          <w:kern w:val="0"/>
          <w:sz w:val="32"/>
          <w:szCs w:val="32"/>
          <w:lang w:eastAsia="zh-CN"/>
        </w:rPr>
        <w:t>房屋建筑和市政基础设施建设项目</w:t>
      </w:r>
      <w:r>
        <w:rPr>
          <w:rFonts w:hint="eastAsia" w:ascii="仿宋_GB2312" w:eastAsia="仿宋_GB2312" w:cs="宋体"/>
          <w:color w:val="000000"/>
          <w:kern w:val="0"/>
          <w:sz w:val="32"/>
          <w:szCs w:val="32"/>
        </w:rPr>
        <w:t>建筑市场、规范市场各方主体行为的责任。指导全县</w:t>
      </w:r>
      <w:r>
        <w:rPr>
          <w:rFonts w:hint="eastAsia" w:ascii="仿宋_GB2312" w:eastAsia="仿宋_GB2312" w:cs="宋体"/>
          <w:color w:val="000000"/>
          <w:kern w:val="0"/>
          <w:sz w:val="32"/>
          <w:szCs w:val="32"/>
          <w:lang w:eastAsia="zh-CN"/>
        </w:rPr>
        <w:t>房建市政类</w:t>
      </w:r>
      <w:r>
        <w:rPr>
          <w:rFonts w:hint="eastAsia" w:ascii="仿宋_GB2312" w:eastAsia="仿宋_GB2312" w:cs="宋体"/>
          <w:color w:val="000000"/>
          <w:kern w:val="0"/>
          <w:sz w:val="32"/>
          <w:szCs w:val="32"/>
        </w:rPr>
        <w:t>建筑活动，负责</w:t>
      </w:r>
      <w:r>
        <w:rPr>
          <w:rFonts w:hint="eastAsia" w:ascii="仿宋_GB2312" w:eastAsia="仿宋_GB2312" w:cs="宋体"/>
          <w:color w:val="000000"/>
          <w:kern w:val="0"/>
          <w:sz w:val="32"/>
          <w:szCs w:val="32"/>
          <w:lang w:eastAsia="zh-CN"/>
        </w:rPr>
        <w:t>房屋建筑和市政基础设施建设项目</w:t>
      </w:r>
      <w:r>
        <w:rPr>
          <w:rFonts w:hint="eastAsia" w:ascii="仿宋_GB2312" w:eastAsia="仿宋_GB2312" w:cs="宋体"/>
          <w:color w:val="000000"/>
          <w:kern w:val="0"/>
          <w:sz w:val="32"/>
          <w:szCs w:val="32"/>
        </w:rPr>
        <w:t>工程招标投标活动的监督管理，</w:t>
      </w:r>
      <w:r>
        <w:rPr>
          <w:rFonts w:hint="eastAsia" w:ascii="仿宋_GB2312" w:eastAsia="仿宋_GB2312" w:cs="宋体"/>
          <w:color w:val="000000"/>
          <w:kern w:val="0"/>
          <w:sz w:val="32"/>
          <w:szCs w:val="32"/>
          <w:lang w:val="en-US" w:eastAsia="zh-CN"/>
        </w:rPr>
        <w:t>指导监督行政审批局</w:t>
      </w:r>
      <w:r>
        <w:rPr>
          <w:rFonts w:hint="eastAsia" w:ascii="仿宋_GB2312" w:eastAsia="仿宋_GB2312" w:cs="宋体"/>
          <w:color w:val="000000"/>
          <w:kern w:val="0"/>
          <w:sz w:val="32"/>
          <w:szCs w:val="32"/>
        </w:rPr>
        <w:t>《建设工程施工许可证》</w:t>
      </w:r>
      <w:r>
        <w:rPr>
          <w:rFonts w:hint="eastAsia" w:ascii="仿宋_GB2312" w:eastAsia="仿宋_GB2312" w:cs="宋体"/>
          <w:color w:val="000000"/>
          <w:kern w:val="0"/>
          <w:sz w:val="32"/>
          <w:szCs w:val="32"/>
          <w:lang w:eastAsia="zh-CN"/>
        </w:rPr>
        <w:t>核发</w:t>
      </w:r>
      <w:r>
        <w:rPr>
          <w:rFonts w:hint="eastAsia" w:ascii="仿宋_GB2312" w:eastAsia="仿宋_GB2312" w:cs="宋体"/>
          <w:color w:val="000000"/>
          <w:kern w:val="0"/>
          <w:sz w:val="32"/>
          <w:szCs w:val="32"/>
        </w:rPr>
        <w:t>，指导监督建设工程标准定额的实施；负责建设工程质量安全监管；负责竣工验收备案管理；组织或参与工程质量安全事故的调查处理</w:t>
      </w:r>
    </w:p>
    <w:p w14:paraId="4D7C8363">
      <w:pPr>
        <w:widowControl/>
        <w:numPr>
          <w:ilvl w:val="0"/>
          <w:numId w:val="3"/>
        </w:numPr>
        <w:adjustRightInd w:val="0"/>
        <w:snapToGrid w:val="0"/>
        <w:spacing w:line="580" w:lineRule="exact"/>
        <w:ind w:left="0" w:firstLine="0"/>
        <w:contextualSpacing/>
        <w:jc w:val="left"/>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人员概况。</w:t>
      </w:r>
    </w:p>
    <w:p w14:paraId="17D428AD">
      <w:pPr>
        <w:pStyle w:val="5"/>
        <w:rPr>
          <w:rFonts w:hint="eastAsia" w:ascii="黑体" w:eastAsia="黑体" w:cs="宋体"/>
          <w:color w:val="000000"/>
          <w:kern w:val="0"/>
          <w:sz w:val="32"/>
          <w:szCs w:val="32"/>
          <w:shd w:val="clear" w:color="auto" w:fill="FFFFFF"/>
        </w:rPr>
      </w:pPr>
      <w:r>
        <w:rPr>
          <w:rFonts w:hint="eastAsia" w:ascii="仿宋_GB2312" w:eastAsia="仿宋_GB2312" w:cs="宋体"/>
          <w:color w:val="000000"/>
          <w:kern w:val="0"/>
          <w:sz w:val="32"/>
          <w:szCs w:val="32"/>
          <w:lang w:val="en-US" w:eastAsia="zh-CN" w:bidi="ar-SA"/>
        </w:rPr>
        <w:t>事业编制2</w:t>
      </w:r>
      <w:r>
        <w:rPr>
          <w:rFonts w:hint="eastAsia" w:cs="宋体"/>
          <w:color w:val="000000"/>
          <w:kern w:val="0"/>
          <w:sz w:val="32"/>
          <w:szCs w:val="32"/>
          <w:lang w:val="en-US" w:eastAsia="zh-CN" w:bidi="ar-SA"/>
        </w:rPr>
        <w:t>2</w:t>
      </w:r>
      <w:r>
        <w:rPr>
          <w:rFonts w:hint="eastAsia" w:ascii="仿宋_GB2312" w:eastAsia="仿宋_GB2312" w:cs="宋体"/>
          <w:color w:val="000000"/>
          <w:kern w:val="0"/>
          <w:sz w:val="32"/>
          <w:szCs w:val="32"/>
          <w:lang w:val="en-US" w:eastAsia="zh-CN" w:bidi="ar-SA"/>
        </w:rPr>
        <w:t>人，事业实有人数</w:t>
      </w:r>
      <w:r>
        <w:rPr>
          <w:rFonts w:hint="eastAsia" w:cs="宋体"/>
          <w:color w:val="000000"/>
          <w:kern w:val="0"/>
          <w:sz w:val="32"/>
          <w:szCs w:val="32"/>
          <w:lang w:val="en-US" w:eastAsia="zh-CN" w:bidi="ar-SA"/>
        </w:rPr>
        <w:t>20</w:t>
      </w:r>
      <w:r>
        <w:rPr>
          <w:rFonts w:hint="eastAsia" w:ascii="仿宋_GB2312" w:eastAsia="仿宋_GB2312" w:cs="宋体"/>
          <w:color w:val="000000"/>
          <w:kern w:val="0"/>
          <w:sz w:val="32"/>
          <w:szCs w:val="32"/>
          <w:lang w:val="en-US" w:eastAsia="zh-CN" w:bidi="ar-SA"/>
        </w:rPr>
        <w:t>人</w:t>
      </w:r>
      <w:r>
        <w:rPr>
          <w:rFonts w:hint="eastAsia" w:ascii="仿宋_GB2312" w:eastAsia="仿宋_GB2312" w:cs="宋体"/>
          <w:color w:val="000000"/>
          <w:kern w:val="0"/>
          <w:sz w:val="32"/>
          <w:szCs w:val="32"/>
          <w:shd w:val="clear" w:color="auto" w:fill="FFFFFF"/>
          <w:lang w:val="zh-CN"/>
        </w:rPr>
        <w:t>。</w:t>
      </w:r>
    </w:p>
    <w:p w14:paraId="792C1FEB">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rPr>
      </w:pPr>
      <w:r>
        <w:rPr>
          <w:rFonts w:hint="eastAsia" w:ascii="黑体" w:eastAsia="黑体" w:cs="宋体"/>
          <w:color w:val="000000"/>
          <w:kern w:val="0"/>
          <w:sz w:val="32"/>
          <w:szCs w:val="32"/>
          <w:shd w:val="clear" w:color="auto" w:fill="FFFFFF"/>
        </w:rPr>
        <w:t>二、部门财政资金收支情况</w:t>
      </w:r>
    </w:p>
    <w:p w14:paraId="3A33E76C">
      <w:pPr>
        <w:widowControl/>
        <w:adjustRightInd w:val="0"/>
        <w:snapToGrid w:val="0"/>
        <w:spacing w:line="580" w:lineRule="exact"/>
        <w:ind w:firstLine="640" w:firstLineChars="200"/>
        <w:contextualSpacing/>
        <w:jc w:val="left"/>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（一）部门财政资金收入情况。</w:t>
      </w:r>
    </w:p>
    <w:p w14:paraId="5ED5C662">
      <w:pPr>
        <w:widowControl/>
        <w:adjustRightInd w:val="0"/>
        <w:snapToGrid w:val="0"/>
        <w:spacing w:line="580" w:lineRule="exact"/>
        <w:ind w:firstLine="640" w:firstLineChars="200"/>
        <w:contextualSpacing/>
        <w:jc w:val="left"/>
        <w:rPr>
          <w:rFonts w:hint="eastAsia" w:ascii="仿宋_GB2312" w:eastAsia="仿宋_GB2312" w:cs="宋体"/>
          <w:color w:val="000000"/>
          <w:kern w:val="0"/>
          <w:sz w:val="32"/>
          <w:szCs w:val="32"/>
          <w:lang w:val="en-US" w:eastAsia="zh-CN" w:bidi="ar-SA"/>
        </w:rPr>
      </w:pPr>
      <w:r>
        <w:rPr>
          <w:rFonts w:hint="eastAsia" w:ascii="仿宋_GB2312" w:eastAsia="仿宋_GB2312" w:cs="宋体"/>
          <w:color w:val="000000"/>
          <w:kern w:val="0"/>
          <w:sz w:val="32"/>
          <w:szCs w:val="32"/>
          <w:lang w:val="en-US" w:eastAsia="zh-CN" w:bidi="ar-SA"/>
        </w:rPr>
        <w:t>2025年九寨沟县质量安全监督站本年支出435.83万元，其中：基本支出435.83万元，占总支出的100%，项目支出0万元，占总支出的0%。主要用于以下方面的支出：社会保障和就业支出59.86万元，占13.7%；卫生健康支出24.64万元，占5.7%；城乡社区支出318.51万元，占73.1%；住房保障支出32.81万元，占7.5%.</w:t>
      </w:r>
    </w:p>
    <w:p w14:paraId="14D5A1F7">
      <w:pPr>
        <w:widowControl/>
        <w:numPr>
          <w:ilvl w:val="0"/>
          <w:numId w:val="4"/>
        </w:numPr>
        <w:adjustRightInd w:val="0"/>
        <w:snapToGrid w:val="0"/>
        <w:spacing w:line="580" w:lineRule="exact"/>
        <w:ind w:left="0" w:firstLine="640" w:firstLineChars="200"/>
        <w:contextualSpacing/>
        <w:jc w:val="left"/>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部门财政资金支出情况。</w:t>
      </w:r>
    </w:p>
    <w:p w14:paraId="61E27209">
      <w:pPr>
        <w:pStyle w:val="7"/>
        <w:rPr>
          <w:rFonts w:hint="eastAsia" w:ascii="仿宋_GB2312" w:eastAsia="仿宋_GB2312" w:cs="宋体"/>
          <w:color w:val="000000"/>
          <w:kern w:val="0"/>
          <w:sz w:val="32"/>
          <w:szCs w:val="32"/>
          <w:lang w:val="en-US" w:eastAsia="zh-CN" w:bidi="ar-SA"/>
        </w:rPr>
      </w:pPr>
      <w:r>
        <w:rPr>
          <w:rFonts w:hint="eastAsia" w:ascii="仿宋_GB2312" w:eastAsia="仿宋_GB2312" w:cs="宋体"/>
          <w:color w:val="000000"/>
          <w:kern w:val="0"/>
          <w:sz w:val="32"/>
          <w:szCs w:val="32"/>
          <w:lang w:val="en-US" w:eastAsia="zh-CN" w:bidi="ar-SA"/>
        </w:rPr>
        <w:t>202</w:t>
      </w:r>
      <w:r>
        <w:rPr>
          <w:rFonts w:hint="eastAsia" w:eastAsia="仿宋_GB2312" w:cs="宋体"/>
          <w:color w:val="000000"/>
          <w:kern w:val="0"/>
          <w:sz w:val="32"/>
          <w:szCs w:val="32"/>
          <w:lang w:val="en-US" w:eastAsia="zh-CN" w:bidi="ar-SA"/>
        </w:rPr>
        <w:t>5</w:t>
      </w:r>
      <w:r>
        <w:rPr>
          <w:rFonts w:hint="eastAsia" w:ascii="仿宋_GB2312" w:eastAsia="仿宋_GB2312" w:cs="宋体"/>
          <w:color w:val="000000"/>
          <w:kern w:val="0"/>
          <w:sz w:val="32"/>
          <w:szCs w:val="32"/>
          <w:lang w:val="en-US" w:eastAsia="zh-CN" w:bidi="ar-SA"/>
        </w:rPr>
        <w:t>年九寨沟县质量安全监督站基本支出</w:t>
      </w:r>
      <w:r>
        <w:rPr>
          <w:rFonts w:hint="eastAsia" w:eastAsia="仿宋_GB2312" w:cs="宋体"/>
          <w:color w:val="000000"/>
          <w:kern w:val="0"/>
          <w:sz w:val="32"/>
          <w:szCs w:val="32"/>
          <w:lang w:val="en-US" w:eastAsia="zh-CN" w:bidi="ar-SA"/>
        </w:rPr>
        <w:t>435.83</w:t>
      </w:r>
      <w:r>
        <w:rPr>
          <w:rFonts w:hint="eastAsia" w:ascii="仿宋_GB2312" w:eastAsia="仿宋_GB2312" w:cs="宋体"/>
          <w:color w:val="000000"/>
          <w:kern w:val="0"/>
          <w:sz w:val="32"/>
          <w:szCs w:val="32"/>
          <w:lang w:val="en-US" w:eastAsia="zh-CN" w:bidi="ar-SA"/>
        </w:rPr>
        <w:t>万元，主要用于局机关及参公管理事业人员正常运转的基本支出，包括基本工资、津贴补贴等人员经费以及办公费、印刷费、邮电费等日常公用经费。</w:t>
      </w:r>
    </w:p>
    <w:p w14:paraId="7C9795A8">
      <w:pPr>
        <w:pStyle w:val="7"/>
        <w:rPr>
          <w:rFonts w:hint="eastAsia" w:ascii="仿宋_GB2312" w:eastAsia="仿宋_GB2312" w:cs="宋体"/>
          <w:color w:val="000000"/>
          <w:kern w:val="0"/>
          <w:sz w:val="32"/>
          <w:szCs w:val="32"/>
          <w:lang w:val="en-US" w:eastAsia="zh-CN" w:bidi="ar-SA"/>
        </w:rPr>
      </w:pPr>
      <w:r>
        <w:rPr>
          <w:rFonts w:hint="eastAsia" w:ascii="仿宋_GB2312" w:eastAsia="仿宋_GB2312" w:cs="宋体"/>
          <w:color w:val="000000"/>
          <w:kern w:val="0"/>
          <w:sz w:val="32"/>
          <w:szCs w:val="32"/>
          <w:lang w:val="en-US" w:eastAsia="zh-CN" w:bidi="ar-SA"/>
        </w:rPr>
        <w:t>其中：1、人员经费</w:t>
      </w:r>
      <w:r>
        <w:rPr>
          <w:rFonts w:hint="eastAsia" w:eastAsia="仿宋_GB2312" w:cs="宋体"/>
          <w:color w:val="000000"/>
          <w:kern w:val="0"/>
          <w:sz w:val="32"/>
          <w:szCs w:val="32"/>
          <w:lang w:val="en-US" w:eastAsia="zh-CN" w:bidi="ar-SA"/>
        </w:rPr>
        <w:t>418.14</w:t>
      </w:r>
      <w:r>
        <w:rPr>
          <w:rFonts w:hint="eastAsia" w:ascii="仿宋_GB2312" w:eastAsia="仿宋_GB2312" w:cs="宋体"/>
          <w:color w:val="000000"/>
          <w:kern w:val="0"/>
          <w:sz w:val="32"/>
          <w:szCs w:val="32"/>
          <w:lang w:val="en-US" w:eastAsia="zh-CN" w:bidi="ar-SA"/>
        </w:rPr>
        <w:t>万元，主要包括：基本工资、津贴补贴、奖金、社会保险缴费、绩效工资、机关事业单位基本养老保险缴费、职业年金缴费、其他工资福利支出、离休费、住房公积金、其他对个人和家庭的补助支出。</w:t>
      </w:r>
    </w:p>
    <w:p w14:paraId="79B73110">
      <w:pPr>
        <w:pStyle w:val="7"/>
        <w:rPr>
          <w:lang w:val="zh-CN"/>
        </w:rPr>
      </w:pPr>
      <w:r>
        <w:rPr>
          <w:rFonts w:hint="eastAsia" w:ascii="仿宋_GB2312" w:eastAsia="仿宋_GB2312" w:cs="宋体"/>
          <w:color w:val="000000"/>
          <w:kern w:val="0"/>
          <w:sz w:val="32"/>
          <w:szCs w:val="32"/>
          <w:lang w:val="en-US" w:eastAsia="zh-CN" w:bidi="ar-SA"/>
        </w:rPr>
        <w:t>日常公用经费支出</w:t>
      </w:r>
      <w:r>
        <w:rPr>
          <w:rFonts w:hint="eastAsia" w:eastAsia="仿宋_GB2312" w:cs="宋体"/>
          <w:color w:val="000000"/>
          <w:kern w:val="0"/>
          <w:sz w:val="32"/>
          <w:szCs w:val="32"/>
          <w:lang w:val="en-US" w:eastAsia="zh-CN" w:bidi="ar-SA"/>
        </w:rPr>
        <w:t>17.69</w:t>
      </w:r>
      <w:r>
        <w:rPr>
          <w:rFonts w:hint="eastAsia" w:ascii="仿宋_GB2312" w:eastAsia="仿宋_GB2312" w:cs="宋体"/>
          <w:color w:val="000000"/>
          <w:kern w:val="0"/>
          <w:sz w:val="32"/>
          <w:szCs w:val="32"/>
          <w:lang w:val="en-US" w:eastAsia="zh-CN" w:bidi="ar-SA"/>
        </w:rPr>
        <w:t>万元，主要包括：办公费、印刷费、手续费、水费、电费、邮电费、差旅费、维修（护）费、会议费、培训费、劳务费、工会经费、福利费、其他交通费、其他商品和服务支出。</w:t>
      </w:r>
    </w:p>
    <w:p w14:paraId="0E23B7F3">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rPr>
      </w:pPr>
      <w:r>
        <w:rPr>
          <w:rFonts w:hint="eastAsia" w:ascii="黑体" w:eastAsia="黑体" w:cs="宋体"/>
          <w:color w:val="000000"/>
          <w:kern w:val="0"/>
          <w:sz w:val="32"/>
          <w:szCs w:val="32"/>
          <w:shd w:val="clear" w:color="auto" w:fill="FFFFFF"/>
        </w:rPr>
        <w:t>三、部门整体预算绩效管理情况</w:t>
      </w:r>
    </w:p>
    <w:p w14:paraId="4E427124">
      <w:pPr>
        <w:widowControl/>
        <w:adjustRightInd w:val="0"/>
        <w:snapToGrid w:val="0"/>
        <w:spacing w:line="580" w:lineRule="exact"/>
        <w:ind w:firstLine="640" w:firstLineChars="200"/>
        <w:contextualSpacing/>
        <w:jc w:val="left"/>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（一）部门预算管理。</w:t>
      </w:r>
    </w:p>
    <w:p w14:paraId="5E49C485">
      <w:pPr>
        <w:widowControl/>
        <w:adjustRightInd w:val="0"/>
        <w:snapToGrid w:val="0"/>
        <w:spacing w:line="580" w:lineRule="exact"/>
        <w:ind w:firstLine="640" w:firstLineChars="200"/>
        <w:contextualSpacing/>
        <w:jc w:val="left"/>
        <w:rPr>
          <w:rFonts w:hint="eastAsia" w:ascii="仿宋_GB2312" w:eastAsia="仿宋_GB2312" w:cs="宋体"/>
          <w:color w:val="000000"/>
          <w:kern w:val="0"/>
          <w:sz w:val="32"/>
          <w:szCs w:val="32"/>
          <w:lang w:val="en-US" w:eastAsia="zh-CN" w:bidi="ar-SA"/>
        </w:rPr>
      </w:pPr>
      <w:r>
        <w:rPr>
          <w:rFonts w:hint="eastAsia" w:ascii="仿宋_GB2312" w:eastAsia="仿宋_GB2312" w:cs="宋体"/>
          <w:color w:val="000000"/>
          <w:kern w:val="0"/>
          <w:sz w:val="32"/>
          <w:szCs w:val="32"/>
          <w:lang w:val="en-US" w:eastAsia="zh-CN" w:bidi="ar-SA"/>
        </w:rPr>
        <w:t>根据《中华人民共和国预算法》等法律法规的规定，我局高度重视部门预算编制质量，认真贯彻落实财政支出绩效评价政策和项目，注重支出绩效报送时效性，及时更新基础信息，严格执行财政项目支出绩效评价指标体系，准确填报整体支出绩效目标，合理反应我局年度职责履行情况，并按照我局制订的《财务管理制度》《公车管理制度》等内控制度来加强经费支出管理。</w:t>
      </w:r>
    </w:p>
    <w:p w14:paraId="2798318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（二）结果应用情况。</w:t>
      </w:r>
    </w:p>
    <w:p w14:paraId="31FA43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本单位履职效益情况良好，对各项支出严格按照预算额度进行控制，本年预算配置方面，财政供养人员控制在预算编制以内，编制内在职人员控制率小于100%， </w:t>
      </w:r>
    </w:p>
    <w:p w14:paraId="347230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四、评价结论及建议</w:t>
      </w:r>
    </w:p>
    <w:p w14:paraId="0C41D42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（一）评价结论。</w:t>
      </w:r>
    </w:p>
    <w:p w14:paraId="51C3D2E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工作有目标，态度无止境。能够按照国家的法律法规加强预算管理，不断完善内控制度，且取得了较好的预算执行效果。认真完成年度部门预算和决算的编制工作，并按照财政部门的预算批复组织实施，通过全队干部职工共同努力，各项工作都取得了较好的成绩。</w:t>
      </w:r>
    </w:p>
    <w:p w14:paraId="2CB2792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存在问题。</w:t>
      </w:r>
    </w:p>
    <w:p w14:paraId="21DE78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1，财务管理和财务工作有待进一步提高</w:t>
      </w:r>
    </w:p>
    <w:p w14:paraId="48E50C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2，绩效管理理念有待进一步增强</w:t>
      </w:r>
    </w:p>
    <w:p w14:paraId="347213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3，预算绩效管理制度有待进一步建立建全</w:t>
      </w:r>
    </w:p>
    <w:p w14:paraId="6718397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4，机构建设和队伍建设需要进一步推进</w:t>
      </w:r>
    </w:p>
    <w:p w14:paraId="57BDBB4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改进建议。</w:t>
      </w:r>
    </w:p>
    <w:p w14:paraId="242706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加大宣传力度，强化绩效理念。加强预算绩效管理制度建设；加强业务培训，加强预算绩效管理基础理论和实务操作统一。</w:t>
      </w:r>
    </w:p>
    <w:p w14:paraId="5FA2DC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68BE50">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6"/>
      <w:bookmarkStart w:id="47" w:name="_Toc15396619"/>
    </w:p>
    <w:p w14:paraId="03CE609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2227A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7"/>
    </w:p>
    <w:p w14:paraId="6F8CA92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0"/>
      <w:r>
        <w:rPr>
          <w:rFonts w:hint="eastAsia" w:ascii="Times New Roman" w:hAnsi="Times New Roman" w:eastAsia="仿宋_GB2312" w:cs="仿宋_GB2312"/>
          <w:color w:val="auto"/>
          <w:sz w:val="32"/>
          <w:szCs w:val="32"/>
          <w:highlight w:val="none"/>
        </w:rPr>
        <w:t>二、收入决算表</w:t>
      </w:r>
      <w:bookmarkEnd w:id="48"/>
    </w:p>
    <w:p w14:paraId="0F1EF6B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1"/>
      <w:r>
        <w:rPr>
          <w:rFonts w:hint="eastAsia" w:ascii="Times New Roman" w:hAnsi="Times New Roman" w:eastAsia="仿宋_GB2312" w:cs="仿宋_GB2312"/>
          <w:color w:val="auto"/>
          <w:sz w:val="32"/>
          <w:szCs w:val="32"/>
          <w:highlight w:val="none"/>
        </w:rPr>
        <w:t>三、支出决算表</w:t>
      </w:r>
      <w:bookmarkEnd w:id="49"/>
    </w:p>
    <w:p w14:paraId="7803B6D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2"/>
      <w:r>
        <w:rPr>
          <w:rFonts w:hint="eastAsia" w:ascii="Times New Roman" w:hAnsi="Times New Roman" w:eastAsia="仿宋_GB2312" w:cs="仿宋_GB2312"/>
          <w:color w:val="auto"/>
          <w:sz w:val="32"/>
          <w:szCs w:val="32"/>
          <w:highlight w:val="none"/>
        </w:rPr>
        <w:t>四、财政拨款收入支出决算总表</w:t>
      </w:r>
      <w:bookmarkEnd w:id="50"/>
    </w:p>
    <w:p w14:paraId="3EBA33C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3"/>
      <w:r>
        <w:rPr>
          <w:rFonts w:hint="eastAsia" w:ascii="Times New Roman" w:hAnsi="Times New Roman" w:eastAsia="仿宋_GB2312" w:cs="仿宋_GB2312"/>
          <w:color w:val="auto"/>
          <w:sz w:val="32"/>
          <w:szCs w:val="32"/>
          <w:highlight w:val="none"/>
        </w:rPr>
        <w:t>五、财政拨款支出决算明细表</w:t>
      </w:r>
      <w:bookmarkEnd w:id="51"/>
      <w:bookmarkStart w:id="52" w:name="_Toc15396624"/>
    </w:p>
    <w:p w14:paraId="1D5DBDD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2"/>
    </w:p>
    <w:p w14:paraId="2669B5D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5"/>
      <w:r>
        <w:rPr>
          <w:rFonts w:hint="eastAsia" w:ascii="Times New Roman" w:hAnsi="Times New Roman" w:eastAsia="仿宋_GB2312" w:cs="仿宋_GB2312"/>
          <w:color w:val="auto"/>
          <w:sz w:val="32"/>
          <w:szCs w:val="32"/>
          <w:highlight w:val="none"/>
        </w:rPr>
        <w:t>七、一般公共预算财政拨款支出决算明细表</w:t>
      </w:r>
      <w:bookmarkEnd w:id="53"/>
    </w:p>
    <w:p w14:paraId="6223D4E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6"/>
      <w:r>
        <w:rPr>
          <w:rFonts w:hint="eastAsia" w:ascii="Times New Roman" w:hAnsi="Times New Roman" w:eastAsia="仿宋_GB2312" w:cs="仿宋_GB2312"/>
          <w:color w:val="auto"/>
          <w:sz w:val="32"/>
          <w:szCs w:val="32"/>
          <w:highlight w:val="none"/>
        </w:rPr>
        <w:t>八、一般公共预算财政拨款基本支出决算表</w:t>
      </w:r>
      <w:bookmarkEnd w:id="54"/>
    </w:p>
    <w:p w14:paraId="5B4E16E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7"/>
      <w:r>
        <w:rPr>
          <w:rFonts w:hint="eastAsia" w:ascii="Times New Roman" w:hAnsi="Times New Roman" w:eastAsia="仿宋_GB2312" w:cs="仿宋_GB2312"/>
          <w:color w:val="auto"/>
          <w:sz w:val="32"/>
          <w:szCs w:val="32"/>
          <w:highlight w:val="none"/>
        </w:rPr>
        <w:t>九、一般公共预算财政拨款项目支出决算表</w:t>
      </w:r>
      <w:bookmarkEnd w:id="55"/>
    </w:p>
    <w:p w14:paraId="5B9701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8"/>
      <w:r>
        <w:rPr>
          <w:rFonts w:hint="eastAsia" w:ascii="Times New Roman" w:hAnsi="Times New Roman" w:eastAsia="仿宋_GB2312" w:cs="仿宋_GB2312"/>
          <w:color w:val="auto"/>
          <w:sz w:val="32"/>
          <w:szCs w:val="32"/>
          <w:highlight w:val="none"/>
        </w:rPr>
        <w:t>十、</w:t>
      </w:r>
      <w:bookmarkEnd w:id="56"/>
      <w:r>
        <w:rPr>
          <w:rFonts w:hint="eastAsia" w:ascii="Times New Roman" w:hAnsi="Times New Roman" w:eastAsia="仿宋_GB2312" w:cs="仿宋_GB2312"/>
          <w:color w:val="auto"/>
          <w:sz w:val="32"/>
          <w:szCs w:val="32"/>
          <w:highlight w:val="none"/>
        </w:rPr>
        <w:t>政府性基金预算财政拨款收入支出决算表</w:t>
      </w:r>
    </w:p>
    <w:p w14:paraId="4EA8A3A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9"/>
      <w:r>
        <w:rPr>
          <w:rFonts w:hint="eastAsia" w:ascii="Times New Roman" w:hAnsi="Times New Roman" w:eastAsia="仿宋_GB2312" w:cs="仿宋_GB2312"/>
          <w:color w:val="auto"/>
          <w:sz w:val="32"/>
          <w:szCs w:val="32"/>
          <w:highlight w:val="none"/>
        </w:rPr>
        <w:t>十一、</w:t>
      </w:r>
      <w:bookmarkEnd w:id="5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51DFA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30"/>
      <w:r>
        <w:rPr>
          <w:rFonts w:hint="eastAsia" w:ascii="Times New Roman" w:hAnsi="Times New Roman" w:eastAsia="仿宋_GB2312" w:cs="仿宋_GB2312"/>
          <w:color w:val="auto"/>
          <w:sz w:val="32"/>
          <w:szCs w:val="32"/>
          <w:highlight w:val="none"/>
        </w:rPr>
        <w:t>十二、</w:t>
      </w:r>
      <w:bookmarkEnd w:id="58"/>
      <w:r>
        <w:rPr>
          <w:rFonts w:hint="eastAsia" w:ascii="Times New Roman" w:hAnsi="Times New Roman" w:eastAsia="仿宋_GB2312" w:cs="仿宋_GB2312"/>
          <w:color w:val="auto"/>
          <w:sz w:val="32"/>
          <w:szCs w:val="32"/>
          <w:highlight w:val="none"/>
          <w:lang w:eastAsia="zh-CN"/>
        </w:rPr>
        <w:t>国有资本经营预算财政拨款支出决算表</w:t>
      </w:r>
    </w:p>
    <w:p w14:paraId="2EE4D0A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9" w:name="_Toc15396631"/>
      <w:r>
        <w:rPr>
          <w:rFonts w:hint="eastAsia" w:ascii="Times New Roman" w:hAnsi="Times New Roman" w:eastAsia="仿宋_GB2312" w:cs="仿宋_GB2312"/>
          <w:color w:val="auto"/>
          <w:sz w:val="32"/>
          <w:szCs w:val="32"/>
          <w:highlight w:val="none"/>
        </w:rPr>
        <w:t>十三、</w:t>
      </w:r>
      <w:bookmarkEnd w:id="59"/>
      <w:r>
        <w:rPr>
          <w:rFonts w:hint="eastAsia" w:ascii="Times New Roman" w:hAnsi="Times New Roman" w:eastAsia="仿宋_GB2312" w:cs="仿宋_GB2312"/>
          <w:color w:val="auto"/>
          <w:sz w:val="32"/>
          <w:szCs w:val="32"/>
          <w:highlight w:val="none"/>
          <w:lang w:eastAsia="zh-CN"/>
        </w:rPr>
        <w:t>财政拨款“三公”经费支出决算表</w:t>
      </w:r>
    </w:p>
    <w:p w14:paraId="31245D3D">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FCEEB">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25D8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525D8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p w14:paraId="3BF48F0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2565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5AD5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665AD5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6846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8C2763"/>
    <w:multiLevelType w:val="singleLevel"/>
    <w:tmpl w:val="9F8C2763"/>
    <w:lvl w:ilvl="0" w:tentative="0">
      <w:start w:val="2"/>
      <w:numFmt w:val="chineseCounting"/>
      <w:suff w:val="nothing"/>
      <w:lvlText w:val="（%1）"/>
      <w:lvlJc w:val="left"/>
      <w:pPr>
        <w:tabs>
          <w:tab w:val="left" w:pos="0"/>
        </w:tabs>
        <w:ind w:left="0" w:firstLine="0"/>
      </w:pPr>
      <w:rPr>
        <w:rFonts w:hint="eastAsia"/>
      </w:rPr>
    </w:lvl>
  </w:abstractNum>
  <w:abstractNum w:abstractNumId="1">
    <w:nsid w:val="CAEC21FF"/>
    <w:multiLevelType w:val="singleLevel"/>
    <w:tmpl w:val="CAEC21FF"/>
    <w:lvl w:ilvl="0" w:tentative="0">
      <w:start w:val="2"/>
      <w:numFmt w:val="chineseCounting"/>
      <w:suff w:val="nothing"/>
      <w:lvlText w:val="（%1）"/>
      <w:lvlJc w:val="left"/>
      <w:pPr>
        <w:tabs>
          <w:tab w:val="left" w:pos="0"/>
        </w:tabs>
        <w:ind w:left="0" w:firstLine="0"/>
      </w:pPr>
      <w:rPr>
        <w:rFonts w:hint="eastAsia"/>
      </w:rPr>
    </w:lvl>
  </w:abstractNum>
  <w:abstractNum w:abstractNumId="2">
    <w:nsid w:val="3818A09A"/>
    <w:multiLevelType w:val="singleLevel"/>
    <w:tmpl w:val="3818A09A"/>
    <w:lvl w:ilvl="0" w:tentative="0">
      <w:start w:val="1"/>
      <w:numFmt w:val="chineseCounting"/>
      <w:suff w:val="nothing"/>
      <w:lvlText w:val="%1、"/>
      <w:lvlJc w:val="left"/>
      <w:rPr>
        <w:rFonts w:hint="eastAsia"/>
      </w:rPr>
    </w:lvl>
  </w:abstractNum>
  <w:abstractNum w:abstractNumId="3">
    <w:nsid w:val="7B46E305"/>
    <w:multiLevelType w:val="singleLevel"/>
    <w:tmpl w:val="7B46E305"/>
    <w:lvl w:ilvl="0" w:tentative="0">
      <w:start w:val="1"/>
      <w:numFmt w:val="decimal"/>
      <w:suff w:val="nothing"/>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2C7FAE"/>
    <w:rsid w:val="015975B8"/>
    <w:rsid w:val="02FEBE30"/>
    <w:rsid w:val="04916F1E"/>
    <w:rsid w:val="061E35DE"/>
    <w:rsid w:val="066E0107"/>
    <w:rsid w:val="07471DAB"/>
    <w:rsid w:val="07996F6E"/>
    <w:rsid w:val="07DFD8BA"/>
    <w:rsid w:val="090C7A9D"/>
    <w:rsid w:val="09867E8F"/>
    <w:rsid w:val="0A2032A3"/>
    <w:rsid w:val="0BA35676"/>
    <w:rsid w:val="0CA8290A"/>
    <w:rsid w:val="0D35B1ED"/>
    <w:rsid w:val="0E254B6B"/>
    <w:rsid w:val="0F0F58C6"/>
    <w:rsid w:val="0F98263C"/>
    <w:rsid w:val="101860EC"/>
    <w:rsid w:val="101F47CC"/>
    <w:rsid w:val="1036120D"/>
    <w:rsid w:val="10C055FF"/>
    <w:rsid w:val="1111327F"/>
    <w:rsid w:val="11694EBD"/>
    <w:rsid w:val="11772AA4"/>
    <w:rsid w:val="118107EC"/>
    <w:rsid w:val="12E24EE2"/>
    <w:rsid w:val="13D50BC4"/>
    <w:rsid w:val="14B17F78"/>
    <w:rsid w:val="165E0673"/>
    <w:rsid w:val="16B831D5"/>
    <w:rsid w:val="16BB723D"/>
    <w:rsid w:val="17E50567"/>
    <w:rsid w:val="186504BB"/>
    <w:rsid w:val="19A445FC"/>
    <w:rsid w:val="1ABC1AFC"/>
    <w:rsid w:val="1B4D7B46"/>
    <w:rsid w:val="1BE8440E"/>
    <w:rsid w:val="1D155CEE"/>
    <w:rsid w:val="1D1638FE"/>
    <w:rsid w:val="1DF05CCE"/>
    <w:rsid w:val="1E312DEB"/>
    <w:rsid w:val="1E740ACF"/>
    <w:rsid w:val="1F656971"/>
    <w:rsid w:val="1FF35744"/>
    <w:rsid w:val="1FF6BC77"/>
    <w:rsid w:val="2186353C"/>
    <w:rsid w:val="23860B96"/>
    <w:rsid w:val="240371BF"/>
    <w:rsid w:val="244F3473"/>
    <w:rsid w:val="24C97D99"/>
    <w:rsid w:val="25A718F0"/>
    <w:rsid w:val="25BB59F6"/>
    <w:rsid w:val="25E1263F"/>
    <w:rsid w:val="260F557C"/>
    <w:rsid w:val="26970054"/>
    <w:rsid w:val="26BE1D01"/>
    <w:rsid w:val="270D7C04"/>
    <w:rsid w:val="281408E2"/>
    <w:rsid w:val="28A92F9E"/>
    <w:rsid w:val="29FD04D3"/>
    <w:rsid w:val="2BFF7BC6"/>
    <w:rsid w:val="2C8A61B5"/>
    <w:rsid w:val="2DF04E50"/>
    <w:rsid w:val="2E586DFA"/>
    <w:rsid w:val="2F040D46"/>
    <w:rsid w:val="2F6B035B"/>
    <w:rsid w:val="2FAE5751"/>
    <w:rsid w:val="2FB1A395"/>
    <w:rsid w:val="2FD9A7D8"/>
    <w:rsid w:val="2FDBF714"/>
    <w:rsid w:val="30AB6865"/>
    <w:rsid w:val="319F7F4E"/>
    <w:rsid w:val="32090B96"/>
    <w:rsid w:val="32BD1EF1"/>
    <w:rsid w:val="3304709D"/>
    <w:rsid w:val="33A773CB"/>
    <w:rsid w:val="349D6851"/>
    <w:rsid w:val="36AA5135"/>
    <w:rsid w:val="36BE0DA7"/>
    <w:rsid w:val="376B6AA6"/>
    <w:rsid w:val="376D39B2"/>
    <w:rsid w:val="37E16F03"/>
    <w:rsid w:val="37F53A3B"/>
    <w:rsid w:val="389B6C89"/>
    <w:rsid w:val="38D469F0"/>
    <w:rsid w:val="39627CCD"/>
    <w:rsid w:val="397BAF1F"/>
    <w:rsid w:val="3A08639A"/>
    <w:rsid w:val="3A226547"/>
    <w:rsid w:val="3AB79AF3"/>
    <w:rsid w:val="3AE834C0"/>
    <w:rsid w:val="3B7EF35A"/>
    <w:rsid w:val="3B9FDB6C"/>
    <w:rsid w:val="3BF5BC2F"/>
    <w:rsid w:val="3CEBA265"/>
    <w:rsid w:val="3D98207C"/>
    <w:rsid w:val="3DEE7CF3"/>
    <w:rsid w:val="3E740A63"/>
    <w:rsid w:val="3E78745D"/>
    <w:rsid w:val="3EE17838"/>
    <w:rsid w:val="3F1D574B"/>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AB12A2"/>
    <w:rsid w:val="53F74C96"/>
    <w:rsid w:val="55170BA8"/>
    <w:rsid w:val="553218C9"/>
    <w:rsid w:val="562035DB"/>
    <w:rsid w:val="567E1AA5"/>
    <w:rsid w:val="56E47B74"/>
    <w:rsid w:val="57175D52"/>
    <w:rsid w:val="57BD3DD4"/>
    <w:rsid w:val="5A9F3039"/>
    <w:rsid w:val="5AF92295"/>
    <w:rsid w:val="5B250254"/>
    <w:rsid w:val="5BDD79E6"/>
    <w:rsid w:val="5BF561CA"/>
    <w:rsid w:val="5BFF5DFC"/>
    <w:rsid w:val="5CD71FC4"/>
    <w:rsid w:val="5D1F11B5"/>
    <w:rsid w:val="5D695134"/>
    <w:rsid w:val="5DAE1B18"/>
    <w:rsid w:val="5DE7D9E5"/>
    <w:rsid w:val="5E0C6BCE"/>
    <w:rsid w:val="5ECEC941"/>
    <w:rsid w:val="5FBF9FF3"/>
    <w:rsid w:val="5FCD4E2C"/>
    <w:rsid w:val="5FEF394A"/>
    <w:rsid w:val="5FF67715"/>
    <w:rsid w:val="62BF3928"/>
    <w:rsid w:val="62F5562A"/>
    <w:rsid w:val="63B3701E"/>
    <w:rsid w:val="647F5392"/>
    <w:rsid w:val="65E66580"/>
    <w:rsid w:val="664B1D71"/>
    <w:rsid w:val="664B4E8E"/>
    <w:rsid w:val="66F762D4"/>
    <w:rsid w:val="67277B67"/>
    <w:rsid w:val="679D1D85"/>
    <w:rsid w:val="67AA3209"/>
    <w:rsid w:val="698D0931"/>
    <w:rsid w:val="6A7FE5F3"/>
    <w:rsid w:val="6B053271"/>
    <w:rsid w:val="6B4A6247"/>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D30971"/>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pPr>
      <w:spacing w:before="100" w:beforeAutospacing="1" w:after="100" w:afterAutospacing="1"/>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2"/>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标题 1 字符"/>
    <w:basedOn w:val="17"/>
    <w:link w:val="3"/>
    <w:qFormat/>
    <w:uiPriority w:val="9"/>
    <w:rPr>
      <w:rFonts w:ascii="Times New Roman" w:hAnsi="Times New Roman"/>
      <w:b/>
      <w:bCs/>
      <w:kern w:val="44"/>
      <w:sz w:val="44"/>
      <w:szCs w:val="44"/>
    </w:rPr>
  </w:style>
  <w:style w:type="character" w:customStyle="1" w:styleId="37">
    <w:name w:val="标题 2 字符"/>
    <w:basedOn w:val="17"/>
    <w:link w:val="2"/>
    <w:qFormat/>
    <w:uiPriority w:val="9"/>
    <w:rPr>
      <w:rFonts w:asciiTheme="majorHAnsi" w:hAnsiTheme="majorHAnsi" w:eastAsiaTheme="majorEastAsia" w:cstheme="majorBidi"/>
      <w:b/>
      <w:bCs/>
      <w:kern w:val="2"/>
      <w:sz w:val="32"/>
      <w:szCs w:val="32"/>
    </w:rPr>
  </w:style>
  <w:style w:type="character" w:customStyle="1" w:styleId="38">
    <w:name w:val="heading 1 Char"/>
    <w:basedOn w:val="17"/>
    <w:link w:val="3"/>
    <w:qFormat/>
    <w:uiPriority w:val="0"/>
    <w:rPr>
      <w:rFonts w:ascii="Times New Roman" w:hAnsi="Times New Roman" w:eastAsia="宋体" w:cs="Times New Roman"/>
      <w:b/>
      <w:bCs/>
      <w:kern w:val="44"/>
      <w:sz w:val="44"/>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1" i="0" u="none" strike="noStrike" kern="1200" cap="none" spc="0" normalizeH="0" baseline="0">
                <a:solidFill>
                  <a:schemeClr val="tx1">
                    <a:lumMod val="65000"/>
                    <a:lumOff val="35000"/>
                  </a:schemeClr>
                </a:solidFill>
                <a:effectLst/>
                <a:latin typeface="方正小标宋简体" panose="03000509000000000000" pitchFamily="4" charset="-122"/>
                <a:ea typeface="方正小标宋简体" panose="03000509000000000000" pitchFamily="4" charset="-122"/>
                <a:cs typeface="+mn-cs"/>
              </a:rPr>
              <a:t>收、支变动情况图 </a:t>
            </a:r>
            <a:endParaRPr sz="1400" b="1" i="0" u="none" strike="noStrike" kern="1200" cap="none" spc="0" normalizeH="0" baseline="0">
              <a:solidFill>
                <a:schemeClr val="tx1">
                  <a:lumMod val="65000"/>
                  <a:lumOff val="35000"/>
                </a:schemeClr>
              </a:solidFill>
              <a:effectLst/>
              <a:latin typeface="方正小标宋简体" panose="03000509000000000000" pitchFamily="4" charset="-122"/>
              <a:ea typeface="方正小标宋简体" panose="03000509000000000000" pitchFamily="4" charset="-122"/>
              <a:cs typeface="+mn-cs"/>
            </a:endParaRPr>
          </a:p>
        </c:rich>
      </c:tx>
      <c:layout>
        <c:manualLayout>
          <c:xMode val="edge"/>
          <c:yMode val="edge"/>
          <c:x val="0.20511209536308"/>
          <c:y val="0.0277777777777778"/>
        </c:manualLayout>
      </c:layout>
      <c:overlay val="0"/>
      <c:spPr>
        <a:noFill/>
        <a:ln>
          <a:noFill/>
        </a:ln>
        <a:effectLst/>
      </c:spPr>
    </c:title>
    <c:autoTitleDeleted val="0"/>
    <c:plotArea>
      <c:layout>
        <c:manualLayout>
          <c:layoutTarget val="inner"/>
          <c:xMode val="edge"/>
          <c:yMode val="edge"/>
          <c:x val="0.153289924605894"/>
          <c:y val="0.203457780005011"/>
          <c:w val="0.798732008224811"/>
          <c:h val="0.582410423452769"/>
        </c:manualLayout>
      </c:layout>
      <c:barChart>
        <c:barDir val="col"/>
        <c:grouping val="clustered"/>
        <c:varyColors val="0"/>
        <c:ser>
          <c:idx val="0"/>
          <c:order val="0"/>
          <c:tx>
            <c:strRef>
              <c:f>'[（图表）DXL.docx.xlsx]Sheet2'!$B$1:$B$2</c:f>
              <c:strCache>
                <c:ptCount val="1"/>
                <c:pt idx="0">
                  <c:v>收、支决算总计变动情况图 金额（万元）</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'[（图表）DXL.docx.xlsx]Sheet2'!$A$3:$A$4</c:f>
              <c:strCache>
                <c:ptCount val="2"/>
                <c:pt idx="0">
                  <c:v>2025年</c:v>
                </c:pt>
                <c:pt idx="1">
                  <c:v>2024年</c:v>
                </c:pt>
              </c:strCache>
            </c:strRef>
          </c:cat>
          <c:val>
            <c:numRef>
              <c:f>'[（图表）DXL.docx.xlsx]Sheet2'!$B$3:$B$4</c:f>
              <c:numCache>
                <c:formatCode>General</c:formatCode>
                <c:ptCount val="2"/>
                <c:pt idx="0">
                  <c:v>435.83</c:v>
                </c:pt>
                <c:pt idx="1">
                  <c:v>428.01</c:v>
                </c:pt>
              </c:numCache>
            </c:numRef>
          </c:val>
        </c:ser>
        <c:dLbls>
          <c:showLegendKey val="0"/>
          <c:showVal val="1"/>
          <c:showCatName val="0"/>
          <c:showSerName val="0"/>
          <c:showPercent val="0"/>
          <c:showBubbleSize val="0"/>
        </c:dLbls>
        <c:gapWidth val="219"/>
        <c:overlap val="-27"/>
        <c:axId val="192259716"/>
        <c:axId val="811277657"/>
      </c:barChart>
      <c:catAx>
        <c:axId val="192259716"/>
        <c:scaling>
          <c:orientation val="minMax"/>
        </c:scaling>
        <c:delete val="0"/>
        <c:axPos val="b"/>
        <c:title>
          <c:tx>
            <c:rich>
              <a:bodyPr rot="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时间</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1277657"/>
        <c:crosses val="autoZero"/>
        <c:auto val="1"/>
        <c:lblAlgn val="ctr"/>
        <c:lblOffset val="100"/>
        <c:noMultiLvlLbl val="0"/>
      </c:catAx>
      <c:valAx>
        <c:axId val="811277657"/>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金额（万元）</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manualLayout>
              <c:xMode val="edge"/>
              <c:yMode val="edge"/>
              <c:x val="0.0305555555555555"/>
              <c:y val="0.241205344123651"/>
            </c:manualLayout>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2259716"/>
        <c:crosses val="autoZero"/>
        <c:crossBetween val="between"/>
      </c:valAx>
      <c:spPr>
        <a:noFill/>
        <a:ln>
          <a:noFill/>
        </a:ln>
        <a:effectLst/>
      </c:spPr>
    </c:plotArea>
    <c:plotVisOnly val="1"/>
    <c:dispBlanksAs val="gap"/>
    <c:showDLblsOverMax val="0"/>
    <c:extLst>
      <c:ext uri="{0b15fc19-7d7d-44ad-8c2d-2c3a37ce22c3}">
        <chartProps xmlns="https://web.wps.cn/et/2018/main" chartId="{79681c87-9325-4bc9-b84c-5d229fe5d4d0}"/>
      </c:ext>
    </c:extLst>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收入决算结构图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'[（图表）DXL.docx.xlsx]Sheet3'!$B$1:$B$2</c:f>
              <c:strCache>
                <c:ptCount val="1"/>
                <c:pt idx="0">
                  <c:v>收入决算结构图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'[（图表）DXL.docx.xlsx]Sheet3'!$A$3:$A$4</c:f>
              <c:strCache>
                <c:ptCount val="2"/>
                <c:pt idx="0">
                  <c:v>一般公共预算财政拨款收入</c:v>
                </c:pt>
                <c:pt idx="1">
                  <c:v>政府性基金预算财政拨款收入</c:v>
                </c:pt>
              </c:strCache>
            </c:strRef>
          </c:cat>
          <c:val>
            <c:numRef>
              <c:f>'[（图表）DXL.docx.xlsx]Sheet3'!$B$3:$B$4</c:f>
              <c:numCache>
                <c:formatCode>0.00%</c:formatCode>
                <c:ptCount val="2"/>
                <c:pt idx="0">
                  <c:v>1</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97d5124-e5d8-4ac5-bebb-9dc1dfbd7888}"/>
      </c:ext>
    </c:extLst>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收入决算结构图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'[（图表）DXL.docx.xlsx]Sheet3 (2)'!$B$1:$B$2</c:f>
              <c:strCache>
                <c:ptCount val="1"/>
                <c:pt idx="0">
                  <c:v>支出决算结构图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'[（图表）DXL.docx.xlsx]Sheet3 (2)'!$A$3:$A$4</c:f>
              <c:strCache>
                <c:ptCount val="2"/>
                <c:pt idx="0">
                  <c:v>基本支出</c:v>
                </c:pt>
                <c:pt idx="1">
                  <c:v>项目支出</c:v>
                </c:pt>
              </c:strCache>
            </c:strRef>
          </c:cat>
          <c:val>
            <c:numRef>
              <c:f>'[（图表）DXL.docx.xlsx]Sheet3 (2)'!$B$3:$B$4</c:f>
              <c:numCache>
                <c:formatCode>0.00%</c:formatCode>
                <c:ptCount val="2"/>
                <c:pt idx="0">
                  <c:v>1</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f91658-38b8-471f-8f7c-3445061033c8}"/>
      </c:ext>
    </c:extLst>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财政拨款收、支决算总体变动情况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barChart>
        <c:barDir val="col"/>
        <c:grouping val="clustered"/>
        <c:varyColors val="0"/>
        <c:ser>
          <c:idx val="0"/>
          <c:order val="0"/>
          <c:tx>
            <c:strRef>
              <c:f>'[（图表）DXL.docx.xlsx]Sheet2 (2)'!$B$1:$B$2</c:f>
              <c:strCache>
                <c:ptCount val="1"/>
                <c:pt idx="0">
                  <c:v>财政拨款收、支决算总体变动情况 金额（万元）</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'[（图表）DXL.docx.xlsx]Sheet2 (2)'!$A$3:$A$4</c:f>
              <c:strCache>
                <c:ptCount val="2"/>
                <c:pt idx="0">
                  <c:v>2025年</c:v>
                </c:pt>
                <c:pt idx="1">
                  <c:v>2024年</c:v>
                </c:pt>
              </c:strCache>
            </c:strRef>
          </c:cat>
          <c:val>
            <c:numRef>
              <c:f>'[（图表）DXL.docx.xlsx]Sheet2 (2)'!$B$3:$B$4</c:f>
              <c:numCache>
                <c:formatCode>General</c:formatCode>
                <c:ptCount val="2"/>
                <c:pt idx="0">
                  <c:v>435.83</c:v>
                </c:pt>
                <c:pt idx="1">
                  <c:v>428.01</c:v>
                </c:pt>
              </c:numCache>
            </c:numRef>
          </c:val>
        </c:ser>
        <c:dLbls>
          <c:showLegendKey val="0"/>
          <c:showVal val="1"/>
          <c:showCatName val="0"/>
          <c:showSerName val="0"/>
          <c:showPercent val="0"/>
          <c:showBubbleSize val="0"/>
        </c:dLbls>
        <c:gapWidth val="150"/>
        <c:overlap val="-25"/>
        <c:axId val="186997084"/>
        <c:axId val="575732710"/>
      </c:barChart>
      <c:catAx>
        <c:axId val="1869970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5732710"/>
        <c:crosses val="autoZero"/>
        <c:auto val="1"/>
        <c:lblAlgn val="ctr"/>
        <c:lblOffset val="100"/>
        <c:noMultiLvlLbl val="0"/>
      </c:catAx>
      <c:valAx>
        <c:axId val="575732710"/>
        <c:scaling>
          <c:orientation val="minMax"/>
        </c:scaling>
        <c:delete val="1"/>
        <c:axPos val="l"/>
        <c:numFmt formatCode="General" sourceLinked="1"/>
        <c:majorTickMark val="none"/>
        <c:minorTickMark val="none"/>
        <c:tickLblPos val="nextTo"/>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997084"/>
        <c:crosses val="autoZero"/>
        <c:crossBetween val="between"/>
      </c:valAx>
      <c:spPr>
        <a:noFill/>
        <a:ln>
          <a:noFill/>
        </a:ln>
        <a:effectLst/>
      </c:spPr>
    </c:plotArea>
    <c:legend>
      <c:legendPos val="t"/>
      <c:layout/>
      <c:overlay val="0"/>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52ac5c9-bccc-4857-ac9e-812bfee7e1dd}"/>
      </c:ext>
    </c:extLst>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'[（图表）DXL.docx.xlsx]Sheet2 (3)'!$B$1:$B$2</c:f>
              <c:strCache>
                <c:ptCount val="1"/>
                <c:pt idx="0">
                  <c:v>一般公共预算财政拨款支出决算变动情况 金额（万元）</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'[（图表）DXL.docx.xlsx]Sheet2 (3)'!$A$3:$A$4</c:f>
              <c:strCache>
                <c:ptCount val="2"/>
                <c:pt idx="0">
                  <c:v>2025年</c:v>
                </c:pt>
                <c:pt idx="1">
                  <c:v>2024年</c:v>
                </c:pt>
              </c:strCache>
            </c:strRef>
          </c:cat>
          <c:val>
            <c:numRef>
              <c:f>'[（图表）DXL.docx.xlsx]Sheet2 (3)'!$B$3:$B$4</c:f>
              <c:numCache>
                <c:formatCode>General</c:formatCode>
                <c:ptCount val="2"/>
                <c:pt idx="0">
                  <c:v>435.83</c:v>
                </c:pt>
                <c:pt idx="1">
                  <c:v>428.01</c:v>
                </c:pt>
              </c:numCache>
            </c:numRef>
          </c:val>
        </c:ser>
        <c:dLbls>
          <c:showLegendKey val="0"/>
          <c:showVal val="1"/>
          <c:showCatName val="0"/>
          <c:showSerName val="0"/>
          <c:showPercent val="0"/>
          <c:showBubbleSize val="0"/>
        </c:dLbls>
        <c:gapWidth val="75"/>
        <c:overlap val="0"/>
        <c:axId val="670413429"/>
        <c:axId val="622212665"/>
      </c:barChart>
      <c:catAx>
        <c:axId val="67041342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2212665"/>
        <c:crosses val="autoZero"/>
        <c:auto val="1"/>
        <c:lblAlgn val="ctr"/>
        <c:lblOffset val="100"/>
        <c:noMultiLvlLbl val="0"/>
      </c:catAx>
      <c:valAx>
        <c:axId val="622212665"/>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0413429"/>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b31767c-d103-4b38-88c4-cbf60186c9bf}"/>
      </c:ext>
    </c:extLst>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城乡社区支出</c:v>
                </c:pt>
                <c:pt idx="3">
                  <c:v>住房保障支出(万元)</c:v>
                </c:pt>
              </c:strCache>
            </c:strRef>
          </c:cat>
          <c:val>
            <c:numRef>
              <c:f>Sheet1!$B$2:$B$5</c:f>
              <c:numCache>
                <c:formatCode>General</c:formatCode>
                <c:ptCount val="4"/>
                <c:pt idx="0">
                  <c:v>59.86</c:v>
                </c:pt>
                <c:pt idx="1">
                  <c:v>24.64</c:v>
                </c:pt>
                <c:pt idx="2">
                  <c:v>318.51</c:v>
                </c:pt>
                <c:pt idx="3">
                  <c:v>32.81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8f7a9dd-91e8-429c-854e-a2d00f2aa8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“三公”经费财政拨款支出结构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'[（图表）DXL.docx.xlsx]Sheet3 (4)'!$B$1:$B$2</c:f>
              <c:strCache>
                <c:ptCount val="1"/>
                <c:pt idx="0">
                  <c:v>“三公”经费财政拨款支出结构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'[（图表）DXL.docx.xlsx]Sheet3 (4)'!$A$3:$A$4</c:f>
              <c:strCache>
                <c:ptCount val="2"/>
                <c:pt idx="0">
                  <c:v>公务用车购置及运行维护费支出决算</c:v>
                </c:pt>
                <c:pt idx="1">
                  <c:v>公务接待费支出决算</c:v>
                </c:pt>
              </c:strCache>
            </c:strRef>
          </c:cat>
          <c:val>
            <c:numRef>
              <c:f>'[（图表）DXL.docx.xlsx]Sheet3 (4)'!$B$3:$B$4</c:f>
              <c:numCache>
                <c:formatCode>0.00%</c:formatCode>
                <c:ptCount val="2"/>
                <c:pt idx="0">
                  <c:v>0</c:v>
                </c:pt>
                <c:pt idx="1">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390ede-5a56-436d-a45d-0f83f9c45b4e}"/>
      </c:ext>
    </c:extLst>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6618</Words>
  <Characters>7197</Characters>
  <Lines>61</Lines>
  <Paragraphs>17</Paragraphs>
  <TotalTime>2</TotalTime>
  <ScaleCrop>false</ScaleCrop>
  <LinksUpToDate>false</LinksUpToDate>
  <CharactersWithSpaces>7422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小小莉          .</cp:lastModifiedBy>
  <cp:lastPrinted>2025-10-20T02:21:00Z</cp:lastPrinted>
  <dcterms:modified xsi:type="dcterms:W3CDTF">2026-10-08T08:50:49Z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04787F2533EB45DC91BCDE4AB213247F</vt:lpwstr>
  </property>
  <property fmtid="{D5CDD505-2E9C-101B-9397-08002B2CF9AE}" pid="4" name="KSOTemplateDocerSaveRecord">
    <vt:lpwstr>eyJoZGlkIjoiMTQ5Mjk4NTkwNmY2NGRmOTdkNzgwNDQxZThhNmYwZGQiLCJ1c2VySWQiOiIyNTQ1MzQ1NTQifQ==</vt:lpwstr>
  </property>
</Properties>
</file>