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ascii="黑体" w:hAnsi="黑体" w:eastAsia="黑体" w:cs="黑体"/>
          <w:color w:val="auto"/>
          <w:kern w:val="2"/>
          <w:sz w:val="32"/>
          <w:szCs w:val="32"/>
          <w:highlight w:val="none"/>
          <w:lang w:val="en-US" w:eastAsia="zh-CN" w:bidi="ar-SA"/>
        </w:rPr>
      </w:pPr>
      <w:bookmarkStart w:id="0" w:name="_Toc15396597"/>
      <w:bookmarkStart w:id="1" w:name="_Toc15396475"/>
      <w:bookmarkStart w:id="2" w:name="_Toc15377193"/>
      <w:bookmarkStart w:id="3" w:name="_Toc15378441"/>
      <w:bookmarkStart w:id="4" w:name="_Toc15377425"/>
      <w:bookmarkStart w:id="5" w:name="_Toc15306267"/>
      <w:r>
        <w:rPr>
          <w:rFonts w:hint="eastAsia" w:ascii="黑体" w:hAnsi="黑体" w:eastAsia="黑体" w:cs="黑体"/>
          <w:color w:val="auto"/>
          <w:kern w:val="2"/>
          <w:sz w:val="32"/>
          <w:szCs w:val="32"/>
          <w:highlight w:val="none"/>
          <w:lang w:val="en-US" w:eastAsia="zh-CN" w:bidi="ar-SA"/>
        </w:rPr>
        <w:t>附件4</w:t>
      </w: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rPr>
          <w:rFonts w:hint="eastAsia" w:ascii="Times New Roman" w:hAnsi="Times New Roman" w:eastAsia="方正小标宋简体" w:cs="Times New Roman"/>
          <w:color w:val="auto"/>
          <w:kern w:val="2"/>
          <w:sz w:val="72"/>
          <w:szCs w:val="72"/>
          <w:highlight w:val="none"/>
          <w:lang w:val="en-US" w:eastAsia="zh-CN" w:bidi="ar-SA"/>
        </w:rPr>
      </w:pPr>
    </w:p>
    <w:p>
      <w:pPr>
        <w:pStyle w:val="7"/>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2025年度九寨沟县住房和城乡建设局</w:t>
      </w:r>
    </w:p>
    <w:p>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决算公开</w:t>
      </w:r>
    </w:p>
    <w:p>
      <w:pPr>
        <w:spacing w:line="600" w:lineRule="exact"/>
        <w:jc w:val="center"/>
        <w:outlineLvl w:val="0"/>
        <w:rPr>
          <w:rFonts w:ascii="Times New Roman" w:hAnsi="Times New Roman" w:eastAsia="方正小标宋简体"/>
          <w:color w:val="auto"/>
          <w:sz w:val="72"/>
          <w:szCs w:val="72"/>
          <w:highlight w:val="none"/>
        </w:rPr>
      </w:pPr>
    </w:p>
    <w:p>
      <w:pPr>
        <w:pStyle w:val="23"/>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7"/>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96598"/>
      <w:bookmarkStart w:id="8" w:name="_Toc15377426"/>
      <w:bookmarkStart w:id="9" w:name="_Toc15377194"/>
      <w:bookmarkStart w:id="10" w:name="_Toc1539647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九寨沟县住房和城乡建设</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widowControl/>
        <w:jc w:val="center"/>
        <w:rPr>
          <w:rFonts w:hint="eastAsia" w:ascii="Times New Roman" w:hAnsi="Times New Roman" w:eastAsia="黑体"/>
          <w:color w:val="auto"/>
          <w:sz w:val="48"/>
          <w:szCs w:val="48"/>
          <w:highlight w:val="none"/>
        </w:rPr>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黑体" w:cs="黑体"/>
          <w:color w:val="auto"/>
          <w:sz w:val="32"/>
          <w:szCs w:val="32"/>
          <w:highlight w:val="none"/>
        </w:rPr>
        <w:t>第一部分 部门概况</w:t>
      </w:r>
      <w:r>
        <w:rPr>
          <w:rFonts w:hint="eastAsia" w:ascii="Times New Roman" w:hAnsi="Times New Roman" w:eastAsia="黑体" w:cs="黑体"/>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lang w:val="en-US" w:eastAsia="zh-CN"/>
        </w:rPr>
        <w:t>.........................................................................3-4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lang w:val="en-US" w:eastAsia="zh-CN"/>
        </w:rPr>
        <w:t>.................................6</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....................7</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..........8-12</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....13</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........13-14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........................15</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.....................15</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....................................15-16</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第三部分 名词解释</w:t>
      </w:r>
      <w:r>
        <w:rPr>
          <w:rFonts w:hint="eastAsia" w:ascii="Times New Roman" w:hAnsi="Times New Roman" w:eastAsia="黑体" w:cs="黑体"/>
          <w:color w:val="auto"/>
          <w:sz w:val="32"/>
          <w:szCs w:val="32"/>
          <w:highlight w:val="none"/>
          <w:lang w:val="en-US" w:eastAsia="zh-CN"/>
        </w:rPr>
        <w:t>............................................................17-21</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第四部分 附件</w:t>
      </w:r>
      <w:r>
        <w:rPr>
          <w:rFonts w:hint="eastAsia" w:ascii="Times New Roman" w:hAnsi="Times New Roman" w:eastAsia="黑体" w:cs="黑体"/>
          <w:color w:val="auto"/>
          <w:sz w:val="32"/>
          <w:szCs w:val="32"/>
          <w:highlight w:val="none"/>
          <w:lang w:val="en-US" w:eastAsia="zh-CN"/>
        </w:rPr>
        <w:t>........................................................................21</w:t>
      </w:r>
    </w:p>
    <w:p>
      <w:pPr>
        <w:rPr>
          <w:rFonts w:hint="eastAsia"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附件</w:t>
      </w:r>
      <w:r>
        <w:rPr>
          <w:rFonts w:hint="eastAsia" w:eastAsia="黑体" w:cs="黑体"/>
          <w:color w:val="auto"/>
          <w:sz w:val="32"/>
          <w:szCs w:val="32"/>
          <w:highlight w:val="none"/>
          <w:lang w:val="en-US" w:eastAsia="zh-CN"/>
        </w:rPr>
        <w:t>1.......................................................................................21</w:t>
      </w:r>
    </w:p>
    <w:p>
      <w:pPr>
        <w:keepNext w:val="0"/>
        <w:keepLines w:val="0"/>
        <w:pageBreakBefore w:val="0"/>
        <w:widowControl/>
        <w:kinsoku/>
        <w:wordWrap/>
        <w:overflowPunct/>
        <w:topLinePunct w:val="0"/>
        <w:autoSpaceDE/>
        <w:autoSpaceDN/>
        <w:bidi w:val="0"/>
        <w:spacing w:line="578" w:lineRule="exact"/>
        <w:contextualSpacing/>
        <w:jc w:val="both"/>
        <w:textAlignment w:val="auto"/>
        <w:outlineLvl w:val="0"/>
        <w:rPr>
          <w:rFonts w:hint="default" w:ascii="Times New Roman" w:hAnsi="Times New Roman" w:eastAsia="方正小标宋简体" w:cs="Times New Roman"/>
          <w:b w:val="0"/>
          <w:bCs/>
          <w:sz w:val="28"/>
          <w:szCs w:val="28"/>
          <w:highlight w:val="none"/>
          <w:shd w:val="clear" w:color="auto" w:fill="FFFFFF"/>
          <w:lang w:val="en-US" w:eastAsia="zh-CN"/>
        </w:rPr>
      </w:pPr>
      <w:r>
        <w:rPr>
          <w:rFonts w:hint="eastAsia" w:ascii="仿宋_GB2312" w:hAnsi="仿宋_GB2312" w:eastAsia="仿宋_GB2312" w:cs="仿宋_GB2312"/>
          <w:b w:val="0"/>
          <w:bCs/>
          <w:sz w:val="28"/>
          <w:szCs w:val="28"/>
          <w:highlight w:val="none"/>
          <w:shd w:val="clear" w:color="auto" w:fill="FFFFFF"/>
          <w:lang w:val="en-US" w:eastAsia="zh-CN"/>
        </w:rPr>
        <w:t>2025年</w:t>
      </w:r>
      <w:r>
        <w:rPr>
          <w:rFonts w:hint="eastAsia" w:ascii="仿宋_GB2312" w:hAnsi="仿宋_GB2312" w:eastAsia="仿宋_GB2312" w:cs="仿宋_GB2312"/>
          <w:b w:val="0"/>
          <w:bCs/>
          <w:sz w:val="28"/>
          <w:szCs w:val="28"/>
          <w:highlight w:val="none"/>
          <w:shd w:val="clear" w:color="auto" w:fill="FFFFFF"/>
          <w:lang w:eastAsia="zh-CN"/>
        </w:rPr>
        <w:t>九寨沟县住房和城乡建设局整体支出</w:t>
      </w:r>
      <w:r>
        <w:rPr>
          <w:rFonts w:hint="eastAsia" w:ascii="仿宋_GB2312" w:hAnsi="仿宋_GB2312" w:eastAsia="仿宋_GB2312" w:cs="仿宋_GB2312"/>
          <w:b w:val="0"/>
          <w:bCs/>
          <w:sz w:val="28"/>
          <w:szCs w:val="28"/>
          <w:highlight w:val="none"/>
          <w:shd w:val="clear" w:color="auto" w:fill="FFFFFF"/>
        </w:rPr>
        <w:t>绩效</w:t>
      </w:r>
      <w:r>
        <w:rPr>
          <w:rFonts w:hint="eastAsia" w:ascii="仿宋_GB2312" w:hAnsi="仿宋_GB2312" w:eastAsia="仿宋_GB2312" w:cs="仿宋_GB2312"/>
          <w:b w:val="0"/>
          <w:bCs/>
          <w:sz w:val="28"/>
          <w:szCs w:val="28"/>
          <w:highlight w:val="none"/>
          <w:shd w:val="clear" w:color="auto" w:fill="FFFFFF"/>
          <w:lang w:eastAsia="zh-CN"/>
        </w:rPr>
        <w:t>评价</w:t>
      </w:r>
      <w:r>
        <w:rPr>
          <w:rFonts w:hint="eastAsia" w:ascii="仿宋_GB2312" w:hAnsi="仿宋_GB2312" w:eastAsia="仿宋_GB2312" w:cs="仿宋_GB2312"/>
          <w:b w:val="0"/>
          <w:bCs/>
          <w:sz w:val="28"/>
          <w:szCs w:val="28"/>
          <w:highlight w:val="none"/>
          <w:shd w:val="clear" w:color="auto" w:fill="FFFFFF"/>
        </w:rPr>
        <w:t>报告</w:t>
      </w:r>
      <w:r>
        <w:rPr>
          <w:rFonts w:hint="eastAsia" w:eastAsia="方正小标宋简体" w:cs="Times New Roman"/>
          <w:b w:val="0"/>
          <w:bCs/>
          <w:sz w:val="28"/>
          <w:szCs w:val="28"/>
          <w:highlight w:val="none"/>
          <w:shd w:val="clear" w:color="auto" w:fill="FFFFFF"/>
          <w:lang w:val="en-US" w:eastAsia="zh-CN"/>
        </w:rPr>
        <w:t>.......21-38</w:t>
      </w:r>
    </w:p>
    <w:p>
      <w:pPr>
        <w:rPr>
          <w:rFonts w:hint="eastAsia" w:ascii="仿宋_GB2312" w:hAnsi="仿宋_GB2312" w:eastAsia="仿宋_GB2312" w:cs="仿宋_GB2312"/>
          <w:bCs/>
          <w:sz w:val="32"/>
          <w:szCs w:val="32"/>
          <w:lang w:val="en-US" w:eastAsia="zh-CN"/>
        </w:rPr>
      </w:pPr>
      <w:r>
        <w:rPr>
          <w:rFonts w:hint="eastAsia" w:ascii="Times New Roman" w:hAnsi="Times New Roman" w:eastAsia="黑体" w:cs="黑体"/>
          <w:color w:val="auto"/>
          <w:sz w:val="32"/>
          <w:szCs w:val="32"/>
          <w:highlight w:val="none"/>
        </w:rPr>
        <w:t>附件</w:t>
      </w:r>
      <w:r>
        <w:rPr>
          <w:rFonts w:hint="eastAsia" w:eastAsia="黑体" w:cs="黑体"/>
          <w:color w:val="auto"/>
          <w:sz w:val="32"/>
          <w:szCs w:val="32"/>
          <w:highlight w:val="none"/>
          <w:lang w:val="en-US" w:eastAsia="zh-CN"/>
        </w:rPr>
        <w:t>2.......................................................................................38</w:t>
      </w:r>
      <w:r>
        <w:rPr>
          <w:rFonts w:hint="eastAsia" w:ascii="仿宋_GB2312" w:hAnsi="仿宋_GB2312" w:eastAsia="仿宋_GB2312" w:cs="仿宋_GB2312"/>
          <w:bCs/>
          <w:sz w:val="24"/>
          <w:szCs w:val="24"/>
          <w:lang w:val="en-US" w:eastAsia="zh-CN"/>
        </w:rPr>
        <w:t>南坪镇双河村人居环境整治提升建设项目</w:t>
      </w:r>
      <w:r>
        <w:rPr>
          <w:rFonts w:hint="eastAsia" w:ascii="仿宋_GB2312" w:hAnsi="仿宋_GB2312" w:eastAsia="仿宋_GB2312" w:cs="仿宋_GB2312"/>
          <w:bCs/>
          <w:sz w:val="24"/>
          <w:szCs w:val="24"/>
        </w:rPr>
        <w:t>事前绩效评估报告</w:t>
      </w:r>
      <w:r>
        <w:rPr>
          <w:rFonts w:hint="eastAsia" w:eastAsia="黑体" w:cs="黑体"/>
          <w:color w:val="auto"/>
          <w:sz w:val="32"/>
          <w:szCs w:val="32"/>
          <w:highlight w:val="none"/>
          <w:lang w:val="en-US" w:eastAsia="zh-CN"/>
        </w:rPr>
        <w:t>..............</w:t>
      </w:r>
      <w:r>
        <w:rPr>
          <w:rFonts w:hint="eastAsia" w:ascii="仿宋_GB2312" w:hAnsi="仿宋_GB2312" w:eastAsia="仿宋_GB2312" w:cs="仿宋_GB2312"/>
          <w:bCs/>
          <w:sz w:val="32"/>
          <w:szCs w:val="32"/>
          <w:lang w:val="en-US" w:eastAsia="zh-CN"/>
        </w:rPr>
        <w:t>38-45</w:t>
      </w:r>
    </w:p>
    <w:p>
      <w:pPr>
        <w:pStyle w:val="2"/>
        <w:ind w:left="0" w:leftChars="0" w:firstLine="0" w:firstLineChars="0"/>
        <w:rPr>
          <w:rFonts w:hint="eastAsia"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附件</w:t>
      </w:r>
      <w:r>
        <w:rPr>
          <w:rFonts w:hint="eastAsia" w:eastAsia="黑体" w:cs="黑体"/>
          <w:color w:val="auto"/>
          <w:sz w:val="32"/>
          <w:szCs w:val="32"/>
          <w:highlight w:val="none"/>
          <w:lang w:val="en-US" w:eastAsia="zh-CN"/>
        </w:rPr>
        <w:t>3</w:t>
      </w:r>
      <w:r>
        <w:rPr>
          <w:rFonts w:hint="eastAsia" w:eastAsia="黑体" w:cs="黑体"/>
          <w:b w:val="0"/>
          <w:bCs w:val="0"/>
          <w:color w:val="auto"/>
          <w:sz w:val="28"/>
          <w:szCs w:val="28"/>
          <w:highlight w:val="none"/>
          <w:lang w:val="en-US" w:eastAsia="zh-CN"/>
        </w:rPr>
        <w:t>................................................</w:t>
      </w:r>
      <w:r>
        <w:rPr>
          <w:rFonts w:hint="eastAsia" w:eastAsia="黑体" w:cs="黑体"/>
          <w:color w:val="auto"/>
          <w:sz w:val="32"/>
          <w:szCs w:val="32"/>
          <w:highlight w:val="none"/>
          <w:lang w:val="en-US" w:eastAsia="zh-CN"/>
        </w:rPr>
        <w:t>46</w:t>
      </w:r>
    </w:p>
    <w:p>
      <w:pPr>
        <w:pStyle w:val="2"/>
        <w:ind w:left="0" w:leftChars="0" w:firstLine="0" w:firstLineChars="0"/>
        <w:rPr>
          <w:rFonts w:hint="eastAsia" w:eastAsia="黑体" w:cs="黑体"/>
          <w:color w:val="auto"/>
          <w:sz w:val="32"/>
          <w:szCs w:val="32"/>
          <w:highlight w:val="none"/>
          <w:lang w:val="en-US" w:eastAsia="zh-CN"/>
        </w:rPr>
      </w:pPr>
      <w:r>
        <w:rPr>
          <w:rFonts w:hint="eastAsia" w:ascii="Times New Roman" w:hAnsi="Times New Roman" w:eastAsia="方正小标宋简体" w:cs="Times New Roman"/>
          <w:bCs/>
          <w:sz w:val="24"/>
          <w:szCs w:val="24"/>
          <w:lang w:val="en-US" w:eastAsia="zh-CN"/>
        </w:rPr>
        <w:t>南坪镇下寨村人居环境整治提升建设项目</w:t>
      </w:r>
      <w:r>
        <w:rPr>
          <w:rFonts w:hint="default" w:ascii="Times New Roman" w:hAnsi="Times New Roman" w:eastAsia="方正小标宋简体" w:cs="Times New Roman"/>
          <w:bCs/>
          <w:sz w:val="24"/>
          <w:szCs w:val="24"/>
        </w:rPr>
        <w:t>事前绩效评估报告</w:t>
      </w:r>
      <w:r>
        <w:rPr>
          <w:rFonts w:hint="eastAsia" w:eastAsia="黑体" w:cs="黑体"/>
          <w:color w:val="auto"/>
          <w:sz w:val="32"/>
          <w:szCs w:val="32"/>
          <w:highlight w:val="none"/>
          <w:lang w:val="en-US" w:eastAsia="zh-CN"/>
        </w:rPr>
        <w:t>......46-53</w:t>
      </w:r>
    </w:p>
    <w:p>
      <w:pPr>
        <w:rPr>
          <w:rFonts w:hint="eastAsia" w:ascii="仿宋_GB2312" w:hAnsi="仿宋_GB2312" w:eastAsia="仿宋_GB2312" w:cs="仿宋_GB2312"/>
          <w:b w:val="0"/>
          <w:bCs w:val="0"/>
          <w:sz w:val="28"/>
          <w:szCs w:val="28"/>
          <w:lang w:val="en-US" w:eastAsia="zh-CN"/>
        </w:rPr>
      </w:pPr>
      <w:r>
        <w:rPr>
          <w:rFonts w:hint="eastAsia" w:ascii="Times New Roman" w:hAnsi="Times New Roman" w:eastAsia="黑体" w:cs="黑体"/>
          <w:color w:val="auto"/>
          <w:sz w:val="32"/>
          <w:szCs w:val="32"/>
          <w:highlight w:val="none"/>
        </w:rPr>
        <w:t>附件</w:t>
      </w:r>
      <w:r>
        <w:rPr>
          <w:rFonts w:hint="eastAsia" w:eastAsia="黑体" w:cs="黑体"/>
          <w:color w:val="auto"/>
          <w:sz w:val="32"/>
          <w:szCs w:val="32"/>
          <w:highlight w:val="none"/>
          <w:lang w:val="en-US" w:eastAsia="zh-CN"/>
        </w:rPr>
        <w:t>4......................................................................................</w:t>
      </w:r>
      <w:r>
        <w:rPr>
          <w:rFonts w:hint="eastAsia" w:eastAsia="黑体" w:cs="黑体"/>
          <w:b w:val="0"/>
          <w:bCs w:val="0"/>
          <w:color w:val="auto"/>
          <w:sz w:val="32"/>
          <w:szCs w:val="32"/>
          <w:highlight w:val="none"/>
          <w:lang w:val="en-US" w:eastAsia="zh-CN"/>
        </w:rPr>
        <w:t>54</w:t>
      </w:r>
      <w:r>
        <w:rPr>
          <w:rFonts w:hint="eastAsia" w:ascii="仿宋_GB2312" w:hAnsi="仿宋_GB2312" w:eastAsia="仿宋_GB2312" w:cs="仿宋_GB2312"/>
          <w:b/>
          <w:bCs/>
          <w:color w:val="auto"/>
          <w:kern w:val="2"/>
          <w:sz w:val="28"/>
          <w:szCs w:val="28"/>
          <w:highlight w:val="none"/>
          <w:lang w:val="en-US" w:eastAsia="zh-CN" w:bidi="ar-SA"/>
        </w:rPr>
        <w:t>九寨沟县第一批购房补贴</w:t>
      </w:r>
      <w:r>
        <w:rPr>
          <w:rFonts w:hint="eastAsia" w:ascii="仿宋_GB2312" w:hAnsi="仿宋_GB2312" w:eastAsia="仿宋_GB2312" w:cs="仿宋_GB2312"/>
          <w:b/>
          <w:bCs/>
          <w:sz w:val="28"/>
          <w:szCs w:val="28"/>
        </w:rPr>
        <w:t>事前绩效评估报告</w:t>
      </w:r>
      <w:r>
        <w:rPr>
          <w:rFonts w:hint="eastAsia" w:eastAsia="黑体" w:cs="黑体"/>
          <w:color w:val="auto"/>
          <w:sz w:val="32"/>
          <w:szCs w:val="32"/>
          <w:highlight w:val="none"/>
          <w:lang w:val="en-US" w:eastAsia="zh-CN"/>
        </w:rPr>
        <w:t>............................</w:t>
      </w:r>
      <w:r>
        <w:rPr>
          <w:rFonts w:hint="eastAsia" w:ascii="仿宋_GB2312" w:hAnsi="仿宋_GB2312" w:eastAsia="仿宋_GB2312" w:cs="仿宋_GB2312"/>
          <w:b w:val="0"/>
          <w:bCs w:val="0"/>
          <w:sz w:val="28"/>
          <w:szCs w:val="28"/>
          <w:lang w:val="en-US" w:eastAsia="zh-CN"/>
        </w:rPr>
        <w:t>54-55</w:t>
      </w:r>
    </w:p>
    <w:p>
      <w:pPr>
        <w:pStyle w:val="2"/>
        <w:ind w:left="0" w:leftChars="0" w:firstLine="0" w:firstLineChars="0"/>
        <w:rPr>
          <w:rFonts w:hint="eastAsia"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附件</w:t>
      </w:r>
      <w:r>
        <w:rPr>
          <w:rFonts w:hint="eastAsia" w:eastAsia="黑体" w:cs="黑体"/>
          <w:color w:val="auto"/>
          <w:sz w:val="32"/>
          <w:szCs w:val="32"/>
          <w:highlight w:val="none"/>
          <w:lang w:val="en-US" w:eastAsia="zh-CN"/>
        </w:rPr>
        <w:t>5............................................56</w:t>
      </w:r>
      <w:r>
        <w:rPr>
          <w:rFonts w:hint="eastAsia" w:ascii="方正小标宋简体" w:eastAsia="方正小标宋简体"/>
          <w:sz w:val="24"/>
          <w:szCs w:val="24"/>
        </w:rPr>
        <w:t>九寨沟县第二水厂取水口建设项目事前绩效评估报告</w:t>
      </w:r>
      <w:r>
        <w:rPr>
          <w:rFonts w:hint="eastAsia" w:eastAsia="黑体" w:cs="黑体"/>
          <w:color w:val="auto"/>
          <w:sz w:val="32"/>
          <w:szCs w:val="32"/>
          <w:highlight w:val="none"/>
          <w:lang w:val="en-US" w:eastAsia="zh-CN"/>
        </w:rPr>
        <w:t>............56-58</w:t>
      </w:r>
    </w:p>
    <w:p>
      <w:pPr>
        <w:rPr>
          <w:rFonts w:hint="default"/>
          <w:lang w:val="en-US" w:eastAsia="zh-CN"/>
        </w:rPr>
      </w:pPr>
      <w:r>
        <w:rPr>
          <w:rFonts w:hint="eastAsia" w:ascii="Times New Roman" w:hAnsi="Times New Roman" w:eastAsia="黑体" w:cs="黑体"/>
          <w:color w:val="auto"/>
          <w:sz w:val="32"/>
          <w:szCs w:val="32"/>
          <w:highlight w:val="none"/>
        </w:rPr>
        <w:t>附件</w:t>
      </w:r>
      <w:r>
        <w:rPr>
          <w:rFonts w:hint="eastAsia" w:eastAsia="黑体" w:cs="黑体"/>
          <w:color w:val="auto"/>
          <w:sz w:val="32"/>
          <w:szCs w:val="32"/>
          <w:highlight w:val="none"/>
          <w:lang w:val="en-US" w:eastAsia="zh-CN"/>
        </w:rPr>
        <w:t>6.......................................................................................59</w:t>
      </w:r>
    </w:p>
    <w:p>
      <w:pPr>
        <w:pStyle w:val="2"/>
        <w:ind w:left="0" w:leftChars="0" w:firstLine="0" w:firstLineChars="0"/>
        <w:rPr>
          <w:rFonts w:hint="default"/>
          <w:lang w:val="en-US" w:eastAsia="zh-CN"/>
        </w:rPr>
      </w:pPr>
      <w:r>
        <w:rPr>
          <w:rFonts w:hint="eastAsia" w:ascii="方正小标宋简体" w:eastAsia="方正小标宋简体"/>
          <w:sz w:val="24"/>
          <w:szCs w:val="24"/>
        </w:rPr>
        <w:t>九寨沟县永丰旅游产业配套基础设施建设项目事前绩效评估报告</w:t>
      </w:r>
      <w:r>
        <w:rPr>
          <w:rFonts w:hint="eastAsia" w:ascii="方正小标宋简体" w:eastAsia="方正小标宋简体"/>
          <w:sz w:val="24"/>
          <w:szCs w:val="24"/>
          <w:lang w:val="en-US" w:eastAsia="zh-CN"/>
        </w:rPr>
        <w:t>................59-64</w:t>
      </w:r>
    </w:p>
    <w:p>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Times New Roman" w:hAnsi="Times New Roman" w:eastAsia="黑体" w:cs="黑体"/>
          <w:color w:val="auto"/>
          <w:sz w:val="32"/>
          <w:szCs w:val="32"/>
          <w:highlight w:val="none"/>
          <w:lang w:val="en-US" w:eastAsia="zh-CN"/>
        </w:rPr>
        <w:t>.........................................................................64</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pPr>
        <w:pStyle w:val="4"/>
        <w:jc w:val="center"/>
        <w:rPr>
          <w:rStyle w:val="32"/>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2"/>
          <w:rFonts w:hint="eastAsia" w:ascii="Times New Roman" w:hAnsi="Times New Roman" w:eastAsia="方正小标宋简体" w:cs="方正小标宋简体"/>
          <w:b w:val="0"/>
          <w:bCs w:val="0"/>
          <w:color w:val="auto"/>
          <w:highlight w:val="none"/>
        </w:rPr>
        <w:t>部门概况</w:t>
      </w:r>
      <w:bookmarkEnd w:id="12"/>
      <w:bookmarkEnd w:id="13"/>
    </w:p>
    <w:p>
      <w:pPr>
        <w:widowControl/>
        <w:jc w:val="left"/>
        <w:rPr>
          <w:rFonts w:ascii="Times New Roman" w:hAnsi="Times New Roman" w:eastAsia="黑体"/>
          <w:color w:val="auto"/>
          <w:sz w:val="32"/>
          <w:szCs w:val="32"/>
          <w:highlight w:val="none"/>
        </w:rPr>
      </w:pPr>
    </w:p>
    <w:p>
      <w:pPr>
        <w:pStyle w:val="5"/>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pPr>
        <w:keepNext w:val="0"/>
        <w:keepLines w:val="0"/>
        <w:pageBreakBefore w:val="0"/>
        <w:widowControl/>
        <w:kinsoku/>
        <w:wordWrap/>
        <w:overflowPunct/>
        <w:topLinePunct w:val="0"/>
        <w:autoSpaceDE/>
        <w:autoSpaceDN/>
        <w:bidi w:val="0"/>
        <w:spacing w:line="580" w:lineRule="exact"/>
        <w:ind w:right="0" w:rightChars="0" w:firstLine="720"/>
        <w:jc w:val="both"/>
        <w:textAlignment w:val="auto"/>
        <w:outlineLvl w:val="9"/>
        <w:rPr>
          <w:rFonts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1.贯彻执行国家、省、州住房保障和城乡</w:t>
      </w:r>
      <w:r>
        <w:rPr>
          <w:rFonts w:hint="eastAsia" w:ascii="仿宋_GB2312" w:hAnsi="宋体" w:eastAsia="仿宋_GB2312" w:cs="宋体"/>
          <w:color w:val="000000" w:themeColor="text1"/>
          <w:kern w:val="0"/>
          <w:sz w:val="32"/>
          <w:szCs w:val="32"/>
          <w:lang w:eastAsia="zh-CN"/>
          <w14:textFill>
            <w14:solidFill>
              <w14:schemeClr w14:val="tx1"/>
            </w14:solidFill>
          </w14:textFill>
        </w:rPr>
        <w:t>建设</w:t>
      </w:r>
      <w:r>
        <w:rPr>
          <w:rFonts w:hint="eastAsia" w:ascii="仿宋_GB2312" w:hAnsi="宋体" w:eastAsia="仿宋_GB2312" w:cs="宋体"/>
          <w:color w:val="000000" w:themeColor="text1"/>
          <w:kern w:val="0"/>
          <w:sz w:val="32"/>
          <w:szCs w:val="32"/>
          <w14:textFill>
            <w14:solidFill>
              <w14:schemeClr w14:val="tx1"/>
            </w14:solidFill>
          </w14:textFill>
        </w:rPr>
        <w:t>的法律法规和方针政策。研究拟定住房保障、工程建设、城乡建设、建筑业、房屋装饰装修业、住宅与房地产业、勘察设计</w:t>
      </w:r>
      <w:r>
        <w:rPr>
          <w:rFonts w:hint="eastAsia" w:ascii="仿宋_GB2312" w:hAnsi="宋体" w:eastAsia="仿宋_GB2312" w:cs="宋体"/>
          <w:color w:val="000000" w:themeColor="text1"/>
          <w:kern w:val="0"/>
          <w:sz w:val="32"/>
          <w:szCs w:val="32"/>
          <w:lang w:eastAsia="zh-CN"/>
          <w14:textFill>
            <w14:solidFill>
              <w14:schemeClr w14:val="tx1"/>
            </w14:solidFill>
          </w14:textFill>
        </w:rPr>
        <w:t>服务</w:t>
      </w:r>
      <w:r>
        <w:rPr>
          <w:rFonts w:hint="eastAsia" w:ascii="仿宋_GB2312" w:hAnsi="宋体" w:eastAsia="仿宋_GB2312" w:cs="宋体"/>
          <w:color w:val="000000" w:themeColor="text1"/>
          <w:kern w:val="0"/>
          <w:sz w:val="32"/>
          <w:szCs w:val="32"/>
          <w14:textFill>
            <w14:solidFill>
              <w14:schemeClr w14:val="tx1"/>
            </w14:solidFill>
          </w14:textFill>
        </w:rPr>
        <w:t>业、</w:t>
      </w:r>
      <w:r>
        <w:rPr>
          <w:rFonts w:hint="eastAsia" w:ascii="仿宋_GB2312" w:hAnsi="宋体" w:eastAsia="仿宋_GB2312" w:cs="宋体"/>
          <w:color w:val="000000" w:themeColor="text1"/>
          <w:kern w:val="0"/>
          <w:sz w:val="32"/>
          <w:szCs w:val="32"/>
          <w:lang w:eastAsia="zh-CN"/>
          <w14:textFill>
            <w14:solidFill>
              <w14:schemeClr w14:val="tx1"/>
            </w14:solidFill>
          </w14:textFill>
        </w:rPr>
        <w:t>市政公用服务管理有关规范性文件和制度草案，</w:t>
      </w:r>
      <w:r>
        <w:rPr>
          <w:rFonts w:hint="eastAsia" w:ascii="仿宋_GB2312" w:hAnsi="宋体" w:eastAsia="仿宋_GB2312" w:cs="宋体"/>
          <w:color w:val="000000" w:themeColor="text1"/>
          <w:kern w:val="0"/>
          <w:sz w:val="32"/>
          <w:szCs w:val="32"/>
          <w14:textFill>
            <w14:solidFill>
              <w14:schemeClr w14:val="tx1"/>
            </w14:solidFill>
          </w14:textFill>
        </w:rPr>
        <w:t>负责依法行政工作。</w:t>
      </w:r>
    </w:p>
    <w:p>
      <w:pPr>
        <w:keepNext w:val="0"/>
        <w:keepLines w:val="0"/>
        <w:pageBreakBefore w:val="0"/>
        <w:widowControl/>
        <w:kinsoku/>
        <w:wordWrap/>
        <w:overflowPunct/>
        <w:topLinePunct w:val="0"/>
        <w:autoSpaceDE/>
        <w:autoSpaceDN/>
        <w:bidi w:val="0"/>
        <w:spacing w:line="580" w:lineRule="exact"/>
        <w:ind w:right="0" w:rightChars="0" w:firstLine="720"/>
        <w:jc w:val="both"/>
        <w:textAlignment w:val="auto"/>
        <w:outlineLvl w:val="9"/>
        <w:rPr>
          <w:rFonts w:ascii="仿宋_GB2312" w:hAnsi="宋体" w:eastAsia="仿宋_GB2312" w:cs="宋体"/>
          <w:color w:val="000000" w:themeColor="text1"/>
          <w:kern w:val="0"/>
          <w:sz w:val="32"/>
          <w:szCs w:val="32"/>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2.承担住房保障工作。拟订全县住房及住房保障相关政策并指导实施，指导住房建设和住房制度改革。拟订廉租住房规划及政策，会同有关部门做好国家、省、州有关廉租住房资金安排并监督地方组织实施。编制住房保障发展规划和年度计划并监督实施。</w:t>
      </w:r>
    </w:p>
    <w:p>
      <w:pPr>
        <w:keepNext w:val="0"/>
        <w:keepLines w:val="0"/>
        <w:pageBreakBefore w:val="0"/>
        <w:widowControl/>
        <w:kinsoku/>
        <w:wordWrap/>
        <w:overflowPunct/>
        <w:topLinePunct w:val="0"/>
        <w:autoSpaceDE/>
        <w:autoSpaceDN/>
        <w:bidi w:val="0"/>
        <w:spacing w:line="580" w:lineRule="exact"/>
        <w:ind w:right="0" w:rightChars="0" w:firstLine="720"/>
        <w:jc w:val="both"/>
        <w:textAlignment w:val="auto"/>
        <w:outlineLvl w:val="9"/>
        <w:rPr>
          <w:rFonts w:hint="eastAsia" w:ascii="仿宋_GB2312" w:hAnsi="宋体" w:eastAsia="仿宋_GB2312" w:cs="宋体"/>
          <w:color w:val="000000" w:themeColor="text1"/>
          <w:kern w:val="0"/>
          <w:sz w:val="32"/>
          <w:szCs w:val="32"/>
          <w:lang w:eastAsia="zh-CN"/>
          <w14:textFill>
            <w14:solidFill>
              <w14:schemeClr w14:val="tx1"/>
            </w14:solidFill>
          </w14:textFill>
        </w:rPr>
      </w:pPr>
      <w:r>
        <w:rPr>
          <w:rFonts w:hint="eastAsia" w:ascii="仿宋_GB2312" w:hAnsi="宋体" w:eastAsia="仿宋_GB2312" w:cs="宋体"/>
          <w:color w:val="000000" w:themeColor="text1"/>
          <w:kern w:val="0"/>
          <w:sz w:val="32"/>
          <w:szCs w:val="32"/>
          <w14:textFill>
            <w14:solidFill>
              <w14:schemeClr w14:val="tx1"/>
            </w14:solidFill>
          </w14:textFill>
        </w:rPr>
        <w:t>3.</w:t>
      </w:r>
      <w:r>
        <w:rPr>
          <w:rFonts w:hint="eastAsia" w:ascii="仿宋_GB2312" w:hAnsi="宋体" w:eastAsia="仿宋_GB2312" w:cs="宋体"/>
          <w:color w:val="000000" w:themeColor="text1"/>
          <w:kern w:val="0"/>
          <w:sz w:val="32"/>
          <w:szCs w:val="32"/>
          <w:lang w:eastAsia="zh-CN"/>
          <w14:textFill>
            <w14:solidFill>
              <w14:schemeClr w14:val="tx1"/>
            </w14:solidFill>
          </w14:textFill>
        </w:rPr>
        <w:t>承担规范房地产市场秩序、监督管理房地产市场的责任。会同有关部门组织拟订房地产市场监督管理政策并监督执行；指导城镇土地使用权有偿转让和开发利用工作，提出房地产业的行业发展规划和产业政策；制定房地产开发、房屋权属管理、房屋租赁、房屋面积管理、白蚁防治、房地产估价与经纪管理、物业管理、国有土地上房屋征收拆迁的规范性文件并监督执行。</w:t>
      </w:r>
    </w:p>
    <w:p>
      <w:pPr>
        <w:pStyle w:val="2"/>
        <w:rPr>
          <w:rFonts w:hint="default"/>
          <w:lang w:val="en-US" w:eastAsia="zh-CN"/>
        </w:rPr>
      </w:pPr>
    </w:p>
    <w:p>
      <w:pPr>
        <w:keepNext w:val="0"/>
        <w:keepLines w:val="0"/>
        <w:pageBreakBefore w:val="0"/>
        <w:widowControl/>
        <w:kinsoku/>
        <w:wordWrap/>
        <w:overflowPunct/>
        <w:topLinePunct w:val="0"/>
        <w:autoSpaceDE/>
        <w:autoSpaceDN/>
        <w:bidi w:val="0"/>
        <w:spacing w:line="580" w:lineRule="exact"/>
        <w:ind w:right="0" w:rightChars="0" w:firstLine="720"/>
        <w:jc w:val="both"/>
        <w:textAlignment w:val="auto"/>
        <w:outlineLvl w:val="9"/>
      </w:pPr>
      <w:r>
        <w:rPr>
          <w:rFonts w:hint="eastAsia" w:ascii="仿宋_GB2312" w:hAnsi="宋体" w:eastAsia="仿宋_GB2312" w:cs="宋体"/>
          <w:bCs/>
          <w:color w:val="000000" w:themeColor="text1"/>
          <w:kern w:val="0"/>
          <w:sz w:val="32"/>
          <w:szCs w:val="32"/>
          <w:lang w:val="en-US" w:eastAsia="zh-CN"/>
          <w14:textFill>
            <w14:solidFill>
              <w14:schemeClr w14:val="tx1"/>
            </w14:solidFill>
          </w14:textFill>
        </w:rPr>
        <w:t>4</w:t>
      </w:r>
      <w:r>
        <w:rPr>
          <w:rFonts w:hint="eastAsia" w:ascii="仿宋_GB2312" w:hAnsi="宋体" w:eastAsia="仿宋_GB2312" w:cs="宋体"/>
          <w:bCs/>
          <w:color w:val="000000" w:themeColor="text1"/>
          <w:kern w:val="0"/>
          <w:sz w:val="32"/>
          <w:szCs w:val="32"/>
          <w14:textFill>
            <w14:solidFill>
              <w14:schemeClr w14:val="tx1"/>
            </w14:solidFill>
          </w14:textFill>
        </w:rPr>
        <w:t>.承担监督管理</w:t>
      </w:r>
      <w:r>
        <w:rPr>
          <w:rFonts w:hint="eastAsia" w:ascii="仿宋_GB2312" w:hAnsi="宋体" w:eastAsia="仿宋_GB2312" w:cs="宋体"/>
          <w:bCs/>
          <w:color w:val="000000" w:themeColor="text1"/>
          <w:kern w:val="0"/>
          <w:sz w:val="32"/>
          <w:szCs w:val="32"/>
          <w:lang w:eastAsia="zh-CN"/>
          <w14:textFill>
            <w14:solidFill>
              <w14:schemeClr w14:val="tx1"/>
            </w14:solidFill>
          </w14:textFill>
        </w:rPr>
        <w:t>房屋</w:t>
      </w:r>
      <w:r>
        <w:rPr>
          <w:rFonts w:hint="eastAsia" w:ascii="仿宋_GB2312" w:hAnsi="宋体" w:eastAsia="仿宋_GB2312" w:cs="宋体"/>
          <w:bCs/>
          <w:color w:val="000000" w:themeColor="text1"/>
          <w:kern w:val="0"/>
          <w:sz w:val="32"/>
          <w:szCs w:val="32"/>
          <w14:textFill>
            <w14:solidFill>
              <w14:schemeClr w14:val="tx1"/>
            </w14:solidFill>
          </w14:textFill>
        </w:rPr>
        <w:t>建筑</w:t>
      </w:r>
      <w:r>
        <w:rPr>
          <w:rFonts w:hint="eastAsia" w:ascii="仿宋_GB2312" w:hAnsi="宋体" w:eastAsia="仿宋_GB2312" w:cs="宋体"/>
          <w:bCs/>
          <w:color w:val="000000" w:themeColor="text1"/>
          <w:kern w:val="0"/>
          <w:sz w:val="32"/>
          <w:szCs w:val="32"/>
          <w:lang w:eastAsia="zh-CN"/>
          <w14:textFill>
            <w14:solidFill>
              <w14:schemeClr w14:val="tx1"/>
            </w14:solidFill>
          </w14:textFill>
        </w:rPr>
        <w:t>和市政基础设施建设项目建筑</w:t>
      </w:r>
      <w:r>
        <w:rPr>
          <w:rFonts w:hint="eastAsia" w:ascii="仿宋_GB2312" w:hAnsi="宋体" w:eastAsia="仿宋_GB2312" w:cs="宋体"/>
          <w:bCs/>
          <w:color w:val="000000" w:themeColor="text1"/>
          <w:kern w:val="0"/>
          <w:sz w:val="32"/>
          <w:szCs w:val="32"/>
          <w14:textFill>
            <w14:solidFill>
              <w14:schemeClr w14:val="tx1"/>
            </w14:solidFill>
          </w14:textFill>
        </w:rPr>
        <w:t>市场、规范市场各方主体行为的责任。</w:t>
      </w:r>
      <w:r>
        <w:rPr>
          <w:rFonts w:ascii="仿宋_GB2312" w:hAnsi="宋体" w:eastAsia="仿宋_GB2312" w:cs="宋体"/>
          <w:bCs/>
          <w:color w:val="000000" w:themeColor="text1"/>
          <w:kern w:val="0"/>
          <w:sz w:val="32"/>
          <w:szCs w:val="32"/>
          <w14:textFill>
            <w14:solidFill>
              <w14:schemeClr w14:val="tx1"/>
            </w14:solidFill>
          </w14:textFill>
        </w:rPr>
        <w:t>指导全</w:t>
      </w:r>
      <w:r>
        <w:rPr>
          <w:rFonts w:hint="eastAsia" w:ascii="仿宋_GB2312" w:hAnsi="宋体" w:eastAsia="仿宋_GB2312" w:cs="宋体"/>
          <w:bCs/>
          <w:color w:val="000000" w:themeColor="text1"/>
          <w:kern w:val="0"/>
          <w:sz w:val="32"/>
          <w:szCs w:val="32"/>
          <w14:textFill>
            <w14:solidFill>
              <w14:schemeClr w14:val="tx1"/>
            </w14:solidFill>
          </w14:textFill>
        </w:rPr>
        <w:t>县</w:t>
      </w:r>
      <w:r>
        <w:rPr>
          <w:rFonts w:hint="eastAsia" w:ascii="仿宋_GB2312" w:hAnsi="宋体" w:eastAsia="仿宋_GB2312" w:cs="宋体"/>
          <w:bCs/>
          <w:color w:val="000000" w:themeColor="text1"/>
          <w:kern w:val="0"/>
          <w:sz w:val="32"/>
          <w:szCs w:val="32"/>
          <w:lang w:eastAsia="zh-CN"/>
          <w14:textFill>
            <w14:solidFill>
              <w14:schemeClr w14:val="tx1"/>
            </w14:solidFill>
          </w14:textFill>
        </w:rPr>
        <w:t>房</w:t>
      </w:r>
      <w:r>
        <w:rPr>
          <w:rFonts w:ascii="仿宋_GB2312" w:hAnsi="宋体" w:eastAsia="仿宋_GB2312" w:cs="宋体"/>
          <w:bCs/>
          <w:color w:val="000000" w:themeColor="text1"/>
          <w:kern w:val="0"/>
          <w:sz w:val="32"/>
          <w:szCs w:val="32"/>
          <w14:textFill>
            <w14:solidFill>
              <w14:schemeClr w14:val="tx1"/>
            </w14:solidFill>
          </w14:textFill>
        </w:rPr>
        <w:t>建</w:t>
      </w:r>
      <w:r>
        <w:rPr>
          <w:rFonts w:hint="eastAsia" w:ascii="仿宋_GB2312" w:hAnsi="宋体" w:eastAsia="仿宋_GB2312" w:cs="宋体"/>
          <w:bCs/>
          <w:color w:val="000000" w:themeColor="text1"/>
          <w:kern w:val="0"/>
          <w:sz w:val="32"/>
          <w:szCs w:val="32"/>
          <w:lang w:eastAsia="zh-CN"/>
          <w14:textFill>
            <w14:solidFill>
              <w14:schemeClr w14:val="tx1"/>
            </w14:solidFill>
          </w14:textFill>
        </w:rPr>
        <w:t>市政类建筑活动，</w:t>
      </w:r>
      <w:r>
        <w:rPr>
          <w:rFonts w:ascii="仿宋_GB2312" w:hAnsi="宋体" w:eastAsia="仿宋_GB2312" w:cs="宋体"/>
          <w:bCs/>
          <w:color w:val="000000" w:themeColor="text1"/>
          <w:kern w:val="0"/>
          <w:sz w:val="32"/>
          <w:szCs w:val="32"/>
          <w14:textFill>
            <w14:solidFill>
              <w14:schemeClr w14:val="tx1"/>
            </w14:solidFill>
          </w14:textFill>
        </w:rPr>
        <w:t>负责</w:t>
      </w:r>
      <w:r>
        <w:rPr>
          <w:rFonts w:hint="eastAsia" w:ascii="仿宋_GB2312" w:hAnsi="宋体" w:eastAsia="仿宋_GB2312" w:cs="宋体"/>
          <w:bCs/>
          <w:color w:val="000000" w:themeColor="text1"/>
          <w:kern w:val="0"/>
          <w:sz w:val="32"/>
          <w:szCs w:val="32"/>
          <w:lang w:eastAsia="zh-CN"/>
          <w14:textFill>
            <w14:solidFill>
              <w14:schemeClr w14:val="tx1"/>
            </w14:solidFill>
          </w14:textFill>
        </w:rPr>
        <w:t>房屋建筑和市政基础设施</w:t>
      </w:r>
      <w:r>
        <w:rPr>
          <w:rFonts w:ascii="仿宋_GB2312" w:hAnsi="宋体" w:eastAsia="仿宋_GB2312" w:cs="宋体"/>
          <w:bCs/>
          <w:color w:val="000000" w:themeColor="text1"/>
          <w:kern w:val="0"/>
          <w:sz w:val="32"/>
          <w:szCs w:val="32"/>
          <w14:textFill>
            <w14:solidFill>
              <w14:schemeClr w14:val="tx1"/>
            </w14:solidFill>
          </w14:textFill>
        </w:rPr>
        <w:t>建设</w:t>
      </w:r>
      <w:r>
        <w:rPr>
          <w:rFonts w:hint="eastAsia" w:ascii="仿宋_GB2312" w:hAnsi="宋体" w:eastAsia="仿宋_GB2312" w:cs="宋体"/>
          <w:bCs/>
          <w:color w:val="000000" w:themeColor="text1"/>
          <w:kern w:val="0"/>
          <w:sz w:val="32"/>
          <w:szCs w:val="32"/>
          <w:lang w:eastAsia="zh-CN"/>
          <w14:textFill>
            <w14:solidFill>
              <w14:schemeClr w14:val="tx1"/>
            </w14:solidFill>
          </w14:textFill>
        </w:rPr>
        <w:t>项目</w:t>
      </w:r>
      <w:r>
        <w:rPr>
          <w:rFonts w:ascii="仿宋_GB2312" w:hAnsi="宋体" w:eastAsia="仿宋_GB2312" w:cs="宋体"/>
          <w:bCs/>
          <w:color w:val="000000" w:themeColor="text1"/>
          <w:kern w:val="0"/>
          <w:sz w:val="32"/>
          <w:szCs w:val="32"/>
          <w14:textFill>
            <w14:solidFill>
              <w14:schemeClr w14:val="tx1"/>
            </w14:solidFill>
          </w14:textFill>
        </w:rPr>
        <w:t>工程招标投标活动的监督管理，</w:t>
      </w:r>
      <w:r>
        <w:rPr>
          <w:rFonts w:hint="eastAsia" w:ascii="仿宋_GB2312" w:hAnsi="宋体" w:eastAsia="仿宋_GB2312" w:cs="宋体"/>
          <w:bCs/>
          <w:color w:val="000000" w:themeColor="text1"/>
          <w:kern w:val="0"/>
          <w:sz w:val="32"/>
          <w:szCs w:val="32"/>
          <w:lang w:eastAsia="zh-CN"/>
          <w14:textFill>
            <w14:solidFill>
              <w14:schemeClr w14:val="tx1"/>
            </w14:solidFill>
          </w14:textFill>
        </w:rPr>
        <w:t>指导监督县行政审批局</w:t>
      </w:r>
      <w:r>
        <w:rPr>
          <w:rFonts w:ascii="仿宋_GB2312" w:hAnsi="宋体" w:eastAsia="仿宋_GB2312" w:cs="宋体"/>
          <w:bCs/>
          <w:color w:val="000000" w:themeColor="text1"/>
          <w:kern w:val="0"/>
          <w:sz w:val="32"/>
          <w:szCs w:val="32"/>
          <w14:textFill>
            <w14:solidFill>
              <w14:schemeClr w14:val="tx1"/>
            </w14:solidFill>
          </w14:textFill>
        </w:rPr>
        <w:t>《建设工程施工许可证》</w:t>
      </w:r>
      <w:r>
        <w:rPr>
          <w:rFonts w:hint="eastAsia" w:ascii="仿宋_GB2312" w:hAnsi="宋体" w:eastAsia="仿宋_GB2312" w:cs="宋体"/>
          <w:bCs/>
          <w:color w:val="000000" w:themeColor="text1"/>
          <w:kern w:val="0"/>
          <w:sz w:val="32"/>
          <w:szCs w:val="32"/>
          <w:lang w:eastAsia="zh-CN"/>
          <w14:textFill>
            <w14:solidFill>
              <w14:schemeClr w14:val="tx1"/>
            </w14:solidFill>
          </w14:textFill>
        </w:rPr>
        <w:t>核发</w:t>
      </w:r>
      <w:r>
        <w:rPr>
          <w:rFonts w:ascii="仿宋_GB2312" w:hAnsi="宋体" w:eastAsia="仿宋_GB2312" w:cs="宋体"/>
          <w:bCs/>
          <w:color w:val="000000" w:themeColor="text1"/>
          <w:kern w:val="0"/>
          <w:sz w:val="32"/>
          <w:szCs w:val="32"/>
          <w14:textFill>
            <w14:solidFill>
              <w14:schemeClr w14:val="tx1"/>
            </w14:solidFill>
          </w14:textFill>
        </w:rPr>
        <w:t xml:space="preserve">，指导监督建设工程标准定额的实施。负责建设工程质量安全监管，负责竣工验收备案管理，组织或参与工程质量安全事故的调查处理。 </w:t>
      </w:r>
    </w:p>
    <w:p>
      <w:pPr>
        <w:keepNext w:val="0"/>
        <w:keepLines w:val="0"/>
        <w:pageBreakBefore w:val="0"/>
        <w:widowControl/>
        <w:numPr>
          <w:ilvl w:val="0"/>
          <w:numId w:val="2"/>
        </w:numPr>
        <w:kinsoku/>
        <w:wordWrap/>
        <w:overflowPunct/>
        <w:topLinePunct w:val="0"/>
        <w:autoSpaceDE/>
        <w:autoSpaceDN/>
        <w:bidi w:val="0"/>
        <w:spacing w:line="580" w:lineRule="exact"/>
        <w:ind w:right="0" w:rightChars="0" w:firstLine="720"/>
        <w:jc w:val="both"/>
        <w:textAlignment w:val="auto"/>
        <w:outlineLvl w:val="9"/>
        <w:rPr>
          <w:rFonts w:ascii="仿宋_GB2312" w:hAnsi="宋体" w:eastAsia="仿宋_GB2312" w:cs="宋体"/>
          <w:bCs/>
          <w:color w:val="000000" w:themeColor="text1"/>
          <w:kern w:val="0"/>
          <w:sz w:val="32"/>
          <w:szCs w:val="32"/>
          <w14:textFill>
            <w14:solidFill>
              <w14:schemeClr w14:val="tx1"/>
            </w14:solidFill>
          </w14:textFill>
        </w:rPr>
      </w:pPr>
      <w:r>
        <w:rPr>
          <w:rFonts w:hint="eastAsia" w:ascii="仿宋_GB2312" w:hAnsi="宋体" w:eastAsia="仿宋_GB2312" w:cs="宋体"/>
          <w:bCs/>
          <w:color w:val="000000" w:themeColor="text1"/>
          <w:kern w:val="0"/>
          <w:sz w:val="32"/>
          <w:szCs w:val="32"/>
          <w14:textFill>
            <w14:solidFill>
              <w14:schemeClr w14:val="tx1"/>
            </w14:solidFill>
          </w14:textFill>
        </w:rPr>
        <w:t>承担规范和指导村镇建设的责任。指导农村住房建设管理</w:t>
      </w:r>
      <w:r>
        <w:rPr>
          <w:rFonts w:hint="eastAsia" w:ascii="仿宋_GB2312" w:hAnsi="宋体" w:eastAsia="仿宋_GB2312" w:cs="宋体"/>
          <w:bCs/>
          <w:color w:val="000000" w:themeColor="text1"/>
          <w:kern w:val="0"/>
          <w:sz w:val="32"/>
          <w:szCs w:val="32"/>
          <w:lang w:eastAsia="zh-CN"/>
          <w14:textFill>
            <w14:solidFill>
              <w14:schemeClr w14:val="tx1"/>
            </w14:solidFill>
          </w14:textFill>
        </w:rPr>
        <w:t>、</w:t>
      </w:r>
      <w:r>
        <w:rPr>
          <w:rFonts w:hint="eastAsia" w:ascii="仿宋_GB2312" w:hAnsi="宋体" w:eastAsia="仿宋_GB2312" w:cs="宋体"/>
          <w:bCs/>
          <w:color w:val="000000" w:themeColor="text1"/>
          <w:kern w:val="0"/>
          <w:sz w:val="32"/>
          <w:szCs w:val="32"/>
          <w14:textFill>
            <w14:solidFill>
              <w14:schemeClr w14:val="tx1"/>
            </w14:solidFill>
          </w14:textFill>
        </w:rPr>
        <w:t>危房改造</w:t>
      </w:r>
      <w:r>
        <w:rPr>
          <w:rFonts w:hint="eastAsia" w:ascii="仿宋_GB2312" w:hAnsi="宋体" w:eastAsia="仿宋_GB2312" w:cs="宋体"/>
          <w:bCs/>
          <w:color w:val="000000" w:themeColor="text1"/>
          <w:kern w:val="0"/>
          <w:sz w:val="32"/>
          <w:szCs w:val="32"/>
          <w:lang w:eastAsia="zh-CN"/>
          <w14:textFill>
            <w14:solidFill>
              <w14:schemeClr w14:val="tx1"/>
            </w14:solidFill>
          </w14:textFill>
        </w:rPr>
        <w:t>、小城镇人</w:t>
      </w:r>
      <w:r>
        <w:rPr>
          <w:rFonts w:hint="eastAsia" w:ascii="仿宋_GB2312" w:eastAsia="仿宋_GB2312"/>
          <w:color w:val="000000" w:themeColor="text1"/>
          <w:sz w:val="32"/>
          <w:szCs w:val="32"/>
          <w14:textFill>
            <w14:solidFill>
              <w14:schemeClr w14:val="tx1"/>
            </w14:solidFill>
          </w14:textFill>
        </w:rPr>
        <w:t>居生态环境的改善工作，指导受灾村镇及国家大型重点建设项目地区村镇迁建、重建的规划建设和管理工作。</w:t>
      </w:r>
      <w:r>
        <w:rPr>
          <w:rFonts w:ascii="仿宋_GB2312" w:hAnsi="宋体" w:eastAsia="仿宋_GB2312" w:cs="宋体"/>
          <w:bCs/>
          <w:color w:val="000000" w:themeColor="text1"/>
          <w:kern w:val="0"/>
          <w:sz w:val="32"/>
          <w:szCs w:val="32"/>
          <w14:textFill>
            <w14:solidFill>
              <w14:schemeClr w14:val="tx1"/>
            </w14:solidFill>
          </w14:textFill>
        </w:rPr>
        <w:t xml:space="preserve"> </w:t>
      </w:r>
    </w:p>
    <w:p>
      <w:pPr>
        <w:keepNext w:val="0"/>
        <w:keepLines w:val="0"/>
        <w:pageBreakBefore w:val="0"/>
        <w:widowControl/>
        <w:numPr>
          <w:ilvl w:val="0"/>
          <w:numId w:val="2"/>
        </w:numPr>
        <w:kinsoku/>
        <w:wordWrap/>
        <w:overflowPunct/>
        <w:topLinePunct w:val="0"/>
        <w:autoSpaceDE/>
        <w:autoSpaceDN/>
        <w:bidi w:val="0"/>
        <w:spacing w:line="580" w:lineRule="exact"/>
        <w:ind w:left="0" w:leftChars="0" w:right="0" w:rightChars="0" w:firstLine="720" w:firstLineChars="0"/>
        <w:jc w:val="both"/>
        <w:textAlignment w:val="auto"/>
        <w:outlineLvl w:val="9"/>
        <w:rPr>
          <w:rFonts w:hint="eastAsia" w:ascii="仿宋_GB2312"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Times New Roman" w:eastAsia="仿宋_GB2312" w:cs="Times New Roman"/>
          <w:color w:val="000000" w:themeColor="text1"/>
          <w:sz w:val="32"/>
          <w:szCs w:val="32"/>
          <w:lang w:eastAsia="zh-CN"/>
          <w14:textFill>
            <w14:solidFill>
              <w14:schemeClr w14:val="tx1"/>
            </w14:solidFill>
          </w14:textFill>
        </w:rPr>
        <w:t>指导城镇燃气相关配套设施的建设运营维护监督管理及审批工作。</w:t>
      </w:r>
    </w:p>
    <w:p>
      <w:pPr>
        <w:keepNext w:val="0"/>
        <w:keepLines w:val="0"/>
        <w:pageBreakBefore w:val="0"/>
        <w:widowControl/>
        <w:numPr>
          <w:ilvl w:val="0"/>
          <w:numId w:val="2"/>
        </w:numPr>
        <w:kinsoku/>
        <w:wordWrap/>
        <w:overflowPunct/>
        <w:topLinePunct w:val="0"/>
        <w:autoSpaceDE/>
        <w:autoSpaceDN/>
        <w:bidi w:val="0"/>
        <w:spacing w:line="580" w:lineRule="exact"/>
        <w:ind w:left="0" w:leftChars="0" w:right="0" w:rightChars="0" w:firstLine="720" w:firstLineChars="0"/>
        <w:jc w:val="both"/>
        <w:textAlignment w:val="auto"/>
        <w:outlineLvl w:val="9"/>
        <w:rPr>
          <w:rFonts w:hint="eastAsia" w:ascii="仿宋_GB2312"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Times New Roman" w:eastAsia="仿宋_GB2312" w:cs="Times New Roman"/>
          <w:color w:val="000000" w:themeColor="text1"/>
          <w:sz w:val="32"/>
          <w:szCs w:val="32"/>
          <w:lang w:eastAsia="zh-CN"/>
          <w14:textFill>
            <w14:solidFill>
              <w14:schemeClr w14:val="tx1"/>
            </w14:solidFill>
          </w14:textFill>
        </w:rPr>
        <w:t>承担推进全县建筑节能、城镇减排的责任。拟订并监督实施全县住房和城乡建设的科技发展、建筑节能规划；组织实施全县重大建筑节能项目，推进城镇减排；组织实施重点建筑科技项目的研究开发，指导房屋墙体材料革新工作，竣工验收许可相关职责以及建设工程消防设计审查验收相关职责。</w:t>
      </w:r>
    </w:p>
    <w:p>
      <w:pPr>
        <w:keepNext w:val="0"/>
        <w:keepLines w:val="0"/>
        <w:pageBreakBefore w:val="0"/>
        <w:widowControl/>
        <w:numPr>
          <w:ilvl w:val="0"/>
          <w:numId w:val="2"/>
        </w:numPr>
        <w:kinsoku/>
        <w:wordWrap/>
        <w:overflowPunct/>
        <w:topLinePunct w:val="0"/>
        <w:autoSpaceDE/>
        <w:autoSpaceDN/>
        <w:bidi w:val="0"/>
        <w:spacing w:line="580" w:lineRule="exact"/>
        <w:ind w:left="0" w:leftChars="0" w:right="0" w:rightChars="0" w:firstLine="720" w:firstLineChars="0"/>
        <w:jc w:val="both"/>
        <w:textAlignment w:val="auto"/>
        <w:outlineLvl w:val="9"/>
        <w:rPr>
          <w:rFonts w:hint="eastAsia" w:ascii="仿宋_GB2312"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Times New Roman" w:eastAsia="仿宋_GB2312" w:cs="Times New Roman"/>
          <w:color w:val="000000" w:themeColor="text1"/>
          <w:sz w:val="32"/>
          <w:szCs w:val="32"/>
          <w:lang w:eastAsia="zh-CN"/>
          <w14:textFill>
            <w14:solidFill>
              <w14:schemeClr w14:val="tx1"/>
            </w14:solidFill>
          </w14:textFill>
        </w:rPr>
        <w:t>指导建设工程抗震设防工作，组织编制并实施房屋建筑和市政设施抗震技术地方规范和标准图集，组织开展城镇建筑物抗震性能普查、鉴定加固和改造工作，指导村镇和农村建设抗震工作。</w:t>
      </w:r>
    </w:p>
    <w:p>
      <w:pPr>
        <w:keepNext w:val="0"/>
        <w:keepLines w:val="0"/>
        <w:pageBreakBefore w:val="0"/>
        <w:widowControl/>
        <w:numPr>
          <w:ilvl w:val="0"/>
          <w:numId w:val="2"/>
        </w:numPr>
        <w:kinsoku/>
        <w:wordWrap/>
        <w:overflowPunct/>
        <w:topLinePunct w:val="0"/>
        <w:autoSpaceDE/>
        <w:autoSpaceDN/>
        <w:bidi w:val="0"/>
        <w:spacing w:line="580" w:lineRule="exact"/>
        <w:ind w:left="0" w:leftChars="0" w:right="0" w:rightChars="0" w:firstLine="720" w:firstLineChars="0"/>
        <w:jc w:val="both"/>
        <w:textAlignment w:val="auto"/>
        <w:outlineLvl w:val="9"/>
        <w:rPr>
          <w:rFonts w:hint="eastAsia" w:ascii="仿宋_GB2312"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Times New Roman" w:eastAsia="仿宋_GB2312" w:cs="Times New Roman"/>
          <w:color w:val="000000" w:themeColor="text1"/>
          <w:sz w:val="32"/>
          <w:szCs w:val="32"/>
          <w:lang w:eastAsia="zh-CN"/>
          <w14:textFill>
            <w14:solidFill>
              <w14:schemeClr w14:val="tx1"/>
            </w14:solidFill>
          </w14:textFill>
        </w:rPr>
        <w:t>承担房屋建筑工程和市政基础设施工程防雷装置设计审核、竣工验收许可相关职责。</w:t>
      </w:r>
    </w:p>
    <w:p>
      <w:pPr>
        <w:keepNext w:val="0"/>
        <w:keepLines w:val="0"/>
        <w:pageBreakBefore w:val="0"/>
        <w:widowControl/>
        <w:numPr>
          <w:ilvl w:val="0"/>
          <w:numId w:val="0"/>
        </w:numPr>
        <w:kinsoku/>
        <w:wordWrap/>
        <w:overflowPunct/>
        <w:topLinePunct w:val="0"/>
        <w:autoSpaceDE/>
        <w:autoSpaceDN/>
        <w:bidi w:val="0"/>
        <w:spacing w:line="580" w:lineRule="exact"/>
        <w:ind w:left="720" w:leftChars="0" w:right="0" w:rightChars="0"/>
        <w:jc w:val="both"/>
        <w:textAlignment w:val="auto"/>
        <w:outlineLvl w:val="9"/>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10.</w:t>
      </w:r>
      <w:r>
        <w:rPr>
          <w:rFonts w:hint="eastAsia" w:ascii="仿宋_GB2312" w:hAnsi="Times New Roman" w:eastAsia="仿宋_GB2312" w:cs="Times New Roman"/>
          <w:color w:val="000000" w:themeColor="text1"/>
          <w:sz w:val="32"/>
          <w:szCs w:val="32"/>
          <w:lang w:eastAsia="zh-CN"/>
          <w14:textFill>
            <w14:solidFill>
              <w14:schemeClr w14:val="tx1"/>
            </w14:solidFill>
          </w14:textFill>
        </w:rPr>
        <w:t>承担全县散装水泥发展和应用的监督管理职责。</w:t>
      </w:r>
    </w:p>
    <w:p>
      <w:pPr>
        <w:keepNext w:val="0"/>
        <w:keepLines w:val="0"/>
        <w:pageBreakBefore w:val="0"/>
        <w:widowControl/>
        <w:numPr>
          <w:ilvl w:val="0"/>
          <w:numId w:val="0"/>
        </w:numPr>
        <w:kinsoku/>
        <w:wordWrap/>
        <w:overflowPunct/>
        <w:topLinePunct w:val="0"/>
        <w:autoSpaceDE/>
        <w:autoSpaceDN/>
        <w:bidi w:val="0"/>
        <w:spacing w:line="580" w:lineRule="exact"/>
        <w:ind w:left="720" w:leftChars="0" w:right="0" w:rightChars="0"/>
        <w:jc w:val="both"/>
        <w:textAlignment w:val="auto"/>
        <w:outlineLvl w:val="9"/>
        <w:rPr>
          <w:rFonts w:hint="eastAsia"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11.指导城市勘察、市政工程测量和历史文化名城（镇、村）审核报批、保护和监督管理。</w:t>
      </w:r>
    </w:p>
    <w:p>
      <w:pPr>
        <w:keepNext w:val="0"/>
        <w:keepLines w:val="0"/>
        <w:pageBreakBefore w:val="0"/>
        <w:widowControl/>
        <w:numPr>
          <w:ilvl w:val="0"/>
          <w:numId w:val="0"/>
        </w:numPr>
        <w:kinsoku/>
        <w:wordWrap/>
        <w:overflowPunct/>
        <w:topLinePunct w:val="0"/>
        <w:autoSpaceDE/>
        <w:autoSpaceDN/>
        <w:bidi w:val="0"/>
        <w:spacing w:line="580" w:lineRule="exact"/>
        <w:ind w:left="720" w:leftChars="0" w:right="0" w:rightChars="0"/>
        <w:jc w:val="both"/>
        <w:textAlignment w:val="auto"/>
        <w:outlineLvl w:val="9"/>
        <w:rPr>
          <w:rFonts w:hint="eastAsia" w:ascii="仿宋_GB2312"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12.</w:t>
      </w:r>
      <w:r>
        <w:rPr>
          <w:rFonts w:hint="eastAsia" w:ascii="仿宋_GB2312" w:hAnsi="Times New Roman" w:eastAsia="仿宋_GB2312" w:cs="Times New Roman"/>
          <w:color w:val="000000" w:themeColor="text1"/>
          <w:sz w:val="32"/>
          <w:szCs w:val="32"/>
          <w:lang w:eastAsia="zh-CN"/>
          <w14:textFill>
            <w14:solidFill>
              <w14:schemeClr w14:val="tx1"/>
            </w14:solidFill>
          </w14:textFill>
        </w:rPr>
        <w:t>承担职责范围内的安全生产和职业健康、生态环境保护、公共机构节能减排、审批服务便民化等工作。</w:t>
      </w:r>
    </w:p>
    <w:p>
      <w:pPr>
        <w:keepNext w:val="0"/>
        <w:keepLines w:val="0"/>
        <w:pageBreakBefore w:val="0"/>
        <w:widowControl/>
        <w:numPr>
          <w:ilvl w:val="0"/>
          <w:numId w:val="0"/>
        </w:numPr>
        <w:kinsoku/>
        <w:wordWrap/>
        <w:overflowPunct/>
        <w:topLinePunct w:val="0"/>
        <w:autoSpaceDE/>
        <w:autoSpaceDN/>
        <w:bidi w:val="0"/>
        <w:spacing w:line="580" w:lineRule="exact"/>
        <w:ind w:left="720" w:leftChars="0" w:right="0" w:rightChars="0"/>
        <w:jc w:val="both"/>
        <w:textAlignment w:val="auto"/>
        <w:outlineLvl w:val="9"/>
        <w:rPr>
          <w:rFonts w:hint="eastAsia" w:ascii="仿宋_GB2312" w:hAnsi="Times New Roman" w:eastAsia="仿宋_GB2312" w:cs="Times New Roman"/>
          <w:color w:val="000000" w:themeColor="text1"/>
          <w:sz w:val="32"/>
          <w:szCs w:val="32"/>
          <w:lang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13.</w:t>
      </w:r>
      <w:r>
        <w:rPr>
          <w:rFonts w:hint="eastAsia" w:ascii="仿宋_GB2312" w:hAnsi="Times New Roman" w:eastAsia="仿宋_GB2312" w:cs="Times New Roman"/>
          <w:color w:val="000000" w:themeColor="text1"/>
          <w:sz w:val="32"/>
          <w:szCs w:val="32"/>
          <w:lang w:eastAsia="zh-CN"/>
          <w14:textFill>
            <w14:solidFill>
              <w14:schemeClr w14:val="tx1"/>
            </w14:solidFill>
          </w14:textFill>
        </w:rPr>
        <w:t>承担县委、县政府交办的其他工作</w:t>
      </w:r>
    </w:p>
    <w:p>
      <w:pPr>
        <w:ind w:firstLine="640" w:firstLineChars="200"/>
        <w:rPr>
          <w:rFonts w:hint="eastAsia"/>
          <w:lang w:eastAsia="zh-CN"/>
        </w:rPr>
      </w:pPr>
      <w:r>
        <w:rPr>
          <w:rFonts w:hint="eastAsia" w:ascii="仿宋_GB2312" w:hAnsi="Times New Roman" w:eastAsia="仿宋_GB2312" w:cs="Times New Roman"/>
          <w:color w:val="000000" w:themeColor="text1"/>
          <w:kern w:val="2"/>
          <w:sz w:val="32"/>
          <w:szCs w:val="32"/>
          <w:lang w:val="en-US" w:eastAsia="zh-CN" w:bidi="ar-SA"/>
          <w14:textFill>
            <w14:solidFill>
              <w14:schemeClr w14:val="tx1"/>
            </w14:solidFill>
          </w14:textFill>
        </w:rPr>
        <w:t>14.职能转变。       　　</w:t>
      </w:r>
    </w:p>
    <w:p>
      <w:pPr>
        <w:pStyle w:val="5"/>
        <w:rPr>
          <w:rStyle w:val="33"/>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33"/>
          <w:rFonts w:hint="eastAsia" w:ascii="Times New Roman" w:hAnsi="Times New Roman" w:eastAsia="黑体"/>
          <w:b w:val="0"/>
          <w:bCs w:val="0"/>
          <w:color w:val="auto"/>
          <w:highlight w:val="none"/>
        </w:rPr>
        <w:t>构设置</w:t>
      </w:r>
      <w:bookmarkEnd w:id="14"/>
      <w:bookmarkEnd w:id="15"/>
    </w:p>
    <w:p>
      <w:pPr>
        <w:ind w:firstLine="800" w:firstLineChars="25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九寨沟县住房和城乡建设局</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pPr>
        <w:pStyle w:val="7"/>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pPr>
        <w:pStyle w:val="7"/>
        <w:numPr>
          <w:ilvl w:val="0"/>
          <w:numId w:val="3"/>
        </w:numPr>
        <w:adjustRightInd w:val="0"/>
        <w:snapToGrid w:val="0"/>
        <w:spacing w:before="93" w:beforeLines="30" w:after="0" w:line="600" w:lineRule="exact"/>
        <w:outlineLvl w:val="2"/>
        <w:rPr>
          <w:rFonts w:ascii="仿宋_GB2312" w:hAnsi="仿宋" w:eastAsia="仿宋_GB2312"/>
          <w:sz w:val="32"/>
          <w:szCs w:val="32"/>
        </w:rPr>
      </w:pPr>
      <w:bookmarkStart w:id="16" w:name="_Toc15306276"/>
      <w:bookmarkStart w:id="17" w:name="_Toc15377202"/>
      <w:bookmarkStart w:id="18" w:name="_Toc15378449"/>
      <w:bookmarkStart w:id="19" w:name="_Toc15377433"/>
      <w:r>
        <w:rPr>
          <w:rFonts w:hint="eastAsia" w:ascii="仿宋_GB2312" w:hAnsi="仿宋" w:eastAsia="仿宋_GB2312"/>
          <w:sz w:val="32"/>
          <w:szCs w:val="32"/>
        </w:rPr>
        <w:t>九寨沟县建设工程质量安全监督站</w:t>
      </w:r>
    </w:p>
    <w:bookmarkEnd w:id="16"/>
    <w:bookmarkEnd w:id="17"/>
    <w:bookmarkEnd w:id="18"/>
    <w:bookmarkEnd w:id="19"/>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4"/>
        <w:jc w:val="center"/>
        <w:rPr>
          <w:rFonts w:hint="eastAsia" w:ascii="Times New Roman" w:hAnsi="Times New Roman" w:eastAsia="方正小标宋简体" w:cs="方正小标宋简体"/>
          <w:b w:val="0"/>
          <w:color w:val="auto"/>
          <w:highlight w:val="none"/>
        </w:rPr>
      </w:pPr>
      <w:bookmarkStart w:id="20" w:name="_Toc15396602"/>
      <w:bookmarkStart w:id="2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0"/>
      <w:bookmarkEnd w:id="21"/>
    </w:p>
    <w:p>
      <w:pPr>
        <w:rPr>
          <w:rFonts w:ascii="Times New Roman" w:hAnsi="Times New Roman"/>
          <w:color w:val="auto"/>
          <w:highlight w:val="none"/>
        </w:rPr>
      </w:pP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22" w:name="_Toc15396603"/>
      <w:bookmarkStart w:id="2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3"/>
          <w:rFonts w:hint="eastAsia" w:ascii="Times New Roman" w:hAnsi="Times New Roman" w:eastAsia="黑体"/>
          <w:b w:val="0"/>
          <w:color w:val="auto"/>
          <w:highlight w:val="none"/>
        </w:rPr>
        <w:t>入支出决算总体情况说明</w:t>
      </w:r>
      <w:bookmarkEnd w:id="22"/>
      <w:bookmarkEnd w:id="23"/>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7654.86</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减少了</w:t>
      </w:r>
      <w:r>
        <w:rPr>
          <w:rFonts w:hint="eastAsia" w:eastAsia="仿宋_GB2312" w:cs="仿宋_GB2312"/>
          <w:color w:val="auto"/>
          <w:sz w:val="32"/>
          <w:szCs w:val="32"/>
          <w:highlight w:val="none"/>
          <w:lang w:val="en-US" w:eastAsia="zh-CN"/>
        </w:rPr>
        <w:t>9924.63</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下降了</w:t>
      </w:r>
      <w:r>
        <w:rPr>
          <w:rFonts w:hint="eastAsia" w:eastAsia="仿宋_GB2312" w:cs="仿宋_GB2312"/>
          <w:color w:val="auto"/>
          <w:sz w:val="32"/>
          <w:szCs w:val="32"/>
          <w:highlight w:val="none"/>
          <w:lang w:val="en-US" w:eastAsia="zh-CN"/>
        </w:rPr>
        <w:t>56.5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2025年新增项目较上年减少。</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720" w:lineRule="auto"/>
        <w:ind w:firstLine="420" w:firstLineChars="200"/>
        <w:textAlignment w:val="auto"/>
        <w:outlineLvl w:val="1"/>
        <w:rPr>
          <w:rFonts w:hint="eastAsia" w:ascii="Times New Roman" w:hAnsi="Times New Roman" w:eastAsia="黑体"/>
          <w:color w:val="auto"/>
          <w:sz w:val="32"/>
          <w:szCs w:val="32"/>
          <w:highlight w:val="none"/>
          <w:lang w:eastAsia="zh-CN"/>
        </w:rPr>
      </w:pPr>
      <w:bookmarkStart w:id="24" w:name="_Toc15396604"/>
      <w:bookmarkStart w:id="25" w:name="_Toc15377206"/>
      <w:r>
        <w:rPr>
          <w:rFonts w:hint="eastAsia"/>
          <w:lang w:val="en-US" w:eastAsia="zh-CN"/>
        </w:rPr>
        <w:t xml:space="preserve">      </w:t>
      </w:r>
      <w:r>
        <w:drawing>
          <wp:inline distT="0" distB="0" distL="114300" distR="114300">
            <wp:extent cx="3287395" cy="1677670"/>
            <wp:effectExtent l="5080" t="4445" r="22225" b="13335"/>
            <wp:docPr id="14"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4"/>
      <w:bookmarkEnd w:id="25"/>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7654.86</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6693.04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87.4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961.82</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12.6</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p>
    <w:p>
      <w:pPr>
        <w:pStyle w:val="31"/>
        <w:keepNext w:val="0"/>
        <w:keepLines w:val="0"/>
        <w:pageBreakBefore w:val="0"/>
        <w:widowControl w:val="0"/>
        <w:numPr>
          <w:ilvl w:val="0"/>
          <w:numId w:val="0"/>
        </w:numPr>
        <w:kinsoku/>
        <w:wordWrap/>
        <w:overflowPunct/>
        <w:topLinePunct w:val="0"/>
        <w:autoSpaceDE/>
        <w:autoSpaceDN/>
        <w:bidi w:val="0"/>
        <w:adjustRightInd/>
        <w:snapToGrid/>
        <w:spacing w:line="720" w:lineRule="auto"/>
        <w:ind w:firstLine="42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lang w:val="en-US" w:eastAsia="zh-CN"/>
        </w:rPr>
        <w:t xml:space="preserve">         </w:t>
      </w:r>
      <w:r>
        <w:drawing>
          <wp:inline distT="0" distB="0" distL="114300" distR="114300">
            <wp:extent cx="3115310" cy="1677035"/>
            <wp:effectExtent l="4445" t="4445" r="23495" b="13970"/>
            <wp:docPr id="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3"/>
          <w:rFonts w:hint="eastAsia" w:ascii="Times New Roman" w:hAnsi="Times New Roman" w:eastAsia="黑体"/>
          <w:b w:val="0"/>
          <w:color w:val="auto"/>
          <w:highlight w:val="none"/>
        </w:rPr>
      </w:pPr>
      <w:bookmarkStart w:id="26" w:name="_Toc15377207"/>
      <w:bookmarkStart w:id="27"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3"/>
          <w:rFonts w:hint="eastAsia" w:ascii="Times New Roman" w:hAnsi="Times New Roman" w:eastAsia="黑体"/>
          <w:b w:val="0"/>
          <w:color w:val="auto"/>
          <w:highlight w:val="none"/>
        </w:rPr>
        <w:t>出决算情况说明</w:t>
      </w:r>
      <w:bookmarkEnd w:id="26"/>
      <w:bookmarkEnd w:id="27"/>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7654.86</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234.67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7420.20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080000" cy="2229485"/>
            <wp:effectExtent l="5080" t="4445" r="20320" b="1397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outlineLvl w:val="1"/>
        <w:rPr>
          <w:rStyle w:val="33"/>
          <w:rFonts w:ascii="Times New Roman" w:hAnsi="Times New Roman" w:eastAsia="黑体"/>
          <w:b w:val="0"/>
          <w:color w:val="auto"/>
          <w:highlight w:val="none"/>
        </w:rPr>
      </w:pPr>
      <w:bookmarkStart w:id="28" w:name="_Toc15377208"/>
      <w:bookmarkStart w:id="29" w:name="_Toc15396606"/>
      <w:r>
        <w:rPr>
          <w:rFonts w:hint="eastAsia" w:ascii="Times New Roman" w:hAnsi="Times New Roman" w:eastAsia="黑体"/>
          <w:color w:val="auto"/>
          <w:sz w:val="32"/>
          <w:szCs w:val="32"/>
          <w:highlight w:val="none"/>
        </w:rPr>
        <w:t>四、财</w:t>
      </w:r>
      <w:r>
        <w:rPr>
          <w:rStyle w:val="33"/>
          <w:rFonts w:hint="eastAsia" w:ascii="Times New Roman" w:hAnsi="Times New Roman" w:eastAsia="黑体"/>
          <w:b w:val="0"/>
          <w:color w:val="auto"/>
          <w:highlight w:val="none"/>
        </w:rPr>
        <w:t>政拨款收入支出决算总体情况说明</w:t>
      </w:r>
      <w:bookmarkEnd w:id="28"/>
      <w:bookmarkEnd w:id="29"/>
    </w:p>
    <w:p>
      <w:pPr>
        <w:pStyle w:val="31"/>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sz w:val="32"/>
          <w:szCs w:val="32"/>
          <w:highlight w:val="none"/>
          <w:lang w:val="en-US" w:eastAsia="zh-CN"/>
        </w:rPr>
        <w:t>7654.86</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-9,924.63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-56.5</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2025年新增项目较上年减少。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720" w:lineRule="auto"/>
        <w:ind w:firstLine="42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t xml:space="preserve">          </w:t>
      </w:r>
      <w:r>
        <w:drawing>
          <wp:inline distT="0" distB="0" distL="114300" distR="114300">
            <wp:extent cx="3496310" cy="1991360"/>
            <wp:effectExtent l="4445" t="4445" r="23495" b="23495"/>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Style w:val="33"/>
          <w:rFonts w:ascii="Times New Roman" w:hAnsi="Times New Roman" w:eastAsia="黑体"/>
          <w:b w:val="0"/>
          <w:color w:val="auto"/>
          <w:highlight w:val="none"/>
        </w:rPr>
      </w:pPr>
      <w:bookmarkStart w:id="30" w:name="_Toc15396607"/>
      <w:bookmarkStart w:id="3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般公共预算财政拨款支出决算情况说明</w:t>
      </w:r>
      <w:bookmarkEnd w:id="30"/>
      <w:bookmarkEnd w:id="3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2"/>
    </w:p>
    <w:p>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6693.04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87.4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-7036.19</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-51.2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2025年新增项目较上年减少。</w:t>
      </w:r>
    </w:p>
    <w:p>
      <w:pPr>
        <w:keepNext w:val="0"/>
        <w:keepLines w:val="0"/>
        <w:pageBreakBefore w:val="0"/>
        <w:widowControl w:val="0"/>
        <w:kinsoku/>
        <w:wordWrap/>
        <w:overflowPunct/>
        <w:topLinePunct w:val="0"/>
        <w:autoSpaceDE/>
        <w:autoSpaceDN/>
        <w:bidi w:val="0"/>
        <w:adjustRightInd/>
        <w:snapToGrid/>
        <w:spacing w:line="720" w:lineRule="auto"/>
        <w:ind w:firstLine="420" w:firstLineChars="200"/>
        <w:textAlignment w:val="auto"/>
        <w:outlineLvl w:val="2"/>
        <w:rPr>
          <w:rFonts w:hint="eastAsia" w:ascii="Times New Roman" w:hAnsi="Times New Roman" w:eastAsia="楷体_GB2312" w:cs="楷体_GB2312"/>
          <w:b/>
          <w:color w:val="auto"/>
          <w:sz w:val="32"/>
          <w:szCs w:val="32"/>
          <w:highlight w:val="none"/>
        </w:rPr>
      </w:pPr>
      <w:bookmarkStart w:id="33" w:name="_Toc15377211"/>
      <w:r>
        <w:rPr>
          <w:rFonts w:hint="eastAsia"/>
          <w:lang w:val="en-US" w:eastAsia="zh-CN"/>
        </w:rPr>
        <w:t xml:space="preserve">           </w:t>
      </w:r>
      <w:r>
        <w:drawing>
          <wp:inline distT="0" distB="0" distL="114300" distR="114300">
            <wp:extent cx="3457575" cy="1800860"/>
            <wp:effectExtent l="4445" t="4445" r="5080" b="23495"/>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33"/>
    </w:p>
    <w:p>
      <w:pPr>
        <w:pStyle w:val="17"/>
        <w:numPr>
          <w:ilvl w:val="0"/>
          <w:numId w:val="0"/>
        </w:numPr>
        <w:shd w:val="clear" w:color="auto" w:fill="FFFFFF"/>
        <w:ind w:firstLine="640" w:firstLineChars="200"/>
        <w:rPr>
          <w:rFonts w:hint="eastAsia" w:ascii="仿宋" w:hAnsi="仿宋" w:eastAsia="仿宋" w:cs="Times New Roman"/>
          <w:kern w:val="2"/>
          <w:sz w:val="32"/>
          <w:szCs w:val="32"/>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6693.04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社会保障和就业（208）行政事业单位养老支出(05</w:t>
      </w:r>
      <w:r>
        <w:rPr>
          <w:rFonts w:hint="eastAsia" w:ascii="仿宋" w:hAnsi="仿宋" w:eastAsia="仿宋" w:cs="Times New Roman"/>
          <w:kern w:val="2"/>
          <w:sz w:val="32"/>
          <w:szCs w:val="32"/>
          <w:lang w:val="en-US" w:eastAsia="zh-CN" w:bidi="ar-SA"/>
        </w:rPr>
        <w:t>) 机关事业单位基本养老保险缴费支出(05)支出15.94万元，占0.2%；</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社会保障和就业（208）机关事业单位职业年金缴费支出(06)</w:t>
      </w:r>
      <w:r>
        <w:rPr>
          <w:rFonts w:hint="eastAsia" w:ascii="仿宋" w:hAnsi="仿宋" w:eastAsia="仿宋" w:cs="Times New Roman"/>
          <w:kern w:val="2"/>
          <w:sz w:val="32"/>
          <w:szCs w:val="32"/>
          <w:lang w:val="en-US" w:eastAsia="zh-CN" w:bidi="ar-SA"/>
        </w:rPr>
        <w:t xml:space="preserve"> 机关事业单位职业年金缴费支出(06)支出14.23万元，占0.2%；</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卫生健康支出(210)行政事业单位医疗(11)</w:t>
      </w:r>
      <w:r>
        <w:rPr>
          <w:rFonts w:hint="eastAsia" w:ascii="仿宋" w:hAnsi="仿宋" w:eastAsia="仿宋" w:cs="Times New Roman"/>
          <w:kern w:val="2"/>
          <w:sz w:val="32"/>
          <w:szCs w:val="32"/>
          <w:lang w:val="en-US" w:eastAsia="zh-CN" w:bidi="ar-SA"/>
        </w:rPr>
        <w:t xml:space="preserve"> 行政单位医疗(01)支出:7.8万元，占0.1%；</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卫生健康支出(210)行政事业单位医疗(11)</w:t>
      </w:r>
      <w:r>
        <w:rPr>
          <w:rFonts w:hint="eastAsia" w:ascii="仿宋" w:hAnsi="仿宋" w:eastAsia="仿宋" w:cs="Times New Roman"/>
          <w:kern w:val="2"/>
          <w:sz w:val="32"/>
          <w:szCs w:val="32"/>
          <w:lang w:val="en-US" w:eastAsia="zh-CN" w:bidi="ar-SA"/>
        </w:rPr>
        <w:t xml:space="preserve"> 行政单位医疗(03)支出:2.62万元，占0.1%；</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节能环保支出(211)污染防治(03)</w:t>
      </w:r>
      <w:r>
        <w:rPr>
          <w:rFonts w:hint="eastAsia" w:ascii="仿宋" w:hAnsi="仿宋" w:eastAsia="仿宋" w:cs="Times New Roman"/>
          <w:kern w:val="2"/>
          <w:sz w:val="32"/>
          <w:szCs w:val="32"/>
          <w:lang w:val="en-US" w:eastAsia="zh-CN" w:bidi="ar-SA"/>
        </w:rPr>
        <w:t>其他污染防治支出(99)支出：334.87万元，占5%；</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城乡社区支出(212)城乡社区管理事务(01)</w:t>
      </w:r>
      <w:r>
        <w:rPr>
          <w:rFonts w:hint="eastAsia" w:ascii="仿宋" w:hAnsi="仿宋" w:eastAsia="仿宋" w:cs="Times New Roman"/>
          <w:kern w:val="2"/>
          <w:sz w:val="32"/>
          <w:szCs w:val="32"/>
          <w:lang w:val="en-US" w:eastAsia="zh-CN" w:bidi="ar-SA"/>
        </w:rPr>
        <w:t>行政运行(01)支出：181.06万元，占2.7%；</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城乡社区支出(212)行政运行(01)</w:t>
      </w:r>
      <w:r>
        <w:rPr>
          <w:rFonts w:hint="eastAsia" w:ascii="仿宋" w:hAnsi="仿宋" w:eastAsia="仿宋" w:cs="Times New Roman"/>
          <w:kern w:val="2"/>
          <w:sz w:val="32"/>
          <w:szCs w:val="32"/>
          <w:lang w:val="en-US" w:eastAsia="zh-CN" w:bidi="ar-SA"/>
        </w:rPr>
        <w:t>其他城乡社区管理事务支出(99)支出：606.48万元，占9.1%；</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城乡社区支出(212)城乡社区公共设施(03)</w:t>
      </w:r>
      <w:r>
        <w:rPr>
          <w:rFonts w:hint="eastAsia" w:ascii="仿宋" w:hAnsi="仿宋" w:eastAsia="仿宋" w:cs="Times New Roman"/>
          <w:kern w:val="2"/>
          <w:sz w:val="32"/>
          <w:szCs w:val="32"/>
          <w:lang w:val="en-US" w:eastAsia="zh-CN" w:bidi="ar-SA"/>
        </w:rPr>
        <w:t>其他城乡社区公共设施支出(99)支出：4114.39万元，占61.5%；</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城乡社区支出(212)城乡社区环境卫生(05)</w:t>
      </w:r>
      <w:r>
        <w:rPr>
          <w:rFonts w:hint="eastAsia" w:ascii="仿宋" w:hAnsi="仿宋" w:eastAsia="仿宋" w:cs="Times New Roman"/>
          <w:kern w:val="2"/>
          <w:sz w:val="32"/>
          <w:szCs w:val="32"/>
          <w:lang w:val="en-US" w:eastAsia="zh-CN" w:bidi="ar-SA"/>
        </w:rPr>
        <w:t>城乡社区环境卫生(01)支出：6万元，占0.1%；</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农林水支出(213)巩固脱贫攻坚成果衔接乡村振兴(05)</w:t>
      </w:r>
      <w:r>
        <w:rPr>
          <w:rFonts w:hint="eastAsia" w:ascii="仿宋" w:hAnsi="仿宋" w:eastAsia="仿宋" w:cs="Times New Roman"/>
          <w:kern w:val="2"/>
          <w:sz w:val="32"/>
          <w:szCs w:val="32"/>
          <w:lang w:val="en-US" w:eastAsia="zh-CN" w:bidi="ar-SA"/>
        </w:rPr>
        <w:t>农村基础设施建设(04)支出：788.78万元，占11.8%</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农林水支出(213)巩固脱贫攻坚成果衔接乡村振兴(05)</w:t>
      </w:r>
      <w:r>
        <w:rPr>
          <w:rFonts w:hint="eastAsia" w:ascii="仿宋" w:hAnsi="仿宋" w:eastAsia="仿宋" w:cs="Times New Roman"/>
          <w:kern w:val="2"/>
          <w:sz w:val="32"/>
          <w:szCs w:val="32"/>
          <w:lang w:val="en-US" w:eastAsia="zh-CN" w:bidi="ar-SA"/>
        </w:rPr>
        <w:t>其他巩固脱贫攻坚成果衔接乡村振兴支出（99）支出：526.84万元，占7.9%；</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农林水支出(213)其他农林水支出(99）</w:t>
      </w:r>
      <w:r>
        <w:rPr>
          <w:rFonts w:hint="eastAsia" w:ascii="仿宋" w:hAnsi="仿宋" w:eastAsia="仿宋" w:cs="Times New Roman"/>
          <w:kern w:val="2"/>
          <w:sz w:val="32"/>
          <w:szCs w:val="32"/>
          <w:lang w:val="en-US" w:eastAsia="zh-CN" w:bidi="ar-SA"/>
        </w:rPr>
        <w:t>其他农林水支出（99）支出：17.69万元，占0.3%；</w:t>
      </w:r>
    </w:p>
    <w:p>
      <w:pPr>
        <w:pStyle w:val="17"/>
        <w:numPr>
          <w:ilvl w:val="0"/>
          <w:numId w:val="4"/>
        </w:numPr>
        <w:shd w:val="clear" w:color="auto" w:fill="FFFFFF"/>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住房保障支出(221)保障性安居工程支出(01)</w:t>
      </w:r>
      <w:r>
        <w:rPr>
          <w:rFonts w:hint="eastAsia" w:ascii="仿宋" w:hAnsi="仿宋" w:eastAsia="仿宋" w:cs="Times New Roman"/>
          <w:kern w:val="2"/>
          <w:sz w:val="32"/>
          <w:szCs w:val="32"/>
          <w:lang w:val="en-US" w:eastAsia="zh-CN" w:bidi="ar-SA"/>
        </w:rPr>
        <w:t>农村危房改造(05)支出：10万元，占0.2%；</w:t>
      </w:r>
    </w:p>
    <w:p>
      <w:pPr>
        <w:pStyle w:val="17"/>
        <w:numPr>
          <w:ilvl w:val="0"/>
          <w:numId w:val="4"/>
        </w:numPr>
        <w:shd w:val="clear" w:color="auto" w:fill="FFFFFF"/>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b/>
          <w:bCs/>
          <w:kern w:val="2"/>
          <w:sz w:val="32"/>
          <w:szCs w:val="32"/>
          <w:lang w:val="en-US" w:eastAsia="zh-CN" w:bidi="ar-SA"/>
        </w:rPr>
        <w:t>住房保障支出(221)住房改革支出(02)</w:t>
      </w:r>
      <w:r>
        <w:rPr>
          <w:rFonts w:hint="eastAsia" w:ascii="仿宋" w:hAnsi="仿宋" w:eastAsia="仿宋" w:cs="Times New Roman"/>
          <w:kern w:val="2"/>
          <w:sz w:val="32"/>
          <w:szCs w:val="32"/>
          <w:lang w:val="en-US" w:eastAsia="zh-CN" w:bidi="ar-SA"/>
        </w:rPr>
        <w:t>其住房公积金(01)支出：13.02万元，占0.2%；</w:t>
      </w:r>
    </w:p>
    <w:p>
      <w:pPr>
        <w:pStyle w:val="17"/>
        <w:numPr>
          <w:ilvl w:val="0"/>
          <w:numId w:val="4"/>
        </w:numPr>
        <w:shd w:val="clear" w:color="auto" w:fill="FFFFFF"/>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b/>
          <w:bCs/>
          <w:kern w:val="2"/>
          <w:sz w:val="32"/>
          <w:szCs w:val="32"/>
          <w:lang w:val="en-US" w:eastAsia="zh-CN" w:bidi="ar-SA"/>
        </w:rPr>
        <w:t>住房保障支出(221)城乡社区住宅(03)</w:t>
      </w:r>
      <w:r>
        <w:rPr>
          <w:rFonts w:hint="eastAsia" w:ascii="仿宋" w:hAnsi="仿宋" w:eastAsia="仿宋" w:cs="Times New Roman"/>
          <w:kern w:val="2"/>
          <w:sz w:val="32"/>
          <w:szCs w:val="32"/>
          <w:lang w:val="en-US" w:eastAsia="zh-CN" w:bidi="ar-SA"/>
        </w:rPr>
        <w:t>其他城乡社区住宅支出(99)支出：53.33万元，占0.8%；</w:t>
      </w:r>
    </w:p>
    <w:p>
      <w:pPr>
        <w:keepNext w:val="0"/>
        <w:keepLines w:val="0"/>
        <w:pageBreakBefore w:val="0"/>
        <w:widowControl w:val="0"/>
        <w:kinsoku/>
        <w:wordWrap/>
        <w:overflowPunct/>
        <w:topLinePunct w:val="0"/>
        <w:autoSpaceDE/>
        <w:autoSpaceDN/>
        <w:bidi w:val="0"/>
        <w:adjustRightInd/>
        <w:snapToGrid/>
        <w:spacing w:line="720" w:lineRule="auto"/>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3584575" cy="1802130"/>
            <wp:effectExtent l="4445" t="4445" r="11430" b="2222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5" w:name="_Toc15377213"/>
      <w:bookmarkStart w:id="36" w:name="_Toc15378460"/>
      <w:bookmarkStart w:id="3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7654.86万元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5"/>
      <w:bookmarkEnd w:id="36"/>
      <w:bookmarkEnd w:id="37"/>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1、社会保障和就业（208）行政事业单位养老支出(05</w:t>
      </w:r>
      <w:r>
        <w:rPr>
          <w:rFonts w:hint="eastAsia" w:ascii="仿宋" w:hAnsi="仿宋" w:eastAsia="仿宋" w:cs="Times New Roman"/>
          <w:kern w:val="2"/>
          <w:sz w:val="32"/>
          <w:szCs w:val="32"/>
          <w:lang w:val="en-US" w:eastAsia="zh-CN" w:bidi="ar-SA"/>
        </w:rPr>
        <w:t>) 机关事业单位基本养老保险缴费支出(05)支出15.94万元，占0.2%；</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2、社会保障和就业（208）机关事业单位职业年金缴费支出(06)</w:t>
      </w:r>
      <w:r>
        <w:rPr>
          <w:rFonts w:hint="eastAsia" w:ascii="仿宋" w:hAnsi="仿宋" w:eastAsia="仿宋" w:cs="Times New Roman"/>
          <w:kern w:val="2"/>
          <w:sz w:val="32"/>
          <w:szCs w:val="32"/>
          <w:lang w:val="en-US" w:eastAsia="zh-CN" w:bidi="ar-SA"/>
        </w:rPr>
        <w:t xml:space="preserve"> 机关事业单位职业年金缴费支出(06)支出14.23万元，占0.2%；</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3、卫生健康支出(210)行政事业单位医疗(11)</w:t>
      </w:r>
      <w:r>
        <w:rPr>
          <w:rFonts w:hint="eastAsia" w:ascii="仿宋" w:hAnsi="仿宋" w:eastAsia="仿宋" w:cs="Times New Roman"/>
          <w:kern w:val="2"/>
          <w:sz w:val="32"/>
          <w:szCs w:val="32"/>
          <w:lang w:val="en-US" w:eastAsia="zh-CN" w:bidi="ar-SA"/>
        </w:rPr>
        <w:t xml:space="preserve"> 行政单位医疗(01)支出:7.8万元，占0.1%；</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4、卫生健康支出(210)行政事业单位医疗(11)</w:t>
      </w:r>
      <w:r>
        <w:rPr>
          <w:rFonts w:hint="eastAsia" w:ascii="仿宋" w:hAnsi="仿宋" w:eastAsia="仿宋" w:cs="Times New Roman"/>
          <w:kern w:val="2"/>
          <w:sz w:val="32"/>
          <w:szCs w:val="32"/>
          <w:lang w:val="en-US" w:eastAsia="zh-CN" w:bidi="ar-SA"/>
        </w:rPr>
        <w:t xml:space="preserve"> 行政单位医疗(03)支出:2.62万元，占0.1%；</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5、节能环保支出(211)污染防治(03)</w:t>
      </w:r>
      <w:r>
        <w:rPr>
          <w:rFonts w:hint="eastAsia" w:ascii="仿宋" w:hAnsi="仿宋" w:eastAsia="仿宋" w:cs="Times New Roman"/>
          <w:kern w:val="2"/>
          <w:sz w:val="32"/>
          <w:szCs w:val="32"/>
          <w:lang w:val="en-US" w:eastAsia="zh-CN" w:bidi="ar-SA"/>
        </w:rPr>
        <w:t>其他污染防治支出(99)支出：334.87万元，占5%；</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6、城乡社区支出(212)城乡社区管理事务(01)</w:t>
      </w:r>
      <w:r>
        <w:rPr>
          <w:rFonts w:hint="eastAsia" w:ascii="仿宋" w:hAnsi="仿宋" w:eastAsia="仿宋" w:cs="Times New Roman"/>
          <w:kern w:val="2"/>
          <w:sz w:val="32"/>
          <w:szCs w:val="32"/>
          <w:lang w:val="en-US" w:eastAsia="zh-CN" w:bidi="ar-SA"/>
        </w:rPr>
        <w:t>行政运行(01)支出：181.06万元，占2.7%；</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7、城乡社区支出(212)行政运行(01)</w:t>
      </w:r>
      <w:r>
        <w:rPr>
          <w:rFonts w:hint="eastAsia" w:ascii="仿宋" w:hAnsi="仿宋" w:eastAsia="仿宋" w:cs="Times New Roman"/>
          <w:kern w:val="2"/>
          <w:sz w:val="32"/>
          <w:szCs w:val="32"/>
          <w:lang w:val="en-US" w:eastAsia="zh-CN" w:bidi="ar-SA"/>
        </w:rPr>
        <w:t>其他城乡社区管理事务支出(99)支出：606.48万元，占9.1%；</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8、城乡社区支出(212)城乡社区公共设施(03)</w:t>
      </w:r>
      <w:r>
        <w:rPr>
          <w:rFonts w:hint="eastAsia" w:ascii="仿宋" w:hAnsi="仿宋" w:eastAsia="仿宋" w:cs="Times New Roman"/>
          <w:kern w:val="2"/>
          <w:sz w:val="32"/>
          <w:szCs w:val="32"/>
          <w:lang w:val="en-US" w:eastAsia="zh-CN" w:bidi="ar-SA"/>
        </w:rPr>
        <w:t>其他城乡社区公共设施支出(99)支出：4114.39万元，占61.5%；</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b/>
          <w:bCs/>
          <w:kern w:val="2"/>
          <w:sz w:val="32"/>
          <w:szCs w:val="32"/>
          <w:lang w:val="en-US" w:eastAsia="zh-CN" w:bidi="ar-SA"/>
        </w:rPr>
      </w:pPr>
      <w:r>
        <w:rPr>
          <w:rFonts w:hint="eastAsia" w:ascii="仿宋" w:hAnsi="仿宋" w:eastAsia="仿宋" w:cs="Times New Roman"/>
          <w:b/>
          <w:bCs/>
          <w:kern w:val="2"/>
          <w:sz w:val="32"/>
          <w:szCs w:val="32"/>
          <w:lang w:val="en-US" w:eastAsia="zh-CN" w:bidi="ar-SA"/>
        </w:rPr>
        <w:t>9、城乡社区支出(212)城乡社区环境卫生(05)</w:t>
      </w:r>
      <w:r>
        <w:rPr>
          <w:rFonts w:hint="eastAsia" w:ascii="仿宋" w:hAnsi="仿宋" w:eastAsia="仿宋" w:cs="Times New Roman"/>
          <w:kern w:val="2"/>
          <w:sz w:val="32"/>
          <w:szCs w:val="32"/>
          <w:lang w:val="en-US" w:eastAsia="zh-CN" w:bidi="ar-SA"/>
        </w:rPr>
        <w:t>城乡社区环境卫生(01)支出：6万元，占0.1%；</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10、城乡社区支出(212)国有土地使用权出让收入安排的支出（08）其他国有土地使用权出让收入安排的支出（99）</w:t>
      </w:r>
      <w:r>
        <w:rPr>
          <w:rFonts w:hint="eastAsia" w:ascii="仿宋" w:hAnsi="仿宋" w:eastAsia="仿宋" w:cs="Times New Roman"/>
          <w:kern w:val="2"/>
          <w:sz w:val="32"/>
          <w:szCs w:val="32"/>
          <w:lang w:val="en-US" w:eastAsia="zh-CN" w:bidi="ar-SA"/>
        </w:rPr>
        <w:t>支出：961.82万元，占12.56%，</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11、农林水支出(213)巩固脱贫攻坚成果衔接乡村振兴(05)</w:t>
      </w:r>
      <w:r>
        <w:rPr>
          <w:rFonts w:hint="eastAsia" w:ascii="仿宋" w:hAnsi="仿宋" w:eastAsia="仿宋" w:cs="Times New Roman"/>
          <w:kern w:val="2"/>
          <w:sz w:val="32"/>
          <w:szCs w:val="32"/>
          <w:lang w:val="en-US" w:eastAsia="zh-CN" w:bidi="ar-SA"/>
        </w:rPr>
        <w:t>农村基础设施建设(04)支出：788.78万元，占11.8%，</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12、农林水支出(213)巩固脱贫攻坚成果衔接乡村振兴(05)</w:t>
      </w:r>
      <w:r>
        <w:rPr>
          <w:rFonts w:hint="eastAsia" w:ascii="仿宋" w:hAnsi="仿宋" w:eastAsia="仿宋" w:cs="Times New Roman"/>
          <w:kern w:val="2"/>
          <w:sz w:val="32"/>
          <w:szCs w:val="32"/>
          <w:lang w:val="en-US" w:eastAsia="zh-CN" w:bidi="ar-SA"/>
        </w:rPr>
        <w:t>其他巩固脱贫攻坚成果衔接乡村振兴支出（99）支出：526.84万元，占7.9%；</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13、农林水支出(213)其他农林水支出(99）</w:t>
      </w:r>
      <w:r>
        <w:rPr>
          <w:rFonts w:hint="eastAsia" w:ascii="仿宋" w:hAnsi="仿宋" w:eastAsia="仿宋" w:cs="Times New Roman"/>
          <w:kern w:val="2"/>
          <w:sz w:val="32"/>
          <w:szCs w:val="32"/>
          <w:lang w:val="en-US" w:eastAsia="zh-CN" w:bidi="ar-SA"/>
        </w:rPr>
        <w:t>其他农林水支出（99）支出：17.69万元，占0.3%；</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仿宋" w:hAnsi="仿宋" w:eastAsia="仿宋" w:cs="Times New Roman"/>
          <w:kern w:val="2"/>
          <w:sz w:val="32"/>
          <w:szCs w:val="32"/>
          <w:lang w:val="en-US" w:eastAsia="zh-CN" w:bidi="ar-SA"/>
        </w:rPr>
      </w:pPr>
      <w:r>
        <w:rPr>
          <w:rFonts w:hint="eastAsia" w:ascii="仿宋" w:hAnsi="仿宋" w:eastAsia="仿宋" w:cs="Times New Roman"/>
          <w:b/>
          <w:bCs/>
          <w:kern w:val="2"/>
          <w:sz w:val="32"/>
          <w:szCs w:val="32"/>
          <w:lang w:val="en-US" w:eastAsia="zh-CN" w:bidi="ar-SA"/>
        </w:rPr>
        <w:t>14、住房保障支出(221)保障性安居工程支出(01)</w:t>
      </w:r>
      <w:r>
        <w:rPr>
          <w:rFonts w:hint="eastAsia" w:ascii="仿宋" w:hAnsi="仿宋" w:eastAsia="仿宋" w:cs="Times New Roman"/>
          <w:kern w:val="2"/>
          <w:sz w:val="32"/>
          <w:szCs w:val="32"/>
          <w:lang w:val="en-US" w:eastAsia="zh-CN" w:bidi="ar-SA"/>
        </w:rPr>
        <w:t>农村危房改造(05)支出：10万元，占0.2%；</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Times New Roman"/>
          <w:b/>
          <w:bCs/>
          <w:kern w:val="2"/>
          <w:sz w:val="32"/>
          <w:szCs w:val="32"/>
          <w:lang w:val="en-US" w:eastAsia="zh-CN" w:bidi="ar-SA"/>
        </w:rPr>
        <w:t>15、住房保障支出(221)住房改革支出(02)</w:t>
      </w:r>
      <w:r>
        <w:rPr>
          <w:rFonts w:hint="eastAsia" w:ascii="仿宋" w:hAnsi="仿宋" w:eastAsia="仿宋" w:cs="Times New Roman"/>
          <w:kern w:val="2"/>
          <w:sz w:val="32"/>
          <w:szCs w:val="32"/>
          <w:lang w:val="en-US" w:eastAsia="zh-CN" w:bidi="ar-SA"/>
        </w:rPr>
        <w:t>其住房公积金(01)支出：13.02万元，占0.2%；</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p>
    <w:p>
      <w:pPr>
        <w:numPr>
          <w:ilvl w:val="0"/>
          <w:numId w:val="0"/>
        </w:numPr>
        <w:spacing w:line="600" w:lineRule="exact"/>
        <w:ind w:leftChars="0"/>
        <w:rPr>
          <w:rFonts w:hint="eastAsia" w:ascii="Times New Roman" w:hAnsi="Times New Roman" w:eastAsia="黑体"/>
          <w:color w:val="auto"/>
          <w:sz w:val="32"/>
          <w:szCs w:val="32"/>
          <w:highlight w:val="none"/>
        </w:rPr>
      </w:pPr>
      <w:r>
        <w:rPr>
          <w:rFonts w:hint="eastAsia" w:ascii="仿宋" w:hAnsi="仿宋" w:eastAsia="仿宋" w:cs="Times New Roman"/>
          <w:b/>
          <w:bCs/>
          <w:kern w:val="2"/>
          <w:sz w:val="32"/>
          <w:szCs w:val="32"/>
          <w:lang w:val="en-US" w:eastAsia="zh-CN" w:bidi="ar-SA"/>
        </w:rPr>
        <w:t>16、住房保障支出(221)城乡社区住宅(03)</w:t>
      </w:r>
      <w:r>
        <w:rPr>
          <w:rFonts w:hint="eastAsia" w:ascii="仿宋" w:hAnsi="仿宋" w:eastAsia="仿宋" w:cs="Times New Roman"/>
          <w:kern w:val="2"/>
          <w:sz w:val="32"/>
          <w:szCs w:val="32"/>
          <w:lang w:val="en-US" w:eastAsia="zh-CN" w:bidi="ar-SA"/>
        </w:rPr>
        <w:t>其他城乡社区住宅支出(99)支出：53.33万元，占0.8%；</w:t>
      </w:r>
      <w:r>
        <w:rPr>
          <w:rStyle w:val="21"/>
          <w:rFonts w:hint="eastAsia" w:ascii="仿宋" w:hAnsi="仿宋" w:eastAsia="仿宋"/>
          <w:b w:val="0"/>
          <w:bCs/>
          <w:sz w:val="32"/>
          <w:szCs w:val="32"/>
        </w:rPr>
        <w:t>完成预算</w:t>
      </w:r>
      <w:r>
        <w:rPr>
          <w:rStyle w:val="21"/>
          <w:rFonts w:hint="eastAsia" w:ascii="仿宋" w:hAnsi="仿宋" w:eastAsia="仿宋"/>
          <w:b w:val="0"/>
          <w:bCs/>
          <w:sz w:val="32"/>
          <w:szCs w:val="32"/>
          <w:lang w:val="en-US" w:eastAsia="zh-CN"/>
        </w:rPr>
        <w:t>100</w:t>
      </w:r>
      <w:r>
        <w:rPr>
          <w:rStyle w:val="21"/>
          <w:rFonts w:ascii="仿宋" w:hAnsi="仿宋" w:eastAsia="仿宋"/>
          <w:b w:val="0"/>
          <w:bCs/>
          <w:sz w:val="32"/>
          <w:szCs w:val="32"/>
        </w:rPr>
        <w:t>%</w:t>
      </w:r>
      <w:r>
        <w:rPr>
          <w:rStyle w:val="21"/>
          <w:rFonts w:hint="eastAsia" w:ascii="仿宋" w:hAnsi="仿宋" w:eastAsia="仿宋"/>
          <w:b w:val="0"/>
          <w:bCs/>
          <w:sz w:val="32"/>
          <w:szCs w:val="32"/>
        </w:rPr>
        <w:t>，决算数等于预算数。</w:t>
      </w:r>
      <w:bookmarkStart w:id="38" w:name="_Toc15396608"/>
      <w:bookmarkStart w:id="39" w:name="_Toc15377214"/>
    </w:p>
    <w:p>
      <w:pPr>
        <w:tabs>
          <w:tab w:val="right" w:pos="8306"/>
        </w:tabs>
        <w:spacing w:line="600" w:lineRule="exact"/>
        <w:ind w:firstLine="640"/>
        <w:outlineLvl w:val="1"/>
        <w:rPr>
          <w:rStyle w:val="33"/>
          <w:rFonts w:ascii="Times New Roman" w:hAnsi="Times New Roman"/>
          <w:color w:val="auto"/>
          <w:highlight w:val="none"/>
        </w:rPr>
      </w:pPr>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3"/>
          <w:rFonts w:hint="eastAsia" w:ascii="Times New Roman" w:hAnsi="Times New Roman" w:eastAsia="黑体"/>
          <w:b w:val="0"/>
          <w:color w:val="auto"/>
          <w:highlight w:val="none"/>
        </w:rPr>
        <w:t>般公共预算财政拨款基本支出决算情况说明</w:t>
      </w:r>
      <w:bookmarkEnd w:id="38"/>
      <w:bookmarkEnd w:id="39"/>
      <w:r>
        <w:rPr>
          <w:rStyle w:val="33"/>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234.67</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211.66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23.01</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33"/>
          <w:rFonts w:ascii="Times New Roman" w:hAnsi="Times New Roman" w:eastAsia="黑体"/>
          <w:b w:val="0"/>
          <w:color w:val="auto"/>
          <w:highlight w:val="none"/>
        </w:rPr>
      </w:pPr>
      <w:bookmarkStart w:id="40" w:name="_Toc15396609"/>
      <w:bookmarkStart w:id="41" w:name="_Toc15377215"/>
      <w:r>
        <w:rPr>
          <w:rFonts w:hint="eastAsia" w:ascii="Times New Roman" w:hAnsi="Times New Roman" w:eastAsia="黑体"/>
          <w:color w:val="auto"/>
          <w:sz w:val="32"/>
          <w:szCs w:val="32"/>
          <w:highlight w:val="none"/>
        </w:rPr>
        <w:t>七、</w:t>
      </w:r>
      <w:r>
        <w:rPr>
          <w:rStyle w:val="33"/>
          <w:rFonts w:hint="eastAsia" w:ascii="Times New Roman" w:hAnsi="Times New Roman" w:eastAsia="黑体"/>
          <w:b w:val="0"/>
          <w:color w:val="auto"/>
          <w:highlight w:val="none"/>
        </w:rPr>
        <w:t>财政拨款</w:t>
      </w:r>
      <w:r>
        <w:rPr>
          <w:rStyle w:val="33"/>
          <w:rFonts w:hint="eastAsia" w:ascii="Times New Roman" w:hAnsi="Times New Roman" w:eastAsia="黑体"/>
          <w:color w:val="auto"/>
          <w:highlight w:val="none"/>
        </w:rPr>
        <w:t>“</w:t>
      </w:r>
      <w:r>
        <w:rPr>
          <w:rStyle w:val="33"/>
          <w:rFonts w:hint="eastAsia" w:ascii="Times New Roman" w:hAnsi="Times New Roman" w:eastAsia="黑体"/>
          <w:b w:val="0"/>
          <w:color w:val="auto"/>
          <w:highlight w:val="none"/>
        </w:rPr>
        <w:t>三公”经费支出决算情况说明</w:t>
      </w:r>
      <w:bookmarkEnd w:id="40"/>
      <w:bookmarkEnd w:id="4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2"/>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9.23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0.13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基本持平。</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元，占</w:t>
      </w:r>
      <w:r>
        <w:rPr>
          <w:rFonts w:hint="eastAsia" w:eastAsia="仿宋_GB2312" w:cs="仿宋_GB2312"/>
          <w:color w:val="auto"/>
          <w:kern w:val="2"/>
          <w:sz w:val="32"/>
          <w:szCs w:val="32"/>
          <w:highlight w:val="none"/>
          <w:lang w:val="en-US" w:eastAsia="zh-CN" w:bidi="ar-SA"/>
        </w:rPr>
        <w:t>97.5</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%。具体情况如下：</w:t>
      </w:r>
    </w:p>
    <w:p>
      <w:pPr>
        <w:keepNext w:val="0"/>
        <w:keepLines w:val="0"/>
        <w:pageBreakBefore w:val="0"/>
        <w:widowControl w:val="0"/>
        <w:kinsoku/>
        <w:wordWrap/>
        <w:overflowPunct/>
        <w:topLinePunct w:val="0"/>
        <w:autoSpaceDE/>
        <w:autoSpaceDN/>
        <w:bidi w:val="0"/>
        <w:adjustRightInd/>
        <w:snapToGrid/>
        <w:spacing w:line="720" w:lineRule="auto"/>
        <w:ind w:firstLine="641"/>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lang w:val="en-US" w:eastAsia="zh-CN"/>
        </w:rPr>
        <w:t xml:space="preserve">             </w:t>
      </w:r>
      <w:r>
        <w:drawing>
          <wp:inline distT="0" distB="0" distL="114300" distR="114300">
            <wp:extent cx="2543810" cy="1820545"/>
            <wp:effectExtent l="4445" t="4445" r="23495" b="22860"/>
            <wp:docPr id="10"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其他车辆1辆</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万元。主要用于主要用于</w:t>
      </w:r>
      <w:r>
        <w:rPr>
          <w:rFonts w:hint="eastAsia" w:eastAsia="仿宋_GB2312" w:cs="仿宋_GB2312"/>
          <w:color w:val="auto"/>
          <w:kern w:val="2"/>
          <w:sz w:val="32"/>
          <w:szCs w:val="32"/>
          <w:highlight w:val="none"/>
          <w:lang w:val="en-US" w:eastAsia="zh-CN" w:bidi="ar-SA"/>
        </w:rPr>
        <w:t>单位公务用车</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0.23</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62.3</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0.13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36.1</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厉行节俭，公务接待减少。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0.23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0000FF"/>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44" w:name="_Toc15396610"/>
      <w:bookmarkStart w:id="45" w:name="_Toc15377218"/>
    </w:p>
    <w:p>
      <w:pPr>
        <w:spacing w:line="600" w:lineRule="exact"/>
        <w:ind w:firstLine="640"/>
        <w:outlineLvl w:val="1"/>
        <w:rPr>
          <w:rStyle w:val="33"/>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3"/>
          <w:rFonts w:hint="eastAsia" w:ascii="Times New Roman" w:hAnsi="Times New Roman" w:eastAsia="黑体"/>
          <w:b w:val="0"/>
          <w:color w:val="auto"/>
          <w:highlight w:val="none"/>
        </w:rPr>
        <w:t>政府性基金预算支出决算情况说明</w:t>
      </w:r>
      <w:bookmarkEnd w:id="44"/>
      <w:bookmarkEnd w:id="45"/>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961.82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2888.44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75</w:t>
      </w:r>
      <w:r>
        <w:rPr>
          <w:rFonts w:hint="eastAsia" w:ascii="Times New Roman" w:hAnsi="Times New Roman" w:eastAsia="仿宋_GB2312" w:cs="仿宋_GB2312"/>
          <w:color w:val="auto"/>
          <w:kern w:val="2"/>
          <w:sz w:val="32"/>
          <w:szCs w:val="32"/>
          <w:highlight w:val="none"/>
          <w:lang w:val="en-US" w:eastAsia="zh-CN" w:bidi="ar-SA"/>
        </w:rPr>
        <w:t>%。主要</w:t>
      </w:r>
      <w:r>
        <w:rPr>
          <w:rFonts w:hint="eastAsia" w:eastAsia="仿宋_GB2312" w:cs="仿宋_GB2312"/>
          <w:color w:val="auto"/>
          <w:kern w:val="2"/>
          <w:sz w:val="32"/>
          <w:szCs w:val="32"/>
          <w:highlight w:val="none"/>
          <w:lang w:val="en-US" w:eastAsia="zh-CN" w:bidi="ar-SA"/>
        </w:rPr>
        <w:t>原因：本年政府基金预算建设项目支付减少。</w:t>
      </w:r>
    </w:p>
    <w:p>
      <w:pPr>
        <w:numPr>
          <w:ilvl w:val="0"/>
          <w:numId w:val="0"/>
        </w:numPr>
        <w:spacing w:line="600" w:lineRule="exact"/>
        <w:ind w:left="630" w:leftChars="0"/>
        <w:outlineLvl w:val="1"/>
        <w:rPr>
          <w:rStyle w:val="33"/>
          <w:rFonts w:ascii="Times New Roman" w:hAnsi="Times New Roman" w:eastAsia="黑体"/>
          <w:b w:val="0"/>
          <w:color w:val="auto"/>
          <w:highlight w:val="none"/>
        </w:rPr>
      </w:pPr>
      <w:bookmarkStart w:id="46" w:name="_Toc15396611"/>
      <w:bookmarkStart w:id="47" w:name="_Toc15377219"/>
      <w:r>
        <w:rPr>
          <w:rStyle w:val="33"/>
          <w:rFonts w:hint="eastAsia" w:ascii="Times New Roman" w:hAnsi="Times New Roman" w:eastAsia="黑体"/>
          <w:b w:val="0"/>
          <w:color w:val="auto"/>
          <w:highlight w:val="none"/>
          <w:lang w:eastAsia="zh-CN"/>
        </w:rPr>
        <w:t>九、</w:t>
      </w:r>
      <w:r>
        <w:rPr>
          <w:rStyle w:val="33"/>
          <w:rFonts w:hint="eastAsia" w:ascii="Times New Roman" w:hAnsi="Times New Roman" w:eastAsia="黑体"/>
          <w:b w:val="0"/>
          <w:color w:val="auto"/>
          <w:highlight w:val="none"/>
        </w:rPr>
        <w:t>国有资本经营预算支出决算情况说明</w:t>
      </w:r>
      <w:bookmarkEnd w:id="46"/>
      <w:bookmarkEnd w:id="47"/>
    </w:p>
    <w:p>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bookmarkStart w:id="48" w:name="_Toc15377221"/>
      <w:bookmarkStart w:id="49" w:name="_Toc15396612"/>
    </w:p>
    <w:p>
      <w:pPr>
        <w:numPr>
          <w:ilvl w:val="0"/>
          <w:numId w:val="0"/>
        </w:numPr>
        <w:spacing w:line="600" w:lineRule="exact"/>
        <w:ind w:left="630" w:leftChars="0"/>
        <w:outlineLvl w:val="1"/>
        <w:rPr>
          <w:rStyle w:val="33"/>
          <w:rFonts w:hint="eastAsia" w:ascii="Times New Roman" w:hAnsi="Times New Roman" w:eastAsia="黑体"/>
          <w:b w:val="0"/>
          <w:color w:val="auto"/>
          <w:highlight w:val="none"/>
        </w:rPr>
      </w:pPr>
      <w:r>
        <w:rPr>
          <w:rStyle w:val="33"/>
          <w:rFonts w:hint="eastAsia" w:ascii="Times New Roman" w:hAnsi="Times New Roman" w:eastAsia="黑体"/>
          <w:b w:val="0"/>
          <w:color w:val="auto"/>
          <w:highlight w:val="none"/>
          <w:lang w:eastAsia="zh-CN"/>
        </w:rPr>
        <w:t>十、</w:t>
      </w:r>
      <w:r>
        <w:rPr>
          <w:rStyle w:val="33"/>
          <w:rFonts w:hint="eastAsia" w:ascii="Times New Roman" w:hAnsi="Times New Roman" w:eastAsia="黑体"/>
          <w:b w:val="0"/>
          <w:color w:val="auto"/>
          <w:highlight w:val="none"/>
        </w:rPr>
        <w:t>其他重要事项的情况说明</w:t>
      </w:r>
      <w:bookmarkEnd w:id="48"/>
      <w:bookmarkEnd w:id="4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15377222"/>
      <w:r>
        <w:rPr>
          <w:rFonts w:hint="eastAsia" w:ascii="Times New Roman" w:hAnsi="Times New Roman" w:eastAsia="楷体_GB2312" w:cs="楷体_GB2312"/>
          <w:b/>
          <w:color w:val="auto"/>
          <w:sz w:val="32"/>
          <w:szCs w:val="32"/>
          <w:highlight w:val="none"/>
        </w:rPr>
        <w:t>（一）机关运行经费支出情况</w:t>
      </w:r>
      <w:bookmarkEnd w:id="5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九寨沟县住房和城乡建设局（本级）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23.01</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15.97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41</w:t>
      </w:r>
      <w:r>
        <w:rPr>
          <w:rFonts w:hint="eastAsia" w:ascii="Times New Roman" w:hAnsi="Times New Roman" w:eastAsia="仿宋_GB2312" w:cs="仿宋_GB2312"/>
          <w:color w:val="auto"/>
          <w:kern w:val="2"/>
          <w:sz w:val="32"/>
          <w:szCs w:val="32"/>
          <w:highlight w:val="none"/>
          <w:lang w:val="en-US" w:eastAsia="zh-CN" w:bidi="ar-SA"/>
        </w:rPr>
        <w:t>%主要原因是</w:t>
      </w:r>
      <w:bookmarkStart w:id="51" w:name="_Toc15377223"/>
      <w:r>
        <w:rPr>
          <w:rFonts w:hint="eastAsia" w:eastAsia="仿宋_GB2312" w:cs="仿宋_GB2312"/>
          <w:color w:val="auto"/>
          <w:kern w:val="2"/>
          <w:sz w:val="32"/>
          <w:szCs w:val="32"/>
          <w:highlight w:val="none"/>
          <w:lang w:val="en-US" w:eastAsia="zh-CN" w:bidi="ar-SA"/>
        </w:rPr>
        <w:t>：行政运行经费不足，职工下乡补助未兑现，部分办公费用未支付。</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（二）政府采购支出情况</w:t>
      </w:r>
      <w:bookmarkEnd w:id="5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九寨沟县住房和城乡建设局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201.62</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198.18</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3.44</w:t>
      </w:r>
      <w:r>
        <w:rPr>
          <w:rFonts w:hint="eastAsia" w:ascii="Times New Roman" w:hAnsi="Times New Roman" w:eastAsia="仿宋_GB2312" w:cs="仿宋_GB2312"/>
          <w:color w:val="auto"/>
          <w:kern w:val="2"/>
          <w:sz w:val="32"/>
          <w:szCs w:val="32"/>
          <w:highlight w:val="none"/>
          <w:lang w:val="en-US" w:eastAsia="zh-CN" w:bidi="ar-SA"/>
        </w:rPr>
        <w:t>万元。主要用于……（具体工作）。授予中小企业合同金额</w:t>
      </w:r>
      <w:r>
        <w:rPr>
          <w:rFonts w:hint="eastAsia" w:eastAsia="仿宋_GB2312" w:cs="仿宋_GB2312"/>
          <w:color w:val="auto"/>
          <w:kern w:val="2"/>
          <w:sz w:val="32"/>
          <w:szCs w:val="32"/>
          <w:highlight w:val="none"/>
          <w:lang w:val="en-US" w:eastAsia="zh-CN" w:bidi="ar-SA"/>
        </w:rPr>
        <w:t>198.18</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98.3</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3.44</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15377224"/>
      <w:r>
        <w:rPr>
          <w:rFonts w:hint="eastAsia" w:ascii="Times New Roman" w:hAnsi="Times New Roman" w:eastAsia="楷体_GB2312" w:cs="楷体_GB2312"/>
          <w:b/>
          <w:color w:val="auto"/>
          <w:sz w:val="32"/>
          <w:szCs w:val="32"/>
          <w:highlight w:val="none"/>
        </w:rPr>
        <w:t>（三）国有资产占有使用情况</w:t>
      </w:r>
      <w:bookmarkEnd w:id="5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九寨沟县住房和城乡建设局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color w:val="auto"/>
          <w:sz w:val="32"/>
          <w:szCs w:val="32"/>
        </w:rPr>
        <w:t>九寨沟县住房和城乡建设局</w:t>
      </w:r>
      <w:r>
        <w:rPr>
          <w:rFonts w:hint="eastAsia" w:ascii="Times New Roman" w:hAnsi="Times New Roman" w:eastAsia="仿宋_GB2312" w:cs="仿宋_GB2312"/>
          <w:color w:val="auto"/>
          <w:kern w:val="2"/>
          <w:sz w:val="32"/>
          <w:szCs w:val="32"/>
          <w:highlight w:val="none"/>
          <w:lang w:val="en-US" w:eastAsia="zh-CN" w:bidi="ar-SA"/>
        </w:rPr>
        <w:t>在2025年度，组织对南坪镇双河村人居环境整治提升建设项目</w:t>
      </w:r>
      <w:r>
        <w:rPr>
          <w:rFonts w:hint="eastAsia" w:eastAsia="仿宋_GB2312" w:cs="仿宋_GB2312"/>
          <w:color w:val="auto"/>
          <w:kern w:val="2"/>
          <w:sz w:val="32"/>
          <w:szCs w:val="32"/>
          <w:highlight w:val="none"/>
          <w:lang w:val="en-US" w:eastAsia="zh-CN" w:bidi="ar-SA"/>
        </w:rPr>
        <w:t>、南坪镇下寨村人居环境整治提升建设项目、九寨沟县第一批购房补贴、九寨沟县第二水厂取水口建设项目、九寨沟县永丰旅游产业配套基础设施建设项目</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1492.4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0000FF"/>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九寨沟县住房和城乡建设局整体绩效自评报告</w:t>
      </w:r>
      <w:r>
        <w:rPr>
          <w:rFonts w:hint="eastAsia" w:ascii="Times New Roman" w:hAnsi="Times New Roman" w:eastAsia="仿宋_GB2312" w:cs="仿宋_GB2312"/>
          <w:color w:val="auto"/>
          <w:kern w:val="2"/>
          <w:sz w:val="32"/>
          <w:szCs w:val="32"/>
          <w:highlight w:val="none"/>
          <w:lang w:val="en-US" w:eastAsia="zh-CN" w:bidi="ar-SA"/>
        </w:rPr>
        <w:t>、南坪镇双河村人居环境整治提升建设项目</w:t>
      </w:r>
      <w:r>
        <w:rPr>
          <w:rFonts w:hint="eastAsia" w:eastAsia="仿宋_GB2312" w:cs="仿宋_GB2312"/>
          <w:color w:val="auto"/>
          <w:kern w:val="2"/>
          <w:sz w:val="32"/>
          <w:szCs w:val="32"/>
          <w:highlight w:val="none"/>
          <w:lang w:val="en-US" w:eastAsia="zh-CN" w:bidi="ar-SA"/>
        </w:rPr>
        <w:t>、南坪镇下寨村人居环境整治提升建设项目、九寨沟县第一批购房补贴、九寨沟县第二水厂取水口建设项目、九寨沟县永丰旅游产业配套基础设施建设项目</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九寨沟县住房和城乡建设局整体</w:t>
      </w:r>
      <w:r>
        <w:rPr>
          <w:rFonts w:hint="eastAsia" w:ascii="Times New Roman" w:hAnsi="Times New Roman" w:eastAsia="仿宋_GB2312" w:cs="仿宋_GB2312"/>
          <w:color w:val="auto"/>
          <w:kern w:val="2"/>
          <w:sz w:val="32"/>
          <w:szCs w:val="32"/>
          <w:highlight w:val="none"/>
          <w:lang w:val="en-US" w:eastAsia="zh-CN" w:bidi="ar-SA"/>
        </w:rPr>
        <w:t>绩效自评得分为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分，绩效自评报告详见附件。</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3" w:name="_Toc15377225"/>
      <w:bookmarkStart w:id="5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3"/>
      <w:bookmarkEnd w:id="5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Calibri" w:eastAsia="仿宋_GB2312" w:cs="仿宋"/>
          <w:color w:val="000000"/>
          <w:kern w:val="0"/>
          <w:sz w:val="32"/>
          <w:szCs w:val="32"/>
          <w:lang w:val="en-US" w:eastAsia="zh-CN" w:bidi="ar-SA"/>
        </w:rPr>
      </w:pPr>
      <w:r>
        <w:rPr>
          <w:rFonts w:hint="eastAsia" w:ascii="仿宋_GB2312" w:eastAsia="仿宋_GB2312"/>
          <w:color w:val="000000"/>
          <w:sz w:val="32"/>
          <w:szCs w:val="32"/>
          <w:lang w:val="en-US" w:eastAsia="zh-CN"/>
        </w:rPr>
        <w:t>9</w:t>
      </w:r>
      <w:r>
        <w:rPr>
          <w:rFonts w:ascii="仿宋_GB2312" w:eastAsia="仿宋_GB2312"/>
          <w:color w:val="000000"/>
          <w:sz w:val="32"/>
          <w:szCs w:val="32"/>
        </w:rPr>
        <w:t>.</w:t>
      </w:r>
      <w:r>
        <w:rPr>
          <w:rFonts w:hint="eastAsia" w:ascii="仿宋_GB2312" w:eastAsia="仿宋_GB2312"/>
          <w:b/>
          <w:bCs/>
          <w:color w:val="000000"/>
          <w:sz w:val="32"/>
          <w:szCs w:val="32"/>
        </w:rPr>
        <w:t>社会保障和就业</w:t>
      </w:r>
      <w:r>
        <w:rPr>
          <w:rStyle w:val="21"/>
          <w:rFonts w:hint="eastAsia" w:ascii="仿宋" w:hAnsi="仿宋" w:eastAsia="仿宋"/>
          <w:bCs/>
          <w:color w:val="000000"/>
          <w:sz w:val="32"/>
          <w:szCs w:val="32"/>
        </w:rPr>
        <w:t>社会保障和就业（</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）行政事业单位离退休（</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）机关事业单位基本养老保险缴费支出（</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w:t>
      </w:r>
      <w:r>
        <w:rPr>
          <w:rFonts w:hint="eastAsia" w:ascii="仿宋_GB2312" w:hAnsi="Calibri" w:eastAsia="仿宋_GB2312" w:cs="仿宋"/>
          <w:color w:val="000000"/>
          <w:kern w:val="0"/>
          <w:sz w:val="32"/>
          <w:szCs w:val="32"/>
          <w:lang w:val="en-US" w:eastAsia="zh-CN" w:bidi="ar-SA"/>
        </w:rPr>
        <w:t>：反映机关事业单位实施养老保险制度由单位缴纳的基本养老保险费支出；</w:t>
      </w:r>
      <w:r>
        <w:rPr>
          <w:rStyle w:val="21"/>
          <w:rFonts w:hint="eastAsia" w:ascii="仿宋" w:hAnsi="仿宋" w:eastAsia="仿宋"/>
          <w:bCs/>
          <w:color w:val="000000"/>
          <w:sz w:val="32"/>
          <w:szCs w:val="32"/>
        </w:rPr>
        <w:t>社会保障和就业（</w:t>
      </w:r>
      <w:r>
        <w:rPr>
          <w:rStyle w:val="21"/>
          <w:rFonts w:hint="eastAsia" w:ascii="仿宋" w:hAnsi="仿宋" w:eastAsia="仿宋"/>
          <w:bCs/>
          <w:color w:val="000000"/>
          <w:sz w:val="32"/>
          <w:szCs w:val="32"/>
          <w:lang w:val="en-US" w:eastAsia="zh-CN"/>
        </w:rPr>
        <w:t>208</w:t>
      </w:r>
      <w:r>
        <w:rPr>
          <w:rStyle w:val="21"/>
          <w:rFonts w:hint="eastAsia" w:ascii="仿宋" w:hAnsi="仿宋" w:eastAsia="仿宋"/>
          <w:bCs/>
          <w:color w:val="000000"/>
          <w:sz w:val="32"/>
          <w:szCs w:val="32"/>
        </w:rPr>
        <w:t>）行政事业单位离退休（</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rPr>
        <w:t>）</w:t>
      </w:r>
      <w:r>
        <w:rPr>
          <w:rStyle w:val="21"/>
          <w:rFonts w:hint="eastAsia" w:ascii="仿宋" w:hAnsi="仿宋" w:eastAsia="仿宋" w:cs="Times New Roman"/>
          <w:bCs/>
          <w:color w:val="000000"/>
          <w:sz w:val="32"/>
          <w:szCs w:val="32"/>
        </w:rPr>
        <w:t>机关事业单位职业年金缴费支出</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val="en-US" w:eastAsia="zh-CN"/>
        </w:rPr>
        <w:t>06</w:t>
      </w:r>
      <w:r>
        <w:rPr>
          <w:rStyle w:val="21"/>
          <w:rFonts w:hint="eastAsia" w:ascii="仿宋" w:hAnsi="仿宋" w:eastAsia="仿宋"/>
          <w:bCs/>
          <w:color w:val="000000"/>
          <w:sz w:val="32"/>
          <w:szCs w:val="32"/>
        </w:rPr>
        <w:t>）</w:t>
      </w:r>
      <w:r>
        <w:rPr>
          <w:rFonts w:hint="eastAsia" w:ascii="仿宋_GB2312" w:hAnsi="Calibri" w:eastAsia="仿宋_GB2312" w:cs="仿宋"/>
          <w:color w:val="000000"/>
          <w:kern w:val="0"/>
          <w:sz w:val="32"/>
          <w:szCs w:val="32"/>
          <w:lang w:val="en-US" w:eastAsia="zh-CN" w:bidi="ar-SA"/>
        </w:rPr>
        <w:t>反映机关事业单位实施养老保险制度由单位缴纳的基本职业年金支出。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Calibri" w:eastAsia="仿宋_GB2312" w:cs="仿宋"/>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10、</w:t>
      </w:r>
      <w:r>
        <w:rPr>
          <w:rFonts w:hint="eastAsia" w:ascii="仿宋_GB2312" w:hAnsi="Calibri" w:eastAsia="仿宋_GB2312" w:cs="仿宋"/>
          <w:b/>
          <w:bCs/>
          <w:color w:val="000000"/>
          <w:kern w:val="0"/>
          <w:sz w:val="32"/>
          <w:szCs w:val="32"/>
          <w:lang w:val="en-US" w:eastAsia="zh-CN" w:bidi="ar-SA"/>
        </w:rPr>
        <w:t>卫生健康（210）</w:t>
      </w:r>
      <w:r>
        <w:rPr>
          <w:rStyle w:val="21"/>
          <w:rFonts w:hint="eastAsia" w:ascii="仿宋" w:hAnsi="仿宋" w:eastAsia="仿宋"/>
          <w:bCs/>
          <w:color w:val="000000"/>
          <w:sz w:val="32"/>
          <w:szCs w:val="32"/>
        </w:rPr>
        <w:t>行政事业单位医疗（</w:t>
      </w:r>
      <w:r>
        <w:rPr>
          <w:rStyle w:val="21"/>
          <w:rFonts w:ascii="仿宋" w:hAnsi="仿宋" w:eastAsia="仿宋"/>
          <w:bCs/>
          <w:color w:val="000000"/>
          <w:sz w:val="32"/>
          <w:szCs w:val="32"/>
        </w:rPr>
        <w:t>11</w:t>
      </w:r>
      <w:r>
        <w:rPr>
          <w:rStyle w:val="21"/>
          <w:rFonts w:hint="eastAsia" w:ascii="仿宋" w:hAnsi="仿宋" w:eastAsia="仿宋"/>
          <w:bCs/>
          <w:color w:val="000000"/>
          <w:sz w:val="32"/>
          <w:szCs w:val="32"/>
        </w:rPr>
        <w:t>）行政单位医疗（</w:t>
      </w:r>
      <w:r>
        <w:rPr>
          <w:rStyle w:val="21"/>
          <w:rFonts w:ascii="仿宋" w:hAnsi="仿宋" w:eastAsia="仿宋"/>
          <w:bCs/>
          <w:color w:val="000000"/>
          <w:sz w:val="32"/>
          <w:szCs w:val="32"/>
        </w:rPr>
        <w:t>01</w:t>
      </w:r>
      <w:r>
        <w:rPr>
          <w:rStyle w:val="21"/>
          <w:rFonts w:hint="eastAsia" w:ascii="仿宋" w:hAnsi="仿宋" w:eastAsia="仿宋"/>
          <w:bCs/>
          <w:color w:val="000000"/>
          <w:sz w:val="32"/>
          <w:szCs w:val="32"/>
        </w:rPr>
        <w:t>）</w:t>
      </w:r>
      <w:r>
        <w:rPr>
          <w:rFonts w:hint="eastAsia" w:ascii="仿宋_GB2312" w:hAnsi="Calibri" w:eastAsia="仿宋_GB2312" w:cs="仿宋"/>
          <w:color w:val="000000"/>
          <w:kern w:val="0"/>
          <w:sz w:val="32"/>
          <w:szCs w:val="32"/>
          <w:lang w:val="en-US" w:eastAsia="zh-CN" w:bidi="ar-SA"/>
        </w:rPr>
        <w:t>：指反映财政部门集中安排的行政单位基本医疗保险缴费经费；</w:t>
      </w:r>
      <w:r>
        <w:rPr>
          <w:rStyle w:val="21"/>
          <w:rFonts w:hint="eastAsia" w:ascii="仿宋" w:hAnsi="仿宋" w:eastAsia="仿宋"/>
          <w:bCs/>
          <w:color w:val="000000"/>
          <w:sz w:val="32"/>
          <w:szCs w:val="32"/>
        </w:rPr>
        <w:t>行政事业单位医疗（</w:t>
      </w:r>
      <w:r>
        <w:rPr>
          <w:rStyle w:val="21"/>
          <w:rFonts w:ascii="仿宋" w:hAnsi="仿宋" w:eastAsia="仿宋"/>
          <w:bCs/>
          <w:color w:val="000000"/>
          <w:sz w:val="32"/>
          <w:szCs w:val="32"/>
        </w:rPr>
        <w:t>11</w:t>
      </w:r>
      <w:r>
        <w:rPr>
          <w:rStyle w:val="21"/>
          <w:rFonts w:hint="eastAsia" w:ascii="仿宋" w:hAnsi="仿宋" w:eastAsia="仿宋"/>
          <w:bCs/>
          <w:color w:val="000000"/>
          <w:sz w:val="32"/>
          <w:szCs w:val="32"/>
        </w:rPr>
        <w:t>）公务员医疗补助（</w:t>
      </w:r>
      <w:r>
        <w:rPr>
          <w:rStyle w:val="21"/>
          <w:rFonts w:ascii="仿宋" w:hAnsi="仿宋" w:eastAsia="仿宋"/>
          <w:bCs/>
          <w:color w:val="000000"/>
          <w:sz w:val="32"/>
          <w:szCs w:val="32"/>
        </w:rPr>
        <w:t>03</w:t>
      </w:r>
      <w:r>
        <w:rPr>
          <w:rStyle w:val="21"/>
          <w:rFonts w:hint="eastAsia" w:ascii="仿宋" w:hAnsi="仿宋" w:eastAsia="仿宋"/>
          <w:bCs/>
          <w:color w:val="000000"/>
          <w:sz w:val="32"/>
          <w:szCs w:val="32"/>
        </w:rPr>
        <w:t>）</w:t>
      </w:r>
      <w:r>
        <w:rPr>
          <w:rFonts w:hint="eastAsia" w:ascii="仿宋_GB2312" w:hAnsi="Calibri" w:eastAsia="仿宋_GB2312" w:cs="仿宋"/>
          <w:color w:val="000000"/>
          <w:kern w:val="0"/>
          <w:sz w:val="32"/>
          <w:szCs w:val="32"/>
          <w:lang w:val="en-US" w:eastAsia="zh-CN" w:bidi="ar-SA"/>
        </w:rPr>
        <w:t>：反映财政部门安排的公务员医疗补助经费；</w:t>
      </w:r>
    </w:p>
    <w:p>
      <w:pPr>
        <w:pStyle w:val="2"/>
        <w:ind w:left="0" w:leftChars="0" w:firstLine="640" w:firstLineChars="200"/>
        <w:rPr>
          <w:rFonts w:hint="eastAsia" w:ascii="仿宋_GB2312" w:hAnsi="Calibri" w:eastAsia="仿宋_GB2312" w:cs="仿宋"/>
          <w:color w:val="auto"/>
          <w:kern w:val="0"/>
          <w:sz w:val="32"/>
          <w:szCs w:val="32"/>
          <w:lang w:val="en-US" w:eastAsia="zh-CN" w:bidi="ar-SA"/>
        </w:rPr>
      </w:pPr>
      <w:r>
        <w:rPr>
          <w:rFonts w:hint="eastAsia" w:hAnsi="Calibri" w:eastAsia="仿宋_GB2312" w:cs="仿宋"/>
          <w:color w:val="auto"/>
          <w:kern w:val="0"/>
          <w:sz w:val="32"/>
          <w:szCs w:val="32"/>
          <w:lang w:val="en-US" w:eastAsia="zh-CN" w:bidi="ar-SA"/>
        </w:rPr>
        <w:t>11、</w:t>
      </w:r>
      <w:r>
        <w:rPr>
          <w:rFonts w:hint="eastAsia" w:hAnsi="Calibri" w:eastAsia="仿宋_GB2312" w:cs="仿宋"/>
          <w:b/>
          <w:bCs/>
          <w:color w:val="auto"/>
          <w:kern w:val="0"/>
          <w:sz w:val="32"/>
          <w:szCs w:val="32"/>
          <w:lang w:val="en-US" w:eastAsia="zh-CN" w:bidi="ar-SA"/>
        </w:rPr>
        <w:t>节能环保支出（211）污染防治（03）其他污染防治支出（99）：</w:t>
      </w:r>
      <w:r>
        <w:rPr>
          <w:rFonts w:hint="eastAsia" w:hAnsi="Calibri" w:eastAsia="仿宋_GB2312" w:cs="仿宋"/>
          <w:color w:val="auto"/>
          <w:kern w:val="0"/>
          <w:sz w:val="32"/>
          <w:szCs w:val="32"/>
          <w:lang w:val="en-US" w:eastAsia="zh-CN" w:bidi="ar-SA"/>
        </w:rPr>
        <w:t>反映上述项目以外其他用于污染防治方面的支出。</w:t>
      </w:r>
    </w:p>
    <w:p>
      <w:pPr>
        <w:pStyle w:val="2"/>
        <w:ind w:left="0" w:leftChars="0" w:firstLine="640" w:firstLineChars="200"/>
        <w:rPr>
          <w:rFonts w:hint="eastAsia" w:ascii="仿宋_GB2312" w:hAnsi="Calibri" w:eastAsia="仿宋_GB2312" w:cs="仿宋"/>
          <w:color w:val="0000FF"/>
          <w:kern w:val="0"/>
          <w:sz w:val="32"/>
          <w:szCs w:val="32"/>
          <w:lang w:val="en-US" w:eastAsia="zh-CN" w:bidi="ar-SA"/>
        </w:rPr>
      </w:pPr>
      <w:r>
        <w:rPr>
          <w:rFonts w:hint="eastAsia" w:hAnsi="Calibri" w:eastAsia="仿宋_GB2312" w:cs="仿宋"/>
          <w:color w:val="auto"/>
          <w:kern w:val="0"/>
          <w:sz w:val="32"/>
          <w:szCs w:val="32"/>
          <w:lang w:val="en-US" w:eastAsia="zh-CN" w:bidi="ar-SA"/>
        </w:rPr>
        <w:t>12</w:t>
      </w:r>
      <w:r>
        <w:rPr>
          <w:rFonts w:hint="eastAsia" w:ascii="仿宋_GB2312" w:hAnsi="Calibri" w:eastAsia="仿宋_GB2312" w:cs="仿宋"/>
          <w:color w:val="auto"/>
          <w:kern w:val="0"/>
          <w:sz w:val="32"/>
          <w:szCs w:val="32"/>
          <w:lang w:val="en-US" w:eastAsia="zh-CN" w:bidi="ar-SA"/>
        </w:rPr>
        <w:t>.</w:t>
      </w:r>
      <w:r>
        <w:rPr>
          <w:rStyle w:val="21"/>
          <w:rFonts w:hint="eastAsia" w:ascii="仿宋" w:hAnsi="仿宋" w:eastAsia="仿宋"/>
          <w:bCs/>
          <w:color w:val="auto"/>
          <w:sz w:val="32"/>
          <w:szCs w:val="32"/>
        </w:rPr>
        <w:t>城乡社区支出（</w:t>
      </w:r>
      <w:r>
        <w:rPr>
          <w:rStyle w:val="21"/>
          <w:rFonts w:ascii="仿宋" w:hAnsi="仿宋" w:eastAsia="仿宋"/>
          <w:bCs/>
          <w:color w:val="auto"/>
          <w:sz w:val="32"/>
          <w:szCs w:val="32"/>
        </w:rPr>
        <w:t>212</w:t>
      </w:r>
      <w:r>
        <w:rPr>
          <w:rStyle w:val="21"/>
          <w:rFonts w:hint="eastAsia" w:ascii="仿宋" w:hAnsi="仿宋" w:eastAsia="仿宋"/>
          <w:bCs/>
          <w:color w:val="auto"/>
          <w:sz w:val="32"/>
          <w:szCs w:val="32"/>
        </w:rPr>
        <w:t>）城乡社区管理事务（</w:t>
      </w:r>
      <w:r>
        <w:rPr>
          <w:rStyle w:val="21"/>
          <w:rFonts w:ascii="仿宋" w:hAnsi="仿宋" w:eastAsia="仿宋"/>
          <w:bCs/>
          <w:color w:val="auto"/>
          <w:sz w:val="32"/>
          <w:szCs w:val="32"/>
        </w:rPr>
        <w:t>01</w:t>
      </w:r>
      <w:r>
        <w:rPr>
          <w:rStyle w:val="21"/>
          <w:rFonts w:hint="eastAsia" w:ascii="仿宋" w:hAnsi="仿宋" w:eastAsia="仿宋"/>
          <w:bCs/>
          <w:color w:val="auto"/>
          <w:sz w:val="32"/>
          <w:szCs w:val="32"/>
        </w:rPr>
        <w:t>）</w:t>
      </w:r>
      <w:r>
        <w:rPr>
          <w:rStyle w:val="21"/>
          <w:rFonts w:hint="eastAsia" w:ascii="仿宋" w:hAnsi="仿宋" w:eastAsia="仿宋"/>
          <w:bCs/>
          <w:color w:val="000000"/>
          <w:sz w:val="32"/>
          <w:szCs w:val="32"/>
        </w:rPr>
        <w:t>行政运行（</w:t>
      </w:r>
      <w:r>
        <w:rPr>
          <w:rStyle w:val="21"/>
          <w:rFonts w:ascii="仿宋" w:hAnsi="仿宋" w:eastAsia="仿宋"/>
          <w:bCs/>
          <w:color w:val="000000"/>
          <w:sz w:val="32"/>
          <w:szCs w:val="32"/>
        </w:rPr>
        <w:t>01</w:t>
      </w:r>
      <w:r>
        <w:rPr>
          <w:rStyle w:val="21"/>
          <w:rFonts w:hint="eastAsia" w:ascii="仿宋" w:hAnsi="仿宋" w:eastAsia="仿宋"/>
          <w:bCs/>
          <w:color w:val="000000"/>
          <w:sz w:val="32"/>
          <w:szCs w:val="32"/>
        </w:rPr>
        <w:t>）</w:t>
      </w:r>
      <w:r>
        <w:rPr>
          <w:rFonts w:hint="eastAsia" w:ascii="仿宋_GB2312" w:hAnsi="Calibri" w:eastAsia="仿宋_GB2312" w:cs="仿宋"/>
          <w:color w:val="000000"/>
          <w:kern w:val="0"/>
          <w:sz w:val="32"/>
          <w:szCs w:val="32"/>
          <w:lang w:val="en-US" w:eastAsia="zh-CN" w:bidi="ar-SA"/>
        </w:rPr>
        <w:t>：</w:t>
      </w:r>
      <w:r>
        <w:rPr>
          <w:rStyle w:val="21"/>
          <w:rFonts w:hint="eastAsia" w:ascii="仿宋" w:hAnsi="仿宋" w:eastAsia="仿宋"/>
          <w:bCs/>
          <w:color w:val="000000"/>
          <w:sz w:val="32"/>
          <w:szCs w:val="32"/>
        </w:rPr>
        <w:t>城乡社区支出（</w:t>
      </w:r>
      <w:r>
        <w:rPr>
          <w:rStyle w:val="21"/>
          <w:rFonts w:ascii="仿宋" w:hAnsi="仿宋" w:eastAsia="仿宋"/>
          <w:bCs/>
          <w:color w:val="000000"/>
          <w:sz w:val="32"/>
          <w:szCs w:val="32"/>
        </w:rPr>
        <w:t>212</w:t>
      </w:r>
      <w:r>
        <w:rPr>
          <w:rStyle w:val="21"/>
          <w:rFonts w:hint="eastAsia" w:ascii="仿宋" w:hAnsi="仿宋" w:eastAsia="仿宋"/>
          <w:bCs/>
          <w:color w:val="000000"/>
          <w:sz w:val="32"/>
          <w:szCs w:val="32"/>
        </w:rPr>
        <w:t>）城乡社区管理事务（</w:t>
      </w:r>
      <w:r>
        <w:rPr>
          <w:rStyle w:val="21"/>
          <w:rFonts w:ascii="仿宋" w:hAnsi="仿宋" w:eastAsia="仿宋"/>
          <w:bCs/>
          <w:color w:val="000000"/>
          <w:sz w:val="32"/>
          <w:szCs w:val="32"/>
        </w:rPr>
        <w:t>01</w:t>
      </w:r>
      <w:r>
        <w:rPr>
          <w:rStyle w:val="21"/>
          <w:rFonts w:hint="eastAsia" w:ascii="仿宋" w:hAnsi="仿宋" w:eastAsia="仿宋"/>
          <w:bCs/>
          <w:color w:val="000000"/>
          <w:sz w:val="32"/>
          <w:szCs w:val="32"/>
        </w:rPr>
        <w:t>）其他城乡社区管理事务支出（</w:t>
      </w:r>
      <w:r>
        <w:rPr>
          <w:rStyle w:val="21"/>
          <w:rFonts w:ascii="仿宋" w:hAnsi="仿宋" w:eastAsia="仿宋"/>
          <w:bCs/>
          <w:color w:val="000000"/>
          <w:sz w:val="32"/>
          <w:szCs w:val="32"/>
        </w:rPr>
        <w:t>99</w:t>
      </w:r>
      <w:r>
        <w:rPr>
          <w:rStyle w:val="21"/>
          <w:rFonts w:hint="eastAsia" w:ascii="仿宋" w:hAnsi="仿宋" w:eastAsia="仿宋"/>
          <w:bCs/>
          <w:color w:val="000000"/>
          <w:sz w:val="32"/>
          <w:szCs w:val="32"/>
        </w:rPr>
        <w:t>）</w:t>
      </w:r>
      <w:r>
        <w:rPr>
          <w:rFonts w:hint="eastAsia" w:ascii="仿宋_GB2312" w:hAnsi="Calibri" w:eastAsia="仿宋_GB2312" w:cs="仿宋"/>
          <w:color w:val="000000"/>
          <w:kern w:val="0"/>
          <w:sz w:val="32"/>
          <w:szCs w:val="32"/>
          <w:lang w:val="en-US" w:eastAsia="zh-CN" w:bidi="ar-SA"/>
        </w:rPr>
        <w:t>：反映除上述项目以外其他用于城乡社区管理事务方面的支出；</w:t>
      </w:r>
      <w:r>
        <w:rPr>
          <w:rStyle w:val="21"/>
          <w:rFonts w:hint="eastAsia" w:ascii="仿宋" w:hAnsi="仿宋" w:eastAsia="仿宋"/>
          <w:bCs/>
          <w:color w:val="000000"/>
          <w:sz w:val="32"/>
          <w:szCs w:val="32"/>
        </w:rPr>
        <w:t>城乡社区支出（</w:t>
      </w:r>
      <w:r>
        <w:rPr>
          <w:rStyle w:val="21"/>
          <w:rFonts w:ascii="仿宋" w:hAnsi="仿宋" w:eastAsia="仿宋"/>
          <w:bCs/>
          <w:color w:val="000000"/>
          <w:sz w:val="32"/>
          <w:szCs w:val="32"/>
        </w:rPr>
        <w:t>212</w:t>
      </w:r>
      <w:r>
        <w:rPr>
          <w:rStyle w:val="21"/>
          <w:rFonts w:hint="eastAsia" w:ascii="仿宋" w:hAnsi="仿宋" w:eastAsia="仿宋"/>
          <w:bCs/>
          <w:color w:val="000000"/>
          <w:sz w:val="32"/>
          <w:szCs w:val="32"/>
        </w:rPr>
        <w:t>）城乡社区公共设施（</w:t>
      </w:r>
      <w:r>
        <w:rPr>
          <w:rStyle w:val="21"/>
          <w:rFonts w:ascii="仿宋" w:hAnsi="仿宋" w:eastAsia="仿宋"/>
          <w:bCs/>
          <w:color w:val="000000"/>
          <w:sz w:val="32"/>
          <w:szCs w:val="32"/>
        </w:rPr>
        <w:t>03</w:t>
      </w:r>
      <w:r>
        <w:rPr>
          <w:rStyle w:val="21"/>
          <w:rFonts w:hint="eastAsia" w:ascii="仿宋" w:hAnsi="仿宋" w:eastAsia="仿宋"/>
          <w:bCs/>
          <w:color w:val="000000"/>
          <w:sz w:val="32"/>
          <w:szCs w:val="32"/>
        </w:rPr>
        <w:t>）其他城乡社区公共设施支出（</w:t>
      </w:r>
      <w:r>
        <w:rPr>
          <w:rStyle w:val="21"/>
          <w:rFonts w:ascii="仿宋" w:hAnsi="仿宋" w:eastAsia="仿宋"/>
          <w:bCs/>
          <w:color w:val="000000"/>
          <w:sz w:val="32"/>
          <w:szCs w:val="32"/>
        </w:rPr>
        <w:t>99</w:t>
      </w:r>
      <w:r>
        <w:rPr>
          <w:rStyle w:val="21"/>
          <w:rFonts w:hint="eastAsia" w:ascii="仿宋" w:hAnsi="仿宋" w:eastAsia="仿宋"/>
          <w:bCs/>
          <w:color w:val="000000"/>
          <w:sz w:val="32"/>
          <w:szCs w:val="32"/>
        </w:rPr>
        <w:t>）</w:t>
      </w:r>
      <w:r>
        <w:rPr>
          <w:rFonts w:hint="eastAsia" w:ascii="仿宋_GB2312" w:hAnsi="Calibri" w:eastAsia="仿宋_GB2312" w:cs="仿宋"/>
          <w:color w:val="000000"/>
          <w:kern w:val="0"/>
          <w:sz w:val="32"/>
          <w:szCs w:val="32"/>
          <w:lang w:val="en-US" w:eastAsia="zh-CN" w:bidi="ar-SA"/>
        </w:rPr>
        <w:t>：反映除上述项目以外其他用于城乡社区公共设施方面的支出。</w:t>
      </w:r>
      <w:r>
        <w:rPr>
          <w:rFonts w:hint="eastAsia" w:ascii="仿宋" w:hAnsi="仿宋" w:eastAsia="仿宋" w:cs="Times New Roman"/>
          <w:b/>
          <w:bCs/>
          <w:kern w:val="2"/>
          <w:sz w:val="32"/>
          <w:szCs w:val="32"/>
          <w:lang w:val="en-US" w:eastAsia="zh-CN" w:bidi="ar-SA"/>
        </w:rPr>
        <w:t>城乡社区支出(212)城乡社区环境卫生（05）</w:t>
      </w:r>
      <w:r>
        <w:rPr>
          <w:rFonts w:hint="eastAsia" w:ascii="仿宋" w:hAnsi="仿宋" w:eastAsia="仿宋" w:cs="Times New Roman"/>
          <w:b w:val="0"/>
          <w:bCs w:val="0"/>
          <w:kern w:val="2"/>
          <w:sz w:val="32"/>
          <w:szCs w:val="32"/>
          <w:lang w:val="en-US" w:eastAsia="zh-CN" w:bidi="ar-SA"/>
        </w:rPr>
        <w:t>城乡社区环境卫生。</w:t>
      </w:r>
      <w:r>
        <w:rPr>
          <w:rFonts w:hint="eastAsia" w:ascii="仿宋" w:hAnsi="仿宋" w:eastAsia="仿宋" w:cs="Times New Roman"/>
          <w:b/>
          <w:bCs/>
          <w:kern w:val="2"/>
          <w:sz w:val="32"/>
          <w:szCs w:val="32"/>
          <w:lang w:val="en-US" w:eastAsia="zh-CN" w:bidi="ar-SA"/>
        </w:rPr>
        <w:t>城乡社区支出(212)国有土地使用权出让收入安排的支出（08）其他国有土地使用权出让收入安排的支出（99）</w:t>
      </w:r>
      <w:r>
        <w:rPr>
          <w:rFonts w:hint="eastAsia" w:ascii="仿宋" w:hAnsi="仿宋" w:eastAsia="仿宋" w:cs="Times New Roman"/>
          <w:kern w:val="2"/>
          <w:sz w:val="32"/>
          <w:szCs w:val="32"/>
          <w:lang w:val="en-US" w:eastAsia="zh-CN" w:bidi="ar-SA"/>
        </w:rPr>
        <w:t>支出：反映土地出让收入用于其他方面的支出。不包括市县级政府当年按规定用土地出让收入向中央和省级政府缴纳的新增建设用地土地有偿使用的支出。</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Calibri" w:eastAsia="仿宋" w:cs="仿宋"/>
          <w:b w:val="0"/>
          <w:bCs w:val="0"/>
          <w:color w:val="000000"/>
          <w:kern w:val="0"/>
          <w:sz w:val="32"/>
          <w:szCs w:val="32"/>
          <w:lang w:val="en-US" w:eastAsia="zh-CN" w:bidi="ar-SA"/>
        </w:rPr>
      </w:pPr>
      <w:r>
        <w:rPr>
          <w:rFonts w:hint="eastAsia" w:ascii="仿宋_GB2312" w:hAnsi="Calibri" w:eastAsia="仿宋_GB2312" w:cs="仿宋"/>
          <w:color w:val="000000"/>
          <w:kern w:val="0"/>
          <w:sz w:val="32"/>
          <w:szCs w:val="32"/>
          <w:lang w:val="en-US" w:eastAsia="zh-CN" w:bidi="ar-SA"/>
        </w:rPr>
        <w:t>13.</w:t>
      </w:r>
      <w:r>
        <w:rPr>
          <w:rStyle w:val="21"/>
          <w:rFonts w:hint="eastAsia" w:ascii="仿宋" w:hAnsi="仿宋" w:eastAsia="仿宋"/>
          <w:bCs/>
          <w:color w:val="000000"/>
          <w:sz w:val="32"/>
          <w:szCs w:val="32"/>
        </w:rPr>
        <w:t>农林水支出（</w:t>
      </w:r>
      <w:r>
        <w:rPr>
          <w:rStyle w:val="21"/>
          <w:rFonts w:ascii="仿宋" w:hAnsi="仿宋" w:eastAsia="仿宋"/>
          <w:bCs/>
          <w:color w:val="000000"/>
          <w:sz w:val="32"/>
          <w:szCs w:val="32"/>
        </w:rPr>
        <w:t>213</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eastAsia="zh-CN"/>
        </w:rPr>
        <w:t>巩固脱贫攻坚成果衔接乡村振兴（</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lang w:eastAsia="zh-CN"/>
        </w:rPr>
        <w:t>）农村基础设施建设（</w:t>
      </w:r>
      <w:r>
        <w:rPr>
          <w:rStyle w:val="21"/>
          <w:rFonts w:hint="eastAsia" w:ascii="仿宋" w:hAnsi="仿宋" w:eastAsia="仿宋"/>
          <w:bCs/>
          <w:color w:val="000000"/>
          <w:sz w:val="32"/>
          <w:szCs w:val="32"/>
          <w:lang w:val="en-US" w:eastAsia="zh-CN"/>
        </w:rPr>
        <w:t>04</w:t>
      </w:r>
      <w:r>
        <w:rPr>
          <w:rStyle w:val="21"/>
          <w:rFonts w:hint="eastAsia" w:ascii="仿宋" w:hAnsi="仿宋" w:eastAsia="仿宋"/>
          <w:bCs/>
          <w:color w:val="000000"/>
          <w:sz w:val="32"/>
          <w:szCs w:val="32"/>
          <w:lang w:eastAsia="zh-CN"/>
        </w:rPr>
        <w:t>）：</w:t>
      </w:r>
      <w:r>
        <w:rPr>
          <w:rFonts w:hint="eastAsia" w:ascii="仿宋_GB2312" w:hAnsi="Calibri" w:eastAsia="仿宋_GB2312" w:cs="仿宋"/>
          <w:color w:val="000000"/>
          <w:kern w:val="0"/>
          <w:sz w:val="32"/>
          <w:szCs w:val="32"/>
          <w:lang w:val="en-US" w:eastAsia="zh-CN" w:bidi="ar-SA"/>
        </w:rPr>
        <w:t>反映用于农村欠发达地区乡村道路、住房、基本农田、水利设施、人畜、饮水、生态环境保护等生产发展项目以及相关技术推广等方面的项目支出。</w:t>
      </w:r>
      <w:r>
        <w:rPr>
          <w:rStyle w:val="21"/>
          <w:rFonts w:hint="eastAsia" w:ascii="仿宋" w:hAnsi="仿宋" w:eastAsia="仿宋"/>
          <w:bCs/>
          <w:color w:val="000000"/>
          <w:sz w:val="32"/>
          <w:szCs w:val="32"/>
        </w:rPr>
        <w:t>农林水支出（</w:t>
      </w:r>
      <w:r>
        <w:rPr>
          <w:rStyle w:val="21"/>
          <w:rFonts w:ascii="仿宋" w:hAnsi="仿宋" w:eastAsia="仿宋"/>
          <w:bCs/>
          <w:color w:val="000000"/>
          <w:sz w:val="32"/>
          <w:szCs w:val="32"/>
        </w:rPr>
        <w:t>213</w:t>
      </w:r>
      <w:r>
        <w:rPr>
          <w:rStyle w:val="21"/>
          <w:rFonts w:hint="eastAsia" w:ascii="仿宋" w:hAnsi="仿宋" w:eastAsia="仿宋"/>
          <w:bCs/>
          <w:color w:val="000000"/>
          <w:sz w:val="32"/>
          <w:szCs w:val="32"/>
        </w:rPr>
        <w:t>）</w:t>
      </w:r>
      <w:r>
        <w:rPr>
          <w:rStyle w:val="21"/>
          <w:rFonts w:hint="eastAsia" w:ascii="仿宋" w:hAnsi="仿宋" w:eastAsia="仿宋"/>
          <w:bCs/>
          <w:color w:val="000000"/>
          <w:sz w:val="32"/>
          <w:szCs w:val="32"/>
          <w:lang w:eastAsia="zh-CN"/>
        </w:rPr>
        <w:t>巩固脱贫攻坚成果衔接乡村振兴（</w:t>
      </w:r>
      <w:r>
        <w:rPr>
          <w:rStyle w:val="21"/>
          <w:rFonts w:hint="eastAsia" w:ascii="仿宋" w:hAnsi="仿宋" w:eastAsia="仿宋"/>
          <w:bCs/>
          <w:color w:val="000000"/>
          <w:sz w:val="32"/>
          <w:szCs w:val="32"/>
          <w:lang w:val="en-US" w:eastAsia="zh-CN"/>
        </w:rPr>
        <w:t>05</w:t>
      </w:r>
      <w:r>
        <w:rPr>
          <w:rStyle w:val="21"/>
          <w:rFonts w:hint="eastAsia" w:ascii="仿宋" w:hAnsi="仿宋" w:eastAsia="仿宋"/>
          <w:bCs/>
          <w:color w:val="000000"/>
          <w:sz w:val="32"/>
          <w:szCs w:val="32"/>
          <w:lang w:eastAsia="zh-CN"/>
        </w:rPr>
        <w:t>）其他巩固脱贫攻坚成果衔接乡村振兴支出（</w:t>
      </w:r>
      <w:r>
        <w:rPr>
          <w:rStyle w:val="21"/>
          <w:rFonts w:hint="eastAsia" w:ascii="仿宋" w:hAnsi="仿宋" w:eastAsia="仿宋"/>
          <w:bCs/>
          <w:color w:val="000000"/>
          <w:sz w:val="32"/>
          <w:szCs w:val="32"/>
          <w:lang w:val="en-US" w:eastAsia="zh-CN"/>
        </w:rPr>
        <w:t>99</w:t>
      </w:r>
      <w:r>
        <w:rPr>
          <w:rStyle w:val="21"/>
          <w:rFonts w:hint="eastAsia" w:ascii="仿宋" w:hAnsi="仿宋" w:eastAsia="仿宋"/>
          <w:bCs/>
          <w:color w:val="000000"/>
          <w:sz w:val="32"/>
          <w:szCs w:val="32"/>
          <w:lang w:eastAsia="zh-CN"/>
        </w:rPr>
        <w:t>）：</w:t>
      </w:r>
      <w:r>
        <w:rPr>
          <w:rFonts w:hint="eastAsia" w:ascii="仿宋_GB2312" w:hAnsi="Calibri" w:eastAsia="仿宋_GB2312" w:cs="仿宋"/>
          <w:color w:val="000000"/>
          <w:kern w:val="0"/>
          <w:sz w:val="32"/>
          <w:szCs w:val="32"/>
          <w:lang w:val="en-US" w:eastAsia="zh-CN" w:bidi="ar-SA"/>
        </w:rPr>
        <w:t>反映除上述项目以外其他用于巩固拓展脱贫攻坚成果同乡村振兴有效衔接方面的支出。</w:t>
      </w:r>
      <w:r>
        <w:rPr>
          <w:rStyle w:val="21"/>
          <w:rFonts w:hint="eastAsia" w:ascii="仿宋" w:hAnsi="仿宋" w:eastAsia="仿宋"/>
          <w:bCs/>
          <w:color w:val="000000"/>
          <w:sz w:val="32"/>
          <w:szCs w:val="32"/>
        </w:rPr>
        <w:t>农林水支出（</w:t>
      </w:r>
      <w:r>
        <w:rPr>
          <w:rStyle w:val="21"/>
          <w:rFonts w:ascii="仿宋" w:hAnsi="仿宋" w:eastAsia="仿宋"/>
          <w:bCs/>
          <w:color w:val="000000"/>
          <w:sz w:val="32"/>
          <w:szCs w:val="32"/>
        </w:rPr>
        <w:t>213</w:t>
      </w:r>
      <w:r>
        <w:rPr>
          <w:rStyle w:val="21"/>
          <w:rFonts w:hint="eastAsia" w:ascii="仿宋" w:hAnsi="仿宋" w:eastAsia="仿宋"/>
          <w:bCs/>
          <w:color w:val="000000"/>
          <w:sz w:val="32"/>
          <w:szCs w:val="32"/>
        </w:rPr>
        <w:t>）其他农林水支出</w:t>
      </w:r>
      <w:r>
        <w:rPr>
          <w:rStyle w:val="21"/>
          <w:rFonts w:hint="eastAsia" w:ascii="仿宋" w:hAnsi="仿宋" w:eastAsia="仿宋"/>
          <w:bCs/>
          <w:color w:val="000000"/>
          <w:sz w:val="32"/>
          <w:szCs w:val="32"/>
          <w:lang w:eastAsia="zh-CN"/>
        </w:rPr>
        <w:t>（</w:t>
      </w:r>
      <w:r>
        <w:rPr>
          <w:rStyle w:val="21"/>
          <w:rFonts w:hint="eastAsia" w:ascii="仿宋" w:hAnsi="仿宋" w:eastAsia="仿宋"/>
          <w:bCs/>
          <w:color w:val="000000"/>
          <w:sz w:val="32"/>
          <w:szCs w:val="32"/>
          <w:lang w:val="en-US" w:eastAsia="zh-CN"/>
        </w:rPr>
        <w:t>99</w:t>
      </w:r>
      <w:r>
        <w:rPr>
          <w:rStyle w:val="21"/>
          <w:rFonts w:hint="eastAsia" w:ascii="仿宋" w:hAnsi="仿宋" w:eastAsia="仿宋"/>
          <w:bCs/>
          <w:color w:val="000000"/>
          <w:sz w:val="32"/>
          <w:szCs w:val="32"/>
          <w:lang w:eastAsia="zh-CN"/>
        </w:rPr>
        <w:t>）</w:t>
      </w:r>
      <w:r>
        <w:rPr>
          <w:rStyle w:val="21"/>
          <w:rFonts w:hint="eastAsia" w:ascii="仿宋" w:hAnsi="仿宋" w:eastAsia="仿宋"/>
          <w:b w:val="0"/>
          <w:bCs w:val="0"/>
          <w:color w:val="000000"/>
          <w:sz w:val="32"/>
          <w:szCs w:val="32"/>
          <w:lang w:eastAsia="zh-CN"/>
        </w:rPr>
        <w:t>其他农林水支出（</w:t>
      </w:r>
      <w:r>
        <w:rPr>
          <w:rStyle w:val="21"/>
          <w:rFonts w:hint="eastAsia" w:ascii="仿宋" w:hAnsi="仿宋" w:eastAsia="仿宋"/>
          <w:b w:val="0"/>
          <w:bCs w:val="0"/>
          <w:color w:val="000000"/>
          <w:sz w:val="32"/>
          <w:szCs w:val="32"/>
          <w:lang w:val="en-US" w:eastAsia="zh-CN"/>
        </w:rPr>
        <w:t>99</w:t>
      </w:r>
      <w:r>
        <w:rPr>
          <w:rStyle w:val="21"/>
          <w:rFonts w:hint="eastAsia" w:ascii="仿宋" w:hAnsi="仿宋" w:eastAsia="仿宋"/>
          <w:b w:val="0"/>
          <w:bCs w:val="0"/>
          <w:color w:val="000000"/>
          <w:sz w:val="32"/>
          <w:szCs w:val="32"/>
          <w:lang w:eastAsia="zh-CN"/>
        </w:rPr>
        <w:t>）反映除化解债务支出以外其他用于农林水方面的支出。</w:t>
      </w:r>
    </w:p>
    <w:p>
      <w:pPr>
        <w:spacing w:line="600" w:lineRule="exact"/>
        <w:ind w:firstLine="640"/>
        <w:rPr>
          <w:rFonts w:hint="eastAsia"/>
          <w:lang w:val="en-US" w:eastAsia="zh-CN"/>
        </w:rPr>
      </w:pPr>
      <w:r>
        <w:rPr>
          <w:rFonts w:hint="eastAsia" w:ascii="仿宋" w:hAnsi="仿宋" w:eastAsia="仿宋"/>
          <w:b/>
          <w:bCs/>
          <w:color w:val="auto"/>
          <w:sz w:val="32"/>
          <w:szCs w:val="32"/>
          <w:lang w:val="en-US" w:eastAsia="zh-CN"/>
        </w:rPr>
        <w:t>14.</w:t>
      </w:r>
      <w:r>
        <w:rPr>
          <w:rStyle w:val="21"/>
          <w:rFonts w:hint="eastAsia" w:ascii="仿宋" w:hAnsi="仿宋" w:eastAsia="仿宋"/>
          <w:bCs/>
          <w:color w:val="auto"/>
          <w:sz w:val="32"/>
          <w:szCs w:val="32"/>
        </w:rPr>
        <w:t>住房保障支出（</w:t>
      </w:r>
      <w:r>
        <w:rPr>
          <w:rStyle w:val="21"/>
          <w:rFonts w:ascii="仿宋" w:hAnsi="仿宋" w:eastAsia="仿宋"/>
          <w:bCs/>
          <w:color w:val="auto"/>
          <w:sz w:val="32"/>
          <w:szCs w:val="32"/>
        </w:rPr>
        <w:t>221</w:t>
      </w:r>
      <w:r>
        <w:rPr>
          <w:rStyle w:val="21"/>
          <w:rFonts w:hint="eastAsia" w:ascii="仿宋" w:hAnsi="仿宋" w:eastAsia="仿宋"/>
          <w:bCs/>
          <w:color w:val="auto"/>
          <w:sz w:val="32"/>
          <w:szCs w:val="32"/>
        </w:rPr>
        <w:t>）保障性安居工程支出（</w:t>
      </w:r>
      <w:r>
        <w:rPr>
          <w:rStyle w:val="21"/>
          <w:rFonts w:ascii="仿宋" w:hAnsi="仿宋" w:eastAsia="仿宋"/>
          <w:bCs/>
          <w:color w:val="auto"/>
          <w:sz w:val="32"/>
          <w:szCs w:val="32"/>
        </w:rPr>
        <w:t>01</w:t>
      </w:r>
      <w:r>
        <w:rPr>
          <w:rStyle w:val="21"/>
          <w:rFonts w:hint="eastAsia" w:ascii="仿宋" w:hAnsi="仿宋" w:eastAsia="仿宋" w:cs="Times New Roman"/>
          <w:bCs/>
          <w:color w:val="auto"/>
          <w:sz w:val="32"/>
          <w:szCs w:val="32"/>
        </w:rPr>
        <w:t>）</w:t>
      </w:r>
      <w:r>
        <w:rPr>
          <w:rStyle w:val="21"/>
          <w:rFonts w:hint="eastAsia" w:ascii="仿宋" w:hAnsi="仿宋" w:eastAsia="仿宋" w:cs="Times New Roman"/>
          <w:bCs/>
          <w:color w:val="auto"/>
          <w:sz w:val="32"/>
          <w:szCs w:val="32"/>
          <w:lang w:eastAsia="zh-CN"/>
        </w:rPr>
        <w:t>廉租住房</w:t>
      </w:r>
      <w:r>
        <w:rPr>
          <w:rStyle w:val="21"/>
          <w:rFonts w:hint="eastAsia" w:ascii="仿宋" w:hAnsi="仿宋" w:eastAsia="仿宋" w:cs="Times New Roman"/>
          <w:bCs/>
          <w:color w:val="auto"/>
          <w:sz w:val="32"/>
          <w:szCs w:val="32"/>
        </w:rPr>
        <w:t>（</w:t>
      </w:r>
      <w:r>
        <w:rPr>
          <w:rStyle w:val="21"/>
          <w:rFonts w:hint="eastAsia" w:ascii="仿宋" w:hAnsi="仿宋" w:eastAsia="仿宋" w:cs="Times New Roman"/>
          <w:bCs/>
          <w:color w:val="auto"/>
          <w:sz w:val="32"/>
          <w:szCs w:val="32"/>
          <w:lang w:val="en-US" w:eastAsia="zh-CN"/>
        </w:rPr>
        <w:t>05</w:t>
      </w:r>
      <w:r>
        <w:rPr>
          <w:rStyle w:val="21"/>
          <w:rFonts w:hint="eastAsia" w:ascii="仿宋" w:hAnsi="仿宋" w:eastAsia="仿宋" w:cs="Times New Roman"/>
          <w:bCs/>
          <w:color w:val="auto"/>
          <w:sz w:val="32"/>
          <w:szCs w:val="32"/>
        </w:rPr>
        <w:t>）</w:t>
      </w:r>
      <w:r>
        <w:rPr>
          <w:rStyle w:val="21"/>
          <w:rFonts w:hint="eastAsia" w:ascii="仿宋" w:hAnsi="仿宋" w:eastAsia="仿宋" w:cs="Times New Roman"/>
          <w:bCs/>
          <w:color w:val="auto"/>
          <w:sz w:val="32"/>
          <w:szCs w:val="32"/>
          <w:lang w:eastAsia="zh-CN"/>
        </w:rPr>
        <w:t>：反</w:t>
      </w:r>
      <w:r>
        <w:rPr>
          <w:rFonts w:hint="eastAsia" w:ascii="仿宋_GB2312" w:hAnsi="Calibri" w:eastAsia="仿宋_GB2312" w:cs="仿宋"/>
          <w:color w:val="auto"/>
          <w:kern w:val="0"/>
          <w:sz w:val="32"/>
          <w:szCs w:val="32"/>
          <w:lang w:val="en-US" w:eastAsia="zh-CN" w:bidi="ar-SA"/>
        </w:rPr>
        <w:t>映用于农村危房改造方面的支出；</w:t>
      </w:r>
      <w:r>
        <w:rPr>
          <w:rStyle w:val="21"/>
          <w:rFonts w:hint="eastAsia" w:ascii="仿宋" w:hAnsi="仿宋" w:eastAsia="仿宋"/>
          <w:bCs/>
          <w:color w:val="auto"/>
          <w:sz w:val="32"/>
          <w:szCs w:val="32"/>
        </w:rPr>
        <w:t>住房保障支出（</w:t>
      </w:r>
      <w:r>
        <w:rPr>
          <w:rStyle w:val="21"/>
          <w:rFonts w:ascii="仿宋" w:hAnsi="仿宋" w:eastAsia="仿宋"/>
          <w:bCs/>
          <w:color w:val="auto"/>
          <w:sz w:val="32"/>
          <w:szCs w:val="32"/>
        </w:rPr>
        <w:t>221</w:t>
      </w:r>
      <w:r>
        <w:rPr>
          <w:rStyle w:val="21"/>
          <w:rFonts w:hint="eastAsia" w:ascii="仿宋" w:hAnsi="仿宋" w:eastAsia="仿宋"/>
          <w:bCs/>
          <w:color w:val="auto"/>
          <w:sz w:val="32"/>
          <w:szCs w:val="32"/>
        </w:rPr>
        <w:t>）住房改革支出（</w:t>
      </w:r>
      <w:r>
        <w:rPr>
          <w:rStyle w:val="21"/>
          <w:rFonts w:ascii="仿宋" w:hAnsi="仿宋" w:eastAsia="仿宋"/>
          <w:bCs/>
          <w:color w:val="auto"/>
          <w:sz w:val="32"/>
          <w:szCs w:val="32"/>
        </w:rPr>
        <w:t>02</w:t>
      </w:r>
      <w:r>
        <w:rPr>
          <w:rStyle w:val="21"/>
          <w:rFonts w:hint="eastAsia" w:ascii="仿宋" w:hAnsi="仿宋" w:eastAsia="仿宋"/>
          <w:bCs/>
          <w:color w:val="auto"/>
          <w:sz w:val="32"/>
          <w:szCs w:val="32"/>
        </w:rPr>
        <w:t>）住房公</w:t>
      </w:r>
      <w:r>
        <w:rPr>
          <w:rStyle w:val="21"/>
          <w:rFonts w:hint="eastAsia" w:ascii="仿宋" w:hAnsi="仿宋" w:eastAsia="仿宋"/>
          <w:bCs/>
          <w:color w:val="000000"/>
          <w:sz w:val="32"/>
          <w:szCs w:val="32"/>
        </w:rPr>
        <w:t>积金</w:t>
      </w:r>
      <w:r>
        <w:rPr>
          <w:rStyle w:val="21"/>
          <w:rFonts w:hint="eastAsia" w:ascii="仿宋" w:hAnsi="仿宋" w:eastAsia="仿宋" w:cs="Times New Roman"/>
          <w:bCs/>
          <w:color w:val="000000"/>
          <w:sz w:val="32"/>
          <w:szCs w:val="32"/>
        </w:rPr>
        <w:t>（01）</w:t>
      </w:r>
      <w:r>
        <w:rPr>
          <w:rFonts w:hint="eastAsia" w:ascii="仿宋_GB2312" w:hAnsi="Calibri" w:eastAsia="仿宋_GB2312" w:cs="仿宋"/>
          <w:color w:val="000000"/>
          <w:kern w:val="0"/>
          <w:sz w:val="32"/>
          <w:szCs w:val="32"/>
          <w:lang w:val="en-US" w:eastAsia="zh-CN" w:bidi="ar-SA"/>
        </w:rPr>
        <w:t>；反映行政事业单位按人力资源和社会保障部、财政部规定的基本工资和津补贴以及规定比例为职工缴纳</w:t>
      </w: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r>
        <w:rPr>
          <w:rStyle w:val="21"/>
          <w:rFonts w:hint="eastAsia" w:ascii="仿宋" w:hAnsi="仿宋" w:eastAsia="仿宋"/>
          <w:bCs/>
          <w:color w:val="auto"/>
          <w:sz w:val="32"/>
          <w:szCs w:val="32"/>
        </w:rPr>
        <w:t>住房保障支出（</w:t>
      </w:r>
      <w:r>
        <w:rPr>
          <w:rStyle w:val="21"/>
          <w:rFonts w:ascii="仿宋" w:hAnsi="仿宋" w:eastAsia="仿宋"/>
          <w:bCs/>
          <w:color w:val="auto"/>
          <w:sz w:val="32"/>
          <w:szCs w:val="32"/>
        </w:rPr>
        <w:t>221</w:t>
      </w:r>
      <w:r>
        <w:rPr>
          <w:rStyle w:val="21"/>
          <w:rFonts w:hint="eastAsia" w:ascii="仿宋" w:hAnsi="仿宋" w:eastAsia="仿宋"/>
          <w:bCs/>
          <w:color w:val="auto"/>
          <w:sz w:val="32"/>
          <w:szCs w:val="32"/>
        </w:rPr>
        <w:t>）城乡社区住宅</w:t>
      </w:r>
      <w:r>
        <w:rPr>
          <w:rStyle w:val="21"/>
          <w:rFonts w:hint="eastAsia" w:ascii="仿宋" w:hAnsi="仿宋" w:eastAsia="仿宋"/>
          <w:bCs/>
          <w:color w:val="auto"/>
          <w:sz w:val="32"/>
          <w:szCs w:val="32"/>
          <w:lang w:eastAsia="zh-CN"/>
        </w:rPr>
        <w:t>（</w:t>
      </w:r>
      <w:r>
        <w:rPr>
          <w:rStyle w:val="21"/>
          <w:rFonts w:hint="eastAsia" w:ascii="仿宋" w:hAnsi="仿宋" w:eastAsia="仿宋"/>
          <w:bCs/>
          <w:color w:val="auto"/>
          <w:sz w:val="32"/>
          <w:szCs w:val="32"/>
          <w:lang w:val="en-US" w:eastAsia="zh-CN"/>
        </w:rPr>
        <w:t>03</w:t>
      </w:r>
      <w:r>
        <w:rPr>
          <w:rStyle w:val="21"/>
          <w:rFonts w:hint="eastAsia" w:ascii="仿宋" w:hAnsi="仿宋" w:eastAsia="仿宋"/>
          <w:bCs/>
          <w:color w:val="auto"/>
          <w:sz w:val="32"/>
          <w:szCs w:val="32"/>
          <w:lang w:eastAsia="zh-CN"/>
        </w:rPr>
        <w:t>）其他城乡社区住宅支出（</w:t>
      </w:r>
      <w:r>
        <w:rPr>
          <w:rStyle w:val="21"/>
          <w:rFonts w:hint="eastAsia" w:ascii="仿宋" w:hAnsi="仿宋" w:eastAsia="仿宋"/>
          <w:bCs/>
          <w:color w:val="auto"/>
          <w:sz w:val="32"/>
          <w:szCs w:val="32"/>
          <w:lang w:val="en-US" w:eastAsia="zh-CN"/>
        </w:rPr>
        <w:t>99</w:t>
      </w:r>
      <w:r>
        <w:rPr>
          <w:rStyle w:val="21"/>
          <w:rFonts w:hint="eastAsia" w:ascii="仿宋" w:hAnsi="仿宋" w:eastAsia="仿宋"/>
          <w:bCs/>
          <w:color w:val="auto"/>
          <w:sz w:val="32"/>
          <w:szCs w:val="32"/>
          <w:lang w:eastAsia="zh-CN"/>
        </w:rPr>
        <w:t>）</w:t>
      </w:r>
      <w:r>
        <w:rPr>
          <w:rStyle w:val="21"/>
          <w:rFonts w:hint="eastAsia" w:ascii="仿宋" w:hAnsi="仿宋" w:eastAsia="仿宋"/>
          <w:b w:val="0"/>
          <w:bCs w:val="0"/>
          <w:color w:val="auto"/>
          <w:sz w:val="32"/>
          <w:szCs w:val="32"/>
          <w:lang w:eastAsia="zh-CN"/>
        </w:rPr>
        <w:t>反映除上述项目以外其他用于城乡社区住宅方面的支出。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Style w:val="32"/>
          <w:rFonts w:hint="eastAsia" w:ascii="Times New Roman" w:hAnsi="Times New Roman" w:eastAsia="黑体"/>
          <w:b w:val="0"/>
          <w:color w:val="auto"/>
          <w:highlight w:val="none"/>
          <w:lang w:eastAsia="zh-CN"/>
        </w:rPr>
      </w:pPr>
      <w:r>
        <w:rPr>
          <w:rFonts w:hint="eastAsia" w:eastAsia="仿宋_GB2312" w:cs="仿宋_GB2312"/>
          <w:color w:val="auto"/>
          <w:kern w:val="2"/>
          <w:sz w:val="32"/>
          <w:szCs w:val="32"/>
          <w:highlight w:val="none"/>
          <w:lang w:val="en-US" w:eastAsia="zh-CN" w:bidi="ar-SA"/>
        </w:rPr>
        <w:t>19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55"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6" w:name="_Toc15396614"/>
      <w:r>
        <w:rPr>
          <w:rFonts w:hint="eastAsia" w:eastAsia="仿宋_GB2312" w:cs="仿宋_GB2312"/>
          <w:color w:val="auto"/>
          <w:kern w:val="2"/>
          <w:sz w:val="32"/>
          <w:szCs w:val="32"/>
          <w:highlight w:val="none"/>
          <w:lang w:val="en-US" w:eastAsia="zh-CN" w:bidi="ar-SA"/>
        </w:rPr>
        <w:t xml:space="preserve">           </w:t>
      </w: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6"/>
    </w:p>
    <w:p>
      <w:pPr>
        <w:spacing w:line="600" w:lineRule="exact"/>
        <w:ind w:firstLine="640"/>
        <w:jc w:val="left"/>
        <w:rPr>
          <w:rFonts w:hint="eastAsia" w:ascii="Times New Roman" w:hAnsi="Times New Roman" w:eastAsia="黑体"/>
          <w:color w:val="auto"/>
          <w:sz w:val="32"/>
          <w:szCs w:val="32"/>
          <w:highlight w:val="none"/>
        </w:rPr>
      </w:pP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32"/>
          <w:szCs w:val="32"/>
          <w:highlight w:val="none"/>
        </w:rPr>
        <w:t xml:space="preserve"> </w:t>
      </w:r>
    </w:p>
    <w:p>
      <w:pPr>
        <w:spacing w:line="600" w:lineRule="exact"/>
        <w:ind w:firstLine="640"/>
        <w:jc w:val="left"/>
        <w:rPr>
          <w:rStyle w:val="32"/>
          <w:rFonts w:hint="eastAsia" w:ascii="Times New Roman" w:hAnsi="Times New Roman" w:eastAsia="黑体"/>
          <w:b w:val="0"/>
          <w:color w:val="auto"/>
          <w:sz w:val="32"/>
          <w:szCs w:val="32"/>
          <w:highlight w:val="none"/>
          <w:lang w:val="en-US" w:eastAsia="zh-CN"/>
        </w:rPr>
      </w:pPr>
      <w:r>
        <w:rPr>
          <w:rFonts w:hint="eastAsia" w:ascii="Times New Roman" w:hAnsi="Times New Roman" w:eastAsia="黑体"/>
          <w:color w:val="auto"/>
          <w:sz w:val="32"/>
          <w:szCs w:val="32"/>
          <w:highlight w:val="none"/>
        </w:rPr>
        <w:t>附件</w:t>
      </w:r>
      <w:r>
        <w:rPr>
          <w:rFonts w:hint="eastAsia" w:eastAsia="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both"/>
        <w:textAlignment w:val="auto"/>
        <w:outlineLvl w:val="0"/>
        <w:rPr>
          <w:rFonts w:hint="eastAsia" w:eastAsia="方正小标宋简体" w:cs="Times New Roman"/>
          <w:b w:val="0"/>
          <w:bCs/>
          <w:sz w:val="44"/>
          <w:szCs w:val="44"/>
          <w:highlight w:val="none"/>
          <w:shd w:val="clear" w:color="auto" w:fill="FFFFFF"/>
          <w:lang w:val="en-US" w:eastAsia="zh-CN"/>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0"/>
        <w:rPr>
          <w:rFonts w:hint="eastAsia" w:eastAsia="方正小标宋简体" w:cs="Times New Roman"/>
          <w:b w:val="0"/>
          <w:bCs/>
          <w:sz w:val="44"/>
          <w:szCs w:val="44"/>
          <w:highlight w:val="none"/>
          <w:shd w:val="clear" w:color="auto" w:fill="FFFFFF"/>
          <w:lang w:eastAsia="zh-CN"/>
        </w:rPr>
      </w:pPr>
      <w:r>
        <w:rPr>
          <w:rFonts w:hint="eastAsia" w:eastAsia="方正小标宋简体" w:cs="Times New Roman"/>
          <w:b w:val="0"/>
          <w:bCs/>
          <w:sz w:val="44"/>
          <w:szCs w:val="44"/>
          <w:highlight w:val="none"/>
          <w:shd w:val="clear" w:color="auto" w:fill="FFFFFF"/>
          <w:lang w:val="en-US" w:eastAsia="zh-CN"/>
        </w:rPr>
        <w:t>2025年</w:t>
      </w:r>
      <w:r>
        <w:rPr>
          <w:rFonts w:hint="eastAsia" w:eastAsia="方正小标宋简体" w:cs="Times New Roman"/>
          <w:b w:val="0"/>
          <w:bCs/>
          <w:sz w:val="44"/>
          <w:szCs w:val="44"/>
          <w:highlight w:val="none"/>
          <w:shd w:val="clear" w:color="auto" w:fill="FFFFFF"/>
          <w:lang w:eastAsia="zh-CN"/>
        </w:rPr>
        <w:t>九寨沟县住房和城乡建设局</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0"/>
        <w:rPr>
          <w:rFonts w:hint="default" w:ascii="Times New Roman" w:hAnsi="Times New Roman" w:eastAsia="方正小标宋简体" w:cs="Times New Roman"/>
          <w:b w:val="0"/>
          <w:bCs/>
          <w:sz w:val="44"/>
          <w:szCs w:val="44"/>
          <w:highlight w:val="none"/>
          <w:shd w:val="clear" w:color="auto" w:fill="FFFFFF"/>
        </w:rPr>
      </w:pPr>
      <w:r>
        <w:rPr>
          <w:rFonts w:hint="eastAsia" w:eastAsia="方正小标宋简体" w:cs="Times New Roman"/>
          <w:b w:val="0"/>
          <w:bCs/>
          <w:sz w:val="44"/>
          <w:szCs w:val="44"/>
          <w:highlight w:val="none"/>
          <w:shd w:val="clear" w:color="auto" w:fill="FFFFFF"/>
          <w:lang w:eastAsia="zh-CN"/>
        </w:rPr>
        <w:t>整体支出</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0"/>
          <w:kern w:val="0"/>
          <w:sz w:val="32"/>
          <w:szCs w:val="32"/>
          <w:highlight w:val="none"/>
          <w:shd w:val="clear" w:color="auto" w:fill="FFFFFF"/>
          <w:lang w:val="zh-CN"/>
        </w:rPr>
        <w:t>一、部门（单位）基本情况</w:t>
      </w:r>
      <w:r>
        <w:rPr>
          <w:rFonts w:hint="eastAsia" w:ascii="仿宋_GB2312" w:hAnsi="仿宋_GB2312" w:eastAsia="仿宋_GB2312" w:cs="仿宋_GB2312"/>
          <w:color w:val="000000"/>
          <w:kern w:val="0"/>
          <w:sz w:val="32"/>
          <w:szCs w:val="32"/>
          <w:highlight w:val="none"/>
          <w:shd w:val="clear" w:color="auto" w:fill="FFFFFF"/>
          <w:lang w:val="en-US" w:eastAsia="zh-CN"/>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zh-CN"/>
        </w:rPr>
        <w:t>（一）机构组成。</w:t>
      </w:r>
    </w:p>
    <w:p>
      <w:pPr>
        <w:pStyle w:val="2"/>
        <w:ind w:left="0" w:leftChars="0"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（一）</w:t>
      </w:r>
      <w:r>
        <w:rPr>
          <w:rFonts w:hint="eastAsia" w:ascii="仿宋_GB2312" w:hAnsi="仿宋_GB2312" w:eastAsia="仿宋_GB2312" w:cs="仿宋_GB2312"/>
          <w:sz w:val="32"/>
          <w:szCs w:val="32"/>
        </w:rPr>
        <w:t>九寨沟县</w:t>
      </w:r>
      <w:r>
        <w:rPr>
          <w:rFonts w:hint="eastAsia" w:ascii="仿宋_GB2312" w:hAnsi="仿宋_GB2312" w:eastAsia="仿宋_GB2312" w:cs="仿宋_GB2312"/>
          <w:sz w:val="32"/>
          <w:szCs w:val="32"/>
          <w:lang w:eastAsia="zh-CN"/>
        </w:rPr>
        <w:t>住房和城乡建设</w:t>
      </w:r>
      <w:r>
        <w:rPr>
          <w:rFonts w:hint="eastAsia" w:ascii="仿宋_GB2312" w:hAnsi="仿宋_GB2312" w:eastAsia="仿宋_GB2312" w:cs="仿宋_GB2312"/>
          <w:sz w:val="32"/>
          <w:szCs w:val="32"/>
        </w:rPr>
        <w:t>局是行政事业单位，财务隶属关系为一级单位，执行</w:t>
      </w:r>
      <w:r>
        <w:rPr>
          <w:rFonts w:hint="eastAsia" w:ascii="仿宋_GB2312" w:hAnsi="仿宋_GB2312" w:eastAsia="仿宋_GB2312" w:cs="仿宋_GB2312"/>
          <w:sz w:val="32"/>
          <w:szCs w:val="32"/>
          <w:lang w:eastAsia="zh-CN"/>
        </w:rPr>
        <w:t>政府</w:t>
      </w:r>
      <w:r>
        <w:rPr>
          <w:rFonts w:hint="eastAsia" w:ascii="仿宋_GB2312" w:hAnsi="仿宋_GB2312" w:eastAsia="仿宋_GB2312" w:cs="仿宋_GB2312"/>
          <w:sz w:val="32"/>
          <w:szCs w:val="32"/>
        </w:rPr>
        <w:t>会计制度，</w:t>
      </w:r>
      <w:r>
        <w:rPr>
          <w:rFonts w:hint="eastAsia" w:ascii="仿宋_GB2312" w:hAnsi="仿宋_GB2312" w:eastAsia="仿宋_GB2312" w:cs="仿宋_GB2312"/>
          <w:sz w:val="32"/>
          <w:szCs w:val="32"/>
          <w:lang w:val="en-US" w:eastAsia="zh-CN"/>
        </w:rPr>
        <w:t>机关设行政单位1个；单位内设机构4个，</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下设机构3个，其中行政股室4个，事业股室4个。</w:t>
      </w:r>
    </w:p>
    <w:p>
      <w:pPr>
        <w:pStyle w:val="2"/>
        <w:ind w:left="0" w:leftChars="0"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行政股室4个</w:t>
      </w:r>
    </w:p>
    <w:p>
      <w:pPr>
        <w:pStyle w:val="2"/>
        <w:ind w:left="0" w:leftChars="0"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1、办公室；2、建筑管理股；3、住房保障与房地产市场管理股 ；4、城乡建设股</w:t>
      </w:r>
    </w:p>
    <w:p>
      <w:pPr>
        <w:pStyle w:val="2"/>
        <w:ind w:left="0" w:leftChars="0" w:firstLine="640" w:firstLineChars="20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（二）事业股室3个</w:t>
      </w:r>
    </w:p>
    <w:p>
      <w:pPr>
        <w:pStyle w:val="2"/>
        <w:ind w:left="0" w:leftChars="0" w:firstLine="640" w:firstLineChars="2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1、质监站   2、房管所     3造价站</w:t>
      </w:r>
    </w:p>
    <w:p>
      <w:pPr>
        <w:keepNext w:val="0"/>
        <w:keepLines w:val="0"/>
        <w:pageBreakBefore w:val="0"/>
        <w:widowControl/>
        <w:kinsoku/>
        <w:wordWrap/>
        <w:overflowPunct/>
        <w:topLinePunct w:val="0"/>
        <w:autoSpaceDE/>
        <w:autoSpaceDN/>
        <w:bidi w:val="0"/>
        <w:spacing w:line="400" w:lineRule="exact"/>
        <w:ind w:right="0" w:rightChars="0" w:firstLine="72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单位行政编制7人，行政工勤1人，实有在职行政人员</w:t>
      </w:r>
    </w:p>
    <w:p>
      <w:pPr>
        <w:keepNext w:val="0"/>
        <w:keepLines w:val="0"/>
        <w:pageBreakBefore w:val="0"/>
        <w:widowControl/>
        <w:kinsoku/>
        <w:wordWrap/>
        <w:overflowPunct/>
        <w:topLinePunct w:val="0"/>
        <w:autoSpaceDE/>
        <w:autoSpaceDN/>
        <w:bidi w:val="0"/>
        <w:spacing w:line="400" w:lineRule="exact"/>
        <w:ind w:right="0" w:rightChars="0" w:firstLine="720"/>
        <w:jc w:val="both"/>
        <w:textAlignment w:val="auto"/>
        <w:outlineLvl w:val="9"/>
        <w:rPr>
          <w:rFonts w:hint="eastAsia" w:ascii="仿宋_GB2312" w:hAnsi="仿宋_GB2312" w:eastAsia="仿宋_GB2312" w:cs="仿宋_GB2312"/>
          <w:kern w:val="2"/>
          <w:sz w:val="32"/>
          <w:szCs w:val="32"/>
          <w:lang w:val="en-US" w:eastAsia="zh-CN" w:bidi="ar-SA"/>
        </w:rPr>
      </w:pPr>
    </w:p>
    <w:p>
      <w:pPr>
        <w:keepNext w:val="0"/>
        <w:keepLines w:val="0"/>
        <w:pageBreakBefore w:val="0"/>
        <w:widowControl/>
        <w:kinsoku/>
        <w:wordWrap/>
        <w:overflowPunct/>
        <w:topLinePunct w:val="0"/>
        <w:autoSpaceDE/>
        <w:autoSpaceDN/>
        <w:bidi w:val="0"/>
        <w:spacing w:line="400" w:lineRule="exact"/>
        <w:ind w:right="0" w:rightChars="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及工勤7人；退休人员7人。</w:t>
      </w:r>
    </w:p>
    <w:p>
      <w:pPr>
        <w:keepNext w:val="0"/>
        <w:keepLines w:val="0"/>
        <w:pageBreakBefore w:val="0"/>
        <w:widowControl/>
        <w:kinsoku/>
        <w:wordWrap/>
        <w:overflowPunct/>
        <w:topLinePunct w:val="0"/>
        <w:autoSpaceDE/>
        <w:autoSpaceDN/>
        <w:bidi w:val="0"/>
        <w:spacing w:line="400" w:lineRule="exact"/>
        <w:ind w:right="0" w:rightChars="0" w:firstLine="720"/>
        <w:jc w:val="both"/>
        <w:textAlignment w:val="auto"/>
        <w:outlineLvl w:val="9"/>
        <w:rPr>
          <w:rFonts w:hint="eastAsia" w:ascii="仿宋_GB2312" w:hAnsi="仿宋_GB2312" w:eastAsia="仿宋_GB2312" w:cs="仿宋_GB2312"/>
          <w:kern w:val="2"/>
          <w:sz w:val="32"/>
          <w:szCs w:val="32"/>
          <w:lang w:val="en-US" w:eastAsia="zh-CN" w:bidi="ar-SA"/>
        </w:rPr>
      </w:pP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事业编制</w:t>
      </w:r>
      <w:r>
        <w:rPr>
          <w:rFonts w:hint="eastAsia" w:ascii="仿宋_GB2312" w:hAnsi="仿宋_GB2312" w:eastAsia="仿宋_GB2312" w:cs="仿宋_GB2312"/>
          <w:color w:val="auto"/>
          <w:kern w:val="2"/>
          <w:sz w:val="32"/>
          <w:szCs w:val="32"/>
          <w:lang w:val="en-US" w:eastAsia="zh-CN" w:bidi="ar-SA"/>
        </w:rPr>
        <w:t>22</w:t>
      </w:r>
      <w:r>
        <w:rPr>
          <w:rFonts w:hint="eastAsia" w:ascii="仿宋_GB2312" w:hAnsi="仿宋_GB2312" w:eastAsia="仿宋_GB2312" w:cs="仿宋_GB2312"/>
          <w:kern w:val="2"/>
          <w:sz w:val="32"/>
          <w:szCs w:val="32"/>
          <w:lang w:val="en-US" w:eastAsia="zh-CN" w:bidi="ar-SA"/>
        </w:rPr>
        <w:t>人，事业实有人数20人;退休人员8人。</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zh-CN"/>
        </w:rPr>
        <w:t>（二）机构职能。</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kern w:val="0"/>
          <w:sz w:val="32"/>
          <w:szCs w:val="32"/>
          <w:shd w:val="clear" w:color="auto" w:fill="FFFFFF"/>
          <w:lang w:val="en-US" w:eastAsia="zh-CN" w:bidi="ar-SA"/>
        </w:rPr>
        <w:t>1.贯彻执</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行国家、省、州住房保障和城乡建设的法律法规法规和方针政策。研究拟定住房保障、工程建设、城乡建设、建筑业、房屋装饰装修业、住宅与房地产业、勘察设计服务业、市政公用服务管理有关规范性文件和制度草案，负责依法行政工作。</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承担住房保障工作。拟订全县住房及住房保障相关政策并指导实施，指导住房建设和住房制度改革。拟订廉租住房规划及政策，会同有关部门做好国家、省、州有关廉租住房资金安排并监督地方组织实施。编制住房保障发展规划和年度计划并监督实施。</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3.承担规范房地产市场秩序、监督管理房地产市场的责任。会同有关部门组织拟订房地产市场监督管理政策并监督执行；指导城镇土地使用权有偿转让和开发利用工作，提出房地产业的行业发展规划和产业政策；制定房地产开发、房屋权属管理、房屋租赁、房屋面积管理、白蚁防治、房地产估价与经纪管理、物业管理、国有土地上房屋征收拆迁的规范性文件并监督执行。</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4.承担监督管理房屋建筑和市政基础设施建设项目建筑市场、规范市场各方主体行为的责任。指导全县房建市政类建筑活动，负责房屋建筑和市政基础设施建设项目工程招标投标活动的监督管理，指导监督县行政审批局《建设工程施工许可证》核发，指导监督建设工程标准定额的实施。负责建设工程质量安全监管，负责竣工验收备案管理，组织或参与工程质量安全事故的调查处理。 </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承担规范和指导村镇建设的责任。指导农村住房建设管理、危房改造、小城镇人居生态环境的改善工作，指导受灾村镇及国家大型重点建设项目地区村镇迁建、重建的规划建设和管理工作。 </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指导城镇燃气相关配套设施的建设运营维护监督管理及审批工作。</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承担推进全县建筑节能、城镇减排的责任。拟订并监督实施全县住房和城乡建设的科技发展、建筑节能规划；组织实施全县重大建筑节能项目，推进城镇减排；组织实施重点建筑科技项目的研究开发，指导房屋墙体材料革新工作，竣工验收许可相关职责以及建设工程消防设计审查验收相关职责。</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指导建设工程抗震设防工作，组织编制并实施房屋建筑和市政设施抗震技术地方规范和标准图集，组织开展城镇建筑物抗震性能普查、鉴定加固和改造工作，指导村镇和农村建设抗震工作。</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承担房屋建筑工程和市政基础设施工程防雷装置设计审核、竣工验收许可相关职责。</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10.承担全县散装水泥发展和应用的监督管理职责。、</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11.指导城市勘察、市政工程测量和历史文化名城（镇、村）审核报批、保护和监督管理。</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12.承担职责范围内的安全生产和职业健康、生态环境保护、公共机构节能减排、审批服务便民化等工作。</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13.承担县委、县政府交办的其他工作</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lang w:val="zh-CN"/>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14.职能转变。</w:t>
      </w:r>
    </w:p>
    <w:p>
      <w:pPr>
        <w:keepNext w:val="0"/>
        <w:keepLines w:val="0"/>
        <w:pageBreakBefore w:val="0"/>
        <w:widowControl w:val="0"/>
        <w:numPr>
          <w:ilvl w:val="0"/>
          <w:numId w:val="5"/>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3" w:firstLineChars="200"/>
        <w:textAlignment w:val="auto"/>
        <w:outlineLvl w:val="2"/>
        <w:rPr>
          <w:rFonts w:hint="eastAsia" w:ascii="仿宋_GB2312" w:hAnsi="仿宋_GB2312" w:eastAsia="仿宋_GB2312" w:cs="仿宋_GB2312"/>
          <w:b/>
          <w:bCs/>
          <w:color w:val="000000"/>
          <w:kern w:val="0"/>
          <w:sz w:val="32"/>
          <w:szCs w:val="32"/>
          <w:highlight w:val="none"/>
          <w:shd w:val="clear" w:color="auto" w:fill="FFFFFF"/>
          <w:lang w:val="zh-CN"/>
        </w:rPr>
      </w:pPr>
      <w:r>
        <w:rPr>
          <w:rFonts w:hint="eastAsia" w:ascii="仿宋_GB2312" w:hAnsi="仿宋_GB2312" w:eastAsia="仿宋_GB2312" w:cs="仿宋_GB2312"/>
          <w:b/>
          <w:bCs/>
          <w:color w:val="000000"/>
          <w:kern w:val="0"/>
          <w:sz w:val="32"/>
          <w:szCs w:val="32"/>
          <w:highlight w:val="none"/>
          <w:shd w:val="clear" w:color="auto" w:fill="FFFFFF"/>
          <w:lang w:val="zh-CN"/>
        </w:rPr>
        <w:t>人员概况。</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2025住建局机关行政编制7名。其中，局长1名，副局长2名；机关工勤人员1名。事业编制22名； 年末实有总人数27人。</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auto"/>
          <w:kern w:val="0"/>
          <w:sz w:val="32"/>
          <w:szCs w:val="32"/>
          <w:highlight w:val="none"/>
          <w:shd w:val="clear" w:color="auto" w:fill="FFFFFF"/>
        </w:rPr>
      </w:pPr>
      <w:r>
        <w:rPr>
          <w:rFonts w:hint="eastAsia" w:ascii="仿宋_GB2312" w:hAnsi="仿宋_GB2312" w:eastAsia="仿宋_GB2312" w:cs="仿宋_GB2312"/>
          <w:color w:val="auto"/>
          <w:kern w:val="0"/>
          <w:sz w:val="32"/>
          <w:szCs w:val="32"/>
          <w:highlight w:val="none"/>
          <w:shd w:val="clear" w:color="auto" w:fill="FFFFFF"/>
        </w:rPr>
        <w:t>二、</w:t>
      </w:r>
      <w:r>
        <w:rPr>
          <w:rFonts w:hint="eastAsia" w:ascii="仿宋_GB2312" w:hAnsi="仿宋_GB2312" w:eastAsia="仿宋_GB2312" w:cs="仿宋_GB2312"/>
          <w:color w:val="auto"/>
          <w:kern w:val="0"/>
          <w:sz w:val="32"/>
          <w:szCs w:val="32"/>
          <w:highlight w:val="none"/>
          <w:shd w:val="clear" w:color="auto" w:fill="FFFFFF"/>
          <w:lang w:eastAsia="zh-CN"/>
        </w:rPr>
        <w:t>部门</w:t>
      </w:r>
      <w:r>
        <w:rPr>
          <w:rFonts w:hint="eastAsia" w:ascii="仿宋_GB2312" w:hAnsi="仿宋_GB2312" w:eastAsia="仿宋_GB2312" w:cs="仿宋_GB2312"/>
          <w:color w:val="auto"/>
          <w:kern w:val="0"/>
          <w:sz w:val="32"/>
          <w:szCs w:val="32"/>
          <w:highlight w:val="none"/>
          <w:shd w:val="clear" w:color="auto" w:fill="FFFFFF"/>
        </w:rPr>
        <w:t>资金收支情况</w:t>
      </w:r>
    </w:p>
    <w:p>
      <w:pPr>
        <w:widowControl/>
        <w:ind w:firstLine="964" w:firstLineChars="300"/>
        <w:rPr>
          <w:rFonts w:hint="eastAsia" w:ascii="仿宋_GB2312" w:hAnsi="仿宋_GB2312" w:eastAsia="仿宋_GB2312" w:cs="仿宋_GB2312"/>
          <w:b/>
          <w:bCs/>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（一）收入情况。</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九寨沟县住建局2025年全年预算收入：80,906,898.83元，一般公共预算财政拨款收入71,228，656.17元，占总收入的88.11%，政府性基金预算财政拨款收入9,618,242.66元，11.89%，决算报表收入情况：2025年住建局收入总额：80,906,898.83元.</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lang w:val="en-US" w:eastAsia="zh-CN" w:bidi="ar-SA"/>
        </w:rPr>
        <w:t>一般公共预算财政拨款收入71,228，656.17元，占总收入的88.11%政府性基金预算财政拨款收入9,618,242.66</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val="en-US" w:eastAsia="zh-CN"/>
        </w:rPr>
        <w:t>11.89</w:t>
      </w:r>
      <w:r>
        <w:rPr>
          <w:rFonts w:hint="eastAsia" w:ascii="仿宋_GB2312" w:hAnsi="仿宋_GB2312" w:eastAsia="仿宋_GB2312" w:cs="仿宋_GB2312"/>
          <w:color w:val="auto"/>
          <w:sz w:val="32"/>
          <w:szCs w:val="32"/>
        </w:rPr>
        <w:t>%</w:t>
      </w:r>
    </w:p>
    <w:p>
      <w:pPr>
        <w:keepNext w:val="0"/>
        <w:keepLines w:val="0"/>
        <w:pageBreakBefore w:val="0"/>
        <w:widowControl w:val="0"/>
        <w:numPr>
          <w:ilvl w:val="0"/>
          <w:numId w:val="6"/>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3" w:firstLineChars="200"/>
        <w:textAlignment w:val="auto"/>
        <w:outlineLvl w:val="2"/>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highlight w:val="none"/>
          <w:shd w:val="clear" w:color="auto" w:fill="FFFFFF"/>
          <w:lang w:val="zh-CN"/>
        </w:rPr>
        <w:t>支出情况。</w:t>
      </w:r>
    </w:p>
    <w:p>
      <w:pPr>
        <w:snapToGrid w:val="0"/>
        <w:spacing w:line="52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sz w:val="32"/>
          <w:szCs w:val="32"/>
          <w:lang w:val="en-US" w:eastAsia="zh-CN"/>
        </w:rPr>
        <w:t>九寨沟县住建局2025年全年支出预算数：80,906,898.83</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val="en-US" w:eastAsia="zh-CN"/>
        </w:rPr>
        <w:t>.</w:t>
      </w:r>
    </w:p>
    <w:p>
      <w:pPr>
        <w:widowControl/>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其中：基本支出：</w:t>
      </w:r>
      <w:r>
        <w:rPr>
          <w:rFonts w:hint="eastAsia" w:ascii="仿宋_GB2312" w:hAnsi="仿宋_GB2312" w:eastAsia="仿宋_GB2312" w:cs="仿宋_GB2312"/>
          <w:sz w:val="32"/>
          <w:szCs w:val="32"/>
          <w:lang w:val="en-US" w:eastAsia="zh-CN"/>
        </w:rPr>
        <w:t>6,704,925.00</w:t>
      </w:r>
      <w:r>
        <w:rPr>
          <w:rFonts w:hint="eastAsia" w:ascii="仿宋_GB2312" w:hAnsi="仿宋_GB2312" w:eastAsia="仿宋_GB2312" w:cs="仿宋_GB2312"/>
          <w:color w:val="000000"/>
          <w:sz w:val="32"/>
          <w:szCs w:val="32"/>
        </w:rPr>
        <w:t>元，占总支出的</w:t>
      </w:r>
      <w:r>
        <w:rPr>
          <w:rFonts w:hint="eastAsia" w:ascii="仿宋_GB2312" w:hAnsi="仿宋_GB2312" w:eastAsia="仿宋_GB2312" w:cs="仿宋_GB2312"/>
          <w:color w:val="000000"/>
          <w:sz w:val="32"/>
          <w:szCs w:val="32"/>
          <w:lang w:val="en-US" w:eastAsia="zh-CN"/>
        </w:rPr>
        <w:t>8.29</w:t>
      </w:r>
      <w:r>
        <w:rPr>
          <w:rFonts w:hint="eastAsia" w:ascii="仿宋_GB2312" w:hAnsi="仿宋_GB2312" w:eastAsia="仿宋_GB2312" w:cs="仿宋_GB2312"/>
          <w:color w:val="000000"/>
          <w:sz w:val="32"/>
          <w:szCs w:val="32"/>
        </w:rPr>
        <w:t>%，项目支出：</w:t>
      </w:r>
      <w:r>
        <w:rPr>
          <w:rFonts w:hint="eastAsia" w:ascii="仿宋_GB2312" w:hAnsi="仿宋_GB2312" w:eastAsia="仿宋_GB2312" w:cs="仿宋_GB2312"/>
          <w:sz w:val="32"/>
          <w:szCs w:val="32"/>
          <w:lang w:val="en-US" w:eastAsia="zh-CN"/>
        </w:rPr>
        <w:t>74,201,973.83</w:t>
      </w:r>
      <w:r>
        <w:rPr>
          <w:rFonts w:hint="eastAsia" w:ascii="仿宋_GB2312" w:hAnsi="仿宋_GB2312" w:eastAsia="仿宋_GB2312" w:cs="仿宋_GB2312"/>
          <w:color w:val="000000"/>
          <w:sz w:val="32"/>
          <w:szCs w:val="32"/>
        </w:rPr>
        <w:t>元，占总支出的</w:t>
      </w:r>
      <w:r>
        <w:rPr>
          <w:rFonts w:hint="eastAsia" w:ascii="仿宋_GB2312" w:hAnsi="仿宋_GB2312" w:eastAsia="仿宋_GB2312" w:cs="仿宋_GB2312"/>
          <w:color w:val="000000"/>
          <w:sz w:val="32"/>
          <w:szCs w:val="32"/>
          <w:lang w:val="en-US" w:eastAsia="zh-CN"/>
        </w:rPr>
        <w:t>91.71</w:t>
      </w:r>
      <w:r>
        <w:rPr>
          <w:rFonts w:hint="eastAsia" w:ascii="仿宋_GB2312" w:hAnsi="仿宋_GB2312" w:eastAsia="仿宋_GB2312" w:cs="仿宋_GB2312"/>
          <w:color w:val="000000"/>
          <w:sz w:val="32"/>
          <w:szCs w:val="32"/>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firstLine="640" w:firstLineChars="200"/>
        <w:textAlignment w:val="auto"/>
        <w:outlineLvl w:val="2"/>
        <w:rPr>
          <w:rFonts w:hint="eastAsia" w:ascii="仿宋_GB2312" w:hAnsi="仿宋_GB2312" w:eastAsia="仿宋_GB2312" w:cs="仿宋_GB2312"/>
          <w:color w:val="FF0000"/>
          <w:kern w:val="2"/>
          <w:sz w:val="32"/>
          <w:szCs w:val="32"/>
          <w:lang w:val="en-US" w:eastAsia="zh-CN" w:bidi="ar-SA"/>
        </w:rPr>
      </w:pPr>
    </w:p>
    <w:p>
      <w:pPr>
        <w:keepNext w:val="0"/>
        <w:keepLines w:val="0"/>
        <w:pageBreakBefore w:val="0"/>
        <w:widowControl w:val="0"/>
        <w:numPr>
          <w:ilvl w:val="0"/>
          <w:numId w:val="6"/>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left="0" w:leftChars="0" w:firstLine="643" w:firstLineChars="200"/>
        <w:textAlignment w:val="auto"/>
        <w:outlineLvl w:val="2"/>
        <w:rPr>
          <w:rFonts w:hint="eastAsia" w:ascii="仿宋_GB2312" w:hAnsi="仿宋_GB2312" w:eastAsia="仿宋_GB2312" w:cs="仿宋_GB2312"/>
          <w:b/>
          <w:color w:val="auto"/>
          <w:sz w:val="32"/>
          <w:szCs w:val="32"/>
          <w:lang w:eastAsia="zh-CN"/>
        </w:rPr>
      </w:pPr>
      <w:r>
        <w:rPr>
          <w:rFonts w:hint="eastAsia" w:ascii="仿宋_GB2312" w:hAnsi="仿宋_GB2312" w:eastAsia="仿宋_GB2312" w:cs="仿宋_GB2312"/>
          <w:b/>
          <w:color w:val="auto"/>
          <w:sz w:val="32"/>
          <w:szCs w:val="32"/>
        </w:rPr>
        <w:t>结余分配和结转结余情况</w:t>
      </w:r>
      <w:r>
        <w:rPr>
          <w:rFonts w:hint="eastAsia" w:ascii="仿宋_GB2312" w:hAnsi="仿宋_GB2312" w:eastAsia="仿宋_GB2312" w:cs="仿宋_GB2312"/>
          <w:b/>
          <w:color w:val="auto"/>
          <w:sz w:val="32"/>
          <w:szCs w:val="32"/>
          <w:lang w:eastAsia="zh-CN"/>
        </w:rPr>
        <w:t>。</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beforeAutospacing="0" w:afterAutospacing="0" w:line="580" w:lineRule="exact"/>
        <w:ind w:leftChars="200"/>
        <w:textAlignment w:val="auto"/>
        <w:outlineLvl w:val="2"/>
        <w:rPr>
          <w:rFonts w:hint="eastAsia" w:ascii="仿宋_GB2312" w:hAnsi="仿宋_GB2312" w:eastAsia="仿宋_GB2312" w:cs="仿宋_GB2312"/>
          <w:b w:val="0"/>
          <w:bCs w:val="0"/>
          <w:color w:val="auto"/>
          <w:kern w:val="0"/>
          <w:sz w:val="32"/>
          <w:szCs w:val="32"/>
          <w:highlight w:val="none"/>
          <w:shd w:val="clear" w:color="auto" w:fill="FFFFFF"/>
          <w:lang w:val="zh-CN" w:eastAsia="zh-CN"/>
        </w:rPr>
      </w:pPr>
      <w:r>
        <w:rPr>
          <w:rFonts w:hint="eastAsia" w:ascii="仿宋_GB2312" w:hAnsi="仿宋_GB2312" w:eastAsia="仿宋_GB2312" w:cs="仿宋_GB2312"/>
          <w:color w:val="auto"/>
          <w:kern w:val="2"/>
          <w:sz w:val="32"/>
          <w:szCs w:val="32"/>
          <w:lang w:val="en-US" w:eastAsia="zh-CN" w:bidi="ar-SA"/>
        </w:rPr>
        <w:t>九寨沟县住建局</w:t>
      </w:r>
      <w:r>
        <w:rPr>
          <w:rFonts w:hint="eastAsia" w:ascii="仿宋_GB2312" w:hAnsi="仿宋_GB2312" w:eastAsia="仿宋_GB2312" w:cs="仿宋_GB2312"/>
          <w:color w:val="auto"/>
          <w:sz w:val="32"/>
          <w:szCs w:val="32"/>
          <w:lang w:val="en-US" w:eastAsia="zh-CN"/>
        </w:rPr>
        <w:t>2025年决算报表年末结余0元</w:t>
      </w:r>
      <w:r>
        <w:rPr>
          <w:rFonts w:hint="eastAsia" w:ascii="仿宋_GB2312" w:hAnsi="仿宋_GB2312" w:eastAsia="仿宋_GB2312" w:cs="仿宋_GB2312"/>
          <w:b w:val="0"/>
          <w:bCs w:val="0"/>
          <w:color w:val="auto"/>
          <w:kern w:val="0"/>
          <w:sz w:val="32"/>
          <w:szCs w:val="32"/>
          <w:highlight w:val="none"/>
          <w:shd w:val="clear" w:color="auto" w:fill="FFFFFF"/>
          <w:lang w:val="en-US" w:eastAsia="zh-CN"/>
        </w:rPr>
        <w:t>。</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eastAsia" w:ascii="仿宋_GB2312" w:hAnsi="仿宋_GB2312" w:eastAsia="仿宋_GB2312" w:cs="仿宋_GB2312"/>
          <w:color w:val="auto"/>
          <w:kern w:val="0"/>
          <w:sz w:val="32"/>
          <w:szCs w:val="32"/>
          <w:highlight w:val="none"/>
          <w:shd w:val="clear" w:color="auto" w:fill="FFFFFF"/>
        </w:rPr>
      </w:pPr>
      <w:r>
        <w:rPr>
          <w:rFonts w:hint="eastAsia" w:ascii="仿宋_GB2312" w:hAnsi="仿宋_GB2312" w:eastAsia="仿宋_GB2312" w:cs="仿宋_GB2312"/>
          <w:color w:val="auto"/>
          <w:kern w:val="0"/>
          <w:sz w:val="32"/>
          <w:szCs w:val="32"/>
          <w:highlight w:val="none"/>
          <w:shd w:val="clear" w:color="auto" w:fill="FFFFFF"/>
        </w:rPr>
        <w:t>三、</w:t>
      </w:r>
      <w:r>
        <w:rPr>
          <w:rFonts w:hint="eastAsia" w:ascii="仿宋_GB2312" w:hAnsi="仿宋_GB2312" w:eastAsia="仿宋_GB2312" w:cs="仿宋_GB2312"/>
          <w:color w:val="auto"/>
          <w:kern w:val="0"/>
          <w:sz w:val="32"/>
          <w:szCs w:val="32"/>
          <w:highlight w:val="none"/>
          <w:u w:val="none"/>
          <w:shd w:val="clear" w:color="auto" w:fill="FFFFFF"/>
        </w:rPr>
        <w:t>部门</w:t>
      </w:r>
      <w:r>
        <w:rPr>
          <w:rFonts w:hint="eastAsia" w:ascii="仿宋_GB2312" w:hAnsi="仿宋_GB2312" w:eastAsia="仿宋_GB2312" w:cs="仿宋_GB2312"/>
          <w:color w:val="auto"/>
          <w:kern w:val="0"/>
          <w:sz w:val="32"/>
          <w:szCs w:val="32"/>
          <w:highlight w:val="none"/>
          <w:u w:val="none"/>
          <w:shd w:val="clear" w:color="auto" w:fill="FFFFFF"/>
          <w:lang w:eastAsia="zh-CN"/>
        </w:rPr>
        <w:t>预算</w:t>
      </w:r>
      <w:r>
        <w:rPr>
          <w:rFonts w:hint="eastAsia" w:ascii="仿宋_GB2312" w:hAnsi="仿宋_GB2312" w:eastAsia="仿宋_GB2312" w:cs="仿宋_GB2312"/>
          <w:color w:val="auto"/>
          <w:kern w:val="0"/>
          <w:sz w:val="32"/>
          <w:szCs w:val="32"/>
          <w:highlight w:val="none"/>
          <w:u w:val="none"/>
          <w:shd w:val="clear" w:color="auto" w:fill="FFFFFF"/>
        </w:rPr>
        <w:t>绩效</w:t>
      </w:r>
      <w:r>
        <w:rPr>
          <w:rFonts w:hint="eastAsia" w:ascii="仿宋_GB2312" w:hAnsi="仿宋_GB2312" w:eastAsia="仿宋_GB2312" w:cs="仿宋_GB2312"/>
          <w:color w:val="auto"/>
          <w:kern w:val="0"/>
          <w:sz w:val="32"/>
          <w:szCs w:val="32"/>
          <w:highlight w:val="none"/>
          <w:u w:val="none"/>
          <w:shd w:val="clear" w:color="auto" w:fill="FFFFFF"/>
          <w:lang w:eastAsia="zh-CN"/>
        </w:rPr>
        <w:t>分析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1"/>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（一）部门预算总体绩效分析。</w:t>
      </w:r>
      <w:r>
        <w:rPr>
          <w:rFonts w:hint="eastAsia" w:ascii="仿宋_GB2312" w:hAnsi="仿宋_GB2312" w:eastAsia="仿宋_GB2312" w:cs="仿宋_GB2312"/>
          <w:color w:val="auto"/>
          <w:kern w:val="0"/>
          <w:sz w:val="32"/>
          <w:szCs w:val="32"/>
          <w:highlight w:val="none"/>
          <w:shd w:val="clear" w:color="auto" w:fill="FFFFFF"/>
          <w:lang w:val="zh-CN"/>
        </w:rPr>
        <w:t>根据部门预算绩效评价指标体系“总体绩效”涉及二、三级指标进行逐项绩效分析并评分，依次包括履职效能、预算管理、财务管理、资产管理、采购管理等情况。</w:t>
      </w:r>
    </w:p>
    <w:p>
      <w:pPr>
        <w:keepNext w:val="0"/>
        <w:keepLines w:val="0"/>
        <w:pageBreakBefore w:val="0"/>
        <w:widowControl w:val="0"/>
        <w:kinsoku/>
        <w:wordWrap/>
        <w:overflowPunct/>
        <w:topLinePunct w:val="0"/>
        <w:autoSpaceDE/>
        <w:autoSpaceDN/>
        <w:bidi w:val="0"/>
        <w:snapToGrid/>
        <w:spacing w:before="0" w:beforeLines="0" w:beforeAutospacing="0" w:after="0" w:afterLines="0" w:afterAutospacing="0" w:line="576" w:lineRule="exact"/>
        <w:ind w:right="0" w:firstLine="720" w:firstLineChars="200"/>
        <w:jc w:val="both"/>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0"/>
          <w:sz w:val="36"/>
          <w:szCs w:val="36"/>
          <w:highlight w:val="none"/>
          <w:shd w:val="clear" w:color="auto" w:fill="FFFFFF"/>
          <w:lang w:val="en-US" w:eastAsia="zh-CN"/>
        </w:rPr>
        <w:t>1.</w:t>
      </w:r>
      <w:r>
        <w:rPr>
          <w:rFonts w:hint="eastAsia" w:ascii="仿宋_GB2312" w:hAnsi="仿宋_GB2312" w:eastAsia="仿宋_GB2312" w:cs="仿宋_GB2312"/>
          <w:color w:val="auto"/>
          <w:kern w:val="0"/>
          <w:sz w:val="36"/>
          <w:szCs w:val="36"/>
          <w:highlight w:val="none"/>
          <w:shd w:val="clear" w:color="auto" w:fill="FFFFFF"/>
          <w:lang w:val="zh-CN"/>
        </w:rPr>
        <w:t>履职效能</w:t>
      </w:r>
      <w:r>
        <w:rPr>
          <w:rFonts w:hint="eastAsia" w:ascii="仿宋_GB2312" w:hAnsi="仿宋_GB2312" w:eastAsia="仿宋_GB2312" w:cs="仿宋_GB2312"/>
          <w:color w:val="auto"/>
          <w:kern w:val="2"/>
          <w:sz w:val="32"/>
          <w:szCs w:val="32"/>
          <w:lang w:val="zh-CN" w:eastAsia="zh-CN" w:bidi="ar-SA"/>
        </w:rPr>
        <w:t>（</w:t>
      </w:r>
      <w:r>
        <w:rPr>
          <w:rFonts w:hint="eastAsia" w:ascii="仿宋_GB2312" w:hAnsi="仿宋_GB2312" w:eastAsia="仿宋_GB2312" w:cs="仿宋_GB2312"/>
          <w:color w:val="auto"/>
          <w:kern w:val="2"/>
          <w:sz w:val="32"/>
          <w:szCs w:val="32"/>
          <w:lang w:val="en-US" w:eastAsia="zh-CN" w:bidi="ar-SA"/>
        </w:rPr>
        <w:t>10分）</w:t>
      </w:r>
      <w:r>
        <w:rPr>
          <w:rFonts w:hint="eastAsia" w:ascii="仿宋_GB2312" w:hAnsi="仿宋_GB2312" w:eastAsia="仿宋_GB2312" w:cs="仿宋_GB2312"/>
          <w:b/>
          <w:bCs/>
          <w:color w:val="auto"/>
          <w:sz w:val="32"/>
          <w:szCs w:val="32"/>
          <w:u w:val="none"/>
          <w:lang w:val="en-US" w:eastAsia="zh-CN"/>
        </w:rPr>
        <w:t>1.党</w:t>
      </w:r>
      <w:r>
        <w:rPr>
          <w:rFonts w:hint="eastAsia" w:ascii="仿宋_GB2312" w:hAnsi="仿宋_GB2312" w:eastAsia="仿宋_GB2312" w:cs="仿宋_GB2312"/>
          <w:b/>
          <w:bCs/>
          <w:sz w:val="32"/>
          <w:szCs w:val="32"/>
          <w:u w:val="none"/>
          <w:lang w:val="en-US" w:eastAsia="zh-CN"/>
        </w:rPr>
        <w:t>建及党风廉政建设。</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全面发挥党建统领全局作用，坚持党建工作与业务工作同部署、同落实，不断提升基层党建工作的能力和水平；</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认真开展中央八项规定精神学习教育活动，引导干部职工深刻领会中央八项规定精神的内涵和实质，局班子查摆问题16项，已完成整改14项，2项问题正在推进中，计划年底前完成整改；</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严格执行“三会一课”、主题党日、组织生活会等制度，开展主题党日活动10次，召开支部委员会12次，党员大会5次，讲党课3次，中心组专题学习7次；</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lang w:val="en-US" w:eastAsia="zh-CN"/>
        </w:rPr>
        <w:t>专题研究党风廉政工作4次，建立健全廉政风险防控机制，组织开展警示教育、约谈警示5次，会前学纪学法11次，分层级签订党风廉政建设和反腐败工作责任书20份、职工廉政承诺书39份，撰写廉政风险防控和承诺登记表39份，全面增强党员干部的廉洁自律意识；</w:t>
      </w:r>
      <w:r>
        <w:rPr>
          <w:rFonts w:hint="eastAsia" w:ascii="仿宋_GB2312" w:hAnsi="仿宋_GB2312" w:eastAsia="仿宋_GB2312" w:cs="仿宋_GB2312"/>
          <w:b/>
          <w:bCs/>
          <w:sz w:val="32"/>
          <w:szCs w:val="32"/>
          <w:lang w:val="en-US" w:eastAsia="zh-CN"/>
        </w:rPr>
        <w:t>五是</w:t>
      </w:r>
      <w:r>
        <w:rPr>
          <w:rFonts w:hint="eastAsia" w:ascii="仿宋_GB2312" w:hAnsi="仿宋_GB2312" w:eastAsia="仿宋_GB2312" w:cs="仿宋_GB2312"/>
          <w:sz w:val="32"/>
          <w:szCs w:val="32"/>
          <w:lang w:val="en-US" w:eastAsia="zh-CN"/>
        </w:rPr>
        <w:t>将意识形态工作纳入全局重点工作，召开专题会议2次，安排部署意识形态工作，开展中心组专题学习12次，积极建设网宣队伍，强化重要时段和敏感时期的舆情监管，及时收集社情民意，积极开展信访事项、12345诉求件处理工作，及时消除各类安全风险，牢牢掌握意识形态工作的主动权。</w:t>
      </w:r>
    </w:p>
    <w:p>
      <w:pPr>
        <w:keepNext w:val="0"/>
        <w:keepLines w:val="0"/>
        <w:pageBreakBefore w:val="0"/>
        <w:widowControl w:val="0"/>
        <w:kinsoku/>
        <w:wordWrap/>
        <w:overflowPunct/>
        <w:topLinePunct w:val="0"/>
        <w:autoSpaceDE/>
        <w:autoSpaceDN/>
        <w:bidi w:val="0"/>
        <w:snapToGrid/>
        <w:spacing w:before="0" w:beforeLines="0" w:beforeAutospacing="0" w:after="0" w:afterLines="0" w:afterAutospacing="0" w:line="576" w:lineRule="exact"/>
        <w:ind w:right="0" w:firstLine="643" w:firstLineChars="200"/>
        <w:jc w:val="both"/>
        <w:textAlignment w:val="baseline"/>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u w:val="none"/>
          <w:lang w:val="en-US" w:eastAsia="zh-CN"/>
        </w:rPr>
        <w:t>2.房地产市场监管。</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专项检查“整治物业服务履约不到位、侵占业主公共收益等问题”13次，累计发现问题31个，完成整改31个；</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办理存量房网签和交易住宅109宗，交易金额4978.68万元，商品房94宗，交易金额7069.10万元，商铺1宗，交易金额68万元，监督管理2个房地产开发企业缴存预售监管资金的行为，监督缴存重点监管资金3685.72万元，已划拨重点资金2182.63万元，剩余重点监管资金1503.09万元；</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购房补贴申报情况，第一批申报购房补贴的96户，金额3,469,575.00元，发放州级30%资金104.09万元，第二批购房补贴正在收集材料审核。</w:t>
      </w:r>
    </w:p>
    <w:p>
      <w:pPr>
        <w:keepNext w:val="0"/>
        <w:keepLines w:val="0"/>
        <w:pageBreakBefore w:val="0"/>
        <w:widowControl w:val="0"/>
        <w:kinsoku/>
        <w:wordWrap/>
        <w:overflowPunct/>
        <w:topLinePunct w:val="0"/>
        <w:autoSpaceDE/>
        <w:autoSpaceDN/>
        <w:bidi w:val="0"/>
        <w:snapToGrid/>
        <w:spacing w:before="0" w:beforeLines="0" w:beforeAutospacing="0" w:after="0" w:afterLines="0" w:afterAutospacing="0" w:line="576" w:lineRule="exact"/>
        <w:ind w:right="0" w:firstLine="643" w:firstLineChars="200"/>
        <w:jc w:val="both"/>
        <w:textAlignment w:val="baseline"/>
        <w:outlineLvl w:val="9"/>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u w:val="none"/>
          <w:lang w:val="en-US" w:eastAsia="zh-CN"/>
        </w:rPr>
        <w:t>3.建筑市场管理。</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color w:val="auto"/>
          <w:sz w:val="32"/>
          <w:szCs w:val="32"/>
          <w:lang w:val="en-US" w:eastAsia="zh-CN"/>
        </w:rPr>
        <w:t>2025年通过四川省一体化政务服务平台协助行政审批局核发建筑工程施工许可证22个，办理建设工程勘察文件及施工图设计文件审查备案22个，押证施工备案登记14个，工程项目建设登记18个，普通消防设计审查8个，特殊消防设计审查2个；</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按照《中华人民共和国招投标法》等法律法规，参与房建、市政类项目的公开招投标监督工作14次，收到投诉0起，下发招标意见监督书2份；</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开展了房建、市政类项目招投标环节专项整治工作，累计梳理项目226个，按照1.5%进行抽查，对14个项目进行了招投标环节资料抽查工作；</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2025上级部门对我县下达建筑业产值目标任务为5.27亿元，较去年增长8%，前三季度累计完成产值3.87亿元，同比增长12.1%，在全州排名是第10位，全年预计完成5.28亿元，同比增长8.19%，五是联合人社、综合执法等部门开展</w:t>
      </w:r>
      <w:r>
        <w:rPr>
          <w:rFonts w:hint="eastAsia" w:ascii="仿宋_GB2312" w:hAnsi="仿宋_GB2312" w:eastAsia="仿宋_GB2312" w:cs="仿宋_GB2312"/>
          <w:sz w:val="32"/>
          <w:szCs w:val="32"/>
          <w:lang w:val="en-US" w:eastAsia="zh-CN"/>
        </w:rPr>
        <w:t>检查工地68次，</w:t>
      </w:r>
      <w:r>
        <w:rPr>
          <w:rFonts w:hint="eastAsia" w:ascii="仿宋_GB2312" w:hAnsi="仿宋_GB2312" w:eastAsia="仿宋_GB2312" w:cs="仿宋_GB2312"/>
          <w:sz w:val="32"/>
          <w:szCs w:val="32"/>
          <w:lang w:eastAsia="zh-CN"/>
        </w:rPr>
        <w:t>下发整改通知</w:t>
      </w:r>
      <w:r>
        <w:rPr>
          <w:rFonts w:hint="eastAsia" w:ascii="仿宋_GB2312" w:hAnsi="仿宋_GB2312" w:eastAsia="仿宋_GB2312" w:cs="仿宋_GB2312"/>
          <w:sz w:val="32"/>
          <w:szCs w:val="32"/>
          <w:lang w:val="en-US" w:eastAsia="zh-CN"/>
        </w:rPr>
        <w:t>40起，移交执法局7起，收到欠薪</w:t>
      </w:r>
      <w:r>
        <w:rPr>
          <w:rFonts w:hint="eastAsia" w:ascii="仿宋_GB2312" w:hAnsi="仿宋_GB2312" w:eastAsia="仿宋_GB2312" w:cs="仿宋_GB2312"/>
          <w:b w:val="0"/>
          <w:bCs w:val="0"/>
          <w:sz w:val="32"/>
          <w:szCs w:val="32"/>
          <w:lang w:val="en-US" w:eastAsia="zh-CN"/>
        </w:rPr>
        <w:t>投诉8起，均已协调处理。</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bCs/>
          <w:sz w:val="32"/>
          <w:szCs w:val="32"/>
          <w:u w:val="none"/>
          <w:lang w:val="en-US" w:eastAsia="zh-CN"/>
        </w:rPr>
        <w:t>4.住房保障。</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kern w:val="2"/>
          <w:sz w:val="32"/>
          <w:szCs w:val="32"/>
          <w:lang w:val="en-US" w:eastAsia="zh-CN" w:bidi="ar-SA"/>
        </w:rPr>
        <w:t>按照《九寨沟县公共租赁住房和廉租住房并轨运行的实施细则》要求，对30名符合实物配租条件人员完成了房屋配租工作；</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kern w:val="2"/>
          <w:sz w:val="32"/>
          <w:szCs w:val="32"/>
          <w:lang w:val="en-US" w:eastAsia="zh-CN" w:bidi="ar-SA"/>
        </w:rPr>
        <w:t>积极推进2025年既有住宅电梯增设工作，截止目前已开工建设73部，已完工38部；</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kern w:val="2"/>
          <w:sz w:val="32"/>
          <w:szCs w:val="32"/>
          <w:lang w:val="en-US" w:eastAsia="zh-CN" w:bidi="ar-SA"/>
        </w:rPr>
        <w:t>完成了2025年5户危房改造工作，已竣工验收，预计11月中旬兑现补助资金“7.16”“7.24”强降雨导致房屋受损共计341户（其中维修加固305户，重建28户），截至目前已全部完工；</w:t>
      </w:r>
      <w:r>
        <w:rPr>
          <w:rFonts w:hint="eastAsia" w:ascii="仿宋_GB2312" w:hAnsi="仿宋_GB2312" w:eastAsia="仿宋_GB2312" w:cs="仿宋_GB2312"/>
          <w:color w:val="auto"/>
          <w:kern w:val="2"/>
          <w:sz w:val="32"/>
          <w:szCs w:val="32"/>
          <w:lang w:val="en-US" w:eastAsia="zh-CN" w:bidi="ar-SA"/>
        </w:rPr>
        <w:t>四是</w:t>
      </w:r>
      <w:r>
        <w:rPr>
          <w:rFonts w:hint="eastAsia" w:ascii="仿宋_GB2312" w:hAnsi="仿宋_GB2312" w:eastAsia="仿宋_GB2312" w:cs="仿宋_GB2312"/>
          <w:kern w:val="2"/>
          <w:sz w:val="32"/>
          <w:szCs w:val="32"/>
          <w:lang w:val="en-US" w:eastAsia="zh-CN" w:bidi="ar-SA"/>
        </w:rPr>
        <w:t>常态化开展做好全县自建房安全动态监测工作，暂未发现存在隐患房屋。</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u w:val="none"/>
          <w:lang w:val="en-US" w:eastAsia="zh-CN"/>
        </w:rPr>
        <w:t>5.项目建设。</w:t>
      </w:r>
      <w:r>
        <w:rPr>
          <w:rFonts w:hint="eastAsia" w:ascii="仿宋_GB2312" w:hAnsi="仿宋_GB2312" w:eastAsia="仿宋_GB2312" w:cs="仿宋_GB2312"/>
          <w:sz w:val="32"/>
          <w:szCs w:val="32"/>
          <w:lang w:val="en-US" w:eastAsia="zh-CN"/>
        </w:rPr>
        <w:t>2025年实施项目共6个，总投资14508万元。</w:t>
      </w:r>
      <w:r>
        <w:rPr>
          <w:rFonts w:hint="eastAsia" w:ascii="仿宋_GB2312" w:hAnsi="仿宋_GB2312" w:eastAsia="仿宋_GB2312" w:cs="仿宋_GB2312"/>
          <w:b/>
          <w:bCs/>
          <w:color w:val="auto"/>
          <w:kern w:val="2"/>
          <w:sz w:val="32"/>
          <w:szCs w:val="32"/>
          <w:lang w:val="en-US" w:eastAsia="zh-CN" w:bidi="ar-SA"/>
        </w:rPr>
        <w:t>一是</w:t>
      </w:r>
      <w:r>
        <w:rPr>
          <w:rFonts w:hint="eastAsia" w:ascii="仿宋_GB2312" w:hAnsi="仿宋_GB2312" w:eastAsia="仿宋_GB2312" w:cs="仿宋_GB2312"/>
          <w:sz w:val="32"/>
          <w:szCs w:val="32"/>
          <w:lang w:val="en-US" w:eastAsia="zh-CN"/>
        </w:rPr>
        <w:t>九寨沟县永丰旅游产业配套基础设施建设项目，已完成总工程量的88%，计划2025年12月完成建设；</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sz w:val="32"/>
          <w:szCs w:val="32"/>
          <w:lang w:val="en-US" w:eastAsia="zh-CN"/>
        </w:rPr>
        <w:t>九寨沟县乡镇干部职工周转宿舍建设项目，已完成总工程量的90%，计划2025年12月底完成建设；</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sz w:val="32"/>
          <w:szCs w:val="32"/>
          <w:lang w:val="en-US" w:eastAsia="zh-CN"/>
        </w:rPr>
        <w:t>九寨沟县垃圾分类项目，已完成总工程量的80%，目前正在争取缺口资金，待资金下达后立即实施后续工作，计划2025年12月完成建设；</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sz w:val="32"/>
          <w:szCs w:val="32"/>
          <w:lang w:val="en-US" w:eastAsia="zh-CN"/>
        </w:rPr>
        <w:t>2024年城镇老旧小区改造项目，已完工；</w:t>
      </w:r>
      <w:r>
        <w:rPr>
          <w:rFonts w:hint="eastAsia" w:ascii="仿宋_GB2312" w:hAnsi="仿宋_GB2312" w:eastAsia="仿宋_GB2312" w:cs="仿宋_GB2312"/>
          <w:b/>
          <w:bCs/>
          <w:color w:val="auto"/>
          <w:kern w:val="2"/>
          <w:sz w:val="32"/>
          <w:szCs w:val="32"/>
          <w:lang w:val="en-US" w:eastAsia="zh-CN" w:bidi="ar-SA"/>
        </w:rPr>
        <w:t>五是</w:t>
      </w:r>
      <w:r>
        <w:rPr>
          <w:rFonts w:hint="eastAsia" w:ascii="仿宋_GB2312" w:hAnsi="仿宋_GB2312" w:eastAsia="仿宋_GB2312" w:cs="仿宋_GB2312"/>
          <w:sz w:val="32"/>
          <w:szCs w:val="32"/>
          <w:lang w:val="en-US" w:eastAsia="zh-CN"/>
        </w:rPr>
        <w:t>九寨沟县主城区供水管网改造项目，已完成工程量的95%，计划2025年12月完成建设；</w:t>
      </w:r>
      <w:r>
        <w:rPr>
          <w:rFonts w:hint="eastAsia" w:ascii="仿宋_GB2312" w:hAnsi="仿宋_GB2312" w:eastAsia="仿宋_GB2312" w:cs="仿宋_GB2312"/>
          <w:b/>
          <w:bCs/>
          <w:color w:val="auto"/>
          <w:kern w:val="2"/>
          <w:sz w:val="32"/>
          <w:szCs w:val="32"/>
          <w:lang w:val="en-US" w:eastAsia="zh-CN" w:bidi="ar-SA"/>
        </w:rPr>
        <w:t>六是</w:t>
      </w:r>
      <w:r>
        <w:rPr>
          <w:rFonts w:hint="eastAsia" w:ascii="仿宋_GB2312" w:hAnsi="仿宋_GB2312" w:eastAsia="仿宋_GB2312" w:cs="仿宋_GB2312"/>
          <w:sz w:val="32"/>
          <w:szCs w:val="32"/>
          <w:lang w:val="en-US" w:eastAsia="zh-CN"/>
        </w:rPr>
        <w:t>九寨沟县二号桥至下双河村基础设施建设项目，已完成投资3200万元，完成工程量的80%，计划2025年12月完成建设。</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u w:val="none"/>
          <w:lang w:val="en-US" w:eastAsia="zh-CN"/>
        </w:rPr>
        <w:t>6.环境保护。</w:t>
      </w:r>
      <w:r>
        <w:rPr>
          <w:rFonts w:hint="eastAsia" w:ascii="仿宋_GB2312" w:hAnsi="仿宋_GB2312" w:eastAsia="仿宋_GB2312" w:cs="仿宋_GB2312"/>
          <w:sz w:val="32"/>
          <w:szCs w:val="32"/>
          <w:lang w:val="en-US" w:eastAsia="zh-CN"/>
        </w:rPr>
        <w:t>紧盯前期未整改完成问题和2025年第三轮省级环保督察反馈问题清单，全力推进整改工作。</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前期未完成整的中央第二轮11项（省级整改任务49项）问题正在整改中，第二轮省级生态环境保护督察反馈问题（2项）已完成整改措施落地、效果核查等前期工作，目前正按程序准备销号材料，待上级审核通过后即可完成销号；</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sz w:val="32"/>
          <w:szCs w:val="32"/>
          <w:lang w:val="en-US" w:eastAsia="zh-CN"/>
        </w:rPr>
        <w:t>2025年第三轮省级环保督察反馈问题11个，已整改完成8个，剩余3个问题整在整改中。</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u w:val="none"/>
          <w:lang w:val="en-US" w:eastAsia="zh-CN"/>
        </w:rPr>
        <w:t>7.城乡环境质量提升。</w:t>
      </w:r>
      <w:r>
        <w:rPr>
          <w:rFonts w:hint="eastAsia" w:ascii="仿宋_GB2312" w:hAnsi="仿宋_GB2312" w:eastAsia="仿宋_GB2312" w:cs="仿宋_GB2312"/>
          <w:b/>
          <w:bCs/>
          <w:color w:val="auto"/>
          <w:sz w:val="32"/>
          <w:szCs w:val="32"/>
          <w:lang w:val="en-US" w:eastAsia="zh-CN"/>
        </w:rPr>
        <w:t>一是</w:t>
      </w:r>
      <w:r>
        <w:rPr>
          <w:rFonts w:hint="eastAsia" w:ascii="仿宋_GB2312" w:hAnsi="仿宋_GB2312" w:eastAsia="仿宋_GB2312" w:cs="仿宋_GB2312"/>
          <w:sz w:val="32"/>
          <w:szCs w:val="32"/>
          <w:lang w:val="en-US" w:eastAsia="zh-CN"/>
        </w:rPr>
        <w:t>以“2+5”专项整治、“三化、两提升”行动为切入点，采取“四不两直”的方式对各乡（镇）和牵头部门工作开展情况开展督导1次，对督导中发现问题及时进行了反馈，以督促改、以改提效，</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sz w:val="32"/>
          <w:szCs w:val="32"/>
          <w:lang w:val="en-US" w:eastAsia="zh-CN"/>
        </w:rPr>
        <w:t>对国省干线沿线、水域、路域、公厕环境环境综合治理开展督查3次，累计发出问题交办单单50份，整治各类环境问题385项，整改完成率100%；</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sz w:val="32"/>
          <w:szCs w:val="32"/>
          <w:lang w:val="en-US" w:eastAsia="zh-CN"/>
        </w:rPr>
        <w:t>组织开展“全域全民、全域无垃圾”城乡环境卫生大扫除、大整治、大提升活动12次，顺利完成了年度各项工作任务。</w:t>
      </w:r>
    </w:p>
    <w:p>
      <w:pPr>
        <w:keepNext w:val="0"/>
        <w:keepLines w:val="0"/>
        <w:pageBreakBefore w:val="0"/>
        <w:widowControl w:val="0"/>
        <w:kinsoku/>
        <w:wordWrap/>
        <w:overflowPunct/>
        <w:topLinePunct w:val="0"/>
        <w:autoSpaceDE/>
        <w:autoSpaceDN/>
        <w:bidi w:val="0"/>
        <w:adjustRightInd/>
        <w:snapToGrid/>
        <w:spacing w:line="576" w:lineRule="exact"/>
        <w:ind w:lef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u w:val="none"/>
          <w:lang w:val="en-US" w:eastAsia="zh-CN"/>
        </w:rPr>
        <w:t>8.城市管理工作。</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sz w:val="32"/>
          <w:szCs w:val="32"/>
          <w:lang w:val="en-US" w:eastAsia="zh-CN"/>
        </w:rPr>
        <w:t>积极营造文明有序的市容环境，累计规范占道经营500余次、跨门经营600余次，文明劝导流动商贩500余人次；规范以车为市500余车次；联合县执法局、县交警大队、县市场监督管理局开展联合执法5次，整治跨门经营商户6家，下达整改通知书5份；审批店招店牌48个、商户户外活动的备案10起；按照旅游示范公厕标准，累计清理垃圾10000余吨，清理幕布及小广告“牛皮癣”1500余处；</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sz w:val="32"/>
          <w:szCs w:val="32"/>
          <w:lang w:val="en-US" w:eastAsia="zh-CN"/>
        </w:rPr>
        <w:t>根据季节更换城区主次干道花箱、时令草花20000余盆，补植老城死亡行道树21棵，定时开展园林绿化隐患排查，排查出隐患问题10个，已全部处理完成，处理车祸损毁绿化5起、办理绿化占用审批2次；</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对城区破损及存在安全隐患的设施设备进行维修翻新，累计修复破损人行道及路面约300平方米，修补路缘石约600米；清理排水管道约18公里，疏通雨水井、污水井900余个；审批临时占用市政手续8起，完成办理退还4起，开展系统化排查检测排水管网5.9公里，更换损坏灯泡1610个、维修电缆线路160余米、处理故障灯杆233余次，亮灯率达98%。</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76" w:lineRule="exact"/>
        <w:ind w:firstLine="643" w:firstLineChars="200"/>
        <w:textAlignment w:val="auto"/>
        <w:outlineLvl w:val="2"/>
        <w:rPr>
          <w:rFonts w:hint="eastAsia" w:ascii="仿宋_GB2312" w:hAnsi="仿宋_GB2312" w:eastAsia="仿宋_GB2312" w:cs="仿宋_GB2312"/>
          <w:b w:val="0"/>
          <w:bCs w:val="0"/>
          <w:sz w:val="32"/>
          <w:szCs w:val="32"/>
          <w:lang w:val="zh-CN" w:eastAsia="zh-CN"/>
        </w:rPr>
      </w:pPr>
      <w:r>
        <w:rPr>
          <w:rFonts w:hint="eastAsia" w:ascii="仿宋_GB2312" w:hAnsi="仿宋_GB2312" w:eastAsia="仿宋_GB2312" w:cs="仿宋_GB2312"/>
          <w:b/>
          <w:bCs/>
          <w:sz w:val="32"/>
          <w:szCs w:val="32"/>
          <w:u w:val="none"/>
          <w:lang w:val="en-US" w:eastAsia="zh-CN"/>
        </w:rPr>
        <w:t>9.安全生产工作。</w:t>
      </w:r>
      <w:r>
        <w:rPr>
          <w:rFonts w:hint="eastAsia" w:ascii="仿宋_GB2312" w:hAnsi="仿宋_GB2312" w:eastAsia="仿宋_GB2312" w:cs="仿宋_GB2312"/>
          <w:b/>
          <w:bCs/>
          <w:sz w:val="32"/>
          <w:szCs w:val="32"/>
          <w:lang w:val="en-US" w:eastAsia="zh-CN"/>
        </w:rPr>
        <w:t>一是</w:t>
      </w:r>
      <w:r>
        <w:rPr>
          <w:rFonts w:hint="eastAsia" w:ascii="仿宋_GB2312" w:hAnsi="仿宋_GB2312" w:eastAsia="仿宋_GB2312" w:cs="仿宋_GB2312"/>
          <w:b w:val="0"/>
          <w:bCs w:val="0"/>
          <w:sz w:val="32"/>
          <w:szCs w:val="32"/>
          <w:lang w:val="en-US" w:eastAsia="zh-CN"/>
        </w:rPr>
        <w:t>开展燃气场站安全日常检查12次,排查出一般安全隐患39个，整改完成一般安全隐患35个，剩余4个问题正在整改中；联合消防、应急、市场监管、综合执法等部门对人员密集场所开展排查3次，累计检查场所340家，发现隐患58个，整改完成58个；发放宣传资料1500余份、开展应急演练2次，全力提高居民和企业应对突发情况的能力和水平；</w:t>
      </w:r>
      <w:r>
        <w:rPr>
          <w:rFonts w:hint="eastAsia" w:ascii="仿宋_GB2312" w:hAnsi="仿宋_GB2312" w:eastAsia="仿宋_GB2312" w:cs="仿宋_GB2312"/>
          <w:b/>
          <w:bCs/>
          <w:sz w:val="32"/>
          <w:szCs w:val="32"/>
          <w:lang w:val="en-US" w:eastAsia="zh-CN"/>
        </w:rPr>
        <w:t>二是</w:t>
      </w:r>
      <w:r>
        <w:rPr>
          <w:rFonts w:hint="eastAsia" w:ascii="仿宋_GB2312" w:hAnsi="仿宋_GB2312" w:eastAsia="仿宋_GB2312" w:cs="仿宋_GB2312"/>
          <w:b w:val="0"/>
          <w:bCs w:val="0"/>
          <w:sz w:val="32"/>
          <w:szCs w:val="32"/>
          <w:lang w:val="en-US" w:eastAsia="zh-CN"/>
        </w:rPr>
        <w:t>组织召开电梯加装专题会议4次，组织电梯加装企业、小区代表召开会议8次，建立电梯增设专项备案制度，全面审核设计、施工、监理等单位的资质条件，从源头上把好“入门关”，取“四不两直”方式，开展检查8次，发现安全问题3个，发现问题已全部整改完成，全力确保电梯加装全过程安全；</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b w:val="0"/>
          <w:bCs w:val="0"/>
          <w:sz w:val="32"/>
          <w:szCs w:val="32"/>
          <w:lang w:val="en-US" w:eastAsia="zh-CN"/>
        </w:rPr>
        <w:t>组织施工、监理企业召开安全生产专题会、培训会2次，累计开展建筑工地质量安全检查97余次，发现问题隐患42个，其中重大隐患2个，目前均已整改完成；针对安全生产工作，移交立案查处企业和人员问题11个，处罚金额18.48万元，检查特种作业人员持证上岗情况20余次，发现问题2个，均已整改完成，有效杜绝了无证上岗等问题；</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b w:val="0"/>
          <w:bCs w:val="0"/>
          <w:sz w:val="32"/>
          <w:szCs w:val="32"/>
          <w:lang w:val="en-US" w:eastAsia="zh-CN"/>
        </w:rPr>
        <w:t>专项检查物业小区消防安全、电动自行车安全隐患整治11次，累计发现一般安全安全隐患41个，完成整改40个，推送安全提示15次，发放宣传手册170余份，物业企业开展应急演练3次，有效防止物业小区火灾事故，保障了业主生命财产安全。</w:t>
      </w:r>
      <w:r>
        <w:rPr>
          <w:rFonts w:hint="eastAsia" w:ascii="仿宋_GB2312" w:hAnsi="仿宋_GB2312" w:eastAsia="仿宋_GB2312" w:cs="仿宋_GB2312"/>
          <w:b w:val="0"/>
          <w:bCs w:val="0"/>
          <w:sz w:val="32"/>
          <w:szCs w:val="32"/>
          <w:lang w:val="zh-CN" w:eastAsia="zh-CN"/>
        </w:rPr>
        <w:t>得</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lang w:val="zh-CN" w:eastAsia="zh-CN"/>
        </w:rPr>
        <w:t>分。</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76" w:lineRule="exact"/>
        <w:ind w:firstLine="640" w:firstLineChars="200"/>
        <w:textAlignment w:val="auto"/>
        <w:outlineLvl w:val="2"/>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2"/>
          <w:sz w:val="32"/>
          <w:szCs w:val="32"/>
          <w:lang w:val="zh-CN" w:eastAsia="zh-CN" w:bidi="ar-SA"/>
        </w:rPr>
        <w:t>预算管理（</w:t>
      </w:r>
      <w:r>
        <w:rPr>
          <w:rFonts w:hint="eastAsia" w:ascii="仿宋_GB2312" w:hAnsi="仿宋_GB2312" w:eastAsia="仿宋_GB2312" w:cs="仿宋_GB2312"/>
          <w:color w:val="auto"/>
          <w:kern w:val="2"/>
          <w:sz w:val="32"/>
          <w:szCs w:val="32"/>
          <w:lang w:val="en-US" w:eastAsia="zh-CN" w:bidi="ar-SA"/>
        </w:rPr>
        <w:t>25分） 2025年我局严格按照我单位《预算管理办法》的编制原则及编制方法进行预算编制、实事求是，确保年初预算的科学性、准确性。预算管理覆盖单位经济活动的全过程，所有收入和支出均应纳入预算管理。根据工作任务和发展计划编制的年度收支计划，包括收入预算和支出预算。预算执行过程中严格遵守预算的严肃性和稳定性，没有擅自变动或拒绝执行已经下达的预算，支付执行进度达到了100%。预算年末无结余。</w:t>
      </w:r>
      <w:r>
        <w:rPr>
          <w:rFonts w:hint="eastAsia" w:ascii="仿宋_GB2312" w:hAnsi="仿宋_GB2312" w:eastAsia="仿宋_GB2312" w:cs="仿宋_GB2312"/>
          <w:color w:val="auto"/>
          <w:kern w:val="0"/>
          <w:sz w:val="32"/>
          <w:szCs w:val="32"/>
          <w:highlight w:val="none"/>
          <w:shd w:val="clear" w:color="auto" w:fill="FFFFFF"/>
          <w:lang w:val="zh-CN"/>
        </w:rPr>
        <w:t>得</w:t>
      </w:r>
      <w:r>
        <w:rPr>
          <w:rFonts w:hint="eastAsia" w:ascii="仿宋_GB2312" w:hAnsi="仿宋_GB2312" w:eastAsia="仿宋_GB2312" w:cs="仿宋_GB2312"/>
          <w:color w:val="auto"/>
          <w:kern w:val="0"/>
          <w:sz w:val="32"/>
          <w:szCs w:val="32"/>
          <w:highlight w:val="none"/>
          <w:shd w:val="clear" w:color="auto" w:fill="FFFFFF"/>
          <w:lang w:val="en-US" w:eastAsia="zh-CN"/>
        </w:rPr>
        <w:t>25</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7"/>
        </w:numPr>
        <w:pBdr>
          <w:bottom w:val="single" w:color="FFFFFF" w:sz="4" w:space="31"/>
        </w:pBdr>
        <w:tabs>
          <w:tab w:val="left" w:pos="1440"/>
          <w:tab w:val="clear" w:pos="312"/>
        </w:tabs>
        <w:kinsoku/>
        <w:wordWrap/>
        <w:overflowPunct/>
        <w:topLinePunct w:val="0"/>
        <w:autoSpaceDE/>
        <w:autoSpaceDN/>
        <w:bidi w:val="0"/>
        <w:adjustRightInd w:val="0"/>
        <w:snapToGrid w:val="0"/>
        <w:spacing w:line="576" w:lineRule="exact"/>
        <w:ind w:firstLine="640" w:firstLineChars="200"/>
        <w:textAlignment w:val="auto"/>
        <w:outlineLvl w:val="2"/>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zh-CN"/>
        </w:rPr>
        <w:t>财务管理。（</w:t>
      </w:r>
      <w:r>
        <w:rPr>
          <w:rFonts w:hint="eastAsia" w:ascii="仿宋_GB2312" w:hAnsi="仿宋_GB2312" w:eastAsia="仿宋_GB2312" w:cs="仿宋_GB2312"/>
          <w:color w:val="auto"/>
          <w:kern w:val="0"/>
          <w:sz w:val="32"/>
          <w:szCs w:val="32"/>
          <w:highlight w:val="none"/>
          <w:shd w:val="clear" w:color="auto" w:fill="FFFFFF"/>
          <w:lang w:val="en-US" w:eastAsia="zh-CN"/>
        </w:rPr>
        <w:t>10分）</w:t>
      </w:r>
      <w:r>
        <w:rPr>
          <w:rFonts w:hint="eastAsia" w:ascii="仿宋_GB2312" w:hAnsi="仿宋_GB2312" w:eastAsia="仿宋_GB2312" w:cs="仿宋_GB2312"/>
          <w:color w:val="auto"/>
          <w:sz w:val="32"/>
          <w:szCs w:val="32"/>
          <w:lang w:val="en-US" w:eastAsia="zh-CN"/>
        </w:rPr>
        <w:t>2025年我单位按照岗位职责，严格执行单位财务管理制度，及时进行会计核算，专款专用，对项目资金、政府采购进行公开公示，接受群众监督。</w:t>
      </w:r>
      <w:r>
        <w:rPr>
          <w:rFonts w:hint="eastAsia" w:ascii="仿宋_GB2312" w:hAnsi="仿宋_GB2312" w:eastAsia="仿宋_GB2312" w:cs="仿宋_GB2312"/>
          <w:b/>
          <w:color w:val="auto"/>
          <w:sz w:val="32"/>
          <w:szCs w:val="32"/>
        </w:rPr>
        <w:t xml:space="preserve"> </w:t>
      </w:r>
      <w:r>
        <w:rPr>
          <w:rFonts w:hint="eastAsia" w:ascii="仿宋_GB2312" w:hAnsi="仿宋_GB2312" w:eastAsia="仿宋_GB2312" w:cs="仿宋_GB2312"/>
          <w:color w:val="auto"/>
          <w:kern w:val="0"/>
          <w:sz w:val="32"/>
          <w:szCs w:val="32"/>
          <w:highlight w:val="none"/>
          <w:shd w:val="clear" w:color="auto" w:fill="FFFFFF"/>
          <w:lang w:val="zh-CN"/>
        </w:rPr>
        <w:t>得</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7"/>
        </w:numPr>
        <w:pBdr>
          <w:bottom w:val="single" w:color="FFFFFF" w:sz="4" w:space="31"/>
        </w:pBdr>
        <w:tabs>
          <w:tab w:val="left" w:pos="1440"/>
          <w:tab w:val="clear" w:pos="312"/>
        </w:tabs>
        <w:kinsoku/>
        <w:wordWrap/>
        <w:overflowPunct/>
        <w:topLinePunct w:val="0"/>
        <w:autoSpaceDE/>
        <w:autoSpaceDN/>
        <w:bidi w:val="0"/>
        <w:adjustRightInd w:val="0"/>
        <w:snapToGrid w:val="0"/>
        <w:spacing w:line="576" w:lineRule="exact"/>
        <w:ind w:left="0" w:leftChars="0" w:firstLine="640" w:firstLineChars="200"/>
        <w:textAlignment w:val="auto"/>
        <w:outlineLvl w:val="2"/>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color w:val="auto"/>
          <w:kern w:val="0"/>
          <w:sz w:val="32"/>
          <w:szCs w:val="32"/>
          <w:highlight w:val="none"/>
          <w:shd w:val="clear" w:color="auto" w:fill="FFFFFF"/>
          <w:lang w:val="zh-CN"/>
        </w:rPr>
        <w:t>资产管理。（</w:t>
      </w:r>
      <w:r>
        <w:rPr>
          <w:rFonts w:hint="eastAsia" w:ascii="仿宋_GB2312" w:hAnsi="仿宋_GB2312" w:eastAsia="仿宋_GB2312" w:cs="仿宋_GB2312"/>
          <w:color w:val="auto"/>
          <w:kern w:val="0"/>
          <w:sz w:val="32"/>
          <w:szCs w:val="32"/>
          <w:highlight w:val="none"/>
          <w:shd w:val="clear" w:color="auto" w:fill="FFFFFF"/>
          <w:lang w:val="en-US" w:eastAsia="zh-CN"/>
        </w:rPr>
        <w:t>9分）</w:t>
      </w:r>
      <w:r>
        <w:rPr>
          <w:rFonts w:hint="eastAsia" w:ascii="仿宋_GB2312" w:hAnsi="仿宋_GB2312" w:eastAsia="仿宋_GB2312" w:cs="仿宋_GB2312"/>
          <w:bCs/>
          <w:color w:val="auto"/>
          <w:kern w:val="2"/>
          <w:sz w:val="32"/>
          <w:szCs w:val="32"/>
          <w:lang w:val="en-US" w:eastAsia="zh-CN" w:bidi="ar-SA"/>
        </w:rPr>
        <w:t>2025年我单位严格按照资产《国有资产管理制度》对单位流动资产、固定资产、无形资产等进行管理、使用、处置，按时间节点上报固定资产月报、年报及相关报告，并确保资产系统数据与财务账务系统数据一致，新购的符合固定资产标准的资产已全部计入固定资产系统及相关账务处理，对需要处置的资产根据相关部门的批复已全部处置并作相应账务处理，做到了账实相符。无盘盈、盘亏、流失等情况。</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76" w:lineRule="exact"/>
        <w:ind w:firstLine="640" w:firstLineChars="200"/>
        <w:textAlignment w:val="auto"/>
        <w:outlineLvl w:val="2"/>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Cs/>
          <w:color w:val="auto"/>
          <w:kern w:val="2"/>
          <w:sz w:val="32"/>
          <w:szCs w:val="32"/>
          <w:lang w:val="en-US" w:eastAsia="zh-CN" w:bidi="ar-SA"/>
        </w:rPr>
        <w:t>2025年底固定资产原值：376,928,472.48元，房屋及构筑屋：348,791,700.36元,其中办公用房：100,000.00元；设备：25,524,973.34元；家具、用具等：2,611,798.78元，累计折旧：180,351,499.58元，净资产：196,576,972.90元。人均占有资产13,960,313.79元,人均资产变化率：-2.17%。</w:t>
      </w:r>
      <w:r>
        <w:rPr>
          <w:rFonts w:hint="eastAsia" w:ascii="仿宋_GB2312" w:hAnsi="仿宋_GB2312" w:eastAsia="仿宋_GB2312" w:cs="仿宋_GB2312"/>
          <w:color w:val="auto"/>
          <w:kern w:val="0"/>
          <w:sz w:val="32"/>
          <w:szCs w:val="32"/>
          <w:highlight w:val="none"/>
          <w:shd w:val="clear" w:color="auto" w:fill="FFFFFF"/>
          <w:lang w:val="zh-CN"/>
        </w:rPr>
        <w:t>得</w:t>
      </w:r>
      <w:r>
        <w:rPr>
          <w:rFonts w:hint="eastAsia" w:ascii="仿宋_GB2312" w:hAnsi="仿宋_GB2312" w:eastAsia="仿宋_GB2312" w:cs="仿宋_GB2312"/>
          <w:color w:val="auto"/>
          <w:kern w:val="0"/>
          <w:sz w:val="32"/>
          <w:szCs w:val="32"/>
          <w:highlight w:val="none"/>
          <w:shd w:val="clear" w:color="auto" w:fill="FFFFFF"/>
          <w:lang w:val="en-US" w:eastAsia="zh-CN"/>
        </w:rPr>
        <w:t>9</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76" w:lineRule="exact"/>
        <w:ind w:leftChars="200"/>
        <w:textAlignment w:val="auto"/>
        <w:outlineLvl w:val="2"/>
        <w:rPr>
          <w:rFonts w:hint="eastAsia" w:ascii="仿宋_GB2312" w:hAnsi="仿宋_GB2312" w:eastAsia="仿宋_GB2312" w:cs="仿宋_GB2312"/>
          <w:b/>
          <w:bCs/>
          <w:color w:val="FF0000"/>
          <w:kern w:val="0"/>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5.</w:t>
      </w:r>
      <w:r>
        <w:rPr>
          <w:rFonts w:hint="eastAsia" w:ascii="仿宋_GB2312" w:hAnsi="仿宋_GB2312" w:eastAsia="仿宋_GB2312" w:cs="仿宋_GB2312"/>
          <w:color w:val="auto"/>
          <w:kern w:val="0"/>
          <w:sz w:val="32"/>
          <w:szCs w:val="32"/>
          <w:highlight w:val="none"/>
          <w:shd w:val="clear" w:color="auto" w:fill="FFFFFF"/>
          <w:lang w:val="zh-CN"/>
        </w:rPr>
        <w:t>采购管理。（</w:t>
      </w:r>
      <w:r>
        <w:rPr>
          <w:rFonts w:hint="eastAsia" w:ascii="仿宋_GB2312" w:hAnsi="仿宋_GB2312" w:eastAsia="仿宋_GB2312" w:cs="仿宋_GB2312"/>
          <w:color w:val="auto"/>
          <w:kern w:val="0"/>
          <w:sz w:val="32"/>
          <w:szCs w:val="32"/>
          <w:highlight w:val="none"/>
          <w:shd w:val="clear" w:color="auto" w:fill="FFFFFF"/>
          <w:lang w:val="en-US" w:eastAsia="zh-CN"/>
        </w:rPr>
        <w:t>6分）</w:t>
      </w:r>
      <w:r>
        <w:rPr>
          <w:rFonts w:hint="eastAsia" w:ascii="仿宋_GB2312" w:hAnsi="仿宋_GB2312" w:eastAsia="仿宋_GB2312" w:cs="仿宋_GB2312"/>
          <w:bCs/>
          <w:color w:val="auto"/>
          <w:kern w:val="2"/>
          <w:sz w:val="32"/>
          <w:szCs w:val="32"/>
          <w:lang w:val="en-US" w:eastAsia="zh-CN" w:bidi="ar-SA"/>
        </w:rPr>
        <w:t>2025年我单位政府采购工作，在党委正确领导下，在县采购部门的具体指导下，本着支持中小性企业发展的国家政策，严格按照政府采购要求，面向中小企业采购工程198.18万元，采购服务3.44万元，采购执行率达到100%。</w:t>
      </w:r>
      <w:r>
        <w:rPr>
          <w:rFonts w:hint="eastAsia" w:ascii="仿宋_GB2312" w:hAnsi="仿宋_GB2312" w:eastAsia="仿宋_GB2312" w:cs="仿宋_GB2312"/>
          <w:color w:val="auto"/>
          <w:kern w:val="0"/>
          <w:sz w:val="32"/>
          <w:szCs w:val="32"/>
          <w:highlight w:val="none"/>
          <w:shd w:val="clear" w:color="auto" w:fill="FFFFFF"/>
          <w:lang w:val="zh-CN"/>
        </w:rPr>
        <w:t>得</w:t>
      </w:r>
      <w:r>
        <w:rPr>
          <w:rFonts w:hint="eastAsia" w:ascii="仿宋_GB2312" w:hAnsi="仿宋_GB2312" w:eastAsia="仿宋_GB2312" w:cs="仿宋_GB2312"/>
          <w:color w:val="auto"/>
          <w:kern w:val="0"/>
          <w:sz w:val="32"/>
          <w:szCs w:val="32"/>
          <w:highlight w:val="none"/>
          <w:shd w:val="clear" w:color="auto" w:fill="FFFFFF"/>
          <w:lang w:val="en-US" w:eastAsia="zh-CN"/>
        </w:rPr>
        <w:t>6</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76" w:lineRule="exact"/>
        <w:textAlignment w:val="auto"/>
        <w:outlineLvl w:val="2"/>
        <w:rPr>
          <w:rFonts w:hint="eastAsia" w:ascii="仿宋_GB2312" w:hAnsi="仿宋_GB2312" w:eastAsia="仿宋_GB2312" w:cs="仿宋_GB2312"/>
          <w:color w:val="auto"/>
          <w:kern w:val="0"/>
          <w:sz w:val="32"/>
          <w:szCs w:val="32"/>
          <w:highlight w:val="none"/>
          <w:shd w:val="clear" w:color="auto" w:fill="FFFFFF"/>
          <w:lang w:val="en-US" w:eastAsia="zh-CN"/>
        </w:rPr>
      </w:pPr>
      <w:r>
        <w:rPr>
          <w:rFonts w:hint="eastAsia" w:ascii="仿宋_GB2312" w:hAnsi="仿宋_GB2312" w:eastAsia="仿宋_GB2312" w:cs="仿宋_GB2312"/>
          <w:b/>
          <w:bCs/>
          <w:color w:val="auto"/>
          <w:kern w:val="0"/>
          <w:sz w:val="32"/>
          <w:szCs w:val="32"/>
          <w:highlight w:val="none"/>
          <w:shd w:val="clear" w:color="auto" w:fill="FFFFFF"/>
          <w:lang w:val="zh-CN"/>
        </w:rPr>
        <w:t>（二）部门预算项目绩效分析。</w:t>
      </w:r>
      <w:r>
        <w:rPr>
          <w:rFonts w:hint="eastAsia" w:ascii="仿宋_GB2312" w:hAnsi="仿宋_GB2312" w:eastAsia="仿宋_GB2312" w:cs="仿宋_GB2312"/>
          <w:color w:val="auto"/>
          <w:kern w:val="0"/>
          <w:sz w:val="32"/>
          <w:szCs w:val="32"/>
          <w:highlight w:val="none"/>
          <w:shd w:val="clear" w:color="auto" w:fill="FFFFFF"/>
          <w:lang w:val="zh-CN" w:eastAsia="zh-CN"/>
        </w:rPr>
        <w:t>填报以下数据，</w:t>
      </w:r>
      <w:r>
        <w:rPr>
          <w:rFonts w:hint="eastAsia" w:ascii="仿宋_GB2312" w:hAnsi="仿宋_GB2312" w:eastAsia="仿宋_GB2312" w:cs="仿宋_GB2312"/>
          <w:color w:val="auto"/>
          <w:kern w:val="0"/>
          <w:sz w:val="32"/>
          <w:szCs w:val="32"/>
          <w:highlight w:val="none"/>
          <w:shd w:val="clear" w:color="auto" w:fill="FFFFFF"/>
          <w:lang w:val="zh-CN"/>
        </w:rPr>
        <w:t>并根据部门预算绩效评价指标体系“项目绩效”涉及二、三级指标进行逐项绩效分析并评分，依次包括项目</w:t>
      </w:r>
      <w:r>
        <w:rPr>
          <w:rFonts w:hint="eastAsia" w:ascii="仿宋_GB2312" w:hAnsi="仿宋_GB2312" w:eastAsia="仿宋_GB2312" w:cs="仿宋_GB2312"/>
          <w:color w:val="auto"/>
          <w:kern w:val="0"/>
          <w:sz w:val="32"/>
          <w:szCs w:val="32"/>
          <w:highlight w:val="none"/>
          <w:shd w:val="clear" w:color="auto" w:fill="FFFFFF"/>
          <w:lang w:val="en-US" w:eastAsia="zh-CN"/>
        </w:rPr>
        <w:t>决策、项目执行、目标实现等情况。</w:t>
      </w:r>
    </w:p>
    <w:p>
      <w:pPr>
        <w:keepNext w:val="0"/>
        <w:keepLines w:val="0"/>
        <w:pageBreakBefore w:val="0"/>
        <w:widowControl w:val="0"/>
        <w:numPr>
          <w:ilvl w:val="0"/>
          <w:numId w:val="0"/>
        </w:numPr>
        <w:pBdr>
          <w:bottom w:val="single" w:color="FFFFFF" w:sz="4" w:space="31"/>
        </w:pBdr>
        <w:tabs>
          <w:tab w:val="left" w:pos="1440"/>
        </w:tabs>
        <w:kinsoku/>
        <w:wordWrap/>
        <w:overflowPunct/>
        <w:topLinePunct w:val="0"/>
        <w:autoSpaceDE/>
        <w:autoSpaceDN/>
        <w:bidi w:val="0"/>
        <w:adjustRightInd w:val="0"/>
        <w:snapToGrid w:val="0"/>
        <w:spacing w:line="576" w:lineRule="exact"/>
        <w:ind w:firstLine="640" w:firstLineChars="200"/>
        <w:textAlignment w:val="auto"/>
        <w:outlineLvl w:val="2"/>
        <w:rPr>
          <w:rFonts w:hint="eastAsia"/>
          <w:lang w:val="zh-CN"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常年项目绩效分析。</w:t>
      </w:r>
      <w:r>
        <w:rPr>
          <w:rFonts w:hint="eastAsia" w:ascii="仿宋_GB2312" w:hAnsi="仿宋_GB2312" w:eastAsia="仿宋_GB2312" w:cs="仿宋_GB2312"/>
          <w:color w:val="auto"/>
          <w:kern w:val="0"/>
          <w:sz w:val="32"/>
          <w:szCs w:val="32"/>
          <w:highlight w:val="none"/>
          <w:shd w:val="clear" w:color="auto" w:fill="FFFFFF"/>
          <w:lang w:val="zh-CN" w:eastAsia="zh-CN"/>
        </w:rPr>
        <w:t>该类项目总数</w:t>
      </w:r>
      <w:r>
        <w:rPr>
          <w:rFonts w:hint="eastAsia" w:ascii="仿宋_GB2312" w:hAnsi="仿宋_GB2312" w:eastAsia="仿宋_GB2312" w:cs="仿宋_GB2312"/>
          <w:color w:val="auto"/>
          <w:kern w:val="0"/>
          <w:sz w:val="32"/>
          <w:szCs w:val="32"/>
          <w:highlight w:val="none"/>
          <w:shd w:val="clear" w:color="auto" w:fill="FFFFFF"/>
          <w:lang w:val="en-US" w:eastAsia="zh-CN"/>
        </w:rPr>
        <w:t xml:space="preserve"> 67  </w:t>
      </w:r>
      <w:r>
        <w:rPr>
          <w:rFonts w:hint="eastAsia" w:ascii="仿宋_GB2312" w:hAnsi="仿宋_GB2312" w:eastAsia="仿宋_GB2312" w:cs="仿宋_GB2312"/>
          <w:color w:val="auto"/>
          <w:kern w:val="0"/>
          <w:sz w:val="32"/>
          <w:szCs w:val="32"/>
          <w:highlight w:val="none"/>
          <w:shd w:val="clear" w:color="auto" w:fill="FFFFFF"/>
          <w:lang w:val="zh-CN" w:eastAsia="zh-CN"/>
        </w:rPr>
        <w:t>个，涉及预算总金额</w:t>
      </w:r>
      <w:r>
        <w:rPr>
          <w:rFonts w:hint="eastAsia" w:ascii="仿宋_GB2312" w:hAnsi="仿宋_GB2312" w:eastAsia="仿宋_GB2312" w:cs="仿宋_GB2312"/>
          <w:color w:val="auto"/>
          <w:kern w:val="0"/>
          <w:sz w:val="32"/>
          <w:szCs w:val="32"/>
          <w:highlight w:val="none"/>
          <w:shd w:val="clear" w:color="auto" w:fill="FFFFFF"/>
          <w:lang w:val="en-US" w:eastAsia="zh-CN"/>
        </w:rPr>
        <w:t xml:space="preserve"> 7420.20 </w:t>
      </w:r>
      <w:r>
        <w:rPr>
          <w:rFonts w:hint="eastAsia" w:ascii="仿宋_GB2312" w:hAnsi="仿宋_GB2312" w:eastAsia="仿宋_GB2312" w:cs="仿宋_GB2312"/>
          <w:color w:val="auto"/>
          <w:kern w:val="0"/>
          <w:sz w:val="32"/>
          <w:szCs w:val="32"/>
          <w:highlight w:val="none"/>
          <w:shd w:val="clear" w:color="auto" w:fill="FFFFFF"/>
          <w:lang w:val="zh-CN" w:eastAsia="zh-CN"/>
        </w:rPr>
        <w:t>万元，</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 xml:space="preserve"> 90.29</w:t>
      </w:r>
      <w:r>
        <w:rPr>
          <w:rFonts w:hint="eastAsia" w:ascii="仿宋_GB2312" w:hAnsi="仿宋_GB2312" w:eastAsia="仿宋_GB2312" w:cs="仿宋_GB2312"/>
          <w:color w:val="auto"/>
          <w:kern w:val="0"/>
          <w:sz w:val="32"/>
          <w:szCs w:val="32"/>
          <w:highlight w:val="none"/>
          <w:shd w:val="clear" w:color="auto" w:fill="FFFFFF"/>
          <w:lang w:val="zh-CN"/>
        </w:rPr>
        <w:t>%，其中：</w:t>
      </w:r>
      <w:r>
        <w:rPr>
          <w:rFonts w:hint="eastAsia" w:ascii="仿宋_GB2312" w:hAnsi="仿宋_GB2312" w:eastAsia="仿宋_GB2312" w:cs="仿宋_GB2312"/>
          <w:color w:val="auto"/>
          <w:kern w:val="0"/>
          <w:sz w:val="32"/>
          <w:szCs w:val="32"/>
          <w:highlight w:val="none"/>
          <w:shd w:val="clear" w:color="auto" w:fill="FFFFFF"/>
          <w:lang w:val="zh-CN" w:eastAsia="zh-CN"/>
        </w:rPr>
        <w:t>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 xml:space="preserve">  3</w:t>
      </w:r>
      <w:r>
        <w:rPr>
          <w:rFonts w:hint="eastAsia" w:ascii="仿宋_GB2312" w:hAnsi="仿宋_GB2312" w:eastAsia="仿宋_GB2312" w:cs="仿宋_GB2312"/>
          <w:color w:val="auto"/>
          <w:kern w:val="0"/>
          <w:sz w:val="32"/>
          <w:szCs w:val="32"/>
          <w:highlight w:val="none"/>
          <w:shd w:val="clear" w:color="auto" w:fill="FFFFFF"/>
          <w:lang w:val="zh-CN" w:eastAsia="zh-CN"/>
        </w:rPr>
        <w:t>个。</w:t>
      </w:r>
      <w:bookmarkStart w:id="88" w:name="_GoBack"/>
      <w:bookmarkEnd w:id="88"/>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color w:val="auto"/>
          <w:kern w:val="0"/>
          <w:sz w:val="32"/>
          <w:szCs w:val="32"/>
          <w:highlight w:val="none"/>
          <w:shd w:val="clear" w:color="auto" w:fill="FFFFFF"/>
          <w:lang w:val="zh-CN" w:eastAsia="zh-CN"/>
        </w:rPr>
      </w:pPr>
      <w:r>
        <w:rPr>
          <w:rFonts w:hint="eastAsia" w:ascii="仿宋_GB2312" w:hAnsi="仿宋_GB2312" w:eastAsia="仿宋_GB2312" w:cs="仿宋_GB2312"/>
          <w:color w:val="auto"/>
          <w:kern w:val="0"/>
          <w:sz w:val="32"/>
          <w:szCs w:val="32"/>
          <w:highlight w:val="none"/>
          <w:shd w:val="clear" w:color="auto" w:fill="FFFFFF"/>
          <w:lang w:val="en-US" w:eastAsia="zh-CN"/>
        </w:rPr>
        <w:t>阶段（一次性）项目绩效分析。</w:t>
      </w:r>
      <w:r>
        <w:rPr>
          <w:rFonts w:hint="eastAsia" w:ascii="仿宋_GB2312" w:hAnsi="仿宋_GB2312" w:eastAsia="仿宋_GB2312" w:cs="仿宋_GB2312"/>
          <w:color w:val="auto"/>
          <w:kern w:val="0"/>
          <w:sz w:val="32"/>
          <w:szCs w:val="32"/>
          <w:highlight w:val="none"/>
          <w:shd w:val="clear" w:color="auto" w:fill="FFFFFF"/>
          <w:lang w:val="zh-CN" w:eastAsia="zh-CN"/>
        </w:rPr>
        <w:t>该类项目总数</w:t>
      </w:r>
      <w:r>
        <w:rPr>
          <w:rFonts w:hint="eastAsia" w:ascii="仿宋_GB2312" w:hAnsi="仿宋_GB2312" w:eastAsia="仿宋_GB2312" w:cs="仿宋_GB2312"/>
          <w:color w:val="auto"/>
          <w:kern w:val="0"/>
          <w:sz w:val="32"/>
          <w:szCs w:val="32"/>
          <w:highlight w:val="none"/>
          <w:shd w:val="clear" w:color="auto" w:fill="FFFFFF"/>
          <w:lang w:val="en-US" w:eastAsia="zh-CN"/>
        </w:rPr>
        <w:t xml:space="preserve">   0</w:t>
      </w:r>
      <w:r>
        <w:rPr>
          <w:rFonts w:hint="eastAsia" w:ascii="仿宋_GB2312" w:hAnsi="仿宋_GB2312" w:eastAsia="仿宋_GB2312" w:cs="仿宋_GB2312"/>
          <w:color w:val="auto"/>
          <w:kern w:val="0"/>
          <w:sz w:val="32"/>
          <w:szCs w:val="32"/>
          <w:highlight w:val="none"/>
          <w:shd w:val="clear" w:color="auto" w:fill="FFFFFF"/>
          <w:lang w:val="zh-CN" w:eastAsia="zh-CN"/>
        </w:rPr>
        <w:t>个，涉及预算总金额</w:t>
      </w:r>
      <w:r>
        <w:rPr>
          <w:rFonts w:hint="eastAsia" w:ascii="仿宋_GB2312" w:hAnsi="仿宋_GB2312" w:eastAsia="仿宋_GB2312" w:cs="仿宋_GB2312"/>
          <w:color w:val="auto"/>
          <w:kern w:val="0"/>
          <w:sz w:val="32"/>
          <w:szCs w:val="32"/>
          <w:highlight w:val="none"/>
          <w:shd w:val="clear" w:color="auto" w:fill="FFFFFF"/>
          <w:lang w:val="en-US" w:eastAsia="zh-CN"/>
        </w:rPr>
        <w:t xml:space="preserve">  0 </w:t>
      </w:r>
      <w:r>
        <w:rPr>
          <w:rFonts w:hint="eastAsia" w:ascii="仿宋_GB2312" w:hAnsi="仿宋_GB2312" w:eastAsia="仿宋_GB2312" w:cs="仿宋_GB2312"/>
          <w:color w:val="auto"/>
          <w:kern w:val="0"/>
          <w:sz w:val="32"/>
          <w:szCs w:val="32"/>
          <w:highlight w:val="none"/>
          <w:shd w:val="clear" w:color="auto" w:fill="FFFFFF"/>
          <w:lang w:val="zh-CN" w:eastAsia="zh-CN"/>
        </w:rPr>
        <w:t>万元，</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zh-CN" w:eastAsia="zh-CN"/>
        </w:rPr>
        <w:t>—</w:t>
      </w:r>
      <w:r>
        <w:rPr>
          <w:rFonts w:hint="eastAsia" w:ascii="仿宋_GB2312" w:hAnsi="仿宋_GB2312" w:eastAsia="仿宋_GB2312" w:cs="仿宋_GB2312"/>
          <w:color w:val="auto"/>
          <w:kern w:val="0"/>
          <w:sz w:val="32"/>
          <w:szCs w:val="32"/>
          <w:highlight w:val="none"/>
          <w:shd w:val="clear" w:color="auto" w:fill="FFFFFF"/>
          <w:lang w:val="zh-CN"/>
        </w:rPr>
        <w:t>1</w:t>
      </w:r>
      <w:r>
        <w:rPr>
          <w:rFonts w:hint="eastAsia" w:ascii="仿宋_GB2312" w:hAnsi="仿宋_GB2312" w:eastAsia="仿宋_GB2312" w:cs="仿宋_GB2312"/>
          <w:color w:val="auto"/>
          <w:kern w:val="0"/>
          <w:sz w:val="32"/>
          <w:szCs w:val="32"/>
          <w:highlight w:val="none"/>
          <w:shd w:val="clear" w:color="auto" w:fill="FFFFFF"/>
          <w:lang w:val="en-US" w:eastAsia="zh-CN"/>
        </w:rPr>
        <w:t>2</w:t>
      </w:r>
      <w:r>
        <w:rPr>
          <w:rFonts w:hint="eastAsia" w:ascii="仿宋_GB2312" w:hAnsi="仿宋_GB2312" w:eastAsia="仿宋_GB2312" w:cs="仿宋_GB2312"/>
          <w:color w:val="auto"/>
          <w:kern w:val="0"/>
          <w:sz w:val="32"/>
          <w:szCs w:val="32"/>
          <w:highlight w:val="none"/>
          <w:shd w:val="clear" w:color="auto" w:fill="FFFFFF"/>
          <w:lang w:val="zh-CN"/>
        </w:rPr>
        <w:t>月预算执行总体进度为</w:t>
      </w:r>
      <w:r>
        <w:rPr>
          <w:rFonts w:hint="eastAsia" w:ascii="仿宋_GB2312" w:hAnsi="仿宋_GB2312" w:eastAsia="仿宋_GB2312" w:cs="仿宋_GB2312"/>
          <w:color w:val="auto"/>
          <w:kern w:val="0"/>
          <w:sz w:val="32"/>
          <w:szCs w:val="32"/>
          <w:highlight w:val="none"/>
          <w:shd w:val="clear" w:color="auto" w:fill="FFFFFF"/>
          <w:lang w:val="en-US" w:eastAsia="zh-CN"/>
        </w:rPr>
        <w:t xml:space="preserve">  0</w:t>
      </w:r>
      <w:r>
        <w:rPr>
          <w:rFonts w:hint="eastAsia" w:ascii="仿宋_GB2312" w:hAnsi="仿宋_GB2312" w:eastAsia="仿宋_GB2312" w:cs="仿宋_GB2312"/>
          <w:color w:val="auto"/>
          <w:kern w:val="0"/>
          <w:sz w:val="32"/>
          <w:szCs w:val="32"/>
          <w:highlight w:val="none"/>
          <w:shd w:val="clear" w:color="auto" w:fill="FFFFFF"/>
          <w:lang w:val="zh-CN"/>
        </w:rPr>
        <w:t>%，其中：</w:t>
      </w:r>
      <w:r>
        <w:rPr>
          <w:rFonts w:hint="eastAsia" w:ascii="仿宋_GB2312" w:hAnsi="仿宋_GB2312" w:eastAsia="仿宋_GB2312" w:cs="仿宋_GB2312"/>
          <w:color w:val="auto"/>
          <w:kern w:val="0"/>
          <w:sz w:val="32"/>
          <w:szCs w:val="32"/>
          <w:highlight w:val="none"/>
          <w:shd w:val="clear" w:color="auto" w:fill="FFFFFF"/>
          <w:lang w:val="zh-CN" w:eastAsia="zh-CN"/>
        </w:rPr>
        <w:t>预算结余率大于</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eastAsia="zh-CN"/>
        </w:rPr>
        <w:t>的项目共计</w:t>
      </w:r>
      <w:r>
        <w:rPr>
          <w:rFonts w:hint="eastAsia" w:ascii="仿宋_GB2312" w:hAnsi="仿宋_GB2312" w:eastAsia="仿宋_GB2312" w:cs="仿宋_GB2312"/>
          <w:color w:val="auto"/>
          <w:kern w:val="0"/>
          <w:sz w:val="32"/>
          <w:szCs w:val="32"/>
          <w:highlight w:val="none"/>
          <w:shd w:val="clear" w:color="auto" w:fill="FFFFFF"/>
          <w:lang w:val="en-US" w:eastAsia="zh-CN"/>
        </w:rPr>
        <w:t xml:space="preserve">0   </w:t>
      </w:r>
      <w:r>
        <w:rPr>
          <w:rFonts w:hint="eastAsia" w:ascii="仿宋_GB2312" w:hAnsi="仿宋_GB2312" w:eastAsia="仿宋_GB2312" w:cs="仿宋_GB2312"/>
          <w:color w:val="auto"/>
          <w:kern w:val="0"/>
          <w:sz w:val="32"/>
          <w:szCs w:val="32"/>
          <w:highlight w:val="none"/>
          <w:shd w:val="clear" w:color="auto" w:fill="FFFFFF"/>
          <w:lang w:val="zh-CN" w:eastAsia="zh-CN"/>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2"/>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color w:val="auto"/>
          <w:kern w:val="0"/>
          <w:sz w:val="32"/>
          <w:szCs w:val="32"/>
          <w:highlight w:val="none"/>
          <w:shd w:val="clear" w:color="auto" w:fill="FFFFFF"/>
          <w:lang w:val="en-US" w:eastAsia="zh-CN"/>
        </w:rPr>
        <w:t>1.</w:t>
      </w:r>
      <w:r>
        <w:rPr>
          <w:rFonts w:hint="eastAsia" w:ascii="仿宋_GB2312" w:hAnsi="仿宋_GB2312" w:eastAsia="仿宋_GB2312" w:cs="仿宋_GB2312"/>
          <w:color w:val="auto"/>
          <w:kern w:val="0"/>
          <w:sz w:val="32"/>
          <w:szCs w:val="32"/>
          <w:highlight w:val="none"/>
          <w:shd w:val="clear" w:color="auto" w:fill="FFFFFF"/>
          <w:lang w:val="zh-CN"/>
        </w:rPr>
        <w:t>项目决策。（</w:t>
      </w:r>
      <w:r>
        <w:rPr>
          <w:rFonts w:hint="eastAsia" w:ascii="仿宋_GB2312" w:hAnsi="仿宋_GB2312" w:eastAsia="仿宋_GB2312" w:cs="仿宋_GB2312"/>
          <w:color w:val="auto"/>
          <w:kern w:val="0"/>
          <w:sz w:val="32"/>
          <w:szCs w:val="32"/>
          <w:highlight w:val="none"/>
          <w:shd w:val="clear" w:color="auto" w:fill="FFFFFF"/>
          <w:lang w:val="en-US" w:eastAsia="zh-CN"/>
        </w:rPr>
        <w:t>12分</w:t>
      </w:r>
      <w:r>
        <w:rPr>
          <w:rFonts w:hint="eastAsia" w:ascii="仿宋_GB2312" w:hAnsi="仿宋_GB2312" w:eastAsia="仿宋_GB2312" w:cs="仿宋_GB2312"/>
          <w:color w:val="auto"/>
          <w:kern w:val="0"/>
          <w:sz w:val="32"/>
          <w:szCs w:val="32"/>
          <w:highlight w:val="none"/>
          <w:shd w:val="clear" w:color="auto" w:fill="FFFFFF"/>
          <w:lang w:val="zh-CN"/>
        </w:rPr>
        <w:t>）</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Cs/>
          <w:color w:val="auto"/>
          <w:kern w:val="2"/>
          <w:sz w:val="32"/>
          <w:szCs w:val="32"/>
          <w:lang w:val="en-US" w:eastAsia="zh-CN" w:bidi="ar-SA"/>
        </w:rPr>
        <w:t>我单位项目决策立项合理，项目立项依据充分、规范、项目的实施能更加有力地推进单位工作开展，充分发挥单位职能职责，保质保量完成各项任务。</w:t>
      </w:r>
      <w:r>
        <w:rPr>
          <w:rFonts w:hint="eastAsia" w:ascii="仿宋_GB2312" w:hAnsi="仿宋_GB2312" w:eastAsia="仿宋_GB2312" w:cs="仿宋_GB2312"/>
          <w:color w:val="auto"/>
          <w:kern w:val="0"/>
          <w:sz w:val="32"/>
          <w:szCs w:val="32"/>
          <w:highlight w:val="none"/>
          <w:shd w:val="clear" w:color="auto" w:fill="FFFFFF"/>
          <w:lang w:val="zh-CN"/>
        </w:rPr>
        <w:t>得</w:t>
      </w:r>
      <w:r>
        <w:rPr>
          <w:rFonts w:hint="eastAsia" w:ascii="仿宋_GB2312" w:hAnsi="仿宋_GB2312" w:eastAsia="仿宋_GB2312" w:cs="仿宋_GB2312"/>
          <w:color w:val="auto"/>
          <w:kern w:val="0"/>
          <w:sz w:val="32"/>
          <w:szCs w:val="32"/>
          <w:highlight w:val="none"/>
          <w:shd w:val="clear" w:color="auto" w:fill="FFFFFF"/>
          <w:lang w:val="en-US" w:eastAsia="zh-CN"/>
        </w:rPr>
        <w:t>12</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color w:val="auto"/>
          <w:kern w:val="0"/>
          <w:sz w:val="32"/>
          <w:szCs w:val="32"/>
          <w:highlight w:val="none"/>
          <w:shd w:val="clear" w:color="auto" w:fill="FFFFFF"/>
          <w:lang w:val="en-US" w:eastAsia="zh-CN"/>
        </w:rPr>
        <w:t>2.项目执行</w:t>
      </w:r>
      <w:r>
        <w:rPr>
          <w:rFonts w:hint="eastAsia" w:ascii="仿宋_GB2312" w:hAnsi="仿宋_GB2312" w:eastAsia="仿宋_GB2312" w:cs="仿宋_GB2312"/>
          <w:color w:val="auto"/>
          <w:kern w:val="0"/>
          <w:sz w:val="32"/>
          <w:szCs w:val="32"/>
          <w:highlight w:val="none"/>
          <w:shd w:val="clear" w:color="auto" w:fill="FFFFFF"/>
          <w:lang w:val="zh-CN"/>
        </w:rPr>
        <w:t>。（</w:t>
      </w:r>
      <w:r>
        <w:rPr>
          <w:rFonts w:hint="eastAsia" w:ascii="仿宋_GB2312" w:hAnsi="仿宋_GB2312" w:eastAsia="仿宋_GB2312" w:cs="仿宋_GB2312"/>
          <w:color w:val="auto"/>
          <w:kern w:val="0"/>
          <w:sz w:val="32"/>
          <w:szCs w:val="32"/>
          <w:highlight w:val="none"/>
          <w:shd w:val="clear" w:color="auto" w:fill="FFFFFF"/>
          <w:lang w:val="en-US" w:eastAsia="zh-CN"/>
        </w:rPr>
        <w:t>12分</w:t>
      </w:r>
      <w:r>
        <w:rPr>
          <w:rFonts w:hint="eastAsia" w:ascii="仿宋_GB2312" w:hAnsi="仿宋_GB2312" w:eastAsia="仿宋_GB2312" w:cs="仿宋_GB2312"/>
          <w:color w:val="auto"/>
          <w:kern w:val="0"/>
          <w:sz w:val="32"/>
          <w:szCs w:val="32"/>
          <w:highlight w:val="none"/>
          <w:shd w:val="clear" w:color="auto" w:fill="FFFFFF"/>
          <w:lang w:val="zh-CN"/>
        </w:rPr>
        <w:t>）</w:t>
      </w:r>
      <w:r>
        <w:rPr>
          <w:rFonts w:hint="eastAsia" w:ascii="仿宋_GB2312" w:hAnsi="仿宋_GB2312" w:eastAsia="仿宋_GB2312" w:cs="仿宋_GB2312"/>
          <w:bCs/>
          <w:color w:val="auto"/>
          <w:kern w:val="2"/>
          <w:sz w:val="32"/>
          <w:szCs w:val="32"/>
          <w:lang w:val="en-US" w:eastAsia="zh-CN" w:bidi="ar-SA"/>
        </w:rPr>
        <w:t>2025年部门预算安排4674.26元，基本支出：596.81万元，项目支出：115.45万元，预算调整退回财政：3000.00万元，2025年部门决算数，8,090.69万元，其中基本支出：670.49万元, 项目支出:7420.20万元。</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其中：1、人员经费629.79万元，主要包括：基本工资、津贴补贴、奖金、社会保险缴费、绩效工资、机关事业单位基本养老保险缴费、职业年金缴费、其他工资福利支出、离休费、住房公积金、其他对个人和家庭的补助支出。</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2、日常公用经费支出47.70万元，主要包括：办公费、印刷费、手续费、水费、电费、邮电费、差旅费、维修（护）费、会议费、培训费、劳务费、工会经费、福利费、其他交通费、其他商品和服务支出。</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color w:val="auto"/>
          <w:kern w:val="0"/>
          <w:sz w:val="32"/>
          <w:szCs w:val="32"/>
          <w:highlight w:val="none"/>
          <w:shd w:val="clear" w:color="auto" w:fill="FFFFFF"/>
          <w:lang w:val="zh-CN"/>
        </w:rPr>
      </w:pPr>
      <w:r>
        <w:rPr>
          <w:rFonts w:hint="eastAsia" w:ascii="仿宋_GB2312" w:hAnsi="仿宋_GB2312" w:eastAsia="仿宋_GB2312" w:cs="仿宋_GB2312"/>
          <w:bCs/>
          <w:color w:val="auto"/>
          <w:kern w:val="2"/>
          <w:sz w:val="32"/>
          <w:szCs w:val="32"/>
          <w:lang w:val="en-US" w:eastAsia="zh-CN" w:bidi="ar-SA"/>
        </w:rPr>
        <w:t>3、我局2025年“三公”经费财政拨款预算数9.42万元，其中：因公出国（境）经费0万元，公务接待费0.42万元，公务用车购置及运行维护费9.00万元。</w:t>
      </w:r>
      <w:r>
        <w:rPr>
          <w:rFonts w:hint="eastAsia" w:ascii="仿宋_GB2312" w:hAnsi="仿宋_GB2312" w:eastAsia="仿宋_GB2312" w:cs="仿宋_GB2312"/>
          <w:color w:val="auto"/>
          <w:kern w:val="0"/>
          <w:sz w:val="32"/>
          <w:szCs w:val="32"/>
          <w:highlight w:val="none"/>
          <w:shd w:val="clear" w:color="auto" w:fill="FFFFFF"/>
          <w:lang w:val="zh-CN"/>
        </w:rPr>
        <w:t>得</w:t>
      </w:r>
      <w:r>
        <w:rPr>
          <w:rFonts w:hint="eastAsia" w:ascii="仿宋_GB2312" w:hAnsi="仿宋_GB2312" w:eastAsia="仿宋_GB2312" w:cs="仿宋_GB2312"/>
          <w:color w:val="auto"/>
          <w:kern w:val="0"/>
          <w:sz w:val="32"/>
          <w:szCs w:val="32"/>
          <w:highlight w:val="none"/>
          <w:shd w:val="clear" w:color="auto" w:fill="FFFFFF"/>
          <w:lang w:val="en-US" w:eastAsia="zh-CN"/>
        </w:rPr>
        <w:t>9</w:t>
      </w:r>
      <w:r>
        <w:rPr>
          <w:rFonts w:hint="eastAsia" w:ascii="仿宋_GB2312" w:hAnsi="仿宋_GB2312" w:eastAsia="仿宋_GB2312" w:cs="仿宋_GB2312"/>
          <w:color w:val="auto"/>
          <w:kern w:val="0"/>
          <w:sz w:val="32"/>
          <w:szCs w:val="32"/>
          <w:highlight w:val="none"/>
          <w:shd w:val="clear" w:color="auto" w:fill="FFFFFF"/>
          <w:lang w:val="zh-CN"/>
        </w:rPr>
        <w:t>分。</w:t>
      </w:r>
    </w:p>
    <w:p>
      <w:pPr>
        <w:widowControl/>
        <w:spacing w:line="580" w:lineRule="exact"/>
        <w:ind w:firstLine="640" w:firstLineChars="200"/>
        <w:jc w:val="left"/>
        <w:rPr>
          <w:rFonts w:hint="eastAsia" w:ascii="仿宋_GB2312" w:hAnsi="仿宋_GB2312" w:eastAsia="仿宋_GB2312" w:cs="仿宋_GB2312"/>
          <w:bCs/>
          <w:color w:val="auto"/>
          <w:szCs w:val="32"/>
        </w:rPr>
      </w:pPr>
      <w:r>
        <w:rPr>
          <w:rFonts w:hint="eastAsia" w:ascii="仿宋_GB2312" w:hAnsi="仿宋_GB2312" w:eastAsia="仿宋_GB2312" w:cs="仿宋_GB2312"/>
          <w:color w:val="auto"/>
          <w:kern w:val="0"/>
          <w:sz w:val="32"/>
          <w:szCs w:val="32"/>
          <w:highlight w:val="none"/>
          <w:shd w:val="clear" w:color="auto" w:fill="FFFFFF"/>
          <w:lang w:val="en-US" w:eastAsia="zh-CN"/>
        </w:rPr>
        <w:t>3.</w:t>
      </w:r>
      <w:r>
        <w:rPr>
          <w:rFonts w:hint="eastAsia" w:ascii="仿宋_GB2312" w:hAnsi="仿宋_GB2312" w:eastAsia="仿宋_GB2312" w:cs="仿宋_GB2312"/>
          <w:color w:val="auto"/>
          <w:kern w:val="0"/>
          <w:sz w:val="32"/>
          <w:szCs w:val="32"/>
          <w:highlight w:val="none"/>
          <w:shd w:val="clear" w:color="auto" w:fill="FFFFFF"/>
          <w:lang w:val="zh-CN"/>
        </w:rPr>
        <w:t>目标实现。（</w:t>
      </w:r>
      <w:r>
        <w:rPr>
          <w:rFonts w:hint="eastAsia" w:ascii="仿宋_GB2312" w:hAnsi="仿宋_GB2312" w:eastAsia="仿宋_GB2312" w:cs="仿宋_GB2312"/>
          <w:color w:val="auto"/>
          <w:kern w:val="0"/>
          <w:sz w:val="32"/>
          <w:szCs w:val="32"/>
          <w:highlight w:val="none"/>
          <w:shd w:val="clear" w:color="auto" w:fill="FFFFFF"/>
          <w:lang w:val="en-US" w:eastAsia="zh-CN"/>
        </w:rPr>
        <w:t>11分</w:t>
      </w:r>
      <w:r>
        <w:rPr>
          <w:rFonts w:hint="eastAsia" w:ascii="仿宋_GB2312" w:hAnsi="仿宋_GB2312" w:eastAsia="仿宋_GB2312" w:cs="仿宋_GB2312"/>
          <w:color w:val="auto"/>
          <w:kern w:val="0"/>
          <w:sz w:val="32"/>
          <w:szCs w:val="32"/>
          <w:highlight w:val="none"/>
          <w:shd w:val="clear" w:color="auto" w:fill="FFFFFF"/>
          <w:lang w:val="zh-CN"/>
        </w:rPr>
        <w:t>）</w:t>
      </w:r>
      <w:r>
        <w:rPr>
          <w:rFonts w:hint="eastAsia" w:ascii="仿宋_GB2312" w:hAnsi="仿宋_GB2312" w:eastAsia="仿宋_GB2312" w:cs="仿宋_GB2312"/>
          <w:bCs/>
          <w:color w:val="auto"/>
          <w:sz w:val="32"/>
          <w:szCs w:val="32"/>
        </w:rPr>
        <w:t>本单位履职效益情况良好，对各项支出严格按照预算额度进行控制，本年预算配置方面，财政供养人员控制在预算编制以内，编制内在职人员控制率小于100%， “三公经费”控制较好。</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预算管理方面较好，本着厉行节俭、只减不增的原则，严格执行“三公”经费标准和审批制度与程序，公用经费、三公经费都得到了有效控制。</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color w:val="auto"/>
          <w:kern w:val="0"/>
          <w:szCs w:val="32"/>
          <w:highlight w:val="none"/>
          <w:shd w:val="clear" w:color="auto" w:fill="FFFFFF"/>
          <w:lang w:val="en-US" w:eastAsia="zh-CN"/>
        </w:rPr>
      </w:pPr>
      <w:r>
        <w:rPr>
          <w:rFonts w:hint="eastAsia" w:ascii="仿宋_GB2312" w:hAnsi="仿宋_GB2312" w:eastAsia="仿宋_GB2312" w:cs="仿宋_GB2312"/>
          <w:bCs/>
          <w:color w:val="auto"/>
          <w:kern w:val="2"/>
          <w:sz w:val="32"/>
          <w:szCs w:val="32"/>
          <w:lang w:val="en-US" w:eastAsia="zh-CN" w:bidi="ar-SA"/>
        </w:rPr>
        <w:t>专项资金财政拨款到位后及时进行了规划和资金投入。我局目前对专项资金的管理按照项目支出涉及的经济科目规定，根据财务管理办法的相关制度执行。</w:t>
      </w:r>
      <w:r>
        <w:rPr>
          <w:rFonts w:hint="eastAsia" w:ascii="仿宋_GB2312" w:hAnsi="仿宋_GB2312" w:eastAsia="仿宋_GB2312" w:cs="仿宋_GB2312"/>
          <w:color w:val="auto"/>
          <w:kern w:val="0"/>
          <w:sz w:val="32"/>
          <w:szCs w:val="32"/>
          <w:highlight w:val="none"/>
          <w:shd w:val="clear" w:color="auto" w:fill="FFFFFF"/>
          <w:lang w:val="zh-CN"/>
        </w:rPr>
        <w:t>得</w:t>
      </w:r>
      <w:r>
        <w:rPr>
          <w:rFonts w:hint="eastAsia" w:ascii="仿宋_GB2312" w:hAnsi="仿宋_GB2312" w:eastAsia="仿宋_GB2312" w:cs="仿宋_GB2312"/>
          <w:color w:val="auto"/>
          <w:kern w:val="0"/>
          <w:sz w:val="32"/>
          <w:szCs w:val="32"/>
          <w:highlight w:val="none"/>
          <w:shd w:val="clear" w:color="auto" w:fill="FFFFFF"/>
          <w:lang w:val="en-US" w:eastAsia="zh-CN"/>
        </w:rPr>
        <w:t>10</w:t>
      </w:r>
      <w:r>
        <w:rPr>
          <w:rFonts w:hint="eastAsia" w:ascii="仿宋_GB2312" w:hAnsi="仿宋_GB2312" w:eastAsia="仿宋_GB2312" w:cs="仿宋_GB2312"/>
          <w:color w:val="auto"/>
          <w:kern w:val="0"/>
          <w:sz w:val="32"/>
          <w:szCs w:val="32"/>
          <w:highlight w:val="none"/>
          <w:shd w:val="clear" w:color="auto" w:fill="FFFFFF"/>
          <w:lang w:val="zh-CN"/>
        </w:rPr>
        <w:t>分。</w:t>
      </w:r>
    </w:p>
    <w:p>
      <w:pPr>
        <w:pageBreakBefore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highlight w:val="none"/>
          <w:u w:val="none"/>
          <w:shd w:val="clear" w:color="auto" w:fill="auto"/>
          <w:lang w:bidi="ar"/>
        </w:rPr>
      </w:pPr>
      <w:r>
        <w:rPr>
          <w:rFonts w:hint="eastAsia" w:ascii="仿宋_GB2312" w:hAnsi="仿宋_GB2312" w:eastAsia="仿宋_GB2312" w:cs="仿宋_GB2312"/>
          <w:color w:val="auto"/>
          <w:sz w:val="32"/>
          <w:szCs w:val="32"/>
          <w:u w:val="none"/>
          <w:lang w:eastAsia="zh-CN"/>
        </w:rPr>
        <w:t>州</w:t>
      </w:r>
      <w:r>
        <w:rPr>
          <w:rFonts w:hint="eastAsia" w:ascii="仿宋_GB2312" w:hAnsi="仿宋_GB2312" w:eastAsia="仿宋_GB2312" w:cs="仿宋_GB2312"/>
          <w:color w:val="auto"/>
          <w:sz w:val="32"/>
          <w:szCs w:val="32"/>
          <w:u w:val="none"/>
        </w:rPr>
        <w:t>级部门</w:t>
      </w:r>
      <w:r>
        <w:rPr>
          <w:rFonts w:hint="eastAsia" w:ascii="仿宋_GB2312" w:hAnsi="仿宋_GB2312" w:eastAsia="仿宋_GB2312" w:cs="仿宋_GB2312"/>
          <w:color w:val="auto"/>
          <w:sz w:val="32"/>
          <w:szCs w:val="32"/>
          <w:u w:val="none"/>
          <w:lang w:val="en-US" w:eastAsia="zh-CN"/>
        </w:rPr>
        <w:t>2025年度</w:t>
      </w:r>
      <w:r>
        <w:rPr>
          <w:rFonts w:hint="eastAsia" w:ascii="仿宋_GB2312" w:hAnsi="仿宋_GB2312" w:eastAsia="仿宋_GB2312" w:cs="仿宋_GB2312"/>
          <w:color w:val="auto"/>
          <w:sz w:val="32"/>
          <w:szCs w:val="32"/>
          <w:u w:val="none"/>
        </w:rPr>
        <w:t>若涉及国有资</w:t>
      </w:r>
      <w:r>
        <w:rPr>
          <w:rFonts w:hint="eastAsia" w:ascii="仿宋_GB2312" w:hAnsi="仿宋_GB2312" w:eastAsia="仿宋_GB2312" w:cs="仿宋_GB2312"/>
          <w:color w:val="auto"/>
          <w:sz w:val="32"/>
          <w:szCs w:val="32"/>
          <w:highlight w:val="none"/>
          <w:u w:val="none"/>
        </w:rPr>
        <w:t>本经营预算、社会保险基金预算的，</w:t>
      </w:r>
      <w:r>
        <w:rPr>
          <w:rFonts w:hint="eastAsia" w:ascii="仿宋_GB2312" w:hAnsi="仿宋_GB2312" w:eastAsia="仿宋_GB2312" w:cs="仿宋_GB2312"/>
          <w:color w:val="auto"/>
          <w:sz w:val="32"/>
          <w:szCs w:val="32"/>
          <w:highlight w:val="none"/>
          <w:u w:val="none"/>
          <w:lang w:bidi="ar"/>
        </w:rPr>
        <w:t>应在部门</w:t>
      </w:r>
      <w:r>
        <w:rPr>
          <w:rFonts w:hint="eastAsia" w:ascii="仿宋_GB2312" w:hAnsi="仿宋_GB2312" w:eastAsia="仿宋_GB2312" w:cs="仿宋_GB2312"/>
          <w:color w:val="auto"/>
          <w:sz w:val="32"/>
          <w:szCs w:val="32"/>
          <w:u w:val="none"/>
          <w:lang w:eastAsia="zh-CN" w:bidi="ar"/>
        </w:rPr>
        <w:t>预算</w:t>
      </w:r>
      <w:r>
        <w:rPr>
          <w:rFonts w:hint="eastAsia" w:ascii="仿宋_GB2312" w:hAnsi="仿宋_GB2312" w:eastAsia="仿宋_GB2312" w:cs="仿宋_GB2312"/>
          <w:color w:val="auto"/>
          <w:sz w:val="32"/>
          <w:szCs w:val="32"/>
          <w:highlight w:val="none"/>
          <w:u w:val="none"/>
          <w:lang w:bidi="ar"/>
        </w:rPr>
        <w:t>绩效自评报告中</w:t>
      </w:r>
      <w:r>
        <w:rPr>
          <w:rFonts w:hint="eastAsia" w:ascii="仿宋_GB2312" w:hAnsi="仿宋_GB2312" w:eastAsia="仿宋_GB2312" w:cs="仿宋_GB2312"/>
          <w:color w:val="auto"/>
          <w:sz w:val="32"/>
          <w:szCs w:val="32"/>
          <w:highlight w:val="none"/>
          <w:u w:val="none"/>
          <w:lang w:eastAsia="zh-CN" w:bidi="ar"/>
        </w:rPr>
        <w:t>对</w:t>
      </w:r>
      <w:r>
        <w:rPr>
          <w:rFonts w:hint="eastAsia" w:ascii="仿宋_GB2312" w:hAnsi="仿宋_GB2312" w:eastAsia="仿宋_GB2312" w:cs="仿宋_GB2312"/>
          <w:color w:val="auto"/>
          <w:sz w:val="32"/>
          <w:szCs w:val="32"/>
          <w:highlight w:val="none"/>
          <w:u w:val="none"/>
          <w:lang w:bidi="ar"/>
        </w:rPr>
        <w:t>完成情况</w:t>
      </w:r>
      <w:r>
        <w:rPr>
          <w:rFonts w:hint="eastAsia" w:ascii="仿宋_GB2312" w:hAnsi="仿宋_GB2312" w:eastAsia="仿宋_GB2312" w:cs="仿宋_GB2312"/>
          <w:color w:val="auto"/>
          <w:sz w:val="32"/>
          <w:szCs w:val="32"/>
          <w:highlight w:val="none"/>
          <w:u w:val="none"/>
          <w:lang w:eastAsia="zh-CN" w:bidi="ar"/>
        </w:rPr>
        <w:t>进行梳理阐述</w:t>
      </w:r>
      <w:r>
        <w:rPr>
          <w:rFonts w:hint="eastAsia" w:ascii="仿宋_GB2312" w:hAnsi="仿宋_GB2312" w:eastAsia="仿宋_GB2312" w:cs="仿宋_GB2312"/>
          <w:color w:val="auto"/>
          <w:sz w:val="32"/>
          <w:szCs w:val="32"/>
          <w:highlight w:val="none"/>
          <w:u w:val="none"/>
        </w:rPr>
        <w:t>。国有资本经营预算绩效自评</w:t>
      </w:r>
      <w:r>
        <w:rPr>
          <w:rFonts w:hint="eastAsia" w:ascii="仿宋_GB2312" w:hAnsi="仿宋_GB2312" w:eastAsia="仿宋_GB2312" w:cs="仿宋_GB2312"/>
          <w:color w:val="auto"/>
          <w:sz w:val="32"/>
          <w:szCs w:val="32"/>
          <w:highlight w:val="none"/>
          <w:u w:val="none"/>
          <w:lang w:eastAsia="zh-CN"/>
        </w:rPr>
        <w:t>重点</w:t>
      </w:r>
      <w:r>
        <w:rPr>
          <w:rFonts w:hint="eastAsia" w:ascii="仿宋_GB2312" w:hAnsi="仿宋_GB2312" w:eastAsia="仿宋_GB2312" w:cs="仿宋_GB2312"/>
          <w:color w:val="auto"/>
          <w:sz w:val="32"/>
          <w:szCs w:val="32"/>
          <w:highlight w:val="none"/>
          <w:u w:val="none"/>
        </w:rPr>
        <w:t>关注企业的运营质量、行业水平等情况；社会保险基金预算绩效自评重点关注基金可持续性、区域安全性等情况。</w:t>
      </w:r>
      <w:r>
        <w:rPr>
          <w:rFonts w:hint="eastAsia" w:ascii="仿宋_GB2312" w:hAnsi="仿宋_GB2312" w:eastAsia="仿宋_GB2312" w:cs="仿宋_GB2312"/>
          <w:color w:val="auto"/>
          <w:kern w:val="0"/>
          <w:sz w:val="32"/>
          <w:szCs w:val="32"/>
          <w:highlight w:val="none"/>
          <w:shd w:val="clear" w:color="auto" w:fill="FFFFFF"/>
          <w:lang w:val="zh-CN"/>
        </w:rPr>
        <w:t>综上，根据评分标准，该项指标，得</w:t>
      </w:r>
      <w:r>
        <w:rPr>
          <w:rFonts w:hint="eastAsia" w:ascii="仿宋_GB2312" w:hAnsi="仿宋_GB2312" w:eastAsia="仿宋_GB2312" w:cs="仿宋_GB2312"/>
          <w:color w:val="auto"/>
          <w:kern w:val="0"/>
          <w:sz w:val="32"/>
          <w:szCs w:val="32"/>
          <w:highlight w:val="none"/>
          <w:shd w:val="clear" w:color="auto" w:fill="FFFFFF"/>
          <w:lang w:val="en-US" w:eastAsia="zh-CN"/>
        </w:rPr>
        <w:t>5</w:t>
      </w:r>
      <w:r>
        <w:rPr>
          <w:rFonts w:hint="eastAsia" w:ascii="仿宋_GB2312" w:hAnsi="仿宋_GB2312" w:eastAsia="仿宋_GB2312" w:cs="仿宋_GB2312"/>
          <w:color w:val="auto"/>
          <w:kern w:val="0"/>
          <w:sz w:val="32"/>
          <w:szCs w:val="32"/>
          <w:highlight w:val="none"/>
          <w:shd w:val="clear" w:color="auto" w:fill="FFFFFF"/>
          <w:lang w:val="zh-CN"/>
        </w:rPr>
        <w:t>分。</w:t>
      </w:r>
    </w:p>
    <w:p>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仿宋_GB2312" w:hAnsi="仿宋_GB2312" w:eastAsia="仿宋_GB2312" w:cs="仿宋_GB2312"/>
          <w:b/>
          <w:bCs/>
          <w:color w:val="auto"/>
          <w:kern w:val="0"/>
          <w:sz w:val="32"/>
          <w:szCs w:val="32"/>
          <w:highlight w:val="none"/>
          <w:shd w:val="clear" w:color="auto" w:fill="FFFFFF"/>
          <w:lang w:val="zh-CN" w:eastAsia="zh-CN"/>
        </w:rPr>
      </w:pPr>
      <w:r>
        <w:rPr>
          <w:rFonts w:hint="eastAsia" w:ascii="仿宋_GB2312" w:hAnsi="仿宋_GB2312" w:eastAsia="仿宋_GB2312" w:cs="仿宋_GB2312"/>
          <w:b/>
          <w:bCs/>
          <w:color w:val="auto"/>
          <w:kern w:val="0"/>
          <w:sz w:val="32"/>
          <w:szCs w:val="32"/>
          <w:highlight w:val="none"/>
          <w:shd w:val="clear" w:color="auto" w:fill="FFFFFF"/>
          <w:lang w:val="zh-CN"/>
        </w:rPr>
        <w:t>（三）</w:t>
      </w:r>
      <w:r>
        <w:rPr>
          <w:rFonts w:hint="eastAsia" w:ascii="仿宋_GB2312" w:hAnsi="仿宋_GB2312" w:eastAsia="仿宋_GB2312" w:cs="仿宋_GB2312"/>
          <w:b/>
          <w:bCs/>
          <w:color w:val="auto"/>
          <w:kern w:val="0"/>
          <w:sz w:val="32"/>
          <w:szCs w:val="32"/>
          <w:highlight w:val="none"/>
          <w:shd w:val="clear" w:color="auto" w:fill="FFFFFF"/>
          <w:lang w:val="zh-CN" w:eastAsia="zh-CN"/>
        </w:rPr>
        <w:t>重点领域</w:t>
      </w:r>
      <w:r>
        <w:rPr>
          <w:rFonts w:hint="eastAsia" w:ascii="仿宋_GB2312" w:hAnsi="仿宋_GB2312" w:eastAsia="仿宋_GB2312" w:cs="仿宋_GB2312"/>
          <w:b/>
          <w:bCs/>
          <w:color w:val="auto"/>
          <w:kern w:val="0"/>
          <w:sz w:val="32"/>
          <w:szCs w:val="32"/>
          <w:highlight w:val="none"/>
          <w:shd w:val="clear" w:color="auto" w:fill="FFFFFF"/>
          <w:lang w:val="zh-CN"/>
        </w:rPr>
        <w:t>绩效分析</w:t>
      </w:r>
      <w:r>
        <w:rPr>
          <w:rFonts w:hint="eastAsia" w:ascii="仿宋_GB2312" w:hAnsi="仿宋_GB2312" w:eastAsia="仿宋_GB2312" w:cs="仿宋_GB2312"/>
          <w:b/>
          <w:bCs/>
          <w:color w:val="auto"/>
          <w:kern w:val="0"/>
          <w:sz w:val="32"/>
          <w:szCs w:val="32"/>
          <w:highlight w:val="none"/>
          <w:shd w:val="clear" w:color="auto" w:fill="FFFFFF"/>
          <w:lang w:val="zh-CN" w:eastAsia="zh-CN"/>
        </w:rPr>
        <w:t>。</w:t>
      </w:r>
    </w:p>
    <w:p>
      <w:pPr>
        <w:pStyle w:val="23"/>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无</w:t>
      </w:r>
    </w:p>
    <w:p>
      <w:pPr>
        <w:keepNext w:val="0"/>
        <w:keepLines w:val="0"/>
        <w:pageBreakBefore w:val="0"/>
        <w:widowControl/>
        <w:kinsoku/>
        <w:wordWrap/>
        <w:overflowPunct/>
        <w:topLinePunct w:val="0"/>
        <w:autoSpaceDE/>
        <w:autoSpaceDN/>
        <w:bidi w:val="0"/>
        <w:spacing w:line="580" w:lineRule="exact"/>
        <w:ind w:firstLine="643" w:firstLineChars="200"/>
        <w:jc w:val="left"/>
        <w:textAlignment w:val="auto"/>
        <w:rPr>
          <w:rFonts w:hint="eastAsia" w:ascii="仿宋_GB2312" w:hAnsi="仿宋_GB2312" w:eastAsia="仿宋_GB2312" w:cs="仿宋_GB2312"/>
          <w:b/>
          <w:bCs/>
          <w:color w:val="auto"/>
          <w:sz w:val="32"/>
          <w:szCs w:val="32"/>
          <w:lang w:val="zh-CN"/>
        </w:rPr>
      </w:pPr>
      <w:r>
        <w:rPr>
          <w:rFonts w:hint="eastAsia" w:ascii="仿宋_GB2312" w:hAnsi="仿宋_GB2312" w:eastAsia="仿宋_GB2312" w:cs="仿宋_GB2312"/>
          <w:b/>
          <w:bCs/>
          <w:color w:val="auto"/>
          <w:sz w:val="32"/>
          <w:szCs w:val="32"/>
          <w:lang w:val="zh-CN"/>
        </w:rPr>
        <w:t>（四）绩效结果应用情况。</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zh-CN" w:eastAsia="zh-CN" w:bidi="ar-SA"/>
        </w:rPr>
      </w:pPr>
      <w:r>
        <w:rPr>
          <w:rFonts w:hint="eastAsia" w:ascii="仿宋_GB2312" w:hAnsi="仿宋_GB2312" w:eastAsia="仿宋_GB2312" w:cs="仿宋_GB2312"/>
          <w:bCs/>
          <w:color w:val="auto"/>
          <w:kern w:val="2"/>
          <w:sz w:val="32"/>
          <w:szCs w:val="32"/>
          <w:lang w:val="en-US" w:eastAsia="zh-CN" w:bidi="ar-SA"/>
        </w:rPr>
        <w:t>我局建立了专项资金管理办法，严格遵循专款专用、独立核算的管理原则。专项项目的申报严格按照财政资金管理的要求进行，专项资金财政拨款到位后及时进行了规划和资金投入。我局目前对专项资金的管理按照项目支出涉及的经济科目规定，根据财务管理办法的相关制度执行。专项资金中涉及的项目招投标、政府采购事项，我局均严格按照相关要求执行，委托政府采购代理招标认定单位进行公开招标，同时严格合同签订，落实采招物资和服务的验收，做好资金支付的审核审批手续</w:t>
      </w:r>
      <w:r>
        <w:rPr>
          <w:rFonts w:hint="eastAsia" w:ascii="仿宋_GB2312" w:hAnsi="仿宋_GB2312" w:eastAsia="仿宋_GB2312" w:cs="仿宋_GB2312"/>
          <w:bCs/>
          <w:color w:val="auto"/>
          <w:kern w:val="2"/>
          <w:sz w:val="32"/>
          <w:szCs w:val="32"/>
          <w:lang w:val="zh-CN" w:eastAsia="zh-CN" w:bidi="ar-SA"/>
        </w:rPr>
        <w:t>自评质量。</w:t>
      </w:r>
    </w:p>
    <w:p>
      <w:pPr>
        <w:pStyle w:val="5"/>
        <w:ind w:firstLine="640" w:firstLineChars="200"/>
        <w:rPr>
          <w:rFonts w:hint="eastAsia" w:ascii="仿宋_GB2312" w:hAnsi="仿宋_GB2312" w:eastAsia="仿宋_GB2312" w:cs="仿宋_GB2312"/>
          <w:b/>
          <w:bCs w:val="0"/>
          <w:color w:val="auto"/>
          <w:szCs w:val="32"/>
        </w:rPr>
      </w:pPr>
      <w:r>
        <w:rPr>
          <w:rFonts w:hint="eastAsia" w:ascii="仿宋_GB2312" w:hAnsi="仿宋_GB2312" w:eastAsia="仿宋_GB2312" w:cs="仿宋_GB2312"/>
          <w:b w:val="0"/>
          <w:bCs/>
          <w:color w:val="auto"/>
          <w:kern w:val="2"/>
          <w:sz w:val="32"/>
          <w:szCs w:val="32"/>
          <w:lang w:val="en-US" w:eastAsia="zh-CN" w:bidi="ar-SA"/>
        </w:rPr>
        <w:t>2025年我单位信息公开工作取得的一定成绩，单位通过官方网站、内部通知，单位公开栏等渠道，向职工及外部人员公开单位基本情况、单位办公地址、单位基本职能、重大项目批复和实施情况，政府采购项目目录、标准及实施情况 ，年度预、决算财务报表等相关信息，确保了信息的及时性和透明度。</w:t>
      </w:r>
    </w:p>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0"/>
        <w:rPr>
          <w:rFonts w:hint="eastAsia" w:ascii="仿宋_GB2312" w:hAnsi="仿宋_GB2312" w:eastAsia="仿宋_GB2312" w:cs="仿宋_GB2312"/>
          <w:color w:val="auto"/>
          <w:kern w:val="0"/>
          <w:sz w:val="32"/>
          <w:szCs w:val="32"/>
          <w:highlight w:val="none"/>
          <w:shd w:val="clear" w:color="auto" w:fill="FFFFFF"/>
        </w:rPr>
      </w:pPr>
      <w:r>
        <w:rPr>
          <w:rFonts w:hint="eastAsia" w:ascii="仿宋_GB2312" w:hAnsi="仿宋_GB2312" w:eastAsia="仿宋_GB2312" w:cs="仿宋_GB2312"/>
          <w:color w:val="auto"/>
          <w:kern w:val="0"/>
          <w:sz w:val="32"/>
          <w:szCs w:val="32"/>
          <w:highlight w:val="none"/>
          <w:shd w:val="clear" w:color="auto" w:fill="FFFFFF"/>
          <w:lang w:eastAsia="zh-CN"/>
        </w:rPr>
        <w:t>四、</w:t>
      </w:r>
      <w:r>
        <w:rPr>
          <w:rFonts w:hint="eastAsia" w:ascii="仿宋_GB2312" w:hAnsi="仿宋_GB2312" w:eastAsia="仿宋_GB2312" w:cs="仿宋_GB2312"/>
          <w:color w:val="auto"/>
          <w:kern w:val="0"/>
          <w:sz w:val="32"/>
          <w:szCs w:val="32"/>
          <w:highlight w:val="none"/>
          <w:shd w:val="clear" w:color="auto" w:fill="FFFFFF"/>
        </w:rPr>
        <w:t>评价结论及建议</w:t>
      </w:r>
    </w:p>
    <w:p>
      <w:pPr>
        <w:keepNext w:val="0"/>
        <w:keepLines w:val="0"/>
        <w:pageBreakBefore w:val="0"/>
        <w:widowControl/>
        <w:kinsoku/>
        <w:wordWrap/>
        <w:overflowPunct/>
        <w:topLinePunct w:val="0"/>
        <w:autoSpaceDE/>
        <w:autoSpaceDN/>
        <w:bidi w:val="0"/>
        <w:spacing w:line="580" w:lineRule="exact"/>
        <w:ind w:firstLine="643" w:firstLineChars="200"/>
        <w:jc w:val="left"/>
        <w:textAlignment w:val="auto"/>
        <w:rPr>
          <w:rFonts w:hint="eastAsia" w:ascii="仿宋_GB2312" w:hAnsi="仿宋_GB2312" w:eastAsia="仿宋_GB2312" w:cs="仿宋_GB2312"/>
          <w:b/>
          <w:bCs/>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（一）评价结论。</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本单位履职效益情况良好，对各项支出严格按照预算额度进行控制，本年预算配置方面，财政供养人员控制在预算编制以内，编制内在职人员控制率小于100%， “三公经费”控制较好。</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预算管理方面较好，本着厉行节俭、只减不增的原则，严格执行“三公”经费标准和审批制度与程序，公用经费、三公经费都得到了有效控制。</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我单位建立健全了财政收支管理、预算管理、资产管理制度政府采购制度等一系列内部控制制度，制度执行总体有效。</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根据部门整体支出绩效评价指标体系，我单位2025年度评分为96分。</w:t>
      </w:r>
    </w:p>
    <w:p>
      <w:pPr>
        <w:keepNext w:val="0"/>
        <w:keepLines w:val="0"/>
        <w:pageBreakBefore w:val="0"/>
        <w:widowControl/>
        <w:numPr>
          <w:ilvl w:val="0"/>
          <w:numId w:val="8"/>
        </w:numPr>
        <w:kinsoku/>
        <w:wordWrap/>
        <w:overflowPunct/>
        <w:topLinePunct w:val="0"/>
        <w:autoSpaceDE/>
        <w:autoSpaceDN/>
        <w:bidi w:val="0"/>
        <w:spacing w:line="580" w:lineRule="exact"/>
        <w:ind w:firstLine="643" w:firstLineChars="200"/>
        <w:jc w:val="left"/>
        <w:textAlignment w:val="auto"/>
        <w:rPr>
          <w:rFonts w:hint="eastAsia" w:ascii="仿宋_GB2312" w:hAnsi="仿宋_GB2312" w:eastAsia="仿宋_GB2312" w:cs="仿宋_GB2312"/>
          <w:b/>
          <w:bCs/>
          <w:color w:val="auto"/>
          <w:kern w:val="0"/>
          <w:sz w:val="32"/>
          <w:szCs w:val="32"/>
          <w:highlight w:val="none"/>
          <w:shd w:val="clear" w:color="auto" w:fill="FFFFFF"/>
          <w:lang w:val="zh-CN"/>
        </w:rPr>
      </w:pPr>
      <w:r>
        <w:rPr>
          <w:rFonts w:hint="eastAsia" w:ascii="仿宋_GB2312" w:hAnsi="仿宋_GB2312" w:eastAsia="仿宋_GB2312" w:cs="仿宋_GB2312"/>
          <w:b/>
          <w:bCs/>
          <w:color w:val="auto"/>
          <w:kern w:val="0"/>
          <w:sz w:val="32"/>
          <w:szCs w:val="32"/>
          <w:highlight w:val="none"/>
          <w:shd w:val="clear" w:color="auto" w:fill="FFFFFF"/>
          <w:lang w:val="zh-CN"/>
        </w:rPr>
        <w:t>存在问题。</w:t>
      </w:r>
    </w:p>
    <w:p>
      <w:pPr>
        <w:keepNext w:val="0"/>
        <w:keepLines w:val="0"/>
        <w:pageBreakBefore w:val="0"/>
        <w:widowControl/>
        <w:numPr>
          <w:ilvl w:val="0"/>
          <w:numId w:val="0"/>
        </w:numPr>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总的来看，我局预算绩效管理工作虽然取得了一些成绩，但也存在一些问题需要解决，还有一些不足之处需要完善，其中既有面上普遍存在的，也有实际工作中遇到的个性问题。</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1、评价指标体系需要进一步完善。财政支出评价对象涉及部门多，指标体系之间差异性大，难以把握评价办法，还不能满足目前工作开展需要。</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2、业务素质有待进一步提高。由于预算绩效管理工作缺乏系统的培训，对预算绩效管理认识不到位、理解不充分，对预算绩效管理业务不了解、不熟悉，对工作重点把握不到位。还需加大对会计人员的培训力度，进一步统一认识，充实业务知识。</w:t>
      </w:r>
    </w:p>
    <w:p>
      <w:pPr>
        <w:keepNext w:val="0"/>
        <w:keepLines w:val="0"/>
        <w:pageBreakBefore w:val="0"/>
        <w:widowControl/>
        <w:kinsoku/>
        <w:wordWrap/>
        <w:overflowPunct/>
        <w:topLinePunct w:val="0"/>
        <w:autoSpaceDE/>
        <w:autoSpaceDN/>
        <w:bidi w:val="0"/>
        <w:adjustRightInd w:val="0"/>
        <w:snapToGrid w:val="0"/>
        <w:spacing w:line="578" w:lineRule="exact"/>
        <w:ind w:firstLine="422" w:firstLineChars="200"/>
        <w:contextualSpacing/>
        <w:jc w:val="left"/>
        <w:textAlignment w:val="auto"/>
        <w:outlineLvl w:val="1"/>
        <w:rPr>
          <w:rFonts w:hint="eastAsia" w:ascii="仿宋_GB2312" w:hAnsi="仿宋_GB2312" w:eastAsia="仿宋_GB2312" w:cs="仿宋_GB2312"/>
          <w:b/>
          <w:bCs/>
          <w:color w:val="auto"/>
          <w:kern w:val="0"/>
          <w:szCs w:val="32"/>
          <w:highlight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spacing w:line="580" w:lineRule="exact"/>
        <w:ind w:leftChars="200"/>
        <w:jc w:val="left"/>
        <w:textAlignment w:val="auto"/>
        <w:rPr>
          <w:rFonts w:hint="eastAsia" w:ascii="仿宋_GB2312" w:hAnsi="仿宋_GB2312" w:eastAsia="仿宋_GB2312" w:cs="仿宋_GB2312"/>
          <w:b/>
          <w:bCs/>
          <w:color w:val="auto"/>
          <w:kern w:val="0"/>
          <w:sz w:val="32"/>
          <w:szCs w:val="32"/>
          <w:highlight w:val="none"/>
          <w:shd w:val="clear" w:color="auto" w:fill="FFFFFF"/>
          <w:lang w:val="zh-CN" w:eastAsia="zh-CN"/>
        </w:rPr>
      </w:pPr>
      <w:r>
        <w:rPr>
          <w:rFonts w:hint="eastAsia" w:ascii="仿宋_GB2312" w:hAnsi="仿宋_GB2312" w:eastAsia="仿宋_GB2312" w:cs="仿宋_GB2312"/>
          <w:b/>
          <w:bCs/>
          <w:color w:val="auto"/>
          <w:kern w:val="0"/>
          <w:sz w:val="32"/>
          <w:szCs w:val="32"/>
          <w:highlight w:val="none"/>
          <w:shd w:val="clear" w:color="auto" w:fill="FFFFFF"/>
          <w:lang w:val="zh-CN" w:eastAsia="zh-CN"/>
        </w:rPr>
        <w:t>（三）改进建议。</w:t>
      </w:r>
      <w:bookmarkStart w:id="57" w:name="_Hlk110546638"/>
    </w:p>
    <w:p>
      <w:pPr>
        <w:keepNext w:val="0"/>
        <w:keepLines w:val="0"/>
        <w:pageBreakBefore w:val="0"/>
        <w:widowControl/>
        <w:numPr>
          <w:ilvl w:val="0"/>
          <w:numId w:val="0"/>
        </w:numPr>
        <w:kinsoku/>
        <w:wordWrap/>
        <w:overflowPunct/>
        <w:topLinePunct w:val="0"/>
        <w:autoSpaceDE/>
        <w:autoSpaceDN/>
        <w:bidi w:val="0"/>
        <w:spacing w:line="580" w:lineRule="exact"/>
        <w:ind w:left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 xml:space="preserve">1、遵循预算管理办法，对于年度无法预计的临时追加的相关工作所需费用和结余资金确保资金严格按照预算专项资金使用程序申报及使用，按照预算项目和使用用途执行。 </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2、预算财务分析常态化。定期做好支出预算财务分析，及时对费用预算执行情况进行通报和预警，定期对执行情况进行检查，做好部门整体支出预算评价工作。</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3、加强公务卡管理，及时结算费用，提高公务卡使用率。</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4、加强财务管理，严格财务审核，提高财务的精细化管理。在费用报账支付时，按照预算规定的费用项目和用途进行资金使用的审核，在预算金额内严格控制费用的支出，控制超支现象的发生；严格按照实际的费用支出内容进行财务核算，确保财务核算的真实、及时、准确、完整。</w:t>
      </w:r>
    </w:p>
    <w:p>
      <w:pPr>
        <w:keepNext w:val="0"/>
        <w:keepLines w:val="0"/>
        <w:pageBreakBefore w:val="0"/>
        <w:widowControl/>
        <w:kinsoku/>
        <w:wordWrap/>
        <w:overflowPunct/>
        <w:topLinePunct w:val="0"/>
        <w:autoSpaceDE/>
        <w:autoSpaceDN/>
        <w:bidi w:val="0"/>
        <w:spacing w:line="580" w:lineRule="exact"/>
        <w:ind w:left="8420" w:leftChars="200" w:hanging="8000" w:hangingChars="25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 xml:space="preserve">5、针对指标文下达工作，尽早计划和开展年度专的      </w:t>
      </w:r>
    </w:p>
    <w:p>
      <w:pPr>
        <w:keepNext w:val="0"/>
        <w:keepLines w:val="0"/>
        <w:pageBreakBefore w:val="0"/>
        <w:widowControl/>
        <w:kinsoku/>
        <w:wordWrap/>
        <w:overflowPunct/>
        <w:topLinePunct w:val="0"/>
        <w:autoSpaceDE/>
        <w:autoSpaceDN/>
        <w:bidi w:val="0"/>
        <w:spacing w:line="580" w:lineRule="exact"/>
        <w:ind w:firstLine="640" w:firstLineChars="200"/>
        <w:jc w:val="left"/>
        <w:textAlignment w:val="auto"/>
        <w:rPr>
          <w:rFonts w:hint="eastAsia" w:ascii="仿宋_GB2312" w:hAnsi="仿宋_GB2312" w:eastAsia="仿宋_GB2312" w:cs="仿宋_GB2312"/>
          <w:bCs/>
          <w:color w:val="auto"/>
          <w:kern w:val="2"/>
          <w:sz w:val="32"/>
          <w:szCs w:val="32"/>
          <w:lang w:val="en-US" w:eastAsia="zh-CN" w:bidi="ar-SA"/>
        </w:rPr>
      </w:pPr>
      <w:r>
        <w:rPr>
          <w:rFonts w:hint="eastAsia" w:ascii="仿宋_GB2312" w:hAnsi="仿宋_GB2312" w:eastAsia="仿宋_GB2312" w:cs="仿宋_GB2312"/>
          <w:bCs/>
          <w:color w:val="auto"/>
          <w:kern w:val="2"/>
          <w:sz w:val="32"/>
          <w:szCs w:val="32"/>
          <w:lang w:val="en-US" w:eastAsia="zh-CN" w:bidi="ar-SA"/>
        </w:rPr>
        <w:t>6、在项目资金及时到位的前提下，加快项目实施进度的推进，加强项目开展进度的跟踪，开展项目绩效评价，确保项目绩效目标的完成。</w:t>
      </w:r>
    </w:p>
    <w:p>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1"/>
        <w:rPr>
          <w:rFonts w:hint="eastAsia" w:ascii="仿宋_GB2312" w:hAnsi="仿宋_GB2312" w:eastAsia="仿宋_GB2312" w:cs="仿宋_GB2312"/>
          <w:b w:val="0"/>
          <w:bCs w:val="0"/>
          <w:color w:val="auto"/>
          <w:kern w:val="0"/>
          <w:position w:val="0"/>
          <w:sz w:val="32"/>
          <w:szCs w:val="32"/>
          <w:highlight w:val="none"/>
          <w:lang w:val="en" w:eastAsia="zh-CN" w:bidi="ar-SA"/>
        </w:rPr>
      </w:pPr>
    </w:p>
    <w:bookmarkEnd w:id="57"/>
    <w:p>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b w:val="0"/>
          <w:bCs w:val="0"/>
          <w:kern w:val="0"/>
          <w:position w:val="0"/>
          <w:sz w:val="32"/>
          <w:szCs w:val="32"/>
          <w:highlight w:val="none"/>
          <w:lang w:val="zh-CN" w:eastAsia="zh-CN" w:bidi="ar-SA"/>
        </w:rPr>
      </w:pPr>
    </w:p>
    <w:p>
      <w:pPr>
        <w:keepNext w:val="0"/>
        <w:keepLines w:val="0"/>
        <w:pageBreakBefore w:val="0"/>
        <w:kinsoku/>
        <w:wordWrap/>
        <w:overflowPunct/>
        <w:topLinePunct w:val="0"/>
        <w:autoSpaceDE/>
        <w:autoSpaceDN/>
        <w:bidi w:val="0"/>
        <w:spacing w:line="578" w:lineRule="exact"/>
        <w:contextualSpacing/>
        <w:textAlignment w:val="auto"/>
        <w:outlineLvl w:val="9"/>
        <w:rPr>
          <w:rFonts w:hint="eastAsia" w:ascii="仿宋_GB2312" w:hAnsi="仿宋_GB2312" w:eastAsia="仿宋_GB2312" w:cs="仿宋_GB2312"/>
          <w:szCs w:val="32"/>
          <w:highlight w:val="none"/>
          <w:lang w:val="en-US" w:eastAsia="zh-CN"/>
        </w:rPr>
      </w:pPr>
    </w:p>
    <w:p>
      <w:pPr>
        <w:pStyle w:val="2"/>
        <w:ind w:left="0" w:leftChars="0" w:firstLine="0" w:firstLineChars="0"/>
        <w:rPr>
          <w:rFonts w:hint="default" w:ascii="Times New Roman" w:hAnsi="Times New Roman" w:eastAsia="黑体" w:cs="Times New Roman"/>
          <w:sz w:val="24"/>
          <w:szCs w:val="24"/>
          <w:highlight w:val="none"/>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附表：部门整体支出绩效目标完成情况自评表</w:t>
      </w:r>
      <w:r>
        <w:rPr>
          <w:rFonts w:hint="eastAsia" w:ascii="仿宋_GB2312" w:hAnsi="仿宋_GB2312" w:eastAsia="仿宋_GB2312" w:cs="仿宋_GB2312"/>
          <w:color w:val="000000"/>
          <w:kern w:val="0"/>
          <w:sz w:val="32"/>
          <w:szCs w:val="32"/>
          <w:highlight w:val="none"/>
          <w:shd w:val="clear" w:color="auto" w:fill="FFFFFF"/>
          <w:lang w:val="en-US" w:eastAsia="zh-CN"/>
        </w:rPr>
        <w:br w:type="page"/>
      </w:r>
      <w:r>
        <w:drawing>
          <wp:inline distT="0" distB="0" distL="114300" distR="114300">
            <wp:extent cx="5611495" cy="6570345"/>
            <wp:effectExtent l="0" t="0" r="8255" b="190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8"/>
                    <a:stretch>
                      <a:fillRect/>
                    </a:stretch>
                  </pic:blipFill>
                  <pic:spPr>
                    <a:xfrm>
                      <a:off x="0" y="0"/>
                      <a:ext cx="5611495" cy="6570345"/>
                    </a:xfrm>
                    <a:prstGeom prst="rect">
                      <a:avLst/>
                    </a:prstGeom>
                    <a:noFill/>
                    <a:ln>
                      <a:noFill/>
                    </a:ln>
                  </pic:spPr>
                </pic:pic>
              </a:graphicData>
            </a:graphic>
          </wp:inline>
        </w:drawing>
      </w:r>
    </w:p>
    <w:p>
      <w:pPr>
        <w:pStyle w:val="2"/>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7"/>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eastAsia="黑体" w:cs="黑体"/>
          <w:color w:val="auto"/>
          <w:kern w:val="0"/>
          <w:sz w:val="32"/>
          <w:szCs w:val="32"/>
          <w:highlight w:val="none"/>
          <w:shd w:val="clear" w:color="auto" w:fill="FFFFFF"/>
          <w:lang w:val="en-US" w:eastAsia="zh-CN"/>
        </w:rPr>
        <w:t>2</w:t>
      </w:r>
    </w:p>
    <w:p>
      <w:pPr>
        <w:pStyle w:val="38"/>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pPr>
        <w:pStyle w:val="7"/>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仿宋_GB2312" w:hAnsi="仿宋_GB2312" w:eastAsia="仿宋_GB2312" w:cs="仿宋_GB2312"/>
          <w:bCs/>
          <w:sz w:val="44"/>
          <w:szCs w:val="44"/>
          <w:lang w:val="en-US" w:eastAsia="zh-CN"/>
        </w:rPr>
      </w:pPr>
      <w:bookmarkStart w:id="58" w:name="_Toc15396618"/>
      <w:r>
        <w:rPr>
          <w:rFonts w:hint="eastAsia" w:ascii="仿宋_GB2312" w:hAnsi="仿宋_GB2312" w:eastAsia="仿宋_GB2312" w:cs="仿宋_GB2312"/>
          <w:bCs/>
          <w:sz w:val="44"/>
          <w:szCs w:val="44"/>
          <w:lang w:val="en-US" w:eastAsia="zh-CN"/>
        </w:rPr>
        <w:t>南坪镇双河村人居环境整治提升建设项目</w:t>
      </w:r>
    </w:p>
    <w:p>
      <w:pPr>
        <w:pStyle w:val="7"/>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仿宋_GB2312" w:hAnsi="仿宋_GB2312" w:eastAsia="仿宋_GB2312" w:cs="仿宋_GB2312"/>
          <w:bCs/>
          <w:sz w:val="44"/>
          <w:szCs w:val="44"/>
          <w:lang w:eastAsia="zh-CN"/>
        </w:rPr>
      </w:pPr>
      <w:r>
        <w:rPr>
          <w:rFonts w:hint="eastAsia" w:ascii="仿宋_GB2312" w:hAnsi="仿宋_GB2312" w:eastAsia="仿宋_GB2312" w:cs="仿宋_GB2312"/>
          <w:bCs/>
          <w:sz w:val="44"/>
          <w:szCs w:val="44"/>
        </w:rPr>
        <w:t>事前绩效评估报告</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eastAsia" w:ascii="仿宋_GB2312" w:hAnsi="仿宋_GB2312" w:eastAsia="仿宋_GB2312" w:cs="仿宋_GB2312"/>
          <w:b/>
          <w:bCs/>
          <w:sz w:val="32"/>
          <w:szCs w:val="32"/>
        </w:rPr>
      </w:pPr>
    </w:p>
    <w:p>
      <w:pPr>
        <w:pStyle w:val="39"/>
        <w:keepNext w:val="0"/>
        <w:keepLines w:val="0"/>
        <w:pageBreakBefore w:val="0"/>
        <w:widowControl w:val="0"/>
        <w:kinsoku/>
        <w:wordWrap/>
        <w:overflowPunct/>
        <w:topLinePunct w:val="0"/>
        <w:autoSpaceDE/>
        <w:autoSpaceDN/>
        <w:bidi w:val="0"/>
        <w:adjustRightInd/>
        <w:snapToGrid w:val="0"/>
        <w:spacing w:line="600" w:lineRule="exact"/>
        <w:ind w:left="709"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一、项目基本情况</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sz w:val="32"/>
          <w:szCs w:val="32"/>
          <w:lang w:eastAsia="zh-CN"/>
        </w:rPr>
        <w:t>（一）</w:t>
      </w:r>
      <w:r>
        <w:rPr>
          <w:rFonts w:hint="eastAsia" w:ascii="仿宋_GB2312" w:hAnsi="仿宋_GB2312" w:eastAsia="仿宋_GB2312" w:cs="仿宋_GB2312"/>
          <w:b/>
          <w:sz w:val="32"/>
          <w:szCs w:val="32"/>
        </w:rPr>
        <w:t>项目名称：</w:t>
      </w:r>
      <w:r>
        <w:rPr>
          <w:rFonts w:hint="eastAsia" w:ascii="仿宋_GB2312" w:hAnsi="仿宋_GB2312" w:eastAsia="仿宋_GB2312" w:cs="仿宋_GB2312"/>
          <w:b/>
          <w:sz w:val="32"/>
          <w:szCs w:val="32"/>
          <w:u w:val="single"/>
          <w:lang w:val="en-US" w:eastAsia="zh-CN"/>
        </w:rPr>
        <w:t xml:space="preserve"> 县</w:t>
      </w:r>
      <w:r>
        <w:rPr>
          <w:rFonts w:hint="eastAsia" w:ascii="仿宋_GB2312" w:hAnsi="仿宋_GB2312" w:eastAsia="仿宋_GB2312" w:cs="仿宋_GB2312"/>
          <w:b/>
          <w:sz w:val="32"/>
          <w:szCs w:val="32"/>
          <w:u w:val="single"/>
          <w:lang w:eastAsia="zh-CN"/>
        </w:rPr>
        <w:t>南坪镇</w:t>
      </w:r>
      <w:r>
        <w:rPr>
          <w:rFonts w:hint="eastAsia" w:ascii="仿宋_GB2312" w:hAnsi="仿宋_GB2312" w:eastAsia="仿宋_GB2312" w:cs="仿宋_GB2312"/>
          <w:b/>
          <w:sz w:val="32"/>
          <w:szCs w:val="32"/>
          <w:u w:val="single"/>
          <w:lang w:val="en-US" w:eastAsia="zh-CN"/>
        </w:rPr>
        <w:t>双河</w:t>
      </w:r>
      <w:r>
        <w:rPr>
          <w:rFonts w:hint="eastAsia" w:ascii="仿宋_GB2312" w:hAnsi="仿宋_GB2312" w:eastAsia="仿宋_GB2312" w:cs="仿宋_GB2312"/>
          <w:b/>
          <w:sz w:val="32"/>
          <w:szCs w:val="32"/>
          <w:u w:val="single"/>
          <w:lang w:eastAsia="zh-CN"/>
        </w:rPr>
        <w:t>村</w:t>
      </w:r>
      <w:r>
        <w:rPr>
          <w:rFonts w:hint="eastAsia" w:ascii="仿宋_GB2312" w:hAnsi="仿宋_GB2312" w:eastAsia="仿宋_GB2312" w:cs="仿宋_GB2312"/>
          <w:b/>
          <w:sz w:val="32"/>
          <w:szCs w:val="32"/>
          <w:u w:val="single"/>
          <w:lang w:val="en-US" w:eastAsia="zh-CN"/>
        </w:rPr>
        <w:t>人居环境整治提升</w:t>
      </w:r>
      <w:r>
        <w:rPr>
          <w:rFonts w:hint="eastAsia" w:ascii="仿宋_GB2312" w:hAnsi="仿宋_GB2312" w:eastAsia="仿宋_GB2312" w:cs="仿宋_GB2312"/>
          <w:b/>
          <w:sz w:val="32"/>
          <w:szCs w:val="32"/>
          <w:u w:val="single"/>
          <w:lang w:eastAsia="zh-CN"/>
        </w:rPr>
        <w:t>建设项目</w:t>
      </w:r>
      <w:r>
        <w:rPr>
          <w:rFonts w:hint="eastAsia" w:ascii="仿宋_GB2312" w:hAnsi="仿宋_GB2312" w:eastAsia="仿宋_GB2312" w:cs="仿宋_GB2312"/>
          <w:b/>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sz w:val="32"/>
          <w:szCs w:val="32"/>
          <w:lang w:eastAsia="zh-CN"/>
        </w:rPr>
        <w:t>（二）</w:t>
      </w:r>
      <w:r>
        <w:rPr>
          <w:rFonts w:hint="eastAsia" w:ascii="仿宋_GB2312" w:hAnsi="仿宋_GB2312" w:eastAsia="仿宋_GB2312" w:cs="仿宋_GB2312"/>
          <w:b/>
          <w:sz w:val="32"/>
          <w:szCs w:val="32"/>
        </w:rPr>
        <w:t>项目单位：</w:t>
      </w:r>
      <w:r>
        <w:rPr>
          <w:rFonts w:hint="eastAsia" w:ascii="仿宋_GB2312" w:hAnsi="仿宋_GB2312" w:eastAsia="仿宋_GB2312" w:cs="仿宋_GB2312"/>
          <w:sz w:val="32"/>
          <w:szCs w:val="32"/>
          <w:u w:val="single"/>
          <w:lang w:val="en-US" w:eastAsia="zh-CN"/>
        </w:rPr>
        <w:t xml:space="preserve">   九寨沟县南坪镇人民政府                 </w:t>
      </w:r>
    </w:p>
    <w:p>
      <w:pPr>
        <w:bidi w:val="0"/>
        <w:ind w:firstLine="643" w:firstLineChars="200"/>
        <w:rPr>
          <w:rFonts w:hint="eastAsia" w:ascii="仿宋_GB2312" w:hAnsi="仿宋_GB2312" w:eastAsia="仿宋_GB2312" w:cs="仿宋_GB2312"/>
          <w:color w:val="auto"/>
          <w:sz w:val="32"/>
          <w:szCs w:val="32"/>
          <w:highlight w:val="none"/>
          <w:u w:val="single"/>
          <w:lang w:val="en-US" w:eastAsia="zh-CN"/>
        </w:rPr>
      </w:pPr>
      <w:r>
        <w:rPr>
          <w:rFonts w:hint="eastAsia" w:ascii="仿宋_GB2312" w:hAnsi="仿宋_GB2312" w:eastAsia="仿宋_GB2312" w:cs="仿宋_GB2312"/>
          <w:b/>
          <w:sz w:val="32"/>
          <w:szCs w:val="32"/>
          <w:lang w:eastAsia="zh-CN"/>
        </w:rPr>
        <w:t>（三）</w:t>
      </w:r>
      <w:r>
        <w:rPr>
          <w:rFonts w:hint="eastAsia" w:ascii="仿宋_GB2312" w:hAnsi="仿宋_GB2312" w:eastAsia="仿宋_GB2312" w:cs="仿宋_GB2312"/>
          <w:b/>
          <w:sz w:val="32"/>
          <w:szCs w:val="32"/>
        </w:rPr>
        <w:t>主管部门：</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auto"/>
          <w:sz w:val="32"/>
          <w:szCs w:val="32"/>
          <w:highlight w:val="none"/>
          <w:u w:val="single"/>
          <w:lang w:val="en-US" w:eastAsia="zh-CN"/>
        </w:rPr>
        <w:t>九寨沟县住建局</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b/>
          <w:sz w:val="32"/>
          <w:szCs w:val="32"/>
          <w:u w:val="single"/>
          <w:lang w:val="en-US" w:eastAsia="zh-CN"/>
        </w:rPr>
      </w:pPr>
      <w:r>
        <w:rPr>
          <w:rFonts w:hint="eastAsia" w:ascii="仿宋_GB2312" w:hAnsi="仿宋_GB2312" w:eastAsia="仿宋_GB2312" w:cs="仿宋_GB2312"/>
          <w:b/>
          <w:sz w:val="32"/>
          <w:szCs w:val="32"/>
          <w:lang w:eastAsia="zh-CN"/>
        </w:rPr>
        <w:t>（四）</w:t>
      </w:r>
      <w:r>
        <w:rPr>
          <w:rFonts w:hint="eastAsia" w:ascii="仿宋_GB2312" w:hAnsi="仿宋_GB2312" w:eastAsia="仿宋_GB2312" w:cs="仿宋_GB2312"/>
          <w:b/>
          <w:sz w:val="32"/>
          <w:szCs w:val="32"/>
        </w:rPr>
        <w:t>项目属性：</w:t>
      </w:r>
      <w:r>
        <w:rPr>
          <w:rFonts w:hint="eastAsia" w:ascii="仿宋_GB2312" w:hAnsi="仿宋_GB2312" w:eastAsia="仿宋_GB2312" w:cs="仿宋_GB2312"/>
          <w:b/>
          <w:sz w:val="32"/>
          <w:szCs w:val="32"/>
          <w:u w:val="single"/>
          <w:lang w:val="en-US" w:eastAsia="zh-CN"/>
        </w:rPr>
        <w:t xml:space="preserve"> 改建 </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b/>
          <w:sz w:val="32"/>
          <w:szCs w:val="32"/>
          <w:lang w:eastAsia="zh-CN"/>
        </w:rPr>
        <w:t>（五）项目起止年限：</w:t>
      </w:r>
      <w:r>
        <w:rPr>
          <w:rFonts w:hint="eastAsia" w:ascii="仿宋_GB2312" w:hAnsi="仿宋_GB2312" w:eastAsia="仿宋_GB2312" w:cs="仿宋_GB2312"/>
          <w:sz w:val="32"/>
          <w:szCs w:val="32"/>
          <w:u w:val="single"/>
          <w:lang w:val="en-US" w:eastAsia="zh-CN"/>
        </w:rPr>
        <w:t>2025年</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sz w:val="32"/>
          <w:szCs w:val="32"/>
          <w:lang w:eastAsia="zh-CN"/>
        </w:rPr>
        <w:t>（六）</w:t>
      </w:r>
      <w:r>
        <w:rPr>
          <w:rFonts w:hint="eastAsia" w:ascii="仿宋_GB2312" w:hAnsi="仿宋_GB2312" w:eastAsia="仿宋_GB2312" w:cs="仿宋_GB2312"/>
          <w:b/>
          <w:sz w:val="32"/>
          <w:szCs w:val="32"/>
        </w:rPr>
        <w:t>资金申请情况：</w:t>
      </w:r>
      <w:r>
        <w:rPr>
          <w:rFonts w:hint="eastAsia" w:ascii="仿宋_GB2312" w:hAnsi="仿宋_GB2312" w:eastAsia="仿宋_GB2312" w:cs="仿宋_GB2312"/>
          <w:sz w:val="32"/>
          <w:szCs w:val="32"/>
        </w:rPr>
        <w:t>申报项目预算金额为</w:t>
      </w:r>
      <w:r>
        <w:rPr>
          <w:rFonts w:hint="eastAsia" w:ascii="仿宋_GB2312" w:hAnsi="仿宋_GB2312" w:eastAsia="仿宋_GB2312" w:cs="仿宋_GB2312"/>
          <w:sz w:val="32"/>
          <w:szCs w:val="32"/>
          <w:u w:val="single"/>
          <w:lang w:val="en-US" w:eastAsia="zh-CN"/>
        </w:rPr>
        <w:t>250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none"/>
          <w:lang w:eastAsia="zh-CN"/>
        </w:rPr>
        <w:t>资</w:t>
      </w:r>
      <w:r>
        <w:rPr>
          <w:rFonts w:hint="eastAsia" w:ascii="仿宋_GB2312" w:hAnsi="仿宋_GB2312" w:eastAsia="仿宋_GB2312" w:cs="仿宋_GB2312"/>
          <w:color w:val="auto"/>
          <w:sz w:val="32"/>
          <w:szCs w:val="32"/>
          <w:highlight w:val="none"/>
          <w:lang w:eastAsia="zh-TW"/>
        </w:rPr>
        <w:t>资金来源为</w:t>
      </w:r>
      <w:r>
        <w:rPr>
          <w:rFonts w:hint="eastAsia" w:ascii="仿宋_GB2312" w:hAnsi="仿宋_GB2312" w:eastAsia="仿宋_GB2312" w:cs="仿宋_GB2312"/>
          <w:color w:val="auto"/>
          <w:sz w:val="32"/>
          <w:szCs w:val="32"/>
          <w:highlight w:val="none"/>
          <w:lang w:val="en-US" w:eastAsia="zh-CN"/>
        </w:rPr>
        <w:t>九寨沟县2025年财政衔接推进乡村振兴补助资金</w:t>
      </w:r>
      <w:r>
        <w:rPr>
          <w:rFonts w:hint="eastAsia" w:ascii="仿宋_GB2312" w:hAnsi="仿宋_GB2312" w:eastAsia="仿宋_GB2312" w:cs="仿宋_GB2312"/>
          <w:sz w:val="32"/>
          <w:szCs w:val="32"/>
          <w:u w:val="none"/>
          <w:lang w:eastAsia="zh-CN"/>
        </w:rPr>
        <w:t>，其中财政资金</w:t>
      </w:r>
      <w:r>
        <w:rPr>
          <w:rFonts w:hint="eastAsia" w:ascii="仿宋_GB2312" w:hAnsi="仿宋_GB2312" w:eastAsia="仿宋_GB2312" w:cs="仿宋_GB2312"/>
          <w:sz w:val="32"/>
          <w:szCs w:val="32"/>
          <w:u w:val="single"/>
          <w:lang w:val="en-US" w:eastAsia="zh-CN"/>
        </w:rPr>
        <w:t>250</w:t>
      </w:r>
      <w:r>
        <w:rPr>
          <w:rFonts w:hint="eastAsia" w:ascii="仿宋_GB2312" w:hAnsi="仿宋_GB2312" w:eastAsia="仿宋_GB2312" w:cs="仿宋_GB2312"/>
          <w:sz w:val="32"/>
          <w:szCs w:val="32"/>
          <w:u w:val="none"/>
          <w:lang w:val="en-US" w:eastAsia="zh-CN"/>
        </w:rPr>
        <w:t>万元，自有资金</w:t>
      </w:r>
      <w:r>
        <w:rPr>
          <w:rFonts w:hint="eastAsia" w:ascii="仿宋_GB2312" w:hAnsi="仿宋_GB2312" w:eastAsia="仿宋_GB2312" w:cs="仿宋_GB2312"/>
          <w:sz w:val="32"/>
          <w:szCs w:val="32"/>
          <w:u w:val="single"/>
          <w:lang w:val="en-US" w:eastAsia="zh-CN"/>
        </w:rPr>
        <w:t xml:space="preserve"> 0 </w:t>
      </w:r>
      <w:r>
        <w:rPr>
          <w:rFonts w:hint="eastAsia" w:ascii="仿宋_GB2312" w:hAnsi="仿宋_GB2312" w:eastAsia="仿宋_GB2312" w:cs="仿宋_GB2312"/>
          <w:sz w:val="32"/>
          <w:szCs w:val="32"/>
          <w:u w:val="none"/>
          <w:lang w:val="en-US" w:eastAsia="zh-CN"/>
        </w:rPr>
        <w:t>万元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sz w:val="32"/>
          <w:szCs w:val="32"/>
          <w:lang w:eastAsia="zh-CN"/>
        </w:rPr>
        <w:t>（七）</w:t>
      </w:r>
      <w:r>
        <w:rPr>
          <w:rFonts w:hint="eastAsia" w:ascii="仿宋_GB2312" w:hAnsi="仿宋_GB2312" w:eastAsia="仿宋_GB2312" w:cs="仿宋_GB2312"/>
          <w:b/>
          <w:sz w:val="32"/>
          <w:szCs w:val="32"/>
        </w:rPr>
        <w:t>项目概况：</w:t>
      </w:r>
    </w:p>
    <w:p>
      <w:pPr>
        <w:keepNext w:val="0"/>
        <w:keepLines w:val="0"/>
        <w:pageBreakBefore w:val="0"/>
        <w:widowControl w:val="0"/>
        <w:kinsoku/>
        <w:wordWrap/>
        <w:overflowPunct/>
        <w:topLinePunct w:val="0"/>
        <w:autoSpaceDE/>
        <w:autoSpaceDN/>
        <w:bidi w:val="0"/>
        <w:adjustRightInd/>
        <w:snapToGrid w:val="0"/>
        <w:spacing w:line="600" w:lineRule="exact"/>
        <w:ind w:firstLine="628" w:firstLineChars="200"/>
        <w:textAlignment w:val="auto"/>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道路硬化总面积为2140.18平方米；改建矮墙4处；新建门头6处；改建外墙漆5000平方米及环境整治等建设内容。</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二、评估原则</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rPr>
        <w:t>根据</w:t>
      </w:r>
      <w:r>
        <w:rPr>
          <w:rFonts w:hint="eastAsia" w:ascii="仿宋_GB2312" w:hAnsi="仿宋_GB2312" w:eastAsia="仿宋_GB2312" w:cs="仿宋_GB2312"/>
          <w:sz w:val="32"/>
          <w:szCs w:val="32"/>
          <w:u w:val="none"/>
          <w:lang w:val="en-US" w:eastAsia="zh-CN"/>
        </w:rPr>
        <w:t>2025</w:t>
      </w:r>
      <w:r>
        <w:rPr>
          <w:rFonts w:hint="eastAsia" w:ascii="仿宋_GB2312" w:hAnsi="仿宋_GB2312" w:eastAsia="仿宋_GB2312" w:cs="仿宋_GB2312"/>
          <w:sz w:val="32"/>
          <w:szCs w:val="32"/>
          <w:u w:val="none"/>
        </w:rPr>
        <w:t>年预算编制要求，绩效评估本着真正过紧日子的原则，厉行节约、</w:t>
      </w:r>
      <w:r>
        <w:rPr>
          <w:rFonts w:hint="eastAsia" w:ascii="仿宋_GB2312" w:hAnsi="仿宋_GB2312" w:eastAsia="仿宋_GB2312" w:cs="仿宋_GB2312"/>
          <w:sz w:val="32"/>
          <w:szCs w:val="32"/>
          <w:u w:val="none"/>
          <w:lang w:eastAsia="zh-CN"/>
        </w:rPr>
        <w:t>节</w:t>
      </w:r>
      <w:r>
        <w:rPr>
          <w:rFonts w:hint="eastAsia" w:ascii="仿宋_GB2312" w:hAnsi="仿宋_GB2312" w:eastAsia="仿宋_GB2312" w:cs="仿宋_GB2312"/>
          <w:sz w:val="32"/>
          <w:szCs w:val="32"/>
          <w:lang w:eastAsia="zh-CN"/>
        </w:rPr>
        <w:t>用为民</w:t>
      </w:r>
      <w:r>
        <w:rPr>
          <w:rFonts w:hint="eastAsia" w:ascii="仿宋_GB2312" w:hAnsi="仿宋_GB2312" w:eastAsia="仿宋_GB2312" w:cs="仿宋_GB2312"/>
          <w:sz w:val="32"/>
          <w:szCs w:val="32"/>
        </w:rPr>
        <w:t>，从严从紧控制项目申报和预算安排，非必要项目和工作内容可压尽压、应压尽压，做到客观、绩效、精准。</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三、评估目的</w:t>
      </w:r>
    </w:p>
    <w:p>
      <w:pPr>
        <w:keepNext w:val="0"/>
        <w:keepLines w:val="0"/>
        <w:pageBreakBefore w:val="0"/>
        <w:widowControl w:val="0"/>
        <w:kinsoku/>
        <w:wordWrap/>
        <w:overflowPunct/>
        <w:topLinePunct w:val="0"/>
        <w:autoSpaceDE/>
        <w:autoSpaceDN/>
        <w:bidi w:val="0"/>
        <w:adjustRightInd/>
        <w:snapToGrid w:val="0"/>
        <w:spacing w:line="600" w:lineRule="exact"/>
        <w:ind w:firstLine="709"/>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pPr>
        <w:pStyle w:val="39"/>
        <w:keepNext w:val="0"/>
        <w:keepLines w:val="0"/>
        <w:pageBreakBefore w:val="0"/>
        <w:widowControl w:val="0"/>
        <w:kinsoku/>
        <w:wordWrap/>
        <w:overflowPunct/>
        <w:topLinePunct w:val="0"/>
        <w:autoSpaceDE/>
        <w:autoSpaceDN/>
        <w:bidi w:val="0"/>
        <w:adjustRightInd/>
        <w:snapToGrid w:val="0"/>
        <w:spacing w:line="600" w:lineRule="exact"/>
        <w:ind w:left="709"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四、评估程序和方法</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（一）评估程序</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2025</w:t>
      </w:r>
      <w:r>
        <w:rPr>
          <w:rFonts w:hint="eastAsia" w:ascii="仿宋_GB2312" w:hAnsi="仿宋_GB2312" w:eastAsia="仿宋_GB2312" w:cs="仿宋_GB2312"/>
          <w:sz w:val="32"/>
          <w:szCs w:val="32"/>
          <w:u w:val="none"/>
        </w:rPr>
        <w:t>年度预算项目绩效评估工作通过</w:t>
      </w:r>
      <w:r>
        <w:rPr>
          <w:rFonts w:hint="eastAsia" w:ascii="仿宋_GB2312" w:hAnsi="仿宋_GB2312" w:eastAsia="仿宋_GB2312" w:cs="仿宋_GB2312"/>
          <w:sz w:val="32"/>
          <w:szCs w:val="32"/>
          <w:u w:val="none"/>
          <w:lang w:val="en-US" w:eastAsia="zh-CN"/>
        </w:rPr>
        <w:t>线下</w:t>
      </w:r>
      <w:r>
        <w:rPr>
          <w:rFonts w:hint="eastAsia" w:ascii="仿宋_GB2312" w:hAnsi="仿宋_GB2312" w:eastAsia="仿宋_GB2312" w:cs="仿宋_GB2312"/>
          <w:sz w:val="32"/>
          <w:szCs w:val="32"/>
          <w:u w:val="none"/>
        </w:rPr>
        <w:t>方式开展。按照有关规定和工作安排，</w:t>
      </w:r>
      <w:r>
        <w:rPr>
          <w:rFonts w:hint="eastAsia" w:ascii="仿宋_GB2312" w:hAnsi="仿宋_GB2312" w:eastAsia="仿宋_GB2312" w:cs="仿宋_GB2312"/>
          <w:sz w:val="32"/>
          <w:szCs w:val="32"/>
          <w:u w:val="none"/>
          <w:lang w:eastAsia="zh-CN"/>
        </w:rPr>
        <w:t>我单位开展自行评估，通过自行成立方式组建评估组，</w:t>
      </w:r>
      <w:r>
        <w:rPr>
          <w:rFonts w:hint="eastAsia" w:ascii="仿宋_GB2312" w:hAnsi="仿宋_GB2312" w:eastAsia="仿宋_GB2312" w:cs="仿宋_GB2312"/>
          <w:sz w:val="32"/>
          <w:szCs w:val="32"/>
          <w:u w:val="none"/>
        </w:rPr>
        <w:t>通过</w:t>
      </w:r>
      <w:r>
        <w:rPr>
          <w:rFonts w:hint="eastAsia" w:ascii="仿宋_GB2312" w:hAnsi="仿宋_GB2312" w:eastAsia="仿宋_GB2312" w:cs="仿宋_GB2312"/>
          <w:sz w:val="32"/>
          <w:szCs w:val="32"/>
          <w:u w:val="none"/>
          <w:lang w:eastAsia="zh-CN"/>
        </w:rPr>
        <w:t>收集</w:t>
      </w:r>
      <w:r>
        <w:rPr>
          <w:rFonts w:hint="eastAsia" w:ascii="仿宋_GB2312" w:hAnsi="仿宋_GB2312" w:eastAsia="仿宋_GB2312" w:cs="仿宋_GB2312"/>
          <w:sz w:val="32"/>
          <w:szCs w:val="32"/>
          <w:u w:val="none"/>
        </w:rPr>
        <w:t>被评估项目相关基础资料，并查阅资料、收集数据信息等，深入论证分析后，形成绩效评估报告。</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（二）评估方法</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本项目通过现场踏勘</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与</w:t>
      </w:r>
      <w:r>
        <w:rPr>
          <w:rFonts w:hint="eastAsia" w:ascii="仿宋_GB2312" w:hAnsi="仿宋_GB2312" w:eastAsia="仿宋_GB2312" w:cs="仿宋_GB2312"/>
          <w:sz w:val="32"/>
          <w:szCs w:val="32"/>
          <w:u w:val="none"/>
          <w:lang w:eastAsia="zh-CN"/>
        </w:rPr>
        <w:t>项目设计团队、项目</w:t>
      </w:r>
      <w:r>
        <w:rPr>
          <w:rFonts w:hint="eastAsia" w:ascii="仿宋_GB2312" w:hAnsi="仿宋_GB2312" w:eastAsia="仿宋_GB2312" w:cs="仿宋_GB2312"/>
          <w:sz w:val="32"/>
          <w:szCs w:val="32"/>
          <w:u w:val="none"/>
        </w:rPr>
        <w:t>相关人员座谈</w:t>
      </w:r>
      <w:r>
        <w:rPr>
          <w:rFonts w:hint="eastAsia" w:ascii="仿宋_GB2312" w:hAnsi="仿宋_GB2312" w:eastAsia="仿宋_GB2312" w:cs="仿宋_GB2312"/>
          <w:sz w:val="32"/>
          <w:szCs w:val="32"/>
          <w:u w:val="none"/>
          <w:lang w:eastAsia="zh-CN"/>
        </w:rPr>
        <w:t>讨论</w:t>
      </w:r>
      <w:r>
        <w:rPr>
          <w:rFonts w:hint="eastAsia" w:ascii="仿宋_GB2312" w:hAnsi="仿宋_GB2312" w:eastAsia="仿宋_GB2312" w:cs="仿宋_GB2312"/>
          <w:sz w:val="32"/>
          <w:szCs w:val="32"/>
          <w:u w:val="none"/>
        </w:rPr>
        <w:t>了解项目情况，收集相关资料，综合分析相关情况后，对项目的立项必要性、投入经济性、目标合理性、方案可行性以及筹资合规性实施评估。</w:t>
      </w:r>
    </w:p>
    <w:p>
      <w:pPr>
        <w:keepNext w:val="0"/>
        <w:keepLines w:val="0"/>
        <w:pageBreakBefore w:val="0"/>
        <w:widowControl w:val="0"/>
        <w:kinsoku/>
        <w:wordWrap/>
        <w:overflowPunct/>
        <w:topLinePunct w:val="0"/>
        <w:autoSpaceDE/>
        <w:autoSpaceDN/>
        <w:bidi w:val="0"/>
        <w:adjustRightInd/>
        <w:snapToGrid w:val="0"/>
        <w:spacing w:line="600" w:lineRule="exact"/>
        <w:ind w:left="709"/>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五、评估内容</w:t>
      </w:r>
    </w:p>
    <w:p>
      <w:pPr>
        <w:keepNext w:val="0"/>
        <w:keepLines w:val="0"/>
        <w:pageBreakBefore w:val="0"/>
        <w:widowControl w:val="0"/>
        <w:kinsoku/>
        <w:wordWrap/>
        <w:overflowPunct/>
        <w:topLinePunct w:val="0"/>
        <w:autoSpaceDE/>
        <w:autoSpaceDN/>
        <w:bidi w:val="0"/>
        <w:adjustRightInd/>
        <w:snapToGrid w:val="0"/>
        <w:spacing w:line="600" w:lineRule="exact"/>
        <w:ind w:left="709"/>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（一）立项必要性</w:t>
      </w:r>
    </w:p>
    <w:p>
      <w:pPr>
        <w:bidi w:val="0"/>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eastAsia="zh-CN"/>
        </w:rPr>
        <w:t>九寨沟县</w:t>
      </w:r>
      <w:r>
        <w:rPr>
          <w:rFonts w:hint="eastAsia" w:ascii="仿宋_GB2312" w:hAnsi="仿宋_GB2312" w:eastAsia="仿宋_GB2312" w:cs="仿宋_GB2312"/>
          <w:sz w:val="32"/>
          <w:szCs w:val="32"/>
          <w:lang w:val="en-US" w:eastAsia="zh-CN"/>
        </w:rPr>
        <w:t>南坪镇双河村目前基础设施现状和区位优势，项目建成后，将进一步解决项目建设区域的基础设施短板，补强县城区旅游基础设施业态，提升县城区旅游综合服务能力，促进生产生活生态空间新融合。</w:t>
      </w:r>
      <w:r>
        <w:rPr>
          <w:rFonts w:hint="eastAsia" w:ascii="仿宋_GB2312" w:hAnsi="仿宋_GB2312" w:eastAsia="仿宋_GB2312" w:cs="仿宋_GB2312"/>
          <w:sz w:val="32"/>
          <w:szCs w:val="32"/>
        </w:rPr>
        <w:t>项目的建设其受益群体广泛、支持者众多、适应性好、风险度极小。</w:t>
      </w:r>
      <w:r>
        <w:rPr>
          <w:rFonts w:hint="eastAsia" w:ascii="仿宋_GB2312" w:hAnsi="仿宋_GB2312" w:eastAsia="仿宋_GB2312" w:cs="仿宋_GB2312"/>
          <w:sz w:val="32"/>
          <w:szCs w:val="32"/>
          <w:lang w:val="en-US" w:eastAsia="zh-CN"/>
        </w:rPr>
        <w:t>本项目的建设方式，可为九寨沟县改造城中村、城边村提供经验。可引导村民按规划有序开展旅游业态布局，进一步增收致富。项目建设的</w:t>
      </w:r>
      <w:r>
        <w:rPr>
          <w:rFonts w:hint="eastAsia" w:ascii="仿宋_GB2312" w:hAnsi="仿宋_GB2312" w:eastAsia="仿宋_GB2312" w:cs="仿宋_GB2312"/>
          <w:sz w:val="32"/>
          <w:szCs w:val="32"/>
        </w:rPr>
        <w:t>社会效益十分明显，因此，</w:t>
      </w: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项目是可行的。</w:t>
      </w:r>
    </w:p>
    <w:p>
      <w:pPr>
        <w:keepNext w:val="0"/>
        <w:keepLines w:val="0"/>
        <w:pageBreakBefore w:val="0"/>
        <w:kinsoku/>
        <w:wordWrap/>
        <w:overflowPunct/>
        <w:topLinePunct w:val="0"/>
        <w:autoSpaceDE/>
        <w:autoSpaceDN/>
        <w:bidi w:val="0"/>
        <w:adjustRightInd/>
        <w:snapToGrid w:val="0"/>
        <w:spacing w:line="600" w:lineRule="atLeast"/>
        <w:ind w:firstLine="630" w:firstLineChars="196"/>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（二）投入经济性</w:t>
      </w:r>
    </w:p>
    <w:p>
      <w:pPr>
        <w:pStyle w:val="7"/>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根据《四川省政府投资管理办法》、《阿坝州九寨沟县国民经济和社会发展第十四个五年规划纲要》、《九寨沟县县域村镇体系规划和城市总体规划》（2017-2035）、九寨沟县《关于全面推进“四个全域、四个九寨”建设的实施意见》等，在对本项目进行投资概算时，主要是依据项目建设方案设计的各项工程量及建设任务，按方案分别计算各项建设工程量和设备配置投资，选择最佳方案，按照建设单位提供的设计范围及该项目的设计资料，采用近似工程扩大指标和有关定额及相关价格进行编制。投资概算依据如下：</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《政府投资项目可行性研究报告编写通用大纲》（2023年版）；</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《国家发展改革委关于印发投资项目可行性研究报告编写大纲及说明的通知》发改投资规〔2023〕304号；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《四川省政府投资管理办法》（川府规〔2022〕5号）；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《中共中央国务院关于实施乡村振兴战略的意见》；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中共中央办公厅国务院办公厅印发《乡村建设行动实施方案》（国务院公报2022年第16号）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《中共阿坝州委阿坝州人民政府关于大力实施乡村振兴战略的意见》；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《九寨沟县乡村振兴规划（2018—2025年）》；</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农业农村部关于印发《全国乡村产业发展规划（2020-2025年）》的通知；</w:t>
      </w:r>
    </w:p>
    <w:p>
      <w:pPr>
        <w:numPr>
          <w:ilvl w:val="0"/>
          <w:numId w:val="9"/>
        </w:numPr>
        <w:bidi w:val="0"/>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《阿坝州九寨沟县国民经济和社会发展第十四个五年规划纲要》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《四川省发展和改革委员会关于在农业农村基础设施建设领域积极推广村民自建方式的实施意见》（川发改赈[2021]76号）；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国家发展和改革委员会自然资源部农业农村部《关于村庄建设项目施行简易审批的指导意见》（发改农经〔2020〕1337号）；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《九寨沟县财政局九寨沟县乡村振兴局九寨沟县发展和改革局九寨沟县民族宗教局关于下达2024年财政衔接推进乡村振兴补助资金的通知》（九财〔2024〕24号）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《四川省发展和改革委员会等 9 部门关于村庄建设项目实施简易审批的实施意见》（川发改农经〔2021〕43 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《关于印发&lt;九寨沟县统筹整合使用财政涉农资金管理办法&gt;的通知》（九寨沟府发〔2021〕52 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《关于在农业农村基础设施建设领域积极推广以工代赈方式的实施意见》川发改赈（2024）273 号文；</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《中共九寨沟县委农村工作领导小组办公室关于印发农村小型公共基础设施村民自建工作操作手册的通知》（九委农办发〔2022〕16号）；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九寨沟县人民政府关于印发《九寨沟县关于农业领域小型公益性基础设施和财政补助支农项目推行村民自建方式建设的实施意见（试行）》的通知（九寨沟府发〔2024〕12 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《四川省发展和改革委员会等部门关于规范在农业农村基础建设领域推广以工代赈方式村民自建项目管理工作的通知》（川发改赈〔2023〕591号）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《关于印发&lt;阿坝州中央、省级和州级财政衔接推进乡村振兴补助资金管理办法&gt;的通知》（阿州财农〔2021〕22号）；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《关于印发&lt;九寨沟县财政衔接推进乡村振兴补助资金实施细则&gt;的通知》（九寨沟府发〔2021〕50号）；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《关于印发&lt;九寨沟县统筹整合使用财政涉农资金管理办法&gt;的通知》（九寨沟府发〔2021〕52号）；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九寨沟县《关于全面推进“四个全域、四个九寨”建设的实施意见》；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《南坪镇总体规划》；</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国家和地方的现行工程设计规范和标准；</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业主单位委托我公司编制本项目初步设计（代可行性研究报告、项目建议书）的合同；</w:t>
      </w:r>
    </w:p>
    <w:p>
      <w:pPr>
        <w:keepNext w:val="0"/>
        <w:keepLines w:val="0"/>
        <w:pageBreakBefore w:val="0"/>
        <w:kinsoku/>
        <w:wordWrap/>
        <w:overflowPunct/>
        <w:topLinePunct w:val="0"/>
        <w:autoSpaceDE/>
        <w:autoSpaceDN/>
        <w:bidi w:val="0"/>
        <w:adjustRightInd/>
        <w:snapToGrid w:val="0"/>
        <w:spacing w:line="600" w:lineRule="atLeast"/>
        <w:ind w:firstLine="640"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sz w:val="32"/>
          <w:szCs w:val="32"/>
          <w:u w:val="none"/>
          <w:lang w:val="en-US" w:eastAsia="zh-CN"/>
        </w:rPr>
        <w:t>评估认为，该项目任务数量基本合理、预算测算过程较为详细、测算依据基本充分、有一定的经济性。</w:t>
      </w:r>
      <w:r>
        <w:rPr>
          <w:rFonts w:hint="eastAsia" w:ascii="仿宋_GB2312" w:hAnsi="仿宋_GB2312" w:eastAsia="仿宋_GB2312" w:cs="仿宋_GB2312"/>
          <w:sz w:val="32"/>
          <w:szCs w:val="32"/>
          <w:u w:val="none"/>
        </w:rPr>
        <w:t>建议预算控制在</w:t>
      </w:r>
      <w:r>
        <w:rPr>
          <w:rFonts w:hint="eastAsia" w:ascii="仿宋_GB2312" w:hAnsi="仿宋_GB2312" w:eastAsia="仿宋_GB2312" w:cs="仿宋_GB2312"/>
          <w:sz w:val="32"/>
          <w:szCs w:val="32"/>
          <w:u w:val="none"/>
          <w:lang w:val="en-US" w:eastAsia="zh-CN"/>
        </w:rPr>
        <w:t>250</w:t>
      </w:r>
      <w:r>
        <w:rPr>
          <w:rFonts w:hint="eastAsia" w:ascii="仿宋_GB2312" w:hAnsi="仿宋_GB2312" w:eastAsia="仿宋_GB2312" w:cs="仿宋_GB2312"/>
          <w:sz w:val="32"/>
          <w:szCs w:val="32"/>
          <w:u w:val="none"/>
        </w:rPr>
        <w:t>万元以内，与</w:t>
      </w:r>
      <w:r>
        <w:rPr>
          <w:rFonts w:hint="eastAsia" w:ascii="仿宋_GB2312" w:hAnsi="仿宋_GB2312" w:eastAsia="仿宋_GB2312" w:cs="仿宋_GB2312"/>
          <w:sz w:val="32"/>
          <w:szCs w:val="32"/>
          <w:u w:val="none"/>
          <w:lang w:eastAsia="zh-CN"/>
        </w:rPr>
        <w:t>申报</w:t>
      </w:r>
      <w:r>
        <w:rPr>
          <w:rFonts w:hint="eastAsia" w:ascii="仿宋_GB2312" w:hAnsi="仿宋_GB2312" w:eastAsia="仿宋_GB2312" w:cs="仿宋_GB2312"/>
          <w:sz w:val="32"/>
          <w:szCs w:val="32"/>
          <w:u w:val="none"/>
        </w:rPr>
        <w:t>数相比，</w:t>
      </w:r>
      <w:r>
        <w:rPr>
          <w:rFonts w:hint="eastAsia" w:ascii="仿宋_GB2312" w:hAnsi="仿宋_GB2312" w:eastAsia="仿宋_GB2312" w:cs="仿宋_GB2312"/>
          <w:sz w:val="32"/>
          <w:szCs w:val="32"/>
          <w:u w:val="none"/>
          <w:lang w:eastAsia="zh-CN"/>
        </w:rPr>
        <w:t>评减</w:t>
      </w:r>
      <w:r>
        <w:rPr>
          <w:rFonts w:hint="eastAsia" w:ascii="仿宋_GB2312" w:hAnsi="仿宋_GB2312" w:eastAsia="仿宋_GB2312" w:cs="仿宋_GB2312"/>
          <w:sz w:val="32"/>
          <w:szCs w:val="32"/>
          <w:u w:val="none"/>
          <w:lang w:val="en-US" w:eastAsia="zh-CN"/>
        </w:rPr>
        <w:t>0</w:t>
      </w:r>
      <w:r>
        <w:rPr>
          <w:rFonts w:hint="eastAsia" w:ascii="仿宋_GB2312" w:hAnsi="仿宋_GB2312" w:eastAsia="仿宋_GB2312" w:cs="仿宋_GB2312"/>
          <w:sz w:val="32"/>
          <w:szCs w:val="32"/>
          <w:u w:val="none"/>
        </w:rPr>
        <w:t>万元，</w:t>
      </w:r>
      <w:r>
        <w:rPr>
          <w:rFonts w:hint="eastAsia" w:ascii="仿宋_GB2312" w:hAnsi="仿宋_GB2312" w:eastAsia="仿宋_GB2312" w:cs="仿宋_GB2312"/>
          <w:sz w:val="32"/>
          <w:szCs w:val="32"/>
          <w:u w:val="none"/>
          <w:lang w:eastAsia="zh-CN"/>
        </w:rPr>
        <w:t>评减率</w:t>
      </w:r>
      <w:r>
        <w:rPr>
          <w:rFonts w:hint="eastAsia" w:ascii="仿宋_GB2312" w:hAnsi="仿宋_GB2312" w:eastAsia="仿宋_GB2312" w:cs="仿宋_GB2312"/>
          <w:sz w:val="32"/>
          <w:szCs w:val="32"/>
          <w:u w:val="none"/>
          <w:lang w:val="en-US" w:eastAsia="zh-CN"/>
        </w:rPr>
        <w:t>0</w:t>
      </w:r>
      <w:r>
        <w:rPr>
          <w:rFonts w:hint="eastAsia" w:ascii="仿宋_GB2312" w:hAnsi="仿宋_GB2312" w:eastAsia="仿宋_GB2312" w:cs="仿宋_GB2312"/>
          <w:sz w:val="32"/>
          <w:szCs w:val="32"/>
          <w:u w:val="none"/>
        </w:rPr>
        <w:t>%（详见下表）。</w:t>
      </w:r>
    </w:p>
    <w:p>
      <w:pPr>
        <w:keepNext w:val="0"/>
        <w:keepLines w:val="0"/>
        <w:pageBreakBefore w:val="0"/>
        <w:kinsoku/>
        <w:wordWrap/>
        <w:overflowPunct/>
        <w:topLinePunct w:val="0"/>
        <w:autoSpaceDE/>
        <w:autoSpaceDN/>
        <w:bidi w:val="0"/>
        <w:adjustRightInd/>
        <w:snapToGrid w:val="0"/>
        <w:spacing w:line="560" w:lineRule="exact"/>
        <w:ind w:firstLine="643" w:firstLineChars="200"/>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2025年项目预算绩效评价</w:t>
      </w:r>
      <w:r>
        <w:rPr>
          <w:rFonts w:hint="eastAsia" w:ascii="仿宋_GB2312" w:hAnsi="仿宋_GB2312" w:eastAsia="仿宋_GB2312" w:cs="仿宋_GB2312"/>
          <w:b/>
          <w:sz w:val="32"/>
          <w:szCs w:val="32"/>
        </w:rPr>
        <w:t>事前绩效评估汇总表</w:t>
      </w:r>
    </w:p>
    <w:tbl>
      <w:tblPr>
        <w:tblStyle w:val="18"/>
        <w:tblW w:w="8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6"/>
        <w:gridCol w:w="1389"/>
        <w:gridCol w:w="1300"/>
        <w:gridCol w:w="1567"/>
        <w:gridCol w:w="1189"/>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项目内容</w:t>
            </w:r>
          </w:p>
        </w:tc>
        <w:tc>
          <w:tcPr>
            <w:tcW w:w="13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申报预算</w:t>
            </w:r>
          </w:p>
        </w:tc>
        <w:tc>
          <w:tcPr>
            <w:tcW w:w="130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送审金额</w:t>
            </w:r>
          </w:p>
        </w:tc>
        <w:tc>
          <w:tcPr>
            <w:tcW w:w="1567"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建议控制额</w:t>
            </w:r>
          </w:p>
        </w:tc>
        <w:tc>
          <w:tcPr>
            <w:tcW w:w="11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核减</w:t>
            </w:r>
          </w:p>
        </w:tc>
        <w:tc>
          <w:tcPr>
            <w:tcW w:w="1362" w:type="dxa"/>
            <w:vMerge w:val="restart"/>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备注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合计（万元）</w:t>
            </w:r>
          </w:p>
        </w:tc>
        <w:tc>
          <w:tcPr>
            <w:tcW w:w="13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250</w:t>
            </w:r>
          </w:p>
        </w:tc>
        <w:tc>
          <w:tcPr>
            <w:tcW w:w="130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250</w:t>
            </w:r>
          </w:p>
        </w:tc>
        <w:tc>
          <w:tcPr>
            <w:tcW w:w="1567"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250</w:t>
            </w:r>
          </w:p>
        </w:tc>
        <w:tc>
          <w:tcPr>
            <w:tcW w:w="11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0</w:t>
            </w:r>
          </w:p>
        </w:tc>
        <w:tc>
          <w:tcPr>
            <w:tcW w:w="1362"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560" w:lineRule="exact"/>
              <w:jc w:val="left"/>
              <w:textAlignment w:val="auto"/>
              <w:rPr>
                <w:rFonts w:hint="eastAsia" w:ascii="仿宋_GB2312" w:hAnsi="仿宋_GB2312" w:eastAsia="仿宋_GB2312" w:cs="仿宋_GB2312"/>
                <w:color w:val="000000"/>
                <w:kern w:val="0"/>
                <w:sz w:val="32"/>
                <w:szCs w:val="32"/>
              </w:rPr>
            </w:pPr>
          </w:p>
        </w:tc>
      </w:tr>
    </w:tbl>
    <w:p>
      <w:pPr>
        <w:keepNext w:val="0"/>
        <w:keepLines w:val="0"/>
        <w:pageBreakBefore w:val="0"/>
        <w:kinsoku/>
        <w:wordWrap/>
        <w:overflowPunct/>
        <w:topLinePunct w:val="0"/>
        <w:autoSpaceDE/>
        <w:autoSpaceDN/>
        <w:bidi w:val="0"/>
        <w:adjustRightInd/>
        <w:snapToGrid w:val="0"/>
        <w:spacing w:line="600" w:lineRule="atLeas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（三）目标合理性</w:t>
      </w:r>
    </w:p>
    <w:p>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项目总体绩效目标：该项目符合</w:t>
      </w:r>
      <w:r>
        <w:rPr>
          <w:rFonts w:hint="eastAsia" w:ascii="仿宋_GB2312" w:hAnsi="仿宋_GB2312" w:eastAsia="仿宋_GB2312" w:cs="仿宋_GB2312"/>
          <w:sz w:val="32"/>
          <w:szCs w:val="32"/>
          <w:lang w:eastAsia="zh-CN"/>
        </w:rPr>
        <w:t>财政投资规范，</w:t>
      </w:r>
      <w:r>
        <w:rPr>
          <w:rFonts w:hint="eastAsia" w:ascii="仿宋_GB2312" w:hAnsi="仿宋_GB2312" w:eastAsia="仿宋_GB2312" w:cs="仿宋_GB2312"/>
          <w:sz w:val="32"/>
          <w:szCs w:val="32"/>
          <w:lang w:val="en-US" w:eastAsia="zh-CN"/>
        </w:rPr>
        <w:t>并且</w:t>
      </w:r>
      <w:r>
        <w:rPr>
          <w:rFonts w:hint="eastAsia" w:ascii="仿宋_GB2312" w:hAnsi="仿宋_GB2312" w:eastAsia="仿宋_GB2312" w:cs="仿宋_GB2312"/>
          <w:sz w:val="32"/>
          <w:szCs w:val="32"/>
        </w:rPr>
        <w:t>绩效目标设置按照工程完成数量、质量、完成时限、完成成本指标均进行了量化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细化</w:t>
      </w:r>
      <w:r>
        <w:rPr>
          <w:rFonts w:hint="eastAsia" w:ascii="仿宋_GB2312" w:hAnsi="仿宋_GB2312" w:eastAsia="仿宋_GB2312" w:cs="仿宋_GB2312"/>
          <w:sz w:val="32"/>
          <w:szCs w:val="32"/>
        </w:rPr>
        <w:t>,绩效目标明确量化，可考核。</w:t>
      </w:r>
      <w:r>
        <w:rPr>
          <w:rFonts w:hint="eastAsia" w:ascii="仿宋_GB2312" w:hAnsi="仿宋_GB2312" w:eastAsia="仿宋_GB2312" w:cs="仿宋_GB2312"/>
          <w:sz w:val="32"/>
          <w:szCs w:val="32"/>
          <w:lang w:eastAsia="zh-CN"/>
        </w:rPr>
        <w:t>该项目实施方案已</w:t>
      </w:r>
      <w:r>
        <w:rPr>
          <w:rFonts w:hint="eastAsia" w:ascii="仿宋_GB2312" w:hAnsi="仿宋_GB2312" w:eastAsia="仿宋_GB2312" w:cs="仿宋_GB2312"/>
          <w:sz w:val="32"/>
          <w:szCs w:val="32"/>
        </w:rPr>
        <w:t>委托第三方</w:t>
      </w:r>
      <w:r>
        <w:rPr>
          <w:rFonts w:hint="eastAsia" w:ascii="仿宋_GB2312" w:hAnsi="仿宋_GB2312" w:eastAsia="仿宋_GB2312" w:cs="仿宋_GB2312"/>
          <w:sz w:val="32"/>
          <w:szCs w:val="32"/>
          <w:lang w:eastAsia="zh-CN"/>
        </w:rPr>
        <w:t>专业</w:t>
      </w:r>
      <w:r>
        <w:rPr>
          <w:rFonts w:hint="eastAsia" w:ascii="仿宋_GB2312" w:hAnsi="仿宋_GB2312" w:eastAsia="仿宋_GB2312" w:cs="仿宋_GB2312"/>
          <w:sz w:val="32"/>
          <w:szCs w:val="32"/>
        </w:rPr>
        <w:t>机构进行了</w:t>
      </w:r>
      <w:r>
        <w:rPr>
          <w:rFonts w:hint="eastAsia" w:ascii="仿宋_GB2312" w:hAnsi="仿宋_GB2312" w:eastAsia="仿宋_GB2312" w:cs="仿宋_GB2312"/>
          <w:sz w:val="32"/>
          <w:szCs w:val="32"/>
          <w:lang w:eastAsia="zh-CN"/>
        </w:rPr>
        <w:t>编制</w:t>
      </w:r>
      <w:r>
        <w:rPr>
          <w:rFonts w:hint="eastAsia" w:ascii="仿宋_GB2312" w:hAnsi="仿宋_GB2312" w:eastAsia="仿宋_GB2312" w:cs="仿宋_GB2312"/>
          <w:sz w:val="32"/>
          <w:szCs w:val="32"/>
        </w:rPr>
        <w:t>，并通过</w:t>
      </w:r>
      <w:r>
        <w:rPr>
          <w:rFonts w:hint="eastAsia" w:ascii="仿宋_GB2312" w:hAnsi="仿宋_GB2312" w:eastAsia="仿宋_GB2312" w:cs="仿宋_GB2312"/>
          <w:sz w:val="32"/>
          <w:szCs w:val="32"/>
          <w:lang w:eastAsia="zh-CN"/>
        </w:rPr>
        <w:t>专家评审</w:t>
      </w:r>
      <w:r>
        <w:rPr>
          <w:rFonts w:hint="eastAsia" w:ascii="仿宋_GB2312" w:hAnsi="仿宋_GB2312" w:eastAsia="仿宋_GB2312" w:cs="仿宋_GB2312"/>
          <w:sz w:val="32"/>
          <w:szCs w:val="32"/>
        </w:rPr>
        <w:t>。工作覆盖全面完整，契合我县政策，与部门的长期规划目标、年度工作目标相一致，产出和效果相关联，群众满意度高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具体绩效目标如下：</w:t>
      </w:r>
    </w:p>
    <w:p>
      <w:pPr>
        <w:keepNext w:val="0"/>
        <w:keepLines w:val="0"/>
        <w:pageBreakBefore w:val="0"/>
        <w:kinsoku/>
        <w:wordWrap/>
        <w:overflowPunct/>
        <w:topLinePunct w:val="0"/>
        <w:autoSpaceDE/>
        <w:autoSpaceDN/>
        <w:bidi w:val="0"/>
        <w:adjustRightInd/>
        <w:snapToGrid w:val="0"/>
        <w:spacing w:line="600" w:lineRule="atLeas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2025年项目预算绩效评价项目绩效目标表</w:t>
      </w:r>
    </w:p>
    <w:tbl>
      <w:tblPr>
        <w:tblStyle w:val="18"/>
        <w:tblW w:w="85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1334"/>
        <w:gridCol w:w="1734"/>
        <w:gridCol w:w="800"/>
        <w:gridCol w:w="755"/>
        <w:gridCol w:w="745"/>
        <w:gridCol w:w="722"/>
        <w:gridCol w:w="759"/>
        <w:gridCol w:w="8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一级指标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二级指标</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三级指标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指标性质</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历史参考值</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指标值</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度量单位</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权重（%）</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指标方向性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restart"/>
            <w:tcBorders>
              <w:top w:val="single" w:color="000000" w:sz="4" w:space="0"/>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产出指标</w:t>
            </w:r>
          </w:p>
        </w:tc>
        <w:tc>
          <w:tcPr>
            <w:tcW w:w="133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数量指标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道路硬化总面积</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2000</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2000</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平方米</w:t>
            </w:r>
          </w:p>
        </w:tc>
        <w:tc>
          <w:tcPr>
            <w:tcW w:w="759"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86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33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数量指标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改建矮墙</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4</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4</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处</w:t>
            </w:r>
          </w:p>
        </w:tc>
        <w:tc>
          <w:tcPr>
            <w:tcW w:w="759"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86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33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数量指标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新建门头</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6</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6</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处</w:t>
            </w:r>
          </w:p>
        </w:tc>
        <w:tc>
          <w:tcPr>
            <w:tcW w:w="759"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86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133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数量指标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改建外墙漆</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5000</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5000</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平方米</w:t>
            </w:r>
          </w:p>
        </w:tc>
        <w:tc>
          <w:tcPr>
            <w:tcW w:w="759"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86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质量指标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合格率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100</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时效指标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工期</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月</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成本指标</w:t>
            </w:r>
          </w:p>
        </w:tc>
        <w:tc>
          <w:tcPr>
            <w:tcW w:w="133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成本指标</w:t>
            </w:r>
          </w:p>
        </w:tc>
        <w:tc>
          <w:tcPr>
            <w:tcW w:w="173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成本控制</w:t>
            </w:r>
          </w:p>
        </w:tc>
        <w:tc>
          <w:tcPr>
            <w:tcW w:w="800" w:type="dxa"/>
            <w:tcBorders>
              <w:top w:val="single" w:color="000000" w:sz="4" w:space="0"/>
              <w:left w:val="single" w:color="000000" w:sz="4" w:space="0"/>
              <w:bottom w:val="single" w:color="auto"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390</w:t>
            </w:r>
          </w:p>
        </w:tc>
        <w:tc>
          <w:tcPr>
            <w:tcW w:w="74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390</w:t>
            </w:r>
          </w:p>
        </w:tc>
        <w:tc>
          <w:tcPr>
            <w:tcW w:w="72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万元</w:t>
            </w:r>
          </w:p>
        </w:tc>
        <w:tc>
          <w:tcPr>
            <w:tcW w:w="759"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86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效益指标</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完善被检查单位内控机制</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完善被检查单位预算管理</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经济效益</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社会效益</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b w:val="0"/>
                <w:bCs w:val="0"/>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满意度指标</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满意度指标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群众满意度</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95%</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95%</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w:t>
            </w: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4"/>
                <w:szCs w:val="24"/>
                <w:u w:val="none"/>
                <w:lang w:val="en-US" w:eastAsia="zh-CN" w:bidi="ar"/>
              </w:rPr>
            </w:pPr>
            <w:r>
              <w:rPr>
                <w:rFonts w:hint="eastAsia" w:ascii="仿宋_GB2312" w:hAnsi="仿宋_GB2312" w:eastAsia="仿宋_GB2312" w:cs="仿宋_GB2312"/>
                <w:b w:val="0"/>
                <w:bCs w:val="0"/>
                <w:i w:val="0"/>
                <w:iCs w:val="0"/>
                <w:color w:val="000000"/>
                <w:kern w:val="0"/>
                <w:sz w:val="24"/>
                <w:szCs w:val="24"/>
                <w:u w:val="none"/>
                <w:lang w:val="en-US" w:eastAsia="zh-CN" w:bidi="ar"/>
              </w:rPr>
              <w:t>10%</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4"/>
                <w:szCs w:val="24"/>
                <w:u w:val="none"/>
              </w:rPr>
            </w:pPr>
            <w:r>
              <w:rPr>
                <w:rFonts w:hint="eastAsia" w:ascii="仿宋_GB2312" w:hAnsi="仿宋_GB2312" w:eastAsia="仿宋_GB2312" w:cs="仿宋_GB2312"/>
                <w:b w:val="0"/>
                <w:bCs w:val="0"/>
                <w:i w:val="0"/>
                <w:iCs w:val="0"/>
                <w:color w:val="000000"/>
                <w:kern w:val="0"/>
                <w:sz w:val="24"/>
                <w:szCs w:val="24"/>
                <w:u w:val="none"/>
                <w:lang w:val="en-US" w:eastAsia="zh-CN" w:bidi="ar"/>
              </w:rPr>
              <w:t>正向指标</w:t>
            </w:r>
          </w:p>
        </w:tc>
      </w:tr>
    </w:tbl>
    <w:p>
      <w:pPr>
        <w:keepNext w:val="0"/>
        <w:keepLines w:val="0"/>
        <w:pageBreakBefore w:val="0"/>
        <w:kinsoku/>
        <w:wordWrap/>
        <w:overflowPunct/>
        <w:topLinePunct w:val="0"/>
        <w:autoSpaceDE/>
        <w:autoSpaceDN/>
        <w:bidi w:val="0"/>
        <w:adjustRightInd/>
        <w:snapToGrid w:val="0"/>
        <w:spacing w:line="600" w:lineRule="atLeast"/>
        <w:ind w:firstLine="643"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sz w:val="32"/>
          <w:szCs w:val="32"/>
        </w:rPr>
        <w:t>（四）</w:t>
      </w:r>
      <w:r>
        <w:rPr>
          <w:rFonts w:hint="eastAsia" w:ascii="仿宋_GB2312" w:hAnsi="仿宋_GB2312" w:eastAsia="仿宋_GB2312" w:cs="仿宋_GB2312"/>
          <w:b/>
          <w:sz w:val="32"/>
          <w:szCs w:val="32"/>
          <w:lang w:eastAsia="zh-CN"/>
        </w:rPr>
        <w:t>实施</w:t>
      </w:r>
      <w:r>
        <w:rPr>
          <w:rFonts w:hint="eastAsia" w:ascii="仿宋_GB2312" w:hAnsi="仿宋_GB2312" w:eastAsia="仿宋_GB2312" w:cs="仿宋_GB2312"/>
          <w:b/>
          <w:sz w:val="32"/>
          <w:szCs w:val="32"/>
        </w:rPr>
        <w:t>可行性</w:t>
      </w:r>
    </w:p>
    <w:p>
      <w:pPr>
        <w:pStyle w:val="9"/>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年项目预算绩效评价</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实施单位组织管理机构健全且能够可持续运转；项目内容较为明确，与绩效目标较相匹配；与项目有关的基</w:t>
      </w:r>
      <w:r>
        <w:rPr>
          <w:rFonts w:hint="eastAsia" w:ascii="仿宋_GB2312" w:hAnsi="仿宋_GB2312" w:eastAsia="仿宋_GB2312" w:cs="仿宋_GB2312"/>
          <w:sz w:val="32"/>
          <w:szCs w:val="32"/>
          <w:lang w:eastAsia="zh-CN"/>
        </w:rPr>
        <w:t>础设施</w:t>
      </w:r>
      <w:r>
        <w:rPr>
          <w:rFonts w:hint="eastAsia" w:ascii="仿宋_GB2312" w:hAnsi="仿宋_GB2312" w:eastAsia="仿宋_GB2312" w:cs="仿宋_GB2312"/>
          <w:sz w:val="32"/>
          <w:szCs w:val="32"/>
        </w:rPr>
        <w:t>条件能够得以有效保障。因此，项目具有实施的可行性。具体分析如下：</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项目内容较为明确。该项目属于</w:t>
      </w:r>
      <w:r>
        <w:rPr>
          <w:rFonts w:hint="eastAsia" w:ascii="仿宋_GB2312" w:hAnsi="仿宋_GB2312" w:eastAsia="仿宋_GB2312" w:cs="仿宋_GB2312"/>
          <w:sz w:val="32"/>
          <w:szCs w:val="32"/>
          <w:lang w:val="en-US" w:eastAsia="zh-CN"/>
        </w:rPr>
        <w:t>南坪镇双河村人居环境整治提升建设项目</w:t>
      </w:r>
      <w:r>
        <w:rPr>
          <w:rFonts w:hint="eastAsia" w:ascii="仿宋_GB2312" w:hAnsi="仿宋_GB2312" w:eastAsia="仿宋_GB2312" w:cs="仿宋_GB2312"/>
          <w:sz w:val="32"/>
          <w:szCs w:val="32"/>
        </w:rPr>
        <w:t>，项目实施时间为</w:t>
      </w:r>
      <w:r>
        <w:rPr>
          <w:rFonts w:hint="eastAsia" w:ascii="仿宋_GB2312" w:hAnsi="仿宋_GB2312" w:eastAsia="仿宋_GB2312" w:cs="仿宋_GB2312"/>
          <w:sz w:val="32"/>
          <w:szCs w:val="32"/>
          <w:lang w:val="en-US" w:eastAsia="zh-CN"/>
        </w:rPr>
        <w:t>10个月。</w:t>
      </w:r>
    </w:p>
    <w:p>
      <w:pPr>
        <w:autoSpaceDE w:val="0"/>
        <w:autoSpaceDN w:val="0"/>
        <w:spacing w:after="10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组织机构健全，职责分工明确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严格按照工程项目招投标法实施。九寨沟县南坪镇负责</w:t>
      </w:r>
      <w:r>
        <w:rPr>
          <w:rFonts w:hint="eastAsia" w:ascii="仿宋_GB2312" w:hAnsi="仿宋_GB2312" w:eastAsia="仿宋_GB2312" w:cs="仿宋_GB2312"/>
          <w:sz w:val="32"/>
          <w:szCs w:val="32"/>
        </w:rPr>
        <w:t>负责管理</w:t>
      </w:r>
      <w:r>
        <w:rPr>
          <w:rFonts w:hint="eastAsia" w:ascii="仿宋_GB2312" w:hAnsi="仿宋_GB2312" w:eastAsia="仿宋_GB2312" w:cs="仿宋_GB2312"/>
          <w:sz w:val="32"/>
          <w:szCs w:val="32"/>
          <w:lang w:eastAsia="zh-CN"/>
        </w:rPr>
        <w:t>项目建设管理工作</w:t>
      </w:r>
      <w:r>
        <w:rPr>
          <w:rFonts w:hint="eastAsia" w:ascii="仿宋_GB2312" w:hAnsi="仿宋_GB2312" w:eastAsia="仿宋_GB2312" w:cs="仿宋_GB2312"/>
          <w:sz w:val="32"/>
          <w:szCs w:val="32"/>
          <w:lang w:val="en-US" w:eastAsia="zh-CN"/>
        </w:rPr>
        <w:t>，设有项目</w:t>
      </w:r>
      <w:r>
        <w:rPr>
          <w:rFonts w:hint="eastAsia" w:ascii="仿宋_GB2312" w:hAnsi="仿宋_GB2312" w:eastAsia="仿宋_GB2312" w:cs="仿宋_GB2312"/>
          <w:sz w:val="32"/>
          <w:szCs w:val="32"/>
        </w:rPr>
        <w:t>管理股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组织机构健全</w:t>
      </w:r>
      <w:r>
        <w:rPr>
          <w:rFonts w:hint="eastAsia" w:ascii="仿宋_GB2312" w:hAnsi="仿宋_GB2312" w:eastAsia="仿宋_GB2312" w:cs="仿宋_GB2312"/>
          <w:sz w:val="32"/>
          <w:szCs w:val="32"/>
          <w:lang w:val="en-US" w:eastAsia="zh-CN"/>
        </w:rPr>
        <w:t>。</w:t>
      </w:r>
    </w:p>
    <w:p>
      <w:pPr>
        <w:autoSpaceDE w:val="0"/>
        <w:autoSpaceDN w:val="0"/>
        <w:spacing w:after="100"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3.项目具备正常实施条件，资金有所保障。</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color w:val="auto"/>
          <w:sz w:val="32"/>
          <w:szCs w:val="32"/>
          <w:highlight w:val="none"/>
          <w:lang w:val="en-US" w:eastAsia="zh-CN"/>
        </w:rPr>
        <w:t>九寨沟县2025涉农整合财政衔接资金</w:t>
      </w:r>
      <w:r>
        <w:rPr>
          <w:rFonts w:hint="eastAsia" w:ascii="仿宋_GB2312" w:hAnsi="仿宋_GB2312" w:eastAsia="仿宋_GB2312" w:cs="仿宋_GB2312"/>
          <w:sz w:val="32"/>
          <w:szCs w:val="32"/>
          <w:lang w:val="en-US" w:eastAsia="zh-CN"/>
        </w:rPr>
        <w:t>。资金具有较强的保障性。</w:t>
      </w:r>
    </w:p>
    <w:p>
      <w:pPr>
        <w:pStyle w:val="7"/>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九寨沟县南坪镇根据县级财政及本单位已制定的相关</w:t>
      </w:r>
      <w:r>
        <w:rPr>
          <w:rFonts w:hint="eastAsia" w:ascii="仿宋_GB2312" w:hAnsi="仿宋_GB2312" w:eastAsia="仿宋_GB2312" w:cs="仿宋_GB2312"/>
          <w:sz w:val="32"/>
          <w:szCs w:val="32"/>
        </w:rPr>
        <w:t>资金管理办法和项目管理办法</w:t>
      </w:r>
      <w:r>
        <w:rPr>
          <w:rFonts w:hint="eastAsia" w:ascii="仿宋_GB2312" w:hAnsi="仿宋_GB2312" w:eastAsia="仿宋_GB2312" w:cs="仿宋_GB2312"/>
          <w:sz w:val="32"/>
          <w:szCs w:val="32"/>
          <w:lang w:val="en-US" w:eastAsia="zh-CN"/>
        </w:rPr>
        <w:t>实施。</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（五）筹资合规性</w:t>
      </w:r>
    </w:p>
    <w:p>
      <w:pPr>
        <w:pStyle w:val="7"/>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该项目资金需求</w:t>
      </w:r>
      <w:r>
        <w:rPr>
          <w:rFonts w:hint="eastAsia" w:ascii="仿宋_GB2312" w:hAnsi="仿宋_GB2312" w:eastAsia="仿宋_GB2312" w:cs="仿宋_GB2312"/>
          <w:sz w:val="32"/>
          <w:szCs w:val="32"/>
          <w:lang w:val="en-US" w:eastAsia="zh-CN"/>
        </w:rPr>
        <w:t>250万</w:t>
      </w:r>
      <w:r>
        <w:rPr>
          <w:rFonts w:hint="eastAsia" w:ascii="仿宋_GB2312" w:hAnsi="仿宋_GB2312" w:eastAsia="仿宋_GB2312" w:cs="仿宋_GB2312"/>
          <w:sz w:val="32"/>
          <w:szCs w:val="32"/>
        </w:rPr>
        <w:t>元，主要通过</w:t>
      </w:r>
      <w:r>
        <w:rPr>
          <w:rFonts w:hint="eastAsia" w:ascii="仿宋_GB2312" w:hAnsi="仿宋_GB2312" w:eastAsia="仿宋_GB2312" w:cs="仿宋_GB2312"/>
          <w:color w:val="auto"/>
          <w:sz w:val="32"/>
          <w:szCs w:val="32"/>
          <w:highlight w:val="none"/>
          <w:lang w:val="en-US" w:eastAsia="zh-CN"/>
        </w:rPr>
        <w:t>九寨沟县2025年财政衔接推进乡村振兴补助资金</w:t>
      </w:r>
      <w:r>
        <w:rPr>
          <w:rFonts w:hint="eastAsia" w:ascii="仿宋_GB2312" w:hAnsi="仿宋_GB2312" w:eastAsia="仿宋_GB2312" w:cs="仿宋_GB2312"/>
          <w:sz w:val="32"/>
          <w:szCs w:val="32"/>
        </w:rPr>
        <w:t>解决。经评估，项目筹资渠道符合法律法规规定，筹资结构合理，资金来源渠道明确，各渠道资金到位时间、条件能够落实，财政资金支持方式科学合理，该项目具有公共性，属于公共财政支持范围。</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六、评估结论</w:t>
      </w:r>
    </w:p>
    <w:p>
      <w:pPr>
        <w:pStyle w:val="39"/>
        <w:keepNext w:val="0"/>
        <w:keepLines w:val="0"/>
        <w:pageBreakBefore w:val="0"/>
        <w:widowControl w:val="0"/>
        <w:kinsoku/>
        <w:wordWrap/>
        <w:overflowPunct/>
        <w:topLinePunct w:val="0"/>
        <w:autoSpaceDE/>
        <w:autoSpaceDN/>
        <w:bidi w:val="0"/>
        <w:adjustRightInd/>
        <w:snapToGrid w:val="0"/>
        <w:spacing w:line="600" w:lineRule="exact"/>
        <w:ind w:firstLine="707" w:firstLineChars="221"/>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rPr>
        <w:t>综合前述评估内容来看，该项目立项必要性和依据充分，绩效目标明确，具备实施条件，具有公共性，符合财政资金支持方向</w:t>
      </w:r>
      <w:r>
        <w:rPr>
          <w:rFonts w:hint="eastAsia" w:ascii="仿宋_GB2312" w:hAnsi="仿宋_GB2312" w:eastAsia="仿宋_GB2312" w:cs="仿宋_GB2312"/>
          <w:b w:val="0"/>
          <w:bCs w:val="0"/>
          <w:sz w:val="32"/>
          <w:szCs w:val="32"/>
          <w:u w:val="none"/>
          <w:lang w:eastAsia="zh-CN"/>
        </w:rPr>
        <w:t>等</w:t>
      </w:r>
      <w:r>
        <w:rPr>
          <w:rFonts w:hint="eastAsia" w:ascii="仿宋_GB2312" w:hAnsi="仿宋_GB2312" w:eastAsia="仿宋_GB2312" w:cs="仿宋_GB2312"/>
          <w:b w:val="0"/>
          <w:bCs w:val="0"/>
          <w:sz w:val="32"/>
          <w:szCs w:val="32"/>
          <w:u w:val="none"/>
        </w:rPr>
        <w:t>。建议予以支持，预算控制在</w:t>
      </w:r>
      <w:r>
        <w:rPr>
          <w:rFonts w:hint="eastAsia" w:ascii="仿宋_GB2312" w:hAnsi="仿宋_GB2312" w:eastAsia="仿宋_GB2312" w:cs="仿宋_GB2312"/>
          <w:b w:val="0"/>
          <w:bCs w:val="0"/>
          <w:sz w:val="32"/>
          <w:szCs w:val="32"/>
          <w:u w:val="none"/>
          <w:lang w:val="en-US" w:eastAsia="zh-CN"/>
        </w:rPr>
        <w:t>250</w:t>
      </w:r>
      <w:r>
        <w:rPr>
          <w:rFonts w:hint="eastAsia" w:ascii="仿宋_GB2312" w:hAnsi="仿宋_GB2312" w:eastAsia="仿宋_GB2312" w:cs="仿宋_GB2312"/>
          <w:b w:val="0"/>
          <w:bCs w:val="0"/>
          <w:sz w:val="32"/>
          <w:szCs w:val="32"/>
          <w:u w:val="none"/>
        </w:rPr>
        <w:t>万元以内。该项目申请资金总预算</w:t>
      </w:r>
      <w:r>
        <w:rPr>
          <w:rFonts w:hint="eastAsia" w:ascii="仿宋_GB2312" w:hAnsi="仿宋_GB2312" w:eastAsia="仿宋_GB2312" w:cs="仿宋_GB2312"/>
          <w:b w:val="0"/>
          <w:bCs w:val="0"/>
          <w:sz w:val="32"/>
          <w:szCs w:val="32"/>
          <w:u w:val="none"/>
          <w:lang w:val="en-US" w:eastAsia="zh-CN"/>
        </w:rPr>
        <w:t>250</w:t>
      </w:r>
      <w:r>
        <w:rPr>
          <w:rFonts w:hint="eastAsia" w:ascii="仿宋_GB2312" w:hAnsi="仿宋_GB2312" w:eastAsia="仿宋_GB2312" w:cs="仿宋_GB2312"/>
          <w:b w:val="0"/>
          <w:bCs w:val="0"/>
          <w:sz w:val="32"/>
          <w:szCs w:val="32"/>
          <w:u w:val="none"/>
        </w:rPr>
        <w:t>万元，经评审，建议预算</w:t>
      </w:r>
      <w:r>
        <w:rPr>
          <w:rFonts w:hint="eastAsia" w:ascii="仿宋_GB2312" w:hAnsi="仿宋_GB2312" w:eastAsia="仿宋_GB2312" w:cs="仿宋_GB2312"/>
          <w:b w:val="0"/>
          <w:bCs w:val="0"/>
          <w:sz w:val="32"/>
          <w:szCs w:val="32"/>
          <w:u w:val="none"/>
          <w:lang w:eastAsia="zh-CN"/>
        </w:rPr>
        <w:t>申报</w:t>
      </w:r>
      <w:r>
        <w:rPr>
          <w:rFonts w:hint="eastAsia" w:ascii="仿宋_GB2312" w:hAnsi="仿宋_GB2312" w:eastAsia="仿宋_GB2312" w:cs="仿宋_GB2312"/>
          <w:b w:val="0"/>
          <w:bCs w:val="0"/>
          <w:sz w:val="32"/>
          <w:szCs w:val="32"/>
          <w:u w:val="none"/>
        </w:rPr>
        <w:t>数</w:t>
      </w:r>
      <w:r>
        <w:rPr>
          <w:rFonts w:hint="eastAsia" w:ascii="仿宋_GB2312" w:hAnsi="仿宋_GB2312" w:eastAsia="仿宋_GB2312" w:cs="仿宋_GB2312"/>
          <w:b w:val="0"/>
          <w:bCs w:val="0"/>
          <w:sz w:val="32"/>
          <w:szCs w:val="32"/>
          <w:u w:val="none"/>
          <w:lang w:val="en-US" w:eastAsia="zh-CN"/>
        </w:rPr>
        <w:t>250</w:t>
      </w:r>
      <w:r>
        <w:rPr>
          <w:rFonts w:hint="eastAsia" w:ascii="仿宋_GB2312" w:hAnsi="仿宋_GB2312" w:eastAsia="仿宋_GB2312" w:cs="仿宋_GB2312"/>
          <w:b w:val="0"/>
          <w:bCs w:val="0"/>
          <w:sz w:val="32"/>
          <w:szCs w:val="32"/>
          <w:u w:val="none"/>
        </w:rPr>
        <w:t>万元</w:t>
      </w:r>
      <w:r>
        <w:rPr>
          <w:rFonts w:hint="eastAsia" w:ascii="仿宋_GB2312" w:hAnsi="仿宋_GB2312" w:eastAsia="仿宋_GB2312" w:cs="仿宋_GB2312"/>
          <w:b w:val="0"/>
          <w:bCs w:val="0"/>
          <w:sz w:val="32"/>
          <w:szCs w:val="32"/>
          <w:u w:val="none"/>
          <w:lang w:eastAsia="zh-CN"/>
        </w:rPr>
        <w:t>，</w:t>
      </w:r>
      <w:r>
        <w:rPr>
          <w:rFonts w:hint="eastAsia" w:ascii="仿宋_GB2312" w:hAnsi="仿宋_GB2312" w:eastAsia="仿宋_GB2312" w:cs="仿宋_GB2312"/>
          <w:b w:val="0"/>
          <w:bCs w:val="0"/>
          <w:sz w:val="32"/>
          <w:szCs w:val="32"/>
          <w:u w:val="none"/>
        </w:rPr>
        <w:t>合计</w:t>
      </w:r>
      <w:r>
        <w:rPr>
          <w:rFonts w:hint="eastAsia" w:ascii="仿宋_GB2312" w:hAnsi="仿宋_GB2312" w:eastAsia="仿宋_GB2312" w:cs="仿宋_GB2312"/>
          <w:b w:val="0"/>
          <w:bCs w:val="0"/>
          <w:sz w:val="32"/>
          <w:szCs w:val="32"/>
          <w:u w:val="none"/>
          <w:lang w:eastAsia="zh-CN"/>
        </w:rPr>
        <w:t>评减</w:t>
      </w:r>
      <w:r>
        <w:rPr>
          <w:rFonts w:hint="eastAsia" w:ascii="仿宋_GB2312" w:hAnsi="仿宋_GB2312" w:eastAsia="仿宋_GB2312" w:cs="仿宋_GB2312"/>
          <w:b w:val="0"/>
          <w:bCs w:val="0"/>
          <w:sz w:val="32"/>
          <w:szCs w:val="32"/>
          <w:u w:val="none"/>
          <w:lang w:val="en-US" w:eastAsia="zh-CN"/>
        </w:rPr>
        <w:t>0</w:t>
      </w:r>
      <w:r>
        <w:rPr>
          <w:rFonts w:hint="eastAsia" w:ascii="仿宋_GB2312" w:hAnsi="仿宋_GB2312" w:eastAsia="仿宋_GB2312" w:cs="仿宋_GB2312"/>
          <w:b w:val="0"/>
          <w:bCs w:val="0"/>
          <w:sz w:val="32"/>
          <w:szCs w:val="32"/>
          <w:u w:val="none"/>
        </w:rPr>
        <w:t>万元，评减率</w:t>
      </w:r>
      <w:r>
        <w:rPr>
          <w:rFonts w:hint="eastAsia" w:ascii="仿宋_GB2312" w:hAnsi="仿宋_GB2312" w:eastAsia="仿宋_GB2312" w:cs="仿宋_GB2312"/>
          <w:b w:val="0"/>
          <w:bCs w:val="0"/>
          <w:sz w:val="32"/>
          <w:szCs w:val="32"/>
          <w:u w:val="none"/>
          <w:lang w:val="en-US" w:eastAsia="zh-CN"/>
        </w:rPr>
        <w:t>0</w:t>
      </w:r>
      <w:r>
        <w:rPr>
          <w:rFonts w:hint="eastAsia" w:ascii="仿宋_GB2312" w:hAnsi="仿宋_GB2312" w:eastAsia="仿宋_GB2312" w:cs="仿宋_GB2312"/>
          <w:b w:val="0"/>
          <w:bCs w:val="0"/>
          <w:sz w:val="32"/>
          <w:szCs w:val="32"/>
          <w:u w:val="none"/>
        </w:rPr>
        <w:t>。</w:t>
      </w:r>
      <w:r>
        <w:rPr>
          <w:rFonts w:hint="eastAsia" w:ascii="仿宋_GB2312" w:hAnsi="仿宋_GB2312" w:eastAsia="仿宋_GB2312" w:cs="仿宋_GB2312"/>
          <w:b w:val="0"/>
          <w:bCs w:val="0"/>
          <w:sz w:val="32"/>
          <w:szCs w:val="32"/>
          <w:u w:val="none"/>
          <w:lang w:eastAsia="zh-CN"/>
        </w:rPr>
        <w:t>我单位将</w:t>
      </w:r>
      <w:r>
        <w:rPr>
          <w:rFonts w:hint="eastAsia" w:ascii="仿宋_GB2312" w:hAnsi="仿宋_GB2312" w:eastAsia="仿宋_GB2312" w:cs="仿宋_GB2312"/>
          <w:b w:val="0"/>
          <w:bCs w:val="0"/>
          <w:sz w:val="32"/>
          <w:szCs w:val="32"/>
          <w:u w:val="none"/>
        </w:rPr>
        <w:t>进一步优化完善实施</w:t>
      </w:r>
      <w:r>
        <w:rPr>
          <w:rFonts w:hint="eastAsia" w:ascii="仿宋_GB2312" w:hAnsi="仿宋_GB2312" w:eastAsia="仿宋_GB2312" w:cs="仿宋_GB2312"/>
          <w:b w:val="0"/>
          <w:bCs w:val="0"/>
          <w:sz w:val="32"/>
          <w:szCs w:val="32"/>
          <w:u w:val="none"/>
          <w:lang w:val="en-US" w:eastAsia="zh-CN"/>
        </w:rPr>
        <w:t>计划</w:t>
      </w:r>
      <w:r>
        <w:rPr>
          <w:rFonts w:hint="eastAsia" w:ascii="仿宋_GB2312" w:hAnsi="仿宋_GB2312" w:eastAsia="仿宋_GB2312" w:cs="仿宋_GB2312"/>
          <w:b w:val="0"/>
          <w:bCs w:val="0"/>
          <w:sz w:val="32"/>
          <w:szCs w:val="32"/>
          <w:u w:val="none"/>
        </w:rPr>
        <w:t>和绩效目标，</w:t>
      </w:r>
      <w:r>
        <w:rPr>
          <w:rFonts w:hint="eastAsia" w:ascii="仿宋_GB2312" w:hAnsi="仿宋_GB2312" w:eastAsia="仿宋_GB2312" w:cs="仿宋_GB2312"/>
          <w:b w:val="0"/>
          <w:bCs w:val="0"/>
          <w:sz w:val="32"/>
          <w:szCs w:val="32"/>
          <w:u w:val="none"/>
          <w:lang w:eastAsia="zh-CN"/>
        </w:rPr>
        <w:t>加强运行监控，</w:t>
      </w:r>
      <w:r>
        <w:rPr>
          <w:rFonts w:hint="eastAsia" w:ascii="仿宋_GB2312" w:hAnsi="仿宋_GB2312" w:eastAsia="仿宋_GB2312" w:cs="仿宋_GB2312"/>
          <w:b w:val="0"/>
          <w:bCs w:val="0"/>
          <w:sz w:val="32"/>
          <w:szCs w:val="32"/>
          <w:u w:val="none"/>
        </w:rPr>
        <w:t>节约财政资金并提升资金效益</w:t>
      </w:r>
      <w:r>
        <w:rPr>
          <w:rFonts w:hint="eastAsia" w:ascii="仿宋_GB2312" w:hAnsi="仿宋_GB2312" w:eastAsia="仿宋_GB2312" w:cs="仿宋_GB2312"/>
          <w:b w:val="0"/>
          <w:bCs w:val="0"/>
          <w:sz w:val="32"/>
          <w:szCs w:val="32"/>
          <w:u w:val="none"/>
          <w:lang w:eastAsia="zh-CN"/>
        </w:rPr>
        <w:t>，提升预算绩效管理水平</w:t>
      </w:r>
      <w:r>
        <w:rPr>
          <w:rFonts w:hint="eastAsia" w:ascii="仿宋_GB2312" w:hAnsi="仿宋_GB2312" w:eastAsia="仿宋_GB2312" w:cs="仿宋_GB2312"/>
          <w:b w:val="0"/>
          <w:bCs w:val="0"/>
          <w:sz w:val="32"/>
          <w:szCs w:val="32"/>
          <w:u w:val="none"/>
          <w:lang w:val="en-US" w:eastAsia="zh-CN"/>
        </w:rPr>
        <w:t>。</w:t>
      </w:r>
    </w:p>
    <w:p>
      <w:pPr>
        <w:pStyle w:val="7"/>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仿宋_GB2312" w:hAnsi="仿宋_GB2312" w:eastAsia="仿宋_GB2312" w:cs="仿宋_GB2312"/>
          <w:bCs/>
          <w:sz w:val="32"/>
          <w:szCs w:val="32"/>
          <w:lang w:val="en-US" w:eastAsia="zh-CN"/>
        </w:rPr>
      </w:pPr>
    </w:p>
    <w:p>
      <w:pPr>
        <w:rPr>
          <w:rFonts w:hint="eastAsia" w:ascii="仿宋_GB2312" w:hAnsi="仿宋_GB2312" w:eastAsia="仿宋_GB2312" w:cs="仿宋_GB2312"/>
          <w:bCs/>
          <w:sz w:val="32"/>
          <w:szCs w:val="32"/>
          <w:lang w:val="en-US" w:eastAsia="zh-CN"/>
        </w:rPr>
      </w:pPr>
    </w:p>
    <w:p>
      <w:pPr>
        <w:pStyle w:val="7"/>
        <w:rPr>
          <w:rFonts w:hint="eastAsia" w:ascii="仿宋_GB2312" w:hAnsi="仿宋_GB2312" w:eastAsia="仿宋_GB2312" w:cs="仿宋_GB2312"/>
          <w:bCs/>
          <w:sz w:val="36"/>
          <w:szCs w:val="36"/>
          <w:lang w:val="en-US" w:eastAsia="zh-CN"/>
        </w:rPr>
      </w:pPr>
    </w:p>
    <w:p>
      <w:pPr>
        <w:rPr>
          <w:rFonts w:hint="eastAsia" w:ascii="仿宋_GB2312" w:hAnsi="仿宋_GB2312" w:eastAsia="仿宋_GB2312" w:cs="仿宋_GB2312"/>
          <w:bCs/>
          <w:sz w:val="36"/>
          <w:szCs w:val="36"/>
          <w:lang w:val="en-US" w:eastAsia="zh-CN"/>
        </w:rPr>
      </w:pPr>
    </w:p>
    <w:p>
      <w:pPr>
        <w:pStyle w:val="7"/>
        <w:rPr>
          <w:rFonts w:hint="eastAsia" w:ascii="仿宋_GB2312" w:hAnsi="仿宋_GB2312" w:eastAsia="仿宋_GB2312" w:cs="仿宋_GB2312"/>
          <w:lang w:val="en-US" w:eastAsia="zh-CN"/>
        </w:rPr>
      </w:pPr>
    </w:p>
    <w:p>
      <w:pPr>
        <w:rPr>
          <w:rFonts w:hint="eastAsia" w:ascii="仿宋_GB2312" w:hAnsi="仿宋_GB2312" w:eastAsia="仿宋_GB2312" w:cs="仿宋_GB2312"/>
          <w:sz w:val="32"/>
          <w:szCs w:val="32"/>
        </w:rPr>
      </w:pPr>
    </w:p>
    <w:p>
      <w:pPr>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3</w:t>
      </w:r>
    </w:p>
    <w:p>
      <w:pPr>
        <w:pStyle w:val="7"/>
        <w:keepNext w:val="0"/>
        <w:keepLines w:val="0"/>
        <w:pageBreakBefore w:val="0"/>
        <w:widowControl w:val="0"/>
        <w:kinsoku/>
        <w:wordWrap/>
        <w:overflowPunct/>
        <w:topLinePunct w:val="0"/>
        <w:autoSpaceDE/>
        <w:autoSpaceDN/>
        <w:bidi w:val="0"/>
        <w:adjustRightInd/>
        <w:spacing w:line="600" w:lineRule="exact"/>
        <w:jc w:val="both"/>
        <w:textAlignment w:val="auto"/>
        <w:rPr>
          <w:rFonts w:hint="eastAsia" w:ascii="Times New Roman" w:hAnsi="Times New Roman" w:eastAsia="方正小标宋简体" w:cs="Times New Roman"/>
          <w:bCs/>
          <w:sz w:val="36"/>
          <w:szCs w:val="36"/>
          <w:lang w:val="en-US" w:eastAsia="zh-CN"/>
        </w:rPr>
      </w:pPr>
    </w:p>
    <w:p>
      <w:pPr>
        <w:pStyle w:val="7"/>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小标宋简体" w:cs="Times New Roman"/>
          <w:bCs/>
          <w:sz w:val="36"/>
          <w:szCs w:val="36"/>
          <w:lang w:val="en-US" w:eastAsia="zh-CN"/>
        </w:rPr>
      </w:pPr>
      <w:r>
        <w:rPr>
          <w:rFonts w:hint="eastAsia" w:ascii="Times New Roman" w:hAnsi="Times New Roman" w:eastAsia="方正小标宋简体" w:cs="Times New Roman"/>
          <w:bCs/>
          <w:sz w:val="36"/>
          <w:szCs w:val="36"/>
          <w:lang w:val="en-US" w:eastAsia="zh-CN"/>
        </w:rPr>
        <w:t>南坪镇下寨村人居环境整治提升建设项目</w:t>
      </w:r>
    </w:p>
    <w:p>
      <w:pPr>
        <w:pStyle w:val="7"/>
        <w:keepNext w:val="0"/>
        <w:keepLines w:val="0"/>
        <w:pageBreakBefore w:val="0"/>
        <w:widowControl w:val="0"/>
        <w:kinsoku/>
        <w:wordWrap/>
        <w:overflowPunct/>
        <w:topLinePunct w:val="0"/>
        <w:autoSpaceDE/>
        <w:autoSpaceDN/>
        <w:bidi w:val="0"/>
        <w:adjustRightInd/>
        <w:spacing w:line="600" w:lineRule="exact"/>
        <w:jc w:val="center"/>
        <w:textAlignment w:val="auto"/>
        <w:rPr>
          <w:rFonts w:hint="eastAsia" w:ascii="Times New Roman" w:hAnsi="Times New Roman" w:eastAsia="方正小标宋简体" w:cs="Times New Roman"/>
          <w:bCs/>
          <w:sz w:val="36"/>
          <w:szCs w:val="36"/>
          <w:lang w:eastAsia="zh-CN"/>
        </w:rPr>
      </w:pPr>
      <w:r>
        <w:rPr>
          <w:rFonts w:hint="default" w:ascii="Times New Roman" w:hAnsi="Times New Roman" w:eastAsia="方正小标宋简体" w:cs="Times New Roman"/>
          <w:bCs/>
          <w:sz w:val="36"/>
          <w:szCs w:val="36"/>
        </w:rPr>
        <w:t>事前绩效评估报告</w:t>
      </w:r>
    </w:p>
    <w:p>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宋体" w:cs="Times New Roman"/>
          <w:b/>
          <w:bCs/>
          <w:sz w:val="44"/>
          <w:szCs w:val="44"/>
        </w:rPr>
      </w:pPr>
    </w:p>
    <w:p>
      <w:pPr>
        <w:pStyle w:val="39"/>
        <w:keepNext w:val="0"/>
        <w:keepLines w:val="0"/>
        <w:pageBreakBefore w:val="0"/>
        <w:widowControl w:val="0"/>
        <w:kinsoku/>
        <w:wordWrap/>
        <w:overflowPunct/>
        <w:topLinePunct w:val="0"/>
        <w:autoSpaceDE/>
        <w:autoSpaceDN/>
        <w:bidi w:val="0"/>
        <w:adjustRightInd/>
        <w:snapToGrid w:val="0"/>
        <w:spacing w:line="600" w:lineRule="exact"/>
        <w:ind w:left="709" w:firstLine="0" w:firstLineChars="0"/>
        <w:textAlignment w:val="auto"/>
        <w:rPr>
          <w:rFonts w:hint="eastAsia" w:ascii="黑体" w:hAnsi="Times New Roman" w:eastAsia="黑体"/>
          <w:sz w:val="32"/>
          <w:szCs w:val="32"/>
        </w:rPr>
      </w:pPr>
      <w:r>
        <w:rPr>
          <w:rFonts w:hint="eastAsia" w:ascii="黑体" w:hAnsi="Times New Roman" w:eastAsia="黑体"/>
          <w:sz w:val="32"/>
          <w:szCs w:val="32"/>
        </w:rPr>
        <w:t>一、项目基本情况</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楷体_GB2312"/>
          <w:sz w:val="32"/>
          <w:szCs w:val="32"/>
          <w:u w:val="single"/>
          <w:lang w:val="en-US" w:eastAsia="zh-CN"/>
        </w:rPr>
      </w:pPr>
      <w:r>
        <w:rPr>
          <w:rFonts w:hint="eastAsia" w:ascii="楷体_GB2312" w:hAnsi="Times New Roman" w:eastAsia="楷体_GB2312"/>
          <w:b/>
          <w:sz w:val="32"/>
          <w:szCs w:val="32"/>
          <w:lang w:eastAsia="zh-CN"/>
        </w:rPr>
        <w:t>（一）</w:t>
      </w:r>
      <w:r>
        <w:rPr>
          <w:rFonts w:hint="eastAsia" w:ascii="楷体_GB2312" w:hAnsi="Times New Roman" w:eastAsia="楷体_GB2312"/>
          <w:b/>
          <w:sz w:val="32"/>
          <w:szCs w:val="32"/>
        </w:rPr>
        <w:t>项目名称：</w:t>
      </w:r>
      <w:r>
        <w:rPr>
          <w:rFonts w:hint="eastAsia" w:ascii="楷体_GB2312" w:hAnsi="Times New Roman" w:eastAsia="楷体_GB2312"/>
          <w:b/>
          <w:sz w:val="32"/>
          <w:szCs w:val="32"/>
          <w:u w:val="single"/>
          <w:lang w:val="en-US" w:eastAsia="zh-CN"/>
        </w:rPr>
        <w:t xml:space="preserve"> </w:t>
      </w:r>
      <w:r>
        <w:rPr>
          <w:rFonts w:hint="eastAsia" w:ascii="楷体_GB2312" w:hAnsi="Times New Roman" w:eastAsia="楷体_GB2312"/>
          <w:b/>
          <w:sz w:val="32"/>
          <w:szCs w:val="32"/>
          <w:u w:val="single"/>
          <w:lang w:eastAsia="zh-CN"/>
        </w:rPr>
        <w:t>南坪镇</w:t>
      </w:r>
      <w:r>
        <w:rPr>
          <w:rFonts w:hint="eastAsia" w:ascii="楷体_GB2312" w:hAnsi="Times New Roman" w:eastAsia="楷体_GB2312"/>
          <w:b/>
          <w:sz w:val="32"/>
          <w:szCs w:val="32"/>
          <w:u w:val="single"/>
          <w:lang w:val="en-US" w:eastAsia="zh-CN"/>
        </w:rPr>
        <w:t>下寨</w:t>
      </w:r>
      <w:r>
        <w:rPr>
          <w:rFonts w:hint="eastAsia" w:ascii="楷体_GB2312" w:hAnsi="Times New Roman" w:eastAsia="楷体_GB2312"/>
          <w:b/>
          <w:sz w:val="32"/>
          <w:szCs w:val="32"/>
          <w:u w:val="single"/>
          <w:lang w:eastAsia="zh-CN"/>
        </w:rPr>
        <w:t>村</w:t>
      </w:r>
      <w:r>
        <w:rPr>
          <w:rFonts w:hint="eastAsia" w:ascii="楷体_GB2312" w:hAnsi="Times New Roman" w:eastAsia="楷体_GB2312"/>
          <w:b/>
          <w:sz w:val="32"/>
          <w:szCs w:val="32"/>
          <w:u w:val="single"/>
          <w:lang w:val="en-US" w:eastAsia="zh-CN"/>
        </w:rPr>
        <w:t>人居环境整治提升</w:t>
      </w:r>
      <w:r>
        <w:rPr>
          <w:rFonts w:hint="eastAsia" w:ascii="楷体_GB2312" w:hAnsi="Times New Roman" w:eastAsia="楷体_GB2312"/>
          <w:b/>
          <w:sz w:val="32"/>
          <w:szCs w:val="32"/>
          <w:u w:val="single"/>
          <w:lang w:eastAsia="zh-CN"/>
        </w:rPr>
        <w:t>建设项目</w:t>
      </w:r>
      <w:r>
        <w:rPr>
          <w:rFonts w:hint="eastAsia" w:ascii="楷体_GB2312" w:hAnsi="Times New Roman" w:eastAsia="楷体_GB2312"/>
          <w:b/>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仿宋_GB2312"/>
          <w:sz w:val="32"/>
          <w:szCs w:val="32"/>
          <w:u w:val="single"/>
          <w:lang w:val="en-US" w:eastAsia="zh-CN"/>
        </w:rPr>
      </w:pPr>
      <w:r>
        <w:rPr>
          <w:rFonts w:hint="eastAsia" w:ascii="楷体_GB2312" w:hAnsi="Times New Roman" w:eastAsia="楷体_GB2312"/>
          <w:b/>
          <w:sz w:val="32"/>
          <w:szCs w:val="32"/>
          <w:lang w:eastAsia="zh-CN"/>
        </w:rPr>
        <w:t>（二）</w:t>
      </w:r>
      <w:r>
        <w:rPr>
          <w:rFonts w:ascii="楷体_GB2312" w:hAnsi="Times New Roman" w:eastAsia="楷体_GB2312"/>
          <w:b/>
          <w:sz w:val="32"/>
          <w:szCs w:val="32"/>
        </w:rPr>
        <w:t>项目单位：</w:t>
      </w:r>
      <w:r>
        <w:rPr>
          <w:rFonts w:hint="eastAsia" w:ascii="Times New Roman" w:hAnsi="Times New Roman"/>
          <w:sz w:val="32"/>
          <w:szCs w:val="32"/>
          <w:u w:val="single"/>
          <w:lang w:val="en-US" w:eastAsia="zh-CN"/>
        </w:rPr>
        <w:t xml:space="preserve">   九寨沟县南坪镇人民政府                 </w:t>
      </w:r>
    </w:p>
    <w:p>
      <w:pPr>
        <w:bidi w:val="0"/>
        <w:ind w:firstLine="643" w:firstLineChars="200"/>
        <w:rPr>
          <w:rFonts w:hint="eastAsia" w:ascii="仿宋_GB2312" w:hAnsi="仿宋_GB2312" w:eastAsia="仿宋_GB2312" w:cs="仿宋_GB2312"/>
          <w:color w:val="auto"/>
          <w:sz w:val="30"/>
          <w:szCs w:val="30"/>
          <w:highlight w:val="none"/>
          <w:u w:val="single"/>
          <w:lang w:val="en-US" w:eastAsia="zh-CN"/>
        </w:rPr>
      </w:pPr>
      <w:r>
        <w:rPr>
          <w:rFonts w:hint="eastAsia" w:ascii="楷体_GB2312" w:hAnsi="Times New Roman" w:eastAsia="楷体_GB2312"/>
          <w:b/>
          <w:sz w:val="32"/>
          <w:szCs w:val="32"/>
          <w:lang w:eastAsia="zh-CN"/>
        </w:rPr>
        <w:t>（三）</w:t>
      </w:r>
      <w:r>
        <w:rPr>
          <w:rFonts w:ascii="楷体_GB2312" w:hAnsi="Times New Roman" w:eastAsia="楷体_GB2312"/>
          <w:b/>
          <w:sz w:val="32"/>
          <w:szCs w:val="32"/>
        </w:rPr>
        <w:t>主管部门：</w:t>
      </w:r>
      <w:r>
        <w:rPr>
          <w:rFonts w:hint="eastAsia" w:ascii="Times New Roman" w:hAnsi="Times New Roman"/>
          <w:sz w:val="32"/>
          <w:szCs w:val="32"/>
          <w:u w:val="single"/>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highlight w:val="none"/>
          <w:u w:val="single"/>
          <w:lang w:val="en-US" w:eastAsia="zh-CN"/>
        </w:rPr>
        <w:t>九寨沟县住建局</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楷体_GB2312" w:hAnsi="Times New Roman" w:eastAsia="楷体_GB2312"/>
          <w:b/>
          <w:sz w:val="32"/>
          <w:szCs w:val="32"/>
          <w:u w:val="single"/>
          <w:lang w:val="en-US" w:eastAsia="zh-CN"/>
        </w:rPr>
      </w:pPr>
      <w:r>
        <w:rPr>
          <w:rFonts w:hint="eastAsia" w:ascii="楷体_GB2312" w:hAnsi="Times New Roman" w:eastAsia="楷体_GB2312"/>
          <w:b/>
          <w:sz w:val="32"/>
          <w:szCs w:val="32"/>
          <w:lang w:eastAsia="zh-CN"/>
        </w:rPr>
        <w:t>（四）</w:t>
      </w:r>
      <w:r>
        <w:rPr>
          <w:rFonts w:ascii="楷体_GB2312" w:hAnsi="Times New Roman" w:eastAsia="楷体_GB2312"/>
          <w:b/>
          <w:sz w:val="32"/>
          <w:szCs w:val="32"/>
        </w:rPr>
        <w:t>项目属性：</w:t>
      </w:r>
      <w:r>
        <w:rPr>
          <w:rFonts w:hint="eastAsia" w:ascii="楷体_GB2312" w:hAnsi="Times New Roman" w:eastAsia="楷体_GB2312"/>
          <w:b/>
          <w:sz w:val="32"/>
          <w:szCs w:val="32"/>
          <w:u w:val="single"/>
          <w:lang w:val="en-US" w:eastAsia="zh-CN"/>
        </w:rPr>
        <w:t xml:space="preserve"> 改建 </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仿宋_GB2312"/>
          <w:sz w:val="32"/>
          <w:szCs w:val="32"/>
          <w:u w:val="single"/>
          <w:lang w:val="en-US" w:eastAsia="zh-CN"/>
        </w:rPr>
      </w:pPr>
      <w:r>
        <w:rPr>
          <w:rFonts w:hint="eastAsia" w:ascii="楷体_GB2312" w:hAnsi="Times New Roman" w:eastAsia="楷体_GB2312"/>
          <w:b/>
          <w:sz w:val="32"/>
          <w:szCs w:val="32"/>
          <w:lang w:eastAsia="zh-CN"/>
        </w:rPr>
        <w:t>（五）项目起止年限：</w:t>
      </w:r>
      <w:r>
        <w:rPr>
          <w:rFonts w:hint="eastAsia" w:ascii="Times New Roman" w:hAnsi="Times New Roman"/>
          <w:sz w:val="32"/>
          <w:szCs w:val="32"/>
          <w:u w:val="single"/>
          <w:lang w:val="en-US" w:eastAsia="zh-CN"/>
        </w:rPr>
        <w:t>2025</w:t>
      </w:r>
      <w:r>
        <w:rPr>
          <w:rFonts w:hint="eastAsia" w:ascii="Times New Roman" w:hAnsi="Times New Roman" w:eastAsia="仿宋_GB2312"/>
          <w:sz w:val="32"/>
          <w:szCs w:val="32"/>
          <w:u w:val="single"/>
          <w:lang w:val="en-US" w:eastAsia="zh-CN"/>
        </w:rPr>
        <w:t>年</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b/>
          <w:sz w:val="32"/>
          <w:szCs w:val="32"/>
          <w:lang w:eastAsia="zh-CN"/>
        </w:rPr>
        <w:t>（六）</w:t>
      </w:r>
      <w:r>
        <w:rPr>
          <w:rFonts w:hint="eastAsia" w:ascii="仿宋_GB2312" w:hAnsi="仿宋_GB2312" w:eastAsia="仿宋_GB2312" w:cs="仿宋_GB2312"/>
          <w:b/>
          <w:sz w:val="32"/>
          <w:szCs w:val="32"/>
        </w:rPr>
        <w:t>资金申请情况：</w:t>
      </w:r>
      <w:r>
        <w:rPr>
          <w:rFonts w:hint="eastAsia" w:ascii="仿宋_GB2312" w:hAnsi="仿宋_GB2312" w:eastAsia="仿宋_GB2312" w:cs="仿宋_GB2312"/>
          <w:sz w:val="32"/>
          <w:szCs w:val="32"/>
        </w:rPr>
        <w:t>申报项目预算金额为</w:t>
      </w:r>
      <w:r>
        <w:rPr>
          <w:rFonts w:hint="eastAsia" w:ascii="仿宋_GB2312" w:hAnsi="仿宋_GB2312" w:eastAsia="仿宋_GB2312" w:cs="仿宋_GB2312"/>
          <w:sz w:val="32"/>
          <w:szCs w:val="32"/>
          <w:u w:val="single"/>
          <w:lang w:val="en-US" w:eastAsia="zh-CN"/>
        </w:rPr>
        <w:t>390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u w:val="none"/>
          <w:lang w:eastAsia="zh-CN"/>
        </w:rPr>
        <w:t>资</w:t>
      </w:r>
      <w:r>
        <w:rPr>
          <w:rFonts w:hint="eastAsia" w:ascii="仿宋_GB2312" w:hAnsi="仿宋_GB2312" w:eastAsia="仿宋_GB2312" w:cs="仿宋_GB2312"/>
          <w:color w:val="auto"/>
          <w:sz w:val="32"/>
          <w:szCs w:val="32"/>
          <w:highlight w:val="none"/>
          <w:lang w:eastAsia="zh-TW"/>
        </w:rPr>
        <w:t>资金来源为</w:t>
      </w:r>
      <w:r>
        <w:rPr>
          <w:rFonts w:hint="eastAsia" w:ascii="仿宋_GB2312" w:hAnsi="仿宋_GB2312" w:eastAsia="仿宋_GB2312" w:cs="仿宋_GB2312"/>
          <w:color w:val="auto"/>
          <w:sz w:val="32"/>
          <w:szCs w:val="32"/>
          <w:highlight w:val="none"/>
          <w:lang w:val="en-US" w:eastAsia="zh-CN"/>
        </w:rPr>
        <w:t>九寨沟县2025年财政衔接推进乡村振兴补助资金</w:t>
      </w:r>
      <w:r>
        <w:rPr>
          <w:rFonts w:hint="eastAsia" w:ascii="仿宋_GB2312" w:hAnsi="仿宋_GB2312" w:eastAsia="仿宋_GB2312" w:cs="仿宋_GB2312"/>
          <w:sz w:val="32"/>
          <w:szCs w:val="32"/>
          <w:u w:val="none"/>
          <w:lang w:eastAsia="zh-CN"/>
        </w:rPr>
        <w:t>，其中财政资金</w:t>
      </w:r>
      <w:r>
        <w:rPr>
          <w:rFonts w:hint="eastAsia" w:ascii="仿宋_GB2312" w:hAnsi="仿宋_GB2312" w:eastAsia="仿宋_GB2312" w:cs="仿宋_GB2312"/>
          <w:sz w:val="32"/>
          <w:szCs w:val="32"/>
          <w:u w:val="single"/>
          <w:lang w:val="en-US" w:eastAsia="zh-CN"/>
        </w:rPr>
        <w:t>390</w:t>
      </w:r>
      <w:r>
        <w:rPr>
          <w:rFonts w:hint="eastAsia" w:ascii="仿宋_GB2312" w:hAnsi="仿宋_GB2312" w:eastAsia="仿宋_GB2312" w:cs="仿宋_GB2312"/>
          <w:sz w:val="32"/>
          <w:szCs w:val="32"/>
          <w:u w:val="none"/>
          <w:lang w:val="en-US" w:eastAsia="zh-CN"/>
        </w:rPr>
        <w:t>万元，自有资金</w:t>
      </w:r>
      <w:r>
        <w:rPr>
          <w:rFonts w:hint="eastAsia" w:ascii="仿宋_GB2312" w:hAnsi="仿宋_GB2312" w:eastAsia="仿宋_GB2312" w:cs="仿宋_GB2312"/>
          <w:sz w:val="32"/>
          <w:szCs w:val="32"/>
          <w:u w:val="single"/>
          <w:lang w:val="en-US" w:eastAsia="zh-CN"/>
        </w:rPr>
        <w:t xml:space="preserve"> 0 </w:t>
      </w:r>
      <w:r>
        <w:rPr>
          <w:rFonts w:hint="eastAsia" w:ascii="仿宋_GB2312" w:hAnsi="仿宋_GB2312" w:eastAsia="仿宋_GB2312" w:cs="仿宋_GB2312"/>
          <w:sz w:val="32"/>
          <w:szCs w:val="32"/>
          <w:u w:val="none"/>
          <w:lang w:val="en-US" w:eastAsia="zh-CN"/>
        </w:rPr>
        <w:t>万元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sz w:val="32"/>
          <w:szCs w:val="32"/>
          <w:lang w:eastAsia="zh-CN"/>
        </w:rPr>
        <w:t>（七）</w:t>
      </w:r>
      <w:r>
        <w:rPr>
          <w:rFonts w:hint="eastAsia" w:ascii="仿宋_GB2312" w:hAnsi="仿宋_GB2312" w:eastAsia="仿宋_GB2312" w:cs="仿宋_GB2312"/>
          <w:b/>
          <w:sz w:val="32"/>
          <w:szCs w:val="32"/>
        </w:rPr>
        <w:t>项目概况：</w:t>
      </w:r>
    </w:p>
    <w:p>
      <w:pPr>
        <w:keepNext w:val="0"/>
        <w:keepLines w:val="0"/>
        <w:pageBreakBefore w:val="0"/>
        <w:widowControl w:val="0"/>
        <w:kinsoku/>
        <w:wordWrap/>
        <w:overflowPunct/>
        <w:topLinePunct w:val="0"/>
        <w:autoSpaceDE/>
        <w:autoSpaceDN/>
        <w:bidi w:val="0"/>
        <w:adjustRightInd/>
        <w:snapToGrid w:val="0"/>
        <w:spacing w:line="600" w:lineRule="exact"/>
        <w:ind w:firstLine="628" w:firstLineChars="200"/>
        <w:textAlignment w:val="auto"/>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路面提升改造5532.11平方米、污水管网554米及人居环境整治等其他附属设施建设。</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二、评估原则</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rPr>
        <w:t>根据</w:t>
      </w:r>
      <w:r>
        <w:rPr>
          <w:rFonts w:hint="eastAsia" w:ascii="仿宋_GB2312" w:hAnsi="仿宋_GB2312" w:eastAsia="仿宋_GB2312" w:cs="仿宋_GB2312"/>
          <w:sz w:val="32"/>
          <w:szCs w:val="32"/>
          <w:u w:val="none"/>
          <w:lang w:val="en-US" w:eastAsia="zh-CN"/>
        </w:rPr>
        <w:t>2025</w:t>
      </w:r>
      <w:r>
        <w:rPr>
          <w:rFonts w:hint="eastAsia" w:ascii="仿宋_GB2312" w:hAnsi="仿宋_GB2312" w:eastAsia="仿宋_GB2312" w:cs="仿宋_GB2312"/>
          <w:sz w:val="32"/>
          <w:szCs w:val="32"/>
          <w:u w:val="none"/>
        </w:rPr>
        <w:t>年预算编制要求，绩效评估本着真正过紧日子的原则，厉行节约、</w:t>
      </w:r>
      <w:r>
        <w:rPr>
          <w:rFonts w:hint="eastAsia" w:ascii="仿宋_GB2312" w:hAnsi="仿宋_GB2312" w:eastAsia="仿宋_GB2312" w:cs="仿宋_GB2312"/>
          <w:sz w:val="32"/>
          <w:szCs w:val="32"/>
          <w:u w:val="none"/>
          <w:lang w:eastAsia="zh-CN"/>
        </w:rPr>
        <w:t>节</w:t>
      </w:r>
      <w:r>
        <w:rPr>
          <w:rFonts w:hint="eastAsia" w:ascii="仿宋_GB2312" w:hAnsi="仿宋_GB2312" w:eastAsia="仿宋_GB2312" w:cs="仿宋_GB2312"/>
          <w:sz w:val="32"/>
          <w:szCs w:val="32"/>
          <w:lang w:eastAsia="zh-CN"/>
        </w:rPr>
        <w:t>用为民</w:t>
      </w:r>
      <w:r>
        <w:rPr>
          <w:rFonts w:hint="eastAsia" w:ascii="仿宋_GB2312" w:hAnsi="仿宋_GB2312" w:eastAsia="仿宋_GB2312" w:cs="仿宋_GB2312"/>
          <w:sz w:val="32"/>
          <w:szCs w:val="32"/>
        </w:rPr>
        <w:t>，从严从紧控制项目申报和预算安排，非必要项目和工作内容可压尽压、应压尽压，做到客观、绩效、精准。</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三、评估目的</w:t>
      </w:r>
    </w:p>
    <w:p>
      <w:pPr>
        <w:keepNext w:val="0"/>
        <w:keepLines w:val="0"/>
        <w:pageBreakBefore w:val="0"/>
        <w:widowControl w:val="0"/>
        <w:kinsoku/>
        <w:wordWrap/>
        <w:overflowPunct/>
        <w:topLinePunct w:val="0"/>
        <w:autoSpaceDE/>
        <w:autoSpaceDN/>
        <w:bidi w:val="0"/>
        <w:adjustRightInd/>
        <w:snapToGrid w:val="0"/>
        <w:spacing w:line="600" w:lineRule="exact"/>
        <w:ind w:firstLine="709"/>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pPr>
        <w:pStyle w:val="39"/>
        <w:keepNext w:val="0"/>
        <w:keepLines w:val="0"/>
        <w:pageBreakBefore w:val="0"/>
        <w:widowControl w:val="0"/>
        <w:kinsoku/>
        <w:wordWrap/>
        <w:overflowPunct/>
        <w:topLinePunct w:val="0"/>
        <w:autoSpaceDE/>
        <w:autoSpaceDN/>
        <w:bidi w:val="0"/>
        <w:adjustRightInd/>
        <w:snapToGrid w:val="0"/>
        <w:spacing w:line="600" w:lineRule="exact"/>
        <w:ind w:left="709"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四、评估程序和方法</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（一）评估程序</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lang w:val="en-US" w:eastAsia="zh-CN"/>
        </w:rPr>
        <w:t>2025</w:t>
      </w:r>
      <w:r>
        <w:rPr>
          <w:rFonts w:hint="eastAsia" w:ascii="仿宋_GB2312" w:hAnsi="仿宋_GB2312" w:eastAsia="仿宋_GB2312" w:cs="仿宋_GB2312"/>
          <w:sz w:val="32"/>
          <w:szCs w:val="32"/>
          <w:u w:val="none"/>
        </w:rPr>
        <w:t>年度预算项目绩效评估工作通过</w:t>
      </w:r>
      <w:r>
        <w:rPr>
          <w:rFonts w:hint="eastAsia" w:ascii="仿宋_GB2312" w:hAnsi="仿宋_GB2312" w:eastAsia="仿宋_GB2312" w:cs="仿宋_GB2312"/>
          <w:sz w:val="32"/>
          <w:szCs w:val="32"/>
          <w:u w:val="none"/>
          <w:lang w:val="en-US" w:eastAsia="zh-CN"/>
        </w:rPr>
        <w:t>线下</w:t>
      </w:r>
      <w:r>
        <w:rPr>
          <w:rFonts w:hint="eastAsia" w:ascii="仿宋_GB2312" w:hAnsi="仿宋_GB2312" w:eastAsia="仿宋_GB2312" w:cs="仿宋_GB2312"/>
          <w:sz w:val="32"/>
          <w:szCs w:val="32"/>
          <w:u w:val="none"/>
        </w:rPr>
        <w:t>方式开展。按照有关规定和工作安排，</w:t>
      </w:r>
      <w:r>
        <w:rPr>
          <w:rFonts w:hint="eastAsia" w:ascii="仿宋_GB2312" w:hAnsi="仿宋_GB2312" w:eastAsia="仿宋_GB2312" w:cs="仿宋_GB2312"/>
          <w:sz w:val="32"/>
          <w:szCs w:val="32"/>
          <w:u w:val="none"/>
          <w:lang w:eastAsia="zh-CN"/>
        </w:rPr>
        <w:t>我单位开展自行评估，通过自行成立方式组建评估组，</w:t>
      </w:r>
      <w:r>
        <w:rPr>
          <w:rFonts w:hint="eastAsia" w:ascii="仿宋_GB2312" w:hAnsi="仿宋_GB2312" w:eastAsia="仿宋_GB2312" w:cs="仿宋_GB2312"/>
          <w:sz w:val="32"/>
          <w:szCs w:val="32"/>
          <w:u w:val="none"/>
        </w:rPr>
        <w:t>通过</w:t>
      </w:r>
      <w:r>
        <w:rPr>
          <w:rFonts w:hint="eastAsia" w:ascii="仿宋_GB2312" w:hAnsi="仿宋_GB2312" w:eastAsia="仿宋_GB2312" w:cs="仿宋_GB2312"/>
          <w:sz w:val="32"/>
          <w:szCs w:val="32"/>
          <w:u w:val="none"/>
          <w:lang w:eastAsia="zh-CN"/>
        </w:rPr>
        <w:t>收集</w:t>
      </w:r>
      <w:r>
        <w:rPr>
          <w:rFonts w:hint="eastAsia" w:ascii="仿宋_GB2312" w:hAnsi="仿宋_GB2312" w:eastAsia="仿宋_GB2312" w:cs="仿宋_GB2312"/>
          <w:sz w:val="32"/>
          <w:szCs w:val="32"/>
          <w:u w:val="none"/>
        </w:rPr>
        <w:t>被评估项目相关基础资料，并查阅资料、收集数据信息等，深入论证分析后，形成绩效评估报告。</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（二）评估方法</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sz w:val="32"/>
          <w:szCs w:val="32"/>
          <w:u w:val="none"/>
        </w:rPr>
        <w:t>本项目通过现场踏勘</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与</w:t>
      </w:r>
      <w:r>
        <w:rPr>
          <w:rFonts w:hint="eastAsia" w:ascii="仿宋_GB2312" w:hAnsi="仿宋_GB2312" w:eastAsia="仿宋_GB2312" w:cs="仿宋_GB2312"/>
          <w:sz w:val="32"/>
          <w:szCs w:val="32"/>
          <w:u w:val="none"/>
          <w:lang w:eastAsia="zh-CN"/>
        </w:rPr>
        <w:t>项目设计团队、项目</w:t>
      </w:r>
      <w:r>
        <w:rPr>
          <w:rFonts w:hint="eastAsia" w:ascii="仿宋_GB2312" w:hAnsi="仿宋_GB2312" w:eastAsia="仿宋_GB2312" w:cs="仿宋_GB2312"/>
          <w:sz w:val="32"/>
          <w:szCs w:val="32"/>
          <w:u w:val="none"/>
        </w:rPr>
        <w:t>相关人员座谈</w:t>
      </w:r>
      <w:r>
        <w:rPr>
          <w:rFonts w:hint="eastAsia" w:ascii="仿宋_GB2312" w:hAnsi="仿宋_GB2312" w:eastAsia="仿宋_GB2312" w:cs="仿宋_GB2312"/>
          <w:sz w:val="32"/>
          <w:szCs w:val="32"/>
          <w:u w:val="none"/>
          <w:lang w:eastAsia="zh-CN"/>
        </w:rPr>
        <w:t>讨论</w:t>
      </w:r>
      <w:r>
        <w:rPr>
          <w:rFonts w:hint="eastAsia" w:ascii="仿宋_GB2312" w:hAnsi="仿宋_GB2312" w:eastAsia="仿宋_GB2312" w:cs="仿宋_GB2312"/>
          <w:sz w:val="32"/>
          <w:szCs w:val="32"/>
          <w:u w:val="none"/>
        </w:rPr>
        <w:t>了解项目情况，收集相关资料，综合分析相关情况后，对项目的立项必要性、投入经济性、目标合理性、方案可行性以及筹资合规性实施评估。</w:t>
      </w:r>
    </w:p>
    <w:p>
      <w:pPr>
        <w:keepNext w:val="0"/>
        <w:keepLines w:val="0"/>
        <w:pageBreakBefore w:val="0"/>
        <w:widowControl w:val="0"/>
        <w:kinsoku/>
        <w:wordWrap/>
        <w:overflowPunct/>
        <w:topLinePunct w:val="0"/>
        <w:autoSpaceDE/>
        <w:autoSpaceDN/>
        <w:bidi w:val="0"/>
        <w:adjustRightInd/>
        <w:snapToGrid w:val="0"/>
        <w:spacing w:line="600" w:lineRule="exact"/>
        <w:ind w:left="709"/>
        <w:jc w:val="left"/>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五、评估内容</w:t>
      </w:r>
    </w:p>
    <w:p>
      <w:pPr>
        <w:keepNext w:val="0"/>
        <w:keepLines w:val="0"/>
        <w:pageBreakBefore w:val="0"/>
        <w:widowControl w:val="0"/>
        <w:kinsoku/>
        <w:wordWrap/>
        <w:overflowPunct/>
        <w:topLinePunct w:val="0"/>
        <w:autoSpaceDE/>
        <w:autoSpaceDN/>
        <w:bidi w:val="0"/>
        <w:adjustRightInd/>
        <w:snapToGrid w:val="0"/>
        <w:spacing w:line="600" w:lineRule="exact"/>
        <w:ind w:left="709"/>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（一）立项必要性</w:t>
      </w:r>
    </w:p>
    <w:p>
      <w:pPr>
        <w:bidi w:val="0"/>
        <w:ind w:firstLine="640" w:firstLineChars="20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lang w:eastAsia="zh-CN"/>
        </w:rPr>
        <w:t>九寨沟县</w:t>
      </w:r>
      <w:r>
        <w:rPr>
          <w:rFonts w:hint="eastAsia" w:ascii="仿宋_GB2312" w:hAnsi="仿宋_GB2312" w:eastAsia="仿宋_GB2312" w:cs="仿宋_GB2312"/>
          <w:sz w:val="32"/>
          <w:szCs w:val="32"/>
          <w:lang w:val="en-US" w:eastAsia="zh-CN"/>
        </w:rPr>
        <w:t>南坪镇下寨村目前基础设施现状和区位优势，项目建成后，将进一步解决项目建设区域的基础设施短板，补强县城区旅游基础设施业态，提升县城区旅游综合服务能力，促进生产生活生态空间新融合。</w:t>
      </w:r>
      <w:r>
        <w:rPr>
          <w:rFonts w:hint="eastAsia" w:ascii="仿宋_GB2312" w:hAnsi="仿宋_GB2312" w:eastAsia="仿宋_GB2312" w:cs="仿宋_GB2312"/>
          <w:sz w:val="32"/>
          <w:szCs w:val="32"/>
        </w:rPr>
        <w:t>项目的建设其受益群体广泛、支持者众多、适应性好、风险度极小。</w:t>
      </w:r>
      <w:r>
        <w:rPr>
          <w:rFonts w:hint="eastAsia" w:ascii="仿宋_GB2312" w:hAnsi="仿宋_GB2312" w:eastAsia="仿宋_GB2312" w:cs="仿宋_GB2312"/>
          <w:sz w:val="32"/>
          <w:szCs w:val="32"/>
          <w:lang w:val="en-US" w:eastAsia="zh-CN"/>
        </w:rPr>
        <w:t>本项目的建设方式，可为九寨沟县改造城中村、城边村提供经验。可引导村民按规划有序开展旅游业态布局，进一步增收致富。项目建设的</w:t>
      </w:r>
      <w:r>
        <w:rPr>
          <w:rFonts w:hint="eastAsia" w:ascii="仿宋_GB2312" w:hAnsi="仿宋_GB2312" w:eastAsia="仿宋_GB2312" w:cs="仿宋_GB2312"/>
          <w:sz w:val="32"/>
          <w:szCs w:val="32"/>
        </w:rPr>
        <w:t>社会效益十分明显，因此，</w:t>
      </w: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项目是可行的。</w:t>
      </w:r>
    </w:p>
    <w:p>
      <w:pPr>
        <w:keepNext w:val="0"/>
        <w:keepLines w:val="0"/>
        <w:pageBreakBefore w:val="0"/>
        <w:kinsoku/>
        <w:wordWrap/>
        <w:overflowPunct/>
        <w:topLinePunct w:val="0"/>
        <w:autoSpaceDE/>
        <w:autoSpaceDN/>
        <w:bidi w:val="0"/>
        <w:adjustRightInd/>
        <w:snapToGrid w:val="0"/>
        <w:spacing w:line="600" w:lineRule="atLeast"/>
        <w:ind w:firstLine="630" w:firstLineChars="196"/>
        <w:jc w:val="lef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（二）投入经济性</w:t>
      </w:r>
    </w:p>
    <w:p>
      <w:pPr>
        <w:pStyle w:val="7"/>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根据《四川省政府投资管理办法》、《阿坝州九寨沟县国民经济和社会发展第十四个五年规划纲要》、《九寨沟县县域村镇体系规划和城市总体规划》（2017-2035）、九寨沟县《关于全面推进“四个全域、四个九寨”建设的实施意见》等，在对本项目进行投资概算时，主要是依据项目建设方案设计的各项工程量及建设任务，按方案分别计算各项建设工程量和设备配置投资，选择最佳方案，按照建设单位提供的设计范围及该项目的设计资料，采用近似工程扩大指标和有关定额及相关价格进行编制。投资概算依据如下：</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《政府投资项目可行性研究报告编写通用大纲》（2023年版）；</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《国家发展改革委关于印发投资项目可行性研究报告编写大纲及说明的通知》发改投资规〔2023〕304号；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《四川省政府投资管理办法》（川府规〔2022〕5号）；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《中共中央国务院关于实施乡村振兴战略的意见》；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中共中央办公厅国务院办公厅印发《乡村建设行动实施方案》（国务院公报2022年第16号）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《中共阿坝州委阿坝州人民政府关于大力实施乡村振兴战略的意见》；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《九寨沟县乡村振兴规划（2018—2025年）》；</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农业农村部关于印发《全国乡村产业发展规划（2020-2025年）》的通知；</w:t>
      </w:r>
    </w:p>
    <w:p>
      <w:pPr>
        <w:numPr>
          <w:ilvl w:val="0"/>
          <w:numId w:val="9"/>
        </w:numPr>
        <w:bidi w:val="0"/>
        <w:ind w:left="0" w:leftChars="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《阿坝州九寨沟县国民经济和社会发展第十四个五年规划纲要》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《四川省发展和改革委员会关于在农业农村基础设施建设领域积极推广村民自建方式的实施意见》（川发改赈[2021]76号）；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国家发展和改革委员会自然资源部农业农村部《关于村庄建设项目施行简易审批的指导意见》（发改农经〔2020〕1337号）；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《九寨沟县财政局九寨沟县乡村振兴局九寨沟县发展和改革局九寨沟县民族宗教局关于下达2024年财政衔接推进乡村振兴补助资金的通知》（九财〔2024〕24号）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《四川省发展和改革委员会等 9 部门关于村庄建设项目实施简易审批的实施意见》（川发改农经〔2021〕43 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《关于印发&lt;九寨沟县统筹整合使用财政涉农资金管理办法&gt;的通知》（九寨沟府发〔2021〕52 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《关于在农业农村基础设施建设领域积极推广以工代赈方式的实施意见》川发改赈（2024）273 号文；</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《中共九寨沟县委农村工作领导小组办公室关于印发农村小型公共基础设施村民自建工作操作手册的通知》（九委农办发〔2022〕16号）；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九寨沟县人民政府关于印发《九寨沟县关于农业领域小型公益性基础设施和财政补助支农项目推行村民自建方式建设的实施意见（试行）》的通知（九寨沟府发〔2024〕12 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《四川省发展和改革委员会等部门关于规范在农业农村基础建设领域推广以工代赈方式村民自建项目管理工作的通知》（川发改赈〔2023〕591号）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《关于印发&lt;阿坝州中央、省级和州级财政衔接推进乡村振兴补助资金管理办法&gt;的通知》（阿州财农〔2021〕22号）；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《关于印发&lt;九寨沟县财政衔接推进乡村振兴补助资金实施细则&gt;的通知》（九寨沟府发〔2021〕50号）；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《关于印发&lt;九寨沟县统筹整合使用财政涉农资金管理办法&gt;的通知》（九寨沟府发〔2021〕52号）；</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九寨沟县《关于全面推进“四个全域、四个九寨”建设的实施意见》；</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《南坪镇总体规划》；</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国家和地方的现行工程设计规范和标准；</w:t>
      </w:r>
    </w:p>
    <w:p>
      <w:pPr>
        <w:numPr>
          <w:ilvl w:val="0"/>
          <w:numId w:val="9"/>
        </w:numPr>
        <w:bidi w:val="0"/>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业主单位委托我公司编制本项目初步设计（代可行性研究报告、项目建议书）的合同；</w:t>
      </w:r>
    </w:p>
    <w:p>
      <w:pPr>
        <w:keepNext w:val="0"/>
        <w:keepLines w:val="0"/>
        <w:pageBreakBefore w:val="0"/>
        <w:kinsoku/>
        <w:wordWrap/>
        <w:overflowPunct/>
        <w:topLinePunct w:val="0"/>
        <w:autoSpaceDE/>
        <w:autoSpaceDN/>
        <w:bidi w:val="0"/>
        <w:adjustRightInd/>
        <w:snapToGrid w:val="0"/>
        <w:spacing w:line="600" w:lineRule="atLeast"/>
        <w:ind w:firstLine="640" w:firstLineChars="200"/>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sz w:val="32"/>
          <w:szCs w:val="32"/>
          <w:u w:val="none"/>
          <w:lang w:val="en-US" w:eastAsia="zh-CN"/>
        </w:rPr>
        <w:t>评估认为，该项目任务数量基本合理、预算测算过程较为详细、测算依据基本充分、有一定的经济性。</w:t>
      </w:r>
      <w:r>
        <w:rPr>
          <w:rFonts w:hint="eastAsia" w:ascii="仿宋_GB2312" w:hAnsi="仿宋_GB2312" w:eastAsia="仿宋_GB2312" w:cs="仿宋_GB2312"/>
          <w:sz w:val="32"/>
          <w:szCs w:val="32"/>
          <w:u w:val="none"/>
        </w:rPr>
        <w:t>建议预算控制在</w:t>
      </w:r>
      <w:r>
        <w:rPr>
          <w:rFonts w:hint="eastAsia" w:ascii="仿宋_GB2312" w:hAnsi="仿宋_GB2312" w:eastAsia="仿宋_GB2312" w:cs="仿宋_GB2312"/>
          <w:sz w:val="32"/>
          <w:szCs w:val="32"/>
          <w:u w:val="none"/>
          <w:lang w:val="en-US" w:eastAsia="zh-CN"/>
        </w:rPr>
        <w:t>390</w:t>
      </w:r>
      <w:r>
        <w:rPr>
          <w:rFonts w:hint="eastAsia" w:ascii="仿宋_GB2312" w:hAnsi="仿宋_GB2312" w:eastAsia="仿宋_GB2312" w:cs="仿宋_GB2312"/>
          <w:sz w:val="32"/>
          <w:szCs w:val="32"/>
          <w:u w:val="none"/>
        </w:rPr>
        <w:t>万元以内，与</w:t>
      </w:r>
      <w:r>
        <w:rPr>
          <w:rFonts w:hint="eastAsia" w:ascii="仿宋_GB2312" w:hAnsi="仿宋_GB2312" w:eastAsia="仿宋_GB2312" w:cs="仿宋_GB2312"/>
          <w:sz w:val="32"/>
          <w:szCs w:val="32"/>
          <w:u w:val="none"/>
          <w:lang w:eastAsia="zh-CN"/>
        </w:rPr>
        <w:t>申报</w:t>
      </w:r>
      <w:r>
        <w:rPr>
          <w:rFonts w:hint="eastAsia" w:ascii="仿宋_GB2312" w:hAnsi="仿宋_GB2312" w:eastAsia="仿宋_GB2312" w:cs="仿宋_GB2312"/>
          <w:sz w:val="32"/>
          <w:szCs w:val="32"/>
          <w:u w:val="none"/>
        </w:rPr>
        <w:t>数相比，</w:t>
      </w:r>
      <w:r>
        <w:rPr>
          <w:rFonts w:hint="eastAsia" w:ascii="仿宋_GB2312" w:hAnsi="仿宋_GB2312" w:eastAsia="仿宋_GB2312" w:cs="仿宋_GB2312"/>
          <w:sz w:val="32"/>
          <w:szCs w:val="32"/>
          <w:u w:val="none"/>
          <w:lang w:eastAsia="zh-CN"/>
        </w:rPr>
        <w:t>评减</w:t>
      </w:r>
      <w:r>
        <w:rPr>
          <w:rFonts w:hint="eastAsia" w:ascii="仿宋_GB2312" w:hAnsi="仿宋_GB2312" w:eastAsia="仿宋_GB2312" w:cs="仿宋_GB2312"/>
          <w:sz w:val="32"/>
          <w:szCs w:val="32"/>
          <w:u w:val="none"/>
          <w:lang w:val="en-US" w:eastAsia="zh-CN"/>
        </w:rPr>
        <w:t>0</w:t>
      </w:r>
      <w:r>
        <w:rPr>
          <w:rFonts w:hint="eastAsia" w:ascii="仿宋_GB2312" w:hAnsi="仿宋_GB2312" w:eastAsia="仿宋_GB2312" w:cs="仿宋_GB2312"/>
          <w:sz w:val="32"/>
          <w:szCs w:val="32"/>
          <w:u w:val="none"/>
        </w:rPr>
        <w:t>万元，</w:t>
      </w:r>
      <w:r>
        <w:rPr>
          <w:rFonts w:hint="eastAsia" w:ascii="仿宋_GB2312" w:hAnsi="仿宋_GB2312" w:eastAsia="仿宋_GB2312" w:cs="仿宋_GB2312"/>
          <w:sz w:val="32"/>
          <w:szCs w:val="32"/>
          <w:u w:val="none"/>
          <w:lang w:eastAsia="zh-CN"/>
        </w:rPr>
        <w:t>评减率</w:t>
      </w:r>
      <w:r>
        <w:rPr>
          <w:rFonts w:hint="eastAsia" w:ascii="仿宋_GB2312" w:hAnsi="仿宋_GB2312" w:eastAsia="仿宋_GB2312" w:cs="仿宋_GB2312"/>
          <w:sz w:val="32"/>
          <w:szCs w:val="32"/>
          <w:u w:val="none"/>
          <w:lang w:val="en-US" w:eastAsia="zh-CN"/>
        </w:rPr>
        <w:t>0</w:t>
      </w:r>
      <w:r>
        <w:rPr>
          <w:rFonts w:hint="eastAsia" w:ascii="仿宋_GB2312" w:hAnsi="仿宋_GB2312" w:eastAsia="仿宋_GB2312" w:cs="仿宋_GB2312"/>
          <w:sz w:val="32"/>
          <w:szCs w:val="32"/>
          <w:u w:val="none"/>
        </w:rPr>
        <w:t>%（详见下表）。</w:t>
      </w:r>
    </w:p>
    <w:p>
      <w:pPr>
        <w:keepNext w:val="0"/>
        <w:keepLines w:val="0"/>
        <w:pageBreakBefore w:val="0"/>
        <w:kinsoku/>
        <w:wordWrap/>
        <w:overflowPunct/>
        <w:topLinePunct w:val="0"/>
        <w:autoSpaceDE/>
        <w:autoSpaceDN/>
        <w:bidi w:val="0"/>
        <w:adjustRightInd/>
        <w:snapToGrid w:val="0"/>
        <w:spacing w:line="560" w:lineRule="exact"/>
        <w:ind w:firstLine="643" w:firstLineChars="200"/>
        <w:jc w:val="center"/>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en-US" w:eastAsia="zh-CN"/>
        </w:rPr>
        <w:t>2025年项目预算绩效评价</w:t>
      </w:r>
      <w:r>
        <w:rPr>
          <w:rFonts w:hint="eastAsia" w:ascii="仿宋_GB2312" w:hAnsi="仿宋_GB2312" w:eastAsia="仿宋_GB2312" w:cs="仿宋_GB2312"/>
          <w:b/>
          <w:sz w:val="32"/>
          <w:szCs w:val="32"/>
        </w:rPr>
        <w:t>事前绩效评估汇总表</w:t>
      </w:r>
    </w:p>
    <w:tbl>
      <w:tblPr>
        <w:tblStyle w:val="18"/>
        <w:tblW w:w="86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6"/>
        <w:gridCol w:w="1389"/>
        <w:gridCol w:w="1300"/>
        <w:gridCol w:w="1567"/>
        <w:gridCol w:w="1189"/>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项目内容</w:t>
            </w:r>
          </w:p>
        </w:tc>
        <w:tc>
          <w:tcPr>
            <w:tcW w:w="13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申报预算</w:t>
            </w:r>
          </w:p>
        </w:tc>
        <w:tc>
          <w:tcPr>
            <w:tcW w:w="130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送审金额</w:t>
            </w:r>
          </w:p>
        </w:tc>
        <w:tc>
          <w:tcPr>
            <w:tcW w:w="1567"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建议控制额</w:t>
            </w:r>
          </w:p>
        </w:tc>
        <w:tc>
          <w:tcPr>
            <w:tcW w:w="11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核减</w:t>
            </w:r>
          </w:p>
        </w:tc>
        <w:tc>
          <w:tcPr>
            <w:tcW w:w="1362" w:type="dxa"/>
            <w:vMerge w:val="restart"/>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备注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86"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合计（万元）</w:t>
            </w:r>
          </w:p>
        </w:tc>
        <w:tc>
          <w:tcPr>
            <w:tcW w:w="13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390</w:t>
            </w:r>
          </w:p>
        </w:tc>
        <w:tc>
          <w:tcPr>
            <w:tcW w:w="1300"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390</w:t>
            </w:r>
          </w:p>
        </w:tc>
        <w:tc>
          <w:tcPr>
            <w:tcW w:w="1567"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390</w:t>
            </w:r>
          </w:p>
        </w:tc>
        <w:tc>
          <w:tcPr>
            <w:tcW w:w="1189" w:type="dxa"/>
            <w:shd w:val="clear" w:color="auto" w:fill="auto"/>
            <w:noWrap w:val="0"/>
            <w:vAlign w:val="center"/>
          </w:tcPr>
          <w:p>
            <w:pPr>
              <w:keepNext w:val="0"/>
              <w:keepLines w:val="0"/>
              <w:pageBreakBefore w:val="0"/>
              <w:widowControl/>
              <w:kinsoku/>
              <w:wordWrap/>
              <w:overflowPunct/>
              <w:topLinePunct w:val="0"/>
              <w:autoSpaceDE/>
              <w:autoSpaceDN/>
              <w:bidi w:val="0"/>
              <w:adjustRightInd/>
              <w:snapToGrid w:val="0"/>
              <w:spacing w:line="560" w:lineRule="exact"/>
              <w:jc w:val="center"/>
              <w:textAlignment w:val="auto"/>
              <w:rPr>
                <w:rFonts w:hint="eastAsia" w:ascii="仿宋_GB2312" w:hAnsi="仿宋_GB2312" w:eastAsia="仿宋_GB2312" w:cs="仿宋_GB2312"/>
                <w:kern w:val="0"/>
                <w:sz w:val="24"/>
                <w:szCs w:val="24"/>
                <w:lang w:val="en-US" w:eastAsia="zh-CN"/>
              </w:rPr>
            </w:pPr>
            <w:r>
              <w:rPr>
                <w:rFonts w:hint="eastAsia" w:ascii="仿宋_GB2312" w:hAnsi="仿宋_GB2312" w:eastAsia="仿宋_GB2312" w:cs="仿宋_GB2312"/>
                <w:kern w:val="0"/>
                <w:sz w:val="24"/>
                <w:szCs w:val="24"/>
                <w:lang w:val="en-US" w:eastAsia="zh-CN"/>
              </w:rPr>
              <w:t>0</w:t>
            </w:r>
          </w:p>
        </w:tc>
        <w:tc>
          <w:tcPr>
            <w:tcW w:w="1362" w:type="dxa"/>
            <w:vMerge w:val="continue"/>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line="560" w:lineRule="exact"/>
              <w:jc w:val="left"/>
              <w:textAlignment w:val="auto"/>
              <w:rPr>
                <w:rFonts w:hint="eastAsia" w:ascii="仿宋_GB2312" w:hAnsi="仿宋_GB2312" w:eastAsia="仿宋_GB2312" w:cs="仿宋_GB2312"/>
                <w:color w:val="000000"/>
                <w:kern w:val="0"/>
                <w:sz w:val="24"/>
                <w:szCs w:val="24"/>
              </w:rPr>
            </w:pPr>
          </w:p>
        </w:tc>
      </w:tr>
    </w:tbl>
    <w:p>
      <w:pPr>
        <w:keepNext w:val="0"/>
        <w:keepLines w:val="0"/>
        <w:pageBreakBefore w:val="0"/>
        <w:kinsoku/>
        <w:wordWrap/>
        <w:overflowPunct/>
        <w:topLinePunct w:val="0"/>
        <w:autoSpaceDE/>
        <w:autoSpaceDN/>
        <w:bidi w:val="0"/>
        <w:adjustRightInd/>
        <w:snapToGrid w:val="0"/>
        <w:spacing w:line="600" w:lineRule="atLeast"/>
        <w:ind w:firstLine="422" w:firstLineChars="200"/>
        <w:textAlignment w:val="auto"/>
        <w:rPr>
          <w:rFonts w:hint="eastAsia" w:ascii="仿宋_GB2312" w:hAnsi="仿宋_GB2312" w:eastAsia="仿宋_GB2312" w:cs="仿宋_GB2312"/>
          <w:b/>
          <w:szCs w:val="32"/>
        </w:rPr>
      </w:pPr>
      <w:r>
        <w:rPr>
          <w:rFonts w:hint="eastAsia" w:ascii="仿宋_GB2312" w:hAnsi="仿宋_GB2312" w:eastAsia="仿宋_GB2312" w:cs="仿宋_GB2312"/>
          <w:b/>
          <w:szCs w:val="32"/>
        </w:rPr>
        <w:t>（三）目标合理性</w:t>
      </w:r>
    </w:p>
    <w:p>
      <w:pPr>
        <w:keepNext w:val="0"/>
        <w:keepLines w:val="0"/>
        <w:pageBreakBefore w:val="0"/>
        <w:widowControl w:val="0"/>
        <w:kinsoku/>
        <w:wordWrap/>
        <w:overflowPunct/>
        <w:topLinePunct w:val="0"/>
        <w:autoSpaceDE/>
        <w:autoSpaceDN/>
        <w:bidi w:val="0"/>
        <w:adjustRightInd w:val="0"/>
        <w:snapToGrid w:val="0"/>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项目总体绩效目标</w:t>
      </w:r>
      <w:r>
        <w:rPr>
          <w:rFonts w:hint="eastAsia" w:ascii="仿宋_GB2312" w:hAnsi="仿宋_GB2312" w:eastAsia="仿宋_GB2312" w:cs="仿宋_GB2312"/>
          <w:szCs w:val="32"/>
        </w:rPr>
        <w:t>：</w:t>
      </w:r>
      <w:r>
        <w:rPr>
          <w:rFonts w:hint="eastAsia" w:ascii="仿宋_GB2312" w:hAnsi="仿宋_GB2312" w:eastAsia="仿宋_GB2312" w:cs="仿宋_GB2312"/>
          <w:sz w:val="32"/>
          <w:szCs w:val="32"/>
        </w:rPr>
        <w:t>该项目符合</w:t>
      </w:r>
      <w:r>
        <w:rPr>
          <w:rFonts w:hint="eastAsia" w:ascii="仿宋_GB2312" w:hAnsi="仿宋_GB2312" w:eastAsia="仿宋_GB2312" w:cs="仿宋_GB2312"/>
          <w:sz w:val="32"/>
          <w:szCs w:val="32"/>
          <w:lang w:eastAsia="zh-CN"/>
        </w:rPr>
        <w:t>财政投资规范，</w:t>
      </w:r>
      <w:r>
        <w:rPr>
          <w:rFonts w:hint="eastAsia" w:ascii="仿宋_GB2312" w:hAnsi="仿宋_GB2312" w:eastAsia="仿宋_GB2312" w:cs="仿宋_GB2312"/>
          <w:sz w:val="32"/>
          <w:szCs w:val="32"/>
          <w:lang w:val="en-US" w:eastAsia="zh-CN"/>
        </w:rPr>
        <w:t>并且</w:t>
      </w:r>
      <w:r>
        <w:rPr>
          <w:rFonts w:hint="eastAsia" w:ascii="仿宋_GB2312" w:hAnsi="仿宋_GB2312" w:eastAsia="仿宋_GB2312" w:cs="仿宋_GB2312"/>
          <w:sz w:val="32"/>
          <w:szCs w:val="32"/>
        </w:rPr>
        <w:t>绩效目标设置按照工程完成数量、质量、完成时限、完成成本指标均进行了量化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细化</w:t>
      </w:r>
      <w:r>
        <w:rPr>
          <w:rFonts w:hint="eastAsia" w:ascii="仿宋_GB2312" w:hAnsi="仿宋_GB2312" w:eastAsia="仿宋_GB2312" w:cs="仿宋_GB2312"/>
          <w:sz w:val="32"/>
          <w:szCs w:val="32"/>
        </w:rPr>
        <w:t>,绩效目标明确量化，可考核。</w:t>
      </w:r>
      <w:r>
        <w:rPr>
          <w:rFonts w:hint="eastAsia" w:ascii="仿宋_GB2312" w:hAnsi="仿宋_GB2312" w:eastAsia="仿宋_GB2312" w:cs="仿宋_GB2312"/>
          <w:sz w:val="32"/>
          <w:szCs w:val="32"/>
          <w:lang w:eastAsia="zh-CN"/>
        </w:rPr>
        <w:t>该项目实施方案已</w:t>
      </w:r>
      <w:r>
        <w:rPr>
          <w:rFonts w:hint="eastAsia" w:ascii="仿宋_GB2312" w:hAnsi="仿宋_GB2312" w:eastAsia="仿宋_GB2312" w:cs="仿宋_GB2312"/>
          <w:sz w:val="32"/>
          <w:szCs w:val="32"/>
        </w:rPr>
        <w:t>委托第三方</w:t>
      </w:r>
      <w:r>
        <w:rPr>
          <w:rFonts w:hint="eastAsia" w:ascii="仿宋_GB2312" w:hAnsi="仿宋_GB2312" w:eastAsia="仿宋_GB2312" w:cs="仿宋_GB2312"/>
          <w:sz w:val="32"/>
          <w:szCs w:val="32"/>
          <w:lang w:eastAsia="zh-CN"/>
        </w:rPr>
        <w:t>专业</w:t>
      </w:r>
      <w:r>
        <w:rPr>
          <w:rFonts w:hint="eastAsia" w:ascii="仿宋_GB2312" w:hAnsi="仿宋_GB2312" w:eastAsia="仿宋_GB2312" w:cs="仿宋_GB2312"/>
          <w:sz w:val="32"/>
          <w:szCs w:val="32"/>
        </w:rPr>
        <w:t>机构进行了</w:t>
      </w:r>
      <w:r>
        <w:rPr>
          <w:rFonts w:hint="eastAsia" w:ascii="仿宋_GB2312" w:hAnsi="仿宋_GB2312" w:eastAsia="仿宋_GB2312" w:cs="仿宋_GB2312"/>
          <w:sz w:val="32"/>
          <w:szCs w:val="32"/>
          <w:lang w:eastAsia="zh-CN"/>
        </w:rPr>
        <w:t>编制</w:t>
      </w:r>
      <w:r>
        <w:rPr>
          <w:rFonts w:hint="eastAsia" w:ascii="仿宋_GB2312" w:hAnsi="仿宋_GB2312" w:eastAsia="仿宋_GB2312" w:cs="仿宋_GB2312"/>
          <w:sz w:val="32"/>
          <w:szCs w:val="32"/>
        </w:rPr>
        <w:t>，并通过</w:t>
      </w:r>
      <w:r>
        <w:rPr>
          <w:rFonts w:hint="eastAsia" w:ascii="仿宋_GB2312" w:hAnsi="仿宋_GB2312" w:eastAsia="仿宋_GB2312" w:cs="仿宋_GB2312"/>
          <w:sz w:val="32"/>
          <w:szCs w:val="32"/>
          <w:lang w:eastAsia="zh-CN"/>
        </w:rPr>
        <w:t>专家评审</w:t>
      </w:r>
      <w:r>
        <w:rPr>
          <w:rFonts w:hint="eastAsia" w:ascii="仿宋_GB2312" w:hAnsi="仿宋_GB2312" w:eastAsia="仿宋_GB2312" w:cs="仿宋_GB2312"/>
          <w:sz w:val="32"/>
          <w:szCs w:val="32"/>
        </w:rPr>
        <w:t>。工作覆盖全面完整，契合我县政策，与部门的长期规划目标、年度工作目标相一致，产出和效果相关联，群众满意度高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Cs w:val="32"/>
        </w:rPr>
        <w:t>具体绩效目标如下：</w:t>
      </w:r>
    </w:p>
    <w:p>
      <w:pPr>
        <w:keepNext w:val="0"/>
        <w:keepLines w:val="0"/>
        <w:pageBreakBefore w:val="0"/>
        <w:kinsoku/>
        <w:wordWrap/>
        <w:overflowPunct/>
        <w:topLinePunct w:val="0"/>
        <w:autoSpaceDE/>
        <w:autoSpaceDN/>
        <w:bidi w:val="0"/>
        <w:adjustRightInd/>
        <w:snapToGrid w:val="0"/>
        <w:spacing w:line="600" w:lineRule="atLeas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24"/>
          <w:szCs w:val="24"/>
          <w:lang w:val="en-US" w:eastAsia="zh-CN"/>
        </w:rPr>
        <w:t>2025年项目预算绩效评价项目绩效目标表</w:t>
      </w:r>
    </w:p>
    <w:tbl>
      <w:tblPr>
        <w:tblStyle w:val="18"/>
        <w:tblW w:w="85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88"/>
        <w:gridCol w:w="1334"/>
        <w:gridCol w:w="1734"/>
        <w:gridCol w:w="800"/>
        <w:gridCol w:w="755"/>
        <w:gridCol w:w="745"/>
        <w:gridCol w:w="722"/>
        <w:gridCol w:w="759"/>
        <w:gridCol w:w="8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一级指标</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二级指标</w:t>
            </w:r>
          </w:p>
        </w:tc>
        <w:tc>
          <w:tcPr>
            <w:tcW w:w="17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三级指标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指标性质</w:t>
            </w:r>
          </w:p>
        </w:tc>
        <w:tc>
          <w:tcPr>
            <w:tcW w:w="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历史参考值</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指标值</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度量单位</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权重（%）</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1"/>
                <w:szCs w:val="21"/>
                <w:u w:val="none"/>
              </w:rPr>
            </w:pPr>
            <w:r>
              <w:rPr>
                <w:rFonts w:hint="eastAsia" w:ascii="仿宋_GB2312" w:hAnsi="仿宋_GB2312" w:eastAsia="仿宋_GB2312" w:cs="仿宋_GB2312"/>
                <w:b/>
                <w:bCs/>
                <w:i w:val="0"/>
                <w:iCs w:val="0"/>
                <w:color w:val="000000"/>
                <w:kern w:val="0"/>
                <w:sz w:val="21"/>
                <w:szCs w:val="21"/>
                <w:u w:val="none"/>
                <w:lang w:val="en-US" w:eastAsia="zh-CN" w:bidi="ar"/>
              </w:rPr>
              <w:t>指标方向性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restart"/>
            <w:tcBorders>
              <w:top w:val="single" w:color="000000" w:sz="4" w:space="0"/>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r>
              <w:rPr>
                <w:rFonts w:hint="eastAsia" w:ascii="仿宋_GB2312" w:hAnsi="仿宋_GB2312" w:eastAsia="仿宋_GB2312" w:cs="仿宋_GB2312"/>
                <w:b w:val="0"/>
                <w:bCs w:val="0"/>
                <w:i w:val="0"/>
                <w:iCs w:val="0"/>
                <w:color w:val="000000"/>
                <w:kern w:val="0"/>
                <w:sz w:val="21"/>
                <w:szCs w:val="21"/>
                <w:u w:val="none"/>
                <w:lang w:val="en-US" w:eastAsia="zh-CN" w:bidi="ar"/>
              </w:rPr>
              <w:t>产出指标</w:t>
            </w:r>
          </w:p>
        </w:tc>
        <w:tc>
          <w:tcPr>
            <w:tcW w:w="133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数量指标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道路提升改造</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5000</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5000</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16"/>
                <w:szCs w:val="16"/>
                <w:u w:val="none"/>
                <w:lang w:val="en-US" w:eastAsia="zh-CN" w:bidi="ar"/>
              </w:rPr>
            </w:pPr>
            <w:r>
              <w:rPr>
                <w:rFonts w:hint="eastAsia" w:ascii="仿宋_GB2312" w:hAnsi="仿宋_GB2312" w:eastAsia="仿宋_GB2312" w:cs="仿宋_GB2312"/>
                <w:b w:val="0"/>
                <w:bCs w:val="0"/>
                <w:i w:val="0"/>
                <w:iCs w:val="0"/>
                <w:color w:val="000000"/>
                <w:kern w:val="0"/>
                <w:sz w:val="16"/>
                <w:szCs w:val="16"/>
                <w:u w:val="none"/>
                <w:lang w:val="en-US" w:eastAsia="zh-CN" w:bidi="ar"/>
              </w:rPr>
              <w:t>平方米</w:t>
            </w:r>
          </w:p>
        </w:tc>
        <w:tc>
          <w:tcPr>
            <w:tcW w:w="759"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10%</w:t>
            </w:r>
          </w:p>
        </w:tc>
        <w:tc>
          <w:tcPr>
            <w:tcW w:w="86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p>
        </w:tc>
        <w:tc>
          <w:tcPr>
            <w:tcW w:w="133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数量指标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污水管网</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500</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500</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16"/>
                <w:szCs w:val="16"/>
                <w:u w:val="none"/>
                <w:lang w:val="en-US" w:eastAsia="zh-CN" w:bidi="ar"/>
              </w:rPr>
            </w:pPr>
            <w:r>
              <w:rPr>
                <w:rFonts w:hint="eastAsia" w:ascii="仿宋_GB2312" w:hAnsi="仿宋_GB2312" w:eastAsia="仿宋_GB2312" w:cs="仿宋_GB2312"/>
                <w:b w:val="0"/>
                <w:bCs w:val="0"/>
                <w:i w:val="0"/>
                <w:iCs w:val="0"/>
                <w:color w:val="000000"/>
                <w:kern w:val="0"/>
                <w:sz w:val="16"/>
                <w:szCs w:val="16"/>
                <w:u w:val="none"/>
                <w:lang w:val="en-US" w:eastAsia="zh-CN" w:bidi="ar"/>
              </w:rPr>
              <w:t>米</w:t>
            </w:r>
          </w:p>
        </w:tc>
        <w:tc>
          <w:tcPr>
            <w:tcW w:w="759"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10%</w:t>
            </w:r>
          </w:p>
        </w:tc>
        <w:tc>
          <w:tcPr>
            <w:tcW w:w="864" w:type="dxa"/>
            <w:tcBorders>
              <w:top w:val="single" w:color="000000" w:sz="4" w:space="0"/>
              <w:left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正向指标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质量指标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合格率</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100</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100</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10%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left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时效指标</w:t>
            </w:r>
          </w:p>
        </w:tc>
        <w:tc>
          <w:tcPr>
            <w:tcW w:w="1734"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工期</w:t>
            </w:r>
          </w:p>
        </w:tc>
        <w:tc>
          <w:tcPr>
            <w:tcW w:w="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8</w:t>
            </w:r>
          </w:p>
        </w:tc>
        <w:tc>
          <w:tcPr>
            <w:tcW w:w="7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8</w:t>
            </w:r>
          </w:p>
        </w:tc>
        <w:tc>
          <w:tcPr>
            <w:tcW w:w="7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月</w:t>
            </w:r>
          </w:p>
        </w:tc>
        <w:tc>
          <w:tcPr>
            <w:tcW w:w="7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10%</w:t>
            </w:r>
          </w:p>
        </w:tc>
        <w:tc>
          <w:tcPr>
            <w:tcW w:w="8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r>
              <w:rPr>
                <w:rFonts w:hint="eastAsia" w:ascii="仿宋_GB2312" w:hAnsi="仿宋_GB2312" w:eastAsia="仿宋_GB2312" w:cs="仿宋_GB2312"/>
                <w:b w:val="0"/>
                <w:bCs w:val="0"/>
                <w:i w:val="0"/>
                <w:iCs w:val="0"/>
                <w:color w:val="000000"/>
                <w:kern w:val="0"/>
                <w:sz w:val="21"/>
                <w:szCs w:val="21"/>
                <w:u w:val="none"/>
                <w:lang w:val="en-US" w:eastAsia="zh-CN" w:bidi="ar"/>
              </w:rPr>
              <w:t>成本指标</w:t>
            </w:r>
          </w:p>
        </w:tc>
        <w:tc>
          <w:tcPr>
            <w:tcW w:w="133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成本指标</w:t>
            </w:r>
          </w:p>
        </w:tc>
        <w:tc>
          <w:tcPr>
            <w:tcW w:w="173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成本控制</w:t>
            </w:r>
          </w:p>
        </w:tc>
        <w:tc>
          <w:tcPr>
            <w:tcW w:w="800" w:type="dxa"/>
            <w:tcBorders>
              <w:top w:val="single" w:color="000000" w:sz="4" w:space="0"/>
              <w:left w:val="single" w:color="000000" w:sz="4" w:space="0"/>
              <w:bottom w:val="single" w:color="auto" w:sz="4" w:space="0"/>
              <w:right w:val="nil"/>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390</w:t>
            </w:r>
          </w:p>
        </w:tc>
        <w:tc>
          <w:tcPr>
            <w:tcW w:w="745"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390</w:t>
            </w:r>
          </w:p>
        </w:tc>
        <w:tc>
          <w:tcPr>
            <w:tcW w:w="722"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万元</w:t>
            </w:r>
          </w:p>
        </w:tc>
        <w:tc>
          <w:tcPr>
            <w:tcW w:w="759"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20%</w:t>
            </w:r>
          </w:p>
        </w:tc>
        <w:tc>
          <w:tcPr>
            <w:tcW w:w="864" w:type="dxa"/>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反向指标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r>
              <w:rPr>
                <w:rFonts w:hint="eastAsia" w:ascii="仿宋_GB2312" w:hAnsi="仿宋_GB2312" w:eastAsia="仿宋_GB2312" w:cs="仿宋_GB2312"/>
                <w:b w:val="0"/>
                <w:bCs w:val="0"/>
                <w:i w:val="0"/>
                <w:iCs w:val="0"/>
                <w:color w:val="000000"/>
                <w:kern w:val="0"/>
                <w:sz w:val="21"/>
                <w:szCs w:val="21"/>
                <w:u w:val="none"/>
                <w:lang w:val="en-US" w:eastAsia="zh-CN" w:bidi="ar"/>
              </w:rPr>
              <w:t>效益指标</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完善被检查单位内控机制</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完善被检查单位预算管理</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经济效益</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可持续影响指标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社会效益</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定性</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优</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5%</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hint="eastAsia" w:ascii="仿宋_GB2312" w:hAnsi="仿宋_GB2312" w:eastAsia="仿宋_GB2312" w:cs="仿宋_GB2312"/>
                <w:b w:val="0"/>
                <w:bCs w:val="0"/>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jc w:val="center"/>
        </w:trPr>
        <w:tc>
          <w:tcPr>
            <w:tcW w:w="78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r>
              <w:rPr>
                <w:rFonts w:hint="eastAsia" w:ascii="仿宋_GB2312" w:hAnsi="仿宋_GB2312" w:eastAsia="仿宋_GB2312" w:cs="仿宋_GB2312"/>
                <w:b w:val="0"/>
                <w:bCs w:val="0"/>
                <w:i w:val="0"/>
                <w:iCs w:val="0"/>
                <w:color w:val="000000"/>
                <w:kern w:val="0"/>
                <w:sz w:val="21"/>
                <w:szCs w:val="21"/>
                <w:u w:val="none"/>
                <w:lang w:val="en-US" w:eastAsia="zh-CN" w:bidi="ar"/>
              </w:rPr>
              <w:t>满意度指标</w:t>
            </w:r>
          </w:p>
        </w:tc>
        <w:tc>
          <w:tcPr>
            <w:tcW w:w="13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满意度指标</w:t>
            </w:r>
          </w:p>
        </w:tc>
        <w:tc>
          <w:tcPr>
            <w:tcW w:w="173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群众满意度</w:t>
            </w:r>
          </w:p>
        </w:tc>
        <w:tc>
          <w:tcPr>
            <w:tcW w:w="8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95%</w:t>
            </w:r>
          </w:p>
        </w:tc>
        <w:tc>
          <w:tcPr>
            <w:tcW w:w="7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95%</w:t>
            </w:r>
          </w:p>
        </w:tc>
        <w:tc>
          <w:tcPr>
            <w:tcW w:w="72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w:t>
            </w:r>
          </w:p>
        </w:tc>
        <w:tc>
          <w:tcPr>
            <w:tcW w:w="759"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kern w:val="0"/>
                <w:sz w:val="21"/>
                <w:szCs w:val="21"/>
                <w:u w:val="none"/>
                <w:lang w:val="en-US" w:eastAsia="zh-CN" w:bidi="ar"/>
              </w:rPr>
            </w:pPr>
            <w:r>
              <w:rPr>
                <w:rFonts w:hint="eastAsia" w:ascii="仿宋_GB2312" w:hAnsi="仿宋_GB2312" w:eastAsia="仿宋_GB2312" w:cs="仿宋_GB2312"/>
                <w:b w:val="0"/>
                <w:bCs w:val="0"/>
                <w:i w:val="0"/>
                <w:iCs w:val="0"/>
                <w:color w:val="000000"/>
                <w:kern w:val="0"/>
                <w:sz w:val="21"/>
                <w:szCs w:val="21"/>
                <w:u w:val="none"/>
                <w:lang w:val="en-US" w:eastAsia="zh-CN" w:bidi="ar"/>
              </w:rPr>
              <w:t>10%</w:t>
            </w:r>
          </w:p>
        </w:tc>
        <w:tc>
          <w:tcPr>
            <w:tcW w:w="86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仿宋_GB2312" w:hAnsi="仿宋_GB2312" w:eastAsia="仿宋_GB2312" w:cs="仿宋_GB2312"/>
                <w:b w:val="0"/>
                <w:bCs w:val="0"/>
                <w:i w:val="0"/>
                <w:iCs w:val="0"/>
                <w:color w:val="000000"/>
                <w:sz w:val="21"/>
                <w:szCs w:val="21"/>
                <w:u w:val="none"/>
              </w:rPr>
            </w:pPr>
            <w:r>
              <w:rPr>
                <w:rFonts w:hint="eastAsia" w:ascii="仿宋_GB2312" w:hAnsi="仿宋_GB2312" w:eastAsia="仿宋_GB2312" w:cs="仿宋_GB2312"/>
                <w:b w:val="0"/>
                <w:bCs w:val="0"/>
                <w:i w:val="0"/>
                <w:iCs w:val="0"/>
                <w:color w:val="000000"/>
                <w:kern w:val="0"/>
                <w:sz w:val="21"/>
                <w:szCs w:val="21"/>
                <w:u w:val="none"/>
                <w:lang w:val="en-US" w:eastAsia="zh-CN" w:bidi="ar"/>
              </w:rPr>
              <w:t>正向指标</w:t>
            </w:r>
          </w:p>
        </w:tc>
      </w:tr>
    </w:tbl>
    <w:p>
      <w:pPr>
        <w:keepNext w:val="0"/>
        <w:keepLines w:val="0"/>
        <w:pageBreakBefore w:val="0"/>
        <w:kinsoku/>
        <w:wordWrap/>
        <w:overflowPunct/>
        <w:topLinePunct w:val="0"/>
        <w:autoSpaceDE/>
        <w:autoSpaceDN/>
        <w:bidi w:val="0"/>
        <w:adjustRightInd/>
        <w:snapToGrid w:val="0"/>
        <w:spacing w:line="600" w:lineRule="atLeast"/>
        <w:ind w:firstLine="643"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sz w:val="32"/>
          <w:szCs w:val="32"/>
        </w:rPr>
        <w:t>（四）</w:t>
      </w:r>
      <w:r>
        <w:rPr>
          <w:rFonts w:hint="eastAsia" w:ascii="仿宋_GB2312" w:hAnsi="仿宋_GB2312" w:eastAsia="仿宋_GB2312" w:cs="仿宋_GB2312"/>
          <w:b/>
          <w:sz w:val="32"/>
          <w:szCs w:val="32"/>
          <w:lang w:eastAsia="zh-CN"/>
        </w:rPr>
        <w:t>实施</w:t>
      </w:r>
      <w:r>
        <w:rPr>
          <w:rFonts w:hint="eastAsia" w:ascii="仿宋_GB2312" w:hAnsi="仿宋_GB2312" w:eastAsia="仿宋_GB2312" w:cs="仿宋_GB2312"/>
          <w:b/>
          <w:sz w:val="32"/>
          <w:szCs w:val="32"/>
        </w:rPr>
        <w:t>可行性</w:t>
      </w:r>
    </w:p>
    <w:p>
      <w:pPr>
        <w:pStyle w:val="9"/>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年项目预算绩效评价</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实施单位组织管理机构健全且能够可持续运转；项目内容较为明确，与绩效目标较相匹配；与项目有关的基</w:t>
      </w:r>
      <w:r>
        <w:rPr>
          <w:rFonts w:hint="eastAsia" w:ascii="仿宋_GB2312" w:hAnsi="仿宋_GB2312" w:eastAsia="仿宋_GB2312" w:cs="仿宋_GB2312"/>
          <w:sz w:val="32"/>
          <w:szCs w:val="32"/>
          <w:lang w:eastAsia="zh-CN"/>
        </w:rPr>
        <w:t>础设施</w:t>
      </w:r>
      <w:r>
        <w:rPr>
          <w:rFonts w:hint="eastAsia" w:ascii="仿宋_GB2312" w:hAnsi="仿宋_GB2312" w:eastAsia="仿宋_GB2312" w:cs="仿宋_GB2312"/>
          <w:sz w:val="32"/>
          <w:szCs w:val="32"/>
        </w:rPr>
        <w:t>条件能够得以有效保障。因此，项目具有实施的可行性。具体分析如下：</w:t>
      </w:r>
    </w:p>
    <w:p>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项目内容较为明确。该项目属于</w:t>
      </w:r>
      <w:r>
        <w:rPr>
          <w:rFonts w:hint="eastAsia" w:ascii="仿宋_GB2312" w:hAnsi="仿宋_GB2312" w:eastAsia="仿宋_GB2312" w:cs="仿宋_GB2312"/>
          <w:sz w:val="32"/>
          <w:szCs w:val="32"/>
          <w:lang w:eastAsia="zh-CN"/>
        </w:rPr>
        <w:t>南坪镇</w:t>
      </w:r>
      <w:r>
        <w:rPr>
          <w:rFonts w:hint="eastAsia" w:ascii="仿宋_GB2312" w:hAnsi="仿宋_GB2312" w:eastAsia="仿宋_GB2312" w:cs="仿宋_GB2312"/>
          <w:sz w:val="32"/>
          <w:szCs w:val="32"/>
          <w:lang w:val="en-US" w:eastAsia="zh-CN"/>
        </w:rPr>
        <w:t>下</w:t>
      </w:r>
      <w:r>
        <w:rPr>
          <w:rFonts w:hint="eastAsia" w:ascii="仿宋_GB2312" w:hAnsi="仿宋_GB2312" w:eastAsia="仿宋_GB2312" w:cs="仿宋_GB2312"/>
          <w:sz w:val="32"/>
          <w:szCs w:val="32"/>
          <w:lang w:eastAsia="zh-CN"/>
        </w:rPr>
        <w:t>寨村人居环境整治提升建设项目</w:t>
      </w:r>
      <w:r>
        <w:rPr>
          <w:rFonts w:hint="eastAsia" w:ascii="仿宋_GB2312" w:hAnsi="仿宋_GB2312" w:eastAsia="仿宋_GB2312" w:cs="仿宋_GB2312"/>
          <w:sz w:val="32"/>
          <w:szCs w:val="32"/>
        </w:rPr>
        <w:t>，项目实施时间为</w:t>
      </w:r>
      <w:r>
        <w:rPr>
          <w:rFonts w:hint="eastAsia" w:ascii="仿宋_GB2312" w:hAnsi="仿宋_GB2312" w:eastAsia="仿宋_GB2312" w:cs="仿宋_GB2312"/>
          <w:sz w:val="32"/>
          <w:szCs w:val="32"/>
          <w:lang w:val="en-US" w:eastAsia="zh-CN"/>
        </w:rPr>
        <w:t>8个月。</w:t>
      </w:r>
    </w:p>
    <w:p>
      <w:pPr>
        <w:autoSpaceDE w:val="0"/>
        <w:autoSpaceDN w:val="0"/>
        <w:spacing w:after="100"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组织机构健全，职责分工明确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严格按照工程项目招投标法实施。九寨沟县南坪镇负责</w:t>
      </w:r>
      <w:r>
        <w:rPr>
          <w:rFonts w:hint="eastAsia" w:ascii="仿宋_GB2312" w:hAnsi="仿宋_GB2312" w:eastAsia="仿宋_GB2312" w:cs="仿宋_GB2312"/>
          <w:sz w:val="32"/>
          <w:szCs w:val="32"/>
        </w:rPr>
        <w:t>负责管理</w:t>
      </w:r>
      <w:r>
        <w:rPr>
          <w:rFonts w:hint="eastAsia" w:ascii="仿宋_GB2312" w:hAnsi="仿宋_GB2312" w:eastAsia="仿宋_GB2312" w:cs="仿宋_GB2312"/>
          <w:sz w:val="32"/>
          <w:szCs w:val="32"/>
          <w:lang w:eastAsia="zh-CN"/>
        </w:rPr>
        <w:t>项目建设管理工作</w:t>
      </w:r>
      <w:r>
        <w:rPr>
          <w:rFonts w:hint="eastAsia" w:ascii="仿宋_GB2312" w:hAnsi="仿宋_GB2312" w:eastAsia="仿宋_GB2312" w:cs="仿宋_GB2312"/>
          <w:sz w:val="32"/>
          <w:szCs w:val="32"/>
          <w:lang w:val="en-US" w:eastAsia="zh-CN"/>
        </w:rPr>
        <w:t>，设有项目</w:t>
      </w:r>
      <w:r>
        <w:rPr>
          <w:rFonts w:hint="eastAsia" w:ascii="仿宋_GB2312" w:hAnsi="仿宋_GB2312" w:eastAsia="仿宋_GB2312" w:cs="仿宋_GB2312"/>
          <w:sz w:val="32"/>
          <w:szCs w:val="32"/>
        </w:rPr>
        <w:t>管理股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组织机构健全</w:t>
      </w:r>
      <w:r>
        <w:rPr>
          <w:rFonts w:hint="eastAsia" w:ascii="仿宋_GB2312" w:hAnsi="仿宋_GB2312" w:eastAsia="仿宋_GB2312" w:cs="仿宋_GB2312"/>
          <w:sz w:val="32"/>
          <w:szCs w:val="32"/>
          <w:lang w:val="en-US" w:eastAsia="zh-CN"/>
        </w:rPr>
        <w:t>。</w:t>
      </w:r>
    </w:p>
    <w:p>
      <w:pPr>
        <w:autoSpaceDE w:val="0"/>
        <w:autoSpaceDN w:val="0"/>
        <w:spacing w:after="100"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3.项目具备正常实施条件，资金有所保障。</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color w:val="auto"/>
          <w:sz w:val="32"/>
          <w:szCs w:val="32"/>
          <w:highlight w:val="none"/>
          <w:lang w:val="en-US" w:eastAsia="zh-CN"/>
        </w:rPr>
        <w:t>九寨沟县2025涉农整合财政衔接资金</w:t>
      </w:r>
      <w:r>
        <w:rPr>
          <w:rFonts w:hint="eastAsia" w:ascii="仿宋_GB2312" w:hAnsi="仿宋_GB2312" w:eastAsia="仿宋_GB2312" w:cs="仿宋_GB2312"/>
          <w:sz w:val="32"/>
          <w:szCs w:val="32"/>
          <w:lang w:val="en-US" w:eastAsia="zh-CN"/>
        </w:rPr>
        <w:t>。资金具有较强的保障性。</w:t>
      </w:r>
    </w:p>
    <w:p>
      <w:pPr>
        <w:pStyle w:val="7"/>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lang w:val="en-US" w:eastAsia="zh-CN"/>
        </w:rPr>
        <w:t>九寨沟县南坪镇根据县级财政及本单位已制定的相关</w:t>
      </w:r>
      <w:r>
        <w:rPr>
          <w:rFonts w:hint="eastAsia" w:ascii="仿宋_GB2312" w:hAnsi="仿宋_GB2312" w:eastAsia="仿宋_GB2312" w:cs="仿宋_GB2312"/>
          <w:sz w:val="32"/>
          <w:szCs w:val="32"/>
        </w:rPr>
        <w:t>资金管理办法和项目管理办法</w:t>
      </w:r>
      <w:r>
        <w:rPr>
          <w:rFonts w:hint="eastAsia" w:ascii="仿宋_GB2312" w:hAnsi="仿宋_GB2312" w:eastAsia="仿宋_GB2312" w:cs="仿宋_GB2312"/>
          <w:sz w:val="32"/>
          <w:szCs w:val="32"/>
          <w:lang w:val="en-US" w:eastAsia="zh-CN"/>
        </w:rPr>
        <w:t>实施。</w:t>
      </w:r>
    </w:p>
    <w:p>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（五）筹资合规性</w:t>
      </w:r>
    </w:p>
    <w:p>
      <w:pPr>
        <w:pStyle w:val="7"/>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该项目资金需求</w:t>
      </w:r>
      <w:r>
        <w:rPr>
          <w:rFonts w:hint="eastAsia" w:ascii="仿宋_GB2312" w:hAnsi="仿宋_GB2312" w:eastAsia="仿宋_GB2312" w:cs="仿宋_GB2312"/>
          <w:sz w:val="32"/>
          <w:szCs w:val="32"/>
          <w:lang w:val="en-US" w:eastAsia="zh-CN"/>
        </w:rPr>
        <w:t>390万</w:t>
      </w:r>
      <w:r>
        <w:rPr>
          <w:rFonts w:hint="eastAsia" w:ascii="仿宋_GB2312" w:hAnsi="仿宋_GB2312" w:eastAsia="仿宋_GB2312" w:cs="仿宋_GB2312"/>
          <w:sz w:val="32"/>
          <w:szCs w:val="32"/>
        </w:rPr>
        <w:t>元，主要通过</w:t>
      </w:r>
      <w:r>
        <w:rPr>
          <w:rFonts w:hint="eastAsia" w:ascii="仿宋_GB2312" w:hAnsi="仿宋_GB2312" w:eastAsia="仿宋_GB2312" w:cs="仿宋_GB2312"/>
          <w:color w:val="auto"/>
          <w:sz w:val="32"/>
          <w:szCs w:val="32"/>
          <w:highlight w:val="none"/>
          <w:lang w:val="en-US" w:eastAsia="zh-CN"/>
        </w:rPr>
        <w:t>九寨沟县2025年财政衔接推进乡村振兴补助资金</w:t>
      </w:r>
      <w:r>
        <w:rPr>
          <w:rFonts w:hint="eastAsia" w:ascii="仿宋_GB2312" w:hAnsi="仿宋_GB2312" w:eastAsia="仿宋_GB2312" w:cs="仿宋_GB2312"/>
          <w:sz w:val="32"/>
          <w:szCs w:val="32"/>
        </w:rPr>
        <w:t>解决。经评估，项目筹资渠道符合法律法规规定，筹资结构合理，资金来源渠道明确，各渠道资金到位时间、条件能够落实，财政资金支持方式科学合理，该项目具有公共性，属于公共财政支持范围。</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六、评估结论</w:t>
      </w:r>
    </w:p>
    <w:p>
      <w:pPr>
        <w:pStyle w:val="39"/>
        <w:keepNext w:val="0"/>
        <w:keepLines w:val="0"/>
        <w:pageBreakBefore w:val="0"/>
        <w:widowControl w:val="0"/>
        <w:kinsoku/>
        <w:wordWrap/>
        <w:overflowPunct/>
        <w:topLinePunct w:val="0"/>
        <w:autoSpaceDE/>
        <w:autoSpaceDN/>
        <w:bidi w:val="0"/>
        <w:adjustRightInd/>
        <w:snapToGrid w:val="0"/>
        <w:spacing w:line="600" w:lineRule="exact"/>
        <w:ind w:firstLine="707" w:firstLineChars="221"/>
        <w:jc w:val="both"/>
        <w:textAlignment w:val="auto"/>
        <w:rPr>
          <w:rFonts w:hint="eastAsia" w:ascii="仿宋_GB2312" w:hAnsi="仿宋_GB2312" w:eastAsia="仿宋_GB2312" w:cs="仿宋_GB2312"/>
          <w:b w:val="0"/>
          <w:bCs w:val="0"/>
          <w:sz w:val="32"/>
          <w:szCs w:val="32"/>
          <w:u w:val="none"/>
          <w:lang w:val="en-US" w:eastAsia="zh-CN"/>
        </w:rPr>
      </w:pPr>
      <w:r>
        <w:rPr>
          <w:rFonts w:hint="eastAsia" w:ascii="仿宋_GB2312" w:hAnsi="仿宋_GB2312" w:eastAsia="仿宋_GB2312" w:cs="仿宋_GB2312"/>
          <w:b w:val="0"/>
          <w:bCs w:val="0"/>
          <w:sz w:val="32"/>
          <w:szCs w:val="32"/>
          <w:u w:val="none"/>
        </w:rPr>
        <w:t>综合前述评估内容来看，该项目立项必要性和依据充分，绩效目标明确，具备实施条件，具有公共性，符合财政资金支持方向</w:t>
      </w:r>
      <w:r>
        <w:rPr>
          <w:rFonts w:hint="eastAsia" w:ascii="仿宋_GB2312" w:hAnsi="仿宋_GB2312" w:eastAsia="仿宋_GB2312" w:cs="仿宋_GB2312"/>
          <w:b w:val="0"/>
          <w:bCs w:val="0"/>
          <w:sz w:val="32"/>
          <w:szCs w:val="32"/>
          <w:u w:val="none"/>
          <w:lang w:eastAsia="zh-CN"/>
        </w:rPr>
        <w:t>等</w:t>
      </w:r>
      <w:r>
        <w:rPr>
          <w:rFonts w:hint="eastAsia" w:ascii="仿宋_GB2312" w:hAnsi="仿宋_GB2312" w:eastAsia="仿宋_GB2312" w:cs="仿宋_GB2312"/>
          <w:b w:val="0"/>
          <w:bCs w:val="0"/>
          <w:sz w:val="32"/>
          <w:szCs w:val="32"/>
          <w:u w:val="none"/>
        </w:rPr>
        <w:t>。建议予以支持，预算控制在</w:t>
      </w:r>
      <w:r>
        <w:rPr>
          <w:rFonts w:hint="eastAsia" w:ascii="仿宋_GB2312" w:hAnsi="仿宋_GB2312" w:eastAsia="仿宋_GB2312" w:cs="仿宋_GB2312"/>
          <w:b w:val="0"/>
          <w:bCs w:val="0"/>
          <w:sz w:val="32"/>
          <w:szCs w:val="32"/>
          <w:u w:val="none"/>
          <w:lang w:val="en-US" w:eastAsia="zh-CN"/>
        </w:rPr>
        <w:t>390</w:t>
      </w:r>
      <w:r>
        <w:rPr>
          <w:rFonts w:hint="eastAsia" w:ascii="仿宋_GB2312" w:hAnsi="仿宋_GB2312" w:eastAsia="仿宋_GB2312" w:cs="仿宋_GB2312"/>
          <w:b w:val="0"/>
          <w:bCs w:val="0"/>
          <w:sz w:val="32"/>
          <w:szCs w:val="32"/>
          <w:u w:val="none"/>
        </w:rPr>
        <w:t>万元以内。该项目申请资金总预算</w:t>
      </w:r>
      <w:r>
        <w:rPr>
          <w:rFonts w:hint="eastAsia" w:ascii="仿宋_GB2312" w:hAnsi="仿宋_GB2312" w:eastAsia="仿宋_GB2312" w:cs="仿宋_GB2312"/>
          <w:b w:val="0"/>
          <w:bCs w:val="0"/>
          <w:sz w:val="32"/>
          <w:szCs w:val="32"/>
          <w:u w:val="none"/>
          <w:lang w:val="en-US" w:eastAsia="zh-CN"/>
        </w:rPr>
        <w:t>390</w:t>
      </w:r>
      <w:r>
        <w:rPr>
          <w:rFonts w:hint="eastAsia" w:ascii="仿宋_GB2312" w:hAnsi="仿宋_GB2312" w:eastAsia="仿宋_GB2312" w:cs="仿宋_GB2312"/>
          <w:b w:val="0"/>
          <w:bCs w:val="0"/>
          <w:sz w:val="32"/>
          <w:szCs w:val="32"/>
          <w:u w:val="none"/>
        </w:rPr>
        <w:t>万元，经评审，建议预算</w:t>
      </w:r>
      <w:r>
        <w:rPr>
          <w:rFonts w:hint="eastAsia" w:ascii="仿宋_GB2312" w:hAnsi="仿宋_GB2312" w:eastAsia="仿宋_GB2312" w:cs="仿宋_GB2312"/>
          <w:b w:val="0"/>
          <w:bCs w:val="0"/>
          <w:sz w:val="32"/>
          <w:szCs w:val="32"/>
          <w:u w:val="none"/>
          <w:lang w:eastAsia="zh-CN"/>
        </w:rPr>
        <w:t>申报</w:t>
      </w:r>
      <w:r>
        <w:rPr>
          <w:rFonts w:hint="eastAsia" w:ascii="仿宋_GB2312" w:hAnsi="仿宋_GB2312" w:eastAsia="仿宋_GB2312" w:cs="仿宋_GB2312"/>
          <w:b w:val="0"/>
          <w:bCs w:val="0"/>
          <w:sz w:val="32"/>
          <w:szCs w:val="32"/>
          <w:u w:val="none"/>
        </w:rPr>
        <w:t>数</w:t>
      </w:r>
      <w:r>
        <w:rPr>
          <w:rFonts w:hint="eastAsia" w:ascii="仿宋_GB2312" w:hAnsi="仿宋_GB2312" w:eastAsia="仿宋_GB2312" w:cs="仿宋_GB2312"/>
          <w:b w:val="0"/>
          <w:bCs w:val="0"/>
          <w:sz w:val="32"/>
          <w:szCs w:val="32"/>
          <w:u w:val="none"/>
          <w:lang w:val="en-US" w:eastAsia="zh-CN"/>
        </w:rPr>
        <w:t>390</w:t>
      </w:r>
      <w:r>
        <w:rPr>
          <w:rFonts w:hint="eastAsia" w:ascii="仿宋_GB2312" w:hAnsi="仿宋_GB2312" w:eastAsia="仿宋_GB2312" w:cs="仿宋_GB2312"/>
          <w:b w:val="0"/>
          <w:bCs w:val="0"/>
          <w:sz w:val="32"/>
          <w:szCs w:val="32"/>
          <w:u w:val="none"/>
        </w:rPr>
        <w:t>万元</w:t>
      </w:r>
      <w:r>
        <w:rPr>
          <w:rFonts w:hint="eastAsia" w:ascii="仿宋_GB2312" w:hAnsi="仿宋_GB2312" w:eastAsia="仿宋_GB2312" w:cs="仿宋_GB2312"/>
          <w:b w:val="0"/>
          <w:bCs w:val="0"/>
          <w:sz w:val="32"/>
          <w:szCs w:val="32"/>
          <w:u w:val="none"/>
          <w:lang w:eastAsia="zh-CN"/>
        </w:rPr>
        <w:t>，</w:t>
      </w:r>
      <w:r>
        <w:rPr>
          <w:rFonts w:hint="eastAsia" w:ascii="仿宋_GB2312" w:hAnsi="仿宋_GB2312" w:eastAsia="仿宋_GB2312" w:cs="仿宋_GB2312"/>
          <w:b w:val="0"/>
          <w:bCs w:val="0"/>
          <w:sz w:val="32"/>
          <w:szCs w:val="32"/>
          <w:u w:val="none"/>
        </w:rPr>
        <w:t>合计</w:t>
      </w:r>
      <w:r>
        <w:rPr>
          <w:rFonts w:hint="eastAsia" w:ascii="仿宋_GB2312" w:hAnsi="仿宋_GB2312" w:eastAsia="仿宋_GB2312" w:cs="仿宋_GB2312"/>
          <w:b w:val="0"/>
          <w:bCs w:val="0"/>
          <w:sz w:val="32"/>
          <w:szCs w:val="32"/>
          <w:u w:val="none"/>
          <w:lang w:eastAsia="zh-CN"/>
        </w:rPr>
        <w:t>评减</w:t>
      </w:r>
      <w:r>
        <w:rPr>
          <w:rFonts w:hint="eastAsia" w:ascii="仿宋_GB2312" w:hAnsi="仿宋_GB2312" w:eastAsia="仿宋_GB2312" w:cs="仿宋_GB2312"/>
          <w:b w:val="0"/>
          <w:bCs w:val="0"/>
          <w:sz w:val="32"/>
          <w:szCs w:val="32"/>
          <w:u w:val="none"/>
          <w:lang w:val="en-US" w:eastAsia="zh-CN"/>
        </w:rPr>
        <w:t>0</w:t>
      </w:r>
      <w:r>
        <w:rPr>
          <w:rFonts w:hint="eastAsia" w:ascii="仿宋_GB2312" w:hAnsi="仿宋_GB2312" w:eastAsia="仿宋_GB2312" w:cs="仿宋_GB2312"/>
          <w:b w:val="0"/>
          <w:bCs w:val="0"/>
          <w:sz w:val="32"/>
          <w:szCs w:val="32"/>
          <w:u w:val="none"/>
        </w:rPr>
        <w:t>万元，评减率</w:t>
      </w:r>
      <w:r>
        <w:rPr>
          <w:rFonts w:hint="eastAsia" w:ascii="仿宋_GB2312" w:hAnsi="仿宋_GB2312" w:eastAsia="仿宋_GB2312" w:cs="仿宋_GB2312"/>
          <w:b w:val="0"/>
          <w:bCs w:val="0"/>
          <w:sz w:val="32"/>
          <w:szCs w:val="32"/>
          <w:u w:val="none"/>
          <w:lang w:val="en-US" w:eastAsia="zh-CN"/>
        </w:rPr>
        <w:t>0</w:t>
      </w:r>
      <w:r>
        <w:rPr>
          <w:rFonts w:hint="eastAsia" w:ascii="仿宋_GB2312" w:hAnsi="仿宋_GB2312" w:eastAsia="仿宋_GB2312" w:cs="仿宋_GB2312"/>
          <w:b w:val="0"/>
          <w:bCs w:val="0"/>
          <w:sz w:val="32"/>
          <w:szCs w:val="32"/>
          <w:u w:val="none"/>
        </w:rPr>
        <w:t>。</w:t>
      </w:r>
      <w:r>
        <w:rPr>
          <w:rFonts w:hint="eastAsia" w:ascii="仿宋_GB2312" w:hAnsi="仿宋_GB2312" w:eastAsia="仿宋_GB2312" w:cs="仿宋_GB2312"/>
          <w:b w:val="0"/>
          <w:bCs w:val="0"/>
          <w:sz w:val="32"/>
          <w:szCs w:val="32"/>
          <w:u w:val="none"/>
          <w:lang w:eastAsia="zh-CN"/>
        </w:rPr>
        <w:t>我单位将</w:t>
      </w:r>
      <w:r>
        <w:rPr>
          <w:rFonts w:hint="eastAsia" w:ascii="仿宋_GB2312" w:hAnsi="仿宋_GB2312" w:eastAsia="仿宋_GB2312" w:cs="仿宋_GB2312"/>
          <w:b w:val="0"/>
          <w:bCs w:val="0"/>
          <w:sz w:val="32"/>
          <w:szCs w:val="32"/>
          <w:u w:val="none"/>
        </w:rPr>
        <w:t>进一步优化完善实施</w:t>
      </w:r>
      <w:r>
        <w:rPr>
          <w:rFonts w:hint="eastAsia" w:ascii="仿宋_GB2312" w:hAnsi="仿宋_GB2312" w:eastAsia="仿宋_GB2312" w:cs="仿宋_GB2312"/>
          <w:b w:val="0"/>
          <w:bCs w:val="0"/>
          <w:sz w:val="32"/>
          <w:szCs w:val="32"/>
          <w:u w:val="none"/>
          <w:lang w:val="en-US" w:eastAsia="zh-CN"/>
        </w:rPr>
        <w:t>计划</w:t>
      </w:r>
      <w:r>
        <w:rPr>
          <w:rFonts w:hint="eastAsia" w:ascii="仿宋_GB2312" w:hAnsi="仿宋_GB2312" w:eastAsia="仿宋_GB2312" w:cs="仿宋_GB2312"/>
          <w:b w:val="0"/>
          <w:bCs w:val="0"/>
          <w:sz w:val="32"/>
          <w:szCs w:val="32"/>
          <w:u w:val="none"/>
        </w:rPr>
        <w:t>和绩效目标，</w:t>
      </w:r>
      <w:r>
        <w:rPr>
          <w:rFonts w:hint="eastAsia" w:ascii="仿宋_GB2312" w:hAnsi="仿宋_GB2312" w:eastAsia="仿宋_GB2312" w:cs="仿宋_GB2312"/>
          <w:b w:val="0"/>
          <w:bCs w:val="0"/>
          <w:sz w:val="32"/>
          <w:szCs w:val="32"/>
          <w:u w:val="none"/>
          <w:lang w:eastAsia="zh-CN"/>
        </w:rPr>
        <w:t>加强运行监控，</w:t>
      </w:r>
      <w:r>
        <w:rPr>
          <w:rFonts w:hint="eastAsia" w:ascii="仿宋_GB2312" w:hAnsi="仿宋_GB2312" w:eastAsia="仿宋_GB2312" w:cs="仿宋_GB2312"/>
          <w:b w:val="0"/>
          <w:bCs w:val="0"/>
          <w:sz w:val="32"/>
          <w:szCs w:val="32"/>
          <w:u w:val="none"/>
        </w:rPr>
        <w:t>节约财政资金并提升资金效益</w:t>
      </w:r>
      <w:r>
        <w:rPr>
          <w:rFonts w:hint="eastAsia" w:ascii="仿宋_GB2312" w:hAnsi="仿宋_GB2312" w:eastAsia="仿宋_GB2312" w:cs="仿宋_GB2312"/>
          <w:b w:val="0"/>
          <w:bCs w:val="0"/>
          <w:sz w:val="32"/>
          <w:szCs w:val="32"/>
          <w:u w:val="none"/>
          <w:lang w:eastAsia="zh-CN"/>
        </w:rPr>
        <w:t>，提升预算绩效管理水平</w:t>
      </w:r>
      <w:r>
        <w:rPr>
          <w:rFonts w:hint="eastAsia" w:ascii="仿宋_GB2312" w:hAnsi="仿宋_GB2312" w:eastAsia="仿宋_GB2312" w:cs="仿宋_GB2312"/>
          <w:b w:val="0"/>
          <w:bCs w:val="0"/>
          <w:sz w:val="32"/>
          <w:szCs w:val="32"/>
          <w:u w:val="none"/>
          <w:lang w:val="en-US" w:eastAsia="zh-CN"/>
        </w:rPr>
        <w:t>。</w:t>
      </w:r>
    </w:p>
    <w:p>
      <w:pPr>
        <w:jc w:val="center"/>
        <w:rPr>
          <w:rFonts w:hint="eastAsia" w:ascii="仿宋_GB2312" w:hAnsi="仿宋_GB2312" w:eastAsia="仿宋_GB2312" w:cs="仿宋_GB2312"/>
          <w:b/>
          <w:bCs/>
          <w:color w:val="auto"/>
          <w:kern w:val="2"/>
          <w:sz w:val="32"/>
          <w:szCs w:val="32"/>
          <w:highlight w:val="none"/>
          <w:lang w:val="en-US" w:eastAsia="zh-CN" w:bidi="ar-SA"/>
        </w:rPr>
      </w:pPr>
    </w:p>
    <w:p>
      <w:pPr>
        <w:jc w:val="center"/>
        <w:rPr>
          <w:rFonts w:hint="eastAsia" w:ascii="仿宋_GB2312" w:hAnsi="仿宋_GB2312" w:eastAsia="仿宋_GB2312" w:cs="仿宋_GB2312"/>
          <w:b/>
          <w:bCs/>
          <w:color w:val="auto"/>
          <w:kern w:val="2"/>
          <w:sz w:val="36"/>
          <w:szCs w:val="36"/>
          <w:highlight w:val="none"/>
          <w:lang w:val="en-US" w:eastAsia="zh-CN" w:bidi="ar-SA"/>
        </w:rPr>
      </w:pPr>
    </w:p>
    <w:p>
      <w:pPr>
        <w:jc w:val="center"/>
        <w:rPr>
          <w:rFonts w:hint="eastAsia" w:ascii="仿宋_GB2312" w:hAnsi="仿宋_GB2312" w:eastAsia="仿宋_GB2312" w:cs="仿宋_GB2312"/>
          <w:b/>
          <w:bCs/>
          <w:color w:val="auto"/>
          <w:kern w:val="2"/>
          <w:sz w:val="36"/>
          <w:szCs w:val="36"/>
          <w:highlight w:val="none"/>
          <w:lang w:val="en-US" w:eastAsia="zh-CN" w:bidi="ar-SA"/>
        </w:rPr>
      </w:pPr>
    </w:p>
    <w:p>
      <w:pPr>
        <w:jc w:val="center"/>
        <w:rPr>
          <w:rFonts w:hint="eastAsia" w:ascii="仿宋_GB2312" w:hAnsi="仿宋_GB2312" w:eastAsia="仿宋_GB2312" w:cs="仿宋_GB2312"/>
          <w:b/>
          <w:bCs/>
          <w:color w:val="auto"/>
          <w:kern w:val="2"/>
          <w:sz w:val="36"/>
          <w:szCs w:val="36"/>
          <w:highlight w:val="none"/>
          <w:lang w:val="en-US" w:eastAsia="zh-CN" w:bidi="ar-SA"/>
        </w:rPr>
      </w:pPr>
    </w:p>
    <w:p>
      <w:pPr>
        <w:jc w:val="center"/>
        <w:rPr>
          <w:rFonts w:hint="eastAsia" w:ascii="仿宋_GB2312" w:hAnsi="仿宋_GB2312" w:eastAsia="仿宋_GB2312" w:cs="仿宋_GB2312"/>
          <w:b/>
          <w:bCs/>
          <w:color w:val="auto"/>
          <w:kern w:val="2"/>
          <w:sz w:val="36"/>
          <w:szCs w:val="36"/>
          <w:highlight w:val="none"/>
          <w:lang w:val="en-US" w:eastAsia="zh-CN" w:bidi="ar-SA"/>
        </w:rPr>
      </w:pPr>
    </w:p>
    <w:p>
      <w:pPr>
        <w:rPr>
          <w:rFonts w:hint="eastAsia" w:ascii="黑体" w:hAnsi="黑体" w:eastAsia="黑体"/>
          <w:sz w:val="32"/>
          <w:szCs w:val="32"/>
        </w:rPr>
      </w:pPr>
    </w:p>
    <w:p>
      <w:pPr>
        <w:rPr>
          <w:rFonts w:hint="eastAsia" w:ascii="黑体" w:hAnsi="黑体" w:eastAsia="黑体"/>
          <w:sz w:val="32"/>
          <w:szCs w:val="32"/>
        </w:rPr>
      </w:pPr>
    </w:p>
    <w:p>
      <w:pPr>
        <w:rPr>
          <w:rFonts w:hint="default"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4</w:t>
      </w:r>
    </w:p>
    <w:p>
      <w:pPr>
        <w:jc w:val="center"/>
        <w:rPr>
          <w:rFonts w:hint="eastAsia" w:ascii="仿宋_GB2312" w:hAnsi="仿宋_GB2312" w:eastAsia="仿宋_GB2312" w:cs="仿宋_GB2312"/>
          <w:b/>
          <w:bCs/>
          <w:color w:val="auto"/>
          <w:kern w:val="2"/>
          <w:sz w:val="36"/>
          <w:szCs w:val="36"/>
          <w:highlight w:val="none"/>
          <w:lang w:val="en-US" w:eastAsia="zh-CN" w:bidi="ar-SA"/>
        </w:rPr>
      </w:pPr>
    </w:p>
    <w:p>
      <w:pPr>
        <w:jc w:val="center"/>
        <w:rPr>
          <w:rFonts w:hint="eastAsia" w:ascii="仿宋_GB2312" w:hAnsi="仿宋_GB2312" w:eastAsia="仿宋_GB2312" w:cs="仿宋_GB2312"/>
          <w:b/>
          <w:bCs/>
          <w:color w:val="auto"/>
          <w:kern w:val="2"/>
          <w:sz w:val="44"/>
          <w:szCs w:val="44"/>
          <w:highlight w:val="none"/>
          <w:lang w:val="en-US" w:eastAsia="zh-CN" w:bidi="ar-SA"/>
        </w:rPr>
      </w:pPr>
      <w:r>
        <w:rPr>
          <w:rFonts w:hint="eastAsia" w:ascii="仿宋_GB2312" w:hAnsi="仿宋_GB2312" w:eastAsia="仿宋_GB2312" w:cs="仿宋_GB2312"/>
          <w:b/>
          <w:bCs/>
          <w:color w:val="auto"/>
          <w:kern w:val="2"/>
          <w:sz w:val="44"/>
          <w:szCs w:val="44"/>
          <w:highlight w:val="none"/>
          <w:lang w:val="en-US" w:eastAsia="zh-CN" w:bidi="ar-SA"/>
        </w:rPr>
        <w:t>九寨沟县第一批购房补贴</w:t>
      </w:r>
    </w:p>
    <w:p>
      <w:pPr>
        <w:jc w:val="center"/>
        <w:rPr>
          <w:rFonts w:hint="eastAsia" w:ascii="仿宋_GB2312" w:hAnsi="仿宋_GB2312" w:eastAsia="仿宋_GB2312" w:cs="仿宋_GB2312"/>
          <w:b/>
          <w:bCs/>
          <w:sz w:val="44"/>
          <w:szCs w:val="44"/>
        </w:rPr>
      </w:pPr>
      <w:r>
        <w:rPr>
          <w:rFonts w:hint="eastAsia" w:ascii="仿宋_GB2312" w:hAnsi="仿宋_GB2312" w:eastAsia="仿宋_GB2312" w:cs="仿宋_GB2312"/>
          <w:b/>
          <w:bCs/>
          <w:sz w:val="44"/>
          <w:szCs w:val="44"/>
        </w:rPr>
        <w:t>事前绩效评估报告</w:t>
      </w:r>
    </w:p>
    <w:p>
      <w:pPr>
        <w:adjustRightInd w:val="0"/>
        <w:snapToGrid w:val="0"/>
        <w:spacing w:line="520" w:lineRule="exact"/>
        <w:rPr>
          <w:rFonts w:hint="eastAsia" w:ascii="仿宋_GB2312" w:hAnsi="仿宋_GB2312" w:eastAsia="仿宋_GB2312" w:cs="仿宋_GB2312"/>
          <w:b/>
          <w:bCs/>
          <w:sz w:val="36"/>
          <w:szCs w:val="36"/>
        </w:rPr>
      </w:pPr>
    </w:p>
    <w:p>
      <w:pPr>
        <w:tabs>
          <w:tab w:val="left" w:pos="0"/>
        </w:tabs>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一、重大政策或项目基本情况</w:t>
      </w:r>
    </w:p>
    <w:p>
      <w:pPr>
        <w:keepNext w:val="0"/>
        <w:keepLines w:val="0"/>
        <w:pageBreakBefore w:val="0"/>
        <w:widowControl w:val="0"/>
        <w:kinsoku/>
        <w:wordWrap/>
        <w:overflowPunct/>
        <w:topLinePunct w:val="0"/>
        <w:autoSpaceDE/>
        <w:autoSpaceDN/>
        <w:bidi w:val="0"/>
        <w:adjustRightInd/>
        <w:snapToGrid/>
        <w:spacing w:line="576" w:lineRule="exact"/>
        <w:ind w:left="0" w:right="0" w:firstLine="640" w:firstLineChars="200"/>
        <w:jc w:val="both"/>
        <w:textAlignment w:val="auto"/>
        <w:outlineLvl w:val="9"/>
        <w:rPr>
          <w:rFonts w:hint="eastAsia" w:ascii="仿宋_GB2312" w:hAnsi="宋体" w:eastAsia="仿宋_GB2312"/>
          <w:sz w:val="32"/>
          <w:szCs w:val="32"/>
        </w:rPr>
      </w:pPr>
      <w:r>
        <w:rPr>
          <w:rFonts w:hint="default" w:ascii="Times New Roman" w:hAnsi="Times New Roman" w:eastAsia="仿宋_GB2312" w:cs="Times New Roman"/>
          <w:b w:val="0"/>
          <w:bCs w:val="0"/>
          <w:sz w:val="32"/>
          <w:szCs w:val="32"/>
          <w:lang w:val="en-US" w:eastAsia="zh-CN"/>
        </w:rPr>
        <w:t>为深入贯彻落实中央、省、州关于房地产工作的决策部署，坚持消化存量和优化增量相结合，不断完善“保障+市场”的住房供应体系，便于购房群众顺利享受购房补贴政策。</w:t>
      </w:r>
      <w:r>
        <w:rPr>
          <w:rFonts w:hint="eastAsia" w:ascii="Times New Roman" w:hAnsi="Times New Roman" w:eastAsia="仿宋_GB2312" w:cs="Times New Roman"/>
          <w:b w:val="0"/>
          <w:bCs w:val="0"/>
          <w:sz w:val="32"/>
          <w:szCs w:val="32"/>
          <w:lang w:val="en-US" w:eastAsia="zh-CN"/>
        </w:rPr>
        <w:t>根据</w:t>
      </w:r>
      <w:r>
        <w:rPr>
          <w:rFonts w:hint="default" w:ascii="Times New Roman" w:hAnsi="Times New Roman" w:eastAsia="仿宋_GB2312" w:cs="Times New Roman"/>
          <w:b w:val="0"/>
          <w:bCs w:val="0"/>
          <w:sz w:val="32"/>
          <w:szCs w:val="32"/>
          <w:lang w:val="en-US" w:eastAsia="zh-CN"/>
        </w:rPr>
        <w:t>州住建局等7部门印发《促进房地产市场高质量发展十二条措施》（阿州住建发〔2024〕140号）及《九寨沟县购房补贴政策实施细则》（九寨沟府办发〔2024〕57号）</w:t>
      </w:r>
      <w:r>
        <w:rPr>
          <w:rFonts w:hint="eastAsia" w:ascii="Times New Roman" w:hAnsi="Times New Roman" w:eastAsia="仿宋_GB2312" w:cs="Times New Roman"/>
          <w:b w:val="0"/>
          <w:bCs w:val="0"/>
          <w:sz w:val="32"/>
          <w:szCs w:val="32"/>
          <w:lang w:val="en-US" w:eastAsia="zh-CN"/>
        </w:rPr>
        <w:t>文件要求，大力宣传政策，积极引导群众购房，</w:t>
      </w:r>
      <w:r>
        <w:rPr>
          <w:rFonts w:hint="default" w:ascii="Times New Roman" w:hAnsi="Times New Roman" w:eastAsia="仿宋_GB2312" w:cs="Times New Roman"/>
          <w:b w:val="0"/>
          <w:bCs w:val="0"/>
          <w:sz w:val="32"/>
          <w:szCs w:val="32"/>
          <w:lang w:val="en-US" w:eastAsia="zh-CN"/>
        </w:rPr>
        <w:t>促进我县房地产市场高质量发展</w:t>
      </w:r>
      <w:r>
        <w:rPr>
          <w:rFonts w:hint="eastAsia" w:ascii="Times New Roman" w:hAnsi="Times New Roman" w:eastAsia="仿宋_GB2312" w:cs="Times New Roman"/>
          <w:b w:val="0"/>
          <w:bCs w:val="0"/>
          <w:sz w:val="32"/>
          <w:szCs w:val="32"/>
          <w:lang w:val="en-US" w:eastAsia="zh-CN"/>
        </w:rPr>
        <w:t>。</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二、</w:t>
      </w:r>
      <w:r>
        <w:rPr>
          <w:rFonts w:hint="eastAsia" w:ascii="仿宋_GB2312" w:hAnsi="宋体" w:eastAsia="仿宋_GB2312"/>
          <w:sz w:val="32"/>
          <w:szCs w:val="32"/>
          <w:lang w:val="en-US" w:eastAsia="zh-CN"/>
        </w:rPr>
        <w:t>项目</w:t>
      </w:r>
      <w:r>
        <w:rPr>
          <w:rFonts w:hint="eastAsia" w:ascii="仿宋_GB2312" w:hAnsi="宋体" w:eastAsia="仿宋_GB2312"/>
          <w:sz w:val="32"/>
          <w:szCs w:val="32"/>
        </w:rPr>
        <w:t>必要性</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sz w:val="32"/>
          <w:szCs w:val="32"/>
          <w:lang w:val="en-US" w:eastAsia="zh-CN"/>
        </w:rPr>
        <w:t xml:space="preserve"> </w:t>
      </w:r>
      <w:r>
        <w:rPr>
          <w:rFonts w:hint="eastAsia" w:ascii="Times New Roman" w:hAnsi="Times New Roman" w:eastAsia="仿宋_GB2312" w:cs="Times New Roman"/>
          <w:b w:val="0"/>
          <w:bCs w:val="0"/>
          <w:sz w:val="32"/>
          <w:szCs w:val="32"/>
          <w:lang w:val="en-US" w:eastAsia="zh-CN"/>
        </w:rPr>
        <w:t xml:space="preserve"> 我县</w:t>
      </w:r>
      <w:r>
        <w:rPr>
          <w:rFonts w:hint="default" w:ascii="Times New Roman" w:hAnsi="Times New Roman" w:eastAsia="仿宋_GB2312" w:cs="Times New Roman"/>
          <w:b w:val="0"/>
          <w:bCs w:val="0"/>
          <w:sz w:val="32"/>
          <w:szCs w:val="32"/>
          <w:lang w:val="en-US" w:eastAsia="zh-CN"/>
        </w:rPr>
        <w:t>坚持消化存量和优化增量相结合，不断完善“保障+市场”的住房供应体系，便于购房群众顺利享受购房补贴政策，因地制宜促进我县房地产市场高质量发展</w:t>
      </w:r>
      <w:r>
        <w:rPr>
          <w:rFonts w:hint="eastAsia" w:ascii="仿宋_GB2312" w:hAnsi="宋体" w:eastAsia="仿宋_GB2312"/>
          <w:sz w:val="32"/>
          <w:szCs w:val="32"/>
        </w:rPr>
        <w:t>。</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三、投入经济性</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w:t>
      </w:r>
      <w:r>
        <w:rPr>
          <w:rFonts w:hint="eastAsia" w:ascii="Times New Roman" w:hAnsi="Times New Roman" w:eastAsia="仿宋_GB2312" w:cs="Times New Roman"/>
          <w:b w:val="0"/>
          <w:bCs w:val="0"/>
          <w:sz w:val="32"/>
          <w:szCs w:val="32"/>
          <w:lang w:val="en-US" w:eastAsia="zh-CN"/>
        </w:rPr>
        <w:t xml:space="preserve">  第一批购房补贴</w:t>
      </w:r>
      <w:r>
        <w:rPr>
          <w:rFonts w:hint="default" w:ascii="Times New Roman" w:hAnsi="Times New Roman" w:eastAsia="仿宋_GB2312" w:cs="Times New Roman"/>
          <w:b w:val="0"/>
          <w:bCs w:val="0"/>
          <w:sz w:val="32"/>
          <w:szCs w:val="32"/>
          <w:lang w:val="en-US" w:eastAsia="zh-CN"/>
        </w:rPr>
        <w:t>金额346</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9575</w:t>
      </w:r>
      <w:r>
        <w:rPr>
          <w:rFonts w:hint="eastAsia" w:ascii="Times New Roman" w:hAnsi="Times New Roman" w:eastAsia="仿宋_GB2312" w:cs="Times New Roman"/>
          <w:b w:val="0"/>
          <w:bCs w:val="0"/>
          <w:sz w:val="32"/>
          <w:szCs w:val="32"/>
          <w:lang w:val="en-US" w:eastAsia="zh-CN"/>
        </w:rPr>
        <w:t>万</w:t>
      </w:r>
      <w:r>
        <w:rPr>
          <w:rFonts w:hint="default" w:ascii="Times New Roman" w:hAnsi="Times New Roman" w:eastAsia="仿宋_GB2312" w:cs="Times New Roman"/>
          <w:b w:val="0"/>
          <w:bCs w:val="0"/>
          <w:sz w:val="32"/>
          <w:szCs w:val="32"/>
          <w:lang w:val="en-US" w:eastAsia="zh-CN"/>
        </w:rPr>
        <w:t>元(其中住宅95户，面积10394.86平方米，补贴金额345</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5975</w:t>
      </w:r>
      <w:r>
        <w:rPr>
          <w:rFonts w:hint="eastAsia" w:ascii="Times New Roman" w:hAnsi="Times New Roman" w:eastAsia="仿宋_GB2312" w:cs="Times New Roman"/>
          <w:b w:val="0"/>
          <w:bCs w:val="0"/>
          <w:sz w:val="32"/>
          <w:szCs w:val="32"/>
          <w:lang w:val="en-US" w:eastAsia="zh-CN"/>
        </w:rPr>
        <w:t>万</w:t>
      </w:r>
      <w:r>
        <w:rPr>
          <w:rFonts w:hint="default" w:ascii="Times New Roman" w:hAnsi="Times New Roman" w:eastAsia="仿宋_GB2312" w:cs="Times New Roman"/>
          <w:b w:val="0"/>
          <w:bCs w:val="0"/>
          <w:sz w:val="32"/>
          <w:szCs w:val="32"/>
          <w:lang w:val="en-US" w:eastAsia="zh-CN"/>
        </w:rPr>
        <w:t>元；商业用房1套，面积46.76平方米，总价68</w:t>
      </w:r>
      <w:r>
        <w:rPr>
          <w:rFonts w:hint="eastAsia" w:ascii="Times New Roman" w:hAnsi="Times New Roman" w:eastAsia="仿宋_GB2312" w:cs="Times New Roman"/>
          <w:b w:val="0"/>
          <w:bCs w:val="0"/>
          <w:sz w:val="32"/>
          <w:szCs w:val="32"/>
          <w:lang w:val="en-US" w:eastAsia="zh-CN"/>
        </w:rPr>
        <w:t>.万</w:t>
      </w:r>
      <w:r>
        <w:rPr>
          <w:rFonts w:hint="default" w:ascii="Times New Roman" w:hAnsi="Times New Roman" w:eastAsia="仿宋_GB2312" w:cs="Times New Roman"/>
          <w:b w:val="0"/>
          <w:bCs w:val="0"/>
          <w:sz w:val="32"/>
          <w:szCs w:val="32"/>
          <w:lang w:val="en-US" w:eastAsia="zh-CN"/>
        </w:rPr>
        <w:t>元，补贴金额1</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36</w:t>
      </w:r>
      <w:r>
        <w:rPr>
          <w:rFonts w:hint="eastAsia" w:ascii="Times New Roman" w:hAnsi="Times New Roman" w:eastAsia="仿宋_GB2312" w:cs="Times New Roman"/>
          <w:b w:val="0"/>
          <w:bCs w:val="0"/>
          <w:sz w:val="32"/>
          <w:szCs w:val="32"/>
          <w:lang w:val="en-US" w:eastAsia="zh-CN"/>
        </w:rPr>
        <w:t>万</w:t>
      </w:r>
      <w:r>
        <w:rPr>
          <w:rFonts w:hint="default" w:ascii="Times New Roman" w:hAnsi="Times New Roman" w:eastAsia="仿宋_GB2312" w:cs="Times New Roman"/>
          <w:b w:val="0"/>
          <w:bCs w:val="0"/>
          <w:sz w:val="32"/>
          <w:szCs w:val="32"/>
          <w:lang w:val="en-US" w:eastAsia="zh-CN"/>
        </w:rPr>
        <w:t>元）</w:t>
      </w:r>
      <w:r>
        <w:rPr>
          <w:rFonts w:hint="eastAsia" w:ascii="Times New Roman" w:hAnsi="Times New Roman" w:eastAsia="仿宋_GB2312" w:cs="Times New Roman"/>
          <w:b w:val="0"/>
          <w:bCs w:val="0"/>
          <w:sz w:val="32"/>
          <w:szCs w:val="32"/>
          <w:lang w:val="en-US" w:eastAsia="zh-CN"/>
        </w:rPr>
        <w:t>，按照“</w:t>
      </w:r>
      <w:r>
        <w:rPr>
          <w:rFonts w:hint="default" w:ascii="Times New Roman" w:hAnsi="Times New Roman" w:eastAsia="仿宋_GB2312" w:cs="Times New Roman"/>
          <w:b w:val="0"/>
          <w:bCs w:val="0"/>
          <w:sz w:val="32"/>
          <w:szCs w:val="32"/>
          <w:lang w:val="en-US" w:eastAsia="zh-CN"/>
        </w:rPr>
        <w:t>补贴所需资金由州、县（市）财政按照3：7比例分摊承担</w:t>
      </w:r>
      <w:r>
        <w:rPr>
          <w:rFonts w:hint="eastAsia" w:ascii="Times New Roman" w:hAnsi="Times New Roman" w:eastAsia="仿宋_GB2312" w:cs="Times New Roman"/>
          <w:b w:val="0"/>
          <w:bCs w:val="0"/>
          <w:sz w:val="32"/>
          <w:szCs w:val="32"/>
          <w:lang w:val="en-US" w:eastAsia="zh-CN"/>
        </w:rPr>
        <w:t>”之规定，州级配套104.0873万元，县级配套</w:t>
      </w:r>
      <w:r>
        <w:rPr>
          <w:rFonts w:hint="default" w:ascii="Times New Roman" w:hAnsi="Times New Roman" w:eastAsia="仿宋_GB2312" w:cs="Times New Roman"/>
          <w:b w:val="0"/>
          <w:bCs w:val="0"/>
          <w:sz w:val="32"/>
          <w:szCs w:val="32"/>
          <w:lang w:val="en-US" w:eastAsia="zh-CN"/>
        </w:rPr>
        <w:t>2</w:t>
      </w:r>
      <w:r>
        <w:rPr>
          <w:rFonts w:hint="eastAsia" w:ascii="Times New Roman" w:hAnsi="Times New Roman" w:eastAsia="仿宋_GB2312" w:cs="Times New Roman"/>
          <w:b w:val="0"/>
          <w:bCs w:val="0"/>
          <w:sz w:val="32"/>
          <w:szCs w:val="32"/>
          <w:lang w:val="en-US" w:eastAsia="zh-CN"/>
        </w:rPr>
        <w:t>42.8702万元。</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四、绩效目标合理性</w:t>
      </w:r>
    </w:p>
    <w:p>
      <w:pPr>
        <w:adjustRightInd w:val="0"/>
        <w:snapToGrid w:val="0"/>
        <w:spacing w:line="520" w:lineRule="exact"/>
        <w:rPr>
          <w:rFonts w:hint="default" w:ascii="Times New Roman" w:hAnsi="Times New Roman" w:eastAsia="仿宋_GB2312" w:cs="Times New Roman"/>
          <w:b w:val="0"/>
          <w:bCs w:val="0"/>
          <w:sz w:val="32"/>
          <w:szCs w:val="32"/>
          <w:lang w:val="en-US" w:eastAsia="zh-CN"/>
        </w:rPr>
      </w:pPr>
      <w:r>
        <w:rPr>
          <w:rFonts w:hint="eastAsia" w:ascii="仿宋_GB2312" w:hAnsi="宋体" w:eastAsia="仿宋_GB2312"/>
          <w:sz w:val="32"/>
          <w:szCs w:val="32"/>
        </w:rPr>
        <w:t xml:space="preserve">    </w:t>
      </w:r>
      <w:r>
        <w:rPr>
          <w:rFonts w:hint="eastAsia" w:ascii="Times New Roman" w:hAnsi="Times New Roman" w:eastAsia="仿宋_GB2312" w:cs="Times New Roman"/>
          <w:b w:val="0"/>
          <w:bCs w:val="0"/>
          <w:sz w:val="32"/>
          <w:szCs w:val="32"/>
          <w:lang w:val="en-US" w:eastAsia="zh-CN"/>
        </w:rPr>
        <w:t>经济效益：促进了房地产市场平稳健康发展。</w:t>
      </w:r>
    </w:p>
    <w:p>
      <w:pPr>
        <w:adjustRightInd w:val="0"/>
        <w:snapToGrid w:val="0"/>
        <w:spacing w:line="520" w:lineRule="exact"/>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 xml:space="preserve">    社会效益：加快去库存力度，满足了刚需人群对住房的需求，推动了城镇化建设。</w:t>
      </w:r>
    </w:p>
    <w:p>
      <w:pPr>
        <w:adjustRightInd w:val="0"/>
        <w:snapToGrid w:val="0"/>
        <w:spacing w:line="520" w:lineRule="exact"/>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 xml:space="preserve">    环境效益：提高了房产资源的利用效率。</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五、实施方案可行性</w:t>
      </w:r>
    </w:p>
    <w:p>
      <w:pPr>
        <w:adjustRightInd w:val="0"/>
        <w:snapToGrid w:val="0"/>
        <w:spacing w:line="520" w:lineRule="exact"/>
        <w:rPr>
          <w:rFonts w:hint="eastAsia" w:ascii="Times New Roman" w:hAnsi="Times New Roman" w:eastAsia="仿宋_GB2312" w:cs="Times New Roman"/>
          <w:b w:val="0"/>
          <w:bCs w:val="0"/>
          <w:sz w:val="32"/>
          <w:szCs w:val="32"/>
          <w:lang w:val="en-US" w:eastAsia="zh-CN"/>
        </w:rPr>
      </w:pPr>
      <w:r>
        <w:rPr>
          <w:rFonts w:hint="eastAsia" w:ascii="仿宋_GB2312" w:hAnsi="宋体" w:eastAsia="仿宋_GB2312"/>
          <w:sz w:val="32"/>
          <w:szCs w:val="32"/>
        </w:rPr>
        <w:t xml:space="preserve">    </w:t>
      </w:r>
      <w:r>
        <w:rPr>
          <w:rFonts w:hint="eastAsia" w:ascii="Times New Roman" w:hAnsi="Times New Roman" w:eastAsia="仿宋_GB2312" w:cs="Times New Roman"/>
          <w:b w:val="0"/>
          <w:bCs w:val="0"/>
          <w:sz w:val="32"/>
          <w:szCs w:val="32"/>
          <w:lang w:val="en-US" w:eastAsia="zh-CN"/>
        </w:rPr>
        <w:t>第一批购房补贴的申请得到了购房者的认可，通过各部门的联合审查，层层把关，补贴资金已下达，尽快完成了发放，进一步推动去库存力度。</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六、筹资合规性</w:t>
      </w:r>
    </w:p>
    <w:p>
      <w:pPr>
        <w:adjustRightInd w:val="0"/>
        <w:snapToGrid w:val="0"/>
        <w:spacing w:line="520" w:lineRule="exact"/>
        <w:rPr>
          <w:rFonts w:hint="eastAsia" w:ascii="Times New Roman" w:hAnsi="Times New Roman" w:eastAsia="仿宋_GB2312" w:cs="Times New Roman"/>
          <w:b w:val="0"/>
          <w:bCs w:val="0"/>
          <w:sz w:val="32"/>
          <w:szCs w:val="32"/>
          <w:lang w:val="en-US" w:eastAsia="zh-CN"/>
        </w:rPr>
      </w:pPr>
      <w:r>
        <w:rPr>
          <w:rFonts w:hint="eastAsia" w:ascii="仿宋_GB2312" w:hAnsi="宋体" w:eastAsia="仿宋_GB2312"/>
          <w:sz w:val="32"/>
          <w:szCs w:val="32"/>
        </w:rPr>
        <w:t xml:space="preserve">    </w:t>
      </w:r>
      <w:r>
        <w:rPr>
          <w:rFonts w:hint="eastAsia" w:ascii="Times New Roman" w:hAnsi="Times New Roman" w:eastAsia="仿宋_GB2312" w:cs="Times New Roman"/>
          <w:b w:val="0"/>
          <w:bCs w:val="0"/>
          <w:sz w:val="32"/>
          <w:szCs w:val="32"/>
          <w:lang w:val="en-US" w:eastAsia="zh-CN"/>
        </w:rPr>
        <w:t>第一批购房补贴</w:t>
      </w:r>
      <w:r>
        <w:rPr>
          <w:rFonts w:hint="default" w:ascii="Times New Roman" w:hAnsi="Times New Roman" w:eastAsia="仿宋_GB2312" w:cs="Times New Roman"/>
          <w:b w:val="0"/>
          <w:bCs w:val="0"/>
          <w:sz w:val="32"/>
          <w:szCs w:val="32"/>
          <w:lang w:val="en-US" w:eastAsia="zh-CN"/>
        </w:rPr>
        <w:t>金额346</w:t>
      </w:r>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9575</w:t>
      </w:r>
      <w:r>
        <w:rPr>
          <w:rFonts w:hint="eastAsia" w:ascii="Times New Roman" w:hAnsi="Times New Roman" w:eastAsia="仿宋_GB2312" w:cs="Times New Roman"/>
          <w:b w:val="0"/>
          <w:bCs w:val="0"/>
          <w:sz w:val="32"/>
          <w:szCs w:val="32"/>
          <w:lang w:val="en-US" w:eastAsia="zh-CN"/>
        </w:rPr>
        <w:t>万</w:t>
      </w:r>
      <w:r>
        <w:rPr>
          <w:rFonts w:hint="default" w:ascii="Times New Roman" w:hAnsi="Times New Roman" w:eastAsia="仿宋_GB2312" w:cs="Times New Roman"/>
          <w:b w:val="0"/>
          <w:bCs w:val="0"/>
          <w:sz w:val="32"/>
          <w:szCs w:val="32"/>
          <w:lang w:val="en-US" w:eastAsia="zh-CN"/>
        </w:rPr>
        <w:t>元</w:t>
      </w:r>
      <w:r>
        <w:rPr>
          <w:rFonts w:hint="eastAsia" w:ascii="仿宋_GB2312" w:hAnsi="宋体" w:eastAsia="仿宋_GB2312"/>
          <w:sz w:val="32"/>
          <w:szCs w:val="32"/>
        </w:rPr>
        <w:t>。</w:t>
      </w:r>
      <w:r>
        <w:rPr>
          <w:rFonts w:hint="eastAsia" w:ascii="Times New Roman" w:hAnsi="Times New Roman" w:eastAsia="仿宋_GB2312" w:cs="Times New Roman"/>
          <w:b w:val="0"/>
          <w:bCs w:val="0"/>
          <w:sz w:val="32"/>
          <w:szCs w:val="32"/>
          <w:lang w:val="en-US" w:eastAsia="zh-CN"/>
        </w:rPr>
        <w:t>资金来源：九寨沟府函〔2025〕99号县级资金，阿州财建〔2025〕36号州级资金。</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七、可持续性分析</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w:t>
      </w:r>
      <w:r>
        <w:rPr>
          <w:rFonts w:hint="eastAsia" w:ascii="Times New Roman" w:hAnsi="Times New Roman" w:eastAsia="仿宋_GB2312" w:cs="Times New Roman"/>
          <w:b w:val="0"/>
          <w:bCs w:val="0"/>
          <w:sz w:val="32"/>
          <w:szCs w:val="32"/>
          <w:lang w:val="en-US" w:eastAsia="zh-CN"/>
        </w:rPr>
        <w:t>我县第一批购房补贴的发放，将促进我县房地产市场平稳健康发展，落实了中央、省、州的政策要求，也有利于消化存量，优化增量，进一步带动房地产市场高质量发展。</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八、其他需要说明的内容</w:t>
      </w:r>
    </w:p>
    <w:p>
      <w:pPr>
        <w:adjustRightInd w:val="0"/>
        <w:snapToGrid w:val="0"/>
        <w:spacing w:line="520" w:lineRule="exact"/>
        <w:ind w:firstLine="2560" w:firstLineChars="800"/>
        <w:jc w:val="both"/>
        <w:rPr>
          <w:rFonts w:ascii="仿宋_GB2312" w:hAnsi="宋体" w:eastAsia="仿宋_GB2312"/>
          <w:b w:val="0"/>
          <w:bCs w:val="0"/>
          <w:sz w:val="32"/>
          <w:szCs w:val="32"/>
        </w:rPr>
      </w:pPr>
      <w:r>
        <w:rPr>
          <w:rFonts w:hint="eastAsia" w:ascii="仿宋_GB2312" w:hAnsi="宋体" w:eastAsia="仿宋_GB2312"/>
          <w:b w:val="0"/>
          <w:bCs w:val="0"/>
          <w:sz w:val="32"/>
          <w:szCs w:val="32"/>
        </w:rPr>
        <w:t>无</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九、综合评估结论</w:t>
      </w:r>
    </w:p>
    <w:p>
      <w:pPr>
        <w:adjustRightInd w:val="0"/>
        <w:snapToGrid w:val="0"/>
        <w:spacing w:line="520" w:lineRule="exact"/>
        <w:rPr>
          <w:rFonts w:ascii="仿宋_GB2312" w:hAnsi="宋体" w:eastAsia="仿宋_GB2312"/>
          <w:sz w:val="32"/>
          <w:szCs w:val="32"/>
        </w:rPr>
      </w:pPr>
      <w:r>
        <w:rPr>
          <w:rFonts w:hint="eastAsia" w:ascii="仿宋_GB2312" w:hAnsi="宋体" w:eastAsia="仿宋_GB2312"/>
          <w:sz w:val="32"/>
          <w:szCs w:val="32"/>
        </w:rPr>
        <w:t xml:space="preserve">   </w:t>
      </w:r>
      <w:r>
        <w:rPr>
          <w:rFonts w:hint="eastAsia" w:ascii="仿宋_GB2312" w:hAnsi="宋体" w:eastAsia="仿宋_GB2312"/>
          <w:b w:val="0"/>
          <w:bCs w:val="0"/>
          <w:sz w:val="32"/>
          <w:szCs w:val="32"/>
          <w:lang w:val="en-US" w:eastAsia="zh-CN"/>
        </w:rPr>
        <w:t>九寨沟县第一批购房补贴的发放</w:t>
      </w:r>
      <w:r>
        <w:rPr>
          <w:rFonts w:hint="eastAsia" w:ascii="仿宋_GB2312" w:hAnsi="宋体" w:eastAsia="仿宋_GB2312"/>
          <w:b w:val="0"/>
          <w:bCs w:val="0"/>
          <w:sz w:val="32"/>
          <w:szCs w:val="32"/>
        </w:rPr>
        <w:t>预估得分9</w:t>
      </w:r>
      <w:r>
        <w:rPr>
          <w:rFonts w:hint="eastAsia" w:ascii="仿宋_GB2312" w:hAnsi="宋体" w:eastAsia="仿宋_GB2312"/>
          <w:b w:val="0"/>
          <w:bCs w:val="0"/>
          <w:sz w:val="32"/>
          <w:szCs w:val="32"/>
          <w:lang w:val="en-US" w:eastAsia="zh-CN"/>
        </w:rPr>
        <w:t>7</w:t>
      </w:r>
      <w:r>
        <w:rPr>
          <w:rFonts w:hint="eastAsia" w:ascii="仿宋_GB2312" w:hAnsi="宋体" w:eastAsia="仿宋_GB2312"/>
          <w:b w:val="0"/>
          <w:bCs w:val="0"/>
          <w:sz w:val="32"/>
          <w:szCs w:val="32"/>
        </w:rPr>
        <w:t>分，因该项目实施带来的社会效益、经济效益、环境效益显著，得到广大人民群众的支持。</w:t>
      </w:r>
    </w:p>
    <w:p>
      <w:pPr>
        <w:adjustRightInd w:val="0"/>
        <w:snapToGrid w:val="0"/>
        <w:spacing w:line="520" w:lineRule="exact"/>
        <w:rPr>
          <w:rFonts w:ascii="仿宋_GB2312" w:hAnsi="宋体" w:eastAsia="仿宋_GB2312"/>
          <w:sz w:val="32"/>
          <w:szCs w:val="32"/>
        </w:rPr>
      </w:pPr>
    </w:p>
    <w:p>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default" w:ascii="黑体" w:hAnsi="Times New Roman" w:eastAsia="黑体"/>
          <w:sz w:val="32"/>
          <w:szCs w:val="32"/>
          <w:lang w:val="en-US" w:eastAsia="zh-CN"/>
        </w:rPr>
      </w:pPr>
    </w:p>
    <w:p>
      <w:pPr>
        <w:jc w:val="center"/>
        <w:rPr>
          <w:rFonts w:hint="eastAsia" w:ascii="方正小标宋简体" w:eastAsia="方正小标宋简体"/>
          <w:sz w:val="44"/>
          <w:szCs w:val="44"/>
        </w:rPr>
      </w:pPr>
    </w:p>
    <w:p>
      <w:pPr>
        <w:rPr>
          <w:rFonts w:hint="default"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5</w:t>
      </w:r>
    </w:p>
    <w:p>
      <w:pPr>
        <w:jc w:val="center"/>
        <w:rPr>
          <w:rFonts w:hint="eastAsia" w:ascii="方正小标宋简体" w:eastAsia="方正小标宋简体"/>
          <w:sz w:val="44"/>
          <w:szCs w:val="44"/>
        </w:rPr>
      </w:pPr>
    </w:p>
    <w:p>
      <w:pPr>
        <w:jc w:val="center"/>
        <w:rPr>
          <w:rFonts w:hint="eastAsia" w:ascii="方正小标宋简体" w:eastAsia="方正小标宋简体"/>
          <w:sz w:val="44"/>
          <w:szCs w:val="44"/>
        </w:rPr>
      </w:pPr>
      <w:r>
        <w:rPr>
          <w:rFonts w:hint="eastAsia" w:ascii="方正小标宋简体" w:eastAsia="方正小标宋简体"/>
          <w:sz w:val="44"/>
          <w:szCs w:val="44"/>
        </w:rPr>
        <w:t>九寨沟县第二水厂取水口建设项目</w:t>
      </w:r>
    </w:p>
    <w:p>
      <w:pPr>
        <w:jc w:val="center"/>
        <w:rPr>
          <w:rFonts w:hint="eastAsia" w:ascii="方正小标宋简体" w:eastAsia="方正小标宋简体"/>
          <w:sz w:val="44"/>
          <w:szCs w:val="44"/>
        </w:rPr>
      </w:pPr>
      <w:r>
        <w:rPr>
          <w:rFonts w:hint="eastAsia" w:ascii="方正小标宋简体" w:eastAsia="方正小标宋简体"/>
          <w:sz w:val="44"/>
          <w:szCs w:val="44"/>
        </w:rPr>
        <w:t>事前绩效评估报告</w:t>
      </w:r>
    </w:p>
    <w:p>
      <w:pPr>
        <w:adjustRightInd w:val="0"/>
        <w:snapToGrid w:val="0"/>
        <w:spacing w:line="520" w:lineRule="exact"/>
        <w:rPr>
          <w:rFonts w:hint="eastAsia"/>
          <w:sz w:val="28"/>
        </w:rPr>
      </w:pPr>
    </w:p>
    <w:p>
      <w:pPr>
        <w:numPr>
          <w:ilvl w:val="0"/>
          <w:numId w:val="0"/>
        </w:num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    </w:t>
      </w:r>
      <w:r>
        <w:rPr>
          <w:rFonts w:hint="eastAsia" w:ascii="仿宋_GB2312" w:hAnsi="宋体" w:eastAsia="仿宋_GB2312"/>
          <w:b/>
          <w:bCs/>
          <w:sz w:val="32"/>
          <w:szCs w:val="32"/>
          <w:lang w:eastAsia="zh-CN"/>
        </w:rPr>
        <w:t>一、</w:t>
      </w:r>
      <w:r>
        <w:rPr>
          <w:rFonts w:hint="eastAsia" w:ascii="仿宋_GB2312" w:hAnsi="宋体" w:eastAsia="仿宋_GB2312"/>
          <w:b/>
          <w:bCs/>
          <w:sz w:val="32"/>
          <w:szCs w:val="32"/>
        </w:rPr>
        <w:t>重大政策</w:t>
      </w:r>
      <w:r>
        <w:rPr>
          <w:rFonts w:hint="eastAsia" w:ascii="仿宋_GB2312" w:hAnsi="宋体" w:eastAsia="仿宋_GB2312"/>
          <w:b/>
          <w:bCs/>
          <w:sz w:val="32"/>
          <w:szCs w:val="32"/>
          <w:lang w:eastAsia="zh-CN"/>
        </w:rPr>
        <w:t>或</w:t>
      </w:r>
      <w:r>
        <w:rPr>
          <w:rFonts w:hint="eastAsia" w:ascii="仿宋_GB2312" w:hAnsi="宋体" w:eastAsia="仿宋_GB2312"/>
          <w:b/>
          <w:bCs/>
          <w:sz w:val="32"/>
          <w:szCs w:val="32"/>
        </w:rPr>
        <w:t>项目基本情况</w:t>
      </w:r>
    </w:p>
    <w:p>
      <w:pPr>
        <w:pStyle w:val="2"/>
        <w:rPr>
          <w:rFonts w:hint="default"/>
          <w:lang w:val="en-US" w:eastAsia="zh-CN"/>
        </w:rPr>
      </w:pPr>
      <w:r>
        <w:rPr>
          <w:rFonts w:hint="default" w:ascii="Times New Roman" w:hAnsi="Times New Roman" w:eastAsia="仿宋_GB2312" w:cs="Times New Roman"/>
          <w:b w:val="0"/>
          <w:bCs w:val="0"/>
          <w:snapToGrid w:val="0"/>
          <w:kern w:val="0"/>
          <w:sz w:val="32"/>
          <w:szCs w:val="32"/>
          <w:lang w:val="en-US" w:eastAsia="zh-CN" w:bidi="ar-SA"/>
        </w:rPr>
        <w:t>九寨沟县第二水厂取水口位于九寨沟县白河乡太平村</w:t>
      </w:r>
      <w:r>
        <w:rPr>
          <w:rFonts w:hint="eastAsia" w:ascii="Times New Roman" w:hAnsi="Times New Roman" w:eastAsia="仿宋_GB2312" w:cs="Times New Roman"/>
          <w:b w:val="0"/>
          <w:bCs w:val="0"/>
          <w:snapToGrid w:val="0"/>
          <w:kern w:val="0"/>
          <w:sz w:val="32"/>
          <w:szCs w:val="32"/>
          <w:lang w:val="en-US" w:eastAsia="zh-CN" w:bidi="ar-SA"/>
        </w:rPr>
        <w:t>，</w:t>
      </w:r>
      <w:r>
        <w:rPr>
          <w:rFonts w:hint="default" w:ascii="Times New Roman" w:hAnsi="Times New Roman" w:eastAsia="仿宋_GB2312" w:cs="Times New Roman"/>
          <w:b w:val="0"/>
          <w:bCs w:val="0"/>
          <w:snapToGrid w:val="0"/>
          <w:kern w:val="0"/>
          <w:sz w:val="32"/>
          <w:szCs w:val="32"/>
          <w:lang w:val="en-US" w:eastAsia="zh-CN" w:bidi="ar-SA"/>
        </w:rPr>
        <w:t>采用固定式低坝取水，由拦河低坝、冲砂间、进水阀等部分组成。近年来，受特大暴雨洪灾影响，取水口上游发生山体滑坡，形成两条冲水沟，每逢降雨，河水就会变得浑浊，严重影响水厂正常供水。加之，现取水口上游600米处的泥浆水和野生动物粪便严重影响水质，原取水口周边环境逐渐恶化，水质安全严重威胁县城及周边乡镇供水。按照《城市供水条例》《饮用水水源保护区划分技术规范》等法规，重新规划并建设新的取水口十分必要。</w:t>
      </w:r>
    </w:p>
    <w:p>
      <w:pPr>
        <w:numPr>
          <w:ilvl w:val="0"/>
          <w:numId w:val="10"/>
        </w:numPr>
        <w:adjustRightInd w:val="0"/>
        <w:snapToGrid w:val="0"/>
        <w:spacing w:line="520" w:lineRule="exact"/>
        <w:ind w:left="-223" w:leftChars="0" w:firstLine="643" w:firstLineChars="0"/>
        <w:rPr>
          <w:rFonts w:hint="eastAsia" w:ascii="仿宋_GB2312" w:hAnsi="宋体" w:eastAsia="仿宋_GB2312" w:cs="Times New Roman"/>
          <w:sz w:val="32"/>
          <w:szCs w:val="32"/>
          <w:lang w:val="en-US" w:eastAsia="zh-CN"/>
        </w:rPr>
      </w:pPr>
      <w:r>
        <w:rPr>
          <w:rFonts w:hint="eastAsia" w:ascii="仿宋_GB2312" w:hAnsi="宋体" w:eastAsia="仿宋_GB2312"/>
          <w:b/>
          <w:bCs/>
          <w:sz w:val="32"/>
          <w:szCs w:val="32"/>
        </w:rPr>
        <w:t>立项必要性</w:t>
      </w:r>
    </w:p>
    <w:p>
      <w:pPr>
        <w:numPr>
          <w:ilvl w:val="0"/>
          <w:numId w:val="0"/>
        </w:numPr>
        <w:bidi w:val="0"/>
        <w:ind w:firstLine="640" w:firstLineChars="200"/>
        <w:rPr>
          <w:rFonts w:hint="default"/>
          <w:lang w:val="en-US" w:eastAsia="zh-CN"/>
        </w:rPr>
      </w:pPr>
      <w:r>
        <w:rPr>
          <w:rFonts w:hint="eastAsia" w:ascii="仿宋_GB2312" w:hAnsi="仿宋_GB2312" w:eastAsia="仿宋_GB2312" w:cs="仿宋_GB2312"/>
          <w:sz w:val="32"/>
          <w:szCs w:val="32"/>
          <w:lang w:val="en-US" w:eastAsia="zh-CN"/>
        </w:rPr>
        <w:t>1、是保障南坪镇及周边广大居民正常用水需要</w:t>
      </w:r>
    </w:p>
    <w:p>
      <w:pPr>
        <w:keepNext w:val="0"/>
        <w:keepLines w:val="0"/>
        <w:pageBreakBefore w:val="0"/>
        <w:widowControl w:val="0"/>
        <w:numPr>
          <w:ilvl w:val="0"/>
          <w:numId w:val="0"/>
        </w:numPr>
        <w:kinsoku/>
        <w:wordWrap/>
        <w:overflowPunct/>
        <w:topLine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九寨沟县第二水厂是南坪镇及周边广大居民生活用水的主要重要设施。该设施的正常运转，是保证南坪镇及周边广大居民生活用水的基本需求。</w:t>
      </w:r>
      <w:r>
        <w:rPr>
          <w:rFonts w:hint="default" w:ascii="Times New Roman" w:hAnsi="Times New Roman" w:eastAsia="仿宋_GB2312" w:cs="Times New Roman"/>
          <w:b w:val="0"/>
          <w:bCs w:val="0"/>
          <w:snapToGrid w:val="0"/>
          <w:kern w:val="0"/>
          <w:sz w:val="32"/>
          <w:szCs w:val="32"/>
          <w:lang w:val="en-US" w:eastAsia="zh-CN" w:bidi="ar-SA"/>
        </w:rPr>
        <w:t>该项目建设能进一步完善第二水厂取水设施，提高取水工艺，减少水质安全风险，保障群众饮水安全，项目建设</w:t>
      </w:r>
      <w:r>
        <w:rPr>
          <w:rFonts w:hint="eastAsia" w:ascii="Times New Roman" w:hAnsi="Times New Roman" w:eastAsia="仿宋_GB2312" w:cs="Times New Roman"/>
          <w:b w:val="0"/>
          <w:bCs w:val="0"/>
          <w:snapToGrid w:val="0"/>
          <w:kern w:val="0"/>
          <w:sz w:val="32"/>
          <w:szCs w:val="32"/>
          <w:lang w:val="en-US" w:eastAsia="zh-CN" w:bidi="ar-SA"/>
        </w:rPr>
        <w:t>意义重大</w:t>
      </w:r>
      <w:r>
        <w:rPr>
          <w:rFonts w:hint="default" w:ascii="Times New Roman" w:hAnsi="Times New Roman" w:eastAsia="仿宋_GB2312" w:cs="Times New Roman"/>
          <w:b w:val="0"/>
          <w:bCs w:val="0"/>
          <w:snapToGrid w:val="0"/>
          <w:kern w:val="0"/>
          <w:sz w:val="32"/>
          <w:szCs w:val="32"/>
          <w:lang w:val="en-US" w:eastAsia="zh-CN" w:bidi="ar-SA"/>
        </w:rPr>
        <w:t>。</w:t>
      </w:r>
    </w:p>
    <w:p>
      <w:pPr>
        <w:pStyle w:val="2"/>
        <w:numPr>
          <w:ilvl w:val="0"/>
          <w:numId w:val="0"/>
        </w:numPr>
        <w:ind w:firstLine="640" w:firstLineChars="200"/>
        <w:rPr>
          <w:rFonts w:hint="default"/>
          <w:lang w:val="en-US" w:eastAsia="zh-CN"/>
        </w:rPr>
      </w:pPr>
      <w:r>
        <w:rPr>
          <w:rFonts w:hint="eastAsia" w:ascii="仿宋_GB2312" w:hAnsi="仿宋_GB2312" w:eastAsia="仿宋_GB2312" w:cs="仿宋_GB2312"/>
          <w:sz w:val="32"/>
          <w:szCs w:val="32"/>
          <w:lang w:val="en-US" w:eastAsia="zh-CN"/>
        </w:rPr>
        <w:t>综上所述，本项目建设是迫切需要的。</w:t>
      </w:r>
    </w:p>
    <w:p>
      <w:pPr>
        <w:bidi w:val="0"/>
        <w:ind w:firstLine="643" w:firstLineChars="200"/>
        <w:rPr>
          <w:rFonts w:hint="eastAsia" w:ascii="仿宋_GB2312" w:hAnsi="仿宋_GB2312" w:eastAsia="仿宋_GB2312" w:cs="仿宋_GB2312"/>
          <w:sz w:val="32"/>
          <w:szCs w:val="32"/>
          <w:lang w:val="en-US" w:eastAsia="zh-CN"/>
        </w:rPr>
      </w:pPr>
      <w:r>
        <w:rPr>
          <w:rFonts w:hint="eastAsia" w:ascii="仿宋_GB2312" w:hAnsi="宋体" w:eastAsia="仿宋_GB2312" w:cs="Times New Roman"/>
          <w:b/>
          <w:bCs/>
          <w:sz w:val="32"/>
          <w:szCs w:val="32"/>
          <w:lang w:val="en-US" w:eastAsia="zh-CN"/>
        </w:rPr>
        <w:t>三、投入经济性</w:t>
      </w:r>
      <w:bookmarkStart w:id="59" w:name="_Toc514340940"/>
      <w:bookmarkStart w:id="60" w:name="_Toc22972"/>
      <w:bookmarkStart w:id="61" w:name="_Toc10347"/>
      <w:bookmarkStart w:id="62" w:name="_Toc2099"/>
    </w:p>
    <w:bookmarkEnd w:id="59"/>
    <w:bookmarkEnd w:id="60"/>
    <w:bookmarkEnd w:id="61"/>
    <w:bookmarkEnd w:id="62"/>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经</w:t>
      </w:r>
      <w:r>
        <w:rPr>
          <w:rFonts w:hint="eastAsia" w:ascii="仿宋_GB2312" w:hAnsi="仿宋_GB2312" w:eastAsia="仿宋_GB2312" w:cs="仿宋_GB2312"/>
          <w:color w:val="000000"/>
          <w:sz w:val="32"/>
          <w:szCs w:val="32"/>
          <w:lang w:eastAsia="zh-CN"/>
        </w:rPr>
        <w:t>概算</w:t>
      </w:r>
      <w:r>
        <w:rPr>
          <w:rFonts w:hint="eastAsia" w:ascii="仿宋_GB2312" w:hAnsi="仿宋_GB2312" w:eastAsia="仿宋_GB2312" w:cs="仿宋_GB2312"/>
          <w:color w:val="000000"/>
          <w:sz w:val="32"/>
          <w:szCs w:val="32"/>
        </w:rPr>
        <w:t>，本项目总投资</w:t>
      </w:r>
      <w:r>
        <w:rPr>
          <w:rFonts w:hint="eastAsia" w:ascii="仿宋_GB2312" w:hAnsi="仿宋_GB2312" w:eastAsia="仿宋_GB2312" w:cs="仿宋_GB2312"/>
          <w:color w:val="000000"/>
          <w:sz w:val="32"/>
          <w:szCs w:val="32"/>
          <w:lang w:val="en-US" w:eastAsia="zh-CN"/>
        </w:rPr>
        <w:t>为875</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val="en-US" w:eastAsia="zh-CN"/>
        </w:rPr>
        <w:t>第一部分工程</w:t>
      </w:r>
      <w:r>
        <w:rPr>
          <w:rFonts w:hint="eastAsia" w:ascii="仿宋_GB2312" w:hAnsi="仿宋_GB2312" w:eastAsia="仿宋_GB2312" w:cs="仿宋_GB2312"/>
          <w:color w:val="000000"/>
          <w:sz w:val="32"/>
          <w:szCs w:val="32"/>
          <w:lang w:val="en-US" w:eastAsia="zh-CN"/>
        </w:rPr>
        <w:t>费用</w:t>
      </w:r>
      <w:r>
        <w:rPr>
          <w:rFonts w:hint="eastAsia" w:ascii="仿宋_GB2312" w:hAnsi="仿宋_GB2312" w:eastAsia="仿宋_GB2312" w:cs="仿宋_GB2312"/>
          <w:color w:val="000000"/>
          <w:sz w:val="32"/>
          <w:szCs w:val="32"/>
        </w:rPr>
        <w:t>597.38 万元，</w:t>
      </w:r>
      <w:r>
        <w:rPr>
          <w:rFonts w:hint="eastAsia" w:ascii="仿宋_GB2312" w:hAnsi="仿宋_GB2312" w:eastAsia="仿宋_GB2312" w:cs="仿宋_GB2312"/>
          <w:color w:val="000000"/>
          <w:sz w:val="32"/>
          <w:szCs w:val="32"/>
          <w:lang w:val="en-US" w:eastAsia="zh-CN"/>
        </w:rPr>
        <w:t>第二部分其他费用</w:t>
      </w:r>
      <w:r>
        <w:rPr>
          <w:rFonts w:hint="eastAsia" w:ascii="仿宋_GB2312" w:hAnsi="仿宋_GB2312" w:eastAsia="仿宋_GB2312" w:cs="仿宋_GB2312"/>
          <w:color w:val="000000"/>
          <w:sz w:val="32"/>
          <w:szCs w:val="32"/>
        </w:rPr>
        <w:t>243.97</w:t>
      </w:r>
      <w:r>
        <w:rPr>
          <w:rFonts w:hint="eastAsia" w:ascii="仿宋_GB2312" w:hAnsi="仿宋_GB2312" w:eastAsia="仿宋_GB2312" w:cs="仿宋_GB2312"/>
          <w:color w:val="000000"/>
          <w:sz w:val="32"/>
          <w:szCs w:val="32"/>
          <w:lang w:val="en-US" w:eastAsia="zh-CN"/>
        </w:rPr>
        <w:t>万元，第三部分基本预备费</w:t>
      </w:r>
      <w:r>
        <w:rPr>
          <w:rFonts w:hint="eastAsia" w:ascii="仿宋_GB2312" w:hAnsi="仿宋_GB2312" w:eastAsia="仿宋_GB2312" w:cs="仿宋_GB2312"/>
          <w:color w:val="000000"/>
          <w:sz w:val="32"/>
          <w:szCs w:val="32"/>
        </w:rPr>
        <w:t xml:space="preserve">33.65 </w:t>
      </w:r>
      <w:r>
        <w:rPr>
          <w:rFonts w:hint="eastAsia" w:ascii="仿宋_GB2312" w:hAnsi="仿宋_GB2312" w:eastAsia="仿宋_GB2312" w:cs="仿宋_GB2312"/>
          <w:color w:val="000000"/>
          <w:sz w:val="32"/>
          <w:szCs w:val="32"/>
          <w:lang w:val="en-US" w:eastAsia="zh-CN"/>
        </w:rPr>
        <w:t>万元，建设投资合计费用875万元，</w:t>
      </w:r>
      <w:r>
        <w:rPr>
          <w:rFonts w:hint="eastAsia" w:ascii="仿宋_GB2312" w:hAnsi="仿宋_GB2312" w:eastAsia="仿宋_GB2312" w:cs="仿宋_GB2312"/>
          <w:color w:val="000000"/>
          <w:sz w:val="32"/>
          <w:szCs w:val="32"/>
        </w:rPr>
        <w:t>资金为申请省级专项资金。</w:t>
      </w:r>
    </w:p>
    <w:p>
      <w:pPr>
        <w:ind w:firstLine="643" w:firstLineChars="200"/>
        <w:rPr>
          <w:rFonts w:hint="eastAsia" w:ascii="仿宋_GB2312" w:hAnsi="仿宋_GB2312" w:eastAsia="仿宋_GB2312" w:cs="仿宋_GB2312"/>
          <w:sz w:val="32"/>
          <w:szCs w:val="32"/>
          <w:lang w:val="en-US" w:eastAsia="zh-CN"/>
        </w:rPr>
      </w:pPr>
      <w:r>
        <w:rPr>
          <w:rFonts w:hint="eastAsia" w:ascii="仿宋_GB2312" w:hAnsi="宋体" w:eastAsia="仿宋_GB2312"/>
          <w:b/>
          <w:bCs/>
          <w:sz w:val="32"/>
          <w:szCs w:val="32"/>
          <w:lang w:val="en-US" w:eastAsia="zh-CN"/>
        </w:rPr>
        <w:t>四、</w:t>
      </w:r>
      <w:r>
        <w:rPr>
          <w:rFonts w:hint="eastAsia" w:ascii="仿宋_GB2312" w:hAnsi="宋体" w:eastAsia="仿宋_GB2312"/>
          <w:b/>
          <w:bCs/>
          <w:sz w:val="32"/>
          <w:szCs w:val="32"/>
        </w:rPr>
        <w:t>绩效目标合理性</w:t>
      </w:r>
    </w:p>
    <w:p>
      <w:pPr>
        <w:pStyle w:val="2"/>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本项目建设可保障城市供水安全运行，为九寨沟县南坪镇及周边广大居民提供优质生活用水，稳定社会环境另一方面为餐饮、酒店等行业提供优质生产用水，是各行各业生产恢复正常。</w:t>
      </w:r>
    </w:p>
    <w:p>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val="en-US" w:eastAsia="zh-CN"/>
        </w:rPr>
        <w:t>五、</w:t>
      </w:r>
      <w:r>
        <w:rPr>
          <w:rFonts w:hint="eastAsia" w:ascii="仿宋_GB2312" w:hAnsi="宋体" w:eastAsia="仿宋_GB2312"/>
          <w:b/>
          <w:bCs/>
          <w:sz w:val="32"/>
          <w:szCs w:val="32"/>
        </w:rPr>
        <w:t>实施方案可行性</w:t>
      </w:r>
    </w:p>
    <w:p>
      <w:pPr>
        <w:numPr>
          <w:ilvl w:val="0"/>
          <w:numId w:val="0"/>
        </w:numPr>
        <w:bidi w:val="0"/>
        <w:ind w:firstLine="640" w:firstLineChars="200"/>
        <w:rPr>
          <w:rFonts w:hint="default"/>
          <w:lang w:val="en-US" w:eastAsia="zh-CN"/>
        </w:rPr>
      </w:pPr>
      <w:r>
        <w:rPr>
          <w:rFonts w:hint="eastAsia" w:ascii="仿宋_GB2312" w:hAnsi="仿宋_GB2312" w:eastAsia="仿宋_GB2312" w:cs="仿宋_GB2312"/>
          <w:sz w:val="32"/>
          <w:szCs w:val="32"/>
          <w:lang w:val="en-US" w:eastAsia="zh-CN"/>
        </w:rPr>
        <w:t>1、是保障南坪镇及周边广大居民正常用水需要</w:t>
      </w:r>
    </w:p>
    <w:p>
      <w:pPr>
        <w:pStyle w:val="2"/>
        <w:numPr>
          <w:ilvl w:val="0"/>
          <w:numId w:val="0"/>
        </w:numPr>
        <w:ind w:firstLine="640" w:firstLineChars="200"/>
        <w:rPr>
          <w:rFonts w:hint="default" w:ascii="Times New Roman" w:hAnsi="Times New Roman" w:eastAsia="仿宋_GB2312" w:cs="Times New Roman"/>
          <w:b w:val="0"/>
          <w:bCs w:val="0"/>
          <w:snapToGrid w:val="0"/>
          <w:kern w:val="0"/>
          <w:sz w:val="32"/>
          <w:szCs w:val="32"/>
          <w:lang w:val="en-US" w:eastAsia="zh-CN" w:bidi="ar-SA"/>
        </w:rPr>
      </w:pPr>
      <w:r>
        <w:rPr>
          <w:rFonts w:hint="default" w:ascii="Times New Roman" w:hAnsi="Times New Roman" w:eastAsia="仿宋_GB2312" w:cs="Times New Roman"/>
          <w:b w:val="0"/>
          <w:bCs w:val="0"/>
          <w:snapToGrid w:val="0"/>
          <w:kern w:val="0"/>
          <w:sz w:val="32"/>
          <w:szCs w:val="32"/>
          <w:lang w:val="en-US" w:eastAsia="zh-CN" w:bidi="ar-SA"/>
        </w:rPr>
        <w:t>取水口位于九寨沟县白河乡太平村</w:t>
      </w:r>
      <w:r>
        <w:rPr>
          <w:rFonts w:hint="eastAsia" w:ascii="Times New Roman" w:hAnsi="Times New Roman" w:eastAsia="仿宋_GB2312" w:cs="Times New Roman"/>
          <w:b w:val="0"/>
          <w:bCs w:val="0"/>
          <w:snapToGrid w:val="0"/>
          <w:kern w:val="0"/>
          <w:sz w:val="32"/>
          <w:szCs w:val="32"/>
          <w:lang w:val="en-US" w:eastAsia="zh-CN" w:bidi="ar-SA"/>
        </w:rPr>
        <w:t>，</w:t>
      </w:r>
      <w:r>
        <w:rPr>
          <w:rFonts w:hint="default" w:ascii="Times New Roman" w:hAnsi="Times New Roman" w:eastAsia="仿宋_GB2312" w:cs="Times New Roman"/>
          <w:b w:val="0"/>
          <w:bCs w:val="0"/>
          <w:snapToGrid w:val="0"/>
          <w:kern w:val="0"/>
          <w:sz w:val="32"/>
          <w:szCs w:val="32"/>
          <w:lang w:val="en-US" w:eastAsia="zh-CN" w:bidi="ar-SA"/>
        </w:rPr>
        <w:t>采用固定式低坝取水，由拦河低坝、冲砂间、进水阀等部分组成。近年来，受特大暴雨洪灾影响，取水口上游发生山体滑坡，形成两条冲水沟，每逢降雨，河水就会变得浑浊，严重影响水厂正常供水。加之，现取水口上游600米处的泥浆水和野生动物粪便严重影响水质，原取水口周边环境逐渐恶化，水质安全严重威胁县城及周边乡镇供水。按照《城市供水条例》《饮用水水源保护区划分技术规范》等法规，重新规划并建设新的取水口十分必要。经现场踏勘，在原取水口上游800米及1500米处，有开阔地形，且均有两至三条支流汇集，能保障取水口汇水面积。该项目建设能进一步完善第二水厂取水设施，提高取水工艺，减少水质安全风险，保障群众饮水安全，项目建设</w:t>
      </w:r>
      <w:r>
        <w:rPr>
          <w:rFonts w:hint="eastAsia" w:ascii="Times New Roman" w:hAnsi="Times New Roman" w:eastAsia="仿宋_GB2312" w:cs="Times New Roman"/>
          <w:b w:val="0"/>
          <w:bCs w:val="0"/>
          <w:snapToGrid w:val="0"/>
          <w:kern w:val="0"/>
          <w:sz w:val="32"/>
          <w:szCs w:val="32"/>
          <w:lang w:val="en-US" w:eastAsia="zh-CN" w:bidi="ar-SA"/>
        </w:rPr>
        <w:t>意义重大</w:t>
      </w:r>
      <w:r>
        <w:rPr>
          <w:rFonts w:hint="default" w:ascii="Times New Roman" w:hAnsi="Times New Roman" w:eastAsia="仿宋_GB2312" w:cs="Times New Roman"/>
          <w:b w:val="0"/>
          <w:bCs w:val="0"/>
          <w:snapToGrid w:val="0"/>
          <w:kern w:val="0"/>
          <w:sz w:val="32"/>
          <w:szCs w:val="32"/>
          <w:lang w:val="en-US" w:eastAsia="zh-CN" w:bidi="ar-SA"/>
        </w:rPr>
        <w:t>。</w:t>
      </w:r>
    </w:p>
    <w:p>
      <w:pPr>
        <w:pStyle w:val="2"/>
        <w:numPr>
          <w:ilvl w:val="0"/>
          <w:numId w:val="0"/>
        </w:numPr>
        <w:ind w:firstLine="640" w:firstLineChars="200"/>
        <w:rPr>
          <w:rFonts w:hint="default"/>
          <w:lang w:val="en-US" w:eastAsia="zh-CN"/>
        </w:rPr>
      </w:pPr>
      <w:r>
        <w:rPr>
          <w:rFonts w:hint="eastAsia" w:ascii="仿宋_GB2312" w:hAnsi="仿宋_GB2312" w:eastAsia="仿宋_GB2312" w:cs="仿宋_GB2312"/>
          <w:sz w:val="32"/>
          <w:szCs w:val="32"/>
          <w:lang w:val="en-US" w:eastAsia="zh-CN"/>
        </w:rPr>
        <w:t>综上所述，本项目建设是迫切需要的。</w:t>
      </w:r>
    </w:p>
    <w:p>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六</w:t>
      </w:r>
      <w:r>
        <w:rPr>
          <w:rFonts w:hint="eastAsia" w:ascii="仿宋_GB2312" w:hAnsi="宋体" w:eastAsia="仿宋_GB2312"/>
          <w:b/>
          <w:bCs/>
          <w:sz w:val="32"/>
          <w:szCs w:val="32"/>
        </w:rPr>
        <w:t>、筹资合规性</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资金来源为申请省级专项资金</w:t>
      </w:r>
      <w:r>
        <w:rPr>
          <w:rFonts w:hint="eastAsia" w:ascii="仿宋_GB2312" w:hAnsi="仿宋_GB2312" w:eastAsia="仿宋_GB2312" w:cs="仿宋_GB2312"/>
          <w:color w:val="000000"/>
          <w:sz w:val="32"/>
          <w:szCs w:val="32"/>
          <w:lang w:eastAsia="zh-CN"/>
        </w:rPr>
        <w:t>。</w:t>
      </w:r>
    </w:p>
    <w:p>
      <w:pPr>
        <w:numPr>
          <w:ilvl w:val="0"/>
          <w:numId w:val="11"/>
        </w:numPr>
        <w:ind w:firstLine="643" w:firstLineChars="200"/>
        <w:rPr>
          <w:rFonts w:hint="eastAsia" w:ascii="仿宋_GB2312" w:hAnsi="宋体" w:eastAsia="仿宋_GB2312"/>
          <w:b/>
          <w:bCs/>
          <w:sz w:val="32"/>
          <w:szCs w:val="32"/>
          <w:lang w:eastAsia="zh-CN"/>
        </w:rPr>
      </w:pPr>
      <w:r>
        <w:rPr>
          <w:rFonts w:hint="eastAsia" w:ascii="仿宋_GB2312" w:hAnsi="宋体" w:eastAsia="仿宋_GB2312"/>
          <w:b/>
          <w:bCs/>
          <w:sz w:val="32"/>
          <w:szCs w:val="32"/>
        </w:rPr>
        <w:t>可持续性</w:t>
      </w:r>
      <w:r>
        <w:rPr>
          <w:rFonts w:hint="eastAsia" w:ascii="仿宋_GB2312" w:hAnsi="宋体" w:eastAsia="仿宋_GB2312"/>
          <w:b/>
          <w:bCs/>
          <w:sz w:val="32"/>
          <w:szCs w:val="32"/>
          <w:lang w:eastAsia="zh-CN"/>
        </w:rPr>
        <w:t>分析</w:t>
      </w:r>
    </w:p>
    <w:p>
      <w:pPr>
        <w:adjustRightInd w:val="0"/>
        <w:snapToGrid w:val="0"/>
        <w:spacing w:line="520" w:lineRule="exact"/>
        <w:ind w:firstLine="640" w:firstLineChars="200"/>
        <w:rPr>
          <w:rFonts w:ascii="宋体" w:hAnsi="宋体" w:eastAsia="宋体" w:cs="宋体"/>
          <w:b w:val="0"/>
          <w:bCs w:val="0"/>
          <w:color w:val="000000"/>
          <w:sz w:val="24"/>
          <w:szCs w:val="24"/>
        </w:rPr>
      </w:pPr>
      <w:r>
        <w:rPr>
          <w:rFonts w:hint="eastAsia" w:ascii="仿宋_GB2312" w:hAnsi="仿宋_GB2312" w:eastAsia="仿宋_GB2312" w:cs="仿宋_GB2312"/>
          <w:color w:val="000000"/>
          <w:sz w:val="32"/>
          <w:szCs w:val="32"/>
        </w:rPr>
        <w:t>九寨沟县白河乡太平村及周边地区作为县城的重要供水区域，其经济发展与供水安 全密切相关。项目建设将有利于改善当地基础设施，提高居民生活水平，进一步推动区域 经济发展；项目实施将有利于提升太平村及周边村寨的基础设施水平，推动乡村振兴战略 的实施；在项目规划过程中，应充分考虑农村居民的需求，提高农村供水保障水平；项目 的建设促进就业和产业发展，项目建设和运营过程中，将带动相关产业链的发展，为当地 提供更多的就业机会，助力脱贫攻坚。同时，项目实施还将促进当地农业、旅游等产业的发展，进一步壮大白河乡-县城区域村集体经济</w:t>
      </w:r>
      <w:r>
        <w:rPr>
          <w:rFonts w:ascii="宋体" w:hAnsi="宋体" w:eastAsia="宋体" w:cs="宋体"/>
          <w:b w:val="0"/>
          <w:bCs w:val="0"/>
          <w:color w:val="000000"/>
          <w:sz w:val="24"/>
          <w:szCs w:val="24"/>
        </w:rPr>
        <w:t>。</w:t>
      </w:r>
    </w:p>
    <w:p>
      <w:pPr>
        <w:adjustRightInd w:val="0"/>
        <w:snapToGrid w:val="0"/>
        <w:spacing w:line="52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eastAsia="zh-CN"/>
        </w:rPr>
        <w:t>八</w:t>
      </w:r>
      <w:r>
        <w:rPr>
          <w:rFonts w:hint="eastAsia" w:ascii="仿宋_GB2312" w:hAnsi="宋体" w:eastAsia="仿宋_GB2312"/>
          <w:b/>
          <w:bCs/>
          <w:sz w:val="32"/>
          <w:szCs w:val="32"/>
        </w:rPr>
        <w:t>、其他</w:t>
      </w:r>
      <w:r>
        <w:rPr>
          <w:rFonts w:hint="eastAsia" w:ascii="仿宋_GB2312" w:hAnsi="宋体" w:eastAsia="仿宋_GB2312"/>
          <w:b/>
          <w:bCs/>
          <w:sz w:val="32"/>
          <w:szCs w:val="32"/>
          <w:lang w:eastAsia="zh-CN"/>
        </w:rPr>
        <w:t>需要说明的</w:t>
      </w:r>
      <w:r>
        <w:rPr>
          <w:rFonts w:hint="eastAsia" w:ascii="仿宋_GB2312" w:hAnsi="宋体" w:eastAsia="仿宋_GB2312"/>
          <w:b/>
          <w:bCs/>
          <w:sz w:val="32"/>
          <w:szCs w:val="32"/>
        </w:rPr>
        <w:t>内容</w:t>
      </w:r>
    </w:p>
    <w:p>
      <w:pPr>
        <w:ind w:firstLine="2240" w:firstLineChars="700"/>
        <w:rPr>
          <w:rFonts w:hint="eastAsia" w:ascii="仿宋_GB2312" w:hAnsi="宋体" w:eastAsia="仿宋_GB2312"/>
          <w:b w:val="0"/>
          <w:bCs w:val="0"/>
          <w:sz w:val="32"/>
          <w:szCs w:val="32"/>
          <w:lang w:val="en-US" w:eastAsia="zh-CN"/>
        </w:rPr>
      </w:pPr>
      <w:r>
        <w:rPr>
          <w:rFonts w:hint="eastAsia" w:ascii="仿宋_GB2312" w:hAnsi="宋体" w:eastAsia="仿宋_GB2312"/>
          <w:b w:val="0"/>
          <w:bCs w:val="0"/>
          <w:sz w:val="32"/>
          <w:szCs w:val="32"/>
          <w:lang w:val="en-US" w:eastAsia="zh-CN"/>
        </w:rPr>
        <w:t>无</w:t>
      </w:r>
    </w:p>
    <w:p>
      <w:pPr>
        <w:numPr>
          <w:ilvl w:val="0"/>
          <w:numId w:val="12"/>
        </w:numPr>
        <w:ind w:firstLine="643"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综合评</w:t>
      </w:r>
      <w:r>
        <w:rPr>
          <w:rFonts w:hint="eastAsia" w:ascii="仿宋_GB2312" w:hAnsi="仿宋_GB2312" w:eastAsia="仿宋_GB2312" w:cs="仿宋_GB2312"/>
          <w:b/>
          <w:bCs w:val="0"/>
          <w:sz w:val="32"/>
          <w:szCs w:val="32"/>
          <w:lang w:eastAsia="zh-CN"/>
        </w:rPr>
        <w:t>估</w:t>
      </w:r>
      <w:r>
        <w:rPr>
          <w:rFonts w:hint="eastAsia" w:ascii="仿宋_GB2312" w:hAnsi="仿宋_GB2312" w:eastAsia="仿宋_GB2312" w:cs="仿宋_GB2312"/>
          <w:b/>
          <w:bCs w:val="0"/>
          <w:sz w:val="32"/>
          <w:szCs w:val="32"/>
        </w:rPr>
        <w:t>结论</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综上所述，九寨沟县县城第二水厂在为当地居民提供生活用水的同时，也积极应对着 各种挑战。在未来的发展中，水厂将继续坚持绿色、可持续的发展理念，不断提升供水能力，为九寨沟县的经济社会发展和人民生活水平的提升贡献力量。同时，水厂也将密切关 注水源地的环境保护工作，确保供水安全，为人民群众守护好生命之源。因此，本项目的建设是必要且可行的。</w:t>
      </w:r>
    </w:p>
    <w:p>
      <w:pPr>
        <w:jc w:val="center"/>
        <w:rPr>
          <w:rFonts w:hint="eastAsia" w:ascii="方正小标宋简体" w:eastAsia="方正小标宋简体"/>
          <w:sz w:val="44"/>
          <w:szCs w:val="44"/>
        </w:rPr>
      </w:pPr>
    </w:p>
    <w:p>
      <w:pPr>
        <w:pStyle w:val="7"/>
        <w:rPr>
          <w:rFonts w:hint="default" w:ascii="方正小标宋简体" w:eastAsia="方正小标宋简体"/>
          <w:sz w:val="44"/>
          <w:szCs w:val="44"/>
          <w:lang w:val="en-US"/>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eastAsia="黑体" w:cs="黑体"/>
          <w:color w:val="auto"/>
          <w:kern w:val="0"/>
          <w:sz w:val="32"/>
          <w:szCs w:val="32"/>
          <w:highlight w:val="none"/>
          <w:shd w:val="clear" w:color="auto" w:fill="FFFFFF"/>
          <w:lang w:val="en-US" w:eastAsia="zh-CN"/>
        </w:rPr>
        <w:t>6</w:t>
      </w:r>
    </w:p>
    <w:p>
      <w:pPr>
        <w:jc w:val="center"/>
        <w:rPr>
          <w:rFonts w:hint="eastAsia" w:ascii="方正小标宋简体" w:eastAsia="方正小标宋简体"/>
          <w:sz w:val="44"/>
          <w:szCs w:val="44"/>
        </w:rPr>
      </w:pPr>
      <w:r>
        <w:rPr>
          <w:rFonts w:hint="eastAsia" w:ascii="方正小标宋简体" w:eastAsia="方正小标宋简体"/>
          <w:sz w:val="44"/>
          <w:szCs w:val="44"/>
        </w:rPr>
        <w:t>九寨沟县永丰旅游产业配套基础设施建设项目事前绩效评估报告</w:t>
      </w:r>
    </w:p>
    <w:p>
      <w:pPr>
        <w:adjustRightInd w:val="0"/>
        <w:snapToGrid w:val="0"/>
        <w:spacing w:line="520" w:lineRule="exact"/>
        <w:rPr>
          <w:rFonts w:hint="eastAsia"/>
          <w:sz w:val="28"/>
        </w:rPr>
      </w:pPr>
    </w:p>
    <w:p>
      <w:pPr>
        <w:numPr>
          <w:ilvl w:val="0"/>
          <w:numId w:val="0"/>
        </w:numPr>
        <w:tabs>
          <w:tab w:val="left" w:pos="0"/>
        </w:tabs>
        <w:adjustRightInd w:val="0"/>
        <w:snapToGrid w:val="0"/>
        <w:spacing w:line="520" w:lineRule="exact"/>
        <w:rPr>
          <w:rFonts w:hint="eastAsia" w:ascii="仿宋_GB2312" w:hAnsi="宋体" w:eastAsia="仿宋_GB2312"/>
          <w:sz w:val="32"/>
          <w:szCs w:val="32"/>
        </w:rPr>
      </w:pPr>
      <w:r>
        <w:rPr>
          <w:rFonts w:hint="eastAsia" w:ascii="仿宋_GB2312" w:hAnsi="宋体" w:eastAsia="仿宋_GB2312"/>
          <w:sz w:val="32"/>
          <w:szCs w:val="32"/>
          <w:lang w:val="en-US" w:eastAsia="zh-CN"/>
        </w:rPr>
        <w:t xml:space="preserve">    </w:t>
      </w:r>
      <w:r>
        <w:rPr>
          <w:rFonts w:hint="eastAsia" w:ascii="仿宋_GB2312" w:hAnsi="宋体" w:eastAsia="仿宋_GB2312"/>
          <w:b/>
          <w:bCs/>
          <w:sz w:val="32"/>
          <w:szCs w:val="32"/>
          <w:lang w:eastAsia="zh-CN"/>
        </w:rPr>
        <w:t>一、</w:t>
      </w:r>
      <w:r>
        <w:rPr>
          <w:rFonts w:hint="eastAsia" w:ascii="仿宋_GB2312" w:hAnsi="宋体" w:eastAsia="仿宋_GB2312"/>
          <w:b/>
          <w:bCs/>
          <w:sz w:val="32"/>
          <w:szCs w:val="32"/>
        </w:rPr>
        <w:t>重大政策</w:t>
      </w:r>
      <w:r>
        <w:rPr>
          <w:rFonts w:hint="eastAsia" w:ascii="仿宋_GB2312" w:hAnsi="宋体" w:eastAsia="仿宋_GB2312"/>
          <w:b/>
          <w:bCs/>
          <w:sz w:val="32"/>
          <w:szCs w:val="32"/>
          <w:lang w:eastAsia="zh-CN"/>
        </w:rPr>
        <w:t>或</w:t>
      </w:r>
      <w:r>
        <w:rPr>
          <w:rFonts w:hint="eastAsia" w:ascii="仿宋_GB2312" w:hAnsi="宋体" w:eastAsia="仿宋_GB2312"/>
          <w:b/>
          <w:bCs/>
          <w:sz w:val="32"/>
          <w:szCs w:val="32"/>
        </w:rPr>
        <w:t>项目基本情况</w:t>
      </w:r>
    </w:p>
    <w:p>
      <w:pPr>
        <w:adjustRightInd w:val="0"/>
        <w:snapToGrid w:val="0"/>
        <w:spacing w:line="520" w:lineRule="exact"/>
        <w:ind w:left="420"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2020年7月9日，农业农村部印发《全国乡村产业发展规划（2020-2025年）》。规划指出产业振兴是乡村振兴的首要任务。必须牢牢抓住机遇，顺势而为，乘势而上，加快发展乡村产业，促进乡村全面振兴。</w:t>
      </w:r>
      <w:r>
        <w:rPr>
          <w:rFonts w:hint="eastAsia" w:ascii="仿宋" w:hAnsi="仿宋" w:eastAsia="仿宋" w:cs="仿宋"/>
          <w:sz w:val="32"/>
          <w:szCs w:val="32"/>
        </w:rPr>
        <w:t>为积极响应党的十九大提出的“实施乡村振兴战略”，</w:t>
      </w:r>
      <w:r>
        <w:rPr>
          <w:rFonts w:hint="eastAsia" w:ascii="仿宋" w:hAnsi="仿宋" w:eastAsia="仿宋" w:cs="仿宋"/>
          <w:sz w:val="32"/>
          <w:szCs w:val="32"/>
          <w:lang w:val="en-US" w:eastAsia="zh-CN"/>
        </w:rPr>
        <w:t>根据</w:t>
      </w:r>
      <w:r>
        <w:rPr>
          <w:rFonts w:hint="eastAsia" w:ascii="仿宋" w:hAnsi="仿宋" w:eastAsia="仿宋" w:cs="仿宋"/>
          <w:sz w:val="32"/>
          <w:szCs w:val="32"/>
        </w:rPr>
        <w:t>《阿坝州九寨沟县国民经济和社会发展第十</w:t>
      </w:r>
      <w:r>
        <w:rPr>
          <w:rFonts w:hint="eastAsia" w:ascii="仿宋" w:hAnsi="仿宋" w:eastAsia="仿宋" w:cs="仿宋"/>
          <w:sz w:val="32"/>
          <w:szCs w:val="32"/>
          <w:lang w:val="en-US" w:eastAsia="zh-CN"/>
        </w:rPr>
        <w:t>四</w:t>
      </w:r>
      <w:r>
        <w:rPr>
          <w:rFonts w:hint="eastAsia" w:ascii="仿宋" w:hAnsi="仿宋" w:eastAsia="仿宋" w:cs="仿宋"/>
          <w:sz w:val="32"/>
          <w:szCs w:val="32"/>
        </w:rPr>
        <w:t>个五年规划纲</w:t>
      </w:r>
      <w:r>
        <w:rPr>
          <w:rFonts w:hint="eastAsia" w:ascii="仿宋" w:hAnsi="仿宋" w:eastAsia="仿宋" w:cs="仿宋"/>
          <w:sz w:val="32"/>
          <w:szCs w:val="32"/>
          <w:lang w:eastAsia="zh-CN"/>
        </w:rPr>
        <w:t>要》</w:t>
      </w:r>
      <w:r>
        <w:rPr>
          <w:rFonts w:hint="eastAsia" w:ascii="仿宋" w:hAnsi="仿宋" w:eastAsia="仿宋" w:cs="仿宋"/>
          <w:sz w:val="32"/>
          <w:szCs w:val="32"/>
          <w:lang w:val="en-US" w:eastAsia="zh-CN"/>
        </w:rPr>
        <w:t>发展定位，</w:t>
      </w:r>
      <w:r>
        <w:rPr>
          <w:rFonts w:hint="eastAsia" w:ascii="仿宋" w:hAnsi="仿宋" w:eastAsia="仿宋" w:cs="仿宋"/>
          <w:sz w:val="32"/>
          <w:szCs w:val="32"/>
        </w:rPr>
        <w:t>有</w:t>
      </w:r>
      <w:r>
        <w:rPr>
          <w:rFonts w:hint="eastAsia" w:ascii="仿宋" w:hAnsi="仿宋" w:eastAsia="仿宋" w:cs="仿宋"/>
          <w:sz w:val="32"/>
          <w:szCs w:val="32"/>
          <w:lang w:val="en-US" w:eastAsia="zh-CN"/>
        </w:rPr>
        <w:t>力</w:t>
      </w:r>
      <w:r>
        <w:rPr>
          <w:rFonts w:hint="eastAsia" w:ascii="仿宋" w:hAnsi="仿宋" w:eastAsia="仿宋" w:cs="仿宋"/>
          <w:sz w:val="32"/>
          <w:szCs w:val="32"/>
        </w:rPr>
        <w:t>推进</w:t>
      </w:r>
      <w:r>
        <w:rPr>
          <w:rFonts w:hint="eastAsia" w:ascii="仿宋" w:hAnsi="仿宋" w:eastAsia="仿宋" w:cs="仿宋"/>
          <w:sz w:val="32"/>
          <w:szCs w:val="32"/>
          <w:lang w:val="en-US" w:eastAsia="zh-CN"/>
        </w:rPr>
        <w:t>九寨沟</w:t>
      </w:r>
      <w:r>
        <w:rPr>
          <w:rFonts w:hint="eastAsia" w:ascii="仿宋" w:hAnsi="仿宋" w:eastAsia="仿宋" w:cs="仿宋"/>
          <w:sz w:val="32"/>
          <w:szCs w:val="32"/>
        </w:rPr>
        <w:t>县“国际一流景区、藏区一流城市</w:t>
      </w:r>
      <w:r>
        <w:rPr>
          <w:rFonts w:hint="eastAsia" w:ascii="仿宋" w:hAnsi="仿宋" w:eastAsia="仿宋" w:cs="仿宋"/>
          <w:sz w:val="32"/>
          <w:szCs w:val="32"/>
          <w:lang w:eastAsia="zh-CN"/>
        </w:rPr>
        <w:t>、</w:t>
      </w:r>
      <w:r>
        <w:rPr>
          <w:rFonts w:hint="eastAsia" w:ascii="仿宋" w:hAnsi="仿宋" w:eastAsia="仿宋" w:cs="仿宋"/>
          <w:sz w:val="32"/>
          <w:szCs w:val="32"/>
        </w:rPr>
        <w:t>富裕文明乡村”三大</w:t>
      </w:r>
      <w:r>
        <w:rPr>
          <w:rFonts w:hint="eastAsia" w:ascii="仿宋" w:hAnsi="仿宋" w:eastAsia="仿宋" w:cs="仿宋"/>
          <w:sz w:val="32"/>
          <w:szCs w:val="32"/>
          <w:lang w:val="en-US" w:eastAsia="zh-CN"/>
        </w:rPr>
        <w:t>发展</w:t>
      </w:r>
      <w:r>
        <w:rPr>
          <w:rFonts w:hint="eastAsia" w:ascii="仿宋" w:hAnsi="仿宋" w:eastAsia="仿宋" w:cs="仿宋"/>
          <w:sz w:val="32"/>
          <w:szCs w:val="32"/>
        </w:rPr>
        <w:t>目标，遵循乡村发展规律，集中资金重点解决主导产业发展短板和弱项，适当兼顾其他产业、人居环境、亟需的村内其他公共基础设施，推动文化、旅游、农业康养等产业融合发展，实现乡村产业振兴，</w:t>
      </w:r>
      <w:r>
        <w:rPr>
          <w:rFonts w:hint="eastAsia" w:ascii="仿宋" w:hAnsi="仿宋" w:eastAsia="仿宋" w:cs="仿宋"/>
          <w:sz w:val="32"/>
          <w:szCs w:val="32"/>
          <w:lang w:val="en-US" w:eastAsia="zh-CN"/>
        </w:rPr>
        <w:t>九寨沟县人民政府</w:t>
      </w:r>
      <w:r>
        <w:rPr>
          <w:rFonts w:hint="eastAsia" w:ascii="仿宋" w:hAnsi="仿宋" w:eastAsia="仿宋" w:cs="仿宋"/>
          <w:sz w:val="32"/>
          <w:szCs w:val="32"/>
        </w:rPr>
        <w:t>在九寨沟县委、县人民政府的高度重视和关心下，根据主导产业方向，</w:t>
      </w:r>
      <w:r>
        <w:rPr>
          <w:rFonts w:hint="eastAsia" w:ascii="仿宋" w:hAnsi="仿宋" w:eastAsia="仿宋" w:cs="仿宋"/>
          <w:sz w:val="32"/>
          <w:szCs w:val="32"/>
          <w:lang w:val="en-US" w:eastAsia="zh-CN"/>
        </w:rPr>
        <w:t>坚持总体保护和点状开发相结合，增强生态安全屏障功能和长江水源涵养功能，协调生态廊道、重点景区和特色城镇建设，打造全域旅游发展示范带，推动休闲旅游发展廊、文化旅游培育廊、生态旅游观光廊同频共振，</w:t>
      </w:r>
      <w:r>
        <w:rPr>
          <w:rFonts w:hint="eastAsia" w:ascii="仿宋" w:hAnsi="仿宋" w:eastAsia="仿宋" w:cs="仿宋"/>
          <w:color w:val="auto"/>
          <w:sz w:val="32"/>
          <w:szCs w:val="32"/>
          <w:lang w:val="en-US" w:eastAsia="zh-CN"/>
        </w:rPr>
        <w:t>提出了拟建九寨沟县永丰旅游产业配套基础设施建设项目，总投资3000万元，建设地点九寨沟县南坪镇，</w:t>
      </w:r>
      <w:r>
        <w:rPr>
          <w:rFonts w:hint="eastAsia" w:ascii="仿宋" w:hAnsi="仿宋" w:eastAsia="仿宋" w:cs="仿宋"/>
          <w:sz w:val="32"/>
          <w:szCs w:val="32"/>
          <w:lang w:val="en-US" w:eastAsia="zh-CN"/>
        </w:rPr>
        <w:t>建设规模及内容为</w:t>
      </w:r>
      <w:r>
        <w:rPr>
          <w:rFonts w:hint="eastAsia" w:ascii="仿宋" w:hAnsi="仿宋" w:eastAsia="仿宋" w:cs="仿宋"/>
          <w:color w:val="auto"/>
          <w:sz w:val="32"/>
          <w:szCs w:val="32"/>
          <w:lang w:val="en-US" w:eastAsia="zh-CN"/>
        </w:rPr>
        <w:t>旅游产业道路改造1200ｍ，原址重建桥梁一座，栈道改扩建260ｍ，片区环境整治及附属设施等。</w:t>
      </w:r>
    </w:p>
    <w:p>
      <w:pPr>
        <w:numPr>
          <w:ilvl w:val="0"/>
          <w:numId w:val="10"/>
        </w:numPr>
        <w:adjustRightInd w:val="0"/>
        <w:snapToGrid w:val="0"/>
        <w:spacing w:line="520" w:lineRule="exact"/>
        <w:ind w:firstLine="643" w:firstLineChars="200"/>
        <w:rPr>
          <w:rFonts w:hint="eastAsia" w:ascii="仿宋" w:hAnsi="仿宋" w:eastAsia="仿宋" w:cs="仿宋"/>
          <w:b w:val="0"/>
          <w:bCs w:val="0"/>
          <w:sz w:val="32"/>
          <w:szCs w:val="32"/>
          <w:lang w:val="en-US" w:eastAsia="zh-CN"/>
        </w:rPr>
      </w:pPr>
      <w:r>
        <w:rPr>
          <w:rFonts w:hint="eastAsia" w:ascii="仿宋_GB2312" w:hAnsi="宋体" w:eastAsia="仿宋_GB2312"/>
          <w:b/>
          <w:bCs/>
          <w:sz w:val="32"/>
          <w:szCs w:val="32"/>
        </w:rPr>
        <w:t>立项必要性</w:t>
      </w:r>
    </w:p>
    <w:p>
      <w:pPr>
        <w:pStyle w:val="6"/>
        <w:pageBreakBefore w:val="0"/>
        <w:numPr>
          <w:ilvl w:val="0"/>
          <w:numId w:val="0"/>
        </w:numPr>
        <w:tabs>
          <w:tab w:val="left" w:pos="0"/>
        </w:tabs>
        <w:kinsoku/>
        <w:wordWrap/>
        <w:overflowPunct/>
        <w:topLinePunct w:val="0"/>
        <w:bidi w:val="0"/>
        <w:spacing w:line="360" w:lineRule="auto"/>
        <w:ind w:firstLine="640" w:firstLineChars="200"/>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一</w:t>
      </w:r>
      <w:bookmarkStart w:id="63" w:name="_Toc13472"/>
      <w:r>
        <w:rPr>
          <w:rFonts w:hint="eastAsia" w:ascii="仿宋" w:hAnsi="仿宋" w:eastAsia="仿宋" w:cs="仿宋"/>
          <w:b w:val="0"/>
          <w:bCs w:val="0"/>
          <w:sz w:val="32"/>
          <w:szCs w:val="32"/>
          <w:lang w:val="en-US" w:eastAsia="zh-CN"/>
        </w:rPr>
        <w:t>是</w:t>
      </w:r>
      <w:bookmarkEnd w:id="63"/>
      <w:bookmarkStart w:id="64" w:name="_Toc16478"/>
      <w:bookmarkStart w:id="65" w:name="_Toc20634"/>
      <w:bookmarkStart w:id="66" w:name="_Toc6492"/>
      <w:bookmarkStart w:id="67" w:name="_Toc12432"/>
      <w:bookmarkStart w:id="68" w:name="_Toc31696"/>
      <w:r>
        <w:rPr>
          <w:rFonts w:hint="eastAsia" w:ascii="仿宋" w:hAnsi="仿宋" w:eastAsia="仿宋" w:cs="仿宋"/>
          <w:b w:val="0"/>
          <w:bCs w:val="0"/>
          <w:kern w:val="2"/>
          <w:sz w:val="32"/>
          <w:szCs w:val="32"/>
          <w:lang w:val="en-US" w:eastAsia="zh-CN"/>
        </w:rPr>
        <w:t>九寨沟县实现全域旅游的需要</w:t>
      </w:r>
      <w:bookmarkEnd w:id="64"/>
      <w:bookmarkEnd w:id="65"/>
      <w:bookmarkEnd w:id="66"/>
      <w:bookmarkEnd w:id="67"/>
      <w:bookmarkEnd w:id="68"/>
      <w:r>
        <w:rPr>
          <w:rFonts w:hint="eastAsia" w:ascii="仿宋" w:hAnsi="仿宋" w:eastAsia="仿宋" w:cs="仿宋"/>
          <w:b w:val="0"/>
          <w:bCs w:val="0"/>
          <w:sz w:val="32"/>
          <w:szCs w:val="32"/>
          <w:lang w:val="en-US" w:eastAsia="zh-CN"/>
        </w:rPr>
        <w:t>。二</w:t>
      </w:r>
      <w:r>
        <w:rPr>
          <w:rFonts w:hint="eastAsia" w:ascii="仿宋" w:hAnsi="仿宋" w:eastAsia="仿宋" w:cs="仿宋"/>
          <w:b w:val="0"/>
          <w:bCs w:val="0"/>
          <w:sz w:val="32"/>
          <w:szCs w:val="32"/>
        </w:rPr>
        <w:t>是九寨沟县实现十四个五年规划，全面建成小康社会的需要</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lang w:val="en-US" w:eastAsia="zh-CN"/>
        </w:rPr>
        <w:t>三</w:t>
      </w:r>
      <w:bookmarkStart w:id="69" w:name="_Toc4149"/>
      <w:r>
        <w:rPr>
          <w:rFonts w:hint="eastAsia" w:ascii="仿宋" w:hAnsi="仿宋" w:eastAsia="仿宋" w:cs="仿宋"/>
          <w:b w:val="0"/>
          <w:bCs w:val="0"/>
          <w:sz w:val="32"/>
          <w:szCs w:val="32"/>
          <w:lang w:val="en-US" w:eastAsia="zh-CN"/>
        </w:rPr>
        <w:t>是</w:t>
      </w:r>
      <w:bookmarkEnd w:id="69"/>
      <w:bookmarkStart w:id="70" w:name="_Toc8831"/>
      <w:bookmarkStart w:id="71" w:name="_Toc6582"/>
      <w:r>
        <w:rPr>
          <w:rFonts w:hint="eastAsia" w:ascii="仿宋" w:hAnsi="仿宋" w:eastAsia="仿宋" w:cs="仿宋"/>
          <w:b w:val="0"/>
          <w:bCs w:val="0"/>
          <w:sz w:val="32"/>
          <w:szCs w:val="32"/>
          <w:lang w:val="en-US" w:eastAsia="zh-CN"/>
        </w:rPr>
        <w:t>着力构建九寨沟县“一主两核三带”的需要</w:t>
      </w:r>
      <w:bookmarkEnd w:id="70"/>
      <w:bookmarkEnd w:id="71"/>
      <w:r>
        <w:rPr>
          <w:rFonts w:hint="eastAsia" w:ascii="仿宋" w:hAnsi="仿宋" w:eastAsia="仿宋" w:cs="仿宋"/>
          <w:b w:val="0"/>
          <w:bCs w:val="0"/>
          <w:sz w:val="32"/>
          <w:szCs w:val="32"/>
          <w:lang w:val="en-US" w:eastAsia="zh-CN"/>
        </w:rPr>
        <w:t>。四</w:t>
      </w:r>
      <w:bookmarkStart w:id="72" w:name="_Toc7119"/>
      <w:bookmarkStart w:id="73" w:name="_Toc7308"/>
      <w:r>
        <w:rPr>
          <w:rFonts w:hint="eastAsia" w:ascii="仿宋" w:hAnsi="仿宋" w:eastAsia="仿宋" w:cs="仿宋"/>
          <w:b w:val="0"/>
          <w:bCs w:val="0"/>
          <w:sz w:val="32"/>
          <w:szCs w:val="32"/>
          <w:lang w:val="en-US" w:eastAsia="zh-CN"/>
        </w:rPr>
        <w:t>是“发展、民生、稳定”三件大事重大决策部署的需要</w:t>
      </w:r>
      <w:bookmarkEnd w:id="72"/>
      <w:bookmarkEnd w:id="73"/>
      <w:r>
        <w:rPr>
          <w:rFonts w:hint="eastAsia" w:ascii="仿宋" w:hAnsi="仿宋" w:eastAsia="仿宋" w:cs="仿宋"/>
          <w:b w:val="0"/>
          <w:bCs w:val="0"/>
          <w:sz w:val="32"/>
          <w:szCs w:val="32"/>
          <w:lang w:val="en-US" w:eastAsia="zh-CN"/>
        </w:rPr>
        <w:t>。</w:t>
      </w:r>
      <w:bookmarkStart w:id="74" w:name="_Toc7910"/>
      <w:r>
        <w:rPr>
          <w:rFonts w:hint="eastAsia" w:ascii="仿宋" w:hAnsi="仿宋" w:eastAsia="仿宋" w:cs="仿宋"/>
          <w:b w:val="0"/>
          <w:bCs w:val="0"/>
          <w:sz w:val="32"/>
          <w:szCs w:val="32"/>
          <w:lang w:val="en-US" w:eastAsia="zh-CN"/>
        </w:rPr>
        <w:t>五是永丰村寨未来旅游发展的需要</w:t>
      </w:r>
      <w:bookmarkEnd w:id="74"/>
      <w:r>
        <w:rPr>
          <w:rFonts w:hint="eastAsia" w:ascii="仿宋" w:hAnsi="仿宋" w:eastAsia="仿宋" w:cs="仿宋"/>
          <w:b w:val="0"/>
          <w:bCs w:val="0"/>
          <w:sz w:val="32"/>
          <w:szCs w:val="32"/>
          <w:lang w:val="en-US" w:eastAsia="zh-CN"/>
        </w:rPr>
        <w:t>。</w:t>
      </w:r>
    </w:p>
    <w:p>
      <w:pPr>
        <w:numPr>
          <w:ilvl w:val="0"/>
          <w:numId w:val="10"/>
        </w:numPr>
        <w:adjustRightInd w:val="0"/>
        <w:snapToGrid w:val="0"/>
        <w:spacing w:line="520" w:lineRule="exact"/>
        <w:ind w:left="0" w:leftChars="0" w:firstLine="643" w:firstLineChars="200"/>
        <w:rPr>
          <w:rFonts w:hint="eastAsia" w:ascii="仿宋_GB2312" w:hAnsi="宋体" w:eastAsia="仿宋_GB2312" w:cs="Times New Roman"/>
          <w:sz w:val="32"/>
          <w:szCs w:val="32"/>
          <w:lang w:eastAsia="zh-CN"/>
        </w:rPr>
      </w:pPr>
      <w:r>
        <w:rPr>
          <w:rFonts w:hint="eastAsia" w:ascii="仿宋_GB2312" w:hAnsi="宋体" w:eastAsia="仿宋_GB2312"/>
          <w:b/>
          <w:bCs/>
          <w:sz w:val="32"/>
          <w:szCs w:val="32"/>
        </w:rPr>
        <w:t>投入经济性</w:t>
      </w:r>
    </w:p>
    <w:p>
      <w:pPr>
        <w:numPr>
          <w:ilvl w:val="0"/>
          <w:numId w:val="0"/>
        </w:numPr>
        <w:adjustRightInd w:val="0"/>
        <w:snapToGrid w:val="0"/>
        <w:spacing w:line="520" w:lineRule="exact"/>
        <w:ind w:firstLine="640" w:firstLineChars="200"/>
        <w:rPr>
          <w:rFonts w:hint="eastAsia" w:ascii="仿宋_GB2312" w:hAnsi="宋体" w:eastAsia="仿宋_GB2312" w:cs="Times New Roman"/>
          <w:sz w:val="32"/>
          <w:szCs w:val="32"/>
          <w:lang w:val="en-US" w:eastAsia="zh-CN"/>
        </w:rPr>
      </w:pPr>
      <w:r>
        <w:rPr>
          <w:rFonts w:hint="eastAsia" w:ascii="仿宋_GB2312" w:hAnsi="宋体" w:eastAsia="仿宋_GB2312" w:cs="Times New Roman"/>
          <w:sz w:val="32"/>
          <w:szCs w:val="32"/>
          <w:lang w:val="en-US" w:eastAsia="zh-CN"/>
        </w:rPr>
        <w:t>1、本项目总估算投资3000万元，其中工程费用2552.00万元，占总投资85.07%；工程建设其他费用320.40万元，占总投资的10.68%，基本预备费127.60万元，占总投资的4.25%。工程费投资估算编制依据为2013年《建设工程工程量清单计价规范》（GB50500-2013）； 2020 年《四川省建设工程工程量清单计价定额》（川建造价发【2020】 315）；现行有关定额配套文件； 材料价格《四川工程造价信息》2022年近期中阿坝州九寨沟县及当地市场价；关于2020 年《四川省建设工程工程量清单计价定额》人工费调整的批复 （川建价发【2021】4 号）；安全文明施工费按 2020 年《四川省建筑工程工程量清单计价定额》及其 相关配套文件、四川省住房和城乡建设厅关于印发《四川省建设工程安全文明施 工费计价管理办法》的通知“川建造价发【2019】180 号”、《建筑业营业税改 征增值税四川省建设工程计价依据调整办法》的通知“川建造价发【2019】181 号文”中县城基本费率的双倍标准执行； 规费按 2020 年《四川省建设工程工程量清单计价定额》相关规定计取；增值税按川建造价发【2019】181 号文相关规定执行，按 9%计取。</w:t>
      </w:r>
    </w:p>
    <w:p>
      <w:pPr>
        <w:numPr>
          <w:ilvl w:val="0"/>
          <w:numId w:val="0"/>
        </w:numPr>
        <w:adjustRightInd w:val="0"/>
        <w:snapToGrid w:val="0"/>
        <w:spacing w:line="520" w:lineRule="exact"/>
        <w:ind w:firstLine="640" w:firstLineChars="200"/>
        <w:rPr>
          <w:rFonts w:hint="default" w:ascii="仿宋_GB2312" w:hAnsi="宋体" w:eastAsia="仿宋_GB2312"/>
          <w:sz w:val="32"/>
          <w:szCs w:val="32"/>
          <w:lang w:val="en-US" w:eastAsia="zh-CN"/>
        </w:rPr>
      </w:pPr>
      <w:r>
        <w:rPr>
          <w:rFonts w:hint="eastAsia" w:ascii="仿宋_GB2312" w:hAnsi="宋体" w:eastAsia="仿宋_GB2312" w:cs="Times New Roman"/>
          <w:sz w:val="32"/>
          <w:szCs w:val="32"/>
        </w:rPr>
        <w:t>工程建设其他费取费依据</w:t>
      </w:r>
      <w:r>
        <w:rPr>
          <w:rFonts w:hint="eastAsia" w:ascii="仿宋_GB2312" w:hAnsi="宋体" w:eastAsia="仿宋_GB2312" w:cs="Times New Roman"/>
          <w:sz w:val="32"/>
          <w:szCs w:val="32"/>
          <w:lang w:val="en-US" w:eastAsia="zh-CN"/>
        </w:rPr>
        <w:t>为：项目业主管理费：财建[2016]504 号文。建设工程监理费：发改价格（2015）299 号文，参照国家发改价格〔2007〕 670 号文件计取。 建设项目前期咨询费：发改价格（2015）299 号文，参考计价发【1999】 1283 号文计取。 勘察费：发改价格（2015）299 号文，参考计价格[2002]10 号计取。设计费：发改价格（2015）299 号文，参考计价格[2002]10 号计取。 工程招标代理费：发改价格（2015）299 号文，参考国家计价格〔2002〕 1980 号文件计取。 施工图审查费：参考川发改价格（2011）323 号文计，按总投资的 1.6‰计取。招标清单及控制价编制费：川发改价格[2015]769 号，参考川价发 [2008]141 号计取。招标控制价（或标底）审核费：川发改价格[2015]769 号，参考川价发 [2008]141 号计取。 竣工结算审核费：川发改价格[2015]769 号，参考川价发[2008]141 号计取下浮。</w:t>
      </w:r>
    </w:p>
    <w:p>
      <w:pPr>
        <w:numPr>
          <w:ilvl w:val="0"/>
          <w:numId w:val="10"/>
        </w:numPr>
        <w:adjustRightInd w:val="0"/>
        <w:snapToGrid w:val="0"/>
        <w:spacing w:line="520" w:lineRule="exact"/>
        <w:ind w:left="0" w:leftChars="0"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绩效目标合理性</w:t>
      </w:r>
    </w:p>
    <w:p>
      <w:pPr>
        <w:numPr>
          <w:ilvl w:val="0"/>
          <w:numId w:val="0"/>
        </w:num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经济效益：</w:t>
      </w:r>
      <w:r>
        <w:rPr>
          <w:rFonts w:hint="eastAsia" w:ascii="仿宋_GB2312" w:hAnsi="宋体" w:eastAsia="仿宋_GB2312"/>
          <w:sz w:val="32"/>
          <w:szCs w:val="32"/>
        </w:rPr>
        <w:t>本项目的实施，解决村内基础设施相对薄弱，接待能力差的问题，是</w:t>
      </w:r>
      <w:r>
        <w:rPr>
          <w:rFonts w:hint="eastAsia" w:ascii="仿宋_GB2312" w:hAnsi="宋体" w:eastAsia="仿宋_GB2312"/>
          <w:sz w:val="32"/>
          <w:szCs w:val="32"/>
          <w:lang w:val="en-US" w:eastAsia="zh-CN"/>
        </w:rPr>
        <w:t>永丰</w:t>
      </w:r>
      <w:r>
        <w:rPr>
          <w:rFonts w:hint="eastAsia" w:ascii="仿宋_GB2312" w:hAnsi="宋体" w:eastAsia="仿宋_GB2312"/>
          <w:sz w:val="32"/>
          <w:szCs w:val="32"/>
        </w:rPr>
        <w:t>推进乡村旅游持续增效的需要。</w:t>
      </w:r>
      <w:r>
        <w:rPr>
          <w:rFonts w:hint="eastAsia" w:ascii="仿宋_GB2312" w:hAnsi="宋体" w:eastAsia="仿宋_GB2312"/>
          <w:sz w:val="32"/>
          <w:szCs w:val="32"/>
          <w:lang w:val="en-US" w:eastAsia="zh-CN"/>
        </w:rPr>
        <w:t>项目的建设不仅能提升九寨沟县南坪镇村寨旅游基础设施能力，更能有效地增强乡村旅游健康发展，有利于推进九寨沟县建设“国际一流景区、藏区一流城市、富裕文明乡村”三大目标，紧紧围绕省委省政府抓好“发展、民生、稳定”三件大事和“精准扶贫、精准脱贫”重大决策部署，解决制约九寨沟县经济社会发展最突出、最紧迫的问题。</w:t>
      </w:r>
    </w:p>
    <w:p>
      <w:pPr>
        <w:numPr>
          <w:ilvl w:val="0"/>
          <w:numId w:val="0"/>
        </w:numPr>
        <w:adjustRightInd w:val="0"/>
        <w:snapToGrid w:val="0"/>
        <w:spacing w:line="520" w:lineRule="exact"/>
        <w:ind w:firstLine="640" w:firstLineChars="200"/>
        <w:rPr>
          <w:rFonts w:hint="eastAsia" w:ascii="仿宋_GB2312" w:hAnsi="宋体" w:eastAsia="仿宋_GB2312" w:cs="Times New Roman"/>
          <w:sz w:val="32"/>
          <w:szCs w:val="32"/>
        </w:rPr>
      </w:pPr>
      <w:r>
        <w:rPr>
          <w:rFonts w:hint="eastAsia" w:ascii="仿宋_GB2312" w:hAnsi="宋体" w:eastAsia="仿宋_GB2312"/>
          <w:sz w:val="32"/>
          <w:szCs w:val="32"/>
          <w:lang w:val="en-US" w:eastAsia="zh-CN"/>
        </w:rPr>
        <w:t>社会效益：项目的建设是“发展、民生、稳定”三件大事和“精准扶贫、精准脱贫”重大决策部署的需要。</w:t>
      </w:r>
      <w:r>
        <w:rPr>
          <w:rFonts w:hint="eastAsia" w:ascii="仿宋_GB2312" w:hAnsi="宋体" w:eastAsia="仿宋_GB2312" w:cs="Times New Roman"/>
          <w:sz w:val="32"/>
          <w:szCs w:val="32"/>
        </w:rPr>
        <w:t>促进农民就业，推动九寨沟县乡村产业发展</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有利于带动旅游事业发展</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促进经济结构调整</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为农村劳动力创造就业机会</w:t>
      </w:r>
      <w:r>
        <w:rPr>
          <w:rFonts w:hint="eastAsia" w:ascii="仿宋_GB2312" w:hAnsi="宋体" w:eastAsia="仿宋_GB2312" w:cs="Times New Roman"/>
          <w:sz w:val="32"/>
          <w:szCs w:val="32"/>
          <w:lang w:eastAsia="zh-CN"/>
        </w:rPr>
        <w:t>，</w:t>
      </w:r>
      <w:r>
        <w:rPr>
          <w:rFonts w:hint="eastAsia" w:ascii="仿宋_GB2312" w:hAnsi="宋体" w:eastAsia="仿宋_GB2312" w:cs="Times New Roman"/>
          <w:sz w:val="32"/>
          <w:szCs w:val="32"/>
        </w:rPr>
        <w:t>有利于提升</w:t>
      </w:r>
      <w:r>
        <w:rPr>
          <w:rFonts w:hint="eastAsia" w:ascii="仿宋_GB2312" w:hAnsi="宋体" w:eastAsia="仿宋_GB2312" w:cs="Times New Roman"/>
          <w:sz w:val="32"/>
          <w:szCs w:val="32"/>
          <w:lang w:val="en-US" w:eastAsia="zh-CN"/>
        </w:rPr>
        <w:t>九寨沟旅游知名度</w:t>
      </w:r>
      <w:r>
        <w:rPr>
          <w:rFonts w:hint="eastAsia" w:ascii="仿宋_GB2312" w:hAnsi="宋体" w:eastAsia="仿宋_GB2312" w:cs="Times New Roman"/>
          <w:sz w:val="32"/>
          <w:szCs w:val="32"/>
        </w:rPr>
        <w:t>。</w:t>
      </w:r>
    </w:p>
    <w:p>
      <w:pPr>
        <w:pageBreakBefore w:val="0"/>
        <w:kinsoku/>
        <w:wordWrap/>
        <w:overflowPunct/>
        <w:topLinePunct w:val="0"/>
        <w:bidi w:val="0"/>
        <w:spacing w:line="360" w:lineRule="auto"/>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环境效益：</w:t>
      </w:r>
      <w:r>
        <w:rPr>
          <w:rFonts w:hint="eastAsia" w:ascii="仿宋_GB2312" w:hAnsi="宋体" w:eastAsia="仿宋_GB2312" w:cs="Times New Roman"/>
          <w:sz w:val="32"/>
          <w:szCs w:val="32"/>
          <w:lang w:eastAsia="zh-CN"/>
        </w:rPr>
        <w:t>本项目将按照统筹规划、生态文明、绿色低碳的原则，把生态文明理念全面融入项目全过程中，做好项目建设的合理布局，推动形成绿色低碳的生产生活方式和城市建设运营模式。项目包含的绿化建设，能够有效改善</w:t>
      </w:r>
      <w:r>
        <w:rPr>
          <w:rFonts w:hint="eastAsia" w:ascii="仿宋_GB2312" w:hAnsi="宋体" w:eastAsia="仿宋_GB2312" w:cs="Times New Roman"/>
          <w:sz w:val="32"/>
          <w:szCs w:val="32"/>
          <w:lang w:val="en-US" w:eastAsia="zh-CN"/>
        </w:rPr>
        <w:t>村</w:t>
      </w:r>
      <w:r>
        <w:rPr>
          <w:rFonts w:hint="eastAsia" w:ascii="仿宋_GB2312" w:hAnsi="宋体" w:eastAsia="仿宋_GB2312" w:cs="Times New Roman"/>
          <w:sz w:val="32"/>
          <w:szCs w:val="32"/>
          <w:lang w:eastAsia="zh-CN"/>
        </w:rPr>
        <w:t>域环境，优化植被，使项目区生态环境得到改善和提高。</w:t>
      </w:r>
    </w:p>
    <w:p>
      <w:pPr>
        <w:numPr>
          <w:ilvl w:val="0"/>
          <w:numId w:val="10"/>
        </w:numPr>
        <w:adjustRightInd w:val="0"/>
        <w:snapToGrid w:val="0"/>
        <w:spacing w:line="520" w:lineRule="exact"/>
        <w:ind w:left="0" w:leftChars="0" w:firstLine="643" w:firstLineChars="200"/>
        <w:rPr>
          <w:rFonts w:hint="eastAsia" w:ascii="仿宋_GB2312" w:hAnsi="宋体" w:eastAsia="仿宋_GB2312"/>
          <w:sz w:val="32"/>
          <w:szCs w:val="32"/>
        </w:rPr>
      </w:pPr>
      <w:r>
        <w:rPr>
          <w:rFonts w:hint="eastAsia" w:ascii="仿宋_GB2312" w:hAnsi="宋体" w:eastAsia="仿宋_GB2312"/>
          <w:b/>
          <w:bCs/>
          <w:sz w:val="32"/>
          <w:szCs w:val="32"/>
        </w:rPr>
        <w:t>实施方案可行性</w:t>
      </w:r>
    </w:p>
    <w:p>
      <w:pPr>
        <w:numPr>
          <w:ilvl w:val="0"/>
          <w:numId w:val="0"/>
        </w:num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本项目是</w:t>
      </w:r>
      <w:r>
        <w:rPr>
          <w:rFonts w:hint="eastAsia" w:ascii="仿宋_GB2312" w:hAnsi="宋体" w:eastAsia="仿宋_GB2312"/>
          <w:sz w:val="32"/>
          <w:szCs w:val="32"/>
          <w:lang w:val="en-US" w:eastAsia="zh-CN"/>
        </w:rPr>
        <w:t>九寨沟县永丰旅游产业配套基础设施建设项目</w:t>
      </w:r>
      <w:r>
        <w:rPr>
          <w:rFonts w:hint="eastAsia" w:ascii="仿宋_GB2312" w:hAnsi="宋体" w:eastAsia="仿宋_GB2312"/>
          <w:sz w:val="32"/>
          <w:szCs w:val="32"/>
        </w:rPr>
        <w:t>，县各政府部门对本项目都表示支持，外部政策条件良好。九寨沟县住房和城乡建设局为本项目业主，相关业务人员会同</w:t>
      </w:r>
      <w:r>
        <w:rPr>
          <w:rFonts w:hint="eastAsia" w:ascii="仿宋_GB2312" w:hAnsi="宋体" w:eastAsia="仿宋_GB2312"/>
          <w:sz w:val="32"/>
          <w:szCs w:val="32"/>
          <w:lang w:val="en-US" w:eastAsia="zh-CN"/>
        </w:rPr>
        <w:t>南坪镇</w:t>
      </w:r>
      <w:r>
        <w:rPr>
          <w:rFonts w:hint="eastAsia" w:ascii="仿宋_GB2312" w:hAnsi="宋体" w:eastAsia="仿宋_GB2312"/>
          <w:sz w:val="32"/>
          <w:szCs w:val="32"/>
        </w:rPr>
        <w:t>相关工作人员组成项目管理小组，全面负责工程建设的工程质量管理、工程进度、工程投资和资金管理等。在施工承包合同、监理合同中写进有关工期、进度、进度违约金等条款</w:t>
      </w:r>
      <w:r>
        <w:rPr>
          <w:rFonts w:hint="eastAsia" w:ascii="仿宋_GB2312" w:hAnsi="宋体" w:eastAsia="仿宋_GB2312"/>
          <w:sz w:val="32"/>
          <w:szCs w:val="32"/>
          <w:lang w:eastAsia="zh-CN"/>
        </w:rPr>
        <w:t>，</w:t>
      </w:r>
      <w:r>
        <w:rPr>
          <w:rFonts w:hint="eastAsia" w:ascii="仿宋_GB2312" w:hAnsi="宋体" w:eastAsia="仿宋_GB2312"/>
          <w:sz w:val="32"/>
          <w:szCs w:val="32"/>
        </w:rPr>
        <w:t>通过招标的优惠条件鼓励施工单位加快进度，控制对投资的投放速度，控制对物资的供应，建立相应的奖励和惩罚措施等。依据规划、控制和协调等管理职能手段，在工程的准备及实施的全过程中，对工程进度进行控制。根据目标工期编制合理的项目进度计划，定期收集反映实际进度的有关数 据，同时进行现场实地检查。做好安全检查，对安全检查结果必须认真对待，需要整改的必须限定整改完成时间，落实整改方案和责任人</w:t>
      </w:r>
      <w:r>
        <w:rPr>
          <w:rFonts w:hint="eastAsia" w:ascii="仿宋_GB2312" w:hAnsi="宋体" w:eastAsia="仿宋_GB2312"/>
          <w:sz w:val="32"/>
          <w:szCs w:val="32"/>
          <w:lang w:eastAsia="zh-CN"/>
        </w:rPr>
        <w:t>。按规定设置独立的银行账户，专项专户核算项目建设资金，避免将基本建设专项资金与其他资金混存混用，从账户源头上避免挤占、挪用建设资金；建立、健全项目会计核算体系、准确进行项目成本核算。</w:t>
      </w:r>
    </w:p>
    <w:p>
      <w:pPr>
        <w:adjustRightInd w:val="0"/>
        <w:snapToGrid w:val="0"/>
        <w:spacing w:line="52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lang w:eastAsia="zh-CN"/>
        </w:rPr>
        <w:t>六</w:t>
      </w:r>
      <w:r>
        <w:rPr>
          <w:rFonts w:hint="eastAsia" w:ascii="仿宋_GB2312" w:hAnsi="宋体" w:eastAsia="仿宋_GB2312"/>
          <w:b/>
          <w:bCs/>
          <w:sz w:val="32"/>
          <w:szCs w:val="32"/>
        </w:rPr>
        <w:t>、筹资合规性</w:t>
      </w:r>
    </w:p>
    <w:p>
      <w:p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lang w:val="en-US" w:eastAsia="zh-CN"/>
        </w:rPr>
        <w:t>该项目已争取浙江省对口支援资金及地方配套资金，下一步将加强与上级部门的联系衔接，确保建设资金按计划到位，以免延误计划工期。</w:t>
      </w:r>
    </w:p>
    <w:p>
      <w:pPr>
        <w:numPr>
          <w:ilvl w:val="0"/>
          <w:numId w:val="0"/>
        </w:numPr>
        <w:adjustRightInd w:val="0"/>
        <w:snapToGrid w:val="0"/>
        <w:spacing w:line="520" w:lineRule="exact"/>
        <w:ind w:firstLine="643" w:firstLineChars="200"/>
        <w:rPr>
          <w:rFonts w:hint="eastAsia" w:ascii="仿宋_GB2312" w:hAnsi="宋体" w:eastAsia="仿宋_GB2312"/>
          <w:b/>
          <w:bCs/>
          <w:sz w:val="32"/>
          <w:szCs w:val="32"/>
          <w:lang w:eastAsia="zh-CN"/>
        </w:rPr>
      </w:pPr>
      <w:r>
        <w:rPr>
          <w:rFonts w:hint="eastAsia" w:ascii="仿宋_GB2312" w:hAnsi="宋体" w:eastAsia="仿宋_GB2312"/>
          <w:b/>
          <w:bCs/>
          <w:sz w:val="32"/>
          <w:szCs w:val="32"/>
          <w:lang w:val="en-US" w:eastAsia="zh-CN"/>
        </w:rPr>
        <w:t>七、</w:t>
      </w:r>
      <w:r>
        <w:rPr>
          <w:rFonts w:hint="eastAsia" w:ascii="仿宋_GB2312" w:hAnsi="宋体" w:eastAsia="仿宋_GB2312"/>
          <w:b/>
          <w:bCs/>
          <w:sz w:val="32"/>
          <w:szCs w:val="32"/>
        </w:rPr>
        <w:t>可持续性</w:t>
      </w:r>
      <w:r>
        <w:rPr>
          <w:rFonts w:hint="eastAsia" w:ascii="仿宋_GB2312" w:hAnsi="宋体" w:eastAsia="仿宋_GB2312"/>
          <w:b/>
          <w:bCs/>
          <w:sz w:val="32"/>
          <w:szCs w:val="32"/>
          <w:lang w:eastAsia="zh-CN"/>
        </w:rPr>
        <w:t>分析</w:t>
      </w:r>
    </w:p>
    <w:p>
      <w:pPr>
        <w:numPr>
          <w:ilvl w:val="0"/>
          <w:numId w:val="0"/>
        </w:numPr>
        <w:adjustRightInd w:val="0"/>
        <w:snapToGrid w:val="0"/>
        <w:spacing w:line="52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本项目通过提升村容村貌，村内</w:t>
      </w:r>
      <w:r>
        <w:rPr>
          <w:rFonts w:hint="eastAsia" w:ascii="仿宋_GB2312" w:hAnsi="宋体" w:eastAsia="仿宋_GB2312"/>
          <w:sz w:val="32"/>
          <w:szCs w:val="32"/>
          <w:lang w:val="en-US" w:eastAsia="zh-CN"/>
        </w:rPr>
        <w:t>旅游产业道路改造，栈道改扩建，</w:t>
      </w:r>
      <w:r>
        <w:rPr>
          <w:rFonts w:hint="eastAsia" w:ascii="仿宋_GB2312" w:hAnsi="宋体" w:eastAsia="仿宋_GB2312" w:cs="Times New Roman"/>
          <w:sz w:val="32"/>
          <w:szCs w:val="32"/>
          <w:lang w:val="en-US" w:eastAsia="zh-CN"/>
        </w:rPr>
        <w:t>将进一步改善九寨沟和南坪镇的基础设施现状，提升九寨沟旅游知名度，满足游客个性化需求，助推地方经济社会的健康发展，也有利于提升九寨沟的品质和形象，拉动区域价值的提升，促进周边环境的改善和区域品质的提升。</w:t>
      </w:r>
      <w:r>
        <w:rPr>
          <w:rFonts w:hint="eastAsia" w:ascii="仿宋_GB2312" w:hAnsi="宋体" w:eastAsia="仿宋_GB2312"/>
          <w:sz w:val="32"/>
          <w:szCs w:val="32"/>
        </w:rPr>
        <w:t>极大地提高了村容村貌美观性，生活的便利性，大大地提高了村寨居民生活的幸福指数。综上所述，本项目的市场前景广阔，建设条件良好，项目已完成初步规划，建设方案可行。项目建设完成，投入运营，其经济效益良好，社会和生态效益显著，项目建设是十分必要的。</w:t>
      </w:r>
    </w:p>
    <w:p>
      <w:pPr>
        <w:adjustRightInd w:val="0"/>
        <w:snapToGrid w:val="0"/>
        <w:spacing w:line="520" w:lineRule="exact"/>
        <w:ind w:firstLine="640" w:firstLineChars="200"/>
        <w:rPr>
          <w:rFonts w:hint="eastAsia" w:ascii="仿宋_GB2312" w:hAnsi="宋体" w:eastAsia="仿宋_GB2312"/>
          <w:sz w:val="32"/>
          <w:szCs w:val="32"/>
        </w:rPr>
      </w:pPr>
    </w:p>
    <w:p>
      <w:pPr>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lang w:eastAsia="zh-CN"/>
        </w:rPr>
        <w:t>八</w:t>
      </w:r>
      <w:r>
        <w:rPr>
          <w:rFonts w:hint="eastAsia" w:ascii="仿宋_GB2312" w:hAnsi="宋体" w:eastAsia="仿宋_GB2312"/>
          <w:b/>
          <w:bCs/>
          <w:sz w:val="32"/>
          <w:szCs w:val="32"/>
        </w:rPr>
        <w:t>、其他</w:t>
      </w:r>
      <w:r>
        <w:rPr>
          <w:rFonts w:hint="eastAsia" w:ascii="仿宋_GB2312" w:hAnsi="宋体" w:eastAsia="仿宋_GB2312"/>
          <w:b/>
          <w:bCs/>
          <w:sz w:val="32"/>
          <w:szCs w:val="32"/>
          <w:lang w:eastAsia="zh-CN"/>
        </w:rPr>
        <w:t>需要说明的</w:t>
      </w:r>
      <w:r>
        <w:rPr>
          <w:rFonts w:hint="eastAsia" w:ascii="仿宋_GB2312" w:hAnsi="宋体" w:eastAsia="仿宋_GB2312"/>
          <w:b/>
          <w:bCs/>
          <w:sz w:val="32"/>
          <w:szCs w:val="32"/>
        </w:rPr>
        <w:t>内容</w:t>
      </w:r>
    </w:p>
    <w:p>
      <w:pPr>
        <w:ind w:firstLine="2240" w:firstLineChars="700"/>
        <w:rPr>
          <w:rFonts w:hint="eastAsia" w:ascii="仿宋_GB2312" w:hAnsi="宋体" w:eastAsia="仿宋_GB2312"/>
          <w:b w:val="0"/>
          <w:bCs w:val="0"/>
          <w:sz w:val="32"/>
          <w:szCs w:val="32"/>
          <w:lang w:val="en-US" w:eastAsia="zh-CN"/>
        </w:rPr>
      </w:pPr>
      <w:r>
        <w:rPr>
          <w:rFonts w:hint="eastAsia" w:ascii="仿宋_GB2312" w:hAnsi="宋体" w:eastAsia="仿宋_GB2312"/>
          <w:b w:val="0"/>
          <w:bCs w:val="0"/>
          <w:sz w:val="32"/>
          <w:szCs w:val="32"/>
          <w:lang w:val="en-US" w:eastAsia="zh-CN"/>
        </w:rPr>
        <w:t>无</w:t>
      </w:r>
    </w:p>
    <w:p>
      <w:pPr>
        <w:numPr>
          <w:ilvl w:val="0"/>
          <w:numId w:val="12"/>
        </w:numPr>
        <w:ind w:firstLine="643"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综合评</w:t>
      </w:r>
      <w:r>
        <w:rPr>
          <w:rFonts w:hint="eastAsia" w:ascii="仿宋_GB2312" w:hAnsi="仿宋_GB2312" w:eastAsia="仿宋_GB2312" w:cs="仿宋_GB2312"/>
          <w:b/>
          <w:bCs w:val="0"/>
          <w:sz w:val="32"/>
          <w:szCs w:val="32"/>
          <w:lang w:eastAsia="zh-CN"/>
        </w:rPr>
        <w:t>估</w:t>
      </w:r>
      <w:r>
        <w:rPr>
          <w:rFonts w:hint="eastAsia" w:ascii="仿宋_GB2312" w:hAnsi="仿宋_GB2312" w:eastAsia="仿宋_GB2312" w:cs="仿宋_GB2312"/>
          <w:b/>
          <w:bCs w:val="0"/>
          <w:sz w:val="32"/>
          <w:szCs w:val="32"/>
        </w:rPr>
        <w:t>结论</w:t>
      </w:r>
    </w:p>
    <w:p>
      <w:pPr>
        <w:ind w:firstLine="640" w:firstLineChars="200"/>
        <w:rPr>
          <w:rFonts w:hint="default"/>
          <w:lang w:val="en-US" w:eastAsia="zh-CN"/>
        </w:rPr>
      </w:pPr>
      <w:r>
        <w:rPr>
          <w:rFonts w:hint="eastAsia" w:ascii="仿宋_GB2312" w:hAnsi="宋体" w:eastAsia="仿宋_GB2312"/>
          <w:sz w:val="32"/>
          <w:szCs w:val="32"/>
          <w:lang w:val="en-US" w:eastAsia="zh-CN"/>
        </w:rPr>
        <w:t>该项目综合预估得分98分，因该项目实施带来的社会效益、经济效益、环境效益显著，得到广大人民群众的支持。</w:t>
      </w:r>
    </w:p>
    <w:p>
      <w:pPr>
        <w:keepNext w:val="0"/>
        <w:keepLines w:val="0"/>
        <w:pageBreakBefore w:val="0"/>
        <w:widowControl w:val="0"/>
        <w:kinsoku/>
        <w:wordWrap/>
        <w:overflowPunct/>
        <w:topLinePunct w:val="0"/>
        <w:autoSpaceDE/>
        <w:autoSpaceDN/>
        <w:bidi w:val="0"/>
        <w:adjustRightInd/>
        <w:spacing w:line="600" w:lineRule="exact"/>
        <w:ind w:firstLine="640"/>
        <w:textAlignment w:val="auto"/>
        <w:rPr>
          <w:rFonts w:hint="default" w:ascii="黑体" w:hAnsi="Times New Roman" w:eastAsia="黑体"/>
          <w:sz w:val="32"/>
          <w:szCs w:val="32"/>
          <w:lang w:val="en-US" w:eastAsia="zh-CN"/>
        </w:rPr>
      </w:pPr>
    </w:p>
    <w:p>
      <w:pPr>
        <w:widowControl/>
        <w:jc w:val="center"/>
        <w:rPr>
          <w:rFonts w:hint="eastAsia" w:ascii="Times New Roman" w:hAnsi="Times New Roman" w:eastAsia="黑体"/>
          <w:color w:val="auto"/>
          <w:sz w:val="44"/>
          <w:szCs w:val="44"/>
          <w:highlight w:val="none"/>
        </w:rPr>
      </w:pPr>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2"/>
          <w:rFonts w:hint="eastAsia" w:ascii="Times New Roman" w:hAnsi="Times New Roman" w:eastAsia="黑体"/>
          <w:b w:val="0"/>
          <w:color w:val="auto"/>
          <w:highlight w:val="none"/>
        </w:rPr>
        <w:t>五部分 附表</w:t>
      </w:r>
      <w:bookmarkEnd w:id="55"/>
      <w:bookmarkEnd w:id="58"/>
      <w:bookmarkStart w:id="75"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20"/>
      <w:r>
        <w:rPr>
          <w:rFonts w:hint="eastAsia" w:ascii="Times New Roman" w:hAnsi="Times New Roman" w:eastAsia="仿宋_GB2312" w:cs="仿宋_GB2312"/>
          <w:color w:val="auto"/>
          <w:sz w:val="32"/>
          <w:szCs w:val="32"/>
          <w:highlight w:val="none"/>
        </w:rPr>
        <w:t>二、收入决算表</w:t>
      </w:r>
      <w:bookmarkEnd w:id="7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7" w:name="_Toc15396621"/>
      <w:r>
        <w:rPr>
          <w:rFonts w:hint="eastAsia" w:ascii="Times New Roman" w:hAnsi="Times New Roman" w:eastAsia="仿宋_GB2312" w:cs="仿宋_GB2312"/>
          <w:color w:val="auto"/>
          <w:sz w:val="32"/>
          <w:szCs w:val="32"/>
          <w:highlight w:val="none"/>
        </w:rPr>
        <w:t>三、支出决算表</w:t>
      </w:r>
      <w:bookmarkEnd w:id="7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8" w:name="_Toc15396622"/>
      <w:r>
        <w:rPr>
          <w:rFonts w:hint="eastAsia" w:ascii="Times New Roman" w:hAnsi="Times New Roman" w:eastAsia="仿宋_GB2312" w:cs="仿宋_GB2312"/>
          <w:color w:val="auto"/>
          <w:sz w:val="32"/>
          <w:szCs w:val="32"/>
          <w:highlight w:val="none"/>
        </w:rPr>
        <w:t>四、财政拨款收入支出决算总表</w:t>
      </w:r>
      <w:bookmarkEnd w:id="7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3"/>
      <w:r>
        <w:rPr>
          <w:rFonts w:hint="eastAsia" w:ascii="Times New Roman" w:hAnsi="Times New Roman" w:eastAsia="仿宋_GB2312" w:cs="仿宋_GB2312"/>
          <w:color w:val="auto"/>
          <w:sz w:val="32"/>
          <w:szCs w:val="32"/>
          <w:highlight w:val="none"/>
        </w:rPr>
        <w:t>五、财政拨款支出决算明细表</w:t>
      </w:r>
      <w:bookmarkEnd w:id="79"/>
      <w:bookmarkStart w:id="80"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5"/>
      <w:r>
        <w:rPr>
          <w:rFonts w:hint="eastAsia" w:ascii="Times New Roman" w:hAnsi="Times New Roman" w:eastAsia="仿宋_GB2312" w:cs="仿宋_GB2312"/>
          <w:color w:val="auto"/>
          <w:sz w:val="32"/>
          <w:szCs w:val="32"/>
          <w:highlight w:val="none"/>
        </w:rPr>
        <w:t>七、一般公共预算财政拨款支出决算明细表</w:t>
      </w:r>
      <w:bookmarkEnd w:id="8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6"/>
      <w:r>
        <w:rPr>
          <w:rFonts w:hint="eastAsia" w:ascii="Times New Roman" w:hAnsi="Times New Roman" w:eastAsia="仿宋_GB2312" w:cs="仿宋_GB2312"/>
          <w:color w:val="auto"/>
          <w:sz w:val="32"/>
          <w:szCs w:val="32"/>
          <w:highlight w:val="none"/>
        </w:rPr>
        <w:t>八、一般公共预算财政拨款基本支出决算表</w:t>
      </w:r>
      <w:bookmarkEnd w:id="8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7"/>
      <w:r>
        <w:rPr>
          <w:rFonts w:hint="eastAsia" w:ascii="Times New Roman" w:hAnsi="Times New Roman" w:eastAsia="仿宋_GB2312" w:cs="仿宋_GB2312"/>
          <w:color w:val="auto"/>
          <w:sz w:val="32"/>
          <w:szCs w:val="32"/>
          <w:highlight w:val="none"/>
        </w:rPr>
        <w:t>九、一般公共预算财政拨款项目支出决算表</w:t>
      </w:r>
      <w:bookmarkEnd w:id="8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8"/>
      <w:r>
        <w:rPr>
          <w:rFonts w:hint="eastAsia" w:ascii="Times New Roman" w:hAnsi="Times New Roman" w:eastAsia="仿宋_GB2312" w:cs="仿宋_GB2312"/>
          <w:color w:val="auto"/>
          <w:sz w:val="32"/>
          <w:szCs w:val="32"/>
          <w:highlight w:val="none"/>
        </w:rPr>
        <w:t>十、</w:t>
      </w:r>
      <w:bookmarkEnd w:id="84"/>
      <w:r>
        <w:rPr>
          <w:rFonts w:hint="eastAsia" w:ascii="Times New Roman" w:hAnsi="Times New Roman" w:eastAsia="仿宋_GB2312" w:cs="仿宋_GB2312"/>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9"/>
      <w:r>
        <w:rPr>
          <w:rFonts w:hint="eastAsia" w:ascii="Times New Roman" w:hAnsi="Times New Roman" w:eastAsia="仿宋_GB2312" w:cs="仿宋_GB2312"/>
          <w:color w:val="auto"/>
          <w:sz w:val="32"/>
          <w:szCs w:val="32"/>
          <w:highlight w:val="none"/>
        </w:rPr>
        <w:t>十一、</w:t>
      </w:r>
      <w:bookmarkEnd w:id="8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30"/>
      <w:r>
        <w:rPr>
          <w:rFonts w:hint="eastAsia" w:ascii="Times New Roman" w:hAnsi="Times New Roman" w:eastAsia="仿宋_GB2312" w:cs="仿宋_GB2312"/>
          <w:color w:val="auto"/>
          <w:sz w:val="32"/>
          <w:szCs w:val="32"/>
          <w:highlight w:val="none"/>
        </w:rPr>
        <w:t>十二、</w:t>
      </w:r>
      <w:bookmarkEnd w:id="8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87" w:name="_Toc15396631"/>
      <w:r>
        <w:rPr>
          <w:rFonts w:hint="eastAsia" w:ascii="Times New Roman" w:hAnsi="Times New Roman" w:eastAsia="仿宋_GB2312" w:cs="仿宋_GB2312"/>
          <w:color w:val="auto"/>
          <w:sz w:val="32"/>
          <w:szCs w:val="32"/>
          <w:highlight w:val="none"/>
        </w:rPr>
        <w:t>十三、</w:t>
      </w:r>
      <w:bookmarkEnd w:id="8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AyHI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vr/I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cDIchQCAAAV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CWlnYUAgAAFQQAAA4AAABkcnMvZTJvRG9jLnhtbK1Ty47TMBTdI/EP&#10;lvc0aRFD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gJaWdhQCAAAV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memoQ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CZnpqEEwIAABU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2DWsUAgAAFQQAAA4AAABkcnMvZTJvRG9jLnhtbK1Ty47TMBTdI/EP&#10;lvc0aRGjUj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VtKNFPY0enH99PPh9OvbwQ6ANRaP4PfxsIzdO9MB+dB76GMc3eV&#10;U/HGRAR2QH28wCu6QHgMmk6m0xwmDtvwQP7sMdw6H94Lo0gUCuqwvwQrO6x96F0Hl1hNm1UjZdqh&#10;1KQt6NXrN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2zYNaxQCAAAVBAAADgAAAAAAAAAB&#10;ACAAAAAfAQAAZHJzL2Uyb0RvYy54bWxQSwUGAAAAAAYABgBZAQAApQ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024006D"/>
    <w:multiLevelType w:val="singleLevel"/>
    <w:tmpl w:val="B024006D"/>
    <w:lvl w:ilvl="0" w:tentative="0">
      <w:start w:val="1"/>
      <w:numFmt w:val="decimal"/>
      <w:suff w:val="nothing"/>
      <w:lvlText w:val="%1．"/>
      <w:lvlJc w:val="left"/>
      <w:pPr>
        <w:ind w:left="0" w:firstLine="400"/>
      </w:pPr>
      <w:rPr>
        <w:rFonts w:hint="default"/>
      </w:rPr>
    </w:lvl>
  </w:abstractNum>
  <w:abstractNum w:abstractNumId="1">
    <w:nsid w:val="DECA8D29"/>
    <w:multiLevelType w:val="singleLevel"/>
    <w:tmpl w:val="DECA8D29"/>
    <w:lvl w:ilvl="0" w:tentative="0">
      <w:start w:val="7"/>
      <w:numFmt w:val="chineseCounting"/>
      <w:suff w:val="nothing"/>
      <w:lvlText w:val="%1、"/>
      <w:lvlJc w:val="left"/>
      <w:rPr>
        <w:rFonts w:hint="eastAsia"/>
      </w:rPr>
    </w:lvl>
  </w:abstractNum>
  <w:abstractNum w:abstractNumId="2">
    <w:nsid w:val="EAF738EC"/>
    <w:multiLevelType w:val="singleLevel"/>
    <w:tmpl w:val="EAF738EC"/>
    <w:lvl w:ilvl="0" w:tentative="0">
      <w:start w:val="2"/>
      <w:numFmt w:val="chineseCounting"/>
      <w:suff w:val="nothing"/>
      <w:lvlText w:val="（%1）"/>
      <w:lvlJc w:val="left"/>
      <w:rPr>
        <w:rFonts w:hint="eastAsia"/>
      </w:rPr>
    </w:lvl>
  </w:abstractNum>
  <w:abstractNum w:abstractNumId="3">
    <w:nsid w:val="F517ED10"/>
    <w:multiLevelType w:val="singleLevel"/>
    <w:tmpl w:val="F517ED10"/>
    <w:lvl w:ilvl="0" w:tentative="0">
      <w:start w:val="5"/>
      <w:numFmt w:val="decimal"/>
      <w:lvlText w:val="%1."/>
      <w:lvlJc w:val="left"/>
      <w:pPr>
        <w:tabs>
          <w:tab w:val="left" w:pos="312"/>
        </w:tabs>
      </w:pPr>
    </w:lvl>
  </w:abstractNum>
  <w:abstractNum w:abstractNumId="4">
    <w:nsid w:val="0BDF7109"/>
    <w:multiLevelType w:val="singleLevel"/>
    <w:tmpl w:val="0BDF7109"/>
    <w:lvl w:ilvl="0" w:tentative="0">
      <w:start w:val="3"/>
      <w:numFmt w:val="decimal"/>
      <w:lvlText w:val="%1."/>
      <w:lvlJc w:val="left"/>
      <w:pPr>
        <w:tabs>
          <w:tab w:val="left" w:pos="312"/>
        </w:tabs>
      </w:pPr>
    </w:lvl>
  </w:abstractNum>
  <w:abstractNum w:abstractNumId="5">
    <w:nsid w:val="1F7F2353"/>
    <w:multiLevelType w:val="singleLevel"/>
    <w:tmpl w:val="1F7F2353"/>
    <w:lvl w:ilvl="0" w:tentative="0">
      <w:start w:val="2"/>
      <w:numFmt w:val="chineseCounting"/>
      <w:suff w:val="nothing"/>
      <w:lvlText w:val="（%1）"/>
      <w:lvlJc w:val="left"/>
      <w:rPr>
        <w:rFonts w:hint="eastAsia"/>
      </w:rPr>
    </w:lvl>
  </w:abstractNum>
  <w:abstractNum w:abstractNumId="6">
    <w:nsid w:val="2533E740"/>
    <w:multiLevelType w:val="singleLevel"/>
    <w:tmpl w:val="2533E740"/>
    <w:lvl w:ilvl="0" w:tentative="0">
      <w:start w:val="1"/>
      <w:numFmt w:val="chineseCounting"/>
      <w:suff w:val="nothing"/>
      <w:lvlText w:val="%1、"/>
      <w:lvlJc w:val="left"/>
      <w:rPr>
        <w:rFonts w:hint="eastAsia"/>
      </w:rPr>
    </w:lvl>
  </w:abstractNum>
  <w:abstractNum w:abstractNumId="7">
    <w:nsid w:val="260A720D"/>
    <w:multiLevelType w:val="singleLevel"/>
    <w:tmpl w:val="260A720D"/>
    <w:lvl w:ilvl="0" w:tentative="0">
      <w:start w:val="9"/>
      <w:numFmt w:val="chineseCounting"/>
      <w:suff w:val="nothing"/>
      <w:lvlText w:val="%1、"/>
      <w:lvlJc w:val="left"/>
      <w:rPr>
        <w:rFonts w:hint="eastAsia"/>
      </w:rPr>
    </w:lvl>
  </w:abstractNum>
  <w:abstractNum w:abstractNumId="8">
    <w:nsid w:val="2A52AE84"/>
    <w:multiLevelType w:val="singleLevel"/>
    <w:tmpl w:val="2A52AE84"/>
    <w:lvl w:ilvl="0" w:tentative="0">
      <w:start w:val="3"/>
      <w:numFmt w:val="chineseCounting"/>
      <w:suff w:val="nothing"/>
      <w:lvlText w:val="（%1）"/>
      <w:lvlJc w:val="left"/>
      <w:rPr>
        <w:rFonts w:hint="eastAsia"/>
      </w:rPr>
    </w:lvl>
  </w:abstractNum>
  <w:abstractNum w:abstractNumId="9">
    <w:nsid w:val="43DEE18E"/>
    <w:multiLevelType w:val="singleLevel"/>
    <w:tmpl w:val="43DEE18E"/>
    <w:lvl w:ilvl="0" w:tentative="0">
      <w:start w:val="2"/>
      <w:numFmt w:val="chineseCounting"/>
      <w:suff w:val="nothing"/>
      <w:lvlText w:val="%1、"/>
      <w:lvlJc w:val="left"/>
      <w:pPr>
        <w:ind w:left="-223"/>
      </w:pPr>
      <w:rPr>
        <w:rFonts w:hint="eastAsia" w:ascii="仿宋_GB2312" w:hAnsi="仿宋_GB2312" w:eastAsia="仿宋_GB2312" w:cs="仿宋_GB2312"/>
        <w:b/>
        <w:bCs/>
        <w:sz w:val="32"/>
        <w:szCs w:val="32"/>
      </w:rPr>
    </w:lvl>
  </w:abstractNum>
  <w:abstractNum w:abstractNumId="10">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11">
    <w:nsid w:val="7B46E305"/>
    <w:multiLevelType w:val="singleLevel"/>
    <w:tmpl w:val="7B46E305"/>
    <w:lvl w:ilvl="0" w:tentative="0">
      <w:start w:val="1"/>
      <w:numFmt w:val="decimal"/>
      <w:suff w:val="nothing"/>
      <w:lvlText w:val="%1、"/>
      <w:lvlJc w:val="left"/>
    </w:lvl>
  </w:abstractNum>
  <w:num w:numId="1">
    <w:abstractNumId w:val="6"/>
  </w:num>
  <w:num w:numId="2">
    <w:abstractNumId w:val="3"/>
  </w:num>
  <w:num w:numId="3">
    <w:abstractNumId w:val="10"/>
  </w:num>
  <w:num w:numId="4">
    <w:abstractNumId w:val="11"/>
  </w:num>
  <w:num w:numId="5">
    <w:abstractNumId w:val="8"/>
  </w:num>
  <w:num w:numId="6">
    <w:abstractNumId w:val="2"/>
  </w:num>
  <w:num w:numId="7">
    <w:abstractNumId w:val="4"/>
  </w:num>
  <w:num w:numId="8">
    <w:abstractNumId w:val="5"/>
  </w:num>
  <w:num w:numId="9">
    <w:abstractNumId w:val="0"/>
  </w:num>
  <w:num w:numId="10">
    <w:abstractNumId w:val="9"/>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3D8D"/>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40207B4"/>
    <w:rsid w:val="04DD587F"/>
    <w:rsid w:val="05AE3D3C"/>
    <w:rsid w:val="061E35DE"/>
    <w:rsid w:val="066E0107"/>
    <w:rsid w:val="07996F6E"/>
    <w:rsid w:val="07DFD8BA"/>
    <w:rsid w:val="08A66229"/>
    <w:rsid w:val="08DB07E4"/>
    <w:rsid w:val="09867E8F"/>
    <w:rsid w:val="09B0199D"/>
    <w:rsid w:val="0A2032A3"/>
    <w:rsid w:val="0AB661D5"/>
    <w:rsid w:val="0BF25EE8"/>
    <w:rsid w:val="0C6C4794"/>
    <w:rsid w:val="0CA8290A"/>
    <w:rsid w:val="0D35B1ED"/>
    <w:rsid w:val="0DE07E2B"/>
    <w:rsid w:val="0F98263C"/>
    <w:rsid w:val="101860EC"/>
    <w:rsid w:val="10C055FF"/>
    <w:rsid w:val="11772AA4"/>
    <w:rsid w:val="117F01E5"/>
    <w:rsid w:val="118107EC"/>
    <w:rsid w:val="13D50BC4"/>
    <w:rsid w:val="14022904"/>
    <w:rsid w:val="14517949"/>
    <w:rsid w:val="150A5AC4"/>
    <w:rsid w:val="152F2A07"/>
    <w:rsid w:val="15691AD1"/>
    <w:rsid w:val="165E0673"/>
    <w:rsid w:val="166952DF"/>
    <w:rsid w:val="16BB723D"/>
    <w:rsid w:val="186504BB"/>
    <w:rsid w:val="1938089F"/>
    <w:rsid w:val="19A445FC"/>
    <w:rsid w:val="1B7D550C"/>
    <w:rsid w:val="1BE8440E"/>
    <w:rsid w:val="1D155CEE"/>
    <w:rsid w:val="1E740ACF"/>
    <w:rsid w:val="1F4272DF"/>
    <w:rsid w:val="1FF35744"/>
    <w:rsid w:val="1FF6BC77"/>
    <w:rsid w:val="21962A9E"/>
    <w:rsid w:val="21AE7C77"/>
    <w:rsid w:val="22A1432B"/>
    <w:rsid w:val="22BC3C41"/>
    <w:rsid w:val="23860B96"/>
    <w:rsid w:val="23F12409"/>
    <w:rsid w:val="240371BF"/>
    <w:rsid w:val="260F557C"/>
    <w:rsid w:val="273456E4"/>
    <w:rsid w:val="281408E2"/>
    <w:rsid w:val="29FD04D3"/>
    <w:rsid w:val="2ABC34A3"/>
    <w:rsid w:val="2BFF7BC6"/>
    <w:rsid w:val="2C8A61B5"/>
    <w:rsid w:val="2CFF6538"/>
    <w:rsid w:val="2D2E01CF"/>
    <w:rsid w:val="2DF04E50"/>
    <w:rsid w:val="2E9545B0"/>
    <w:rsid w:val="2F040D46"/>
    <w:rsid w:val="2F06668C"/>
    <w:rsid w:val="2FAE5751"/>
    <w:rsid w:val="2FB1A395"/>
    <w:rsid w:val="2FD9A7D8"/>
    <w:rsid w:val="2FFB0457"/>
    <w:rsid w:val="319F7F4E"/>
    <w:rsid w:val="321B2544"/>
    <w:rsid w:val="32FB7535"/>
    <w:rsid w:val="3304709D"/>
    <w:rsid w:val="333D4B24"/>
    <w:rsid w:val="34281836"/>
    <w:rsid w:val="349D6851"/>
    <w:rsid w:val="3559777F"/>
    <w:rsid w:val="35BA6CAF"/>
    <w:rsid w:val="362D6CBE"/>
    <w:rsid w:val="364D14C1"/>
    <w:rsid w:val="36AA5135"/>
    <w:rsid w:val="36BE0DA7"/>
    <w:rsid w:val="376B6AA6"/>
    <w:rsid w:val="376D39B2"/>
    <w:rsid w:val="379D7204"/>
    <w:rsid w:val="37E16F03"/>
    <w:rsid w:val="37F53A3B"/>
    <w:rsid w:val="389B6C89"/>
    <w:rsid w:val="38D469F0"/>
    <w:rsid w:val="39627CCD"/>
    <w:rsid w:val="397BAF1F"/>
    <w:rsid w:val="39AB2E4F"/>
    <w:rsid w:val="3AB79AF3"/>
    <w:rsid w:val="3B7EF35A"/>
    <w:rsid w:val="3B9FDB6C"/>
    <w:rsid w:val="3BF5BC2F"/>
    <w:rsid w:val="3CEBA265"/>
    <w:rsid w:val="3D98207C"/>
    <w:rsid w:val="3D9B0D99"/>
    <w:rsid w:val="3DEE7CF3"/>
    <w:rsid w:val="3DF02244"/>
    <w:rsid w:val="3E782A99"/>
    <w:rsid w:val="3E784C8B"/>
    <w:rsid w:val="3E78745D"/>
    <w:rsid w:val="3FF4CAE0"/>
    <w:rsid w:val="3FF7B227"/>
    <w:rsid w:val="40E54C45"/>
    <w:rsid w:val="42580564"/>
    <w:rsid w:val="43A407DF"/>
    <w:rsid w:val="44003AA3"/>
    <w:rsid w:val="44515BEA"/>
    <w:rsid w:val="44E268DA"/>
    <w:rsid w:val="453F7E5B"/>
    <w:rsid w:val="486A6C7A"/>
    <w:rsid w:val="49176D9B"/>
    <w:rsid w:val="4A627F82"/>
    <w:rsid w:val="4B0E749A"/>
    <w:rsid w:val="4B4F25DA"/>
    <w:rsid w:val="4BDA0CFB"/>
    <w:rsid w:val="4BE068DB"/>
    <w:rsid w:val="4D3C0CCC"/>
    <w:rsid w:val="4D577224"/>
    <w:rsid w:val="4DA5120C"/>
    <w:rsid w:val="4DBF1CEB"/>
    <w:rsid w:val="4EAB630A"/>
    <w:rsid w:val="4ECE2238"/>
    <w:rsid w:val="4F731D3A"/>
    <w:rsid w:val="4F833267"/>
    <w:rsid w:val="4FE9BD67"/>
    <w:rsid w:val="4FFB052F"/>
    <w:rsid w:val="52EB64AA"/>
    <w:rsid w:val="53083A92"/>
    <w:rsid w:val="537E6D0A"/>
    <w:rsid w:val="53AF27A2"/>
    <w:rsid w:val="53F74C96"/>
    <w:rsid w:val="55455396"/>
    <w:rsid w:val="55661011"/>
    <w:rsid w:val="565A256F"/>
    <w:rsid w:val="568F7229"/>
    <w:rsid w:val="56E47B74"/>
    <w:rsid w:val="57BD3DD4"/>
    <w:rsid w:val="580E10F6"/>
    <w:rsid w:val="585A55FD"/>
    <w:rsid w:val="59B80B1F"/>
    <w:rsid w:val="5A302D20"/>
    <w:rsid w:val="5AF92295"/>
    <w:rsid w:val="5B961F2D"/>
    <w:rsid w:val="5BDD79E6"/>
    <w:rsid w:val="5BF561CA"/>
    <w:rsid w:val="5BFF5DFC"/>
    <w:rsid w:val="5C0F5764"/>
    <w:rsid w:val="5C605670"/>
    <w:rsid w:val="5CD71FC4"/>
    <w:rsid w:val="5D1F11B5"/>
    <w:rsid w:val="5D7F17B9"/>
    <w:rsid w:val="5DAE1B18"/>
    <w:rsid w:val="5DE7D9E5"/>
    <w:rsid w:val="5ECEC941"/>
    <w:rsid w:val="5F493CB7"/>
    <w:rsid w:val="5FBF9FF3"/>
    <w:rsid w:val="5FCD4E2C"/>
    <w:rsid w:val="5FD15F49"/>
    <w:rsid w:val="5FEF394A"/>
    <w:rsid w:val="5FF67715"/>
    <w:rsid w:val="61B14F93"/>
    <w:rsid w:val="62B32191"/>
    <w:rsid w:val="62BF3928"/>
    <w:rsid w:val="63725CB2"/>
    <w:rsid w:val="647F5392"/>
    <w:rsid w:val="6591555E"/>
    <w:rsid w:val="664B1D71"/>
    <w:rsid w:val="67AA3209"/>
    <w:rsid w:val="681C4F0D"/>
    <w:rsid w:val="68387769"/>
    <w:rsid w:val="69046D0F"/>
    <w:rsid w:val="696251E4"/>
    <w:rsid w:val="698D0931"/>
    <w:rsid w:val="6A2F3E17"/>
    <w:rsid w:val="6A993CED"/>
    <w:rsid w:val="6AFE037A"/>
    <w:rsid w:val="6B053271"/>
    <w:rsid w:val="6BCE6674"/>
    <w:rsid w:val="6C4A05C8"/>
    <w:rsid w:val="6C7409EE"/>
    <w:rsid w:val="6C8742B8"/>
    <w:rsid w:val="6C8A170F"/>
    <w:rsid w:val="6CB54609"/>
    <w:rsid w:val="6DBF5E93"/>
    <w:rsid w:val="6DFF077E"/>
    <w:rsid w:val="6E5A748B"/>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381313"/>
    <w:rsid w:val="715C0E4B"/>
    <w:rsid w:val="72233669"/>
    <w:rsid w:val="72734D90"/>
    <w:rsid w:val="7332FE48"/>
    <w:rsid w:val="73AB61DA"/>
    <w:rsid w:val="73AD73D5"/>
    <w:rsid w:val="73B6EB34"/>
    <w:rsid w:val="73C75503"/>
    <w:rsid w:val="73FA497D"/>
    <w:rsid w:val="7402303A"/>
    <w:rsid w:val="744731E5"/>
    <w:rsid w:val="74527205"/>
    <w:rsid w:val="74BBD01D"/>
    <w:rsid w:val="74ED5379"/>
    <w:rsid w:val="74FC2395"/>
    <w:rsid w:val="7519191D"/>
    <w:rsid w:val="75DEEEC2"/>
    <w:rsid w:val="76E3355F"/>
    <w:rsid w:val="76FF5125"/>
    <w:rsid w:val="773D3404"/>
    <w:rsid w:val="775E3E14"/>
    <w:rsid w:val="776F6FFA"/>
    <w:rsid w:val="778769C8"/>
    <w:rsid w:val="77DC22F5"/>
    <w:rsid w:val="79086DAD"/>
    <w:rsid w:val="79974F09"/>
    <w:rsid w:val="79D7FD79"/>
    <w:rsid w:val="79EE5BA4"/>
    <w:rsid w:val="7A894339"/>
    <w:rsid w:val="7AF07354"/>
    <w:rsid w:val="7AFF7572"/>
    <w:rsid w:val="7B6C7DFB"/>
    <w:rsid w:val="7BBFBED0"/>
    <w:rsid w:val="7BC3E394"/>
    <w:rsid w:val="7C1F3737"/>
    <w:rsid w:val="7CBFC87B"/>
    <w:rsid w:val="7CFE0F48"/>
    <w:rsid w:val="7D7EC23E"/>
    <w:rsid w:val="7D916348"/>
    <w:rsid w:val="7E6A5C73"/>
    <w:rsid w:val="7E8ADEBF"/>
    <w:rsid w:val="7EEF11D3"/>
    <w:rsid w:val="7EF76BF0"/>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2"/>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19">
    <w:name w:val="Default Paragraph Font"/>
    <w:link w:val="20"/>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Chars="200"/>
    </w:pPr>
    <w:rPr>
      <w:rFonts w:ascii="仿宋_GB2312"/>
      <w:szCs w:val="32"/>
    </w:rPr>
  </w:style>
  <w:style w:type="paragraph" w:styleId="7">
    <w:name w:val="Body Text"/>
    <w:basedOn w:val="1"/>
    <w:next w:val="1"/>
    <w:link w:val="29"/>
    <w:qFormat/>
    <w:uiPriority w:val="99"/>
    <w:pPr>
      <w:spacing w:beforeLines="30"/>
    </w:pPr>
    <w:rPr>
      <w:rFonts w:ascii="仿宋_GB2312" w:eastAsia="仿宋_GB2312"/>
      <w:kern w:val="0"/>
      <w:sz w:val="30"/>
    </w:rPr>
  </w:style>
  <w:style w:type="paragraph" w:styleId="8">
    <w:name w:val="toc 3"/>
    <w:basedOn w:val="1"/>
    <w:next w:val="1"/>
    <w:unhideWhenUsed/>
    <w:qFormat/>
    <w:uiPriority w:val="39"/>
    <w:pPr>
      <w:tabs>
        <w:tab w:val="right" w:leader="dot" w:pos="8296"/>
      </w:tabs>
      <w:ind w:left="840" w:leftChars="400"/>
    </w:pPr>
  </w:style>
  <w:style w:type="paragraph" w:styleId="9">
    <w:name w:val="Plain Text"/>
    <w:basedOn w:val="1"/>
    <w:qFormat/>
    <w:uiPriority w:val="0"/>
    <w:rPr>
      <w:rFonts w:ascii="宋体" w:hAnsi="Courier New" w:cs="Courier New"/>
      <w:szCs w:val="21"/>
    </w:rPr>
  </w:style>
  <w:style w:type="paragraph" w:styleId="10">
    <w:name w:val="Balloon Text"/>
    <w:basedOn w:val="1"/>
    <w:link w:val="35"/>
    <w:semiHidden/>
    <w:unhideWhenUsed/>
    <w:qFormat/>
    <w:uiPriority w:val="99"/>
    <w:rPr>
      <w:sz w:val="18"/>
      <w:szCs w:val="18"/>
    </w:rPr>
  </w:style>
  <w:style w:type="paragraph" w:styleId="11">
    <w:name w:val="footer"/>
    <w:basedOn w:val="1"/>
    <w:link w:val="27"/>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5"/>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2"/>
    <w:semiHidden/>
    <w:qFormat/>
    <w:uiPriority w:val="0"/>
    <w:pPr>
      <w:snapToGrid w:val="0"/>
      <w:jc w:val="left"/>
    </w:pPr>
    <w:rPr>
      <w:sz w:val="18"/>
      <w:szCs w:val="18"/>
    </w:rPr>
  </w:style>
  <w:style w:type="paragraph" w:styleId="15">
    <w:name w:val="toc 6"/>
    <w:basedOn w:val="1"/>
    <w:next w:val="1"/>
    <w:qFormat/>
    <w:uiPriority w:val="0"/>
    <w:pPr>
      <w:ind w:left="2100"/>
    </w:pPr>
    <w:rPr>
      <w:rFonts w:ascii="Times New Roman" w:hAnsi="Times New Roman" w:eastAsia="宋体" w:cs="Times New Roman"/>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semiHidden/>
    <w:unhideWhenUsed/>
    <w:qFormat/>
    <w:uiPriority w:val="99"/>
    <w:pPr>
      <w:spacing w:before="100" w:beforeAutospacing="1" w:after="100" w:afterAutospacing="1"/>
    </w:pPr>
  </w:style>
  <w:style w:type="paragraph" w:customStyle="1" w:styleId="20">
    <w:name w:val="Char1"/>
    <w:basedOn w:val="1"/>
    <w:link w:val="19"/>
    <w:qFormat/>
    <w:uiPriority w:val="0"/>
    <w:pPr>
      <w:snapToGrid w:val="0"/>
      <w:spacing w:line="360" w:lineRule="auto"/>
    </w:pPr>
  </w:style>
  <w:style w:type="character" w:styleId="21">
    <w:name w:val="Strong"/>
    <w:basedOn w:val="19"/>
    <w:qFormat/>
    <w:uiPriority w:val="99"/>
    <w:rPr>
      <w:b/>
    </w:rPr>
  </w:style>
  <w:style w:type="character" w:styleId="22">
    <w:name w:val="Hyperlink"/>
    <w:basedOn w:val="19"/>
    <w:unhideWhenUsed/>
    <w:qFormat/>
    <w:uiPriority w:val="99"/>
    <w:rPr>
      <w:color w:val="0000FF" w:themeColor="hyperlink"/>
      <w:u w:val="single"/>
      <w14:textFill>
        <w14:solidFill>
          <w14:schemeClr w14:val="hlink"/>
        </w14:solidFill>
      </w14:textFill>
    </w:rPr>
  </w:style>
  <w:style w:type="paragraph" w:customStyle="1" w:styleId="23">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4">
    <w:name w:val="Header Char"/>
    <w:basedOn w:val="19"/>
    <w:semiHidden/>
    <w:qFormat/>
    <w:uiPriority w:val="99"/>
    <w:rPr>
      <w:rFonts w:ascii="Times New Roman" w:hAnsi="Times New Roman"/>
      <w:sz w:val="18"/>
      <w:szCs w:val="18"/>
    </w:rPr>
  </w:style>
  <w:style w:type="character" w:customStyle="1" w:styleId="25">
    <w:name w:val="页眉 Char"/>
    <w:link w:val="12"/>
    <w:semiHidden/>
    <w:qFormat/>
    <w:locked/>
    <w:uiPriority w:val="99"/>
    <w:rPr>
      <w:sz w:val="18"/>
    </w:rPr>
  </w:style>
  <w:style w:type="character" w:customStyle="1" w:styleId="26">
    <w:name w:val="Footer Char"/>
    <w:basedOn w:val="19"/>
    <w:semiHidden/>
    <w:qFormat/>
    <w:uiPriority w:val="99"/>
    <w:rPr>
      <w:rFonts w:ascii="Times New Roman" w:hAnsi="Times New Roman"/>
      <w:sz w:val="18"/>
      <w:szCs w:val="18"/>
    </w:rPr>
  </w:style>
  <w:style w:type="character" w:customStyle="1" w:styleId="27">
    <w:name w:val="页脚 Char"/>
    <w:link w:val="11"/>
    <w:qFormat/>
    <w:locked/>
    <w:uiPriority w:val="99"/>
    <w:rPr>
      <w:sz w:val="18"/>
    </w:rPr>
  </w:style>
  <w:style w:type="character" w:customStyle="1" w:styleId="28">
    <w:name w:val="Body Text Char"/>
    <w:basedOn w:val="19"/>
    <w:semiHidden/>
    <w:qFormat/>
    <w:uiPriority w:val="99"/>
    <w:rPr>
      <w:rFonts w:ascii="Times New Roman" w:hAnsi="Times New Roman"/>
      <w:szCs w:val="24"/>
    </w:rPr>
  </w:style>
  <w:style w:type="character" w:customStyle="1" w:styleId="29">
    <w:name w:val="正文文本 Char"/>
    <w:link w:val="7"/>
    <w:qFormat/>
    <w:locked/>
    <w:uiPriority w:val="99"/>
    <w:rPr>
      <w:rFonts w:ascii="仿宋_GB2312" w:hAnsi="Times New Roman" w:eastAsia="仿宋_GB2312"/>
      <w:sz w:val="24"/>
    </w:rPr>
  </w:style>
  <w:style w:type="paragraph" w:customStyle="1" w:styleId="30">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1">
    <w:name w:val="List Paragraph"/>
    <w:basedOn w:val="1"/>
    <w:qFormat/>
    <w:uiPriority w:val="34"/>
    <w:pPr>
      <w:ind w:firstLine="420" w:firstLineChars="200"/>
    </w:pPr>
  </w:style>
  <w:style w:type="character" w:customStyle="1" w:styleId="32">
    <w:name w:val="标题 1 Char"/>
    <w:basedOn w:val="19"/>
    <w:link w:val="4"/>
    <w:qFormat/>
    <w:uiPriority w:val="9"/>
    <w:rPr>
      <w:rFonts w:ascii="Times New Roman" w:hAnsi="Times New Roman"/>
      <w:b/>
      <w:bCs/>
      <w:kern w:val="44"/>
      <w:sz w:val="44"/>
      <w:szCs w:val="44"/>
    </w:rPr>
  </w:style>
  <w:style w:type="character" w:customStyle="1" w:styleId="33">
    <w:name w:val="标题 2 Char"/>
    <w:basedOn w:val="19"/>
    <w:link w:val="5"/>
    <w:qFormat/>
    <w:uiPriority w:val="9"/>
    <w:rPr>
      <w:rFonts w:asciiTheme="majorHAnsi" w:hAnsiTheme="majorHAnsi" w:eastAsiaTheme="majorEastAsia" w:cstheme="majorBidi"/>
      <w:b/>
      <w:bCs/>
      <w:kern w:val="2"/>
      <w:sz w:val="32"/>
      <w:szCs w:val="32"/>
    </w:rPr>
  </w:style>
  <w:style w:type="paragraph" w:customStyle="1" w:styleId="34">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Char"/>
    <w:basedOn w:val="19"/>
    <w:link w:val="10"/>
    <w:semiHidden/>
    <w:qFormat/>
    <w:uiPriority w:val="99"/>
    <w:rPr>
      <w:rFonts w:ascii="Times New Roman" w:hAnsi="Times New Roman"/>
      <w:kern w:val="2"/>
      <w:sz w:val="18"/>
      <w:szCs w:val="18"/>
    </w:rPr>
  </w:style>
  <w:style w:type="character" w:customStyle="1" w:styleId="36">
    <w:name w:val="标题 3 Char"/>
    <w:basedOn w:val="19"/>
    <w:link w:val="6"/>
    <w:qFormat/>
    <w:uiPriority w:val="9"/>
    <w:rPr>
      <w:rFonts w:ascii="Times New Roman" w:hAnsi="Times New Roman"/>
      <w:b/>
      <w:bCs/>
      <w:kern w:val="2"/>
      <w:sz w:val="32"/>
      <w:szCs w:val="32"/>
    </w:rPr>
  </w:style>
  <w:style w:type="paragraph" w:customStyle="1" w:styleId="37">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列出段落1"/>
    <w:basedOn w:val="1"/>
    <w:qFormat/>
    <w:uiPriority w:val="0"/>
    <w:pPr>
      <w:ind w:firstLine="420" w:firstLineChars="200"/>
    </w:pPr>
    <w:rPr>
      <w:rFonts w:ascii="Calibri" w:hAnsi="Calibri" w:eastAsia="宋体" w:cs="Calibri"/>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oleObject" Target="file:///H:\&#65288;&#22270;&#34920;&#65289;DXL.docx.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1" i="0" u="none" strike="noStrike" kern="1200" cap="none" spc="0" normalizeH="0" baseline="0">
                <a:solidFill>
                  <a:schemeClr val="tx1">
                    <a:lumMod val="65000"/>
                    <a:lumOff val="35000"/>
                  </a:schemeClr>
                </a:solidFill>
                <a:effectLst/>
                <a:latin typeface="方正小标宋简体" panose="02010601030101010101" pitchFamily="4" charset="-122"/>
                <a:ea typeface="方正小标宋简体" panose="02010601030101010101" pitchFamily="4" charset="-122"/>
                <a:cs typeface="+mn-cs"/>
              </a:rPr>
              <a:t>收、支变动情况图 </a:t>
            </a:r>
            <a:endParaRPr sz="1400" b="1" i="0" u="none" strike="noStrike" kern="1200" cap="none" spc="0" normalizeH="0" baseline="0">
              <a:solidFill>
                <a:schemeClr val="tx1">
                  <a:lumMod val="65000"/>
                  <a:lumOff val="35000"/>
                </a:schemeClr>
              </a:solidFill>
              <a:effectLst/>
              <a:latin typeface="方正小标宋简体" panose="02010601030101010101" pitchFamily="4" charset="-122"/>
              <a:ea typeface="方正小标宋简体" panose="02010601030101010101" pitchFamily="4" charset="-122"/>
              <a:cs typeface="+mn-cs"/>
            </a:endParaRPr>
          </a:p>
        </c:rich>
      </c:tx>
      <c:layout>
        <c:manualLayout>
          <c:xMode val="edge"/>
          <c:yMode val="edge"/>
          <c:x val="0.20511209536308"/>
          <c:y val="0.0277777777777778"/>
        </c:manualLayout>
      </c:layout>
      <c:overlay val="0"/>
      <c:spPr>
        <a:noFill/>
        <a:ln>
          <a:noFill/>
        </a:ln>
        <a:effectLst/>
      </c:spPr>
    </c:title>
    <c:autoTitleDeleted val="0"/>
    <c:plotArea>
      <c:layout>
        <c:manualLayout>
          <c:layoutTarget val="inner"/>
          <c:xMode val="edge"/>
          <c:yMode val="edge"/>
          <c:x val="0.153289924605894"/>
          <c:y val="0.203457780005011"/>
          <c:w val="0.798732008224811"/>
          <c:h val="0.582410423452769"/>
        </c:manualLayout>
      </c:layout>
      <c:barChart>
        <c:barDir val="col"/>
        <c:grouping val="clustered"/>
        <c:varyColors val="0"/>
        <c:ser>
          <c:idx val="0"/>
          <c:order val="0"/>
          <c:tx>
            <c:strRef>
              <c:f>'[（图表）DXL.docx.xlsx]Sheet2'!$B$1:$B$2</c:f>
              <c:strCache>
                <c:ptCount val="1"/>
                <c:pt idx="0">
                  <c:v>收、支决算总计变动情况图 金额（万元）</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'[（图表）DXL.docx.xlsx]Sheet2'!$A$3:$A$4</c:f>
              <c:strCache>
                <c:ptCount val="2"/>
                <c:pt idx="0">
                  <c:v>2025年</c:v>
                </c:pt>
                <c:pt idx="1">
                  <c:v>2024年</c:v>
                </c:pt>
              </c:strCache>
            </c:strRef>
          </c:cat>
          <c:val>
            <c:numRef>
              <c:f>'[（图表）DXL.docx.xlsx]Sheet2'!$B$3:$B$4</c:f>
              <c:numCache>
                <c:formatCode>General</c:formatCode>
                <c:ptCount val="2"/>
                <c:pt idx="0">
                  <c:v>7654.86</c:v>
                </c:pt>
                <c:pt idx="1">
                  <c:v>17579.49</c:v>
                </c:pt>
              </c:numCache>
            </c:numRef>
          </c:val>
        </c:ser>
        <c:dLbls>
          <c:showLegendKey val="0"/>
          <c:showVal val="1"/>
          <c:showCatName val="0"/>
          <c:showSerName val="0"/>
          <c:showPercent val="0"/>
          <c:showBubbleSize val="0"/>
        </c:dLbls>
        <c:gapWidth val="219"/>
        <c:overlap val="-27"/>
        <c:axId val="192259716"/>
        <c:axId val="811277657"/>
      </c:barChart>
      <c:catAx>
        <c:axId val="192259716"/>
        <c:scaling>
          <c:orientation val="minMax"/>
        </c:scaling>
        <c:delete val="0"/>
        <c:axPos val="b"/>
        <c:title>
          <c:tx>
            <c:rich>
              <a:bodyPr rot="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时间</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1277657"/>
        <c:crosses val="autoZero"/>
        <c:auto val="1"/>
        <c:lblAlgn val="ctr"/>
        <c:lblOffset val="100"/>
        <c:noMultiLvlLbl val="0"/>
      </c:catAx>
      <c:valAx>
        <c:axId val="811277657"/>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lgn="ctr" defTabSz="914400">
                  <a:defRPr lang="zh-CN" sz="1000" b="1" i="0" u="none" strike="noStrike" kern="1200" baseline="0">
                    <a:solidFill>
                      <a:schemeClr val="tx1">
                        <a:lumMod val="65000"/>
                        <a:lumOff val="35000"/>
                      </a:schemeClr>
                    </a:solidFill>
                    <a:latin typeface="+mn-lt"/>
                    <a:ea typeface="+mn-ea"/>
                    <a:cs typeface="+mn-cs"/>
                  </a:defRPr>
                </a:pPr>
                <a:r>
                  <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rPr>
                  <a:t>金额（万元）</a:t>
                </a:r>
                <a:endParaRPr sz="1000" b="1" i="0" u="none" strike="noStrike" kern="1200" cap="none" normalizeH="0" baseline="0">
                  <a:solidFill>
                    <a:schemeClr val="tx1">
                      <a:lumMod val="65000"/>
                      <a:lumOff val="35000"/>
                    </a:schemeClr>
                  </a:solidFill>
                  <a:effectLst/>
                  <a:latin typeface="黑体" panose="02010609060101010101" charset="-122"/>
                  <a:ea typeface="黑体" panose="02010609060101010101" charset="-122"/>
                  <a:cs typeface="+mn-cs"/>
                </a:endParaRPr>
              </a:p>
            </c:rich>
          </c:tx>
          <c:layout>
            <c:manualLayout>
              <c:xMode val="edge"/>
              <c:yMode val="edge"/>
              <c:x val="0.0305555555555555"/>
              <c:y val="0.241205344123651"/>
            </c:manualLayout>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22597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收入决算结构图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'[（图表）DXL.docx.xlsx]Sheet3'!$B$1:$B$2</c:f>
              <c:strCache>
                <c:ptCount val="1"/>
                <c:pt idx="0">
                  <c:v>收入决算结构图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'[（图表）DXL.docx.xlsx]Sheet3'!$A$3:$A$4</c:f>
              <c:strCache>
                <c:ptCount val="2"/>
                <c:pt idx="0">
                  <c:v>一般公共预算财政拨款收入</c:v>
                </c:pt>
                <c:pt idx="1">
                  <c:v>政府性基金预算财政拨款收入</c:v>
                </c:pt>
              </c:strCache>
            </c:strRef>
          </c:cat>
          <c:val>
            <c:numRef>
              <c:f>'[（图表）DXL.docx.xlsx]Sheet3'!$B$3:$B$4</c:f>
              <c:numCache>
                <c:formatCode>0.00%</c:formatCode>
                <c:ptCount val="2"/>
                <c:pt idx="0">
                  <c:v>0.874</c:v>
                </c:pt>
                <c:pt idx="1">
                  <c:v>0.126</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本年支出（万元）</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strCache>
            </c:strRef>
          </c:cat>
          <c:val>
            <c:numRef>
              <c:f>Sheet1!$B$2:$B$5</c:f>
              <c:numCache>
                <c:formatCode>General</c:formatCode>
                <c:ptCount val="4"/>
                <c:pt idx="0">
                  <c:v>234.67</c:v>
                </c:pt>
                <c:pt idx="1">
                  <c:v>7420.2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财政拨款收、支决算总体变动情况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barChart>
        <c:barDir val="col"/>
        <c:grouping val="clustered"/>
        <c:varyColors val="0"/>
        <c:ser>
          <c:idx val="0"/>
          <c:order val="0"/>
          <c:tx>
            <c:strRef>
              <c:f>'[（图表）DXL.docx.xlsx]Sheet2 (2)'!$B$1:$B$2</c:f>
              <c:strCache>
                <c:ptCount val="1"/>
                <c:pt idx="0">
                  <c:v>财政拨款收、支决算总体变动情况 金额（万元）</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'[（图表）DXL.docx.xlsx]Sheet2 (2)'!$A$3:$A$4</c:f>
              <c:strCache>
                <c:ptCount val="2"/>
                <c:pt idx="0">
                  <c:v>2025年</c:v>
                </c:pt>
                <c:pt idx="1">
                  <c:v>2024年</c:v>
                </c:pt>
              </c:strCache>
            </c:strRef>
          </c:cat>
          <c:val>
            <c:numRef>
              <c:f>'[（图表）DXL.docx.xlsx]Sheet2 (2)'!$B$3:$B$4</c:f>
              <c:numCache>
                <c:formatCode>General</c:formatCode>
                <c:ptCount val="2"/>
                <c:pt idx="0">
                  <c:v>7654.86</c:v>
                </c:pt>
                <c:pt idx="1">
                  <c:v>17579.49</c:v>
                </c:pt>
              </c:numCache>
            </c:numRef>
          </c:val>
        </c:ser>
        <c:dLbls>
          <c:showLegendKey val="0"/>
          <c:showVal val="1"/>
          <c:showCatName val="0"/>
          <c:showSerName val="0"/>
          <c:showPercent val="0"/>
          <c:showBubbleSize val="0"/>
        </c:dLbls>
        <c:gapWidth val="150"/>
        <c:overlap val="-25"/>
        <c:axId val="186997084"/>
        <c:axId val="575732710"/>
      </c:barChart>
      <c:catAx>
        <c:axId val="1869970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5732710"/>
        <c:crosses val="autoZero"/>
        <c:auto val="1"/>
        <c:lblAlgn val="ctr"/>
        <c:lblOffset val="100"/>
        <c:noMultiLvlLbl val="0"/>
      </c:catAx>
      <c:valAx>
        <c:axId val="575732710"/>
        <c:scaling>
          <c:orientation val="minMax"/>
        </c:scaling>
        <c:delete val="1"/>
        <c:axPos val="l"/>
        <c:numFmt formatCode="General" sourceLinked="1"/>
        <c:majorTickMark val="none"/>
        <c:minorTickMark val="none"/>
        <c:tickLblPos val="nextTo"/>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6997084"/>
        <c:crosses val="autoZero"/>
        <c:crossBetween val="between"/>
      </c:valAx>
      <c:spPr>
        <a:noFill/>
        <a:ln>
          <a:noFill/>
        </a:ln>
        <a:effectLst/>
      </c:spPr>
    </c:plotArea>
    <c:legend>
      <c:legendPos val="t"/>
      <c:layout/>
      <c:overlay val="0"/>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'[（图表）DXL.docx.xlsx]Sheet2 (3)'!$B$1:$B$2</c:f>
              <c:strCache>
                <c:ptCount val="1"/>
                <c:pt idx="0">
                  <c:v>一般公共预算财政拨款支出决算变动情况 金额（万元）</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'[（图表）DXL.docx.xlsx]Sheet2 (3)'!$A$3:$A$4</c:f>
              <c:strCache>
                <c:ptCount val="2"/>
                <c:pt idx="0">
                  <c:v>2025年</c:v>
                </c:pt>
                <c:pt idx="1">
                  <c:v>2024年</c:v>
                </c:pt>
              </c:strCache>
            </c:strRef>
          </c:cat>
          <c:val>
            <c:numRef>
              <c:f>'[（图表）DXL.docx.xlsx]Sheet2 (3)'!$B$3:$B$4</c:f>
              <c:numCache>
                <c:formatCode>General</c:formatCode>
                <c:ptCount val="2"/>
                <c:pt idx="0">
                  <c:v>6693.04</c:v>
                </c:pt>
                <c:pt idx="1">
                  <c:v>13729.23</c:v>
                </c:pt>
              </c:numCache>
            </c:numRef>
          </c:val>
        </c:ser>
        <c:dLbls>
          <c:showLegendKey val="0"/>
          <c:showVal val="1"/>
          <c:showCatName val="0"/>
          <c:showSerName val="0"/>
          <c:showPercent val="0"/>
          <c:showBubbleSize val="0"/>
        </c:dLbls>
        <c:gapWidth val="75"/>
        <c:overlap val="0"/>
        <c:axId val="670413429"/>
        <c:axId val="622212665"/>
      </c:barChart>
      <c:catAx>
        <c:axId val="67041342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2212665"/>
        <c:crosses val="autoZero"/>
        <c:auto val="1"/>
        <c:lblAlgn val="ctr"/>
        <c:lblOffset val="100"/>
        <c:noMultiLvlLbl val="0"/>
      </c:catAx>
      <c:valAx>
        <c:axId val="622212665"/>
        <c:scaling>
          <c:orientation val="minMax"/>
        </c:scaling>
        <c:delete val="0"/>
        <c:axPos val="l"/>
        <c:numFmt formatCode="General" sourceLinked="1"/>
        <c:majorTickMark val="none"/>
        <c:minorTickMark val="none"/>
        <c:tickLblPos val="nextTo"/>
        <c:spPr>
          <a:noFill/>
          <a:ln w="6350" cap="flat" cmpd="sng" algn="ctr">
            <a:noFill/>
            <a:prstDash val="solid"/>
            <a:round/>
          </a:ln>
          <a:effectLst/>
        </c:spPr>
        <c:txPr>
          <a:bodyPr rot="-6000000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0413429"/>
        <c:crosses val="autoZero"/>
        <c:crossBetween val="between"/>
      </c:valAx>
      <c:spPr>
        <a:noFill/>
        <a:ln>
          <a:noFill/>
        </a:ln>
        <a:effectLst/>
      </c:spPr>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1000" kern="1200">
          <a:solidFill>
            <a:schemeClr val="tx1"/>
          </a:solidFill>
          <a:latin typeface="+mn-lt"/>
          <a:ea typeface="+mn-ea"/>
          <a:cs typeface="+mn-cs"/>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40" b="0" i="0" u="none" strike="noStrike" kern="1200" spc="0" baseline="0">
              <a:solidFill>
                <a:schemeClr val="tx1">
                  <a:lumMod val="65000"/>
                  <a:lumOff val="35000"/>
                </a:schemeClr>
              </a:solidFill>
              <a:latin typeface="+mn-lt"/>
              <a:ea typeface="+mn-ea"/>
              <a:cs typeface="+mn-cs"/>
            </a:defRPr>
          </a:pPr>
        </a:p>
      </c:txPr>
    </c:title>
    <c:autoTitleDeleted val="0"/>
    <c:plotArea>
      <c:layout/>
      <c:ofPieChart>
        <c:ofPieType val="bar"/>
        <c:varyColors val="1"/>
        <c:ser>
          <c:idx val="0"/>
          <c:order val="0"/>
          <c:tx>
            <c:strRef>
              <c:f>Sheet1!$B$1</c:f>
              <c:strCache>
                <c:ptCount val="1"/>
                <c:pt idx="0">
                  <c:v>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65000"/>
                        <a:lumOff val="3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住房保障支出</c:v>
                </c:pt>
                <c:pt idx="1">
                  <c:v>农林水支出</c:v>
                </c:pt>
                <c:pt idx="2">
                  <c:v>城乡社区支出</c:v>
                </c:pt>
                <c:pt idx="3">
                  <c:v>节能环保支出</c:v>
                </c:pt>
                <c:pt idx="4">
                  <c:v>卫生健康支出</c:v>
                </c:pt>
                <c:pt idx="5">
                  <c:v>社会保障和就业支出</c:v>
                </c:pt>
              </c:strCache>
            </c:strRef>
          </c:cat>
          <c:val>
            <c:numRef>
              <c:f>Sheet1!$B$2:$B$7</c:f>
              <c:numCache>
                <c:formatCode>General</c:formatCode>
                <c:ptCount val="6"/>
                <c:pt idx="0">
                  <c:v>76.35</c:v>
                </c:pt>
                <c:pt idx="1">
                  <c:v>1333.31</c:v>
                </c:pt>
                <c:pt idx="2">
                  <c:v>5869.75</c:v>
                </c:pt>
                <c:pt idx="3">
                  <c:v>334.87</c:v>
                </c:pt>
                <c:pt idx="4">
                  <c:v>10.42</c:v>
                </c:pt>
                <c:pt idx="5">
                  <c:v>30.17</c:v>
                </c:pt>
              </c:numCache>
            </c:numRef>
          </c:val>
        </c:ser>
        <c:dLbls>
          <c:showLegendKey val="0"/>
          <c:showVal val="0"/>
          <c:showCatName val="0"/>
          <c:showSerName val="0"/>
          <c:showPercent val="1"/>
          <c:showBubbleSize val="0"/>
          <c:showLeaderLines val="1"/>
        </c:dLbls>
        <c:gapWidth val="100"/>
        <c:secondPieSize val="75"/>
        <c:serLines>
          <c:spPr>
            <a:ln w="9525" cap="flat" cmpd="sng" algn="ctr">
              <a:solidFill>
                <a:schemeClr val="tx1">
                  <a:lumMod val="35000"/>
                  <a:lumOff val="65000"/>
                </a:schemeClr>
              </a:solidFill>
              <a:round/>
            </a:ln>
            <a:effectLst/>
          </c:spPr>
        </c:serLines>
      </c:of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lgn="ctr" defTabSz="914400">
              <a:defRPr lang="zh-CN" sz="1400" b="0" i="0" u="none" strike="noStrike" kern="1200" spc="0" baseline="0">
                <a:solidFill>
                  <a:schemeClr val="tx1">
                    <a:lumMod val="65000"/>
                    <a:lumOff val="35000"/>
                  </a:schemeClr>
                </a:solidFill>
                <a:latin typeface="+mn-lt"/>
                <a:ea typeface="+mn-ea"/>
                <a:cs typeface="+mn-cs"/>
              </a:defRPr>
            </a:pPr>
            <a:r>
              <a:rPr sz="1400" b="0" i="0" u="none" strike="noStrike" kern="1200" cap="none" spc="0" normalizeH="0" baseline="0">
                <a:solidFill>
                  <a:schemeClr val="tx1">
                    <a:lumMod val="65000"/>
                    <a:lumOff val="35000"/>
                  </a:schemeClr>
                </a:solidFill>
                <a:effectLst/>
                <a:latin typeface="+mn-lt"/>
                <a:ea typeface="+mn-ea"/>
                <a:cs typeface="+mn-cs"/>
              </a:rPr>
              <a:t>“三公”经费财政拨款支出结构 </a:t>
            </a:r>
            <a:endParaRPr sz="1400" b="0" i="0" u="none" strike="noStrike" kern="1200" cap="none" spc="0" normalizeH="0" baseline="0">
              <a:solidFill>
                <a:schemeClr val="tx1">
                  <a:lumMod val="65000"/>
                  <a:lumOff val="35000"/>
                </a:schemeClr>
              </a:solidFill>
              <a:effectLst/>
              <a:latin typeface="+mn-lt"/>
              <a:ea typeface="+mn-ea"/>
              <a:cs typeface="+mn-cs"/>
            </a:endParaRPr>
          </a:p>
        </c:rich>
      </c:tx>
      <c:layout/>
      <c:overlay val="0"/>
      <c:spPr>
        <a:noFill/>
        <a:ln>
          <a:noFill/>
        </a:ln>
        <a:effectLst/>
      </c:spPr>
    </c:title>
    <c:autoTitleDeleted val="0"/>
    <c:plotArea>
      <c:layout/>
      <c:pieChart>
        <c:varyColors val="1"/>
        <c:ser>
          <c:idx val="0"/>
          <c:order val="0"/>
          <c:tx>
            <c:strRef>
              <c:f>'[（图表）DXL.docx.xlsx]Sheet3 (4)'!$B$1:$B$2</c:f>
              <c:strCache>
                <c:ptCount val="1"/>
                <c:pt idx="0">
                  <c:v>“三公”经费财政拨款支出结构 占比</c:v>
                </c:pt>
              </c:strCache>
            </c:strRef>
          </c:tx>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numFmt formatCode="General" sourceLinked="1"/>
            <c:spPr>
              <a:noFill/>
              <a:ln>
                <a:noFill/>
              </a:ln>
              <a:effectLst/>
            </c:spPr>
            <c:txPr>
              <a:bodyPr rot="0" spcFirstLastPara="0" vertOverflow="ellipsis" horzOverflow="overflow"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'[（图表）DXL.docx.xlsx]Sheet3 (4)'!$A$3:$A$4</c:f>
              <c:strCache>
                <c:ptCount val="2"/>
                <c:pt idx="0">
                  <c:v>公务用车购置及运行维护费支出决算</c:v>
                </c:pt>
                <c:pt idx="1">
                  <c:v>公务接待费支出决算</c:v>
                </c:pt>
              </c:strCache>
            </c:strRef>
          </c:cat>
          <c:val>
            <c:numRef>
              <c:f>'[（图表）DXL.docx.xlsx]Sheet3 (4)'!$B$3:$B$4</c:f>
              <c:numCache>
                <c:formatCode>0.00%</c:formatCode>
                <c:ptCount val="2"/>
                <c:pt idx="0">
                  <c:v>0.975</c:v>
                </c:pt>
                <c:pt idx="1">
                  <c:v>0.025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horzOverflow="overflow"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rot="0" spcFirstLastPara="0" vertOverflow="ellipsis" horzOverflow="overflow" vert="horz" wrap="square" anchor="ctr" anchorCtr="1"/>
    <a:lstStyle/>
    <a:p>
      <a:pPr>
        <a:defRPr lang="zh-CN" sz="900" kern="1200">
          <a:solidFill>
            <a:schemeClr val="tx1"/>
          </a:solidFill>
          <a:latin typeface="+mn-lt"/>
          <a:ea typeface="+mn-ea"/>
          <a:cs typeface="+mn-cs"/>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7863</Words>
  <Characters>8359</Characters>
  <Lines>61</Lines>
  <Paragraphs>17</Paragraphs>
  <TotalTime>18</TotalTime>
  <ScaleCrop>false</ScaleCrop>
  <LinksUpToDate>false</LinksUpToDate>
  <CharactersWithSpaces>8386</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2026-09-29T09:37:00Z</cp:lastPrinted>
  <dcterms:modified xsi:type="dcterms:W3CDTF">2026-10-08T01:46:34Z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ICV">
    <vt:lpwstr>4215A0077260487BA6774CD1D241877F</vt:lpwstr>
  </property>
</Properties>
</file>