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黑体_GBK" w:hAnsi="方正黑体_GBK" w:eastAsia="方正黑体_GBK" w:cs="方正黑体_GBK"/>
          <w:sz w:val="32"/>
          <w:szCs w:val="32"/>
          <w:highlight w:val="none"/>
          <w:lang w:eastAsia="zh-Hans"/>
        </w:rPr>
      </w:pPr>
      <w:r>
        <w:rPr>
          <w:rFonts w:hint="eastAsia" w:ascii="方正黑体_GBK" w:hAnsi="方正黑体_GBK" w:eastAsia="方正黑体_GBK" w:cs="方正黑体_GBK"/>
          <w:sz w:val="32"/>
          <w:szCs w:val="32"/>
          <w:highlight w:val="none"/>
          <w:lang w:val="en-US" w:eastAsia="zh-Hans"/>
        </w:rPr>
        <w:t>附件</w:t>
      </w:r>
      <w:r>
        <w:rPr>
          <w:rFonts w:hint="eastAsia" w:ascii="方正黑体_GBK" w:hAnsi="方正黑体_GBK" w:eastAsia="方正黑体_GBK" w:cs="方正黑体_GBK"/>
          <w:sz w:val="32"/>
          <w:szCs w:val="32"/>
          <w:highlight w:val="none"/>
          <w:lang w:eastAsia="zh-Hans"/>
        </w:rPr>
        <w:t>3</w:t>
      </w:r>
    </w:p>
    <w:p>
      <w:pPr>
        <w:jc w:val="both"/>
        <w:rPr>
          <w:rFonts w:ascii="方正小标宋简体" w:hAnsi="黑体" w:eastAsia="方正小标宋简体"/>
          <w:sz w:val="84"/>
          <w:szCs w:val="84"/>
          <w:highlight w:val="none"/>
        </w:rPr>
      </w:pPr>
    </w:p>
    <w:p>
      <w:pPr>
        <w:jc w:val="both"/>
        <w:rPr>
          <w:rFonts w:ascii="方正小标宋简体" w:hAnsi="黑体" w:eastAsia="方正小标宋简体"/>
          <w:sz w:val="84"/>
          <w:szCs w:val="84"/>
          <w:highlight w:val="none"/>
        </w:rPr>
      </w:pP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九寨沟县</w:t>
      </w:r>
    </w:p>
    <w:p>
      <w:pPr>
        <w:jc w:val="center"/>
        <w:rPr>
          <w:rFonts w:ascii="方正小标宋简体" w:hAnsi="黑体" w:eastAsia="方正小标宋简体"/>
          <w:sz w:val="84"/>
          <w:szCs w:val="84"/>
          <w:highlight w:val="none"/>
        </w:rPr>
      </w:pPr>
      <w:r>
        <w:rPr>
          <w:rFonts w:hint="eastAsia" w:ascii="方正小标宋简体" w:hAnsi="黑体" w:eastAsia="方正小标宋简体"/>
          <w:sz w:val="84"/>
          <w:szCs w:val="84"/>
          <w:highlight w:val="none"/>
        </w:rPr>
        <w:t>交通工程质量检验监督站</w:t>
      </w:r>
    </w:p>
    <w:p>
      <w:pPr>
        <w:jc w:val="cente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lang w:eastAsia="zh-CN"/>
        </w:rPr>
        <w:t>2024</w:t>
      </w:r>
      <w:r>
        <w:rPr>
          <w:rFonts w:hint="eastAsia" w:ascii="方正小标宋简体" w:hAnsi="黑体" w:eastAsia="方正小标宋简体"/>
          <w:sz w:val="84"/>
          <w:szCs w:val="84"/>
          <w:highlight w:val="none"/>
        </w:rPr>
        <w:t>年</w:t>
      </w:r>
      <w:r>
        <w:rPr>
          <w:rFonts w:hint="eastAsia" w:ascii="方正小标宋简体" w:hAnsi="黑体" w:eastAsia="方正小标宋简体"/>
          <w:sz w:val="84"/>
          <w:szCs w:val="84"/>
          <w:highlight w:val="none"/>
          <w:lang w:val="en-US" w:eastAsia="zh-Hans"/>
        </w:rPr>
        <w:t>单位</w:t>
      </w:r>
      <w:r>
        <w:rPr>
          <w:rFonts w:hint="eastAsia" w:ascii="方正小标宋简体" w:hAnsi="黑体" w:eastAsia="方正小标宋简体"/>
          <w:sz w:val="84"/>
          <w:szCs w:val="84"/>
          <w:highlight w:val="none"/>
        </w:rPr>
        <w:t>预算</w:t>
      </w:r>
    </w:p>
    <w:p>
      <w:pPr>
        <w:rPr>
          <w:rFonts w:hint="eastAsia" w:ascii="方正小标宋简体" w:hAnsi="黑体" w:eastAsia="方正小标宋简体"/>
          <w:sz w:val="84"/>
          <w:szCs w:val="84"/>
          <w:highlight w:val="none"/>
        </w:rPr>
      </w:pPr>
      <w:r>
        <w:rPr>
          <w:rFonts w:hint="eastAsia" w:ascii="方正小标宋简体" w:hAnsi="黑体" w:eastAsia="方正小标宋简体"/>
          <w:sz w:val="84"/>
          <w:szCs w:val="84"/>
          <w:highlight w:val="none"/>
        </w:rPr>
        <w:br w:type="page"/>
      </w:r>
    </w:p>
    <w:p>
      <w:pPr>
        <w:jc w:val="center"/>
        <w:rPr>
          <w:rFonts w:ascii="方正小标宋简体" w:eastAsia="方正小标宋简体"/>
          <w:sz w:val="32"/>
          <w:szCs w:val="32"/>
          <w:highlight w:val="none"/>
        </w:rPr>
      </w:pPr>
      <w:r>
        <w:rPr>
          <w:rFonts w:hint="eastAsia" w:ascii="方正小标宋简体" w:eastAsia="方正小标宋简体"/>
          <w:sz w:val="44"/>
          <w:szCs w:val="44"/>
          <w:highlight w:val="none"/>
        </w:rPr>
        <w:t>目录</w:t>
      </w:r>
    </w:p>
    <w:p>
      <w:pPr>
        <w:jc w:val="both"/>
        <w:rPr>
          <w:rFonts w:ascii="黑体" w:hAnsi="黑体" w:eastAsia="黑体"/>
          <w:sz w:val="32"/>
          <w:szCs w:val="32"/>
          <w:highlight w:val="none"/>
        </w:rPr>
      </w:pPr>
      <w:r>
        <w:rPr>
          <w:rFonts w:hint="eastAsia" w:ascii="黑体" w:hAnsi="黑体" w:eastAsia="黑体"/>
          <w:sz w:val="32"/>
          <w:szCs w:val="32"/>
          <w:highlight w:val="none"/>
        </w:rPr>
        <w:t>第一部分  交通工程质量检验监督站概况</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一、交通工程质量检验监督站职能简介</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二、交通工程质量检验监督站</w:t>
      </w:r>
      <w:r>
        <w:rPr>
          <w:rFonts w:hint="eastAsia" w:ascii="仿宋_GB2312" w:hAnsi="仿宋" w:eastAsia="仿宋_GB2312"/>
          <w:sz w:val="32"/>
          <w:szCs w:val="32"/>
          <w:highlight w:val="none"/>
          <w:lang w:eastAsia="zh-CN"/>
        </w:rPr>
        <w:t>2024</w:t>
      </w:r>
      <w:r>
        <w:rPr>
          <w:rFonts w:hint="eastAsia" w:ascii="仿宋_GB2312" w:hAnsi="仿宋" w:eastAsia="仿宋_GB2312"/>
          <w:sz w:val="32"/>
          <w:szCs w:val="32"/>
          <w:highlight w:val="none"/>
        </w:rPr>
        <w:t>年重点工作</w:t>
      </w:r>
    </w:p>
    <w:p>
      <w:pPr>
        <w:jc w:val="both"/>
        <w:rPr>
          <w:rFonts w:ascii="黑体" w:hAnsi="黑体" w:eastAsia="黑体"/>
          <w:sz w:val="32"/>
          <w:szCs w:val="32"/>
          <w:highlight w:val="none"/>
        </w:rPr>
      </w:pPr>
      <w:r>
        <w:rPr>
          <w:rFonts w:hint="eastAsia" w:ascii="黑体" w:hAnsi="黑体" w:eastAsia="黑体"/>
          <w:sz w:val="32"/>
          <w:szCs w:val="32"/>
          <w:highlight w:val="none"/>
        </w:rPr>
        <w:t>第二部分  交通工程质量检验监督站</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收支总表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2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收入总表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支出总表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四、</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4 </w:t>
      </w:r>
      <w:r>
        <w:rPr>
          <w:rFonts w:hint="eastAsia" w:ascii="仿宋_GB2312" w:hAnsi="仿宋" w:eastAsia="仿宋_GB2312"/>
          <w:sz w:val="32"/>
          <w:szCs w:val="32"/>
          <w:highlight w:val="none"/>
        </w:rPr>
        <w:t>财政拨款收支预算总表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五、</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5 </w:t>
      </w:r>
      <w:r>
        <w:rPr>
          <w:rFonts w:hint="eastAsia" w:ascii="仿宋_GB2312" w:hAnsi="仿宋" w:eastAsia="仿宋_GB2312"/>
          <w:sz w:val="32"/>
          <w:szCs w:val="32"/>
          <w:highlight w:val="none"/>
        </w:rPr>
        <w:t>财政拨款支出预算表（部门经济分类科目）</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六、</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6 </w:t>
      </w:r>
      <w:r>
        <w:rPr>
          <w:rFonts w:hint="eastAsia" w:ascii="仿宋_GB2312" w:hAnsi="仿宋" w:eastAsia="仿宋_GB2312"/>
          <w:sz w:val="32"/>
          <w:szCs w:val="32"/>
          <w:highlight w:val="none"/>
        </w:rPr>
        <w:t>一般公共预算支出预算表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七、</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7 </w:t>
      </w:r>
      <w:r>
        <w:rPr>
          <w:rFonts w:hint="eastAsia" w:ascii="仿宋_GB2312" w:hAnsi="仿宋" w:eastAsia="仿宋_GB2312"/>
          <w:sz w:val="32"/>
          <w:szCs w:val="32"/>
          <w:highlight w:val="none"/>
        </w:rPr>
        <w:t>一般公共预算基本支出预算表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八、</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8 </w:t>
      </w:r>
      <w:r>
        <w:rPr>
          <w:rFonts w:hint="eastAsia" w:ascii="仿宋_GB2312" w:hAnsi="仿宋" w:eastAsia="仿宋_GB2312"/>
          <w:sz w:val="32"/>
          <w:szCs w:val="32"/>
          <w:highlight w:val="none"/>
        </w:rPr>
        <w:t>一般公共预算项目支出预算表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九、</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9 </w:t>
      </w:r>
      <w:r>
        <w:rPr>
          <w:rFonts w:hint="eastAsia" w:ascii="仿宋_GB2312" w:hAnsi="仿宋" w:eastAsia="仿宋_GB2312"/>
          <w:sz w:val="32"/>
          <w:szCs w:val="32"/>
          <w:highlight w:val="none"/>
        </w:rPr>
        <w:t>一般公共预算“三公”经费支出预算表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10 </w:t>
      </w:r>
      <w:r>
        <w:rPr>
          <w:rFonts w:hint="eastAsia" w:ascii="仿宋_GB2312" w:hAnsi="仿宋" w:eastAsia="仿宋_GB2312"/>
          <w:sz w:val="32"/>
          <w:szCs w:val="32"/>
          <w:highlight w:val="none"/>
        </w:rPr>
        <w:t>政府性基金预算支出表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十一、</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11 </w:t>
      </w:r>
      <w:r>
        <w:rPr>
          <w:rFonts w:hint="eastAsia" w:ascii="仿宋_GB2312" w:hAnsi="仿宋" w:eastAsia="仿宋_GB2312"/>
          <w:sz w:val="32"/>
          <w:szCs w:val="32"/>
          <w:highlight w:val="none"/>
        </w:rPr>
        <w:t>政府性基金预算“三公”经费支出预算表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十二、</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12 </w:t>
      </w:r>
      <w:r>
        <w:rPr>
          <w:rFonts w:hint="eastAsia" w:ascii="仿宋_GB2312" w:hAnsi="仿宋" w:eastAsia="仿宋_GB2312"/>
          <w:sz w:val="32"/>
          <w:szCs w:val="32"/>
          <w:highlight w:val="none"/>
        </w:rPr>
        <w:t>国有资本经营预算支出表</w:t>
      </w:r>
    </w:p>
    <w:p>
      <w:pPr>
        <w:jc w:val="both"/>
        <w:rPr>
          <w:rFonts w:ascii="仿宋_GB2312" w:hAnsi="仿宋" w:eastAsia="仿宋_GB2312"/>
          <w:sz w:val="32"/>
          <w:szCs w:val="32"/>
          <w:highlight w:val="none"/>
        </w:rPr>
      </w:pPr>
      <w:r>
        <w:rPr>
          <w:rFonts w:hint="eastAsia" w:ascii="仿宋_GB2312" w:hAnsi="仿宋" w:eastAsia="仿宋_GB2312"/>
          <w:sz w:val="32"/>
          <w:szCs w:val="32"/>
          <w:highlight w:val="none"/>
        </w:rPr>
        <w:t>十三、</w:t>
      </w:r>
      <w:r>
        <w:rPr>
          <w:rFonts w:hint="eastAsia" w:ascii="仿宋_GB2312" w:hAnsi="仿宋" w:eastAsia="仿宋_GB2312"/>
          <w:sz w:val="32"/>
          <w:szCs w:val="32"/>
          <w:highlight w:val="none"/>
          <w:lang w:val="en-US" w:eastAsia="zh-Hans"/>
        </w:rPr>
        <w:t>表</w:t>
      </w:r>
      <w:r>
        <w:rPr>
          <w:rFonts w:hint="default" w:ascii="仿宋_GB2312" w:hAnsi="仿宋" w:eastAsia="仿宋_GB2312"/>
          <w:sz w:val="32"/>
          <w:szCs w:val="32"/>
          <w:highlight w:val="none"/>
          <w:lang w:eastAsia="zh-Hans"/>
        </w:rPr>
        <w:t xml:space="preserve">13 </w:t>
      </w:r>
      <w:r>
        <w:rPr>
          <w:rFonts w:hint="eastAsia" w:ascii="仿宋_GB2312" w:hAnsi="仿宋" w:eastAsia="仿宋_GB2312"/>
          <w:sz w:val="32"/>
          <w:szCs w:val="32"/>
          <w:highlight w:val="none"/>
          <w:lang w:val="en-US" w:eastAsia="zh-Hans"/>
        </w:rPr>
        <w:t>单位</w:t>
      </w:r>
      <w:r>
        <w:rPr>
          <w:rFonts w:hint="eastAsia" w:ascii="仿宋_GB2312" w:hAnsi="仿宋" w:eastAsia="仿宋_GB2312"/>
          <w:sz w:val="32"/>
          <w:szCs w:val="32"/>
          <w:highlight w:val="none"/>
        </w:rPr>
        <w:t>预算项目绩效目标表</w:t>
      </w:r>
    </w:p>
    <w:p>
      <w:pPr>
        <w:jc w:val="both"/>
        <w:rPr>
          <w:rFonts w:ascii="黑体" w:hAnsi="黑体" w:eastAsia="黑体"/>
          <w:sz w:val="32"/>
          <w:szCs w:val="32"/>
          <w:highlight w:val="none"/>
        </w:rPr>
      </w:pPr>
      <w:r>
        <w:rPr>
          <w:rFonts w:hint="eastAsia" w:ascii="黑体" w:hAnsi="黑体" w:eastAsia="黑体"/>
          <w:sz w:val="32"/>
          <w:szCs w:val="32"/>
          <w:highlight w:val="none"/>
        </w:rPr>
        <w:t>第三部分  交通工程质量检验监督站</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w:t>
      </w:r>
      <w:r>
        <w:rPr>
          <w:rFonts w:hint="eastAsia" w:ascii="黑体" w:hAnsi="黑体" w:eastAsia="黑体"/>
          <w:sz w:val="32"/>
          <w:szCs w:val="32"/>
          <w:highlight w:val="none"/>
          <w:lang w:val="en-US" w:eastAsia="zh-Hans"/>
        </w:rPr>
        <w:t>单位</w:t>
      </w:r>
      <w:r>
        <w:rPr>
          <w:rFonts w:hint="eastAsia" w:ascii="黑体" w:hAnsi="黑体" w:eastAsia="黑体"/>
          <w:sz w:val="32"/>
          <w:szCs w:val="32"/>
          <w:highlight w:val="none"/>
        </w:rPr>
        <w:t>预算情况说明</w:t>
      </w:r>
    </w:p>
    <w:p>
      <w:pPr>
        <w:jc w:val="both"/>
        <w:rPr>
          <w:rFonts w:hint="eastAsia" w:ascii="黑体" w:hAnsi="黑体" w:eastAsia="黑体"/>
          <w:sz w:val="32"/>
          <w:szCs w:val="32"/>
          <w:highlight w:val="none"/>
        </w:rPr>
      </w:pPr>
      <w:r>
        <w:rPr>
          <w:rFonts w:hint="eastAsia" w:ascii="黑体" w:hAnsi="黑体" w:eastAsia="黑体"/>
          <w:sz w:val="32"/>
          <w:szCs w:val="32"/>
          <w:highlight w:val="none"/>
        </w:rPr>
        <w:t>第四部分  名词解释</w:t>
      </w:r>
    </w:p>
    <w:p>
      <w:pPr>
        <w:rPr>
          <w:rFonts w:hint="eastAsia" w:ascii="黑体" w:hAnsi="黑体" w:eastAsia="黑体"/>
          <w:sz w:val="32"/>
          <w:szCs w:val="32"/>
          <w:highlight w:val="none"/>
        </w:rPr>
      </w:pPr>
      <w:r>
        <w:rPr>
          <w:rFonts w:hint="eastAsia" w:ascii="黑体" w:hAnsi="黑体" w:eastAsia="黑体"/>
          <w:sz w:val="32"/>
          <w:szCs w:val="32"/>
          <w:highlight w:val="none"/>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第一部分  交通工程质量检验监督站概况</w:t>
      </w:r>
    </w:p>
    <w:p>
      <w:pPr>
        <w:rPr>
          <w:highlight w:val="none"/>
        </w:rPr>
      </w:pPr>
      <w:r>
        <w:rPr>
          <w:rFonts w:hint="eastAsia" w:ascii="方正小标宋简体" w:hAnsi="黑体" w:eastAsia="方正小标宋简体"/>
          <w:sz w:val="44"/>
          <w:szCs w:val="44"/>
          <w:highlight w:val="none"/>
        </w:rPr>
        <w:br w:type="page"/>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一</w:t>
      </w:r>
      <w:r>
        <w:rPr>
          <w:rFonts w:ascii="黑体" w:hAnsi="黑体" w:eastAsia="黑体"/>
          <w:sz w:val="32"/>
          <w:szCs w:val="32"/>
          <w:highlight w:val="none"/>
        </w:rPr>
        <w:t>、</w:t>
      </w:r>
      <w:r>
        <w:rPr>
          <w:rFonts w:hint="eastAsia" w:ascii="黑体" w:hAnsi="黑体" w:eastAsia="黑体"/>
          <w:sz w:val="32"/>
          <w:szCs w:val="32"/>
          <w:highlight w:val="none"/>
        </w:rPr>
        <w:t>交通工程质量检验监督站职能</w:t>
      </w:r>
      <w:r>
        <w:rPr>
          <w:rFonts w:ascii="黑体" w:hAnsi="黑体" w:eastAsia="黑体"/>
          <w:sz w:val="32"/>
          <w:szCs w:val="32"/>
          <w:highlight w:val="none"/>
        </w:rPr>
        <w:t>简介</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1、贯彻执行国家、省、州有关交通运输行业的方针、政策和法律、法规。组织拟订并监督实施公路、水路等行业规划、政策和标准，会同有关部门组织编制综合运输体系规划，参与拟订物流业发展战略和规划。</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2、根据上级部门的总体部署，</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编制全县公路和水路行业发展规划、中长期规划和年度计划，并监督实施。负责全县交通行业统计和信息引导。负责本系统、本部门依法行政工作，落实行政执法责任制。指导公路、水路行业有关体制改革工作。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3、承担道路、水路交通运输市场监管责任，组织制定道路、水路运输有关政策、技术标准和运营规范并监督实施；负责全县公路和水路交通运输(含客货运输市场汽车技术检测，汽车维修市场、运输服务市场、汽车驾校和驾驶员培训工作)行业管理，培育公路、水路运输市场，维护交通运输行业平等竞争秩序；指导城市公共客运管理；指导城乡客、货运输的衔接协调工作；指导交通运输行业优化结构、协调发展；对关系救灾、抢险、战备等紧急客货运输进行必要的调控。</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4、负责全县公路、水路交通建设(含客货运输旅游运输场站建设)行业管理，维护交通建设行业平等竞争的秩序，组织实施国家、省、州、县重点公路、水路工程建设；监督全县地方交通建设项目实施。</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5、负责全县公路、水路交通设施的维护、管理；负责全县公路，桥梁、隧道收取通行费、站卡设置的协调和管理。</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6、负责全县水上交通安全监督、船舶及水上设施检验，通讯导航，救助打捞、船舶代理的管理；负责船员技术培训和发证的归口管理。</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7、指导公路、水路行业安全生产和应急管理工作。按规定组织协调重点物资和紧急客货运输。组织协调地方交通战备工作。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8、贯彻执行国家有关交通科技政策、指导实施交通行业计量、质量、技术标准和规范工作；组织推动行业科技创新、科技进步和技术推广。</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9、指导全县交通行业的体制改革和交通特许经营企业的管理，建立健全规范的交通行业财务管理与会计核算体系。监督管理全县交通行业国有资产。</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10、负责指导交通行业精神文明建设、廉政建设、行业建设和职工队伍建设；指导交通行业人才预测、教育、培训和劳动卫生工作；负责局机关的人事管理、劳动工资和机构编制工作；负责局直属单位领导干部以及局属单位的人事管理、劳动工资和机构编制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11、负责有关交通涉外工作，指导交通行业利用外资工作：开展省际、市地、州、县际交通经济技术合作与交流工作。</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12、会同有关部门制定、执行涉及交通的有关地方政策。</w:t>
      </w:r>
    </w:p>
    <w:p>
      <w:pPr>
        <w:ind w:firstLine="640" w:firstLineChars="200"/>
        <w:jc w:val="both"/>
        <w:rPr>
          <w:rFonts w:hint="eastAsia" w:ascii="仿宋_GB2312" w:hAnsi="仿宋" w:eastAsia="仿宋_GB2312"/>
          <w:sz w:val="32"/>
          <w:szCs w:val="32"/>
          <w:highlight w:val="none"/>
        </w:rPr>
      </w:pPr>
      <w:r>
        <w:rPr>
          <w:rFonts w:hint="eastAsia" w:ascii="仿宋_GB2312" w:hAnsi="仿宋" w:eastAsia="仿宋_GB2312"/>
          <w:sz w:val="32"/>
          <w:szCs w:val="32"/>
          <w:highlight w:val="none"/>
        </w:rPr>
        <w:t>13、承担县政府公布的有关行政审批事项。</w:t>
      </w:r>
    </w:p>
    <w:p>
      <w:pPr>
        <w:ind w:firstLine="640" w:firstLineChars="200"/>
        <w:jc w:val="both"/>
        <w:rPr>
          <w:rFonts w:ascii="仿宋_GB2312" w:hAnsi="仿宋" w:eastAsia="仿宋_GB2312"/>
          <w:sz w:val="32"/>
          <w:szCs w:val="32"/>
          <w:highlight w:val="none"/>
        </w:rPr>
      </w:pPr>
      <w:r>
        <w:rPr>
          <w:rFonts w:hint="eastAsia" w:ascii="仿宋_GB2312" w:hAnsi="仿宋" w:eastAsia="仿宋_GB2312"/>
          <w:sz w:val="32"/>
          <w:szCs w:val="32"/>
          <w:highlight w:val="none"/>
        </w:rPr>
        <w:t>14、承办县政府交办的其他事项。</w:t>
      </w:r>
    </w:p>
    <w:p>
      <w:pPr>
        <w:ind w:firstLine="640" w:firstLineChars="200"/>
        <w:jc w:val="both"/>
        <w:rPr>
          <w:rFonts w:ascii="仿宋_GB2312" w:hAnsi="仿宋" w:eastAsia="仿宋_GB2312"/>
          <w:sz w:val="32"/>
          <w:szCs w:val="32"/>
          <w:highlight w:val="none"/>
        </w:rPr>
      </w:pPr>
    </w:p>
    <w:p>
      <w:pPr>
        <w:ind w:firstLine="640" w:firstLineChars="200"/>
        <w:jc w:val="both"/>
        <w:rPr>
          <w:rFonts w:ascii="仿宋_GB2312" w:hAnsi="仿宋" w:eastAsia="仿宋_GB2312"/>
          <w:sz w:val="32"/>
          <w:szCs w:val="32"/>
          <w:highlight w:val="none"/>
        </w:rPr>
      </w:pPr>
      <w:r>
        <w:rPr>
          <w:rFonts w:hint="eastAsia" w:ascii="黑体" w:hAnsi="黑体" w:eastAsia="黑体"/>
          <w:sz w:val="32"/>
          <w:szCs w:val="32"/>
          <w:highlight w:val="none"/>
        </w:rPr>
        <w:t>二</w:t>
      </w:r>
      <w:r>
        <w:rPr>
          <w:rFonts w:hint="default" w:ascii="黑体" w:hAnsi="黑体" w:eastAsia="黑体"/>
          <w:sz w:val="32"/>
          <w:szCs w:val="32"/>
          <w:highlight w:val="none"/>
        </w:rPr>
        <w:t>、</w:t>
      </w:r>
      <w:r>
        <w:rPr>
          <w:rFonts w:hint="eastAsia" w:ascii="黑体" w:hAnsi="黑体" w:eastAsia="黑体"/>
          <w:sz w:val="32"/>
          <w:szCs w:val="32"/>
          <w:highlight w:val="none"/>
        </w:rPr>
        <w:t>交通工程质量检验监督站</w:t>
      </w:r>
      <w:r>
        <w:rPr>
          <w:rFonts w:hint="eastAsia" w:ascii="黑体" w:hAnsi="黑体" w:eastAsia="黑体"/>
          <w:sz w:val="32"/>
          <w:szCs w:val="32"/>
          <w:highlight w:val="none"/>
          <w:lang w:eastAsia="zh-CN"/>
        </w:rPr>
        <w:t>2024</w:t>
      </w:r>
      <w:r>
        <w:rPr>
          <w:rFonts w:hint="eastAsia" w:ascii="黑体" w:hAnsi="黑体" w:eastAsia="黑体"/>
          <w:sz w:val="32"/>
          <w:szCs w:val="32"/>
          <w:highlight w:val="none"/>
        </w:rPr>
        <w:t>年重点工作</w:t>
      </w:r>
    </w:p>
    <w:p>
      <w:pPr>
        <w:ind w:firstLine="640" w:firstLineChars="200"/>
        <w:rPr>
          <w:rFonts w:ascii="方正小标宋简体" w:hAnsi="黑体" w:eastAsia="方正小标宋简体"/>
          <w:sz w:val="44"/>
          <w:szCs w:val="44"/>
          <w:highlight w:val="none"/>
        </w:rPr>
      </w:pPr>
      <w:r>
        <w:rPr>
          <w:rFonts w:hint="eastAsia" w:ascii="仿宋_GB2312" w:hAnsi="仿宋" w:eastAsia="仿宋_GB2312"/>
          <w:sz w:val="32"/>
          <w:szCs w:val="32"/>
          <w:highlight w:val="none"/>
        </w:rPr>
        <w:t>九寨沟县交通运输局主管全县交通运输，组织实施并监督执行全县公路、交通行业发展战略、政策、交通规章，主要以专业技术提供交通建设服务。狠抓项目投资，加快交通基础设施建设，积极做好九寨沟通用机场项目前期工作，加快推进九绵高速、G544双九路等在建项目建设，力争开工建设喇嘛领隧道。抓住创建全国“四好农村路”示范州机遇，结合我县省级“四好农村路”示范县创建工作，密切与九寨沟公路分局配合，搞好境内国省干线公路的管养，加强县域内农村公路的管理和养护，探索创新公路管养模式向专业化、市场化转变。确保道路安全畅通，全面提升公路运行能力</w:t>
      </w:r>
      <w:r>
        <w:rPr>
          <w:rFonts w:hint="eastAsia" w:ascii="仿宋_GB2312" w:hAnsi="仿宋" w:eastAsia="仿宋_GB2312"/>
          <w:sz w:val="32"/>
          <w:szCs w:val="32"/>
          <w:highlight w:val="none"/>
          <w:lang w:eastAsia="zh-CN"/>
        </w:rPr>
        <w:t>。</w:t>
      </w:r>
      <w:r>
        <w:rPr>
          <w:rFonts w:ascii="仿宋_GB2312" w:hAnsi="仿宋" w:eastAsia="仿宋_GB2312"/>
          <w:sz w:val="32"/>
          <w:szCs w:val="32"/>
          <w:highlight w:val="none"/>
        </w:rPr>
        <w:br w:type="page"/>
      </w: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第二部分  交通工程质量检验监督站</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预算表</w:t>
      </w:r>
    </w:p>
    <w:tbl>
      <w:tblPr>
        <w:tblStyle w:val="4"/>
        <w:tblW w:w="919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150"/>
        <w:gridCol w:w="879"/>
        <w:gridCol w:w="348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31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1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4"/>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部门收支总表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1215"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48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一、一般公共预算拨款收入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215.88</w:t>
            </w: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一、一般公共服务支出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二、政府性基金预算拨款收入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二、外交支出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三、国有资本经营预算拨款收入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三、国防支出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四、事业收入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四、公共安全支出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五、事业单位经营收入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五、教育支出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 xml:space="preserve">六、其他收入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六、科学技术支出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七、文化旅游体育与传媒支出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八、社会保障和就业支出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34.60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九、社会保险基金支出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十、卫生健康支出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10.97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十一、节能环保支出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十二、城乡社区支出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十三、农林水支出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十四、交通运输支出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151.50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十五、资源勘探工业信息等支出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十六、商业服务业等支出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十七、金融支出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十八、援助其他地区支出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十九、自然资源海洋气象等支出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二十、住房保障支出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18.81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二十一、粮油物资储备支出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二十二、国有资本经营预算支出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二十三、灾害防治及应急管理支出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二十四、预备费</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二十五、其他支出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二十六、转移性支出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二十七、债务还本支出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二十八、债务付息支出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二十九、债务发行费用支出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3"/>
                <w:szCs w:val="13"/>
                <w:u w:val="none"/>
              </w:rPr>
            </w:pP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ascii="Dialog . plain" w:hAnsi="Dialog . plain" w:eastAsia="Dialog . plain" w:cs="Dialog . plain"/>
                <w:i w:val="0"/>
                <w:iCs w:val="0"/>
                <w:color w:val="000000"/>
                <w:kern w:val="0"/>
                <w:sz w:val="13"/>
                <w:szCs w:val="13"/>
                <w:u w:val="none"/>
                <w:lang w:val="en-US" w:eastAsia="zh-CN" w:bidi="ar"/>
              </w:rPr>
              <w:t>三十、抗疫特别国债安排的支出</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ascii="Dialog . bold" w:hAnsi="Dialog . bold" w:eastAsia="Dialog . bold" w:cs="Dialog . bold"/>
                <w:b/>
                <w:bCs/>
                <w:i w:val="0"/>
                <w:iCs w:val="0"/>
                <w:color w:val="000000"/>
                <w:kern w:val="0"/>
                <w:sz w:val="13"/>
                <w:szCs w:val="13"/>
                <w:u w:val="none"/>
                <w:lang w:val="en-US" w:eastAsia="zh-CN" w:bidi="ar"/>
              </w:rPr>
              <w:t>本 年 收 入 合 计</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215.88</w:t>
            </w:r>
          </w:p>
        </w:tc>
        <w:tc>
          <w:tcPr>
            <w:tcW w:w="3480"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ascii="Dialog . bold" w:hAnsi="Dialog . bold" w:eastAsia="Dialog . bold" w:cs="Dialog . bold"/>
                <w:b/>
                <w:bCs/>
                <w:i w:val="0"/>
                <w:iCs w:val="0"/>
                <w:color w:val="000000"/>
                <w:kern w:val="0"/>
                <w:sz w:val="13"/>
                <w:szCs w:val="13"/>
                <w:u w:val="none"/>
                <w:lang w:val="en-US" w:eastAsia="zh-CN" w:bidi="ar"/>
              </w:rPr>
              <w:t>本 年 支 出 合 计</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七、用事业基金弥补收支差额</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三十一、事业单位结余分配 </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八、上年结转</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 xml:space="preserve">    其中：转入事业基金</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eastAsia" w:ascii="Hiragino Sans GB" w:hAnsi="Hiragino Sans GB" w:eastAsia="Hiragino Sans GB" w:cs="Hiragino Sans GB"/>
                <w:b/>
                <w:bCs/>
                <w:i w:val="0"/>
                <w:iCs w:val="0"/>
                <w:color w:val="000000"/>
                <w:sz w:val="13"/>
                <w:szCs w:val="13"/>
                <w:u w:val="none"/>
              </w:rPr>
            </w:pPr>
          </w:p>
        </w:tc>
        <w:tc>
          <w:tcPr>
            <w:tcW w:w="1215" w:type="dxa"/>
            <w:tcBorders>
              <w:top w:val="single" w:color="C0C0C0" w:sz="4" w:space="0"/>
              <w:left w:val="single" w:color="C0C0C0" w:sz="4" w:space="0"/>
              <w:bottom w:val="single" w:color="C0C0C0" w:sz="4" w:space="0"/>
              <w:right w:val="single" w:color="C0C0C0" w:sz="4" w:space="0"/>
            </w:tcBorders>
            <w:shd w:val="clear" w:color="auto" w:fill="auto"/>
            <w:vAlign w:val="center"/>
          </w:tcPr>
          <w:p>
            <w:pPr>
              <w:rPr>
                <w:rFonts w:hint="default" w:ascii="Hiragino Sans GB" w:hAnsi="Hiragino Sans GB" w:eastAsia="Hiragino Sans GB" w:cs="Hiragino Sans GB"/>
                <w:b/>
                <w:bCs/>
                <w:i w:val="0"/>
                <w:iCs w:val="0"/>
                <w:color w:val="000000"/>
                <w:sz w:val="13"/>
                <w:szCs w:val="13"/>
                <w:u w:val="none"/>
              </w:rPr>
            </w:pPr>
          </w:p>
        </w:tc>
        <w:tc>
          <w:tcPr>
            <w:tcW w:w="3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i w:val="0"/>
                <w:iCs w:val="0"/>
                <w:color w:val="000000"/>
                <w:kern w:val="0"/>
                <w:sz w:val="13"/>
                <w:szCs w:val="13"/>
                <w:u w:val="none"/>
                <w:lang w:val="en-US" w:eastAsia="zh-CN" w:bidi="ar"/>
              </w:rPr>
              <w:t>三十二、结转下年</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3"/>
                <w:szCs w:val="13"/>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 w:hRule="exact"/>
        </w:trPr>
        <w:tc>
          <w:tcPr>
            <w:tcW w:w="315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收  入  总  计</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215.88</w:t>
            </w:r>
          </w:p>
        </w:tc>
        <w:tc>
          <w:tcPr>
            <w:tcW w:w="34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支  出  总  计</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3"/>
                <w:szCs w:val="13"/>
                <w:u w:val="none"/>
              </w:rPr>
            </w:pPr>
            <w:r>
              <w:rPr>
                <w:rFonts w:hint="eastAsia" w:ascii="宋体" w:hAnsi="宋体" w:eastAsia="宋体" w:cs="宋体"/>
                <w:b/>
                <w:bCs/>
                <w:i w:val="0"/>
                <w:iCs w:val="0"/>
                <w:color w:val="000000"/>
                <w:kern w:val="0"/>
                <w:sz w:val="13"/>
                <w:szCs w:val="13"/>
                <w:u w:val="none"/>
                <w:lang w:val="en-US" w:eastAsia="zh-CN" w:bidi="ar"/>
              </w:rPr>
              <w:t>215.88</w:t>
            </w:r>
          </w:p>
        </w:tc>
      </w:tr>
    </w:tbl>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19"/>
        <w:gridCol w:w="1394"/>
        <w:gridCol w:w="882"/>
        <w:gridCol w:w="564"/>
        <w:gridCol w:w="1177"/>
        <w:gridCol w:w="860"/>
        <w:gridCol w:w="452"/>
        <w:gridCol w:w="450"/>
        <w:gridCol w:w="283"/>
        <w:gridCol w:w="281"/>
        <w:gridCol w:w="367"/>
        <w:gridCol w:w="366"/>
        <w:gridCol w:w="283"/>
        <w:gridCol w:w="281"/>
        <w:gridCol w:w="325"/>
        <w:gridCol w:w="323"/>
        <w:gridCol w:w="367"/>
        <w:gridCol w:w="366"/>
        <w:gridCol w:w="299"/>
        <w:gridCol w:w="925"/>
        <w:gridCol w:w="29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286"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98" w:hRule="atLeast"/>
        </w:trPr>
        <w:tc>
          <w:tcPr>
            <w:tcW w:w="0" w:type="auto"/>
            <w:gridSpan w:val="2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部门收入总表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6"/>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427" w:hRule="atLeast"/>
        </w:trPr>
        <w:tc>
          <w:tcPr>
            <w:tcW w:w="0" w:type="auto"/>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一般公共预算拨款收入</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政府性基金预算拨款收入</w:t>
            </w:r>
          </w:p>
        </w:tc>
        <w:tc>
          <w:tcPr>
            <w:tcW w:w="0" w:type="auto"/>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国有资本经营预算拨款收入</w:t>
            </w:r>
          </w:p>
        </w:tc>
        <w:tc>
          <w:tcPr>
            <w:tcW w:w="0" w:type="auto"/>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事业收入</w:t>
            </w:r>
          </w:p>
        </w:tc>
        <w:tc>
          <w:tcPr>
            <w:tcW w:w="0" w:type="auto"/>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 xml:space="preserve">事业单位经营收入 </w:t>
            </w:r>
          </w:p>
        </w:tc>
        <w:tc>
          <w:tcPr>
            <w:tcW w:w="0" w:type="auto"/>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其他收入</w:t>
            </w:r>
          </w:p>
        </w:tc>
        <w:tc>
          <w:tcPr>
            <w:tcW w:w="0" w:type="auto"/>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上级补助收入</w:t>
            </w:r>
          </w:p>
        </w:tc>
        <w:tc>
          <w:tcPr>
            <w:tcW w:w="0" w:type="auto"/>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附属单位上缴收入</w:t>
            </w:r>
          </w:p>
        </w:tc>
        <w:tc>
          <w:tcPr>
            <w:tcW w:w="0" w:type="auto"/>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用事业基金弥补收支差额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94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98" w:hRule="atLeast"/>
        </w:trPr>
        <w:tc>
          <w:tcPr>
            <w:tcW w:w="91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39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215.88</w:t>
            </w:r>
          </w:p>
        </w:tc>
        <w:tc>
          <w:tcPr>
            <w:tcW w:w="5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17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398" w:hRule="atLeast"/>
        </w:trPr>
        <w:tc>
          <w:tcPr>
            <w:tcW w:w="9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3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56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7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0" w:type="auto"/>
          <w:trHeight w:val="780" w:hRule="atLeast"/>
        </w:trPr>
        <w:tc>
          <w:tcPr>
            <w:tcW w:w="919"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214002</w:t>
            </w:r>
          </w:p>
        </w:tc>
        <w:tc>
          <w:tcPr>
            <w:tcW w:w="139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交通工程质量检验监督站</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56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7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gridSpan w:val="2"/>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tbl>
      <w:tblPr>
        <w:tblStyle w:val="4"/>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46"/>
        <w:gridCol w:w="437"/>
        <w:gridCol w:w="437"/>
        <w:gridCol w:w="1100"/>
        <w:gridCol w:w="3121"/>
        <w:gridCol w:w="882"/>
        <w:gridCol w:w="1024"/>
        <w:gridCol w:w="868"/>
        <w:gridCol w:w="1326"/>
        <w:gridCol w:w="17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0" w:type="auto"/>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10"/>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部门支出总表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上缴上级支出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对附属单位补助支出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312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215.88</w:t>
            </w:r>
          </w:p>
        </w:tc>
        <w:tc>
          <w:tcPr>
            <w:tcW w:w="10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10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交通工程质量检验监督站</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10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214002</w:t>
            </w: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22.06</w:t>
            </w:r>
          </w:p>
        </w:tc>
        <w:tc>
          <w:tcPr>
            <w:tcW w:w="102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214002</w:t>
            </w: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c>
          <w:tcPr>
            <w:tcW w:w="102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214002</w:t>
            </w: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102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214002</w:t>
            </w: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其他公路水路运输支出</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151.50</w:t>
            </w:r>
          </w:p>
        </w:tc>
        <w:tc>
          <w:tcPr>
            <w:tcW w:w="102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214002</w:t>
            </w: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c>
          <w:tcPr>
            <w:tcW w:w="102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54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437"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3121"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2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tbl>
      <w:tblPr>
        <w:tblStyle w:val="4"/>
        <w:tblW w:w="0" w:type="auto"/>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91"/>
        <w:gridCol w:w="879"/>
        <w:gridCol w:w="1941"/>
        <w:gridCol w:w="876"/>
        <w:gridCol w:w="1542"/>
        <w:gridCol w:w="1763"/>
        <w:gridCol w:w="19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b/>
                <w:bCs/>
                <w:i w:val="0"/>
                <w:iCs w:val="0"/>
                <w:color w:val="000000"/>
                <w:sz w:val="32"/>
                <w:szCs w:val="32"/>
                <w:u w:val="none"/>
              </w:rPr>
            </w:pPr>
            <w:r>
              <w:rPr>
                <w:rFonts w:hint="eastAsia" w:ascii="黑体" w:hAnsi="宋体" w:eastAsia="黑体" w:cs="黑体"/>
                <w:b/>
                <w:bCs/>
                <w:i w:val="0"/>
                <w:iCs w:val="0"/>
                <w:color w:val="000000"/>
                <w:kern w:val="0"/>
                <w:sz w:val="32"/>
                <w:szCs w:val="32"/>
                <w:u w:val="none"/>
                <w:lang w:val="en-US" w:eastAsia="zh-CN" w:bidi="ar"/>
              </w:rPr>
              <w:t>财政拨款收支预算总表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支    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0"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预算数</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一般公共预算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政府性基金预算</w:t>
            </w:r>
          </w:p>
        </w:tc>
        <w:tc>
          <w:tcPr>
            <w:tcW w:w="0" w:type="auto"/>
            <w:tcBorders>
              <w:top w:val="single" w:color="C0C0C0" w:sz="4" w:space="0"/>
              <w:left w:val="single" w:color="C0C0C0" w:sz="4" w:space="0"/>
              <w:bottom w:val="single" w:color="C0C0C0" w:sz="4" w:space="0"/>
              <w:right w:val="single" w:color="C0C0C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国有资本经营预算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22"/>
                <w:szCs w:val="22"/>
                <w:u w:val="none"/>
                <w:lang w:val="en-US" w:eastAsia="zh-CN" w:bidi="ar"/>
              </w:rPr>
              <w:t>一、本年收入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194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22"/>
                <w:szCs w:val="22"/>
                <w:u w:val="none"/>
                <w:lang w:val="en-US" w:eastAsia="zh-CN" w:bidi="ar"/>
              </w:rPr>
              <w:t>一、本年支出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一般公共预算拨款收入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一般公共服务支出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政府性基金预算拨款收入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外交支出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国有资本经营预算拨款收入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国防支出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Fonts w:hint="eastAsia" w:ascii="宋体" w:hAnsi="宋体" w:eastAsia="宋体" w:cs="宋体"/>
                <w:i w:val="0"/>
                <w:iCs w:val="0"/>
                <w:color w:val="000000"/>
                <w:kern w:val="0"/>
                <w:sz w:val="22"/>
                <w:szCs w:val="22"/>
                <w:u w:val="none"/>
                <w:lang w:val="en-US" w:eastAsia="zh-CN" w:bidi="ar"/>
              </w:rPr>
              <w:t>一、上年结转</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公共安全支出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一般公共预算拨款收入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教育支出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政府性基金预算拨款收入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科学技术支出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国有资本经营预算拨款收入</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文化旅游体育与传媒支出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社会保障和就业支出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34.60</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社会保险基金支出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卫生健康支出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节能环保支出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城乡社区支出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农林水支出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交通运输支出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151.50</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资源勘探工业信息等支出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商业服务业等支出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金融支出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援助其他地区支出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自然资源海洋气象等支出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住房保障支出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粮油物资储备支出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国有资本经营预算支出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灾害防治及应急管理支出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其他支出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债务还本支出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债务付息支出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债务发行费用支出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209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4"/>
                <w:lang w:val="en-US" w:eastAsia="zh-CN" w:bidi="ar"/>
              </w:rPr>
              <w:t xml:space="preserve"> </w:t>
            </w:r>
          </w:p>
        </w:tc>
        <w:tc>
          <w:tcPr>
            <w:tcW w:w="87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941"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5"/>
                <w:szCs w:val="15"/>
                <w:u w:val="none"/>
              </w:rPr>
            </w:pPr>
            <w:r>
              <w:rPr>
                <w:rStyle w:val="14"/>
                <w:lang w:val="en-US" w:eastAsia="zh-CN" w:bidi="ar"/>
              </w:rPr>
              <w:t xml:space="preserve"> 抗疫特别国债安排的支出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bl>
    <w:p>
      <w:pPr>
        <w:rPr>
          <w:rFonts w:ascii="方正小标宋简体" w:hAnsi="黑体" w:eastAsia="方正小标宋简体"/>
          <w:sz w:val="44"/>
          <w:szCs w:val="44"/>
          <w:highlight w:val="none"/>
        </w:rPr>
      </w:pPr>
    </w:p>
    <w:p>
      <w:pPr>
        <w:rPr>
          <w:rFonts w:ascii="方正小标宋简体" w:hAnsi="黑体" w:eastAsia="方正小标宋简体"/>
          <w:sz w:val="44"/>
          <w:szCs w:val="44"/>
          <w:highlight w:val="none"/>
        </w:rPr>
      </w:pPr>
    </w:p>
    <w:p>
      <w:pPr>
        <w:rPr>
          <w:rFonts w:hint="default" w:ascii="方正小标宋简体" w:hAnsi="黑体" w:eastAsia="方正小标宋简体"/>
          <w:sz w:val="44"/>
          <w:szCs w:val="44"/>
          <w:highlight w:val="none"/>
          <w:lang w:val="en-US" w:eastAsia="zh-CN"/>
        </w:rPr>
      </w:pPr>
      <w:r>
        <w:rPr>
          <w:rFonts w:hint="eastAsia" w:ascii="方正小标宋简体" w:hAnsi="黑体" w:eastAsia="方正小标宋简体"/>
          <w:sz w:val="44"/>
          <w:szCs w:val="44"/>
          <w:highlight w:val="none"/>
          <w:lang w:val="en-US" w:eastAsia="zh-CN"/>
        </w:rPr>
        <w:t xml:space="preserve">                                                </w:t>
      </w:r>
      <w:r>
        <w:rPr>
          <w:rFonts w:hint="eastAsia" w:ascii="方正小标宋简体" w:hAnsi="黑体" w:eastAsia="方正小标宋简体"/>
          <w:sz w:val="21"/>
          <w:szCs w:val="21"/>
          <w:highlight w:val="none"/>
          <w:lang w:val="en-US" w:eastAsia="zh-CN"/>
        </w:rPr>
        <w:t>表5</w:t>
      </w:r>
    </w:p>
    <w:tbl>
      <w:tblPr>
        <w:tblStyle w:val="4"/>
        <w:tblW w:w="13451"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93"/>
        <w:gridCol w:w="453"/>
        <w:gridCol w:w="438"/>
        <w:gridCol w:w="952"/>
        <w:gridCol w:w="537"/>
        <w:gridCol w:w="542"/>
        <w:gridCol w:w="543"/>
        <w:gridCol w:w="432"/>
        <w:gridCol w:w="112"/>
        <w:gridCol w:w="123"/>
        <w:gridCol w:w="117"/>
        <w:gridCol w:w="252"/>
        <w:gridCol w:w="249"/>
        <w:gridCol w:w="310"/>
        <w:gridCol w:w="15"/>
        <w:gridCol w:w="240"/>
        <w:gridCol w:w="252"/>
        <w:gridCol w:w="240"/>
        <w:gridCol w:w="151"/>
        <w:gridCol w:w="15"/>
        <w:gridCol w:w="74"/>
        <w:gridCol w:w="192"/>
        <w:gridCol w:w="240"/>
        <w:gridCol w:w="240"/>
        <w:gridCol w:w="240"/>
        <w:gridCol w:w="133"/>
        <w:gridCol w:w="45"/>
        <w:gridCol w:w="240"/>
        <w:gridCol w:w="252"/>
        <w:gridCol w:w="240"/>
        <w:gridCol w:w="151"/>
        <w:gridCol w:w="15"/>
        <w:gridCol w:w="240"/>
        <w:gridCol w:w="252"/>
        <w:gridCol w:w="240"/>
        <w:gridCol w:w="151"/>
        <w:gridCol w:w="15"/>
        <w:gridCol w:w="74"/>
        <w:gridCol w:w="192"/>
        <w:gridCol w:w="240"/>
        <w:gridCol w:w="252"/>
        <w:gridCol w:w="240"/>
        <w:gridCol w:w="166"/>
        <w:gridCol w:w="240"/>
        <w:gridCol w:w="252"/>
        <w:gridCol w:w="240"/>
        <w:gridCol w:w="143"/>
        <w:gridCol w:w="23"/>
        <w:gridCol w:w="84"/>
        <w:gridCol w:w="220"/>
        <w:gridCol w:w="12"/>
        <w:gridCol w:w="304"/>
        <w:gridCol w:w="12"/>
        <w:gridCol w:w="114"/>
        <w:gridCol w:w="152"/>
        <w:gridCol w:w="38"/>
        <w:gridCol w:w="266"/>
        <w:gridCol w:w="380"/>
        <w:gridCol w:w="77"/>
        <w:gridCol w:w="30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3"/>
          <w:wAfter w:w="1986" w:type="dxa"/>
          <w:trHeight w:val="398" w:hRule="atLeast"/>
        </w:trPr>
        <w:tc>
          <w:tcPr>
            <w:tcW w:w="11465" w:type="dxa"/>
            <w:gridSpan w:val="4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财政拨款支出预算表（部门经济分类科目）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04" w:type="dxa"/>
          <w:trHeight w:val="341" w:hRule="atLeast"/>
        </w:trPr>
        <w:tc>
          <w:tcPr>
            <w:tcW w:w="1384" w:type="dxa"/>
            <w:gridSpan w:val="3"/>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95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37" w:type="dxa"/>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542" w:type="dxa"/>
            <w:tcBorders>
              <w:top w:val="single" w:color="FFFFFF" w:sz="4" w:space="0"/>
              <w:left w:val="single" w:color="FFFFFF" w:sz="4" w:space="0"/>
              <w:bottom w:val="nil"/>
              <w:right w:val="single" w:color="FFFFFF"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543"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44"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9"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5"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6"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6"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18"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6"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6"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6"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6"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40"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52"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406"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16" w:type="dxa"/>
            <w:gridSpan w:val="3"/>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16"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66" w:type="dxa"/>
            <w:gridSpan w:val="2"/>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61" w:type="dxa"/>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1"/>
          <w:wAfter w:w="1879" w:type="dxa"/>
          <w:trHeight w:val="283" w:hRule="exact"/>
        </w:trPr>
        <w:tc>
          <w:tcPr>
            <w:tcW w:w="1384"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    目</w:t>
            </w:r>
          </w:p>
        </w:tc>
        <w:tc>
          <w:tcPr>
            <w:tcW w:w="952" w:type="dxa"/>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总计</w:t>
            </w:r>
          </w:p>
        </w:tc>
        <w:tc>
          <w:tcPr>
            <w:tcW w:w="2289" w:type="dxa"/>
            <w:gridSpan w:val="6"/>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省级当年财政拨款安排</w:t>
            </w:r>
          </w:p>
        </w:tc>
        <w:tc>
          <w:tcPr>
            <w:tcW w:w="2960" w:type="dxa"/>
            <w:gridSpan w:val="16"/>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中央提前通知专项转移支付等</w:t>
            </w:r>
          </w:p>
        </w:tc>
        <w:tc>
          <w:tcPr>
            <w:tcW w:w="3987" w:type="dxa"/>
            <w:gridSpan w:val="2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6"/>
          <w:wAfter w:w="1217" w:type="dxa"/>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科目编码</w:t>
            </w:r>
          </w:p>
        </w:tc>
        <w:tc>
          <w:tcPr>
            <w:tcW w:w="45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单位代码</w:t>
            </w:r>
          </w:p>
        </w:tc>
        <w:tc>
          <w:tcPr>
            <w:tcW w:w="438"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单位名称（科目）</w:t>
            </w:r>
          </w:p>
        </w:tc>
        <w:tc>
          <w:tcPr>
            <w:tcW w:w="952" w:type="dxa"/>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0"/>
                <w:szCs w:val="10"/>
                <w:u w:val="none"/>
              </w:rPr>
            </w:pPr>
          </w:p>
        </w:tc>
        <w:tc>
          <w:tcPr>
            <w:tcW w:w="537"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合计</w:t>
            </w:r>
          </w:p>
        </w:tc>
        <w:tc>
          <w:tcPr>
            <w:tcW w:w="54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一般公共预算拨款</w:t>
            </w:r>
          </w:p>
        </w:tc>
        <w:tc>
          <w:tcPr>
            <w:tcW w:w="975"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政府性基金安排</w:t>
            </w:r>
          </w:p>
        </w:tc>
        <w:tc>
          <w:tcPr>
            <w:tcW w:w="853"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国有资本经营预算安排</w:t>
            </w:r>
          </w:p>
        </w:tc>
        <w:tc>
          <w:tcPr>
            <w:tcW w:w="31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合计</w:t>
            </w:r>
          </w:p>
        </w:tc>
        <w:tc>
          <w:tcPr>
            <w:tcW w:w="898"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一般公共预算拨款</w:t>
            </w:r>
          </w:p>
        </w:tc>
        <w:tc>
          <w:tcPr>
            <w:tcW w:w="761"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政府性基金安排</w:t>
            </w:r>
          </w:p>
        </w:tc>
        <w:tc>
          <w:tcPr>
            <w:tcW w:w="910"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国有资本经营预算安排</w:t>
            </w:r>
          </w:p>
        </w:tc>
        <w:tc>
          <w:tcPr>
            <w:tcW w:w="39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合计</w:t>
            </w:r>
          </w:p>
        </w:tc>
        <w:tc>
          <w:tcPr>
            <w:tcW w:w="898"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一般公共预算拨款</w:t>
            </w:r>
          </w:p>
        </w:tc>
        <w:tc>
          <w:tcPr>
            <w:tcW w:w="773" w:type="dxa"/>
            <w:gridSpan w:val="5"/>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政府性基金安排</w:t>
            </w:r>
          </w:p>
        </w:tc>
        <w:tc>
          <w:tcPr>
            <w:tcW w:w="898"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国有资本经营预算安排</w:t>
            </w:r>
          </w:p>
        </w:tc>
        <w:tc>
          <w:tcPr>
            <w:tcW w:w="1152" w:type="dxa"/>
            <w:gridSpan w:val="9"/>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上年应返还额度结转</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exact"/>
        </w:trPr>
        <w:tc>
          <w:tcPr>
            <w:tcW w:w="49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类</w:t>
            </w:r>
          </w:p>
        </w:tc>
        <w:tc>
          <w:tcPr>
            <w:tcW w:w="45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款</w:t>
            </w:r>
          </w:p>
        </w:tc>
        <w:tc>
          <w:tcPr>
            <w:tcW w:w="438" w:type="dxa"/>
            <w:tcBorders>
              <w:top w:val="single" w:color="C0C0C0" w:sz="4" w:space="0"/>
              <w:left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0"/>
                <w:szCs w:val="10"/>
                <w:u w:val="none"/>
              </w:rPr>
            </w:pPr>
          </w:p>
        </w:tc>
        <w:tc>
          <w:tcPr>
            <w:tcW w:w="952" w:type="dxa"/>
            <w:tcBorders>
              <w:top w:val="single" w:color="C0C0C0" w:sz="4" w:space="0"/>
              <w:left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0"/>
                <w:szCs w:val="10"/>
                <w:u w:val="none"/>
              </w:rPr>
            </w:pPr>
          </w:p>
        </w:tc>
        <w:tc>
          <w:tcPr>
            <w:tcW w:w="537" w:type="dxa"/>
            <w:tcBorders>
              <w:top w:val="single" w:color="C0C0C0" w:sz="4" w:space="0"/>
              <w:left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0"/>
                <w:szCs w:val="10"/>
                <w:u w:val="none"/>
              </w:rPr>
            </w:pPr>
          </w:p>
        </w:tc>
        <w:tc>
          <w:tcPr>
            <w:tcW w:w="542" w:type="dxa"/>
            <w:tcBorders>
              <w:top w:val="single" w:color="C0C0C0" w:sz="4" w:space="0"/>
              <w:left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0"/>
                <w:szCs w:val="10"/>
                <w:u w:val="none"/>
              </w:rPr>
            </w:pPr>
          </w:p>
        </w:tc>
        <w:tc>
          <w:tcPr>
            <w:tcW w:w="543"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544"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240"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249"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31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255"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240" w:type="dxa"/>
            <w:gridSpan w:val="3"/>
            <w:tcBorders>
              <w:top w:val="single" w:color="C0C0C0" w:sz="4" w:space="0"/>
              <w:left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418"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406" w:type="dxa"/>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240" w:type="dxa"/>
            <w:gridSpan w:val="3"/>
            <w:tcBorders>
              <w:top w:val="single" w:color="C0C0C0" w:sz="4" w:space="0"/>
              <w:left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40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24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470"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316"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316" w:type="dxa"/>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c>
          <w:tcPr>
            <w:tcW w:w="266"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小计</w:t>
            </w:r>
          </w:p>
        </w:tc>
        <w:tc>
          <w:tcPr>
            <w:tcW w:w="380" w:type="dxa"/>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基本支出</w:t>
            </w:r>
          </w:p>
        </w:tc>
        <w:tc>
          <w:tcPr>
            <w:tcW w:w="381" w:type="dxa"/>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0"/>
                <w:szCs w:val="10"/>
                <w:u w:val="none"/>
              </w:rPr>
            </w:pPr>
            <w:r>
              <w:rPr>
                <w:rFonts w:hint="eastAsia" w:ascii="宋体" w:hAnsi="宋体" w:eastAsia="宋体" w:cs="宋体"/>
                <w:b/>
                <w:bCs/>
                <w:i w:val="0"/>
                <w:iCs w:val="0"/>
                <w:color w:val="000000"/>
                <w:kern w:val="0"/>
                <w:sz w:val="10"/>
                <w:szCs w:val="10"/>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95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合    计</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215.88</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215.88</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215.88</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215.88</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1"/>
                <w:szCs w:val="11"/>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sz w:val="11"/>
                <w:szCs w:val="11"/>
                <w:u w:val="none"/>
              </w:rPr>
            </w:pP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1"/>
                <w:szCs w:val="11"/>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交通工程质量检验监督站</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1"/>
                <w:szCs w:val="11"/>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工资福利支出</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基本工资</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津贴补贴</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艰苦边远地区津贴</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高海拔地区折算工龄补贴</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其他国家津补贴</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奖金</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年终一次性奖金</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基础绩效奖</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07</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绩效工资</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08</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机关事业单位基本养老保险缴费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09</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职业年金缴费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10</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职工基本医疗保险缴费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其他社会保障缴费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工伤保险</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失业保险</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残保金</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其他社会保险费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13</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住房公积金</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sz w:val="11"/>
                <w:szCs w:val="11"/>
                <w:u w:val="none"/>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sz w:val="11"/>
                <w:szCs w:val="11"/>
                <w:u w:val="none"/>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商品和服务支出</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办公费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印刷费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07</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邮电费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11</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差旅费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16</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培训费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17</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公务接待费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0.15</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0.15</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0.15</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0.15</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28</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工会经费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1.77</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1.77</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1.77</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1.77</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302</w:t>
            </w: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29</w:t>
            </w: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214002</w:t>
            </w: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福利费</w:t>
            </w: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2.21</w:t>
            </w: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2.21</w:t>
            </w: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2.21</w:t>
            </w: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2.21</w:t>
            </w: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kern w:val="0"/>
                <w:sz w:val="11"/>
                <w:szCs w:val="11"/>
                <w:u w:val="none"/>
                <w:lang w:val="en-US" w:eastAsia="zh-CN" w:bidi="ar"/>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kern w:val="0"/>
                <w:sz w:val="11"/>
                <w:szCs w:val="11"/>
                <w:u w:val="none"/>
                <w:lang w:val="en-US" w:eastAsia="zh-CN" w:bidi="ar"/>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kern w:val="0"/>
                <w:sz w:val="11"/>
                <w:szCs w:val="11"/>
                <w:u w:val="none"/>
                <w:lang w:val="en-US" w:eastAsia="zh-CN" w:bidi="ar"/>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kern w:val="0"/>
                <w:sz w:val="11"/>
                <w:szCs w:val="11"/>
                <w:u w:val="none"/>
                <w:lang w:val="en-US" w:eastAsia="zh-CN" w:bidi="ar"/>
              </w:rPr>
            </w:pP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kern w:val="0"/>
                <w:sz w:val="11"/>
                <w:szCs w:val="11"/>
                <w:u w:val="none"/>
                <w:lang w:val="en-US" w:eastAsia="zh-CN" w:bidi="ar"/>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kern w:val="0"/>
                <w:sz w:val="11"/>
                <w:szCs w:val="11"/>
                <w:u w:val="none"/>
                <w:lang w:val="en-US" w:eastAsia="zh-CN" w:bidi="ar"/>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kern w:val="0"/>
                <w:sz w:val="11"/>
                <w:szCs w:val="11"/>
                <w:u w:val="none"/>
                <w:lang w:val="en-US" w:eastAsia="zh-CN" w:bidi="ar"/>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b/>
                <w:bCs/>
                <w:i w:val="0"/>
                <w:iCs w:val="0"/>
                <w:color w:val="000000"/>
                <w:kern w:val="0"/>
                <w:sz w:val="11"/>
                <w:szCs w:val="11"/>
                <w:u w:val="none"/>
                <w:lang w:val="en-US" w:eastAsia="zh-CN" w:bidi="ar"/>
              </w:rPr>
            </w:pP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exact"/>
        </w:trPr>
        <w:tc>
          <w:tcPr>
            <w:tcW w:w="4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kern w:val="0"/>
                <w:sz w:val="11"/>
                <w:szCs w:val="11"/>
                <w:u w:val="none"/>
                <w:lang w:val="en-US" w:eastAsia="zh-CN" w:bidi="ar"/>
              </w:rPr>
            </w:pPr>
          </w:p>
        </w:tc>
        <w:tc>
          <w:tcPr>
            <w:tcW w:w="45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b/>
                <w:bCs/>
                <w:i w:val="0"/>
                <w:iCs w:val="0"/>
                <w:color w:val="000000"/>
                <w:kern w:val="0"/>
                <w:sz w:val="11"/>
                <w:szCs w:val="11"/>
                <w:u w:val="none"/>
                <w:lang w:val="en-US" w:eastAsia="zh-CN" w:bidi="ar"/>
              </w:rPr>
            </w:pPr>
          </w:p>
        </w:tc>
        <w:tc>
          <w:tcPr>
            <w:tcW w:w="438"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b/>
                <w:bCs/>
                <w:i w:val="0"/>
                <w:iCs w:val="0"/>
                <w:color w:val="000000"/>
                <w:kern w:val="0"/>
                <w:sz w:val="11"/>
                <w:szCs w:val="11"/>
                <w:u w:val="none"/>
                <w:lang w:val="en-US" w:eastAsia="zh-CN" w:bidi="ar"/>
              </w:rPr>
            </w:pPr>
          </w:p>
        </w:tc>
        <w:tc>
          <w:tcPr>
            <w:tcW w:w="952"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bCs/>
                <w:i w:val="0"/>
                <w:iCs w:val="0"/>
                <w:color w:val="000000"/>
                <w:kern w:val="0"/>
                <w:sz w:val="11"/>
                <w:szCs w:val="11"/>
                <w:u w:val="none"/>
                <w:lang w:val="en-US" w:eastAsia="zh-CN" w:bidi="ar"/>
              </w:rPr>
            </w:pPr>
          </w:p>
        </w:tc>
        <w:tc>
          <w:tcPr>
            <w:tcW w:w="537"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3"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54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kern w:val="0"/>
                <w:sz w:val="11"/>
                <w:szCs w:val="11"/>
                <w:u w:val="none"/>
                <w:lang w:val="en-US" w:eastAsia="zh-CN" w:bidi="ar"/>
              </w:rPr>
            </w:pPr>
          </w:p>
        </w:tc>
        <w:tc>
          <w:tcPr>
            <w:tcW w:w="24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18"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0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4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470"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16"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26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c>
          <w:tcPr>
            <w:tcW w:w="381"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b/>
                <w:bCs/>
                <w:i w:val="0"/>
                <w:iCs w:val="0"/>
                <w:color w:val="000000"/>
                <w:sz w:val="10"/>
                <w:szCs w:val="10"/>
                <w:u w:val="none"/>
              </w:rPr>
            </w:pPr>
          </w:p>
        </w:tc>
      </w:tr>
    </w:tbl>
    <w:p>
      <w:pPr>
        <w:rPr>
          <w:rFonts w:ascii="方正小标宋简体" w:hAnsi="黑体" w:eastAsia="方正小标宋简体"/>
          <w:sz w:val="44"/>
          <w:szCs w:val="44"/>
          <w:highlight w:val="none"/>
        </w:rPr>
      </w:pPr>
      <w:r>
        <w:rPr>
          <w:rFonts w:ascii="方正小标宋简体" w:hAnsi="黑体" w:eastAsia="方正小标宋简体"/>
          <w:sz w:val="44"/>
          <w:szCs w:val="44"/>
          <w:highlight w:val="none"/>
        </w:rPr>
        <w:br w:type="page"/>
      </w:r>
    </w:p>
    <w:tbl>
      <w:tblPr>
        <w:tblStyle w:val="4"/>
        <w:tblW w:w="94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8"/>
        <w:gridCol w:w="526"/>
        <w:gridCol w:w="526"/>
        <w:gridCol w:w="1100"/>
        <w:gridCol w:w="2903"/>
        <w:gridCol w:w="882"/>
        <w:gridCol w:w="1084"/>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71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5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91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25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305" w:type="dxa"/>
            <w:tcBorders>
              <w:top w:val="single" w:color="FFFFFF" w:sz="4" w:space="0"/>
              <w:left w:val="single" w:color="FFFFFF" w:sz="4" w:space="0"/>
              <w:bottom w:val="nil"/>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30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当年财政拨款安排</w:t>
            </w:r>
          </w:p>
        </w:tc>
        <w:tc>
          <w:tcPr>
            <w:tcW w:w="94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上年结转安排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30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9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90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215.88</w:t>
            </w:r>
          </w:p>
        </w:tc>
        <w:tc>
          <w:tcPr>
            <w:tcW w:w="10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10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交通运输局部门</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108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215.88</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机关事业单位基本养老保险缴费支出</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22.06</w:t>
            </w:r>
          </w:p>
        </w:tc>
        <w:tc>
          <w:tcPr>
            <w:tcW w:w="10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22.06</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05</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06</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机关事业单位职业年金缴费支出</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c>
          <w:tcPr>
            <w:tcW w:w="10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12.54</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事业单位医疗</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10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10.97</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99</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其他公路水路运输支出</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151.50</w:t>
            </w:r>
          </w:p>
        </w:tc>
        <w:tc>
          <w:tcPr>
            <w:tcW w:w="10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151.50</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02</w:t>
            </w: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w:t>
            </w: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住房公积金</w:t>
            </w: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c>
          <w:tcPr>
            <w:tcW w:w="10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18.81</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658"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5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center"/>
              <w:rPr>
                <w:rFonts w:hint="eastAsia" w:ascii="宋体" w:hAnsi="宋体" w:eastAsia="宋体" w:cs="宋体"/>
                <w:i w:val="0"/>
                <w:iCs w:val="0"/>
                <w:color w:val="000000"/>
                <w:sz w:val="22"/>
                <w:szCs w:val="22"/>
                <w:u w:val="none"/>
              </w:rPr>
            </w:pPr>
          </w:p>
        </w:tc>
        <w:tc>
          <w:tcPr>
            <w:tcW w:w="391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tc>
        <w:tc>
          <w:tcPr>
            <w:tcW w:w="88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1084"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hint="eastAsia" w:ascii="仿宋_GB2312" w:hAnsi="黑体" w:eastAsia="仿宋_GB2312"/>
          <w:sz w:val="32"/>
          <w:szCs w:val="32"/>
          <w:highlight w:val="none"/>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p>
      <w:pPr>
        <w:rPr>
          <w:rFonts w:hint="default" w:ascii="仿宋_GB2312" w:hAnsi="黑体" w:eastAsia="仿宋_GB2312"/>
          <w:sz w:val="32"/>
          <w:szCs w:val="32"/>
          <w:highlight w:val="none"/>
          <w:lang w:eastAsia="zh-Hans"/>
        </w:rPr>
      </w:pPr>
    </w:p>
    <w:tbl>
      <w:tblPr>
        <w:tblStyle w:val="4"/>
        <w:tblW w:w="9015"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5"/>
        <w:gridCol w:w="615"/>
        <w:gridCol w:w="1100"/>
        <w:gridCol w:w="2499"/>
        <w:gridCol w:w="1215"/>
        <w:gridCol w:w="1215"/>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23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0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331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21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103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22"/>
                <w:szCs w:val="22"/>
                <w:u w:val="none"/>
              </w:rPr>
            </w:pPr>
            <w:r>
              <w:rPr>
                <w:rFonts w:ascii="宋体" w:hAnsi="宋体" w:eastAsia="宋体" w:cs="宋体"/>
                <w:i w:val="0"/>
                <w:iCs w:val="0"/>
                <w:color w:val="000000"/>
                <w:kern w:val="0"/>
                <w:sz w:val="22"/>
                <w:szCs w:val="22"/>
                <w:u w:val="none"/>
                <w:lang w:val="en-US" w:eastAsia="zh-CN" w:bidi="ar"/>
              </w:rPr>
              <w:t>表7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一般公共预算基本支出预算表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4"/>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4"/>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人员经费</w:t>
            </w:r>
          </w:p>
        </w:tc>
        <w:tc>
          <w:tcPr>
            <w:tcW w:w="0" w:type="auto"/>
            <w:vMerge w:val="restart"/>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公用经费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0C0C0" w:sz="4" w:space="0"/>
              <w:left w:val="single" w:color="C0C0C0" w:sz="4" w:space="0"/>
              <w:bottom w:val="single" w:color="C0C0C0" w:sz="4" w:space="0"/>
              <w:right w:val="single" w:color="C0C0C0"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0C0C0" w:sz="4" w:space="0"/>
              <w:left w:val="single" w:color="C0C0C0" w:sz="4" w:space="0"/>
              <w:bottom w:val="single" w:color="C0C0C0" w:sz="4" w:space="0"/>
              <w:right w:val="single" w:color="C0C0C0"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6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center"/>
              <w:rPr>
                <w:rFonts w:hint="eastAsia" w:ascii="宋体" w:hAnsi="宋体" w:eastAsia="宋体" w:cs="宋体"/>
                <w:b/>
                <w:bCs/>
                <w:i w:val="0"/>
                <w:iCs w:val="0"/>
                <w:color w:val="000000"/>
                <w:sz w:val="11"/>
                <w:szCs w:val="11"/>
                <w:u w:val="none"/>
              </w:rPr>
            </w:pPr>
          </w:p>
        </w:tc>
        <w:tc>
          <w:tcPr>
            <w:tcW w:w="24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合    计</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215.88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208.17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11"/>
                <w:szCs w:val="11"/>
                <w:u w:val="none"/>
              </w:rPr>
            </w:pPr>
            <w:r>
              <w:rPr>
                <w:rFonts w:hint="eastAsia" w:ascii="宋体" w:hAnsi="宋体" w:eastAsia="宋体" w:cs="宋体"/>
                <w:b/>
                <w:bCs/>
                <w:i w:val="0"/>
                <w:iCs w:val="0"/>
                <w:color w:val="000000"/>
                <w:kern w:val="0"/>
                <w:sz w:val="11"/>
                <w:szCs w:val="11"/>
                <w:u w:val="none"/>
                <w:lang w:val="en-US" w:eastAsia="zh-CN" w:bidi="ar"/>
              </w:rPr>
              <w:t>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left"/>
              <w:rPr>
                <w:rFonts w:hint="eastAsia" w:ascii="宋体" w:hAnsi="宋体" w:eastAsia="宋体" w:cs="宋体"/>
                <w:i w:val="0"/>
                <w:iCs w:val="0"/>
                <w:color w:val="000000"/>
                <w:sz w:val="11"/>
                <w:szCs w:val="11"/>
                <w:u w:val="none"/>
              </w:rPr>
            </w:pP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left"/>
              <w:rPr>
                <w:rFonts w:hint="eastAsia" w:ascii="宋体" w:hAnsi="宋体" w:eastAsia="宋体" w:cs="宋体"/>
                <w:i w:val="0"/>
                <w:iCs w:val="0"/>
                <w:color w:val="000000"/>
                <w:sz w:val="11"/>
                <w:szCs w:val="11"/>
                <w:u w:val="none"/>
              </w:rPr>
            </w:pP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214002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交通工程质量检验监督站</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215.88</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工资福利支出</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208.17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30101</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基本工资</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45.76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津贴补贴</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10.49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3010202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艰苦边远地区津贴</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9.50</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3010203</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高海拔地区折算工龄补贴</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0.16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3010207</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其他国家津补贴</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0.83</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30103</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奖金</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43.89</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3010301</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年终一次性奖金</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3.81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3010302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基础绩效奖</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40.07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07</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30107</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绩效工资</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37.74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08</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30108</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机关事业单位基本养老保险缴费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22.06</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09</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30109</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职业年金缴费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12.54</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10</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30110</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职工基本医疗保险缴费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10.97</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30112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其他社会保障缴费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5.91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3011201</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工伤保险</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0.55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3011202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失业保险</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3011206</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残保金</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2.15</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3011299</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其他社会保险费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2.60</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301</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13</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30113</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住房公积金</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18.81</w:t>
            </w: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center"/>
              <w:rPr>
                <w:rFonts w:hint="eastAsia" w:ascii="宋体" w:hAnsi="宋体" w:eastAsia="宋体" w:cs="宋体"/>
                <w:i w:val="0"/>
                <w:iCs w:val="0"/>
                <w:color w:val="000000"/>
                <w:sz w:val="11"/>
                <w:szCs w:val="11"/>
                <w:u w:val="none"/>
              </w:rPr>
            </w:pP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商品和服务支出</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7.71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30201</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办公费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02</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30202</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印刷费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07</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30207</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邮电费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11</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30211</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差旅费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1.62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16</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30216</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1"/>
                <w:szCs w:val="11"/>
                <w:u w:val="none"/>
              </w:rPr>
            </w:pPr>
            <w:r>
              <w:rPr>
                <w:rFonts w:ascii="Dialog . plain" w:hAnsi="Dialog . plain" w:eastAsia="Dialog . plain" w:cs="Dialog . plain"/>
                <w:i w:val="0"/>
                <w:iCs w:val="0"/>
                <w:color w:val="000000"/>
                <w:kern w:val="0"/>
                <w:sz w:val="11"/>
                <w:szCs w:val="11"/>
                <w:u w:val="none"/>
                <w:lang w:val="en-US" w:eastAsia="zh-CN" w:bidi="ar"/>
              </w:rPr>
              <w:t xml:space="preserve">  培训费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11"/>
                <w:szCs w:val="11"/>
                <w:u w:val="none"/>
              </w:rPr>
            </w:pPr>
            <w:r>
              <w:rPr>
                <w:rFonts w:hint="eastAsia" w:ascii="宋体" w:hAnsi="宋体" w:eastAsia="宋体" w:cs="宋体"/>
                <w:i w:val="0"/>
                <w:iCs w:val="0"/>
                <w:color w:val="000000"/>
                <w:kern w:val="0"/>
                <w:sz w:val="11"/>
                <w:szCs w:val="11"/>
                <w:u w:val="none"/>
                <w:lang w:val="en-US" w:eastAsia="zh-CN" w:bidi="ar"/>
              </w:rPr>
              <w:t>0.69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17</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30217</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公务接待费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0.15</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28</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30228</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1"/>
                <w:szCs w:val="11"/>
                <w:u w:val="none"/>
                <w:lang w:val="en-US" w:eastAsia="zh-CN" w:bidi="ar"/>
              </w:rPr>
            </w:pPr>
            <w:r>
              <w:rPr>
                <w:rFonts w:ascii="Dialog . plain" w:hAnsi="Dialog . plain" w:eastAsia="Dialog . plain" w:cs="Dialog . plain"/>
                <w:i w:val="0"/>
                <w:iCs w:val="0"/>
                <w:color w:val="000000"/>
                <w:kern w:val="0"/>
                <w:sz w:val="11"/>
                <w:szCs w:val="11"/>
                <w:u w:val="none"/>
                <w:lang w:val="en-US" w:eastAsia="zh-CN" w:bidi="ar"/>
              </w:rPr>
              <w:t xml:space="preserve">  工会经费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1.77</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1"/>
                <w:szCs w:val="11"/>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1"/>
                <w:szCs w:val="11"/>
                <w:u w:val="none"/>
                <w:lang w:val="en-US" w:eastAsia="zh-CN" w:bidi="ar"/>
              </w:rPr>
            </w:pPr>
            <w:r>
              <w:rPr>
                <w:rFonts w:hint="eastAsia" w:ascii="宋体" w:hAnsi="宋体" w:eastAsia="宋体" w:cs="宋体"/>
                <w:i w:val="0"/>
                <w:iCs w:val="0"/>
                <w:color w:val="000000"/>
                <w:kern w:val="0"/>
                <w:sz w:val="11"/>
                <w:szCs w:val="11"/>
                <w:u w:val="none"/>
                <w:lang w:val="en-US" w:eastAsia="zh-CN" w:bidi="ar"/>
              </w:rPr>
              <w:t>1.77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3"/>
                <w:szCs w:val="13"/>
                <w:u w:val="none"/>
                <w:lang w:val="en-US" w:eastAsia="zh-CN" w:bidi="ar"/>
              </w:rPr>
            </w:pPr>
            <w:r>
              <w:rPr>
                <w:rFonts w:ascii="Dialog . plain" w:hAnsi="Dialog . plain" w:eastAsia="Dialog . plain" w:cs="Dialog . plain"/>
                <w:i w:val="0"/>
                <w:iCs w:val="0"/>
                <w:color w:val="000000"/>
                <w:kern w:val="0"/>
                <w:sz w:val="13"/>
                <w:szCs w:val="13"/>
                <w:u w:val="none"/>
                <w:lang w:val="en-US" w:eastAsia="zh-CN" w:bidi="ar"/>
              </w:rPr>
              <w:t>302</w:t>
            </w:r>
          </w:p>
        </w:tc>
        <w:tc>
          <w:tcPr>
            <w:tcW w:w="6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center"/>
              <w:textAlignment w:val="center"/>
              <w:rPr>
                <w:rFonts w:ascii="Dialog . plain" w:hAnsi="Dialog . plain" w:eastAsia="Dialog . plain" w:cs="Dialog . plain"/>
                <w:i w:val="0"/>
                <w:iCs w:val="0"/>
                <w:color w:val="000000"/>
                <w:kern w:val="0"/>
                <w:sz w:val="13"/>
                <w:szCs w:val="13"/>
                <w:u w:val="none"/>
                <w:lang w:val="en-US" w:eastAsia="zh-CN" w:bidi="ar"/>
              </w:rPr>
            </w:pPr>
            <w:r>
              <w:rPr>
                <w:rFonts w:ascii="Dialog . plain" w:hAnsi="Dialog . plain" w:eastAsia="Dialog . plain" w:cs="Dialog . plain"/>
                <w:i w:val="0"/>
                <w:iCs w:val="0"/>
                <w:color w:val="000000"/>
                <w:kern w:val="0"/>
                <w:sz w:val="13"/>
                <w:szCs w:val="13"/>
                <w:u w:val="none"/>
                <w:lang w:val="en-US" w:eastAsia="zh-CN" w:bidi="ar"/>
              </w:rPr>
              <w:t>29</w:t>
            </w:r>
          </w:p>
        </w:tc>
        <w:tc>
          <w:tcPr>
            <w:tcW w:w="11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30229</w:t>
            </w:r>
          </w:p>
        </w:tc>
        <w:tc>
          <w:tcPr>
            <w:tcW w:w="3315" w:type="dxa"/>
            <w:tcBorders>
              <w:top w:val="single" w:color="C0C0C0" w:sz="4" w:space="0"/>
              <w:left w:val="single" w:color="C0C0C0" w:sz="4" w:space="0"/>
              <w:bottom w:val="single" w:color="C0C0C0" w:sz="4" w:space="0"/>
              <w:right w:val="single" w:color="C0C0C0" w:sz="4" w:space="0"/>
            </w:tcBorders>
            <w:shd w:val="clear" w:color="auto" w:fill="auto"/>
            <w:vAlign w:val="center"/>
          </w:tcPr>
          <w:p>
            <w:pPr>
              <w:keepNext w:val="0"/>
              <w:keepLines w:val="0"/>
              <w:widowControl/>
              <w:suppressLineNumbers w:val="0"/>
              <w:jc w:val="left"/>
              <w:textAlignment w:val="center"/>
              <w:rPr>
                <w:rFonts w:ascii="Dialog . plain" w:hAnsi="Dialog . plain" w:eastAsia="Dialog . plain" w:cs="Dialog . plain"/>
                <w:i w:val="0"/>
                <w:iCs w:val="0"/>
                <w:color w:val="000000"/>
                <w:kern w:val="0"/>
                <w:sz w:val="13"/>
                <w:szCs w:val="13"/>
                <w:u w:val="none"/>
                <w:lang w:val="en-US" w:eastAsia="zh-CN" w:bidi="ar"/>
              </w:rPr>
            </w:pPr>
            <w:r>
              <w:rPr>
                <w:rFonts w:ascii="Dialog . plain" w:hAnsi="Dialog . plain" w:eastAsia="Dialog . plain" w:cs="Dialog . plain"/>
                <w:i w:val="0"/>
                <w:iCs w:val="0"/>
                <w:color w:val="000000"/>
                <w:kern w:val="0"/>
                <w:sz w:val="13"/>
                <w:szCs w:val="13"/>
                <w:u w:val="none"/>
                <w:lang w:val="en-US" w:eastAsia="zh-CN" w:bidi="ar"/>
              </w:rPr>
              <w:t xml:space="preserve">  福利费</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2.21</w:t>
            </w:r>
          </w:p>
        </w:tc>
        <w:tc>
          <w:tcPr>
            <w:tcW w:w="121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jc w:val="right"/>
              <w:rPr>
                <w:rFonts w:hint="eastAsia" w:ascii="宋体" w:hAnsi="宋体" w:eastAsia="宋体" w:cs="宋体"/>
                <w:i w:val="0"/>
                <w:iCs w:val="0"/>
                <w:color w:val="000000"/>
                <w:sz w:val="13"/>
                <w:szCs w:val="13"/>
                <w:u w:val="none"/>
              </w:rPr>
            </w:pPr>
          </w:p>
        </w:tc>
        <w:tc>
          <w:tcPr>
            <w:tcW w:w="1756" w:type="dxa"/>
            <w:tcBorders>
              <w:top w:val="single" w:color="C0C0C0" w:sz="4" w:space="0"/>
              <w:left w:val="single" w:color="C0C0C0" w:sz="4" w:space="0"/>
              <w:bottom w:val="single" w:color="C0C0C0" w:sz="4" w:space="0"/>
              <w:right w:val="single" w:color="C0C0C0"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kern w:val="0"/>
                <w:sz w:val="13"/>
                <w:szCs w:val="13"/>
                <w:u w:val="none"/>
                <w:lang w:val="en-US" w:eastAsia="zh-CN" w:bidi="ar"/>
              </w:rPr>
            </w:pPr>
            <w:r>
              <w:rPr>
                <w:rFonts w:hint="eastAsia" w:ascii="宋体" w:hAnsi="宋体" w:eastAsia="宋体" w:cs="宋体"/>
                <w:i w:val="0"/>
                <w:iCs w:val="0"/>
                <w:color w:val="000000"/>
                <w:kern w:val="0"/>
                <w:sz w:val="13"/>
                <w:szCs w:val="13"/>
                <w:u w:val="none"/>
                <w:lang w:val="en-US" w:eastAsia="zh-CN" w:bidi="ar"/>
              </w:rPr>
              <w:t>2.21</w:t>
            </w:r>
          </w:p>
        </w:tc>
      </w:tr>
    </w:tbl>
    <w:p>
      <w:pPr>
        <w:rPr>
          <w:rFonts w:ascii="方正小标宋简体" w:hAnsi="黑体" w:eastAsia="方正小标宋简体"/>
          <w:sz w:val="44"/>
          <w:szCs w:val="44"/>
          <w:highlight w:val="none"/>
        </w:rPr>
      </w:pPr>
      <w:r>
        <w:rPr>
          <w:rFonts w:hint="default" w:ascii="仿宋_GB2312" w:hAnsi="黑体" w:eastAsia="仿宋_GB2312"/>
          <w:sz w:val="32"/>
          <w:szCs w:val="32"/>
          <w:highlight w:val="none"/>
          <w:lang w:eastAsia="zh-Hans"/>
        </w:rPr>
        <w:br w:type="page"/>
      </w:r>
    </w:p>
    <w:tbl>
      <w:tblPr>
        <w:tblStyle w:val="4"/>
        <w:tblW w:w="7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187"/>
        <w:gridCol w:w="1983"/>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30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9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95"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一般公共预算项目支出预算表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2"/>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93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Style w:val="12"/>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1099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00"/>
        <w:gridCol w:w="2736"/>
        <w:gridCol w:w="795"/>
        <w:gridCol w:w="1165"/>
        <w:gridCol w:w="1191"/>
        <w:gridCol w:w="1126"/>
        <w:gridCol w:w="1126"/>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87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9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4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一般公共预算“三公”经费支出预算表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6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6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26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26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273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7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0.15</w:t>
            </w:r>
          </w:p>
        </w:tc>
        <w:tc>
          <w:tcPr>
            <w:tcW w:w="11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1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1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1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98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7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11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12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00"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214002</w:t>
            </w:r>
          </w:p>
        </w:tc>
        <w:tc>
          <w:tcPr>
            <w:tcW w:w="298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ascii="Dialog . plain" w:hAnsi="Dialog . plain" w:eastAsia="Dialog . plain" w:cs="Dialog . plain"/>
                <w:i w:val="0"/>
                <w:iCs w:val="0"/>
                <w:color w:val="000000"/>
                <w:kern w:val="0"/>
                <w:sz w:val="22"/>
                <w:szCs w:val="22"/>
                <w:u w:val="none"/>
                <w:lang w:val="en-US" w:eastAsia="zh-CN" w:bidi="ar"/>
              </w:rPr>
              <w:t xml:space="preserve"> 交通工程质量检验监督站</w:t>
            </w:r>
          </w:p>
        </w:tc>
        <w:tc>
          <w:tcPr>
            <w:tcW w:w="79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c>
          <w:tcPr>
            <w:tcW w:w="1165"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91"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12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1756" w:type="dxa"/>
            <w:tcBorders>
              <w:top w:val="single" w:color="C2C3C4" w:sz="4" w:space="0"/>
              <w:left w:val="single" w:color="C2C3C4" w:sz="4" w:space="0"/>
              <w:bottom w:val="single" w:color="C2C3C4" w:sz="4" w:space="0"/>
              <w:right w:val="single" w:color="C2C3C4" w:sz="4" w:space="0"/>
            </w:tcBorders>
            <w:shd w:val="clear" w:color="FFFFFF" w:fill="FFFFFF"/>
            <w:noWrap/>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0.15</w:t>
            </w: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898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38"/>
        <w:gridCol w:w="738"/>
        <w:gridCol w:w="738"/>
        <w:gridCol w:w="1100"/>
        <w:gridCol w:w="1996"/>
        <w:gridCol w:w="789"/>
        <w:gridCol w:w="113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5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4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3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本年政府性基金预算支出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4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107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10"/>
        <w:gridCol w:w="1983"/>
        <w:gridCol w:w="810"/>
        <w:gridCol w:w="1187"/>
        <w:gridCol w:w="1495"/>
        <w:gridCol w:w="1207"/>
        <w:gridCol w:w="1207"/>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11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8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8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27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63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35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政府性基金预算“三公”经费支出预算表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jc w:val="center"/>
              <w:rPr>
                <w:rFonts w:hint="eastAsia" w:ascii="宋体" w:hAnsi="宋体" w:eastAsia="宋体" w:cs="宋体"/>
                <w:i w:val="0"/>
                <w:iCs w:val="0"/>
                <w:color w:val="000000"/>
                <w:sz w:val="22"/>
                <w:szCs w:val="22"/>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gridSpan w:val="6"/>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当年财政拨款预算安排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12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因公出国（境）费用</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公务用车购置及运行费</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公务接待费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12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135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公务用车购置费</w:t>
            </w:r>
          </w:p>
        </w:tc>
        <w:tc>
          <w:tcPr>
            <w:tcW w:w="135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公务用车运行费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3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183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tbl>
      <w:tblPr>
        <w:tblStyle w:val="4"/>
        <w:tblW w:w="850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30"/>
        <w:gridCol w:w="630"/>
        <w:gridCol w:w="630"/>
        <w:gridCol w:w="1100"/>
        <w:gridCol w:w="2010"/>
        <w:gridCol w:w="990"/>
        <w:gridCol w:w="1260"/>
        <w:gridCol w:w="17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890"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0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201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99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pPr>
              <w:rPr>
                <w:rFonts w:hint="eastAsia" w:ascii="宋体" w:hAnsi="宋体" w:eastAsia="宋体" w:cs="宋体"/>
                <w:i w:val="0"/>
                <w:iCs w:val="0"/>
                <w:color w:val="000000"/>
                <w:sz w:val="22"/>
                <w:szCs w:val="22"/>
                <w:u w:val="none"/>
              </w:rPr>
            </w:pPr>
          </w:p>
        </w:tc>
        <w:tc>
          <w:tcPr>
            <w:tcW w:w="1260" w:type="dxa"/>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表12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国有资本经营预算支出预算表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部门：</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rPr>
                <w:rFonts w:hint="eastAsia" w:ascii="宋体" w:hAnsi="宋体" w:eastAsia="宋体" w:cs="宋体"/>
                <w:i w:val="0"/>
                <w:iCs w:val="0"/>
                <w:color w:val="000000"/>
                <w:sz w:val="18"/>
                <w:szCs w:val="18"/>
                <w:u w:val="none"/>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本年国有资本经营预算支出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项目支出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类</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款</w:t>
            </w:r>
          </w:p>
        </w:tc>
        <w:tc>
          <w:tcPr>
            <w:tcW w:w="0" w:type="auto"/>
            <w:tcBorders>
              <w:top w:val="single" w:color="C2C3C4" w:sz="4" w:space="0"/>
              <w:left w:val="single" w:color="C2C3C4" w:sz="4" w:space="0"/>
              <w:bottom w:val="single" w:color="C2C3C4" w:sz="4" w:space="0"/>
              <w:right w:val="single" w:color="C2C3C4" w:sz="4" w:space="0"/>
            </w:tcBorders>
            <w:shd w:val="clear" w:color="EFF2F7" w:fill="EFF2F7"/>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EFF2F7" w:fill="EFF2F7"/>
            <w:noWrap/>
            <w:vAlign w:val="center"/>
          </w:tcPr>
          <w:p>
            <w:pPr>
              <w:jc w:val="center"/>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center"/>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b/>
                <w:bCs/>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left"/>
              <w:rPr>
                <w:rFonts w:hint="eastAsia" w:ascii="宋体" w:hAnsi="宋体" w:eastAsia="宋体" w:cs="宋体"/>
                <w:i w:val="0"/>
                <w:iCs w:val="0"/>
                <w:color w:val="000000"/>
                <w:sz w:val="22"/>
                <w:szCs w:val="22"/>
                <w:u w:val="none"/>
              </w:rPr>
            </w:pPr>
          </w:p>
        </w:tc>
        <w:tc>
          <w:tcPr>
            <w:tcW w:w="20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c>
          <w:tcPr>
            <w:tcW w:w="0" w:type="auto"/>
            <w:tcBorders>
              <w:top w:val="single" w:color="C2C3C4" w:sz="4" w:space="0"/>
              <w:left w:val="single" w:color="C2C3C4" w:sz="4" w:space="0"/>
              <w:bottom w:val="single" w:color="C2C3C4" w:sz="4" w:space="0"/>
              <w:right w:val="single" w:color="C2C3C4" w:sz="4" w:space="0"/>
            </w:tcBorders>
            <w:shd w:val="clear" w:color="FFFFFF" w:fill="FFFFFF"/>
            <w:noWrap/>
            <w:vAlign w:val="center"/>
          </w:tcPr>
          <w:p>
            <w:pPr>
              <w:jc w:val="right"/>
              <w:rPr>
                <w:rFonts w:hint="eastAsia" w:ascii="宋体" w:hAnsi="宋体" w:eastAsia="宋体" w:cs="宋体"/>
                <w:i w:val="0"/>
                <w:iCs w:val="0"/>
                <w:color w:val="000000"/>
                <w:sz w:val="22"/>
                <w:szCs w:val="22"/>
                <w:u w:val="none"/>
              </w:rPr>
            </w:pPr>
          </w:p>
        </w:tc>
      </w:tr>
    </w:tbl>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ascii="方正小标宋简体" w:hAnsi="黑体" w:eastAsia="方正小标宋简体"/>
          <w:sz w:val="44"/>
          <w:szCs w:val="44"/>
          <w:highlight w:val="none"/>
        </w:rPr>
      </w:pP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第三部分  交通工程质量检验监督站</w:t>
      </w:r>
      <w:r>
        <w:rPr>
          <w:rFonts w:hint="eastAsia" w:ascii="方正小标宋简体" w:hAnsi="黑体" w:eastAsia="方正小标宋简体"/>
          <w:sz w:val="44"/>
          <w:szCs w:val="44"/>
          <w:highlight w:val="none"/>
          <w:lang w:eastAsia="zh-CN"/>
        </w:rPr>
        <w:t>2024</w:t>
      </w:r>
      <w:r>
        <w:rPr>
          <w:rFonts w:hint="eastAsia" w:ascii="方正小标宋简体" w:hAnsi="黑体" w:eastAsia="方正小标宋简体"/>
          <w:sz w:val="44"/>
          <w:szCs w:val="44"/>
          <w:highlight w:val="none"/>
        </w:rPr>
        <w:t>年</w:t>
      </w:r>
      <w:r>
        <w:rPr>
          <w:rFonts w:hint="eastAsia" w:ascii="方正小标宋简体" w:hAnsi="黑体" w:eastAsia="方正小标宋简体"/>
          <w:sz w:val="44"/>
          <w:szCs w:val="44"/>
          <w:highlight w:val="none"/>
          <w:lang w:val="en-US" w:eastAsia="zh-Hans"/>
        </w:rPr>
        <w:t>单位</w:t>
      </w:r>
      <w:r>
        <w:rPr>
          <w:rFonts w:ascii="方正小标宋简体" w:hAnsi="黑体" w:eastAsia="方正小标宋简体"/>
          <w:sz w:val="44"/>
          <w:szCs w:val="44"/>
          <w:highlight w:val="none"/>
        </w:rPr>
        <w:t>预算</w:t>
      </w:r>
      <w:r>
        <w:rPr>
          <w:rFonts w:hint="eastAsia" w:ascii="方正小标宋简体" w:hAnsi="黑体" w:eastAsia="方正小标宋简体"/>
          <w:sz w:val="44"/>
          <w:szCs w:val="44"/>
          <w:highlight w:val="none"/>
        </w:rPr>
        <w:t>情况说明</w:t>
      </w:r>
    </w:p>
    <w:p>
      <w:pPr>
        <w:ind w:firstLine="640" w:firstLineChars="200"/>
        <w:rPr>
          <w:rFonts w:ascii="黑体" w:hAnsi="黑体" w:eastAsia="黑体"/>
          <w:sz w:val="32"/>
          <w:szCs w:val="32"/>
          <w:highlight w:val="none"/>
        </w:rPr>
      </w:pPr>
      <w:r>
        <w:rPr>
          <w:rFonts w:hint="eastAsia" w:ascii="黑体" w:hAnsi="黑体" w:eastAsia="黑体"/>
          <w:sz w:val="32"/>
          <w:szCs w:val="32"/>
          <w:highlight w:val="none"/>
        </w:rPr>
        <w:t>一、收支预算情况说明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按照综合预算的原则，</w:t>
      </w:r>
      <w:r>
        <w:rPr>
          <w:rFonts w:hint="eastAsia" w:ascii="仿宋_GB2312" w:hAnsi="黑体" w:eastAsia="仿宋_GB2312"/>
          <w:sz w:val="32"/>
          <w:szCs w:val="32"/>
          <w:highlight w:val="none"/>
          <w:lang w:eastAsia="zh-CN"/>
        </w:rPr>
        <w:t>交通工程质量检验监督站</w:t>
      </w:r>
      <w:r>
        <w:rPr>
          <w:rFonts w:hint="eastAsia" w:ascii="仿宋_GB2312" w:hAnsi="黑体" w:eastAsia="仿宋_GB2312"/>
          <w:sz w:val="32"/>
          <w:szCs w:val="32"/>
          <w:highlight w:val="none"/>
        </w:rPr>
        <w:t>所有收入和支出均纳入</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预算管理。收入包括：一般公共预算拨款收入、政府性基金预算拨款收入</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；支出包括：一般公共服务支出、外交支出、国防支出、公共安全支出、教育支出、科学技术支出、文化旅游体育与传媒支出、社会保障和就业支出、卫生健康支出、住房保障支出</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年收支预算总数</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年收支预算总数增加</w:t>
      </w:r>
      <w:r>
        <w:rPr>
          <w:rFonts w:hint="eastAsia" w:ascii="仿宋_GB2312" w:hAnsi="黑体" w:eastAsia="仿宋_GB2312"/>
          <w:sz w:val="32"/>
          <w:szCs w:val="32"/>
          <w:highlight w:val="none"/>
          <w:lang w:val="en-US" w:eastAsia="zh-CN"/>
        </w:rPr>
        <w:t>36.01</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（一）收入预算情况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年收入预算</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万元，其中：一般公共预算拨款收入</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%；政府性基金预算拨款收入</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（二）支出预算情况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年支出预算</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万元，其中：基本支出</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100</w:t>
      </w:r>
      <w:r>
        <w:rPr>
          <w:rFonts w:hint="eastAsia" w:ascii="仿宋_GB2312" w:hAnsi="黑体" w:eastAsia="仿宋_GB2312"/>
          <w:sz w:val="32"/>
          <w:szCs w:val="32"/>
          <w:highlight w:val="none"/>
        </w:rPr>
        <w:t>%；项目支出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二、财政拨款收支预算情况说明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年财政拨款收支预算总数</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年财政拨款收支预算总数增</w:t>
      </w:r>
      <w:r>
        <w:rPr>
          <w:rFonts w:hint="eastAsia" w:ascii="仿宋_GB2312" w:hAnsi="黑体" w:eastAsia="仿宋_GB2312"/>
          <w:sz w:val="32"/>
          <w:szCs w:val="32"/>
          <w:highlight w:val="none"/>
          <w:lang w:val="en-US" w:eastAsia="zh-CN"/>
        </w:rPr>
        <w:t>加215.88</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收入包括： 交通运输支出</w:t>
      </w:r>
      <w:r>
        <w:rPr>
          <w:rFonts w:hint="eastAsia" w:ascii="仿宋_GB2312" w:hAnsi="黑体" w:eastAsia="仿宋_GB2312"/>
          <w:sz w:val="32"/>
          <w:szCs w:val="32"/>
          <w:highlight w:val="none"/>
          <w:lang w:val="en-US" w:eastAsia="zh-CN"/>
        </w:rPr>
        <w:t>151.5万元</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34.6</w:t>
      </w:r>
      <w:r>
        <w:rPr>
          <w:rFonts w:hint="eastAsia" w:ascii="仿宋_GB2312" w:hAnsi="黑体" w:eastAsia="仿宋_GB2312"/>
          <w:sz w:val="32"/>
          <w:szCs w:val="32"/>
          <w:highlight w:val="none"/>
        </w:rPr>
        <w:t>万元、卫生健康支出</w:t>
      </w:r>
      <w:r>
        <w:rPr>
          <w:rFonts w:hint="eastAsia" w:ascii="仿宋_GB2312" w:hAnsi="黑体" w:eastAsia="仿宋_GB2312"/>
          <w:sz w:val="32"/>
          <w:szCs w:val="32"/>
          <w:highlight w:val="none"/>
          <w:lang w:val="en-US" w:eastAsia="zh-CN"/>
        </w:rPr>
        <w:t>10.97</w:t>
      </w:r>
      <w:r>
        <w:rPr>
          <w:rFonts w:hint="eastAsia" w:ascii="仿宋_GB2312" w:hAnsi="黑体" w:eastAsia="仿宋_GB2312"/>
          <w:sz w:val="32"/>
          <w:szCs w:val="32"/>
          <w:highlight w:val="none"/>
        </w:rPr>
        <w:t>万元、住房保障支出</w:t>
      </w:r>
      <w:r>
        <w:rPr>
          <w:rFonts w:hint="eastAsia" w:ascii="仿宋_GB2312" w:hAnsi="黑体" w:eastAsia="仿宋_GB2312"/>
          <w:sz w:val="32"/>
          <w:szCs w:val="32"/>
          <w:highlight w:val="none"/>
          <w:lang w:val="en-US" w:eastAsia="zh-CN"/>
        </w:rPr>
        <w:t>18.81</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三、一般公共预算当年拨款情况说明</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（一）一般公共预算当年拨款规模变化情况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年一般公共预算当年拨款</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万元，比</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年预算数增加</w:t>
      </w:r>
      <w:r>
        <w:rPr>
          <w:rFonts w:hint="eastAsia" w:ascii="仿宋_GB2312" w:hAnsi="黑体" w:eastAsia="仿宋_GB2312"/>
          <w:sz w:val="32"/>
          <w:szCs w:val="32"/>
          <w:highlight w:val="none"/>
          <w:lang w:val="en-US" w:eastAsia="zh-CN"/>
        </w:rPr>
        <w:t>31.06</w:t>
      </w:r>
      <w:r>
        <w:rPr>
          <w:rFonts w:hint="eastAsia" w:ascii="仿宋_GB2312" w:hAnsi="黑体" w:eastAsia="仿宋_GB2312"/>
          <w:sz w:val="32"/>
          <w:szCs w:val="32"/>
          <w:highlight w:val="none"/>
        </w:rPr>
        <w:t>万元，主要原因是</w:t>
      </w:r>
      <w:r>
        <w:rPr>
          <w:rFonts w:hint="eastAsia" w:ascii="仿宋_GB2312" w:hAnsi="黑体" w:eastAsia="仿宋_GB2312"/>
          <w:sz w:val="32"/>
          <w:szCs w:val="32"/>
          <w:highlight w:val="none"/>
          <w:lang w:val="en-US" w:eastAsia="zh-CN"/>
        </w:rPr>
        <w:t>人员增加</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（二）一般公共预算当年拨款结构情况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交通运输支出</w:t>
      </w:r>
      <w:r>
        <w:rPr>
          <w:rFonts w:hint="eastAsia" w:ascii="仿宋_GB2312" w:hAnsi="黑体" w:eastAsia="仿宋_GB2312"/>
          <w:sz w:val="32"/>
          <w:szCs w:val="32"/>
          <w:highlight w:val="none"/>
          <w:lang w:val="en-US" w:eastAsia="zh-CN"/>
        </w:rPr>
        <w:t>151.5万元</w:t>
      </w:r>
      <w:r>
        <w:rPr>
          <w:rFonts w:hint="eastAsia" w:ascii="仿宋_GB2312" w:hAnsi="黑体" w:eastAsia="仿宋_GB2312"/>
          <w:sz w:val="32"/>
          <w:szCs w:val="32"/>
          <w:highlight w:val="none"/>
        </w:rPr>
        <w:t>,占</w:t>
      </w:r>
      <w:r>
        <w:rPr>
          <w:rFonts w:hint="eastAsia" w:ascii="仿宋_GB2312" w:hAnsi="黑体" w:eastAsia="仿宋_GB2312"/>
          <w:sz w:val="32"/>
          <w:szCs w:val="32"/>
          <w:highlight w:val="none"/>
          <w:lang w:val="en-US" w:eastAsia="zh-CN"/>
        </w:rPr>
        <w:t>70.18</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社会保障和就业支出</w:t>
      </w:r>
      <w:r>
        <w:rPr>
          <w:rFonts w:hint="eastAsia" w:ascii="仿宋_GB2312" w:hAnsi="黑体" w:eastAsia="仿宋_GB2312"/>
          <w:sz w:val="32"/>
          <w:szCs w:val="32"/>
          <w:highlight w:val="none"/>
          <w:lang w:val="en-US" w:eastAsia="zh-CN"/>
        </w:rPr>
        <w:t>34.6</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16.03</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卫生健康支出</w:t>
      </w:r>
      <w:r>
        <w:rPr>
          <w:rFonts w:hint="eastAsia" w:ascii="仿宋_GB2312" w:hAnsi="黑体" w:eastAsia="仿宋_GB2312"/>
          <w:sz w:val="32"/>
          <w:szCs w:val="32"/>
          <w:highlight w:val="none"/>
          <w:lang w:val="en-US" w:eastAsia="zh-CN"/>
        </w:rPr>
        <w:t>10.97</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5.08</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eastAsia="zh-CN"/>
        </w:rPr>
        <w:t>；</w:t>
      </w:r>
      <w:r>
        <w:rPr>
          <w:rFonts w:hint="eastAsia" w:ascii="仿宋_GB2312" w:hAnsi="黑体" w:eastAsia="仿宋_GB2312"/>
          <w:sz w:val="32"/>
          <w:szCs w:val="32"/>
          <w:highlight w:val="none"/>
        </w:rPr>
        <w:t>住房保障支出</w:t>
      </w:r>
      <w:r>
        <w:rPr>
          <w:rFonts w:hint="eastAsia" w:ascii="仿宋_GB2312" w:hAnsi="黑体" w:eastAsia="仿宋_GB2312"/>
          <w:sz w:val="32"/>
          <w:szCs w:val="32"/>
          <w:highlight w:val="none"/>
          <w:lang w:val="en-US" w:eastAsia="zh-CN"/>
        </w:rPr>
        <w:t>18.81</w:t>
      </w:r>
      <w:r>
        <w:rPr>
          <w:rFonts w:hint="eastAsia" w:ascii="仿宋_GB2312" w:hAnsi="黑体" w:eastAsia="仿宋_GB2312"/>
          <w:sz w:val="32"/>
          <w:szCs w:val="32"/>
          <w:highlight w:val="none"/>
        </w:rPr>
        <w:t>万元,占</w:t>
      </w:r>
      <w:r>
        <w:rPr>
          <w:rFonts w:hint="eastAsia" w:ascii="仿宋_GB2312" w:hAnsi="黑体" w:eastAsia="仿宋_GB2312"/>
          <w:sz w:val="32"/>
          <w:szCs w:val="32"/>
          <w:highlight w:val="none"/>
          <w:lang w:val="en-US" w:eastAsia="zh-CN"/>
        </w:rPr>
        <w:t>8.71</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（三）一般公共预算当年拨款具体使用情况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1.</w:t>
      </w:r>
      <w:r>
        <w:rPr>
          <w:rFonts w:hint="eastAsia" w:ascii="仿宋_GB2312" w:hAnsi="黑体" w:eastAsia="仿宋_GB2312"/>
          <w:sz w:val="32"/>
          <w:szCs w:val="32"/>
          <w:highlight w:val="none"/>
          <w:lang w:val="en-US" w:eastAsia="zh-CN"/>
        </w:rPr>
        <w:t>交通运输支出</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214</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行政运行</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其他公路水路运输支出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99</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151.5</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eastAsia="zh-CN"/>
        </w:rPr>
        <w:t>交通工程质量检验监督站</w:t>
      </w:r>
      <w:r>
        <w:rPr>
          <w:rFonts w:hint="eastAsia" w:ascii="仿宋_GB2312" w:hAnsi="黑体" w:eastAsia="仿宋_GB2312"/>
          <w:sz w:val="32"/>
          <w:szCs w:val="32"/>
          <w:highlight w:val="none"/>
        </w:rPr>
        <w:t>正常运转的基本支出，包括基本工资、津贴补贴等人员经费以及办公费、印刷费、水电费等日常公用经费，保障正常运转。</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2.</w:t>
      </w:r>
      <w:r>
        <w:rPr>
          <w:rFonts w:hint="eastAsia" w:ascii="仿宋_GB2312" w:hAnsi="黑体" w:eastAsia="仿宋_GB2312"/>
          <w:sz w:val="32"/>
          <w:szCs w:val="32"/>
          <w:highlight w:val="none"/>
          <w:lang w:val="en-US" w:eastAsia="zh-CN"/>
        </w:rPr>
        <w:t>社会保障和就业支出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行政事业单位养老支出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行政事业单位基本养老保险缴费支出</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22.06</w:t>
      </w:r>
      <w:r>
        <w:rPr>
          <w:rFonts w:hint="eastAsia" w:ascii="仿宋_GB2312" w:hAnsi="黑体" w:eastAsia="仿宋_GB2312"/>
          <w:sz w:val="32"/>
          <w:szCs w:val="32"/>
          <w:highlight w:val="none"/>
        </w:rPr>
        <w:t>万元，主要用于：实施养老保险制度由单位缴纳的基本养老保险支出。</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val="en-US" w:eastAsia="zh-CN"/>
        </w:rPr>
        <w:t>3.</w:t>
      </w:r>
      <w:r>
        <w:rPr>
          <w:rFonts w:hint="eastAsia" w:ascii="仿宋_GB2312" w:hAnsi="黑体" w:eastAsia="仿宋_GB2312"/>
          <w:sz w:val="32"/>
          <w:szCs w:val="32"/>
          <w:highlight w:val="none"/>
        </w:rPr>
        <w:t>社会保障和就业（</w:t>
      </w:r>
      <w:r>
        <w:rPr>
          <w:rFonts w:hint="eastAsia" w:ascii="仿宋_GB2312" w:hAnsi="黑体" w:eastAsia="仿宋_GB2312"/>
          <w:sz w:val="32"/>
          <w:szCs w:val="32"/>
          <w:highlight w:val="none"/>
          <w:lang w:val="en-US" w:eastAsia="zh-CN"/>
        </w:rPr>
        <w:t>208</w:t>
      </w:r>
      <w:r>
        <w:rPr>
          <w:rFonts w:hint="eastAsia" w:ascii="仿宋_GB2312" w:hAnsi="黑体" w:eastAsia="仿宋_GB2312"/>
          <w:sz w:val="32"/>
          <w:szCs w:val="32"/>
          <w:highlight w:val="none"/>
        </w:rPr>
        <w:t>）行政事业单位养老支出（</w:t>
      </w:r>
      <w:r>
        <w:rPr>
          <w:rFonts w:hint="eastAsia" w:ascii="仿宋_GB2312" w:hAnsi="黑体" w:eastAsia="仿宋_GB2312"/>
          <w:sz w:val="32"/>
          <w:szCs w:val="32"/>
          <w:highlight w:val="none"/>
          <w:lang w:val="en-US" w:eastAsia="zh-CN"/>
        </w:rPr>
        <w:t>05</w:t>
      </w:r>
      <w:r>
        <w:rPr>
          <w:rFonts w:hint="eastAsia" w:ascii="仿宋_GB2312" w:hAnsi="黑体" w:eastAsia="仿宋_GB2312"/>
          <w:sz w:val="32"/>
          <w:szCs w:val="32"/>
          <w:highlight w:val="none"/>
        </w:rPr>
        <w:t>）机关事业单位职业年金缴费支出（</w:t>
      </w:r>
      <w:r>
        <w:rPr>
          <w:rFonts w:hint="eastAsia" w:ascii="仿宋_GB2312" w:hAnsi="黑体" w:eastAsia="仿宋_GB2312"/>
          <w:sz w:val="32"/>
          <w:szCs w:val="32"/>
          <w:highlight w:val="none"/>
          <w:lang w:val="en-US" w:eastAsia="zh-CN"/>
        </w:rPr>
        <w:t>06</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12.54</w:t>
      </w:r>
      <w:r>
        <w:rPr>
          <w:rFonts w:hint="eastAsia" w:ascii="仿宋_GB2312" w:hAnsi="黑体" w:eastAsia="仿宋_GB2312"/>
          <w:sz w:val="32"/>
          <w:szCs w:val="32"/>
          <w:highlight w:val="none"/>
        </w:rPr>
        <w:t>万元，主要用于：实施养老保险制度由单位缴纳的职业年金支出。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卫生健康（</w:t>
      </w:r>
      <w:r>
        <w:rPr>
          <w:rFonts w:hint="eastAsia" w:ascii="仿宋_GB2312" w:hAnsi="黑体" w:eastAsia="仿宋_GB2312"/>
          <w:sz w:val="32"/>
          <w:szCs w:val="32"/>
          <w:highlight w:val="none"/>
          <w:lang w:val="en-US" w:eastAsia="zh-CN"/>
        </w:rPr>
        <w:t>210</w:t>
      </w:r>
      <w:r>
        <w:rPr>
          <w:rFonts w:hint="eastAsia" w:ascii="仿宋_GB2312" w:hAnsi="黑体" w:eastAsia="仿宋_GB2312"/>
          <w:sz w:val="32"/>
          <w:szCs w:val="32"/>
          <w:highlight w:val="none"/>
        </w:rPr>
        <w:t>）行政事业单位医疗（</w:t>
      </w:r>
      <w:r>
        <w:rPr>
          <w:rFonts w:hint="eastAsia" w:ascii="仿宋_GB2312" w:hAnsi="黑体" w:eastAsia="仿宋_GB2312"/>
          <w:sz w:val="32"/>
          <w:szCs w:val="32"/>
          <w:highlight w:val="none"/>
          <w:lang w:val="en-US" w:eastAsia="zh-CN"/>
        </w:rPr>
        <w:t>11</w:t>
      </w:r>
      <w:r>
        <w:rPr>
          <w:rFonts w:hint="eastAsia"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事业</w:t>
      </w:r>
      <w:r>
        <w:rPr>
          <w:rFonts w:hint="eastAsia" w:ascii="仿宋_GB2312" w:hAnsi="黑体" w:eastAsia="仿宋_GB2312"/>
          <w:sz w:val="32"/>
          <w:szCs w:val="32"/>
          <w:highlight w:val="none"/>
        </w:rPr>
        <w:t>单位医疗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lang w:val="en-US" w:eastAsia="zh-CN"/>
        </w:rPr>
        <w:t>02</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10.97</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CN"/>
        </w:rPr>
        <w:t>单位缴纳职工医疗保险支出</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.住房保障（</w:t>
      </w:r>
      <w:r>
        <w:rPr>
          <w:rFonts w:hint="eastAsia" w:ascii="仿宋_GB2312" w:hAnsi="黑体" w:eastAsia="仿宋_GB2312"/>
          <w:sz w:val="32"/>
          <w:szCs w:val="32"/>
          <w:highlight w:val="none"/>
          <w:lang w:val="en-US" w:eastAsia="zh-CN"/>
        </w:rPr>
        <w:t>221</w:t>
      </w:r>
      <w:r>
        <w:rPr>
          <w:rFonts w:hint="eastAsia" w:ascii="仿宋_GB2312" w:hAnsi="黑体" w:eastAsia="仿宋_GB2312"/>
          <w:sz w:val="32"/>
          <w:szCs w:val="32"/>
          <w:highlight w:val="none"/>
        </w:rPr>
        <w:t>）住房改革支出（</w:t>
      </w:r>
      <w:r>
        <w:rPr>
          <w:rFonts w:hint="eastAsia" w:ascii="仿宋_GB2312" w:hAnsi="黑体" w:eastAsia="仿宋_GB2312"/>
          <w:sz w:val="32"/>
          <w:szCs w:val="32"/>
          <w:highlight w:val="none"/>
          <w:lang w:val="en-US" w:eastAsia="zh-CN"/>
        </w:rPr>
        <w:t>02</w:t>
      </w:r>
      <w:r>
        <w:rPr>
          <w:rFonts w:hint="eastAsia" w:ascii="仿宋_GB2312" w:hAnsi="黑体" w:eastAsia="仿宋_GB2312"/>
          <w:sz w:val="32"/>
          <w:szCs w:val="32"/>
          <w:highlight w:val="none"/>
        </w:rPr>
        <w:t>）住房公积金（</w:t>
      </w:r>
      <w:r>
        <w:rPr>
          <w:rFonts w:hint="eastAsia" w:ascii="仿宋_GB2312" w:hAnsi="黑体" w:eastAsia="仿宋_GB2312"/>
          <w:sz w:val="32"/>
          <w:szCs w:val="32"/>
          <w:highlight w:val="none"/>
          <w:lang w:val="en-US" w:eastAsia="zh-CN"/>
        </w:rPr>
        <w:t>01</w:t>
      </w:r>
      <w:r>
        <w:rPr>
          <w:rFonts w:hint="eastAsia" w:ascii="仿宋_GB2312" w:hAnsi="黑体" w:eastAsia="仿宋_GB2312"/>
          <w:sz w:val="32"/>
          <w:szCs w:val="32"/>
          <w:highlight w:val="none"/>
        </w:rPr>
        <w:t>）202</w:t>
      </w:r>
      <w:r>
        <w:rPr>
          <w:rFonts w:hint="eastAsia" w:ascii="仿宋_GB2312" w:hAnsi="黑体" w:eastAsia="仿宋_GB2312"/>
          <w:sz w:val="32"/>
          <w:szCs w:val="32"/>
          <w:highlight w:val="none"/>
          <w:lang w:val="en-US" w:eastAsia="zh-CN"/>
        </w:rPr>
        <w:t>4</w:t>
      </w:r>
      <w:r>
        <w:rPr>
          <w:rFonts w:hint="eastAsia" w:ascii="仿宋_GB2312" w:hAnsi="黑体" w:eastAsia="仿宋_GB2312"/>
          <w:sz w:val="32"/>
          <w:szCs w:val="32"/>
          <w:highlight w:val="none"/>
        </w:rPr>
        <w:t>年预算数为</w:t>
      </w:r>
      <w:r>
        <w:rPr>
          <w:rFonts w:hint="eastAsia" w:ascii="仿宋_GB2312" w:hAnsi="黑体" w:eastAsia="仿宋_GB2312"/>
          <w:sz w:val="32"/>
          <w:szCs w:val="32"/>
          <w:highlight w:val="none"/>
          <w:lang w:val="en-US" w:eastAsia="zh-CN"/>
        </w:rPr>
        <w:t>18.81</w:t>
      </w:r>
      <w:r>
        <w:rPr>
          <w:rFonts w:hint="eastAsia" w:ascii="仿宋_GB2312" w:hAnsi="黑体" w:eastAsia="仿宋_GB2312"/>
          <w:sz w:val="32"/>
          <w:szCs w:val="32"/>
          <w:highlight w:val="none"/>
        </w:rPr>
        <w:t>万元，主要用于：</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按规定为职工缴纳的住房公积金支出。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四、一般公共预算基本支出情况说明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年一般公共预算基本支出</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万元，其中：</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人员经费</w:t>
      </w:r>
      <w:r>
        <w:rPr>
          <w:rFonts w:hint="eastAsia" w:ascii="仿宋_GB2312" w:hAnsi="黑体" w:eastAsia="仿宋_GB2312"/>
          <w:sz w:val="32"/>
          <w:szCs w:val="32"/>
          <w:highlight w:val="none"/>
          <w:lang w:val="en-US" w:eastAsia="zh-CN"/>
        </w:rPr>
        <w:t>208.17</w:t>
      </w:r>
      <w:r>
        <w:rPr>
          <w:rFonts w:hint="eastAsia" w:ascii="仿宋_GB2312" w:hAnsi="黑体" w:eastAsia="仿宋_GB2312"/>
          <w:sz w:val="32"/>
          <w:szCs w:val="32"/>
          <w:highlight w:val="none"/>
        </w:rPr>
        <w:t>万元，主要包括：基本工资、津贴补贴、奖金、社会保险缴费、离休费、住房公积金、福利费、工会经费、其他交通费用等支出。</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公用经</w:t>
      </w:r>
      <w:r>
        <w:rPr>
          <w:rFonts w:hint="eastAsia" w:ascii="仿宋_GB2312" w:hAnsi="黑体" w:eastAsia="仿宋_GB2312"/>
          <w:sz w:val="32"/>
          <w:szCs w:val="32"/>
          <w:highlight w:val="none"/>
          <w:lang w:val="en-US" w:eastAsia="zh-CN"/>
        </w:rPr>
        <w:t>7.71</w:t>
      </w:r>
      <w:r>
        <w:rPr>
          <w:rFonts w:hint="eastAsia" w:ascii="仿宋_GB2312" w:hAnsi="黑体" w:eastAsia="仿宋_GB2312"/>
          <w:sz w:val="32"/>
          <w:szCs w:val="32"/>
          <w:highlight w:val="none"/>
        </w:rPr>
        <w:t>万元，主要包活：办公费、印刷费、水费、电费、邮电费、物业管理费、差旅费、会议费、培训费、公务接待费、劳务费、公务用车运行维护费等支出。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五、“三公”经费财政拨款预算安排情况说明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年“三公”经费财政拨款预算数</w:t>
      </w:r>
      <w:r>
        <w:rPr>
          <w:rFonts w:hint="eastAsia" w:ascii="仿宋_GB2312" w:hAnsi="黑体" w:eastAsia="仿宋_GB2312"/>
          <w:sz w:val="32"/>
          <w:szCs w:val="32"/>
          <w:highlight w:val="none"/>
          <w:lang w:val="en-US" w:eastAsia="zh-CN"/>
        </w:rPr>
        <w:t>0.15</w:t>
      </w:r>
      <w:r>
        <w:rPr>
          <w:rFonts w:hint="eastAsia" w:ascii="仿宋_GB2312" w:hAnsi="黑体" w:eastAsia="仿宋_GB2312"/>
          <w:sz w:val="32"/>
          <w:szCs w:val="32"/>
          <w:highlight w:val="none"/>
        </w:rPr>
        <w:t>万元，其中：公务接待费</w:t>
      </w:r>
      <w:r>
        <w:rPr>
          <w:rFonts w:hint="eastAsia" w:ascii="仿宋_GB2312" w:hAnsi="黑体" w:eastAsia="仿宋_GB2312"/>
          <w:sz w:val="32"/>
          <w:szCs w:val="32"/>
          <w:highlight w:val="none"/>
          <w:lang w:val="en-US" w:eastAsia="zh-CN"/>
        </w:rPr>
        <w:t>0.15</w:t>
      </w:r>
      <w:r>
        <w:rPr>
          <w:rFonts w:hint="eastAsia" w:ascii="仿宋_GB2312" w:hAnsi="黑体" w:eastAsia="仿宋_GB2312"/>
          <w:sz w:val="32"/>
          <w:szCs w:val="32"/>
          <w:highlight w:val="none"/>
        </w:rPr>
        <w:t>万元，公务用车购置及运行维护费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万元,因公出国（境）经费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（一）公务接待费较</w:t>
      </w:r>
      <w:r>
        <w:rPr>
          <w:rFonts w:hint="eastAsia" w:ascii="楷体" w:hAnsi="楷体" w:eastAsia="楷体"/>
          <w:b/>
          <w:sz w:val="32"/>
          <w:szCs w:val="32"/>
          <w:highlight w:val="none"/>
          <w:lang w:eastAsia="zh-CN"/>
        </w:rPr>
        <w:t>2023</w:t>
      </w:r>
      <w:r>
        <w:rPr>
          <w:rFonts w:hint="eastAsia" w:ascii="楷体" w:hAnsi="楷体" w:eastAsia="楷体"/>
          <w:b/>
          <w:sz w:val="32"/>
          <w:szCs w:val="32"/>
          <w:highlight w:val="none"/>
        </w:rPr>
        <w:t>年预算增加。</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年公务接待费计划用于执行</w:t>
      </w:r>
      <w:r>
        <w:rPr>
          <w:rFonts w:hint="eastAsia" w:ascii="仿宋_GB2312" w:hAnsi="黑体" w:eastAsia="仿宋_GB2312"/>
          <w:sz w:val="32"/>
          <w:szCs w:val="32"/>
          <w:highlight w:val="none"/>
          <w:lang w:val="en-US" w:eastAsia="zh-CN"/>
        </w:rPr>
        <w:t>单位日常公务接待</w:t>
      </w:r>
      <w:r>
        <w:rPr>
          <w:rFonts w:hint="eastAsia" w:ascii="仿宋_GB2312" w:hAnsi="黑体" w:eastAsia="仿宋_GB2312"/>
          <w:sz w:val="32"/>
          <w:szCs w:val="32"/>
          <w:highlight w:val="none"/>
        </w:rPr>
        <w:t>。</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（二）公务用车购置及运行维护费与</w:t>
      </w:r>
      <w:r>
        <w:rPr>
          <w:rFonts w:hint="eastAsia" w:ascii="楷体" w:hAnsi="楷体" w:eastAsia="楷体"/>
          <w:b/>
          <w:sz w:val="32"/>
          <w:szCs w:val="32"/>
          <w:highlight w:val="none"/>
          <w:lang w:eastAsia="zh-CN"/>
        </w:rPr>
        <w:t>2023</w:t>
      </w:r>
      <w:r>
        <w:rPr>
          <w:rFonts w:hint="eastAsia" w:ascii="楷体" w:hAnsi="楷体" w:eastAsia="楷体"/>
          <w:b/>
          <w:sz w:val="32"/>
          <w:szCs w:val="32"/>
          <w:highlight w:val="none"/>
        </w:rPr>
        <w:t>年预算持平。</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单位现有公务用车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辆，其中：轿车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辆，旅行车（含商务车）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辆，越野车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年安排公务用车运行维护费</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六、政府性基金预算支出情况说明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r>
        <w:rPr>
          <w:rFonts w:ascii="仿宋_GB2312" w:hAnsi="黑体" w:eastAsia="仿宋_GB2312"/>
          <w:sz w:val="32"/>
          <w:szCs w:val="32"/>
          <w:highlight w:val="none"/>
        </w:rPr>
        <w:t>，</w:t>
      </w:r>
      <w:r>
        <w:rPr>
          <w:rFonts w:hint="eastAsia" w:ascii="仿宋_GB2312" w:hAnsi="黑体" w:eastAsia="仿宋_GB2312"/>
          <w:sz w:val="32"/>
          <w:szCs w:val="32"/>
          <w:highlight w:val="none"/>
        </w:rPr>
        <w:t>没有使用政府性基金预算拨款安排的支出。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七、国有资本经营预算情况说明</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交通工程质量检验监督站2024</w:t>
      </w:r>
      <w:r>
        <w:rPr>
          <w:rFonts w:hint="eastAsia" w:ascii="仿宋_GB2312" w:hAnsi="黑体" w:eastAsia="仿宋_GB2312"/>
          <w:sz w:val="32"/>
          <w:szCs w:val="32"/>
          <w:highlight w:val="none"/>
        </w:rPr>
        <w:t>年使用政府性基金预算拨款安排的支出</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万元，没有使用国有资本经营预算拨款安排的支出。</w:t>
      </w:r>
    </w:p>
    <w:p>
      <w:pPr>
        <w:ind w:firstLine="640" w:firstLineChars="200"/>
        <w:jc w:val="both"/>
        <w:rPr>
          <w:rFonts w:ascii="黑体" w:hAnsi="黑体" w:eastAsia="黑体"/>
          <w:sz w:val="32"/>
          <w:szCs w:val="32"/>
          <w:highlight w:val="none"/>
        </w:rPr>
      </w:pPr>
      <w:r>
        <w:rPr>
          <w:rFonts w:hint="eastAsia" w:ascii="黑体" w:hAnsi="黑体" w:eastAsia="黑体"/>
          <w:sz w:val="32"/>
          <w:szCs w:val="32"/>
          <w:highlight w:val="none"/>
        </w:rPr>
        <w:t>八、其他重要事项的情况说明</w:t>
      </w:r>
    </w:p>
    <w:p>
      <w:pPr>
        <w:ind w:firstLine="643" w:firstLineChars="200"/>
        <w:jc w:val="both"/>
        <w:rPr>
          <w:rFonts w:ascii="楷体" w:hAnsi="楷体" w:eastAsia="楷体"/>
          <w:b/>
          <w:sz w:val="32"/>
          <w:szCs w:val="32"/>
          <w:highlight w:val="none"/>
        </w:rPr>
      </w:pPr>
      <w:r>
        <w:rPr>
          <w:rFonts w:hint="default" w:ascii="楷体" w:hAnsi="楷体" w:eastAsia="楷体"/>
          <w:b/>
          <w:sz w:val="32"/>
          <w:szCs w:val="32"/>
          <w:highlight w:val="none"/>
        </w:rPr>
        <w:t>（</w:t>
      </w:r>
      <w:r>
        <w:rPr>
          <w:rFonts w:hint="eastAsia" w:ascii="楷体" w:hAnsi="楷体" w:eastAsia="楷体"/>
          <w:b/>
          <w:sz w:val="32"/>
          <w:szCs w:val="32"/>
          <w:highlight w:val="none"/>
        </w:rPr>
        <w:t>一</w:t>
      </w:r>
      <w:r>
        <w:rPr>
          <w:rFonts w:hint="default" w:ascii="楷体" w:hAnsi="楷体" w:eastAsia="楷体"/>
          <w:b/>
          <w:sz w:val="32"/>
          <w:szCs w:val="32"/>
          <w:highlight w:val="none"/>
        </w:rPr>
        <w:t>）</w:t>
      </w:r>
      <w:r>
        <w:rPr>
          <w:rFonts w:hint="eastAsia" w:ascii="楷体" w:hAnsi="楷体" w:eastAsia="楷体"/>
          <w:b/>
          <w:sz w:val="32"/>
          <w:szCs w:val="32"/>
          <w:highlight w:val="none"/>
        </w:rPr>
        <w:t>机关运行经费情况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交通工程质量检验监督站</w:t>
      </w:r>
      <w:r>
        <w:rPr>
          <w:rFonts w:hint="eastAsia" w:ascii="仿宋_GB2312" w:hAnsi="黑体" w:eastAsia="仿宋_GB2312"/>
          <w:sz w:val="32"/>
          <w:szCs w:val="32"/>
          <w:highlight w:val="none"/>
        </w:rPr>
        <w:t>的机关运行经费财政拨款预算为</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万元，较</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年预算增加。</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（二</w:t>
      </w:r>
      <w:r>
        <w:rPr>
          <w:rFonts w:hint="default" w:ascii="楷体" w:hAnsi="楷体" w:eastAsia="楷体"/>
          <w:b/>
          <w:sz w:val="32"/>
          <w:szCs w:val="32"/>
          <w:highlight w:val="none"/>
        </w:rPr>
        <w:t>）</w:t>
      </w:r>
      <w:r>
        <w:rPr>
          <w:rFonts w:hint="eastAsia" w:ascii="楷体" w:hAnsi="楷体" w:eastAsia="楷体"/>
          <w:b/>
          <w:sz w:val="32"/>
          <w:szCs w:val="32"/>
          <w:highlight w:val="none"/>
        </w:rPr>
        <w:t>政府采购情况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交通工程质量检验监督站</w:t>
      </w:r>
      <w:r>
        <w:rPr>
          <w:rFonts w:hint="eastAsia" w:ascii="仿宋_GB2312" w:hAnsi="黑体" w:eastAsia="仿宋_GB2312"/>
          <w:sz w:val="32"/>
          <w:szCs w:val="32"/>
          <w:highlight w:val="none"/>
        </w:rPr>
        <w:t>安排政府采购预算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万元，其中，政府采购货物预算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万元；政府采购工程预算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万元；政府采购服务预算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（三）国有资产占有使用情况</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rPr>
        <w:t>截至</w:t>
      </w:r>
      <w:r>
        <w:rPr>
          <w:rFonts w:hint="eastAsia" w:ascii="仿宋_GB2312" w:hAnsi="黑体" w:eastAsia="仿宋_GB2312"/>
          <w:sz w:val="32"/>
          <w:szCs w:val="32"/>
          <w:highlight w:val="none"/>
          <w:lang w:eastAsia="zh-CN"/>
        </w:rPr>
        <w:t>2023</w:t>
      </w:r>
      <w:r>
        <w:rPr>
          <w:rFonts w:hint="eastAsia" w:ascii="仿宋_GB2312" w:hAnsi="黑体" w:eastAsia="仿宋_GB2312"/>
          <w:sz w:val="32"/>
          <w:szCs w:val="32"/>
          <w:highlight w:val="none"/>
        </w:rPr>
        <w:t>年底，</w:t>
      </w:r>
      <w:r>
        <w:rPr>
          <w:rFonts w:hint="eastAsia" w:ascii="仿宋_GB2312" w:hAnsi="黑体" w:eastAsia="仿宋_GB2312"/>
          <w:sz w:val="32"/>
          <w:szCs w:val="32"/>
          <w:highlight w:val="none"/>
          <w:lang w:eastAsia="zh-CN"/>
        </w:rPr>
        <w:t>交通工程质量检验监督站</w:t>
      </w:r>
      <w:r>
        <w:rPr>
          <w:rFonts w:hint="eastAsia" w:ascii="仿宋_GB2312" w:hAnsi="黑体" w:eastAsia="仿宋_GB2312"/>
          <w:sz w:val="32"/>
          <w:szCs w:val="32"/>
          <w:highlight w:val="none"/>
        </w:rPr>
        <w:t>单位共有车辆</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辆，其中，领导干部用车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辆、定向保障用车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辆、执法执勤用车</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辆。单位价值200万元以上大型设备</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台</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套</w:t>
      </w:r>
      <w:r>
        <w:rPr>
          <w:rFonts w:hint="default" w:ascii="仿宋_GB2312" w:hAnsi="黑体" w:eastAsia="仿宋_GB2312"/>
          <w:sz w:val="32"/>
          <w:szCs w:val="32"/>
          <w:highlight w:val="none"/>
        </w:rPr>
        <w:t>）</w:t>
      </w:r>
      <w:r>
        <w:rPr>
          <w:rFonts w:hint="eastAsia" w:ascii="仿宋_GB2312" w:hAnsi="黑体" w:eastAsia="仿宋_GB2312"/>
          <w:sz w:val="32"/>
          <w:szCs w:val="32"/>
          <w:highlight w:val="none"/>
        </w:rPr>
        <w:t>。</w:t>
      </w:r>
    </w:p>
    <w:p>
      <w:pPr>
        <w:ind w:firstLine="640" w:firstLineChars="200"/>
        <w:jc w:val="both"/>
        <w:rPr>
          <w:rFonts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val="en-US" w:eastAsia="zh-Hans"/>
        </w:rPr>
        <w:t>单位</w:t>
      </w:r>
      <w:r>
        <w:rPr>
          <w:rFonts w:hint="eastAsia" w:ascii="仿宋_GB2312" w:hAnsi="黑体" w:eastAsia="仿宋_GB2312"/>
          <w:sz w:val="32"/>
          <w:szCs w:val="32"/>
          <w:highlight w:val="none"/>
        </w:rPr>
        <w:t>预算</w:t>
      </w:r>
      <w:r>
        <w:rPr>
          <w:rFonts w:hint="eastAsia" w:ascii="仿宋_GB2312" w:hAnsi="黑体" w:eastAsia="仿宋_GB2312"/>
          <w:sz w:val="32"/>
          <w:szCs w:val="32"/>
          <w:highlight w:val="none"/>
          <w:lang w:val="en-US" w:eastAsia="zh-CN"/>
        </w:rPr>
        <w:t>未</w:t>
      </w:r>
      <w:r>
        <w:rPr>
          <w:rFonts w:hint="eastAsia" w:ascii="仿宋_GB2312" w:hAnsi="黑体" w:eastAsia="仿宋_GB2312"/>
          <w:sz w:val="32"/>
          <w:szCs w:val="32"/>
          <w:highlight w:val="none"/>
        </w:rPr>
        <w:t>安排购置车辆及单位价值200万元以上大型设备。</w:t>
      </w:r>
    </w:p>
    <w:p>
      <w:pPr>
        <w:ind w:firstLine="643" w:firstLineChars="200"/>
        <w:jc w:val="both"/>
        <w:rPr>
          <w:rFonts w:ascii="楷体" w:hAnsi="楷体" w:eastAsia="楷体"/>
          <w:b/>
          <w:sz w:val="32"/>
          <w:szCs w:val="32"/>
          <w:highlight w:val="none"/>
        </w:rPr>
      </w:pPr>
      <w:r>
        <w:rPr>
          <w:rFonts w:hint="eastAsia" w:ascii="楷体" w:hAnsi="楷体" w:eastAsia="楷体"/>
          <w:b/>
          <w:sz w:val="32"/>
          <w:szCs w:val="32"/>
          <w:highlight w:val="none"/>
        </w:rPr>
        <w:t>（四）预算绩效情况</w:t>
      </w:r>
    </w:p>
    <w:p>
      <w:p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lang w:eastAsia="zh-CN"/>
        </w:rPr>
        <w:t>2024</w:t>
      </w:r>
      <w:r>
        <w:rPr>
          <w:rFonts w:hint="eastAsia" w:ascii="仿宋_GB2312" w:hAnsi="黑体" w:eastAsia="仿宋_GB2312"/>
          <w:sz w:val="32"/>
          <w:szCs w:val="32"/>
          <w:highlight w:val="none"/>
        </w:rPr>
        <w:t>年</w:t>
      </w:r>
      <w:r>
        <w:rPr>
          <w:rFonts w:hint="eastAsia" w:ascii="仿宋_GB2312" w:hAnsi="黑体" w:eastAsia="仿宋_GB2312"/>
          <w:sz w:val="32"/>
          <w:szCs w:val="32"/>
          <w:highlight w:val="none"/>
          <w:lang w:eastAsia="zh-CN"/>
        </w:rPr>
        <w:t>交通工程质量检验监督站</w:t>
      </w:r>
      <w:r>
        <w:rPr>
          <w:rFonts w:hint="eastAsia" w:ascii="仿宋_GB2312" w:hAnsi="黑体" w:eastAsia="仿宋_GB2312"/>
          <w:sz w:val="32"/>
          <w:szCs w:val="32"/>
          <w:highlight w:val="none"/>
        </w:rPr>
        <w:t>开展绩效目标管理的项目</w:t>
      </w: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215.88</w:t>
      </w:r>
      <w:r>
        <w:rPr>
          <w:rFonts w:hint="eastAsia" w:ascii="仿宋_GB2312" w:hAnsi="黑体" w:eastAsia="仿宋_GB2312"/>
          <w:sz w:val="32"/>
          <w:szCs w:val="32"/>
          <w:highlight w:val="none"/>
        </w:rPr>
        <w:t>万元。其中：人员类项目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万元；运转类项目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万元；特定目标类项目</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个，涉及预算</w:t>
      </w:r>
      <w:r>
        <w:rPr>
          <w:rFonts w:hint="eastAsia" w:ascii="仿宋_GB2312" w:hAnsi="黑体" w:eastAsia="仿宋_GB2312"/>
          <w:sz w:val="32"/>
          <w:szCs w:val="32"/>
          <w:highlight w:val="none"/>
          <w:lang w:val="en-US" w:eastAsia="zh-CN"/>
        </w:rPr>
        <w:t>0</w:t>
      </w:r>
      <w:r>
        <w:rPr>
          <w:rFonts w:hint="eastAsia" w:ascii="仿宋_GB2312" w:hAnsi="黑体" w:eastAsia="仿宋_GB2312"/>
          <w:sz w:val="32"/>
          <w:szCs w:val="32"/>
          <w:highlight w:val="none"/>
        </w:rPr>
        <w:t>元。</w:t>
      </w:r>
    </w:p>
    <w:p>
      <w:pPr>
        <w:rPr>
          <w:rFonts w:ascii="方正小标宋简体" w:hAnsi="黑体" w:eastAsia="方正小标宋简体"/>
          <w:sz w:val="44"/>
          <w:szCs w:val="44"/>
          <w:highlight w:val="none"/>
        </w:rPr>
      </w:pPr>
      <w:r>
        <w:rPr>
          <w:rFonts w:hint="eastAsia" w:ascii="仿宋_GB2312" w:hAnsi="黑体" w:eastAsia="仿宋_GB2312"/>
          <w:sz w:val="32"/>
          <w:szCs w:val="32"/>
          <w:highlight w:val="none"/>
        </w:rPr>
        <w:br w:type="page"/>
      </w:r>
    </w:p>
    <w:p>
      <w:pPr>
        <w:jc w:val="both"/>
        <w:rPr>
          <w:rFonts w:hint="eastAsia" w:ascii="方正小标宋简体" w:hAnsi="黑体" w:eastAsia="方正小标宋简体"/>
          <w:sz w:val="44"/>
          <w:szCs w:val="44"/>
          <w:highlight w:val="none"/>
        </w:rPr>
      </w:pPr>
      <w:r>
        <w:rPr>
          <w:rFonts w:hint="eastAsia" w:ascii="方正小标宋简体" w:hAnsi="黑体" w:eastAsia="方正小标宋简体"/>
          <w:sz w:val="44"/>
          <w:szCs w:val="44"/>
          <w:highlight w:val="none"/>
        </w:rPr>
        <w:t>第四部分  名词解释</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lang w:val="en-US" w:eastAsia="zh-CN"/>
        </w:rPr>
        <w:t>1.</w:t>
      </w:r>
      <w:r>
        <w:rPr>
          <w:rFonts w:hint="eastAsia" w:ascii="仿宋_GB2312" w:hAnsi="黑体" w:eastAsia="仿宋_GB2312"/>
          <w:sz w:val="32"/>
          <w:szCs w:val="32"/>
          <w:highlight w:val="none"/>
        </w:rPr>
        <w:t>一般公共预算拨款收入：指县级财政当年拨付的</w:t>
      </w:r>
    </w:p>
    <w:p>
      <w:pPr>
        <w:jc w:val="both"/>
        <w:rPr>
          <w:rFonts w:ascii="仿宋_GB2312" w:hAnsi="黑体" w:eastAsia="仿宋_GB2312"/>
          <w:sz w:val="32"/>
          <w:szCs w:val="32"/>
          <w:highlight w:val="none"/>
        </w:rPr>
      </w:pPr>
      <w:r>
        <w:rPr>
          <w:rFonts w:hint="eastAsia" w:ascii="仿宋_GB2312" w:hAnsi="黑体" w:eastAsia="仿宋_GB2312"/>
          <w:sz w:val="32"/>
          <w:szCs w:val="32"/>
          <w:highlight w:val="none"/>
        </w:rPr>
        <w:t>资金。</w:t>
      </w:r>
    </w:p>
    <w:p>
      <w:pPr>
        <w:numPr>
          <w:ilvl w:val="0"/>
          <w:numId w:val="1"/>
        </w:numPr>
        <w:ind w:firstLine="640" w:firstLineChars="200"/>
        <w:jc w:val="both"/>
        <w:rPr>
          <w:rFonts w:hint="eastAsia" w:ascii="仿宋_GB2312" w:hAnsi="黑体" w:eastAsia="仿宋_GB2312"/>
          <w:sz w:val="32"/>
          <w:szCs w:val="32"/>
          <w:highlight w:val="none"/>
        </w:rPr>
      </w:pPr>
      <w:r>
        <w:rPr>
          <w:rFonts w:hint="eastAsia" w:ascii="仿宋_GB2312" w:hAnsi="黑体" w:eastAsia="仿宋_GB2312"/>
          <w:sz w:val="32"/>
          <w:szCs w:val="32"/>
          <w:highlight w:val="none"/>
        </w:rPr>
        <w:t>政府性基金预算收入：指按规定收取、转入或通过当年财政安排，纳入政府预算管理，具有指定用途的政府性基金收入。</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3.</w:t>
      </w:r>
      <w:r>
        <w:rPr>
          <w:rFonts w:hint="eastAsia" w:ascii="仿宋_GB2312" w:eastAsia="仿宋_GB2312"/>
          <w:color w:val="auto"/>
          <w:sz w:val="32"/>
          <w:szCs w:val="32"/>
          <w:shd w:val="clear" w:color="auto" w:fill="FFFFFF"/>
          <w:lang w:val="en-US" w:eastAsia="zh-CN"/>
        </w:rPr>
        <w:t>交通运输支出</w:t>
      </w:r>
      <w:r>
        <w:rPr>
          <w:rFonts w:hint="eastAsia" w:ascii="仿宋_GB2312" w:eastAsia="仿宋_GB2312"/>
          <w:color w:val="auto"/>
          <w:sz w:val="32"/>
          <w:szCs w:val="32"/>
          <w:shd w:val="clear" w:color="auto" w:fill="FFFFFF"/>
        </w:rPr>
        <w:t>（类）</w:t>
      </w:r>
      <w:r>
        <w:rPr>
          <w:rFonts w:hint="eastAsia" w:ascii="仿宋_GB2312" w:eastAsia="仿宋_GB2312"/>
          <w:color w:val="auto"/>
          <w:sz w:val="32"/>
          <w:szCs w:val="32"/>
          <w:shd w:val="clear" w:color="auto" w:fill="FFFFFF"/>
          <w:lang w:val="en-US" w:eastAsia="zh-CN"/>
        </w:rPr>
        <w:t>公路水路运输</w:t>
      </w:r>
      <w:r>
        <w:rPr>
          <w:rFonts w:hint="eastAsia" w:ascii="仿宋_GB2312" w:eastAsia="仿宋_GB2312"/>
          <w:color w:val="auto"/>
          <w:sz w:val="32"/>
          <w:szCs w:val="32"/>
          <w:shd w:val="clear" w:color="auto" w:fill="FFFFFF"/>
        </w:rPr>
        <w:t>（款）</w:t>
      </w:r>
      <w:r>
        <w:rPr>
          <w:rFonts w:hint="eastAsia" w:ascii="仿宋_GB2312" w:hAnsi="黑体" w:eastAsia="仿宋_GB2312"/>
          <w:color w:val="auto"/>
          <w:sz w:val="32"/>
          <w:szCs w:val="32"/>
          <w:highlight w:val="none"/>
          <w:lang w:val="en-US" w:eastAsia="zh-CN"/>
        </w:rPr>
        <w:t>其他公路水路运输支出</w:t>
      </w:r>
      <w:r>
        <w:rPr>
          <w:rFonts w:hint="eastAsia" w:ascii="仿宋_GB2312" w:eastAsia="仿宋_GB2312"/>
          <w:color w:val="auto"/>
          <w:sz w:val="32"/>
          <w:szCs w:val="32"/>
          <w:shd w:val="clear" w:color="auto" w:fill="FFFFFF"/>
        </w:rPr>
        <w:t>（项）：指厅机关及参公管理事业单</w:t>
      </w:r>
      <w:bookmarkStart w:id="0" w:name="_GoBack"/>
      <w:bookmarkEnd w:id="0"/>
      <w:r>
        <w:rPr>
          <w:rFonts w:hint="eastAsia" w:ascii="仿宋_GB2312" w:eastAsia="仿宋_GB2312"/>
          <w:color w:val="auto"/>
          <w:sz w:val="32"/>
          <w:szCs w:val="32"/>
          <w:shd w:val="clear" w:color="auto" w:fill="FFFFFF"/>
        </w:rPr>
        <w:t>位用于保障机构正常运行、开展日常工作的基本支出。</w:t>
      </w:r>
    </w:p>
    <w:p>
      <w:pPr>
        <w:ind w:firstLine="640"/>
        <w:rPr>
          <w:rFonts w:hint="eastAsia" w:ascii="仿宋_GB2312" w:eastAsia="仿宋_GB2312"/>
          <w:color w:val="auto"/>
          <w:sz w:val="32"/>
          <w:szCs w:val="32"/>
          <w:shd w:val="clear" w:color="auto" w:fill="FFFFFF"/>
          <w:lang w:val="en-US" w:eastAsia="zh-CN"/>
        </w:rPr>
      </w:pPr>
      <w:r>
        <w:rPr>
          <w:rFonts w:hint="eastAsia" w:ascii="仿宋_GB2312" w:eastAsia="仿宋_GB2312"/>
          <w:color w:val="auto"/>
          <w:sz w:val="32"/>
          <w:szCs w:val="32"/>
          <w:shd w:val="clear" w:color="auto" w:fill="FFFFFF"/>
          <w:lang w:val="en-US" w:eastAsia="zh-CN"/>
        </w:rPr>
        <w:t>4.社会保障和就业支出（类）</w:t>
      </w:r>
      <w:r>
        <w:rPr>
          <w:rFonts w:hint="eastAsia" w:ascii="仿宋_GB2312" w:hAnsi="黑体" w:eastAsia="仿宋_GB2312"/>
          <w:color w:val="auto"/>
          <w:sz w:val="32"/>
          <w:szCs w:val="32"/>
          <w:highlight w:val="none"/>
          <w:lang w:val="en-US" w:eastAsia="zh-CN"/>
        </w:rPr>
        <w:t>行政事业单位养老支出</w:t>
      </w:r>
      <w:r>
        <w:rPr>
          <w:rFonts w:hint="eastAsia" w:ascii="仿宋_GB2312" w:eastAsia="仿宋_GB2312"/>
          <w:color w:val="auto"/>
          <w:sz w:val="32"/>
          <w:szCs w:val="32"/>
          <w:shd w:val="clear" w:color="auto" w:fill="FFFFFF"/>
          <w:lang w:val="en-US" w:eastAsia="zh-CN"/>
        </w:rPr>
        <w:t xml:space="preserve">（款） </w:t>
      </w:r>
      <w:r>
        <w:rPr>
          <w:rFonts w:hint="eastAsia" w:ascii="仿宋_GB2312" w:hAnsi="黑体" w:eastAsia="仿宋_GB2312"/>
          <w:color w:val="auto"/>
          <w:sz w:val="32"/>
          <w:szCs w:val="32"/>
          <w:highlight w:val="none"/>
          <w:lang w:val="en-US" w:eastAsia="zh-CN"/>
        </w:rPr>
        <w:t>行政事业单位基本养老保险缴费支出</w:t>
      </w:r>
      <w:r>
        <w:rPr>
          <w:rFonts w:hint="eastAsia" w:ascii="仿宋_GB2312" w:eastAsia="仿宋_GB2312"/>
          <w:color w:val="auto"/>
          <w:sz w:val="32"/>
          <w:szCs w:val="32"/>
          <w:shd w:val="clear" w:color="auto" w:fill="FFFFFF"/>
          <w:lang w:val="en-US" w:eastAsia="zh-CN"/>
        </w:rPr>
        <w:t>（项）：主要用于单位基本养老保险缴费支出。</w:t>
      </w:r>
    </w:p>
    <w:p>
      <w:pPr>
        <w:ind w:firstLine="640"/>
        <w:rPr>
          <w:rFonts w:hint="eastAsia" w:ascii="仿宋_GB2312" w:eastAsia="仿宋_GB2312"/>
          <w:color w:val="auto"/>
          <w:sz w:val="32"/>
          <w:szCs w:val="32"/>
          <w:shd w:val="clear" w:color="auto" w:fill="FFFFFF"/>
          <w:lang w:val="en-US" w:eastAsia="zh-CN"/>
        </w:rPr>
      </w:pPr>
      <w:r>
        <w:rPr>
          <w:rFonts w:hint="eastAsia" w:ascii="仿宋_GB2312" w:hAnsi="黑体" w:eastAsia="仿宋_GB2312"/>
          <w:color w:val="auto"/>
          <w:sz w:val="32"/>
          <w:szCs w:val="32"/>
          <w:highlight w:val="none"/>
          <w:lang w:val="en-US" w:eastAsia="zh-CN"/>
        </w:rPr>
        <w:t>5.</w:t>
      </w:r>
      <w:r>
        <w:rPr>
          <w:rFonts w:hint="eastAsia" w:ascii="仿宋_GB2312" w:hAnsi="黑体" w:eastAsia="仿宋_GB2312"/>
          <w:color w:val="auto"/>
          <w:sz w:val="32"/>
          <w:szCs w:val="32"/>
          <w:highlight w:val="none"/>
        </w:rPr>
        <w:t>社会保障和就业（</w:t>
      </w:r>
      <w:r>
        <w:rPr>
          <w:rFonts w:hint="eastAsia" w:ascii="仿宋_GB2312" w:hAnsi="黑体" w:eastAsia="仿宋_GB2312"/>
          <w:color w:val="auto"/>
          <w:sz w:val="32"/>
          <w:szCs w:val="32"/>
          <w:highlight w:val="none"/>
          <w:lang w:val="en-US" w:eastAsia="zh-CN"/>
        </w:rPr>
        <w:t>类</w:t>
      </w:r>
      <w:r>
        <w:rPr>
          <w:rFonts w:hint="eastAsia" w:ascii="仿宋_GB2312" w:hAnsi="黑体" w:eastAsia="仿宋_GB2312"/>
          <w:color w:val="auto"/>
          <w:sz w:val="32"/>
          <w:szCs w:val="32"/>
          <w:highlight w:val="none"/>
        </w:rPr>
        <w:t>）行政事业单位养老支出（</w:t>
      </w:r>
      <w:r>
        <w:rPr>
          <w:rFonts w:hint="eastAsia" w:ascii="仿宋_GB2312" w:hAnsi="黑体" w:eastAsia="仿宋_GB2312"/>
          <w:color w:val="auto"/>
          <w:sz w:val="32"/>
          <w:szCs w:val="32"/>
          <w:highlight w:val="none"/>
          <w:lang w:val="en-US" w:eastAsia="zh-CN"/>
        </w:rPr>
        <w:t>款</w:t>
      </w:r>
      <w:r>
        <w:rPr>
          <w:rFonts w:hint="eastAsia" w:ascii="仿宋_GB2312" w:hAnsi="黑体" w:eastAsia="仿宋_GB2312"/>
          <w:color w:val="auto"/>
          <w:sz w:val="32"/>
          <w:szCs w:val="32"/>
          <w:highlight w:val="none"/>
        </w:rPr>
        <w:t>）机关事业单位职业年金缴费支出（</w:t>
      </w:r>
      <w:r>
        <w:rPr>
          <w:rFonts w:hint="eastAsia" w:ascii="仿宋_GB2312" w:hAnsi="黑体" w:eastAsia="仿宋_GB2312"/>
          <w:color w:val="auto"/>
          <w:sz w:val="32"/>
          <w:szCs w:val="32"/>
          <w:highlight w:val="none"/>
          <w:lang w:val="en-US" w:eastAsia="zh-CN"/>
        </w:rPr>
        <w:t>项</w:t>
      </w:r>
      <w:r>
        <w:rPr>
          <w:rFonts w:hint="eastAsia" w:ascii="仿宋_GB2312" w:hAnsi="黑体" w:eastAsia="仿宋_GB2312"/>
          <w:color w:val="auto"/>
          <w:sz w:val="32"/>
          <w:szCs w:val="32"/>
          <w:highlight w:val="none"/>
        </w:rPr>
        <w:t>）</w:t>
      </w:r>
      <w:r>
        <w:rPr>
          <w:rFonts w:hint="eastAsia" w:ascii="仿宋_GB2312" w:hAnsi="黑体" w:eastAsia="仿宋_GB2312"/>
          <w:color w:val="auto"/>
          <w:sz w:val="32"/>
          <w:szCs w:val="32"/>
          <w:highlight w:val="none"/>
          <w:lang w:eastAsia="zh-CN"/>
        </w:rPr>
        <w:t>：</w:t>
      </w:r>
      <w:r>
        <w:rPr>
          <w:rFonts w:hint="eastAsia" w:ascii="仿宋_GB2312" w:eastAsia="仿宋_GB2312"/>
          <w:color w:val="auto"/>
          <w:sz w:val="32"/>
          <w:szCs w:val="32"/>
          <w:shd w:val="clear" w:color="auto" w:fill="FFFFFF"/>
          <w:lang w:val="en-US" w:eastAsia="zh-CN"/>
        </w:rPr>
        <w:t>主要用于单位职业年金缴费支出。</w:t>
      </w:r>
    </w:p>
    <w:p>
      <w:pPr>
        <w:ind w:firstLine="640"/>
        <w:rPr>
          <w:rFonts w:hint="eastAsia" w:ascii="仿宋_GB2312" w:hAnsi="黑体" w:eastAsia="仿宋_GB2312"/>
          <w:color w:val="auto"/>
          <w:sz w:val="32"/>
          <w:szCs w:val="32"/>
          <w:highlight w:val="none"/>
          <w:lang w:val="en-US" w:eastAsia="zh-CN"/>
        </w:rPr>
      </w:pPr>
      <w:r>
        <w:rPr>
          <w:rFonts w:hint="eastAsia" w:ascii="仿宋_GB2312" w:eastAsia="仿宋_GB2312"/>
          <w:color w:val="auto"/>
          <w:sz w:val="32"/>
          <w:szCs w:val="32"/>
          <w:shd w:val="clear" w:color="auto" w:fill="FFFFFF"/>
          <w:lang w:val="en-US" w:eastAsia="zh-CN"/>
        </w:rPr>
        <w:t>6.</w:t>
      </w:r>
      <w:r>
        <w:rPr>
          <w:rFonts w:hint="eastAsia" w:ascii="仿宋_GB2312" w:hAnsi="黑体" w:eastAsia="仿宋_GB2312"/>
          <w:color w:val="auto"/>
          <w:sz w:val="32"/>
          <w:szCs w:val="32"/>
          <w:highlight w:val="none"/>
        </w:rPr>
        <w:t>卫生健康</w:t>
      </w:r>
      <w:r>
        <w:rPr>
          <w:rFonts w:hint="eastAsia" w:ascii="仿宋_GB2312" w:eastAsia="仿宋_GB2312"/>
          <w:color w:val="auto"/>
          <w:sz w:val="32"/>
          <w:szCs w:val="32"/>
          <w:shd w:val="clear" w:color="auto" w:fill="FFFFFF"/>
          <w:lang w:val="en-US" w:eastAsia="zh-CN"/>
        </w:rPr>
        <w:t>（类）</w:t>
      </w:r>
      <w:r>
        <w:rPr>
          <w:rFonts w:hint="eastAsia" w:ascii="仿宋_GB2312" w:hAnsi="黑体" w:eastAsia="仿宋_GB2312"/>
          <w:color w:val="auto"/>
          <w:sz w:val="32"/>
          <w:szCs w:val="32"/>
          <w:highlight w:val="none"/>
        </w:rPr>
        <w:t>行政事业单位医疗</w:t>
      </w:r>
      <w:r>
        <w:rPr>
          <w:rFonts w:hint="eastAsia" w:ascii="仿宋_GB2312" w:eastAsia="仿宋_GB2312"/>
          <w:color w:val="auto"/>
          <w:sz w:val="32"/>
          <w:szCs w:val="32"/>
          <w:shd w:val="clear" w:color="auto" w:fill="FFFFFF"/>
          <w:lang w:val="en-US" w:eastAsia="zh-CN"/>
        </w:rPr>
        <w:t>（款）</w:t>
      </w:r>
      <w:r>
        <w:rPr>
          <w:rFonts w:hint="eastAsia" w:ascii="仿宋_GB2312" w:hAnsi="黑体" w:eastAsia="仿宋_GB2312"/>
          <w:color w:val="auto"/>
          <w:sz w:val="32"/>
          <w:szCs w:val="32"/>
          <w:highlight w:val="none"/>
          <w:lang w:val="en-US" w:eastAsia="zh-CN"/>
        </w:rPr>
        <w:t>事业</w:t>
      </w:r>
      <w:r>
        <w:rPr>
          <w:rFonts w:hint="eastAsia" w:ascii="仿宋_GB2312" w:hAnsi="黑体" w:eastAsia="仿宋_GB2312"/>
          <w:color w:val="auto"/>
          <w:sz w:val="32"/>
          <w:szCs w:val="32"/>
          <w:highlight w:val="none"/>
        </w:rPr>
        <w:t>单位医疗</w:t>
      </w:r>
      <w:r>
        <w:rPr>
          <w:rFonts w:hint="eastAsia" w:ascii="仿宋_GB2312" w:eastAsia="仿宋_GB2312"/>
          <w:color w:val="auto"/>
          <w:sz w:val="32"/>
          <w:szCs w:val="32"/>
          <w:shd w:val="clear" w:color="auto" w:fill="FFFFFF"/>
          <w:lang w:val="en-US" w:eastAsia="zh-CN"/>
        </w:rPr>
        <w:t>（项）：</w:t>
      </w:r>
      <w:r>
        <w:rPr>
          <w:rFonts w:hint="eastAsia" w:ascii="仿宋_GB2312" w:hAnsi="黑体" w:eastAsia="仿宋_GB2312"/>
          <w:color w:val="auto"/>
          <w:sz w:val="32"/>
          <w:szCs w:val="32"/>
          <w:highlight w:val="none"/>
          <w:lang w:val="en-US" w:eastAsia="zh-CN"/>
        </w:rPr>
        <w:t>单位缴纳职工医疗保险支出</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7</w:t>
      </w:r>
      <w:r>
        <w:rPr>
          <w:rFonts w:hint="eastAsia" w:ascii="仿宋_GB2312" w:eastAsia="仿宋_GB2312"/>
          <w:color w:val="auto"/>
          <w:sz w:val="32"/>
          <w:szCs w:val="32"/>
          <w:shd w:val="clear" w:color="auto" w:fill="FFFFFF"/>
        </w:rPr>
        <w:t>.住房保障</w:t>
      </w:r>
      <w:r>
        <w:rPr>
          <w:rFonts w:hint="eastAsia" w:ascii="仿宋_GB2312" w:eastAsia="仿宋_GB2312"/>
          <w:color w:val="auto"/>
          <w:sz w:val="32"/>
          <w:szCs w:val="32"/>
          <w:shd w:val="clear" w:color="auto" w:fill="FFFFFF"/>
          <w:lang w:val="en-US" w:eastAsia="zh-CN"/>
        </w:rPr>
        <w:t>支出</w:t>
      </w:r>
      <w:r>
        <w:rPr>
          <w:rFonts w:hint="eastAsia" w:ascii="仿宋_GB2312" w:eastAsia="仿宋_GB2312"/>
          <w:color w:val="auto"/>
          <w:sz w:val="32"/>
          <w:szCs w:val="32"/>
          <w:shd w:val="clear" w:color="auto" w:fill="FFFFFF"/>
        </w:rPr>
        <w:t>（类）住房改革支出（款）住房公积金（项）：指按照《住房公积金管理条例》的规定，由单位及其在职职工缴存的长期住房储金。</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8</w:t>
      </w:r>
      <w:r>
        <w:rPr>
          <w:rFonts w:hint="eastAsia" w:ascii="仿宋_GB2312" w:eastAsia="仿宋_GB2312"/>
          <w:color w:val="auto"/>
          <w:sz w:val="32"/>
          <w:szCs w:val="32"/>
          <w:shd w:val="clear" w:color="auto" w:fill="FFFFFF"/>
        </w:rPr>
        <w:t>.基本支出：指为保证机构正常运转，完成日常工作任务而发生的人员支出和公用支出。</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9</w:t>
      </w:r>
      <w:r>
        <w:rPr>
          <w:rFonts w:hint="eastAsia" w:ascii="仿宋_GB2312" w:eastAsia="仿宋_GB2312"/>
          <w:color w:val="auto"/>
          <w:sz w:val="32"/>
          <w:szCs w:val="32"/>
          <w:shd w:val="clear" w:color="auto" w:fill="FFFFFF"/>
        </w:rPr>
        <w:t>.项目支出：指在基本支出之外为完成特定行政任务和事业发展目标所发生的支出。</w:t>
      </w:r>
    </w:p>
    <w:p>
      <w:pPr>
        <w:rPr>
          <w:rFonts w:hint="eastAsia" w:ascii="仿宋_GB2312" w:eastAsia="仿宋_GB2312"/>
          <w:color w:val="auto"/>
          <w:sz w:val="32"/>
          <w:szCs w:val="32"/>
          <w:shd w:val="clear" w:color="auto" w:fill="FFFFFF"/>
        </w:rPr>
      </w:pPr>
      <w:r>
        <w:rPr>
          <w:rFonts w:hint="eastAsia" w:ascii="仿宋_GB2312" w:eastAsia="仿宋_GB2312"/>
          <w:color w:val="auto"/>
          <w:sz w:val="32"/>
          <w:szCs w:val="32"/>
          <w:shd w:val="clear" w:color="auto" w:fill="FFFFFF"/>
        </w:rPr>
        <w:t>　　</w:t>
      </w:r>
      <w:r>
        <w:rPr>
          <w:rFonts w:hint="eastAsia" w:ascii="仿宋_GB2312" w:eastAsia="仿宋_GB2312"/>
          <w:color w:val="auto"/>
          <w:sz w:val="32"/>
          <w:szCs w:val="32"/>
          <w:shd w:val="clear" w:color="auto" w:fill="FFFFFF"/>
          <w:lang w:val="en-US" w:eastAsia="zh-CN"/>
        </w:rPr>
        <w:t>10</w:t>
      </w:r>
      <w:r>
        <w:rPr>
          <w:rFonts w:hint="eastAsia" w:ascii="仿宋_GB2312" w:eastAsia="仿宋_GB2312"/>
          <w:color w:val="auto"/>
          <w:sz w:val="32"/>
          <w:szCs w:val="32"/>
          <w:shd w:val="clear" w:color="auto" w:fill="FFFFFF"/>
        </w:rPr>
        <w:t>.“三公”经费：纳入</w:t>
      </w:r>
      <w:r>
        <w:rPr>
          <w:rFonts w:hint="eastAsia" w:ascii="仿宋_GB2312" w:eastAsia="仿宋_GB2312"/>
          <w:color w:val="auto"/>
          <w:sz w:val="32"/>
          <w:szCs w:val="32"/>
          <w:shd w:val="clear" w:color="auto" w:fill="FFFFFF"/>
          <w:lang w:eastAsia="zh-CN"/>
        </w:rPr>
        <w:t>交通运输局</w:t>
      </w:r>
      <w:r>
        <w:rPr>
          <w:rFonts w:hint="eastAsia" w:ascii="仿宋_GB2312" w:eastAsia="仿宋_GB2312"/>
          <w:color w:val="auto"/>
          <w:sz w:val="32"/>
          <w:szCs w:val="32"/>
          <w:shd w:val="clear" w:color="auto" w:fill="FFFFFF"/>
        </w:rPr>
        <w:t>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jc w:val="both"/>
        <w:rPr>
          <w:rFonts w:ascii="仿宋" w:hAnsi="仿宋" w:eastAsia="仿宋"/>
          <w:b/>
          <w:sz w:val="32"/>
          <w:szCs w:val="32"/>
          <w:highlight w:val="none"/>
        </w:rPr>
      </w:pPr>
      <w:r>
        <w:rPr>
          <w:rFonts w:hint="eastAsia" w:ascii="仿宋_GB2312" w:eastAsia="仿宋_GB2312"/>
          <w:color w:val="auto"/>
          <w:sz w:val="32"/>
          <w:szCs w:val="32"/>
          <w:shd w:val="clear" w:color="auto" w:fill="FFFFFF"/>
          <w:lang w:val="en-US" w:eastAsia="zh-CN"/>
        </w:rPr>
        <w:t>11</w:t>
      </w:r>
      <w:r>
        <w:rPr>
          <w:rFonts w:hint="eastAsia" w:ascii="仿宋_GB2312" w:eastAsia="仿宋_GB2312"/>
          <w:color w:val="auto"/>
          <w:sz w:val="32"/>
          <w:szCs w:val="32"/>
          <w:shd w:val="clear" w:color="auto" w:fill="FFFFFF"/>
        </w:rPr>
        <w:t>.机关运行经费：为保障行政单位运行用于购买货物和服务的各项资金。包括办公及印刷费、邮电费、差旅费、会议费一般设备购置费等费用开支。</w:t>
      </w:r>
    </w:p>
    <w:p>
      <w:pPr>
        <w:ind w:firstLine="643" w:firstLineChars="200"/>
        <w:jc w:val="both"/>
        <w:rPr>
          <w:rFonts w:ascii="仿宋" w:hAnsi="仿宋" w:eastAsia="仿宋"/>
          <w:b/>
          <w:sz w:val="32"/>
          <w:szCs w:val="32"/>
          <w:highlight w:val="none"/>
        </w:rPr>
      </w:pPr>
    </w:p>
    <w:sectPr>
      <w:footerReference r:id="rId3" w:type="default"/>
      <w:pgSz w:w="11906" w:h="16838"/>
      <w:pgMar w:top="1440" w:right="283" w:bottom="1440" w:left="283"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3000509000000000000"/>
    <w:charset w:val="86"/>
    <w:family w:val="auto"/>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ind w:right="284"/>
      <w:rPr>
        <w:rStyle w:val="6"/>
        <w:rFonts w:hint="eastAsia" w:eastAsia="宋体"/>
        <w:lang w:val="en-US" w:eastAsia="zh-CN"/>
      </w:rPr>
    </w:pPr>
    <w:r>
      <w:rPr>
        <w:rStyle w:val="6"/>
        <w:sz w:val="28"/>
      </w:rPr>
      <w:t xml:space="preserve"> </w:t>
    </w:r>
    <w:r>
      <w:rPr>
        <w:rStyle w:val="6"/>
        <w:rFonts w:hint="eastAsia" w:ascii="仿宋_GB2312" w:hAnsi="仿宋_GB2312" w:eastAsia="仿宋_GB2312" w:cs="仿宋_GB2312"/>
        <w:sz w:val="28"/>
        <w:lang w:eastAsia="zh-CN"/>
      </w:rPr>
      <w:t>—</w:t>
    </w:r>
    <w:r>
      <w:rPr>
        <w:rStyle w:val="6"/>
        <w:rFonts w:hint="eastAsia" w:ascii="Times New Roman" w:hAnsi="Times New Roman" w:cs="Times New Roman"/>
        <w:sz w:val="28"/>
        <w:lang w:val="en-US" w:eastAsia="zh-CN"/>
      </w:rPr>
      <w:t xml:space="preserve"> </w:t>
    </w:r>
    <w:r>
      <w:rPr>
        <w:rFonts w:hint="default" w:ascii="Times New Roman" w:hAnsi="Times New Roman" w:cs="Times New Roman"/>
        <w:sz w:val="28"/>
      </w:rPr>
      <w:fldChar w:fldCharType="begin"/>
    </w:r>
    <w:r>
      <w:rPr>
        <w:rStyle w:val="6"/>
        <w:rFonts w:hint="default" w:ascii="Times New Roman" w:hAnsi="Times New Roman" w:cs="Times New Roman"/>
        <w:sz w:val="28"/>
      </w:rPr>
      <w:instrText xml:space="preserve">PAGE  </w:instrText>
    </w:r>
    <w:r>
      <w:rPr>
        <w:rFonts w:hint="default" w:ascii="Times New Roman" w:hAnsi="Times New Roman" w:cs="Times New Roman"/>
        <w:sz w:val="28"/>
      </w:rPr>
      <w:fldChar w:fldCharType="separate"/>
    </w:r>
    <w:r>
      <w:rPr>
        <w:rStyle w:val="6"/>
        <w:rFonts w:hint="default" w:ascii="Times New Roman" w:hAnsi="Times New Roman" w:cs="Times New Roman"/>
        <w:sz w:val="28"/>
      </w:rPr>
      <w:t>1</w:t>
    </w:r>
    <w:r>
      <w:rPr>
        <w:rFonts w:hint="default" w:ascii="Times New Roman" w:hAnsi="Times New Roman" w:cs="Times New Roman"/>
        <w:sz w:val="28"/>
      </w:rPr>
      <w:fldChar w:fldCharType="end"/>
    </w:r>
    <w:r>
      <w:rPr>
        <w:rFonts w:hint="eastAsia" w:ascii="Times New Roman" w:hAnsi="Times New Roman" w:cs="Times New Roman"/>
        <w:sz w:val="28"/>
        <w:lang w:val="en-US" w:eastAsia="zh-CN"/>
      </w:rPr>
      <w:t xml:space="preserve"> </w:t>
    </w:r>
    <w:r>
      <w:rPr>
        <w:rFonts w:hint="eastAsia" w:ascii="仿宋_GB2312" w:hAnsi="仿宋_GB2312" w:eastAsia="仿宋_GB2312" w:cs="仿宋_GB2312"/>
        <w:sz w:val="28"/>
        <w:lang w:val="en-US" w:eastAsia="zh-CN"/>
      </w:rPr>
      <w:t>—</w:t>
    </w:r>
  </w:p>
  <w:p>
    <w:pPr>
      <w:pStyle w:val="2"/>
      <w:ind w:right="360" w:firstLine="360"/>
    </w:pPr>
  </w:p>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F052B6"/>
    <w:multiLevelType w:val="singleLevel"/>
    <w:tmpl w:val="CBF052B6"/>
    <w:lvl w:ilvl="0" w:tentative="0">
      <w:start w:val="2"/>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JjOGRjNDQ3MmEwMzg5MzhlODMwM2JkN2NkNDgzYzgifQ=="/>
  </w:docVars>
  <w:rsids>
    <w:rsidRoot w:val="00540C06"/>
    <w:rsid w:val="0008303D"/>
    <w:rsid w:val="0009191B"/>
    <w:rsid w:val="0021158A"/>
    <w:rsid w:val="00212FEA"/>
    <w:rsid w:val="002141F6"/>
    <w:rsid w:val="002255E8"/>
    <w:rsid w:val="002679B4"/>
    <w:rsid w:val="002834D7"/>
    <w:rsid w:val="00294CEB"/>
    <w:rsid w:val="002A6393"/>
    <w:rsid w:val="002A66DF"/>
    <w:rsid w:val="0039202B"/>
    <w:rsid w:val="003B3931"/>
    <w:rsid w:val="004003DD"/>
    <w:rsid w:val="00406C5C"/>
    <w:rsid w:val="00406CEC"/>
    <w:rsid w:val="004B40CD"/>
    <w:rsid w:val="00540C06"/>
    <w:rsid w:val="005630FC"/>
    <w:rsid w:val="00617B77"/>
    <w:rsid w:val="006B0F3E"/>
    <w:rsid w:val="006D5734"/>
    <w:rsid w:val="00782317"/>
    <w:rsid w:val="00791224"/>
    <w:rsid w:val="007B7497"/>
    <w:rsid w:val="00857C51"/>
    <w:rsid w:val="00883069"/>
    <w:rsid w:val="00924853"/>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E47120"/>
    <w:rsid w:val="00E52006"/>
    <w:rsid w:val="00E53859"/>
    <w:rsid w:val="00E57E2B"/>
    <w:rsid w:val="00E65C6C"/>
    <w:rsid w:val="00F241F0"/>
    <w:rsid w:val="00FC4747"/>
    <w:rsid w:val="00FC5BA6"/>
    <w:rsid w:val="00FF35AE"/>
    <w:rsid w:val="01D134FA"/>
    <w:rsid w:val="05FEC680"/>
    <w:rsid w:val="06C7174C"/>
    <w:rsid w:val="09E140FA"/>
    <w:rsid w:val="0B923CFA"/>
    <w:rsid w:val="0ECDBE52"/>
    <w:rsid w:val="0F490B74"/>
    <w:rsid w:val="0FFFB353"/>
    <w:rsid w:val="176D963B"/>
    <w:rsid w:val="17AF20B2"/>
    <w:rsid w:val="1B7F798D"/>
    <w:rsid w:val="1C542906"/>
    <w:rsid w:val="1C5E5533"/>
    <w:rsid w:val="1DCA7AC1"/>
    <w:rsid w:val="1F3B0AC1"/>
    <w:rsid w:val="1F5E9DB6"/>
    <w:rsid w:val="2117AD81"/>
    <w:rsid w:val="21F75307"/>
    <w:rsid w:val="27FB2020"/>
    <w:rsid w:val="2BEE6E8A"/>
    <w:rsid w:val="2E7ACAF3"/>
    <w:rsid w:val="2EFFE7AD"/>
    <w:rsid w:val="2FEDA3F1"/>
    <w:rsid w:val="3257C860"/>
    <w:rsid w:val="33FFF3CD"/>
    <w:rsid w:val="352A11F6"/>
    <w:rsid w:val="37ED2099"/>
    <w:rsid w:val="37FE0A31"/>
    <w:rsid w:val="39D792D9"/>
    <w:rsid w:val="3AFBF1C6"/>
    <w:rsid w:val="3BBFDE14"/>
    <w:rsid w:val="3BF63D81"/>
    <w:rsid w:val="3CB393A4"/>
    <w:rsid w:val="3CFE796A"/>
    <w:rsid w:val="3DF3E130"/>
    <w:rsid w:val="3EED8CAE"/>
    <w:rsid w:val="3EFFEFC0"/>
    <w:rsid w:val="3FB5E172"/>
    <w:rsid w:val="3FDF2925"/>
    <w:rsid w:val="3FDFA91F"/>
    <w:rsid w:val="3FE1DEFB"/>
    <w:rsid w:val="3FE5F325"/>
    <w:rsid w:val="3FEF3B35"/>
    <w:rsid w:val="3FFADC58"/>
    <w:rsid w:val="450F36EA"/>
    <w:rsid w:val="47FF5D5C"/>
    <w:rsid w:val="4B3E44B7"/>
    <w:rsid w:val="4FDE78CE"/>
    <w:rsid w:val="4FFFAA23"/>
    <w:rsid w:val="52A200E3"/>
    <w:rsid w:val="53A88E30"/>
    <w:rsid w:val="53FAD87A"/>
    <w:rsid w:val="54FFF2CF"/>
    <w:rsid w:val="567D553A"/>
    <w:rsid w:val="56DBADA4"/>
    <w:rsid w:val="579CE624"/>
    <w:rsid w:val="5A35532B"/>
    <w:rsid w:val="5A7BF1E5"/>
    <w:rsid w:val="5BA78D5E"/>
    <w:rsid w:val="5BB87DBA"/>
    <w:rsid w:val="5BE762D4"/>
    <w:rsid w:val="5DCE490A"/>
    <w:rsid w:val="5DDDD882"/>
    <w:rsid w:val="5DE7BCA1"/>
    <w:rsid w:val="5DFFBFAA"/>
    <w:rsid w:val="5EFFDDE2"/>
    <w:rsid w:val="5F763C0F"/>
    <w:rsid w:val="5F7A982F"/>
    <w:rsid w:val="5FBF1457"/>
    <w:rsid w:val="5FED60AA"/>
    <w:rsid w:val="5FEFF4C2"/>
    <w:rsid w:val="63F385C0"/>
    <w:rsid w:val="63F5FE37"/>
    <w:rsid w:val="647F6670"/>
    <w:rsid w:val="67C717AB"/>
    <w:rsid w:val="67F5B1D0"/>
    <w:rsid w:val="69A71AE0"/>
    <w:rsid w:val="6A4FC826"/>
    <w:rsid w:val="6ADF4B0D"/>
    <w:rsid w:val="6AF76FF0"/>
    <w:rsid w:val="6B95175B"/>
    <w:rsid w:val="6BDF5376"/>
    <w:rsid w:val="6BE53CCB"/>
    <w:rsid w:val="6C7B5F76"/>
    <w:rsid w:val="6CEF960A"/>
    <w:rsid w:val="6D235CF7"/>
    <w:rsid w:val="6DDE03AF"/>
    <w:rsid w:val="6DFD6765"/>
    <w:rsid w:val="6E6C6102"/>
    <w:rsid w:val="6E7E5440"/>
    <w:rsid w:val="6ED5ABCE"/>
    <w:rsid w:val="6EFF482F"/>
    <w:rsid w:val="6F632200"/>
    <w:rsid w:val="6F6DD354"/>
    <w:rsid w:val="6F850745"/>
    <w:rsid w:val="6FBBC877"/>
    <w:rsid w:val="6FF9921E"/>
    <w:rsid w:val="6FFC7CC5"/>
    <w:rsid w:val="6FFD7550"/>
    <w:rsid w:val="6FFDCB73"/>
    <w:rsid w:val="72AF49AA"/>
    <w:rsid w:val="72DF0FFC"/>
    <w:rsid w:val="72E75F44"/>
    <w:rsid w:val="7396C1D0"/>
    <w:rsid w:val="73BE347F"/>
    <w:rsid w:val="73EFEF94"/>
    <w:rsid w:val="73F99EB8"/>
    <w:rsid w:val="748DFD08"/>
    <w:rsid w:val="753C9906"/>
    <w:rsid w:val="759A22AD"/>
    <w:rsid w:val="75B7E1FE"/>
    <w:rsid w:val="75F06C92"/>
    <w:rsid w:val="75FEC521"/>
    <w:rsid w:val="76FF1A62"/>
    <w:rsid w:val="776E1AB0"/>
    <w:rsid w:val="777ED2E6"/>
    <w:rsid w:val="77D7EAC5"/>
    <w:rsid w:val="77DFF40B"/>
    <w:rsid w:val="77E71F46"/>
    <w:rsid w:val="77FF6978"/>
    <w:rsid w:val="77FF9FAA"/>
    <w:rsid w:val="77FFA2D4"/>
    <w:rsid w:val="78FF8B8B"/>
    <w:rsid w:val="799A6F3E"/>
    <w:rsid w:val="79FFA147"/>
    <w:rsid w:val="7AFEFDCB"/>
    <w:rsid w:val="7B7E99B8"/>
    <w:rsid w:val="7BD32D96"/>
    <w:rsid w:val="7BE51F1C"/>
    <w:rsid w:val="7BF3F8E7"/>
    <w:rsid w:val="7BFF7F25"/>
    <w:rsid w:val="7C6D4277"/>
    <w:rsid w:val="7CB5F156"/>
    <w:rsid w:val="7CFFD8D7"/>
    <w:rsid w:val="7D2FEEDE"/>
    <w:rsid w:val="7D7EE79E"/>
    <w:rsid w:val="7DB99F6C"/>
    <w:rsid w:val="7DFDFA62"/>
    <w:rsid w:val="7E3F2387"/>
    <w:rsid w:val="7E7D5E12"/>
    <w:rsid w:val="7E7F8246"/>
    <w:rsid w:val="7E974710"/>
    <w:rsid w:val="7EBE603C"/>
    <w:rsid w:val="7EF34040"/>
    <w:rsid w:val="7EFC883D"/>
    <w:rsid w:val="7EFFA64E"/>
    <w:rsid w:val="7F1D0102"/>
    <w:rsid w:val="7F455B3D"/>
    <w:rsid w:val="7F5BDE60"/>
    <w:rsid w:val="7F79C763"/>
    <w:rsid w:val="7F7FF441"/>
    <w:rsid w:val="7F8FE411"/>
    <w:rsid w:val="7F995383"/>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autoRedefine/>
    <w:semiHidden/>
    <w:unhideWhenUsed/>
    <w:qFormat/>
    <w:uiPriority w:val="1"/>
  </w:style>
  <w:style w:type="table" w:default="1" w:styleId="4">
    <w:name w:val="Normal Table"/>
    <w:autoRedefine/>
    <w:semiHidden/>
    <w:unhideWhenUsed/>
    <w:qFormat/>
    <w:uiPriority w:val="99"/>
    <w:tblPr>
      <w:tblCellMar>
        <w:top w:w="0" w:type="dxa"/>
        <w:left w:w="108" w:type="dxa"/>
        <w:bottom w:w="0" w:type="dxa"/>
        <w:right w:w="108" w:type="dxa"/>
      </w:tblCellMar>
    </w:tblPr>
  </w:style>
  <w:style w:type="paragraph" w:styleId="2">
    <w:name w:val="footer"/>
    <w:basedOn w:val="1"/>
    <w:link w:val="9"/>
    <w:autoRedefine/>
    <w:unhideWhenUsed/>
    <w:qFormat/>
    <w:uiPriority w:val="99"/>
    <w:pPr>
      <w:tabs>
        <w:tab w:val="center" w:pos="4153"/>
        <w:tab w:val="right" w:pos="8306"/>
      </w:tabs>
      <w:snapToGrid w:val="0"/>
      <w:jc w:val="left"/>
    </w:pPr>
    <w:rPr>
      <w:sz w:val="18"/>
      <w:szCs w:val="18"/>
    </w:rPr>
  </w:style>
  <w:style w:type="paragraph" w:styleId="3">
    <w:name w:val="header"/>
    <w:basedOn w:val="1"/>
    <w:link w:val="8"/>
    <w:autoRedefine/>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page number"/>
    <w:basedOn w:val="5"/>
    <w:autoRedefine/>
    <w:qFormat/>
    <w:uiPriority w:val="0"/>
  </w:style>
  <w:style w:type="paragraph" w:styleId="7">
    <w:name w:val="List Paragraph"/>
    <w:basedOn w:val="1"/>
    <w:autoRedefine/>
    <w:qFormat/>
    <w:uiPriority w:val="34"/>
    <w:pPr>
      <w:ind w:firstLine="420" w:firstLineChars="200"/>
    </w:pPr>
  </w:style>
  <w:style w:type="character" w:customStyle="1" w:styleId="8">
    <w:name w:val="页眉 Char"/>
    <w:basedOn w:val="5"/>
    <w:link w:val="3"/>
    <w:autoRedefine/>
    <w:qFormat/>
    <w:uiPriority w:val="99"/>
    <w:rPr>
      <w:sz w:val="18"/>
      <w:szCs w:val="18"/>
    </w:rPr>
  </w:style>
  <w:style w:type="character" w:customStyle="1" w:styleId="9">
    <w:name w:val="页脚 Char"/>
    <w:basedOn w:val="5"/>
    <w:link w:val="2"/>
    <w:autoRedefine/>
    <w:qFormat/>
    <w:uiPriority w:val="99"/>
    <w:rPr>
      <w:sz w:val="18"/>
      <w:szCs w:val="18"/>
    </w:rPr>
  </w:style>
  <w:style w:type="character" w:customStyle="1" w:styleId="10">
    <w:name w:val="font61"/>
    <w:basedOn w:val="5"/>
    <w:autoRedefine/>
    <w:qFormat/>
    <w:uiPriority w:val="0"/>
    <w:rPr>
      <w:rFonts w:hint="eastAsia" w:ascii="宋体" w:hAnsi="宋体" w:eastAsia="宋体" w:cs="宋体"/>
      <w:color w:val="000000"/>
      <w:sz w:val="22"/>
      <w:szCs w:val="22"/>
      <w:u w:val="none"/>
    </w:rPr>
  </w:style>
  <w:style w:type="character" w:customStyle="1" w:styleId="11">
    <w:name w:val="font41"/>
    <w:basedOn w:val="5"/>
    <w:autoRedefine/>
    <w:qFormat/>
    <w:uiPriority w:val="0"/>
    <w:rPr>
      <w:rFonts w:hint="eastAsia" w:ascii="宋体" w:hAnsi="宋体" w:eastAsia="宋体" w:cs="宋体"/>
      <w:color w:val="000000"/>
      <w:sz w:val="22"/>
      <w:szCs w:val="22"/>
      <w:u w:val="none"/>
    </w:rPr>
  </w:style>
  <w:style w:type="character" w:customStyle="1" w:styleId="12">
    <w:name w:val="font51"/>
    <w:basedOn w:val="5"/>
    <w:autoRedefine/>
    <w:qFormat/>
    <w:uiPriority w:val="0"/>
    <w:rPr>
      <w:rFonts w:hint="eastAsia" w:ascii="宋体" w:hAnsi="宋体" w:eastAsia="宋体" w:cs="宋体"/>
      <w:color w:val="000000"/>
      <w:sz w:val="22"/>
      <w:szCs w:val="22"/>
      <w:u w:val="none"/>
    </w:rPr>
  </w:style>
  <w:style w:type="character" w:customStyle="1" w:styleId="13">
    <w:name w:val="font81"/>
    <w:basedOn w:val="5"/>
    <w:autoRedefine/>
    <w:qFormat/>
    <w:uiPriority w:val="0"/>
    <w:rPr>
      <w:rFonts w:hint="eastAsia" w:ascii="宋体" w:hAnsi="宋体" w:eastAsia="宋体" w:cs="宋体"/>
      <w:color w:val="000000"/>
      <w:sz w:val="18"/>
      <w:szCs w:val="18"/>
      <w:u w:val="none"/>
    </w:rPr>
  </w:style>
  <w:style w:type="character" w:customStyle="1" w:styleId="14">
    <w:name w:val="font31"/>
    <w:basedOn w:val="5"/>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8077</Words>
  <Characters>9870</Characters>
  <Lines>35</Lines>
  <Paragraphs>9</Paragraphs>
  <TotalTime>12</TotalTime>
  <ScaleCrop>false</ScaleCrop>
  <LinksUpToDate>false</LinksUpToDate>
  <CharactersWithSpaces>10249</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有麒如玉</cp:lastModifiedBy>
  <dcterms:modified xsi:type="dcterms:W3CDTF">2024-02-03T04:19:50Z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C665B6D705A04D4B9537EF18DFBB5B9E</vt:lpwstr>
  </property>
</Properties>
</file>