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rPr>
          <w:rFonts w:ascii="方正小标宋简体" w:hAnsi="黑体" w:eastAsia="方正小标宋简体"/>
          <w:sz w:val="84"/>
          <w:szCs w:val="84"/>
        </w:rPr>
      </w:pPr>
    </w:p>
    <w:p>
      <w:pPr>
        <w:rPr>
          <w:rFonts w:ascii="方正小标宋简体" w:hAnsi="黑体" w:eastAsia="方正小标宋简体"/>
          <w:sz w:val="84"/>
          <w:szCs w:val="84"/>
        </w:rPr>
      </w:pPr>
    </w:p>
    <w:p>
      <w:pPr>
        <w:jc w:val="center"/>
        <w:rPr>
          <w:rFonts w:ascii="方正小标宋简体" w:hAnsi="黑体" w:eastAsia="方正小标宋简体"/>
          <w:sz w:val="84"/>
          <w:szCs w:val="84"/>
        </w:rPr>
      </w:pPr>
      <w:r>
        <w:rPr>
          <w:rFonts w:hint="eastAsia" w:ascii="方正小标宋简体" w:hAnsi="黑体" w:eastAsia="方正小标宋简体"/>
          <w:sz w:val="84"/>
          <w:szCs w:val="84"/>
        </w:rPr>
        <w:t>四川省九寨沟县交通运输局</w:t>
      </w:r>
    </w:p>
    <w:p>
      <w:pPr>
        <w:jc w:val="center"/>
        <w:rPr>
          <w:rFonts w:ascii="方正小标宋简体" w:hAnsi="黑体" w:eastAsia="方正小标宋简体"/>
          <w:sz w:val="84"/>
          <w:szCs w:val="84"/>
        </w:rPr>
      </w:pPr>
      <w:r>
        <w:rPr>
          <w:rFonts w:hint="eastAsia" w:ascii="方正小标宋简体" w:hAnsi="黑体" w:eastAsia="方正小标宋简体"/>
          <w:sz w:val="84"/>
          <w:szCs w:val="84"/>
        </w:rPr>
        <w:t>2024年部门预算</w:t>
      </w: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jc w:val="center"/>
        <w:rPr>
          <w:rFonts w:hint="eastAsia" w:ascii="方正小标宋简体" w:eastAsia="方正小标宋简体"/>
          <w:sz w:val="32"/>
          <w:szCs w:val="32"/>
        </w:rPr>
      </w:pPr>
      <w:r>
        <w:rPr>
          <w:rFonts w:hint="eastAsia" w:ascii="方正小标宋简体" w:eastAsia="方正小标宋简体"/>
          <w:sz w:val="44"/>
          <w:szCs w:val="44"/>
        </w:rPr>
        <w:t>目录</w:t>
      </w:r>
    </w:p>
    <w:p>
      <w:pPr>
        <w:rPr>
          <w:rFonts w:ascii="黑体" w:hAnsi="黑体" w:eastAsia="黑体"/>
          <w:sz w:val="32"/>
          <w:szCs w:val="32"/>
        </w:rPr>
      </w:pPr>
      <w:r>
        <w:rPr>
          <w:rFonts w:hint="eastAsia" w:ascii="黑体" w:hAnsi="黑体" w:eastAsia="黑体"/>
          <w:sz w:val="32"/>
          <w:szCs w:val="32"/>
        </w:rPr>
        <w:t>第一部分  九寨沟县交通运输局概况</w:t>
      </w:r>
    </w:p>
    <w:p>
      <w:pPr>
        <w:rPr>
          <w:rFonts w:ascii="仿宋_GB2312" w:hAnsi="仿宋" w:eastAsia="仿宋_GB2312"/>
          <w:sz w:val="32"/>
          <w:szCs w:val="32"/>
        </w:rPr>
      </w:pPr>
      <w:r>
        <w:rPr>
          <w:rFonts w:hint="eastAsia" w:ascii="仿宋_GB2312" w:hAnsi="仿宋" w:eastAsia="仿宋_GB2312"/>
          <w:sz w:val="32"/>
          <w:szCs w:val="32"/>
        </w:rPr>
        <w:t>一、基本职能及主要工作</w:t>
      </w:r>
    </w:p>
    <w:p>
      <w:pPr>
        <w:rPr>
          <w:rFonts w:ascii="仿宋_GB2312" w:hAnsi="仿宋" w:eastAsia="仿宋_GB2312"/>
          <w:sz w:val="32"/>
          <w:szCs w:val="32"/>
        </w:rPr>
      </w:pPr>
      <w:r>
        <w:rPr>
          <w:rFonts w:hint="eastAsia" w:ascii="仿宋_GB2312" w:hAnsi="仿宋" w:eastAsia="仿宋_GB2312"/>
          <w:sz w:val="32"/>
          <w:szCs w:val="32"/>
        </w:rPr>
        <w:t>二、部门预算单位构成</w:t>
      </w:r>
    </w:p>
    <w:p>
      <w:pPr>
        <w:rPr>
          <w:rFonts w:ascii="黑体" w:hAnsi="黑体" w:eastAsia="黑体"/>
          <w:sz w:val="32"/>
          <w:szCs w:val="32"/>
        </w:rPr>
      </w:pPr>
      <w:r>
        <w:rPr>
          <w:rFonts w:hint="eastAsia" w:ascii="黑体" w:hAnsi="黑体" w:eastAsia="黑体"/>
          <w:sz w:val="32"/>
          <w:szCs w:val="32"/>
        </w:rPr>
        <w:t>第二部分  九寨沟县交通运输局</w:t>
      </w:r>
      <w:r>
        <w:rPr>
          <w:rFonts w:ascii="黑体" w:hAnsi="黑体" w:eastAsia="黑体"/>
          <w:sz w:val="32"/>
          <w:szCs w:val="32"/>
        </w:rPr>
        <w:t>2024</w:t>
      </w:r>
      <w:r>
        <w:rPr>
          <w:rFonts w:hint="eastAsia" w:ascii="黑体" w:hAnsi="黑体" w:eastAsia="黑体"/>
          <w:sz w:val="32"/>
          <w:szCs w:val="32"/>
        </w:rPr>
        <w:t>年部门预算表</w:t>
      </w:r>
    </w:p>
    <w:p>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部门预算项目绩效目标表</w:t>
      </w:r>
    </w:p>
    <w:p>
      <w:pPr>
        <w:rPr>
          <w:rFonts w:ascii="仿宋_GB2312" w:hAnsi="仿宋" w:eastAsia="仿宋_GB2312"/>
          <w:sz w:val="32"/>
          <w:szCs w:val="32"/>
        </w:rPr>
      </w:pPr>
      <w:r>
        <w:rPr>
          <w:rFonts w:hint="eastAsia" w:ascii="仿宋_GB2312" w:hAnsi="仿宋" w:eastAsia="仿宋_GB2312"/>
          <w:sz w:val="32"/>
          <w:szCs w:val="32"/>
        </w:rPr>
        <w:t>十四、表</w:t>
      </w:r>
      <w:r>
        <w:rPr>
          <w:rFonts w:ascii="仿宋_GB2312" w:hAnsi="仿宋" w:eastAsia="仿宋_GB2312"/>
          <w:sz w:val="32"/>
          <w:szCs w:val="32"/>
        </w:rPr>
        <w:t xml:space="preserve">14 </w:t>
      </w:r>
      <w:r>
        <w:rPr>
          <w:rFonts w:hint="eastAsia" w:ascii="仿宋_GB2312" w:hAnsi="仿宋" w:eastAsia="仿宋_GB2312"/>
          <w:sz w:val="32"/>
          <w:szCs w:val="32"/>
        </w:rPr>
        <w:t>部门整体支出绩效目标表</w:t>
      </w:r>
    </w:p>
    <w:p>
      <w:pPr>
        <w:rPr>
          <w:rFonts w:ascii="黑体" w:hAnsi="黑体" w:eastAsia="黑体"/>
          <w:sz w:val="32"/>
          <w:szCs w:val="32"/>
        </w:rPr>
      </w:pPr>
      <w:r>
        <w:rPr>
          <w:rFonts w:hint="eastAsia" w:ascii="黑体" w:hAnsi="黑体" w:eastAsia="黑体"/>
          <w:sz w:val="32"/>
          <w:szCs w:val="32"/>
        </w:rPr>
        <w:t>第三部分  九寨沟县交通运输局2024年部门预算情况说明</w:t>
      </w:r>
    </w:p>
    <w:p>
      <w:pPr>
        <w:rPr>
          <w:rFonts w:ascii="黑体" w:hAnsi="黑体" w:eastAsia="黑体"/>
          <w:sz w:val="32"/>
          <w:szCs w:val="32"/>
        </w:rPr>
      </w:pPr>
      <w:r>
        <w:rPr>
          <w:rFonts w:hint="eastAsia" w:ascii="黑体" w:hAnsi="黑体" w:eastAsia="黑体"/>
          <w:sz w:val="32"/>
          <w:szCs w:val="32"/>
        </w:rPr>
        <w:t>第四部分  名词解释</w:t>
      </w:r>
    </w:p>
    <w:p>
      <w:pPr>
        <w:rPr>
          <w:rFonts w:ascii="方正小标宋简体" w:hAnsi="黑体" w:eastAsia="方正小标宋简体"/>
          <w:sz w:val="44"/>
          <w:szCs w:val="44"/>
        </w:rPr>
      </w:pPr>
      <w:r>
        <w:rPr>
          <w:rFonts w:hint="eastAsia" w:ascii="黑体" w:hAnsi="黑体" w:eastAsia="黑体"/>
          <w:sz w:val="32"/>
          <w:szCs w:val="32"/>
        </w:rPr>
        <w:br w:type="page"/>
      </w:r>
    </w:p>
    <w:p>
      <w:pPr>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第一部分  九寨沟县交通运输局概况</w:t>
      </w:r>
    </w:p>
    <w:p>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职能</w:t>
      </w:r>
      <w:r>
        <w:rPr>
          <w:rFonts w:ascii="黑体" w:hAnsi="黑体" w:eastAsia="黑体"/>
          <w:sz w:val="32"/>
          <w:szCs w:val="32"/>
        </w:rPr>
        <w:t>简介</w:t>
      </w:r>
    </w:p>
    <w:p>
      <w:pPr>
        <w:ind w:firstLine="640" w:firstLineChars="200"/>
        <w:rPr>
          <w:rFonts w:ascii="仿宋_GB2312" w:hAnsi="仿宋" w:eastAsia="仿宋_GB2312"/>
          <w:sz w:val="32"/>
          <w:szCs w:val="32"/>
        </w:rPr>
      </w:pPr>
      <w:r>
        <w:rPr>
          <w:rFonts w:hint="eastAsia" w:ascii="仿宋_GB2312" w:hAnsi="仿宋" w:eastAsia="仿宋_GB2312"/>
          <w:sz w:val="32"/>
          <w:szCs w:val="32"/>
        </w:rPr>
        <w:t>1、贯彻执行国家、省、州有关交通运输行业的方针、政策和法律、法规。组织拟订并监督实施公路、水路等行业规划、政策和标准，会同有关部门组织编制综合运输体系规划，参与拟订物流业发展战略和规划。</w:t>
      </w:r>
    </w:p>
    <w:p>
      <w:pPr>
        <w:ind w:firstLine="640" w:firstLineChars="200"/>
        <w:rPr>
          <w:rFonts w:ascii="仿宋_GB2312" w:hAnsi="仿宋" w:eastAsia="仿宋_GB2312"/>
          <w:sz w:val="32"/>
          <w:szCs w:val="32"/>
        </w:rPr>
      </w:pPr>
      <w:r>
        <w:rPr>
          <w:rFonts w:hint="eastAsia" w:ascii="仿宋_GB2312" w:hAnsi="仿宋" w:eastAsia="仿宋_GB2312"/>
          <w:sz w:val="32"/>
          <w:szCs w:val="32"/>
        </w:rPr>
        <w:t>2、根据上级部门的总体部署，</w:t>
      </w:r>
    </w:p>
    <w:p>
      <w:pPr>
        <w:ind w:firstLine="640" w:firstLineChars="200"/>
        <w:rPr>
          <w:rFonts w:ascii="仿宋_GB2312" w:hAnsi="仿宋" w:eastAsia="仿宋_GB2312"/>
          <w:sz w:val="32"/>
          <w:szCs w:val="32"/>
        </w:rPr>
      </w:pPr>
      <w:r>
        <w:rPr>
          <w:rFonts w:hint="eastAsia" w:ascii="仿宋_GB2312" w:hAnsi="仿宋" w:eastAsia="仿宋_GB2312"/>
          <w:sz w:val="32"/>
          <w:szCs w:val="32"/>
        </w:rPr>
        <w:t>编制全县公路和水路行业发展规划、中长期规划和年度计划，并监督实施。负责全县交通行业统计和信息引导。负责本系统、本部门依法行政工作，落实行政执法责任制。指导公路、水路行业有关体制改革工作。</w:t>
      </w:r>
    </w:p>
    <w:p>
      <w:pPr>
        <w:ind w:firstLine="640" w:firstLineChars="200"/>
        <w:rPr>
          <w:rFonts w:ascii="仿宋_GB2312" w:hAnsi="仿宋" w:eastAsia="仿宋_GB2312"/>
          <w:sz w:val="32"/>
          <w:szCs w:val="32"/>
        </w:rPr>
      </w:pPr>
      <w:r>
        <w:rPr>
          <w:rFonts w:hint="eastAsia" w:ascii="仿宋_GB2312" w:hAnsi="仿宋" w:eastAsia="仿宋_GB2312"/>
          <w:sz w:val="32"/>
          <w:szCs w:val="32"/>
        </w:rPr>
        <w:t>3、承担道路、水路交通运输市场监管责任，组织制定道路、水路运输有关政策、技术标准和运营规范并监督实施；负责全县公路和水路交通运输(含客货运输市场汽车技术检测，汽车维修市场、运输服务市场、汽车驾校和驾驶员培训工作)行业管理，培育公路、水路运输市场，维护交通运输行业平等竞争秩序；指导城市公共客运管理；指导城乡客、货运输的衔接协调工作；指导交通运输行业优化结构、协调发展；对关系救灾、抢险、战备等紧急客货运输进行必要的调控。</w:t>
      </w:r>
    </w:p>
    <w:p>
      <w:pPr>
        <w:ind w:firstLine="640" w:firstLineChars="200"/>
        <w:rPr>
          <w:rFonts w:ascii="仿宋_GB2312" w:hAnsi="仿宋" w:eastAsia="仿宋_GB2312"/>
          <w:sz w:val="32"/>
          <w:szCs w:val="32"/>
        </w:rPr>
      </w:pPr>
      <w:r>
        <w:rPr>
          <w:rFonts w:hint="eastAsia" w:ascii="仿宋_GB2312" w:hAnsi="仿宋" w:eastAsia="仿宋_GB2312"/>
          <w:sz w:val="32"/>
          <w:szCs w:val="32"/>
        </w:rPr>
        <w:t>4、负责全县公路、水路交通建设(含客货运输旅游运输场站建设)行业管理，维护交通建设行业平等竞争的秩序，组织实施国家、省、州、县重点公路、水路工程建设；监督全县地方交通建设项目实施。</w:t>
      </w:r>
    </w:p>
    <w:p>
      <w:pPr>
        <w:ind w:firstLine="640" w:firstLineChars="200"/>
        <w:rPr>
          <w:rFonts w:ascii="仿宋_GB2312" w:hAnsi="仿宋" w:eastAsia="仿宋_GB2312"/>
          <w:sz w:val="32"/>
          <w:szCs w:val="32"/>
        </w:rPr>
      </w:pPr>
      <w:r>
        <w:rPr>
          <w:rFonts w:hint="eastAsia" w:ascii="仿宋_GB2312" w:hAnsi="仿宋" w:eastAsia="仿宋_GB2312"/>
          <w:sz w:val="32"/>
          <w:szCs w:val="32"/>
        </w:rPr>
        <w:t>5、负责全县公路、水路交通设施的维护、管理；负责全县公路，桥梁、隧道收取通行费、站卡设置的协调和管理。</w:t>
      </w:r>
    </w:p>
    <w:p>
      <w:pPr>
        <w:ind w:firstLine="640" w:firstLineChars="200"/>
        <w:rPr>
          <w:rFonts w:ascii="仿宋_GB2312" w:hAnsi="仿宋" w:eastAsia="仿宋_GB2312"/>
          <w:sz w:val="32"/>
          <w:szCs w:val="32"/>
        </w:rPr>
      </w:pPr>
      <w:r>
        <w:rPr>
          <w:rFonts w:hint="eastAsia" w:ascii="仿宋_GB2312" w:hAnsi="仿宋" w:eastAsia="仿宋_GB2312"/>
          <w:sz w:val="32"/>
          <w:szCs w:val="32"/>
        </w:rPr>
        <w:t>6、负责全县水上交通安全监督、船舶及水上设施检验，通讯导航，救助打捞、船舶代理的管理；负责船员技术培训和发证的归口管理。</w:t>
      </w:r>
    </w:p>
    <w:p>
      <w:pPr>
        <w:ind w:firstLine="640" w:firstLineChars="200"/>
        <w:rPr>
          <w:rFonts w:ascii="仿宋_GB2312" w:hAnsi="仿宋" w:eastAsia="仿宋_GB2312"/>
          <w:sz w:val="32"/>
          <w:szCs w:val="32"/>
        </w:rPr>
      </w:pPr>
      <w:r>
        <w:rPr>
          <w:rFonts w:hint="eastAsia" w:ascii="仿宋_GB2312" w:hAnsi="仿宋" w:eastAsia="仿宋_GB2312"/>
          <w:sz w:val="32"/>
          <w:szCs w:val="32"/>
        </w:rPr>
        <w:t>7、指导公路、水路行业安全生产和应急管理工作。按规定组织协调重点物资和紧急客货运输。组织协调地方交通战备工作。</w:t>
      </w:r>
    </w:p>
    <w:p>
      <w:pPr>
        <w:ind w:firstLine="640" w:firstLineChars="200"/>
        <w:rPr>
          <w:rFonts w:ascii="仿宋_GB2312" w:hAnsi="仿宋" w:eastAsia="仿宋_GB2312"/>
          <w:sz w:val="32"/>
          <w:szCs w:val="32"/>
        </w:rPr>
      </w:pPr>
      <w:r>
        <w:rPr>
          <w:rFonts w:hint="eastAsia" w:ascii="仿宋_GB2312" w:hAnsi="仿宋" w:eastAsia="仿宋_GB2312"/>
          <w:sz w:val="32"/>
          <w:szCs w:val="32"/>
        </w:rPr>
        <w:t>8、贯彻执行国家有关交通科技政策、指导实施交通行业计量、质量、技术标准和规范工作；组织推动行业科技创新、科技进步和技术推广。</w:t>
      </w:r>
    </w:p>
    <w:p>
      <w:pPr>
        <w:ind w:firstLine="640" w:firstLineChars="200"/>
        <w:rPr>
          <w:rFonts w:ascii="仿宋_GB2312" w:hAnsi="仿宋" w:eastAsia="仿宋_GB2312"/>
          <w:sz w:val="32"/>
          <w:szCs w:val="32"/>
        </w:rPr>
      </w:pPr>
      <w:r>
        <w:rPr>
          <w:rFonts w:hint="eastAsia" w:ascii="仿宋_GB2312" w:hAnsi="仿宋" w:eastAsia="仿宋_GB2312"/>
          <w:sz w:val="32"/>
          <w:szCs w:val="32"/>
        </w:rPr>
        <w:t>9、指导全县交通行业的体制改革和交通特许经营企业的管理，建立健全规范的交通行业财务管理与会计核算体系。监督管理全县交通行业国有资产。</w:t>
      </w:r>
    </w:p>
    <w:p>
      <w:pPr>
        <w:ind w:firstLine="640" w:firstLineChars="200"/>
        <w:rPr>
          <w:rFonts w:ascii="仿宋_GB2312" w:hAnsi="仿宋" w:eastAsia="仿宋_GB2312"/>
          <w:sz w:val="32"/>
          <w:szCs w:val="32"/>
        </w:rPr>
      </w:pPr>
      <w:r>
        <w:rPr>
          <w:rFonts w:hint="eastAsia" w:ascii="仿宋_GB2312" w:hAnsi="仿宋" w:eastAsia="仿宋_GB2312"/>
          <w:sz w:val="32"/>
          <w:szCs w:val="32"/>
        </w:rPr>
        <w:t>10、负责指导交通行业精神文明建设、廉政建设、行业建设和职工队伍建设；指导交通行业人才预测、教育、培训和劳动卫生工作；负责局机关的人事管理、劳动工资和机构编制工作；负责局直属单位领导干部以及局属单位的人事管理、劳动工资和机构编制工作。</w:t>
      </w:r>
    </w:p>
    <w:p>
      <w:pPr>
        <w:ind w:firstLine="640" w:firstLineChars="200"/>
        <w:rPr>
          <w:rFonts w:ascii="仿宋_GB2312" w:hAnsi="仿宋" w:eastAsia="仿宋_GB2312"/>
          <w:sz w:val="32"/>
          <w:szCs w:val="32"/>
        </w:rPr>
      </w:pPr>
      <w:r>
        <w:rPr>
          <w:rFonts w:hint="eastAsia" w:ascii="仿宋_GB2312" w:hAnsi="仿宋" w:eastAsia="仿宋_GB2312"/>
          <w:sz w:val="32"/>
          <w:szCs w:val="32"/>
        </w:rPr>
        <w:t>11、负责有关交通涉外工作，指导交通行业利用外资工作：开展省际、市地、州、县际交通经济技术合作与交流工作。</w:t>
      </w:r>
    </w:p>
    <w:p>
      <w:pPr>
        <w:ind w:firstLine="640" w:firstLineChars="200"/>
        <w:rPr>
          <w:rFonts w:ascii="仿宋_GB2312" w:hAnsi="仿宋" w:eastAsia="仿宋_GB2312"/>
          <w:sz w:val="32"/>
          <w:szCs w:val="32"/>
        </w:rPr>
      </w:pPr>
      <w:r>
        <w:rPr>
          <w:rFonts w:hint="eastAsia" w:ascii="仿宋_GB2312" w:hAnsi="仿宋" w:eastAsia="仿宋_GB2312"/>
          <w:sz w:val="32"/>
          <w:szCs w:val="32"/>
        </w:rPr>
        <w:t>12、会同有关部门制定、执行涉及交通的有关地方政策。</w:t>
      </w:r>
    </w:p>
    <w:p>
      <w:pPr>
        <w:ind w:firstLine="640" w:firstLineChars="200"/>
        <w:rPr>
          <w:rFonts w:ascii="仿宋_GB2312" w:hAnsi="仿宋" w:eastAsia="仿宋_GB2312"/>
          <w:sz w:val="32"/>
          <w:szCs w:val="32"/>
        </w:rPr>
      </w:pPr>
      <w:r>
        <w:rPr>
          <w:rFonts w:hint="eastAsia" w:ascii="仿宋_GB2312" w:hAnsi="仿宋" w:eastAsia="仿宋_GB2312"/>
          <w:sz w:val="32"/>
          <w:szCs w:val="32"/>
        </w:rPr>
        <w:t>13、承担县政府公布的有关行政审批事项。</w:t>
      </w:r>
    </w:p>
    <w:p>
      <w:pPr>
        <w:ind w:firstLine="640" w:firstLineChars="200"/>
        <w:rPr>
          <w:rFonts w:ascii="仿宋_GB2312" w:hAnsi="仿宋" w:eastAsia="仿宋_GB2312"/>
          <w:sz w:val="32"/>
          <w:szCs w:val="32"/>
        </w:rPr>
      </w:pPr>
      <w:r>
        <w:rPr>
          <w:rFonts w:hint="eastAsia" w:ascii="仿宋_GB2312" w:hAnsi="仿宋" w:eastAsia="仿宋_GB2312"/>
          <w:sz w:val="32"/>
          <w:szCs w:val="32"/>
        </w:rPr>
        <w:t>14、承办县政府交办的其他事项。</w:t>
      </w:r>
    </w:p>
    <w:p>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2024年重点工作</w:t>
      </w:r>
    </w:p>
    <w:p>
      <w:pPr>
        <w:ind w:firstLine="640" w:firstLineChars="200"/>
        <w:rPr>
          <w:rFonts w:ascii="仿宋_GB2312" w:hAnsi="仿宋" w:eastAsia="仿宋_GB2312"/>
          <w:sz w:val="32"/>
          <w:szCs w:val="32"/>
        </w:rPr>
      </w:pPr>
      <w:r>
        <w:rPr>
          <w:rFonts w:hint="eastAsia" w:ascii="仿宋_GB2312" w:hAnsi="仿宋" w:eastAsia="仿宋_GB2312"/>
          <w:sz w:val="32"/>
          <w:szCs w:val="32"/>
        </w:rPr>
        <w:t>九寨沟县交通运输局主管全县交通运输，组织实施并监督执行全县公路、交通行业发展战略、政策、交通规章，主要以专业技术提供交通建设服务。狠抓项目投资，加快交通基础设施建设，积极做好九寨沟通用机场项目前期工作，加快推进九绵高速、G544双九路等在建项目建设，力争开工建设喇嘛领隧道。抓住创建全国“四好农村路”示范州机遇，结合我县省级“四好农村路”示范县创建工作，密切与九寨沟公路分局配合，搞好境内国省干线公路的管养，加强县域内农村公路的管理和养护，探索创新公路管养模式向专业化、市场化转变。确保道路安全畅通，全面提升公路运行能力。</w:t>
      </w:r>
    </w:p>
    <w:p>
      <w:pPr>
        <w:ind w:firstLine="643" w:firstLineChars="200"/>
        <w:rPr>
          <w:rFonts w:ascii="楷体" w:hAnsi="楷体" w:eastAsia="楷体"/>
          <w:b/>
          <w:sz w:val="32"/>
          <w:szCs w:val="32"/>
        </w:rPr>
      </w:pPr>
      <w:r>
        <w:rPr>
          <w:rFonts w:hint="eastAsia" w:ascii="楷体" w:hAnsi="楷体" w:eastAsia="楷体"/>
          <w:b/>
          <w:sz w:val="32"/>
          <w:szCs w:val="32"/>
        </w:rPr>
        <w:t>（二）交通运输局2024年</w:t>
      </w:r>
      <w:r>
        <w:rPr>
          <w:rFonts w:ascii="楷体" w:hAnsi="楷体" w:eastAsia="楷体"/>
          <w:b/>
          <w:sz w:val="32"/>
          <w:szCs w:val="32"/>
        </w:rPr>
        <w:t>重点工作</w:t>
      </w:r>
    </w:p>
    <w:p>
      <w:pPr>
        <w:ind w:firstLine="640" w:firstLineChars="200"/>
        <w:rPr>
          <w:rFonts w:ascii="仿宋_GB2312" w:hAnsi="仿宋" w:eastAsia="仿宋_GB2312"/>
          <w:sz w:val="32"/>
          <w:szCs w:val="32"/>
        </w:rPr>
      </w:pPr>
      <w:r>
        <w:rPr>
          <w:rFonts w:hint="eastAsia" w:ascii="仿宋_GB2312" w:hAnsi="仿宋" w:eastAsia="仿宋_GB2312"/>
          <w:sz w:val="32"/>
          <w:szCs w:val="32"/>
        </w:rPr>
        <w:t>九寨沟县交通运输局主管全县交通运输，组织实施并监督执行全县公路、交通行业发展战略、政策、交通规章，主要以专业技术提供交通建设服务。狠抓项目投资，加快交通基础设施建设，积极做好九寨沟通用机场项目前期工作，加快推进九绵高速、G544双九路等在建项目建设，力争开工建设喇嘛领隧道。抓住创建全国“四好农村路”示范州机遇，结合我县省级“四好农村路”示范县创建工作，密切与九寨沟公路分局配合，搞好境内国省干线公路的管养，加强县域内农村公路的管理和养护，探索创新公路管养模式向专业化、市场化转变。确保道路安全畅通，全面提升公路运行能力</w:t>
      </w:r>
    </w:p>
    <w:p>
      <w:pPr>
        <w:ind w:firstLine="640" w:firstLineChars="200"/>
        <w:rPr>
          <w:rFonts w:ascii="仿宋_GB2312" w:hAnsi="仿宋" w:eastAsia="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部门预算单位</w:t>
      </w:r>
      <w:r>
        <w:rPr>
          <w:rFonts w:ascii="黑体" w:hAnsi="黑体" w:eastAsia="黑体"/>
          <w:sz w:val="32"/>
          <w:szCs w:val="32"/>
        </w:rPr>
        <w:t>构成</w:t>
      </w:r>
    </w:p>
    <w:p>
      <w:pPr>
        <w:ind w:firstLine="640" w:firstLineChars="200"/>
        <w:rPr>
          <w:rFonts w:ascii="仿宋_GB2312" w:hAnsi="仿宋" w:eastAsia="仿宋_GB2312"/>
          <w:sz w:val="32"/>
          <w:szCs w:val="32"/>
        </w:rPr>
      </w:pPr>
      <w:r>
        <w:rPr>
          <w:rFonts w:hint="eastAsia" w:ascii="仿宋_GB2312" w:hAnsi="仿宋" w:eastAsia="仿宋_GB2312"/>
          <w:sz w:val="32"/>
          <w:szCs w:val="32"/>
        </w:rPr>
        <w:t>交通运输局下属二级预算单位1个，下属机构1个，内设机构4个，主要包括：</w:t>
      </w:r>
    </w:p>
    <w:tbl>
      <w:tblPr>
        <w:tblStyle w:val="4"/>
        <w:tblW w:w="7360" w:type="dxa"/>
        <w:jc w:val="center"/>
        <w:tblLayout w:type="autofit"/>
        <w:tblCellMar>
          <w:top w:w="0" w:type="dxa"/>
          <w:left w:w="108" w:type="dxa"/>
          <w:bottom w:w="0" w:type="dxa"/>
          <w:right w:w="108" w:type="dxa"/>
        </w:tblCellMar>
      </w:tblPr>
      <w:tblGrid>
        <w:gridCol w:w="1020"/>
        <w:gridCol w:w="6340"/>
      </w:tblGrid>
      <w:tr>
        <w:tblPrEx>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机构名称</w:t>
            </w: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1</w:t>
            </w:r>
          </w:p>
        </w:tc>
        <w:tc>
          <w:tcPr>
            <w:tcW w:w="6340" w:type="dxa"/>
            <w:tcBorders>
              <w:top w:val="nil"/>
              <w:left w:val="nil"/>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办公室</w:t>
            </w: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2</w:t>
            </w:r>
          </w:p>
        </w:tc>
        <w:tc>
          <w:tcPr>
            <w:tcW w:w="6340" w:type="dxa"/>
            <w:tcBorders>
              <w:top w:val="nil"/>
              <w:left w:val="nil"/>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财务室</w:t>
            </w: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3</w:t>
            </w:r>
          </w:p>
        </w:tc>
        <w:tc>
          <w:tcPr>
            <w:tcW w:w="6340" w:type="dxa"/>
            <w:tcBorders>
              <w:top w:val="nil"/>
              <w:left w:val="nil"/>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建管股</w:t>
            </w: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4</w:t>
            </w:r>
          </w:p>
        </w:tc>
        <w:tc>
          <w:tcPr>
            <w:tcW w:w="6340" w:type="dxa"/>
            <w:tcBorders>
              <w:top w:val="nil"/>
              <w:left w:val="nil"/>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安全股</w:t>
            </w: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5</w:t>
            </w:r>
          </w:p>
        </w:tc>
        <w:tc>
          <w:tcPr>
            <w:tcW w:w="6340" w:type="dxa"/>
            <w:tcBorders>
              <w:top w:val="nil"/>
              <w:left w:val="nil"/>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6</w:t>
            </w:r>
          </w:p>
        </w:tc>
        <w:tc>
          <w:tcPr>
            <w:tcW w:w="6340" w:type="dxa"/>
            <w:tcBorders>
              <w:top w:val="nil"/>
              <w:left w:val="nil"/>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7</w:t>
            </w:r>
          </w:p>
        </w:tc>
        <w:tc>
          <w:tcPr>
            <w:tcW w:w="6340" w:type="dxa"/>
            <w:tcBorders>
              <w:top w:val="nil"/>
              <w:left w:val="nil"/>
              <w:bottom w:val="single" w:color="auto" w:sz="4" w:space="0"/>
              <w:right w:val="single" w:color="auto" w:sz="4" w:space="0"/>
            </w:tcBorders>
            <w:shd w:val="clear" w:color="auto" w:fill="auto"/>
            <w:vAlign w:val="center"/>
          </w:tcPr>
          <w:p>
            <w:pPr>
              <w:widowControl/>
              <w:rPr>
                <w:rFonts w:ascii="仿宋_GB2312" w:hAnsi="仿宋" w:eastAsia="仿宋_GB2312" w:cs="Arial"/>
                <w:kern w:val="0"/>
                <w:sz w:val="32"/>
                <w:szCs w:val="32"/>
              </w:rPr>
            </w:pPr>
          </w:p>
        </w:tc>
      </w:tr>
    </w:tbl>
    <w:p>
      <w:pPr>
        <w:rPr>
          <w:rFonts w:ascii="仿宋" w:hAnsi="仿宋" w:eastAsia="仿宋"/>
          <w:b/>
          <w:sz w:val="32"/>
          <w:szCs w:val="32"/>
        </w:rPr>
      </w:pPr>
      <w:r>
        <w:rPr>
          <w:rFonts w:ascii="仿宋_GB2312" w:hAnsi="仿宋" w:eastAsia="仿宋_GB2312"/>
          <w:sz w:val="32"/>
          <w:szCs w:val="32"/>
        </w:rPr>
        <w:br w:type="page"/>
      </w:r>
    </w:p>
    <w:p>
      <w:pPr>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第二部分  九寨沟县交通运输局2024年部门</w:t>
      </w:r>
      <w:r>
        <w:rPr>
          <w:rFonts w:ascii="方正小标宋简体" w:hAnsi="黑体" w:eastAsia="方正小标宋简体"/>
          <w:sz w:val="44"/>
          <w:szCs w:val="44"/>
        </w:rPr>
        <w:t>预算表</w:t>
      </w:r>
    </w:p>
    <w:tbl>
      <w:tblPr>
        <w:tblStyle w:val="4"/>
        <w:tblW w:w="12417" w:type="dxa"/>
        <w:tblInd w:w="93" w:type="dxa"/>
        <w:tblLayout w:type="autofit"/>
        <w:tblCellMar>
          <w:top w:w="0" w:type="dxa"/>
          <w:left w:w="108" w:type="dxa"/>
          <w:bottom w:w="0" w:type="dxa"/>
          <w:right w:w="108" w:type="dxa"/>
        </w:tblCellMar>
      </w:tblPr>
      <w:tblGrid>
        <w:gridCol w:w="882"/>
        <w:gridCol w:w="1530"/>
        <w:gridCol w:w="1129"/>
        <w:gridCol w:w="11"/>
        <w:gridCol w:w="720"/>
        <w:gridCol w:w="475"/>
        <w:gridCol w:w="590"/>
        <w:gridCol w:w="885"/>
        <w:gridCol w:w="885"/>
        <w:gridCol w:w="885"/>
        <w:gridCol w:w="284"/>
        <w:gridCol w:w="601"/>
        <w:gridCol w:w="885"/>
        <w:gridCol w:w="270"/>
        <w:gridCol w:w="615"/>
        <w:gridCol w:w="885"/>
        <w:gridCol w:w="885"/>
      </w:tblGrid>
      <w:tr>
        <w:tblPrEx>
          <w:tblCellMar>
            <w:top w:w="0" w:type="dxa"/>
            <w:left w:w="108" w:type="dxa"/>
            <w:bottom w:w="0" w:type="dxa"/>
            <w:right w:w="108" w:type="dxa"/>
          </w:tblCellMar>
        </w:tblPrEx>
        <w:trPr>
          <w:gridAfter w:val="3"/>
          <w:wAfter w:w="2385" w:type="dxa"/>
          <w:trHeight w:val="284" w:hRule="atLeast"/>
        </w:trPr>
        <w:tc>
          <w:tcPr>
            <w:tcW w:w="3541"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1206"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529" w:type="dxa"/>
            <w:gridSpan w:val="5"/>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18"/>
                <w:szCs w:val="18"/>
              </w:rPr>
            </w:pPr>
          </w:p>
        </w:tc>
        <w:tc>
          <w:tcPr>
            <w:tcW w:w="175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left"/>
              <w:textAlignment w:val="center"/>
              <w:rPr>
                <w:rFonts w:ascii="宋体" w:hAnsi="宋体" w:eastAsia="宋体" w:cs="宋体"/>
                <w:color w:val="000000"/>
                <w:kern w:val="0"/>
                <w:sz w:val="22"/>
              </w:rPr>
            </w:pPr>
          </w:p>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表1</w:t>
            </w:r>
          </w:p>
        </w:tc>
      </w:tr>
      <w:tr>
        <w:tblPrEx>
          <w:tblCellMar>
            <w:top w:w="0" w:type="dxa"/>
            <w:left w:w="108" w:type="dxa"/>
            <w:bottom w:w="0" w:type="dxa"/>
            <w:right w:w="108" w:type="dxa"/>
          </w:tblCellMar>
        </w:tblPrEx>
        <w:trPr>
          <w:gridAfter w:val="3"/>
          <w:wAfter w:w="2385" w:type="dxa"/>
          <w:trHeight w:val="625" w:hRule="atLeast"/>
        </w:trPr>
        <w:tc>
          <w:tcPr>
            <w:tcW w:w="10032" w:type="dxa"/>
            <w:gridSpan w:val="14"/>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黑体" w:hAnsi="宋体" w:eastAsia="黑体" w:cs="黑体"/>
                <w:b/>
                <w:bCs/>
                <w:color w:val="000000"/>
                <w:sz w:val="32"/>
                <w:szCs w:val="32"/>
              </w:rPr>
            </w:pPr>
            <w:r>
              <w:rPr>
                <w:rFonts w:hint="eastAsia" w:ascii="黑体" w:hAnsi="宋体" w:eastAsia="黑体" w:cs="黑体"/>
                <w:b/>
                <w:bCs/>
                <w:color w:val="000000"/>
                <w:kern w:val="0"/>
                <w:sz w:val="32"/>
                <w:szCs w:val="32"/>
              </w:rPr>
              <w:t>部门收支总表</w:t>
            </w:r>
          </w:p>
        </w:tc>
      </w:tr>
      <w:tr>
        <w:tblPrEx>
          <w:tblCellMar>
            <w:top w:w="0" w:type="dxa"/>
            <w:left w:w="108" w:type="dxa"/>
            <w:bottom w:w="0" w:type="dxa"/>
            <w:right w:w="108" w:type="dxa"/>
          </w:tblCellMar>
        </w:tblPrEx>
        <w:trPr>
          <w:gridAfter w:val="3"/>
          <w:wAfter w:w="2385" w:type="dxa"/>
          <w:trHeight w:val="341" w:hRule="atLeast"/>
        </w:trPr>
        <w:tc>
          <w:tcPr>
            <w:tcW w:w="3541" w:type="dxa"/>
            <w:gridSpan w:val="3"/>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1206" w:type="dxa"/>
            <w:gridSpan w:val="3"/>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3529"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1756" w:type="dxa"/>
            <w:gridSpan w:val="3"/>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金额单位：万元</w:t>
            </w:r>
          </w:p>
        </w:tc>
      </w:tr>
      <w:tr>
        <w:tblPrEx>
          <w:tblCellMar>
            <w:top w:w="0" w:type="dxa"/>
            <w:left w:w="108" w:type="dxa"/>
            <w:bottom w:w="0" w:type="dxa"/>
            <w:right w:w="108" w:type="dxa"/>
          </w:tblCellMar>
        </w:tblPrEx>
        <w:trPr>
          <w:gridAfter w:val="3"/>
          <w:wAfter w:w="2385" w:type="dxa"/>
          <w:trHeight w:val="427" w:hRule="atLeast"/>
        </w:trPr>
        <w:tc>
          <w:tcPr>
            <w:tcW w:w="4747" w:type="dxa"/>
            <w:gridSpan w:val="6"/>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收    入</w:t>
            </w:r>
          </w:p>
        </w:tc>
        <w:tc>
          <w:tcPr>
            <w:tcW w:w="5285" w:type="dxa"/>
            <w:gridSpan w:val="8"/>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支    出</w:t>
            </w:r>
          </w:p>
        </w:tc>
      </w:tr>
      <w:tr>
        <w:tblPrEx>
          <w:tblCellMar>
            <w:top w:w="0" w:type="dxa"/>
            <w:left w:w="108" w:type="dxa"/>
            <w:bottom w:w="0" w:type="dxa"/>
            <w:right w:w="108" w:type="dxa"/>
          </w:tblCellMar>
        </w:tblPrEx>
        <w:trPr>
          <w:gridAfter w:val="3"/>
          <w:wAfter w:w="2385" w:type="dxa"/>
          <w:trHeight w:val="427"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1206"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预算数</w:t>
            </w:r>
          </w:p>
        </w:tc>
        <w:tc>
          <w:tcPr>
            <w:tcW w:w="3529"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1756"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预算数</w:t>
            </w: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一、一般公共预算拨款收入 </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421.63</w:t>
            </w: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二、政府性基金预算拨款收入 </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三、国有资本经营预算拨款收入 </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四、事业收入 </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五、事业单位经营收入 </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六、其他收入 </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65.22</w:t>
            </w: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九、社会保险基金支出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十、卫生健康支出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22.53</w:t>
            </w: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十一、节能环保支出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十二、城乡社区支出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十三、农林水支出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十四、交通运输支出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607.79</w:t>
            </w: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十五、资源勘探工业信息等支出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十六、商业服务业等支出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十七、金融支出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十八、援助其他地区支出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十九、自然资源海洋气象等支出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二十、住房保障支出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35.29</w:t>
            </w: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二十一、粮油物资储备支出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二十二、国有资本经营预算支出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二十三、灾害防治及应急管理支出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二十四、预备费</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二十五、其他支出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二十六、转移性支出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二十七、债务还本支出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二十八、债务付息支出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二十九、债务发行费用支出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ascii="宋体" w:hAnsi="宋体" w:eastAsia="宋体" w:cs="宋体"/>
                <w:color w:val="000000"/>
                <w:sz w:val="22"/>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三十、抗疫特别国债安排的支出</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 年 收 入 合 计</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421.63</w:t>
            </w: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 年 支 出 合 计</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730.83</w:t>
            </w: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七、用事业基金弥补收支差额</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三十一、事业单位结余分配 </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八、上年结转</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r>
              <w:rPr>
                <w:rFonts w:hint="eastAsia" w:ascii="宋体" w:hAnsi="宋体" w:eastAsia="宋体" w:cs="宋体"/>
                <w:color w:val="000000"/>
                <w:sz w:val="22"/>
              </w:rPr>
              <w:t>309.2</w:t>
            </w: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其中：转入事业基金</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ascii="Hiragino Sans GB" w:hAnsi="Hiragino Sans GB" w:eastAsia="Hiragino Sans GB" w:cs="Hiragino Sans GB"/>
                <w:color w:val="000000"/>
                <w:sz w:val="18"/>
                <w:szCs w:val="18"/>
              </w:rPr>
            </w:pP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ascii="Hiragino Sans GB" w:hAnsi="Hiragino Sans GB" w:eastAsia="Hiragino Sans GB" w:cs="Hiragino Sans GB"/>
                <w:color w:val="000000"/>
                <w:sz w:val="18"/>
                <w:szCs w:val="18"/>
              </w:rPr>
            </w:pP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三十二、结转下年</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3"/>
          <w:wAfter w:w="2385" w:type="dxa"/>
          <w:trHeight w:val="398" w:hRule="atLeast"/>
        </w:trPr>
        <w:tc>
          <w:tcPr>
            <w:tcW w:w="354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收  入  总  计</w:t>
            </w:r>
          </w:p>
        </w:tc>
        <w:tc>
          <w:tcPr>
            <w:tcW w:w="12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730.83</w:t>
            </w:r>
          </w:p>
        </w:tc>
        <w:tc>
          <w:tcPr>
            <w:tcW w:w="3529" w:type="dxa"/>
            <w:gridSpan w:val="5"/>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支  出  总  计</w:t>
            </w:r>
          </w:p>
        </w:tc>
        <w:tc>
          <w:tcPr>
            <w:tcW w:w="175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730.83</w:t>
            </w:r>
          </w:p>
        </w:tc>
      </w:tr>
      <w:tr>
        <w:tblPrEx>
          <w:tblCellMar>
            <w:top w:w="0" w:type="dxa"/>
            <w:left w:w="108" w:type="dxa"/>
            <w:bottom w:w="0" w:type="dxa"/>
            <w:right w:w="108" w:type="dxa"/>
          </w:tblCellMar>
        </w:tblPrEx>
        <w:trPr>
          <w:trHeight w:val="286" w:hRule="atLeast"/>
        </w:trPr>
        <w:tc>
          <w:tcPr>
            <w:tcW w:w="88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15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4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6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12417" w:type="dxa"/>
            <w:gridSpan w:val="17"/>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p>
        </w:tc>
      </w:tr>
      <w:tr>
        <w:tblPrEx>
          <w:tblCellMar>
            <w:top w:w="0" w:type="dxa"/>
            <w:left w:w="108" w:type="dxa"/>
            <w:bottom w:w="0" w:type="dxa"/>
            <w:right w:w="108" w:type="dxa"/>
          </w:tblCellMar>
        </w:tblPrEx>
        <w:trPr>
          <w:trHeight w:val="341" w:hRule="atLeast"/>
        </w:trPr>
        <w:tc>
          <w:tcPr>
            <w:tcW w:w="2412" w:type="dxa"/>
            <w:gridSpan w:val="2"/>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40" w:type="dxa"/>
            <w:gridSpan w:val="2"/>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720" w:type="dxa"/>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1065"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1770" w:type="dxa"/>
            <w:gridSpan w:val="2"/>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p>
        </w:tc>
      </w:tr>
    </w:tbl>
    <w:p>
      <w:pPr>
        <w:rPr>
          <w:rFonts w:ascii="方正小标宋简体" w:hAnsi="黑体" w:eastAsia="方正小标宋简体"/>
          <w:sz w:val="44"/>
          <w:szCs w:val="44"/>
        </w:rPr>
      </w:pPr>
    </w:p>
    <w:tbl>
      <w:tblPr>
        <w:tblStyle w:val="4"/>
        <w:tblW w:w="5000" w:type="pct"/>
        <w:tblInd w:w="0" w:type="dxa"/>
        <w:tblLayout w:type="fixed"/>
        <w:tblCellMar>
          <w:top w:w="0" w:type="dxa"/>
          <w:left w:w="108" w:type="dxa"/>
          <w:bottom w:w="0" w:type="dxa"/>
          <w:right w:w="108" w:type="dxa"/>
        </w:tblCellMar>
      </w:tblPr>
      <w:tblGrid>
        <w:gridCol w:w="1509"/>
        <w:gridCol w:w="1893"/>
        <w:gridCol w:w="1854"/>
        <w:gridCol w:w="804"/>
        <w:gridCol w:w="1337"/>
        <w:gridCol w:w="550"/>
        <w:gridCol w:w="754"/>
        <w:gridCol w:w="754"/>
        <w:gridCol w:w="754"/>
        <w:gridCol w:w="754"/>
        <w:gridCol w:w="754"/>
        <w:gridCol w:w="1404"/>
        <w:gridCol w:w="1666"/>
      </w:tblGrid>
      <w:tr>
        <w:tblPrEx>
          <w:tblCellMar>
            <w:top w:w="0" w:type="dxa"/>
            <w:left w:w="108" w:type="dxa"/>
            <w:bottom w:w="0" w:type="dxa"/>
            <w:right w:w="108" w:type="dxa"/>
          </w:tblCellMar>
        </w:tblPrEx>
        <w:trPr>
          <w:trHeight w:val="286" w:hRule="atLeast"/>
        </w:trPr>
        <w:tc>
          <w:tcPr>
            <w:tcW w:w="51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640"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27"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2"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52"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8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75"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63" w:type="pct"/>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表2</w:t>
            </w:r>
          </w:p>
        </w:tc>
      </w:tr>
      <w:tr>
        <w:tblPrEx>
          <w:tblCellMar>
            <w:top w:w="0" w:type="dxa"/>
            <w:left w:w="108" w:type="dxa"/>
            <w:bottom w:w="0" w:type="dxa"/>
            <w:right w:w="108" w:type="dxa"/>
          </w:tblCellMar>
        </w:tblPrEx>
        <w:trPr>
          <w:trHeight w:val="398" w:hRule="atLeast"/>
        </w:trPr>
        <w:tc>
          <w:tcPr>
            <w:tcW w:w="5000" w:type="pct"/>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部门收入总表</w:t>
            </w:r>
          </w:p>
        </w:tc>
      </w:tr>
      <w:tr>
        <w:tblPrEx>
          <w:tblCellMar>
            <w:top w:w="0" w:type="dxa"/>
            <w:left w:w="108" w:type="dxa"/>
            <w:bottom w:w="0" w:type="dxa"/>
            <w:right w:w="108" w:type="dxa"/>
          </w:tblCellMar>
        </w:tblPrEx>
        <w:trPr>
          <w:trHeight w:val="341" w:hRule="atLeast"/>
        </w:trPr>
        <w:tc>
          <w:tcPr>
            <w:tcW w:w="1150" w:type="pct"/>
            <w:gridSpan w:val="2"/>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627" w:type="pct"/>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272" w:type="pct"/>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452" w:type="pct"/>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186" w:type="pct"/>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1038" w:type="pct"/>
            <w:gridSpan w:val="2"/>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trHeight w:val="427" w:hRule="atLeast"/>
        </w:trPr>
        <w:tc>
          <w:tcPr>
            <w:tcW w:w="1150"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62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合计</w:t>
            </w:r>
          </w:p>
        </w:tc>
        <w:tc>
          <w:tcPr>
            <w:tcW w:w="27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上年结转</w:t>
            </w:r>
          </w:p>
        </w:tc>
        <w:tc>
          <w:tcPr>
            <w:tcW w:w="45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一般公共预算拨款收入</w:t>
            </w:r>
          </w:p>
        </w:tc>
        <w:tc>
          <w:tcPr>
            <w:tcW w:w="18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政府性基金预算拨款收入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国有资本经营预算拨款收入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事业收入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 xml:space="preserve">事业单位经营收入 </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其他收入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上级补助收入</w:t>
            </w:r>
          </w:p>
        </w:tc>
        <w:tc>
          <w:tcPr>
            <w:tcW w:w="47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附属单位上缴收入</w:t>
            </w:r>
          </w:p>
        </w:tc>
        <w:tc>
          <w:tcPr>
            <w:tcW w:w="56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用事业基金弥补收支差额</w:t>
            </w:r>
          </w:p>
        </w:tc>
      </w:tr>
      <w:tr>
        <w:tblPrEx>
          <w:tblCellMar>
            <w:top w:w="0" w:type="dxa"/>
            <w:left w:w="108" w:type="dxa"/>
            <w:bottom w:w="0" w:type="dxa"/>
            <w:right w:w="108" w:type="dxa"/>
          </w:tblCellMar>
        </w:tblPrEx>
        <w:trPr>
          <w:trHeight w:val="427" w:hRule="atLeast"/>
        </w:trPr>
        <w:tc>
          <w:tcPr>
            <w:tcW w:w="51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单位代码</w:t>
            </w:r>
          </w:p>
        </w:tc>
        <w:tc>
          <w:tcPr>
            <w:tcW w:w="64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单位名称（科目）</w:t>
            </w:r>
          </w:p>
        </w:tc>
        <w:tc>
          <w:tcPr>
            <w:tcW w:w="6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45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18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47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56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427" w:hRule="atLeast"/>
        </w:trPr>
        <w:tc>
          <w:tcPr>
            <w:tcW w:w="51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64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6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45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18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47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56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5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6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    计</w:t>
            </w:r>
          </w:p>
        </w:tc>
        <w:tc>
          <w:tcPr>
            <w:tcW w:w="6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730.83</w:t>
            </w:r>
          </w:p>
        </w:tc>
        <w:tc>
          <w:tcPr>
            <w:tcW w:w="2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r>
              <w:rPr>
                <w:rFonts w:hint="eastAsia" w:ascii="宋体" w:hAnsi="宋体" w:eastAsia="宋体" w:cs="宋体"/>
                <w:b/>
                <w:bCs/>
                <w:color w:val="000000"/>
                <w:kern w:val="0"/>
                <w:sz w:val="22"/>
              </w:rPr>
              <w:t>309.2</w:t>
            </w:r>
          </w:p>
        </w:tc>
        <w:tc>
          <w:tcPr>
            <w:tcW w:w="4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421.63</w:t>
            </w:r>
          </w:p>
        </w:tc>
        <w:tc>
          <w:tcPr>
            <w:tcW w:w="1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4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56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5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64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6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730.83</w:t>
            </w:r>
          </w:p>
        </w:tc>
        <w:tc>
          <w:tcPr>
            <w:tcW w:w="2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r>
              <w:rPr>
                <w:rFonts w:hint="eastAsia" w:ascii="宋体" w:hAnsi="宋体" w:eastAsia="宋体" w:cs="宋体"/>
                <w:b/>
                <w:bCs/>
                <w:color w:val="000000"/>
                <w:kern w:val="0"/>
                <w:sz w:val="22"/>
              </w:rPr>
              <w:t>309.2</w:t>
            </w:r>
          </w:p>
        </w:tc>
        <w:tc>
          <w:tcPr>
            <w:tcW w:w="4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421.63</w:t>
            </w:r>
          </w:p>
        </w:tc>
        <w:tc>
          <w:tcPr>
            <w:tcW w:w="1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47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56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5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214001</w:t>
            </w:r>
          </w:p>
        </w:tc>
        <w:tc>
          <w:tcPr>
            <w:tcW w:w="64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交通运输局</w:t>
            </w:r>
          </w:p>
        </w:tc>
        <w:tc>
          <w:tcPr>
            <w:tcW w:w="6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514.92</w:t>
            </w:r>
          </w:p>
        </w:tc>
        <w:tc>
          <w:tcPr>
            <w:tcW w:w="2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b/>
                <w:bCs/>
                <w:color w:val="000000"/>
                <w:sz w:val="22"/>
              </w:rPr>
            </w:pPr>
            <w:r>
              <w:rPr>
                <w:rFonts w:hint="eastAsia" w:ascii="宋体" w:hAnsi="宋体" w:eastAsia="宋体" w:cs="宋体"/>
                <w:b/>
                <w:bCs/>
                <w:color w:val="000000"/>
                <w:kern w:val="0"/>
                <w:sz w:val="22"/>
              </w:rPr>
              <w:t>309.2</w:t>
            </w:r>
          </w:p>
        </w:tc>
        <w:tc>
          <w:tcPr>
            <w:tcW w:w="4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205.75</w:t>
            </w:r>
          </w:p>
        </w:tc>
        <w:tc>
          <w:tcPr>
            <w:tcW w:w="1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47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56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720" w:hRule="atLeast"/>
        </w:trPr>
        <w:tc>
          <w:tcPr>
            <w:tcW w:w="5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214002</w:t>
            </w:r>
          </w:p>
        </w:tc>
        <w:tc>
          <w:tcPr>
            <w:tcW w:w="64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交通工程质量检验监督站</w:t>
            </w:r>
          </w:p>
        </w:tc>
        <w:tc>
          <w:tcPr>
            <w:tcW w:w="6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215.88</w:t>
            </w:r>
          </w:p>
        </w:tc>
        <w:tc>
          <w:tcPr>
            <w:tcW w:w="2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4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215.88</w:t>
            </w:r>
          </w:p>
        </w:tc>
        <w:tc>
          <w:tcPr>
            <w:tcW w:w="1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47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56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bl>
    <w:p>
      <w:pPr>
        <w:rPr>
          <w:rFonts w:hint="eastAsia"/>
        </w:rPr>
      </w:pPr>
    </w:p>
    <w:p>
      <w:pPr>
        <w:rPr>
          <w:rFonts w:hint="eastAsia"/>
        </w:rPr>
      </w:pPr>
    </w:p>
    <w:tbl>
      <w:tblPr>
        <w:tblStyle w:val="4"/>
        <w:tblW w:w="5000" w:type="pct"/>
        <w:tblInd w:w="0" w:type="dxa"/>
        <w:tblLayout w:type="fixed"/>
        <w:tblCellMar>
          <w:top w:w="0" w:type="dxa"/>
          <w:left w:w="108" w:type="dxa"/>
          <w:bottom w:w="0" w:type="dxa"/>
          <w:right w:w="108" w:type="dxa"/>
        </w:tblCellMar>
      </w:tblPr>
      <w:tblGrid>
        <w:gridCol w:w="962"/>
        <w:gridCol w:w="772"/>
        <w:gridCol w:w="784"/>
        <w:gridCol w:w="1614"/>
        <w:gridCol w:w="2496"/>
        <w:gridCol w:w="1427"/>
        <w:gridCol w:w="1614"/>
        <w:gridCol w:w="1598"/>
        <w:gridCol w:w="1393"/>
        <w:gridCol w:w="2126"/>
      </w:tblGrid>
      <w:tr>
        <w:tblPrEx>
          <w:tblCellMar>
            <w:top w:w="0" w:type="dxa"/>
            <w:left w:w="108" w:type="dxa"/>
            <w:bottom w:w="0" w:type="dxa"/>
            <w:right w:w="108" w:type="dxa"/>
          </w:tblCellMar>
        </w:tblPrEx>
        <w:trPr>
          <w:trHeight w:val="286" w:hRule="atLeast"/>
        </w:trPr>
        <w:tc>
          <w:tcPr>
            <w:tcW w:w="851"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54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44"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83"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4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40"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71"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20" w:type="pct"/>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表3</w:t>
            </w:r>
          </w:p>
        </w:tc>
      </w:tr>
      <w:tr>
        <w:tblPrEx>
          <w:tblCellMar>
            <w:top w:w="0" w:type="dxa"/>
            <w:left w:w="108" w:type="dxa"/>
            <w:bottom w:w="0" w:type="dxa"/>
            <w:right w:w="108" w:type="dxa"/>
          </w:tblCellMar>
        </w:tblPrEx>
        <w:trPr>
          <w:trHeight w:val="398" w:hRule="atLeast"/>
        </w:trPr>
        <w:tc>
          <w:tcPr>
            <w:tcW w:w="5000" w:type="pct"/>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部门支出总表</w:t>
            </w:r>
          </w:p>
        </w:tc>
      </w:tr>
      <w:tr>
        <w:tblPrEx>
          <w:tblCellMar>
            <w:top w:w="0" w:type="dxa"/>
            <w:left w:w="108" w:type="dxa"/>
            <w:bottom w:w="0" w:type="dxa"/>
            <w:right w:w="108" w:type="dxa"/>
          </w:tblCellMar>
        </w:tblPrEx>
        <w:trPr>
          <w:trHeight w:val="341" w:hRule="atLeast"/>
        </w:trPr>
        <w:tc>
          <w:tcPr>
            <w:tcW w:w="2240" w:type="pct"/>
            <w:gridSpan w:val="5"/>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483" w:type="pct"/>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546" w:type="pct"/>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540" w:type="pct"/>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471" w:type="pct"/>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720" w:type="pct"/>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trHeight w:val="427" w:hRule="atLeast"/>
        </w:trPr>
        <w:tc>
          <w:tcPr>
            <w:tcW w:w="2240" w:type="pct"/>
            <w:gridSpan w:val="5"/>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483" w:type="pct"/>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合计</w:t>
            </w:r>
          </w:p>
        </w:tc>
        <w:tc>
          <w:tcPr>
            <w:tcW w:w="546" w:type="pct"/>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基本支出</w:t>
            </w:r>
          </w:p>
        </w:tc>
        <w:tc>
          <w:tcPr>
            <w:tcW w:w="540" w:type="pct"/>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项目支出</w:t>
            </w:r>
          </w:p>
        </w:tc>
        <w:tc>
          <w:tcPr>
            <w:tcW w:w="471" w:type="pct"/>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上缴上级支出</w:t>
            </w:r>
          </w:p>
        </w:tc>
        <w:tc>
          <w:tcPr>
            <w:tcW w:w="720" w:type="pct"/>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对附属单位补助支出</w:t>
            </w:r>
          </w:p>
        </w:tc>
      </w:tr>
      <w:tr>
        <w:tblPrEx>
          <w:tblCellMar>
            <w:top w:w="0" w:type="dxa"/>
            <w:left w:w="108" w:type="dxa"/>
            <w:bottom w:w="0" w:type="dxa"/>
            <w:right w:w="108" w:type="dxa"/>
          </w:tblCellMar>
        </w:tblPrEx>
        <w:trPr>
          <w:trHeight w:val="427" w:hRule="atLeast"/>
        </w:trPr>
        <w:tc>
          <w:tcPr>
            <w:tcW w:w="851" w:type="pct"/>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科目编码</w:t>
            </w:r>
          </w:p>
        </w:tc>
        <w:tc>
          <w:tcPr>
            <w:tcW w:w="546" w:type="pct"/>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单位代码</w:t>
            </w:r>
          </w:p>
        </w:tc>
        <w:tc>
          <w:tcPr>
            <w:tcW w:w="844" w:type="pct"/>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单位名称（科目）</w:t>
            </w:r>
          </w:p>
        </w:tc>
        <w:tc>
          <w:tcPr>
            <w:tcW w:w="483"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546"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540"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471"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720"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427" w:hRule="atLeas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类</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款</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w:t>
            </w:r>
          </w:p>
        </w:tc>
        <w:tc>
          <w:tcPr>
            <w:tcW w:w="546"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844"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483"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546"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540"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471"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720" w:type="pct"/>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color w:val="000000"/>
                <w:kern w:val="0"/>
                <w:sz w:val="22"/>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color w:val="000000"/>
                <w:kern w:val="0"/>
                <w:sz w:val="22"/>
              </w:rPr>
            </w:pP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color w:val="000000"/>
                <w:kern w:val="0"/>
                <w:sz w:val="22"/>
              </w:rPr>
            </w:pP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color w:val="000000"/>
                <w:kern w:val="0"/>
                <w:sz w:val="22"/>
              </w:rPr>
            </w:pPr>
          </w:p>
        </w:tc>
        <w:tc>
          <w:tcPr>
            <w:tcW w:w="8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color w:val="000000"/>
                <w:kern w:val="0"/>
                <w:sz w:val="22"/>
              </w:rPr>
            </w:pPr>
            <w:r>
              <w:rPr>
                <w:rFonts w:hint="eastAsia" w:ascii="宋体" w:hAnsi="宋体" w:eastAsia="宋体" w:cs="宋体"/>
                <w:color w:val="000000"/>
                <w:kern w:val="0"/>
                <w:sz w:val="22"/>
              </w:rPr>
              <w:t>合    计</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730.83</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421.63</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309.20</w:t>
            </w: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730.83</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421.63</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309.20</w:t>
            </w: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交通运输局</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514.95</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205.75</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309.20</w:t>
            </w: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208</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214001</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机关事业单位基本养老保险缴费支出</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19.64</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19.64</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208</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06</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214001</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机关事业单位职业年金缴费支出</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10.98</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10.98</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210</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11</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01</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214001</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行政单位医疗</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9.61</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9.61</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210</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11</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03</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214001</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公务员医疗补助</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1.95</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1.95</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01</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01</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214001</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行政运行</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147.08</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147.08</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01</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214001</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公路建设</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309.20</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309.20</w:t>
            </w: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221</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02</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01</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214001</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住房公积金</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16.48</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16.48</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交通工程质量检验监督站</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215.88</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215.88</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208</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214002</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机关事业单位基本养老保险缴费支出</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22.06</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22.06</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208</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06</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214002</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机关事业单位职业年金缴费支出</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12.54</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12.54</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210</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11</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02</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214002</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事业单位医疗</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10.97</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10.97</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01</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99</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214002</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其他公路水路运输支出</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151.50</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151.50</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283" w:hRule="exact"/>
        </w:trPr>
        <w:tc>
          <w:tcPr>
            <w:tcW w:w="3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221</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02</w:t>
            </w:r>
          </w:p>
        </w:tc>
        <w:tc>
          <w:tcPr>
            <w:tcW w:w="26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01</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ascii="宋体" w:hAnsi="宋体" w:eastAsia="宋体" w:cs="宋体"/>
                <w:color w:val="000000"/>
                <w:kern w:val="0"/>
                <w:sz w:val="22"/>
              </w:rPr>
            </w:pPr>
            <w:r>
              <w:rPr>
                <w:rFonts w:hint="eastAsia" w:ascii="宋体" w:hAnsi="宋体" w:eastAsia="宋体" w:cs="宋体"/>
                <w:color w:val="000000"/>
                <w:kern w:val="0"/>
                <w:sz w:val="22"/>
              </w:rPr>
              <w:t>214002</w:t>
            </w:r>
          </w:p>
        </w:tc>
        <w:tc>
          <w:tcPr>
            <w:tcW w:w="844" w:type="pct"/>
            <w:tcBorders>
              <w:top w:val="single" w:color="C2C3C4" w:sz="4" w:space="0"/>
              <w:left w:val="single" w:color="C2C3C4" w:sz="4" w:space="0"/>
              <w:bottom w:val="single" w:color="C2C3C4" w:sz="4" w:space="0"/>
              <w:right w:val="single" w:color="C2C3C4" w:sz="4" w:space="0"/>
            </w:tcBorders>
            <w:shd w:val="clear" w:color="auto" w:fill="auto"/>
            <w:vAlign w:val="center"/>
          </w:tcPr>
          <w:p>
            <w:pPr>
              <w:rPr>
                <w:rFonts w:ascii="宋体" w:hAnsi="宋体" w:eastAsia="宋体" w:cs="宋体"/>
                <w:color w:val="000000"/>
                <w:kern w:val="0"/>
                <w:sz w:val="22"/>
              </w:rPr>
            </w:pPr>
            <w:r>
              <w:rPr>
                <w:rFonts w:ascii="宋体" w:hAnsi="宋体" w:eastAsia="宋体" w:cs="宋体"/>
                <w:kern w:val="0"/>
                <w:sz w:val="22"/>
              </w:rPr>
              <w:t xml:space="preserve"> 住房公积金</w:t>
            </w:r>
          </w:p>
        </w:tc>
        <w:tc>
          <w:tcPr>
            <w:tcW w:w="4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18.81</w:t>
            </w: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r>
              <w:rPr>
                <w:rFonts w:hint="eastAsia" w:ascii="宋体" w:hAnsi="宋体" w:eastAsia="宋体" w:cs="宋体"/>
                <w:color w:val="000000"/>
                <w:kern w:val="0"/>
                <w:sz w:val="22"/>
              </w:rPr>
              <w:t>18.81</w:t>
            </w: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4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c>
          <w:tcPr>
            <w:tcW w:w="7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kern w:val="0"/>
                <w:sz w:val="22"/>
              </w:rPr>
            </w:pPr>
          </w:p>
        </w:tc>
      </w:tr>
    </w:tbl>
    <w:p>
      <w:pPr>
        <w:rPr>
          <w:rFonts w:hint="eastAsia" w:ascii="宋体" w:hAnsi="宋体" w:eastAsia="宋体" w:cs="宋体"/>
          <w:color w:val="000000"/>
          <w:kern w:val="0"/>
          <w:sz w:val="22"/>
        </w:rPr>
      </w:pPr>
    </w:p>
    <w:p>
      <w:pPr>
        <w:rPr>
          <w:rFonts w:hint="eastAsia" w:ascii="宋体" w:hAnsi="宋体" w:eastAsia="宋体" w:cs="宋体"/>
          <w:color w:val="000000"/>
          <w:kern w:val="0"/>
          <w:sz w:val="22"/>
        </w:rPr>
      </w:pPr>
    </w:p>
    <w:p>
      <w:pPr>
        <w:rPr>
          <w:rFonts w:hint="eastAsia" w:ascii="宋体" w:hAnsi="宋体" w:eastAsia="宋体" w:cs="宋体"/>
          <w:color w:val="000000"/>
          <w:kern w:val="0"/>
          <w:sz w:val="22"/>
        </w:rPr>
      </w:pPr>
    </w:p>
    <w:tbl>
      <w:tblPr>
        <w:tblStyle w:val="4"/>
        <w:tblW w:w="8756" w:type="dxa"/>
        <w:tblInd w:w="91" w:type="dxa"/>
        <w:tblLayout w:type="fixed"/>
        <w:tblCellMar>
          <w:top w:w="0" w:type="dxa"/>
          <w:left w:w="108" w:type="dxa"/>
          <w:bottom w:w="0" w:type="dxa"/>
          <w:right w:w="108" w:type="dxa"/>
        </w:tblCellMar>
      </w:tblPr>
      <w:tblGrid>
        <w:gridCol w:w="1459"/>
        <w:gridCol w:w="91"/>
        <w:gridCol w:w="950"/>
        <w:gridCol w:w="418"/>
        <w:gridCol w:w="1459"/>
        <w:gridCol w:w="13"/>
        <w:gridCol w:w="910"/>
        <w:gridCol w:w="536"/>
        <w:gridCol w:w="414"/>
        <w:gridCol w:w="1045"/>
        <w:gridCol w:w="205"/>
        <w:gridCol w:w="1256"/>
      </w:tblGrid>
      <w:tr>
        <w:tblPrEx>
          <w:tblCellMar>
            <w:top w:w="0" w:type="dxa"/>
            <w:left w:w="108" w:type="dxa"/>
            <w:bottom w:w="0" w:type="dxa"/>
            <w:right w:w="108" w:type="dxa"/>
          </w:tblCellMar>
        </w:tblPrEx>
        <w:trPr>
          <w:trHeight w:val="295" w:hRule="atLeast"/>
        </w:trPr>
        <w:tc>
          <w:tcPr>
            <w:tcW w:w="155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spacing w:line="120" w:lineRule="auto"/>
              <w:rPr>
                <w:rFonts w:ascii="宋体" w:hAnsi="宋体" w:eastAsia="宋体" w:cs="宋体"/>
                <w:color w:val="000000"/>
                <w:sz w:val="22"/>
              </w:rPr>
            </w:pPr>
          </w:p>
        </w:tc>
        <w:tc>
          <w:tcPr>
            <w:tcW w:w="9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spacing w:line="120" w:lineRule="auto"/>
              <w:rPr>
                <w:rFonts w:ascii="宋体" w:hAnsi="宋体" w:eastAsia="宋体" w:cs="宋体"/>
                <w:color w:val="000000"/>
                <w:sz w:val="18"/>
                <w:szCs w:val="18"/>
              </w:rPr>
            </w:pPr>
          </w:p>
        </w:tc>
        <w:tc>
          <w:tcPr>
            <w:tcW w:w="1877"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spacing w:line="120" w:lineRule="auto"/>
              <w:rPr>
                <w:rFonts w:ascii="宋体" w:hAnsi="宋体" w:eastAsia="宋体" w:cs="宋体"/>
                <w:color w:val="000000"/>
                <w:sz w:val="18"/>
                <w:szCs w:val="18"/>
              </w:rPr>
            </w:pPr>
          </w:p>
        </w:tc>
        <w:tc>
          <w:tcPr>
            <w:tcW w:w="92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spacing w:line="120" w:lineRule="auto"/>
              <w:rPr>
                <w:rFonts w:ascii="宋体" w:hAnsi="宋体" w:eastAsia="宋体" w:cs="宋体"/>
                <w:color w:val="000000"/>
                <w:sz w:val="18"/>
                <w:szCs w:val="18"/>
              </w:rPr>
            </w:pPr>
          </w:p>
        </w:tc>
        <w:tc>
          <w:tcPr>
            <w:tcW w:w="9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spacing w:line="120" w:lineRule="auto"/>
              <w:rPr>
                <w:rFonts w:ascii="宋体" w:hAnsi="宋体" w:eastAsia="宋体" w:cs="宋体"/>
                <w:color w:val="000000"/>
                <w:sz w:val="18"/>
                <w:szCs w:val="18"/>
              </w:rPr>
            </w:pPr>
          </w:p>
        </w:tc>
        <w:tc>
          <w:tcPr>
            <w:tcW w:w="1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spacing w:line="120" w:lineRule="auto"/>
              <w:rPr>
                <w:rFonts w:ascii="宋体" w:hAnsi="宋体" w:eastAsia="宋体" w:cs="宋体"/>
                <w:color w:val="000000"/>
                <w:sz w:val="18"/>
                <w:szCs w:val="18"/>
              </w:rPr>
            </w:pPr>
          </w:p>
        </w:tc>
        <w:tc>
          <w:tcPr>
            <w:tcW w:w="1256"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spacing w:line="120" w:lineRule="auto"/>
              <w:jc w:val="right"/>
              <w:textAlignment w:val="center"/>
              <w:rPr>
                <w:rFonts w:ascii="宋体" w:hAnsi="宋体" w:eastAsia="宋体" w:cs="宋体"/>
                <w:color w:val="000000"/>
                <w:sz w:val="22"/>
              </w:rPr>
            </w:pPr>
            <w:r>
              <w:rPr>
                <w:rFonts w:ascii="宋体" w:hAnsi="宋体" w:eastAsia="宋体" w:cs="宋体"/>
                <w:color w:val="000000"/>
                <w:kern w:val="0"/>
                <w:sz w:val="22"/>
              </w:rPr>
              <w:t>表4</w:t>
            </w:r>
          </w:p>
        </w:tc>
      </w:tr>
      <w:tr>
        <w:tblPrEx>
          <w:tblCellMar>
            <w:top w:w="0" w:type="dxa"/>
            <w:left w:w="108" w:type="dxa"/>
            <w:bottom w:w="0" w:type="dxa"/>
            <w:right w:w="108" w:type="dxa"/>
          </w:tblCellMar>
        </w:tblPrEx>
        <w:trPr>
          <w:trHeight w:val="580" w:hRule="atLeast"/>
        </w:trPr>
        <w:tc>
          <w:tcPr>
            <w:tcW w:w="8756"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spacing w:line="120" w:lineRule="auto"/>
              <w:jc w:val="center"/>
              <w:textAlignment w:val="center"/>
              <w:rPr>
                <w:rFonts w:ascii="黑体" w:hAnsi="宋体" w:eastAsia="黑体" w:cs="黑体"/>
                <w:b/>
                <w:bCs/>
                <w:color w:val="000000"/>
                <w:sz w:val="32"/>
                <w:szCs w:val="32"/>
              </w:rPr>
            </w:pPr>
            <w:r>
              <w:rPr>
                <w:rFonts w:hint="eastAsia" w:ascii="黑体" w:hAnsi="宋体" w:eastAsia="黑体" w:cs="黑体"/>
                <w:b/>
                <w:bCs/>
                <w:color w:val="000000"/>
                <w:kern w:val="0"/>
                <w:sz w:val="32"/>
                <w:szCs w:val="32"/>
              </w:rPr>
              <w:t>财政拨款收支预算总表</w:t>
            </w:r>
          </w:p>
        </w:tc>
      </w:tr>
      <w:tr>
        <w:tblPrEx>
          <w:tblCellMar>
            <w:top w:w="0" w:type="dxa"/>
            <w:left w:w="108" w:type="dxa"/>
            <w:bottom w:w="0" w:type="dxa"/>
            <w:right w:w="108" w:type="dxa"/>
          </w:tblCellMar>
        </w:tblPrEx>
        <w:trPr>
          <w:trHeight w:val="580" w:hRule="atLeast"/>
        </w:trPr>
        <w:tc>
          <w:tcPr>
            <w:tcW w:w="1459" w:type="dxa"/>
            <w:tcBorders>
              <w:top w:val="single" w:color="FFFFFF" w:sz="4" w:space="0"/>
              <w:left w:val="single" w:color="FFFFFF" w:sz="4" w:space="0"/>
              <w:bottom w:val="nil"/>
              <w:right w:val="single" w:color="FFFFFF" w:sz="4" w:space="0"/>
            </w:tcBorders>
            <w:shd w:val="clear" w:color="auto" w:fill="auto"/>
            <w:noWrap/>
            <w:vAlign w:val="center"/>
          </w:tcPr>
          <w:p>
            <w:pPr>
              <w:widowControl/>
              <w:spacing w:line="12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1459" w:type="dxa"/>
            <w:gridSpan w:val="3"/>
            <w:tcBorders>
              <w:top w:val="single" w:color="FFFFFF" w:sz="4" w:space="0"/>
              <w:left w:val="single" w:color="FFFFFF" w:sz="4" w:space="0"/>
              <w:bottom w:val="nil"/>
              <w:right w:val="single" w:color="FFFFFF" w:sz="4" w:space="0"/>
            </w:tcBorders>
            <w:shd w:val="clear" w:color="auto" w:fill="auto"/>
            <w:vAlign w:val="center"/>
          </w:tcPr>
          <w:p>
            <w:pPr>
              <w:widowControl/>
              <w:spacing w:line="120" w:lineRule="auto"/>
              <w:rPr>
                <w:rFonts w:ascii="宋体" w:hAnsi="宋体" w:eastAsia="宋体" w:cs="宋体"/>
                <w:color w:val="000000"/>
                <w:sz w:val="18"/>
                <w:szCs w:val="18"/>
              </w:rPr>
            </w:pPr>
          </w:p>
        </w:tc>
        <w:tc>
          <w:tcPr>
            <w:tcW w:w="1459" w:type="dxa"/>
            <w:tcBorders>
              <w:top w:val="single" w:color="FFFFFF" w:sz="4" w:space="0"/>
              <w:left w:val="single" w:color="FFFFFF" w:sz="4" w:space="0"/>
              <w:bottom w:val="nil"/>
              <w:right w:val="single" w:color="FFFFFF" w:sz="4" w:space="0"/>
            </w:tcBorders>
            <w:shd w:val="clear" w:color="auto" w:fill="auto"/>
            <w:vAlign w:val="center"/>
          </w:tcPr>
          <w:p>
            <w:pPr>
              <w:widowControl/>
              <w:spacing w:line="120" w:lineRule="auto"/>
              <w:rPr>
                <w:rFonts w:ascii="宋体" w:hAnsi="宋体" w:eastAsia="宋体" w:cs="宋体"/>
                <w:color w:val="000000"/>
                <w:sz w:val="18"/>
                <w:szCs w:val="18"/>
              </w:rPr>
            </w:pPr>
          </w:p>
        </w:tc>
        <w:tc>
          <w:tcPr>
            <w:tcW w:w="1459" w:type="dxa"/>
            <w:gridSpan w:val="3"/>
            <w:tcBorders>
              <w:top w:val="single" w:color="FFFFFF" w:sz="4" w:space="0"/>
              <w:left w:val="single" w:color="FFFFFF" w:sz="4" w:space="0"/>
              <w:bottom w:val="nil"/>
              <w:right w:val="single" w:color="FFFFFF" w:sz="4" w:space="0"/>
            </w:tcBorders>
            <w:shd w:val="clear" w:color="auto" w:fill="auto"/>
            <w:vAlign w:val="center"/>
          </w:tcPr>
          <w:p>
            <w:pPr>
              <w:widowControl/>
              <w:spacing w:line="120" w:lineRule="auto"/>
              <w:rPr>
                <w:rFonts w:ascii="宋体" w:hAnsi="宋体" w:eastAsia="宋体" w:cs="宋体"/>
                <w:color w:val="000000"/>
                <w:sz w:val="18"/>
                <w:szCs w:val="18"/>
              </w:rPr>
            </w:pPr>
          </w:p>
        </w:tc>
        <w:tc>
          <w:tcPr>
            <w:tcW w:w="1459" w:type="dxa"/>
            <w:gridSpan w:val="2"/>
            <w:tcBorders>
              <w:top w:val="single" w:color="FFFFFF" w:sz="4" w:space="0"/>
              <w:left w:val="single" w:color="FFFFFF" w:sz="4" w:space="0"/>
              <w:bottom w:val="nil"/>
              <w:right w:val="single" w:color="FFFFFF" w:sz="4" w:space="0"/>
            </w:tcBorders>
            <w:shd w:val="clear" w:color="auto" w:fill="auto"/>
            <w:vAlign w:val="center"/>
          </w:tcPr>
          <w:p>
            <w:pPr>
              <w:widowControl/>
              <w:spacing w:line="120" w:lineRule="auto"/>
              <w:rPr>
                <w:rFonts w:ascii="宋体" w:hAnsi="宋体" w:eastAsia="宋体" w:cs="宋体"/>
                <w:color w:val="000000"/>
                <w:sz w:val="18"/>
                <w:szCs w:val="18"/>
              </w:rPr>
            </w:pPr>
          </w:p>
        </w:tc>
        <w:tc>
          <w:tcPr>
            <w:tcW w:w="1461" w:type="dxa"/>
            <w:gridSpan w:val="2"/>
            <w:tcBorders>
              <w:top w:val="single" w:color="FFFFFF" w:sz="4" w:space="0"/>
              <w:left w:val="single" w:color="FFFFFF" w:sz="4" w:space="0"/>
              <w:bottom w:val="nil"/>
              <w:right w:val="single" w:color="FFFFFF" w:sz="4" w:space="0"/>
            </w:tcBorders>
            <w:shd w:val="clear" w:color="auto" w:fill="auto"/>
            <w:noWrap/>
            <w:vAlign w:val="center"/>
          </w:tcPr>
          <w:p>
            <w:pPr>
              <w:widowControl/>
              <w:spacing w:line="120" w:lineRule="auto"/>
              <w:jc w:val="center"/>
              <w:textAlignment w:val="center"/>
              <w:rPr>
                <w:rFonts w:ascii="宋体" w:hAnsi="宋体" w:eastAsia="宋体" w:cs="宋体"/>
                <w:color w:val="000000"/>
                <w:sz w:val="22"/>
              </w:rPr>
            </w:pPr>
            <w:r>
              <w:rPr>
                <w:rFonts w:ascii="宋体" w:hAnsi="宋体" w:eastAsia="宋体" w:cs="宋体"/>
                <w:color w:val="000000"/>
                <w:kern w:val="0"/>
                <w:sz w:val="22"/>
              </w:rPr>
              <w:t>金额单位：万元</w:t>
            </w:r>
          </w:p>
        </w:tc>
      </w:tr>
      <w:tr>
        <w:tblPrEx>
          <w:tblCellMar>
            <w:top w:w="0" w:type="dxa"/>
            <w:left w:w="108" w:type="dxa"/>
            <w:bottom w:w="0" w:type="dxa"/>
            <w:right w:w="108" w:type="dxa"/>
          </w:tblCellMar>
        </w:tblPrEx>
        <w:trPr>
          <w:trHeight w:val="295" w:hRule="atLeast"/>
        </w:trPr>
        <w:tc>
          <w:tcPr>
            <w:tcW w:w="4390" w:type="dxa"/>
            <w:gridSpan w:val="6"/>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收    入</w:t>
            </w:r>
          </w:p>
        </w:tc>
        <w:tc>
          <w:tcPr>
            <w:tcW w:w="4366" w:type="dxa"/>
            <w:gridSpan w:val="6"/>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支    出</w:t>
            </w:r>
          </w:p>
        </w:tc>
      </w:tr>
      <w:tr>
        <w:tblPrEx>
          <w:tblCellMar>
            <w:top w:w="0" w:type="dxa"/>
            <w:left w:w="108" w:type="dxa"/>
            <w:bottom w:w="0" w:type="dxa"/>
            <w:right w:w="108" w:type="dxa"/>
          </w:tblCellMar>
        </w:tblPrEx>
        <w:trPr>
          <w:trHeight w:val="580" w:hRule="atLeas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预算数</w:t>
            </w: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合计</w:t>
            </w: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一般公共预算</w:t>
            </w: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政府性基金预算</w:t>
            </w: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国有资本经营预算</w:t>
            </w: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一、本年收入</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421.63</w:t>
            </w: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一、本年支出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730.83</w:t>
            </w: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730.83</w:t>
            </w: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一般公共预算拨款收入</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421.63</w:t>
            </w: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一般公共服务支出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政府性基金预算拨款收入</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外交支出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国有资本经营预算拨款收入</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国防支出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一、上年结转</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309.2</w:t>
            </w: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公共安全支出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一般公共预算拨款收入</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309.2</w:t>
            </w: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教育支出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政府性基金预算拨款收入</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科学技术支出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国有资本经营预算拨款收入</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文化旅游体育与传媒支出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社会保障和就业支出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65.22</w:t>
            </w: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65.22</w:t>
            </w: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 社会保险基金支出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left"/>
              <w:textAlignment w:val="center"/>
              <w:rPr>
                <w:rFonts w:ascii="宋体" w:hAnsi="宋体" w:eastAsia="宋体" w:cs="宋体"/>
                <w:color w:val="000000"/>
                <w:kern w:val="0"/>
                <w:sz w:val="13"/>
                <w:szCs w:val="13"/>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卫生健康支出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22.53</w:t>
            </w: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22.53</w:t>
            </w: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节能环保支出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城乡社区支出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农林水支出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交通运输支出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607.79</w:t>
            </w: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607.79</w:t>
            </w: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资源勘探工业信息等支出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商业服务业等支出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金融支出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援助其他地区支出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自然资源海洋气象等支出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住房保障支出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35.29</w:t>
            </w: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35.29</w:t>
            </w: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粮油物资储备支出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国有资本经营预算支出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灾害防治及应急管理支出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其他支出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债务还本支出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债务付息支出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债务发行费用支出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r>
        <w:tblPrEx>
          <w:tblCellMar>
            <w:top w:w="0" w:type="dxa"/>
            <w:left w:w="108" w:type="dxa"/>
            <w:bottom w:w="0" w:type="dxa"/>
            <w:right w:w="108" w:type="dxa"/>
          </w:tblCellMar>
        </w:tblPrEx>
        <w:trPr>
          <w:trHeight w:val="227" w:hRule="exact"/>
        </w:trPr>
        <w:tc>
          <w:tcPr>
            <w:tcW w:w="155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w:t>
            </w:r>
          </w:p>
        </w:tc>
        <w:tc>
          <w:tcPr>
            <w:tcW w:w="9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87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spacing w:line="120" w:lineRule="auto"/>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rPr>
              <w:t xml:space="preserve"> 抗疫特别国债安排的支出</w:t>
            </w:r>
          </w:p>
        </w:tc>
        <w:tc>
          <w:tcPr>
            <w:tcW w:w="92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9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13"/>
                <w:szCs w:val="13"/>
              </w:rPr>
            </w:pPr>
          </w:p>
        </w:tc>
        <w:tc>
          <w:tcPr>
            <w:tcW w:w="12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widowControl/>
              <w:spacing w:line="120" w:lineRule="auto"/>
              <w:jc w:val="right"/>
              <w:rPr>
                <w:rFonts w:ascii="宋体" w:hAnsi="宋体" w:eastAsia="宋体" w:cs="宋体"/>
                <w:color w:val="000000"/>
                <w:sz w:val="22"/>
              </w:rPr>
            </w:pPr>
          </w:p>
        </w:tc>
      </w:tr>
    </w:tbl>
    <w:p>
      <w:pPr>
        <w:widowControl/>
        <w:spacing w:line="120" w:lineRule="auto"/>
        <w:jc w:val="left"/>
        <w:textAlignment w:val="center"/>
        <w:rPr>
          <w:rFonts w:hint="eastAsia" w:ascii="宋体" w:hAnsi="宋体" w:eastAsia="宋体" w:cs="宋体"/>
          <w:color w:val="000000"/>
          <w:kern w:val="0"/>
          <w:sz w:val="13"/>
          <w:szCs w:val="13"/>
        </w:rPr>
        <w:sectPr>
          <w:footerReference r:id="rId3" w:type="default"/>
          <w:pgSz w:w="16838" w:h="11906" w:orient="landscape"/>
          <w:pgMar w:top="720" w:right="567" w:bottom="720" w:left="1701" w:header="851" w:footer="992" w:gutter="0"/>
          <w:cols w:space="0" w:num="1"/>
          <w:docGrid w:type="lines" w:linePitch="317" w:charSpace="0"/>
        </w:sectPr>
      </w:pP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320"/>
        <w:gridCol w:w="285"/>
        <w:gridCol w:w="405"/>
        <w:gridCol w:w="595"/>
        <w:gridCol w:w="406"/>
        <w:gridCol w:w="359"/>
        <w:gridCol w:w="359"/>
        <w:gridCol w:w="359"/>
        <w:gridCol w:w="405"/>
        <w:gridCol w:w="311"/>
        <w:gridCol w:w="405"/>
        <w:gridCol w:w="405"/>
        <w:gridCol w:w="311"/>
        <w:gridCol w:w="405"/>
        <w:gridCol w:w="405"/>
        <w:gridCol w:w="311"/>
        <w:gridCol w:w="311"/>
        <w:gridCol w:w="405"/>
        <w:gridCol w:w="405"/>
        <w:gridCol w:w="311"/>
        <w:gridCol w:w="405"/>
        <w:gridCol w:w="405"/>
        <w:gridCol w:w="311"/>
        <w:gridCol w:w="405"/>
        <w:gridCol w:w="405"/>
        <w:gridCol w:w="359"/>
        <w:gridCol w:w="359"/>
        <w:gridCol w:w="405"/>
        <w:gridCol w:w="405"/>
        <w:gridCol w:w="311"/>
        <w:gridCol w:w="405"/>
        <w:gridCol w:w="405"/>
        <w:gridCol w:w="311"/>
        <w:gridCol w:w="405"/>
        <w:gridCol w:w="405"/>
        <w:gridCol w:w="359"/>
        <w:gridCol w:w="405"/>
        <w:gridCol w:w="405"/>
        <w:gridCol w:w="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35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1"/>
                <w:szCs w:val="11"/>
                <w:u w:val="none"/>
              </w:rPr>
            </w:pPr>
            <w:r>
              <w:rPr>
                <w:rFonts w:ascii="宋体" w:hAnsi="宋体" w:eastAsia="宋体" w:cs="宋体"/>
                <w:i w:val="0"/>
                <w:iCs w:val="0"/>
                <w:color w:val="000000"/>
                <w:kern w:val="0"/>
                <w:sz w:val="11"/>
                <w:szCs w:val="11"/>
                <w:u w:val="none"/>
                <w:lang w:val="en-US" w:eastAsia="zh-CN" w:bidi="ar"/>
              </w:rPr>
              <w:t>表</w:t>
            </w:r>
            <w:r>
              <w:rPr>
                <w:rFonts w:hint="eastAsia" w:ascii="宋体" w:hAnsi="宋体" w:eastAsia="宋体" w:cs="宋体"/>
                <w:i w:val="0"/>
                <w:iCs w:val="0"/>
                <w:color w:val="000000"/>
                <w:kern w:val="0"/>
                <w:sz w:val="11"/>
                <w:szCs w:val="11"/>
                <w:u w:val="none"/>
                <w:lang w:val="en-US" w:eastAsia="zh-CN" w:bidi="ar"/>
              </w:rPr>
              <w:t>5</w:t>
            </w:r>
          </w:p>
        </w:tc>
        <w:tc>
          <w:tcPr>
            <w:tcW w:w="0" w:type="auto"/>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14351" w:type="dxa"/>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财政拨款支出预算表（部门经济分类科目）</w:t>
            </w:r>
          </w:p>
        </w:tc>
        <w:tc>
          <w:tcPr>
            <w:tcW w:w="0" w:type="auto"/>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359"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    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总计</w:t>
            </w:r>
          </w:p>
        </w:tc>
        <w:tc>
          <w:tcPr>
            <w:tcW w:w="3727"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省级当年财政拨款安排</w:t>
            </w:r>
          </w:p>
        </w:tc>
        <w:tc>
          <w:tcPr>
            <w:tcW w:w="0" w:type="auto"/>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中央提前通知专项转移支付等</w:t>
            </w:r>
          </w:p>
        </w:tc>
        <w:tc>
          <w:tcPr>
            <w:tcW w:w="0" w:type="auto"/>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上年结转安排</w:t>
            </w: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单位名称（科目）</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1"/>
                <w:szCs w:val="11"/>
                <w:u w:val="none"/>
              </w:rPr>
            </w:pP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合计</w:t>
            </w:r>
          </w:p>
        </w:tc>
        <w:tc>
          <w:tcPr>
            <w:tcW w:w="1123"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国有资本经营预算安排</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国有资本经营预算安排</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国有资本经营预算安排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上年应返还额度结转</w:t>
            </w: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1"/>
                <w:szCs w:val="11"/>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1"/>
                <w:szCs w:val="11"/>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1"/>
                <w:szCs w:val="11"/>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35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项目支出</w:t>
            </w: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1,040.03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421.63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421.63</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421.63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618.40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309.20</w:t>
            </w: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1,040.03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421.63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421.63</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421.63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618.40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交通运输局</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824.15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205.75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205.75</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205.75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618.40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190.66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190.66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190.66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190.66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44.52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44.52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44.52</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44.52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39.99</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31.20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31.20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31.20</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31.20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8.00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8.00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8.00</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8.00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0.63</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38.26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34.55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34.55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34.55</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34.55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19.64</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10.98</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9.61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1.95</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2.46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2.46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2.46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2.46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0.49</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残保金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16.48</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6.76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长聘人员经费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4.83</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聘用人员养老保险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0.99</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聘用人员医疗保险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0.59</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聘用人员工伤保险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聘用人员失业保险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0.04</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聘用人员住房公积金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0.29</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13.17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13.17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13.17</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13.17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0.90</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印刷费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0.05</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1.84</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2.75</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会议费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0.67</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0.26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1.60</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福利费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3.00</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303</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303</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资本性支出（基本建设）</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618.40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618.40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309</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基础设施建设</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618.40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618.40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309.20</w:t>
            </w: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交通工程质量检验监督站</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绩效工资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残保金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其他社会保险费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印刷费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0.15</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1.77</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福利费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2.21</w:t>
            </w: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0" w:type="auto"/>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6"/>
                <w:szCs w:val="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359" w:type="dxa"/>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6"/>
                <w:szCs w:val="6"/>
                <w:u w:val="none"/>
              </w:rPr>
            </w:pPr>
          </w:p>
        </w:tc>
        <w:tc>
          <w:tcPr>
            <w:tcW w:w="0" w:type="auto"/>
            <w:tcBorders>
              <w:top w:val="nil"/>
              <w:left w:val="single" w:color="FFFFFF" w:sz="4" w:space="0"/>
              <w:bottom w:val="nil"/>
              <w:right w:val="nil"/>
            </w:tcBorders>
            <w:shd w:val="clear" w:color="auto" w:fill="auto"/>
            <w:vAlign w:val="center"/>
          </w:tcPr>
          <w:p>
            <w:pPr>
              <w:rPr>
                <w:rFonts w:hint="eastAsia" w:ascii="宋体" w:hAnsi="宋体" w:eastAsia="宋体" w:cs="宋体"/>
                <w:i w:val="0"/>
                <w:iCs w:val="0"/>
                <w:color w:val="000000"/>
                <w:sz w:val="6"/>
                <w:szCs w:val="6"/>
                <w:u w:val="none"/>
              </w:rPr>
            </w:pPr>
          </w:p>
        </w:tc>
      </w:tr>
    </w:tbl>
    <w:p>
      <w:pPr>
        <w:rPr>
          <w:rFonts w:hint="eastAsia"/>
        </w:rPr>
      </w:pPr>
    </w:p>
    <w:p>
      <w:pPr>
        <w:rPr>
          <w:rFonts w:hint="eastAsia"/>
        </w:rPr>
      </w:pPr>
    </w:p>
    <w:p>
      <w:pPr>
        <w:rPr>
          <w:rFonts w:ascii="方正小标宋简体" w:hAnsi="黑体" w:eastAsia="方正小标宋简体"/>
          <w:sz w:val="44"/>
          <w:szCs w:val="44"/>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tbl>
      <w:tblPr>
        <w:tblStyle w:val="4"/>
        <w:tblW w:w="15060" w:type="dxa"/>
        <w:tblInd w:w="93" w:type="dxa"/>
        <w:tblLayout w:type="autofit"/>
        <w:tblCellMar>
          <w:top w:w="0" w:type="dxa"/>
          <w:left w:w="108" w:type="dxa"/>
          <w:bottom w:w="0" w:type="dxa"/>
          <w:right w:w="108" w:type="dxa"/>
        </w:tblCellMar>
      </w:tblPr>
      <w:tblGrid>
        <w:gridCol w:w="851"/>
        <w:gridCol w:w="681"/>
        <w:gridCol w:w="682"/>
        <w:gridCol w:w="2018"/>
        <w:gridCol w:w="4921"/>
        <w:gridCol w:w="1078"/>
        <w:gridCol w:w="2413"/>
        <w:gridCol w:w="2416"/>
      </w:tblGrid>
      <w:tr>
        <w:tblPrEx>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201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92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90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表6</w:t>
            </w:r>
          </w:p>
        </w:tc>
      </w:tr>
      <w:tr>
        <w:tblPrEx>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一般公共预算支出预算表</w:t>
            </w:r>
          </w:p>
        </w:tc>
      </w:tr>
      <w:tr>
        <w:tblPrEx>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1969" w:type="dxa"/>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合计</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当年财政拨款安排</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上年结转安排</w:t>
            </w:r>
          </w:p>
        </w:tc>
      </w:tr>
      <w:tr>
        <w:tblPrEx>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    计</w:t>
            </w:r>
          </w:p>
        </w:tc>
        <w:tc>
          <w:tcPr>
            <w:tcW w:w="10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730.83</w:t>
            </w:r>
          </w:p>
        </w:tc>
        <w:tc>
          <w:tcPr>
            <w:tcW w:w="24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421.63</w:t>
            </w:r>
          </w:p>
        </w:tc>
        <w:tc>
          <w:tcPr>
            <w:tcW w:w="24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309.20</w:t>
            </w: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730.83</w:t>
            </w:r>
          </w:p>
        </w:tc>
        <w:tc>
          <w:tcPr>
            <w:tcW w:w="24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421.63</w:t>
            </w:r>
          </w:p>
        </w:tc>
        <w:tc>
          <w:tcPr>
            <w:tcW w:w="24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309.20</w:t>
            </w: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交通运输局部门</w:t>
            </w:r>
          </w:p>
        </w:tc>
        <w:tc>
          <w:tcPr>
            <w:tcW w:w="10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730.83</w:t>
            </w:r>
          </w:p>
        </w:tc>
        <w:tc>
          <w:tcPr>
            <w:tcW w:w="24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421.63</w:t>
            </w:r>
          </w:p>
        </w:tc>
        <w:tc>
          <w:tcPr>
            <w:tcW w:w="24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309.20</w:t>
            </w: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 xml:space="preserve"> 机关事业单位基本养老保险缴费支出</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41.70</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41.70</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 xml:space="preserve"> 机关事业单位职业年金缴费支出</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23.52</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23.52</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 xml:space="preserve"> 行政单位医疗</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9.61</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9.61</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 xml:space="preserve"> 事业单位医疗</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10.97</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10.97</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 xml:space="preserve"> 公务员医疗补助</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1.95</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1.95</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 xml:space="preserve"> 行政运行</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147.08</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147.08</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214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04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Style w:val="13"/>
                <w:rFonts w:hint="default" w:eastAsia="宋体"/>
                <w:lang w:val="en-US" w:eastAsia="zh-CN"/>
              </w:rPr>
            </w:pPr>
            <w:r>
              <w:rPr>
                <w:rStyle w:val="13"/>
                <w:rFonts w:hint="eastAsia" w:eastAsia="宋体"/>
                <w:lang w:val="en-US" w:eastAsia="zh-CN"/>
              </w:rPr>
              <w:t>公路建设</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309.20</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309.20</w:t>
            </w: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 xml:space="preserve"> 其他公路水路运输支出</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151.50</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151.50</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9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Style w:val="13"/>
                <w:rFonts w:hint="default"/>
              </w:rPr>
              <w:t xml:space="preserve"> 住房公积金</w:t>
            </w:r>
          </w:p>
        </w:tc>
        <w:tc>
          <w:tcPr>
            <w:tcW w:w="10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35.29</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35.29</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bl>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tbl>
      <w:tblPr>
        <w:tblStyle w:val="4"/>
        <w:tblW w:w="9915" w:type="dxa"/>
        <w:tblInd w:w="91" w:type="dxa"/>
        <w:tblLayout w:type="autofit"/>
        <w:tblCellMar>
          <w:top w:w="0" w:type="dxa"/>
          <w:left w:w="108" w:type="dxa"/>
          <w:bottom w:w="0" w:type="dxa"/>
          <w:right w:w="108" w:type="dxa"/>
        </w:tblCellMar>
      </w:tblPr>
      <w:tblGrid>
        <w:gridCol w:w="738"/>
        <w:gridCol w:w="738"/>
        <w:gridCol w:w="1125"/>
        <w:gridCol w:w="3068"/>
        <w:gridCol w:w="1335"/>
        <w:gridCol w:w="1155"/>
        <w:gridCol w:w="1756"/>
      </w:tblGrid>
      <w:tr>
        <w:tblPrEx>
          <w:tblCellMar>
            <w:top w:w="0" w:type="dxa"/>
            <w:left w:w="108" w:type="dxa"/>
            <w:bottom w:w="0" w:type="dxa"/>
            <w:right w:w="108" w:type="dxa"/>
          </w:tblCellMar>
        </w:tblPrEx>
        <w:trPr>
          <w:trHeight w:val="283" w:hRule="exact"/>
        </w:trPr>
        <w:tc>
          <w:tcPr>
            <w:tcW w:w="1476"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color w:val="000000"/>
                <w:sz w:val="15"/>
                <w:szCs w:val="15"/>
              </w:rPr>
            </w:pPr>
          </w:p>
        </w:tc>
        <w:tc>
          <w:tcPr>
            <w:tcW w:w="114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color w:val="000000"/>
                <w:sz w:val="15"/>
                <w:szCs w:val="15"/>
              </w:rPr>
            </w:pPr>
          </w:p>
        </w:tc>
        <w:tc>
          <w:tcPr>
            <w:tcW w:w="36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color w:val="000000"/>
                <w:sz w:val="15"/>
                <w:szCs w:val="15"/>
              </w:rPr>
            </w:pPr>
          </w:p>
        </w:tc>
        <w:tc>
          <w:tcPr>
            <w:tcW w:w="133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color w:val="000000"/>
                <w:sz w:val="15"/>
                <w:szCs w:val="15"/>
              </w:rPr>
            </w:pPr>
          </w:p>
        </w:tc>
        <w:tc>
          <w:tcPr>
            <w:tcW w:w="115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color w:val="000000"/>
                <w:sz w:val="15"/>
                <w:szCs w:val="15"/>
              </w:rPr>
            </w:pPr>
          </w:p>
        </w:tc>
        <w:tc>
          <w:tcPr>
            <w:tcW w:w="1125"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hint="eastAsia" w:ascii="宋体" w:hAnsi="宋体" w:eastAsia="宋体" w:cs="宋体"/>
                <w:color w:val="000000"/>
                <w:sz w:val="15"/>
                <w:szCs w:val="15"/>
              </w:rPr>
            </w:pPr>
            <w:r>
              <w:rPr>
                <w:rFonts w:hint="eastAsia" w:ascii="宋体" w:hAnsi="宋体" w:eastAsia="宋体" w:cs="宋体"/>
                <w:color w:val="000000"/>
                <w:kern w:val="0"/>
                <w:sz w:val="15"/>
                <w:szCs w:val="15"/>
              </w:rPr>
              <w:t>表7</w:t>
            </w:r>
          </w:p>
        </w:tc>
      </w:tr>
      <w:tr>
        <w:tblPrEx>
          <w:tblCellMar>
            <w:top w:w="0" w:type="dxa"/>
            <w:left w:w="108" w:type="dxa"/>
            <w:bottom w:w="0" w:type="dxa"/>
            <w:right w:w="108" w:type="dxa"/>
          </w:tblCellMar>
        </w:tblPrEx>
        <w:trPr>
          <w:trHeight w:val="621" w:hRule="exac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一般公共预算基本支出预算表</w:t>
            </w:r>
          </w:p>
        </w:tc>
      </w:tr>
      <w:tr>
        <w:tblPrEx>
          <w:tblCellMar>
            <w:top w:w="0" w:type="dxa"/>
            <w:left w:w="108" w:type="dxa"/>
            <w:bottom w:w="0" w:type="dxa"/>
            <w:right w:w="108" w:type="dxa"/>
          </w:tblCellMar>
        </w:tblPrEx>
        <w:trPr>
          <w:trHeight w:val="283" w:hRule="exac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hint="eastAsia" w:ascii="宋体" w:hAnsi="宋体" w:eastAsia="宋体" w:cs="宋体"/>
                <w:color w:val="000000"/>
                <w:sz w:val="15"/>
                <w:szCs w:val="15"/>
              </w:rPr>
            </w:pPr>
            <w:r>
              <w:rPr>
                <w:rFonts w:hint="eastAsia" w:ascii="宋体" w:hAnsi="宋体" w:eastAsia="宋体" w:cs="宋体"/>
                <w:color w:val="000000"/>
                <w:kern w:val="0"/>
                <w:sz w:val="15"/>
                <w:szCs w:val="15"/>
              </w:rPr>
              <w:t>部门：九寨沟县交通运输局</w:t>
            </w:r>
          </w:p>
        </w:tc>
        <w:tc>
          <w:tcPr>
            <w:tcW w:w="0" w:type="auto"/>
            <w:tcBorders>
              <w:top w:val="nil"/>
              <w:left w:val="nil"/>
              <w:bottom w:val="nil"/>
              <w:right w:val="nil"/>
            </w:tcBorders>
            <w:shd w:val="clear" w:color="auto" w:fill="auto"/>
            <w:noWrap/>
            <w:vAlign w:val="center"/>
          </w:tcPr>
          <w:p>
            <w:pPr>
              <w:rPr>
                <w:rFonts w:hint="eastAsia" w:ascii="宋体" w:hAnsi="宋体" w:eastAsia="宋体" w:cs="宋体"/>
                <w:color w:val="000000"/>
                <w:sz w:val="15"/>
                <w:szCs w:val="15"/>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color w:val="000000"/>
                <w:sz w:val="15"/>
                <w:szCs w:val="15"/>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widowControl/>
              <w:jc w:val="right"/>
              <w:textAlignment w:val="center"/>
              <w:rPr>
                <w:rFonts w:hint="eastAsia" w:ascii="宋体" w:hAnsi="宋体" w:eastAsia="宋体" w:cs="宋体"/>
                <w:color w:val="000000"/>
                <w:sz w:val="15"/>
                <w:szCs w:val="15"/>
              </w:rPr>
            </w:pPr>
            <w:r>
              <w:rPr>
                <w:rFonts w:hint="eastAsia" w:ascii="宋体" w:hAnsi="宋体" w:eastAsia="宋体" w:cs="宋体"/>
                <w:color w:val="000000"/>
                <w:kern w:val="0"/>
                <w:sz w:val="15"/>
                <w:szCs w:val="15"/>
              </w:rPr>
              <w:t>金额单位：万元</w:t>
            </w:r>
          </w:p>
        </w:tc>
      </w:tr>
      <w:tr>
        <w:tblPrEx>
          <w:tblCellMar>
            <w:top w:w="0" w:type="dxa"/>
            <w:left w:w="108" w:type="dxa"/>
            <w:bottom w:w="0" w:type="dxa"/>
            <w:right w:w="108" w:type="dxa"/>
          </w:tblCellMar>
        </w:tblPrEx>
        <w:trPr>
          <w:trHeight w:val="283" w:hRule="exac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基本支出</w:t>
            </w:r>
          </w:p>
        </w:tc>
      </w:tr>
      <w:tr>
        <w:tblPrEx>
          <w:tblCellMar>
            <w:top w:w="0" w:type="dxa"/>
            <w:left w:w="108" w:type="dxa"/>
            <w:bottom w:w="0" w:type="dxa"/>
            <w:right w:w="108" w:type="dxa"/>
          </w:tblCellMar>
        </w:tblPrEx>
        <w:trPr>
          <w:trHeight w:val="283" w:hRule="exac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公用经费</w:t>
            </w:r>
          </w:p>
        </w:tc>
      </w:tr>
      <w:tr>
        <w:tblPrEx>
          <w:tblCellMar>
            <w:top w:w="0" w:type="dxa"/>
            <w:left w:w="108" w:type="dxa"/>
            <w:bottom w:w="0" w:type="dxa"/>
            <w:right w:w="108" w:type="dxa"/>
          </w:tblCellMar>
        </w:tblPrEx>
        <w:trPr>
          <w:trHeight w:val="283" w:hRule="exac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widowControl/>
              <w:jc w:val="center"/>
              <w:textAlignment w:val="center"/>
              <w:rPr>
                <w:rFonts w:hint="eastAsia" w:ascii="宋体" w:hAnsi="宋体" w:eastAsia="宋体" w:cs="宋体"/>
                <w:b/>
                <w:bCs/>
                <w:color w:val="000000"/>
                <w:sz w:val="15"/>
                <w:szCs w:val="15"/>
              </w:rPr>
            </w:pPr>
            <w:r>
              <w:rPr>
                <w:rFonts w:hint="eastAsia" w:ascii="宋体" w:hAnsi="宋体" w:eastAsia="宋体" w:cs="宋体"/>
                <w:b/>
                <w:bCs/>
                <w:color w:val="000000"/>
                <w:kern w:val="0"/>
                <w:sz w:val="15"/>
                <w:szCs w:val="15"/>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color w:val="000000"/>
                <w:sz w:val="15"/>
                <w:szCs w:val="15"/>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color w:val="000000"/>
                <w:sz w:val="15"/>
                <w:szCs w:val="15"/>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color w:val="000000"/>
                <w:sz w:val="15"/>
                <w:szCs w:val="15"/>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color w:val="000000"/>
                <w:sz w:val="15"/>
                <w:szCs w:val="15"/>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color w:val="000000"/>
                <w:sz w:val="15"/>
                <w:szCs w:val="15"/>
              </w:rPr>
            </w:pPr>
          </w:p>
        </w:tc>
        <w:tc>
          <w:tcPr>
            <w:tcW w:w="3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b/>
                <w:bCs/>
                <w:i w:val="0"/>
                <w:iCs w:val="0"/>
                <w:color w:val="000000"/>
                <w:kern w:val="0"/>
                <w:sz w:val="15"/>
                <w:szCs w:val="15"/>
                <w:u w:val="none"/>
                <w:lang w:val="en-US" w:eastAsia="zh-CN" w:bidi="ar"/>
              </w:rPr>
              <w:t>合    计</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b/>
                <w:bCs/>
                <w:i w:val="0"/>
                <w:iCs w:val="0"/>
                <w:color w:val="000000"/>
                <w:kern w:val="0"/>
                <w:sz w:val="15"/>
                <w:szCs w:val="15"/>
                <w:u w:val="none"/>
                <w:lang w:val="en-US" w:eastAsia="zh-CN" w:bidi="ar"/>
              </w:rPr>
              <w:t>421.63</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b/>
                <w:bCs/>
                <w:i w:val="0"/>
                <w:iCs w:val="0"/>
                <w:color w:val="000000"/>
                <w:kern w:val="0"/>
                <w:sz w:val="15"/>
                <w:szCs w:val="15"/>
                <w:u w:val="none"/>
                <w:lang w:val="en-US" w:eastAsia="zh-CN" w:bidi="ar"/>
              </w:rPr>
              <w:t>400.74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b/>
                <w:bCs/>
                <w:i w:val="0"/>
                <w:iCs w:val="0"/>
                <w:color w:val="000000"/>
                <w:kern w:val="0"/>
                <w:sz w:val="15"/>
                <w:szCs w:val="15"/>
                <w:u w:val="none"/>
                <w:lang w:val="en-US" w:eastAsia="zh-CN" w:bidi="ar"/>
              </w:rPr>
              <w:t>20.88</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color w:val="000000"/>
                <w:sz w:val="15"/>
                <w:szCs w:val="15"/>
              </w:rPr>
            </w:pP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color w:val="000000"/>
                <w:sz w:val="15"/>
                <w:szCs w:val="15"/>
              </w:rPr>
            </w:pP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421.63</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400.74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20.88</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214001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交通运输局</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205.75</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192.58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13.17</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工资福利支出</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190.66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190.66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基本工资</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44.52</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44.52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津贴补贴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39.99</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39.99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公务员规范津贴补贴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31.20</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31.20</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艰苦边远地区津贴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8.00</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8.00</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3010203</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高海拔地区折算工龄补贴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3010207</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其他国家津补贴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0.63</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0.63</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03</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30103</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奖金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38.26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38.26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03</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3010301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年终一次性奖金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3.71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3.71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03</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3010302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基础绩效奖</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34.55</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34.55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08</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30108</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机关事业单位基本养老保险缴费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19.64</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19.64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30109</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职业年金缴费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10.98</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10.98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10</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30110</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职工基本医疗保险缴费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9.61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9.61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11</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公务员医疗补助缴费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1.95</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其他社会保障缴费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2.46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2.46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工伤保险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0.49</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0.49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失业保险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0.06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0.06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3011206</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残保金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13</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30113</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住房公积金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16.48</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16.48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30199</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其他工资福利支出</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6.76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6.76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3019901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长聘人员经费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4.83</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4.83</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3019911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聘用人员养老保险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0.99</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0.99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3019912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聘用人员医疗保险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0.59</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0.59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3019913</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聘用人员工伤保险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0.02</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0.02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3019914</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聘用人员失业保险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0.04</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0.04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3019915</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聘用人员住房公积金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0.29</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商品和服务支出</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13.17</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13.17</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办公费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0.90</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0.90</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印刷费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0.05</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0.05</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07</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30207</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邮电费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1.84</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1.84</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11</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30211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差旅费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2.75</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2.75</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15</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30215</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会议费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0.11</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16</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30216</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培训费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0.67</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0.67</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17</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30217</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公务接待费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0.26</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28</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30228</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工会经费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1.60</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1.60</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30229</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福利费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2.01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2.01</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31</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30231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公务用车运行维护费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3.00</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3.00</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303</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对个人和家庭的补助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1.92</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05</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30305</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生活补助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1.92</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05</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3030501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遗属生活补助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1.92</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1.92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214002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交通工程质量检验监督站</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215.88</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208.17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7.71</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工资福利支出</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208.17</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208.17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基本工资</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45.76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45.76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津贴补贴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10.49</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10.49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艰苦边远地区津贴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9.50</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9.50</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3010203</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高海拔地区折算工龄补贴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3010207</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其他国家津补贴</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0.83</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0.83</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03</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30103</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奖金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43.89</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43.89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03</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3010301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年终一次性奖金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3.81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3.81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03</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3010302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基础绩效奖</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40.07</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40.07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07</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30107</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绩效工资</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37.74</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37.74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08</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30108</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机关事业单位基本养老保险缴费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22.06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22.06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30109</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职业年金缴费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12.54</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12.54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10</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30110</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职工基本医疗保险缴费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10.97</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10.97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其他社会保障缴费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5.91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5.91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工伤保险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0.55</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0.55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失业保险</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0.61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0.61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3011206</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残保金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2.15</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2.15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3011299</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其他社会保险费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2.60</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2.60</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13</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30113</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住房公积金</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18.81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18.81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color w:val="000000"/>
                <w:sz w:val="15"/>
                <w:szCs w:val="15"/>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商品和服务支出</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7.71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7.71</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01</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30201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 xml:space="preserve">  办公费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1.20</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5"/>
                <w:szCs w:val="15"/>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000000"/>
                <w:sz w:val="15"/>
                <w:szCs w:val="15"/>
              </w:rPr>
            </w:pPr>
            <w:r>
              <w:rPr>
                <w:rFonts w:hint="eastAsia" w:ascii="宋体" w:hAnsi="宋体" w:eastAsia="宋体" w:cs="宋体"/>
                <w:i w:val="0"/>
                <w:iCs w:val="0"/>
                <w:color w:val="000000"/>
                <w:kern w:val="0"/>
                <w:sz w:val="15"/>
                <w:szCs w:val="15"/>
                <w:u w:val="none"/>
                <w:lang w:val="en-US" w:eastAsia="zh-CN" w:bidi="ar"/>
              </w:rPr>
              <w:t>1.20</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02</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30202</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印刷费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0.06</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3"/>
                <w:szCs w:val="13"/>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0.06</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07</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30207</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邮电费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0.02</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3"/>
                <w:szCs w:val="13"/>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0.02</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30211</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差旅费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1.62</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3"/>
                <w:szCs w:val="13"/>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1.62</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16</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30216</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培训费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0.69</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3"/>
                <w:szCs w:val="13"/>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0.69</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17</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30217</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公务接待费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0.15</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3"/>
                <w:szCs w:val="13"/>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0.15</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28</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30228</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工会经费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1.77</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3"/>
                <w:szCs w:val="13"/>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1.77</w:t>
            </w:r>
          </w:p>
        </w:tc>
      </w:tr>
      <w:tr>
        <w:tblPrEx>
          <w:tblCellMar>
            <w:top w:w="0" w:type="dxa"/>
            <w:left w:w="108" w:type="dxa"/>
            <w:bottom w:w="0" w:type="dxa"/>
            <w:right w:w="108" w:type="dxa"/>
          </w:tblCellMar>
        </w:tblPrEx>
        <w:trPr>
          <w:trHeight w:val="227" w:hRule="exac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29</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30229</w:t>
            </w:r>
          </w:p>
        </w:tc>
        <w:tc>
          <w:tcPr>
            <w:tcW w:w="369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福利费</w:t>
            </w:r>
          </w:p>
        </w:tc>
        <w:tc>
          <w:tcPr>
            <w:tcW w:w="13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2.21</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color w:val="000000"/>
                <w:sz w:val="13"/>
                <w:szCs w:val="13"/>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2.21</w:t>
            </w:r>
          </w:p>
        </w:tc>
      </w:tr>
    </w:tbl>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tbl>
      <w:tblPr>
        <w:tblStyle w:val="4"/>
        <w:tblW w:w="12664" w:type="dxa"/>
        <w:tblInd w:w="93" w:type="dxa"/>
        <w:tblLayout w:type="autofit"/>
        <w:tblCellMar>
          <w:top w:w="0" w:type="dxa"/>
          <w:left w:w="108" w:type="dxa"/>
          <w:bottom w:w="0" w:type="dxa"/>
          <w:right w:w="108" w:type="dxa"/>
        </w:tblCellMar>
      </w:tblPr>
      <w:tblGrid>
        <w:gridCol w:w="770"/>
        <w:gridCol w:w="106"/>
        <w:gridCol w:w="636"/>
        <w:gridCol w:w="738"/>
        <w:gridCol w:w="1566"/>
        <w:gridCol w:w="32"/>
        <w:gridCol w:w="793"/>
        <w:gridCol w:w="1350"/>
        <w:gridCol w:w="1455"/>
        <w:gridCol w:w="1316"/>
        <w:gridCol w:w="439"/>
        <w:gridCol w:w="1530"/>
        <w:gridCol w:w="439"/>
        <w:gridCol w:w="1530"/>
      </w:tblGrid>
      <w:tr>
        <w:tblPrEx>
          <w:tblCellMar>
            <w:top w:w="0" w:type="dxa"/>
            <w:left w:w="108" w:type="dxa"/>
            <w:bottom w:w="0" w:type="dxa"/>
            <w:right w:w="108" w:type="dxa"/>
          </w:tblCellMar>
        </w:tblPrEx>
        <w:trPr>
          <w:gridAfter w:val="2"/>
          <w:wAfter w:w="1969" w:type="dxa"/>
          <w:trHeight w:val="286" w:hRule="atLeast"/>
        </w:trPr>
        <w:tc>
          <w:tcPr>
            <w:tcW w:w="2214"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1598"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914"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表8</w:t>
            </w:r>
          </w:p>
        </w:tc>
      </w:tr>
      <w:tr>
        <w:tblPrEx>
          <w:tblCellMar>
            <w:top w:w="0" w:type="dxa"/>
            <w:left w:w="108" w:type="dxa"/>
            <w:bottom w:w="0" w:type="dxa"/>
            <w:right w:w="108" w:type="dxa"/>
          </w:tblCellMar>
        </w:tblPrEx>
        <w:trPr>
          <w:gridAfter w:val="2"/>
          <w:wAfter w:w="1969" w:type="dxa"/>
          <w:trHeight w:val="398" w:hRule="atLeast"/>
        </w:trPr>
        <w:tc>
          <w:tcPr>
            <w:tcW w:w="10695"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一般公共预算项目支出预算表</w:t>
            </w:r>
          </w:p>
        </w:tc>
      </w:tr>
      <w:tr>
        <w:tblPrEx>
          <w:tblCellMar>
            <w:top w:w="0" w:type="dxa"/>
            <w:left w:w="108" w:type="dxa"/>
            <w:bottom w:w="0" w:type="dxa"/>
            <w:right w:w="108" w:type="dxa"/>
          </w:tblCellMar>
        </w:tblPrEx>
        <w:trPr>
          <w:gridAfter w:val="2"/>
          <w:wAfter w:w="1969" w:type="dxa"/>
          <w:trHeight w:val="341" w:hRule="atLeast"/>
        </w:trPr>
        <w:tc>
          <w:tcPr>
            <w:tcW w:w="8726" w:type="dxa"/>
            <w:gridSpan w:val="10"/>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1969" w:type="dxa"/>
            <w:gridSpan w:val="2"/>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gridAfter w:val="2"/>
          <w:wAfter w:w="1969" w:type="dxa"/>
          <w:trHeight w:val="427" w:hRule="atLeast"/>
        </w:trPr>
        <w:tc>
          <w:tcPr>
            <w:tcW w:w="2214" w:type="dxa"/>
            <w:gridSpan w:val="4"/>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科目编码</w:t>
            </w:r>
          </w:p>
        </w:tc>
        <w:tc>
          <w:tcPr>
            <w:tcW w:w="1598"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单位代码</w:t>
            </w:r>
          </w:p>
        </w:tc>
        <w:tc>
          <w:tcPr>
            <w:tcW w:w="4914" w:type="dxa"/>
            <w:gridSpan w:val="4"/>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单位名称（科目）</w:t>
            </w:r>
          </w:p>
        </w:tc>
        <w:tc>
          <w:tcPr>
            <w:tcW w:w="1969"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金额</w:t>
            </w:r>
          </w:p>
        </w:tc>
      </w:tr>
      <w:tr>
        <w:tblPrEx>
          <w:tblCellMar>
            <w:top w:w="0" w:type="dxa"/>
            <w:left w:w="108" w:type="dxa"/>
            <w:bottom w:w="0" w:type="dxa"/>
            <w:right w:w="108" w:type="dxa"/>
          </w:tblCellMar>
        </w:tblPrEx>
        <w:trPr>
          <w:gridAfter w:val="2"/>
          <w:wAfter w:w="1969" w:type="dxa"/>
          <w:trHeight w:val="427" w:hRule="atLeast"/>
        </w:trPr>
        <w:tc>
          <w:tcPr>
            <w:tcW w:w="73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类</w:t>
            </w:r>
          </w:p>
        </w:tc>
        <w:tc>
          <w:tcPr>
            <w:tcW w:w="738"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款</w:t>
            </w:r>
          </w:p>
        </w:tc>
        <w:tc>
          <w:tcPr>
            <w:tcW w:w="73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w:t>
            </w:r>
          </w:p>
        </w:tc>
        <w:tc>
          <w:tcPr>
            <w:tcW w:w="1598"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4914" w:type="dxa"/>
            <w:gridSpan w:val="4"/>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196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gridAfter w:val="2"/>
          <w:wAfter w:w="1969" w:type="dxa"/>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ascii="宋体" w:hAnsi="宋体" w:eastAsia="宋体" w:cs="宋体"/>
                <w:b/>
                <w:bCs/>
                <w:color w:val="000000"/>
                <w:sz w:val="22"/>
              </w:rPr>
            </w:pPr>
          </w:p>
        </w:tc>
        <w:tc>
          <w:tcPr>
            <w:tcW w:w="73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ascii="宋体" w:hAnsi="宋体" w:eastAsia="宋体" w:cs="宋体"/>
                <w:b/>
                <w:bCs/>
                <w:color w:val="000000"/>
                <w:sz w:val="22"/>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ascii="宋体" w:hAnsi="宋体" w:eastAsia="宋体" w:cs="宋体"/>
                <w:b/>
                <w:bCs/>
                <w:color w:val="000000"/>
                <w:sz w:val="22"/>
              </w:rPr>
            </w:pPr>
          </w:p>
        </w:tc>
        <w:tc>
          <w:tcPr>
            <w:tcW w:w="159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ascii="宋体" w:hAnsi="宋体" w:eastAsia="宋体" w:cs="宋体"/>
                <w:b/>
                <w:bCs/>
                <w:color w:val="000000"/>
                <w:sz w:val="22"/>
              </w:rPr>
            </w:pPr>
          </w:p>
        </w:tc>
        <w:tc>
          <w:tcPr>
            <w:tcW w:w="4914" w:type="dxa"/>
            <w:gridSpan w:val="4"/>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ascii="宋体" w:hAnsi="宋体" w:eastAsia="宋体" w:cs="宋体"/>
                <w:b/>
                <w:bCs/>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i w:val="0"/>
                <w:iCs w:val="0"/>
                <w:color w:val="000000"/>
                <w:kern w:val="0"/>
                <w:sz w:val="22"/>
                <w:szCs w:val="22"/>
                <w:u w:val="none"/>
                <w:lang w:val="en-US" w:eastAsia="zh-CN" w:bidi="ar"/>
              </w:rPr>
              <w:t>309.20</w:t>
            </w:r>
          </w:p>
        </w:tc>
      </w:tr>
      <w:tr>
        <w:tblPrEx>
          <w:tblCellMar>
            <w:top w:w="0" w:type="dxa"/>
            <w:left w:w="108" w:type="dxa"/>
            <w:bottom w:w="0" w:type="dxa"/>
            <w:right w:w="108" w:type="dxa"/>
          </w:tblCellMar>
        </w:tblPrEx>
        <w:trPr>
          <w:gridAfter w:val="2"/>
          <w:wAfter w:w="1969" w:type="dxa"/>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159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4914"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iCs w:val="0"/>
                <w:color w:val="000000"/>
                <w:kern w:val="0"/>
                <w:sz w:val="22"/>
                <w:szCs w:val="22"/>
                <w:u w:val="none"/>
                <w:lang w:val="en-US" w:eastAsia="zh-CN" w:bidi="ar"/>
              </w:rPr>
              <w:t>交通运输局</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309.20</w:t>
            </w:r>
          </w:p>
        </w:tc>
      </w:tr>
      <w:tr>
        <w:tblPrEx>
          <w:tblCellMar>
            <w:top w:w="0" w:type="dxa"/>
            <w:left w:w="108" w:type="dxa"/>
            <w:bottom w:w="0" w:type="dxa"/>
            <w:right w:w="108" w:type="dxa"/>
          </w:tblCellMar>
        </w:tblPrEx>
        <w:trPr>
          <w:gridAfter w:val="2"/>
          <w:wAfter w:w="1969" w:type="dxa"/>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159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4914"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iCs w:val="0"/>
                <w:color w:val="000000"/>
                <w:kern w:val="0"/>
                <w:sz w:val="22"/>
                <w:szCs w:val="22"/>
                <w:u w:val="none"/>
                <w:lang w:val="en-US" w:eastAsia="zh-CN" w:bidi="ar"/>
              </w:rPr>
              <w:t xml:space="preserve"> 公路建设</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309.20</w:t>
            </w:r>
          </w:p>
        </w:tc>
      </w:tr>
      <w:tr>
        <w:tblPrEx>
          <w:tblCellMar>
            <w:top w:w="0" w:type="dxa"/>
            <w:left w:w="108" w:type="dxa"/>
            <w:bottom w:w="0" w:type="dxa"/>
            <w:right w:w="108" w:type="dxa"/>
          </w:tblCellMar>
        </w:tblPrEx>
        <w:trPr>
          <w:gridAfter w:val="2"/>
          <w:wAfter w:w="1969" w:type="dxa"/>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214</w:t>
            </w:r>
          </w:p>
        </w:tc>
        <w:tc>
          <w:tcPr>
            <w:tcW w:w="73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w:t>
            </w: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w:t>
            </w:r>
          </w:p>
        </w:tc>
        <w:tc>
          <w:tcPr>
            <w:tcW w:w="159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214001</w:t>
            </w:r>
          </w:p>
        </w:tc>
        <w:tc>
          <w:tcPr>
            <w:tcW w:w="4914"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iCs w:val="0"/>
                <w:color w:val="000000"/>
                <w:kern w:val="0"/>
                <w:sz w:val="22"/>
                <w:szCs w:val="22"/>
                <w:u w:val="none"/>
                <w:lang w:val="en-US" w:eastAsia="zh-CN" w:bidi="ar"/>
              </w:rPr>
              <w:t xml:space="preserve">  第一批交通专项资金</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309.20</w:t>
            </w:r>
          </w:p>
        </w:tc>
      </w:tr>
      <w:tr>
        <w:tblPrEx>
          <w:tblCellMar>
            <w:top w:w="0" w:type="dxa"/>
            <w:left w:w="108" w:type="dxa"/>
            <w:bottom w:w="0" w:type="dxa"/>
            <w:right w:w="108" w:type="dxa"/>
          </w:tblCellMar>
        </w:tblPrEx>
        <w:trPr>
          <w:gridAfter w:val="2"/>
          <w:wAfter w:w="1969" w:type="dxa"/>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159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4914"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p>
        </w:tc>
      </w:tr>
      <w:tr>
        <w:tblPrEx>
          <w:tblCellMar>
            <w:top w:w="0" w:type="dxa"/>
            <w:left w:w="108" w:type="dxa"/>
            <w:bottom w:w="0" w:type="dxa"/>
            <w:right w:w="108" w:type="dxa"/>
          </w:tblCellMar>
        </w:tblPrEx>
        <w:trPr>
          <w:gridAfter w:val="2"/>
          <w:wAfter w:w="1969" w:type="dxa"/>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159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4914"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宋体" w:hAnsi="宋体" w:eastAsia="宋体" w:cs="宋体"/>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p>
        </w:tc>
      </w:tr>
      <w:tr>
        <w:tblPrEx>
          <w:tblCellMar>
            <w:top w:w="0" w:type="dxa"/>
            <w:left w:w="108" w:type="dxa"/>
            <w:bottom w:w="0" w:type="dxa"/>
            <w:right w:w="108" w:type="dxa"/>
          </w:tblCellMar>
        </w:tblPrEx>
        <w:trPr>
          <w:gridAfter w:val="2"/>
          <w:wAfter w:w="1969" w:type="dxa"/>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159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4914"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宋体" w:hAnsi="宋体" w:eastAsia="宋体" w:cs="宋体"/>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p>
        </w:tc>
      </w:tr>
      <w:tr>
        <w:tblPrEx>
          <w:tblCellMar>
            <w:top w:w="0" w:type="dxa"/>
            <w:left w:w="108" w:type="dxa"/>
            <w:bottom w:w="0" w:type="dxa"/>
            <w:right w:w="108" w:type="dxa"/>
          </w:tblCellMar>
        </w:tblPrEx>
        <w:trPr>
          <w:gridAfter w:val="2"/>
          <w:wAfter w:w="1969" w:type="dxa"/>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p>
        </w:tc>
        <w:tc>
          <w:tcPr>
            <w:tcW w:w="73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p>
        </w:tc>
        <w:tc>
          <w:tcPr>
            <w:tcW w:w="159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p>
        </w:tc>
        <w:tc>
          <w:tcPr>
            <w:tcW w:w="4914"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宋体" w:hAnsi="宋体" w:eastAsia="宋体" w:cs="宋体"/>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p>
        </w:tc>
      </w:tr>
      <w:tr>
        <w:tblPrEx>
          <w:tblCellMar>
            <w:top w:w="0" w:type="dxa"/>
            <w:left w:w="108" w:type="dxa"/>
            <w:bottom w:w="0" w:type="dxa"/>
            <w:right w:w="108" w:type="dxa"/>
          </w:tblCellMar>
        </w:tblPrEx>
        <w:trPr>
          <w:trHeight w:val="286" w:hRule="atLeast"/>
        </w:trPr>
        <w:tc>
          <w:tcPr>
            <w:tcW w:w="84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294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2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5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4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5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tc>
        <w:tc>
          <w:tcPr>
            <w:tcW w:w="1530"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表9</w:t>
            </w:r>
          </w:p>
        </w:tc>
      </w:tr>
      <w:tr>
        <w:tblPrEx>
          <w:tblCellMar>
            <w:top w:w="0" w:type="dxa"/>
            <w:left w:w="108" w:type="dxa"/>
            <w:bottom w:w="0" w:type="dxa"/>
            <w:right w:w="108" w:type="dxa"/>
          </w:tblCellMar>
        </w:tblPrEx>
        <w:trPr>
          <w:trHeight w:val="398" w:hRule="atLeast"/>
        </w:trPr>
        <w:tc>
          <w:tcPr>
            <w:tcW w:w="12664" w:type="dxa"/>
            <w:gridSpan w:val="14"/>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一般公共预算“三公”经费支出预算表</w:t>
            </w:r>
          </w:p>
        </w:tc>
      </w:tr>
      <w:tr>
        <w:tblPrEx>
          <w:tblCellMar>
            <w:top w:w="0" w:type="dxa"/>
            <w:left w:w="108" w:type="dxa"/>
            <w:bottom w:w="0" w:type="dxa"/>
            <w:right w:w="108" w:type="dxa"/>
          </w:tblCellMar>
        </w:tblPrEx>
        <w:trPr>
          <w:trHeight w:val="341" w:hRule="atLeast"/>
        </w:trPr>
        <w:tc>
          <w:tcPr>
            <w:tcW w:w="3780" w:type="dxa"/>
            <w:gridSpan w:val="5"/>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825" w:type="dxa"/>
            <w:gridSpan w:val="2"/>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1350"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1455"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1755" w:type="dxa"/>
            <w:gridSpan w:val="2"/>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1969" w:type="dxa"/>
            <w:gridSpan w:val="2"/>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1530" w:type="dxa"/>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trHeight w:val="427" w:hRule="atLeast"/>
        </w:trPr>
        <w:tc>
          <w:tcPr>
            <w:tcW w:w="840"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单位编码</w:t>
            </w:r>
          </w:p>
        </w:tc>
        <w:tc>
          <w:tcPr>
            <w:tcW w:w="2940"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单位名称（科目）</w:t>
            </w:r>
          </w:p>
        </w:tc>
        <w:tc>
          <w:tcPr>
            <w:tcW w:w="8884" w:type="dxa"/>
            <w:gridSpan w:val="9"/>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当年财政拨款预算安排</w:t>
            </w:r>
          </w:p>
        </w:tc>
      </w:tr>
      <w:tr>
        <w:tblPrEx>
          <w:tblCellMar>
            <w:top w:w="0" w:type="dxa"/>
            <w:left w:w="108" w:type="dxa"/>
            <w:bottom w:w="0" w:type="dxa"/>
            <w:right w:w="108" w:type="dxa"/>
          </w:tblCellMar>
        </w:tblPrEx>
        <w:trPr>
          <w:trHeight w:val="427" w:hRule="atLeast"/>
        </w:trPr>
        <w:tc>
          <w:tcPr>
            <w:tcW w:w="84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2940"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825"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合计</w:t>
            </w:r>
          </w:p>
        </w:tc>
        <w:tc>
          <w:tcPr>
            <w:tcW w:w="13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因公出国（境）费用</w:t>
            </w:r>
          </w:p>
        </w:tc>
        <w:tc>
          <w:tcPr>
            <w:tcW w:w="5179"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公务用车购置及运行费</w:t>
            </w:r>
          </w:p>
        </w:tc>
        <w:tc>
          <w:tcPr>
            <w:tcW w:w="153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公务接待费</w:t>
            </w:r>
          </w:p>
        </w:tc>
      </w:tr>
      <w:tr>
        <w:tblPrEx>
          <w:tblCellMar>
            <w:top w:w="0" w:type="dxa"/>
            <w:left w:w="108" w:type="dxa"/>
            <w:bottom w:w="0" w:type="dxa"/>
            <w:right w:w="108" w:type="dxa"/>
          </w:tblCellMar>
        </w:tblPrEx>
        <w:trPr>
          <w:trHeight w:val="427" w:hRule="atLeast"/>
        </w:trPr>
        <w:tc>
          <w:tcPr>
            <w:tcW w:w="84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2940"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825"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13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145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小计</w:t>
            </w:r>
          </w:p>
        </w:tc>
        <w:tc>
          <w:tcPr>
            <w:tcW w:w="1755"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公务用车购置费</w:t>
            </w:r>
          </w:p>
        </w:tc>
        <w:tc>
          <w:tcPr>
            <w:tcW w:w="1969"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公务用车运行费</w:t>
            </w:r>
          </w:p>
        </w:tc>
        <w:tc>
          <w:tcPr>
            <w:tcW w:w="15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84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2940"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合    计</w:t>
            </w:r>
          </w:p>
        </w:tc>
        <w:tc>
          <w:tcPr>
            <w:tcW w:w="82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3.41</w:t>
            </w:r>
          </w:p>
        </w:tc>
        <w:tc>
          <w:tcPr>
            <w:tcW w:w="13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14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3.00</w:t>
            </w:r>
          </w:p>
        </w:tc>
        <w:tc>
          <w:tcPr>
            <w:tcW w:w="175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3.00</w:t>
            </w:r>
          </w:p>
        </w:tc>
        <w:tc>
          <w:tcPr>
            <w:tcW w:w="15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0.41</w:t>
            </w:r>
          </w:p>
        </w:tc>
      </w:tr>
      <w:tr>
        <w:tblPrEx>
          <w:tblCellMar>
            <w:top w:w="0" w:type="dxa"/>
            <w:left w:w="108" w:type="dxa"/>
            <w:bottom w:w="0" w:type="dxa"/>
            <w:right w:w="108" w:type="dxa"/>
          </w:tblCellMar>
        </w:tblPrEx>
        <w:trPr>
          <w:trHeight w:val="398" w:hRule="atLeast"/>
        </w:trPr>
        <w:tc>
          <w:tcPr>
            <w:tcW w:w="84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294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82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3.41</w:t>
            </w:r>
          </w:p>
        </w:tc>
        <w:tc>
          <w:tcPr>
            <w:tcW w:w="13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14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3.00</w:t>
            </w:r>
          </w:p>
        </w:tc>
        <w:tc>
          <w:tcPr>
            <w:tcW w:w="175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0.41</w:t>
            </w:r>
          </w:p>
        </w:tc>
      </w:tr>
      <w:tr>
        <w:tblPrEx>
          <w:tblCellMar>
            <w:top w:w="0" w:type="dxa"/>
            <w:left w:w="108" w:type="dxa"/>
            <w:bottom w:w="0" w:type="dxa"/>
            <w:right w:w="108" w:type="dxa"/>
          </w:tblCellMar>
        </w:tblPrEx>
        <w:trPr>
          <w:trHeight w:val="398" w:hRule="atLeast"/>
        </w:trPr>
        <w:tc>
          <w:tcPr>
            <w:tcW w:w="84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214001</w:t>
            </w:r>
          </w:p>
        </w:tc>
        <w:tc>
          <w:tcPr>
            <w:tcW w:w="294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iCs w:val="0"/>
                <w:color w:val="000000"/>
                <w:kern w:val="0"/>
                <w:sz w:val="22"/>
                <w:szCs w:val="22"/>
                <w:u w:val="none"/>
                <w:lang w:val="en-US" w:eastAsia="zh-CN" w:bidi="ar"/>
              </w:rPr>
              <w:t xml:space="preserve"> 交通运输局</w:t>
            </w:r>
          </w:p>
        </w:tc>
        <w:tc>
          <w:tcPr>
            <w:tcW w:w="82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3.26</w:t>
            </w:r>
          </w:p>
        </w:tc>
        <w:tc>
          <w:tcPr>
            <w:tcW w:w="13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14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3.00</w:t>
            </w:r>
          </w:p>
        </w:tc>
        <w:tc>
          <w:tcPr>
            <w:tcW w:w="175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0.26</w:t>
            </w:r>
          </w:p>
        </w:tc>
      </w:tr>
      <w:tr>
        <w:tblPrEx>
          <w:tblCellMar>
            <w:top w:w="0" w:type="dxa"/>
            <w:left w:w="108" w:type="dxa"/>
            <w:bottom w:w="0" w:type="dxa"/>
            <w:right w:w="108" w:type="dxa"/>
          </w:tblCellMar>
        </w:tblPrEx>
        <w:trPr>
          <w:trHeight w:val="398" w:hRule="atLeast"/>
        </w:trPr>
        <w:tc>
          <w:tcPr>
            <w:tcW w:w="84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214002</w:t>
            </w:r>
          </w:p>
        </w:tc>
        <w:tc>
          <w:tcPr>
            <w:tcW w:w="294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iCs w:val="0"/>
                <w:color w:val="000000"/>
                <w:kern w:val="0"/>
                <w:sz w:val="22"/>
                <w:szCs w:val="22"/>
                <w:u w:val="none"/>
                <w:lang w:val="en-US" w:eastAsia="zh-CN" w:bidi="ar"/>
              </w:rPr>
              <w:t xml:space="preserve"> 交通工程质量检验监督站</w:t>
            </w:r>
          </w:p>
        </w:tc>
        <w:tc>
          <w:tcPr>
            <w:tcW w:w="82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0.15</w:t>
            </w:r>
          </w:p>
        </w:tc>
        <w:tc>
          <w:tcPr>
            <w:tcW w:w="13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14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175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1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0.15</w:t>
            </w:r>
          </w:p>
        </w:tc>
      </w:tr>
    </w:tbl>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tbl>
      <w:tblPr>
        <w:tblStyle w:val="4"/>
        <w:tblW w:w="12390" w:type="dxa"/>
        <w:tblInd w:w="93" w:type="dxa"/>
        <w:tblLayout w:type="autofit"/>
        <w:tblCellMar>
          <w:top w:w="0" w:type="dxa"/>
          <w:left w:w="108" w:type="dxa"/>
          <w:bottom w:w="0" w:type="dxa"/>
          <w:right w:w="108" w:type="dxa"/>
        </w:tblCellMar>
      </w:tblPr>
      <w:tblGrid>
        <w:gridCol w:w="738"/>
        <w:gridCol w:w="738"/>
        <w:gridCol w:w="738"/>
        <w:gridCol w:w="1199"/>
        <w:gridCol w:w="3073"/>
        <w:gridCol w:w="1967"/>
        <w:gridCol w:w="1968"/>
        <w:gridCol w:w="1969"/>
      </w:tblGrid>
      <w:tr>
        <w:tblPrEx>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120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7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表10</w:t>
            </w:r>
          </w:p>
        </w:tc>
      </w:tr>
      <w:tr>
        <w:tblPrEx>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政府性基金支出预算表</w:t>
            </w:r>
          </w:p>
        </w:tc>
      </w:tr>
      <w:tr>
        <w:tblPrEx>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本年政府性基金预算支出</w:t>
            </w:r>
          </w:p>
        </w:tc>
      </w:tr>
      <w:tr>
        <w:tblPrEx>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项目支出</w:t>
            </w:r>
          </w:p>
        </w:tc>
      </w:tr>
      <w:tr>
        <w:tblPrEx>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30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30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30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bl>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tbl>
      <w:tblPr>
        <w:tblStyle w:val="4"/>
        <w:tblW w:w="11685" w:type="dxa"/>
        <w:tblInd w:w="93" w:type="dxa"/>
        <w:tblLayout w:type="autofit"/>
        <w:tblCellMar>
          <w:top w:w="0" w:type="dxa"/>
          <w:left w:w="108" w:type="dxa"/>
          <w:bottom w:w="0" w:type="dxa"/>
          <w:right w:w="108" w:type="dxa"/>
        </w:tblCellMar>
      </w:tblPr>
      <w:tblGrid>
        <w:gridCol w:w="1185"/>
        <w:gridCol w:w="1983"/>
        <w:gridCol w:w="853"/>
        <w:gridCol w:w="1089"/>
        <w:gridCol w:w="979"/>
        <w:gridCol w:w="1920"/>
        <w:gridCol w:w="1920"/>
        <w:gridCol w:w="1756"/>
      </w:tblGrid>
      <w:tr>
        <w:tblPrEx>
          <w:tblCellMar>
            <w:top w:w="0" w:type="dxa"/>
            <w:left w:w="108" w:type="dxa"/>
            <w:bottom w:w="0" w:type="dxa"/>
            <w:right w:w="108" w:type="dxa"/>
          </w:tblCellMar>
        </w:tblPrEx>
        <w:trPr>
          <w:trHeight w:val="286" w:hRule="atLeast"/>
        </w:trPr>
        <w:tc>
          <w:tcPr>
            <w:tcW w:w="118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19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1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440"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表11</w:t>
            </w:r>
          </w:p>
        </w:tc>
      </w:tr>
      <w:tr>
        <w:tblPrEx>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政府性基金预算“三公”经费支出预算表</w:t>
            </w:r>
          </w:p>
        </w:tc>
      </w:tr>
      <w:tr>
        <w:tblPrEx>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ascii="宋体" w:hAnsi="宋体" w:eastAsia="宋体" w:cs="宋体"/>
                <w:color w:val="000000"/>
                <w:sz w:val="22"/>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当年财政拨款预算安排</w:t>
            </w:r>
          </w:p>
        </w:tc>
      </w:tr>
      <w:tr>
        <w:tblPrEx>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合计</w:t>
            </w:r>
          </w:p>
        </w:tc>
        <w:tc>
          <w:tcPr>
            <w:tcW w:w="11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公务接待费</w:t>
            </w:r>
          </w:p>
        </w:tc>
      </w:tr>
      <w:tr>
        <w:tblPrEx>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11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19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19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bl>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tbl>
      <w:tblPr>
        <w:tblStyle w:val="4"/>
        <w:tblW w:w="8985" w:type="dxa"/>
        <w:tblInd w:w="93" w:type="dxa"/>
        <w:tblLayout w:type="autofit"/>
        <w:tblCellMar>
          <w:top w:w="0" w:type="dxa"/>
          <w:left w:w="108" w:type="dxa"/>
          <w:bottom w:w="0" w:type="dxa"/>
          <w:right w:w="108" w:type="dxa"/>
        </w:tblCellMar>
      </w:tblPr>
      <w:tblGrid>
        <w:gridCol w:w="738"/>
        <w:gridCol w:w="738"/>
        <w:gridCol w:w="738"/>
        <w:gridCol w:w="1125"/>
        <w:gridCol w:w="2160"/>
        <w:gridCol w:w="855"/>
        <w:gridCol w:w="1365"/>
        <w:gridCol w:w="1756"/>
      </w:tblGrid>
      <w:tr>
        <w:tblPrEx>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11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216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85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13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ascii="宋体" w:hAnsi="宋体" w:eastAsia="宋体" w:cs="宋体"/>
                <w:color w:val="000000"/>
                <w:sz w:val="22"/>
              </w:rPr>
            </w:pPr>
          </w:p>
        </w:tc>
        <w:tc>
          <w:tcPr>
            <w:tcW w:w="1275"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表12</w:t>
            </w:r>
          </w:p>
        </w:tc>
      </w:tr>
      <w:tr>
        <w:tblPrEx>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国有资本经营预算支出预算表</w:t>
            </w:r>
          </w:p>
        </w:tc>
      </w:tr>
      <w:tr>
        <w:tblPrEx>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部门：九寨沟县交通运输局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ascii="宋体" w:hAnsi="宋体" w:eastAsia="宋体" w:cs="宋体"/>
                <w:color w:val="000000"/>
                <w:sz w:val="18"/>
                <w:szCs w:val="18"/>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本年国有资本经营预算支出</w:t>
            </w:r>
          </w:p>
        </w:tc>
      </w:tr>
      <w:tr>
        <w:tblPrEx>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项目支出</w:t>
            </w:r>
          </w:p>
        </w:tc>
      </w:tr>
      <w:tr>
        <w:tblPrEx>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b/>
                <w:bCs/>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21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21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ascii="宋体" w:hAnsi="宋体" w:eastAsia="宋体" w:cs="宋体"/>
                <w:color w:val="000000"/>
                <w:sz w:val="22"/>
              </w:rPr>
            </w:pPr>
          </w:p>
        </w:tc>
        <w:tc>
          <w:tcPr>
            <w:tcW w:w="21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ascii="宋体" w:hAnsi="宋体" w:eastAsia="宋体" w:cs="宋体"/>
                <w:color w:val="000000"/>
                <w:sz w:val="22"/>
              </w:rPr>
            </w:pPr>
          </w:p>
        </w:tc>
      </w:tr>
    </w:tbl>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hint="default" w:ascii="仿宋" w:hAnsi="仿宋" w:eastAsia="仿宋" w:cs="仿宋"/>
          <w:sz w:val="13"/>
          <w:szCs w:val="13"/>
          <w:lang w:val="en-US" w:eastAsia="zh-CN"/>
        </w:rPr>
      </w:pPr>
      <w:r>
        <w:rPr>
          <w:rFonts w:hint="eastAsia" w:ascii="仿宋" w:hAnsi="仿宋" w:eastAsia="仿宋" w:cs="仿宋"/>
          <w:sz w:val="13"/>
          <w:szCs w:val="13"/>
          <w:lang w:val="en-US" w:eastAsia="zh-CN"/>
        </w:rPr>
        <w:t xml:space="preserve">                                                                                                                                                                                                                      表13</w:t>
      </w:r>
    </w:p>
    <w:p>
      <w:pPr>
        <w:rPr>
          <w:rFonts w:ascii="仿宋" w:hAnsi="仿宋" w:eastAsia="仿宋" w:cs="仿宋"/>
          <w:sz w:val="13"/>
          <w:szCs w:val="13"/>
        </w:rPr>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9"/>
        <w:gridCol w:w="2916"/>
        <w:gridCol w:w="1259"/>
        <w:gridCol w:w="2356"/>
        <w:gridCol w:w="1230"/>
        <w:gridCol w:w="999"/>
        <w:gridCol w:w="1206"/>
        <w:gridCol w:w="697"/>
        <w:gridCol w:w="813"/>
        <w:gridCol w:w="754"/>
        <w:gridCol w:w="443"/>
        <w:gridCol w:w="7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5000" w:type="pct"/>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7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3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07"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26"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48"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17"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47"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6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6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48" w:type="pct"/>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480"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874"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435"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807"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426"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348"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417"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247"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285"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265"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160"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248"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214-交通运输局部门</w:t>
            </w:r>
          </w:p>
        </w:tc>
        <w:tc>
          <w:tcPr>
            <w:tcW w:w="874"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8,514.70</w:t>
            </w:r>
          </w:p>
        </w:tc>
        <w:tc>
          <w:tcPr>
            <w:tcW w:w="807"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214001-交通运输局</w:t>
            </w: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51322521R000000033205-聘用人员单位缴费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1.93</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51322521Y000000033226-公务用车运行维护费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51322521Y000000033227-工会经费和福利费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3.61</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51322521Y000000033228-邮电费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51322521Y000000033229-会议和培训费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0.78</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51322521Y000000033232-办公印刷和接待费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51322521Y000000046648-差旅费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51322522R000006253856-目标绩效奖</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6.73</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51322522T000000376712-农村公路抢险救灾工程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48.21</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51322522T000000412406-</w:t>
            </w:r>
            <w:r>
              <w:rPr>
                <w:rFonts w:hint="eastAsia" w:ascii="宋体" w:hAnsi="宋体" w:eastAsia="宋体" w:cs="宋体"/>
                <w:i w:val="0"/>
                <w:iCs w:val="0"/>
                <w:color w:val="000000"/>
                <w:kern w:val="0"/>
                <w:sz w:val="18"/>
                <w:szCs w:val="18"/>
                <w:u w:val="none"/>
                <w:lang w:val="en-US" w:eastAsia="zh-CN" w:bidi="ar"/>
              </w:rPr>
              <w:t>2023</w:t>
            </w:r>
            <w:r>
              <w:rPr>
                <w:rFonts w:ascii="宋体" w:hAnsi="宋体" w:eastAsia="宋体" w:cs="宋体"/>
                <w:i w:val="0"/>
                <w:iCs w:val="0"/>
                <w:color w:val="000000"/>
                <w:kern w:val="0"/>
                <w:sz w:val="18"/>
                <w:szCs w:val="18"/>
                <w:u w:val="none"/>
                <w:lang w:val="en-US" w:eastAsia="zh-CN" w:bidi="ar"/>
              </w:rPr>
              <w:t>年农村公路养护配套资金</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13.80</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51322522T000005635832-国道544线九寨沟双河至县城段公路改建工程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7,042.27</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51322522T000006136576-省道445线九若路黑河塘大桥至班佑村路口段改扩建工程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82.37</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51322522T000006787281-九寨沟县郭垭路金子村至养猪场道路建设项目</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51322522T000006924217-九寨沟县农村旅游道路提档升级项目</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39.17</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51322522T000006924232-</w:t>
            </w:r>
            <w:r>
              <w:rPr>
                <w:rFonts w:hint="eastAsia" w:ascii="宋体" w:hAnsi="宋体" w:eastAsia="宋体" w:cs="宋体"/>
                <w:i w:val="0"/>
                <w:iCs w:val="0"/>
                <w:color w:val="000000"/>
                <w:kern w:val="0"/>
                <w:sz w:val="18"/>
                <w:szCs w:val="18"/>
                <w:u w:val="none"/>
                <w:lang w:val="en-US" w:eastAsia="zh-CN" w:bidi="ar"/>
              </w:rPr>
              <w:t>2023</w:t>
            </w:r>
            <w:r>
              <w:rPr>
                <w:rFonts w:ascii="宋体" w:hAnsi="宋体" w:eastAsia="宋体" w:cs="宋体"/>
                <w:i w:val="0"/>
                <w:iCs w:val="0"/>
                <w:color w:val="000000"/>
                <w:kern w:val="0"/>
                <w:sz w:val="18"/>
                <w:szCs w:val="18"/>
                <w:u w:val="none"/>
                <w:lang w:val="en-US" w:eastAsia="zh-CN" w:bidi="ar"/>
              </w:rPr>
              <w:t>年九寨沟县农村公路生命安全防护（钢波形护栏）工程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0.89</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51322522T000007159533-交通建设项目质保金</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104.74</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51322522T000007204936-“8.11”洪灾交通住建应急</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38.75</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61.12</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122.77</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51322523T000008122296-九寨沟县黑河镇Y031绕蜡路绕蜡口一号桥新建工程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15.07</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51322523T000008200869-九寨沟县罗依乡经济干线公路建设工程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5.78</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51322523T000008580035-国道544线马踏石至朝阳村段灾毁修复整治工程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51322523T000009027126-九寨沟县漳扎镇郎寨村Y045牙屯路郎寨至牙屯段维修工程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51322523T000009031379-九寨沟县双河镇大寨村到道路整治工程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579.37</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51322523T000009219680-九寨沟县农村公路水毁恢复重建工程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39.04</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51322523T000009219715-九寨沟县农村公路路面处治工程为南坪镇、郭元乡、黑河镇、玉瓦乡、大录乡5个乡镇打捆项目</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14.55</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51322523T000009363622-九寨沟县产业基础设施补短项目</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51322523T000009439361-省道205线黄土梁隧道及引道工程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26.25</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51322524R000009976175-其他人员支出</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51322524R000010093953-聘用人员工资</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4.83</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51322524T000009958799-九寨沟县Y029河羌路河口至羌活段改建工程（美丽乡村路）项目</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51322524T000010793171-生命安全防护工程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51322524T000010980999-第一批交通专项资金</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51322524T000011538643-道路维修工程</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5.65</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51322524T000011538683-汽车站功能拓展项目</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214002-交通工程质量检验监督站</w:t>
            </w: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51322521Y000000033227-工会经费和福利费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51322521Y000000033228-邮电费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51322521Y000000033229-会议和培训费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51322521Y000000033232-办公印刷和接待费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51322521Y000000046648-差旅费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1.62</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51322522R000006253856-目标绩效奖</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9.07</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70.29</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137.88</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7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0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1、报表说明:该报表统计项目绩效目标信息，用于财政部门、预算单位查询所有项目绩效目标。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2、取数口径：部门项目绩效目标表信息，包括年初预算、追加预算、结转预算，调整预算的绩效目标（以终审状态）。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适用地区：全省范围（省、市州、县区）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790" w:type="pct"/>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适用用户：财政用户、单位用户</w:t>
            </w:r>
          </w:p>
        </w:tc>
        <w:tc>
          <w:tcPr>
            <w:tcW w:w="80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1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4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48"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bl>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p>
      <w:pPr>
        <w:rPr>
          <w:rFonts w:ascii="仿宋" w:hAnsi="仿宋" w:eastAsia="仿宋" w:cs="仿宋"/>
          <w:sz w:val="13"/>
          <w:szCs w:val="13"/>
        </w:rPr>
      </w:pPr>
    </w:p>
    <w:tbl>
      <w:tblPr>
        <w:tblStyle w:val="4"/>
        <w:tblW w:w="131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4"/>
        <w:gridCol w:w="1845"/>
        <w:gridCol w:w="1846"/>
        <w:gridCol w:w="2830"/>
        <w:gridCol w:w="1477"/>
        <w:gridCol w:w="1723"/>
        <w:gridCol w:w="1108"/>
        <w:gridCol w:w="8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3158"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30"/>
                <w:szCs w:val="30"/>
                <w:u w:val="none"/>
                <w:lang w:val="en-US"/>
              </w:rPr>
            </w:pPr>
            <w:r>
              <w:rPr>
                <w:rFonts w:hint="eastAsia" w:ascii="黑体" w:hAnsi="宋体" w:eastAsia="黑体" w:cs="黑体"/>
                <w:i w:val="0"/>
                <w:iCs w:val="0"/>
                <w:color w:val="000000"/>
                <w:kern w:val="0"/>
                <w:sz w:val="30"/>
                <w:szCs w:val="30"/>
                <w:u w:val="none"/>
                <w:lang w:val="en-US" w:eastAsia="zh-CN" w:bidi="ar"/>
              </w:rPr>
              <w:t xml:space="preserve">                             部门整体支出绩效目标表                           </w:t>
            </w:r>
            <w:r>
              <w:rPr>
                <w:rFonts w:hint="eastAsia" w:ascii="黑体" w:hAnsi="宋体" w:eastAsia="黑体" w:cs="黑体"/>
                <w:b w:val="0"/>
                <w:bCs w:val="0"/>
                <w:i w:val="0"/>
                <w:iCs w:val="0"/>
                <w:color w:val="000000"/>
                <w:kern w:val="0"/>
                <w:sz w:val="15"/>
                <w:szCs w:val="15"/>
                <w:u w:val="none"/>
                <w:lang w:val="en-US" w:eastAsia="zh-CN" w:bidi="ar"/>
              </w:rPr>
              <w:t>表14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3158"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3158"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1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交通运输局部门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4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730.83</w:t>
            </w:r>
          </w:p>
        </w:tc>
        <w:tc>
          <w:tcPr>
            <w:tcW w:w="4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730.83</w:t>
            </w:r>
          </w:p>
        </w:tc>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1169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保障人员支出，完成一般公共预算收支任务。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保障人员经费支出</w:t>
            </w: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完成全年局机关人员工资、保险、公积金等支出。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完成一般公共预算支出，一般公共服务、交通建设等支出。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工资发放人数</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工资发放足额率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工资发放及时率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保障职工正常生活水平</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4216272.55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bl>
    <w:p>
      <w:pPr>
        <w:rPr>
          <w:rFonts w:ascii="方正小标宋简体" w:hAnsi="黑体" w:eastAsia="方正小标宋简体"/>
          <w:sz w:val="44"/>
          <w:szCs w:val="44"/>
        </w:rPr>
      </w:pPr>
      <w:r>
        <w:rPr>
          <w:rFonts w:hint="eastAsia" w:ascii="仿宋" w:hAnsi="仿宋" w:eastAsia="仿宋" w:cs="仿宋"/>
          <w:sz w:val="13"/>
          <w:szCs w:val="13"/>
        </w:rPr>
        <w:br w:type="page"/>
      </w:r>
    </w:p>
    <w:p>
      <w:pPr>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第三部分  交通运输局2024年</w:t>
      </w:r>
      <w:r>
        <w:rPr>
          <w:rFonts w:ascii="方正小标宋简体" w:hAnsi="黑体" w:eastAsia="方正小标宋简体"/>
          <w:sz w:val="44"/>
          <w:szCs w:val="44"/>
        </w:rPr>
        <w:t>部门预算</w:t>
      </w:r>
      <w:r>
        <w:rPr>
          <w:rFonts w:hint="eastAsia" w:ascii="方正小标宋简体" w:hAnsi="黑体" w:eastAsia="方正小标宋简体"/>
          <w:sz w:val="44"/>
          <w:szCs w:val="44"/>
        </w:rPr>
        <w:t>情况说明</w:t>
      </w:r>
    </w:p>
    <w:p>
      <w:pPr>
        <w:rPr>
          <w:rFonts w:ascii="黑体" w:hAnsi="黑体" w:eastAsia="黑体"/>
          <w:sz w:val="32"/>
          <w:szCs w:val="32"/>
        </w:rPr>
      </w:pPr>
      <w:r>
        <w:rPr>
          <w:rFonts w:hint="eastAsia" w:ascii="黑体" w:hAnsi="黑体" w:eastAsia="黑体"/>
          <w:sz w:val="32"/>
          <w:szCs w:val="32"/>
        </w:rPr>
        <w:t>一、收支预算情况说明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按照综合预算的原则，交通运输局所有收入和支出均纳入部门预算管理。收入包括：一般公共预算拨款收入、政府性基金预算拨款收入</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上年结转730.83</w:t>
      </w:r>
      <w:r>
        <w:rPr>
          <w:rFonts w:hint="eastAsia" w:ascii="仿宋_GB2312" w:hAnsi="黑体" w:eastAsia="仿宋_GB2312"/>
          <w:sz w:val="32"/>
          <w:szCs w:val="32"/>
        </w:rPr>
        <w:t>万元；支出包括：一般公共服务支出、外交支出、国防支出、公共安全支出、教育支出、科学技术支出、文化旅游体育与传媒支出、社会保障和就业支出、卫生健康支出、</w:t>
      </w:r>
      <w:r>
        <w:rPr>
          <w:rFonts w:hint="eastAsia" w:ascii="仿宋_GB2312" w:hAnsi="黑体" w:eastAsia="仿宋_GB2312"/>
          <w:sz w:val="32"/>
          <w:szCs w:val="32"/>
          <w:lang w:val="en-US" w:eastAsia="zh-CN"/>
        </w:rPr>
        <w:t>交通运输支出、</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730.83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。交通运输局2024年收支预算总数</w:t>
      </w:r>
      <w:r>
        <w:rPr>
          <w:rFonts w:hint="eastAsia" w:ascii="仿宋_GB2312" w:hAnsi="黑体" w:eastAsia="仿宋_GB2312"/>
          <w:sz w:val="32"/>
          <w:szCs w:val="32"/>
          <w:lang w:val="en-US" w:eastAsia="zh-CN"/>
        </w:rPr>
        <w:t>730.83</w:t>
      </w:r>
      <w:r>
        <w:rPr>
          <w:rFonts w:hint="eastAsia" w:ascii="仿宋_GB2312" w:hAnsi="黑体" w:eastAsia="仿宋_GB2312"/>
          <w:sz w:val="32"/>
          <w:szCs w:val="32"/>
        </w:rPr>
        <w:t>万元，比</w:t>
      </w:r>
      <w:r>
        <w:rPr>
          <w:rFonts w:hint="eastAsia" w:ascii="仿宋_GB2312" w:hAnsi="黑体" w:eastAsia="仿宋_GB2312"/>
          <w:sz w:val="32"/>
          <w:szCs w:val="32"/>
          <w:lang w:eastAsia="zh-CN"/>
        </w:rPr>
        <w:t>2023</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383.49</w:t>
      </w:r>
      <w:r>
        <w:rPr>
          <w:rFonts w:hint="eastAsia" w:ascii="仿宋_GB2312" w:hAnsi="黑体" w:eastAsia="仿宋_GB2312"/>
          <w:sz w:val="32"/>
          <w:szCs w:val="32"/>
        </w:rPr>
        <w:t>万元，主要原因是人员工资增加</w:t>
      </w:r>
      <w:r>
        <w:rPr>
          <w:rFonts w:hint="eastAsia" w:ascii="仿宋_GB2312" w:hAnsi="黑体" w:eastAsia="仿宋_GB2312"/>
          <w:sz w:val="32"/>
          <w:szCs w:val="32"/>
          <w:lang w:val="en-US" w:eastAsia="zh-CN"/>
        </w:rPr>
        <w:t>以及项目增加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交通运输局2024年收入预算</w:t>
      </w:r>
      <w:r>
        <w:rPr>
          <w:rFonts w:hint="eastAsia" w:ascii="仿宋_GB2312" w:hAnsi="黑体" w:eastAsia="仿宋_GB2312"/>
          <w:sz w:val="32"/>
          <w:szCs w:val="32"/>
          <w:lang w:val="en-US" w:eastAsia="zh-CN"/>
        </w:rPr>
        <w:t>730.83</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421.63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57.69</w:t>
      </w:r>
      <w:r>
        <w:rPr>
          <w:rFonts w:hint="eastAsia" w:ascii="仿宋_GB2312" w:hAnsi="黑体" w:eastAsia="仿宋_GB2312"/>
          <w:sz w:val="32"/>
          <w:szCs w:val="32"/>
        </w:rPr>
        <w:t>%；政府性基金预算拨款收入0万元，占0%</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上年结转309.2万元，占12.31%</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交通运输局2024年支出预算</w:t>
      </w:r>
      <w:r>
        <w:rPr>
          <w:rFonts w:hint="eastAsia" w:ascii="仿宋_GB2312" w:hAnsi="黑体" w:eastAsia="仿宋_GB2312"/>
          <w:sz w:val="32"/>
          <w:szCs w:val="32"/>
          <w:lang w:val="en-US" w:eastAsia="zh-CN"/>
        </w:rPr>
        <w:t>730.83</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421.63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57.69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309.2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12.31</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交通运输局2024年财政拨款收支预算总数</w:t>
      </w:r>
      <w:r>
        <w:rPr>
          <w:rFonts w:hint="eastAsia" w:ascii="仿宋_GB2312" w:hAnsi="黑体" w:eastAsia="仿宋_GB2312"/>
          <w:sz w:val="32"/>
          <w:szCs w:val="32"/>
          <w:lang w:val="en-US" w:eastAsia="zh-CN"/>
        </w:rPr>
        <w:t>730.83</w:t>
      </w:r>
      <w:r>
        <w:rPr>
          <w:rFonts w:hint="eastAsia" w:ascii="仿宋_GB2312" w:hAnsi="黑体" w:eastAsia="仿宋_GB2312"/>
          <w:sz w:val="32"/>
          <w:szCs w:val="32"/>
        </w:rPr>
        <w:t>万元，比</w:t>
      </w:r>
      <w:r>
        <w:rPr>
          <w:rFonts w:hint="eastAsia" w:ascii="仿宋_GB2312" w:hAnsi="黑体" w:eastAsia="仿宋_GB2312"/>
          <w:sz w:val="32"/>
          <w:szCs w:val="32"/>
          <w:lang w:eastAsia="zh-CN"/>
        </w:rPr>
        <w:t>2023</w:t>
      </w:r>
      <w:r>
        <w:rPr>
          <w:rFonts w:hint="eastAsia" w:ascii="仿宋_GB2312" w:hAnsi="黑体" w:eastAsia="仿宋_GB2312"/>
          <w:sz w:val="32"/>
          <w:szCs w:val="32"/>
        </w:rPr>
        <w:t>年财政拨款收支预算总数增减</w:t>
      </w:r>
      <w:r>
        <w:rPr>
          <w:rFonts w:hint="eastAsia" w:ascii="仿宋_GB2312" w:hAnsi="黑体" w:eastAsia="仿宋_GB2312"/>
          <w:sz w:val="32"/>
          <w:szCs w:val="32"/>
          <w:lang w:val="en-US" w:eastAsia="zh-CN"/>
        </w:rPr>
        <w:t>383.49</w:t>
      </w:r>
      <w:r>
        <w:rPr>
          <w:rFonts w:hint="eastAsia" w:ascii="仿宋_GB2312" w:hAnsi="黑体" w:eastAsia="仿宋_GB2312"/>
          <w:sz w:val="32"/>
          <w:szCs w:val="32"/>
        </w:rPr>
        <w:t>万元，主要原因是人员工资增加</w:t>
      </w:r>
      <w:r>
        <w:rPr>
          <w:rFonts w:hint="eastAsia" w:ascii="仿宋_GB2312" w:hAnsi="黑体" w:eastAsia="仿宋_GB2312"/>
          <w:sz w:val="32"/>
          <w:szCs w:val="32"/>
          <w:lang w:val="en-US" w:eastAsia="zh-CN"/>
        </w:rPr>
        <w:t>和项目增加</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421.63</w:t>
      </w:r>
      <w:r>
        <w:rPr>
          <w:rFonts w:hint="eastAsia" w:ascii="仿宋_GB2312" w:hAnsi="黑体" w:eastAsia="仿宋_GB2312"/>
          <w:sz w:val="32"/>
          <w:szCs w:val="32"/>
        </w:rPr>
        <w:t>万元、上年政府性基金预算拨款收入0万元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上年结转309.2万元</w:t>
      </w:r>
      <w:r>
        <w:rPr>
          <w:rFonts w:hint="eastAsia" w:ascii="仿宋_GB2312" w:hAnsi="黑体" w:eastAsia="仿宋_GB2312"/>
          <w:sz w:val="32"/>
          <w:szCs w:val="32"/>
        </w:rPr>
        <w:t>；支出包括：交通运输支出</w:t>
      </w:r>
      <w:r>
        <w:rPr>
          <w:rFonts w:hint="eastAsia" w:ascii="仿宋_GB2312" w:hAnsi="黑体" w:eastAsia="仿宋_GB2312"/>
          <w:sz w:val="32"/>
          <w:szCs w:val="32"/>
          <w:lang w:val="en-US" w:eastAsia="zh-CN"/>
        </w:rPr>
        <w:t>607.79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65.22</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22.53</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35.29</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交通运输局2024年一般公共预算当年拨款</w:t>
      </w:r>
      <w:r>
        <w:rPr>
          <w:rFonts w:hint="eastAsia" w:ascii="仿宋_GB2312" w:hAnsi="黑体" w:eastAsia="仿宋_GB2312"/>
          <w:sz w:val="32"/>
          <w:szCs w:val="32"/>
          <w:lang w:val="en-US" w:eastAsia="zh-CN"/>
        </w:rPr>
        <w:t>421.63</w:t>
      </w:r>
      <w:r>
        <w:rPr>
          <w:rFonts w:hint="eastAsia" w:ascii="仿宋_GB2312" w:hAnsi="黑体" w:eastAsia="仿宋_GB2312"/>
          <w:sz w:val="32"/>
          <w:szCs w:val="32"/>
        </w:rPr>
        <w:t>万元，比</w:t>
      </w:r>
      <w:r>
        <w:rPr>
          <w:rFonts w:hint="eastAsia" w:ascii="仿宋_GB2312" w:hAnsi="黑体" w:eastAsia="仿宋_GB2312"/>
          <w:sz w:val="32"/>
          <w:szCs w:val="32"/>
          <w:lang w:eastAsia="zh-CN"/>
        </w:rPr>
        <w:t>2023</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74.29</w:t>
      </w:r>
      <w:r>
        <w:rPr>
          <w:rFonts w:hint="eastAsia" w:ascii="仿宋_GB2312" w:hAnsi="黑体" w:eastAsia="仿宋_GB2312"/>
          <w:sz w:val="32"/>
          <w:szCs w:val="32"/>
        </w:rPr>
        <w:t>万元，主要原因是人员工资增加。</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交通运输支出</w:t>
      </w:r>
      <w:r>
        <w:rPr>
          <w:rFonts w:hint="eastAsia" w:ascii="仿宋_GB2312" w:hAnsi="黑体" w:eastAsia="仿宋_GB2312"/>
          <w:sz w:val="32"/>
          <w:szCs w:val="32"/>
          <w:lang w:val="en-US" w:eastAsia="zh-CN"/>
        </w:rPr>
        <w:t>298.59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70.82</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65.22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15.47</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22.53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5.34</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35.29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8.37</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1.交通运输支出</w:t>
      </w:r>
      <w:r>
        <w:rPr>
          <w:rFonts w:ascii="仿宋_GB2312" w:hAnsi="黑体" w:eastAsia="仿宋_GB2312"/>
          <w:sz w:val="32"/>
          <w:szCs w:val="32"/>
        </w:rPr>
        <w:t>（</w:t>
      </w:r>
      <w:r>
        <w:rPr>
          <w:rFonts w:hint="eastAsia" w:ascii="仿宋_GB2312" w:hAnsi="黑体" w:eastAsia="仿宋_GB2312"/>
          <w:sz w:val="32"/>
          <w:szCs w:val="32"/>
        </w:rPr>
        <w:t>214）行政运行（01）行政运行（01）2024年预算数为</w:t>
      </w:r>
      <w:r>
        <w:rPr>
          <w:rFonts w:hint="eastAsia" w:ascii="仿宋_GB2312" w:hAnsi="黑体" w:eastAsia="仿宋_GB2312"/>
          <w:sz w:val="32"/>
          <w:szCs w:val="32"/>
          <w:lang w:val="en-US" w:eastAsia="zh-CN"/>
        </w:rPr>
        <w:t>147.08</w:t>
      </w:r>
      <w:r>
        <w:rPr>
          <w:rFonts w:hint="eastAsia" w:ascii="仿宋_GB2312" w:hAnsi="黑体" w:eastAsia="仿宋_GB2312"/>
          <w:sz w:val="32"/>
          <w:szCs w:val="32"/>
        </w:rPr>
        <w:t>万元，主要用于：单位正常运转的基本支出，包括基本工资、津贴补贴等人员经费以及办公费、印刷费、水电费等日常公用经费，保障正常运转。</w:t>
      </w:r>
    </w:p>
    <w:p>
      <w:pPr>
        <w:ind w:firstLine="640" w:firstLineChars="200"/>
        <w:rPr>
          <w:rFonts w:ascii="仿宋_GB2312" w:hAnsi="黑体" w:eastAsia="仿宋_GB2312"/>
          <w:sz w:val="32"/>
          <w:szCs w:val="32"/>
        </w:rPr>
      </w:pPr>
      <w:r>
        <w:rPr>
          <w:rFonts w:hint="eastAsia" w:ascii="仿宋_GB2312" w:hAnsi="黑体" w:eastAsia="仿宋_GB2312"/>
          <w:sz w:val="32"/>
          <w:szCs w:val="32"/>
        </w:rPr>
        <w:t>2.社会保障和就业支出（208）行政事业单位养老支出（05）行政事业单位基本养老保险缴费支出（05）2024年预算数为</w:t>
      </w:r>
      <w:r>
        <w:rPr>
          <w:rFonts w:hint="eastAsia" w:ascii="仿宋_GB2312" w:hAnsi="黑体" w:eastAsia="仿宋_GB2312"/>
          <w:sz w:val="32"/>
          <w:szCs w:val="32"/>
          <w:lang w:val="en-US" w:eastAsia="zh-CN"/>
        </w:rPr>
        <w:t>41.7</w:t>
      </w:r>
      <w:r>
        <w:rPr>
          <w:rFonts w:hint="eastAsia" w:ascii="仿宋_GB2312" w:hAnsi="黑体" w:eastAsia="仿宋_GB2312"/>
          <w:sz w:val="32"/>
          <w:szCs w:val="32"/>
        </w:rPr>
        <w:t>万元，主要用于：实施养老保险制度由单位缴纳的基本养老保险支出。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3.社会保障和就业（208）行政事业单位养老支出（05）机关事业单位职业年金缴费支出（06）2024年预算数为</w:t>
      </w:r>
      <w:r>
        <w:rPr>
          <w:rFonts w:hint="eastAsia" w:ascii="仿宋_GB2312" w:hAnsi="黑体" w:eastAsia="仿宋_GB2312"/>
          <w:sz w:val="32"/>
          <w:szCs w:val="32"/>
          <w:lang w:val="en-US" w:eastAsia="zh-CN"/>
        </w:rPr>
        <w:t>23.52</w:t>
      </w:r>
      <w:r>
        <w:rPr>
          <w:rFonts w:hint="eastAsia" w:ascii="仿宋_GB2312" w:hAnsi="黑体" w:eastAsia="仿宋_GB2312"/>
          <w:sz w:val="32"/>
          <w:szCs w:val="32"/>
        </w:rPr>
        <w:t>万元，主要用于：实施养老保险制度由单位缴纳的职业年金支出。</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卫生健康（210）行政事业单位医疗（11）行政单位医疗</w:t>
      </w:r>
      <w:r>
        <w:rPr>
          <w:rFonts w:ascii="仿宋_GB2312" w:hAnsi="黑体" w:eastAsia="仿宋_GB2312"/>
          <w:sz w:val="32"/>
          <w:szCs w:val="32"/>
        </w:rPr>
        <w:t>（</w:t>
      </w:r>
      <w:r>
        <w:rPr>
          <w:rFonts w:hint="eastAsia" w:ascii="仿宋_GB2312" w:hAnsi="黑体" w:eastAsia="仿宋_GB2312"/>
          <w:sz w:val="32"/>
          <w:szCs w:val="32"/>
        </w:rPr>
        <w:t>01</w:t>
      </w:r>
      <w:r>
        <w:rPr>
          <w:rFonts w:ascii="仿宋_GB2312" w:hAnsi="黑体" w:eastAsia="仿宋_GB2312"/>
          <w:sz w:val="32"/>
          <w:szCs w:val="32"/>
        </w:rPr>
        <w:t>）</w:t>
      </w:r>
      <w:r>
        <w:rPr>
          <w:rFonts w:hint="eastAsia" w:ascii="仿宋_GB2312" w:hAnsi="黑体" w:eastAsia="仿宋_GB2312"/>
          <w:sz w:val="32"/>
          <w:szCs w:val="32"/>
        </w:rPr>
        <w:t>2024年预算数为</w:t>
      </w:r>
      <w:r>
        <w:rPr>
          <w:rFonts w:hint="eastAsia" w:ascii="仿宋_GB2312" w:hAnsi="黑体" w:eastAsia="仿宋_GB2312"/>
          <w:sz w:val="32"/>
          <w:szCs w:val="32"/>
          <w:lang w:val="en-US" w:eastAsia="zh-CN"/>
        </w:rPr>
        <w:t>9.61</w:t>
      </w:r>
      <w:r>
        <w:rPr>
          <w:rFonts w:hint="eastAsia" w:ascii="仿宋_GB2312" w:hAnsi="黑体" w:eastAsia="仿宋_GB2312"/>
          <w:sz w:val="32"/>
          <w:szCs w:val="32"/>
        </w:rPr>
        <w:t>万元，主要用于：单位缴纳职工医疗保险支出。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卫生健康（210）行政事业单位医疗（11）</w:t>
      </w:r>
      <w:r>
        <w:rPr>
          <w:rFonts w:hint="eastAsia" w:ascii="仿宋_GB2312" w:hAnsi="黑体" w:eastAsia="仿宋_GB2312"/>
          <w:sz w:val="32"/>
          <w:szCs w:val="32"/>
          <w:lang w:val="en-US" w:eastAsia="zh-CN"/>
        </w:rPr>
        <w:t>事业</w:t>
      </w:r>
      <w:r>
        <w:rPr>
          <w:rFonts w:hint="eastAsia" w:ascii="仿宋_GB2312" w:hAnsi="黑体" w:eastAsia="仿宋_GB2312"/>
          <w:sz w:val="32"/>
          <w:szCs w:val="32"/>
        </w:rPr>
        <w:t>单位医疗</w:t>
      </w:r>
      <w:r>
        <w:rPr>
          <w:rFonts w:ascii="仿宋_GB2312" w:hAnsi="黑体" w:eastAsia="仿宋_GB2312"/>
          <w:sz w:val="32"/>
          <w:szCs w:val="32"/>
        </w:rPr>
        <w:t>（</w:t>
      </w:r>
      <w:r>
        <w:rPr>
          <w:rFonts w:hint="eastAsia" w:ascii="仿宋_GB2312" w:hAnsi="黑体" w:eastAsia="仿宋_GB2312"/>
          <w:sz w:val="32"/>
          <w:szCs w:val="32"/>
        </w:rPr>
        <w:t>0</w:t>
      </w:r>
      <w:r>
        <w:rPr>
          <w:rFonts w:hint="eastAsia" w:ascii="仿宋_GB2312" w:hAnsi="黑体" w:eastAsia="仿宋_GB2312"/>
          <w:sz w:val="32"/>
          <w:szCs w:val="32"/>
          <w:lang w:val="en-US" w:eastAsia="zh-CN"/>
        </w:rPr>
        <w:t>2</w:t>
      </w:r>
      <w:r>
        <w:rPr>
          <w:rFonts w:ascii="仿宋_GB2312" w:hAnsi="黑体" w:eastAsia="仿宋_GB2312"/>
          <w:sz w:val="32"/>
          <w:szCs w:val="32"/>
        </w:rPr>
        <w:t>）</w:t>
      </w:r>
      <w:r>
        <w:rPr>
          <w:rFonts w:hint="eastAsia" w:ascii="仿宋_GB2312" w:hAnsi="黑体" w:eastAsia="仿宋_GB2312"/>
          <w:sz w:val="32"/>
          <w:szCs w:val="32"/>
        </w:rPr>
        <w:t>2024年预算数为</w:t>
      </w:r>
      <w:r>
        <w:rPr>
          <w:rFonts w:hint="eastAsia" w:ascii="仿宋_GB2312" w:hAnsi="黑体" w:eastAsia="仿宋_GB2312"/>
          <w:sz w:val="32"/>
          <w:szCs w:val="32"/>
          <w:lang w:val="en-US" w:eastAsia="zh-CN"/>
        </w:rPr>
        <w:t>10.97</w:t>
      </w:r>
      <w:r>
        <w:rPr>
          <w:rFonts w:hint="eastAsia" w:ascii="仿宋_GB2312" w:hAnsi="黑体" w:eastAsia="仿宋_GB2312"/>
          <w:sz w:val="32"/>
          <w:szCs w:val="32"/>
        </w:rPr>
        <w:t>万元，主要用于：单位缴纳职工医疗保险支出。</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卫生健康（210）行政事业单位医疗（11）公务员医疗补助</w:t>
      </w:r>
      <w:r>
        <w:rPr>
          <w:rFonts w:ascii="仿宋_GB2312" w:hAnsi="黑体" w:eastAsia="仿宋_GB2312"/>
          <w:sz w:val="32"/>
          <w:szCs w:val="32"/>
        </w:rPr>
        <w:t>（</w:t>
      </w:r>
      <w:r>
        <w:rPr>
          <w:rFonts w:hint="eastAsia" w:ascii="仿宋_GB2312" w:hAnsi="黑体" w:eastAsia="仿宋_GB2312"/>
          <w:sz w:val="32"/>
          <w:szCs w:val="32"/>
        </w:rPr>
        <w:t>03</w:t>
      </w:r>
      <w:r>
        <w:rPr>
          <w:rFonts w:ascii="仿宋_GB2312" w:hAnsi="黑体" w:eastAsia="仿宋_GB2312"/>
          <w:sz w:val="32"/>
          <w:szCs w:val="32"/>
        </w:rPr>
        <w:t>）</w:t>
      </w:r>
      <w:r>
        <w:rPr>
          <w:rFonts w:hint="eastAsia" w:ascii="仿宋_GB2312" w:hAnsi="黑体" w:eastAsia="仿宋_GB2312"/>
          <w:sz w:val="32"/>
          <w:szCs w:val="32"/>
        </w:rPr>
        <w:t>2024年预算数为</w:t>
      </w:r>
      <w:r>
        <w:rPr>
          <w:rFonts w:hint="eastAsia" w:ascii="仿宋_GB2312" w:hAnsi="黑体" w:eastAsia="仿宋_GB2312"/>
          <w:sz w:val="32"/>
          <w:szCs w:val="32"/>
          <w:lang w:val="en-US" w:eastAsia="zh-CN"/>
        </w:rPr>
        <w:t>1.95</w:t>
      </w:r>
      <w:r>
        <w:rPr>
          <w:rFonts w:hint="eastAsia" w:ascii="仿宋_GB2312" w:hAnsi="黑体" w:eastAsia="仿宋_GB2312"/>
          <w:sz w:val="32"/>
          <w:szCs w:val="32"/>
        </w:rPr>
        <w:t>万元，主要用于：单位集中缴纳公务员医疗补助支出。。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.住房保障（221）住房改革支出（02）住房公积金（01）2024年预算数为</w:t>
      </w:r>
      <w:r>
        <w:rPr>
          <w:rFonts w:hint="eastAsia" w:ascii="仿宋_GB2312" w:hAnsi="黑体" w:eastAsia="仿宋_GB2312"/>
          <w:sz w:val="32"/>
          <w:szCs w:val="32"/>
          <w:lang w:val="en-US" w:eastAsia="zh-CN"/>
        </w:rPr>
        <w:t>35.29</w:t>
      </w:r>
      <w:r>
        <w:rPr>
          <w:rFonts w:hint="eastAsia" w:ascii="仿宋_GB2312" w:hAnsi="黑体" w:eastAsia="仿宋_GB2312"/>
          <w:sz w:val="32"/>
          <w:szCs w:val="32"/>
        </w:rPr>
        <w:t>万元，主要用于：单位按规定为职工缴纳的住房公积金支出。</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交通运输支出</w:t>
      </w:r>
      <w:r>
        <w:rPr>
          <w:rFonts w:ascii="仿宋_GB2312" w:hAnsi="黑体" w:eastAsia="仿宋_GB2312"/>
          <w:sz w:val="32"/>
          <w:szCs w:val="32"/>
        </w:rPr>
        <w:t>（</w:t>
      </w:r>
      <w:r>
        <w:rPr>
          <w:rFonts w:hint="eastAsia" w:ascii="仿宋_GB2312" w:hAnsi="黑体" w:eastAsia="仿宋_GB2312"/>
          <w:sz w:val="32"/>
          <w:szCs w:val="32"/>
        </w:rPr>
        <w:t>214）行政运行（01）其他公路水路运输支出（99）2024年预算数为</w:t>
      </w:r>
      <w:r>
        <w:rPr>
          <w:rFonts w:hint="eastAsia" w:ascii="仿宋_GB2312" w:hAnsi="黑体" w:eastAsia="仿宋_GB2312"/>
          <w:sz w:val="32"/>
          <w:szCs w:val="32"/>
          <w:lang w:val="en-US" w:eastAsia="zh-CN"/>
        </w:rPr>
        <w:t>151.5</w:t>
      </w:r>
      <w:r>
        <w:rPr>
          <w:rFonts w:hint="eastAsia" w:ascii="仿宋_GB2312" w:hAnsi="黑体" w:eastAsia="仿宋_GB2312"/>
          <w:sz w:val="32"/>
          <w:szCs w:val="32"/>
        </w:rPr>
        <w:t>万元，主要用于：交通工程质量检验监督站正常运转的基本支出，包括基本工资、津贴补贴等人员经费以及办公费、印刷费、水电费等日常公用经费，保障正常运转。</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交通运输局2024年一般公共预算基本支出</w:t>
      </w:r>
      <w:r>
        <w:rPr>
          <w:rFonts w:hint="eastAsia" w:ascii="仿宋_GB2312" w:hAnsi="黑体" w:eastAsia="仿宋_GB2312"/>
          <w:sz w:val="32"/>
          <w:szCs w:val="32"/>
          <w:lang w:val="en-US" w:eastAsia="zh-CN"/>
        </w:rPr>
        <w:t>421.63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400.74</w:t>
      </w:r>
      <w:r>
        <w:rPr>
          <w:rFonts w:hint="eastAsia" w:ascii="仿宋_GB2312" w:hAnsi="黑体" w:eastAsia="仿宋_GB2312"/>
          <w:sz w:val="32"/>
          <w:szCs w:val="32"/>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val="en-US" w:eastAsia="zh-CN"/>
        </w:rPr>
        <w:t>20.88</w:t>
      </w:r>
      <w:r>
        <w:rPr>
          <w:rFonts w:hint="eastAsia" w:ascii="仿宋_GB2312" w:hAnsi="黑体" w:eastAsia="仿宋_GB2312"/>
          <w:sz w:val="32"/>
          <w:szCs w:val="32"/>
        </w:rPr>
        <w:t>万元，主要包活：办公费、印刷费、水费、电费、邮电费、物业管理费、差旅费、会议费、培训费、公务接待费、劳务费、公务用车运行维护费等支出。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交通运输局2024年“三公”经费财政拨款预算数</w:t>
      </w:r>
      <w:r>
        <w:rPr>
          <w:rFonts w:hint="eastAsia" w:ascii="仿宋_GB2312" w:hAnsi="黑体" w:eastAsia="仿宋_GB2312"/>
          <w:sz w:val="32"/>
          <w:szCs w:val="32"/>
          <w:lang w:val="en-US" w:eastAsia="zh-CN"/>
        </w:rPr>
        <w:t>3.41</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0.41</w:t>
      </w:r>
      <w:r>
        <w:rPr>
          <w:rFonts w:hint="eastAsia" w:ascii="仿宋_GB2312" w:hAnsi="黑体" w:eastAsia="仿宋_GB2312"/>
          <w:sz w:val="32"/>
          <w:szCs w:val="32"/>
        </w:rPr>
        <w:t>万元，公务用车购置及运行维护费3万元,因公出国（境）经费0万元。</w:t>
      </w:r>
    </w:p>
    <w:p>
      <w:pPr>
        <w:ind w:firstLine="643" w:firstLineChars="200"/>
        <w:rPr>
          <w:rFonts w:ascii="楷体" w:hAnsi="楷体" w:eastAsia="楷体"/>
          <w:b/>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lang w:eastAsia="zh-CN"/>
        </w:rPr>
        <w:t>2023</w:t>
      </w:r>
      <w:r>
        <w:rPr>
          <w:rFonts w:hint="eastAsia" w:ascii="楷体" w:hAnsi="楷体" w:eastAsia="楷体"/>
          <w:b/>
          <w:sz w:val="32"/>
          <w:szCs w:val="32"/>
        </w:rPr>
        <w:t>年预算</w:t>
      </w:r>
      <w:r>
        <w:rPr>
          <w:rFonts w:hint="eastAsia" w:ascii="楷体" w:hAnsi="楷体" w:eastAsia="楷体"/>
          <w:b/>
          <w:sz w:val="32"/>
          <w:szCs w:val="32"/>
          <w:lang w:val="en-US" w:eastAsia="zh-CN"/>
        </w:rPr>
        <w:t>增加</w:t>
      </w:r>
      <w:bookmarkStart w:id="0" w:name="_GoBack"/>
      <w:bookmarkEnd w:id="0"/>
      <w:r>
        <w:rPr>
          <w:rFonts w:hint="eastAsia" w:ascii="楷体" w:hAnsi="楷体" w:eastAsia="楷体"/>
          <w:b/>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2024年公务接待费计划用于执行单位公务接待。</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w:t>
      </w:r>
      <w:r>
        <w:rPr>
          <w:rFonts w:hint="eastAsia" w:ascii="楷体" w:hAnsi="楷体" w:eastAsia="楷体"/>
          <w:b/>
          <w:sz w:val="32"/>
          <w:szCs w:val="32"/>
          <w:lang w:eastAsia="zh-CN"/>
        </w:rPr>
        <w:t>2023</w:t>
      </w:r>
      <w:r>
        <w:rPr>
          <w:rFonts w:hint="eastAsia" w:ascii="楷体" w:hAnsi="楷体" w:eastAsia="楷体"/>
          <w:b/>
          <w:sz w:val="32"/>
          <w:szCs w:val="32"/>
        </w:rPr>
        <w:t>年预算持平。</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单位现有公务用车2辆，其中：轿车0辆，旅行车（含商务车）0辆，越野车2辆。</w:t>
      </w:r>
    </w:p>
    <w:p>
      <w:pPr>
        <w:ind w:firstLine="640" w:firstLineChars="200"/>
        <w:rPr>
          <w:rFonts w:ascii="仿宋_GB2312" w:hAnsi="黑体" w:eastAsia="仿宋_GB2312"/>
          <w:sz w:val="32"/>
          <w:szCs w:val="32"/>
        </w:rPr>
      </w:pPr>
      <w:r>
        <w:rPr>
          <w:rFonts w:hint="eastAsia" w:ascii="仿宋_GB2312" w:hAnsi="黑体" w:eastAsia="仿宋_GB2312"/>
          <w:sz w:val="32"/>
          <w:szCs w:val="32"/>
        </w:rPr>
        <w:t>2024年安排公务用车运行维护费3万元，用于1辆公务用车燃油、过路（桥）、维修、保险等方面支出，主要保障机关及下属单位等工作开展。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交通运输局2024年使用政府性基金预算拨款安排的支出0万元</w:t>
      </w:r>
      <w:r>
        <w:rPr>
          <w:rFonts w:ascii="仿宋_GB2312" w:hAnsi="黑体" w:eastAsia="仿宋_GB2312"/>
          <w:sz w:val="32"/>
          <w:szCs w:val="32"/>
        </w:rPr>
        <w:t>，</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交通运输局2024年使用政府性基金预算拨款安排的支出0万元，主要用于没有使用国有资本经营预算拨款安排的支出。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2024年，交通运输局下属1机构的机关运行经费财政拨款预算为</w:t>
      </w:r>
      <w:r>
        <w:rPr>
          <w:rFonts w:hint="eastAsia" w:ascii="仿宋_GB2312" w:hAnsi="黑体" w:eastAsia="仿宋_GB2312"/>
          <w:sz w:val="32"/>
          <w:szCs w:val="32"/>
          <w:lang w:val="en-US" w:eastAsia="zh-CN"/>
        </w:rPr>
        <w:t>215.88</w:t>
      </w:r>
      <w:r>
        <w:rPr>
          <w:rFonts w:hint="eastAsia" w:ascii="仿宋_GB2312" w:hAnsi="黑体" w:eastAsia="仿宋_GB2312"/>
          <w:sz w:val="32"/>
          <w:szCs w:val="32"/>
        </w:rPr>
        <w:t>万元，与（较）</w:t>
      </w:r>
      <w:r>
        <w:rPr>
          <w:rFonts w:hint="eastAsia" w:ascii="仿宋_GB2312" w:hAnsi="黑体" w:eastAsia="仿宋_GB2312"/>
          <w:sz w:val="32"/>
          <w:szCs w:val="32"/>
          <w:lang w:eastAsia="zh-CN"/>
        </w:rPr>
        <w:t>2023</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事业人员增加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2024年，交通运输局安排政府采购预算0万元，其中，政府采购货物预算0万元；政府采购工程预算0万元；政府采购服务预算0万元。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2023</w:t>
      </w:r>
      <w:r>
        <w:rPr>
          <w:rFonts w:hint="eastAsia" w:ascii="仿宋_GB2312" w:hAnsi="黑体" w:eastAsia="仿宋_GB2312"/>
          <w:sz w:val="32"/>
          <w:szCs w:val="32"/>
        </w:rPr>
        <w:t>年底，交通运输局所属各预算单位共有车辆2辆，其中，交通运输局领导干部用车0辆、定向保障用车0辆、执法执勤用车0辆。单位价值200万元以上大型设备0台。</w:t>
      </w:r>
    </w:p>
    <w:p>
      <w:pPr>
        <w:ind w:firstLine="640" w:firstLineChars="200"/>
        <w:rPr>
          <w:rFonts w:ascii="仿宋_GB2312" w:hAnsi="黑体" w:eastAsia="仿宋_GB2312"/>
          <w:sz w:val="32"/>
          <w:szCs w:val="32"/>
        </w:rPr>
      </w:pPr>
      <w:r>
        <w:rPr>
          <w:rFonts w:hint="eastAsia" w:ascii="仿宋_GB2312" w:hAnsi="黑体" w:eastAsia="仿宋_GB2312"/>
          <w:sz w:val="32"/>
          <w:szCs w:val="32"/>
        </w:rPr>
        <w:t>2024年部门预算未安排购置车辆及单位价值200万元以上大型设备。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2024年交通运输局开展绩效目标管理的项目1个，涉及预算</w:t>
      </w:r>
      <w:r>
        <w:rPr>
          <w:rFonts w:hint="eastAsia" w:ascii="仿宋_GB2312" w:hAnsi="黑体" w:eastAsia="仿宋_GB2312"/>
          <w:sz w:val="32"/>
          <w:szCs w:val="32"/>
          <w:lang w:val="en-US" w:eastAsia="zh-CN"/>
        </w:rPr>
        <w:t>730.83</w:t>
      </w:r>
      <w:r>
        <w:rPr>
          <w:rFonts w:hint="eastAsia" w:ascii="仿宋_GB2312" w:hAnsi="黑体" w:eastAsia="仿宋_GB2312"/>
          <w:sz w:val="32"/>
          <w:szCs w:val="32"/>
        </w:rPr>
        <w:t>万元。其中：人员类项目0个，涉及预算0万元；运转类项目0个，涉及预算0万元；特定目标类项目0个，涉及预算0元。</w:t>
      </w:r>
    </w:p>
    <w:p>
      <w:pPr>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ind w:firstLine="640" w:firstLineChars="200"/>
        <w:rPr>
          <w:rFonts w:ascii="仿宋_GB2312" w:hAnsi="黑体" w:eastAsia="仿宋_GB2312"/>
          <w:sz w:val="32"/>
          <w:szCs w:val="32"/>
        </w:rPr>
      </w:pPr>
      <w:r>
        <w:rPr>
          <w:rFonts w:hint="eastAsia" w:ascii="仿宋_GB2312" w:hAnsi="黑体" w:eastAsia="仿宋_GB2312"/>
          <w:sz w:val="32"/>
          <w:szCs w:val="32"/>
        </w:rPr>
        <w:t>1.一般公共预算拨款收入：指县级财政当年拨付的</w:t>
      </w:r>
    </w:p>
    <w:p>
      <w:pPr>
        <w:rPr>
          <w:rFonts w:ascii="仿宋_GB2312" w:hAnsi="黑体" w:eastAsia="仿宋_GB2312"/>
          <w:sz w:val="32"/>
          <w:szCs w:val="32"/>
        </w:rPr>
      </w:pPr>
      <w:r>
        <w:rPr>
          <w:rFonts w:hint="eastAsia" w:ascii="仿宋_GB2312" w:hAnsi="黑体" w:eastAsia="仿宋_GB2312"/>
          <w:sz w:val="32"/>
          <w:szCs w:val="32"/>
        </w:rPr>
        <w:t>资金。</w:t>
      </w:r>
    </w:p>
    <w:p>
      <w:pPr>
        <w:ind w:firstLine="640" w:firstLineChars="200"/>
        <w:rPr>
          <w:rFonts w:hint="eastAsia" w:ascii="仿宋_GB2312" w:eastAsia="仿宋_GB2312"/>
          <w:sz w:val="32"/>
          <w:szCs w:val="32"/>
          <w:shd w:val="clear" w:color="auto" w:fill="FFFFFF"/>
        </w:rPr>
      </w:pPr>
      <w:r>
        <w:rPr>
          <w:rFonts w:hint="eastAsia" w:ascii="仿宋_GB2312" w:hAnsi="黑体" w:eastAsia="仿宋_GB2312"/>
          <w:sz w:val="32"/>
          <w:szCs w:val="32"/>
        </w:rPr>
        <w:t>2.政府性基金预算收入：指按规定收取、转入或通过当年财政安排，纳入政府预算管理，具有指定用途的政府性基金收入。</w:t>
      </w:r>
    </w:p>
    <w:p>
      <w:pPr>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　　3.交通运输支出（类）公路水路运输（款）行政运行（项）：指厅机关及参公管理事业单位用于保障机构正常运行、开展日常工作的基本支出。</w:t>
      </w:r>
    </w:p>
    <w:p>
      <w:pPr>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4.社会保障和就业支出（类）行政事业单位离退休（款）  机关事业单位基本养老保险缴费支出（项）：主要用于单位基本养老保险缴费支出。</w:t>
      </w:r>
    </w:p>
    <w:p>
      <w:pPr>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5.医疗卫生与计划生育支出（类）行政事业单位医疗（款）行政单位医疗（项）：主要用于单位基本医疗保险缴费支出。</w:t>
      </w:r>
    </w:p>
    <w:p>
      <w:pPr>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6.医疗卫生与计划生育支出（类）行政事业单位医疗（款）  公务员医疗补助（项）：主要用于单位基本公务员医疗补助缴费支出。</w:t>
      </w:r>
    </w:p>
    <w:p>
      <w:pPr>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7.医疗卫生与计划生育支出（类）行政事业单位医疗（款）</w:t>
      </w:r>
      <w:r>
        <w:rPr>
          <w:rFonts w:hint="eastAsia" w:ascii="仿宋_GB2312" w:eastAsia="仿宋_GB2312"/>
          <w:sz w:val="32"/>
          <w:szCs w:val="32"/>
          <w:shd w:val="clear" w:color="auto" w:fill="FFFFFF"/>
          <w:lang w:val="en-US" w:eastAsia="zh-CN"/>
        </w:rPr>
        <w:t>事业单位医疗</w:t>
      </w:r>
      <w:r>
        <w:rPr>
          <w:rFonts w:hint="eastAsia" w:ascii="仿宋_GB2312" w:eastAsia="仿宋_GB2312"/>
          <w:sz w:val="32"/>
          <w:szCs w:val="32"/>
          <w:shd w:val="clear" w:color="auto" w:fill="FFFFFF"/>
        </w:rPr>
        <w:t>（项）：主要用于单位基本医疗保险缴费支出。</w:t>
      </w:r>
    </w:p>
    <w:p>
      <w:pPr>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8.住房保障支出（类）住房改革支出（款）住房公积金（项）：指按照《住房公积金管理条例》的规定，由单位及其在职职工缴存的长期住房储金。</w:t>
      </w:r>
    </w:p>
    <w:p>
      <w:pPr>
        <w:ind w:firstLine="64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交通运输支出（类）公路水路运输（款）</w:t>
      </w:r>
      <w:r>
        <w:rPr>
          <w:rFonts w:hint="eastAsia" w:ascii="仿宋_GB2312" w:eastAsia="仿宋_GB2312"/>
          <w:sz w:val="32"/>
          <w:szCs w:val="32"/>
          <w:shd w:val="clear" w:color="auto" w:fill="FFFFFF"/>
          <w:lang w:val="en-US" w:eastAsia="zh-CN"/>
        </w:rPr>
        <w:t>公路建设</w:t>
      </w:r>
      <w:r>
        <w:rPr>
          <w:rFonts w:hint="eastAsia" w:ascii="仿宋_GB2312" w:eastAsia="仿宋_GB2312"/>
          <w:sz w:val="32"/>
          <w:szCs w:val="32"/>
          <w:shd w:val="clear" w:color="auto" w:fill="FFFFFF"/>
        </w:rPr>
        <w:t>（项）</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用于单位项目前期和工程费用。</w:t>
      </w:r>
    </w:p>
    <w:p>
      <w:pPr>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.基本支出：指为保证机构正常运转，完成日常工作任务而发生的人员支出和公用支出。</w:t>
      </w:r>
    </w:p>
    <w:p>
      <w:pPr>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.项目支出：指在基本支出之外为完成特定行政任务和事业发展目标所发生的支出。</w:t>
      </w:r>
    </w:p>
    <w:p>
      <w:pPr>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三公”经费：纳入交通运输局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hint="eastAsia" w:ascii="仿宋_GB2312" w:eastAsia="仿宋_GB2312"/>
          <w:sz w:val="32"/>
          <w:szCs w:val="32"/>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.机关运行经费：为保障行政单位运行用于购买货物和服务的各项资金。包括办公及印刷费、邮电费、差旅费、会议费一般设备购置费等费用开支。</w:t>
      </w:r>
    </w:p>
    <w:p>
      <w:pPr>
        <w:ind w:firstLine="643" w:firstLineChars="200"/>
        <w:rPr>
          <w:rFonts w:ascii="仿宋" w:hAnsi="仿宋" w:eastAsia="仿宋"/>
          <w:b/>
          <w:sz w:val="32"/>
          <w:szCs w:val="32"/>
        </w:rPr>
      </w:pPr>
    </w:p>
    <w:sectPr>
      <w:pgSz w:w="16838" w:h="11906" w:orient="landscape"/>
      <w:pgMar w:top="720" w:right="567" w:bottom="720" w:left="1701" w:header="851" w:footer="992" w:gutter="0"/>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aramon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Dialog.plain">
    <w:altName w:val="Times New Roman"/>
    <w:panose1 w:val="00000000000000000000"/>
    <w:charset w:val="00"/>
    <w:family w:val="roman"/>
    <w:pitch w:val="default"/>
    <w:sig w:usb0="0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284"/>
      <w:rPr>
        <w:rStyle w:val="6"/>
        <w:rFonts w:hint="eastAsia" w:eastAsia="宋体"/>
      </w:rPr>
    </w:pPr>
    <w:r>
      <w:rPr>
        <w:rStyle w:val="6"/>
        <w:sz w:val="28"/>
      </w:rPr>
      <w:t xml:space="preserve"> </w:t>
    </w:r>
    <w:r>
      <w:rPr>
        <w:rStyle w:val="6"/>
        <w:rFonts w:hint="eastAsia" w:ascii="仿宋_GB2312" w:hAnsi="仿宋_GB2312" w:eastAsia="仿宋_GB2312" w:cs="仿宋_GB2312"/>
        <w:sz w:val="28"/>
      </w:rPr>
      <w:t>—</w:t>
    </w:r>
    <w:r>
      <w:rPr>
        <w:rStyle w:val="6"/>
        <w:rFonts w:hint="eastAsia" w:ascii="Times New Roman" w:hAnsi="Times New Roman" w:cs="Times New Roman"/>
        <w:sz w:val="28"/>
      </w:rPr>
      <w:t xml:space="preserve"> </w:t>
    </w:r>
    <w:r>
      <w:rPr>
        <w:rFonts w:ascii="Times New Roman" w:hAnsi="Times New Roman" w:cs="Times New Roman"/>
        <w:sz w:val="28"/>
      </w:rPr>
      <w:fldChar w:fldCharType="begin"/>
    </w:r>
    <w:r>
      <w:rPr>
        <w:rStyle w:val="6"/>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6"/>
        <w:rFonts w:ascii="Times New Roman" w:hAnsi="Times New Roman" w:cs="Times New Roman"/>
        <w:sz w:val="28"/>
      </w:rPr>
      <w:t>12</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hAnsi="仿宋_GB2312" w:eastAsia="仿宋_GB2312" w:cs="仿宋_GB2312"/>
        <w:sz w:val="28"/>
      </w:rPr>
      <w:t>—</w:t>
    </w:r>
  </w:p>
  <w:p>
    <w:pPr>
      <w:pStyle w:val="2"/>
      <w:ind w:right="360" w:firstLine="360"/>
      <w:rPr>
        <w:rFonts w:hint="eastAsia"/>
      </w:rPr>
    </w:pPr>
  </w:p>
  <w:p>
    <w:pPr>
      <w:pStyle w:val="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JjOGRjNDQ3MmEwMzg5MzhlODMwM2JkN2NkNDgzYzgifQ=="/>
  </w:docVars>
  <w:rsids>
    <w:rsidRoot w:val="00172A27"/>
    <w:rsid w:val="0008303D"/>
    <w:rsid w:val="0009191B"/>
    <w:rsid w:val="00172A27"/>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523DB"/>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B3174"/>
    <w:rsid w:val="00AD2C20"/>
    <w:rsid w:val="00B02F7E"/>
    <w:rsid w:val="00B84B47"/>
    <w:rsid w:val="00BD3B46"/>
    <w:rsid w:val="00C01475"/>
    <w:rsid w:val="00C27557"/>
    <w:rsid w:val="00C27F82"/>
    <w:rsid w:val="00C35FF3"/>
    <w:rsid w:val="00C914D1"/>
    <w:rsid w:val="00CD2D6E"/>
    <w:rsid w:val="00CD38A7"/>
    <w:rsid w:val="00D53854"/>
    <w:rsid w:val="00D76264"/>
    <w:rsid w:val="00DA2D0F"/>
    <w:rsid w:val="00DB45D5"/>
    <w:rsid w:val="00DD6A11"/>
    <w:rsid w:val="00E47120"/>
    <w:rsid w:val="00E52006"/>
    <w:rsid w:val="00E53859"/>
    <w:rsid w:val="00E57E2B"/>
    <w:rsid w:val="00E65C6C"/>
    <w:rsid w:val="00E7229A"/>
    <w:rsid w:val="00F241F0"/>
    <w:rsid w:val="00FC4747"/>
    <w:rsid w:val="00FC5BA6"/>
    <w:rsid w:val="00FF35AE"/>
    <w:rsid w:val="01067C6D"/>
    <w:rsid w:val="05FEC680"/>
    <w:rsid w:val="0E3015A8"/>
    <w:rsid w:val="0ECDBE52"/>
    <w:rsid w:val="0FFFB353"/>
    <w:rsid w:val="14662DE7"/>
    <w:rsid w:val="15CE0EB5"/>
    <w:rsid w:val="176D963B"/>
    <w:rsid w:val="177F269F"/>
    <w:rsid w:val="17EE2E8F"/>
    <w:rsid w:val="1B7F798D"/>
    <w:rsid w:val="1DCA7AC1"/>
    <w:rsid w:val="1F3B0AC1"/>
    <w:rsid w:val="1F5E9DB6"/>
    <w:rsid w:val="20BB1156"/>
    <w:rsid w:val="2117AD81"/>
    <w:rsid w:val="21500A96"/>
    <w:rsid w:val="21F75307"/>
    <w:rsid w:val="23953F30"/>
    <w:rsid w:val="23DA7D96"/>
    <w:rsid w:val="24C54418"/>
    <w:rsid w:val="263A0DBE"/>
    <w:rsid w:val="27FB2020"/>
    <w:rsid w:val="2B0A5455"/>
    <w:rsid w:val="2BEE6E8A"/>
    <w:rsid w:val="2E7ACAF3"/>
    <w:rsid w:val="2EFFE7AD"/>
    <w:rsid w:val="2F285E03"/>
    <w:rsid w:val="2FEDA3F1"/>
    <w:rsid w:val="30A27C8C"/>
    <w:rsid w:val="3257C860"/>
    <w:rsid w:val="33FFF3CD"/>
    <w:rsid w:val="352A11F6"/>
    <w:rsid w:val="35415CC5"/>
    <w:rsid w:val="35E035A0"/>
    <w:rsid w:val="37ED2099"/>
    <w:rsid w:val="37FE0A31"/>
    <w:rsid w:val="39D792D9"/>
    <w:rsid w:val="3A8E2A0B"/>
    <w:rsid w:val="3AFBF1C6"/>
    <w:rsid w:val="3BBFDE14"/>
    <w:rsid w:val="3CB393A4"/>
    <w:rsid w:val="3CFE796A"/>
    <w:rsid w:val="3DF11D84"/>
    <w:rsid w:val="3DF3E130"/>
    <w:rsid w:val="3EED8CAE"/>
    <w:rsid w:val="3EF721D5"/>
    <w:rsid w:val="3EFFEFC0"/>
    <w:rsid w:val="3F087854"/>
    <w:rsid w:val="3FB5E172"/>
    <w:rsid w:val="3FDF2925"/>
    <w:rsid w:val="3FDFA91F"/>
    <w:rsid w:val="3FE1DEFB"/>
    <w:rsid w:val="3FE5F325"/>
    <w:rsid w:val="3FEF3B35"/>
    <w:rsid w:val="3FFADC58"/>
    <w:rsid w:val="40685100"/>
    <w:rsid w:val="45B20519"/>
    <w:rsid w:val="47FF5D5C"/>
    <w:rsid w:val="480542FE"/>
    <w:rsid w:val="4B3E44B7"/>
    <w:rsid w:val="4FDE78CE"/>
    <w:rsid w:val="4FFFAA23"/>
    <w:rsid w:val="502142D2"/>
    <w:rsid w:val="52A200E3"/>
    <w:rsid w:val="53682217"/>
    <w:rsid w:val="53A88E30"/>
    <w:rsid w:val="53FAD87A"/>
    <w:rsid w:val="540506AA"/>
    <w:rsid w:val="54CB5471"/>
    <w:rsid w:val="54FE2E33"/>
    <w:rsid w:val="54FFF2CF"/>
    <w:rsid w:val="55124B31"/>
    <w:rsid w:val="567D553A"/>
    <w:rsid w:val="56DBADA4"/>
    <w:rsid w:val="579CE624"/>
    <w:rsid w:val="598A646E"/>
    <w:rsid w:val="5A35532B"/>
    <w:rsid w:val="5A7BF1E5"/>
    <w:rsid w:val="5B0F0CA8"/>
    <w:rsid w:val="5BA78D5E"/>
    <w:rsid w:val="5BB87DBA"/>
    <w:rsid w:val="5BE762D4"/>
    <w:rsid w:val="5DDDD882"/>
    <w:rsid w:val="5DE7BCA1"/>
    <w:rsid w:val="5DFFBFAA"/>
    <w:rsid w:val="5EFFDDE2"/>
    <w:rsid w:val="5F763C0F"/>
    <w:rsid w:val="5F7A982F"/>
    <w:rsid w:val="5F9D057C"/>
    <w:rsid w:val="5FBF1457"/>
    <w:rsid w:val="5FED60AA"/>
    <w:rsid w:val="5FEFF4C2"/>
    <w:rsid w:val="60161979"/>
    <w:rsid w:val="63AB687C"/>
    <w:rsid w:val="63F385C0"/>
    <w:rsid w:val="63F5FE37"/>
    <w:rsid w:val="647F6670"/>
    <w:rsid w:val="64AD03D2"/>
    <w:rsid w:val="672D62F7"/>
    <w:rsid w:val="67513297"/>
    <w:rsid w:val="67F5B1D0"/>
    <w:rsid w:val="69A71AE0"/>
    <w:rsid w:val="6A4FC826"/>
    <w:rsid w:val="6ADF4B0D"/>
    <w:rsid w:val="6AF76FF0"/>
    <w:rsid w:val="6B95175B"/>
    <w:rsid w:val="6BDF5376"/>
    <w:rsid w:val="6BE53CCB"/>
    <w:rsid w:val="6C7B5F76"/>
    <w:rsid w:val="6C811543"/>
    <w:rsid w:val="6CEF960A"/>
    <w:rsid w:val="6D235CF7"/>
    <w:rsid w:val="6DDE03AF"/>
    <w:rsid w:val="6DFD6765"/>
    <w:rsid w:val="6E6C6102"/>
    <w:rsid w:val="6E7E5440"/>
    <w:rsid w:val="6ED5ABCE"/>
    <w:rsid w:val="6EFF482F"/>
    <w:rsid w:val="6F632200"/>
    <w:rsid w:val="6F6DD354"/>
    <w:rsid w:val="6F850745"/>
    <w:rsid w:val="6FBBC877"/>
    <w:rsid w:val="6FF9921E"/>
    <w:rsid w:val="6FFC7CC5"/>
    <w:rsid w:val="6FFD7550"/>
    <w:rsid w:val="6FFDCB73"/>
    <w:rsid w:val="72AF49AA"/>
    <w:rsid w:val="72DF0FFC"/>
    <w:rsid w:val="72E75F44"/>
    <w:rsid w:val="7396C1D0"/>
    <w:rsid w:val="73EFEF94"/>
    <w:rsid w:val="73F99EB8"/>
    <w:rsid w:val="748DFD08"/>
    <w:rsid w:val="753C9906"/>
    <w:rsid w:val="7561323F"/>
    <w:rsid w:val="75B7E1FE"/>
    <w:rsid w:val="75F06C92"/>
    <w:rsid w:val="75FEC521"/>
    <w:rsid w:val="76FF1A62"/>
    <w:rsid w:val="776E1AB0"/>
    <w:rsid w:val="777ED2E6"/>
    <w:rsid w:val="77D7EAC5"/>
    <w:rsid w:val="77DFF40B"/>
    <w:rsid w:val="77E71F46"/>
    <w:rsid w:val="77FF6978"/>
    <w:rsid w:val="77FF9FAA"/>
    <w:rsid w:val="77FFA2D4"/>
    <w:rsid w:val="78FF8B8B"/>
    <w:rsid w:val="79FFA147"/>
    <w:rsid w:val="7AD41DBD"/>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autoRedefine/>
    <w:qFormat/>
    <w:uiPriority w:val="0"/>
  </w:style>
  <w:style w:type="paragraph" w:styleId="7">
    <w:name w:val="List Paragraph"/>
    <w:basedOn w:val="1"/>
    <w:autoRedefine/>
    <w:qFormat/>
    <w:uiPriority w:val="34"/>
    <w:pPr>
      <w:ind w:firstLine="420" w:firstLineChars="200"/>
    </w:pPr>
  </w:style>
  <w:style w:type="character" w:customStyle="1" w:styleId="8">
    <w:name w:val="页眉 Char"/>
    <w:basedOn w:val="5"/>
    <w:link w:val="3"/>
    <w:autoRedefine/>
    <w:qFormat/>
    <w:uiPriority w:val="99"/>
    <w:rPr>
      <w:sz w:val="18"/>
      <w:szCs w:val="18"/>
    </w:rPr>
  </w:style>
  <w:style w:type="character" w:customStyle="1" w:styleId="9">
    <w:name w:val="页脚 Char"/>
    <w:basedOn w:val="5"/>
    <w:link w:val="2"/>
    <w:autoRedefine/>
    <w:qFormat/>
    <w:uiPriority w:val="99"/>
    <w:rPr>
      <w:sz w:val="18"/>
      <w:szCs w:val="18"/>
    </w:rPr>
  </w:style>
  <w:style w:type="character" w:customStyle="1" w:styleId="10">
    <w:name w:val="font01"/>
    <w:basedOn w:val="5"/>
    <w:autoRedefine/>
    <w:qFormat/>
    <w:uiPriority w:val="0"/>
    <w:rPr>
      <w:rFonts w:hint="eastAsia" w:ascii="宋体" w:hAnsi="宋体" w:eastAsia="宋体" w:cs="宋体"/>
      <w:color w:val="000000"/>
      <w:sz w:val="22"/>
      <w:szCs w:val="22"/>
      <w:u w:val="none"/>
    </w:rPr>
  </w:style>
  <w:style w:type="character" w:customStyle="1" w:styleId="11">
    <w:name w:val="font71"/>
    <w:basedOn w:val="5"/>
    <w:autoRedefine/>
    <w:qFormat/>
    <w:uiPriority w:val="0"/>
    <w:rPr>
      <w:rFonts w:hint="eastAsia" w:ascii="宋体" w:hAnsi="宋体" w:eastAsia="宋体" w:cs="宋体"/>
      <w:b/>
      <w:bCs/>
      <w:color w:val="000000"/>
      <w:sz w:val="22"/>
      <w:szCs w:val="22"/>
      <w:u w:val="none"/>
    </w:rPr>
  </w:style>
  <w:style w:type="character" w:customStyle="1" w:styleId="12">
    <w:name w:val="font11"/>
    <w:basedOn w:val="5"/>
    <w:autoRedefine/>
    <w:qFormat/>
    <w:uiPriority w:val="0"/>
    <w:rPr>
      <w:rFonts w:hint="eastAsia" w:ascii="宋体" w:hAnsi="宋体" w:eastAsia="宋体" w:cs="宋体"/>
      <w:color w:val="000000"/>
      <w:sz w:val="22"/>
      <w:szCs w:val="22"/>
      <w:u w:val="none"/>
    </w:rPr>
  </w:style>
  <w:style w:type="character" w:customStyle="1" w:styleId="13">
    <w:name w:val="font31"/>
    <w:basedOn w:val="5"/>
    <w:autoRedefine/>
    <w:qFormat/>
    <w:uiPriority w:val="0"/>
    <w:rPr>
      <w:rFonts w:hint="eastAsia" w:ascii="宋体" w:hAnsi="宋体" w:eastAsia="宋体" w:cs="宋体"/>
      <w:color w:val="000000"/>
      <w:sz w:val="22"/>
      <w:szCs w:val="22"/>
      <w:u w:val="none"/>
    </w:rPr>
  </w:style>
  <w:style w:type="character" w:customStyle="1" w:styleId="14">
    <w:name w:val="font51"/>
    <w:basedOn w:val="5"/>
    <w:autoRedefine/>
    <w:qFormat/>
    <w:uiPriority w:val="0"/>
    <w:rPr>
      <w:rFonts w:hint="eastAsia" w:ascii="宋体" w:hAnsi="宋体" w:eastAsia="宋体" w:cs="宋体"/>
      <w:color w:val="000000"/>
      <w:sz w:val="18"/>
      <w:szCs w:val="18"/>
      <w:u w:val="none"/>
    </w:rPr>
  </w:style>
  <w:style w:type="character" w:customStyle="1" w:styleId="15">
    <w:name w:val="font41"/>
    <w:basedOn w:val="5"/>
    <w:autoRedefine/>
    <w:qFormat/>
    <w:uiPriority w:val="0"/>
    <w:rPr>
      <w:rFonts w:hint="default" w:ascii="Dialog.plain" w:hAnsi="Dialog.plain"/>
      <w:color w:val="000000"/>
      <w:sz w:val="22"/>
      <w:szCs w:val="22"/>
      <w:u w:val="none"/>
    </w:rPr>
  </w:style>
  <w:style w:type="character" w:customStyle="1" w:styleId="16">
    <w:name w:val="font91"/>
    <w:basedOn w:val="5"/>
    <w:autoRedefine/>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2639</Words>
  <Characters>15045</Characters>
  <Lines>125</Lines>
  <Paragraphs>35</Paragraphs>
  <TotalTime>13</TotalTime>
  <ScaleCrop>false</ScaleCrop>
  <LinksUpToDate>false</LinksUpToDate>
  <CharactersWithSpaces>17649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有麒如玉</cp:lastModifiedBy>
  <dcterms:modified xsi:type="dcterms:W3CDTF">2024-02-03T03:39:58Z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C665B6D705A04D4B9537EF18DFBB5B9E</vt:lpwstr>
  </property>
</Properties>
</file>