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711A5">
      <w:pPr>
        <w:widowControl w:val="0"/>
        <w:autoSpaceDE w:val="0"/>
        <w:autoSpaceDN w:val="0"/>
        <w:spacing w:before="0" w:after="0" w:line="329" w:lineRule="exact"/>
        <w:ind w:left="0" w:right="0" w:firstLine="0"/>
        <w:jc w:val="center"/>
        <w:rPr>
          <w:rFonts w:hint="eastAsia" w:ascii="宋体" w:hAnsi="宋体" w:cs="宋体"/>
          <w:color w:val="000000"/>
          <w:spacing w:val="0"/>
          <w:sz w:val="33"/>
          <w:lang w:val="en-US" w:eastAsia="zh-CN"/>
        </w:rPr>
      </w:pPr>
      <w:bookmarkStart w:id="0" w:name="_Toc15377425"/>
      <w:bookmarkStart w:id="1" w:name="_Toc15306267"/>
      <w:bookmarkStart w:id="2" w:name="_Toc15377193"/>
      <w:bookmarkStart w:id="3" w:name="_Toc15396597"/>
      <w:bookmarkStart w:id="4" w:name="_Toc15396475"/>
      <w:bookmarkStart w:id="5" w:name="_Toc15378441"/>
      <w:r>
        <w:rPr>
          <w:rFonts w:hint="eastAsia" w:ascii="宋体" w:hAnsi="宋体" w:cs="宋体"/>
          <w:color w:val="000000"/>
          <w:spacing w:val="0"/>
          <w:sz w:val="33"/>
          <w:lang w:val="en-US" w:eastAsia="zh-CN"/>
        </w:rPr>
        <w:t>2024年度</w:t>
      </w:r>
    </w:p>
    <w:p w14:paraId="6FA5597A">
      <w:pPr>
        <w:widowControl w:val="0"/>
        <w:autoSpaceDE w:val="0"/>
        <w:autoSpaceDN w:val="0"/>
        <w:spacing w:before="0" w:after="0" w:line="329" w:lineRule="exact"/>
        <w:ind w:left="0" w:right="0" w:firstLine="0"/>
        <w:jc w:val="left"/>
        <w:rPr>
          <w:rFonts w:ascii="宋体" w:hAnsi="宋体" w:cs="宋体"/>
          <w:color w:val="000000"/>
          <w:spacing w:val="0"/>
          <w:sz w:val="33"/>
        </w:rPr>
      </w:pPr>
    </w:p>
    <w:p w14:paraId="74FD96D0">
      <w:pPr>
        <w:rPr>
          <w:rFonts w:ascii="宋体" w:hAnsi="宋体" w:cs="宋体"/>
          <w:color w:val="000000"/>
          <w:spacing w:val="0"/>
          <w:sz w:val="33"/>
        </w:rPr>
      </w:pPr>
      <w:r>
        <w:rPr>
          <w:rFonts w:ascii="宋体" w:hAnsi="宋体" w:cs="宋体"/>
          <w:color w:val="000000"/>
          <w:spacing w:val="0"/>
          <w:sz w:val="33"/>
        </w:rPr>
        <w:t>四川省阿坝州九寨沟县交通工程质量检验监督站单位决算</w:t>
      </w:r>
    </w:p>
    <w:p w14:paraId="3D6ED198">
      <w:pPr>
        <w:rPr>
          <w:rFonts w:ascii="宋体" w:hAnsi="宋体" w:cs="宋体"/>
          <w:color w:val="000000"/>
          <w:spacing w:val="0"/>
          <w:sz w:val="33"/>
        </w:rPr>
      </w:pPr>
    </w:p>
    <w:p w14:paraId="4C7EF553">
      <w:pPr>
        <w:rPr>
          <w:rFonts w:ascii="宋体" w:hAnsi="宋体" w:cs="宋体"/>
          <w:color w:val="000000"/>
          <w:spacing w:val="0"/>
          <w:sz w:val="33"/>
        </w:rPr>
      </w:pPr>
    </w:p>
    <w:p w14:paraId="659ED55F">
      <w:pPr>
        <w:rPr>
          <w:rFonts w:ascii="宋体" w:hAnsi="宋体" w:cs="宋体"/>
          <w:color w:val="000000"/>
          <w:spacing w:val="0"/>
          <w:sz w:val="33"/>
        </w:rPr>
      </w:pPr>
    </w:p>
    <w:p w14:paraId="7B7C3415">
      <w:pPr>
        <w:rPr>
          <w:rFonts w:ascii="宋体" w:hAnsi="宋体" w:cs="宋体"/>
          <w:color w:val="000000"/>
          <w:spacing w:val="0"/>
          <w:sz w:val="33"/>
        </w:rPr>
      </w:pPr>
    </w:p>
    <w:p w14:paraId="097E2E8A">
      <w:pPr>
        <w:rPr>
          <w:rFonts w:ascii="宋体" w:hAnsi="宋体" w:cs="宋体"/>
          <w:color w:val="000000"/>
          <w:spacing w:val="0"/>
          <w:sz w:val="33"/>
        </w:rPr>
      </w:pPr>
    </w:p>
    <w:p w14:paraId="2212D526">
      <w:pPr>
        <w:rPr>
          <w:rFonts w:ascii="宋体" w:hAnsi="宋体" w:cs="宋体"/>
          <w:color w:val="000000"/>
          <w:spacing w:val="0"/>
          <w:sz w:val="33"/>
        </w:rPr>
      </w:pPr>
    </w:p>
    <w:p w14:paraId="4F456C06">
      <w:pPr>
        <w:rPr>
          <w:rFonts w:ascii="宋体" w:hAnsi="宋体" w:cs="宋体"/>
          <w:color w:val="000000"/>
          <w:spacing w:val="0"/>
          <w:sz w:val="33"/>
        </w:rPr>
      </w:pPr>
    </w:p>
    <w:p w14:paraId="62B57CE9">
      <w:pPr>
        <w:rPr>
          <w:rFonts w:ascii="宋体" w:hAnsi="宋体" w:cs="宋体"/>
          <w:color w:val="000000"/>
          <w:spacing w:val="0"/>
          <w:sz w:val="33"/>
        </w:rPr>
      </w:pPr>
    </w:p>
    <w:p w14:paraId="745102BA">
      <w:pPr>
        <w:rPr>
          <w:rFonts w:ascii="宋体" w:hAnsi="宋体" w:cs="宋体"/>
          <w:color w:val="000000"/>
          <w:spacing w:val="0"/>
          <w:sz w:val="33"/>
        </w:rPr>
      </w:pPr>
    </w:p>
    <w:p w14:paraId="55303952">
      <w:pPr>
        <w:rPr>
          <w:rFonts w:ascii="宋体" w:hAnsi="宋体" w:cs="宋体"/>
          <w:color w:val="000000"/>
          <w:spacing w:val="0"/>
          <w:sz w:val="33"/>
        </w:rPr>
      </w:pPr>
    </w:p>
    <w:p w14:paraId="7A03F38E">
      <w:pPr>
        <w:rPr>
          <w:rFonts w:ascii="宋体" w:hAnsi="宋体" w:cs="宋体"/>
          <w:color w:val="000000"/>
          <w:spacing w:val="0"/>
          <w:sz w:val="33"/>
        </w:rPr>
      </w:pPr>
    </w:p>
    <w:p w14:paraId="7A9AEE07">
      <w:pPr>
        <w:rPr>
          <w:rFonts w:ascii="宋体" w:hAnsi="宋体" w:cs="宋体"/>
          <w:color w:val="000000"/>
          <w:spacing w:val="0"/>
          <w:sz w:val="33"/>
        </w:rPr>
      </w:pPr>
    </w:p>
    <w:p w14:paraId="3843DCAD">
      <w:pPr>
        <w:rPr>
          <w:rFonts w:ascii="宋体" w:hAnsi="宋体" w:cs="宋体"/>
          <w:color w:val="000000"/>
          <w:spacing w:val="0"/>
          <w:sz w:val="33"/>
        </w:rPr>
      </w:pPr>
    </w:p>
    <w:p w14:paraId="59FF6E71">
      <w:pPr>
        <w:rPr>
          <w:rFonts w:ascii="宋体" w:hAnsi="宋体" w:cs="宋体"/>
          <w:color w:val="000000"/>
          <w:spacing w:val="0"/>
          <w:sz w:val="33"/>
        </w:rPr>
      </w:pPr>
    </w:p>
    <w:p w14:paraId="2DFFD43C">
      <w:pPr>
        <w:rPr>
          <w:rFonts w:ascii="宋体" w:hAnsi="宋体" w:cs="宋体"/>
          <w:color w:val="000000"/>
          <w:spacing w:val="0"/>
          <w:sz w:val="33"/>
        </w:rPr>
      </w:pPr>
    </w:p>
    <w:p w14:paraId="7AF8BCF3">
      <w:pPr>
        <w:rPr>
          <w:rFonts w:ascii="宋体" w:hAnsi="宋体" w:cs="宋体"/>
          <w:color w:val="000000"/>
          <w:spacing w:val="0"/>
          <w:sz w:val="33"/>
        </w:rPr>
      </w:pPr>
    </w:p>
    <w:p w14:paraId="01BD6EA4">
      <w:pPr>
        <w:rPr>
          <w:rFonts w:ascii="宋体" w:hAnsi="宋体" w:cs="宋体"/>
          <w:color w:val="000000"/>
          <w:spacing w:val="0"/>
          <w:sz w:val="33"/>
        </w:rPr>
      </w:pPr>
    </w:p>
    <w:p w14:paraId="78C1F978">
      <w:pPr>
        <w:rPr>
          <w:rFonts w:ascii="宋体" w:hAnsi="宋体" w:cs="宋体"/>
          <w:color w:val="000000"/>
          <w:spacing w:val="0"/>
          <w:sz w:val="33"/>
        </w:rPr>
      </w:pPr>
    </w:p>
    <w:p w14:paraId="1D2042DE">
      <w:pPr>
        <w:rPr>
          <w:rFonts w:ascii="宋体" w:hAnsi="宋体" w:cs="宋体"/>
          <w:color w:val="000000"/>
          <w:spacing w:val="0"/>
          <w:sz w:val="33"/>
        </w:rPr>
      </w:pPr>
    </w:p>
    <w:p w14:paraId="2EEAE2BC">
      <w:pPr>
        <w:rPr>
          <w:rFonts w:ascii="宋体" w:hAnsi="宋体" w:cs="宋体"/>
          <w:color w:val="000000"/>
          <w:spacing w:val="0"/>
          <w:sz w:val="33"/>
        </w:rPr>
      </w:pPr>
    </w:p>
    <w:bookmarkEnd w:id="0"/>
    <w:bookmarkEnd w:id="1"/>
    <w:bookmarkEnd w:id="2"/>
    <w:bookmarkEnd w:id="3"/>
    <w:bookmarkEnd w:id="4"/>
    <w:bookmarkEnd w:id="5"/>
    <w:p w14:paraId="782D3A2A">
      <w:pPr>
        <w:widowControl/>
        <w:jc w:val="center"/>
        <w:rPr>
          <w:rFonts w:eastAsia="黑体"/>
          <w:sz w:val="48"/>
          <w:szCs w:val="48"/>
        </w:rPr>
      </w:pPr>
      <w:r>
        <w:rPr>
          <w:rFonts w:hint="eastAsia" w:eastAsia="黑体"/>
          <w:sz w:val="48"/>
          <w:szCs w:val="48"/>
        </w:rPr>
        <w:t>目录</w:t>
      </w:r>
    </w:p>
    <w:p w14:paraId="53E3E747">
      <w:pPr>
        <w:widowControl/>
        <w:jc w:val="center"/>
        <w:rPr>
          <w:rFonts w:eastAsia="黑体" w:cstheme="minorBidi"/>
          <w:sz w:val="28"/>
          <w:szCs w:val="28"/>
        </w:rPr>
      </w:pPr>
    </w:p>
    <w:p w14:paraId="10053392">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公开时间：2024年</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日</w:t>
      </w:r>
    </w:p>
    <w:p w14:paraId="56D16A37"/>
    <w:p w14:paraId="368A0713">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..........................................................4</w:t>
      </w:r>
    </w:p>
    <w:p w14:paraId="6F596C0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.............................................................4</w:t>
      </w:r>
    </w:p>
    <w:p w14:paraId="462DA62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...............................................................6</w:t>
      </w:r>
    </w:p>
    <w:p w14:paraId="36698364">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lang w:val="en-US" w:eastAsia="zh-CN"/>
        </w:rPr>
        <w:t>..........................7</w:t>
      </w:r>
    </w:p>
    <w:p w14:paraId="785BDD24">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............................7</w:t>
      </w:r>
    </w:p>
    <w:p w14:paraId="1DAC703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.............................................7</w:t>
      </w:r>
    </w:p>
    <w:p w14:paraId="53108B0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................................................7</w:t>
      </w:r>
    </w:p>
    <w:p w14:paraId="7C0C1366">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.............7</w:t>
      </w:r>
    </w:p>
    <w:p w14:paraId="46127E9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......8</w:t>
      </w:r>
    </w:p>
    <w:p w14:paraId="387C80C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....9</w:t>
      </w:r>
    </w:p>
    <w:p w14:paraId="4BD28DEA">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...........10</w:t>
      </w:r>
    </w:p>
    <w:p w14:paraId="04D5DC65">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......................10</w:t>
      </w:r>
    </w:p>
    <w:p w14:paraId="4D0D4F98">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..................10</w:t>
      </w:r>
    </w:p>
    <w:p w14:paraId="179CEB89">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.....................................10</w:t>
      </w:r>
    </w:p>
    <w:p w14:paraId="5C06D086">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...............................................................14</w:t>
      </w:r>
    </w:p>
    <w:p w14:paraId="016B053A">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........................................................................15</w:t>
      </w:r>
    </w:p>
    <w:p w14:paraId="4F117ED9">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.........................................................................16</w:t>
      </w:r>
      <w:bookmarkStart w:id="61" w:name="_GoBack"/>
      <w:bookmarkEnd w:id="61"/>
    </w:p>
    <w:p w14:paraId="52F4701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099E5E3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3AF8776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18E2EE4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47EADE3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21F4D4B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49710A6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00C7CB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1C7E354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414459C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6A302CB2">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7D02F94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4A7B599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6EA12C20">
      <w:pPr>
        <w:pStyle w:val="14"/>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14:paraId="4FBDC345">
      <w:pPr>
        <w:widowControl/>
        <w:spacing w:line="560" w:lineRule="exact"/>
        <w:jc w:val="left"/>
        <w:rPr>
          <w:rFonts w:eastAsia="仿宋_GB2312" w:cs="仿宋_GB2312"/>
          <w:bCs/>
          <w:kern w:val="44"/>
          <w:sz w:val="32"/>
          <w:szCs w:val="32"/>
        </w:rPr>
      </w:pPr>
      <w:bookmarkStart w:id="6" w:name="_Toc15396599"/>
      <w:bookmarkStart w:id="7" w:name="_Toc15377196"/>
      <w:r>
        <w:rPr>
          <w:rFonts w:hint="eastAsia" w:eastAsia="仿宋_GB2312" w:cs="仿宋_GB2312"/>
          <w:b/>
          <w:sz w:val="32"/>
          <w:szCs w:val="32"/>
        </w:rPr>
        <w:br w:type="page"/>
      </w:r>
    </w:p>
    <w:p w14:paraId="7442741C">
      <w:pPr>
        <w:pStyle w:val="2"/>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6"/>
      <w:bookmarkEnd w:id="7"/>
    </w:p>
    <w:p w14:paraId="5C4CBD50">
      <w:pPr>
        <w:widowControl/>
        <w:jc w:val="left"/>
        <w:rPr>
          <w:rFonts w:eastAsia="黑体"/>
          <w:sz w:val="32"/>
          <w:szCs w:val="32"/>
        </w:rPr>
      </w:pPr>
    </w:p>
    <w:p w14:paraId="03A80CB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黑体" w:cs="Times New Roman"/>
          <w:color w:val="000000"/>
          <w:sz w:val="32"/>
          <w:szCs w:val="32"/>
          <w:lang w:val="en-US" w:eastAsia="zh-CN"/>
        </w:rPr>
      </w:pPr>
      <w:bookmarkStart w:id="8" w:name="_Toc15377200"/>
      <w:bookmarkStart w:id="9" w:name="_Toc15396601"/>
      <w:r>
        <w:rPr>
          <w:rFonts w:hint="default" w:ascii="Times New Roman" w:hAnsi="Times New Roman" w:eastAsia="黑体" w:cs="Times New Roman"/>
          <w:color w:val="000000"/>
          <w:sz w:val="32"/>
          <w:szCs w:val="32"/>
          <w:lang w:val="en-US" w:eastAsia="zh-CN"/>
        </w:rPr>
        <w:t>一、主要职责</w:t>
      </w:r>
    </w:p>
    <w:p w14:paraId="0CCE8806">
      <w:pPr>
        <w:pStyle w:val="7"/>
        <w:ind w:left="0" w:leftChars="0" w:firstLine="643" w:firstLineChars="200"/>
        <w:jc w:val="left"/>
        <w:rPr>
          <w:rFonts w:hint="default" w:ascii="Times New Roman" w:hAnsi="Times New Roman" w:eastAsia="仿宋_GB2312" w:cs="Times New Roman"/>
          <w:b/>
          <w:bCs/>
          <w:color w:val="000000"/>
          <w:sz w:val="32"/>
          <w:szCs w:val="32"/>
          <w:lang w:val="en-US" w:eastAsia="zh-CN" w:bidi="ar-SA"/>
        </w:rPr>
      </w:pPr>
      <w:r>
        <w:rPr>
          <w:rFonts w:hint="default" w:ascii="Times New Roman" w:hAnsi="Times New Roman" w:eastAsia="仿宋_GB2312" w:cs="Times New Roman"/>
          <w:b/>
          <w:bCs/>
          <w:color w:val="000000"/>
          <w:sz w:val="32"/>
          <w:szCs w:val="32"/>
          <w:lang w:val="en-US" w:eastAsia="zh-CN" w:bidi="ar-SA"/>
        </w:rPr>
        <w:t>（一）主要职能。</w:t>
      </w:r>
    </w:p>
    <w:p w14:paraId="50EDE9C8">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1、贯彻执行国家、省、州有关交通运输行业的方针、政策和法律、法规。组织拟订并监督实施公路、水路等行业规划、政策和标准，会同有关部门组织编制综合运输体系规划，参与拟订物流业发展战略和规划。</w:t>
      </w:r>
    </w:p>
    <w:p w14:paraId="72BDDE7F">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根据上级部门的总体部署，编制全县公路和水路行业发展规划、中长期规划和年度计划，并监督实施。负责全县交通行业统计和信息引导。负责本系统、本部门依法行政工作，落实行政执法责任制。指导公路、水路行业有关体制改革工作。</w:t>
      </w:r>
    </w:p>
    <w:p w14:paraId="7AF32422">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14:paraId="6FDFD66B">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4、负责全县公路、水路交通建设(含客货运输旅游运输场站建设)行业管理，维护交通建设行业平等竞争的秩序，组织实施国家、省、州、县重点公路、水路工程建设；监督全县地方交通建设项目实施。</w:t>
      </w:r>
    </w:p>
    <w:p w14:paraId="5122855E">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5、负责全县公路、水路交通设施的维护、管理；负责全县公路，桥梁、隧道收取通行费、站卡设置的协调和管理。</w:t>
      </w:r>
    </w:p>
    <w:p w14:paraId="60E08479">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6、负责全县水上交通安全监督、船舶及水上设施检验，通讯导航，救助打捞、船舶代理的管理；负责船员技术培训和发证的归口管理。</w:t>
      </w:r>
    </w:p>
    <w:p w14:paraId="7ADBC5E1">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7、指导公路、水路行业安全生产和应急管理工作。按规定组织协调重点物资和紧急客货运输。组织协调地方交通战备工作。</w:t>
      </w:r>
    </w:p>
    <w:p w14:paraId="5A84684A">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8、贯彻执行国家有关交通科技政策、指导实施交通行业计量、质量、技术标准和规范工作；组织推动行业科技创新、科技进步和技术推广。</w:t>
      </w:r>
    </w:p>
    <w:p w14:paraId="010BE6B6">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9、指导全县交通行业的体制改革和交通特许经营企业的管理，建立健全规范的交通行业财务管理与会计核算体系。监督管理全县交通行业国有资产。</w:t>
      </w:r>
    </w:p>
    <w:p w14:paraId="534A3206">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14:paraId="062E1676">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11、负责有关交通涉外工作，指导交通行业利用外资工作：开展省际、市地、州、县际交通经济技术合作与交流工作。</w:t>
      </w:r>
    </w:p>
    <w:p w14:paraId="3A944DD5">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12、会同有关部门制定、执行涉及交通的有关地方政策。</w:t>
      </w:r>
    </w:p>
    <w:p w14:paraId="40405F92">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13、承担县政府公布的有关行政审批事项。</w:t>
      </w:r>
    </w:p>
    <w:p w14:paraId="4578BD76">
      <w:pPr>
        <w:pStyle w:val="7"/>
        <w:ind w:left="0" w:leftChars="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14、承办县政府交办的其他事项。</w:t>
      </w:r>
    </w:p>
    <w:p w14:paraId="0E448EAB">
      <w:pPr>
        <w:pStyle w:val="3"/>
        <w:rPr>
          <w:rStyle w:val="29"/>
          <w:rFonts w:ascii="Times New Roman" w:hAnsi="Times New Roman"/>
          <w:b w:val="0"/>
          <w:bCs w:val="0"/>
        </w:rPr>
      </w:pPr>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8"/>
      <w:bookmarkEnd w:id="9"/>
    </w:p>
    <w:p w14:paraId="7F1046AF">
      <w:pPr>
        <w:ind w:firstLine="800" w:firstLineChars="250"/>
        <w:rPr>
          <w:rFonts w:eastAsia="仿宋_GB2312" w:cs="仿宋_GB2312"/>
          <w:sz w:val="32"/>
          <w:szCs w:val="32"/>
        </w:rPr>
      </w:pPr>
      <w:r>
        <w:rPr>
          <w:rFonts w:hint="default" w:ascii="Times New Roman" w:hAnsi="Times New Roman" w:eastAsia="仿宋_GB2312" w:cs="Times New Roman"/>
          <w:color w:val="000000"/>
          <w:sz w:val="32"/>
          <w:szCs w:val="32"/>
          <w:lang w:val="en-US" w:eastAsia="zh-CN" w:bidi="ar-SA"/>
        </w:rPr>
        <w:t>202</w:t>
      </w:r>
      <w:r>
        <w:rPr>
          <w:rFonts w:hint="eastAsia" w:ascii="Times New Roman" w:hAnsi="Times New Roman" w:eastAsia="仿宋_GB2312" w:cs="Times New Roman"/>
          <w:color w:val="000000"/>
          <w:sz w:val="32"/>
          <w:szCs w:val="32"/>
          <w:lang w:val="en-US" w:eastAsia="zh-CN" w:bidi="ar-SA"/>
        </w:rPr>
        <w:t>4</w:t>
      </w:r>
      <w:r>
        <w:rPr>
          <w:rFonts w:hint="default" w:ascii="Times New Roman" w:hAnsi="Times New Roman" w:eastAsia="仿宋_GB2312" w:cs="Times New Roman"/>
          <w:color w:val="000000"/>
          <w:sz w:val="32"/>
          <w:szCs w:val="32"/>
          <w:lang w:val="en-US" w:eastAsia="zh-CN" w:bidi="ar-SA"/>
        </w:rPr>
        <w:t xml:space="preserve">年单位机构数为 1 个，事业机构 2 个；财政供养人员编制为 </w:t>
      </w:r>
      <w:r>
        <w:rPr>
          <w:rFonts w:hint="eastAsia" w:ascii="Times New Roman" w:hAnsi="Times New Roman" w:eastAsia="仿宋_GB2312" w:cs="Times New Roman"/>
          <w:color w:val="000000"/>
          <w:sz w:val="32"/>
          <w:szCs w:val="32"/>
          <w:lang w:val="en-US" w:eastAsia="zh-CN" w:bidi="ar-SA"/>
        </w:rPr>
        <w:t>12</w:t>
      </w:r>
      <w:r>
        <w:rPr>
          <w:rFonts w:hint="default" w:ascii="Times New Roman" w:hAnsi="Times New Roman" w:eastAsia="仿宋_GB2312" w:cs="Times New Roman"/>
          <w:color w:val="000000"/>
          <w:sz w:val="32"/>
          <w:szCs w:val="32"/>
          <w:lang w:val="en-US" w:eastAsia="zh-CN" w:bidi="ar-SA"/>
        </w:rPr>
        <w:t xml:space="preserve"> 名，事业编制 1</w:t>
      </w:r>
      <w:r>
        <w:rPr>
          <w:rFonts w:hint="eastAsia" w:ascii="Times New Roman" w:hAnsi="Times New Roman" w:eastAsia="仿宋_GB2312" w:cs="Times New Roman"/>
          <w:color w:val="000000"/>
          <w:sz w:val="32"/>
          <w:szCs w:val="32"/>
          <w:lang w:val="en-US" w:eastAsia="zh-CN" w:bidi="ar-SA"/>
        </w:rPr>
        <w:t>2</w:t>
      </w:r>
      <w:r>
        <w:rPr>
          <w:rFonts w:hint="default" w:ascii="Times New Roman" w:hAnsi="Times New Roman" w:eastAsia="仿宋_GB2312" w:cs="Times New Roman"/>
          <w:color w:val="000000"/>
          <w:sz w:val="32"/>
          <w:szCs w:val="32"/>
          <w:lang w:val="en-US" w:eastAsia="zh-CN" w:bidi="ar-SA"/>
        </w:rPr>
        <w:t xml:space="preserve"> 名；202</w:t>
      </w:r>
      <w:r>
        <w:rPr>
          <w:rFonts w:hint="eastAsia" w:eastAsia="仿宋_GB2312" w:cs="Times New Roman"/>
          <w:color w:val="000000"/>
          <w:sz w:val="32"/>
          <w:szCs w:val="32"/>
          <w:lang w:val="en-US" w:eastAsia="zh-CN" w:bidi="ar-SA"/>
        </w:rPr>
        <w:t>4</w:t>
      </w:r>
      <w:r>
        <w:rPr>
          <w:rFonts w:hint="default" w:ascii="Times New Roman" w:hAnsi="Times New Roman" w:eastAsia="仿宋_GB2312" w:cs="Times New Roman"/>
          <w:color w:val="000000"/>
          <w:sz w:val="32"/>
          <w:szCs w:val="32"/>
          <w:lang w:val="en-US" w:eastAsia="zh-CN" w:bidi="ar-SA"/>
        </w:rPr>
        <w:t xml:space="preserve">年实际财政供养人员 </w:t>
      </w:r>
      <w:r>
        <w:rPr>
          <w:rFonts w:hint="eastAsia" w:ascii="Times New Roman" w:hAnsi="Times New Roman" w:eastAsia="仿宋_GB2312" w:cs="Times New Roman"/>
          <w:color w:val="000000"/>
          <w:sz w:val="32"/>
          <w:szCs w:val="32"/>
          <w:lang w:val="en-US" w:eastAsia="zh-CN" w:bidi="ar-SA"/>
        </w:rPr>
        <w:t>12</w:t>
      </w:r>
      <w:r>
        <w:rPr>
          <w:rFonts w:hint="default" w:ascii="Times New Roman" w:hAnsi="Times New Roman" w:eastAsia="仿宋_GB2312" w:cs="Times New Roman"/>
          <w:color w:val="000000"/>
          <w:sz w:val="32"/>
          <w:szCs w:val="32"/>
          <w:lang w:val="en-US" w:eastAsia="zh-CN" w:bidi="ar-SA"/>
        </w:rPr>
        <w:t xml:space="preserve"> 人， 事业 1</w:t>
      </w:r>
      <w:r>
        <w:rPr>
          <w:rFonts w:hint="eastAsia" w:ascii="Times New Roman" w:hAnsi="Times New Roman" w:eastAsia="仿宋_GB2312" w:cs="Times New Roman"/>
          <w:color w:val="000000"/>
          <w:sz w:val="32"/>
          <w:szCs w:val="32"/>
          <w:lang w:val="en-US" w:eastAsia="zh-CN" w:bidi="ar-SA"/>
        </w:rPr>
        <w:t>2</w:t>
      </w:r>
      <w:r>
        <w:rPr>
          <w:rFonts w:hint="default" w:ascii="Times New Roman" w:hAnsi="Times New Roman" w:eastAsia="仿宋_GB2312" w:cs="Times New Roman"/>
          <w:color w:val="000000"/>
          <w:sz w:val="32"/>
          <w:szCs w:val="32"/>
          <w:lang w:val="en-US" w:eastAsia="zh-CN" w:bidi="ar-SA"/>
        </w:rPr>
        <w:t>人。</w:t>
      </w:r>
    </w:p>
    <w:p w14:paraId="707B4A8A">
      <w:pPr>
        <w:pStyle w:val="5"/>
        <w:adjustRightInd w:val="0"/>
        <w:snapToGrid w:val="0"/>
        <w:spacing w:before="93" w:line="600" w:lineRule="exact"/>
        <w:ind w:firstLine="1120" w:firstLineChars="350"/>
        <w:rPr>
          <w:rFonts w:ascii="Times New Roman" w:cs="仿宋_GB2312"/>
          <w:sz w:val="32"/>
          <w:szCs w:val="32"/>
        </w:rPr>
      </w:pPr>
      <w:r>
        <w:rPr>
          <w:rFonts w:hint="eastAsia" w:ascii="Times New Roman" w:cs="仿宋_GB2312"/>
          <w:sz w:val="32"/>
          <w:szCs w:val="32"/>
        </w:rPr>
        <w:t>……</w:t>
      </w:r>
    </w:p>
    <w:p w14:paraId="340AEFA1">
      <w:pPr>
        <w:widowControl/>
        <w:jc w:val="left"/>
        <w:rPr>
          <w:rFonts w:eastAsia="仿宋"/>
          <w:kern w:val="0"/>
          <w:sz w:val="32"/>
          <w:szCs w:val="32"/>
        </w:rPr>
      </w:pPr>
      <w:r>
        <w:rPr>
          <w:rFonts w:eastAsia="仿宋"/>
          <w:sz w:val="32"/>
          <w:szCs w:val="32"/>
        </w:rPr>
        <w:br w:type="page"/>
      </w:r>
    </w:p>
    <w:p w14:paraId="6C9D0F0F">
      <w:pPr>
        <w:pStyle w:val="2"/>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2024年度部门决算情况说明</w:t>
      </w:r>
      <w:bookmarkEnd w:id="10"/>
      <w:bookmarkEnd w:id="11"/>
    </w:p>
    <w:p w14:paraId="0325D067"/>
    <w:p w14:paraId="04ABF701">
      <w:pPr>
        <w:pStyle w:val="27"/>
        <w:spacing w:line="600" w:lineRule="exact"/>
        <w:ind w:firstLine="640"/>
        <w:outlineLvl w:val="1"/>
        <w:rPr>
          <w:rStyle w:val="29"/>
          <w:rFonts w:ascii="Times New Roman" w:hAnsi="Times New Roman" w:eastAsia="黑体"/>
          <w:b w:val="0"/>
        </w:rPr>
      </w:pPr>
      <w:bookmarkStart w:id="12" w:name="_Toc15396603"/>
      <w:bookmarkStart w:id="13"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2"/>
      <w:bookmarkEnd w:id="13"/>
    </w:p>
    <w:p w14:paraId="520F9231">
      <w:pPr>
        <w:pStyle w:val="27"/>
        <w:spacing w:line="600" w:lineRule="exact"/>
        <w:ind w:firstLine="640"/>
        <w:outlineLvl w:val="1"/>
        <w:rPr>
          <w:rFonts w:hint="eastAsia" w:eastAsia="仿宋_GB2312" w:cs="仿宋_GB2312"/>
          <w:sz w:val="32"/>
          <w:szCs w:val="32"/>
          <w:lang w:val="en-US" w:eastAsia="zh-CN"/>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254.33</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34.21</w:t>
      </w:r>
      <w:r>
        <w:rPr>
          <w:rFonts w:hint="eastAsia" w:eastAsia="仿宋_GB2312" w:cs="仿宋_GB2312"/>
          <w:sz w:val="32"/>
          <w:szCs w:val="32"/>
        </w:rPr>
        <w:t>万元，增长</w:t>
      </w:r>
      <w:r>
        <w:rPr>
          <w:rFonts w:hint="eastAsia" w:eastAsia="仿宋_GB2312" w:cs="仿宋_GB2312"/>
          <w:sz w:val="32"/>
          <w:szCs w:val="32"/>
          <w:lang w:val="en-US" w:eastAsia="zh-CN"/>
        </w:rPr>
        <w:t>15.54</w:t>
      </w:r>
      <w:r>
        <w:rPr>
          <w:rFonts w:hint="eastAsia" w:eastAsia="仿宋_GB2312" w:cs="仿宋_GB2312"/>
          <w:sz w:val="32"/>
          <w:szCs w:val="32"/>
        </w:rPr>
        <w:t>%。主要变动原因是</w:t>
      </w:r>
      <w:r>
        <w:rPr>
          <w:rFonts w:hint="eastAsia" w:eastAsia="仿宋_GB2312" w:cs="仿宋_GB2312"/>
          <w:sz w:val="32"/>
          <w:szCs w:val="32"/>
          <w:lang w:eastAsia="zh-CN"/>
        </w:rPr>
        <w:t>项目增加，运行经费增加。</w:t>
      </w:r>
    </w:p>
    <w:p w14:paraId="4D4701B6">
      <w:pPr>
        <w:pStyle w:val="27"/>
        <w:spacing w:line="600" w:lineRule="exact"/>
        <w:ind w:firstLine="64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14:paraId="3DD70C5B">
      <w:pPr>
        <w:pStyle w:val="27"/>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236.19万元，其中：一般公共预算财政拨款收入236.19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eastAsia="仿宋_GB2312" w:cs="仿宋_GB2312"/>
          <w:b/>
          <w:bCs/>
          <w:sz w:val="32"/>
          <w:szCs w:val="32"/>
        </w:rPr>
        <w:t>（注：仅罗列本部门涉及的收入）</w:t>
      </w:r>
    </w:p>
    <w:p w14:paraId="01EB64E5">
      <w:pPr>
        <w:pStyle w:val="27"/>
        <w:spacing w:line="600" w:lineRule="exact"/>
        <w:ind w:firstLine="640"/>
        <w:outlineLvl w:val="1"/>
        <w:rPr>
          <w:rStyle w:val="29"/>
          <w:rFonts w:ascii="Times New Roman" w:hAnsi="Times New Roman" w:eastAsia="黑体"/>
          <w:b w:val="0"/>
        </w:rPr>
      </w:pPr>
      <w:bookmarkStart w:id="16" w:name="_Toc15396605"/>
      <w:bookmarkStart w:id="17" w:name="_Toc15377207"/>
      <w:r>
        <w:rPr>
          <w:rFonts w:hint="eastAsia" w:eastAsia="黑体"/>
          <w:sz w:val="32"/>
          <w:szCs w:val="32"/>
        </w:rPr>
        <w:t>三、支</w:t>
      </w:r>
      <w:r>
        <w:rPr>
          <w:rStyle w:val="29"/>
          <w:rFonts w:hint="eastAsia" w:ascii="Times New Roman" w:hAnsi="Times New Roman" w:eastAsia="黑体"/>
          <w:b w:val="0"/>
        </w:rPr>
        <w:t>出决算情况说明</w:t>
      </w:r>
      <w:bookmarkEnd w:id="16"/>
      <w:bookmarkEnd w:id="17"/>
    </w:p>
    <w:p w14:paraId="15D7E58E">
      <w:pPr>
        <w:pStyle w:val="27"/>
        <w:spacing w:line="600"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2024年度本年支出合计254.33万元，其中：基本支出254.33万元，占100%；项目支出0万元，占0%；上缴上级支出0万元，占0%；经营支出0万元，占0%；对附属单位补助支出0万元，占0%%。</w:t>
      </w:r>
      <w:r>
        <w:rPr>
          <w:rFonts w:hint="eastAsia" w:eastAsia="仿宋_GB2312" w:cs="仿宋_GB2312"/>
          <w:b/>
          <w:bCs/>
          <w:sz w:val="32"/>
          <w:szCs w:val="32"/>
        </w:rPr>
        <w:t>（注：仅罗列本部门涉及的支出）</w:t>
      </w:r>
    </w:p>
    <w:p w14:paraId="3B9D05B5">
      <w:pPr>
        <w:spacing w:line="600" w:lineRule="exact"/>
        <w:ind w:firstLine="640" w:firstLineChars="200"/>
        <w:outlineLvl w:val="1"/>
        <w:rPr>
          <w:rStyle w:val="29"/>
          <w:rFonts w:ascii="Times New Roman" w:hAnsi="Times New Roman" w:eastAsia="黑体"/>
          <w:b w:val="0"/>
        </w:rPr>
      </w:pPr>
      <w:bookmarkStart w:id="18" w:name="_Toc15396606"/>
      <w:bookmarkStart w:id="19"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18"/>
      <w:bookmarkEnd w:id="19"/>
    </w:p>
    <w:p w14:paraId="07F6B5BF">
      <w:pPr>
        <w:spacing w:line="600" w:lineRule="exact"/>
        <w:ind w:firstLine="640"/>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254.33</w:t>
      </w:r>
      <w:r>
        <w:rPr>
          <w:rFonts w:hint="eastAsia" w:eastAsia="仿宋_GB2312" w:cs="仿宋_GB2312"/>
          <w:sz w:val="32"/>
          <w:szCs w:val="32"/>
        </w:rPr>
        <w:t>万元。与2023年度相比，财政拨款收入总计、支出总计各</w:t>
      </w:r>
      <w:r>
        <w:rPr>
          <w:rFonts w:hint="eastAsia" w:eastAsia="仿宋_GB2312" w:cs="仿宋_GB2312"/>
          <w:sz w:val="32"/>
          <w:szCs w:val="32"/>
          <w:lang w:val="en-US" w:eastAsia="zh-CN"/>
        </w:rPr>
        <w:t>34.21</w:t>
      </w:r>
      <w:r>
        <w:rPr>
          <w:rFonts w:hint="eastAsia" w:eastAsia="仿宋_GB2312" w:cs="仿宋_GB2312"/>
          <w:sz w:val="32"/>
          <w:szCs w:val="32"/>
        </w:rPr>
        <w:t>万元，增长</w:t>
      </w:r>
      <w:r>
        <w:rPr>
          <w:rFonts w:hint="eastAsia" w:eastAsia="仿宋_GB2312" w:cs="仿宋_GB2312"/>
          <w:sz w:val="32"/>
          <w:szCs w:val="32"/>
          <w:lang w:val="en-US" w:eastAsia="zh-CN"/>
        </w:rPr>
        <w:t>15.54</w:t>
      </w:r>
      <w:r>
        <w:rPr>
          <w:rFonts w:hint="eastAsia" w:eastAsia="仿宋_GB2312" w:cs="仿宋_GB2312"/>
          <w:sz w:val="32"/>
          <w:szCs w:val="32"/>
        </w:rPr>
        <w:t>%。主要变动原因是</w:t>
      </w:r>
      <w:r>
        <w:rPr>
          <w:rFonts w:hint="eastAsia" w:eastAsia="仿宋_GB2312" w:cs="仿宋_GB2312"/>
          <w:sz w:val="32"/>
          <w:szCs w:val="32"/>
          <w:lang w:eastAsia="zh-CN"/>
        </w:rPr>
        <w:t>项目增加，运行经费增加。</w:t>
      </w:r>
    </w:p>
    <w:p w14:paraId="23382DD0">
      <w:pPr>
        <w:spacing w:line="600" w:lineRule="exact"/>
        <w:ind w:firstLine="640" w:firstLineChars="200"/>
        <w:outlineLvl w:val="1"/>
        <w:rPr>
          <w:rStyle w:val="29"/>
          <w:rFonts w:ascii="Times New Roman" w:hAnsi="Times New Roman" w:eastAsia="黑体"/>
          <w:b w:val="0"/>
        </w:rPr>
      </w:pPr>
      <w:bookmarkStart w:id="20" w:name="_Toc15377209"/>
      <w:bookmarkStart w:id="21"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0"/>
      <w:bookmarkEnd w:id="21"/>
    </w:p>
    <w:p w14:paraId="37F67E5D">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0E759B64">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2024年度一般公共预算财政拨款支出254.33万元，占本年支出合计的100%。与2023年度相比，一般公共预算财政拨款支出</w:t>
      </w:r>
      <w:r>
        <w:rPr>
          <w:rFonts w:hint="eastAsia" w:eastAsia="仿宋_GB2312" w:cs="仿宋_GB2312"/>
          <w:sz w:val="32"/>
          <w:szCs w:val="32"/>
          <w:lang w:val="en-US" w:eastAsia="zh-CN"/>
        </w:rPr>
        <w:t>34.21</w:t>
      </w:r>
      <w:r>
        <w:rPr>
          <w:rFonts w:hint="eastAsia" w:eastAsia="仿宋_GB2312" w:cs="仿宋_GB2312"/>
          <w:sz w:val="32"/>
          <w:szCs w:val="32"/>
        </w:rPr>
        <w:t>万元，增长</w:t>
      </w:r>
      <w:r>
        <w:rPr>
          <w:rFonts w:hint="eastAsia" w:eastAsia="仿宋_GB2312" w:cs="仿宋_GB2312"/>
          <w:sz w:val="32"/>
          <w:szCs w:val="32"/>
          <w:lang w:val="en-US" w:eastAsia="zh-CN"/>
        </w:rPr>
        <w:t>15.54</w:t>
      </w:r>
      <w:r>
        <w:rPr>
          <w:rFonts w:hint="eastAsia" w:eastAsia="仿宋_GB2312" w:cs="仿宋_GB2312"/>
          <w:sz w:val="32"/>
          <w:szCs w:val="32"/>
        </w:rPr>
        <w:t>%。主要变动原因是</w:t>
      </w:r>
      <w:r>
        <w:rPr>
          <w:rFonts w:hint="eastAsia" w:eastAsia="仿宋_GB2312" w:cs="仿宋_GB2312"/>
          <w:sz w:val="32"/>
          <w:szCs w:val="32"/>
          <w:lang w:eastAsia="zh-CN"/>
        </w:rPr>
        <w:t>项目增加，运行经费增加。</w:t>
      </w:r>
    </w:p>
    <w:p w14:paraId="25ED5F79">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77E21485">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254.33万元</w:t>
      </w:r>
      <w:r>
        <w:rPr>
          <w:rFonts w:hint="eastAsia" w:eastAsia="仿宋_GB2312" w:cs="仿宋_GB2312"/>
          <w:sz w:val="32"/>
          <w:szCs w:val="32"/>
        </w:rPr>
        <w:t>，主要用于以下方面：</w:t>
      </w:r>
      <w:r>
        <w:rPr>
          <w:rFonts w:hint="default" w:ascii="Times New Roman" w:hAnsi="Times New Roman" w:eastAsia="仿宋_GB2312" w:cs="Times New Roman"/>
          <w:color w:val="000000"/>
          <w:sz w:val="32"/>
          <w:szCs w:val="32"/>
          <w:lang w:val="en-US" w:eastAsia="zh-CN" w:bidi="ar-SA"/>
        </w:rPr>
        <w:t>社会保障和就业（类）支出</w:t>
      </w:r>
      <w:r>
        <w:rPr>
          <w:rFonts w:hint="eastAsia" w:ascii="Times New Roman" w:eastAsia="仿宋_GB2312" w:cs="Times New Roman"/>
          <w:color w:val="000000"/>
          <w:sz w:val="32"/>
          <w:szCs w:val="32"/>
          <w:lang w:val="en-US" w:eastAsia="zh-CN" w:bidi="ar-SA"/>
        </w:rPr>
        <w:t>49.55</w:t>
      </w:r>
      <w:r>
        <w:rPr>
          <w:rFonts w:hint="default" w:ascii="Times New Roman" w:hAnsi="Times New Roman" w:eastAsia="仿宋_GB2312" w:cs="Times New Roman"/>
          <w:color w:val="000000"/>
          <w:sz w:val="32"/>
          <w:szCs w:val="32"/>
          <w:lang w:val="en-US" w:eastAsia="zh-CN" w:bidi="ar-SA"/>
        </w:rPr>
        <w:t>万元，占</w:t>
      </w:r>
      <w:r>
        <w:rPr>
          <w:rFonts w:hint="eastAsia" w:ascii="Times New Roman" w:eastAsia="仿宋_GB2312" w:cs="Times New Roman"/>
          <w:color w:val="000000"/>
          <w:sz w:val="32"/>
          <w:szCs w:val="32"/>
          <w:lang w:val="en-US" w:eastAsia="zh-CN" w:bidi="ar-SA"/>
        </w:rPr>
        <w:t>19.48</w:t>
      </w:r>
      <w:r>
        <w:rPr>
          <w:rFonts w:hint="default" w:ascii="Times New Roman" w:hAnsi="Times New Roman" w:eastAsia="仿宋_GB2312" w:cs="Times New Roman"/>
          <w:color w:val="000000"/>
          <w:sz w:val="32"/>
          <w:szCs w:val="32"/>
          <w:lang w:val="en-US" w:eastAsia="zh-CN" w:bidi="ar-SA"/>
        </w:rPr>
        <w:t>%；卫生健康支出</w:t>
      </w:r>
      <w:r>
        <w:rPr>
          <w:rFonts w:hint="eastAsia" w:ascii="Times New Roman" w:eastAsia="仿宋_GB2312" w:cs="Times New Roman"/>
          <w:color w:val="000000"/>
          <w:sz w:val="32"/>
          <w:szCs w:val="32"/>
          <w:lang w:val="en-US" w:eastAsia="zh-CN" w:bidi="ar-SA"/>
        </w:rPr>
        <w:t>13.77</w:t>
      </w:r>
      <w:r>
        <w:rPr>
          <w:rFonts w:hint="default" w:ascii="Times New Roman" w:hAnsi="Times New Roman" w:eastAsia="仿宋_GB2312" w:cs="Times New Roman"/>
          <w:color w:val="000000"/>
          <w:sz w:val="32"/>
          <w:szCs w:val="32"/>
          <w:lang w:val="en-US" w:eastAsia="zh-CN" w:bidi="ar-SA"/>
        </w:rPr>
        <w:t xml:space="preserve">万元，占 </w:t>
      </w:r>
      <w:r>
        <w:rPr>
          <w:rFonts w:hint="eastAsia" w:ascii="Times New Roman" w:hAnsi="Times New Roman" w:eastAsia="仿宋_GB2312" w:cs="Times New Roman"/>
          <w:color w:val="000000"/>
          <w:sz w:val="32"/>
          <w:szCs w:val="32"/>
          <w:lang w:val="en-US" w:eastAsia="zh-CN" w:bidi="ar-SA"/>
        </w:rPr>
        <w:t>5.</w:t>
      </w:r>
      <w:r>
        <w:rPr>
          <w:rFonts w:hint="eastAsia" w:ascii="Times New Roman" w:eastAsia="仿宋_GB2312" w:cs="Times New Roman"/>
          <w:color w:val="000000"/>
          <w:sz w:val="32"/>
          <w:szCs w:val="32"/>
          <w:lang w:val="en-US" w:eastAsia="zh-CN" w:bidi="ar-SA"/>
        </w:rPr>
        <w:t>41</w:t>
      </w:r>
      <w:r>
        <w:rPr>
          <w:rFonts w:hint="default" w:ascii="Times New Roman" w:hAnsi="Times New Roman" w:eastAsia="仿宋_GB2312" w:cs="Times New Roman"/>
          <w:color w:val="000000"/>
          <w:sz w:val="32"/>
          <w:szCs w:val="32"/>
          <w:lang w:val="en-US" w:eastAsia="zh-CN" w:bidi="ar-SA"/>
        </w:rPr>
        <w:t>%；交通运输支出</w:t>
      </w:r>
      <w:r>
        <w:rPr>
          <w:rFonts w:hint="eastAsia" w:ascii="Times New Roman" w:eastAsia="仿宋_GB2312" w:cs="Times New Roman"/>
          <w:color w:val="000000"/>
          <w:sz w:val="32"/>
          <w:szCs w:val="32"/>
          <w:lang w:val="en-US" w:eastAsia="zh-CN" w:bidi="ar-SA"/>
        </w:rPr>
        <w:t>168.22</w:t>
      </w:r>
      <w:r>
        <w:rPr>
          <w:rFonts w:hint="default" w:ascii="Times New Roman" w:hAnsi="Times New Roman" w:eastAsia="仿宋_GB2312" w:cs="Times New Roman"/>
          <w:color w:val="000000"/>
          <w:sz w:val="32"/>
          <w:szCs w:val="32"/>
          <w:lang w:val="en-US" w:eastAsia="zh-CN" w:bidi="ar-SA"/>
        </w:rPr>
        <w:t xml:space="preserve">万元，占 </w:t>
      </w:r>
      <w:r>
        <w:rPr>
          <w:rFonts w:hint="eastAsia" w:ascii="Times New Roman" w:eastAsia="仿宋_GB2312" w:cs="Times New Roman"/>
          <w:color w:val="000000"/>
          <w:sz w:val="32"/>
          <w:szCs w:val="32"/>
          <w:lang w:val="en-US" w:eastAsia="zh-CN" w:bidi="ar-SA"/>
        </w:rPr>
        <w:t>66.15</w:t>
      </w:r>
      <w:r>
        <w:rPr>
          <w:rFonts w:hint="default" w:ascii="Times New Roman" w:hAnsi="Times New Roman" w:eastAsia="仿宋_GB2312" w:cs="Times New Roman"/>
          <w:color w:val="000000"/>
          <w:sz w:val="32"/>
          <w:szCs w:val="32"/>
          <w:lang w:val="en-US" w:eastAsia="zh-CN" w:bidi="ar-SA"/>
        </w:rPr>
        <w:t>%；住房保障支出</w:t>
      </w:r>
      <w:r>
        <w:rPr>
          <w:rFonts w:hint="eastAsia" w:ascii="Times New Roman" w:eastAsia="仿宋_GB2312" w:cs="Times New Roman"/>
          <w:color w:val="000000"/>
          <w:sz w:val="32"/>
          <w:szCs w:val="32"/>
          <w:lang w:val="en-US" w:eastAsia="zh-CN" w:bidi="ar-SA"/>
        </w:rPr>
        <w:t>22.78</w:t>
      </w:r>
      <w:r>
        <w:rPr>
          <w:rFonts w:hint="default" w:ascii="Times New Roman" w:hAnsi="Times New Roman" w:eastAsia="仿宋_GB2312" w:cs="Times New Roman"/>
          <w:color w:val="000000"/>
          <w:sz w:val="32"/>
          <w:szCs w:val="32"/>
          <w:lang w:val="en-US" w:eastAsia="zh-CN" w:bidi="ar-SA"/>
        </w:rPr>
        <w:t xml:space="preserve"> 万元，占</w:t>
      </w:r>
      <w:r>
        <w:rPr>
          <w:rFonts w:hint="eastAsia" w:ascii="Times New Roman" w:eastAsia="仿宋_GB2312" w:cs="Times New Roman"/>
          <w:color w:val="000000"/>
          <w:sz w:val="32"/>
          <w:szCs w:val="32"/>
          <w:lang w:val="en-US" w:eastAsia="zh-CN" w:bidi="ar-SA"/>
        </w:rPr>
        <w:t>8.96</w:t>
      </w:r>
      <w:r>
        <w:rPr>
          <w:rFonts w:hint="default" w:ascii="Times New Roman" w:hAnsi="Times New Roman" w:eastAsia="仿宋_GB2312" w:cs="Times New Roman"/>
          <w:color w:val="000000"/>
          <w:sz w:val="32"/>
          <w:szCs w:val="32"/>
          <w:lang w:val="en-US" w:eastAsia="zh-CN" w:bidi="ar-SA"/>
        </w:rPr>
        <w:t>%。</w:t>
      </w:r>
    </w:p>
    <w:p w14:paraId="738EA98C">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15A5D75D">
      <w:pPr>
        <w:spacing w:line="600" w:lineRule="exact"/>
        <w:ind w:firstLine="640"/>
        <w:rPr>
          <w:rFonts w:eastAsia="仿宋_GB2312" w:cs="仿宋_GB2312"/>
          <w:sz w:val="32"/>
          <w:szCs w:val="32"/>
        </w:rPr>
      </w:pPr>
      <w:bookmarkStart w:id="25" w:name="_Toc15378460"/>
      <w:bookmarkStart w:id="26" w:name="_Toc15377213"/>
      <w:bookmarkStart w:id="27" w:name="_Toc15377444"/>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254.33，</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78425E19">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1.社会保障和就业（208）行政事业养老支出（05）机关事业单位基本养老保险缴费支出（05）: 支出决算为</w:t>
      </w:r>
      <w:r>
        <w:rPr>
          <w:rFonts w:hint="eastAsia" w:ascii="Times New Roman" w:eastAsia="仿宋_GB2312" w:cs="Times New Roman"/>
          <w:color w:val="000000"/>
          <w:sz w:val="32"/>
          <w:szCs w:val="32"/>
          <w:lang w:val="en-US" w:eastAsia="zh-CN" w:bidi="ar-SA"/>
        </w:rPr>
        <w:t>27.55</w:t>
      </w:r>
      <w:r>
        <w:rPr>
          <w:rFonts w:hint="default" w:ascii="Times New Roman" w:hAnsi="Times New Roman" w:eastAsia="仿宋_GB2312" w:cs="Times New Roman"/>
          <w:color w:val="000000"/>
          <w:sz w:val="32"/>
          <w:szCs w:val="32"/>
          <w:lang w:val="en-US" w:eastAsia="zh-CN" w:bidi="ar-SA"/>
        </w:rPr>
        <w:t>万元，完成预算 100%。</w:t>
      </w:r>
    </w:p>
    <w:p w14:paraId="759EB1C4">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2.社会保障和就业（208）行政事业养老支出（05）机关事业单位职业年金缴费支出（06）: 支出决算为</w:t>
      </w:r>
      <w:r>
        <w:rPr>
          <w:rFonts w:hint="eastAsia" w:ascii="Times New Roman" w:eastAsia="仿宋_GB2312" w:cs="Times New Roman"/>
          <w:color w:val="000000"/>
          <w:sz w:val="32"/>
          <w:szCs w:val="32"/>
          <w:lang w:val="en-US" w:eastAsia="zh-CN" w:bidi="ar-SA"/>
        </w:rPr>
        <w:t>22.01</w:t>
      </w:r>
      <w:r>
        <w:rPr>
          <w:rFonts w:hint="default" w:ascii="Times New Roman" w:hAnsi="Times New Roman" w:eastAsia="仿宋_GB2312" w:cs="Times New Roman"/>
          <w:color w:val="000000"/>
          <w:sz w:val="32"/>
          <w:szCs w:val="32"/>
          <w:lang w:val="en-US" w:eastAsia="zh-CN" w:bidi="ar-SA"/>
        </w:rPr>
        <w:t>万元，完成预算 100%。</w:t>
      </w:r>
    </w:p>
    <w:p w14:paraId="5E84F4AE">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3.卫生健康支出（210）行政事业单位医疗（11）</w:t>
      </w:r>
      <w:r>
        <w:rPr>
          <w:rFonts w:hint="eastAsia" w:ascii="Times New Roman" w:hAnsi="Times New Roman" w:eastAsia="仿宋_GB2312" w:cs="Times New Roman"/>
          <w:color w:val="000000"/>
          <w:sz w:val="32"/>
          <w:szCs w:val="32"/>
          <w:lang w:val="en-US" w:eastAsia="zh-CN" w:bidi="ar-SA"/>
        </w:rPr>
        <w:t>事业</w:t>
      </w:r>
      <w:r>
        <w:rPr>
          <w:rFonts w:hint="default" w:ascii="Times New Roman" w:hAnsi="Times New Roman" w:eastAsia="仿宋_GB2312" w:cs="Times New Roman"/>
          <w:color w:val="000000"/>
          <w:sz w:val="32"/>
          <w:szCs w:val="32"/>
          <w:lang w:val="en-US" w:eastAsia="zh-CN" w:bidi="ar-SA"/>
        </w:rPr>
        <w:t>单位医疗（0</w:t>
      </w:r>
      <w:r>
        <w:rPr>
          <w:rFonts w:hint="eastAsia" w:ascii="Times New Roman" w:hAnsi="Times New Roman" w:eastAsia="仿宋_GB2312" w:cs="Times New Roman"/>
          <w:color w:val="000000"/>
          <w:sz w:val="32"/>
          <w:szCs w:val="32"/>
          <w:lang w:val="en-US" w:eastAsia="zh-CN" w:bidi="ar-SA"/>
        </w:rPr>
        <w:t>2</w:t>
      </w:r>
      <w:r>
        <w:rPr>
          <w:rFonts w:hint="default" w:ascii="Times New Roman" w:hAnsi="Times New Roman" w:eastAsia="仿宋_GB2312" w:cs="Times New Roman"/>
          <w:color w:val="000000"/>
          <w:sz w:val="32"/>
          <w:szCs w:val="32"/>
          <w:lang w:val="en-US" w:eastAsia="zh-CN" w:bidi="ar-SA"/>
        </w:rPr>
        <w:t>）：支出决算为</w:t>
      </w:r>
      <w:r>
        <w:rPr>
          <w:rFonts w:hint="eastAsia" w:ascii="Times New Roman" w:eastAsia="仿宋_GB2312" w:cs="Times New Roman"/>
          <w:color w:val="000000"/>
          <w:sz w:val="32"/>
          <w:szCs w:val="32"/>
          <w:lang w:val="en-US" w:eastAsia="zh-CN" w:bidi="ar-SA"/>
        </w:rPr>
        <w:t>13.77</w:t>
      </w:r>
      <w:r>
        <w:rPr>
          <w:rFonts w:hint="default" w:ascii="Times New Roman" w:hAnsi="Times New Roman" w:eastAsia="仿宋_GB2312" w:cs="Times New Roman"/>
          <w:color w:val="000000"/>
          <w:sz w:val="32"/>
          <w:szCs w:val="32"/>
          <w:lang w:val="en-US" w:eastAsia="zh-CN" w:bidi="ar-SA"/>
        </w:rPr>
        <w:t>万元，完成预算 100%。</w:t>
      </w:r>
    </w:p>
    <w:p w14:paraId="3431C0CC">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eastAsia" w:ascii="Times New Roman" w:eastAsia="仿宋_GB2312" w:cs="Times New Roman"/>
          <w:color w:val="000000"/>
          <w:sz w:val="32"/>
          <w:szCs w:val="32"/>
          <w:lang w:val="en-US" w:eastAsia="zh-CN" w:bidi="ar-SA"/>
        </w:rPr>
        <w:t>4</w:t>
      </w:r>
      <w:r>
        <w:rPr>
          <w:rFonts w:hint="default" w:ascii="Times New Roman" w:hAnsi="Times New Roman" w:eastAsia="仿宋_GB2312" w:cs="Times New Roman"/>
          <w:color w:val="000000"/>
          <w:sz w:val="32"/>
          <w:szCs w:val="32"/>
          <w:lang w:val="en-US" w:eastAsia="zh-CN" w:bidi="ar-SA"/>
        </w:rPr>
        <w:t>.交通运输支出（214）公路水路运输（</w:t>
      </w:r>
      <w:r>
        <w:rPr>
          <w:rFonts w:hint="eastAsia" w:ascii="Times New Roman" w:hAnsi="Times New Roman" w:eastAsia="仿宋_GB2312" w:cs="Times New Roman"/>
          <w:color w:val="000000"/>
          <w:sz w:val="32"/>
          <w:szCs w:val="32"/>
          <w:lang w:val="en-US" w:eastAsia="zh-CN" w:bidi="ar-SA"/>
        </w:rPr>
        <w:t>01</w:t>
      </w:r>
      <w:r>
        <w:rPr>
          <w:rFonts w:hint="default" w:ascii="Times New Roman" w:hAnsi="Times New Roman" w:eastAsia="仿宋_GB2312" w:cs="Times New Roman"/>
          <w:color w:val="000000"/>
          <w:sz w:val="32"/>
          <w:szCs w:val="32"/>
          <w:lang w:val="en-US" w:eastAsia="zh-CN" w:bidi="ar-SA"/>
        </w:rPr>
        <w:t>）其他公路水路运输支出（99）支出决算为</w:t>
      </w:r>
      <w:r>
        <w:rPr>
          <w:rFonts w:hint="eastAsia" w:ascii="Times New Roman" w:eastAsia="仿宋_GB2312" w:cs="Times New Roman"/>
          <w:color w:val="000000"/>
          <w:sz w:val="32"/>
          <w:szCs w:val="32"/>
          <w:lang w:val="en-US" w:eastAsia="zh-CN" w:bidi="ar-SA"/>
        </w:rPr>
        <w:t>168.22</w:t>
      </w:r>
      <w:r>
        <w:rPr>
          <w:rFonts w:hint="default" w:ascii="Times New Roman" w:hAnsi="Times New Roman" w:eastAsia="仿宋_GB2312" w:cs="Times New Roman"/>
          <w:color w:val="000000"/>
          <w:sz w:val="32"/>
          <w:szCs w:val="32"/>
          <w:lang w:val="en-US" w:eastAsia="zh-CN" w:bidi="ar-SA"/>
        </w:rPr>
        <w:t>万元，完成预算 100%。</w:t>
      </w:r>
    </w:p>
    <w:p w14:paraId="029DB5D7">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eastAsia" w:ascii="Times New Roman" w:eastAsia="仿宋_GB2312" w:cs="Times New Roman"/>
          <w:color w:val="000000"/>
          <w:sz w:val="32"/>
          <w:szCs w:val="32"/>
          <w:lang w:val="en-US" w:eastAsia="zh-CN" w:bidi="ar-SA"/>
        </w:rPr>
        <w:t>5</w:t>
      </w:r>
      <w:r>
        <w:rPr>
          <w:rFonts w:hint="default" w:ascii="Times New Roman" w:hAnsi="Times New Roman" w:eastAsia="仿宋_GB2312" w:cs="Times New Roman"/>
          <w:color w:val="000000"/>
          <w:sz w:val="32"/>
          <w:szCs w:val="32"/>
          <w:lang w:val="en-US" w:eastAsia="zh-CN" w:bidi="ar-SA"/>
        </w:rPr>
        <w:t>.住房保障支出（221）住房改革支出（02 款）住房公积金（01）支出决算为</w:t>
      </w:r>
      <w:r>
        <w:rPr>
          <w:rFonts w:hint="eastAsia" w:ascii="Times New Roman" w:eastAsia="仿宋_GB2312" w:cs="Times New Roman"/>
          <w:color w:val="000000"/>
          <w:sz w:val="32"/>
          <w:szCs w:val="32"/>
          <w:lang w:val="en-US" w:eastAsia="zh-CN" w:bidi="ar-SA"/>
        </w:rPr>
        <w:t>22.78</w:t>
      </w:r>
      <w:r>
        <w:rPr>
          <w:rFonts w:hint="default" w:ascii="Times New Roman" w:hAnsi="Times New Roman" w:eastAsia="仿宋_GB2312" w:cs="Times New Roman"/>
          <w:color w:val="000000"/>
          <w:sz w:val="32"/>
          <w:szCs w:val="32"/>
          <w:lang w:val="en-US" w:eastAsia="zh-CN" w:bidi="ar-SA"/>
        </w:rPr>
        <w:t>万元，完成预算 100%。</w:t>
      </w:r>
    </w:p>
    <w:p w14:paraId="72B35FA2">
      <w:pPr>
        <w:tabs>
          <w:tab w:val="right" w:pos="8306"/>
        </w:tabs>
        <w:spacing w:line="600" w:lineRule="exact"/>
        <w:ind w:firstLine="640"/>
        <w:outlineLvl w:val="1"/>
        <w:rPr>
          <w:rStyle w:val="29"/>
          <w:rFonts w:ascii="Times New Roman" w:hAnsi="Times New Roman"/>
        </w:rPr>
      </w:pPr>
      <w:bookmarkStart w:id="28" w:name="_Toc15377214"/>
      <w:bookmarkStart w:id="29"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8"/>
      <w:bookmarkEnd w:id="29"/>
      <w:r>
        <w:rPr>
          <w:rStyle w:val="29"/>
          <w:rFonts w:ascii="Times New Roman" w:hAnsi="Times New Roman" w:eastAsia="黑体"/>
          <w:b w:val="0"/>
        </w:rPr>
        <w:tab/>
      </w:r>
    </w:p>
    <w:p w14:paraId="49B4059B">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254.33万</w:t>
      </w:r>
      <w:r>
        <w:rPr>
          <w:rFonts w:hint="eastAsia" w:eastAsia="仿宋_GB2312" w:cs="仿宋_GB2312"/>
          <w:sz w:val="32"/>
          <w:szCs w:val="32"/>
        </w:rPr>
        <w:t>元，其中：</w:t>
      </w:r>
    </w:p>
    <w:p w14:paraId="359EEC3E">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246.61万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7.71万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78F7767">
      <w:pPr>
        <w:spacing w:line="600" w:lineRule="exact"/>
        <w:ind w:firstLine="640"/>
        <w:outlineLvl w:val="1"/>
        <w:rPr>
          <w:rStyle w:val="29"/>
          <w:rFonts w:ascii="Times New Roman" w:hAnsi="Times New Roman" w:eastAsia="黑体"/>
          <w:b w:val="0"/>
        </w:rPr>
      </w:pPr>
      <w:bookmarkStart w:id="30" w:name="_Toc15396609"/>
      <w:bookmarkStart w:id="31"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0"/>
      <w:bookmarkEnd w:id="31"/>
    </w:p>
    <w:p w14:paraId="79F3318C">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77DC01BB">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0万元</w:t>
      </w:r>
      <w:r>
        <w:rPr>
          <w:rFonts w:hint="eastAsia" w:ascii="仿宋_GB2312" w:hAnsi="仿宋_GB2312" w:eastAsia="仿宋_GB2312" w:cs="仿宋_GB2312"/>
          <w:sz w:val="32"/>
          <w:szCs w:val="32"/>
          <w:lang w:eastAsia="zh-CN"/>
        </w:rPr>
        <w:t>。</w:t>
      </w:r>
    </w:p>
    <w:p w14:paraId="5274F990">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3E985CD8">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2024年度“三公”经费财政拨款支出决算中，</w:t>
      </w:r>
      <w:r>
        <w:rPr>
          <w:rFonts w:hint="default" w:ascii="Times New Roman" w:hAnsi="Times New Roman" w:eastAsia="仿宋_GB2312" w:cs="Times New Roman"/>
          <w:color w:val="000000"/>
          <w:sz w:val="32"/>
          <w:szCs w:val="32"/>
          <w:lang w:val="en-US" w:eastAsia="zh-CN" w:bidi="ar-SA"/>
        </w:rPr>
        <w:t>“三公”经费财政拨款支出决算中，因公出国（境）费支出决算 0.00 万元，占 0.00%；公务用车购置及运行维护费支出决算 0.00 万元，占 0.00%；公务接待费支出决算 0.00 万元，占 0.00%。</w:t>
      </w:r>
      <w:bookmarkStart w:id="34" w:name="_Toc15396610"/>
      <w:bookmarkStart w:id="35" w:name="_Toc15377218"/>
    </w:p>
    <w:p w14:paraId="6BB3E063">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4"/>
      <w:bookmarkEnd w:id="35"/>
    </w:p>
    <w:p w14:paraId="580ACE7C">
      <w:pPr>
        <w:spacing w:line="600" w:lineRule="exact"/>
        <w:ind w:firstLine="640"/>
        <w:rPr>
          <w:rFonts w:eastAsia="仿宋_GB2312" w:cs="仿宋_GB2312"/>
          <w:b/>
          <w:bCs/>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。与2023年度相比，政府性基金预算财政拨款支出增加/减少**万元，增长/下降**%。主要变动原因是……</w:t>
      </w:r>
      <w:r>
        <w:rPr>
          <w:rFonts w:hint="eastAsia" w:eastAsia="仿宋_GB2312" w:cs="仿宋_GB2312"/>
          <w:b/>
          <w:bCs/>
          <w:sz w:val="32"/>
          <w:szCs w:val="32"/>
        </w:rPr>
        <w:t>（注：支出数与上年持平可以不写原因）</w:t>
      </w:r>
    </w:p>
    <w:p w14:paraId="21A3B343">
      <w:pPr>
        <w:spacing w:line="600" w:lineRule="exact"/>
        <w:ind w:firstLine="640"/>
        <w:rPr>
          <w:rFonts w:eastAsia="仿宋_GB2312" w:cs="仿宋_GB2312"/>
          <w:sz w:val="32"/>
          <w:szCs w:val="32"/>
        </w:rPr>
      </w:pPr>
    </w:p>
    <w:p w14:paraId="62E4B338">
      <w:pPr>
        <w:spacing w:line="600" w:lineRule="exact"/>
        <w:ind w:left="630"/>
        <w:outlineLvl w:val="1"/>
        <w:rPr>
          <w:rStyle w:val="29"/>
          <w:rFonts w:ascii="Times New Roman" w:hAnsi="Times New Roman" w:eastAsia="黑体"/>
          <w:b w:val="0"/>
        </w:rPr>
      </w:pPr>
      <w:bookmarkStart w:id="36" w:name="_Toc15377219"/>
      <w:bookmarkStart w:id="37" w:name="_Toc15396611"/>
      <w:r>
        <w:rPr>
          <w:rStyle w:val="29"/>
          <w:rFonts w:hint="eastAsia" w:ascii="Times New Roman" w:hAnsi="Times New Roman" w:eastAsia="黑体"/>
          <w:b w:val="0"/>
        </w:rPr>
        <w:t>九、国有资本经营预算支出决算情况说明</w:t>
      </w:r>
      <w:bookmarkEnd w:id="36"/>
      <w:bookmarkEnd w:id="37"/>
    </w:p>
    <w:p w14:paraId="74A3C554">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w:t>
      </w:r>
      <w:r>
        <w:rPr>
          <w:rFonts w:hint="eastAsia" w:eastAsia="仿宋_GB2312" w:cs="仿宋_GB2312"/>
          <w:b/>
          <w:bCs/>
          <w:sz w:val="32"/>
          <w:szCs w:val="32"/>
          <w:lang w:eastAsia="zh-CN"/>
        </w:rPr>
        <w:t>。</w:t>
      </w:r>
    </w:p>
    <w:p w14:paraId="31296F7B">
      <w:pPr>
        <w:spacing w:line="600" w:lineRule="exact"/>
        <w:ind w:left="630"/>
        <w:outlineLvl w:val="1"/>
        <w:rPr>
          <w:rStyle w:val="29"/>
          <w:rFonts w:ascii="Times New Roman" w:hAnsi="Times New Roman" w:eastAsia="黑体"/>
          <w:b w:val="0"/>
        </w:rPr>
      </w:pPr>
      <w:bookmarkStart w:id="38" w:name="_Toc15377221"/>
      <w:bookmarkStart w:id="39" w:name="_Toc15396612"/>
      <w:r>
        <w:rPr>
          <w:rStyle w:val="29"/>
          <w:rFonts w:hint="eastAsia" w:ascii="Times New Roman" w:hAnsi="Times New Roman" w:eastAsia="黑体"/>
          <w:b w:val="0"/>
        </w:rPr>
        <w:t>十、其他重要事项的情况说明</w:t>
      </w:r>
      <w:bookmarkEnd w:id="38"/>
      <w:bookmarkEnd w:id="39"/>
    </w:p>
    <w:p w14:paraId="0EEDA995">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6AAC13E3">
      <w:pPr>
        <w:spacing w:line="600" w:lineRule="exact"/>
        <w:ind w:firstLine="640" w:firstLineChars="200"/>
        <w:outlineLvl w:val="2"/>
        <w:rPr>
          <w:rFonts w:hint="eastAsia" w:eastAsia="仿宋_GB2312" w:cs="仿宋_GB2312"/>
          <w:sz w:val="32"/>
          <w:szCs w:val="32"/>
          <w:lang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，九寨沟县交通工程质量检验监督站机关运行经费支出0万</w:t>
      </w:r>
      <w:r>
        <w:rPr>
          <w:rFonts w:hint="eastAsia" w:eastAsia="仿宋_GB2312" w:cs="仿宋_GB2312"/>
          <w:sz w:val="32"/>
          <w:szCs w:val="32"/>
        </w:rPr>
        <w:t>元</w:t>
      </w:r>
      <w:bookmarkStart w:id="41" w:name="_Toc15377223"/>
      <w:r>
        <w:rPr>
          <w:rFonts w:hint="eastAsia" w:eastAsia="仿宋_GB2312" w:cs="仿宋_GB2312"/>
          <w:sz w:val="32"/>
          <w:szCs w:val="32"/>
          <w:lang w:eastAsia="zh-CN"/>
        </w:rPr>
        <w:t>。</w:t>
      </w:r>
    </w:p>
    <w:p w14:paraId="6AF6056C">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（二）政府采购支出情况</w:t>
      </w:r>
      <w:bookmarkEnd w:id="41"/>
    </w:p>
    <w:p w14:paraId="0327CB9D">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eastAsia" w:ascii="仿宋_GB2312" w:hAnsi="仿宋_GB2312" w:eastAsia="仿宋_GB2312" w:cs="仿宋_GB2312"/>
          <w:sz w:val="32"/>
          <w:szCs w:val="32"/>
        </w:rPr>
        <w:t>2024年度，</w:t>
      </w:r>
      <w:bookmarkStart w:id="42" w:name="_Toc15377224"/>
      <w:r>
        <w:rPr>
          <w:rFonts w:hint="default" w:ascii="Times New Roman" w:hAnsi="Times New Roman" w:eastAsia="仿宋_GB2312" w:cs="Times New Roman"/>
          <w:color w:val="000000"/>
          <w:sz w:val="32"/>
          <w:szCs w:val="32"/>
          <w:lang w:val="en-US" w:eastAsia="zh-CN" w:bidi="ar-SA"/>
        </w:rPr>
        <w:t>四川省阿坝州九寨沟县交通工程质量检验监督站政府采购支出总额 0.00 万元，其中：政府采购货物支出0.00 万元、政府采购工程支出 0.00 万元、政府采购服务支出 0.00 万元。授予中小企业合同金额 0.00 万元，占政府采购支出总额的 0.00%，其中：授予小微企业合同金额 0.00 万元，占政府采购支出总额的0.00%。</w:t>
      </w:r>
    </w:p>
    <w:p w14:paraId="7556D620">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（三）国有资产占有使用情况</w:t>
      </w:r>
      <w:bookmarkEnd w:id="42"/>
    </w:p>
    <w:p w14:paraId="21AC2AC0">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截至2024年12月31日，九寨沟县交通工程质量检验监督站共有车辆0辆</w:t>
      </w:r>
      <w:r>
        <w:rPr>
          <w:rFonts w:hint="eastAsia" w:ascii="仿宋_GB2312" w:hAnsi="仿宋_GB2312" w:eastAsia="仿宋_GB2312" w:cs="仿宋_GB2312"/>
          <w:sz w:val="32"/>
          <w:szCs w:val="32"/>
          <w:lang w:eastAsia="zh-CN"/>
        </w:rPr>
        <w:t>。</w:t>
      </w:r>
    </w:p>
    <w:p w14:paraId="3623D27D">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7C57DDED">
      <w:pPr>
        <w:spacing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根据预算绩效管理要求，本部门（单位）在年初预算编制阶段，组织对0项目（项目名称）开展了预算事前绩效评估，对0个项目编制了绩效目标，预算执行过程中，选取0个项目开展绩效监控，年终执行完毕后，对0个项目开展了绩效目标完成情况自评。202</w:t>
      </w:r>
      <w:r>
        <w:rPr>
          <w:rFonts w:hint="eastAsia" w:ascii="仿宋_GB2312" w:eastAsia="仿宋_GB2312"/>
          <w:sz w:val="32"/>
          <w:szCs w:val="32"/>
          <w:lang w:val="en-US" w:eastAsia="zh-CN"/>
        </w:rPr>
        <w:t>4</w:t>
      </w:r>
      <w:r>
        <w:rPr>
          <w:rFonts w:hint="eastAsia" w:ascii="仿宋_GB2312" w:eastAsia="仿宋_GB2312"/>
          <w:sz w:val="32"/>
          <w:szCs w:val="32"/>
        </w:rPr>
        <w:t>年部门整体支出开展绩效自评包含在九寨沟县</w:t>
      </w:r>
      <w:r>
        <w:rPr>
          <w:rFonts w:hint="eastAsia" w:ascii="仿宋_GB2312" w:eastAsia="仿宋_GB2312"/>
          <w:sz w:val="32"/>
          <w:szCs w:val="32"/>
          <w:lang w:val="en-US" w:eastAsia="zh-CN"/>
        </w:rPr>
        <w:t>交通运输局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年部门整体支出绩效自评中。</w:t>
      </w:r>
    </w:p>
    <w:p w14:paraId="4570F083">
      <w:pPr>
        <w:spacing w:line="600" w:lineRule="exact"/>
        <w:ind w:firstLine="640"/>
        <w:rPr>
          <w:rFonts w:hint="eastAsia" w:eastAsia="仿宋_GB2312" w:cs="仿宋_GB2312"/>
          <w:sz w:val="32"/>
          <w:szCs w:val="32"/>
          <w:lang w:eastAsia="zh-CN"/>
        </w:rPr>
      </w:pPr>
    </w:p>
    <w:p w14:paraId="2682DFCC">
      <w:pPr>
        <w:spacing w:line="600" w:lineRule="exact"/>
        <w:ind w:firstLine="640"/>
        <w:rPr>
          <w:rFonts w:hint="eastAsia" w:eastAsia="仿宋_GB2312" w:cs="仿宋_GB2312"/>
          <w:sz w:val="32"/>
          <w:szCs w:val="32"/>
          <w:lang w:eastAsia="zh-CN"/>
        </w:rPr>
      </w:pPr>
    </w:p>
    <w:p w14:paraId="06F63919">
      <w:pPr>
        <w:spacing w:line="600" w:lineRule="exact"/>
        <w:ind w:firstLine="640"/>
        <w:rPr>
          <w:rFonts w:hint="eastAsia" w:eastAsia="仿宋_GB2312" w:cs="仿宋_GB2312"/>
          <w:sz w:val="32"/>
          <w:szCs w:val="32"/>
          <w:lang w:eastAsia="zh-CN"/>
        </w:rPr>
      </w:pPr>
    </w:p>
    <w:p w14:paraId="2A8D1B2A">
      <w:pPr>
        <w:spacing w:line="600" w:lineRule="exact"/>
        <w:ind w:firstLine="640"/>
        <w:rPr>
          <w:rFonts w:hint="eastAsia" w:eastAsia="仿宋_GB2312" w:cs="仿宋_GB2312"/>
          <w:sz w:val="32"/>
          <w:szCs w:val="32"/>
          <w:lang w:eastAsia="zh-CN"/>
        </w:rPr>
      </w:pPr>
    </w:p>
    <w:p w14:paraId="76501C81">
      <w:pPr>
        <w:spacing w:line="600" w:lineRule="exact"/>
        <w:ind w:firstLine="640"/>
        <w:rPr>
          <w:rFonts w:hint="eastAsia" w:eastAsia="仿宋_GB2312" w:cs="仿宋_GB2312"/>
          <w:sz w:val="32"/>
          <w:szCs w:val="32"/>
          <w:lang w:eastAsia="zh-CN"/>
        </w:rPr>
      </w:pPr>
    </w:p>
    <w:p w14:paraId="337DB04F">
      <w:pPr>
        <w:spacing w:line="600" w:lineRule="exact"/>
        <w:ind w:firstLine="640"/>
        <w:rPr>
          <w:rFonts w:hint="eastAsia" w:eastAsia="仿宋_GB2312" w:cs="仿宋_GB2312"/>
          <w:sz w:val="32"/>
          <w:szCs w:val="32"/>
          <w:lang w:eastAsia="zh-CN"/>
        </w:rPr>
      </w:pPr>
    </w:p>
    <w:p w14:paraId="19A1CCCE">
      <w:pPr>
        <w:spacing w:line="600" w:lineRule="exact"/>
        <w:ind w:firstLine="640"/>
        <w:rPr>
          <w:rFonts w:hint="eastAsia" w:eastAsia="仿宋_GB2312" w:cs="仿宋_GB2312"/>
          <w:sz w:val="32"/>
          <w:szCs w:val="32"/>
          <w:lang w:eastAsia="zh-CN"/>
        </w:rPr>
      </w:pPr>
    </w:p>
    <w:p w14:paraId="38D9C7AB">
      <w:pPr>
        <w:spacing w:line="600" w:lineRule="exact"/>
        <w:ind w:firstLine="640"/>
        <w:rPr>
          <w:rFonts w:hint="eastAsia" w:eastAsia="仿宋_GB2312" w:cs="仿宋_GB2312"/>
          <w:sz w:val="32"/>
          <w:szCs w:val="32"/>
          <w:lang w:eastAsia="zh-CN"/>
        </w:rPr>
      </w:pPr>
    </w:p>
    <w:p w14:paraId="3C1DED20">
      <w:pPr>
        <w:spacing w:line="600" w:lineRule="exact"/>
        <w:jc w:val="center"/>
        <w:outlineLvl w:val="0"/>
        <w:rPr>
          <w:rFonts w:eastAsia="黑体"/>
          <w:sz w:val="44"/>
          <w:szCs w:val="44"/>
        </w:rPr>
      </w:pPr>
      <w:bookmarkStart w:id="43" w:name="_Toc15396613"/>
      <w:bookmarkStart w:id="44" w:name="_Toc15377225"/>
      <w:r>
        <w:rPr>
          <w:rFonts w:hint="eastAsia" w:eastAsia="黑体"/>
          <w:sz w:val="44"/>
          <w:szCs w:val="44"/>
        </w:rPr>
        <w:t>第三部分  名词解释</w:t>
      </w:r>
      <w:bookmarkEnd w:id="43"/>
      <w:bookmarkEnd w:id="44"/>
    </w:p>
    <w:p w14:paraId="7A97D1E1">
      <w:pPr>
        <w:spacing w:line="600" w:lineRule="exact"/>
        <w:jc w:val="left"/>
        <w:rPr>
          <w:b/>
          <w:sz w:val="44"/>
          <w:szCs w:val="44"/>
        </w:rPr>
      </w:pPr>
    </w:p>
    <w:p w14:paraId="23580C24">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bookmarkStart w:id="45" w:name="_Toc15377226"/>
      <w:r>
        <w:rPr>
          <w:rFonts w:hint="default" w:ascii="Times New Roman" w:hAnsi="Times New Roman" w:eastAsia="仿宋_GB2312" w:cs="Times New Roman"/>
          <w:color w:val="000000"/>
          <w:sz w:val="32"/>
          <w:szCs w:val="32"/>
          <w:lang w:val="en-US" w:eastAsia="zh-CN" w:bidi="ar-SA"/>
        </w:rPr>
        <w:t>1.财政拨款收入：指单位从同级财政部门取得的财政预算资金。</w:t>
      </w:r>
    </w:p>
    <w:p w14:paraId="26013B0D">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2.事业收入：指事业单位开展专业业务活动及辅助活动取得的收入。</w:t>
      </w:r>
    </w:p>
    <w:p w14:paraId="2EC7A619">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3.经营收入：指事业单位在专业业务活动及其辅助活动之外开展非独立核算经营活动取得的收入。</w:t>
      </w:r>
    </w:p>
    <w:p w14:paraId="37807B4F">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4.其他收入：指单位取得的除上述收入以外的各项收入。</w:t>
      </w:r>
    </w:p>
    <w:p w14:paraId="18F79EF0">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5.使用非财政拨款结余：指事业单位使用以前年度积累的非财政拨款结余弥补当年收支差额的金额。</w:t>
      </w:r>
    </w:p>
    <w:p w14:paraId="31E4FCFD">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6.年初结转和结余：指以前年度尚未完成、结转到本年按有关规定继续使用的资金。</w:t>
      </w:r>
    </w:p>
    <w:p w14:paraId="3F37A5C4">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7.结余分配：指事业单位按照会计制度规定缴纳的所得税、提取的专用结余以及转入非财政拨款结余的金额等。</w:t>
      </w:r>
    </w:p>
    <w:p w14:paraId="327C7A80">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8、年末结转和结余：指单位按有关规定结转到下年或以后年度继续使用的资金。</w:t>
      </w:r>
    </w:p>
    <w:p w14:paraId="7B78D370">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9、社会保障和就业（208）行政事业养老支出（05）机关事业单位基本养老保险缴费支出（05）: 单位职工养老保险。</w:t>
      </w:r>
    </w:p>
    <w:p w14:paraId="26109138">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10、社会保障和就业（208）行政事业养老支出（05）机关事业单位职业年金缴费支出（06）: 单位职工职业年金。</w:t>
      </w:r>
    </w:p>
    <w:p w14:paraId="5D8ADA28">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11、卫生健康支出（210）行政事业单位医疗（11）行政单位医疗（01）：单位职工医疗保险。</w:t>
      </w:r>
    </w:p>
    <w:p w14:paraId="38E5DCFC">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12、卫生健康支出（210）行政事业单位医疗（11）其他行政事业单位医疗支出（99）：单位职工医疗保险。</w:t>
      </w:r>
    </w:p>
    <w:p w14:paraId="54AF0C80">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13、交通运输支出（214）公路水路运输（01）其他公路水路运输支出（99）：单位职工工资等支出。</w:t>
      </w:r>
    </w:p>
    <w:p w14:paraId="721EC6F8">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14、住房保障支出（221）住房改革支出（02 款）住房公积金：单位职工公积金。</w:t>
      </w:r>
    </w:p>
    <w:p w14:paraId="3C19CF1B">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15.基本支出：指为保障机构正常运转、完成日常工作任务而发生的人员支出和公用支出。</w:t>
      </w:r>
    </w:p>
    <w:p w14:paraId="6217D45A">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16.项目支出：指在基本支出之外为完成特定行政任务和事业发展目标所发生的支出。</w:t>
      </w:r>
    </w:p>
    <w:p w14:paraId="01A83FB9">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17.经营支出：指事业单位在专业业务活动及其辅助活动之外开展非独立核算经营活动发生的支出。</w:t>
      </w:r>
    </w:p>
    <w:p w14:paraId="279758DF">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AD56F0D">
      <w:pPr>
        <w:pStyle w:val="7"/>
        <w:numPr>
          <w:ilvl w:val="0"/>
          <w:numId w:val="0"/>
        </w:numPr>
        <w:ind w:leftChars="200" w:firstLine="640" w:firstLineChars="200"/>
        <w:jc w:val="left"/>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DF47A1">
      <w:pPr>
        <w:spacing w:line="600" w:lineRule="exact"/>
        <w:jc w:val="center"/>
        <w:rPr>
          <w:rStyle w:val="28"/>
          <w:rFonts w:eastAsia="黑体"/>
          <w:b w:val="0"/>
        </w:rPr>
      </w:pPr>
      <w:r>
        <w:rPr>
          <w:rFonts w:hint="eastAsia" w:eastAsia="仿宋_GB2312" w:cs="仿宋_GB2312"/>
          <w:sz w:val="32"/>
          <w:szCs w:val="32"/>
        </w:rPr>
        <w:br w:type="page"/>
      </w:r>
      <w:bookmarkStart w:id="46" w:name="_Toc15396614"/>
      <w:r>
        <w:rPr>
          <w:rFonts w:hint="eastAsia" w:eastAsia="黑体"/>
          <w:sz w:val="44"/>
          <w:szCs w:val="44"/>
        </w:rPr>
        <w:t>第四部分  附件</w:t>
      </w:r>
      <w:bookmarkEnd w:id="46"/>
    </w:p>
    <w:p w14:paraId="43B029F8">
      <w:pPr>
        <w:spacing w:line="572" w:lineRule="exact"/>
        <w:jc w:val="left"/>
        <w:outlineLvl w:val="0"/>
        <w:rPr>
          <w:rFonts w:eastAsia="黑体" w:cs="黑体"/>
          <w:color w:val="FF0000"/>
          <w:sz w:val="32"/>
          <w:szCs w:val="32"/>
        </w:rPr>
      </w:pPr>
    </w:p>
    <w:p w14:paraId="419175B7">
      <w:pPr>
        <w:spacing w:line="580" w:lineRule="exact"/>
        <w:ind w:firstLine="640" w:firstLineChars="200"/>
        <w:rPr>
          <w:rFonts w:hint="eastAsia" w:ascii="仿宋_GB2312" w:eastAsia="仿宋_GB2312"/>
          <w:sz w:val="32"/>
          <w:szCs w:val="32"/>
        </w:rPr>
      </w:pPr>
      <w:bookmarkStart w:id="47" w:name="_Toc15396618"/>
      <w:r>
        <w:rPr>
          <w:rFonts w:hint="eastAsia" w:ascii="仿宋_GB2312" w:eastAsia="仿宋_GB2312"/>
          <w:sz w:val="32"/>
          <w:szCs w:val="32"/>
        </w:rPr>
        <w:t>根据预算绩效管理要求，本部门（单位）在年初预算编制阶段，组织对0项目（项目名称）开展了预算事前绩效评估，对0个项目编制了绩效目标，预算执行过程中，选取0个项目开展绩效监控，年终执行完毕后，对0个项目开展了绩效目标完成情况自评。202</w:t>
      </w:r>
      <w:r>
        <w:rPr>
          <w:rFonts w:hint="eastAsia" w:ascii="仿宋_GB2312" w:eastAsia="仿宋_GB2312"/>
          <w:sz w:val="32"/>
          <w:szCs w:val="32"/>
          <w:lang w:val="en-US" w:eastAsia="zh-CN"/>
        </w:rPr>
        <w:t>4</w:t>
      </w:r>
      <w:r>
        <w:rPr>
          <w:rFonts w:hint="eastAsia" w:ascii="仿宋_GB2312" w:eastAsia="仿宋_GB2312"/>
          <w:sz w:val="32"/>
          <w:szCs w:val="32"/>
        </w:rPr>
        <w:t>年部门整体支出开展绩效自评包含在九寨沟县</w:t>
      </w:r>
      <w:r>
        <w:rPr>
          <w:rFonts w:hint="eastAsia" w:ascii="仿宋_GB2312" w:eastAsia="仿宋_GB2312"/>
          <w:sz w:val="32"/>
          <w:szCs w:val="32"/>
          <w:lang w:val="en-US" w:eastAsia="zh-CN"/>
        </w:rPr>
        <w:t>交通运输局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年部门整体支出绩效自评中。</w:t>
      </w:r>
    </w:p>
    <w:p w14:paraId="00B246A8">
      <w:pPr>
        <w:widowControl/>
        <w:jc w:val="center"/>
        <w:rPr>
          <w:rFonts w:hint="eastAsia" w:eastAsia="黑体"/>
          <w:sz w:val="44"/>
          <w:szCs w:val="44"/>
        </w:rPr>
      </w:pPr>
    </w:p>
    <w:p w14:paraId="74A704FA">
      <w:pPr>
        <w:widowControl/>
        <w:jc w:val="center"/>
        <w:rPr>
          <w:rFonts w:hint="eastAsia" w:eastAsia="黑体"/>
          <w:sz w:val="44"/>
          <w:szCs w:val="44"/>
        </w:rPr>
      </w:pPr>
    </w:p>
    <w:p w14:paraId="012027D0">
      <w:pPr>
        <w:widowControl/>
        <w:jc w:val="center"/>
        <w:rPr>
          <w:rFonts w:hint="eastAsia" w:eastAsia="黑体"/>
          <w:sz w:val="44"/>
          <w:szCs w:val="44"/>
        </w:rPr>
      </w:pPr>
    </w:p>
    <w:p w14:paraId="26C0FE66">
      <w:pPr>
        <w:widowControl/>
        <w:jc w:val="center"/>
        <w:rPr>
          <w:rFonts w:hint="eastAsia" w:eastAsia="黑体"/>
          <w:sz w:val="44"/>
          <w:szCs w:val="44"/>
        </w:rPr>
      </w:pPr>
    </w:p>
    <w:p w14:paraId="51E2820B">
      <w:pPr>
        <w:widowControl/>
        <w:jc w:val="center"/>
        <w:rPr>
          <w:rFonts w:hint="eastAsia" w:eastAsia="黑体"/>
          <w:sz w:val="44"/>
          <w:szCs w:val="44"/>
        </w:rPr>
      </w:pPr>
    </w:p>
    <w:p w14:paraId="5D233039">
      <w:pPr>
        <w:widowControl/>
        <w:jc w:val="center"/>
        <w:rPr>
          <w:rFonts w:hint="eastAsia" w:eastAsia="黑体"/>
          <w:sz w:val="44"/>
          <w:szCs w:val="44"/>
        </w:rPr>
      </w:pPr>
    </w:p>
    <w:p w14:paraId="6B22CEAE">
      <w:pPr>
        <w:widowControl/>
        <w:jc w:val="center"/>
        <w:rPr>
          <w:rFonts w:hint="eastAsia" w:eastAsia="黑体"/>
          <w:sz w:val="44"/>
          <w:szCs w:val="44"/>
        </w:rPr>
      </w:pPr>
    </w:p>
    <w:p w14:paraId="635C3EF2">
      <w:pPr>
        <w:widowControl/>
        <w:jc w:val="center"/>
        <w:rPr>
          <w:rFonts w:hint="eastAsia" w:eastAsia="黑体"/>
          <w:sz w:val="44"/>
          <w:szCs w:val="44"/>
        </w:rPr>
      </w:pPr>
    </w:p>
    <w:p w14:paraId="35BC63CC">
      <w:pPr>
        <w:widowControl/>
        <w:jc w:val="center"/>
        <w:rPr>
          <w:rFonts w:hint="eastAsia" w:eastAsia="黑体"/>
          <w:sz w:val="44"/>
          <w:szCs w:val="44"/>
        </w:rPr>
      </w:pPr>
    </w:p>
    <w:p w14:paraId="1487267F">
      <w:pPr>
        <w:widowControl/>
        <w:jc w:val="center"/>
        <w:rPr>
          <w:rFonts w:hint="eastAsia" w:eastAsia="黑体"/>
          <w:sz w:val="44"/>
          <w:szCs w:val="44"/>
        </w:rPr>
      </w:pPr>
    </w:p>
    <w:p w14:paraId="414200D8">
      <w:pPr>
        <w:widowControl/>
        <w:jc w:val="center"/>
        <w:rPr>
          <w:rFonts w:hint="eastAsia" w:eastAsia="黑体"/>
          <w:sz w:val="44"/>
          <w:szCs w:val="44"/>
        </w:rPr>
      </w:pPr>
    </w:p>
    <w:p w14:paraId="79598827">
      <w:pPr>
        <w:widowControl/>
        <w:jc w:val="center"/>
        <w:rPr>
          <w:rFonts w:hint="eastAsia" w:eastAsia="黑体"/>
          <w:sz w:val="44"/>
          <w:szCs w:val="44"/>
        </w:rPr>
      </w:pPr>
    </w:p>
    <w:p w14:paraId="2A6F0CA3">
      <w:pPr>
        <w:widowControl/>
        <w:jc w:val="center"/>
        <w:rPr>
          <w:rFonts w:hint="eastAsia" w:eastAsia="黑体"/>
          <w:sz w:val="44"/>
          <w:szCs w:val="44"/>
        </w:rPr>
      </w:pPr>
    </w:p>
    <w:p w14:paraId="07FB9831">
      <w:pPr>
        <w:widowControl/>
        <w:jc w:val="center"/>
        <w:rPr>
          <w:rFonts w:hint="eastAsia" w:eastAsia="黑体"/>
          <w:sz w:val="44"/>
          <w:szCs w:val="44"/>
        </w:rPr>
      </w:pPr>
    </w:p>
    <w:p w14:paraId="2C583F78">
      <w:pPr>
        <w:widowControl/>
        <w:jc w:val="center"/>
        <w:rPr>
          <w:rFonts w:eastAsia="仿宋"/>
        </w:rPr>
      </w:pPr>
      <w:r>
        <w:rPr>
          <w:rFonts w:hint="eastAsia" w:eastAsia="黑体"/>
          <w:sz w:val="44"/>
          <w:szCs w:val="44"/>
        </w:rPr>
        <w:t>第</w:t>
      </w:r>
      <w:r>
        <w:rPr>
          <w:rStyle w:val="28"/>
          <w:rFonts w:hint="eastAsia" w:eastAsia="黑体"/>
          <w:b w:val="0"/>
        </w:rPr>
        <w:t>五部分 附表</w:t>
      </w:r>
      <w:bookmarkEnd w:id="45"/>
      <w:bookmarkEnd w:id="47"/>
      <w:bookmarkStart w:id="48" w:name="_Toc15396619"/>
    </w:p>
    <w:p w14:paraId="087056F1">
      <w:pPr>
        <w:pStyle w:val="14"/>
        <w:adjustRightInd w:val="0"/>
        <w:snapToGrid w:val="0"/>
        <w:spacing w:line="560" w:lineRule="exact"/>
        <w:jc w:val="left"/>
        <w:rPr>
          <w:rFonts w:eastAsia="仿宋_GB2312" w:cs="仿宋_GB2312"/>
          <w:sz w:val="32"/>
          <w:szCs w:val="32"/>
        </w:rPr>
      </w:pPr>
    </w:p>
    <w:p w14:paraId="0E33B043">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8"/>
    </w:p>
    <w:p w14:paraId="33F9BDE0">
      <w:pPr>
        <w:pStyle w:val="14"/>
        <w:adjustRightInd w:val="0"/>
        <w:snapToGrid w:val="0"/>
        <w:spacing w:line="560" w:lineRule="exact"/>
        <w:jc w:val="left"/>
        <w:rPr>
          <w:rFonts w:eastAsia="仿宋_GB2312" w:cs="仿宋_GB2312"/>
          <w:sz w:val="32"/>
          <w:szCs w:val="32"/>
        </w:rPr>
      </w:pPr>
      <w:bookmarkStart w:id="49" w:name="_Toc15396620"/>
      <w:r>
        <w:rPr>
          <w:rFonts w:hint="eastAsia" w:eastAsia="仿宋_GB2312" w:cs="仿宋_GB2312"/>
          <w:sz w:val="32"/>
          <w:szCs w:val="32"/>
        </w:rPr>
        <w:t>二、收入决算表</w:t>
      </w:r>
      <w:bookmarkEnd w:id="49"/>
    </w:p>
    <w:p w14:paraId="2D933C32">
      <w:pPr>
        <w:pStyle w:val="14"/>
        <w:adjustRightInd w:val="0"/>
        <w:snapToGrid w:val="0"/>
        <w:spacing w:line="560" w:lineRule="exact"/>
        <w:jc w:val="left"/>
        <w:rPr>
          <w:rFonts w:eastAsia="仿宋_GB2312" w:cs="仿宋_GB2312"/>
          <w:sz w:val="32"/>
          <w:szCs w:val="32"/>
        </w:rPr>
      </w:pPr>
      <w:bookmarkStart w:id="50" w:name="_Toc15396621"/>
      <w:r>
        <w:rPr>
          <w:rFonts w:hint="eastAsia" w:eastAsia="仿宋_GB2312" w:cs="仿宋_GB2312"/>
          <w:sz w:val="32"/>
          <w:szCs w:val="32"/>
        </w:rPr>
        <w:t>三、支出决算表</w:t>
      </w:r>
      <w:bookmarkEnd w:id="50"/>
    </w:p>
    <w:p w14:paraId="6EE28558">
      <w:pPr>
        <w:pStyle w:val="14"/>
        <w:adjustRightInd w:val="0"/>
        <w:snapToGrid w:val="0"/>
        <w:spacing w:line="560" w:lineRule="exact"/>
        <w:jc w:val="left"/>
        <w:rPr>
          <w:rFonts w:eastAsia="仿宋_GB2312" w:cs="仿宋_GB2312"/>
          <w:sz w:val="32"/>
          <w:szCs w:val="32"/>
        </w:rPr>
      </w:pPr>
      <w:bookmarkStart w:id="51" w:name="_Toc15396622"/>
      <w:r>
        <w:rPr>
          <w:rFonts w:hint="eastAsia" w:eastAsia="仿宋_GB2312" w:cs="仿宋_GB2312"/>
          <w:sz w:val="32"/>
          <w:szCs w:val="32"/>
        </w:rPr>
        <w:t>四、财政拨款收入支出决算总表</w:t>
      </w:r>
      <w:bookmarkEnd w:id="51"/>
    </w:p>
    <w:p w14:paraId="391FF2AD">
      <w:pPr>
        <w:pStyle w:val="14"/>
        <w:adjustRightInd w:val="0"/>
        <w:snapToGrid w:val="0"/>
        <w:spacing w:line="560" w:lineRule="exact"/>
        <w:jc w:val="left"/>
        <w:rPr>
          <w:rFonts w:eastAsia="仿宋_GB2312" w:cs="仿宋_GB2312"/>
          <w:sz w:val="32"/>
          <w:szCs w:val="32"/>
        </w:rPr>
      </w:pPr>
      <w:bookmarkStart w:id="52" w:name="_Toc15396623"/>
      <w:r>
        <w:rPr>
          <w:rFonts w:hint="eastAsia" w:eastAsia="仿宋_GB2312" w:cs="仿宋_GB2312"/>
          <w:sz w:val="32"/>
          <w:szCs w:val="32"/>
        </w:rPr>
        <w:t>五、财政拨款支出决算明细表</w:t>
      </w:r>
      <w:bookmarkEnd w:id="52"/>
      <w:bookmarkStart w:id="53" w:name="_Toc15396624"/>
    </w:p>
    <w:p w14:paraId="0DCE72E5">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3"/>
    </w:p>
    <w:p w14:paraId="4E9E6EC6">
      <w:pPr>
        <w:pStyle w:val="14"/>
        <w:adjustRightInd w:val="0"/>
        <w:snapToGrid w:val="0"/>
        <w:spacing w:line="560" w:lineRule="exact"/>
        <w:jc w:val="left"/>
        <w:rPr>
          <w:rFonts w:eastAsia="仿宋_GB2312" w:cs="仿宋_GB2312"/>
          <w:sz w:val="32"/>
          <w:szCs w:val="32"/>
        </w:rPr>
      </w:pPr>
      <w:bookmarkStart w:id="54" w:name="_Toc15396625"/>
      <w:r>
        <w:rPr>
          <w:rFonts w:hint="eastAsia" w:eastAsia="仿宋_GB2312" w:cs="仿宋_GB2312"/>
          <w:sz w:val="32"/>
          <w:szCs w:val="32"/>
        </w:rPr>
        <w:t>七、一般公共预算财政拨款支出决算明细表</w:t>
      </w:r>
      <w:bookmarkEnd w:id="54"/>
    </w:p>
    <w:p w14:paraId="3CDC51C7">
      <w:pPr>
        <w:pStyle w:val="14"/>
        <w:adjustRightInd w:val="0"/>
        <w:snapToGrid w:val="0"/>
        <w:spacing w:line="560" w:lineRule="exact"/>
        <w:jc w:val="left"/>
        <w:rPr>
          <w:rFonts w:eastAsia="仿宋_GB2312" w:cs="仿宋_GB2312"/>
          <w:sz w:val="32"/>
          <w:szCs w:val="32"/>
        </w:rPr>
      </w:pPr>
      <w:bookmarkStart w:id="55" w:name="_Toc15396626"/>
      <w:r>
        <w:rPr>
          <w:rFonts w:hint="eastAsia" w:eastAsia="仿宋_GB2312" w:cs="仿宋_GB2312"/>
          <w:sz w:val="32"/>
          <w:szCs w:val="32"/>
        </w:rPr>
        <w:t>八、一般公共预算财政拨款基本支出决算表</w:t>
      </w:r>
      <w:bookmarkEnd w:id="55"/>
    </w:p>
    <w:p w14:paraId="7B5DF2DB">
      <w:pPr>
        <w:pStyle w:val="14"/>
        <w:adjustRightInd w:val="0"/>
        <w:snapToGrid w:val="0"/>
        <w:spacing w:line="560" w:lineRule="exact"/>
        <w:jc w:val="left"/>
        <w:rPr>
          <w:rFonts w:eastAsia="仿宋_GB2312" w:cs="仿宋_GB2312"/>
          <w:sz w:val="32"/>
          <w:szCs w:val="32"/>
        </w:rPr>
      </w:pPr>
      <w:bookmarkStart w:id="56" w:name="_Toc15396627"/>
      <w:r>
        <w:rPr>
          <w:rFonts w:hint="eastAsia" w:eastAsia="仿宋_GB2312" w:cs="仿宋_GB2312"/>
          <w:sz w:val="32"/>
          <w:szCs w:val="32"/>
        </w:rPr>
        <w:t>九、一般公共预算财政拨款项目支出决算表</w:t>
      </w:r>
      <w:bookmarkEnd w:id="56"/>
    </w:p>
    <w:p w14:paraId="4230B704">
      <w:pPr>
        <w:pStyle w:val="14"/>
        <w:adjustRightInd w:val="0"/>
        <w:snapToGrid w:val="0"/>
        <w:spacing w:line="560" w:lineRule="exact"/>
        <w:jc w:val="left"/>
        <w:rPr>
          <w:rFonts w:eastAsia="仿宋_GB2312" w:cs="仿宋_GB2312"/>
          <w:sz w:val="32"/>
          <w:szCs w:val="32"/>
        </w:rPr>
      </w:pPr>
      <w:bookmarkStart w:id="57" w:name="_Toc15396628"/>
      <w:r>
        <w:rPr>
          <w:rFonts w:hint="eastAsia" w:eastAsia="仿宋_GB2312" w:cs="仿宋_GB2312"/>
          <w:sz w:val="32"/>
          <w:szCs w:val="32"/>
        </w:rPr>
        <w:t>十、</w:t>
      </w:r>
      <w:bookmarkEnd w:id="57"/>
      <w:r>
        <w:rPr>
          <w:rFonts w:hint="eastAsia" w:eastAsia="仿宋_GB2312" w:cs="仿宋_GB2312"/>
          <w:sz w:val="32"/>
          <w:szCs w:val="32"/>
        </w:rPr>
        <w:t>政府性基金预算财政拨款收入支出决算表</w:t>
      </w:r>
    </w:p>
    <w:p w14:paraId="69296630">
      <w:pPr>
        <w:pStyle w:val="14"/>
        <w:adjustRightInd w:val="0"/>
        <w:snapToGrid w:val="0"/>
        <w:spacing w:line="560" w:lineRule="exact"/>
        <w:jc w:val="left"/>
        <w:rPr>
          <w:rFonts w:eastAsia="仿宋_GB2312" w:cs="仿宋_GB2312"/>
          <w:sz w:val="32"/>
          <w:szCs w:val="32"/>
        </w:rPr>
      </w:pPr>
      <w:bookmarkStart w:id="58" w:name="_Toc15396629"/>
      <w:r>
        <w:rPr>
          <w:rFonts w:hint="eastAsia" w:eastAsia="仿宋_GB2312" w:cs="仿宋_GB2312"/>
          <w:sz w:val="32"/>
          <w:szCs w:val="32"/>
        </w:rPr>
        <w:t>十一、</w:t>
      </w:r>
      <w:bookmarkEnd w:id="58"/>
      <w:r>
        <w:rPr>
          <w:rFonts w:hint="eastAsia" w:eastAsia="仿宋_GB2312" w:cs="仿宋_GB2312"/>
          <w:sz w:val="32"/>
          <w:szCs w:val="32"/>
        </w:rPr>
        <w:t>国有资本经营预算财政拨款收入支出决算表</w:t>
      </w:r>
    </w:p>
    <w:p w14:paraId="288441D0">
      <w:pPr>
        <w:pStyle w:val="14"/>
        <w:adjustRightInd w:val="0"/>
        <w:snapToGrid w:val="0"/>
        <w:spacing w:line="560" w:lineRule="exact"/>
        <w:jc w:val="left"/>
        <w:rPr>
          <w:rFonts w:eastAsia="仿宋_GB2312" w:cs="仿宋_GB2312"/>
          <w:sz w:val="32"/>
          <w:szCs w:val="32"/>
        </w:rPr>
      </w:pPr>
      <w:bookmarkStart w:id="59" w:name="_Toc15396630"/>
      <w:r>
        <w:rPr>
          <w:rFonts w:hint="eastAsia" w:eastAsia="仿宋_GB2312" w:cs="仿宋_GB2312"/>
          <w:sz w:val="32"/>
          <w:szCs w:val="32"/>
        </w:rPr>
        <w:t>十二、</w:t>
      </w:r>
      <w:bookmarkEnd w:id="59"/>
      <w:r>
        <w:rPr>
          <w:rFonts w:hint="eastAsia" w:eastAsia="仿宋_GB2312" w:cs="仿宋_GB2312"/>
          <w:sz w:val="32"/>
          <w:szCs w:val="32"/>
        </w:rPr>
        <w:t>国有资本经营预算财政拨款支出决算表</w:t>
      </w:r>
    </w:p>
    <w:p w14:paraId="74BCAEAC">
      <w:pPr>
        <w:pStyle w:val="14"/>
        <w:adjustRightInd w:val="0"/>
        <w:snapToGrid w:val="0"/>
        <w:spacing w:line="560" w:lineRule="exact"/>
        <w:jc w:val="left"/>
        <w:rPr>
          <w:rFonts w:eastAsia="仿宋_GB2312" w:cs="仿宋_GB2312"/>
          <w:sz w:val="32"/>
          <w:szCs w:val="32"/>
        </w:rPr>
      </w:pPr>
      <w:bookmarkStart w:id="60" w:name="_Toc15396631"/>
      <w:r>
        <w:rPr>
          <w:rFonts w:hint="eastAsia" w:eastAsia="仿宋_GB2312" w:cs="仿宋_GB2312"/>
          <w:sz w:val="32"/>
          <w:szCs w:val="32"/>
        </w:rPr>
        <w:t>十三、</w:t>
      </w:r>
      <w:bookmarkEnd w:id="60"/>
      <w:r>
        <w:rPr>
          <w:rFonts w:hint="eastAsia" w:eastAsia="仿宋_GB2312" w:cs="仿宋_GB2312"/>
          <w:sz w:val="32"/>
          <w:szCs w:val="32"/>
        </w:rPr>
        <w:t>财政拨款“三公”经费支出决算表</w:t>
      </w:r>
    </w:p>
    <w:p w14:paraId="45BF1FE8"/>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7CC3B">
    <w:pPr>
      <w:pStyle w:val="10"/>
      <w:jc w:val="cente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9140741">
                <w:pPr>
                  <w:pStyle w:val="10"/>
                </w:pPr>
                <w:r>
                  <w:fldChar w:fldCharType="begin"/>
                </w:r>
                <w:r>
                  <w:instrText xml:space="preserve"> PAGE  \* MERGEFORMAT </w:instrText>
                </w:r>
                <w:r>
                  <w:fldChar w:fldCharType="separate"/>
                </w:r>
                <w:r>
                  <w:t>- 2 -</w:t>
                </w:r>
                <w:r>
                  <w:fldChar w:fldCharType="end"/>
                </w:r>
              </w:p>
            </w:txbxContent>
          </v:textbox>
        </v:shape>
      </w:pict>
    </w:r>
  </w:p>
  <w:p w14:paraId="22AB454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BF5FD">
    <w:pPr>
      <w:pStyle w:val="10"/>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6609F0F">
                <w:pPr>
                  <w:pStyle w:val="10"/>
                </w:pPr>
                <w:r>
                  <w:fldChar w:fldCharType="begin"/>
                </w:r>
                <w:r>
                  <w:instrText xml:space="preserve"> PAGE  \* MERGEFORMAT </w:instrText>
                </w:r>
                <w:r>
                  <w:fldChar w:fldCharType="separate"/>
                </w:r>
                <w:r>
                  <w:t>- 1 -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8F848">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3A75"/>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312F"/>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AB5425"/>
    <w:rsid w:val="02FEBE30"/>
    <w:rsid w:val="047010F6"/>
    <w:rsid w:val="04916F1E"/>
    <w:rsid w:val="061E35DE"/>
    <w:rsid w:val="066E0107"/>
    <w:rsid w:val="07996F6E"/>
    <w:rsid w:val="07B62F76"/>
    <w:rsid w:val="07DFD8BA"/>
    <w:rsid w:val="09867E8F"/>
    <w:rsid w:val="0A2032A3"/>
    <w:rsid w:val="0CA8290A"/>
    <w:rsid w:val="0D35B1ED"/>
    <w:rsid w:val="0E254B6B"/>
    <w:rsid w:val="0EDA3469"/>
    <w:rsid w:val="0F1D0E3F"/>
    <w:rsid w:val="0F98263C"/>
    <w:rsid w:val="101860EC"/>
    <w:rsid w:val="101F47CC"/>
    <w:rsid w:val="10C055FF"/>
    <w:rsid w:val="11694EBD"/>
    <w:rsid w:val="11772AA4"/>
    <w:rsid w:val="118107EC"/>
    <w:rsid w:val="125F04DE"/>
    <w:rsid w:val="12E24EE2"/>
    <w:rsid w:val="13D50BC4"/>
    <w:rsid w:val="14B17F78"/>
    <w:rsid w:val="1592224A"/>
    <w:rsid w:val="165E0673"/>
    <w:rsid w:val="16B831D5"/>
    <w:rsid w:val="16BB723D"/>
    <w:rsid w:val="17E50567"/>
    <w:rsid w:val="186504BB"/>
    <w:rsid w:val="197927B9"/>
    <w:rsid w:val="19A445FC"/>
    <w:rsid w:val="1A712CCE"/>
    <w:rsid w:val="1BE8440E"/>
    <w:rsid w:val="1D155CEE"/>
    <w:rsid w:val="1D1638FE"/>
    <w:rsid w:val="1D402D62"/>
    <w:rsid w:val="1E312DEB"/>
    <w:rsid w:val="1E740ACF"/>
    <w:rsid w:val="1FF35744"/>
    <w:rsid w:val="1FF6BC77"/>
    <w:rsid w:val="2186353C"/>
    <w:rsid w:val="23860B96"/>
    <w:rsid w:val="240371BF"/>
    <w:rsid w:val="244F3473"/>
    <w:rsid w:val="24C97D99"/>
    <w:rsid w:val="25A718F0"/>
    <w:rsid w:val="25BB59F6"/>
    <w:rsid w:val="260F557C"/>
    <w:rsid w:val="26970054"/>
    <w:rsid w:val="281408E2"/>
    <w:rsid w:val="28E96F27"/>
    <w:rsid w:val="29FD04D3"/>
    <w:rsid w:val="2BFF7BC6"/>
    <w:rsid w:val="2C8A61B5"/>
    <w:rsid w:val="2DF04E50"/>
    <w:rsid w:val="2E586DFA"/>
    <w:rsid w:val="2F040D46"/>
    <w:rsid w:val="2F6B035B"/>
    <w:rsid w:val="2FAE5751"/>
    <w:rsid w:val="2FB1A395"/>
    <w:rsid w:val="2FD9A7D8"/>
    <w:rsid w:val="2FDBF714"/>
    <w:rsid w:val="30AB6865"/>
    <w:rsid w:val="319F7F4E"/>
    <w:rsid w:val="32BD1EF1"/>
    <w:rsid w:val="32E75E2A"/>
    <w:rsid w:val="3304709D"/>
    <w:rsid w:val="33A773CB"/>
    <w:rsid w:val="349D6851"/>
    <w:rsid w:val="36AA5135"/>
    <w:rsid w:val="36BE0DA7"/>
    <w:rsid w:val="376B6AA6"/>
    <w:rsid w:val="376D39B2"/>
    <w:rsid w:val="37E16F03"/>
    <w:rsid w:val="37F53A3B"/>
    <w:rsid w:val="38866CED"/>
    <w:rsid w:val="389B6C89"/>
    <w:rsid w:val="38D469F0"/>
    <w:rsid w:val="39627CCD"/>
    <w:rsid w:val="397BAF1F"/>
    <w:rsid w:val="3AB79AF3"/>
    <w:rsid w:val="3ACA4067"/>
    <w:rsid w:val="3AE834C0"/>
    <w:rsid w:val="3B7EF35A"/>
    <w:rsid w:val="3B9FDB6C"/>
    <w:rsid w:val="3BF5BC2F"/>
    <w:rsid w:val="3C973023"/>
    <w:rsid w:val="3CEBA265"/>
    <w:rsid w:val="3D98207C"/>
    <w:rsid w:val="3DEE7CF3"/>
    <w:rsid w:val="3E740A63"/>
    <w:rsid w:val="3E78745D"/>
    <w:rsid w:val="3EE17838"/>
    <w:rsid w:val="3F4F3289"/>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DFF3C28"/>
    <w:rsid w:val="4EAB630A"/>
    <w:rsid w:val="4ECE2238"/>
    <w:rsid w:val="4F833267"/>
    <w:rsid w:val="4FE9BD67"/>
    <w:rsid w:val="4FFB052F"/>
    <w:rsid w:val="512322CB"/>
    <w:rsid w:val="513A14D4"/>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D71F5D"/>
    <w:rsid w:val="65E66580"/>
    <w:rsid w:val="661701F9"/>
    <w:rsid w:val="664B1D71"/>
    <w:rsid w:val="664B4E8E"/>
    <w:rsid w:val="67277B67"/>
    <w:rsid w:val="67AA3209"/>
    <w:rsid w:val="698D0931"/>
    <w:rsid w:val="6A7FE5F3"/>
    <w:rsid w:val="6B053271"/>
    <w:rsid w:val="6BDD78B3"/>
    <w:rsid w:val="6C4A05C8"/>
    <w:rsid w:val="6C8742B8"/>
    <w:rsid w:val="6CFE0684"/>
    <w:rsid w:val="6DAE1443"/>
    <w:rsid w:val="6DBF5E93"/>
    <w:rsid w:val="6DFF077E"/>
    <w:rsid w:val="6E714EF0"/>
    <w:rsid w:val="6E7E3605"/>
    <w:rsid w:val="6E7FDCC7"/>
    <w:rsid w:val="6ED6A62E"/>
    <w:rsid w:val="6EE00B15"/>
    <w:rsid w:val="6F4108FD"/>
    <w:rsid w:val="6F6FB3EB"/>
    <w:rsid w:val="6F8731EA"/>
    <w:rsid w:val="6FCE6052"/>
    <w:rsid w:val="6FD57C00"/>
    <w:rsid w:val="6FEFFFD8"/>
    <w:rsid w:val="6FF5CC65"/>
    <w:rsid w:val="6FFB47EC"/>
    <w:rsid w:val="6FFF034A"/>
    <w:rsid w:val="700B3D3E"/>
    <w:rsid w:val="70484440"/>
    <w:rsid w:val="712A28F1"/>
    <w:rsid w:val="715C0E4B"/>
    <w:rsid w:val="71992E7C"/>
    <w:rsid w:val="72233669"/>
    <w:rsid w:val="72734D90"/>
    <w:rsid w:val="73160E6D"/>
    <w:rsid w:val="7332FE48"/>
    <w:rsid w:val="73AB61DA"/>
    <w:rsid w:val="73AD73D5"/>
    <w:rsid w:val="73B6EB34"/>
    <w:rsid w:val="73FA497D"/>
    <w:rsid w:val="742D0E4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7D402E"/>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16</Pages>
  <Words>5013</Words>
  <Characters>5416</Characters>
  <Lines>6</Lines>
  <Paragraphs>17</Paragraphs>
  <TotalTime>7</TotalTime>
  <ScaleCrop>false</ScaleCrop>
  <LinksUpToDate>false</LinksUpToDate>
  <CharactersWithSpaces>5480</CharactersWithSpaces>
  <Application>WPS Office_12.1.0.22529_F1E327BC-269C-435d-A152-05C5408002CA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2025-10-14T09:12:00Z</dcterms:created>
  <dc:creator>曹颖</dc:creator>
  <cp:lastModifiedBy>白日梦</cp:lastModifiedBy>
  <cp:lastPrinted>2025-08-06T17:34:00Z</cp:lastPrinted>
  <dcterms:modified xsi:type="dcterms:W3CDTF">2025-10-15T01:14:45Z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eyJoZGlkIjoiOGFhOWRjZjk5ZTcxOGZmZDk3NjI2MzQyNjRiMDYxMTIiLCJ1c2VySWQiOiIxMjA2NjAwODUwIn0=</vt:lpwstr>
  </property>
</Properties>
</file>