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96475"/>
      <w:bookmarkStart w:id="4" w:name="_Toc15396597"/>
      <w:bookmarkStart w:id="5" w:name="_Toc15377193"/>
      <w:bookmarkStart w:id="72" w:name="_GoBack"/>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598"/>
      <w:bookmarkStart w:id="8" w:name="_Toc15306268"/>
      <w:bookmarkStart w:id="9" w:name="_Toc15378442"/>
      <w:bookmarkStart w:id="10" w:name="_Toc15396476"/>
      <w:bookmarkStart w:id="11" w:name="_Toc15377426"/>
      <w:r>
        <w:rPr>
          <w:rFonts w:hint="eastAsia" w:ascii="方正小标宋简体" w:hAnsi="宋体" w:eastAsia="方正小标宋简体"/>
          <w:color w:val="000000"/>
          <w:sz w:val="72"/>
          <w:szCs w:val="72"/>
        </w:rPr>
        <w:t>四川省九寨沟县人力资源和社会保障局（事业）部门决算</w:t>
      </w:r>
      <w:bookmarkEnd w:id="6"/>
      <w:bookmarkEnd w:id="7"/>
      <w:bookmarkEnd w:id="8"/>
      <w:bookmarkEnd w:id="9"/>
      <w:bookmarkEnd w:id="10"/>
      <w:bookmarkEnd w:id="11"/>
    </w:p>
    <w:bookmarkEnd w:id="72"/>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
    <w:p>
      <w:pPr>
        <w:pStyle w:val="12"/>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tab/>
      </w:r>
      <w:r>
        <w:fldChar w:fldCharType="begin"/>
      </w:r>
      <w:r>
        <w:instrText xml:space="preserve"> PAGEREF _Toc15396602 \h </w:instrText>
      </w:r>
      <w:r>
        <w:fldChar w:fldCharType="separate"/>
      </w:r>
      <w:r>
        <w:t>7</w:t>
      </w:r>
      <w:r>
        <w:fldChar w:fldCharType="end"/>
      </w:r>
      <w: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14</w:t>
      </w:r>
      <w:r>
        <w:fldChar w:fldCharType="end"/>
      </w:r>
      <w:r>
        <w:fldChar w:fldCharType="end"/>
      </w:r>
    </w:p>
    <w:p>
      <w:pPr>
        <w:pStyle w:val="12"/>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tab/>
      </w:r>
      <w:r>
        <w:fldChar w:fldCharType="begin"/>
      </w:r>
      <w:r>
        <w:instrText xml:space="preserve"> PAGEREF _Toc15396614 \h </w:instrText>
      </w:r>
      <w:r>
        <w:fldChar w:fldCharType="separate"/>
      </w:r>
      <w:r>
        <w:t>16</w:t>
      </w:r>
      <w:r>
        <w:fldChar w:fldCharType="end"/>
      </w:r>
      <w:r>
        <w:fldChar w:fldCharType="end"/>
      </w:r>
    </w:p>
    <w:p>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tab/>
      </w:r>
      <w:r>
        <w:fldChar w:fldCharType="begin"/>
      </w:r>
      <w:r>
        <w:instrText xml:space="preserve"> PAGEREF _Toc15396618 \h </w:instrText>
      </w:r>
      <w:r>
        <w:fldChar w:fldCharType="separate"/>
      </w:r>
      <w:r>
        <w:t>21</w:t>
      </w:r>
      <w:r>
        <w:fldChar w:fldCharType="end"/>
      </w:r>
      <w:r>
        <w:fldChar w:fldCharType="end"/>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ind w:firstLine="640" w:firstLineChars="200"/>
        <w:rPr>
          <w:rStyle w:val="28"/>
          <w:rFonts w:ascii="黑体" w:hAnsi="黑体" w:eastAsia="黑体"/>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bookmarkStart w:id="16" w:name="_Toc15378446"/>
      <w:bookmarkStart w:id="17" w:name="_Toc15377199"/>
    </w:p>
    <w:p>
      <w:pPr>
        <w:pStyle w:val="3"/>
        <w:ind w:firstLine="643" w:firstLineChars="200"/>
        <w:rPr>
          <w:rFonts w:ascii="仿宋" w:hAnsi="仿宋" w:eastAsia="仿宋"/>
          <w:b w:val="0"/>
          <w:bCs w:val="0"/>
        </w:rPr>
      </w:pPr>
      <w:r>
        <w:rPr>
          <w:rFonts w:hint="eastAsia" w:ascii="仿宋" w:hAnsi="仿宋" w:eastAsia="仿宋"/>
          <w:bCs w:val="0"/>
          <w:color w:val="000000"/>
        </w:rPr>
        <w:t>（一）主要职能。</w:t>
      </w:r>
      <w:r>
        <w:rPr>
          <w:rFonts w:hint="eastAsia"/>
        </w:rPr>
        <w:t>九寨沟县人力资源和社会保障局劳动监察大队（简称人社局，挂公务员局牌子）</w:t>
      </w:r>
    </w:p>
    <w:p>
      <w:pPr>
        <w:widowControl/>
        <w:spacing w:line="560" w:lineRule="exact"/>
        <w:jc w:val="left"/>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p>
    <w:p>
      <w:pPr>
        <w:pStyle w:val="10"/>
        <w:ind w:firstLine="0" w:firstLineChars="0"/>
      </w:pPr>
      <w:r>
        <w:rPr>
          <w:rFonts w:hint="eastAsia"/>
          <w:sz w:val="32"/>
          <w:szCs w:val="32"/>
        </w:rPr>
        <w:t>主动监察依法维权，通过开展“铸盾行动”、劳动用工专项整治等，累计主动监察用人单位67户，涉及劳动者2369人。积极查处欠薪维护稳定、接待信访55起，涉及人数368人，协调解决农民工工资1039.3523万元，建立动态管理台账，限时销号解决欠薪案件。为进一步规范劳动用工行为，制定出台《九寨沟县工程建设领域农民工工资保证金管理办法》，切实做好源头治理，现金金额2445万元，建立农民工工资专用</w:t>
      </w:r>
      <w:r>
        <w:rPr>
          <w:rFonts w:hint="eastAsia"/>
          <w:sz w:val="32"/>
          <w:szCs w:val="32"/>
          <w:lang w:val="en-US" w:eastAsia="zh-CN"/>
        </w:rPr>
        <w:t>账</w:t>
      </w:r>
      <w:r>
        <w:rPr>
          <w:rFonts w:hint="eastAsia"/>
          <w:sz w:val="32"/>
          <w:szCs w:val="32"/>
        </w:rPr>
        <w:t>户149户，购买工伤保险144户。协调劳动人事争议案件，仲裁3起，结案3起，调节18件。</w:t>
      </w:r>
    </w:p>
    <w:bookmarkEnd w:id="16"/>
    <w:bookmarkEnd w:id="17"/>
    <w:p>
      <w:pPr>
        <w:pStyle w:val="3"/>
        <w:ind w:firstLine="640" w:firstLineChars="200"/>
        <w:rPr>
          <w:rStyle w:val="28"/>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8"/>
      <w:bookmarkEnd w:id="19"/>
    </w:p>
    <w:p>
      <w:pPr>
        <w:pStyle w:val="10"/>
        <w:ind w:left="0" w:leftChars="0" w:firstLine="630" w:firstLineChars="300"/>
      </w:pPr>
      <w:r>
        <w:rPr>
          <w:rFonts w:hint="eastAsia"/>
        </w:rPr>
        <w:t>无</w:t>
      </w:r>
    </w:p>
    <w:p>
      <w:pPr>
        <w:ind w:firstLine="640" w:firstLineChars="200"/>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pP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2018年度部门决算情况说明</w:t>
      </w:r>
      <w:bookmarkEnd w:id="20"/>
      <w:bookmarkEnd w:id="21"/>
    </w:p>
    <w:p>
      <w:pPr>
        <w:pStyle w:val="26"/>
        <w:numPr>
          <w:ilvl w:val="0"/>
          <w:numId w:val="1"/>
        </w:numPr>
        <w:spacing w:line="600" w:lineRule="exact"/>
        <w:ind w:firstLineChars="0"/>
        <w:outlineLvl w:val="1"/>
        <w:rPr>
          <w:rStyle w:val="28"/>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2"/>
      <w:bookmarkEnd w:id="23"/>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2018年度收、支总计69.33万元。与2017年相比，收、支总计各增加69.33万元，。主要变动原因是2018年财政要求，新增事业单位。</w:t>
      </w:r>
    </w:p>
    <w:p>
      <w:pPr>
        <w:pStyle w:val="26"/>
        <w:numPr>
          <w:ilvl w:val="0"/>
          <w:numId w:val="1"/>
        </w:numPr>
        <w:spacing w:line="600" w:lineRule="exact"/>
        <w:ind w:firstLineChars="0"/>
        <w:outlineLvl w:val="1"/>
        <w:rPr>
          <w:rStyle w:val="28"/>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4"/>
      <w:bookmarkEnd w:id="25"/>
    </w:p>
    <w:p>
      <w:pPr>
        <w:pStyle w:val="26"/>
        <w:spacing w:line="600" w:lineRule="exact"/>
        <w:ind w:left="1060" w:firstLine="64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本年收入合计69.33万元，其中：一般公共预算财政拨款收入69.33万元，占100%；政府性基金预算财政拨款收入0万元，占0%；国有资本经营预算财政拨款收入0万元，占0%；事业收入0万元，占0%；经营收入0万元，占0%；附属单位上缴收入0万元，占0%；其他收入0万元，占0%。</w:t>
      </w:r>
    </w:p>
    <w:p>
      <w:pPr>
        <w:pStyle w:val="26"/>
        <w:numPr>
          <w:ilvl w:val="0"/>
          <w:numId w:val="1"/>
        </w:numPr>
        <w:spacing w:line="600" w:lineRule="exact"/>
        <w:ind w:firstLineChars="0"/>
        <w:outlineLvl w:val="1"/>
        <w:rPr>
          <w:rStyle w:val="28"/>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6"/>
      <w:bookmarkEnd w:id="27"/>
    </w:p>
    <w:p>
      <w:pPr>
        <w:pStyle w:val="26"/>
        <w:spacing w:line="600" w:lineRule="exact"/>
        <w:ind w:left="1429" w:firstLine="0" w:firstLineChars="0"/>
        <w:rPr>
          <w:rFonts w:ascii="仿宋" w:hAnsi="仿宋" w:eastAsia="仿宋"/>
          <w:color w:val="000000"/>
          <w:sz w:val="32"/>
          <w:szCs w:val="32"/>
          <w:shd w:val="pct10" w:color="auto" w:fill="FFFFFF"/>
        </w:rPr>
      </w:pPr>
      <w:bookmarkStart w:id="28" w:name="_Toc15377208"/>
      <w:bookmarkStart w:id="29" w:name="_Toc15396606"/>
      <w:r>
        <w:rPr>
          <w:rFonts w:ascii="仿宋" w:hAnsi="仿宋" w:eastAsia="仿宋"/>
          <w:color w:val="000000"/>
          <w:sz w:val="32"/>
          <w:szCs w:val="32"/>
        </w:rPr>
        <w:t>201</w:t>
      </w:r>
      <w:r>
        <w:rPr>
          <w:rFonts w:hint="eastAsia" w:ascii="仿宋" w:hAnsi="仿宋" w:eastAsia="仿宋"/>
          <w:color w:val="000000"/>
          <w:sz w:val="32"/>
          <w:szCs w:val="32"/>
        </w:rPr>
        <w:t>8年本年支出合计69.33万元，其中：基本支出69.33万元，占100</w:t>
      </w:r>
      <w:r>
        <w:rPr>
          <w:rFonts w:ascii="仿宋" w:hAnsi="仿宋" w:eastAsia="仿宋"/>
          <w:color w:val="000000"/>
          <w:sz w:val="32"/>
          <w:szCs w:val="32"/>
        </w:rPr>
        <w:t>%</w:t>
      </w:r>
      <w:r>
        <w:rPr>
          <w:rFonts w:hint="eastAsia" w:ascii="仿宋" w:hAnsi="仿宋" w:eastAsia="仿宋"/>
          <w:color w:val="000000"/>
          <w:sz w:val="32"/>
          <w:szCs w:val="32"/>
        </w:rPr>
        <w:t>；项目支出0万元，占0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8"/>
      <w:bookmarkEnd w:id="29"/>
    </w:p>
    <w:p>
      <w:pPr>
        <w:spacing w:line="600" w:lineRule="exact"/>
        <w:ind w:firstLine="640" w:firstLineChars="200"/>
        <w:rPr>
          <w:rFonts w:ascii="仿宋" w:hAnsi="仿宋" w:eastAsia="仿宋"/>
          <w:color w:val="000000"/>
          <w:sz w:val="32"/>
          <w:szCs w:val="32"/>
        </w:rPr>
      </w:pPr>
      <w:bookmarkStart w:id="30" w:name="_Toc15396607"/>
      <w:bookmarkStart w:id="31" w:name="_Toc15377209"/>
      <w:r>
        <w:rPr>
          <w:rFonts w:hint="eastAsia" w:ascii="仿宋" w:hAnsi="仿宋" w:eastAsia="仿宋"/>
          <w:color w:val="000000"/>
          <w:sz w:val="32"/>
          <w:szCs w:val="32"/>
        </w:rPr>
        <w:t>2018年度收、支总计69.33万元。与2017年相比，收、支总计增加69.33万元。主要变动原因是2018年财政要求，新增事业单位。</w:t>
      </w:r>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ascii="仿宋" w:hAnsi="仿宋" w:eastAsia="仿宋"/>
          <w:color w:val="000000" w:themeColor="text1"/>
          <w:sz w:val="32"/>
          <w:szCs w:val="32"/>
        </w:rPr>
      </w:pPr>
      <w:bookmarkStart w:id="33" w:name="_Toc15377211"/>
      <w:r>
        <w:rPr>
          <w:rFonts w:ascii="仿宋" w:hAnsi="仿宋" w:eastAsia="仿宋"/>
          <w:color w:val="000000"/>
          <w:sz w:val="32"/>
          <w:szCs w:val="32"/>
        </w:rPr>
        <w:t>201</w:t>
      </w:r>
      <w:r>
        <w:rPr>
          <w:rFonts w:hint="eastAsia" w:ascii="仿宋" w:hAnsi="仿宋" w:eastAsia="仿宋"/>
          <w:color w:val="000000"/>
          <w:sz w:val="32"/>
          <w:szCs w:val="32"/>
        </w:rPr>
        <w:t>8年一般公共预算财政拨款支出69.33万元，占本年支出合计的100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7年相比，一般公共预算财政拨款增加69.33万元。主要变动原因是2018年财政要求，新增事业单位。</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themeColor="text1"/>
          <w:sz w:val="32"/>
          <w:szCs w:val="32"/>
        </w:rPr>
      </w:pPr>
      <w:bookmarkStart w:id="34" w:name="_Toc15377212"/>
      <w:r>
        <w:rPr>
          <w:rFonts w:hint="eastAsia" w:ascii="仿宋" w:hAnsi="仿宋" w:eastAsia="仿宋"/>
          <w:color w:val="000000"/>
          <w:sz w:val="32"/>
          <w:szCs w:val="32"/>
        </w:rPr>
        <w:t>2</w:t>
      </w:r>
      <w:r>
        <w:rPr>
          <w:rFonts w:ascii="仿宋" w:hAnsi="仿宋" w:eastAsia="仿宋"/>
          <w:color w:val="000000"/>
          <w:sz w:val="32"/>
          <w:szCs w:val="32"/>
        </w:rPr>
        <w:t>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政拨款支出69.33万元，主要用于以下方面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支出58.79万元，占84.8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支出0.5万元，占0.72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医疗卫生支出2.58</w:t>
      </w:r>
      <w:r>
        <w:rPr>
          <w:rFonts w:hint="eastAsia" w:ascii="仿宋" w:hAnsi="仿宋" w:eastAsia="仿宋"/>
          <w:color w:val="000000" w:themeColor="text1"/>
          <w:sz w:val="32"/>
          <w:szCs w:val="32"/>
        </w:rPr>
        <w:t>万元，占3.72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住房保障支出</w:t>
      </w:r>
      <w:r>
        <w:rPr>
          <w:rFonts w:hint="eastAsia" w:ascii="仿宋" w:hAnsi="仿宋" w:eastAsia="仿宋"/>
          <w:color w:val="000000" w:themeColor="text1"/>
          <w:sz w:val="32"/>
          <w:szCs w:val="32"/>
        </w:rPr>
        <w:t>7.45万元，占10.75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黑体" w:hAnsi="仿宋" w:eastAsia="黑体"/>
          <w:b/>
          <w:color w:val="000000" w:themeColor="text1"/>
          <w:sz w:val="32"/>
          <w:szCs w:val="32"/>
        </w:rPr>
        <w:t>农林水支出0</w:t>
      </w:r>
      <w:r>
        <w:rPr>
          <w:rFonts w:hint="eastAsia" w:ascii="仿宋" w:hAnsi="仿宋" w:eastAsia="仿宋"/>
          <w:color w:val="000000" w:themeColor="text1"/>
          <w:sz w:val="32"/>
          <w:szCs w:val="32"/>
        </w:rPr>
        <w:t>万元，占0%，</w:t>
      </w:r>
      <w:r>
        <w:rPr>
          <w:rFonts w:hint="eastAsia" w:ascii="仿宋" w:hAnsi="仿宋" w:eastAsia="仿宋"/>
          <w:b/>
          <w:color w:val="000000" w:themeColor="text1"/>
          <w:sz w:val="32"/>
          <w:szCs w:val="32"/>
        </w:rPr>
        <w:t>其他支出</w:t>
      </w:r>
      <w:r>
        <w:rPr>
          <w:rFonts w:hint="eastAsia" w:ascii="仿宋" w:hAnsi="仿宋" w:eastAsia="仿宋"/>
          <w:color w:val="000000" w:themeColor="text1"/>
          <w:sz w:val="32"/>
          <w:szCs w:val="32"/>
        </w:rPr>
        <w:t>0万元，占0%。</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444"/>
      <w:bookmarkStart w:id="36" w:name="_Toc15378460"/>
      <w:bookmarkStart w:id="37" w:name="_Toc15377213"/>
      <w:r>
        <w:rPr>
          <w:rFonts w:hint="eastAsia" w:ascii="仿宋" w:hAnsi="仿宋" w:eastAsia="仿宋"/>
          <w:b/>
          <w:color w:val="000000" w:themeColor="text1"/>
          <w:sz w:val="32"/>
          <w:szCs w:val="32"/>
        </w:rPr>
        <w:t>2018年般公共预算支出决算数为69.33万元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5"/>
      <w:bookmarkEnd w:id="36"/>
      <w:bookmarkEnd w:id="37"/>
    </w:p>
    <w:p>
      <w:pPr>
        <w:numPr>
          <w:ilvl w:val="0"/>
          <w:numId w:val="2"/>
        </w:numPr>
        <w:tabs>
          <w:tab w:val="left" w:pos="312"/>
        </w:tabs>
        <w:spacing w:line="600" w:lineRule="exact"/>
        <w:ind w:firstLine="643" w:firstLineChars="200"/>
        <w:rPr>
          <w:rStyle w:val="16"/>
          <w:rFonts w:ascii="仿宋" w:hAnsi="仿宋" w:eastAsia="仿宋"/>
          <w:b w:val="0"/>
          <w:bCs/>
          <w:color w:val="000000"/>
          <w:sz w:val="32"/>
          <w:szCs w:val="32"/>
        </w:rPr>
      </w:pPr>
      <w:r>
        <w:rPr>
          <w:rStyle w:val="16"/>
          <w:rFonts w:hint="eastAsia" w:ascii="仿宋_GB2312" w:eastAsia="仿宋_GB2312"/>
          <w:color w:val="000000"/>
          <w:sz w:val="32"/>
          <w:szCs w:val="32"/>
        </w:rPr>
        <w:t>社会保障和就业（208）</w:t>
      </w:r>
      <w:r>
        <w:rPr>
          <w:rFonts w:ascii="仿宋_GB2312" w:hAnsi="宋体" w:eastAsia="仿宋_GB2312" w:cs="仿宋_GB2312"/>
          <w:color w:val="333333"/>
          <w:sz w:val="32"/>
          <w:szCs w:val="32"/>
          <w:shd w:val="clear" w:color="auto" w:fill="FFFFFF"/>
        </w:rPr>
        <w:t>人</w:t>
      </w:r>
      <w:r>
        <w:rPr>
          <w:rStyle w:val="16"/>
          <w:rFonts w:hint="eastAsia" w:ascii="仿宋_GB2312" w:eastAsia="仿宋_GB2312"/>
          <w:color w:val="000000"/>
          <w:sz w:val="32"/>
          <w:szCs w:val="32"/>
        </w:rPr>
        <w:t>力资源和社会保障管理事务（</w:t>
      </w:r>
      <w:r>
        <w:rPr>
          <w:rStyle w:val="16"/>
          <w:rFonts w:ascii="仿宋_GB2312" w:eastAsia="仿宋_GB2312"/>
          <w:color w:val="000000"/>
          <w:sz w:val="32"/>
          <w:szCs w:val="32"/>
        </w:rPr>
        <w:t>01）行政运行（01）</w:t>
      </w:r>
      <w:r>
        <w:rPr>
          <w:rStyle w:val="16"/>
          <w:rFonts w:hint="eastAsia" w:ascii="仿宋_GB2312" w:eastAsia="仿宋_GB2312"/>
          <w:color w:val="000000"/>
          <w:sz w:val="32"/>
          <w:szCs w:val="32"/>
        </w:rPr>
        <w:t>：</w:t>
      </w:r>
      <w:r>
        <w:rPr>
          <w:rStyle w:val="16"/>
          <w:rFonts w:hint="eastAsia" w:ascii="仿宋" w:hAnsi="仿宋" w:eastAsia="仿宋"/>
          <w:b w:val="0"/>
          <w:bCs/>
          <w:color w:val="000000"/>
          <w:sz w:val="32"/>
          <w:szCs w:val="32"/>
        </w:rPr>
        <w:t>支出决算为58.79万元，完成预算100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_GB2312" w:eastAsia="仿宋_GB2312"/>
          <w:color w:val="000000"/>
          <w:sz w:val="32"/>
          <w:szCs w:val="32"/>
        </w:rPr>
        <w:t>一般行政管理事务（02）：</w:t>
      </w:r>
      <w:r>
        <w:rPr>
          <w:rStyle w:val="16"/>
          <w:rFonts w:hint="eastAsia" w:ascii="仿宋" w:hAnsi="仿宋" w:eastAsia="仿宋"/>
          <w:b w:val="0"/>
          <w:bCs/>
          <w:color w:val="000000"/>
          <w:sz w:val="32"/>
          <w:szCs w:val="32"/>
        </w:rPr>
        <w:t>支出决算为0万元，完成预算100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_GB2312" w:eastAsia="仿宋_GB2312"/>
          <w:color w:val="000000"/>
          <w:sz w:val="32"/>
          <w:szCs w:val="32"/>
        </w:rPr>
        <w:t>行政事业单位离退休（05）机关事业单位基本养老保险缴费支出（05）：</w:t>
      </w:r>
      <w:r>
        <w:rPr>
          <w:rStyle w:val="16"/>
          <w:rFonts w:hint="eastAsia" w:ascii="仿宋" w:hAnsi="仿宋" w:eastAsia="仿宋"/>
          <w:b w:val="0"/>
          <w:bCs/>
          <w:color w:val="000000"/>
          <w:sz w:val="32"/>
          <w:szCs w:val="32"/>
        </w:rPr>
        <w:t>支出决算为0.5万元，完成预算100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_GB2312" w:eastAsia="仿宋_GB2312"/>
          <w:color w:val="000000"/>
          <w:sz w:val="32"/>
          <w:szCs w:val="32"/>
        </w:rPr>
        <w:t>退役安置（09）其他退役安置支出：</w:t>
      </w:r>
      <w:r>
        <w:rPr>
          <w:rStyle w:val="16"/>
          <w:rFonts w:hint="eastAsia" w:ascii="仿宋" w:hAnsi="仿宋" w:eastAsia="仿宋"/>
          <w:b w:val="0"/>
          <w:bCs/>
          <w:color w:val="000000"/>
          <w:sz w:val="32"/>
          <w:szCs w:val="32"/>
        </w:rPr>
        <w:t>支出决算为0万元，完成预算100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2.医疗卫生与计划生育（210）医疗卫生与计划生育支出（11）行政事业单位医疗（01）行政单位医疗:</w:t>
      </w:r>
      <w:r>
        <w:rPr>
          <w:rStyle w:val="16"/>
          <w:rFonts w:hint="eastAsia" w:ascii="仿宋_GB2312" w:eastAsia="仿宋_GB2312"/>
          <w:b w:val="0"/>
          <w:color w:val="000000"/>
          <w:sz w:val="32"/>
          <w:szCs w:val="32"/>
        </w:rPr>
        <w:t>支出决算为</w:t>
      </w:r>
      <w:r>
        <w:rPr>
          <w:rStyle w:val="16"/>
          <w:rFonts w:hint="eastAsia" w:ascii="仿宋_GB2312" w:hAnsi="仿宋_GB2312" w:eastAsia="仿宋_GB2312" w:cs="仿宋_GB2312"/>
          <w:b w:val="0"/>
          <w:color w:val="000000"/>
          <w:sz w:val="32"/>
          <w:szCs w:val="32"/>
        </w:rPr>
        <w:tab/>
      </w:r>
      <w:r>
        <w:rPr>
          <w:rStyle w:val="16"/>
          <w:rFonts w:hint="eastAsia" w:ascii="仿宋_GB2312" w:hAnsi="仿宋_GB2312" w:eastAsia="仿宋_GB2312" w:cs="仿宋_GB2312"/>
          <w:b w:val="0"/>
          <w:color w:val="000000"/>
          <w:sz w:val="32"/>
          <w:szCs w:val="32"/>
        </w:rPr>
        <w:t>2.58万</w:t>
      </w:r>
      <w:r>
        <w:rPr>
          <w:rStyle w:val="16"/>
          <w:rFonts w:hint="eastAsia" w:ascii="仿宋_GB2312" w:eastAsia="仿宋_GB2312"/>
          <w:b w:val="0"/>
          <w:color w:val="000000"/>
          <w:sz w:val="32"/>
          <w:szCs w:val="32"/>
        </w:rPr>
        <w:t>元，完成预算100%。</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3.住房保障支出住房（221）改革支出住房（02）住房公积金（01）：</w:t>
      </w:r>
      <w:r>
        <w:rPr>
          <w:rStyle w:val="16"/>
          <w:rFonts w:hint="eastAsia" w:ascii="仿宋_GB2312" w:eastAsia="仿宋_GB2312"/>
          <w:b w:val="0"/>
          <w:color w:val="000000"/>
          <w:sz w:val="32"/>
          <w:szCs w:val="32"/>
        </w:rPr>
        <w:t>支出决算为7.45万元，完成预算100%</w:t>
      </w:r>
      <w:r>
        <w:rPr>
          <w:rStyle w:val="16"/>
          <w:rFonts w:hint="eastAsia" w:ascii="仿宋_GB2312" w:eastAsia="仿宋_GB2312"/>
          <w:color w:val="000000"/>
          <w:sz w:val="32"/>
          <w:szCs w:val="32"/>
        </w:rPr>
        <w:tab/>
      </w:r>
      <w:r>
        <w:rPr>
          <w:rStyle w:val="16"/>
          <w:rFonts w:hint="eastAsia" w:ascii="仿宋_GB2312" w:eastAsia="仿宋_GB2312"/>
          <w:b w:val="0"/>
          <w:color w:val="000000"/>
          <w:sz w:val="32"/>
          <w:szCs w:val="32"/>
        </w:rPr>
        <w:t>。</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4.其他支出（229）其他支出（99）其他支出（01）：</w:t>
      </w:r>
      <w:r>
        <w:rPr>
          <w:rStyle w:val="16"/>
          <w:rFonts w:hint="eastAsia" w:ascii="仿宋_GB2312" w:eastAsia="仿宋_GB2312"/>
          <w:b w:val="0"/>
          <w:color w:val="000000"/>
          <w:sz w:val="32"/>
          <w:szCs w:val="32"/>
        </w:rPr>
        <w:t>支出决算为0万元，完成预算0%</w:t>
      </w:r>
      <w:r>
        <w:rPr>
          <w:rStyle w:val="16"/>
          <w:rFonts w:hint="eastAsia" w:ascii="仿宋_GB2312" w:eastAsia="仿宋_GB2312"/>
          <w:color w:val="000000"/>
          <w:sz w:val="32"/>
          <w:szCs w:val="32"/>
        </w:rPr>
        <w:tab/>
      </w:r>
      <w:r>
        <w:rPr>
          <w:rStyle w:val="16"/>
          <w:rFonts w:hint="eastAsia" w:ascii="仿宋_GB2312" w:eastAsia="仿宋_GB2312"/>
          <w:b w:val="0"/>
          <w:color w:val="000000"/>
          <w:sz w:val="32"/>
          <w:szCs w:val="32"/>
        </w:rPr>
        <w:t>。</w:t>
      </w:r>
    </w:p>
    <w:p>
      <w:pPr>
        <w:tabs>
          <w:tab w:val="right" w:pos="8306"/>
        </w:tabs>
        <w:spacing w:line="600" w:lineRule="exact"/>
        <w:ind w:firstLine="640"/>
        <w:outlineLvl w:val="1"/>
        <w:rPr>
          <w:rStyle w:val="28"/>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8"/>
      <w:bookmarkEnd w:id="39"/>
      <w:r>
        <w:rPr>
          <w:rStyle w:val="28"/>
          <w:rFonts w:ascii="黑体" w:hAnsi="黑体" w:eastAsia="黑体"/>
          <w:b w:val="0"/>
        </w:rPr>
        <w:tab/>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2018年度一般公共预算财政拨款基本支出69.33万元，其中：</w:t>
      </w:r>
    </w:p>
    <w:p>
      <w:pPr>
        <w:spacing w:line="600" w:lineRule="exact"/>
        <w:ind w:firstLine="645"/>
        <w:rPr>
          <w:rFonts w:ascii="仿宋" w:hAnsi="仿宋" w:eastAsia="仿宋"/>
          <w:b/>
          <w:color w:val="FF0000"/>
          <w:sz w:val="32"/>
          <w:szCs w:val="32"/>
        </w:rPr>
      </w:pPr>
      <w:r>
        <w:rPr>
          <w:rFonts w:hint="eastAsia" w:ascii="仿宋_GB2312" w:eastAsia="仿宋_GB2312"/>
          <w:color w:val="000000"/>
          <w:sz w:val="32"/>
          <w:szCs w:val="32"/>
        </w:rPr>
        <w:t>人员经费57.5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9.26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40" w:name="_Toc15396609"/>
      <w:bookmarkStart w:id="41"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0"/>
      <w:bookmarkEnd w:id="41"/>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（一）“三公”经费财政拨款支出决算总体情况说明</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2018年度“三公”经费财政拨款支出决算为0万元，完成预算0%。</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（二）“三公”经费财政拨款支出决算具体情况说明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2018年度“三公”经费财政拨款支出决算中，因公出国（境）费支出决算0万元，占0%；公务用车购置及运行维护费支出决算0万元，占0%；公务接待费支出决算0万元，占0%。具体情况如下：</w:t>
      </w:r>
    </w:p>
    <w:p>
      <w:pPr>
        <w:spacing w:line="600" w:lineRule="exact"/>
        <w:ind w:firstLine="640"/>
        <w:rPr>
          <w:rFonts w:ascii="仿宋_GB2312" w:eastAsia="仿宋_GB2312"/>
          <w:color w:val="000000"/>
          <w:sz w:val="32"/>
          <w:szCs w:val="32"/>
        </w:rPr>
      </w:pPr>
      <w:bookmarkStart w:id="42" w:name="_Toc15396610"/>
      <w:bookmarkStart w:id="43" w:name="_Toc15377218"/>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0万元。</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0万元。全年按规定更新购置公务用车0辆，其中：轿车0辆、金额0万元，越野车0辆、金额0万元，载客汽车0辆、金额0万元。截至2018年12月底，单位共有公务用车0辆，其中：越野车0辆。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w:t>
      </w:r>
      <w:r>
        <w:rPr>
          <w:rFonts w:hint="eastAsia" w:ascii="仿宋_GB2312" w:hAnsi="仿宋_GB2312" w:eastAsia="仿宋_GB2312" w:cs="仿宋_GB2312"/>
          <w:color w:val="000000"/>
          <w:sz w:val="32"/>
          <w:szCs w:val="32"/>
        </w:rPr>
        <w:t>开展我局精准扶贫下乡、培训、人社政策宣传、招聘会和精准扶贫</w:t>
      </w:r>
      <w:r>
        <w:rPr>
          <w:rFonts w:hint="eastAsia" w:ascii="仿宋_GB2312" w:eastAsia="仿宋_GB2312"/>
          <w:color w:val="000000"/>
          <w:sz w:val="32"/>
          <w:szCs w:val="32"/>
        </w:rPr>
        <w:t>等业务所需的公务用车燃料费、维修费、过路过桥费、保险费等支出。</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0万元。主要用于执行公务、开展业务活动开支的交通费、住宿费、用餐费等。国内公务接待0批次，0人次（不包括陪同人员），共计支出0万元，具体内容包括：</w:t>
      </w:r>
      <w:r>
        <w:rPr>
          <w:rFonts w:hint="eastAsia" w:ascii="仿宋_GB2312" w:hAnsi="仿宋_GB2312" w:eastAsia="仿宋_GB2312" w:cs="仿宋_GB2312"/>
          <w:color w:val="000000"/>
          <w:sz w:val="32"/>
          <w:szCs w:val="32"/>
        </w:rPr>
        <w:t>用于执行公务、开展业务活动开支的交通费、住宿费、用餐费等</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公务接待费支出决算比2017年减少0万元，减少0%。主要原因是</w:t>
      </w:r>
      <w:r>
        <w:rPr>
          <w:rFonts w:hint="eastAsia" w:ascii="仿宋_GB2312" w:hAnsi="宋体" w:eastAsia="仿宋_GB2312" w:cs="宋体"/>
          <w:color w:val="000000"/>
          <w:kern w:val="0"/>
          <w:sz w:val="32"/>
        </w:rPr>
        <w:t>厉行节约。</w:t>
      </w:r>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3"/>
        </w:numPr>
        <w:spacing w:line="600" w:lineRule="exact"/>
        <w:ind w:firstLine="640"/>
        <w:outlineLvl w:val="1"/>
        <w:rPr>
          <w:rStyle w:val="28"/>
          <w:rFonts w:ascii="黑体" w:hAnsi="黑体" w:eastAsia="黑体"/>
          <w:b w:val="0"/>
        </w:rPr>
      </w:pPr>
      <w:bookmarkStart w:id="44" w:name="_Toc15396611"/>
      <w:bookmarkStart w:id="45" w:name="_Toc15377219"/>
      <w:r>
        <w:rPr>
          <w:rStyle w:val="28"/>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6"/>
        <w:numPr>
          <w:ilvl w:val="0"/>
          <w:numId w:val="4"/>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根据预算绩效管理要求，本部门（单位）在年初预算编制阶段，组织对1个项目开展了预算事前绩效评估，对1个项目编制了绩效目标，预算执行过程中，选取1个项目开展绩效监控，年终执行完毕后，对1个项目开展了绩效目标完成情况梳理填报。</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本部门在2018年度部门决算中反映“军队转业干部补助经费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项目绩效目标实际完成情况。</w:t>
      </w:r>
    </w:p>
    <w:p>
      <w:pPr>
        <w:widowControl/>
        <w:adjustRightInd w:val="0"/>
        <w:snapToGrid w:val="0"/>
        <w:spacing w:line="560" w:lineRule="exact"/>
        <w:ind w:firstLine="720"/>
        <w:jc w:val="left"/>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培训项目绩效目标完成情况综述。项目全年预算数0万元，执行数为0万元，完成预算的0%。通过项目实施，保障了军转办日常管理及服务保障工作。</w:t>
      </w:r>
      <w:r>
        <w:rPr>
          <w:rFonts w:ascii="仿宋_GB2312" w:hAnsi="仿宋_GB2312" w:eastAsia="仿宋_GB2312" w:cs="仿宋_GB2312"/>
          <w:color w:val="FF0000"/>
          <w:sz w:val="32"/>
          <w:szCs w:val="32"/>
        </w:rPr>
        <w:t xml:space="preserve"> </w:t>
      </w:r>
    </w:p>
    <w:p>
      <w:pPr>
        <w:rPr>
          <w:rFonts w:ascii="Calibri" w:hAnsi="Calibri"/>
        </w:rPr>
      </w:pPr>
    </w:p>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pStyle w:val="26"/>
        <w:numPr>
          <w:ilvl w:val="0"/>
          <w:numId w:val="6"/>
        </w:numPr>
        <w:spacing w:line="58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通过这次绩效自评。对效益好的项目予以表扬，下一预算年度的同类项目优先安排。</w:t>
      </w:r>
    </w:p>
    <w:p>
      <w:pPr>
        <w:pStyle w:val="26"/>
        <w:numPr>
          <w:ilvl w:val="0"/>
          <w:numId w:val="6"/>
        </w:numPr>
        <w:spacing w:line="58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利用醒目绩效监督，促进部门增强责任和效益观念，提高财政资金支出决策水平和管理水平。</w:t>
      </w:r>
    </w:p>
    <w:p>
      <w:pPr>
        <w:pStyle w:val="26"/>
        <w:numPr>
          <w:ilvl w:val="0"/>
          <w:numId w:val="6"/>
        </w:numPr>
        <w:spacing w:line="58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在绩效自评结果运用中，还应积极探索建立绩效自评结果的责任追究制度，把绩效自评结果与经济责任审计，行政监察结合起来，建立公告警示制度，对绩效自评中发现损失浪费现象和其他违纪行为坚决进行揭露和处罚。</w:t>
      </w:r>
    </w:p>
    <w:p>
      <w:pPr>
        <w:spacing w:line="600" w:lineRule="exact"/>
        <w:ind w:firstLine="800" w:firstLineChars="250"/>
        <w:outlineLvl w:val="1"/>
        <w:rPr>
          <w:rStyle w:val="28"/>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46"/>
      <w:bookmarkEnd w:id="47"/>
    </w:p>
    <w:p>
      <w:pPr>
        <w:spacing w:line="600" w:lineRule="exact"/>
        <w:ind w:firstLine="643"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2018年度，人社局机关运行经费支出0万元，比2017年增加0万元，增加0%。</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日，人社局共有车辆0辆，其中：部级领导干部用车0辆、一般公务用车0辆、一般执法执勤用车0辆、特种专业技术用车0辆、其他用车0辆，。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27"/>
          <w:rFonts w:ascii="黑体" w:hAnsi="黑体" w:eastAsia="黑体"/>
          <w:b w:val="0"/>
        </w:rPr>
      </w:pPr>
      <w:bookmarkStart w:id="51" w:name="_Toc15396613"/>
      <w:bookmarkStart w:id="52" w:name="_Toc15377225"/>
      <w:r>
        <w:rPr>
          <w:rFonts w:hint="eastAsia" w:ascii="黑体" w:hAnsi="黑体" w:eastAsia="黑体"/>
          <w:b/>
          <w:color w:val="000000"/>
          <w:sz w:val="44"/>
          <w:szCs w:val="44"/>
        </w:rPr>
        <w:t>名</w:t>
      </w:r>
      <w:r>
        <w:rPr>
          <w:rStyle w:val="27"/>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5"/>
        <w:numPr>
          <w:ilvl w:val="0"/>
          <w:numId w:val="8"/>
        </w:numPr>
        <w:tabs>
          <w:tab w:val="left" w:pos="312"/>
        </w:tabs>
        <w:spacing w:line="560" w:lineRule="exact"/>
        <w:ind w:firstLine="640" w:firstLineChars="200"/>
        <w:rPr>
          <w:rFonts w:ascii="仿宋_GB2312" w:eastAsia="仿宋_GB2312"/>
          <w:sz w:val="32"/>
          <w:szCs w:val="32"/>
        </w:rPr>
      </w:pPr>
      <w:r>
        <w:rPr>
          <w:rFonts w:ascii="仿宋_GB2312" w:eastAsia="仿宋_GB2312"/>
          <w:sz w:val="32"/>
          <w:szCs w:val="32"/>
        </w:rPr>
        <w:t>1.</w:t>
      </w:r>
      <w:bookmarkStart w:id="53" w:name="_Toc15396614"/>
      <w:bookmarkStart w:id="54" w:name="_Toc15377226"/>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其他收入：指单位取得的除上述收入以外的各项收入。主要是上年结余等。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9.社会保障和就业（208）人力资源和社会保障管理事务（01）行政运行（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其他人力资源和社会保障管理事务支出（99）：指用于人力资源和社会保障管理事务方面的支出。行政事业单位离退休（05）机关事业单位基本养老保险缴费支出（05）：指部门实施养老保险制度由单位缴纳的养老保险支出。就业补助（07）其他就业补助支出（99）：指经省级政府同意的其他用于促进就业的补助支出。</w:t>
      </w:r>
      <w:r>
        <w:rPr>
          <w:rFonts w:hint="eastAsia" w:ascii="仿宋_GB2312" w:eastAsia="仿宋_GB2312"/>
          <w:color w:val="000000"/>
          <w:sz w:val="32"/>
          <w:szCs w:val="32"/>
        </w:rPr>
        <w:tab/>
      </w:r>
    </w:p>
    <w:p>
      <w:pPr>
        <w:spacing w:line="560" w:lineRule="exact"/>
        <w:ind w:firstLine="640" w:firstLineChars="200"/>
      </w:pPr>
      <w:r>
        <w:rPr>
          <w:rFonts w:hint="eastAsia" w:ascii="仿宋_GB2312" w:eastAsia="仿宋_GB2312"/>
          <w:color w:val="000000"/>
          <w:sz w:val="32"/>
          <w:szCs w:val="32"/>
        </w:rPr>
        <w:t xml:space="preserve">10.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 xml:space="preserve">住房保障支出（221）住房改革支出（02）住房公积金（01）：指按照《住房公积金管理条例》的规定，由单位及其在职职工缴存的长期住房储金。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s="黑体"/>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3"/>
    </w:p>
    <w:p>
      <w:pPr>
        <w:spacing w:line="600" w:lineRule="exact"/>
        <w:jc w:val="center"/>
        <w:outlineLvl w:val="0"/>
        <w:rPr>
          <w:rStyle w:val="27"/>
        </w:rPr>
      </w:pPr>
    </w:p>
    <w:p>
      <w:pPr>
        <w:pStyle w:val="3"/>
        <w:rPr>
          <w:rStyle w:val="27"/>
          <w:rFonts w:ascii="仿宋" w:hAnsi="仿宋" w:eastAsia="仿宋"/>
          <w:b w:val="0"/>
          <w:bCs w:val="0"/>
          <w:sz w:val="32"/>
          <w:szCs w:val="32"/>
        </w:rPr>
      </w:pPr>
      <w:bookmarkStart w:id="55" w:name="_Toc15396615"/>
      <w:r>
        <w:rPr>
          <w:rStyle w:val="27"/>
          <w:rFonts w:hint="eastAsia" w:ascii="仿宋" w:hAnsi="仿宋" w:eastAsia="仿宋"/>
          <w:b w:val="0"/>
          <w:bCs w:val="0"/>
          <w:sz w:val="32"/>
          <w:szCs w:val="32"/>
        </w:rPr>
        <w:t>附件1</w:t>
      </w:r>
      <w:bookmarkEnd w:id="55"/>
    </w:p>
    <w:p>
      <w:pPr>
        <w:spacing w:line="600" w:lineRule="exact"/>
        <w:jc w:val="center"/>
        <w:outlineLvl w:val="0"/>
        <w:rPr>
          <w:rFonts w:ascii="黑体" w:hAnsi="黑体" w:eastAsia="黑体" w:cs="方正小标宋简体"/>
          <w:sz w:val="36"/>
          <w:szCs w:val="36"/>
        </w:rPr>
      </w:pPr>
      <w:bookmarkStart w:id="56" w:name="_Toc15396616"/>
      <w:r>
        <w:rPr>
          <w:rFonts w:hint="eastAsia" w:ascii="黑体" w:hAnsi="黑体" w:eastAsia="黑体" w:cs="方正小标宋简体"/>
          <w:sz w:val="36"/>
          <w:szCs w:val="36"/>
        </w:rPr>
        <w:t>人社局2018年部门整体支出绩效评价报告</w:t>
      </w:r>
      <w:bookmarkEnd w:id="56"/>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0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640" w:firstLineChars="200"/>
        <w:rPr>
          <w:rFonts w:ascii="仿宋_GB2312" w:eastAsia="仿宋_GB2312"/>
          <w:sz w:val="32"/>
          <w:szCs w:val="32"/>
        </w:rPr>
      </w:pPr>
      <w:r>
        <w:rPr>
          <w:rFonts w:hint="eastAsia" w:ascii="仿宋_GB2312" w:eastAsia="仿宋_GB2312"/>
          <w:sz w:val="32"/>
          <w:szCs w:val="32"/>
        </w:rPr>
        <w:t>县人力资源和社会保障局设8个内设机构、4个二级预算单位，</w:t>
      </w:r>
    </w:p>
    <w:p>
      <w:pPr>
        <w:ind w:firstLine="640" w:firstLineChars="200"/>
        <w:rPr>
          <w:rFonts w:ascii="仿宋_GB2312" w:eastAsia="仿宋_GB2312"/>
          <w:sz w:val="32"/>
          <w:szCs w:val="32"/>
        </w:rPr>
      </w:pPr>
      <w:r>
        <w:rPr>
          <w:rFonts w:hint="eastAsia" w:ascii="仿宋_GB2312" w:eastAsia="仿宋_GB2312"/>
          <w:sz w:val="32"/>
          <w:szCs w:val="32"/>
        </w:rPr>
        <w:t>其中劳动综合股（劳动监察股）为事业单位。</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pStyle w:val="5"/>
        <w:adjustRightInd w:val="0"/>
        <w:snapToGrid w:val="0"/>
        <w:spacing w:before="93" w:line="600" w:lineRule="exact"/>
        <w:ind w:firstLine="672" w:firstLineChars="210"/>
        <w:rPr>
          <w:bCs/>
          <w:color w:val="000000"/>
          <w:sz w:val="32"/>
          <w:szCs w:val="32"/>
        </w:rPr>
      </w:pPr>
      <w:r>
        <w:rPr>
          <w:rFonts w:hint="eastAsia"/>
          <w:sz w:val="32"/>
          <w:szCs w:val="32"/>
        </w:rPr>
        <w:t>九寨沟县人力资源和社会保障局劳动监察大队（简称人社局，挂公务员局牌子）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2018年核定人员编制数7人,其中全额编制7人，其中行政编制0人，行政工勤0人，参照公务员法管理人员0人，事业编制7人。实有在职人员7人，其中行政编制0人，行政工勤0人，参照公务员法管理人员0人，事业编制0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left="640" w:firstLine="320" w:firstLineChars="1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8年本年收入合计69.33万元，其中：一般公共预算财政拨款收入69.33万元，占100</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58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8年本年支出合计69.33万元，其中：基本支出69.33万元，占100</w:t>
      </w:r>
      <w:r>
        <w:rPr>
          <w:rFonts w:ascii="仿宋" w:hAnsi="仿宋" w:eastAsia="仿宋"/>
          <w:color w:val="000000"/>
          <w:sz w:val="32"/>
          <w:szCs w:val="32"/>
        </w:rPr>
        <w:t>%</w:t>
      </w:r>
      <w:r>
        <w:rPr>
          <w:rFonts w:hint="eastAsia" w:ascii="仿宋" w:hAnsi="仿宋" w:eastAsia="仿宋"/>
          <w:color w:val="000000"/>
          <w:sz w:val="32"/>
          <w:szCs w:val="32"/>
        </w:rPr>
        <w:t>；项目支出0万元，占0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20" w:firstLineChars="200"/>
        <w:rPr>
          <w:rFonts w:ascii="仿宋" w:hAnsi="仿宋" w:eastAsia="仿宋" w:cs="仿宋_GB2312"/>
          <w:sz w:val="32"/>
          <w:szCs w:val="32"/>
        </w:rPr>
      </w:pPr>
      <w:r>
        <w:rPr>
          <w:rFonts w:hint="eastAsia" w:ascii="仿宋" w:hAnsi="仿宋" w:eastAsia="仿宋" w:cs="仿宋"/>
          <w:color w:val="2B2B2B"/>
          <w:sz w:val="31"/>
          <w:szCs w:val="31"/>
          <w:shd w:val="clear" w:color="auto" w:fill="FFFFFF"/>
        </w:rPr>
        <w:t>部门预算</w:t>
      </w:r>
      <w:r>
        <w:rPr>
          <w:rFonts w:ascii="仿宋" w:hAnsi="仿宋" w:eastAsia="仿宋" w:cs="仿宋"/>
          <w:color w:val="2B2B2B"/>
          <w:sz w:val="31"/>
          <w:szCs w:val="31"/>
          <w:shd w:val="clear" w:color="auto" w:fill="FFFFFF"/>
        </w:rPr>
        <w:t>组织情况</w:t>
      </w:r>
      <w:r>
        <w:rPr>
          <w:rFonts w:hint="eastAsia" w:ascii="仿宋" w:hAnsi="仿宋" w:eastAsia="仿宋" w:cs="仿宋"/>
          <w:color w:val="2B2B2B"/>
          <w:sz w:val="31"/>
          <w:szCs w:val="31"/>
          <w:shd w:val="clear" w:color="auto" w:fill="FFFFFF"/>
        </w:rPr>
        <w:t>方面，按照预算情况，严格控制支出，合理安排经费，做到细化支出，认真组织实施，确保专项资金取得最大效益。</w:t>
      </w:r>
      <w:r>
        <w:rPr>
          <w:rFonts w:ascii="仿宋" w:hAnsi="仿宋" w:eastAsia="仿宋" w:cs="仿宋_GB2312"/>
          <w:sz w:val="32"/>
          <w:szCs w:val="32"/>
        </w:rPr>
        <w:t>（二）专项预算管理。</w:t>
      </w:r>
    </w:p>
    <w:p>
      <w:pPr>
        <w:spacing w:line="560" w:lineRule="exact"/>
        <w:ind w:firstLine="620" w:firstLineChars="200"/>
        <w:rPr>
          <w:rFonts w:ascii="仿宋_GB2312" w:hAnsi="仿宋_GB2312" w:eastAsia="仿宋_GB2312" w:cs="仿宋_GB2312"/>
          <w:bCs/>
          <w:sz w:val="28"/>
          <w:szCs w:val="28"/>
        </w:rPr>
      </w:pPr>
      <w:r>
        <w:rPr>
          <w:rFonts w:ascii="仿宋" w:hAnsi="仿宋" w:eastAsia="仿宋" w:cs="仿宋"/>
          <w:color w:val="2B2B2B"/>
          <w:sz w:val="31"/>
          <w:szCs w:val="31"/>
          <w:shd w:val="clear" w:color="auto" w:fill="FFFFFF"/>
        </w:rPr>
        <w:t>专项管理情况方面，严格按照财务会计法律法规、财经纪律、上级有关文件精神进行管理、使用，不搞违规操作。</w:t>
      </w:r>
      <w:r>
        <w:rPr>
          <w:rFonts w:hint="eastAsia" w:ascii="仿宋" w:hAnsi="仿宋" w:eastAsia="仿宋" w:cs="仿宋"/>
          <w:color w:val="2B2B2B"/>
          <w:sz w:val="31"/>
          <w:szCs w:val="31"/>
          <w:shd w:val="clear" w:color="auto" w:fill="FFFFFF"/>
        </w:rPr>
        <w:t>从开支申报审批、公务出差审批等进行了明确规定，严格了程序，保证了专项业务费的合理使用，确保了资金效益。</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包括部门自评质量、绩效目标公开和自评公开、评价结果整改和应用结果反馈等情况。</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根据2018年人社局劳动综合股（劳动监察股）整体支出绩效定性目标的要求，通过人社劳动综合股（劳动监察股）上上下下的共同努力，无论是定性目标还是定量指标，都按要求完成，按自评表综合得分 </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p>
    <w:p>
      <w:pPr>
        <w:pStyle w:val="14"/>
        <w:shd w:val="clear" w:color="auto" w:fill="FFFFFF"/>
        <w:spacing w:before="0" w:beforeAutospacing="0" w:after="0" w:afterAutospacing="0" w:line="480" w:lineRule="auto"/>
        <w:ind w:firstLine="640" w:firstLineChars="200"/>
        <w:rPr>
          <w:rFonts w:ascii="仿宋_GB2312" w:hAnsi="微软雅黑" w:eastAsia="仿宋_GB2312"/>
          <w:color w:val="000000"/>
          <w:sz w:val="32"/>
          <w:szCs w:val="32"/>
        </w:rPr>
      </w:pPr>
      <w:r>
        <w:rPr>
          <w:rFonts w:hint="eastAsia" w:ascii="仿宋_GB2312" w:hAnsi="微软雅黑" w:eastAsia="仿宋_GB2312"/>
          <w:color w:val="000000"/>
          <w:sz w:val="32"/>
          <w:szCs w:val="32"/>
        </w:rPr>
        <w:t>1、财务人员业务水平不太专业，有道提高；</w:t>
      </w:r>
    </w:p>
    <w:p>
      <w:pPr>
        <w:pStyle w:val="14"/>
        <w:shd w:val="clear" w:color="auto" w:fill="FFFFFF"/>
        <w:spacing w:before="0" w:beforeAutospacing="0" w:after="0" w:afterAutospacing="0" w:line="480" w:lineRule="auto"/>
        <w:ind w:firstLine="640" w:firstLineChars="200"/>
        <w:rPr>
          <w:rFonts w:ascii="黑体" w:hAnsi="黑体" w:eastAsia="黑体" w:cs="黑体"/>
          <w:bCs/>
          <w:sz w:val="28"/>
          <w:szCs w:val="28"/>
        </w:rPr>
      </w:pPr>
      <w:r>
        <w:rPr>
          <w:rFonts w:hint="eastAsia" w:ascii="仿宋_GB2312" w:hAnsi="微软雅黑" w:eastAsia="仿宋_GB2312"/>
          <w:color w:val="000000"/>
          <w:sz w:val="32"/>
          <w:szCs w:val="32"/>
        </w:rPr>
        <w:t>2、</w:t>
      </w:r>
      <w:r>
        <w:rPr>
          <w:rFonts w:hint="eastAsia" w:ascii="仿宋_GB2312" w:hAnsi="仿宋" w:eastAsia="仿宋_GB2312"/>
          <w:color w:val="000000"/>
          <w:sz w:val="32"/>
          <w:szCs w:val="32"/>
        </w:rPr>
        <w:t>内控制度、财务制度还有待进一步完善。</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hd w:val="clear" w:color="auto" w:fill="FFFFFF"/>
        <w:spacing w:line="560" w:lineRule="exact"/>
        <w:ind w:firstLine="480" w:firstLineChars="150"/>
        <w:rPr>
          <w:rFonts w:ascii="仿宋_GB2312" w:hAnsi="仿宋" w:eastAsia="仿宋_GB2312"/>
          <w:color w:val="000000"/>
          <w:sz w:val="32"/>
          <w:szCs w:val="32"/>
        </w:rPr>
      </w:pPr>
      <w:bookmarkStart w:id="57" w:name="_Toc15396617"/>
      <w:r>
        <w:rPr>
          <w:rFonts w:hint="eastAsia" w:ascii="仿宋_GB2312" w:hAnsi="仿宋" w:eastAsia="仿宋_GB2312"/>
          <w:color w:val="000000"/>
          <w:sz w:val="32"/>
          <w:szCs w:val="32"/>
        </w:rPr>
        <w:t>1.完善财务制度，规范财金纪律。</w:t>
      </w:r>
    </w:p>
    <w:p>
      <w:pPr>
        <w:shd w:val="clear" w:color="auto" w:fill="FFFFFF"/>
        <w:spacing w:line="56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2.规范账务处理，提高财务信息质量，完善管理制度，进一步加强资产管理。</w:t>
      </w:r>
    </w:p>
    <w:p>
      <w:pPr>
        <w:shd w:val="clear" w:color="auto" w:fill="FFFFFF"/>
        <w:spacing w:line="56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3.加强学习，财务人员业务能力和水平要与时俱进。</w:t>
      </w:r>
    </w:p>
    <w:bookmarkEnd w:id="57"/>
    <w:p>
      <w:pPr>
        <w:spacing w:line="580" w:lineRule="exact"/>
        <w:ind w:firstLine="640" w:firstLineChars="200"/>
        <w:rPr>
          <w:rFonts w:ascii="仿宋" w:hAnsi="仿宋" w:eastAsia="仿宋" w:cs="仿宋_GB2312"/>
          <w:sz w:val="32"/>
          <w:szCs w:val="32"/>
        </w:rPr>
      </w:pPr>
    </w:p>
    <w:p>
      <w:pPr>
        <w:pStyle w:val="26"/>
        <w:spacing w:line="580" w:lineRule="exact"/>
        <w:ind w:left="1429" w:firstLine="0" w:firstLineChars="0"/>
        <w:rPr>
          <w:rFonts w:ascii="仿宋" w:hAnsi="仿宋" w:eastAsia="仿宋" w:cs="仿宋_GB2312"/>
          <w:sz w:val="32"/>
          <w:szCs w:val="32"/>
        </w:rPr>
      </w:pPr>
    </w:p>
    <w:p>
      <w:pPr>
        <w:pStyle w:val="26"/>
        <w:spacing w:line="580" w:lineRule="exact"/>
        <w:ind w:left="1429" w:firstLine="0" w:firstLineChars="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600" w:lineRule="exact"/>
        <w:ind w:firstLine="1760" w:firstLineChars="400"/>
        <w:outlineLvl w:val="0"/>
        <w:rPr>
          <w:rFonts w:ascii="黑体" w:hAnsi="黑体" w:eastAsia="黑体"/>
          <w:color w:val="000000"/>
          <w:sz w:val="44"/>
          <w:szCs w:val="44"/>
        </w:rPr>
      </w:pPr>
      <w:bookmarkStart w:id="58" w:name="_Toc15396618"/>
    </w:p>
    <w:p>
      <w:pPr>
        <w:spacing w:line="600" w:lineRule="exact"/>
        <w:ind w:firstLine="1760" w:firstLineChars="400"/>
        <w:outlineLvl w:val="0"/>
        <w:rPr>
          <w:rFonts w:ascii="黑体" w:hAnsi="黑体" w:eastAsia="黑体"/>
          <w:color w:val="000000"/>
          <w:sz w:val="44"/>
          <w:szCs w:val="44"/>
        </w:rPr>
      </w:pPr>
    </w:p>
    <w:p>
      <w:pPr>
        <w:spacing w:line="600" w:lineRule="exact"/>
        <w:ind w:firstLine="1760" w:firstLineChars="400"/>
        <w:outlineLvl w:val="0"/>
        <w:rPr>
          <w:rFonts w:ascii="黑体" w:hAnsi="黑体" w:eastAsia="黑体"/>
          <w:color w:val="000000"/>
          <w:sz w:val="44"/>
          <w:szCs w:val="44"/>
        </w:rPr>
      </w:pPr>
    </w:p>
    <w:p>
      <w:pPr>
        <w:spacing w:line="600" w:lineRule="exact"/>
        <w:ind w:firstLine="1760" w:firstLineChars="400"/>
        <w:outlineLvl w:val="0"/>
        <w:rPr>
          <w:rFonts w:ascii="黑体" w:hAnsi="黑体" w:eastAsia="黑体"/>
          <w:color w:val="000000"/>
          <w:sz w:val="44"/>
          <w:szCs w:val="44"/>
        </w:rPr>
      </w:pPr>
    </w:p>
    <w:p>
      <w:pPr>
        <w:spacing w:line="600" w:lineRule="exact"/>
        <w:ind w:firstLine="1760" w:firstLineChars="400"/>
        <w:outlineLvl w:val="0"/>
        <w:rPr>
          <w:rFonts w:ascii="黑体" w:hAnsi="黑体" w:eastAsia="黑体"/>
          <w:color w:val="000000"/>
          <w:sz w:val="44"/>
          <w:szCs w:val="44"/>
        </w:rPr>
      </w:pPr>
    </w:p>
    <w:p>
      <w:pPr>
        <w:spacing w:line="600" w:lineRule="exact"/>
        <w:ind w:firstLine="1760" w:firstLineChars="400"/>
        <w:outlineLvl w:val="0"/>
        <w:rPr>
          <w:rFonts w:ascii="黑体" w:hAnsi="黑体" w:eastAsia="黑体"/>
          <w:color w:val="000000"/>
          <w:sz w:val="44"/>
          <w:szCs w:val="44"/>
        </w:rPr>
      </w:pPr>
    </w:p>
    <w:p>
      <w:pPr>
        <w:spacing w:line="600" w:lineRule="exact"/>
        <w:ind w:firstLine="1760" w:firstLineChars="400"/>
        <w:outlineLvl w:val="0"/>
        <w:rPr>
          <w:rFonts w:ascii="黑体" w:hAnsi="黑体" w:eastAsia="黑体"/>
          <w:color w:val="000000"/>
          <w:sz w:val="44"/>
          <w:szCs w:val="44"/>
        </w:rPr>
      </w:pPr>
    </w:p>
    <w:p>
      <w:pPr>
        <w:spacing w:line="600" w:lineRule="exact"/>
        <w:ind w:firstLine="1760" w:firstLineChars="400"/>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4"/>
      <w:bookmarkEnd w:id="58"/>
    </w:p>
    <w:p>
      <w:pPr>
        <w:pStyle w:val="3"/>
        <w:rPr>
          <w:rFonts w:ascii="仿宋" w:hAnsi="仿宋" w:eastAsia="仿宋"/>
          <w:color w:val="000000"/>
        </w:rPr>
      </w:pPr>
      <w:bookmarkStart w:id="59"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59"/>
    </w:p>
    <w:p>
      <w:pPr>
        <w:pStyle w:val="3"/>
        <w:rPr>
          <w:rFonts w:ascii="仿宋" w:hAnsi="仿宋" w:eastAsia="仿宋"/>
          <w:color w:val="000000"/>
        </w:rPr>
      </w:pPr>
      <w:bookmarkStart w:id="60"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0"/>
    </w:p>
    <w:p>
      <w:pPr>
        <w:pStyle w:val="3"/>
        <w:rPr>
          <w:rFonts w:ascii="仿宋" w:hAnsi="仿宋" w:eastAsia="仿宋"/>
          <w:color w:val="000000"/>
        </w:rPr>
      </w:pPr>
      <w:bookmarkStart w:id="61"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1"/>
    </w:p>
    <w:p>
      <w:pPr>
        <w:pStyle w:val="3"/>
        <w:rPr>
          <w:rFonts w:ascii="仿宋" w:hAnsi="仿宋" w:eastAsia="仿宋"/>
          <w:b w:val="0"/>
          <w:color w:val="000000"/>
        </w:rPr>
      </w:pPr>
      <w:bookmarkStart w:id="62"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2"/>
    </w:p>
    <w:p>
      <w:pPr>
        <w:pStyle w:val="3"/>
        <w:rPr>
          <w:rFonts w:ascii="仿宋" w:hAnsi="仿宋" w:eastAsia="仿宋"/>
          <w:color w:val="000000"/>
        </w:rPr>
      </w:pPr>
      <w:bookmarkStart w:id="63"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3"/>
    </w:p>
    <w:p>
      <w:pPr>
        <w:pStyle w:val="3"/>
        <w:rPr>
          <w:rFonts w:ascii="仿宋" w:hAnsi="仿宋" w:eastAsia="仿宋"/>
          <w:color w:val="000000"/>
        </w:rPr>
      </w:pPr>
      <w:bookmarkStart w:id="64"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4"/>
    </w:p>
    <w:p>
      <w:pPr>
        <w:pStyle w:val="3"/>
        <w:rPr>
          <w:rFonts w:ascii="仿宋" w:hAnsi="仿宋" w:eastAsia="仿宋"/>
          <w:color w:val="000000"/>
        </w:rPr>
      </w:pPr>
      <w:bookmarkStart w:id="65"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5"/>
    </w:p>
    <w:p>
      <w:pPr>
        <w:pStyle w:val="3"/>
        <w:rPr>
          <w:rFonts w:ascii="仿宋" w:hAnsi="仿宋" w:eastAsia="仿宋"/>
          <w:color w:val="000000"/>
        </w:rPr>
      </w:pPr>
      <w:bookmarkStart w:id="66"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7"/>
    </w:p>
    <w:p>
      <w:pPr>
        <w:pStyle w:val="3"/>
        <w:rPr>
          <w:rFonts w:ascii="仿宋" w:hAnsi="仿宋" w:eastAsia="仿宋"/>
          <w:color w:val="000000"/>
        </w:rPr>
      </w:pPr>
      <w:bookmarkStart w:id="68"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8"/>
    </w:p>
    <w:p>
      <w:pPr>
        <w:pStyle w:val="3"/>
        <w:rPr>
          <w:rFonts w:ascii="仿宋" w:hAnsi="仿宋" w:eastAsia="仿宋"/>
          <w:color w:val="000000"/>
        </w:rPr>
      </w:pPr>
      <w:bookmarkStart w:id="69"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9"/>
    </w:p>
    <w:p>
      <w:pPr>
        <w:pStyle w:val="3"/>
        <w:rPr>
          <w:rFonts w:ascii="仿宋" w:hAnsi="仿宋" w:eastAsia="仿宋"/>
          <w:color w:val="000000"/>
        </w:rPr>
      </w:pPr>
      <w:bookmarkStart w:id="70"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0"/>
    </w:p>
    <w:p>
      <w:pPr>
        <w:pStyle w:val="3"/>
        <w:rPr>
          <w:rFonts w:ascii="仿宋" w:hAnsi="仿宋" w:eastAsia="仿宋"/>
          <w:color w:val="000000" w:themeColor="text1"/>
        </w:rPr>
      </w:pPr>
      <w:bookmarkStart w:id="71"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微软雅黑">
    <w:panose1 w:val="020B0503020204020204"/>
    <w:charset w:val="86"/>
    <w:family w:val="decorative"/>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17</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808035965">
    <w:nsid w:val="E2FA047D"/>
    <w:multiLevelType w:val="singleLevel"/>
    <w:tmpl w:val="E2FA047D"/>
    <w:lvl w:ilvl="0" w:tentative="1">
      <w:start w:val="3"/>
      <w:numFmt w:val="chineseCounting"/>
      <w:suff w:val="space"/>
      <w:lvlText w:val="第%1部分"/>
      <w:lvlJc w:val="left"/>
      <w:rPr>
        <w:rFonts w:hint="eastAsia"/>
      </w:rPr>
    </w:lvl>
  </w:abstractNum>
  <w:abstractNum w:abstractNumId="3960205104">
    <w:nsid w:val="EC0BEF30"/>
    <w:multiLevelType w:val="singleLevel"/>
    <w:tmpl w:val="EC0BEF30"/>
    <w:lvl w:ilvl="0" w:tentative="1">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1275054793">
    <w:nsid w:val="4BFFCAC9"/>
    <w:multiLevelType w:val="singleLevel"/>
    <w:tmpl w:val="4BFFCAC9"/>
    <w:lvl w:ilvl="0" w:tentative="1">
      <w:start w:val="1"/>
      <w:numFmt w:val="decimal"/>
      <w:lvlText w:val="%1."/>
      <w:lvlJc w:val="left"/>
      <w:pPr>
        <w:tabs>
          <w:tab w:val="left" w:pos="312"/>
        </w:tabs>
      </w:pPr>
    </w:lvl>
  </w:abstractNum>
  <w:abstractNum w:abstractNumId="3479514348">
    <w:nsid w:val="CF652CEC"/>
    <w:multiLevelType w:val="singleLevel"/>
    <w:tmpl w:val="CF652CEC"/>
    <w:lvl w:ilvl="0" w:tentative="1">
      <w:start w:val="9"/>
      <w:numFmt w:val="chineseCounting"/>
      <w:suff w:val="nothing"/>
      <w:lvlText w:val="%1、"/>
      <w:lvlJc w:val="left"/>
      <w:rPr>
        <w:rFonts w:hint="eastAsia"/>
      </w:rPr>
    </w:lvl>
  </w:abstractNum>
  <w:abstractNum w:abstractNumId="332339682">
    <w:nsid w:val="13CF19E2"/>
    <w:multiLevelType w:val="multilevel"/>
    <w:tmpl w:val="13CF19E2"/>
    <w:lvl w:ilvl="0" w:tentative="1">
      <w:start w:val="1"/>
      <w:numFmt w:val="decimal"/>
      <w:lvlText w:val="%1、"/>
      <w:lvlJc w:val="left"/>
      <w:pPr>
        <w:ind w:left="1780" w:hanging="114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401876663">
    <w:nsid w:val="17F426B7"/>
    <w:multiLevelType w:val="multilevel"/>
    <w:tmpl w:val="17F426B7"/>
    <w:lvl w:ilvl="0" w:tentative="1">
      <w:start w:val="10"/>
      <w:numFmt w:val="japaneseCounting"/>
      <w:lvlText w:val="%1、"/>
      <w:lvlJc w:val="left"/>
      <w:pPr>
        <w:ind w:left="1429" w:hanging="720"/>
      </w:pPr>
      <w:rPr>
        <w:rFonts w:hint="default"/>
      </w:rPr>
    </w:lvl>
    <w:lvl w:ilvl="1" w:tentative="1">
      <w:start w:val="1"/>
      <w:numFmt w:val="lowerLetter"/>
      <w:lvlText w:val="%2)"/>
      <w:lvlJc w:val="left"/>
      <w:pPr>
        <w:ind w:left="1549" w:hanging="420"/>
      </w:pPr>
    </w:lvl>
    <w:lvl w:ilvl="2" w:tentative="1">
      <w:start w:val="1"/>
      <w:numFmt w:val="lowerRoman"/>
      <w:lvlText w:val="%3."/>
      <w:lvlJc w:val="right"/>
      <w:pPr>
        <w:ind w:left="1969" w:hanging="420"/>
      </w:pPr>
    </w:lvl>
    <w:lvl w:ilvl="3" w:tentative="1">
      <w:start w:val="1"/>
      <w:numFmt w:val="decimal"/>
      <w:lvlText w:val="%4."/>
      <w:lvlJc w:val="left"/>
      <w:pPr>
        <w:ind w:left="2389" w:hanging="420"/>
      </w:pPr>
    </w:lvl>
    <w:lvl w:ilvl="4" w:tentative="1">
      <w:start w:val="1"/>
      <w:numFmt w:val="lowerLetter"/>
      <w:lvlText w:val="%5)"/>
      <w:lvlJc w:val="left"/>
      <w:pPr>
        <w:ind w:left="2809" w:hanging="420"/>
      </w:pPr>
    </w:lvl>
    <w:lvl w:ilvl="5" w:tentative="1">
      <w:start w:val="1"/>
      <w:numFmt w:val="lowerRoman"/>
      <w:lvlText w:val="%6."/>
      <w:lvlJc w:val="right"/>
      <w:pPr>
        <w:ind w:left="3229" w:hanging="420"/>
      </w:pPr>
    </w:lvl>
    <w:lvl w:ilvl="6" w:tentative="1">
      <w:start w:val="1"/>
      <w:numFmt w:val="decimal"/>
      <w:lvlText w:val="%7."/>
      <w:lvlJc w:val="left"/>
      <w:pPr>
        <w:ind w:left="3649" w:hanging="420"/>
      </w:pPr>
    </w:lvl>
    <w:lvl w:ilvl="7" w:tentative="1">
      <w:start w:val="1"/>
      <w:numFmt w:val="lowerLetter"/>
      <w:lvlText w:val="%8)"/>
      <w:lvlJc w:val="left"/>
      <w:pPr>
        <w:ind w:left="4069" w:hanging="420"/>
      </w:pPr>
    </w:lvl>
    <w:lvl w:ilvl="8" w:tentative="1">
      <w:start w:val="1"/>
      <w:numFmt w:val="lowerRoman"/>
      <w:lvlText w:val="%9."/>
      <w:lvlJc w:val="right"/>
      <w:pPr>
        <w:ind w:left="4489" w:hanging="420"/>
      </w:pPr>
    </w:lvl>
  </w:abstractNum>
  <w:abstractNum w:abstractNumId="309482763">
    <w:nsid w:val="1272550B"/>
    <w:multiLevelType w:val="multilevel"/>
    <w:tmpl w:val="1272550B"/>
    <w:lvl w:ilvl="0" w:tentative="1">
      <w:start w:val="1"/>
      <w:numFmt w:val="japaneseCounting"/>
      <w:lvlText w:val="%1、"/>
      <w:lvlJc w:val="left"/>
      <w:pPr>
        <w:ind w:left="1429"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91342319">
    <w:nsid w:val="0B67A6EF"/>
    <w:multiLevelType w:val="singleLevel"/>
    <w:tmpl w:val="0B67A6EF"/>
    <w:lvl w:ilvl="0" w:tentative="1">
      <w:start w:val="1"/>
      <w:numFmt w:val="decimal"/>
      <w:lvlText w:val="%1."/>
      <w:lvlJc w:val="left"/>
      <w:pPr>
        <w:tabs>
          <w:tab w:val="left" w:pos="312"/>
        </w:tabs>
      </w:pPr>
    </w:lvl>
  </w:abstractNum>
  <w:abstractNum w:abstractNumId="1613680961">
    <w:nsid w:val="602ED141"/>
    <w:multiLevelType w:val="singleLevel"/>
    <w:tmpl w:val="602ED141"/>
    <w:lvl w:ilvl="0" w:tentative="1">
      <w:start w:val="2"/>
      <w:numFmt w:val="chineseCounting"/>
      <w:suff w:val="nothing"/>
      <w:lvlText w:val="（%1）"/>
      <w:lvlJc w:val="left"/>
      <w:rPr>
        <w:rFonts w:hint="eastAsia"/>
      </w:rPr>
    </w:lvl>
  </w:abstractNum>
  <w:num w:numId="1">
    <w:abstractNumId w:val="309482763"/>
  </w:num>
  <w:num w:numId="2">
    <w:abstractNumId w:val="191342319"/>
  </w:num>
  <w:num w:numId="3">
    <w:abstractNumId w:val="3479514348"/>
  </w:num>
  <w:num w:numId="4">
    <w:abstractNumId w:val="401876663"/>
  </w:num>
  <w:num w:numId="5">
    <w:abstractNumId w:val="3960205104"/>
  </w:num>
  <w:num w:numId="6">
    <w:abstractNumId w:val="332339682"/>
  </w:num>
  <w:num w:numId="7">
    <w:abstractNumId w:val="3808035965"/>
  </w:num>
  <w:num w:numId="8">
    <w:abstractNumId w:val="1275054793"/>
  </w:num>
  <w:num w:numId="9">
    <w:abstractNumId w:val="16136809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5048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A60F2"/>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21D3"/>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503D"/>
    <w:rsid w:val="003E6F55"/>
    <w:rsid w:val="00406254"/>
    <w:rsid w:val="004223DE"/>
    <w:rsid w:val="0042736F"/>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1644"/>
    <w:rsid w:val="005664BB"/>
    <w:rsid w:val="0057481D"/>
    <w:rsid w:val="0058486E"/>
    <w:rsid w:val="005C51BD"/>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228C9"/>
    <w:rsid w:val="007416B6"/>
    <w:rsid w:val="00746F48"/>
    <w:rsid w:val="0075404D"/>
    <w:rsid w:val="0076182A"/>
    <w:rsid w:val="00767B7E"/>
    <w:rsid w:val="007770C3"/>
    <w:rsid w:val="00784D24"/>
    <w:rsid w:val="00785EF1"/>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18BF"/>
    <w:rsid w:val="00902155"/>
    <w:rsid w:val="00902FA3"/>
    <w:rsid w:val="00923564"/>
    <w:rsid w:val="0092392E"/>
    <w:rsid w:val="009315F9"/>
    <w:rsid w:val="00946945"/>
    <w:rsid w:val="00951248"/>
    <w:rsid w:val="0095152F"/>
    <w:rsid w:val="00954C49"/>
    <w:rsid w:val="0097099F"/>
    <w:rsid w:val="00971997"/>
    <w:rsid w:val="00971FFC"/>
    <w:rsid w:val="0098660A"/>
    <w:rsid w:val="00992AF9"/>
    <w:rsid w:val="009931C3"/>
    <w:rsid w:val="009B2C43"/>
    <w:rsid w:val="009B4EAE"/>
    <w:rsid w:val="009B7573"/>
    <w:rsid w:val="009C22F4"/>
    <w:rsid w:val="009C2E98"/>
    <w:rsid w:val="009D3447"/>
    <w:rsid w:val="009D4711"/>
    <w:rsid w:val="009F1185"/>
    <w:rsid w:val="009F18CD"/>
    <w:rsid w:val="009F2A13"/>
    <w:rsid w:val="00A04EB0"/>
    <w:rsid w:val="00A13CC1"/>
    <w:rsid w:val="00A1475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0B75"/>
    <w:rsid w:val="00AE16BA"/>
    <w:rsid w:val="00AE1EBE"/>
    <w:rsid w:val="00B03C9D"/>
    <w:rsid w:val="00B060AE"/>
    <w:rsid w:val="00B07178"/>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357DB"/>
    <w:rsid w:val="00C42709"/>
    <w:rsid w:val="00C533CC"/>
    <w:rsid w:val="00C5751C"/>
    <w:rsid w:val="00C61BFC"/>
    <w:rsid w:val="00C62B85"/>
    <w:rsid w:val="00C65438"/>
    <w:rsid w:val="00C91CBB"/>
    <w:rsid w:val="00C92043"/>
    <w:rsid w:val="00CC09B6"/>
    <w:rsid w:val="00CC666F"/>
    <w:rsid w:val="00CD1E3F"/>
    <w:rsid w:val="00CE1ADE"/>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217C"/>
    <w:rsid w:val="00F36D8F"/>
    <w:rsid w:val="00F417B1"/>
    <w:rsid w:val="00F53320"/>
    <w:rsid w:val="00F602DF"/>
    <w:rsid w:val="00F81FD9"/>
    <w:rsid w:val="00F841AA"/>
    <w:rsid w:val="00FA23E8"/>
    <w:rsid w:val="00FC59D9"/>
    <w:rsid w:val="00FD04F8"/>
    <w:rsid w:val="00FD3CC1"/>
    <w:rsid w:val="00FF1E02"/>
    <w:rsid w:val="00FF30B4"/>
    <w:rsid w:val="01A205BD"/>
    <w:rsid w:val="06F4223C"/>
    <w:rsid w:val="0730145C"/>
    <w:rsid w:val="0BA01D02"/>
    <w:rsid w:val="0FB3310E"/>
    <w:rsid w:val="10C055FF"/>
    <w:rsid w:val="11C40AE5"/>
    <w:rsid w:val="148D7A4F"/>
    <w:rsid w:val="16BB723D"/>
    <w:rsid w:val="178A6E36"/>
    <w:rsid w:val="1C5A1569"/>
    <w:rsid w:val="1D095C99"/>
    <w:rsid w:val="1D24185D"/>
    <w:rsid w:val="1D3A0708"/>
    <w:rsid w:val="1E3D07A1"/>
    <w:rsid w:val="20AF12E8"/>
    <w:rsid w:val="23FE65E8"/>
    <w:rsid w:val="240371BF"/>
    <w:rsid w:val="29FD04D3"/>
    <w:rsid w:val="2D002C65"/>
    <w:rsid w:val="2F8C74F8"/>
    <w:rsid w:val="2FBB18BE"/>
    <w:rsid w:val="319F7F4E"/>
    <w:rsid w:val="32A2355D"/>
    <w:rsid w:val="382F71EC"/>
    <w:rsid w:val="40895837"/>
    <w:rsid w:val="40B51927"/>
    <w:rsid w:val="47576A02"/>
    <w:rsid w:val="497F341A"/>
    <w:rsid w:val="4E36792A"/>
    <w:rsid w:val="50495C93"/>
    <w:rsid w:val="51494C0B"/>
    <w:rsid w:val="52D92913"/>
    <w:rsid w:val="570117CE"/>
    <w:rsid w:val="57D37F7E"/>
    <w:rsid w:val="59C4287C"/>
    <w:rsid w:val="5B0732F1"/>
    <w:rsid w:val="5C327F85"/>
    <w:rsid w:val="5DCA2C92"/>
    <w:rsid w:val="6378018D"/>
    <w:rsid w:val="64E84AEC"/>
    <w:rsid w:val="65A61F1C"/>
    <w:rsid w:val="66AE7006"/>
    <w:rsid w:val="66E7199A"/>
    <w:rsid w:val="6A8C13B1"/>
    <w:rsid w:val="6C217B23"/>
    <w:rsid w:val="6C7930EF"/>
    <w:rsid w:val="7822499F"/>
    <w:rsid w:val="7CF31697"/>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link w:val="32"/>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Body Text First Indent 2"/>
    <w:basedOn w:val="6"/>
    <w:link w:val="33"/>
    <w:unhideWhenUsed/>
    <w:qFormat/>
    <w:uiPriority w:val="99"/>
    <w:pPr>
      <w:ind w:firstLine="420" w:firstLineChars="200"/>
    </w:p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8"/>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character" w:customStyle="1" w:styleId="32">
    <w:name w:val="正文文本缩进 Char"/>
    <w:basedOn w:val="15"/>
    <w:link w:val="6"/>
    <w:semiHidden/>
    <w:qFormat/>
    <w:uiPriority w:val="99"/>
    <w:rPr>
      <w:rFonts w:ascii="Times New Roman" w:hAnsi="Times New Roman"/>
      <w:kern w:val="2"/>
      <w:sz w:val="21"/>
      <w:szCs w:val="24"/>
    </w:rPr>
  </w:style>
  <w:style w:type="character" w:customStyle="1" w:styleId="33">
    <w:name w:val="正文首行缩进 2 Char"/>
    <w:basedOn w:val="32"/>
    <w:link w:val="10"/>
    <w:qFormat/>
    <w:uiPriority w:val="99"/>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A0E3B1-30A1-4956-ACC6-A56A4E2427F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1270</Words>
  <Characters>7240</Characters>
  <Lines>60</Lines>
  <Paragraphs>16</Paragraphs>
  <TotalTime>0</TotalTime>
  <ScaleCrop>false</ScaleCrop>
  <LinksUpToDate>false</LinksUpToDate>
  <CharactersWithSpaces>8494</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2019-09-29T02:49:00Z</cp:lastPrinted>
  <dcterms:modified xsi:type="dcterms:W3CDTF">2025-04-10T01:31:47Z</dcterms:modified>
  <dc:title>四川省***</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