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6" w:name="_Toc15396476"/>
      <w:bookmarkStart w:id="7" w:name="_Toc15377194"/>
      <w:bookmarkStart w:id="8" w:name="_Toc15378442"/>
      <w:bookmarkStart w:id="9" w:name="_Toc15377426"/>
      <w:bookmarkStart w:id="10" w:name="_Toc15396598"/>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val="en-US" w:eastAsia="zh-CN"/>
        </w:rPr>
        <w:t>九寨沟县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val="en-US" w:eastAsia="zh-CN"/>
        </w:rPr>
        <w:t>人社局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rPr>
          <w:rFonts w:hint="eastAsia" w:ascii="仿宋" w:hAnsi="仿宋" w:eastAsia="仿宋" w:cs="仿宋"/>
          <w:sz w:val="28"/>
          <w:szCs w:val="28"/>
        </w:rPr>
      </w:pPr>
      <w:r>
        <w:rPr>
          <w:rFonts w:hint="eastAsia" w:ascii="仿宋" w:hAnsi="仿宋" w:eastAsia="仿宋" w:cs="仿宋"/>
          <w:sz w:val="28"/>
          <w:szCs w:val="28"/>
        </w:rPr>
        <w:t>公开时间：2020年</w:t>
      </w:r>
      <w:r>
        <w:rPr>
          <w:rFonts w:hint="eastAsia" w:cs="仿宋"/>
          <w:sz w:val="28"/>
          <w:szCs w:val="28"/>
          <w:lang w:val="en-US" w:eastAsia="zh-CN"/>
        </w:rPr>
        <w:t>8</w:t>
      </w:r>
      <w:r>
        <w:rPr>
          <w:rFonts w:hint="eastAsia" w:ascii="仿宋" w:hAnsi="仿宋" w:eastAsia="仿宋" w:cs="仿宋"/>
          <w:sz w:val="28"/>
          <w:szCs w:val="28"/>
        </w:rPr>
        <w:t>月25日</w:t>
      </w:r>
    </w:p>
    <w:p>
      <w:pPr>
        <w:rPr>
          <w:rFonts w:hint="eastAsia" w:ascii="仿宋" w:hAnsi="仿宋" w:eastAsia="仿宋" w:cs="仿宋"/>
          <w:sz w:val="28"/>
          <w:szCs w:val="28"/>
        </w:rPr>
      </w:pPr>
    </w:p>
    <w:p>
      <w:pPr>
        <w:pStyle w:val="12"/>
        <w:adjustRightInd w:val="0"/>
        <w:snapToGrid w:val="0"/>
        <w:spacing w:before="0" w:line="440" w:lineRule="exact"/>
        <w:jc w:val="left"/>
        <w:rPr>
          <w:rFonts w:hint="eastAsia" w:ascii="仿宋" w:hAnsi="仿宋" w:eastAsia="仿宋" w:cs="仿宋"/>
          <w:sz w:val="28"/>
          <w:szCs w:val="28"/>
        </w:rPr>
      </w:pPr>
      <w:r>
        <w:rPr>
          <w:rFonts w:hint="eastAsia" w:ascii="仿宋" w:hAnsi="仿宋" w:eastAsia="仿宋" w:cs="仿宋"/>
          <w:sz w:val="28"/>
          <w:szCs w:val="28"/>
        </w:rPr>
        <w:t>第一部分 部门概况</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一、基本职能及主要工作</w:t>
      </w:r>
      <w:r>
        <w:rPr>
          <w:rFonts w:hint="eastAsia" w:ascii="仿宋" w:hAnsi="仿宋" w:eastAsia="仿宋" w:cs="仿宋"/>
          <w:sz w:val="28"/>
          <w:szCs w:val="28"/>
          <w:lang w:val="en-US" w:eastAsia="zh-CN"/>
        </w:rPr>
        <w:t xml:space="preserve"> ............................4-9</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二、机构设置</w:t>
      </w:r>
      <w:r>
        <w:rPr>
          <w:rFonts w:hint="eastAsia" w:ascii="仿宋" w:hAnsi="仿宋" w:eastAsia="仿宋" w:cs="仿宋"/>
          <w:sz w:val="28"/>
          <w:szCs w:val="28"/>
          <w:lang w:val="en-US" w:eastAsia="zh-CN"/>
        </w:rPr>
        <w:t xml:space="preserve">  .....................................10       </w:t>
      </w:r>
    </w:p>
    <w:p>
      <w:pPr>
        <w:pStyle w:val="12"/>
        <w:adjustRightInd w:val="0"/>
        <w:snapToGrid w:val="0"/>
        <w:spacing w:before="0" w:line="440" w:lineRule="exact"/>
        <w:jc w:val="left"/>
        <w:rPr>
          <w:rFonts w:hint="default" w:ascii="仿宋" w:hAnsi="仿宋" w:eastAsia="仿宋" w:cs="仿宋"/>
          <w:sz w:val="28"/>
          <w:szCs w:val="28"/>
          <w:lang w:val="en-US"/>
        </w:rPr>
      </w:pPr>
      <w:r>
        <w:rPr>
          <w:rFonts w:hint="eastAsia" w:ascii="仿宋" w:hAnsi="仿宋" w:eastAsia="仿宋" w:cs="仿宋"/>
          <w:sz w:val="28"/>
          <w:szCs w:val="28"/>
        </w:rPr>
        <w:t>第二部分度部门决算情况说明</w:t>
      </w:r>
      <w:r>
        <w:rPr>
          <w:rFonts w:hint="eastAsia" w:ascii="仿宋" w:hAnsi="仿宋" w:eastAsia="仿宋" w:cs="仿宋"/>
          <w:sz w:val="28"/>
          <w:szCs w:val="28"/>
          <w:lang w:val="en-US" w:eastAsia="zh-CN"/>
        </w:rPr>
        <w:t>...........................</w:t>
      </w:r>
      <w:r>
        <w:rPr>
          <w:rFonts w:hint="eastAsia" w:cs="仿宋"/>
          <w:sz w:val="28"/>
          <w:szCs w:val="28"/>
          <w:lang w:val="en-US" w:eastAsia="zh-CN"/>
        </w:rPr>
        <w:t>.11-15</w:t>
      </w:r>
    </w:p>
    <w:p>
      <w:pPr>
        <w:pStyle w:val="13"/>
        <w:adjustRightInd w:val="0"/>
        <w:snapToGrid w:val="0"/>
        <w:spacing w:line="440" w:lineRule="exact"/>
        <w:jc w:val="left"/>
        <w:rPr>
          <w:rFonts w:hint="default" w:ascii="仿宋" w:hAnsi="仿宋" w:eastAsia="仿宋" w:cs="仿宋"/>
          <w:sz w:val="28"/>
          <w:szCs w:val="28"/>
          <w:lang w:val="en-US"/>
        </w:rPr>
      </w:pPr>
      <w:r>
        <w:rPr>
          <w:rFonts w:hint="eastAsia" w:ascii="仿宋" w:hAnsi="仿宋" w:eastAsia="仿宋" w:cs="仿宋"/>
          <w:sz w:val="28"/>
          <w:szCs w:val="28"/>
        </w:rPr>
        <w:t>一、收入支出决算总体情况说明</w:t>
      </w:r>
      <w:r>
        <w:rPr>
          <w:rFonts w:hint="eastAsia" w:ascii="仿宋" w:hAnsi="仿宋" w:eastAsia="仿宋" w:cs="仿宋"/>
          <w:sz w:val="28"/>
          <w:szCs w:val="28"/>
          <w:lang w:val="en-US" w:eastAsia="zh-CN"/>
        </w:rPr>
        <w:t>.......................11</w:t>
      </w:r>
    </w:p>
    <w:p>
      <w:pPr>
        <w:pStyle w:val="13"/>
        <w:adjustRightInd w:val="0"/>
        <w:snapToGrid w:val="0"/>
        <w:spacing w:line="440" w:lineRule="exact"/>
        <w:jc w:val="left"/>
        <w:rPr>
          <w:rFonts w:hint="default" w:ascii="仿宋" w:hAnsi="仿宋" w:eastAsia="仿宋" w:cs="仿宋"/>
          <w:sz w:val="28"/>
          <w:szCs w:val="28"/>
          <w:lang w:val="en-US"/>
        </w:rPr>
      </w:pPr>
      <w:r>
        <w:rPr>
          <w:rFonts w:hint="eastAsia" w:ascii="仿宋" w:hAnsi="仿宋" w:eastAsia="仿宋" w:cs="仿宋"/>
          <w:sz w:val="28"/>
          <w:szCs w:val="28"/>
        </w:rPr>
        <w:t>二、收入决算情况说明</w:t>
      </w:r>
      <w:r>
        <w:rPr>
          <w:rFonts w:hint="eastAsia" w:ascii="仿宋" w:hAnsi="仿宋" w:eastAsia="仿宋" w:cs="仿宋"/>
          <w:sz w:val="28"/>
          <w:szCs w:val="28"/>
          <w:lang w:val="en-US" w:eastAsia="zh-CN"/>
        </w:rPr>
        <w:t>...............................11</w:t>
      </w:r>
    </w:p>
    <w:p>
      <w:pPr>
        <w:pStyle w:val="13"/>
        <w:adjustRightInd w:val="0"/>
        <w:snapToGrid w:val="0"/>
        <w:spacing w:line="440" w:lineRule="exact"/>
        <w:jc w:val="left"/>
        <w:rPr>
          <w:rFonts w:hint="default" w:ascii="仿宋" w:hAnsi="仿宋" w:eastAsia="仿宋" w:cs="仿宋"/>
          <w:sz w:val="28"/>
          <w:szCs w:val="28"/>
          <w:lang w:val="en-US"/>
        </w:rPr>
      </w:pPr>
      <w:r>
        <w:rPr>
          <w:rFonts w:hint="eastAsia" w:ascii="仿宋" w:hAnsi="仿宋" w:eastAsia="仿宋" w:cs="仿宋"/>
          <w:sz w:val="28"/>
          <w:szCs w:val="28"/>
        </w:rPr>
        <w:t>三、支出决算情况说明</w:t>
      </w:r>
      <w:r>
        <w:rPr>
          <w:rFonts w:hint="eastAsia" w:ascii="仿宋" w:hAnsi="仿宋" w:eastAsia="仿宋" w:cs="仿宋"/>
          <w:sz w:val="28"/>
          <w:szCs w:val="28"/>
          <w:lang w:val="en-US" w:eastAsia="zh-CN"/>
        </w:rPr>
        <w:t>...............................11</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四、财政拨款收入支出决算总体情况说明</w:t>
      </w:r>
      <w:r>
        <w:rPr>
          <w:rFonts w:hint="eastAsia" w:ascii="仿宋" w:hAnsi="仿宋" w:eastAsia="仿宋" w:cs="仿宋"/>
          <w:sz w:val="28"/>
          <w:szCs w:val="28"/>
          <w:lang w:val="en-US" w:eastAsia="zh-CN"/>
        </w:rPr>
        <w:t>...............11</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lang w:val="en-US" w:eastAsia="zh-CN"/>
        </w:rPr>
        <w:t>............11-12</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lang w:val="en-US" w:eastAsia="zh-CN"/>
        </w:rPr>
        <w:t>...........13</w:t>
      </w:r>
    </w:p>
    <w:p>
      <w:pPr>
        <w:rPr>
          <w:rFonts w:hint="default"/>
          <w:lang w:val="en-US" w:eastAsia="zh-CN"/>
        </w:rPr>
      </w:pP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七、“三公”经费财政拨款支出决算情况说明</w:t>
      </w:r>
      <w:r>
        <w:rPr>
          <w:rFonts w:hint="eastAsia" w:ascii="仿宋" w:hAnsi="仿宋" w:eastAsia="仿宋" w:cs="仿宋"/>
          <w:sz w:val="28"/>
          <w:szCs w:val="28"/>
          <w:lang w:val="en-US" w:eastAsia="zh-CN"/>
        </w:rPr>
        <w:t>..............13-14</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八、政府性基金预算支出决算情况说明</w:t>
      </w:r>
      <w:r>
        <w:rPr>
          <w:rFonts w:hint="eastAsia" w:ascii="仿宋" w:hAnsi="仿宋" w:eastAsia="仿宋" w:cs="仿宋"/>
          <w:sz w:val="28"/>
          <w:szCs w:val="28"/>
          <w:lang w:val="en-US" w:eastAsia="zh-CN"/>
        </w:rPr>
        <w:t>...................15</w:t>
      </w:r>
    </w:p>
    <w:p>
      <w:pPr>
        <w:pStyle w:val="13"/>
        <w:adjustRightInd w:val="0"/>
        <w:snapToGrid w:val="0"/>
        <w:spacing w:line="440" w:lineRule="exact"/>
        <w:ind w:leftChars="0"/>
        <w:jc w:val="left"/>
        <w:rPr>
          <w:rFonts w:hint="default" w:ascii="仿宋" w:hAnsi="仿宋" w:eastAsia="仿宋" w:cs="仿宋"/>
          <w:sz w:val="28"/>
          <w:szCs w:val="28"/>
          <w:lang w:val="en-US" w:eastAsia="zh-CN"/>
        </w:rPr>
      </w:pPr>
      <w:r>
        <w:rPr>
          <w:rFonts w:hint="eastAsia" w:ascii="仿宋" w:hAnsi="仿宋" w:eastAsia="仿宋" w:cs="仿宋"/>
          <w:sz w:val="28"/>
          <w:szCs w:val="28"/>
        </w:rPr>
        <w:t>九、 国有资本经营预算支出决算情况说明</w:t>
      </w:r>
      <w:r>
        <w:rPr>
          <w:rFonts w:hint="eastAsia" w:ascii="仿宋" w:hAnsi="仿宋" w:eastAsia="仿宋" w:cs="仿宋"/>
          <w:sz w:val="28"/>
          <w:szCs w:val="28"/>
          <w:lang w:val="en-US" w:eastAsia="zh-CN"/>
        </w:rPr>
        <w:t>................15</w:t>
      </w:r>
    </w:p>
    <w:p>
      <w:pPr>
        <w:adjustRightInd w:val="0"/>
        <w:snapToGrid w:val="0"/>
        <w:spacing w:line="440" w:lineRule="exact"/>
        <w:ind w:firstLine="560" w:firstLineChars="200"/>
        <w:jc w:val="left"/>
        <w:rPr>
          <w:rFonts w:hint="default" w:ascii="仿宋" w:hAnsi="仿宋" w:eastAsia="仿宋" w:cs="仿宋"/>
          <w:sz w:val="28"/>
          <w:szCs w:val="28"/>
          <w:lang w:val="en-US" w:eastAsia="zh-CN"/>
        </w:rPr>
      </w:pPr>
      <w:r>
        <w:rPr>
          <w:rStyle w:val="18"/>
          <w:rFonts w:hint="eastAsia" w:ascii="仿宋" w:hAnsi="仿宋" w:eastAsia="仿宋" w:cs="仿宋"/>
          <w:color w:val="000000" w:themeColor="text1"/>
          <w:sz w:val="28"/>
          <w:szCs w:val="28"/>
          <w:u w:val="none"/>
        </w:rPr>
        <w:t>十、</w:t>
      </w:r>
      <w:r>
        <w:rPr>
          <w:rFonts w:hint="eastAsia" w:ascii="仿宋" w:hAnsi="仿宋" w:eastAsia="仿宋" w:cs="仿宋"/>
          <w:sz w:val="28"/>
          <w:szCs w:val="28"/>
        </w:rPr>
        <w:t>其他重要事项的情况说明</w:t>
      </w:r>
      <w:r>
        <w:rPr>
          <w:rFonts w:hint="eastAsia" w:ascii="仿宋" w:hAnsi="仿宋" w:eastAsia="仿宋" w:cs="仿宋"/>
          <w:sz w:val="28"/>
          <w:szCs w:val="28"/>
          <w:lang w:val="en-US" w:eastAsia="zh-CN"/>
        </w:rPr>
        <w:t>..........................15</w:t>
      </w:r>
    </w:p>
    <w:p>
      <w:pPr>
        <w:pStyle w:val="12"/>
        <w:adjustRightInd w:val="0"/>
        <w:snapToGrid w:val="0"/>
        <w:spacing w:before="0"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第三部分 名词解释</w:t>
      </w:r>
      <w:r>
        <w:rPr>
          <w:rFonts w:hint="eastAsia" w:cs="仿宋"/>
          <w:sz w:val="28"/>
          <w:szCs w:val="28"/>
          <w:lang w:val="en-US" w:eastAsia="zh-CN"/>
        </w:rPr>
        <w:t>....................................16-19</w:t>
      </w:r>
    </w:p>
    <w:p>
      <w:pPr>
        <w:pStyle w:val="12"/>
        <w:adjustRightInd w:val="0"/>
        <w:snapToGrid w:val="0"/>
        <w:spacing w:before="0"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第四部分 附件</w:t>
      </w:r>
      <w:r>
        <w:rPr>
          <w:rFonts w:hint="eastAsia" w:cs="仿宋"/>
          <w:sz w:val="28"/>
          <w:szCs w:val="28"/>
          <w:lang w:val="en-US" w:eastAsia="zh-CN"/>
        </w:rPr>
        <w:t>........................................20-25</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附件1</w:t>
      </w:r>
      <w:r>
        <w:rPr>
          <w:rFonts w:hint="eastAsia" w:ascii="仿宋" w:hAnsi="仿宋" w:eastAsia="仿宋" w:cs="仿宋"/>
          <w:sz w:val="28"/>
          <w:szCs w:val="28"/>
          <w:lang w:val="en-US" w:eastAsia="zh-CN"/>
        </w:rPr>
        <w:t>.............................................20-25</w:t>
      </w:r>
    </w:p>
    <w:p>
      <w:pPr>
        <w:pStyle w:val="12"/>
        <w:adjustRightInd w:val="0"/>
        <w:snapToGrid w:val="0"/>
        <w:spacing w:before="0"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第五部分 附表</w:t>
      </w:r>
      <w:r>
        <w:rPr>
          <w:rFonts w:hint="eastAsia" w:cs="仿宋"/>
          <w:sz w:val="28"/>
          <w:szCs w:val="28"/>
          <w:lang w:val="en-US" w:eastAsia="zh-CN"/>
        </w:rPr>
        <w:t>.........................................26</w:t>
      </w:r>
    </w:p>
    <w:p>
      <w:pPr>
        <w:pStyle w:val="4"/>
        <w:jc w:val="center"/>
        <w:rPr>
          <w:rFonts w:hint="eastAsia" w:ascii="黑体" w:hAnsi="黑体" w:eastAsia="黑体"/>
          <w:b w:val="0"/>
        </w:rPr>
      </w:pPr>
      <w:bookmarkStart w:id="12" w:name="_Toc15396599"/>
      <w:bookmarkStart w:id="13" w:name="_Toc15377196"/>
    </w:p>
    <w:p>
      <w:pPr>
        <w:pStyle w:val="4"/>
        <w:jc w:val="center"/>
        <w:rPr>
          <w:rFonts w:hint="eastAsia" w:ascii="黑体" w:hAnsi="黑体" w:eastAsia="黑体"/>
          <w:b w:val="0"/>
        </w:rPr>
      </w:pPr>
    </w:p>
    <w:p>
      <w:pPr>
        <w:pStyle w:val="4"/>
        <w:jc w:val="center"/>
        <w:rPr>
          <w:rStyle w:val="27"/>
          <w:rFonts w:ascii="黑体" w:hAnsi="黑体" w:eastAsia="黑体"/>
          <w:b/>
          <w:bCs w:val="0"/>
        </w:rPr>
      </w:pPr>
      <w:bookmarkStart w:id="71" w:name="_GoBack"/>
      <w:bookmarkEnd w:id="71"/>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县人力资源社会保障局贯彻落实党中央关于人力资源和社会保障工作的方针政策和省委、州委、县委的决策部署,</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在履行职责过程中坚持和加强党对人力资源和社会保障工作的集中统一领导,主要职责是</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拟订全县人力资源和社会保障事业发展政策、规划和</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规范性文件草案。</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拟订人力资源市场发展规划和人力资源服务业发展、</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人力资源流动政策,促进人力资源合理流动、有效配置。</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负责促进就业工作。拟订统筹城乡就业发展规划和措</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施,完善公共就业创业服务体系,统筹建立面向城乡劳动者的职业技能培训制度,拟订并组织落实创业、就业援助制度,牵头拟订高校毕业生就业政策</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统筹推进建立覆盖城乡的多层次社会保障体系。拟订</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负责就业、失业和相关社会保险基金预测预警和信息</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导,拟订应对预案,实施预防、调节和控制,保持就业形势稳</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定和相关社会保险基金总体收支平衡。</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贯彻落实劳动人事争议调解仲裁制度和劳动关系政</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 xml:space="preserve">   7.</w:t>
      </w:r>
      <w:r>
        <w:rPr>
          <w:rFonts w:hint="eastAsia" w:ascii="仿宋" w:hAnsi="仿宋" w:eastAsia="仿宋"/>
          <w:bCs/>
          <w:color w:val="000000"/>
          <w:sz w:val="32"/>
          <w:szCs w:val="32"/>
        </w:rPr>
        <w:t>牵头推进深化职称制度改革,拟订专业技术人员管理、</w:t>
      </w:r>
    </w:p>
    <w:p>
      <w:pPr>
        <w:pStyle w:val="7"/>
        <w:adjustRightInd w:val="0"/>
        <w:snapToGrid w:val="0"/>
        <w:spacing w:before="93" w:line="600" w:lineRule="exact"/>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rPr>
        <w:t>继续教育政策,贯彻落实博士后管理制度,负责高层次专业技术人才选拔和培养工作,贯彻落实吸引留学人员来县(回县)工作或定居政策。组织拟订技能人才培养、评价、使用和激励制度。贯彻落实职业资格制度,健全职业技能多元化评价政策。指导监督各级各类技工学校、民办职业培训机构按国家和省、州、县有关规定履行安全管理责任</w:t>
      </w:r>
      <w:r>
        <w:rPr>
          <w:rFonts w:hint="eastAsia" w:ascii="仿宋" w:hAnsi="仿宋" w:eastAsia="仿宋"/>
          <w:bCs/>
          <w:color w:val="000000"/>
          <w:sz w:val="32"/>
          <w:szCs w:val="32"/>
          <w:lang w:eastAsia="zh-CN"/>
        </w:rPr>
        <w:t>。</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会同有关部门指导事业单位人事制度改革,按照管理</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权限负责规范事业单位岗位设置、公开招聘、聘用合同等人事综合管理工作,落实规范事业单位工作人员和机关工勤人员管理政策,将安全生产及生态环境保护责任履行情况作为事业单位工作人员奖惩、考核的重要内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组织实施国家表彰奖励制度,综合管理政府表彰奖励</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工作,承担评比达标表彰等工作,根据授权承办以县委、县政府名义开展的表彰奖励活动。承办提请县人大常委会和县政府决定的人事任免事项。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贯彻落实事业单位人员工资收入分配政策,建立企事</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业单位人员工资决定、正常增长和支付保障机制。执行企事业单位人员福利和离退休政策。</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会同有关部门拟订农民工工作综合性政策和规划,</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推动相关政策落实,协调解决重点难点问题,维护农民工合法权益,负责将安全生产纳入农民工技能培训内容。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负责人力资源和社会保障领域内的对外交流与合作</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工作。</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13.</w:t>
      </w:r>
      <w:r>
        <w:rPr>
          <w:rFonts w:hint="eastAsia" w:ascii="仿宋" w:hAnsi="仿宋" w:eastAsia="仿宋"/>
          <w:bCs/>
          <w:color w:val="000000"/>
          <w:sz w:val="32"/>
          <w:szCs w:val="32"/>
        </w:rPr>
        <w:t>承担职责范围内的安全生产和职业健康、生态环境</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保护、审批服务便民化等工作。</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14.</w:t>
      </w:r>
      <w:r>
        <w:rPr>
          <w:rFonts w:hint="eastAsia" w:ascii="仿宋" w:hAnsi="仿宋" w:eastAsia="仿宋"/>
          <w:bCs/>
          <w:color w:val="000000"/>
          <w:sz w:val="32"/>
          <w:szCs w:val="32"/>
        </w:rPr>
        <w:t>完成县委、县政府交办的其他任务。</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15.</w:t>
      </w:r>
      <w:r>
        <w:rPr>
          <w:rFonts w:hint="eastAsia" w:ascii="仿宋" w:hAnsi="仿宋" w:eastAsia="仿宋"/>
          <w:bCs/>
          <w:color w:val="000000"/>
          <w:sz w:val="32"/>
          <w:szCs w:val="32"/>
        </w:rPr>
        <w:t>职能转变。深入推进筒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16.</w:t>
      </w:r>
      <w:r>
        <w:rPr>
          <w:rFonts w:hint="eastAsia" w:ascii="仿宋" w:hAnsi="仿宋" w:eastAsia="仿宋"/>
          <w:bCs/>
          <w:color w:val="000000"/>
          <w:sz w:val="32"/>
          <w:szCs w:val="32"/>
        </w:rPr>
        <w:t>有关职责分工。与县教育局的有关职责分工。高校</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毕业生就业政策由县人力资源社会保障局牵头,会同县教育局等部门拟订。高校毕业生离校前的就业指导和服务工作,由县教育局负责;高校毕业生离校后的就业指导和服务工作,由县人力资源社会保障局负责。</w:t>
      </w:r>
    </w:p>
    <w:p>
      <w:pPr>
        <w:pStyle w:val="7"/>
        <w:adjustRightInd w:val="0"/>
        <w:snapToGrid w:val="0"/>
        <w:spacing w:before="93" w:line="600" w:lineRule="exact"/>
        <w:outlineLvl w:val="2"/>
        <w:rPr>
          <w:rFonts w:hint="eastAsia"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人事人才方面。一是开展人员转隶工作。拟定事业单</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位人员转隶方案,转入单位22个,转出单位23个,涉转人员</w:t>
      </w:r>
    </w:p>
    <w:p>
      <w:pPr>
        <w:pStyle w:val="7"/>
        <w:adjustRightInd w:val="0"/>
        <w:snapToGrid w:val="0"/>
        <w:spacing w:before="93" w:line="600" w:lineRule="exact"/>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rPr>
        <w:t>175名。二是加大人才扶贫力度。开展四川省专家服务团精准扶贫走进阿坝活动,培训专技人员和基层群众698人次,并探索建立省级专家智力帮扶暨康养基地,吸引人力资本“上山下乡”。</w:t>
      </w:r>
      <w:r>
        <w:rPr>
          <w:rFonts w:hint="eastAsia" w:ascii="仿宋" w:hAnsi="仿宋" w:eastAsia="仿宋"/>
          <w:bCs/>
          <w:color w:val="000000"/>
          <w:sz w:val="32"/>
          <w:szCs w:val="32"/>
          <w:lang w:val="en-US" w:eastAsia="zh-CN"/>
        </w:rPr>
        <w:t>三</w:t>
      </w:r>
      <w:r>
        <w:rPr>
          <w:rFonts w:hint="eastAsia" w:ascii="仿宋" w:hAnsi="仿宋" w:eastAsia="仿宋"/>
          <w:bCs/>
          <w:color w:val="000000"/>
          <w:sz w:val="32"/>
          <w:szCs w:val="32"/>
        </w:rPr>
        <w:t>是严格贯彻工资政策。依规正常晋升1727名机关事业单位工作人员工资。审核审批机关事业单位退休18人,审批企业、个体人员正常退休15人</w:t>
      </w:r>
      <w:r>
        <w:rPr>
          <w:rFonts w:hint="eastAsia" w:ascii="仿宋" w:hAnsi="仿宋" w:eastAsia="仿宋"/>
          <w:bCs/>
          <w:color w:val="000000"/>
          <w:sz w:val="32"/>
          <w:szCs w:val="32"/>
          <w:lang w:eastAsia="zh-CN"/>
        </w:rPr>
        <w:t>。</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就业创业方面。通过创新123就业模式,多方向促进就业增收。一是实施系列行动促就业。采取“农业+就业”、“飞地+就业”、“全域旅游+就业”,“扶贫+就业”就业“四+”模式,2019年促进就业1.62万人,实现劳务收入3.42亿元。通过乡村推荐协调等方式,引导重建施工项目优先使用本地农民工5096人,开发公益性岗位751个,实现有劳动力贫困户和就业困难对象全覆盖。多维度深化劳务协作,依托东西扶贫协作、对口帮扶等转移就业92人,其中贫困劳动力43人。帮助9名高校毕业生实现创业,发放创业补贴9万元;支持6名返乡创业人员申请返乡创业担保贷款75万元,带动就业9人;建立见习基地7个,促进16名高校毕业生就业。二是实施培训再造增就业。结合市场用工需求,大力推行学徒制、实用性、送外培训等模式,开展培训“四送活动,推进就业培训精准服务,2019年培训624人,其中贫困劳动力68人,创新“四确认四签字一监督两公开一回访提升培训管理模式,增强技能培训实效性。三是实施支持政策稳就业。2019年,落实扩大失业保险支持范围政策,审核发放18家因灾困难企业失业金116.6万元;发放154人失业人员失业保险金16245万元,代缴医疗保险6201万元,充分发挥失业保险保生活、防失业、促就业的作用。</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社会保障方面。全县参加机关及企业职工基本养老保</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险13001人、工伤保险16498人,确保了待遇按时足额发放,全年预计城乡居民养老保险参保人数30120人、参保缴费人数22350人、养老金待遇领取人员6708人。加大“一卡通”宣传力度代社保卡持卡人数73624人,持卡率达110%。一是推动社保扶贫。完成“三类人员”代缴养老保险费8679人,实现建档立卡未标注脱贫的贫困人口、低保对象、特困人员参保代缴全覆盖。</w:t>
      </w:r>
      <w:r>
        <w:rPr>
          <w:rFonts w:hint="eastAsia" w:ascii="仿宋" w:hAnsi="仿宋" w:eastAsia="仿宋"/>
          <w:b/>
          <w:bCs w:val="0"/>
          <w:color w:val="000000"/>
          <w:sz w:val="32"/>
          <w:szCs w:val="32"/>
        </w:rPr>
        <w:t>二是筑牢基金安全网</w:t>
      </w:r>
      <w:r>
        <w:rPr>
          <w:rFonts w:hint="eastAsia" w:ascii="仿宋" w:hAnsi="仿宋" w:eastAsia="仿宋"/>
          <w:bCs/>
          <w:color w:val="000000"/>
          <w:sz w:val="32"/>
          <w:szCs w:val="32"/>
        </w:rPr>
        <w:t>。开展社会保险经办机构内部控制评价,强比基金监管,处理网络监管预警信息206粲,深化“党建+基金监督”,开展廉政谈话168人次,确保基金安全运行。</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和谐劳动关系方面。着力维护劳动者权益,接待来电</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来厅来访45次,协调处理农民工工资欠薪23件,处理劳动争议仲裁案件19件。聚焦农民工服务保障,由县农民工服务保障领导小组牵头,整合组织、人社、教育、交通、住建、卫健、工青妇等资源,建立联席会议制度,实行“月调度、季研究、年考评”制度,确保服务保障落到实处,制定并出台了《九寨沟县农民工服务保障实施方案》,整合公安、法院和信访等力量,开辟农民工维权绿色通道。完善农民工工资治欠保支源头治理机制,通过对建筑工地开展联合大检查95次,涉及劳动者3661人,收缴农民工保证金现金2001万元。</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灾后重建项目建设方面。进一步加快重建项目建设</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目前,基层劳动就业和社会保障公共服务设施项目已完成县乡两级就业和社会保障经办服务设备及信息系统采购966万元;公共实训基地已完成初步验收,预计今年完工整体建筑。</w:t>
      </w:r>
    </w:p>
    <w:p>
      <w:pPr>
        <w:pStyle w:val="7"/>
        <w:adjustRightInd w:val="0"/>
        <w:snapToGrid w:val="0"/>
        <w:spacing w:before="93" w:line="600" w:lineRule="exact"/>
        <w:outlineLvl w:val="2"/>
        <w:rPr>
          <w:rFonts w:hint="eastAsia" w:ascii="仿宋" w:hAnsi="仿宋" w:eastAsia="仿宋"/>
          <w:bCs/>
          <w:color w:val="000000"/>
          <w:sz w:val="32"/>
          <w:szCs w:val="32"/>
        </w:rPr>
      </w:pPr>
    </w:p>
    <w:p>
      <w:pPr>
        <w:pStyle w:val="7"/>
        <w:adjustRightInd w:val="0"/>
        <w:snapToGrid w:val="0"/>
        <w:spacing w:before="93" w:line="600" w:lineRule="exact"/>
        <w:outlineLvl w:val="2"/>
        <w:rPr>
          <w:rFonts w:hint="eastAsia" w:ascii="仿宋" w:hAnsi="仿宋" w:eastAsia="仿宋"/>
          <w:bCs/>
          <w:color w:val="000000"/>
          <w:sz w:val="32"/>
          <w:szCs w:val="32"/>
        </w:rPr>
      </w:pP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p>
    <w:p>
      <w:pPr>
        <w:pStyle w:val="7"/>
        <w:adjustRightInd w:val="0"/>
        <w:snapToGrid w:val="0"/>
        <w:spacing w:before="93" w:line="600" w:lineRule="exact"/>
        <w:outlineLvl w:val="2"/>
        <w:rPr>
          <w:rFonts w:hint="eastAsia" w:ascii="仿宋" w:hAnsi="仿宋" w:eastAsia="仿宋"/>
          <w:bCs/>
          <w:color w:val="000000"/>
          <w:sz w:val="32"/>
          <w:szCs w:val="32"/>
        </w:rPr>
      </w:pPr>
    </w:p>
    <w:p>
      <w:pPr>
        <w:pStyle w:val="5"/>
        <w:rPr>
          <w:rStyle w:val="28"/>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Theme="majorEastAsia" w:hAnsiTheme="majorEastAsia" w:eastAsiaTheme="majorEastAsia"/>
          <w:sz w:val="32"/>
          <w:szCs w:val="32"/>
        </w:rPr>
        <w:t>九寨沟县人力资源和社会保障局</w:t>
      </w:r>
      <w:r>
        <w:rPr>
          <w:rFonts w:hint="eastAsia" w:ascii="仿宋" w:hAnsi="仿宋" w:eastAsia="仿宋"/>
          <w:sz w:val="32"/>
          <w:szCs w:val="32"/>
        </w:rPr>
        <w:t>下属二级单位</w:t>
      </w:r>
      <w:r>
        <w:rPr>
          <w:rFonts w:hint="eastAsia" w:ascii="仿宋" w:hAnsi="仿宋" w:eastAsia="仿宋"/>
          <w:sz w:val="32"/>
          <w:szCs w:val="32"/>
          <w:lang w:val="en-US" w:eastAsia="zh-CN"/>
        </w:rPr>
        <w:t>3</w:t>
      </w:r>
      <w:r>
        <w:rPr>
          <w:rFonts w:hint="eastAsia" w:ascii="仿宋" w:hAnsi="仿宋" w:eastAsia="仿宋"/>
          <w:sz w:val="32"/>
          <w:szCs w:val="32"/>
        </w:rPr>
        <w:t>个，其中参照公务员法管理的事业单位</w:t>
      </w:r>
      <w:r>
        <w:rPr>
          <w:rFonts w:hint="eastAsia" w:ascii="仿宋" w:hAnsi="仿宋" w:eastAsia="仿宋"/>
          <w:bCs/>
          <w:sz w:val="32"/>
          <w:szCs w:val="32"/>
          <w:lang w:val="en-US" w:eastAsia="zh-CN"/>
        </w:rPr>
        <w:t>2</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7"/>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2"/>
      <w:bookmarkEnd w:id="23"/>
    </w:p>
    <w:p/>
    <w:p>
      <w:pPr>
        <w:pStyle w:val="26"/>
        <w:numPr>
          <w:ilvl w:val="0"/>
          <w:numId w:val="1"/>
        </w:numPr>
        <w:spacing w:line="600" w:lineRule="exact"/>
        <w:ind w:firstLineChars="0"/>
        <w:outlineLvl w:val="1"/>
        <w:rPr>
          <w:rStyle w:val="2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highlight w:val="none"/>
        </w:rPr>
        <w:t>2019年度收、支总计</w:t>
      </w:r>
      <w:r>
        <w:rPr>
          <w:rFonts w:hint="eastAsia" w:ascii="仿宋" w:hAnsi="仿宋" w:eastAsia="仿宋"/>
          <w:color w:val="000000"/>
          <w:sz w:val="32"/>
          <w:szCs w:val="32"/>
          <w:highlight w:val="none"/>
          <w:lang w:val="en-US" w:eastAsia="zh-CN"/>
        </w:rPr>
        <w:t>3502.44</w:t>
      </w:r>
      <w:r>
        <w:rPr>
          <w:rFonts w:hint="eastAsia" w:ascii="仿宋" w:hAnsi="仿宋" w:eastAsia="仿宋"/>
          <w:color w:val="000000"/>
          <w:sz w:val="32"/>
          <w:szCs w:val="32"/>
          <w:highlight w:val="none"/>
        </w:rPr>
        <w:t>万元。与2018年相比，收、支总计各增加</w:t>
      </w:r>
      <w:r>
        <w:rPr>
          <w:rFonts w:hint="eastAsia" w:ascii="仿宋" w:hAnsi="仿宋" w:eastAsia="仿宋"/>
          <w:color w:val="000000"/>
          <w:sz w:val="32"/>
          <w:szCs w:val="32"/>
          <w:highlight w:val="none"/>
          <w:lang w:val="en-US" w:eastAsia="zh-CN"/>
        </w:rPr>
        <w:t>275.69</w:t>
      </w:r>
      <w:r>
        <w:rPr>
          <w:rFonts w:hint="eastAsia" w:ascii="仿宋" w:hAnsi="仿宋" w:eastAsia="仿宋"/>
          <w:color w:val="000000"/>
          <w:sz w:val="32"/>
          <w:szCs w:val="32"/>
          <w:highlight w:val="none"/>
        </w:rPr>
        <w:t>万元，主要变动原因是</w:t>
      </w:r>
      <w:r>
        <w:rPr>
          <w:rFonts w:hint="eastAsia" w:ascii="仿宋" w:hAnsi="仿宋" w:eastAsia="仿宋"/>
          <w:color w:val="000000"/>
          <w:sz w:val="32"/>
          <w:szCs w:val="32"/>
          <w:lang w:val="en-US" w:eastAsia="zh-CN"/>
        </w:rPr>
        <w:t>灾后重建项目增加交农民工工资数量增加。</w:t>
      </w:r>
    </w:p>
    <w:p>
      <w:pPr>
        <w:pStyle w:val="26"/>
        <w:numPr>
          <w:ilvl w:val="0"/>
          <w:numId w:val="1"/>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2158.59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1957.25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90.67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上年结转201.34，占9.33%</w:t>
      </w:r>
      <w:r>
        <w:rPr>
          <w:rFonts w:hint="eastAsia" w:ascii="仿宋" w:hAnsi="仿宋" w:eastAsia="仿宋"/>
          <w:color w:val="000000"/>
          <w:sz w:val="32"/>
          <w:szCs w:val="32"/>
          <w:lang w:eastAsia="zh-CN"/>
        </w:rPr>
        <w:t>。</w:t>
      </w:r>
    </w:p>
    <w:p>
      <w:pPr>
        <w:pStyle w:val="26"/>
        <w:numPr>
          <w:ilvl w:val="0"/>
          <w:numId w:val="1"/>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1545.19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481.65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31.17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1063.54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68.83</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3502.44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275.69</w:t>
      </w:r>
      <w:r>
        <w:rPr>
          <w:rFonts w:hint="eastAsia" w:ascii="仿宋" w:hAnsi="仿宋" w:eastAsia="仿宋"/>
          <w:color w:val="000000"/>
          <w:sz w:val="32"/>
          <w:szCs w:val="32"/>
        </w:rPr>
        <w:t>万元，增长主要变动原因是</w:t>
      </w:r>
      <w:r>
        <w:rPr>
          <w:rFonts w:hint="eastAsia" w:ascii="仿宋" w:hAnsi="仿宋" w:eastAsia="仿宋"/>
          <w:color w:val="000000"/>
          <w:sz w:val="32"/>
          <w:szCs w:val="32"/>
          <w:lang w:val="en-US" w:eastAsia="zh-CN"/>
        </w:rPr>
        <w:t>灾后重建项目增加交农民工工资数量增加。</w:t>
      </w:r>
    </w:p>
    <w:p>
      <w:pPr>
        <w:spacing w:line="600" w:lineRule="exact"/>
        <w:ind w:firstLine="640" w:firstLineChars="200"/>
        <w:outlineLvl w:val="1"/>
        <w:rPr>
          <w:rStyle w:val="2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1545.19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33.26</w:t>
      </w:r>
      <w:r>
        <w:rPr>
          <w:rFonts w:hint="eastAsia" w:ascii="仿宋" w:hAnsi="仿宋" w:eastAsia="仿宋"/>
          <w:color w:val="000000"/>
          <w:sz w:val="32"/>
          <w:szCs w:val="32"/>
        </w:rPr>
        <w:t>万元。主要变动原因是</w:t>
      </w:r>
      <w:r>
        <w:rPr>
          <w:rFonts w:hint="eastAsia" w:ascii="仿宋" w:hAnsi="仿宋" w:eastAsia="仿宋"/>
          <w:color w:val="000000"/>
          <w:sz w:val="32"/>
          <w:szCs w:val="32"/>
          <w:lang w:val="en-US" w:eastAsia="zh-CN"/>
        </w:rPr>
        <w:t>灾后重建项目增加交农民工工资数量增加。</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1545.19</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7.79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1488.45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96.32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22.89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26.05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1545.19</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3" w:firstLineChars="200"/>
        <w:rPr>
          <w:rStyle w:val="17"/>
          <w:rFonts w:hint="eastAsia" w:ascii="仿宋" w:hAnsi="仿宋" w:eastAsia="仿宋"/>
          <w:b w:val="0"/>
          <w:bCs/>
          <w:color w:val="000000"/>
          <w:sz w:val="32"/>
          <w:szCs w:val="32"/>
        </w:rPr>
      </w:pPr>
      <w:r>
        <w:rPr>
          <w:rStyle w:val="17"/>
          <w:rFonts w:hint="eastAsia" w:ascii="仿宋" w:hAnsi="仿宋" w:eastAsia="仿宋"/>
          <w:bCs/>
          <w:color w:val="000000"/>
          <w:sz w:val="32"/>
          <w:szCs w:val="32"/>
        </w:rPr>
        <w:t>一般公共服务（</w:t>
      </w:r>
      <w:r>
        <w:rPr>
          <w:rStyle w:val="17"/>
          <w:rFonts w:hint="eastAsia" w:ascii="仿宋" w:hAnsi="仿宋" w:eastAsia="仿宋"/>
          <w:bCs/>
          <w:color w:val="000000"/>
          <w:sz w:val="32"/>
          <w:szCs w:val="32"/>
          <w:lang w:val="en-US" w:eastAsia="zh-CN"/>
        </w:rPr>
        <w:t>201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人力资源事务（10）其他人力资源事务支出（99）</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7.79</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numPr>
          <w:ilvl w:val="0"/>
          <w:numId w:val="2"/>
        </w:numPr>
        <w:spacing w:line="600" w:lineRule="exact"/>
        <w:ind w:firstLine="643" w:firstLineChars="200"/>
        <w:rPr>
          <w:rStyle w:val="17"/>
          <w:rFonts w:hint="default" w:ascii="仿宋" w:hAnsi="仿宋" w:eastAsia="仿宋"/>
          <w:b w:val="0"/>
          <w:bCs/>
          <w:color w:val="000000"/>
          <w:sz w:val="32"/>
          <w:szCs w:val="32"/>
          <w:lang w:val="en-US" w:eastAsia="zh-CN"/>
        </w:rPr>
      </w:pPr>
      <w:r>
        <w:rPr>
          <w:rStyle w:val="17"/>
          <w:rFonts w:hint="eastAsia" w:ascii="仿宋_GB2312" w:eastAsia="仿宋_GB2312"/>
          <w:color w:val="000000"/>
          <w:sz w:val="32"/>
          <w:szCs w:val="32"/>
        </w:rPr>
        <w:t>社会保障和就业</w:t>
      </w:r>
      <w:r>
        <w:rPr>
          <w:rStyle w:val="17"/>
          <w:rFonts w:hint="eastAsia" w:ascii="仿宋_GB2312" w:eastAsia="仿宋_GB2312"/>
          <w:color w:val="000000"/>
          <w:sz w:val="32"/>
          <w:szCs w:val="32"/>
          <w:lang w:eastAsia="zh-CN"/>
        </w:rPr>
        <w:t>（</w:t>
      </w:r>
      <w:r>
        <w:rPr>
          <w:rStyle w:val="17"/>
          <w:rFonts w:hint="eastAsia" w:ascii="仿宋_GB2312" w:eastAsia="仿宋_GB2312"/>
          <w:color w:val="000000"/>
          <w:sz w:val="32"/>
          <w:szCs w:val="32"/>
          <w:lang w:val="en-US" w:eastAsia="zh-CN"/>
        </w:rPr>
        <w:t>208</w:t>
      </w:r>
      <w:r>
        <w:rPr>
          <w:rStyle w:val="17"/>
          <w:rFonts w:hint="eastAsia" w:ascii="仿宋_GB2312" w:eastAsia="仿宋_GB2312"/>
          <w:color w:val="000000"/>
          <w:sz w:val="32"/>
          <w:szCs w:val="32"/>
          <w:lang w:eastAsia="zh-CN"/>
        </w:rPr>
        <w:t>）</w:t>
      </w:r>
      <w:r>
        <w:rPr>
          <w:rFonts w:ascii="仿宋_GB2312" w:hAnsi="宋体" w:eastAsia="仿宋_GB2312" w:cs="仿宋_GB2312"/>
          <w:b/>
          <w:bCs/>
          <w:i w:val="0"/>
          <w:caps w:val="0"/>
          <w:color w:val="333333"/>
          <w:spacing w:val="0"/>
          <w:sz w:val="32"/>
          <w:szCs w:val="32"/>
          <w:shd w:val="clear" w:fill="FFFFFF"/>
        </w:rPr>
        <w:t>人</w:t>
      </w:r>
      <w:r>
        <w:rPr>
          <w:rStyle w:val="17"/>
          <w:rFonts w:hint="eastAsia" w:ascii="仿宋_GB2312" w:eastAsia="仿宋_GB2312"/>
          <w:color w:val="000000"/>
          <w:sz w:val="32"/>
          <w:szCs w:val="32"/>
          <w:lang w:val="en-US" w:eastAsia="zh-CN"/>
        </w:rPr>
        <w:t>力资源和社会保障管理事务（</w:t>
      </w:r>
      <w:r>
        <w:rPr>
          <w:rStyle w:val="17"/>
          <w:rFonts w:hint="default" w:ascii="仿宋_GB2312" w:eastAsia="仿宋_GB2312"/>
          <w:color w:val="000000"/>
          <w:sz w:val="32"/>
          <w:szCs w:val="32"/>
          <w:lang w:val="en-US" w:eastAsia="zh-CN"/>
        </w:rPr>
        <w:t>01）行政运行（01）</w:t>
      </w:r>
      <w:r>
        <w:rPr>
          <w:rStyle w:val="17"/>
          <w:rFonts w:hint="eastAsia" w:ascii="仿宋_GB2312" w:eastAsia="仿宋_GB2312"/>
          <w:color w:val="000000"/>
          <w:sz w:val="32"/>
          <w:szCs w:val="32"/>
          <w:lang w:val="en-US" w:eastAsia="zh-CN"/>
        </w:rPr>
        <w:t>：</w:t>
      </w:r>
      <w:r>
        <w:rPr>
          <w:rStyle w:val="17"/>
          <w:rFonts w:hint="eastAsia" w:ascii="仿宋" w:hAnsi="仿宋" w:eastAsia="仿宋" w:cs="Times New Roman"/>
          <w:b w:val="0"/>
          <w:bCs/>
          <w:color w:val="000000"/>
          <w:sz w:val="32"/>
          <w:szCs w:val="32"/>
          <w:lang w:val="en-US" w:eastAsia="zh-CN"/>
        </w:rPr>
        <w:t>支出决算为393.80万元，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_GB2312" w:hAnsi="Times New Roman" w:eastAsia="仿宋_GB2312" w:cs="Times New Roman"/>
          <w:color w:val="000000"/>
          <w:sz w:val="32"/>
          <w:szCs w:val="32"/>
          <w:lang w:val="en-US" w:eastAsia="zh-CN"/>
        </w:rPr>
        <w:t>行政事业单位离退休（05）机关事业单位基本养老保险缴费支出（05）：</w:t>
      </w:r>
      <w:r>
        <w:rPr>
          <w:rStyle w:val="17"/>
          <w:rFonts w:hint="eastAsia" w:ascii="仿宋" w:hAnsi="仿宋" w:eastAsia="仿宋" w:cs="Times New Roman"/>
          <w:b w:val="0"/>
          <w:bCs/>
          <w:color w:val="000000"/>
          <w:sz w:val="32"/>
          <w:szCs w:val="32"/>
          <w:lang w:val="en-US" w:eastAsia="zh-CN"/>
        </w:rPr>
        <w:t>支出决算为31.12万元，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_GB2312" w:hAnsi="Times New Roman" w:eastAsia="仿宋_GB2312" w:cs="Times New Roman"/>
          <w:color w:val="000000"/>
          <w:sz w:val="32"/>
          <w:szCs w:val="32"/>
          <w:lang w:val="en-US" w:eastAsia="zh-CN"/>
        </w:rPr>
        <w:t>退役安置（09）其他退役安置支出：</w:t>
      </w:r>
      <w:r>
        <w:rPr>
          <w:rStyle w:val="17"/>
          <w:rFonts w:hint="eastAsia" w:ascii="仿宋" w:hAnsi="仿宋" w:eastAsia="仿宋" w:cs="Times New Roman"/>
          <w:b w:val="0"/>
          <w:bCs/>
          <w:color w:val="000000"/>
          <w:sz w:val="32"/>
          <w:szCs w:val="32"/>
          <w:lang w:val="en-US" w:eastAsia="zh-CN"/>
        </w:rPr>
        <w:t>支出决算为1.03万元，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 w:hAnsi="仿宋" w:eastAsia="仿宋"/>
          <w:b w:val="0"/>
          <w:bCs/>
          <w:color w:val="000000"/>
          <w:sz w:val="32"/>
          <w:szCs w:val="32"/>
          <w:lang w:eastAsia="zh-CN"/>
        </w:rPr>
        <w:t>。</w:t>
      </w:r>
      <w:r>
        <w:rPr>
          <w:rStyle w:val="17"/>
          <w:rFonts w:hint="eastAsia" w:ascii="仿宋" w:hAnsi="仿宋" w:eastAsia="仿宋"/>
          <w:b/>
          <w:bCs w:val="0"/>
          <w:color w:val="000000"/>
          <w:sz w:val="32"/>
          <w:szCs w:val="32"/>
          <w:lang w:val="en-US" w:eastAsia="zh-CN"/>
        </w:rPr>
        <w:t>其他社会保障和就业支出（99）：</w:t>
      </w:r>
      <w:r>
        <w:rPr>
          <w:rStyle w:val="17"/>
          <w:rFonts w:hint="eastAsia" w:ascii="仿宋" w:hAnsi="仿宋" w:eastAsia="仿宋" w:cs="Times New Roman"/>
          <w:b w:val="0"/>
          <w:bCs/>
          <w:color w:val="000000"/>
          <w:sz w:val="32"/>
          <w:szCs w:val="32"/>
          <w:lang w:val="en-US" w:eastAsia="zh-CN"/>
        </w:rPr>
        <w:t>支出决算为1062.51万元，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p>
    <w:p>
      <w:pPr>
        <w:spacing w:line="600" w:lineRule="exact"/>
        <w:ind w:firstLine="643" w:firstLineChars="200"/>
        <w:rPr>
          <w:rStyle w:val="17"/>
          <w:rFonts w:hint="eastAsia" w:ascii="仿宋" w:hAnsi="仿宋" w:eastAsia="仿宋"/>
          <w:b w:val="0"/>
          <w:bCs/>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卫生健康管理事务01</w:t>
      </w:r>
      <w:r>
        <w:rPr>
          <w:rStyle w:val="17"/>
          <w:rFonts w:hint="eastAsia" w:ascii="仿宋" w:hAnsi="仿宋" w:eastAsia="仿宋"/>
          <w:bCs/>
          <w:color w:val="000000"/>
          <w:sz w:val="32"/>
          <w:szCs w:val="32"/>
        </w:rPr>
        <w:t>（款）</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2.52</w:t>
      </w:r>
      <w:r>
        <w:rPr>
          <w:rStyle w:val="17"/>
          <w:rFonts w:hint="eastAsia" w:ascii="仿宋" w:hAnsi="仿宋" w:eastAsia="仿宋"/>
          <w:b w:val="0"/>
          <w:bCs/>
          <w:color w:val="000000"/>
          <w:sz w:val="32"/>
          <w:szCs w:val="32"/>
        </w:rPr>
        <w:t>万元</w:t>
      </w:r>
      <w:r>
        <w:rPr>
          <w:rStyle w:val="17"/>
          <w:rFonts w:hint="eastAsia" w:ascii="仿宋" w:hAnsi="仿宋" w:eastAsia="仿宋"/>
          <w:b w:val="0"/>
          <w:bCs/>
          <w:color w:val="000000"/>
          <w:sz w:val="32"/>
          <w:szCs w:val="32"/>
          <w:lang w:eastAsia="zh-CN"/>
        </w:rPr>
        <w:t>，</w:t>
      </w:r>
      <w:r>
        <w:rPr>
          <w:rStyle w:val="17"/>
          <w:rFonts w:hint="eastAsia" w:ascii="仿宋" w:hAnsi="仿宋" w:eastAsia="仿宋"/>
          <w:bCs/>
          <w:color w:val="000000"/>
          <w:sz w:val="32"/>
          <w:szCs w:val="32"/>
        </w:rPr>
        <w:t>医疗卫生与计划生育（</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）行政事业单位医疗（</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）行政单位医疗（</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15.10</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医疗卫生与计划生育（</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）行政事业单位医疗（</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公务员医疗补助</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03</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5.27</w:t>
      </w:r>
      <w:r>
        <w:rPr>
          <w:rStyle w:val="17"/>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sz w:val="32"/>
          <w:szCs w:val="32"/>
          <w:lang w:val="en-US" w:eastAsia="zh-CN"/>
        </w:rPr>
        <w:t>4</w:t>
      </w:r>
      <w:r>
        <w:rPr>
          <w:rFonts w:hint="eastAsia" w:ascii="仿宋" w:hAnsi="仿宋" w:eastAsia="仿宋"/>
          <w:b/>
          <w:bCs/>
          <w:color w:val="000000"/>
          <w:sz w:val="32"/>
          <w:szCs w:val="32"/>
        </w:rPr>
        <w:t>.</w:t>
      </w:r>
      <w:r>
        <w:rPr>
          <w:rStyle w:val="17"/>
          <w:rFonts w:hint="eastAsia" w:ascii="仿宋" w:hAnsi="仿宋" w:eastAsia="仿宋"/>
          <w:b/>
          <w:bCs/>
          <w:color w:val="000000"/>
          <w:sz w:val="32"/>
          <w:szCs w:val="32"/>
        </w:rPr>
        <w:t xml:space="preserve"> 住房</w:t>
      </w:r>
      <w:r>
        <w:rPr>
          <w:rStyle w:val="17"/>
          <w:rFonts w:hint="eastAsia" w:ascii="仿宋" w:hAnsi="仿宋" w:eastAsia="仿宋"/>
          <w:bCs/>
          <w:color w:val="000000"/>
          <w:sz w:val="32"/>
          <w:szCs w:val="32"/>
        </w:rPr>
        <w:t>保障支出（</w:t>
      </w:r>
      <w:r>
        <w:rPr>
          <w:rStyle w:val="17"/>
          <w:rFonts w:hint="eastAsia" w:ascii="仿宋" w:hAnsi="仿宋" w:eastAsia="仿宋"/>
          <w:bCs/>
          <w:color w:val="000000"/>
          <w:sz w:val="32"/>
          <w:szCs w:val="32"/>
          <w:lang w:val="en-US" w:eastAsia="zh-CN"/>
        </w:rPr>
        <w:t>221</w:t>
      </w:r>
      <w:r>
        <w:rPr>
          <w:rStyle w:val="17"/>
          <w:rFonts w:hint="eastAsia" w:ascii="仿宋" w:hAnsi="仿宋" w:eastAsia="仿宋"/>
          <w:bCs/>
          <w:color w:val="000000"/>
          <w:sz w:val="32"/>
          <w:szCs w:val="32"/>
        </w:rPr>
        <w:t>）住房改革支出（</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）住房公积金（</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lang w:val="en-US" w:eastAsia="zh-CN"/>
        </w:rPr>
        <w:t>26.05</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481.65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365.60</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116.05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hint="eastAsia" w:ascii="仿宋" w:hAnsi="仿宋" w:eastAsia="仿宋"/>
          <w:color w:val="000000"/>
          <w:sz w:val="32"/>
          <w:szCs w:val="32"/>
          <w:highlight w:val="none"/>
          <w:lang w:eastAsia="zh-CN"/>
        </w:rPr>
      </w:pPr>
      <w:r>
        <w:rPr>
          <w:rFonts w:ascii="仿宋" w:hAnsi="仿宋" w:eastAsia="仿宋"/>
          <w:color w:val="000000"/>
          <w:sz w:val="32"/>
          <w:szCs w:val="32"/>
          <w:highlight w:val="none"/>
        </w:rPr>
        <w:t>201</w:t>
      </w:r>
      <w:r>
        <w:rPr>
          <w:rFonts w:hint="eastAsia" w:ascii="仿宋" w:hAnsi="仿宋" w:eastAsia="仿宋"/>
          <w:color w:val="000000"/>
          <w:sz w:val="32"/>
          <w:szCs w:val="32"/>
          <w:highlight w:val="none"/>
        </w:rPr>
        <w:t>9年“三公”经费财政拨款支出决算为</w:t>
      </w:r>
      <w:r>
        <w:rPr>
          <w:rFonts w:hint="eastAsia" w:ascii="仿宋" w:hAnsi="仿宋" w:eastAsia="仿宋"/>
          <w:color w:val="000000"/>
          <w:sz w:val="32"/>
          <w:szCs w:val="32"/>
          <w:highlight w:val="none"/>
          <w:lang w:val="en-US" w:eastAsia="zh-CN"/>
        </w:rPr>
        <w:t>9.68</w:t>
      </w:r>
      <w:r>
        <w:rPr>
          <w:rFonts w:hint="eastAsia" w:ascii="仿宋" w:hAnsi="仿宋" w:eastAsia="仿宋"/>
          <w:color w:val="000000"/>
          <w:sz w:val="32"/>
          <w:szCs w:val="32"/>
          <w:highlight w:val="none"/>
        </w:rPr>
        <w:t>万元，完成预算</w:t>
      </w:r>
      <w:r>
        <w:rPr>
          <w:rFonts w:hint="eastAsia" w:ascii="仿宋" w:hAnsi="仿宋" w:eastAsia="仿宋"/>
          <w:color w:val="000000"/>
          <w:sz w:val="32"/>
          <w:szCs w:val="32"/>
          <w:highlight w:val="none"/>
          <w:lang w:val="en-US" w:eastAsia="zh-CN"/>
        </w:rPr>
        <w:t>100</w:t>
      </w:r>
      <w:r>
        <w:rPr>
          <w:rFonts w:ascii="仿宋" w:hAnsi="仿宋" w:eastAsia="仿宋"/>
          <w:color w:val="000000"/>
          <w:sz w:val="32"/>
          <w:szCs w:val="32"/>
          <w:highlight w:val="none"/>
        </w:rPr>
        <w:t>%</w:t>
      </w:r>
      <w:r>
        <w:rPr>
          <w:rFonts w:hint="eastAsia" w:ascii="仿宋" w:hAnsi="仿宋" w:eastAsia="仿宋"/>
          <w:color w:val="000000"/>
          <w:sz w:val="32"/>
          <w:szCs w:val="32"/>
          <w:highlight w:val="none"/>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93.18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9.02</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9.02</w:t>
      </w:r>
      <w:r>
        <w:rPr>
          <w:rFonts w:hint="eastAsia" w:ascii="仿宋_GB2312" w:eastAsia="仿宋_GB2312"/>
          <w:color w:val="000000"/>
          <w:sz w:val="32"/>
          <w:szCs w:val="32"/>
        </w:rPr>
        <w:t>万元。主要用于</w:t>
      </w:r>
      <w:r>
        <w:rPr>
          <w:rFonts w:hint="eastAsia" w:ascii="仿宋_GB2312" w:hAnsi="仿宋_GB2312" w:eastAsia="仿宋_GB2312" w:cs="仿宋_GB2312"/>
          <w:color w:val="000000"/>
          <w:sz w:val="32"/>
          <w:szCs w:val="32"/>
        </w:rPr>
        <w:t>开展我局精准扶贫下乡、培训、人社政策宣传、招聘会和精准扶贫</w:t>
      </w:r>
      <w:r>
        <w:rPr>
          <w:rFonts w:hint="eastAsia" w:ascii="仿宋_GB2312" w:eastAsia="仿宋_GB2312"/>
          <w:color w:val="000000"/>
          <w:sz w:val="32"/>
          <w:szCs w:val="32"/>
        </w:rPr>
        <w:t>等业务所需的公务用车燃料费、维修费、过路过桥费、保险费等支出。</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0.66</w:t>
      </w:r>
      <w:r>
        <w:rPr>
          <w:rFonts w:hint="eastAsia" w:ascii="仿宋_GB2312" w:eastAsia="仿宋_GB2312"/>
          <w:color w:val="000000"/>
          <w:sz w:val="32"/>
          <w:szCs w:val="32"/>
        </w:rPr>
        <w:t>万元，公务接待费支出决算比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0.22</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w:t>
      </w:r>
      <w:bookmarkEnd w:id="50"/>
      <w:bookmarkEnd w:id="51"/>
      <w:r>
        <w:rPr>
          <w:rFonts w:hint="eastAsia" w:ascii="仿宋" w:hAnsi="仿宋" w:eastAsia="仿宋"/>
          <w:b/>
          <w:color w:val="000000"/>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无</w:t>
      </w: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九寨沟县人社局</w:t>
      </w:r>
      <w:r>
        <w:rPr>
          <w:rFonts w:hint="eastAsia" w:ascii="仿宋_GB2312" w:hAnsi="仿宋_GB2312" w:eastAsia="仿宋_GB2312" w:cs="仿宋_GB2312"/>
          <w:sz w:val="32"/>
          <w:szCs w:val="32"/>
        </w:rPr>
        <w:t>2019年部门整体支出绩效评价报告》见附件（附件1）。</w:t>
      </w:r>
    </w:p>
    <w:p>
      <w:pPr>
        <w:pStyle w:val="26"/>
        <w:numPr>
          <w:ilvl w:val="0"/>
          <w:numId w:val="0"/>
        </w:numPr>
        <w:spacing w:line="580" w:lineRule="exact"/>
        <w:rPr>
          <w:rFonts w:hint="default" w:ascii="仿宋_GB2312" w:hAnsi="仿宋_GB2312" w:eastAsia="仿宋_GB2312" w:cs="仿宋_GB2312"/>
          <w:kern w:val="2"/>
          <w:sz w:val="32"/>
          <w:szCs w:val="32"/>
          <w:lang w:val="en-US" w:eastAsia="zh-CN" w:bidi="ar-SA"/>
        </w:rPr>
      </w:pPr>
    </w:p>
    <w:p>
      <w:pPr>
        <w:spacing w:line="600" w:lineRule="exact"/>
        <w:ind w:firstLine="640" w:firstLineChars="200"/>
        <w:outlineLvl w:val="1"/>
        <w:rPr>
          <w:rStyle w:val="33"/>
          <w:rFonts w:ascii="黑体" w:hAnsi="黑体" w:eastAsia="黑体"/>
        </w:rPr>
      </w:pPr>
      <w:r>
        <w:rPr>
          <w:rFonts w:hint="eastAsia" w:ascii="黑体" w:hAnsi="黑体" w:eastAsia="黑体"/>
          <w:color w:val="000000"/>
          <w:sz w:val="32"/>
          <w:szCs w:val="32"/>
        </w:rPr>
        <w:t>十</w:t>
      </w:r>
      <w:r>
        <w:rPr>
          <w:rStyle w:val="33"/>
          <w:rFonts w:hint="eastAsia" w:ascii="黑体" w:hAnsi="黑体" w:eastAsia="黑体"/>
        </w:rPr>
        <w:t>一、</w:t>
      </w:r>
      <w:r>
        <w:rPr>
          <w:rStyle w:val="33"/>
          <w:rFonts w:hint="eastAsia" w:ascii="黑体" w:hAnsi="黑体" w:eastAsia="黑体"/>
          <w:b w:val="0"/>
        </w:rPr>
        <w:t>其他重要事项的情况说明</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国有资产占有使用情况</w:t>
      </w:r>
      <w:bookmarkEnd w:id="52"/>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，均为</w:t>
      </w:r>
      <w:r>
        <w:rPr>
          <w:rFonts w:hint="eastAsia" w:ascii="仿宋_GB2312" w:eastAsia="仿宋_GB2312"/>
          <w:color w:val="000000"/>
          <w:sz w:val="32"/>
          <w:szCs w:val="32"/>
        </w:rPr>
        <w:t>一般公务用车</w:t>
      </w:r>
      <w:r>
        <w:rPr>
          <w:rFonts w:hint="eastAsia" w:ascii="仿宋_GB2312" w:eastAsia="仿宋_GB2312"/>
          <w:color w:val="000000"/>
          <w:sz w:val="32"/>
          <w:szCs w:val="32"/>
          <w:lang w:eastAsia="zh-CN"/>
        </w:rPr>
        <w:t>。</w:t>
      </w:r>
    </w:p>
    <w:p>
      <w:pPr>
        <w:spacing w:line="580" w:lineRule="exact"/>
        <w:ind w:left="630"/>
        <w:rPr>
          <w:rFonts w:ascii="仿宋_GB2312" w:hAnsi="仿宋_GB2312" w:eastAsia="仿宋_GB2312" w:cs="仿宋_GB2312"/>
          <w:sz w:val="32"/>
          <w:szCs w:val="32"/>
        </w:rPr>
      </w:pPr>
    </w:p>
    <w:p>
      <w:pPr>
        <w:numPr>
          <w:ilvl w:val="0"/>
          <w:numId w:val="5"/>
        </w:numPr>
        <w:spacing w:line="600" w:lineRule="exact"/>
        <w:ind w:firstLine="660" w:firstLineChars="150"/>
        <w:jc w:val="center"/>
        <w:outlineLvl w:val="0"/>
        <w:rPr>
          <w:rStyle w:val="27"/>
          <w:rFonts w:ascii="黑体" w:hAnsi="黑体" w:eastAsia="黑体"/>
          <w:b w:val="0"/>
        </w:rPr>
      </w:pPr>
      <w:bookmarkStart w:id="53" w:name="_Toc15396613"/>
      <w:bookmarkStart w:id="54"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人力资源和社会保障管理事务（01）行政运行（01）</w:t>
      </w:r>
      <w:r>
        <w:rPr>
          <w:rFonts w:hint="eastAsia" w:ascii="仿宋_GB2312" w:eastAsia="仿宋_GB2312"/>
          <w:color w:val="00000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hint="eastAsia" w:ascii="仿宋_GB2312" w:eastAsia="仿宋_GB2312"/>
          <w:color w:val="000000"/>
          <w:sz w:val="32"/>
          <w:szCs w:val="32"/>
          <w:lang w:val="en-US" w:eastAsia="zh-CN"/>
        </w:rPr>
        <w:t>其他人力资源和社会保障管理事务支出（99）</w:t>
      </w:r>
      <w:r>
        <w:rPr>
          <w:rFonts w:hint="eastAsia" w:ascii="仿宋_GB2312" w:eastAsia="仿宋_GB2312"/>
          <w:color w:val="000000"/>
          <w:sz w:val="32"/>
          <w:szCs w:val="32"/>
        </w:rPr>
        <w:t>：指用于人力资源和社会保障管理事务方面的支出。</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就业补助（07）其他就业补助支出（99）</w:t>
      </w:r>
      <w:r>
        <w:rPr>
          <w:rFonts w:hint="eastAsia" w:ascii="仿宋_GB2312" w:eastAsia="仿宋_GB2312"/>
          <w:color w:val="000000"/>
          <w:sz w:val="32"/>
          <w:szCs w:val="32"/>
        </w:rPr>
        <w:t>：指经省级政府同意的其他用于促进就业的补助支出。</w:t>
      </w:r>
      <w:r>
        <w:rPr>
          <w:rFonts w:hint="eastAsia" w:ascii="仿宋_GB2312" w:eastAsia="仿宋_GB2312"/>
          <w:color w:val="000000"/>
          <w:sz w:val="32"/>
          <w:szCs w:val="32"/>
        </w:rPr>
        <w:tab/>
      </w:r>
    </w:p>
    <w:p>
      <w:pPr>
        <w:keepNext w:val="0"/>
        <w:keepLines w:val="0"/>
        <w:pageBreakBefore w:val="0"/>
        <w:widowControl w:val="0"/>
        <w:kinsoku/>
        <w:wordWrap/>
        <w:overflowPunct/>
        <w:topLinePunct w:val="0"/>
        <w:bidi w:val="0"/>
        <w:snapToGrid/>
        <w:spacing w:line="560" w:lineRule="exact"/>
        <w:ind w:firstLine="640" w:firstLineChars="200"/>
        <w:textAlignment w:val="auto"/>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 xml:space="preserve"> </w:t>
      </w:r>
    </w:p>
    <w:p>
      <w:pPr>
        <w:ind w:firstLine="640" w:firstLineChars="200"/>
        <w:rPr>
          <w:rFonts w:ascii="仿宋_GB2312" w:eastAsia="仿宋_GB2312"/>
          <w:color w:val="000000"/>
          <w:sz w:val="32"/>
          <w:szCs w:val="32"/>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lang w:eastAsia="zh-CN"/>
        </w:rPr>
        <w:t xml:space="preserve">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color w:val="000000"/>
          <w:sz w:val="32"/>
          <w:szCs w:val="32"/>
        </w:rPr>
      </w:pPr>
    </w:p>
    <w:p>
      <w:pPr>
        <w:pStyle w:val="25"/>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pPr>
        <w:pStyle w:val="25"/>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7"/>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6"/>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方正小标宋简体" w:eastAsia="方正小标宋简体" w:cs="方正小标宋简体"/>
          <w:sz w:val="44"/>
          <w:szCs w:val="44"/>
          <w:lang w:val="en-US" w:eastAsia="zh-CN"/>
        </w:rPr>
        <w:t>九寨沟县人社局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0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县人力资源和社会保障局设</w:t>
      </w:r>
      <w:r>
        <w:rPr>
          <w:rFonts w:hint="eastAsia" w:ascii="仿宋_GB2312" w:eastAsia="仿宋_GB2312"/>
          <w:sz w:val="32"/>
          <w:szCs w:val="32"/>
          <w:lang w:val="en-US" w:eastAsia="zh-CN"/>
        </w:rPr>
        <w:t>6</w:t>
      </w:r>
      <w:r>
        <w:rPr>
          <w:rFonts w:hint="eastAsia" w:ascii="仿宋_GB2312" w:eastAsia="仿宋_GB2312"/>
          <w:sz w:val="32"/>
          <w:szCs w:val="32"/>
        </w:rPr>
        <w:t>个内设机构、</w:t>
      </w:r>
      <w:r>
        <w:rPr>
          <w:rFonts w:hint="eastAsia" w:ascii="仿宋_GB2312" w:eastAsia="仿宋_GB2312"/>
          <w:sz w:val="32"/>
          <w:szCs w:val="32"/>
          <w:lang w:val="en-US" w:eastAsia="zh-CN"/>
        </w:rPr>
        <w:t>3</w:t>
      </w:r>
      <w:r>
        <w:rPr>
          <w:rFonts w:hint="eastAsia" w:ascii="仿宋_GB2312" w:eastAsia="仿宋_GB2312"/>
          <w:sz w:val="32"/>
          <w:szCs w:val="32"/>
        </w:rPr>
        <w:t>个二级预算单位，内设机构分别为：办公室、事业单位管理股（专业技术人员管理股）、劳动综合股（劳动监察股）、社会保障和基金监督股、政策法规与调解仲裁股（行政审批股）、工资福利退管股、二级预算单位分为：</w:t>
      </w:r>
      <w:r>
        <w:rPr>
          <w:rFonts w:hint="eastAsia" w:ascii="仿宋_GB2312" w:hAnsi="Calibri" w:eastAsia="仿宋_GB2312"/>
          <w:sz w:val="32"/>
          <w:szCs w:val="32"/>
        </w:rPr>
        <w:t>就业服务管理局、社会保险事业管理局、新型农村社会养老保险管理局</w:t>
      </w:r>
      <w:r>
        <w:rPr>
          <w:rFonts w:hint="eastAsia" w:ascii="仿宋_GB2312" w:eastAsia="仿宋_GB2312"/>
          <w:sz w:val="32"/>
          <w:szCs w:val="32"/>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县人力资源社会保障局贯彻落实党中央关于人力资源和社会保障工作的方针政策和省委、州委、县委的决策部署,</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在履行职责过程中坚持和加强党对人力资源和社会保障工作的集中统一领导,主要职责是</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拟订全县人力资源和社会保障事业发展政策、规划和</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规范性文件草案。</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拟订人力资源市场发展规划和人力资源服务业发展、</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人力资源流动政策,促进人力资源合理流动、有效配置。</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负责促进就业工作。拟订统筹城乡就业发展规划和措</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施,完善公共就业创业服务体系,统筹建立面向城乡劳动者的职业技能培训制度,拟订并组织落实创业、就业援助制度,牵头拟订高校毕业生就业政策</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统筹推进建立覆盖城乡的多层次社会保障体系。拟订</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负责就业、失业和相关社会保险基金预测预警和信息</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导,拟订应对预案,实施预防、调节和控制,保持就业形势稳</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定和相关社会保险基金总体收支平衡。</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贯彻落实劳动人事争议调解仲裁制度和劳动关系政</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 xml:space="preserve">   7.</w:t>
      </w:r>
      <w:r>
        <w:rPr>
          <w:rFonts w:hint="eastAsia" w:ascii="仿宋" w:hAnsi="仿宋" w:eastAsia="仿宋"/>
          <w:bCs/>
          <w:color w:val="000000"/>
          <w:sz w:val="32"/>
          <w:szCs w:val="32"/>
        </w:rPr>
        <w:t>牵头推进深化职称制度改革,拟订专业技术人员管理、</w:t>
      </w:r>
    </w:p>
    <w:p>
      <w:pPr>
        <w:pStyle w:val="7"/>
        <w:adjustRightInd w:val="0"/>
        <w:snapToGrid w:val="0"/>
        <w:spacing w:before="93" w:line="600" w:lineRule="exact"/>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rPr>
        <w:t>继续教育政策,贯彻落实博士后管理制度,负责高层次专业技术人才选拔和培养工作,贯彻落实吸引留学人员来县(回县)工作或定居政策。组织拟订技能人才培养、评价、使用和激励制度。贯彻落实职业资格制度,健全职业技能多元化评价政策。指导监督各级各类技工学校、民办职业培训机构按国家和省、州、县有关规定履行安全管理责任</w:t>
      </w:r>
      <w:r>
        <w:rPr>
          <w:rFonts w:hint="eastAsia" w:ascii="仿宋" w:hAnsi="仿宋" w:eastAsia="仿宋"/>
          <w:bCs/>
          <w:color w:val="000000"/>
          <w:sz w:val="32"/>
          <w:szCs w:val="32"/>
          <w:lang w:eastAsia="zh-CN"/>
        </w:rPr>
        <w:t>。</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会同有关部门指导事业单位人事制度改革,按照管理</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权限负责规范事业单位岗位设置、公开招聘、聘用合同等人事综合管理工作,落实规范事业单位工作人员和机关工勤人员管理政策,将安全生产及生态环境保护责任履行情况作为事业单位工作人员奖惩、考核的重要内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组织实施国家表彰奖励制度,综合管理政府表彰奖励</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工作,承担评比达标表彰等工作,根据授权承办以县委、县政府名义开展的表彰奖励活动。承办提请县人大常委会和县政府决定的人事任免事项。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贯彻落实事业单位人员工资收入分配政策,建立企事</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业单位人员工资决定、正常增长和支付保障机制。执行企事业单位人员福利和离退休政策。</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会同有关部门拟订农民工工作综合性政策和规划,</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推动相关政策落实,协调解决重点难点问题,维护农民工合法权益,负责将安全生产纳入农民工技能培训内容。</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负责人力资源和社会保障领域内的对外交流与合作</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工作。</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13.</w:t>
      </w:r>
      <w:r>
        <w:rPr>
          <w:rFonts w:hint="eastAsia" w:ascii="仿宋" w:hAnsi="仿宋" w:eastAsia="仿宋"/>
          <w:bCs/>
          <w:color w:val="000000"/>
          <w:sz w:val="32"/>
          <w:szCs w:val="32"/>
        </w:rPr>
        <w:t>承担职责范围内的安全生产和职业健康、生态环境</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保护、审批服务便民化等工作。</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14.</w:t>
      </w:r>
      <w:r>
        <w:rPr>
          <w:rFonts w:hint="eastAsia" w:ascii="仿宋" w:hAnsi="仿宋" w:eastAsia="仿宋"/>
          <w:bCs/>
          <w:color w:val="000000"/>
          <w:sz w:val="32"/>
          <w:szCs w:val="32"/>
        </w:rPr>
        <w:t>完成县委、县政府交办的其他任务。</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15.</w:t>
      </w:r>
      <w:r>
        <w:rPr>
          <w:rFonts w:hint="eastAsia" w:ascii="仿宋" w:hAnsi="仿宋" w:eastAsia="仿宋"/>
          <w:bCs/>
          <w:color w:val="000000"/>
          <w:sz w:val="32"/>
          <w:szCs w:val="32"/>
        </w:rPr>
        <w:t>职能转变。深入推进筒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16.</w:t>
      </w:r>
      <w:r>
        <w:rPr>
          <w:rFonts w:hint="eastAsia" w:ascii="仿宋" w:hAnsi="仿宋" w:eastAsia="仿宋"/>
          <w:bCs/>
          <w:color w:val="000000"/>
          <w:sz w:val="32"/>
          <w:szCs w:val="32"/>
        </w:rPr>
        <w:t>有关职责分工。与县教育局的有关职责分工。高校</w:t>
      </w:r>
    </w:p>
    <w:p>
      <w:pPr>
        <w:pStyle w:val="7"/>
        <w:adjustRightInd w:val="0"/>
        <w:snapToGrid w:val="0"/>
        <w:spacing w:before="93" w:line="600" w:lineRule="exact"/>
        <w:outlineLvl w:val="2"/>
        <w:rPr>
          <w:rFonts w:hint="eastAsia" w:ascii="仿宋" w:hAnsi="仿宋" w:eastAsia="仿宋"/>
          <w:bCs/>
          <w:color w:val="000000"/>
          <w:sz w:val="32"/>
          <w:szCs w:val="32"/>
        </w:rPr>
      </w:pPr>
      <w:r>
        <w:rPr>
          <w:rFonts w:hint="eastAsia" w:ascii="仿宋" w:hAnsi="仿宋" w:eastAsia="仿宋"/>
          <w:bCs/>
          <w:color w:val="000000"/>
          <w:sz w:val="32"/>
          <w:szCs w:val="32"/>
        </w:rPr>
        <w:t>毕业生就业政策由县人力资源社会保障局牵头,会同县教育局等部门拟订。高校毕业生离校前的就业指导和服务工作,由县教育局负责;高校毕业生离校后的就业指导和服务工作,由县人力资源社会保障局负责。</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ind w:firstLine="640" w:firstLineChars="200"/>
        <w:rPr>
          <w:rFonts w:hint="eastAsia" w:ascii="仿宋" w:hAnsi="仿宋" w:eastAsia="仿宋"/>
          <w:bCs/>
          <w:color w:val="000000"/>
          <w:sz w:val="32"/>
          <w:szCs w:val="32"/>
        </w:rPr>
      </w:pPr>
      <w:r>
        <w:rPr>
          <w:rFonts w:hint="eastAsia" w:ascii="仿宋_GB2312" w:eastAsia="仿宋_GB2312"/>
          <w:sz w:val="32"/>
          <w:szCs w:val="32"/>
          <w:shd w:val="clear" w:color="auto" w:fill="FFFFFF"/>
          <w:lang w:val="en-US" w:eastAsia="zh-CN"/>
        </w:rPr>
        <w:t>2019</w:t>
      </w:r>
      <w:r>
        <w:rPr>
          <w:rFonts w:hint="eastAsia" w:ascii="仿宋_GB2312" w:eastAsia="仿宋_GB2312"/>
          <w:sz w:val="32"/>
          <w:szCs w:val="32"/>
          <w:shd w:val="clear" w:color="auto" w:fill="FFFFFF"/>
        </w:rPr>
        <w:t>年核定人员编制数</w:t>
      </w:r>
      <w:r>
        <w:rPr>
          <w:rFonts w:hint="eastAsia" w:ascii="仿宋_GB2312" w:eastAsia="仿宋_GB2312"/>
          <w:sz w:val="32"/>
          <w:szCs w:val="32"/>
          <w:shd w:val="clear" w:color="auto" w:fill="FFFFFF"/>
          <w:lang w:val="en-US" w:eastAsia="zh-CN"/>
        </w:rPr>
        <w:t>28</w:t>
      </w:r>
      <w:r>
        <w:rPr>
          <w:rFonts w:hint="eastAsia" w:ascii="仿宋_GB2312" w:eastAsia="仿宋_GB2312"/>
          <w:sz w:val="32"/>
          <w:szCs w:val="32"/>
          <w:shd w:val="clear" w:color="auto" w:fill="FFFFFF"/>
        </w:rPr>
        <w:t>人,其中全额编制</w:t>
      </w:r>
      <w:r>
        <w:rPr>
          <w:rFonts w:hint="eastAsia" w:ascii="仿宋_GB2312" w:eastAsia="仿宋_GB2312"/>
          <w:sz w:val="32"/>
          <w:szCs w:val="32"/>
          <w:shd w:val="clear" w:color="auto" w:fill="FFFFFF"/>
          <w:lang w:val="en-US" w:eastAsia="zh-CN"/>
        </w:rPr>
        <w:t>28</w:t>
      </w:r>
      <w:r>
        <w:rPr>
          <w:rFonts w:hint="eastAsia" w:ascii="仿宋_GB2312" w:eastAsia="仿宋_GB2312"/>
          <w:sz w:val="32"/>
          <w:szCs w:val="32"/>
          <w:shd w:val="clear" w:color="auto" w:fill="FFFFFF"/>
        </w:rPr>
        <w:t>人，其中行政编制</w:t>
      </w:r>
      <w:r>
        <w:rPr>
          <w:rFonts w:hint="eastAsia" w:ascii="仿宋_GB2312" w:eastAsia="仿宋_GB2312"/>
          <w:sz w:val="32"/>
          <w:szCs w:val="32"/>
          <w:shd w:val="clear" w:color="auto" w:fill="FFFFFF"/>
          <w:lang w:val="en-US" w:eastAsia="zh-CN"/>
        </w:rPr>
        <w:t>18</w:t>
      </w:r>
      <w:r>
        <w:rPr>
          <w:rFonts w:hint="eastAsia" w:ascii="仿宋_GB2312" w:eastAsia="仿宋_GB2312"/>
          <w:sz w:val="32"/>
          <w:szCs w:val="32"/>
          <w:shd w:val="clear" w:color="auto" w:fill="FFFFFF"/>
        </w:rPr>
        <w:t>人，行政工勤1人，参照公务员法管理人员</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人，事业编制10人</w:t>
      </w:r>
      <w:r>
        <w:rPr>
          <w:rFonts w:hint="eastAsia" w:ascii="仿宋_GB2312" w:eastAsia="仿宋_GB2312"/>
          <w:sz w:val="32"/>
          <w:szCs w:val="32"/>
          <w:shd w:val="clear" w:color="auto" w:fill="FFFFFF"/>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left="640" w:firstLine="320" w:firstLineChars="1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1957.25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1957.25</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widowControl/>
        <w:adjustRightInd w:val="0"/>
        <w:snapToGrid w:val="0"/>
        <w:spacing w:line="580" w:lineRule="exact"/>
        <w:ind w:firstLine="640" w:firstLineChars="200"/>
        <w:contextualSpacing/>
        <w:jc w:val="left"/>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1545.19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481.65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31.17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1063.54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68.83</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w:t>
      </w:r>
      <w:r>
        <w:rPr>
          <w:rFonts w:hint="eastAsia" w:ascii="仿宋_GB2312" w:hAnsi="仿宋_GB2312" w:eastAsia="仿宋_GB2312" w:cs="仿宋_GB2312"/>
          <w:bCs/>
          <w:sz w:val="28"/>
          <w:szCs w:val="28"/>
          <w:lang w:val="en-US" w:eastAsia="zh-CN"/>
        </w:rPr>
        <w:t>2019</w:t>
      </w:r>
      <w:r>
        <w:rPr>
          <w:rFonts w:hint="eastAsia" w:ascii="仿宋_GB2312" w:hAnsi="仿宋_GB2312" w:eastAsia="仿宋_GB2312" w:cs="仿宋_GB2312"/>
          <w:bCs/>
          <w:sz w:val="28"/>
          <w:szCs w:val="28"/>
        </w:rPr>
        <w:t xml:space="preserve">年人社局整体支出绩效定性目标的要求，通过人社上上下下的共同努力，无论是定性目标还是定量指标，都按要求完成，按自评表综合得分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pStyle w:val="14"/>
        <w:shd w:val="clear" w:color="auto" w:fill="FFFFFF"/>
        <w:spacing w:before="0" w:beforeAutospacing="0" w:after="0" w:afterAutospacing="0" w:line="480" w:lineRule="auto"/>
        <w:ind w:firstLine="640" w:firstLineChars="200"/>
        <w:rPr>
          <w:rFonts w:ascii="仿宋_GB2312" w:hAnsi="微软雅黑" w:eastAsia="仿宋_GB2312"/>
          <w:color w:val="000000"/>
          <w:sz w:val="32"/>
          <w:szCs w:val="32"/>
        </w:rPr>
      </w:pPr>
      <w:r>
        <w:rPr>
          <w:rFonts w:hint="eastAsia" w:ascii="仿宋_GB2312" w:hAnsi="微软雅黑" w:eastAsia="仿宋_GB2312"/>
          <w:color w:val="000000"/>
          <w:sz w:val="32"/>
          <w:szCs w:val="32"/>
        </w:rPr>
        <w:t>1、财务人员业务水平不太专业，有道提高；</w:t>
      </w:r>
    </w:p>
    <w:p>
      <w:pPr>
        <w:pStyle w:val="14"/>
        <w:shd w:val="clear" w:color="auto" w:fill="FFFFFF"/>
        <w:spacing w:before="0" w:beforeAutospacing="0" w:after="0" w:afterAutospacing="0" w:line="480" w:lineRule="auto"/>
        <w:ind w:firstLine="640" w:firstLineChars="200"/>
        <w:rPr>
          <w:rFonts w:ascii="黑体" w:hAnsi="黑体" w:eastAsia="黑体" w:cs="黑体"/>
          <w:bCs/>
          <w:sz w:val="28"/>
          <w:szCs w:val="28"/>
        </w:rPr>
      </w:pPr>
      <w:r>
        <w:rPr>
          <w:rFonts w:hint="eastAsia" w:ascii="仿宋_GB2312" w:hAnsi="微软雅黑" w:eastAsia="仿宋_GB2312"/>
          <w:color w:val="000000"/>
          <w:sz w:val="32"/>
          <w:szCs w:val="32"/>
        </w:rPr>
        <w:t>2、</w:t>
      </w:r>
      <w:r>
        <w:rPr>
          <w:rFonts w:hint="eastAsia" w:ascii="仿宋_GB2312" w:hAnsi="仿宋" w:eastAsia="仿宋_GB2312"/>
          <w:color w:val="000000"/>
          <w:sz w:val="32"/>
          <w:szCs w:val="32"/>
        </w:rPr>
        <w:t>内控制度、财务制度还有待进一步完善。</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hd w:val="clear" w:color="auto" w:fill="FFFFFF"/>
        <w:spacing w:line="56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1.完善财务制度，规范财金纪律。</w:t>
      </w:r>
    </w:p>
    <w:p>
      <w:pPr>
        <w:shd w:val="clear" w:color="auto" w:fill="FFFFFF"/>
        <w:spacing w:line="56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2.规范账务处理，提高财务信息质量，完善管理制度，进一步加强资产管理。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 w:eastAsia="仿宋_GB2312"/>
          <w:color w:val="000000"/>
          <w:sz w:val="32"/>
          <w:szCs w:val="32"/>
        </w:rPr>
        <w:t>3.加强学习，财务人员业务能力和水平要与时俱进</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widowControl/>
        <w:jc w:val="left"/>
        <w:rPr>
          <w:rStyle w:val="27"/>
          <w:rFonts w:ascii="黑体" w:hAnsi="黑体" w:eastAsia="黑体"/>
          <w:b w:val="0"/>
        </w:rPr>
      </w:pPr>
      <w:r>
        <w:rPr>
          <w:rStyle w:val="27"/>
          <w:rFonts w:ascii="黑体" w:hAnsi="黑体" w:eastAsia="黑体"/>
          <w:b w:val="0"/>
        </w:rPr>
        <w:br w:type="page"/>
      </w:r>
    </w:p>
    <w:p>
      <w:pPr>
        <w:spacing w:line="600" w:lineRule="exact"/>
        <w:jc w:val="center"/>
        <w:outlineLvl w:val="0"/>
        <w:rPr>
          <w:rStyle w:val="27"/>
          <w:rFonts w:ascii="黑体" w:hAnsi="黑体" w:eastAsia="黑体"/>
          <w:b w:val="0"/>
        </w:rPr>
      </w:pPr>
    </w:p>
    <w:p>
      <w:pPr>
        <w:spacing w:line="600" w:lineRule="exact"/>
        <w:jc w:val="center"/>
        <w:outlineLvl w:val="0"/>
        <w:rPr>
          <w:rStyle w:val="27"/>
          <w:rFonts w:ascii="黑体" w:hAnsi="黑体" w:eastAsia="黑体"/>
          <w:b w:val="0"/>
        </w:rPr>
      </w:pPr>
      <w:bookmarkStart w:id="57"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5"/>
      <w:bookmarkEnd w:id="57"/>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58"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8"/>
    </w:p>
    <w:p>
      <w:pPr>
        <w:pStyle w:val="5"/>
        <w:rPr>
          <w:rFonts w:ascii="仿宋" w:hAnsi="仿宋" w:eastAsia="仿宋"/>
          <w:color w:val="000000"/>
        </w:rPr>
      </w:pPr>
      <w:bookmarkStart w:id="59"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59"/>
    </w:p>
    <w:p>
      <w:pPr>
        <w:pStyle w:val="5"/>
        <w:rPr>
          <w:rFonts w:ascii="仿宋" w:hAnsi="仿宋" w:eastAsia="仿宋"/>
          <w:color w:val="000000"/>
        </w:rPr>
      </w:pPr>
      <w:bookmarkStart w:id="60"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0"/>
    </w:p>
    <w:p>
      <w:pPr>
        <w:pStyle w:val="5"/>
        <w:rPr>
          <w:rFonts w:ascii="仿宋" w:hAnsi="仿宋" w:eastAsia="仿宋"/>
          <w:b w:val="0"/>
          <w:color w:val="000000"/>
        </w:rPr>
      </w:pPr>
      <w:bookmarkStart w:id="61"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1"/>
    </w:p>
    <w:p>
      <w:pPr>
        <w:pStyle w:val="5"/>
        <w:rPr>
          <w:rStyle w:val="28"/>
          <w:rFonts w:ascii="仿宋" w:hAnsi="仿宋" w:eastAsia="仿宋"/>
          <w:b w:val="0"/>
          <w:bCs w:val="0"/>
        </w:rPr>
      </w:pPr>
      <w:bookmarkStart w:id="62"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2"/>
      <w:bookmarkStart w:id="63" w:name="_Toc15396624"/>
    </w:p>
    <w:p>
      <w:pPr>
        <w:pStyle w:val="5"/>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3"/>
    </w:p>
    <w:p>
      <w:pPr>
        <w:pStyle w:val="5"/>
        <w:rPr>
          <w:rFonts w:ascii="仿宋" w:hAnsi="仿宋" w:eastAsia="仿宋"/>
          <w:color w:val="000000"/>
        </w:rPr>
      </w:pPr>
      <w:bookmarkStart w:id="64"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4"/>
    </w:p>
    <w:p>
      <w:pPr>
        <w:pStyle w:val="5"/>
        <w:rPr>
          <w:rFonts w:ascii="仿宋" w:hAnsi="仿宋" w:eastAsia="仿宋"/>
          <w:color w:val="000000"/>
        </w:rPr>
      </w:pPr>
      <w:bookmarkStart w:id="65"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5"/>
    </w:p>
    <w:p>
      <w:pPr>
        <w:pStyle w:val="5"/>
        <w:rPr>
          <w:rFonts w:ascii="仿宋" w:hAnsi="仿宋" w:eastAsia="仿宋"/>
          <w:color w:val="000000"/>
        </w:rPr>
      </w:pPr>
      <w:bookmarkStart w:id="66"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6"/>
    </w:p>
    <w:p>
      <w:pPr>
        <w:pStyle w:val="5"/>
        <w:rPr>
          <w:rFonts w:ascii="仿宋" w:hAnsi="仿宋" w:eastAsia="仿宋"/>
          <w:color w:val="000000"/>
        </w:rPr>
      </w:pPr>
      <w:bookmarkStart w:id="67"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7"/>
    </w:p>
    <w:p>
      <w:pPr>
        <w:pStyle w:val="5"/>
        <w:rPr>
          <w:rFonts w:ascii="仿宋" w:hAnsi="仿宋" w:eastAsia="仿宋"/>
          <w:color w:val="000000"/>
        </w:rPr>
      </w:pPr>
      <w:bookmarkStart w:id="68"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8"/>
    </w:p>
    <w:p>
      <w:pPr>
        <w:pStyle w:val="5"/>
        <w:rPr>
          <w:rFonts w:ascii="仿宋" w:hAnsi="仿宋" w:eastAsia="仿宋"/>
          <w:color w:val="000000"/>
        </w:rPr>
      </w:pPr>
      <w:bookmarkStart w:id="69"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9"/>
    </w:p>
    <w:p>
      <w:pPr>
        <w:pStyle w:val="5"/>
        <w:rPr>
          <w:rFonts w:ascii="仿宋" w:hAnsi="仿宋" w:eastAsia="仿宋"/>
          <w:color w:val="000000" w:themeColor="text1"/>
        </w:rPr>
      </w:pPr>
      <w:bookmarkStart w:id="70"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02ED141"/>
    <w:multiLevelType w:val="singleLevel"/>
    <w:tmpl w:val="602ED141"/>
    <w:lvl w:ilvl="0" w:tentative="0">
      <w:start w:val="2"/>
      <w:numFmt w:val="chineseCounting"/>
      <w:suff w:val="nothing"/>
      <w:lvlText w:val="（%1）"/>
      <w:lvlJc w:val="left"/>
      <w:rPr>
        <w:rFonts w:hint="eastAsia"/>
      </w:rPr>
    </w:lvl>
  </w:abstractNum>
  <w:abstractNum w:abstractNumId="5">
    <w:nsid w:val="785B4E3A"/>
    <w:multiLevelType w:val="singleLevel"/>
    <w:tmpl w:val="785B4E3A"/>
    <w:lvl w:ilvl="0" w:tentative="0">
      <w:start w:val="1"/>
      <w:numFmt w:val="decimal"/>
      <w:lvlText w:val="%1."/>
      <w:lvlJc w:val="left"/>
      <w:pPr>
        <w:tabs>
          <w:tab w:val="left" w:pos="312"/>
        </w:tabs>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4657F1"/>
    <w:rsid w:val="10C055FF"/>
    <w:rsid w:val="16BB723D"/>
    <w:rsid w:val="240371BF"/>
    <w:rsid w:val="29FD04D3"/>
    <w:rsid w:val="30445586"/>
    <w:rsid w:val="319F7F4E"/>
    <w:rsid w:val="429C3618"/>
    <w:rsid w:val="44AB6970"/>
    <w:rsid w:val="4ECE2238"/>
    <w:rsid w:val="5895258D"/>
    <w:rsid w:val="5E0A2080"/>
    <w:rsid w:val="621F65FE"/>
    <w:rsid w:val="686B42A2"/>
    <w:rsid w:val="6F37278B"/>
    <w:rsid w:val="70EC563E"/>
    <w:rsid w:val="72734D90"/>
    <w:rsid w:val="749F75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spacing w:after="0"/>
      <w:ind w:left="0" w:leftChars="0" w:firstLine="420" w:firstLineChars="200"/>
    </w:pPr>
    <w:rPr>
      <w:kern w:val="0"/>
      <w:szCs w:val="22"/>
    </w:rPr>
  </w:style>
  <w:style w:type="paragraph" w:styleId="3">
    <w:name w:val="Body Text Indent"/>
    <w:basedOn w:val="1"/>
    <w:next w:val="2"/>
    <w:qFormat/>
    <w:uiPriority w:val="99"/>
    <w:pPr>
      <w:spacing w:after="120"/>
      <w:ind w:left="420" w:leftChars="200"/>
    </w:p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标题 2 Char"/>
    <w:basedOn w:val="16"/>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16</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LENOVO</cp:lastModifiedBy>
  <cp:lastPrinted>2020-07-23T02:58:00Z</cp:lastPrinted>
  <dcterms:modified xsi:type="dcterms:W3CDTF">2020-09-21T01:12:36Z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