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8075A">
      <w:pPr>
        <w:pStyle w:val="10"/>
        <w:shd w:val="clear" w:color="auto" w:fill="FFFFFF"/>
        <w:jc w:val="center"/>
      </w:pPr>
      <w:bookmarkStart w:id="0" w:name="_GoBack"/>
      <w:bookmarkEnd w:id="0"/>
      <w:r>
        <w:rPr>
          <w:sz w:val="42"/>
          <w:szCs w:val="42"/>
        </w:rPr>
        <w:t>2022年度</w:t>
      </w:r>
    </w:p>
    <w:p w14:paraId="70F94C3C">
      <w:pPr>
        <w:pStyle w:val="10"/>
        <w:shd w:val="clear" w:color="auto" w:fill="FFFFFF"/>
        <w:jc w:val="center"/>
      </w:pPr>
      <w:r>
        <w:rPr>
          <w:sz w:val="42"/>
          <w:szCs w:val="42"/>
        </w:rPr>
        <w:t>四川省阿坝州九寨沟县价格认证中心单位决算</w:t>
      </w:r>
    </w:p>
    <w:p w14:paraId="2523ECD8">
      <w:pPr>
        <w:pStyle w:val="10"/>
        <w:shd w:val="clear" w:color="auto" w:fill="FFFFFF"/>
        <w:jc w:val="center"/>
      </w:pPr>
      <w:r>
        <w:t> </w:t>
      </w:r>
    </w:p>
    <w:p w14:paraId="01188009">
      <w:pPr>
        <w:pStyle w:val="10"/>
        <w:shd w:val="clear" w:color="auto" w:fill="FFFFFF"/>
        <w:jc w:val="both"/>
      </w:pPr>
    </w:p>
    <w:p w14:paraId="64759755">
      <w:pPr>
        <w:pStyle w:val="10"/>
        <w:shd w:val="clear" w:color="auto" w:fill="FFFFFF"/>
        <w:jc w:val="both"/>
      </w:pPr>
    </w:p>
    <w:p w14:paraId="4260811A">
      <w:pPr>
        <w:pStyle w:val="10"/>
        <w:shd w:val="clear" w:color="auto" w:fill="FFFFFF"/>
        <w:jc w:val="both"/>
      </w:pPr>
    </w:p>
    <w:p w14:paraId="39686059">
      <w:pPr>
        <w:pStyle w:val="10"/>
        <w:shd w:val="clear" w:color="auto" w:fill="FFFFFF"/>
        <w:jc w:val="both"/>
      </w:pPr>
    </w:p>
    <w:p w14:paraId="257B05C0">
      <w:pPr>
        <w:pStyle w:val="10"/>
        <w:shd w:val="clear" w:color="auto" w:fill="FFFFFF"/>
        <w:jc w:val="both"/>
      </w:pPr>
    </w:p>
    <w:p w14:paraId="40C3B276">
      <w:pPr>
        <w:pStyle w:val="10"/>
        <w:shd w:val="clear" w:color="auto" w:fill="FFFFFF"/>
        <w:jc w:val="both"/>
      </w:pPr>
    </w:p>
    <w:p w14:paraId="6368BE2E">
      <w:pPr>
        <w:pStyle w:val="10"/>
        <w:shd w:val="clear" w:color="auto" w:fill="FFFFFF"/>
        <w:jc w:val="center"/>
      </w:pPr>
      <w:r>
        <w:t> </w:t>
      </w:r>
    </w:p>
    <w:p w14:paraId="62AEFDD6">
      <w:pPr>
        <w:pStyle w:val="10"/>
        <w:shd w:val="clear" w:color="auto" w:fill="FFFFFF"/>
        <w:jc w:val="center"/>
      </w:pPr>
      <w:r>
        <w:t> </w:t>
      </w:r>
    </w:p>
    <w:p w14:paraId="68394B41">
      <w:pPr>
        <w:pStyle w:val="10"/>
        <w:shd w:val="clear" w:color="auto" w:fill="FFFFFF"/>
        <w:jc w:val="both"/>
      </w:pPr>
    </w:p>
    <w:p w14:paraId="17F1D456">
      <w:pPr>
        <w:pStyle w:val="10"/>
        <w:shd w:val="clear" w:color="auto" w:fill="FFFFFF"/>
        <w:jc w:val="both"/>
      </w:pPr>
    </w:p>
    <w:p w14:paraId="6E91A347">
      <w:pPr>
        <w:pStyle w:val="10"/>
        <w:shd w:val="clear" w:color="auto" w:fill="FFFFFF"/>
        <w:jc w:val="both"/>
      </w:pPr>
    </w:p>
    <w:p w14:paraId="68ACE018">
      <w:pPr>
        <w:pStyle w:val="10"/>
        <w:shd w:val="clear" w:color="auto" w:fill="FFFFFF"/>
        <w:jc w:val="both"/>
      </w:pPr>
    </w:p>
    <w:p w14:paraId="3A06E166">
      <w:pPr>
        <w:pStyle w:val="10"/>
        <w:shd w:val="clear" w:color="auto" w:fill="FFFFFF"/>
        <w:jc w:val="both"/>
      </w:pPr>
    </w:p>
    <w:p w14:paraId="4404D77C">
      <w:pPr>
        <w:pStyle w:val="10"/>
        <w:shd w:val="clear" w:color="auto" w:fill="FFFFFF"/>
        <w:jc w:val="both"/>
      </w:pPr>
      <w:r>
        <w:t> </w:t>
      </w:r>
    </w:p>
    <w:p w14:paraId="1D879638">
      <w:pPr>
        <w:pStyle w:val="10"/>
        <w:shd w:val="clear" w:color="auto" w:fill="FFFFFF"/>
        <w:jc w:val="center"/>
      </w:pPr>
      <w:r>
        <w:t> </w:t>
      </w:r>
    </w:p>
    <w:p w14:paraId="30EBBB97">
      <w:pPr>
        <w:pStyle w:val="10"/>
        <w:shd w:val="clear" w:color="auto" w:fill="FFFFFF"/>
        <w:jc w:val="center"/>
      </w:pPr>
      <w:r>
        <w:t>已经保密审查、内容审定，同意对外公开</w:t>
      </w:r>
    </w:p>
    <w:p w14:paraId="452C3C6E">
      <w:pPr>
        <w:pStyle w:val="10"/>
        <w:shd w:val="clear" w:color="auto" w:fill="FFFFFF"/>
      </w:pPr>
      <w:r>
        <w:t> </w:t>
      </w:r>
    </w:p>
    <w:p w14:paraId="09D0A193">
      <w:pPr>
        <w:pStyle w:val="10"/>
        <w:shd w:val="clear" w:color="auto" w:fill="FFFFFF"/>
      </w:pPr>
      <w:r>
        <w:t> </w:t>
      </w:r>
    </w:p>
    <w:p w14:paraId="38D3DF40">
      <w:pPr>
        <w:pStyle w:val="10"/>
        <w:shd w:val="clear" w:color="auto" w:fill="FFFFFF"/>
        <w:jc w:val="center"/>
      </w:pPr>
      <w:r>
        <w:rPr/>
        <w:br w:type="textWrapping" w:clear="all"/>
      </w:r>
      <w:r>
        <w:t>目录</w:t>
      </w:r>
    </w:p>
    <w:p w14:paraId="1E36F1E9">
      <w:pPr>
        <w:pStyle w:val="10"/>
        <w:shd w:val="clear" w:color="auto" w:fill="FFFFFF"/>
        <w:jc w:val="center"/>
      </w:pPr>
      <w:r>
        <w:t> </w:t>
      </w:r>
    </w:p>
    <w:p w14:paraId="21BF89DF">
      <w:pPr>
        <w:pStyle w:val="10"/>
        <w:shd w:val="clear" w:color="auto" w:fill="FFFFFF"/>
        <w:jc w:val="center"/>
      </w:pPr>
      <w:r>
        <w:t>公开时间：2023年</w:t>
      </w:r>
      <w:r>
        <w:rPr>
          <w:rFonts w:hint="eastAsia"/>
          <w:lang w:val="en-US" w:eastAsia="zh-CN"/>
        </w:rPr>
        <w:t>9</w:t>
      </w:r>
      <w:r>
        <w:t>月</w:t>
      </w:r>
      <w:r>
        <w:rPr>
          <w:rFonts w:hint="eastAsia"/>
          <w:lang w:val="en-US" w:eastAsia="zh-CN"/>
        </w:rPr>
        <w:t>25</w:t>
      </w:r>
      <w:r>
        <w:t>日</w:t>
      </w:r>
    </w:p>
    <w:p w14:paraId="0DFDCCDA">
      <w:pPr>
        <w:pStyle w:val="10"/>
        <w:shd w:val="clear" w:color="auto" w:fill="FFFFFF"/>
      </w:pPr>
      <w:r>
        <w:t> </w:t>
      </w:r>
    </w:p>
    <w:p w14:paraId="4440CA1B">
      <w:pPr>
        <w:pStyle w:val="9"/>
        <w:adjustRightInd w:val="0"/>
        <w:snapToGrid w:val="0"/>
        <w:spacing w:before="0" w:line="440" w:lineRule="exact"/>
        <w:jc w:val="left"/>
        <w:rPr>
          <w:rFonts w:hint="default" w:eastAsia="仿宋" w:cstheme="minorBidi"/>
          <w:sz w:val="24"/>
          <w:szCs w:val="24"/>
          <w:lang w:val="en-US" w:eastAsia="zh-CN"/>
        </w:rPr>
      </w:pPr>
      <w:r>
        <w:t>第一部分 单位概况</w:t>
      </w:r>
      <w:r>
        <w:rPr>
          <w:rFonts w:hint="eastAsia"/>
          <w:sz w:val="24"/>
          <w:lang w:val="en-US" w:eastAsia="zh-CN"/>
        </w:rPr>
        <w:t>................................................4</w:t>
      </w:r>
    </w:p>
    <w:p w14:paraId="053643CF">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一、主要职责</w:t>
      </w:r>
      <w:r>
        <w:rPr>
          <w:rFonts w:hint="eastAsia"/>
          <w:sz w:val="24"/>
          <w:lang w:val="en-US" w:eastAsia="zh-CN"/>
        </w:rPr>
        <w:t>...............................................4-6</w:t>
      </w:r>
    </w:p>
    <w:p w14:paraId="2DB48169">
      <w:pPr>
        <w:pStyle w:val="9"/>
        <w:adjustRightInd w:val="0"/>
        <w:snapToGrid w:val="0"/>
        <w:spacing w:before="0" w:line="440" w:lineRule="exact"/>
        <w:ind w:firstLine="560" w:firstLineChars="200"/>
        <w:jc w:val="left"/>
        <w:rPr>
          <w:rFonts w:hint="eastAsia"/>
          <w:sz w:val="24"/>
          <w:lang w:val="en-US" w:eastAsia="zh-CN"/>
        </w:rPr>
      </w:pPr>
      <w:r>
        <w:t>二、机构设置</w:t>
      </w:r>
      <w:r>
        <w:rPr>
          <w:rFonts w:hint="eastAsia"/>
          <w:sz w:val="24"/>
          <w:lang w:val="en-US" w:eastAsia="zh-CN"/>
        </w:rPr>
        <w:t>.................................................6</w:t>
      </w:r>
    </w:p>
    <w:p w14:paraId="53D56543">
      <w:pPr>
        <w:pStyle w:val="9"/>
        <w:adjustRightInd w:val="0"/>
        <w:snapToGrid w:val="0"/>
        <w:spacing w:before="0" w:line="440" w:lineRule="exact"/>
        <w:jc w:val="left"/>
        <w:rPr>
          <w:rFonts w:hint="default" w:eastAsia="仿宋" w:cstheme="minorBidi"/>
          <w:sz w:val="24"/>
          <w:szCs w:val="24"/>
          <w:lang w:val="en-US" w:eastAsia="zh-CN"/>
        </w:rPr>
      </w:pPr>
      <w:r>
        <w:t>第二部分 2022年度单位决算情况说明</w:t>
      </w:r>
      <w:r>
        <w:rPr>
          <w:rFonts w:hint="eastAsia"/>
          <w:sz w:val="24"/>
          <w:lang w:val="en-US" w:eastAsia="zh-CN"/>
        </w:rPr>
        <w:t>..........................6-12</w:t>
      </w:r>
    </w:p>
    <w:p w14:paraId="6F52D231">
      <w:pPr>
        <w:pStyle w:val="9"/>
        <w:adjustRightInd w:val="0"/>
        <w:snapToGrid w:val="0"/>
        <w:spacing w:before="0" w:line="440" w:lineRule="exact"/>
        <w:ind w:left="557" w:leftChars="232" w:firstLine="0" w:firstLineChars="0"/>
        <w:jc w:val="left"/>
        <w:rPr>
          <w:rFonts w:hint="default" w:eastAsia="仿宋" w:cstheme="minorBidi"/>
          <w:sz w:val="24"/>
          <w:szCs w:val="24"/>
          <w:lang w:val="en-US" w:eastAsia="zh-CN"/>
        </w:rPr>
      </w:pPr>
      <w:r>
        <w:t>一、收入支出决算总体情况说明</w:t>
      </w:r>
      <w:r>
        <w:rPr>
          <w:rFonts w:hint="eastAsia"/>
          <w:sz w:val="24"/>
          <w:lang w:val="en-US" w:eastAsia="zh-CN"/>
        </w:rPr>
        <w:t>..............................6</w:t>
      </w:r>
      <w:r>
        <w:t>二</w:t>
      </w:r>
      <w:r>
        <w:rPr>
          <w:rFonts w:ascii="仿宋" w:hAnsi="仿宋" w:eastAsia="仿宋" w:cs="宋体"/>
          <w:sz w:val="28"/>
          <w:szCs w:val="28"/>
          <w:lang w:val="en-US" w:eastAsia="zh-CN" w:bidi="ar-SA"/>
        </w:rPr>
        <w:t>、收入决算情况说明</w:t>
      </w:r>
      <w:r>
        <w:rPr>
          <w:rFonts w:hint="eastAsia" w:ascii="仿宋" w:hAnsi="仿宋" w:eastAsia="仿宋" w:cs="宋体"/>
          <w:sz w:val="28"/>
          <w:szCs w:val="28"/>
          <w:lang w:val="en-US" w:eastAsia="zh-CN" w:bidi="ar-SA"/>
        </w:rPr>
        <w:t>.</w:t>
      </w:r>
      <w:r>
        <w:rPr>
          <w:rFonts w:hint="eastAsia" w:ascii="仿宋" w:hAnsi="仿宋" w:eastAsia="仿宋" w:cs="宋体"/>
          <w:sz w:val="24"/>
          <w:szCs w:val="28"/>
          <w:lang w:val="en-US" w:eastAsia="zh-CN" w:bidi="ar-SA"/>
        </w:rPr>
        <w:t>.............................</w:t>
      </w:r>
      <w:r>
        <w:rPr>
          <w:rFonts w:hint="eastAsia" w:cs="宋体"/>
          <w:sz w:val="24"/>
          <w:szCs w:val="28"/>
          <w:lang w:val="en-US" w:eastAsia="zh-CN" w:bidi="ar-SA"/>
        </w:rPr>
        <w:t>..</w:t>
      </w:r>
      <w:r>
        <w:rPr>
          <w:rFonts w:hint="eastAsia" w:ascii="仿宋" w:hAnsi="仿宋" w:eastAsia="仿宋" w:cs="宋体"/>
          <w:sz w:val="24"/>
          <w:szCs w:val="28"/>
          <w:lang w:val="en-US" w:eastAsia="zh-CN" w:bidi="ar-SA"/>
        </w:rPr>
        <w:t>......</w:t>
      </w:r>
      <w:r>
        <w:rPr>
          <w:rFonts w:hint="eastAsia"/>
          <w:sz w:val="24"/>
          <w:lang w:val="en-US" w:eastAsia="zh-CN"/>
        </w:rPr>
        <w:t>6-7</w:t>
      </w:r>
    </w:p>
    <w:p w14:paraId="5DCFCFF0">
      <w:pPr>
        <w:pStyle w:val="9"/>
        <w:adjustRightInd w:val="0"/>
        <w:snapToGrid w:val="0"/>
        <w:spacing w:before="0" w:line="440" w:lineRule="exact"/>
        <w:ind w:firstLine="560" w:firstLineChars="200"/>
        <w:jc w:val="left"/>
        <w:rPr>
          <w:rFonts w:hint="eastAsia"/>
          <w:sz w:val="24"/>
          <w:lang w:val="en-US" w:eastAsia="zh-CN"/>
        </w:rPr>
      </w:pPr>
      <w:r>
        <w:t>三、支出决算情况说明</w:t>
      </w:r>
      <w:r>
        <w:rPr>
          <w:rFonts w:hint="eastAsia"/>
          <w:sz w:val="24"/>
          <w:lang w:val="en-US" w:eastAsia="zh-CN"/>
        </w:rPr>
        <w:t>........................................7</w:t>
      </w:r>
    </w:p>
    <w:p w14:paraId="4DB20948">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四、财政拨款收入支出决算总体情况说明</w:t>
      </w:r>
      <w:r>
        <w:rPr>
          <w:rFonts w:hint="eastAsia"/>
          <w:sz w:val="24"/>
          <w:lang w:val="en-US" w:eastAsia="zh-CN"/>
        </w:rPr>
        <w:t>.....................7</w:t>
      </w:r>
    </w:p>
    <w:p w14:paraId="53B303F0">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五、一般公共预算财政拨款支出决算情况说明</w:t>
      </w:r>
      <w:r>
        <w:rPr>
          <w:rFonts w:hint="eastAsia"/>
          <w:sz w:val="24"/>
          <w:lang w:val="en-US" w:eastAsia="zh-CN"/>
        </w:rPr>
        <w:t>..............7-8</w:t>
      </w:r>
    </w:p>
    <w:p w14:paraId="3FBB56CF">
      <w:pPr>
        <w:pStyle w:val="9"/>
        <w:adjustRightInd w:val="0"/>
        <w:snapToGrid w:val="0"/>
        <w:spacing w:before="0" w:line="440" w:lineRule="exact"/>
        <w:ind w:firstLine="560" w:firstLineChars="200"/>
        <w:jc w:val="left"/>
        <w:rPr>
          <w:rFonts w:hint="default"/>
          <w:sz w:val="24"/>
          <w:lang w:val="en-US" w:eastAsia="zh-CN"/>
        </w:rPr>
      </w:pPr>
      <w:r>
        <w:t>六、一般公共预算财政拨款基本支出决算情况说明</w:t>
      </w:r>
      <w:r>
        <w:rPr>
          <w:rFonts w:hint="eastAsia"/>
          <w:sz w:val="24"/>
          <w:lang w:val="en-US" w:eastAsia="zh-CN"/>
        </w:rPr>
        <w:t>.........8-10</w:t>
      </w:r>
    </w:p>
    <w:p w14:paraId="65A3D2CC">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七、财政拨款“三公”经费支出决算情况说明</w:t>
      </w:r>
      <w:r>
        <w:rPr>
          <w:rFonts w:hint="eastAsia"/>
          <w:sz w:val="24"/>
          <w:lang w:val="en-US" w:eastAsia="zh-CN"/>
        </w:rPr>
        <w:t>............10-11</w:t>
      </w:r>
    </w:p>
    <w:p w14:paraId="79CE6602">
      <w:pPr>
        <w:pStyle w:val="9"/>
        <w:adjustRightInd w:val="0"/>
        <w:snapToGrid w:val="0"/>
        <w:spacing w:before="0" w:line="440" w:lineRule="exact"/>
        <w:ind w:firstLine="280" w:firstLineChars="100"/>
        <w:jc w:val="left"/>
        <w:rPr>
          <w:rFonts w:hint="default" w:eastAsia="仿宋" w:cstheme="minorBidi"/>
          <w:sz w:val="24"/>
          <w:szCs w:val="24"/>
          <w:lang w:val="en-US" w:eastAsia="zh-CN"/>
        </w:rPr>
      </w:pPr>
      <w:r>
        <w:t>八、政府性基金预算支出决算情况说明</w:t>
      </w:r>
      <w:r>
        <w:rPr>
          <w:rFonts w:hint="eastAsia"/>
          <w:sz w:val="24"/>
          <w:lang w:val="en-US" w:eastAsia="zh-CN"/>
        </w:rPr>
        <w:t>.........................11</w:t>
      </w:r>
    </w:p>
    <w:p w14:paraId="7B26D984">
      <w:pPr>
        <w:pStyle w:val="9"/>
        <w:adjustRightInd w:val="0"/>
        <w:snapToGrid w:val="0"/>
        <w:spacing w:before="0" w:line="440" w:lineRule="exact"/>
        <w:jc w:val="left"/>
        <w:rPr>
          <w:rFonts w:hint="default" w:eastAsia="仿宋" w:cstheme="minorBidi"/>
          <w:sz w:val="24"/>
          <w:szCs w:val="24"/>
          <w:lang w:val="en-US" w:eastAsia="zh-CN"/>
        </w:rPr>
      </w:pPr>
      <w:r>
        <w:t>  九、国有资本经营预算支出决算情况说明</w:t>
      </w:r>
      <w:r>
        <w:rPr>
          <w:rFonts w:hint="eastAsia"/>
          <w:sz w:val="24"/>
          <w:lang w:val="en-US" w:eastAsia="zh-CN"/>
        </w:rPr>
        <w:t>.......................11</w:t>
      </w:r>
    </w:p>
    <w:p w14:paraId="1F20B2A2">
      <w:pPr>
        <w:pStyle w:val="9"/>
        <w:adjustRightInd w:val="0"/>
        <w:snapToGrid w:val="0"/>
        <w:spacing w:before="0" w:line="440" w:lineRule="exact"/>
        <w:jc w:val="left"/>
        <w:rPr>
          <w:rFonts w:hint="default"/>
          <w:sz w:val="24"/>
          <w:lang w:val="en-US" w:eastAsia="zh-CN"/>
        </w:rPr>
      </w:pPr>
      <w:r>
        <w:t>  十、其他重要事项的情况说明 </w:t>
      </w:r>
      <w:r>
        <w:rPr>
          <w:rFonts w:hint="eastAsia"/>
          <w:sz w:val="24"/>
          <w:lang w:val="en-US" w:eastAsia="zh-CN"/>
        </w:rPr>
        <w:t>...............................11-12</w:t>
      </w:r>
    </w:p>
    <w:p w14:paraId="28FA22C0">
      <w:pPr>
        <w:pStyle w:val="9"/>
        <w:adjustRightInd w:val="0"/>
        <w:snapToGrid w:val="0"/>
        <w:spacing w:before="0" w:line="440" w:lineRule="exact"/>
        <w:jc w:val="left"/>
        <w:rPr>
          <w:rFonts w:hint="eastAsia"/>
          <w:sz w:val="24"/>
          <w:lang w:val="en-US" w:eastAsia="zh-CN"/>
        </w:rPr>
      </w:pPr>
      <w:r>
        <w:t>第三部分 名词解释</w:t>
      </w:r>
      <w:r>
        <w:rPr>
          <w:rFonts w:hint="eastAsia"/>
          <w:sz w:val="24"/>
          <w:lang w:val="en-US" w:eastAsia="zh-CN"/>
        </w:rPr>
        <w:t>............................................12-15</w:t>
      </w:r>
    </w:p>
    <w:p w14:paraId="4B13EF02">
      <w:pPr>
        <w:pStyle w:val="9"/>
        <w:adjustRightInd w:val="0"/>
        <w:snapToGrid w:val="0"/>
        <w:spacing w:before="0" w:line="440" w:lineRule="exact"/>
        <w:jc w:val="left"/>
        <w:rPr>
          <w:rFonts w:hint="default" w:eastAsia="仿宋" w:cstheme="minorBidi"/>
          <w:sz w:val="24"/>
          <w:szCs w:val="24"/>
          <w:lang w:val="en-US" w:eastAsia="zh-CN"/>
        </w:rPr>
      </w:pPr>
      <w:r>
        <w:t>第四部分 附件</w:t>
      </w:r>
      <w:r>
        <w:rPr>
          <w:rFonts w:hint="eastAsia"/>
          <w:sz w:val="24"/>
          <w:lang w:val="en-US" w:eastAsia="zh-CN"/>
        </w:rPr>
        <w:t>.................................................15-20</w:t>
      </w:r>
    </w:p>
    <w:p w14:paraId="0EEB06D2">
      <w:pPr>
        <w:pStyle w:val="9"/>
        <w:adjustRightInd w:val="0"/>
        <w:snapToGrid w:val="0"/>
        <w:spacing w:before="0" w:line="440" w:lineRule="exact"/>
        <w:jc w:val="left"/>
        <w:rPr>
          <w:rFonts w:hint="default" w:eastAsia="仿宋" w:cstheme="minorBidi"/>
          <w:sz w:val="24"/>
          <w:szCs w:val="24"/>
          <w:lang w:val="en-US" w:eastAsia="zh-CN"/>
        </w:rPr>
      </w:pPr>
      <w:r>
        <w:t>第五部分 附表</w:t>
      </w:r>
      <w:r>
        <w:rPr>
          <w:rFonts w:hint="eastAsia"/>
          <w:sz w:val="24"/>
          <w:lang w:val="en-US" w:eastAsia="zh-CN"/>
        </w:rPr>
        <w:t>.................................................20-27</w:t>
      </w:r>
    </w:p>
    <w:p w14:paraId="7BA5A4E2">
      <w:pPr>
        <w:pStyle w:val="9"/>
        <w:adjustRightInd w:val="0"/>
        <w:snapToGrid w:val="0"/>
        <w:spacing w:before="0" w:line="440" w:lineRule="exact"/>
        <w:ind w:firstLine="560" w:firstLineChars="200"/>
        <w:jc w:val="left"/>
        <w:rPr>
          <w:rFonts w:hint="eastAsia"/>
          <w:sz w:val="24"/>
          <w:lang w:val="en-US" w:eastAsia="zh-CN"/>
        </w:rPr>
      </w:pPr>
      <w:r>
        <w:t>一、收入支出决算总表</w:t>
      </w:r>
      <w:r>
        <w:rPr>
          <w:rFonts w:hint="eastAsia"/>
          <w:sz w:val="24"/>
          <w:lang w:val="en-US" w:eastAsia="zh-CN"/>
        </w:rPr>
        <w:t>.......................................20</w:t>
      </w:r>
    </w:p>
    <w:p w14:paraId="4D650569">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二、收入决算表</w:t>
      </w:r>
      <w:r>
        <w:rPr>
          <w:rFonts w:hint="eastAsia"/>
          <w:sz w:val="24"/>
          <w:lang w:val="en-US" w:eastAsia="zh-CN"/>
        </w:rPr>
        <w:t>..............................................21</w:t>
      </w:r>
    </w:p>
    <w:p w14:paraId="02DA22D4">
      <w:pPr>
        <w:pStyle w:val="9"/>
        <w:adjustRightInd w:val="0"/>
        <w:snapToGrid w:val="0"/>
        <w:spacing w:before="0" w:line="440" w:lineRule="exact"/>
        <w:ind w:firstLine="560" w:firstLineChars="200"/>
        <w:jc w:val="left"/>
        <w:rPr>
          <w:rFonts w:hint="eastAsia"/>
          <w:sz w:val="24"/>
          <w:lang w:val="en-US" w:eastAsia="zh-CN"/>
        </w:rPr>
      </w:pPr>
      <w:r>
        <w:t>三、支出决算表</w:t>
      </w:r>
      <w:r>
        <w:rPr>
          <w:rFonts w:hint="eastAsia"/>
          <w:sz w:val="24"/>
          <w:lang w:val="en-US" w:eastAsia="zh-CN"/>
        </w:rPr>
        <w:t>..............................................21</w:t>
      </w:r>
    </w:p>
    <w:p w14:paraId="477EE6DA">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四、财政拨款收入支出决算总表</w:t>
      </w:r>
      <w:r>
        <w:rPr>
          <w:rFonts w:hint="eastAsia"/>
          <w:sz w:val="24"/>
          <w:lang w:val="en-US" w:eastAsia="zh-CN"/>
        </w:rPr>
        <w:t>.............................22</w:t>
      </w:r>
    </w:p>
    <w:p w14:paraId="4433E5C7">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五、财政拨款支出决算明细表</w:t>
      </w:r>
      <w:r>
        <w:rPr>
          <w:rFonts w:hint="eastAsia"/>
          <w:sz w:val="24"/>
          <w:lang w:val="en-US" w:eastAsia="zh-CN"/>
        </w:rPr>
        <w:t>................................23</w:t>
      </w:r>
    </w:p>
    <w:p w14:paraId="47705532">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六、一般公共预算财政拨款支出决算表</w:t>
      </w:r>
      <w:r>
        <w:rPr>
          <w:rFonts w:hint="eastAsia"/>
          <w:sz w:val="24"/>
          <w:lang w:val="en-US" w:eastAsia="zh-CN"/>
        </w:rPr>
        <w:t>......................24</w:t>
      </w:r>
    </w:p>
    <w:p w14:paraId="5A4FFA6E">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七、一般公共预算财政拨款支出决算明细表</w:t>
      </w:r>
      <w:r>
        <w:rPr>
          <w:rFonts w:hint="eastAsia"/>
          <w:sz w:val="24"/>
          <w:lang w:val="en-US" w:eastAsia="zh-CN"/>
        </w:rPr>
        <w:t>..................25</w:t>
      </w:r>
    </w:p>
    <w:p w14:paraId="6E3BEA0F">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八、一般公共预算财政拨款基本支出决算表</w:t>
      </w:r>
      <w:r>
        <w:rPr>
          <w:rFonts w:hint="eastAsia"/>
          <w:sz w:val="24"/>
          <w:lang w:val="en-US" w:eastAsia="zh-CN"/>
        </w:rPr>
        <w:t>..................26</w:t>
      </w:r>
    </w:p>
    <w:p w14:paraId="16C83A45">
      <w:pPr>
        <w:pStyle w:val="9"/>
        <w:adjustRightInd w:val="0"/>
        <w:snapToGrid w:val="0"/>
        <w:spacing w:before="0" w:line="440" w:lineRule="exact"/>
        <w:ind w:firstLine="560" w:firstLineChars="200"/>
        <w:jc w:val="left"/>
        <w:rPr>
          <w:rFonts w:hint="eastAsia"/>
          <w:sz w:val="24"/>
          <w:lang w:val="en-US" w:eastAsia="zh-CN"/>
        </w:rPr>
      </w:pPr>
      <w:r>
        <w:t>九、一般公共预算财政拨款项目支出决算表</w:t>
      </w:r>
      <w:r>
        <w:rPr>
          <w:rFonts w:hint="eastAsia"/>
          <w:sz w:val="24"/>
          <w:lang w:val="en-US" w:eastAsia="zh-CN"/>
        </w:rPr>
        <w:t>..................26</w:t>
      </w:r>
    </w:p>
    <w:p w14:paraId="49BC9D9F">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十、政府性基金预算财政拨款收入支出决算表</w:t>
      </w:r>
      <w:r>
        <w:rPr>
          <w:rFonts w:hint="eastAsia"/>
          <w:sz w:val="24"/>
          <w:lang w:val="en-US" w:eastAsia="zh-CN"/>
        </w:rPr>
        <w:t>...............27</w:t>
      </w:r>
    </w:p>
    <w:p w14:paraId="168D0857">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十一、国有资本经营预算财政拨款收入支出决算表</w:t>
      </w:r>
      <w:r>
        <w:rPr>
          <w:rFonts w:hint="eastAsia"/>
          <w:sz w:val="24"/>
          <w:lang w:val="en-US" w:eastAsia="zh-CN"/>
        </w:rPr>
        <w:t>...........27</w:t>
      </w:r>
    </w:p>
    <w:p w14:paraId="779A3326">
      <w:pPr>
        <w:pStyle w:val="9"/>
        <w:adjustRightInd w:val="0"/>
        <w:snapToGrid w:val="0"/>
        <w:spacing w:before="0" w:line="440" w:lineRule="exact"/>
        <w:ind w:firstLine="560" w:firstLineChars="200"/>
        <w:jc w:val="left"/>
        <w:rPr>
          <w:rFonts w:hint="eastAsia"/>
          <w:sz w:val="24"/>
          <w:lang w:val="en-US" w:eastAsia="zh-CN"/>
        </w:rPr>
      </w:pPr>
      <w:r>
        <w:t>十二、国有资本经营预算财政拨款支出决算表</w:t>
      </w:r>
      <w:r>
        <w:rPr>
          <w:rFonts w:hint="eastAsia"/>
          <w:sz w:val="24"/>
          <w:lang w:val="en-US" w:eastAsia="zh-CN"/>
        </w:rPr>
        <w:t>...............27</w:t>
      </w:r>
    </w:p>
    <w:p w14:paraId="0C72F814">
      <w:pPr>
        <w:pStyle w:val="9"/>
        <w:adjustRightInd w:val="0"/>
        <w:snapToGrid w:val="0"/>
        <w:spacing w:before="0" w:line="440" w:lineRule="exact"/>
        <w:ind w:firstLine="560" w:firstLineChars="200"/>
        <w:jc w:val="left"/>
        <w:rPr>
          <w:rFonts w:hint="default" w:eastAsia="仿宋" w:cstheme="minorBidi"/>
          <w:sz w:val="24"/>
          <w:szCs w:val="24"/>
          <w:lang w:val="en-US" w:eastAsia="zh-CN"/>
        </w:rPr>
      </w:pPr>
      <w:r>
        <w:t>十三、财政拨款“三公”经费支出决算表</w:t>
      </w:r>
      <w:r>
        <w:rPr>
          <w:rFonts w:hint="eastAsia"/>
          <w:sz w:val="24"/>
          <w:lang w:val="en-US" w:eastAsia="zh-CN"/>
        </w:rPr>
        <w:t>....................27</w:t>
      </w:r>
    </w:p>
    <w:p w14:paraId="54536FB3">
      <w:pPr>
        <w:pStyle w:val="10"/>
        <w:shd w:val="clear" w:color="auto" w:fill="FFFFFF"/>
      </w:pPr>
      <w:r>
        <w:t> </w:t>
      </w:r>
    </w:p>
    <w:p w14:paraId="5F325150">
      <w:pPr>
        <w:pStyle w:val="10"/>
        <w:shd w:val="clear" w:color="auto" w:fill="FFFFFF"/>
      </w:pPr>
    </w:p>
    <w:p w14:paraId="61309D01">
      <w:pPr>
        <w:pStyle w:val="10"/>
        <w:shd w:val="clear" w:color="auto" w:fill="FFFFFF"/>
      </w:pPr>
    </w:p>
    <w:p w14:paraId="4FCD3979">
      <w:pPr>
        <w:pStyle w:val="10"/>
        <w:shd w:val="clear" w:color="auto" w:fill="FFFFFF"/>
      </w:pPr>
    </w:p>
    <w:p w14:paraId="14A9A9DC">
      <w:pPr>
        <w:pStyle w:val="10"/>
        <w:shd w:val="clear" w:color="auto" w:fill="FFFFFF"/>
      </w:pPr>
    </w:p>
    <w:p w14:paraId="268FA215">
      <w:pPr>
        <w:pStyle w:val="10"/>
        <w:shd w:val="clear" w:color="auto" w:fill="FFFFFF"/>
      </w:pPr>
    </w:p>
    <w:p w14:paraId="134C2093">
      <w:pPr>
        <w:pStyle w:val="10"/>
        <w:shd w:val="clear" w:color="auto" w:fill="FFFFFF"/>
      </w:pPr>
    </w:p>
    <w:p w14:paraId="6C4B12BC">
      <w:pPr>
        <w:pStyle w:val="10"/>
        <w:shd w:val="clear" w:color="auto" w:fill="FFFFFF"/>
      </w:pPr>
    </w:p>
    <w:p w14:paraId="0154DEDA">
      <w:pPr>
        <w:pStyle w:val="10"/>
        <w:shd w:val="clear" w:color="auto" w:fill="FFFFFF"/>
      </w:pPr>
    </w:p>
    <w:p w14:paraId="343D94CA">
      <w:pPr>
        <w:pStyle w:val="10"/>
        <w:shd w:val="clear" w:color="auto" w:fill="FFFFFF"/>
      </w:pPr>
    </w:p>
    <w:p w14:paraId="25C2764C">
      <w:pPr>
        <w:pStyle w:val="10"/>
        <w:shd w:val="clear" w:color="auto" w:fill="FFFFFF"/>
      </w:pPr>
    </w:p>
    <w:p w14:paraId="0F2A7073">
      <w:pPr>
        <w:pStyle w:val="10"/>
        <w:shd w:val="clear" w:color="auto" w:fill="FFFFFF"/>
      </w:pPr>
    </w:p>
    <w:p w14:paraId="35129A14">
      <w:pPr>
        <w:pStyle w:val="10"/>
        <w:shd w:val="clear" w:color="auto" w:fill="FFFFFF"/>
      </w:pPr>
    </w:p>
    <w:p w14:paraId="3AEBF579">
      <w:pPr>
        <w:pStyle w:val="10"/>
        <w:shd w:val="clear" w:color="auto" w:fill="FFFFFF"/>
      </w:pPr>
    </w:p>
    <w:p w14:paraId="434EF098">
      <w:pPr>
        <w:pStyle w:val="10"/>
        <w:shd w:val="clear" w:color="auto" w:fill="FFFFFF"/>
      </w:pPr>
    </w:p>
    <w:p w14:paraId="08F2C570">
      <w:pPr>
        <w:pStyle w:val="10"/>
        <w:shd w:val="clear" w:color="auto" w:fill="FFFFFF"/>
      </w:pPr>
    </w:p>
    <w:p w14:paraId="43CCF77F">
      <w:pPr>
        <w:pStyle w:val="10"/>
        <w:shd w:val="clear" w:color="auto" w:fill="FFFFFF"/>
      </w:pPr>
      <w:r>
        <w:t> </w:t>
      </w:r>
    </w:p>
    <w:p w14:paraId="588E2532">
      <w:pPr>
        <w:pStyle w:val="4"/>
        <w:shd w:val="clear" w:color="auto" w:fill="FFFFFF"/>
        <w:jc w:val="center"/>
      </w:pPr>
      <w:r>
        <w:t>第一部分 单位概况</w:t>
      </w:r>
    </w:p>
    <w:p w14:paraId="4B0032B6">
      <w:pPr>
        <w:pStyle w:val="10"/>
        <w:shd w:val="clear" w:color="auto" w:fill="FFFFFF"/>
      </w:pPr>
      <w:r>
        <w:t> </w:t>
      </w:r>
    </w:p>
    <w:p w14:paraId="5D612FC3">
      <w:pPr>
        <w:pStyle w:val="5"/>
        <w:shd w:val="clear" w:color="auto" w:fill="FFFFFF"/>
      </w:pPr>
      <w:r>
        <w:t>一、主要职责</w:t>
      </w:r>
    </w:p>
    <w:p w14:paraId="177B7751">
      <w:pPr>
        <w:spacing w:line="620" w:lineRule="exact"/>
        <w:ind w:firstLine="480" w:firstLineChars="200"/>
        <w:rPr>
          <w:rFonts w:hint="eastAsia" w:ascii="仿宋_GB2312" w:hAnsi="仿宋_GB2312" w:eastAsia="宋体" w:cs="仿宋_GB2312"/>
          <w:b w:val="0"/>
          <w:bCs w:val="0"/>
          <w:sz w:val="32"/>
          <w:szCs w:val="32"/>
          <w:lang w:eastAsia="zh-CN"/>
        </w:rPr>
      </w:pPr>
      <w:r>
        <w:t>（一）</w:t>
      </w:r>
      <w:r>
        <w:rPr>
          <w:rFonts w:hint="eastAsia" w:ascii="仿宋_GB2312" w:hAnsi="宋体" w:eastAsia="仿宋_GB2312" w:cs="宋体"/>
          <w:sz w:val="32"/>
          <w:szCs w:val="32"/>
        </w:rPr>
        <w:t>主要职能</w:t>
      </w:r>
      <w:r>
        <w:rPr>
          <w:rFonts w:hint="eastAsia"/>
          <w:lang w:eastAsia="zh-CN"/>
        </w:rPr>
        <w:t>。</w:t>
      </w:r>
    </w:p>
    <w:p w14:paraId="4DF8A2CC">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w:t>
      </w:r>
      <w:r>
        <w:rPr>
          <w:rFonts w:hint="eastAsia" w:ascii="仿宋_GB2312" w:hAnsi="宋体" w:eastAsia="仿宋_GB2312"/>
          <w:sz w:val="32"/>
          <w:szCs w:val="32"/>
        </w:rPr>
        <w:t>贯彻执行国家价格法律、法规、规章和政策规定，草拟相关地方性法规、规章、政策并组织实施。</w:t>
      </w:r>
    </w:p>
    <w:p w14:paraId="763A4A74">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负责全县价格总水平的宏观调控和综合平衡；研究提出控制物价总水平的相关措施；参与调控价格总水平相关的决策方案，提供给党委和政府决策。</w:t>
      </w:r>
    </w:p>
    <w:p w14:paraId="607EE203">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负责监测、分析、预报全县市场价格动态和变化趋势，并提出政策建议。</w:t>
      </w:r>
    </w:p>
    <w:p w14:paraId="19B9777F">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按照价格管理权限，研究制定全县管理价格、收费目录和管理办法，制定并公布政府定价和政府指导价；审定、调整列入管理的商品价格和服务价格；贯彻执行国家行政事业性收费项目和标准，会同财政部门审定、调整列入管理的收费项目和收费标准；组织实施行政事业性收费、经营性收费许可证制度和年度审验工作。</w:t>
      </w:r>
    </w:p>
    <w:p w14:paraId="68EBB60C">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对放开的商品价格和服务价格实施指导，合理安排各种差价和比价关系。引导和规范经营者自主定价行为，指导行业价格自律。当市场商品价格和服务价格出现异常波动时，提出干预措施，待批准后组织实施。</w:t>
      </w:r>
    </w:p>
    <w:p w14:paraId="5296AEDB">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负责全县境内的旅游市场价格监管工作。一是申报景区门票价格调整方案；二是指导和监管涉旅购物市场价格行为；三是指导和规范宾馆（酒店）以及各类娱乐场所的价格行为；四是监管营业性演艺团体价格行为。</w:t>
      </w:r>
    </w:p>
    <w:p w14:paraId="723DFCFC">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负责全县价格监督检查工作，制止各种乱涨价、乱收费及价格垄断、价格欺诈、价格暴利、低价倾销等不正当价格行为；负责行政事业性收费、经营性收费的监管；受理价格（收费）违法行为和不正当价格行为的举报投诉；依法查处价格违法行为和违法案件，并实施行政处罚；组织指导价格、收费社会监督。</w:t>
      </w:r>
    </w:p>
    <w:p w14:paraId="41B90657">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负责全县境内各类商品价格和服务价格的明码标价工作；负责价格法律、法规和价格（收费）标准的公示；负责价格法制的宣传教育工作；承办或实施列入听证目录商品价格和服务价格听证工作；负责仲裁相关价格和收费的纠纷或争议。</w:t>
      </w:r>
    </w:p>
    <w:p w14:paraId="624D8336">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负责全县工业品、农副产品、公用事业成本监审和流通费用的调查分析。</w:t>
      </w:r>
    </w:p>
    <w:p w14:paraId="42B8A89B">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负责全县各类罚没物、赃物、拍卖物、抵押物、车辆物损等的价格鉴定认证，参与国有资产和房地产价格评估。</w:t>
      </w:r>
    </w:p>
    <w:p w14:paraId="5A072533">
      <w:pPr>
        <w:spacing w:line="6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承办县委、县政府和州物价局交办的其他事项</w:t>
      </w:r>
      <w:r>
        <w:rPr>
          <w:rFonts w:hint="eastAsia" w:ascii="仿宋_GB2312" w:hAnsi="宋体" w:eastAsia="仿宋_GB2312"/>
          <w:sz w:val="32"/>
          <w:szCs w:val="32"/>
          <w:lang w:eastAsia="zh-CN"/>
        </w:rPr>
        <w:t>。</w:t>
      </w:r>
    </w:p>
    <w:p w14:paraId="1EDDB3F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（二）2022年重点工作完成情况。</w:t>
      </w:r>
    </w:p>
    <w:p w14:paraId="1BE1332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1.加强粮、油、副食品等民生商品价格监测，提高对价格趋势的判断能力和应急反应能力，为了解市场价格动态提供第一手资料。</w:t>
      </w:r>
    </w:p>
    <w:p w14:paraId="16565674">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2.继续开展教育、医疗服务、药品价格等群众关心的热点行业的专项价格检查，并根据省、州物价局的统一部署，及时开展相关价格与收费进行专项检查。</w:t>
      </w:r>
    </w:p>
    <w:p w14:paraId="178D28CD">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.加大价格投诉件处理力度，充分运用“12358”投诉电话，及时处理和反馈价格举报和投诉，及时查处各种价格违法行为。</w:t>
      </w:r>
    </w:p>
    <w:p w14:paraId="3161CC84">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、公平、公正、客观做好价格认证、鉴定工作。</w:t>
      </w:r>
    </w:p>
    <w:p w14:paraId="4BB5744C">
      <w:pPr>
        <w:pStyle w:val="5"/>
        <w:shd w:val="clear" w:color="auto" w:fill="FFFFFF"/>
        <w:rPr>
          <w:rFonts w:hint="eastAsia" w:ascii="仿宋_GB2312" w:hAnsi="宋体" w:eastAsia="仿宋_GB2312" w:cs="宋体"/>
          <w:b w:val="0"/>
          <w:bCs w:val="0"/>
          <w:sz w:val="32"/>
          <w:szCs w:val="32"/>
        </w:rPr>
      </w:pPr>
      <w:r>
        <w:rPr>
          <w:rFonts w:hint="eastAsia" w:ascii="仿宋_GB2312" w:hAnsi="宋体" w:eastAsia="仿宋_GB2312" w:cs="宋体"/>
          <w:b w:val="0"/>
          <w:bCs w:val="0"/>
          <w:sz w:val="32"/>
          <w:szCs w:val="32"/>
        </w:rPr>
        <w:t>二、机构设置</w:t>
      </w:r>
    </w:p>
    <w:p w14:paraId="3181076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w:t>
      </w:r>
      <w:r>
        <w:rPr>
          <w:rFonts w:hint="eastAsia" w:ascii="仿宋_GB2312" w:hAnsi="宋体" w:eastAsia="仿宋_GB2312" w:cs="宋体"/>
          <w:sz w:val="32"/>
          <w:szCs w:val="32"/>
          <w:lang w:eastAsia="zh-CN"/>
        </w:rPr>
        <w:t>发改局</w:t>
      </w:r>
      <w:r>
        <w:rPr>
          <w:rFonts w:hint="eastAsia" w:ascii="仿宋_GB2312" w:hAnsi="宋体" w:eastAsia="仿宋_GB2312" w:cs="宋体"/>
          <w:sz w:val="32"/>
          <w:szCs w:val="32"/>
        </w:rPr>
        <w:t>下属二级其他事业单位</w:t>
      </w:r>
      <w:r>
        <w:rPr>
          <w:rFonts w:hint="eastAsia" w:ascii="仿宋_GB2312" w:hAnsi="宋体" w:eastAsia="仿宋_GB2312" w:cs="宋体"/>
          <w:sz w:val="32"/>
          <w:szCs w:val="32"/>
          <w:lang w:eastAsia="zh-CN"/>
        </w:rPr>
        <w:t>。</w:t>
      </w:r>
    </w:p>
    <w:p w14:paraId="1E8AB98B">
      <w:pPr>
        <w:spacing w:line="620" w:lineRule="exact"/>
        <w:rPr>
          <w:rFonts w:hint="eastAsia" w:ascii="仿宋_GB2312" w:hAnsi="宋体" w:eastAsia="仿宋_GB2312" w:cs="宋体"/>
          <w:b/>
          <w:bCs/>
          <w:sz w:val="32"/>
          <w:szCs w:val="32"/>
        </w:rPr>
      </w:pPr>
      <w:r>
        <w:rPr>
          <w:rFonts w:hint="eastAsia" w:ascii="仿宋_GB2312" w:hAnsi="宋体" w:eastAsia="仿宋_GB2312" w:cs="宋体"/>
          <w:b/>
          <w:bCs/>
          <w:sz w:val="32"/>
          <w:szCs w:val="32"/>
          <w:lang w:val="en-US" w:eastAsia="zh-CN"/>
        </w:rPr>
        <w:t>第二部分 2022年度单位决算情况说明</w:t>
      </w:r>
    </w:p>
    <w:p w14:paraId="2DE989B1">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一、收入支出决算总体情况说明</w:t>
      </w:r>
    </w:p>
    <w:p w14:paraId="504109B2">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2022年度收、支总计190.95万元。与2022年相比，收、支总计各增加-9.12万元，增长-4.56%。主要变动原因是主要变动原因是人员减少，经费减少。</w:t>
      </w:r>
    </w:p>
    <w:p w14:paraId="24A6D3C2">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 二、收入决算情况说明</w:t>
      </w:r>
    </w:p>
    <w:p w14:paraId="21EE47EF">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eastAsia="zh-CN"/>
        </w:rPr>
        <w:t>2022年本年收入合计166.76万元，其中：一般公共预算财政拨款收入166.76万元，占100.00%；政府性基金预算财政拨款收入0.00万元，占0.00%；国有资本经营预算财政拨款收入0.00万元，占0.00%；上级补助收入0.00万元，占0.00%；事业收入0.00万元，占0.00%%；经营收入0.00万元，占0.00%%；附属单位上缴收入0.00万元，占0.00%；其他收入0.00万元，占0.00%。</w:t>
      </w:r>
      <w:r>
        <w:rPr>
          <w:rFonts w:hint="eastAsia" w:ascii="仿宋_GB2312" w:hAnsi="宋体" w:eastAsia="仿宋_GB2312" w:cs="宋体"/>
          <w:sz w:val="32"/>
          <w:szCs w:val="32"/>
        </w:rPr>
        <w:t>  </w:t>
      </w:r>
    </w:p>
    <w:p w14:paraId="113FF666">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三、支出决算情况说明</w:t>
      </w:r>
    </w:p>
    <w:p w14:paraId="2C2DF02E">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eastAsia="zh-CN"/>
        </w:rPr>
        <w:t>022年本年支出合计190.95万元，其中：基本支出190.95万元，占100.00%；项目支出0.00万元，占0.00%；上缴上级支出0.00万元，占0.00%；经营支出0.00万元，占经营支出0.00万元，占 0.00%；对附属单位补助支出0.00万元，占0.00%。</w:t>
      </w:r>
    </w:p>
    <w:p w14:paraId="29D6C2D0">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 xml:space="preserve"> </w:t>
      </w:r>
      <w:r>
        <w:rPr>
          <w:rFonts w:hint="eastAsia" w:ascii="仿宋_GB2312" w:hAnsi="宋体" w:eastAsia="仿宋_GB2312" w:cs="宋体"/>
          <w:sz w:val="32"/>
          <w:szCs w:val="32"/>
        </w:rPr>
        <w:t>四、财政拨款收入支出决算总体情况说明</w:t>
      </w:r>
    </w:p>
    <w:p w14:paraId="18936A16">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eastAsia="zh-CN"/>
        </w:rPr>
        <w:t>2022年财政拨款收、支总计190.95万元。与202</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年相比，财政拨款收、支总计各增加-9.12万元，增长-4.56%。主要变动原因是要变动原因是人员减少，经费减少。</w:t>
      </w:r>
    </w:p>
    <w:p w14:paraId="01F133B3">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rPr>
        <w:t>五、一般公共预算财政拨款支出决算情况说明</w:t>
      </w:r>
    </w:p>
    <w:p w14:paraId="7CA9BCDD">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一）一般公共预算财政拨款支出决算总体情况</w:t>
      </w:r>
    </w:p>
    <w:p w14:paraId="61420A1E">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rPr>
      </w:pPr>
      <w:r>
        <w:rPr>
          <w:rFonts w:hint="eastAsia" w:ascii="仿宋_GB2312" w:hAnsi="宋体" w:eastAsia="仿宋_GB2312" w:cs="宋体"/>
          <w:sz w:val="32"/>
          <w:szCs w:val="32"/>
          <w:lang w:eastAsia="zh-CN"/>
        </w:rPr>
        <w:t>2022年一般公共预算财政拨款支出190.95万元，占本年支出合计的100.00%。与202</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eastAsia="zh-CN"/>
        </w:rPr>
        <w:t>年相比，一般公共预算财政拨款支出增加-9.12万元，增长-4.56%。主要变动原因是要变动原因是人员减少，经费减少。</w:t>
      </w:r>
      <w:r>
        <w:rPr>
          <w:rFonts w:hint="eastAsia" w:ascii="仿宋_GB2312" w:hAnsi="宋体" w:eastAsia="仿宋_GB2312" w:cs="宋体"/>
          <w:sz w:val="32"/>
          <w:szCs w:val="32"/>
        </w:rPr>
        <w:t> </w:t>
      </w:r>
    </w:p>
    <w:p w14:paraId="015017BD">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rPr>
        <w:t>（二</w:t>
      </w:r>
      <w:r>
        <w:rPr>
          <w:rFonts w:hint="eastAsia" w:ascii="仿宋_GB2312" w:hAnsi="宋体" w:eastAsia="仿宋_GB2312" w:cs="宋体"/>
          <w:sz w:val="32"/>
          <w:szCs w:val="32"/>
          <w:lang w:eastAsia="zh-CN"/>
        </w:rPr>
        <w:t>）一般公共预算财政拨款支出决算结构情况</w:t>
      </w:r>
    </w:p>
    <w:p w14:paraId="146757C0">
      <w:pPr>
        <w:keepNext w:val="0"/>
        <w:keepLines w:val="0"/>
        <w:pageBreakBefore w:val="0"/>
        <w:widowControl/>
        <w:kinsoku/>
        <w:wordWrap/>
        <w:overflowPunct/>
        <w:topLinePunct w:val="0"/>
        <w:autoSpaceDE/>
        <w:autoSpaceDN/>
        <w:bidi w:val="0"/>
        <w:adjustRightInd w:val="0"/>
        <w:snapToGrid w:val="0"/>
        <w:spacing w:line="620" w:lineRule="exact"/>
        <w:ind w:firstLine="640" w:firstLineChars="200"/>
        <w:textAlignment w:val="auto"/>
        <w:rPr>
          <w:rFonts w:hint="eastAsia" w:ascii="仿宋_GB2312" w:hAnsi="宋体" w:eastAsia="仿宋_GB2312" w:cs="宋体"/>
          <w:sz w:val="32"/>
          <w:szCs w:val="32"/>
          <w:lang w:eastAsia="zh-CN"/>
        </w:rPr>
      </w:pPr>
      <w:r>
        <w:rPr>
          <w:rFonts w:hint="eastAsia" w:ascii="仿宋_GB2312" w:hAnsi="宋体" w:eastAsia="仿宋_GB2312" w:cs="宋体"/>
          <w:sz w:val="32"/>
          <w:szCs w:val="32"/>
          <w:lang w:eastAsia="zh-CN"/>
        </w:rPr>
        <w:t>2022年一般公共预算财政拨款支出190.95万元，主要用于以下方面:一般公共服务（类）支出149.54万元，占78.31%；教育支出（类）0.00万元，占0.00%；科学技术（类）支出0.00万元，占0.00%；文化旅游体育与传媒（类）支出0.00万元，占0.00%；社会保障和就业（类）支出19.15万元，占10.03%；卫生健康支出9.29万元，占4.87%；住房保障支出12.97万元，占6.79%。</w:t>
      </w:r>
    </w:p>
    <w:p w14:paraId="4D678FD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（三）一般公共预算财政拨款支出决算具体情况</w:t>
      </w:r>
    </w:p>
    <w:p w14:paraId="249D393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2022年一般公共预算支出决算数为190.95，完成预算100.00%。其中：</w:t>
      </w:r>
    </w:p>
    <w:p w14:paraId="5A96258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1.一般公共服务</w:t>
      </w:r>
      <w:r>
        <w:rPr>
          <w:rFonts w:hint="eastAsia" w:ascii="仿宋_GB2312" w:hAnsi="宋体" w:eastAsia="仿宋_GB2312" w:cs="宋体"/>
          <w:sz w:val="32"/>
          <w:szCs w:val="32"/>
          <w:lang w:val="en-US" w:eastAsia="zh-CN"/>
        </w:rPr>
        <w:t>（201）发展与改革事务（04）事业运行（50）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149.54</w:t>
      </w:r>
      <w:r>
        <w:rPr>
          <w:rFonts w:hint="eastAsia" w:ascii="仿宋_GB2312" w:hAnsi="宋体" w:eastAsia="仿宋_GB2312" w:cs="宋体"/>
          <w:sz w:val="32"/>
          <w:szCs w:val="32"/>
        </w:rPr>
        <w:t>万元，完成预算100%，</w:t>
      </w:r>
    </w:p>
    <w:p w14:paraId="26BE02F9">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2.社会保障和就业（</w:t>
      </w:r>
      <w:r>
        <w:rPr>
          <w:rFonts w:hint="eastAsia" w:ascii="仿宋_GB2312" w:hAnsi="宋体" w:eastAsia="仿宋_GB2312" w:cs="宋体"/>
          <w:sz w:val="32"/>
          <w:szCs w:val="32"/>
          <w:lang w:val="en-US" w:eastAsia="zh-CN"/>
        </w:rPr>
        <w:t>208</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行政事业养老支出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机关事业单位基本养老保险缴费支出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12.77</w:t>
      </w:r>
      <w:r>
        <w:rPr>
          <w:rFonts w:hint="eastAsia" w:ascii="仿宋_GB2312" w:hAnsi="宋体" w:eastAsia="仿宋_GB2312" w:cs="宋体"/>
          <w:sz w:val="32"/>
          <w:szCs w:val="32"/>
        </w:rPr>
        <w:t>万元，完成预算100%。</w:t>
      </w:r>
    </w:p>
    <w:p w14:paraId="3EA07975">
      <w:pPr>
        <w:spacing w:line="62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社会保障和就业（</w:t>
      </w:r>
      <w:r>
        <w:rPr>
          <w:rFonts w:hint="eastAsia" w:ascii="仿宋_GB2312" w:hAnsi="宋体" w:eastAsia="仿宋_GB2312" w:cs="宋体"/>
          <w:sz w:val="32"/>
          <w:szCs w:val="32"/>
          <w:lang w:val="en-US" w:eastAsia="zh-CN"/>
        </w:rPr>
        <w:t>208</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行政事业养老支出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05</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 xml:space="preserve"> 机关事业单位职业年金缴费支出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06</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w:t>
      </w: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6.38</w:t>
      </w:r>
      <w:r>
        <w:rPr>
          <w:rFonts w:hint="eastAsia" w:ascii="仿宋_GB2312" w:hAnsi="宋体" w:eastAsia="仿宋_GB2312" w:cs="宋体"/>
          <w:sz w:val="32"/>
          <w:szCs w:val="32"/>
        </w:rPr>
        <w:t>万元，完成预算100%</w:t>
      </w:r>
    </w:p>
    <w:p w14:paraId="414D0BE9">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.医疗卫生与计划生育（</w:t>
      </w:r>
      <w:r>
        <w:rPr>
          <w:rFonts w:hint="eastAsia" w:ascii="仿宋_GB2312" w:hAnsi="宋体" w:eastAsia="仿宋_GB2312" w:cs="宋体"/>
          <w:sz w:val="32"/>
          <w:szCs w:val="32"/>
          <w:lang w:val="en-US" w:eastAsia="zh-CN"/>
        </w:rPr>
        <w:t>210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行政</w:t>
      </w:r>
      <w:r>
        <w:rPr>
          <w:rFonts w:hint="eastAsia" w:ascii="仿宋_GB2312" w:hAnsi="宋体" w:eastAsia="仿宋_GB2312" w:cs="宋体"/>
          <w:sz w:val="32"/>
          <w:szCs w:val="32"/>
        </w:rPr>
        <w:t>事业单位医疗（</w:t>
      </w:r>
      <w:r>
        <w:rPr>
          <w:rFonts w:hint="eastAsia" w:ascii="仿宋_GB2312" w:hAnsi="宋体" w:eastAsia="仿宋_GB2312" w:cs="宋体"/>
          <w:sz w:val="32"/>
          <w:szCs w:val="32"/>
          <w:lang w:val="en-US" w:eastAsia="zh-CN"/>
        </w:rPr>
        <w:t>11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事业单位医疗</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02</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7.28</w:t>
      </w:r>
      <w:r>
        <w:rPr>
          <w:rFonts w:hint="eastAsia" w:ascii="仿宋_GB2312" w:hAnsi="宋体" w:eastAsia="仿宋_GB2312" w:cs="宋体"/>
          <w:sz w:val="32"/>
          <w:szCs w:val="32"/>
        </w:rPr>
        <w:t>万元，完成预算100%。</w:t>
      </w:r>
    </w:p>
    <w:p w14:paraId="651697E6">
      <w:pPr>
        <w:spacing w:line="62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5.</w:t>
      </w:r>
      <w:r>
        <w:rPr>
          <w:rFonts w:hint="eastAsia" w:ascii="仿宋_GB2312" w:hAnsi="宋体" w:eastAsia="仿宋_GB2312" w:cs="宋体"/>
          <w:sz w:val="32"/>
          <w:szCs w:val="32"/>
        </w:rPr>
        <w:t>医疗卫生与计划生育（</w:t>
      </w:r>
      <w:r>
        <w:rPr>
          <w:rFonts w:hint="eastAsia" w:ascii="仿宋_GB2312" w:hAnsi="宋体" w:eastAsia="仿宋_GB2312" w:cs="宋体"/>
          <w:sz w:val="32"/>
          <w:szCs w:val="32"/>
          <w:lang w:val="en-US" w:eastAsia="zh-CN"/>
        </w:rPr>
        <w:t>210</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行政</w:t>
      </w:r>
      <w:r>
        <w:rPr>
          <w:rFonts w:hint="eastAsia" w:ascii="仿宋_GB2312" w:hAnsi="宋体" w:eastAsia="仿宋_GB2312" w:cs="宋体"/>
          <w:sz w:val="32"/>
          <w:szCs w:val="32"/>
        </w:rPr>
        <w:t>事业单位医疗（</w:t>
      </w:r>
      <w:r>
        <w:rPr>
          <w:rFonts w:hint="eastAsia" w:ascii="仿宋_GB2312" w:hAnsi="宋体" w:eastAsia="仿宋_GB2312" w:cs="宋体"/>
          <w:sz w:val="32"/>
          <w:szCs w:val="32"/>
          <w:lang w:val="en-US" w:eastAsia="zh-CN"/>
        </w:rPr>
        <w:t>11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其他行政事业单位医疗支出</w:t>
      </w:r>
      <w:r>
        <w:rPr>
          <w:rFonts w:hint="eastAsia" w:ascii="仿宋_GB2312" w:hAnsi="宋体" w:eastAsia="仿宋_GB2312" w:cs="宋体"/>
          <w:sz w:val="32"/>
          <w:szCs w:val="32"/>
        </w:rPr>
        <w:t>（</w:t>
      </w:r>
      <w:r>
        <w:rPr>
          <w:rFonts w:hint="eastAsia" w:ascii="仿宋_GB2312" w:hAnsi="宋体" w:eastAsia="仿宋_GB2312" w:cs="宋体"/>
          <w:sz w:val="32"/>
          <w:szCs w:val="32"/>
          <w:lang w:val="en-US" w:eastAsia="zh-CN"/>
        </w:rPr>
        <w:t>99</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2.01</w:t>
      </w:r>
      <w:r>
        <w:rPr>
          <w:rFonts w:hint="eastAsia" w:ascii="仿宋_GB2312" w:hAnsi="宋体" w:eastAsia="仿宋_GB2312" w:cs="宋体"/>
          <w:sz w:val="32"/>
          <w:szCs w:val="32"/>
        </w:rPr>
        <w:t>万元，完成预算100%。</w:t>
      </w:r>
    </w:p>
    <w:p w14:paraId="3BA6DD8A">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6</w:t>
      </w:r>
      <w:r>
        <w:rPr>
          <w:rFonts w:hint="eastAsia" w:ascii="仿宋_GB2312" w:hAnsi="宋体" w:eastAsia="仿宋_GB2312" w:cs="宋体"/>
          <w:sz w:val="32"/>
          <w:szCs w:val="32"/>
        </w:rPr>
        <w:t xml:space="preserve"> .住房保障支出</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221</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住房改革支出（02）住房公积金（01）</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年决算数为</w:t>
      </w:r>
      <w:r>
        <w:rPr>
          <w:rFonts w:hint="eastAsia" w:ascii="仿宋_GB2312" w:hAnsi="宋体" w:eastAsia="仿宋_GB2312" w:cs="宋体"/>
          <w:sz w:val="32"/>
          <w:szCs w:val="32"/>
          <w:lang w:val="en-US" w:eastAsia="zh-CN"/>
        </w:rPr>
        <w:t>12.97</w:t>
      </w:r>
      <w:r>
        <w:rPr>
          <w:rFonts w:hint="eastAsia" w:ascii="仿宋_GB2312" w:hAnsi="宋体" w:eastAsia="仿宋_GB2312" w:cs="宋体"/>
          <w:sz w:val="32"/>
          <w:szCs w:val="32"/>
        </w:rPr>
        <w:t>万元，完成预算100%。</w:t>
      </w:r>
    </w:p>
    <w:p w14:paraId="7B7ADBC2">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六、一般公共预算财政拨款基本支出决算情况说明 </w:t>
      </w:r>
      <w:r>
        <w:rPr>
          <w:rFonts w:hint="eastAsia" w:ascii="仿宋_GB2312" w:hAnsi="宋体" w:eastAsia="仿宋_GB2312" w:cs="宋体"/>
          <w:sz w:val="32"/>
          <w:szCs w:val="32"/>
        </w:rPr>
        <w:t>  </w:t>
      </w:r>
    </w:p>
    <w:p w14:paraId="0618C0F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2022年一般公共预算财政拨款基本支出190.95万元，其中：</w:t>
      </w:r>
    </w:p>
    <w:p w14:paraId="76D25E14">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人员经费184.27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3DBD258E">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公用经费6.68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96B906B">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七、“三公”经费财政拨款支出决算情况说明</w:t>
      </w:r>
    </w:p>
    <w:p w14:paraId="788DF4DE">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（一）“三公”经费财政拨款支出决算总体情况说明</w:t>
      </w:r>
    </w:p>
    <w:p w14:paraId="05502A57">
      <w:pPr>
        <w:spacing w:line="62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2022年“三公”经费财政拨款支出决算为0.00万元，完成预算0.00%</w:t>
      </w:r>
      <w:r>
        <w:rPr>
          <w:rFonts w:hint="eastAsia" w:ascii="仿宋_GB2312" w:hAnsi="宋体" w:eastAsia="仿宋_GB2312" w:cs="宋体"/>
          <w:sz w:val="32"/>
          <w:szCs w:val="32"/>
          <w:lang w:eastAsia="zh-CN"/>
        </w:rPr>
        <w:t>。</w:t>
      </w:r>
    </w:p>
    <w:p w14:paraId="1104635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（二）“三公”经费财政拨款支出决算具体情况说明</w:t>
      </w:r>
    </w:p>
    <w:p w14:paraId="0C8ED688">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2022年“三公”经费财政拨款支出决算中，因公出国（境）费支出决算0.00万元，占0.00%；公务用车购置及运行维护费支出决算0.00万元，占0.00%；公务接待费支出决算0.00万元，占0.00%。具体情况如下：</w:t>
      </w:r>
    </w:p>
    <w:p w14:paraId="1EDDAD4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1.因公出国（境）经费支出0.00万元，完成预算0.00%。全年安排因公出国（境）团组0次，出国（境）0人。因公出国（境）支出决算比</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年增加0.00万元，增长0.00%。</w:t>
      </w:r>
    </w:p>
    <w:p w14:paraId="00697D6A">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2.公务用车购置及运行维护费支出0.00万元,完成预算0.00%。公务用车购置及运行维护费支出决算比</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年增加0.00万元，增长0.00%。</w:t>
      </w:r>
    </w:p>
    <w:p w14:paraId="43AE839A">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其中：公务用车购置支出0.00万元。全年按规定更新购置公务用车0辆，其中：轿车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辆、金额</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万元，越野车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辆、金额</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万元，载客汽车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辆、金额</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万元。截至</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年12月底，单位共有公务用车0辆，其中：轿车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辆、越野车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辆、载客汽车</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辆。</w:t>
      </w:r>
    </w:p>
    <w:p w14:paraId="1C4205E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公务用车运行维护费支出0.00万元。</w:t>
      </w:r>
    </w:p>
    <w:p w14:paraId="3A4B695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3.公务接待费支出0.00万元，完成预算100%。公务接待费支出决算比</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年增加0.00万元，增长0.00%。其中：</w:t>
      </w:r>
    </w:p>
    <w:p w14:paraId="77D1DF3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国内公务接待支出0.00万元。国内公务接待0批次，0人次（不包括陪同人员），共计支出0.00万元。</w:t>
      </w:r>
    </w:p>
    <w:p w14:paraId="5DD097B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外事接待支出0.00万元，外事接待0批次，0人，共计支出0.00万元。</w:t>
      </w:r>
    </w:p>
    <w:p w14:paraId="13B5F73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八、政府性基金预算支出决算情况说明</w:t>
      </w:r>
    </w:p>
    <w:p w14:paraId="642BD34E">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2022年政府性基金预算财政拨款支出0.00万元。</w:t>
      </w:r>
    </w:p>
    <w:p w14:paraId="2D3722BF">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九、国有资本经营预算支出决算情况说明</w:t>
      </w:r>
    </w:p>
    <w:p w14:paraId="3B00AD4C">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2022年国有资本经营预算财政拨款支出0.00万元。</w:t>
      </w:r>
    </w:p>
    <w:p w14:paraId="503C25FA">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十、其他重要事项的情况说明</w:t>
      </w:r>
    </w:p>
    <w:p w14:paraId="24FBFEC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（一）机关运行经费支出情况</w:t>
      </w:r>
    </w:p>
    <w:p w14:paraId="6D938A4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2022年，四川省阿坝州九寨沟县价格认证中心机关运行经费支出0.00万元，比</w:t>
      </w:r>
      <w:r>
        <w:rPr>
          <w:rFonts w:hint="eastAsia" w:ascii="仿宋_GB2312" w:hAnsi="宋体" w:eastAsia="仿宋_GB2312" w:cs="宋体"/>
          <w:sz w:val="32"/>
          <w:szCs w:val="32"/>
          <w:lang w:eastAsia="zh-CN"/>
        </w:rPr>
        <w:t>2022</w:t>
      </w:r>
      <w:r>
        <w:rPr>
          <w:rFonts w:hint="eastAsia" w:ascii="仿宋_GB2312" w:hAnsi="宋体" w:eastAsia="仿宋_GB2312" w:cs="宋体"/>
          <w:sz w:val="32"/>
          <w:szCs w:val="32"/>
        </w:rPr>
        <w:t>年增加0.00万元，增长0.00%。</w:t>
      </w:r>
    </w:p>
    <w:p w14:paraId="19D9ED79">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（二）政府采购支出情况</w:t>
      </w:r>
    </w:p>
    <w:p w14:paraId="0697FCB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2022年，四川省阿坝州九寨沟县价格认证中心政府采购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14:paraId="4C0BAE7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（三）国有资产占有使用情况</w:t>
      </w:r>
    </w:p>
    <w:p w14:paraId="7FD3F9B1">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截至2022年12月31日，四川省阿坝州九寨沟县价格认证中心共有车辆0辆，其中：主要领导干部用车0辆、机要通信用车0辆、应急保障用车0辆、其他用车0辆</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rPr>
        <w:t>单价100万元（含）以上设备（不含车辆）0台（套）。</w:t>
      </w:r>
    </w:p>
    <w:p w14:paraId="28EC486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（四）预算绩效管理情况</w:t>
      </w:r>
    </w:p>
    <w:p w14:paraId="2A00F9A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根据预算绩效管理要求，本部门在2022年度预算编制阶段，组织对</w:t>
      </w:r>
      <w:r>
        <w:rPr>
          <w:rFonts w:hint="eastAsia" w:ascii="仿宋_GB2312" w:hAnsi="宋体" w:eastAsia="仿宋_GB2312" w:cs="宋体"/>
          <w:sz w:val="32"/>
          <w:szCs w:val="32"/>
          <w:lang w:val="en-US" w:eastAsia="zh-CN"/>
        </w:rPr>
        <w:t>0</w:t>
      </w:r>
      <w:r>
        <w:rPr>
          <w:rFonts w:hint="eastAsia" w:ascii="仿宋_GB2312" w:hAnsi="宋体" w:eastAsia="仿宋_GB2312" w:cs="宋体"/>
          <w:sz w:val="32"/>
          <w:szCs w:val="32"/>
        </w:rPr>
        <w:t>个项目开展了预算事前绩效评估，对</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个项目编制了绩效目标，预算执行过程中，选取</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个项目开展绩效监控，组织对</w:t>
      </w: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rPr>
        <w:t>个项目开展绩效自评，绩效自评表详见第四部分附件。</w:t>
      </w:r>
    </w:p>
    <w:p w14:paraId="2563BA7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w:t>
      </w:r>
    </w:p>
    <w:p w14:paraId="627213D7">
      <w:pPr>
        <w:spacing w:line="620" w:lineRule="exact"/>
        <w:ind w:firstLine="643" w:firstLineChars="200"/>
        <w:rPr>
          <w:rFonts w:hint="eastAsia" w:ascii="仿宋_GB2312" w:hAnsi="宋体" w:eastAsia="仿宋_GB2312" w:cs="宋体"/>
          <w:b/>
          <w:bCs/>
          <w:sz w:val="32"/>
          <w:szCs w:val="32"/>
        </w:rPr>
      </w:pPr>
      <w:r>
        <w:rPr>
          <w:rFonts w:hint="eastAsia" w:ascii="仿宋_GB2312" w:hAnsi="宋体" w:eastAsia="仿宋_GB2312" w:cs="宋体"/>
          <w:b/>
          <w:bCs/>
          <w:sz w:val="32"/>
          <w:szCs w:val="32"/>
        </w:rPr>
        <w:t>第三部分 名词解释</w:t>
      </w:r>
    </w:p>
    <w:p w14:paraId="62617E9C">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1.财政拨款收入：指单位从同级财政部门取得的财政预算资金。</w:t>
      </w:r>
    </w:p>
    <w:p w14:paraId="4DEF15AB">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2.事业收入：指事业单位开展专业业务活动及辅助活动取得的收入。3.经营收入：指事业单位在专业业务活动及其辅助活动之外开展非独立核算经营活动取得的收入。</w:t>
      </w:r>
    </w:p>
    <w:p w14:paraId="2845D20C">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4.其他收入：指单位取得的除上述收入以外的各项收入。</w:t>
      </w:r>
    </w:p>
    <w:p w14:paraId="1C417A50">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05FD81EE">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xml:space="preserve">6.年初结转和结余：指以前年度尚未完成、结转到本年按有关规定继续使用的资金。 </w:t>
      </w:r>
    </w:p>
    <w:p w14:paraId="59FE2FA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7.结余分配：指事业单位按照事业单位会计制度的规定从非财政补助结余中分配的事业基金和职工福利基金等。</w:t>
      </w:r>
    </w:p>
    <w:p w14:paraId="711AA05E">
      <w:pPr>
        <w:spacing w:line="620" w:lineRule="exact"/>
        <w:ind w:firstLine="640" w:firstLineChars="200"/>
        <w:rPr>
          <w:rFonts w:hint="eastAsia" w:ascii="仿宋_GB2312" w:hAnsi="宋体" w:eastAsia="仿宋_GB2312" w:cs="宋体"/>
          <w:sz w:val="32"/>
          <w:szCs w:val="32"/>
          <w:lang w:eastAsia="zh-CN"/>
        </w:rPr>
      </w:pPr>
      <w:r>
        <w:rPr>
          <w:rFonts w:hint="eastAsia" w:ascii="仿宋_GB2312" w:hAnsi="宋体" w:eastAsia="仿宋_GB2312" w:cs="宋体"/>
          <w:sz w:val="32"/>
          <w:szCs w:val="32"/>
        </w:rPr>
        <w:t>8、年末结转和结余：指单位按有关规定结转到下年或以后</w:t>
      </w:r>
      <w:r>
        <w:rPr>
          <w:rFonts w:hint="eastAsia" w:ascii="仿宋_GB2312" w:hAnsi="宋体" w:eastAsia="仿宋_GB2312" w:cs="宋体"/>
          <w:sz w:val="32"/>
          <w:szCs w:val="32"/>
          <w:lang w:eastAsia="zh-CN"/>
        </w:rPr>
        <w:t>。</w:t>
      </w:r>
    </w:p>
    <w:p w14:paraId="707A3CC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9.一般公共服务（201）行政机关（0</w:t>
      </w: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w:t>
      </w:r>
      <w:r>
        <w:rPr>
          <w:rFonts w:hint="eastAsia" w:ascii="仿宋_GB2312" w:hAnsi="宋体" w:eastAsia="仿宋_GB2312" w:cs="宋体"/>
          <w:sz w:val="32"/>
          <w:szCs w:val="32"/>
          <w:lang w:eastAsia="zh-CN"/>
        </w:rPr>
        <w:t>事业</w:t>
      </w:r>
      <w:r>
        <w:rPr>
          <w:rFonts w:hint="eastAsia" w:ascii="仿宋_GB2312" w:hAnsi="宋体" w:eastAsia="仿宋_GB2312" w:cs="宋体"/>
          <w:sz w:val="32"/>
          <w:szCs w:val="32"/>
        </w:rPr>
        <w:t>运行（</w:t>
      </w:r>
      <w:r>
        <w:rPr>
          <w:rFonts w:hint="eastAsia" w:ascii="仿宋_GB2312" w:hAnsi="宋体" w:eastAsia="仿宋_GB2312" w:cs="宋体"/>
          <w:sz w:val="32"/>
          <w:szCs w:val="32"/>
          <w:lang w:val="en-US" w:eastAsia="zh-CN"/>
        </w:rPr>
        <w:t>50</w:t>
      </w:r>
      <w:r>
        <w:rPr>
          <w:rFonts w:hint="eastAsia" w:ascii="仿宋_GB2312" w:hAnsi="宋体" w:eastAsia="仿宋_GB2312" w:cs="宋体"/>
          <w:sz w:val="32"/>
          <w:szCs w:val="32"/>
        </w:rPr>
        <w:t>）：指乡机关用于保障机构正常运行、开展日常工作的基本支出。</w:t>
      </w:r>
    </w:p>
    <w:p w14:paraId="0DAB8C69">
      <w:pPr>
        <w:pStyle w:val="10"/>
        <w:shd w:val="clear" w:color="auto" w:fill="FFFFFF"/>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eastAsia="仿宋_GB2312"/>
          <w:color w:val="000000"/>
          <w:sz w:val="32"/>
          <w:szCs w:val="32"/>
          <w:lang w:val="en-US" w:eastAsia="zh-CN"/>
        </w:rPr>
        <w:t>208</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行政事业单位离退休</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机关事业单位基本养老保险缴费支出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05</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部门实施养老保险制度由单位缴纳的养老保险支出</w:t>
      </w:r>
      <w:r>
        <w:rPr>
          <w:rFonts w:hint="eastAsia" w:ascii="仿宋_GB2312" w:eastAsia="仿宋_GB2312"/>
          <w:color w:val="000000"/>
          <w:sz w:val="32"/>
          <w:szCs w:val="32"/>
        </w:rPr>
        <w:t>。</w:t>
      </w:r>
      <w:r>
        <w:rPr>
          <w:rStyle w:val="13"/>
          <w:rFonts w:hint="eastAsia" w:ascii="仿宋" w:hAnsi="仿宋" w:eastAsia="仿宋" w:cs="Times New Roman"/>
          <w:b w:val="0"/>
          <w:color w:val="000000"/>
          <w:sz w:val="32"/>
          <w:szCs w:val="32"/>
          <w:lang w:val="en-US" w:eastAsia="zh-CN" w:bidi="ar-SA"/>
        </w:rPr>
        <w:t>机关事业单位职业年金缴费支出（06）</w:t>
      </w:r>
      <w:r>
        <w:rPr>
          <w:rFonts w:hint="eastAsia" w:ascii="仿宋_GB2312" w:eastAsia="仿宋_GB2312"/>
          <w:color w:val="000000"/>
          <w:sz w:val="32"/>
          <w:szCs w:val="32"/>
        </w:rPr>
        <w:t>：指</w:t>
      </w:r>
      <w:r>
        <w:rPr>
          <w:rFonts w:hint="eastAsia" w:ascii="仿宋_GB2312" w:eastAsia="仿宋_GB2312"/>
          <w:color w:val="000000"/>
          <w:sz w:val="32"/>
          <w:szCs w:val="32"/>
          <w:lang w:val="en-US" w:eastAsia="zh-CN"/>
        </w:rPr>
        <w:t>部门实施养老保险制度由单位缴纳的职业年金支出。</w:t>
      </w:r>
    </w:p>
    <w:p w14:paraId="179E29AB">
      <w:pPr>
        <w:pStyle w:val="10"/>
        <w:shd w:val="clear" w:color="auto" w:fill="FFFFFF"/>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医疗卫生与计划生育（210）行政事业单位医疗（11）</w:t>
      </w:r>
      <w:r>
        <w:rPr>
          <w:rFonts w:hint="eastAsia" w:ascii="仿宋_GB2312" w:eastAsia="仿宋_GB2312"/>
          <w:color w:val="000000"/>
          <w:sz w:val="32"/>
          <w:szCs w:val="32"/>
          <w:lang w:val="en-US" w:eastAsia="zh-CN"/>
        </w:rPr>
        <w:t>事业</w:t>
      </w:r>
      <w:r>
        <w:rPr>
          <w:rFonts w:hint="eastAsia" w:ascii="仿宋_GB2312" w:eastAsia="仿宋_GB2312"/>
          <w:color w:val="000000"/>
          <w:sz w:val="32"/>
          <w:szCs w:val="32"/>
        </w:rPr>
        <w:t>单位医疗（0</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事业单位医疗保险</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 xml:space="preserve"> 其他行政事业单位医疗支出</w:t>
      </w:r>
      <w:r>
        <w:rPr>
          <w:rFonts w:hint="eastAsia" w:ascii="仿宋_GB2312" w:eastAsia="仿宋_GB2312"/>
          <w:color w:val="000000"/>
          <w:sz w:val="32"/>
          <w:szCs w:val="32"/>
          <w:lang w:eastAsia="zh-CN"/>
        </w:rPr>
        <w:t>：指事业人员在参加城镇职工基本医疗保险制度的基础上国家对公务员实行的医疗补助</w:t>
      </w:r>
      <w:r>
        <w:rPr>
          <w:rFonts w:hint="eastAsia" w:ascii="仿宋_GB2312" w:eastAsia="仿宋_GB2312"/>
          <w:color w:val="000000"/>
          <w:sz w:val="32"/>
          <w:szCs w:val="32"/>
        </w:rPr>
        <w:t>。</w:t>
      </w:r>
    </w:p>
    <w:p w14:paraId="2EDE5377">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住房保障支出（221）住房改革支出（02）住房公积金（01）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住房公积金</w:t>
      </w:r>
      <w:r>
        <w:rPr>
          <w:rFonts w:hint="eastAsia" w:ascii="仿宋_GB2312" w:eastAsia="仿宋_GB2312"/>
          <w:color w:val="000000"/>
          <w:sz w:val="32"/>
          <w:szCs w:val="32"/>
        </w:rPr>
        <w:t>。</w:t>
      </w:r>
    </w:p>
    <w:p w14:paraId="5FB095AB">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13.基本支出：指为保障机构正常运转、完成日常工作任务而发生的人员支出和公用支出。</w:t>
      </w:r>
    </w:p>
    <w:p w14:paraId="29B4E9B7">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14.项目支出：指在基本支出之外为完成特定行政任务和事业发展目标所发生的支出。</w:t>
      </w:r>
    </w:p>
    <w:p w14:paraId="6FE51BB3">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15.经营支出：指事业单位在专业业务活动及其辅助活动之外开展非独立核算经营活动发生的支出。</w:t>
      </w:r>
    </w:p>
    <w:p w14:paraId="0419B839">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AF147E7">
      <w:pPr>
        <w:ind w:firstLine="640" w:firstLineChars="200"/>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45F538E">
      <w:pPr>
        <w:rPr>
          <w:rFonts w:hint="eastAsia" w:ascii="仿宋_GB2312" w:hAnsi="宋体" w:eastAsia="仿宋_GB2312" w:cs="宋体"/>
          <w:color w:val="000000"/>
          <w:sz w:val="32"/>
          <w:szCs w:val="32"/>
          <w:lang w:val="en-US" w:eastAsia="zh-CN"/>
        </w:rPr>
      </w:pPr>
    </w:p>
    <w:p w14:paraId="30874ACF">
      <w:pPr>
        <w:pStyle w:val="10"/>
        <w:shd w:val="clear" w:color="auto" w:fill="FFFFFF"/>
      </w:pPr>
      <w:r>
        <w:t> </w:t>
      </w:r>
    </w:p>
    <w:p w14:paraId="3EC6478B">
      <w:pPr>
        <w:pStyle w:val="10"/>
        <w:shd w:val="clear" w:color="auto" w:fill="FFFFFF"/>
      </w:pPr>
    </w:p>
    <w:p w14:paraId="1BE65A1F">
      <w:pPr>
        <w:pStyle w:val="10"/>
        <w:shd w:val="clear" w:color="auto" w:fill="FFFFFF"/>
        <w:jc w:val="center"/>
      </w:pPr>
      <w:r>
        <w:rPr>
          <w:rStyle w:val="13"/>
          <w:sz w:val="39"/>
          <w:szCs w:val="39"/>
        </w:rPr>
        <w:t>第四部分 附件</w:t>
      </w:r>
      <w:r>
        <w:t> </w:t>
      </w:r>
    </w:p>
    <w:p w14:paraId="7A9DB242">
      <w:pPr>
        <w:widowControl/>
        <w:spacing w:line="580" w:lineRule="exact"/>
        <w:contextualSpacing/>
        <w:jc w:val="center"/>
        <w:rPr>
          <w:rFonts w:hint="eastAsia" w:ascii="宋体" w:eastAsia="宋体"/>
          <w:b/>
          <w:sz w:val="44"/>
          <w:szCs w:val="44"/>
          <w:shd w:val="clear" w:color="auto" w:fill="FFFFFF"/>
        </w:rPr>
      </w:pPr>
      <w:r>
        <w:rPr>
          <w:rFonts w:hint="eastAsia" w:ascii="宋体" w:eastAsia="宋体"/>
          <w:b/>
          <w:sz w:val="44"/>
          <w:szCs w:val="44"/>
          <w:shd w:val="clear" w:color="auto" w:fill="FFFFFF"/>
        </w:rPr>
        <w:t>20</w:t>
      </w:r>
      <w:r>
        <w:rPr>
          <w:rFonts w:hint="eastAsia" w:ascii="宋体" w:eastAsia="宋体"/>
          <w:b/>
          <w:sz w:val="44"/>
          <w:szCs w:val="44"/>
          <w:shd w:val="clear" w:color="auto" w:fill="FFFFFF"/>
          <w:lang w:val="en-US" w:eastAsia="zh-CN"/>
        </w:rPr>
        <w:t>2</w:t>
      </w:r>
      <w:r>
        <w:rPr>
          <w:rFonts w:ascii="宋体" w:eastAsia="宋体"/>
          <w:b/>
          <w:sz w:val="44"/>
          <w:szCs w:val="44"/>
          <w:shd w:val="clear" w:color="auto" w:fill="FFFFFF"/>
          <w:lang w:val="en-US" w:eastAsia="zh-CN"/>
        </w:rPr>
        <w:t>3</w:t>
      </w:r>
      <w:r>
        <w:rPr>
          <w:rFonts w:hint="eastAsia" w:ascii="宋体" w:eastAsia="宋体"/>
          <w:b/>
          <w:sz w:val="44"/>
          <w:szCs w:val="44"/>
          <w:shd w:val="clear" w:color="auto" w:fill="FFFFFF"/>
        </w:rPr>
        <w:t>年</w:t>
      </w:r>
      <w:r>
        <w:rPr>
          <w:rFonts w:hint="eastAsia" w:ascii="宋体" w:eastAsia="宋体"/>
          <w:b/>
          <w:sz w:val="44"/>
          <w:szCs w:val="44"/>
          <w:shd w:val="clear" w:color="auto" w:fill="FFFFFF"/>
          <w:lang w:val="en-US" w:eastAsia="zh-CN"/>
        </w:rPr>
        <w:t>县</w:t>
      </w:r>
      <w:r>
        <w:rPr>
          <w:rFonts w:hint="eastAsia" w:ascii="宋体" w:eastAsia="宋体"/>
          <w:b/>
          <w:sz w:val="44"/>
          <w:szCs w:val="44"/>
          <w:shd w:val="clear" w:color="auto" w:fill="FFFFFF"/>
        </w:rPr>
        <w:t>级部门整体支出</w:t>
      </w:r>
    </w:p>
    <w:p w14:paraId="03673D8E">
      <w:pPr>
        <w:widowControl/>
        <w:spacing w:line="580" w:lineRule="exact"/>
        <w:contextualSpacing/>
        <w:jc w:val="center"/>
        <w:rPr>
          <w:rFonts w:ascii="宋体" w:eastAsia="宋体"/>
          <w:b/>
          <w:sz w:val="44"/>
          <w:szCs w:val="44"/>
          <w:shd w:val="clear" w:color="auto" w:fill="FFFFFF"/>
        </w:rPr>
      </w:pPr>
      <w:r>
        <w:rPr>
          <w:rFonts w:hint="eastAsia" w:ascii="宋体" w:eastAsia="宋体"/>
          <w:b/>
          <w:sz w:val="44"/>
          <w:szCs w:val="44"/>
          <w:shd w:val="clear" w:color="auto" w:fill="FFFFFF"/>
        </w:rPr>
        <w:t>绩效评价报告范本</w:t>
      </w:r>
    </w:p>
    <w:p w14:paraId="28A24930">
      <w:pPr>
        <w:spacing w:line="620" w:lineRule="exact"/>
        <w:ind w:firstLine="640" w:firstLineChars="200"/>
        <w:rPr>
          <w:rFonts w:hint="eastAsia" w:ascii="仿宋_GB2312" w:hAnsi="宋体" w:eastAsia="仿宋_GB2312" w:cs="宋体"/>
          <w:sz w:val="32"/>
          <w:szCs w:val="32"/>
          <w:lang w:val="en-US" w:eastAsia="zh-CN"/>
        </w:rPr>
      </w:pPr>
    </w:p>
    <w:p w14:paraId="54192A07">
      <w:pPr>
        <w:spacing w:line="620" w:lineRule="exact"/>
        <w:ind w:firstLine="640" w:firstLineChars="200"/>
        <w:rPr>
          <w:rFonts w:hint="eastAsia" w:ascii="仿宋_GB2312" w:hAnsi="宋体" w:eastAsia="仿宋_GB2312" w:cs="宋体"/>
          <w:sz w:val="32"/>
          <w:szCs w:val="32"/>
          <w:lang w:val="zh-CN" w:eastAsia="zh-CN"/>
        </w:rPr>
      </w:pPr>
      <w:r>
        <w:rPr>
          <w:rFonts w:hint="eastAsia" w:ascii="仿宋_GB2312" w:hAnsi="宋体" w:eastAsia="仿宋_GB2312" w:cs="宋体"/>
          <w:sz w:val="32"/>
          <w:szCs w:val="32"/>
          <w:lang w:val="en-US" w:eastAsia="zh-CN"/>
        </w:rPr>
        <w:t>一、</w:t>
      </w:r>
      <w:r>
        <w:rPr>
          <w:rFonts w:hint="eastAsia" w:ascii="仿宋_GB2312" w:hAnsi="宋体" w:eastAsia="仿宋_GB2312" w:cs="宋体"/>
          <w:sz w:val="32"/>
          <w:szCs w:val="32"/>
          <w:lang w:val="zh-CN" w:eastAsia="zh-CN"/>
        </w:rPr>
        <w:t>部门（单位）概况</w:t>
      </w:r>
    </w:p>
    <w:p w14:paraId="5E544A80">
      <w:pPr>
        <w:spacing w:line="620" w:lineRule="exact"/>
        <w:ind w:firstLine="640" w:firstLineChars="200"/>
        <w:rPr>
          <w:rFonts w:hint="eastAsia" w:ascii="仿宋_GB2312" w:hAnsi="宋体" w:eastAsia="仿宋_GB2312" w:cs="宋体"/>
          <w:sz w:val="32"/>
          <w:szCs w:val="32"/>
          <w:lang w:val="zh-CN" w:eastAsia="zh-CN"/>
        </w:rPr>
      </w:pPr>
      <w:r>
        <w:rPr>
          <w:rFonts w:hint="eastAsia" w:ascii="仿宋_GB2312" w:hAnsi="宋体" w:eastAsia="仿宋_GB2312" w:cs="宋体"/>
          <w:sz w:val="32"/>
          <w:szCs w:val="32"/>
          <w:lang w:val="zh-CN" w:eastAsia="zh-CN"/>
        </w:rPr>
        <w:t>（一）机构组成。</w:t>
      </w:r>
    </w:p>
    <w:p w14:paraId="0CC636E8">
      <w:pPr>
        <w:spacing w:line="62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发改局下设二级事业单位单位。</w:t>
      </w:r>
    </w:p>
    <w:p w14:paraId="6DAFDCA1">
      <w:pPr>
        <w:spacing w:line="620" w:lineRule="exact"/>
        <w:ind w:firstLine="640" w:firstLineChars="200"/>
        <w:rPr>
          <w:rFonts w:hint="eastAsia" w:ascii="仿宋_GB2312" w:hAnsi="宋体" w:eastAsia="仿宋_GB2312" w:cs="宋体"/>
          <w:sz w:val="32"/>
          <w:szCs w:val="32"/>
          <w:lang w:val="zh-CN" w:eastAsia="zh-CN"/>
        </w:rPr>
      </w:pPr>
      <w:r>
        <w:rPr>
          <w:rFonts w:hint="eastAsia" w:ascii="仿宋_GB2312" w:hAnsi="宋体" w:eastAsia="仿宋_GB2312" w:cs="宋体"/>
          <w:sz w:val="32"/>
          <w:szCs w:val="32"/>
          <w:lang w:val="zh-CN" w:eastAsia="zh-CN"/>
        </w:rPr>
        <w:t>机构职能。</w:t>
      </w:r>
    </w:p>
    <w:p w14:paraId="0A4FE0AB">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cs="宋体"/>
          <w:sz w:val="32"/>
          <w:szCs w:val="32"/>
          <w:lang w:val="en-US" w:eastAsia="zh-CN"/>
        </w:rPr>
        <w:t>1.贯彻执行国家</w:t>
      </w:r>
      <w:r>
        <w:rPr>
          <w:rFonts w:hint="eastAsia" w:ascii="仿宋_GB2312" w:hAnsi="宋体" w:eastAsia="仿宋_GB2312"/>
          <w:sz w:val="32"/>
          <w:szCs w:val="32"/>
        </w:rPr>
        <w:t>价格法律、法规、规章和政策规定，草拟相关地方性法规、规章、政策并组织实施。</w:t>
      </w:r>
    </w:p>
    <w:p w14:paraId="6B13C1C9">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负责全县价格总水平的宏观调控和综合平衡；研究提出控制物价总水平的相关措施；参与调控价格总水平相关的决策方案，提供给党委和政府决策。</w:t>
      </w:r>
    </w:p>
    <w:p w14:paraId="785E5F9C">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负责监测、分析、预报全县市场价格动态和变化趋势，并提出政策建议。</w:t>
      </w:r>
    </w:p>
    <w:p w14:paraId="76978343">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按照价格管理权限，研究制定全县管理价格、收费目录和管理办法，制定并公布政府定价和政府指导价；审定、调整列入管理的商品价格和服务价格；贯彻执行国家行政事业性收费项目和标准，会同财政部门审定、调整列入管理的收费项目和收费标准；组织实施行政事业性收费、经营性收费许可证制度和年度审验工作。</w:t>
      </w:r>
    </w:p>
    <w:p w14:paraId="7DBF7A14">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5.</w:t>
      </w:r>
      <w:r>
        <w:rPr>
          <w:rFonts w:hint="eastAsia" w:ascii="仿宋_GB2312" w:hAnsi="宋体" w:eastAsia="仿宋_GB2312"/>
          <w:sz w:val="32"/>
          <w:szCs w:val="32"/>
        </w:rPr>
        <w:t>对放开的商品价格和服务价格实施指导，合理安排各种差价和比价关系。引导和规范经营者自主定价行为，指导行业价格自律。当市场商品价格和服务价格出现异常波动时，提出干预措施，待批准后组织实施。</w:t>
      </w:r>
    </w:p>
    <w:p w14:paraId="2B8CBE2F">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6.</w:t>
      </w:r>
      <w:r>
        <w:rPr>
          <w:rFonts w:hint="eastAsia" w:ascii="仿宋_GB2312" w:hAnsi="宋体" w:eastAsia="仿宋_GB2312"/>
          <w:sz w:val="32"/>
          <w:szCs w:val="32"/>
        </w:rPr>
        <w:t>负责全县境内的旅游市场价格监管工作。一是申报景区门票价格调整方案；二是指导和监管涉旅购物市场价格行为；三是指导和规范宾馆（酒店）以及各类娱乐场所的价格行为；四是监管营业性演艺团体价格行为。</w:t>
      </w:r>
    </w:p>
    <w:p w14:paraId="7B09168E">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负责全县价格监督检查工作，制止各种乱涨价、乱收费及价格垄断、价格欺诈、价格暴利、低价倾销等不正当价格行为；负责行政事业性收费、经营性收费的监管；受理价格（收费）违法行为和不正当价格行为的举报投诉；依法查处价格违法行为和违法案件，并实施行政处罚；组织指导价格、收费社会监督。</w:t>
      </w:r>
    </w:p>
    <w:p w14:paraId="43D59FCB">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负责全县境内各类商品价格和服务价格的明码标价工作；负责价格法律、法规和价格（收费）标准的公示；负责价格法制的宣传教育工作；承办或实施列入听证目录商品价格和服务价格听证工作；负责仲裁相关价格和收费的纠纷或争议。</w:t>
      </w:r>
    </w:p>
    <w:p w14:paraId="6AEBC2C3">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负责全县工业品、农副产品、公用事业成本监审和流通费用的调查分析。</w:t>
      </w:r>
    </w:p>
    <w:p w14:paraId="7129E9C9">
      <w:pPr>
        <w:spacing w:line="62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10.</w:t>
      </w:r>
      <w:r>
        <w:rPr>
          <w:rFonts w:hint="eastAsia" w:ascii="仿宋_GB2312" w:hAnsi="宋体" w:eastAsia="仿宋_GB2312"/>
          <w:sz w:val="32"/>
          <w:szCs w:val="32"/>
        </w:rPr>
        <w:t>负责全县各类罚没物、赃物、拍卖物、抵押物、车辆物损等的价格鉴定认证，参与国有资产和房地产价格评估。</w:t>
      </w:r>
    </w:p>
    <w:p w14:paraId="0A0DEAC0">
      <w:pPr>
        <w:spacing w:line="6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11.</w:t>
      </w:r>
      <w:r>
        <w:rPr>
          <w:rFonts w:hint="eastAsia" w:ascii="仿宋_GB2312" w:hAnsi="宋体" w:eastAsia="仿宋_GB2312"/>
          <w:sz w:val="32"/>
          <w:szCs w:val="32"/>
        </w:rPr>
        <w:t>承办县委、县政府和州物价局交办的其他事项</w:t>
      </w:r>
      <w:r>
        <w:rPr>
          <w:rFonts w:hint="eastAsia" w:ascii="仿宋_GB2312" w:hAnsi="宋体" w:eastAsia="仿宋_GB2312"/>
          <w:sz w:val="32"/>
          <w:szCs w:val="32"/>
          <w:lang w:eastAsia="zh-CN"/>
        </w:rPr>
        <w:t>。</w:t>
      </w:r>
    </w:p>
    <w:p w14:paraId="16A9480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（二）2022年重点工作完成情况。</w:t>
      </w:r>
    </w:p>
    <w:p w14:paraId="34736AB6">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1.加强粮、油、副食品等民生商品价格监测，提高对价格趋势的判断能力和应急反应能力，为了解市场价格动态提供第一手资料。</w:t>
      </w:r>
    </w:p>
    <w:p w14:paraId="0DD7556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2.继续开展教育、医疗服务、药品价格等群众关心的热点行业的专项价格检查，并根据省、州物价局的统一部署，及时开展相关价格与收费进行专项检查。</w:t>
      </w:r>
    </w:p>
    <w:p w14:paraId="537596C4">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rPr>
        <w:t>.加大价格投诉件处理力度，充分运用“12358”投诉电话，及时处理和反馈价格举报和投诉，及时查处各种价格违法行为。</w:t>
      </w:r>
    </w:p>
    <w:p w14:paraId="15FB6854">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lang w:val="en-US" w:eastAsia="zh-CN"/>
        </w:rPr>
        <w:t>4</w:t>
      </w:r>
      <w:r>
        <w:rPr>
          <w:rFonts w:hint="eastAsia" w:ascii="仿宋_GB2312" w:hAnsi="宋体" w:eastAsia="仿宋_GB2312" w:cs="宋体"/>
          <w:sz w:val="32"/>
          <w:szCs w:val="32"/>
        </w:rPr>
        <w:t>、公平、公正、客观做好价格认证、鉴定工作。</w:t>
      </w:r>
    </w:p>
    <w:p w14:paraId="58884AD8">
      <w:pPr>
        <w:spacing w:line="620" w:lineRule="exact"/>
        <w:ind w:firstLine="480" w:firstLineChars="200"/>
        <w:rPr>
          <w:rFonts w:hint="eastAsia" w:ascii="仿宋_GB2312" w:hAnsi="宋体" w:eastAsia="仿宋_GB2312" w:cs="宋体"/>
          <w:sz w:val="32"/>
          <w:szCs w:val="32"/>
          <w:lang w:val="zh-CN"/>
        </w:rPr>
      </w:pPr>
      <w:r>
        <w:rPr>
          <w:rFonts w:hint="eastAsia" w:ascii="仿宋_GB2312" w:cs="宋体"/>
          <w:color w:val="000000"/>
          <w:kern w:val="0"/>
          <w:szCs w:val="32"/>
          <w:shd w:val="clear" w:color="auto" w:fill="FFFFFF"/>
          <w:lang w:val="zh-CN"/>
        </w:rPr>
        <w:t>（三）</w:t>
      </w:r>
      <w:r>
        <w:rPr>
          <w:rFonts w:hint="eastAsia" w:ascii="仿宋_GB2312" w:hAnsi="宋体" w:eastAsia="仿宋_GB2312" w:cs="宋体"/>
          <w:sz w:val="32"/>
          <w:szCs w:val="32"/>
          <w:lang w:val="zh-CN"/>
        </w:rPr>
        <w:t>人员概况。</w:t>
      </w:r>
    </w:p>
    <w:p w14:paraId="3B2ACA5F">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eastAsia="zh-CN"/>
        </w:rPr>
        <w:t>事业</w:t>
      </w:r>
      <w:r>
        <w:rPr>
          <w:rFonts w:hint="eastAsia" w:ascii="仿宋_GB2312" w:hAnsi="宋体" w:eastAsia="仿宋_GB2312" w:cs="宋体"/>
          <w:sz w:val="32"/>
          <w:szCs w:val="32"/>
        </w:rPr>
        <w:t>编制</w:t>
      </w:r>
      <w:r>
        <w:rPr>
          <w:rFonts w:hint="eastAsia" w:ascii="仿宋_GB2312" w:hAnsi="宋体" w:eastAsia="仿宋_GB2312" w:cs="宋体"/>
          <w:sz w:val="32"/>
          <w:szCs w:val="32"/>
          <w:lang w:val="en-US" w:eastAsia="zh-CN"/>
        </w:rPr>
        <w:t>13</w:t>
      </w:r>
      <w:r>
        <w:rPr>
          <w:rFonts w:hint="eastAsia" w:ascii="仿宋_GB2312" w:hAnsi="宋体" w:eastAsia="仿宋_GB2312" w:cs="宋体"/>
          <w:sz w:val="32"/>
          <w:szCs w:val="32"/>
        </w:rPr>
        <w:t>名</w:t>
      </w:r>
      <w:r>
        <w:rPr>
          <w:rFonts w:hint="eastAsia" w:ascii="仿宋_GB2312" w:hAnsi="宋体" w:eastAsia="仿宋_GB2312" w:cs="宋体"/>
          <w:sz w:val="32"/>
          <w:szCs w:val="32"/>
          <w:lang w:val="en-US" w:eastAsia="zh-CN"/>
        </w:rPr>
        <w:t>。</w:t>
      </w:r>
      <w:r>
        <w:rPr>
          <w:rFonts w:hint="eastAsia" w:ascii="仿宋_GB2312" w:hAnsi="宋体" w:eastAsia="仿宋_GB2312" w:cs="宋体"/>
          <w:sz w:val="32"/>
          <w:szCs w:val="32"/>
        </w:rPr>
        <w:t>机关工勤人员事业编制1名</w:t>
      </w:r>
      <w:r>
        <w:rPr>
          <w:rFonts w:hint="eastAsia" w:ascii="仿宋_GB2312" w:hAnsi="宋体" w:eastAsia="仿宋_GB2312" w:cs="宋体"/>
          <w:sz w:val="32"/>
          <w:szCs w:val="32"/>
          <w:lang w:eastAsia="zh-CN"/>
        </w:rPr>
        <w:t>，</w:t>
      </w:r>
      <w:r>
        <w:rPr>
          <w:rFonts w:hint="eastAsia" w:ascii="仿宋_GB2312" w:hAnsi="宋体" w:eastAsia="仿宋_GB2312" w:cs="宋体"/>
          <w:sz w:val="32"/>
          <w:szCs w:val="32"/>
          <w:lang w:val="en-US" w:eastAsia="zh-CN"/>
        </w:rPr>
        <w:t>事业编制12人。</w:t>
      </w:r>
      <w:r>
        <w:rPr>
          <w:rFonts w:hint="eastAsia" w:ascii="仿宋_GB2312" w:hAnsi="宋体" w:eastAsia="仿宋_GB2312" w:cs="宋体"/>
          <w:sz w:val="32"/>
          <w:szCs w:val="32"/>
        </w:rPr>
        <w:t>执行</w:t>
      </w:r>
      <w:r>
        <w:rPr>
          <w:rFonts w:hint="eastAsia" w:ascii="仿宋_GB2312" w:hAnsi="宋体" w:eastAsia="仿宋_GB2312" w:cs="宋体"/>
          <w:sz w:val="32"/>
          <w:szCs w:val="32"/>
          <w:lang w:val="en-US" w:eastAsia="zh-CN"/>
        </w:rPr>
        <w:t>行政</w:t>
      </w:r>
      <w:r>
        <w:rPr>
          <w:rFonts w:hint="eastAsia" w:ascii="仿宋_GB2312" w:hAnsi="宋体" w:eastAsia="仿宋_GB2312" w:cs="宋体"/>
          <w:sz w:val="32"/>
          <w:szCs w:val="32"/>
        </w:rPr>
        <w:t>事业财务会计制度，单位财务人员负责资产</w:t>
      </w:r>
      <w:r>
        <w:rPr>
          <w:rFonts w:hint="eastAsia" w:ascii="仿宋_GB2312" w:eastAsia="仿宋_GB2312" w:cs="宋体"/>
          <w:sz w:val="32"/>
          <w:szCs w:val="32"/>
          <w:lang w:eastAsia="zh-CN"/>
        </w:rPr>
        <w:t>账面</w:t>
      </w:r>
      <w:r>
        <w:rPr>
          <w:rFonts w:hint="eastAsia" w:ascii="仿宋_GB2312" w:hAnsi="宋体" w:eastAsia="仿宋_GB2312" w:cs="宋体"/>
          <w:sz w:val="32"/>
          <w:szCs w:val="32"/>
        </w:rPr>
        <w:t>管理，办公室人员负责实物管理。</w:t>
      </w:r>
    </w:p>
    <w:p w14:paraId="0C94F787">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二、部门财政资金收支情况</w:t>
      </w:r>
    </w:p>
    <w:p w14:paraId="747ACFDF">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（一）部门财政资金收入情况。</w:t>
      </w:r>
    </w:p>
    <w:p w14:paraId="51C06607">
      <w:pPr>
        <w:spacing w:line="620" w:lineRule="exact"/>
        <w:ind w:firstLine="640" w:firstLineChars="200"/>
        <w:rPr>
          <w:rFonts w:hint="default" w:ascii="仿宋_GB2312" w:hAnsi="宋体" w:eastAsia="仿宋_GB2312" w:cs="宋体"/>
          <w:sz w:val="32"/>
          <w:szCs w:val="32"/>
          <w:lang w:val="en-US"/>
        </w:rPr>
      </w:pPr>
      <w:r>
        <w:rPr>
          <w:rFonts w:hint="eastAsia" w:ascii="仿宋_GB2312" w:hAnsi="宋体" w:eastAsia="仿宋_GB2312" w:cs="宋体"/>
          <w:sz w:val="32"/>
          <w:szCs w:val="32"/>
          <w:lang w:val="en-US" w:eastAsia="zh-CN"/>
        </w:rPr>
        <w:t>我单位2022年</w:t>
      </w:r>
      <w:r>
        <w:rPr>
          <w:rFonts w:hint="eastAsia" w:ascii="仿宋_GB2312" w:hAnsi="宋体" w:eastAsia="仿宋_GB2312" w:cs="宋体"/>
          <w:sz w:val="32"/>
          <w:szCs w:val="32"/>
          <w:lang w:eastAsia="zh-CN"/>
        </w:rPr>
        <w:t>一般公共财政收入</w:t>
      </w:r>
      <w:r>
        <w:rPr>
          <w:rFonts w:hint="eastAsia" w:ascii="仿宋_GB2312" w:hAnsi="宋体" w:eastAsia="仿宋_GB2312" w:cs="宋体"/>
          <w:sz w:val="32"/>
          <w:szCs w:val="32"/>
          <w:lang w:val="en-US" w:eastAsia="zh-CN"/>
        </w:rPr>
        <w:t>166.76万元，年初结转24.2万元。</w:t>
      </w:r>
    </w:p>
    <w:p w14:paraId="78A0E546">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（二）部门财政资金支出情况。</w:t>
      </w:r>
    </w:p>
    <w:p w14:paraId="6051382B">
      <w:pPr>
        <w:spacing w:line="62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我单位2022年</w:t>
      </w:r>
      <w:r>
        <w:rPr>
          <w:rFonts w:hint="eastAsia" w:ascii="仿宋_GB2312" w:hAnsi="宋体" w:eastAsia="仿宋_GB2312" w:cs="宋体"/>
          <w:sz w:val="32"/>
          <w:szCs w:val="32"/>
          <w:lang w:eastAsia="zh-CN"/>
        </w:rPr>
        <w:t>一般公共财政基本支出</w:t>
      </w:r>
      <w:r>
        <w:rPr>
          <w:rFonts w:hint="eastAsia" w:ascii="仿宋_GB2312" w:hAnsi="宋体" w:eastAsia="仿宋_GB2312" w:cs="宋体"/>
          <w:sz w:val="32"/>
          <w:szCs w:val="32"/>
          <w:lang w:val="en-US" w:eastAsia="zh-CN"/>
        </w:rPr>
        <w:t>190.95万元</w:t>
      </w:r>
      <w:r>
        <w:rPr>
          <w:rFonts w:hint="eastAsia" w:ascii="仿宋_GB2312" w:hAnsi="宋体" w:eastAsia="仿宋_GB2312" w:cs="宋体"/>
          <w:sz w:val="32"/>
          <w:szCs w:val="32"/>
        </w:rPr>
        <w:t>，其中：人员经费</w:t>
      </w:r>
      <w:r>
        <w:rPr>
          <w:rFonts w:hint="eastAsia" w:ascii="仿宋_GB2312" w:hAnsi="宋体" w:eastAsia="仿宋_GB2312" w:cs="宋体"/>
          <w:sz w:val="32"/>
          <w:szCs w:val="32"/>
          <w:lang w:val="en-US" w:eastAsia="zh-CN"/>
        </w:rPr>
        <w:t>184.27</w:t>
      </w:r>
      <w:r>
        <w:rPr>
          <w:rFonts w:hint="eastAsia" w:ascii="仿宋_GB2312" w:hAnsi="宋体" w:eastAsia="仿宋_GB2312" w:cs="宋体"/>
          <w:sz w:val="32"/>
          <w:szCs w:val="32"/>
        </w:rPr>
        <w:t>万元，主要包括：基本工资、津贴补贴、奖金、社会保险缴费、机关事业单位基本养老保险缴费、职业年金缴费、其他工资福利支出、住房公积金、其他对个人和家庭的补助支出。公用经费</w:t>
      </w:r>
      <w:r>
        <w:rPr>
          <w:rFonts w:hint="eastAsia" w:ascii="仿宋_GB2312" w:hAnsi="宋体" w:eastAsia="仿宋_GB2312" w:cs="宋体"/>
          <w:sz w:val="32"/>
          <w:szCs w:val="32"/>
          <w:lang w:val="en-US" w:eastAsia="zh-CN"/>
        </w:rPr>
        <w:t>6.68</w:t>
      </w:r>
      <w:r>
        <w:rPr>
          <w:rFonts w:hint="eastAsia" w:ascii="仿宋_GB2312" w:hAnsi="宋体" w:eastAsia="仿宋_GB2312" w:cs="宋体"/>
          <w:sz w:val="32"/>
          <w:szCs w:val="32"/>
        </w:rPr>
        <w:t>万元，主要包括：办公费、印刷费、邮电费、取暖费、差旅费、公务接待费、维修（护）费、培训费、工会经费、福利费、公务用车运行维护费、其他商品和服务支出。</w:t>
      </w:r>
      <w:r>
        <w:rPr>
          <w:rFonts w:hint="eastAsia" w:ascii="仿宋_GB2312" w:hAnsi="宋体" w:eastAsia="仿宋_GB2312" w:cs="宋体"/>
          <w:sz w:val="32"/>
          <w:szCs w:val="32"/>
          <w:lang w:eastAsia="zh-CN"/>
        </w:rPr>
        <w:t>项目支出</w:t>
      </w:r>
      <w:r>
        <w:rPr>
          <w:rFonts w:hint="eastAsia" w:ascii="仿宋_GB2312" w:hAnsi="宋体" w:eastAsia="仿宋_GB2312" w:cs="宋体"/>
          <w:sz w:val="32"/>
          <w:szCs w:val="32"/>
          <w:lang w:val="en-US" w:eastAsia="zh-CN"/>
        </w:rPr>
        <w:t>558.58万元。</w:t>
      </w:r>
    </w:p>
    <w:p w14:paraId="414AB625">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三、部门整体预算绩效管理情况（根据适用指标体系进行调整</w:t>
      </w:r>
      <w:r>
        <w:rPr>
          <w:rFonts w:hint="eastAsia" w:ascii="仿宋_GB2312" w:hAnsi="宋体" w:eastAsia="仿宋_GB2312" w:cs="宋体"/>
          <w:sz w:val="32"/>
          <w:szCs w:val="32"/>
          <w:lang w:eastAsia="zh-CN"/>
        </w:rPr>
        <w:t>，涉及到有专项预算的部门，专项预算项目自评报告根据要求另行单独报送</w:t>
      </w:r>
      <w:r>
        <w:rPr>
          <w:rFonts w:hint="eastAsia" w:ascii="仿宋_GB2312" w:hAnsi="宋体" w:eastAsia="仿宋_GB2312" w:cs="宋体"/>
          <w:sz w:val="32"/>
          <w:szCs w:val="32"/>
        </w:rPr>
        <w:t>）</w:t>
      </w:r>
    </w:p>
    <w:p w14:paraId="5476D2AA">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（一）部门预算管理。</w:t>
      </w:r>
    </w:p>
    <w:p w14:paraId="13D1F4DB">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en-US" w:eastAsia="zh-CN"/>
        </w:rPr>
        <w:t>1.</w:t>
      </w:r>
      <w:r>
        <w:rPr>
          <w:rFonts w:hint="eastAsia" w:ascii="仿宋_GB2312" w:hAnsi="宋体" w:eastAsia="仿宋_GB2312" w:cs="宋体"/>
          <w:sz w:val="32"/>
          <w:szCs w:val="32"/>
          <w:lang w:val="zh-CN"/>
        </w:rPr>
        <w:t>预算编制情况。</w:t>
      </w:r>
    </w:p>
    <w:p w14:paraId="3910B366">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我单位及时准确的编制部门预算、决算、绩效目标填报，及时支付项目资金。</w:t>
      </w:r>
    </w:p>
    <w:p w14:paraId="5E184D56">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en-US" w:eastAsia="zh-CN"/>
        </w:rPr>
        <w:t>2.</w:t>
      </w:r>
      <w:r>
        <w:rPr>
          <w:rFonts w:hint="eastAsia" w:ascii="仿宋_GB2312" w:hAnsi="宋体" w:eastAsia="仿宋_GB2312" w:cs="宋体"/>
          <w:sz w:val="32"/>
          <w:szCs w:val="32"/>
          <w:lang w:val="zh-CN"/>
        </w:rPr>
        <w:t>执行管理情况。</w:t>
      </w:r>
      <w:r>
        <w:rPr>
          <w:rFonts w:hint="eastAsia" w:ascii="仿宋_GB2312" w:hAnsi="宋体" w:eastAsia="仿宋_GB2312" w:cs="宋体"/>
          <w:sz w:val="32"/>
          <w:szCs w:val="32"/>
          <w:lang w:val="zh-CN"/>
        </w:rPr>
        <w:tab/>
      </w:r>
    </w:p>
    <w:p w14:paraId="00F59157">
      <w:pPr>
        <w:spacing w:line="620" w:lineRule="exact"/>
        <w:ind w:firstLine="640" w:firstLineChars="200"/>
        <w:rPr>
          <w:rFonts w:hint="default" w:ascii="仿宋_GB2312" w:hAnsi="宋体" w:eastAsia="仿宋_GB2312" w:cs="宋体"/>
          <w:sz w:val="32"/>
          <w:szCs w:val="32"/>
          <w:lang w:val="en-US" w:eastAsia="zh-CN"/>
        </w:rPr>
      </w:pPr>
      <w:r>
        <w:rPr>
          <w:rFonts w:hint="eastAsia" w:ascii="仿宋_GB2312" w:hAnsi="宋体" w:eastAsia="仿宋_GB2312" w:cs="宋体"/>
          <w:sz w:val="32"/>
          <w:szCs w:val="32"/>
          <w:lang w:val="zh-CN"/>
        </w:rPr>
        <w:t>我单位对州级财力专项资金专款专用，设立专账，认真执行部门预算，节能降耗，降低“三公”经费。</w:t>
      </w:r>
    </w:p>
    <w:p w14:paraId="1CBACDC4">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en-US" w:eastAsia="zh-CN"/>
        </w:rPr>
        <w:t>3.</w:t>
      </w:r>
      <w:r>
        <w:rPr>
          <w:rFonts w:hint="eastAsia" w:ascii="仿宋_GB2312" w:hAnsi="宋体" w:eastAsia="仿宋_GB2312" w:cs="宋体"/>
          <w:sz w:val="32"/>
          <w:szCs w:val="32"/>
          <w:lang w:val="zh-CN"/>
        </w:rPr>
        <w:t>综合管理情况。</w:t>
      </w:r>
    </w:p>
    <w:p w14:paraId="797A0759">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我单位</w:t>
      </w:r>
      <w:r>
        <w:rPr>
          <w:rFonts w:hint="eastAsia" w:ascii="仿宋_GB2312" w:hAnsi="宋体" w:eastAsia="仿宋_GB2312" w:cs="宋体"/>
          <w:sz w:val="32"/>
          <w:szCs w:val="32"/>
          <w:lang w:val="en-US" w:eastAsia="zh-CN"/>
        </w:rPr>
        <w:t>2022年</w:t>
      </w:r>
      <w:r>
        <w:rPr>
          <w:rFonts w:hint="eastAsia" w:ascii="仿宋_GB2312" w:hAnsi="宋体" w:eastAsia="仿宋_GB2312" w:cs="宋体"/>
          <w:sz w:val="32"/>
          <w:szCs w:val="32"/>
          <w:lang w:val="zh-CN"/>
        </w:rPr>
        <w:t>无政府性债务、无非税收入、无政策采购实施计划，进行单位内控制度管理填报。</w:t>
      </w:r>
    </w:p>
    <w:p w14:paraId="44FBA152">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（二）结果应用情况。</w:t>
      </w:r>
    </w:p>
    <w:p w14:paraId="7F9A14CC">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包括绩效自评公开、评价结果整改和应用结果反馈等情况。</w:t>
      </w:r>
    </w:p>
    <w:p w14:paraId="04599073">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四、评价结论及建议</w:t>
      </w:r>
    </w:p>
    <w:p w14:paraId="54AB2F29">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（一）评价结论。</w:t>
      </w:r>
    </w:p>
    <w:p w14:paraId="79F84974">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en-US" w:eastAsia="zh-CN"/>
        </w:rPr>
        <w:t>2022年我单位未出现超预算情况，对于本职工作和领导安排的各项工作态度积极、思想端正、都保质保量完成，对于群众举报投诉问题，我单位在接到投诉举报后立即出动人员进行检查核实，快速做出回应，群众满意度较高，未出现执法人员被投诉举报情况。</w:t>
      </w:r>
    </w:p>
    <w:p w14:paraId="1E82E801">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（二）存在问题。</w:t>
      </w:r>
    </w:p>
    <w:p w14:paraId="7A975E26">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无</w:t>
      </w:r>
    </w:p>
    <w:p w14:paraId="0FC374BF">
      <w:pPr>
        <w:spacing w:line="620" w:lineRule="exact"/>
        <w:ind w:firstLine="640" w:firstLineChars="200"/>
        <w:rPr>
          <w:rFonts w:hint="eastAsia" w:ascii="仿宋_GB2312" w:hAnsi="宋体" w:eastAsia="仿宋_GB2312" w:cs="宋体"/>
          <w:sz w:val="32"/>
          <w:szCs w:val="32"/>
          <w:lang w:val="zh-CN"/>
        </w:rPr>
      </w:pPr>
      <w:r>
        <w:rPr>
          <w:rFonts w:hint="eastAsia" w:ascii="仿宋_GB2312" w:hAnsi="宋体" w:eastAsia="仿宋_GB2312" w:cs="宋体"/>
          <w:sz w:val="32"/>
          <w:szCs w:val="32"/>
          <w:lang w:val="zh-CN"/>
        </w:rPr>
        <w:t>改进建议。</w:t>
      </w:r>
    </w:p>
    <w:p w14:paraId="6C9946B0">
      <w:pPr>
        <w:spacing w:line="620" w:lineRule="exact"/>
        <w:ind w:firstLine="640" w:firstLineChars="200"/>
        <w:rPr>
          <w:rFonts w:hint="eastAsia" w:ascii="仿宋_GB2312" w:hAnsi="宋体" w:eastAsia="仿宋_GB2312" w:cs="宋体"/>
          <w:sz w:val="32"/>
          <w:szCs w:val="32"/>
          <w:lang w:val="en-US" w:eastAsia="zh-CN"/>
        </w:rPr>
      </w:pPr>
      <w:r>
        <w:rPr>
          <w:rFonts w:hint="eastAsia" w:ascii="仿宋_GB2312" w:hAnsi="宋体" w:eastAsia="仿宋_GB2312" w:cs="宋体"/>
          <w:sz w:val="32"/>
          <w:szCs w:val="32"/>
          <w:lang w:val="en-US" w:eastAsia="zh-CN"/>
        </w:rPr>
        <w:t xml:space="preserve">  无</w:t>
      </w:r>
    </w:p>
    <w:p w14:paraId="07C863D8">
      <w:pPr>
        <w:spacing w:line="62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  </w:t>
      </w:r>
    </w:p>
    <w:p w14:paraId="141FC9EF">
      <w:pPr>
        <w:pStyle w:val="10"/>
        <w:shd w:val="clear" w:color="auto" w:fill="FFFFFF"/>
      </w:pPr>
      <w:r>
        <w:t> </w:t>
      </w:r>
    </w:p>
    <w:p w14:paraId="64B00889">
      <w:pPr>
        <w:pStyle w:val="10"/>
        <w:shd w:val="clear" w:color="auto" w:fill="FFFFFF"/>
        <w:jc w:val="center"/>
      </w:pPr>
      <w:r>
        <w:rPr>
          <w:rStyle w:val="13"/>
          <w:sz w:val="39"/>
          <w:szCs w:val="39"/>
        </w:rPr>
        <w:t>第五部分 附表</w:t>
      </w:r>
    </w:p>
    <w:p w14:paraId="22C6834A">
      <w:pPr>
        <w:pStyle w:val="5"/>
        <w:shd w:val="clear" w:color="auto" w:fill="FFFFFF"/>
      </w:pPr>
      <w:r>
        <w:t>一、收入支出决算总表</w:t>
      </w:r>
      <w:r>
        <w:drawing>
          <wp:inline distT="0" distB="0" distL="114300" distR="114300">
            <wp:extent cx="5271135" cy="4417060"/>
            <wp:effectExtent l="0" t="0" r="571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271135" cy="4417060"/>
                    </a:xfrm>
                    <a:prstGeom prst="rect">
                      <a:avLst/>
                    </a:prstGeom>
                    <a:noFill/>
                    <a:ln>
                      <a:noFill/>
                    </a:ln>
                  </pic:spPr>
                </pic:pic>
              </a:graphicData>
            </a:graphic>
          </wp:inline>
        </w:drawing>
      </w:r>
    </w:p>
    <w:p w14:paraId="595197E7">
      <w:pPr>
        <w:pStyle w:val="5"/>
        <w:shd w:val="clear" w:color="auto" w:fill="FFFFFF"/>
      </w:pPr>
      <w:r>
        <w:t>二、收入决算表</w:t>
      </w:r>
      <w:r>
        <w:drawing>
          <wp:inline distT="0" distB="0" distL="114300" distR="114300">
            <wp:extent cx="5266690" cy="2193925"/>
            <wp:effectExtent l="0" t="0" r="10160" b="1587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66690" cy="2193925"/>
                    </a:xfrm>
                    <a:prstGeom prst="rect">
                      <a:avLst/>
                    </a:prstGeom>
                    <a:noFill/>
                    <a:ln>
                      <a:noFill/>
                    </a:ln>
                  </pic:spPr>
                </pic:pic>
              </a:graphicData>
            </a:graphic>
          </wp:inline>
        </w:drawing>
      </w:r>
    </w:p>
    <w:p w14:paraId="2F43A864">
      <w:pPr>
        <w:pStyle w:val="5"/>
        <w:shd w:val="clear" w:color="auto" w:fill="FFFFFF"/>
      </w:pPr>
      <w:r>
        <w:t>三、支出决算表</w:t>
      </w:r>
      <w:r>
        <w:drawing>
          <wp:inline distT="0" distB="0" distL="114300" distR="114300">
            <wp:extent cx="5265420" cy="2444750"/>
            <wp:effectExtent l="0" t="0" r="11430" b="1270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5265420" cy="2444750"/>
                    </a:xfrm>
                    <a:prstGeom prst="rect">
                      <a:avLst/>
                    </a:prstGeom>
                    <a:noFill/>
                    <a:ln>
                      <a:noFill/>
                    </a:ln>
                  </pic:spPr>
                </pic:pic>
              </a:graphicData>
            </a:graphic>
          </wp:inline>
        </w:drawing>
      </w:r>
    </w:p>
    <w:p w14:paraId="7F192384">
      <w:pPr>
        <w:pStyle w:val="5"/>
        <w:shd w:val="clear" w:color="auto" w:fill="FFFFFF"/>
      </w:pPr>
      <w:r>
        <w:t>四、财政拨款收入支出决算总表</w:t>
      </w:r>
      <w:r>
        <w:drawing>
          <wp:inline distT="0" distB="0" distL="114300" distR="114300">
            <wp:extent cx="5266055" cy="3921125"/>
            <wp:effectExtent l="0" t="0" r="1079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5266055" cy="3921125"/>
                    </a:xfrm>
                    <a:prstGeom prst="rect">
                      <a:avLst/>
                    </a:prstGeom>
                    <a:noFill/>
                    <a:ln>
                      <a:noFill/>
                    </a:ln>
                  </pic:spPr>
                </pic:pic>
              </a:graphicData>
            </a:graphic>
          </wp:inline>
        </w:drawing>
      </w:r>
    </w:p>
    <w:p w14:paraId="53FDE44A">
      <w:pPr>
        <w:pStyle w:val="5"/>
        <w:shd w:val="clear" w:color="auto" w:fill="FFFFFF"/>
      </w:pPr>
      <w:r>
        <w:t>五、财政拨款支出决算明细表</w:t>
      </w:r>
      <w:r>
        <w:drawing>
          <wp:inline distT="0" distB="0" distL="114300" distR="114300">
            <wp:extent cx="5268595" cy="7556500"/>
            <wp:effectExtent l="0" t="0" r="8255"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tretch>
                      <a:fillRect/>
                    </a:stretch>
                  </pic:blipFill>
                  <pic:spPr>
                    <a:xfrm>
                      <a:off x="0" y="0"/>
                      <a:ext cx="5268595" cy="7556500"/>
                    </a:xfrm>
                    <a:prstGeom prst="rect">
                      <a:avLst/>
                    </a:prstGeom>
                    <a:noFill/>
                    <a:ln>
                      <a:noFill/>
                    </a:ln>
                  </pic:spPr>
                </pic:pic>
              </a:graphicData>
            </a:graphic>
          </wp:inline>
        </w:drawing>
      </w:r>
    </w:p>
    <w:p w14:paraId="0937DC46">
      <w:pPr>
        <w:pStyle w:val="5"/>
        <w:shd w:val="clear" w:color="auto" w:fill="FFFFFF"/>
      </w:pPr>
      <w:r>
        <w:t>六、一般公共预算财政拨款支出决算表</w:t>
      </w:r>
      <w:r>
        <w:drawing>
          <wp:inline distT="0" distB="0" distL="114300" distR="114300">
            <wp:extent cx="5267960" cy="3279775"/>
            <wp:effectExtent l="0" t="0" r="8890" b="158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tretch>
                      <a:fillRect/>
                    </a:stretch>
                  </pic:blipFill>
                  <pic:spPr>
                    <a:xfrm>
                      <a:off x="0" y="0"/>
                      <a:ext cx="5267960" cy="3279775"/>
                    </a:xfrm>
                    <a:prstGeom prst="rect">
                      <a:avLst/>
                    </a:prstGeom>
                    <a:noFill/>
                    <a:ln>
                      <a:noFill/>
                    </a:ln>
                  </pic:spPr>
                </pic:pic>
              </a:graphicData>
            </a:graphic>
          </wp:inline>
        </w:drawing>
      </w:r>
    </w:p>
    <w:p w14:paraId="0F85306A">
      <w:pPr>
        <w:pStyle w:val="5"/>
        <w:shd w:val="clear" w:color="auto" w:fill="FFFFFF"/>
      </w:pPr>
      <w:r>
        <w:t>七、一般公共预算财政拨款支出决算明细表</w:t>
      </w:r>
      <w:r>
        <w:drawing>
          <wp:inline distT="0" distB="0" distL="114300" distR="114300">
            <wp:extent cx="8698865" cy="8025130"/>
            <wp:effectExtent l="0" t="0" r="6985" b="139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8698865" cy="8025130"/>
                    </a:xfrm>
                    <a:prstGeom prst="rect">
                      <a:avLst/>
                    </a:prstGeom>
                    <a:noFill/>
                    <a:ln>
                      <a:noFill/>
                    </a:ln>
                  </pic:spPr>
                </pic:pic>
              </a:graphicData>
            </a:graphic>
          </wp:inline>
        </w:drawing>
      </w:r>
    </w:p>
    <w:p w14:paraId="0F054ACA">
      <w:pPr>
        <w:pStyle w:val="5"/>
        <w:shd w:val="clear" w:color="auto" w:fill="FFFFFF"/>
      </w:pPr>
      <w:r>
        <w:t>八、一般公共预算财政拨款基本支出决算表</w:t>
      </w:r>
      <w:r>
        <w:drawing>
          <wp:inline distT="0" distB="0" distL="114300" distR="114300">
            <wp:extent cx="5267960" cy="3112135"/>
            <wp:effectExtent l="0" t="0" r="8890" b="1206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tretch>
                      <a:fillRect/>
                    </a:stretch>
                  </pic:blipFill>
                  <pic:spPr>
                    <a:xfrm>
                      <a:off x="0" y="0"/>
                      <a:ext cx="5267960" cy="3112135"/>
                    </a:xfrm>
                    <a:prstGeom prst="rect">
                      <a:avLst/>
                    </a:prstGeom>
                    <a:noFill/>
                    <a:ln>
                      <a:noFill/>
                    </a:ln>
                  </pic:spPr>
                </pic:pic>
              </a:graphicData>
            </a:graphic>
          </wp:inline>
        </w:drawing>
      </w:r>
    </w:p>
    <w:p w14:paraId="6B26C832">
      <w:pPr>
        <w:pStyle w:val="5"/>
        <w:shd w:val="clear" w:color="auto" w:fill="FFFFFF"/>
      </w:pPr>
      <w:r>
        <w:t>九、一般公共预算财政拨款项目支出决算表</w:t>
      </w:r>
      <w:r>
        <w:drawing>
          <wp:inline distT="0" distB="0" distL="114300" distR="114300">
            <wp:extent cx="5272405" cy="3729990"/>
            <wp:effectExtent l="0" t="0" r="4445" b="381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tretch>
                      <a:fillRect/>
                    </a:stretch>
                  </pic:blipFill>
                  <pic:spPr>
                    <a:xfrm>
                      <a:off x="0" y="0"/>
                      <a:ext cx="5272405" cy="3729990"/>
                    </a:xfrm>
                    <a:prstGeom prst="rect">
                      <a:avLst/>
                    </a:prstGeom>
                    <a:noFill/>
                    <a:ln>
                      <a:noFill/>
                    </a:ln>
                  </pic:spPr>
                </pic:pic>
              </a:graphicData>
            </a:graphic>
          </wp:inline>
        </w:drawing>
      </w:r>
    </w:p>
    <w:p w14:paraId="28692FA1">
      <w:pPr>
        <w:pStyle w:val="5"/>
        <w:shd w:val="clear" w:color="auto" w:fill="FFFFFF"/>
      </w:pPr>
      <w:r>
        <w:t>十、政府性基金预算财政拨款收入支出决算表</w:t>
      </w:r>
      <w:r>
        <w:drawing>
          <wp:inline distT="0" distB="0" distL="114300" distR="114300">
            <wp:extent cx="5272405" cy="1285240"/>
            <wp:effectExtent l="0" t="0" r="4445"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tretch>
                      <a:fillRect/>
                    </a:stretch>
                  </pic:blipFill>
                  <pic:spPr>
                    <a:xfrm>
                      <a:off x="0" y="0"/>
                      <a:ext cx="5272405" cy="1285240"/>
                    </a:xfrm>
                    <a:prstGeom prst="rect">
                      <a:avLst/>
                    </a:prstGeom>
                    <a:noFill/>
                    <a:ln>
                      <a:noFill/>
                    </a:ln>
                  </pic:spPr>
                </pic:pic>
              </a:graphicData>
            </a:graphic>
          </wp:inline>
        </w:drawing>
      </w:r>
    </w:p>
    <w:p w14:paraId="34DC913F">
      <w:pPr>
        <w:pStyle w:val="5"/>
        <w:shd w:val="clear" w:color="auto" w:fill="FFFFFF"/>
      </w:pPr>
      <w:r>
        <w:t>十一、国有资本经营预算财政拨款收入支出决算表</w:t>
      </w:r>
      <w:r>
        <w:drawing>
          <wp:inline distT="0" distB="0" distL="114300" distR="114300">
            <wp:extent cx="5271135" cy="1772920"/>
            <wp:effectExtent l="0" t="0" r="5715" b="177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a:stretch>
                      <a:fillRect/>
                    </a:stretch>
                  </pic:blipFill>
                  <pic:spPr>
                    <a:xfrm>
                      <a:off x="0" y="0"/>
                      <a:ext cx="5271135" cy="1772920"/>
                    </a:xfrm>
                    <a:prstGeom prst="rect">
                      <a:avLst/>
                    </a:prstGeom>
                    <a:noFill/>
                    <a:ln>
                      <a:noFill/>
                    </a:ln>
                  </pic:spPr>
                </pic:pic>
              </a:graphicData>
            </a:graphic>
          </wp:inline>
        </w:drawing>
      </w:r>
    </w:p>
    <w:p w14:paraId="1735F28B">
      <w:pPr>
        <w:pStyle w:val="5"/>
        <w:shd w:val="clear" w:color="auto" w:fill="FFFFFF"/>
      </w:pPr>
      <w:r>
        <w:t>十二、国有资本经营预算财政拨款支出决算表</w:t>
      </w:r>
      <w:r>
        <w:drawing>
          <wp:inline distT="0" distB="0" distL="114300" distR="114300">
            <wp:extent cx="5269865" cy="1798955"/>
            <wp:effectExtent l="0" t="0" r="6985" b="1079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5269865" cy="1798955"/>
                    </a:xfrm>
                    <a:prstGeom prst="rect">
                      <a:avLst/>
                    </a:prstGeom>
                    <a:noFill/>
                    <a:ln>
                      <a:noFill/>
                    </a:ln>
                  </pic:spPr>
                </pic:pic>
              </a:graphicData>
            </a:graphic>
          </wp:inline>
        </w:drawing>
      </w:r>
    </w:p>
    <w:p w14:paraId="692F146D">
      <w:pPr>
        <w:pStyle w:val="5"/>
        <w:shd w:val="clear" w:color="auto" w:fill="FFFFFF"/>
      </w:pPr>
      <w:r>
        <w:t>十三、财政拨款“三公”经费支出决算表</w:t>
      </w:r>
      <w:r>
        <w:drawing>
          <wp:inline distT="0" distB="0" distL="114300" distR="114300">
            <wp:extent cx="5274310" cy="1115695"/>
            <wp:effectExtent l="0" t="0" r="254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5274310" cy="1115695"/>
                    </a:xfrm>
                    <a:prstGeom prst="rect">
                      <a:avLst/>
                    </a:prstGeom>
                    <a:noFill/>
                    <a:ln>
                      <a:noFill/>
                    </a:ln>
                  </pic:spPr>
                </pic:pic>
              </a:graphicData>
            </a:graphic>
          </wp:inline>
        </w:drawing>
      </w:r>
    </w:p>
    <w:sectPr>
      <w:pgSz w:w="11907" w:h="16840"/>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2"/>
  </w:compat>
  <w:docVars>
    <w:docVar w:name="commondata" w:val="eyJoZGlkIjoiOGUyMDQxZTNlNTI5ZWUyM2RhYTZkODlhNjNiMWNjZTIifQ=="/>
  </w:docVars>
  <w:rsids>
    <w:rsidRoot w:val="008F3F23"/>
    <w:rsid w:val="008F3F23"/>
    <w:rsid w:val="00B046B6"/>
    <w:rsid w:val="119F3526"/>
    <w:rsid w:val="1548367B"/>
    <w:rsid w:val="21E94B78"/>
    <w:rsid w:val="26555BF8"/>
    <w:rsid w:val="2B396801"/>
    <w:rsid w:val="579B6145"/>
    <w:rsid w:val="65001C4E"/>
    <w:rsid w:val="7C826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4">
    <w:name w:val="heading 1"/>
    <w:basedOn w:val="1"/>
    <w:link w:val="14"/>
    <w:qFormat/>
    <w:uiPriority w:val="9"/>
    <w:pPr>
      <w:spacing w:before="100" w:beforeAutospacing="1" w:after="100" w:afterAutospacing="1"/>
      <w:outlineLvl w:val="0"/>
    </w:pPr>
    <w:rPr>
      <w:b/>
      <w:bCs/>
      <w:kern w:val="36"/>
      <w:sz w:val="48"/>
      <w:szCs w:val="48"/>
    </w:rPr>
  </w:style>
  <w:style w:type="paragraph" w:styleId="5">
    <w:name w:val="heading 2"/>
    <w:basedOn w:val="1"/>
    <w:link w:val="15"/>
    <w:qFormat/>
    <w:uiPriority w:val="9"/>
    <w:pPr>
      <w:spacing w:before="100" w:beforeAutospacing="1" w:after="100" w:afterAutospacing="1"/>
      <w:outlineLvl w:val="1"/>
    </w:pPr>
    <w:rPr>
      <w:b/>
      <w:bCs/>
      <w:sz w:val="36"/>
      <w:szCs w:val="36"/>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rPr>
      <w:rFonts w:ascii="Calibri" w:hAnsi="Calibri"/>
      <w:szCs w:val="22"/>
    </w:rPr>
  </w:style>
  <w:style w:type="paragraph" w:styleId="3">
    <w:name w:val="Body Text Indent"/>
    <w:basedOn w:val="1"/>
    <w:next w:val="2"/>
    <w:qFormat/>
    <w:uiPriority w:val="0"/>
    <w:pPr>
      <w:spacing w:line="270" w:lineRule="atLeast"/>
      <w:ind w:firstLine="600" w:firstLineChars="200"/>
    </w:pPr>
    <w:rPr>
      <w:color w:val="000000"/>
      <w:sz w:val="30"/>
      <w:szCs w:val="21"/>
    </w:rPr>
  </w:style>
  <w:style w:type="paragraph" w:styleId="6">
    <w:name w:val="Plain Text"/>
    <w:basedOn w:val="1"/>
    <w:qFormat/>
    <w:uiPriority w:val="99"/>
    <w:rPr>
      <w:rFonts w:ascii="宋体" w:hAnsi="Courier New" w:eastAsia="宋体" w:cs="Courier New"/>
      <w:sz w:val="21"/>
      <w:szCs w:val="21"/>
    </w:rPr>
  </w:style>
  <w:style w:type="paragraph" w:styleId="7">
    <w:name w:val="footer"/>
    <w:basedOn w:val="1"/>
    <w:link w:val="17"/>
    <w:semiHidden/>
    <w:unhideWhenUsed/>
    <w:uiPriority w:val="99"/>
    <w:pPr>
      <w:tabs>
        <w:tab w:val="center" w:pos="4153"/>
        <w:tab w:val="right" w:pos="8306"/>
      </w:tabs>
      <w:snapToGrid w:val="0"/>
    </w:pPr>
    <w:rPr>
      <w:sz w:val="18"/>
      <w:szCs w:val="18"/>
    </w:rPr>
  </w:style>
  <w:style w:type="paragraph" w:styleId="8">
    <w:name w:val="header"/>
    <w:basedOn w:val="1"/>
    <w:link w:val="16"/>
    <w:semiHidden/>
    <w:unhideWhenUsed/>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0">
    <w:name w:val="Normal (Web)"/>
    <w:basedOn w:val="1"/>
    <w:semiHidden/>
    <w:unhideWhenUsed/>
    <w:uiPriority w:val="99"/>
    <w:pPr>
      <w:spacing w:before="100" w:beforeAutospacing="1" w:after="100" w:afterAutospacing="1"/>
    </w:pPr>
  </w:style>
  <w:style w:type="character" w:styleId="13">
    <w:name w:val="Strong"/>
    <w:basedOn w:val="12"/>
    <w:qFormat/>
    <w:uiPriority w:val="22"/>
    <w:rPr>
      <w:b/>
      <w:bCs/>
    </w:rPr>
  </w:style>
  <w:style w:type="character" w:customStyle="1" w:styleId="14">
    <w:name w:val="标题 1 Char"/>
    <w:basedOn w:val="12"/>
    <w:link w:val="4"/>
    <w:uiPriority w:val="9"/>
    <w:rPr>
      <w:rFonts w:ascii="宋体" w:hAnsi="宋体" w:eastAsia="宋体" w:cs="宋体"/>
      <w:b/>
      <w:bCs/>
      <w:kern w:val="44"/>
      <w:sz w:val="44"/>
      <w:szCs w:val="44"/>
    </w:rPr>
  </w:style>
  <w:style w:type="character" w:customStyle="1" w:styleId="15">
    <w:name w:val="标题 2 Char"/>
    <w:basedOn w:val="12"/>
    <w:link w:val="5"/>
    <w:semiHidden/>
    <w:uiPriority w:val="9"/>
    <w:rPr>
      <w:rFonts w:asciiTheme="majorHAnsi" w:hAnsiTheme="majorHAnsi" w:eastAsiaTheme="majorEastAsia" w:cstheme="majorBidi"/>
      <w:b/>
      <w:bCs/>
      <w:sz w:val="32"/>
      <w:szCs w:val="32"/>
    </w:rPr>
  </w:style>
  <w:style w:type="character" w:customStyle="1" w:styleId="16">
    <w:name w:val="页眉 Char"/>
    <w:basedOn w:val="12"/>
    <w:link w:val="8"/>
    <w:semiHidden/>
    <w:uiPriority w:val="99"/>
    <w:rPr>
      <w:rFonts w:ascii="宋体" w:hAnsi="宋体" w:eastAsia="宋体" w:cs="宋体"/>
      <w:sz w:val="18"/>
      <w:szCs w:val="18"/>
    </w:rPr>
  </w:style>
  <w:style w:type="character" w:customStyle="1" w:styleId="17">
    <w:name w:val="页脚 Char"/>
    <w:basedOn w:val="12"/>
    <w:link w:val="7"/>
    <w:semiHidden/>
    <w:qFormat/>
    <w:uiPriority w:val="99"/>
    <w:rPr>
      <w:rFonts w:ascii="宋体" w:hAnsi="宋体" w:eastAsia="宋体" w:cs="宋体"/>
      <w:sz w:val="18"/>
      <w:szCs w:val="18"/>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正文文字"/>
    <w:basedOn w:val="1"/>
    <w:next w:val="1"/>
    <w:qFormat/>
    <w:uiPriority w:val="99"/>
    <w:pPr>
      <w:spacing w:after="120"/>
    </w:p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emf"/><Relationship Id="rId7" Type="http://schemas.openxmlformats.org/officeDocument/2006/relationships/image" Target="media/image4.emf"/><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emf"/><Relationship Id="rId15" Type="http://schemas.openxmlformats.org/officeDocument/2006/relationships/image" Target="media/image12.emf"/><Relationship Id="rId14" Type="http://schemas.openxmlformats.org/officeDocument/2006/relationships/image" Target="media/image11.emf"/><Relationship Id="rId13" Type="http://schemas.openxmlformats.org/officeDocument/2006/relationships/image" Target="media/image10.emf"/><Relationship Id="rId12" Type="http://schemas.openxmlformats.org/officeDocument/2006/relationships/image" Target="media/image9.emf"/><Relationship Id="rId11" Type="http://schemas.openxmlformats.org/officeDocument/2006/relationships/image" Target="media/image8.emf"/><Relationship Id="rId10" Type="http://schemas.openxmlformats.org/officeDocument/2006/relationships/image" Target="media/image7.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7153</Words>
  <Characters>8777</Characters>
  <Lines>7</Lines>
  <Paragraphs>12</Paragraphs>
  <TotalTime>970</TotalTime>
  <ScaleCrop>false</ScaleCrop>
  <LinksUpToDate>false</LinksUpToDate>
  <CharactersWithSpaces>8832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2023-10-12T07:13:00Z</dcterms:created>
  <dc:creator>Administrator</dc:creator>
  <cp:lastModifiedBy>常想一二</cp:lastModifiedBy>
  <dcterms:modified xsi:type="dcterms:W3CDTF">2025-04-09T06:58:12Z</dcterms:modified>
  <dc:title>2022年单位决算公开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0A948FC16B104FB89145D004CB63809D_12</vt:lpwstr>
  </property>
  <property fmtid="{D5CDD505-2E9C-101B-9397-08002B2CF9AE}" pid="4" name="KSOTemplateDocerSaveRecord">
    <vt:lpwstr>eyJoZGlkIjoiODhiZDQyNzU3YWUzNDgwYTEzMTNkZDUzMTRhMDk2NzEiLCJ1c2VySWQiOiIzOTg3OTU0NDUifQ==</vt:lpwstr>
  </property>
</Properties>
</file>