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00C45D">
      <w:pPr>
        <w:pStyle w:val="12"/>
        <w:keepNext w:val="0"/>
        <w:keepLines w:val="0"/>
        <w:pageBreakBefore w:val="0"/>
        <w:shd w:val="clear" w:color="auto" w:fill="FFFFFF"/>
        <w:kinsoku/>
        <w:wordWrap/>
        <w:overflowPunct/>
        <w:topLinePunct w:val="0"/>
        <w:autoSpaceDE/>
        <w:autoSpaceDN/>
        <w:bidi w:val="0"/>
        <w:spacing w:line="240" w:lineRule="auto"/>
        <w:jc w:val="center"/>
        <w:textAlignment w:val="auto"/>
        <w:rPr>
          <w:sz w:val="42"/>
          <w:szCs w:val="42"/>
        </w:rPr>
      </w:pPr>
    </w:p>
    <w:p w14:paraId="2E3AB7BA">
      <w:pPr>
        <w:pStyle w:val="12"/>
        <w:keepNext w:val="0"/>
        <w:keepLines w:val="0"/>
        <w:pageBreakBefore w:val="0"/>
        <w:shd w:val="clear" w:color="auto" w:fill="FFFFFF"/>
        <w:kinsoku/>
        <w:wordWrap/>
        <w:overflowPunct/>
        <w:topLinePunct w:val="0"/>
        <w:autoSpaceDE/>
        <w:autoSpaceDN/>
        <w:bidi w:val="0"/>
        <w:spacing w:line="240" w:lineRule="auto"/>
        <w:jc w:val="center"/>
        <w:textAlignment w:val="auto"/>
      </w:pPr>
      <w:r>
        <w:rPr>
          <w:sz w:val="42"/>
          <w:szCs w:val="42"/>
        </w:rPr>
        <w:t>2022年度</w:t>
      </w:r>
    </w:p>
    <w:p w14:paraId="39D8A26B">
      <w:pPr>
        <w:pStyle w:val="12"/>
        <w:keepNext w:val="0"/>
        <w:keepLines w:val="0"/>
        <w:pageBreakBefore w:val="0"/>
        <w:shd w:val="clear" w:color="auto" w:fill="FFFFFF"/>
        <w:kinsoku/>
        <w:wordWrap/>
        <w:overflowPunct/>
        <w:topLinePunct w:val="0"/>
        <w:autoSpaceDE/>
        <w:autoSpaceDN/>
        <w:bidi w:val="0"/>
        <w:spacing w:line="240" w:lineRule="auto"/>
        <w:jc w:val="center"/>
        <w:textAlignment w:val="auto"/>
        <w:rPr>
          <w:sz w:val="42"/>
          <w:szCs w:val="42"/>
        </w:rPr>
      </w:pPr>
      <w:r>
        <w:rPr>
          <w:sz w:val="42"/>
          <w:szCs w:val="42"/>
        </w:rPr>
        <w:t>四川省阿坝州九寨沟县发展和改革局（本级）</w:t>
      </w:r>
    </w:p>
    <w:p w14:paraId="6BF2FAB3">
      <w:pPr>
        <w:pStyle w:val="12"/>
        <w:keepNext w:val="0"/>
        <w:keepLines w:val="0"/>
        <w:pageBreakBefore w:val="0"/>
        <w:shd w:val="clear" w:color="auto" w:fill="FFFFFF"/>
        <w:kinsoku/>
        <w:wordWrap/>
        <w:overflowPunct/>
        <w:topLinePunct w:val="0"/>
        <w:autoSpaceDE/>
        <w:autoSpaceDN/>
        <w:bidi w:val="0"/>
        <w:spacing w:line="240" w:lineRule="auto"/>
        <w:jc w:val="center"/>
        <w:textAlignment w:val="auto"/>
      </w:pPr>
      <w:r>
        <w:rPr>
          <w:sz w:val="42"/>
          <w:szCs w:val="42"/>
        </w:rPr>
        <w:t>单位决算</w:t>
      </w:r>
    </w:p>
    <w:p w14:paraId="7044DD9A">
      <w:pPr>
        <w:pStyle w:val="12"/>
        <w:keepNext w:val="0"/>
        <w:keepLines w:val="0"/>
        <w:pageBreakBefore w:val="0"/>
        <w:shd w:val="clear" w:color="auto" w:fill="FFFFFF"/>
        <w:kinsoku/>
        <w:wordWrap/>
        <w:overflowPunct/>
        <w:topLinePunct w:val="0"/>
        <w:autoSpaceDE/>
        <w:autoSpaceDN/>
        <w:bidi w:val="0"/>
        <w:spacing w:line="240" w:lineRule="auto"/>
        <w:jc w:val="center"/>
        <w:textAlignment w:val="auto"/>
      </w:pPr>
    </w:p>
    <w:p w14:paraId="1316BB10">
      <w:pPr>
        <w:pStyle w:val="12"/>
        <w:keepNext w:val="0"/>
        <w:keepLines w:val="0"/>
        <w:pageBreakBefore w:val="0"/>
        <w:shd w:val="clear" w:color="auto" w:fill="FFFFFF"/>
        <w:kinsoku/>
        <w:wordWrap/>
        <w:overflowPunct/>
        <w:topLinePunct w:val="0"/>
        <w:autoSpaceDE/>
        <w:autoSpaceDN/>
        <w:bidi w:val="0"/>
        <w:spacing w:line="240" w:lineRule="auto"/>
        <w:jc w:val="center"/>
        <w:textAlignment w:val="auto"/>
      </w:pPr>
      <w:r>
        <w:t> </w:t>
      </w:r>
    </w:p>
    <w:p w14:paraId="00FD0DED">
      <w:pPr>
        <w:pStyle w:val="12"/>
        <w:keepNext w:val="0"/>
        <w:keepLines w:val="0"/>
        <w:pageBreakBefore w:val="0"/>
        <w:shd w:val="clear" w:color="auto" w:fill="FFFFFF"/>
        <w:kinsoku/>
        <w:wordWrap/>
        <w:overflowPunct/>
        <w:topLinePunct w:val="0"/>
        <w:autoSpaceDE/>
        <w:autoSpaceDN/>
        <w:bidi w:val="0"/>
        <w:spacing w:line="240" w:lineRule="auto"/>
        <w:jc w:val="center"/>
        <w:textAlignment w:val="auto"/>
      </w:pPr>
      <w:r>
        <w:t> </w:t>
      </w:r>
    </w:p>
    <w:p w14:paraId="775A5A92">
      <w:pPr>
        <w:pStyle w:val="12"/>
        <w:keepNext w:val="0"/>
        <w:keepLines w:val="0"/>
        <w:pageBreakBefore w:val="0"/>
        <w:shd w:val="clear" w:color="auto" w:fill="FFFFFF"/>
        <w:kinsoku/>
        <w:wordWrap/>
        <w:overflowPunct/>
        <w:topLinePunct w:val="0"/>
        <w:autoSpaceDE/>
        <w:autoSpaceDN/>
        <w:bidi w:val="0"/>
        <w:spacing w:line="240" w:lineRule="auto"/>
        <w:jc w:val="both"/>
        <w:textAlignment w:val="auto"/>
      </w:pPr>
    </w:p>
    <w:p w14:paraId="48A06C96">
      <w:pPr>
        <w:pStyle w:val="12"/>
        <w:keepNext w:val="0"/>
        <w:keepLines w:val="0"/>
        <w:pageBreakBefore w:val="0"/>
        <w:shd w:val="clear" w:color="auto" w:fill="FFFFFF"/>
        <w:kinsoku/>
        <w:wordWrap/>
        <w:overflowPunct/>
        <w:topLinePunct w:val="0"/>
        <w:autoSpaceDE/>
        <w:autoSpaceDN/>
        <w:bidi w:val="0"/>
        <w:spacing w:line="240" w:lineRule="auto"/>
        <w:jc w:val="both"/>
        <w:textAlignment w:val="auto"/>
      </w:pPr>
    </w:p>
    <w:p w14:paraId="3B456877">
      <w:pPr>
        <w:pStyle w:val="12"/>
        <w:keepNext w:val="0"/>
        <w:keepLines w:val="0"/>
        <w:pageBreakBefore w:val="0"/>
        <w:shd w:val="clear" w:color="auto" w:fill="FFFFFF"/>
        <w:kinsoku/>
        <w:wordWrap/>
        <w:overflowPunct/>
        <w:topLinePunct w:val="0"/>
        <w:autoSpaceDE/>
        <w:autoSpaceDN/>
        <w:bidi w:val="0"/>
        <w:spacing w:line="240" w:lineRule="auto"/>
        <w:jc w:val="both"/>
        <w:textAlignment w:val="auto"/>
      </w:pPr>
    </w:p>
    <w:p w14:paraId="3F3DB98C">
      <w:pPr>
        <w:pStyle w:val="12"/>
        <w:keepNext w:val="0"/>
        <w:keepLines w:val="0"/>
        <w:pageBreakBefore w:val="0"/>
        <w:shd w:val="clear" w:color="auto" w:fill="FFFFFF"/>
        <w:kinsoku/>
        <w:wordWrap/>
        <w:overflowPunct/>
        <w:topLinePunct w:val="0"/>
        <w:autoSpaceDE/>
        <w:autoSpaceDN/>
        <w:bidi w:val="0"/>
        <w:spacing w:line="240" w:lineRule="auto"/>
        <w:jc w:val="both"/>
        <w:textAlignment w:val="auto"/>
      </w:pPr>
    </w:p>
    <w:p w14:paraId="389B84D1">
      <w:pPr>
        <w:pStyle w:val="12"/>
        <w:keepNext w:val="0"/>
        <w:keepLines w:val="0"/>
        <w:pageBreakBefore w:val="0"/>
        <w:shd w:val="clear" w:color="auto" w:fill="FFFFFF"/>
        <w:kinsoku/>
        <w:wordWrap/>
        <w:overflowPunct/>
        <w:topLinePunct w:val="0"/>
        <w:autoSpaceDE/>
        <w:autoSpaceDN/>
        <w:bidi w:val="0"/>
        <w:spacing w:line="240" w:lineRule="auto"/>
        <w:jc w:val="both"/>
        <w:textAlignment w:val="auto"/>
      </w:pPr>
    </w:p>
    <w:p w14:paraId="4C94934F">
      <w:pPr>
        <w:pStyle w:val="12"/>
        <w:keepNext w:val="0"/>
        <w:keepLines w:val="0"/>
        <w:pageBreakBefore w:val="0"/>
        <w:shd w:val="clear" w:color="auto" w:fill="FFFFFF"/>
        <w:kinsoku/>
        <w:wordWrap/>
        <w:overflowPunct/>
        <w:topLinePunct w:val="0"/>
        <w:autoSpaceDE/>
        <w:autoSpaceDN/>
        <w:bidi w:val="0"/>
        <w:spacing w:line="240" w:lineRule="auto"/>
        <w:jc w:val="both"/>
        <w:textAlignment w:val="auto"/>
      </w:pPr>
    </w:p>
    <w:p w14:paraId="57302705">
      <w:pPr>
        <w:pStyle w:val="12"/>
        <w:keepNext w:val="0"/>
        <w:keepLines w:val="0"/>
        <w:pageBreakBefore w:val="0"/>
        <w:shd w:val="clear" w:color="auto" w:fill="FFFFFF"/>
        <w:kinsoku/>
        <w:wordWrap/>
        <w:overflowPunct/>
        <w:topLinePunct w:val="0"/>
        <w:autoSpaceDE/>
        <w:autoSpaceDN/>
        <w:bidi w:val="0"/>
        <w:spacing w:line="240" w:lineRule="auto"/>
        <w:jc w:val="both"/>
        <w:textAlignment w:val="auto"/>
      </w:pPr>
      <w:r>
        <w:t> </w:t>
      </w:r>
    </w:p>
    <w:p w14:paraId="6C3F0C2C">
      <w:pPr>
        <w:pStyle w:val="12"/>
        <w:keepNext w:val="0"/>
        <w:keepLines w:val="0"/>
        <w:pageBreakBefore w:val="0"/>
        <w:shd w:val="clear" w:color="auto" w:fill="FFFFFF"/>
        <w:kinsoku/>
        <w:wordWrap/>
        <w:overflowPunct/>
        <w:topLinePunct w:val="0"/>
        <w:autoSpaceDE/>
        <w:autoSpaceDN/>
        <w:bidi w:val="0"/>
        <w:spacing w:line="240" w:lineRule="auto"/>
        <w:jc w:val="center"/>
        <w:textAlignment w:val="auto"/>
      </w:pPr>
      <w:r>
        <w:t>  </w:t>
      </w:r>
    </w:p>
    <w:p w14:paraId="71CBF9C5">
      <w:pPr>
        <w:pStyle w:val="12"/>
        <w:keepNext w:val="0"/>
        <w:keepLines w:val="0"/>
        <w:pageBreakBefore w:val="0"/>
        <w:shd w:val="clear" w:color="auto" w:fill="FFFFFF"/>
        <w:kinsoku/>
        <w:wordWrap/>
        <w:overflowPunct/>
        <w:topLinePunct w:val="0"/>
        <w:autoSpaceDE/>
        <w:autoSpaceDN/>
        <w:bidi w:val="0"/>
        <w:spacing w:line="240" w:lineRule="auto"/>
        <w:jc w:val="center"/>
        <w:textAlignment w:val="auto"/>
      </w:pPr>
      <w:r>
        <w:t> </w:t>
      </w:r>
    </w:p>
    <w:p w14:paraId="1FCF553A">
      <w:pPr>
        <w:pStyle w:val="12"/>
        <w:keepNext w:val="0"/>
        <w:keepLines w:val="0"/>
        <w:pageBreakBefore w:val="0"/>
        <w:shd w:val="clear" w:color="auto" w:fill="FFFFFF"/>
        <w:kinsoku/>
        <w:wordWrap/>
        <w:overflowPunct/>
        <w:topLinePunct w:val="0"/>
        <w:autoSpaceDE/>
        <w:autoSpaceDN/>
        <w:bidi w:val="0"/>
        <w:spacing w:line="240" w:lineRule="auto"/>
        <w:jc w:val="center"/>
        <w:textAlignment w:val="auto"/>
      </w:pPr>
      <w:r>
        <w:t> </w:t>
      </w:r>
    </w:p>
    <w:p w14:paraId="066BCE4D">
      <w:pPr>
        <w:pStyle w:val="12"/>
        <w:keepNext w:val="0"/>
        <w:keepLines w:val="0"/>
        <w:pageBreakBefore w:val="0"/>
        <w:shd w:val="clear" w:color="auto" w:fill="FFFFFF"/>
        <w:kinsoku/>
        <w:wordWrap/>
        <w:overflowPunct/>
        <w:topLinePunct w:val="0"/>
        <w:autoSpaceDE/>
        <w:autoSpaceDN/>
        <w:bidi w:val="0"/>
        <w:spacing w:line="240" w:lineRule="auto"/>
        <w:jc w:val="center"/>
        <w:textAlignment w:val="auto"/>
      </w:pPr>
      <w:r>
        <w:t>已经保密审查、内容审定，同意对外公开</w:t>
      </w:r>
    </w:p>
    <w:p w14:paraId="6A0B2E91">
      <w:pPr>
        <w:pStyle w:val="12"/>
        <w:keepNext w:val="0"/>
        <w:keepLines w:val="0"/>
        <w:pageBreakBefore w:val="0"/>
        <w:shd w:val="clear" w:color="auto" w:fill="FFFFFF"/>
        <w:kinsoku/>
        <w:wordWrap/>
        <w:overflowPunct/>
        <w:topLinePunct w:val="0"/>
        <w:autoSpaceDE/>
        <w:autoSpaceDN/>
        <w:bidi w:val="0"/>
        <w:spacing w:line="240" w:lineRule="auto"/>
        <w:textAlignment w:val="auto"/>
      </w:pPr>
      <w:r>
        <w:t> </w:t>
      </w:r>
    </w:p>
    <w:p w14:paraId="3F63C0F1">
      <w:pPr>
        <w:pStyle w:val="12"/>
        <w:keepNext w:val="0"/>
        <w:keepLines w:val="0"/>
        <w:pageBreakBefore w:val="0"/>
        <w:shd w:val="clear" w:color="auto" w:fill="FFFFFF"/>
        <w:kinsoku/>
        <w:wordWrap/>
        <w:overflowPunct/>
        <w:topLinePunct w:val="0"/>
        <w:autoSpaceDE/>
        <w:autoSpaceDN/>
        <w:bidi w:val="0"/>
        <w:spacing w:line="240" w:lineRule="auto"/>
        <w:jc w:val="center"/>
        <w:textAlignment w:val="auto"/>
      </w:pPr>
      <w:r>
        <w:rPr>
          <w:sz w:val="44"/>
          <w:szCs w:val="44"/>
        </w:rPr>
        <w:t>目录</w:t>
      </w:r>
      <w:r>
        <w:t> </w:t>
      </w:r>
    </w:p>
    <w:p w14:paraId="29B9DBA6">
      <w:pPr>
        <w:pStyle w:val="12"/>
        <w:keepNext w:val="0"/>
        <w:keepLines w:val="0"/>
        <w:pageBreakBefore w:val="0"/>
        <w:shd w:val="clear" w:color="auto" w:fill="FFFFFF"/>
        <w:kinsoku/>
        <w:wordWrap/>
        <w:overflowPunct/>
        <w:topLinePunct w:val="0"/>
        <w:autoSpaceDE/>
        <w:autoSpaceDN/>
        <w:bidi w:val="0"/>
        <w:spacing w:line="240" w:lineRule="auto"/>
        <w:jc w:val="center"/>
        <w:textAlignment w:val="auto"/>
      </w:pPr>
      <w:r>
        <w:t xml:space="preserve">公开时间：2023年 </w:t>
      </w:r>
      <w:r>
        <w:rPr>
          <w:rFonts w:hint="eastAsia"/>
          <w:lang w:val="en-US" w:eastAsia="zh-CN"/>
        </w:rPr>
        <w:t>9</w:t>
      </w:r>
      <w:r>
        <w:t> 月 </w:t>
      </w:r>
      <w:r>
        <w:rPr>
          <w:rFonts w:hint="eastAsia"/>
          <w:lang w:val="en-US" w:eastAsia="zh-CN"/>
        </w:rPr>
        <w:t>25</w:t>
      </w:r>
      <w:r>
        <w:t xml:space="preserve"> 日</w:t>
      </w:r>
    </w:p>
    <w:p w14:paraId="436A74CC">
      <w:pPr>
        <w:pStyle w:val="12"/>
        <w:keepNext w:val="0"/>
        <w:keepLines w:val="0"/>
        <w:pageBreakBefore w:val="0"/>
        <w:shd w:val="clear" w:color="auto" w:fill="FFFFFF"/>
        <w:kinsoku/>
        <w:wordWrap/>
        <w:overflowPunct/>
        <w:topLinePunct w:val="0"/>
        <w:autoSpaceDE/>
        <w:autoSpaceDN/>
        <w:bidi w:val="0"/>
        <w:spacing w:line="240" w:lineRule="auto"/>
        <w:textAlignment w:val="auto"/>
      </w:pPr>
      <w:r>
        <w:t> </w:t>
      </w:r>
    </w:p>
    <w:p w14:paraId="5AFA947E">
      <w:pPr>
        <w:pStyle w:val="12"/>
        <w:keepNext w:val="0"/>
        <w:keepLines w:val="0"/>
        <w:pageBreakBefore w:val="0"/>
        <w:shd w:val="clear" w:color="auto" w:fill="FFFFFF"/>
        <w:kinsoku/>
        <w:wordWrap/>
        <w:overflowPunct/>
        <w:topLinePunct w:val="0"/>
        <w:autoSpaceDE/>
        <w:autoSpaceDN/>
        <w:bidi w:val="0"/>
        <w:spacing w:line="240" w:lineRule="auto"/>
        <w:textAlignment w:val="auto"/>
        <w:rPr>
          <w:rFonts w:hint="default" w:eastAsia="宋体"/>
          <w:lang w:val="en-US" w:eastAsia="zh-CN"/>
        </w:rPr>
      </w:pPr>
      <w:r>
        <w:t>第一部分 单位概况</w:t>
      </w:r>
      <w:r>
        <w:rPr>
          <w:rFonts w:hint="eastAsia"/>
          <w:lang w:val="en-US" w:eastAsia="zh-CN"/>
        </w:rPr>
        <w:t>................................................4-14</w:t>
      </w:r>
    </w:p>
    <w:p w14:paraId="5E931E16">
      <w:pPr>
        <w:pStyle w:val="12"/>
        <w:keepNext w:val="0"/>
        <w:keepLines w:val="0"/>
        <w:pageBreakBefore w:val="0"/>
        <w:shd w:val="clear" w:color="auto" w:fill="FFFFFF"/>
        <w:kinsoku/>
        <w:wordWrap/>
        <w:overflowPunct/>
        <w:topLinePunct w:val="0"/>
        <w:autoSpaceDE/>
        <w:autoSpaceDN/>
        <w:bidi w:val="0"/>
        <w:spacing w:line="240" w:lineRule="auto"/>
        <w:ind w:firstLine="480" w:firstLineChars="200"/>
        <w:jc w:val="both"/>
        <w:textAlignment w:val="auto"/>
        <w:rPr>
          <w:rFonts w:hint="eastAsia"/>
          <w:lang w:val="en-US" w:eastAsia="zh-CN"/>
        </w:rPr>
      </w:pPr>
      <w:r>
        <w:t>一、主要职责</w:t>
      </w:r>
      <w:r>
        <w:rPr>
          <w:rFonts w:hint="eastAsia"/>
          <w:lang w:val="en-US" w:eastAsia="zh-CN"/>
        </w:rPr>
        <w:t>................................................4-14</w:t>
      </w:r>
    </w:p>
    <w:p w14:paraId="45496775">
      <w:pPr>
        <w:pStyle w:val="12"/>
        <w:keepNext w:val="0"/>
        <w:keepLines w:val="0"/>
        <w:pageBreakBefore w:val="0"/>
        <w:shd w:val="clear" w:color="auto" w:fill="FFFFFF"/>
        <w:kinsoku/>
        <w:wordWrap/>
        <w:overflowPunct/>
        <w:topLinePunct w:val="0"/>
        <w:autoSpaceDE/>
        <w:autoSpaceDN/>
        <w:bidi w:val="0"/>
        <w:spacing w:line="240" w:lineRule="auto"/>
        <w:ind w:firstLine="480" w:firstLineChars="200"/>
        <w:jc w:val="both"/>
        <w:textAlignment w:val="auto"/>
        <w:rPr>
          <w:rFonts w:hint="default" w:eastAsia="宋体"/>
          <w:lang w:val="en-US" w:eastAsia="zh-CN"/>
        </w:rPr>
      </w:pPr>
      <w:r>
        <w:t>二、机构设置</w:t>
      </w:r>
      <w:r>
        <w:rPr>
          <w:rFonts w:hint="eastAsia"/>
          <w:lang w:val="en-US" w:eastAsia="zh-CN"/>
        </w:rPr>
        <w:t>..................................................14</w:t>
      </w:r>
    </w:p>
    <w:p w14:paraId="78EDA79A">
      <w:pPr>
        <w:pStyle w:val="12"/>
        <w:keepNext w:val="0"/>
        <w:keepLines w:val="0"/>
        <w:pageBreakBefore w:val="0"/>
        <w:shd w:val="clear" w:color="auto" w:fill="FFFFFF"/>
        <w:kinsoku/>
        <w:wordWrap/>
        <w:overflowPunct/>
        <w:topLinePunct w:val="0"/>
        <w:autoSpaceDE/>
        <w:autoSpaceDN/>
        <w:bidi w:val="0"/>
        <w:spacing w:line="240" w:lineRule="auto"/>
        <w:textAlignment w:val="auto"/>
        <w:rPr>
          <w:rFonts w:hint="default" w:eastAsia="宋体"/>
          <w:lang w:val="en-US" w:eastAsia="zh-CN"/>
        </w:rPr>
      </w:pPr>
      <w:r>
        <w:t>第二部分 2022年度单位决算情况说明</w:t>
      </w:r>
      <w:r>
        <w:rPr>
          <w:rFonts w:hint="eastAsia"/>
          <w:lang w:val="en-US" w:eastAsia="zh-CN"/>
        </w:rPr>
        <w:t>..............................14-20</w:t>
      </w:r>
    </w:p>
    <w:p w14:paraId="190D002B">
      <w:pPr>
        <w:pStyle w:val="12"/>
        <w:keepNext w:val="0"/>
        <w:keepLines w:val="0"/>
        <w:pageBreakBefore w:val="0"/>
        <w:shd w:val="clear" w:color="auto" w:fill="FFFFFF"/>
        <w:kinsoku/>
        <w:wordWrap/>
        <w:overflowPunct/>
        <w:topLinePunct w:val="0"/>
        <w:autoSpaceDE/>
        <w:autoSpaceDN/>
        <w:bidi w:val="0"/>
        <w:spacing w:line="240" w:lineRule="auto"/>
        <w:ind w:firstLine="480" w:firstLineChars="200"/>
        <w:jc w:val="left"/>
        <w:textAlignment w:val="auto"/>
        <w:rPr>
          <w:rFonts w:hint="eastAsia"/>
          <w:lang w:val="en-US" w:eastAsia="zh-CN"/>
        </w:rPr>
      </w:pPr>
      <w:r>
        <w:t>一、收入支出决算总体情况说明</w:t>
      </w:r>
      <w:r>
        <w:rPr>
          <w:rFonts w:hint="eastAsia"/>
          <w:lang w:val="en-US" w:eastAsia="zh-CN"/>
        </w:rPr>
        <w:t>...................................14</w:t>
      </w:r>
    </w:p>
    <w:p w14:paraId="593757AD">
      <w:pPr>
        <w:pStyle w:val="12"/>
        <w:keepNext w:val="0"/>
        <w:keepLines w:val="0"/>
        <w:pageBreakBefore w:val="0"/>
        <w:shd w:val="clear" w:color="auto" w:fill="FFFFFF"/>
        <w:kinsoku/>
        <w:wordWrap/>
        <w:overflowPunct/>
        <w:topLinePunct w:val="0"/>
        <w:autoSpaceDE/>
        <w:autoSpaceDN/>
        <w:bidi w:val="0"/>
        <w:spacing w:line="240" w:lineRule="auto"/>
        <w:ind w:firstLine="480" w:firstLineChars="200"/>
        <w:jc w:val="left"/>
        <w:textAlignment w:val="auto"/>
        <w:rPr>
          <w:rFonts w:hint="default" w:eastAsia="宋体"/>
          <w:lang w:val="en-US" w:eastAsia="zh-CN"/>
        </w:rPr>
      </w:pPr>
      <w:r>
        <w:t>二、收入决算情况说明</w:t>
      </w:r>
      <w:r>
        <w:rPr>
          <w:rFonts w:hint="eastAsia"/>
          <w:lang w:val="en-US" w:eastAsia="zh-CN"/>
        </w:rPr>
        <w:t>...........................................15</w:t>
      </w:r>
    </w:p>
    <w:p w14:paraId="4455F2F1">
      <w:pPr>
        <w:pStyle w:val="12"/>
        <w:keepNext w:val="0"/>
        <w:keepLines w:val="0"/>
        <w:pageBreakBefore w:val="0"/>
        <w:shd w:val="clear" w:color="auto" w:fill="FFFFFF"/>
        <w:kinsoku/>
        <w:wordWrap/>
        <w:overflowPunct/>
        <w:topLinePunct w:val="0"/>
        <w:autoSpaceDE/>
        <w:autoSpaceDN/>
        <w:bidi w:val="0"/>
        <w:spacing w:line="240" w:lineRule="auto"/>
        <w:ind w:firstLine="480" w:firstLineChars="200"/>
        <w:jc w:val="left"/>
        <w:textAlignment w:val="auto"/>
        <w:rPr>
          <w:rFonts w:hint="default"/>
          <w:lang w:val="en-US"/>
        </w:rPr>
      </w:pPr>
      <w:r>
        <w:t>三、支出决算情况说明</w:t>
      </w:r>
      <w:r>
        <w:rPr>
          <w:rFonts w:hint="eastAsia"/>
          <w:lang w:val="en-US" w:eastAsia="zh-CN"/>
        </w:rPr>
        <w:t>...........................................15</w:t>
      </w:r>
    </w:p>
    <w:p w14:paraId="358E05C5">
      <w:pPr>
        <w:pStyle w:val="12"/>
        <w:keepNext w:val="0"/>
        <w:keepLines w:val="0"/>
        <w:pageBreakBefore w:val="0"/>
        <w:shd w:val="clear" w:color="auto" w:fill="FFFFFF"/>
        <w:kinsoku/>
        <w:wordWrap/>
        <w:overflowPunct/>
        <w:topLinePunct w:val="0"/>
        <w:autoSpaceDE/>
        <w:autoSpaceDN/>
        <w:bidi w:val="0"/>
        <w:spacing w:line="240" w:lineRule="auto"/>
        <w:ind w:firstLine="480" w:firstLineChars="200"/>
        <w:jc w:val="left"/>
        <w:textAlignment w:val="auto"/>
        <w:rPr>
          <w:rFonts w:hint="default" w:eastAsia="宋体"/>
          <w:lang w:val="en-US" w:eastAsia="zh-CN"/>
        </w:rPr>
      </w:pPr>
      <w:r>
        <w:t>四、财政拨款收入支出决算总体情况说</w:t>
      </w:r>
      <w:r>
        <w:rPr>
          <w:rFonts w:hint="eastAsia"/>
          <w:lang w:val="en-US" w:eastAsia="zh-CN"/>
        </w:rPr>
        <w:t>.............................15</w:t>
      </w:r>
    </w:p>
    <w:p w14:paraId="0F94775C">
      <w:pPr>
        <w:pStyle w:val="12"/>
        <w:keepNext w:val="0"/>
        <w:keepLines w:val="0"/>
        <w:pageBreakBefore w:val="0"/>
        <w:shd w:val="clear" w:color="auto" w:fill="FFFFFF"/>
        <w:kinsoku/>
        <w:wordWrap/>
        <w:overflowPunct/>
        <w:topLinePunct w:val="0"/>
        <w:autoSpaceDE/>
        <w:autoSpaceDN/>
        <w:bidi w:val="0"/>
        <w:spacing w:line="240" w:lineRule="auto"/>
        <w:ind w:firstLine="480" w:firstLineChars="200"/>
        <w:jc w:val="left"/>
        <w:textAlignment w:val="auto"/>
        <w:rPr>
          <w:rFonts w:hint="eastAsia"/>
          <w:lang w:val="en-US" w:eastAsia="zh-CN"/>
        </w:rPr>
      </w:pPr>
      <w:r>
        <w:t>五、一般公共预算财政拨款支出决算情况说明</w:t>
      </w:r>
      <w:r>
        <w:rPr>
          <w:rFonts w:hint="eastAsia"/>
          <w:lang w:val="en-US" w:eastAsia="zh-CN"/>
        </w:rPr>
        <w:t>....................16-17</w:t>
      </w:r>
    </w:p>
    <w:p w14:paraId="0AE02D47">
      <w:pPr>
        <w:pStyle w:val="12"/>
        <w:keepNext w:val="0"/>
        <w:keepLines w:val="0"/>
        <w:pageBreakBefore w:val="0"/>
        <w:shd w:val="clear" w:color="auto" w:fill="FFFFFF"/>
        <w:kinsoku/>
        <w:wordWrap/>
        <w:overflowPunct/>
        <w:topLinePunct w:val="0"/>
        <w:autoSpaceDE/>
        <w:autoSpaceDN/>
        <w:bidi w:val="0"/>
        <w:spacing w:line="240" w:lineRule="auto"/>
        <w:ind w:firstLine="480" w:firstLineChars="200"/>
        <w:jc w:val="left"/>
        <w:textAlignment w:val="auto"/>
        <w:rPr>
          <w:rFonts w:hint="default"/>
          <w:lang w:val="en-US" w:eastAsia="zh-CN"/>
        </w:rPr>
      </w:pPr>
      <w:r>
        <w:t>六、一般公共预算财政拨款基本支出决算情况说明</w:t>
      </w:r>
      <w:r>
        <w:rPr>
          <w:rFonts w:hint="eastAsia"/>
          <w:lang w:val="en-US" w:eastAsia="zh-CN"/>
        </w:rPr>
        <w:t>................17-18</w:t>
      </w:r>
    </w:p>
    <w:p w14:paraId="50F15D91">
      <w:pPr>
        <w:pStyle w:val="12"/>
        <w:keepNext w:val="0"/>
        <w:keepLines w:val="0"/>
        <w:pageBreakBefore w:val="0"/>
        <w:shd w:val="clear" w:color="auto" w:fill="FFFFFF"/>
        <w:kinsoku/>
        <w:wordWrap/>
        <w:overflowPunct/>
        <w:topLinePunct w:val="0"/>
        <w:autoSpaceDE/>
        <w:autoSpaceDN/>
        <w:bidi w:val="0"/>
        <w:spacing w:line="240" w:lineRule="auto"/>
        <w:ind w:left="480" w:leftChars="200" w:firstLine="0" w:firstLineChars="0"/>
        <w:jc w:val="left"/>
        <w:textAlignment w:val="auto"/>
        <w:rPr>
          <w:rFonts w:hint="default" w:eastAsia="宋体"/>
          <w:lang w:val="en-US" w:eastAsia="zh-CN"/>
        </w:rPr>
      </w:pPr>
      <w:r>
        <w:t>七、财政拨款“三公”经费支出决算情况说明</w:t>
      </w:r>
      <w:r>
        <w:rPr>
          <w:rFonts w:hint="eastAsia"/>
          <w:lang w:val="en-US" w:eastAsia="zh-CN"/>
        </w:rPr>
        <w:t>....................18-19</w:t>
      </w:r>
    </w:p>
    <w:p w14:paraId="19E0C638">
      <w:pPr>
        <w:pStyle w:val="12"/>
        <w:keepNext w:val="0"/>
        <w:keepLines w:val="0"/>
        <w:pageBreakBefore w:val="0"/>
        <w:shd w:val="clear" w:color="auto" w:fill="FFFFFF"/>
        <w:kinsoku/>
        <w:wordWrap/>
        <w:overflowPunct/>
        <w:topLinePunct w:val="0"/>
        <w:autoSpaceDE/>
        <w:autoSpaceDN/>
        <w:bidi w:val="0"/>
        <w:spacing w:line="240" w:lineRule="auto"/>
        <w:ind w:firstLine="480" w:firstLineChars="200"/>
        <w:jc w:val="left"/>
        <w:textAlignment w:val="auto"/>
        <w:rPr>
          <w:rFonts w:hint="default"/>
          <w:lang w:val="en-US" w:eastAsia="zh-CN"/>
        </w:rPr>
      </w:pPr>
      <w:r>
        <w:t>八、政府性基金预算支出决算情况说明</w:t>
      </w:r>
      <w:r>
        <w:rPr>
          <w:rFonts w:hint="eastAsia"/>
          <w:lang w:val="en-US" w:eastAsia="zh-CN"/>
        </w:rPr>
        <w:t>.............................19</w:t>
      </w:r>
    </w:p>
    <w:p w14:paraId="70F76E53">
      <w:pPr>
        <w:pStyle w:val="12"/>
        <w:keepNext w:val="0"/>
        <w:keepLines w:val="0"/>
        <w:pageBreakBefore w:val="0"/>
        <w:shd w:val="clear" w:color="auto" w:fill="FFFFFF"/>
        <w:kinsoku/>
        <w:wordWrap/>
        <w:overflowPunct/>
        <w:topLinePunct w:val="0"/>
        <w:autoSpaceDE/>
        <w:autoSpaceDN/>
        <w:bidi w:val="0"/>
        <w:spacing w:line="240" w:lineRule="auto"/>
        <w:ind w:firstLine="480" w:firstLineChars="200"/>
        <w:jc w:val="left"/>
        <w:textAlignment w:val="auto"/>
        <w:rPr>
          <w:rFonts w:hint="default"/>
          <w:lang w:val="en-US" w:eastAsia="zh-CN"/>
        </w:rPr>
      </w:pPr>
      <w:r>
        <w:t>九</w:t>
      </w:r>
      <w:r>
        <w:rPr>
          <w:rFonts w:hint="eastAsia"/>
          <w:lang w:eastAsia="zh-CN"/>
        </w:rPr>
        <w:t>、</w:t>
      </w:r>
      <w:r>
        <w:t>国有资本经营预算支出决算情况说明</w:t>
      </w:r>
      <w:r>
        <w:rPr>
          <w:rFonts w:hint="eastAsia"/>
          <w:lang w:val="en-US" w:eastAsia="zh-CN"/>
        </w:rPr>
        <w:t>...........................19</w:t>
      </w:r>
    </w:p>
    <w:p w14:paraId="108E091D">
      <w:pPr>
        <w:pStyle w:val="12"/>
        <w:keepNext w:val="0"/>
        <w:keepLines w:val="0"/>
        <w:pageBreakBefore w:val="0"/>
        <w:shd w:val="clear" w:color="auto" w:fill="FFFFFF"/>
        <w:kinsoku/>
        <w:wordWrap/>
        <w:overflowPunct/>
        <w:topLinePunct w:val="0"/>
        <w:autoSpaceDE/>
        <w:autoSpaceDN/>
        <w:bidi w:val="0"/>
        <w:spacing w:line="240" w:lineRule="auto"/>
        <w:ind w:firstLine="480" w:firstLineChars="200"/>
        <w:jc w:val="left"/>
        <w:textAlignment w:val="auto"/>
        <w:rPr>
          <w:rFonts w:hint="eastAsia"/>
          <w:lang w:val="en-US" w:eastAsia="zh-CN"/>
        </w:rPr>
      </w:pPr>
      <w:r>
        <w:t>十、其他重要事项的情况说明</w:t>
      </w:r>
      <w:r>
        <w:rPr>
          <w:rFonts w:hint="eastAsia"/>
          <w:lang w:val="en-US" w:eastAsia="zh-CN"/>
        </w:rPr>
        <w:t>..................................19-20</w:t>
      </w:r>
    </w:p>
    <w:p w14:paraId="0231444D">
      <w:pPr>
        <w:pStyle w:val="12"/>
        <w:keepNext w:val="0"/>
        <w:keepLines w:val="0"/>
        <w:pageBreakBefore w:val="0"/>
        <w:shd w:val="clear" w:color="auto" w:fill="FFFFFF"/>
        <w:kinsoku/>
        <w:wordWrap/>
        <w:overflowPunct/>
        <w:topLinePunct w:val="0"/>
        <w:autoSpaceDE/>
        <w:autoSpaceDN/>
        <w:bidi w:val="0"/>
        <w:spacing w:line="240" w:lineRule="auto"/>
        <w:jc w:val="left"/>
        <w:textAlignment w:val="auto"/>
        <w:rPr>
          <w:rFonts w:hint="eastAsia"/>
          <w:lang w:val="en-US" w:eastAsia="zh-CN"/>
        </w:rPr>
      </w:pPr>
      <w:r>
        <w:t>第三部分 名词解释</w:t>
      </w:r>
      <w:r>
        <w:rPr>
          <w:rFonts w:hint="eastAsia"/>
          <w:lang w:val="en-US" w:eastAsia="zh-CN"/>
        </w:rPr>
        <w:t>...............................................21-24</w:t>
      </w:r>
    </w:p>
    <w:p w14:paraId="54F703A0">
      <w:pPr>
        <w:pStyle w:val="12"/>
        <w:keepNext w:val="0"/>
        <w:keepLines w:val="0"/>
        <w:pageBreakBefore w:val="0"/>
        <w:shd w:val="clear" w:color="auto" w:fill="FFFFFF"/>
        <w:kinsoku/>
        <w:wordWrap/>
        <w:overflowPunct/>
        <w:topLinePunct w:val="0"/>
        <w:autoSpaceDE/>
        <w:autoSpaceDN/>
        <w:bidi w:val="0"/>
        <w:spacing w:line="240" w:lineRule="auto"/>
        <w:jc w:val="left"/>
        <w:textAlignment w:val="auto"/>
        <w:rPr>
          <w:rFonts w:hint="default"/>
          <w:lang w:val="en-US"/>
        </w:rPr>
      </w:pPr>
      <w:r>
        <w:rPr>
          <w:rFonts w:hint="eastAsia"/>
          <w:lang w:eastAsia="zh-CN"/>
        </w:rPr>
        <w:t>第</w:t>
      </w:r>
      <w:r>
        <w:t>四部分 附件</w:t>
      </w:r>
      <w:r>
        <w:rPr>
          <w:rFonts w:hint="eastAsia"/>
          <w:lang w:val="en-US" w:eastAsia="zh-CN"/>
        </w:rPr>
        <w:t>...................................................24-34</w:t>
      </w:r>
    </w:p>
    <w:p w14:paraId="44936F12">
      <w:pPr>
        <w:pStyle w:val="12"/>
        <w:keepNext w:val="0"/>
        <w:keepLines w:val="0"/>
        <w:pageBreakBefore w:val="0"/>
        <w:shd w:val="clear" w:color="auto" w:fill="FFFFFF"/>
        <w:kinsoku/>
        <w:wordWrap/>
        <w:overflowPunct/>
        <w:topLinePunct w:val="0"/>
        <w:autoSpaceDE/>
        <w:autoSpaceDN/>
        <w:bidi w:val="0"/>
        <w:spacing w:line="240" w:lineRule="auto"/>
        <w:jc w:val="left"/>
        <w:textAlignment w:val="auto"/>
        <w:rPr>
          <w:rFonts w:hint="eastAsia"/>
          <w:lang w:val="en-US" w:eastAsia="zh-CN"/>
        </w:rPr>
      </w:pPr>
      <w:r>
        <w:t>第五部分 附表</w:t>
      </w:r>
      <w:r>
        <w:rPr>
          <w:rFonts w:hint="eastAsia"/>
          <w:lang w:val="en-US" w:eastAsia="zh-CN"/>
        </w:rPr>
        <w:t>...................................................34-41</w:t>
      </w:r>
    </w:p>
    <w:p w14:paraId="3234CA7A">
      <w:pPr>
        <w:pStyle w:val="12"/>
        <w:keepNext w:val="0"/>
        <w:keepLines w:val="0"/>
        <w:pageBreakBefore w:val="0"/>
        <w:shd w:val="clear" w:color="auto" w:fill="FFFFFF"/>
        <w:kinsoku/>
        <w:wordWrap/>
        <w:overflowPunct/>
        <w:topLinePunct w:val="0"/>
        <w:autoSpaceDE/>
        <w:autoSpaceDN/>
        <w:bidi w:val="0"/>
        <w:spacing w:line="240" w:lineRule="auto"/>
        <w:ind w:firstLine="480" w:firstLineChars="200"/>
        <w:jc w:val="left"/>
        <w:textAlignment w:val="auto"/>
        <w:rPr>
          <w:rFonts w:hint="default"/>
          <w:lang w:val="en-US"/>
        </w:rPr>
      </w:pPr>
      <w:r>
        <w:t>一、收入支出决算总表</w:t>
      </w:r>
      <w:r>
        <w:rPr>
          <w:rFonts w:hint="eastAsia"/>
          <w:lang w:val="en-US" w:eastAsia="zh-CN"/>
        </w:rPr>
        <w:t>........................................34-35</w:t>
      </w:r>
    </w:p>
    <w:p w14:paraId="40415193">
      <w:pPr>
        <w:pStyle w:val="12"/>
        <w:keepNext w:val="0"/>
        <w:keepLines w:val="0"/>
        <w:pageBreakBefore w:val="0"/>
        <w:shd w:val="clear" w:color="auto" w:fill="FFFFFF"/>
        <w:kinsoku/>
        <w:wordWrap/>
        <w:overflowPunct/>
        <w:topLinePunct w:val="0"/>
        <w:autoSpaceDE/>
        <w:autoSpaceDN/>
        <w:bidi w:val="0"/>
        <w:spacing w:line="240" w:lineRule="auto"/>
        <w:ind w:firstLine="480" w:firstLineChars="200"/>
        <w:jc w:val="left"/>
        <w:textAlignment w:val="auto"/>
        <w:rPr>
          <w:rFonts w:hint="default"/>
          <w:lang w:val="en-US" w:eastAsia="zh-CN"/>
        </w:rPr>
      </w:pPr>
      <w:r>
        <w:t>二、收入决算表</w:t>
      </w:r>
      <w:r>
        <w:rPr>
          <w:rFonts w:hint="eastAsia"/>
          <w:lang w:val="en-US" w:eastAsia="zh-CN"/>
        </w:rPr>
        <w:t>.................................................35</w:t>
      </w:r>
    </w:p>
    <w:p w14:paraId="2F3F5E02">
      <w:pPr>
        <w:pStyle w:val="12"/>
        <w:keepNext w:val="0"/>
        <w:keepLines w:val="0"/>
        <w:pageBreakBefore w:val="0"/>
        <w:shd w:val="clear" w:color="auto" w:fill="FFFFFF"/>
        <w:kinsoku/>
        <w:wordWrap/>
        <w:overflowPunct/>
        <w:topLinePunct w:val="0"/>
        <w:autoSpaceDE/>
        <w:autoSpaceDN/>
        <w:bidi w:val="0"/>
        <w:spacing w:line="240" w:lineRule="auto"/>
        <w:ind w:firstLine="480" w:firstLineChars="200"/>
        <w:jc w:val="left"/>
        <w:textAlignment w:val="auto"/>
        <w:rPr>
          <w:rFonts w:hint="default"/>
          <w:lang w:val="en-US"/>
        </w:rPr>
      </w:pPr>
      <w:r>
        <w:t>三、支出决算表</w:t>
      </w:r>
      <w:r>
        <w:rPr>
          <w:rFonts w:hint="eastAsia"/>
          <w:lang w:val="en-US" w:eastAsia="zh-CN"/>
        </w:rPr>
        <w:t>.................................................36</w:t>
      </w:r>
    </w:p>
    <w:p w14:paraId="058304FE">
      <w:pPr>
        <w:pStyle w:val="12"/>
        <w:keepNext w:val="0"/>
        <w:keepLines w:val="0"/>
        <w:pageBreakBefore w:val="0"/>
        <w:shd w:val="clear" w:color="auto" w:fill="FFFFFF"/>
        <w:kinsoku/>
        <w:wordWrap/>
        <w:overflowPunct/>
        <w:topLinePunct w:val="0"/>
        <w:autoSpaceDE/>
        <w:autoSpaceDN/>
        <w:bidi w:val="0"/>
        <w:spacing w:line="240" w:lineRule="auto"/>
        <w:ind w:firstLine="480" w:firstLineChars="200"/>
        <w:jc w:val="left"/>
        <w:textAlignment w:val="auto"/>
        <w:rPr>
          <w:rFonts w:hint="default"/>
          <w:lang w:val="en-US"/>
        </w:rPr>
      </w:pPr>
      <w:r>
        <w:t>四、财政拨款收入支出决算总表</w:t>
      </w:r>
      <w:r>
        <w:rPr>
          <w:rFonts w:hint="eastAsia"/>
          <w:lang w:val="en-US" w:eastAsia="zh-CN"/>
        </w:rPr>
        <w:t>...................................36</w:t>
      </w:r>
    </w:p>
    <w:p w14:paraId="7F2D0A21">
      <w:pPr>
        <w:pStyle w:val="12"/>
        <w:keepNext w:val="0"/>
        <w:keepLines w:val="0"/>
        <w:pageBreakBefore w:val="0"/>
        <w:shd w:val="clear" w:color="auto" w:fill="FFFFFF"/>
        <w:kinsoku/>
        <w:wordWrap/>
        <w:overflowPunct/>
        <w:topLinePunct w:val="0"/>
        <w:autoSpaceDE/>
        <w:autoSpaceDN/>
        <w:bidi w:val="0"/>
        <w:spacing w:line="240" w:lineRule="auto"/>
        <w:ind w:firstLine="480" w:firstLineChars="200"/>
        <w:jc w:val="left"/>
        <w:textAlignment w:val="auto"/>
        <w:rPr>
          <w:rFonts w:hint="default"/>
          <w:lang w:val="en-US" w:eastAsia="zh-CN"/>
        </w:rPr>
      </w:pPr>
      <w:r>
        <w:t>五、财政拨款支出决算明细表</w:t>
      </w:r>
      <w:r>
        <w:rPr>
          <w:rFonts w:hint="eastAsia"/>
          <w:lang w:val="en-US" w:eastAsia="zh-CN"/>
        </w:rPr>
        <w:t>.....................................37</w:t>
      </w:r>
    </w:p>
    <w:p w14:paraId="71D7B447">
      <w:pPr>
        <w:pStyle w:val="12"/>
        <w:keepNext w:val="0"/>
        <w:keepLines w:val="0"/>
        <w:pageBreakBefore w:val="0"/>
        <w:shd w:val="clear" w:color="auto" w:fill="FFFFFF"/>
        <w:kinsoku/>
        <w:wordWrap/>
        <w:overflowPunct/>
        <w:topLinePunct w:val="0"/>
        <w:autoSpaceDE/>
        <w:autoSpaceDN/>
        <w:bidi w:val="0"/>
        <w:spacing w:line="240" w:lineRule="auto"/>
        <w:ind w:firstLine="480" w:firstLineChars="200"/>
        <w:jc w:val="left"/>
        <w:textAlignment w:val="auto"/>
        <w:rPr>
          <w:rFonts w:hint="default"/>
          <w:lang w:val="en-US"/>
        </w:rPr>
      </w:pPr>
      <w:r>
        <w:t>六、一般公共预算财政拨款支出决算表</w:t>
      </w:r>
      <w:r>
        <w:rPr>
          <w:rFonts w:hint="eastAsia"/>
          <w:lang w:val="en-US" w:eastAsia="zh-CN"/>
        </w:rPr>
        <w:t>.............................38</w:t>
      </w:r>
    </w:p>
    <w:p w14:paraId="35ADB4D3">
      <w:pPr>
        <w:pStyle w:val="12"/>
        <w:keepNext w:val="0"/>
        <w:keepLines w:val="0"/>
        <w:pageBreakBefore w:val="0"/>
        <w:widowControl/>
        <w:shd w:val="clear" w:color="auto" w:fill="FFFFFF"/>
        <w:kinsoku/>
        <w:wordWrap/>
        <w:overflowPunct/>
        <w:topLinePunct w:val="0"/>
        <w:autoSpaceDE/>
        <w:autoSpaceDN/>
        <w:bidi w:val="0"/>
        <w:adjustRightInd/>
        <w:snapToGrid/>
        <w:spacing w:line="240" w:lineRule="auto"/>
        <w:ind w:firstLine="480" w:firstLineChars="200"/>
        <w:jc w:val="left"/>
        <w:textAlignment w:val="auto"/>
        <w:rPr>
          <w:rFonts w:hint="default"/>
          <w:lang w:val="en-US"/>
        </w:rPr>
      </w:pPr>
      <w:r>
        <w:t>七、一般公共预算财政拨款支出决算明细表</w:t>
      </w:r>
      <w:r>
        <w:rPr>
          <w:rFonts w:hint="eastAsia"/>
          <w:lang w:val="en-US" w:eastAsia="zh-CN"/>
        </w:rPr>
        <w:t>.........................39</w:t>
      </w:r>
    </w:p>
    <w:p w14:paraId="08E9FDD8">
      <w:pPr>
        <w:pStyle w:val="12"/>
        <w:keepNext w:val="0"/>
        <w:keepLines w:val="0"/>
        <w:pageBreakBefore w:val="0"/>
        <w:widowControl/>
        <w:shd w:val="clear" w:color="auto" w:fill="FFFFFF"/>
        <w:kinsoku/>
        <w:wordWrap/>
        <w:overflowPunct/>
        <w:topLinePunct w:val="0"/>
        <w:autoSpaceDE/>
        <w:autoSpaceDN/>
        <w:bidi w:val="0"/>
        <w:adjustRightInd/>
        <w:snapToGrid/>
        <w:spacing w:line="240" w:lineRule="auto"/>
        <w:ind w:firstLine="480" w:firstLineChars="200"/>
        <w:jc w:val="left"/>
        <w:textAlignment w:val="auto"/>
        <w:rPr>
          <w:rFonts w:hint="default"/>
          <w:lang w:val="en-US"/>
        </w:rPr>
      </w:pPr>
      <w:r>
        <w:t>八、一般公共预算财政拨款基本支出决算表</w:t>
      </w:r>
      <w:r>
        <w:rPr>
          <w:rFonts w:hint="eastAsia"/>
          <w:lang w:val="en-US" w:eastAsia="zh-CN"/>
        </w:rPr>
        <w:t>.........................40</w:t>
      </w:r>
    </w:p>
    <w:p w14:paraId="1DD0CB53">
      <w:pPr>
        <w:pStyle w:val="12"/>
        <w:keepNext w:val="0"/>
        <w:keepLines w:val="0"/>
        <w:pageBreakBefore w:val="0"/>
        <w:widowControl/>
        <w:shd w:val="clear" w:color="auto" w:fill="FFFFFF"/>
        <w:kinsoku/>
        <w:wordWrap/>
        <w:overflowPunct/>
        <w:topLinePunct w:val="0"/>
        <w:autoSpaceDE/>
        <w:autoSpaceDN/>
        <w:bidi w:val="0"/>
        <w:adjustRightInd/>
        <w:snapToGrid/>
        <w:spacing w:line="240" w:lineRule="auto"/>
        <w:ind w:left="480" w:leftChars="200" w:firstLine="0" w:firstLineChars="0"/>
        <w:jc w:val="left"/>
        <w:textAlignment w:val="auto"/>
        <w:rPr>
          <w:rFonts w:hint="default"/>
          <w:lang w:val="en-US" w:eastAsia="zh-CN"/>
        </w:rPr>
      </w:pPr>
      <w:r>
        <w:t>九、一般公共预算财政拨款项目支出决算表</w:t>
      </w:r>
      <w:r>
        <w:rPr>
          <w:rFonts w:hint="eastAsia"/>
          <w:lang w:val="en-US" w:eastAsia="zh-CN"/>
        </w:rPr>
        <w:t>.........................40</w:t>
      </w:r>
    </w:p>
    <w:p w14:paraId="2E823C46">
      <w:pPr>
        <w:pStyle w:val="12"/>
        <w:keepNext w:val="0"/>
        <w:keepLines w:val="0"/>
        <w:pageBreakBefore w:val="0"/>
        <w:widowControl/>
        <w:shd w:val="clear" w:color="auto" w:fill="FFFFFF"/>
        <w:kinsoku/>
        <w:wordWrap/>
        <w:overflowPunct/>
        <w:topLinePunct w:val="0"/>
        <w:autoSpaceDE/>
        <w:autoSpaceDN/>
        <w:bidi w:val="0"/>
        <w:adjustRightInd/>
        <w:snapToGrid/>
        <w:spacing w:line="240" w:lineRule="auto"/>
        <w:ind w:left="480" w:leftChars="200" w:firstLine="0" w:firstLineChars="0"/>
        <w:jc w:val="left"/>
        <w:textAlignment w:val="auto"/>
        <w:rPr>
          <w:rFonts w:hint="default"/>
          <w:lang w:val="en-US"/>
        </w:rPr>
      </w:pPr>
      <w:r>
        <w:t>十、政府性基金预算财政拨款收入支出决算表</w:t>
      </w:r>
      <w:r>
        <w:rPr>
          <w:rFonts w:hint="eastAsia"/>
          <w:lang w:val="en-US" w:eastAsia="zh-CN"/>
        </w:rPr>
        <w:t>.......................41</w:t>
      </w:r>
    </w:p>
    <w:p w14:paraId="1B719255">
      <w:pPr>
        <w:pStyle w:val="12"/>
        <w:keepNext w:val="0"/>
        <w:keepLines w:val="0"/>
        <w:pageBreakBefore w:val="0"/>
        <w:widowControl/>
        <w:shd w:val="clear" w:color="auto" w:fill="FFFFFF"/>
        <w:kinsoku/>
        <w:wordWrap/>
        <w:overflowPunct/>
        <w:topLinePunct w:val="0"/>
        <w:autoSpaceDE/>
        <w:autoSpaceDN/>
        <w:bidi w:val="0"/>
        <w:adjustRightInd/>
        <w:snapToGrid/>
        <w:spacing w:line="240" w:lineRule="auto"/>
        <w:ind w:firstLine="480" w:firstLineChars="200"/>
        <w:jc w:val="left"/>
        <w:textAlignment w:val="auto"/>
        <w:rPr>
          <w:rFonts w:hint="default"/>
          <w:lang w:val="en-US"/>
        </w:rPr>
      </w:pPr>
      <w:r>
        <w:t>十一、国有资本经营预算财政拨款收入支出决算表</w:t>
      </w:r>
      <w:r>
        <w:rPr>
          <w:rFonts w:hint="eastAsia"/>
          <w:lang w:val="en-US" w:eastAsia="zh-CN"/>
        </w:rPr>
        <w:t>...................41</w:t>
      </w:r>
    </w:p>
    <w:p w14:paraId="58150EC6">
      <w:pPr>
        <w:pStyle w:val="12"/>
        <w:keepNext w:val="0"/>
        <w:keepLines w:val="0"/>
        <w:pageBreakBefore w:val="0"/>
        <w:widowControl/>
        <w:shd w:val="clear" w:color="auto" w:fill="FFFFFF"/>
        <w:kinsoku/>
        <w:wordWrap/>
        <w:overflowPunct/>
        <w:topLinePunct w:val="0"/>
        <w:autoSpaceDE/>
        <w:autoSpaceDN/>
        <w:bidi w:val="0"/>
        <w:adjustRightInd/>
        <w:snapToGrid/>
        <w:spacing w:line="240" w:lineRule="auto"/>
        <w:ind w:firstLine="480" w:firstLineChars="200"/>
        <w:jc w:val="left"/>
        <w:textAlignment w:val="auto"/>
        <w:rPr>
          <w:rFonts w:hint="default"/>
          <w:lang w:val="en-US"/>
        </w:rPr>
      </w:pPr>
      <w:r>
        <w:t>十二、国有资本经营预算财政拨款支出决算表</w:t>
      </w:r>
      <w:r>
        <w:rPr>
          <w:rFonts w:hint="eastAsia"/>
          <w:lang w:val="en-US" w:eastAsia="zh-CN"/>
        </w:rPr>
        <w:t>.......................41</w:t>
      </w:r>
    </w:p>
    <w:p w14:paraId="3EC863B4">
      <w:pPr>
        <w:pStyle w:val="12"/>
        <w:keepNext w:val="0"/>
        <w:keepLines w:val="0"/>
        <w:pageBreakBefore w:val="0"/>
        <w:shd w:val="clear" w:color="auto" w:fill="FFFFFF"/>
        <w:kinsoku/>
        <w:wordWrap/>
        <w:overflowPunct/>
        <w:topLinePunct w:val="0"/>
        <w:autoSpaceDE/>
        <w:autoSpaceDN/>
        <w:bidi w:val="0"/>
        <w:spacing w:line="240" w:lineRule="auto"/>
        <w:ind w:firstLine="480" w:firstLineChars="200"/>
        <w:jc w:val="left"/>
        <w:textAlignment w:val="auto"/>
        <w:rPr>
          <w:rFonts w:hint="default"/>
          <w:lang w:val="en-US"/>
        </w:rPr>
      </w:pPr>
      <w:r>
        <w:t>十三、财政拨款“三公”经费支出决算表</w:t>
      </w:r>
      <w:r>
        <w:rPr>
          <w:rFonts w:hint="eastAsia"/>
          <w:lang w:val="en-US" w:eastAsia="zh-CN"/>
        </w:rPr>
        <w:t>...........................41</w:t>
      </w:r>
    </w:p>
    <w:p w14:paraId="281F9FEE">
      <w:pPr>
        <w:pStyle w:val="12"/>
        <w:keepNext w:val="0"/>
        <w:keepLines w:val="0"/>
        <w:pageBreakBefore w:val="0"/>
        <w:shd w:val="clear" w:color="auto" w:fill="FFFFFF"/>
        <w:kinsoku/>
        <w:wordWrap/>
        <w:overflowPunct/>
        <w:topLinePunct w:val="0"/>
        <w:autoSpaceDE/>
        <w:autoSpaceDN/>
        <w:bidi w:val="0"/>
        <w:spacing w:line="240" w:lineRule="auto"/>
        <w:ind w:left="420"/>
        <w:textAlignment w:val="auto"/>
      </w:pPr>
    </w:p>
    <w:p w14:paraId="7691B11A">
      <w:pPr>
        <w:pStyle w:val="12"/>
        <w:keepNext w:val="0"/>
        <w:keepLines w:val="0"/>
        <w:pageBreakBefore w:val="0"/>
        <w:shd w:val="clear" w:color="auto" w:fill="FFFFFF"/>
        <w:kinsoku/>
        <w:wordWrap/>
        <w:overflowPunct/>
        <w:topLinePunct w:val="0"/>
        <w:autoSpaceDE/>
        <w:autoSpaceDN/>
        <w:bidi w:val="0"/>
        <w:spacing w:line="240" w:lineRule="auto"/>
        <w:textAlignment w:val="auto"/>
      </w:pPr>
      <w:r>
        <w:t> </w:t>
      </w:r>
    </w:p>
    <w:p w14:paraId="3EEF0FA6">
      <w:pPr>
        <w:pStyle w:val="12"/>
        <w:keepNext w:val="0"/>
        <w:keepLines w:val="0"/>
        <w:pageBreakBefore w:val="0"/>
        <w:shd w:val="clear" w:color="auto" w:fill="FFFFFF"/>
        <w:kinsoku/>
        <w:wordWrap/>
        <w:overflowPunct/>
        <w:topLinePunct w:val="0"/>
        <w:autoSpaceDE/>
        <w:autoSpaceDN/>
        <w:bidi w:val="0"/>
        <w:spacing w:line="240" w:lineRule="auto"/>
        <w:textAlignment w:val="auto"/>
      </w:pPr>
    </w:p>
    <w:p w14:paraId="056AA655">
      <w:pPr>
        <w:pStyle w:val="12"/>
        <w:keepNext w:val="0"/>
        <w:keepLines w:val="0"/>
        <w:pageBreakBefore w:val="0"/>
        <w:shd w:val="clear" w:color="auto" w:fill="FFFFFF"/>
        <w:kinsoku/>
        <w:wordWrap/>
        <w:overflowPunct/>
        <w:topLinePunct w:val="0"/>
        <w:autoSpaceDE/>
        <w:autoSpaceDN/>
        <w:bidi w:val="0"/>
        <w:spacing w:line="240" w:lineRule="auto"/>
        <w:textAlignment w:val="auto"/>
      </w:pPr>
    </w:p>
    <w:p w14:paraId="3F94DB23">
      <w:pPr>
        <w:pStyle w:val="12"/>
        <w:keepNext w:val="0"/>
        <w:keepLines w:val="0"/>
        <w:pageBreakBefore w:val="0"/>
        <w:shd w:val="clear" w:color="auto" w:fill="FFFFFF"/>
        <w:kinsoku/>
        <w:wordWrap/>
        <w:overflowPunct/>
        <w:topLinePunct w:val="0"/>
        <w:autoSpaceDE/>
        <w:autoSpaceDN/>
        <w:bidi w:val="0"/>
        <w:spacing w:line="240" w:lineRule="auto"/>
        <w:textAlignment w:val="auto"/>
      </w:pPr>
    </w:p>
    <w:p w14:paraId="0553E662">
      <w:pPr>
        <w:pStyle w:val="12"/>
        <w:keepNext w:val="0"/>
        <w:keepLines w:val="0"/>
        <w:pageBreakBefore w:val="0"/>
        <w:shd w:val="clear" w:color="auto" w:fill="FFFFFF"/>
        <w:kinsoku/>
        <w:wordWrap/>
        <w:overflowPunct/>
        <w:topLinePunct w:val="0"/>
        <w:autoSpaceDE/>
        <w:autoSpaceDN/>
        <w:bidi w:val="0"/>
        <w:spacing w:line="240" w:lineRule="auto"/>
        <w:textAlignment w:val="auto"/>
      </w:pPr>
    </w:p>
    <w:p w14:paraId="00170B29">
      <w:pPr>
        <w:pStyle w:val="12"/>
        <w:keepNext w:val="0"/>
        <w:keepLines w:val="0"/>
        <w:pageBreakBefore w:val="0"/>
        <w:shd w:val="clear" w:color="auto" w:fill="FFFFFF"/>
        <w:kinsoku/>
        <w:wordWrap/>
        <w:overflowPunct/>
        <w:topLinePunct w:val="0"/>
        <w:autoSpaceDE/>
        <w:autoSpaceDN/>
        <w:bidi w:val="0"/>
        <w:spacing w:line="240" w:lineRule="auto"/>
        <w:textAlignment w:val="auto"/>
      </w:pPr>
    </w:p>
    <w:p w14:paraId="7B60D39C">
      <w:pPr>
        <w:pStyle w:val="12"/>
        <w:keepNext w:val="0"/>
        <w:keepLines w:val="0"/>
        <w:pageBreakBefore w:val="0"/>
        <w:shd w:val="clear" w:color="auto" w:fill="FFFFFF"/>
        <w:kinsoku/>
        <w:wordWrap/>
        <w:overflowPunct/>
        <w:topLinePunct w:val="0"/>
        <w:autoSpaceDE/>
        <w:autoSpaceDN/>
        <w:bidi w:val="0"/>
        <w:spacing w:line="240" w:lineRule="auto"/>
        <w:textAlignment w:val="auto"/>
      </w:pPr>
    </w:p>
    <w:p w14:paraId="3BA40B2B">
      <w:pPr>
        <w:pStyle w:val="12"/>
        <w:keepNext w:val="0"/>
        <w:keepLines w:val="0"/>
        <w:pageBreakBefore w:val="0"/>
        <w:shd w:val="clear" w:color="auto" w:fill="FFFFFF"/>
        <w:kinsoku/>
        <w:wordWrap/>
        <w:overflowPunct/>
        <w:topLinePunct w:val="0"/>
        <w:autoSpaceDE/>
        <w:autoSpaceDN/>
        <w:bidi w:val="0"/>
        <w:spacing w:line="240" w:lineRule="auto"/>
        <w:textAlignment w:val="auto"/>
      </w:pPr>
    </w:p>
    <w:p w14:paraId="46A71A63">
      <w:pPr>
        <w:pStyle w:val="12"/>
        <w:keepNext w:val="0"/>
        <w:keepLines w:val="0"/>
        <w:pageBreakBefore w:val="0"/>
        <w:shd w:val="clear" w:color="auto" w:fill="FFFFFF"/>
        <w:kinsoku/>
        <w:wordWrap/>
        <w:overflowPunct/>
        <w:topLinePunct w:val="0"/>
        <w:autoSpaceDE/>
        <w:autoSpaceDN/>
        <w:bidi w:val="0"/>
        <w:spacing w:line="240" w:lineRule="auto"/>
        <w:textAlignment w:val="auto"/>
      </w:pPr>
      <w:r>
        <w:t> </w:t>
      </w:r>
    </w:p>
    <w:p w14:paraId="2E665C5F">
      <w:pPr>
        <w:pStyle w:val="3"/>
        <w:keepNext w:val="0"/>
        <w:keepLines w:val="0"/>
        <w:pageBreakBefore w:val="0"/>
        <w:numPr>
          <w:ilvl w:val="0"/>
          <w:numId w:val="1"/>
        </w:numPr>
        <w:shd w:val="clear" w:color="auto" w:fill="FFFFFF"/>
        <w:kinsoku/>
        <w:wordWrap/>
        <w:overflowPunct/>
        <w:topLinePunct w:val="0"/>
        <w:autoSpaceDE/>
        <w:autoSpaceDN/>
        <w:bidi w:val="0"/>
        <w:spacing w:before="0" w:beforeAutospacing="0" w:after="0" w:afterAutospacing="0" w:line="440" w:lineRule="exact"/>
        <w:jc w:val="center"/>
        <w:textAlignment w:val="auto"/>
        <w:rPr>
          <w:rFonts w:ascii="宋体" w:hAnsi="宋体" w:eastAsia="仿宋_GB2312" w:cs="宋体"/>
          <w:b w:val="0"/>
          <w:bCs w:val="0"/>
          <w:color w:val="000000"/>
          <w:kern w:val="0"/>
          <w:sz w:val="32"/>
          <w:szCs w:val="32"/>
          <w:lang w:val="en-US" w:eastAsia="zh-CN" w:bidi="ar-SA"/>
        </w:rPr>
      </w:pPr>
      <w:r>
        <w:rPr>
          <w:rFonts w:ascii="宋体" w:hAnsi="宋体" w:eastAsia="仿宋_GB2312" w:cs="宋体"/>
          <w:b w:val="0"/>
          <w:bCs w:val="0"/>
          <w:color w:val="000000"/>
          <w:kern w:val="0"/>
          <w:sz w:val="32"/>
          <w:szCs w:val="32"/>
          <w:lang w:val="en-US" w:eastAsia="zh-CN" w:bidi="ar-SA"/>
        </w:rPr>
        <w:t>单位概况</w:t>
      </w:r>
    </w:p>
    <w:p w14:paraId="6E88DE09">
      <w:pPr>
        <w:pStyle w:val="3"/>
        <w:keepNext w:val="0"/>
        <w:keepLines w:val="0"/>
        <w:pageBreakBefore w:val="0"/>
        <w:numPr>
          <w:ilvl w:val="0"/>
          <w:numId w:val="0"/>
        </w:numPr>
        <w:shd w:val="clear" w:color="auto" w:fill="FFFFFF"/>
        <w:kinsoku/>
        <w:wordWrap/>
        <w:overflowPunct/>
        <w:topLinePunct w:val="0"/>
        <w:autoSpaceDE/>
        <w:autoSpaceDN/>
        <w:bidi w:val="0"/>
        <w:spacing w:before="0" w:beforeAutospacing="0" w:after="0" w:afterAutospacing="0" w:line="440" w:lineRule="exact"/>
        <w:jc w:val="both"/>
        <w:textAlignment w:val="auto"/>
        <w:rPr>
          <w:rFonts w:ascii="宋体" w:hAnsi="宋体" w:eastAsia="仿宋_GB2312" w:cs="宋体"/>
          <w:b w:val="0"/>
          <w:bCs w:val="0"/>
          <w:color w:val="000000"/>
          <w:kern w:val="0"/>
          <w:sz w:val="32"/>
          <w:szCs w:val="32"/>
          <w:lang w:val="en-US" w:eastAsia="zh-CN" w:bidi="ar-SA"/>
        </w:rPr>
      </w:pPr>
    </w:p>
    <w:p w14:paraId="7249446E">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Fonts w:ascii="宋体" w:hAnsi="宋体" w:eastAsia="仿宋_GB2312" w:cs="宋体"/>
          <w:b w:val="0"/>
          <w:bCs w:val="0"/>
          <w:color w:val="000000"/>
          <w:kern w:val="0"/>
          <w:sz w:val="32"/>
          <w:szCs w:val="32"/>
          <w:lang w:val="en-US" w:eastAsia="zh-CN" w:bidi="ar-SA"/>
        </w:rPr>
      </w:pPr>
      <w:r>
        <w:rPr>
          <w:rFonts w:ascii="宋体" w:hAnsi="宋体" w:eastAsia="仿宋_GB2312" w:cs="宋体"/>
          <w:b w:val="0"/>
          <w:bCs w:val="0"/>
          <w:color w:val="000000"/>
          <w:kern w:val="0"/>
          <w:sz w:val="32"/>
          <w:szCs w:val="32"/>
          <w:lang w:val="en-US" w:eastAsia="zh-CN" w:bidi="ar-SA"/>
        </w:rPr>
        <w:t>一、主要职责</w:t>
      </w:r>
    </w:p>
    <w:p w14:paraId="27319558">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ascii="宋体" w:hAnsi="宋体" w:eastAsia="仿宋_GB2312" w:cs="宋体"/>
          <w:b w:val="0"/>
          <w:bCs w:val="0"/>
          <w:color w:val="000000"/>
          <w:kern w:val="0"/>
          <w:sz w:val="32"/>
          <w:szCs w:val="32"/>
          <w:lang w:val="en-US" w:eastAsia="zh-CN" w:bidi="ar-SA"/>
        </w:rPr>
      </w:pPr>
      <w:r>
        <w:rPr>
          <w:rFonts w:ascii="宋体" w:hAnsi="宋体" w:eastAsia="仿宋_GB2312" w:cs="宋体"/>
          <w:b w:val="0"/>
          <w:bCs w:val="0"/>
          <w:color w:val="000000"/>
          <w:kern w:val="0"/>
          <w:sz w:val="32"/>
          <w:szCs w:val="32"/>
          <w:lang w:val="en-US" w:eastAsia="zh-CN" w:bidi="ar-SA"/>
        </w:rPr>
        <w:t>（一）主要职能。</w:t>
      </w:r>
    </w:p>
    <w:p w14:paraId="6BAC9B6E">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eastAsia="仿宋_GB2312"/>
          <w:color w:val="000000"/>
          <w:sz w:val="32"/>
          <w:szCs w:val="32"/>
        </w:rPr>
      </w:pPr>
      <w:r>
        <w:rPr>
          <w:rFonts w:hint="eastAsia" w:eastAsia="仿宋_GB2312"/>
          <w:color w:val="000000"/>
          <w:sz w:val="32"/>
          <w:szCs w:val="32"/>
          <w:lang w:val="en-US" w:eastAsia="zh-CN"/>
        </w:rPr>
        <w:t>1.</w:t>
      </w:r>
      <w:r>
        <w:rPr>
          <w:rFonts w:eastAsia="仿宋_GB2312"/>
          <w:color w:val="000000"/>
          <w:sz w:val="32"/>
          <w:szCs w:val="32"/>
        </w:rPr>
        <w:t>贯彻执行国家国民经济和社会发展的战略、方针和政策，研究提出相应的政策措施；拟订并组织实施全县经济和社会发展战略、中长期规划和年度计划；</w:t>
      </w:r>
      <w:r>
        <w:rPr>
          <w:rFonts w:hint="eastAsia" w:eastAsia="仿宋_GB2312"/>
          <w:color w:val="auto"/>
          <w:sz w:val="32"/>
          <w:szCs w:val="32"/>
          <w:highlight w:val="none"/>
          <w:lang w:eastAsia="zh-CN"/>
        </w:rPr>
        <w:t>研究拟定全县人口发展战略规划和人口政策；</w:t>
      </w:r>
      <w:r>
        <w:rPr>
          <w:rFonts w:eastAsia="仿宋_GB2312"/>
          <w:color w:val="000000"/>
          <w:sz w:val="32"/>
          <w:szCs w:val="32"/>
        </w:rPr>
        <w:t>研究提出全县经济发展的总量平衡、发展速度和结构调整的目标、政策；提出运用各种经济手段和政策的建议；受县政府委托向县人大作全县经济和社会发展计划的报告。</w:t>
      </w:r>
    </w:p>
    <w:p w14:paraId="0FAA1D8A">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eastAsia="仿宋_GB2312"/>
          <w:color w:val="000000"/>
          <w:sz w:val="32"/>
          <w:szCs w:val="32"/>
        </w:rPr>
      </w:pPr>
      <w:r>
        <w:rPr>
          <w:rFonts w:hint="eastAsia" w:eastAsia="仿宋_GB2312"/>
          <w:color w:val="000000"/>
          <w:sz w:val="32"/>
          <w:szCs w:val="32"/>
          <w:lang w:val="en-US" w:eastAsia="zh-CN"/>
        </w:rPr>
        <w:t>2.</w:t>
      </w:r>
      <w:r>
        <w:rPr>
          <w:rFonts w:eastAsia="仿宋_GB2312"/>
          <w:color w:val="000000"/>
          <w:sz w:val="32"/>
          <w:szCs w:val="32"/>
        </w:rPr>
        <w:t>编制我县实施西部大开发战略的规划，提出有关政策建议，组织协调全县实施西部大开发战略的有关重大问题。</w:t>
      </w:r>
    </w:p>
    <w:p w14:paraId="0409C3E1">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eastAsia="仿宋_GB2312"/>
          <w:color w:val="000000"/>
          <w:sz w:val="32"/>
          <w:szCs w:val="32"/>
        </w:rPr>
      </w:pPr>
      <w:r>
        <w:rPr>
          <w:rFonts w:hint="eastAsia" w:eastAsia="仿宋_GB2312"/>
          <w:color w:val="000000"/>
          <w:sz w:val="32"/>
          <w:szCs w:val="32"/>
          <w:lang w:val="en-US" w:eastAsia="zh-CN"/>
        </w:rPr>
        <w:t>3.</w:t>
      </w:r>
      <w:r>
        <w:rPr>
          <w:rFonts w:eastAsia="仿宋_GB2312"/>
          <w:color w:val="000000"/>
          <w:sz w:val="32"/>
          <w:szCs w:val="32"/>
        </w:rPr>
        <w:t>研究分析县内外经济形势和发展情况，进行宏观经济的预测、预警；组织对全县经济社会发展中的重大问题和热点、难点问题的调查研究，提出宏观调控政策建议，综合协调经济社会发展。</w:t>
      </w:r>
    </w:p>
    <w:p w14:paraId="76828B5C">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eastAsia="仿宋_GB2312"/>
          <w:color w:val="000000"/>
          <w:sz w:val="32"/>
          <w:szCs w:val="32"/>
        </w:rPr>
      </w:pPr>
      <w:r>
        <w:rPr>
          <w:rFonts w:hint="eastAsia" w:eastAsia="仿宋_GB2312"/>
          <w:color w:val="000000"/>
          <w:sz w:val="32"/>
          <w:szCs w:val="32"/>
          <w:lang w:val="en-US" w:eastAsia="zh-CN"/>
        </w:rPr>
        <w:t>4.</w:t>
      </w:r>
      <w:r>
        <w:rPr>
          <w:rFonts w:eastAsia="仿宋_GB2312"/>
          <w:color w:val="000000"/>
          <w:sz w:val="32"/>
          <w:szCs w:val="32"/>
        </w:rPr>
        <w:t>负责汇总和分析全县财政、金融等方面的情况；提出直接融资的发展战略和政策建议；综合协调财政、金融、价格等经济杠杆以及县上直接掌握的经济手段的使用，并通过法规和政策协调、信息指导，保证规划的实施。</w:t>
      </w:r>
    </w:p>
    <w:p w14:paraId="30CE768F">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eastAsia="仿宋_GB2312"/>
          <w:color w:val="000000"/>
          <w:sz w:val="32"/>
          <w:szCs w:val="32"/>
        </w:rPr>
      </w:pPr>
      <w:r>
        <w:rPr>
          <w:rFonts w:hint="eastAsia" w:eastAsia="仿宋_GB2312"/>
          <w:color w:val="000000"/>
          <w:sz w:val="32"/>
          <w:szCs w:val="32"/>
          <w:lang w:val="en-US" w:eastAsia="zh-CN"/>
        </w:rPr>
        <w:t>5.</w:t>
      </w:r>
      <w:r>
        <w:rPr>
          <w:rFonts w:eastAsia="仿宋_GB2312"/>
          <w:color w:val="000000"/>
          <w:sz w:val="32"/>
          <w:szCs w:val="32"/>
        </w:rPr>
        <w:t>研究全县经济体制改革和对外开放的综合性、全局性问题及对策，提出完善社会主义市场经济体制和以改革开放促进发展的建议，协调发展与改革中的重大问题；组织拟订综合性经济体制改革方案，协调有关专项经济体制改革方案；指导和推进总体经济体制改革以及城市、乡镇综合配套改革与体制创新，组织、指导和协调综合配套改革试点和重大专项经济体制改革试点。</w:t>
      </w:r>
    </w:p>
    <w:p w14:paraId="0BEED698">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eastAsia="仿宋_GB2312"/>
          <w:color w:val="000000"/>
          <w:sz w:val="32"/>
          <w:szCs w:val="32"/>
        </w:rPr>
      </w:pPr>
      <w:r>
        <w:rPr>
          <w:rFonts w:hint="eastAsia" w:eastAsia="仿宋_GB2312"/>
          <w:color w:val="000000"/>
          <w:sz w:val="32"/>
          <w:szCs w:val="32"/>
          <w:lang w:val="en-US" w:eastAsia="zh-CN"/>
        </w:rPr>
        <w:t>6.</w:t>
      </w:r>
      <w:r>
        <w:rPr>
          <w:rFonts w:eastAsia="仿宋_GB2312"/>
          <w:color w:val="000000"/>
          <w:sz w:val="32"/>
          <w:szCs w:val="32"/>
        </w:rPr>
        <w:t>提出全县社会固定资产投资总规模、投资结构，编制年度投资计划；研究提出有关重大投资政策，规划重大项目和生产力布局；安排财政性建设资金，指导和监督政策性贷款的使用方向；申报限额以上和审批权限以内的基本建设项目；按照基本建设程序，负责全县基本建设项目立项、可行性研究报告和国家出资的工业(含内贸)、农业、水利、交通、信息产业等行业和产业项目的初步设计审查、开工报告审批工作；引导民间资金用于固定资产投资的方向；研究提出全县利用外资的发展战略、总量平衡和结构优化的目标和政策措施；负责全口径外债的总量控制、结构优化和监控工作；提出拟订全县工商领域外的外商投资产业指导目录的意见；审批权限以内国外贷款、外商投资和境外投资项目；申报和审核利用外资、境外投资的重大项目；负责编制全县重点建设项目和年度投资计划；负责组织和管理重大建设项目稽察特派员工作。</w:t>
      </w:r>
    </w:p>
    <w:p w14:paraId="654037CF">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eastAsia="仿宋_GB2312"/>
          <w:color w:val="000000"/>
          <w:sz w:val="32"/>
          <w:szCs w:val="32"/>
        </w:rPr>
      </w:pPr>
      <w:r>
        <w:rPr>
          <w:rFonts w:hint="eastAsia" w:eastAsia="仿宋_GB2312"/>
          <w:color w:val="000000"/>
          <w:sz w:val="32"/>
          <w:szCs w:val="32"/>
          <w:lang w:val="en-US" w:eastAsia="zh-CN"/>
        </w:rPr>
        <w:t>7.</w:t>
      </w:r>
      <w:r>
        <w:rPr>
          <w:rFonts w:eastAsia="仿宋_GB2312"/>
          <w:color w:val="000000"/>
          <w:sz w:val="32"/>
          <w:szCs w:val="32"/>
        </w:rPr>
        <w:t>研究分析全县经济结构的状况，提出优化所有制结构的建议，拟订促进全县多种经济成分公平竞争和共同发展的政策措施；提出全县重要经济产业的发展战略和规划，推进产业结构战略性调整和升级；研究并协调农业和农村经济社会发展的有关重大问题，衔接农村专项规划和政策；综合协调产业发展战略、发展规划；拟订全县能源交通发展战略和规划，做好能源供需预测和综合平衡；研究提出全县高技术产业战略和发展规划，推进重大科技成果的产业化，实施技术进步和产业现代化的宏观指导。</w:t>
      </w:r>
    </w:p>
    <w:p w14:paraId="0A50D6C0">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eastAsia="仿宋_GB2312"/>
          <w:color w:val="000000"/>
          <w:sz w:val="32"/>
          <w:szCs w:val="32"/>
        </w:rPr>
      </w:pPr>
      <w:r>
        <w:rPr>
          <w:rFonts w:hint="eastAsia" w:eastAsia="仿宋_GB2312"/>
          <w:color w:val="000000"/>
          <w:sz w:val="32"/>
          <w:szCs w:val="32"/>
          <w:lang w:val="en-US" w:eastAsia="zh-CN"/>
        </w:rPr>
        <w:t>8.</w:t>
      </w:r>
      <w:r>
        <w:rPr>
          <w:rFonts w:eastAsia="仿宋_GB2312"/>
          <w:color w:val="000000"/>
          <w:sz w:val="32"/>
          <w:szCs w:val="32"/>
        </w:rPr>
        <w:t>研究分析区域经济和城镇化发展情况，提出全县区域经济协调发展和实施西部大开发战略的规划，提出城镇化发展战略和政策措施建议。</w:t>
      </w:r>
    </w:p>
    <w:p w14:paraId="4C7DE44C">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eastAsia="仿宋_GB2312"/>
          <w:color w:val="000000"/>
          <w:sz w:val="32"/>
          <w:szCs w:val="32"/>
        </w:rPr>
      </w:pPr>
      <w:r>
        <w:rPr>
          <w:rFonts w:hint="eastAsia" w:eastAsia="仿宋_GB2312"/>
          <w:color w:val="000000"/>
          <w:sz w:val="32"/>
          <w:szCs w:val="32"/>
          <w:lang w:val="en-US" w:eastAsia="zh-CN"/>
        </w:rPr>
        <w:t>9.</w:t>
      </w:r>
      <w:r>
        <w:rPr>
          <w:rFonts w:eastAsia="仿宋_GB2312"/>
          <w:color w:val="000000"/>
          <w:sz w:val="32"/>
          <w:szCs w:val="32"/>
        </w:rPr>
        <w:t>研究分析县内外市场状况，负责重要商品的总量平衡和宏观调控；编制重要农产品、工业品和原材料进出口总量计划，监督计划执行；研究推进国民经济市场化和市场体系建立中的重要体制改革和政策问题；研究拟订现代物流业发展的战略和规划；提出县内商品市场、生产要素市场的发展规划、总体布局和重大调控政策。</w:t>
      </w:r>
    </w:p>
    <w:p w14:paraId="571B11F1">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eastAsia="仿宋_GB2312"/>
          <w:color w:val="000000"/>
          <w:sz w:val="32"/>
          <w:szCs w:val="32"/>
        </w:rPr>
      </w:pPr>
      <w:r>
        <w:rPr>
          <w:rFonts w:hint="eastAsia" w:eastAsia="仿宋_GB2312"/>
          <w:color w:val="000000"/>
          <w:sz w:val="32"/>
          <w:szCs w:val="32"/>
          <w:lang w:val="en-US" w:eastAsia="zh-CN"/>
        </w:rPr>
        <w:t>10.</w:t>
      </w:r>
      <w:r>
        <w:rPr>
          <w:rFonts w:eastAsia="仿宋_GB2312"/>
          <w:color w:val="000000"/>
          <w:sz w:val="32"/>
          <w:szCs w:val="32"/>
        </w:rPr>
        <w:t>做好人口和计划生育、科学技术、教育、文化、卫生等社会事业以及国防动员与经济发展的衔接平衡；提出经济与社会协调发展、相互促进的政策，协调社会事业发展中的重大问题；汇总编制人力资源开发总体发展规划。</w:t>
      </w:r>
    </w:p>
    <w:p w14:paraId="79934590">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eastAsia="仿宋_GB2312"/>
          <w:color w:val="000000"/>
          <w:sz w:val="32"/>
          <w:szCs w:val="32"/>
        </w:rPr>
      </w:pPr>
      <w:r>
        <w:rPr>
          <w:rFonts w:hint="eastAsia" w:eastAsia="仿宋_GB2312"/>
          <w:color w:val="000000"/>
          <w:sz w:val="32"/>
          <w:szCs w:val="32"/>
          <w:lang w:val="en-US" w:eastAsia="zh-CN"/>
        </w:rPr>
        <w:t>11.</w:t>
      </w:r>
      <w:r>
        <w:rPr>
          <w:rFonts w:eastAsia="仿宋_GB2312"/>
          <w:color w:val="000000"/>
          <w:sz w:val="32"/>
          <w:szCs w:val="32"/>
        </w:rPr>
        <w:t>推进可持续发展战略，研究拟订全县资源开发与综合利用、环境保护、生态建设等规划，参与组织协调规划的实施；参与国土开发、整治、保护总体规划的组织协调，做好土地利用计划与经济和社会发展计划的衔接工作。</w:t>
      </w:r>
    </w:p>
    <w:p w14:paraId="15F29949">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eastAsia="仿宋_GB2312"/>
          <w:color w:val="000000"/>
          <w:sz w:val="32"/>
          <w:szCs w:val="32"/>
        </w:rPr>
      </w:pPr>
      <w:r>
        <w:rPr>
          <w:rFonts w:hint="eastAsia" w:eastAsia="仿宋_GB2312"/>
          <w:color w:val="000000"/>
          <w:sz w:val="32"/>
          <w:szCs w:val="32"/>
          <w:lang w:val="en-US" w:eastAsia="zh-CN"/>
        </w:rPr>
        <w:t>12.</w:t>
      </w:r>
      <w:r>
        <w:rPr>
          <w:rFonts w:eastAsia="仿宋_GB2312"/>
          <w:color w:val="000000"/>
          <w:sz w:val="32"/>
          <w:szCs w:val="32"/>
        </w:rPr>
        <w:t>研究提出促进就业、调整收入分配、完善社会保障与经济协调发展的政策；协调就业、收入分配和社会保障的重大问题。</w:t>
      </w:r>
    </w:p>
    <w:p w14:paraId="0E27B3BF">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eastAsia="仿宋_GB2312"/>
          <w:color w:val="000000"/>
          <w:sz w:val="32"/>
          <w:szCs w:val="32"/>
        </w:rPr>
      </w:pPr>
      <w:r>
        <w:rPr>
          <w:rFonts w:hint="eastAsia" w:eastAsia="仿宋_GB2312"/>
          <w:color w:val="000000"/>
          <w:sz w:val="32"/>
          <w:szCs w:val="32"/>
          <w:lang w:val="en-US" w:eastAsia="zh-CN"/>
        </w:rPr>
        <w:t>13.</w:t>
      </w:r>
      <w:r>
        <w:rPr>
          <w:rFonts w:eastAsia="仿宋_GB2312"/>
          <w:color w:val="000000"/>
          <w:sz w:val="32"/>
          <w:szCs w:val="32"/>
        </w:rPr>
        <w:t>拟订全县经济和社会发展以及经济体制改革、对外开放的有关规范性文件。</w:t>
      </w:r>
    </w:p>
    <w:p w14:paraId="0A513210">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eastAsia="仿宋_GB2312"/>
          <w:color w:val="000000"/>
          <w:sz w:val="32"/>
          <w:szCs w:val="32"/>
        </w:rPr>
      </w:pPr>
      <w:r>
        <w:rPr>
          <w:rFonts w:hint="eastAsia" w:eastAsia="仿宋_GB2312"/>
          <w:color w:val="000000"/>
          <w:sz w:val="32"/>
          <w:szCs w:val="32"/>
          <w:lang w:val="en-US" w:eastAsia="zh-CN"/>
        </w:rPr>
        <w:t>14.</w:t>
      </w:r>
      <w:r>
        <w:rPr>
          <w:rFonts w:eastAsia="仿宋_GB2312"/>
          <w:color w:val="000000"/>
          <w:sz w:val="32"/>
          <w:szCs w:val="32"/>
        </w:rPr>
        <w:t>负责指导和协调全县招标投标工作，会同有关行政主管部门拟定招标投标配套规定和必须进行招标投标项目的具体范围、规模标准；按照职责权限对重大建设项目建设过程中的工程招标投标活动实施监督检查。</w:t>
      </w:r>
    </w:p>
    <w:p w14:paraId="4D1FB856">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eastAsia="仿宋_GB2312"/>
          <w:color w:val="000000"/>
          <w:sz w:val="32"/>
          <w:szCs w:val="32"/>
        </w:rPr>
      </w:pPr>
      <w:r>
        <w:rPr>
          <w:rFonts w:hint="eastAsia" w:eastAsia="仿宋_GB2312"/>
          <w:color w:val="000000"/>
          <w:sz w:val="32"/>
          <w:szCs w:val="32"/>
          <w:lang w:val="en-US" w:eastAsia="zh-CN"/>
        </w:rPr>
        <w:t>15.</w:t>
      </w:r>
      <w:r>
        <w:rPr>
          <w:rFonts w:eastAsia="仿宋_GB2312"/>
          <w:color w:val="000000"/>
          <w:sz w:val="32"/>
          <w:szCs w:val="32"/>
        </w:rPr>
        <w:t>贯彻执行国家、省、州以工代赈方针、政策；负责争取国家、省、州以工代赈项目、资金；编制全县以工代赈中长期规划及年度计划；负责以工代赈项目、资金计划上报及下达工作；组织相关部门搞好以工代赈项目的规划、论证、可行性研究，建设好以工代赈项目储备库；会同财政、审计、监察等部门做好全县以工代赈资金的监督管理；负责以工代赈项目实施的督促、检查、验收及成果宣传，搞好项目的建档立卡工作。</w:t>
      </w:r>
    </w:p>
    <w:p w14:paraId="367CC1BE">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eastAsia="仿宋_GB2312"/>
          <w:color w:val="000000"/>
          <w:sz w:val="32"/>
          <w:szCs w:val="32"/>
        </w:rPr>
      </w:pPr>
      <w:r>
        <w:rPr>
          <w:rFonts w:hint="eastAsia" w:eastAsia="仿宋_GB2312"/>
          <w:color w:val="000000"/>
          <w:sz w:val="32"/>
          <w:szCs w:val="32"/>
          <w:lang w:val="en-US" w:eastAsia="zh-CN"/>
        </w:rPr>
        <w:t>16.</w:t>
      </w:r>
      <w:r>
        <w:rPr>
          <w:rFonts w:eastAsia="仿宋_GB2312"/>
          <w:color w:val="000000"/>
          <w:sz w:val="32"/>
          <w:szCs w:val="32"/>
        </w:rPr>
        <w:t>承担县政府公布的有关行政审批事项。</w:t>
      </w:r>
    </w:p>
    <w:p w14:paraId="7E22FA8E">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hint="eastAsia" w:ascii="仿宋" w:hAnsi="仿宋" w:eastAsia="仿宋"/>
          <w:bCs/>
          <w:color w:val="000000"/>
          <w:sz w:val="32"/>
          <w:szCs w:val="32"/>
        </w:rPr>
      </w:pPr>
      <w:r>
        <w:rPr>
          <w:rFonts w:hint="eastAsia" w:eastAsia="仿宋_GB2312"/>
          <w:color w:val="000000"/>
          <w:sz w:val="32"/>
          <w:szCs w:val="32"/>
          <w:lang w:val="en-US" w:eastAsia="zh-CN"/>
        </w:rPr>
        <w:t>17.</w:t>
      </w:r>
      <w:r>
        <w:rPr>
          <w:rFonts w:eastAsia="仿宋_GB2312"/>
          <w:color w:val="000000"/>
          <w:sz w:val="32"/>
          <w:szCs w:val="32"/>
        </w:rPr>
        <w:t>承办县政府交办的其他事项。</w:t>
      </w:r>
    </w:p>
    <w:p w14:paraId="3C78AC5A">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hint="eastAsia" w:ascii="宋体" w:hAnsi="宋体" w:eastAsia="仿宋_GB2312" w:cs="宋体"/>
          <w:color w:val="000000"/>
          <w:sz w:val="32"/>
          <w:szCs w:val="32"/>
          <w:lang w:val="en-US" w:eastAsia="zh-CN"/>
        </w:rPr>
      </w:pPr>
      <w:r>
        <w:rPr>
          <w:rFonts w:hint="eastAsia" w:ascii="宋体" w:hAnsi="宋体" w:eastAsia="仿宋_GB2312" w:cs="宋体"/>
          <w:color w:val="000000"/>
          <w:sz w:val="32"/>
          <w:szCs w:val="32"/>
          <w:lang w:val="en-US" w:eastAsia="zh-CN"/>
        </w:rPr>
        <w:t>（二）2022年重点工作完成情况。</w:t>
      </w:r>
    </w:p>
    <w:p w14:paraId="06DDF0CD">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hint="default" w:ascii="宋体" w:hAnsi="宋体" w:eastAsia="仿宋_GB2312" w:cs="宋体"/>
          <w:color w:val="000000"/>
          <w:sz w:val="32"/>
          <w:szCs w:val="32"/>
          <w:lang w:val="en-US" w:eastAsia="zh-CN"/>
        </w:rPr>
      </w:pPr>
      <w:r>
        <w:rPr>
          <w:rFonts w:hint="eastAsia" w:ascii="宋体" w:hAnsi="宋体" w:eastAsia="仿宋_GB2312" w:cs="宋体"/>
          <w:color w:val="000000"/>
          <w:sz w:val="32"/>
          <w:szCs w:val="32"/>
          <w:lang w:val="en-US" w:eastAsia="zh-CN"/>
        </w:rPr>
        <w:t>1.迎难而上，持续稳定县域经济</w:t>
      </w:r>
    </w:p>
    <w:p w14:paraId="2B05E9BC">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hint="eastAsia" w:ascii="宋体" w:hAnsi="宋体" w:eastAsia="仿宋_GB2312" w:cs="宋体"/>
          <w:color w:val="000000"/>
          <w:sz w:val="32"/>
          <w:szCs w:val="32"/>
          <w:lang w:val="en-US" w:eastAsia="zh-CN"/>
        </w:rPr>
      </w:pPr>
      <w:r>
        <w:rPr>
          <w:rFonts w:hint="eastAsia" w:ascii="宋体" w:hAnsi="宋体" w:eastAsia="仿宋_GB2312" w:cs="宋体"/>
          <w:color w:val="000000"/>
          <w:sz w:val="32"/>
          <w:szCs w:val="32"/>
          <w:lang w:val="en-US" w:eastAsia="zh-CN"/>
        </w:rPr>
        <w:t>一是坚定实施稳经济政策措施。根据中央、省、州扎实稳住经济一揽子政策措施，结合我县实际，我局牵头制定了《九寨沟县稳住经济增长若干政策措施》，全力以赴稳住全县经济基本盘，扎实</w:t>
      </w:r>
      <w:r>
        <w:rPr>
          <w:rFonts w:hint="default" w:ascii="宋体" w:hAnsi="宋体" w:eastAsia="仿宋_GB2312" w:cs="宋体"/>
          <w:color w:val="000000"/>
          <w:sz w:val="32"/>
          <w:szCs w:val="32"/>
          <w:lang w:eastAsia="zh-CN"/>
        </w:rPr>
        <w:t>推动助企纾困政策落地落实落细</w:t>
      </w:r>
      <w:r>
        <w:rPr>
          <w:rFonts w:hint="eastAsia" w:ascii="宋体" w:hAnsi="宋体" w:eastAsia="仿宋_GB2312" w:cs="宋体"/>
          <w:color w:val="000000"/>
          <w:sz w:val="32"/>
          <w:szCs w:val="32"/>
          <w:lang w:eastAsia="zh-CN"/>
        </w:rPr>
        <w:t>，</w:t>
      </w:r>
      <w:r>
        <w:rPr>
          <w:rFonts w:hint="default" w:ascii="宋体" w:hAnsi="宋体" w:eastAsia="仿宋_GB2312" w:cs="宋体"/>
          <w:color w:val="000000"/>
          <w:sz w:val="32"/>
          <w:szCs w:val="32"/>
          <w:lang w:eastAsia="zh-CN"/>
        </w:rPr>
        <w:t>助推县域经济恢复发展</w:t>
      </w:r>
      <w:r>
        <w:rPr>
          <w:rFonts w:hint="default" w:ascii="宋体" w:hAnsi="宋体" w:eastAsia="仿宋_GB2312" w:cs="宋体"/>
          <w:color w:val="000000"/>
          <w:sz w:val="32"/>
          <w:szCs w:val="32"/>
        </w:rPr>
        <w:t>。</w:t>
      </w:r>
      <w:r>
        <w:rPr>
          <w:rFonts w:hint="eastAsia" w:ascii="宋体" w:hAnsi="宋体" w:eastAsia="仿宋_GB2312" w:cs="宋体"/>
          <w:color w:val="000000"/>
          <w:sz w:val="32"/>
          <w:szCs w:val="32"/>
          <w:lang w:val="en-US" w:eastAsia="zh-CN"/>
        </w:rPr>
        <w:t>二是全力保持经济运行稳中有进。通过坚定实施稳经济一揽子政策措施，凝心聚力推项目、扩投资，全力以赴育产业、调结构，持之以恒促振兴、惠民生，我县三季度部分经济指标降幅收窄，经济呈现“筑底企稳、温和回升”态势。经综合研判预测，前三季度全县地区生产总值实现</w:t>
      </w:r>
      <w:r>
        <w:rPr>
          <w:rFonts w:hint="default" w:ascii="宋体" w:hAnsi="宋体" w:eastAsia="仿宋_GB2312" w:cs="宋体"/>
          <w:color w:val="000000"/>
          <w:sz w:val="32"/>
          <w:szCs w:val="32"/>
          <w:lang w:val="en-US" w:eastAsia="zh-CN"/>
        </w:rPr>
        <w:t>26.28</w:t>
      </w:r>
      <w:r>
        <w:rPr>
          <w:rFonts w:hint="eastAsia" w:ascii="宋体" w:hAnsi="宋体" w:eastAsia="仿宋_GB2312" w:cs="宋体"/>
          <w:color w:val="000000"/>
          <w:sz w:val="32"/>
          <w:szCs w:val="32"/>
          <w:lang w:val="en-US" w:eastAsia="zh-CN"/>
        </w:rPr>
        <w:t>亿元，同比增长2.1%，较上半年增速提高3.3个百分点。从供给侧看，农业生产基本稳定，第一产业增加值2.27亿元，同比增长5.3%，增速超年度目标0.3个百分点。工业生产回升向好，实现规模以上工业增加值2.05亿元，同比增长7%，增速较上半年提高1.1个百分点，与年度目标增速持平。预计完成建筑业总产值2.52亿元，同比下降36.2%。第三产业企稳回升，实现增加值19.97亿元，同比增长3.2%，增速较上半年提高4.3个百分点，差年度目标增速5.3个百分点。从需求侧看，实现固定资产投资27.2亿元，完成年度目标任务的82.13%。实现社会消费品零售总额9.08亿元，同比下降0.7%，降幅较上半年收窄3.7个百分点，完成年度目标任务的69.5%。从质量效益看，实现一般公共预算收入1.02亿元，同比下降21.7%，完成年度目标任务的57.4%。城镇居民人均可支配收入33608元，同比增长7.9%，完成年度目标任务的77.5%。农村居民人均可支配收入17186元，同比增长9.7%，完成年度目标任务的90.1%。全县共接待游客328.12万人次、同比增长7.5%，实现旅游收入42.49亿元、同比下降1.9%</w:t>
      </w:r>
    </w:p>
    <w:p w14:paraId="684C3509">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hint="default" w:ascii="宋体" w:hAnsi="宋体" w:eastAsia="仿宋_GB2312" w:cs="宋体"/>
          <w:color w:val="000000"/>
          <w:sz w:val="32"/>
          <w:szCs w:val="32"/>
          <w:lang w:val="en-US" w:eastAsia="zh-CN"/>
        </w:rPr>
      </w:pPr>
      <w:r>
        <w:rPr>
          <w:rFonts w:hint="eastAsia" w:ascii="宋体" w:hAnsi="宋体" w:eastAsia="仿宋_GB2312" w:cs="宋体"/>
          <w:color w:val="000000"/>
          <w:sz w:val="32"/>
          <w:szCs w:val="32"/>
          <w:lang w:val="en-US" w:eastAsia="zh-CN"/>
        </w:rPr>
        <w:t>2.逆势攻坚，项目建设增强发展后劲</w:t>
      </w:r>
    </w:p>
    <w:p w14:paraId="74B53070">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hint="eastAsia" w:ascii="宋体" w:hAnsi="宋体" w:eastAsia="仿宋_GB2312" w:cs="宋体"/>
          <w:color w:val="000000"/>
          <w:sz w:val="32"/>
          <w:szCs w:val="32"/>
        </w:rPr>
      </w:pPr>
      <w:r>
        <w:rPr>
          <w:rFonts w:hint="eastAsia" w:ascii="宋体" w:hAnsi="宋体" w:eastAsia="仿宋_GB2312" w:cs="宋体"/>
          <w:color w:val="000000"/>
          <w:sz w:val="32"/>
          <w:szCs w:val="32"/>
          <w:lang w:val="en-US" w:eastAsia="zh-CN"/>
        </w:rPr>
        <w:t>一是</w:t>
      </w:r>
      <w:r>
        <w:rPr>
          <w:rFonts w:hint="default" w:ascii="宋体" w:hAnsi="宋体" w:eastAsia="仿宋_GB2312" w:cs="宋体"/>
          <w:color w:val="000000"/>
          <w:sz w:val="32"/>
          <w:szCs w:val="32"/>
          <w:lang w:val="en-US" w:eastAsia="zh-CN"/>
        </w:rPr>
        <w:t>创新机制，提升项目建设驱动力。</w:t>
      </w:r>
      <w:r>
        <w:rPr>
          <w:rFonts w:hint="eastAsia" w:ascii="宋体" w:hAnsi="宋体" w:eastAsia="仿宋_GB2312" w:cs="宋体"/>
          <w:color w:val="000000"/>
          <w:sz w:val="32"/>
          <w:szCs w:val="32"/>
          <w:lang w:val="en-US" w:eastAsia="zh-CN"/>
        </w:rPr>
        <w:t>坚持把重点项目建设作为扩大有效投资、促进经济稳定增长的重要支撑，聚焦“项目攻坚年”目标任务，</w:t>
      </w:r>
      <w:r>
        <w:rPr>
          <w:rFonts w:hint="default" w:ascii="宋体" w:hAnsi="宋体" w:eastAsia="仿宋_GB2312" w:cs="宋体"/>
          <w:color w:val="000000"/>
          <w:sz w:val="32"/>
          <w:szCs w:val="32"/>
          <w:lang w:val="en-US" w:eastAsia="zh-CN"/>
        </w:rPr>
        <w:t>持续深化“一月一调度、一月一督查”项目推进机制，制定</w:t>
      </w:r>
      <w:r>
        <w:rPr>
          <w:rFonts w:hint="eastAsia" w:ascii="宋体" w:hAnsi="宋体" w:eastAsia="仿宋_GB2312" w:cs="宋体"/>
          <w:color w:val="000000"/>
          <w:sz w:val="32"/>
          <w:szCs w:val="32"/>
          <w:lang w:val="en-US" w:eastAsia="zh-CN"/>
        </w:rPr>
        <w:t>了</w:t>
      </w:r>
      <w:r>
        <w:rPr>
          <w:rFonts w:hint="default" w:ascii="宋体" w:hAnsi="宋体" w:eastAsia="仿宋_GB2312" w:cs="宋体"/>
          <w:color w:val="000000"/>
          <w:sz w:val="32"/>
          <w:szCs w:val="32"/>
          <w:lang w:val="en-US" w:eastAsia="zh-CN"/>
        </w:rPr>
        <w:t>《2022年县级领导联系重大项目方案》《九寨沟县2022年固定资产投资工作考核细则》，压紧压实项目行业主管部门、要素保障部门、项目业主单位责任</w:t>
      </w:r>
      <w:r>
        <w:rPr>
          <w:rFonts w:hint="eastAsia" w:ascii="宋体" w:hAnsi="宋体" w:eastAsia="仿宋_GB2312" w:cs="宋体"/>
          <w:color w:val="000000"/>
          <w:sz w:val="32"/>
          <w:szCs w:val="32"/>
          <w:lang w:val="en-US" w:eastAsia="zh-CN"/>
        </w:rPr>
        <w:t>，</w:t>
      </w:r>
      <w:r>
        <w:rPr>
          <w:rFonts w:hint="default" w:ascii="宋体" w:hAnsi="宋体" w:eastAsia="仿宋_GB2312" w:cs="宋体"/>
          <w:color w:val="000000"/>
          <w:sz w:val="32"/>
          <w:szCs w:val="32"/>
          <w:lang w:val="en-US" w:eastAsia="zh-CN"/>
        </w:rPr>
        <w:t>将2022年65个县重点项目投资任务分解到季、落实到月，对项目“倒排工期、挂图作战”。</w:t>
      </w:r>
      <w:r>
        <w:rPr>
          <w:rFonts w:hint="eastAsia" w:ascii="宋体" w:hAnsi="宋体" w:eastAsia="仿宋_GB2312" w:cs="宋体"/>
          <w:color w:val="000000"/>
          <w:sz w:val="32"/>
          <w:szCs w:val="32"/>
          <w:lang w:val="en-US" w:eastAsia="zh-CN"/>
        </w:rPr>
        <w:t>并与相关部门联合</w:t>
      </w:r>
      <w:r>
        <w:rPr>
          <w:rFonts w:hint="default" w:ascii="宋体" w:hAnsi="宋体" w:eastAsia="仿宋_GB2312" w:cs="宋体"/>
          <w:color w:val="000000"/>
          <w:sz w:val="32"/>
          <w:szCs w:val="32"/>
          <w:lang w:val="en-US" w:eastAsia="zh-CN"/>
        </w:rPr>
        <w:t>开展</w:t>
      </w:r>
      <w:r>
        <w:rPr>
          <w:rFonts w:hint="eastAsia" w:ascii="宋体" w:hAnsi="宋体" w:eastAsia="仿宋_GB2312" w:cs="宋体"/>
          <w:color w:val="000000"/>
          <w:sz w:val="32"/>
          <w:szCs w:val="32"/>
          <w:lang w:val="en-US" w:eastAsia="zh-CN"/>
        </w:rPr>
        <w:t>重点</w:t>
      </w:r>
      <w:r>
        <w:rPr>
          <w:rFonts w:hint="default" w:ascii="宋体" w:hAnsi="宋体" w:eastAsia="仿宋_GB2312" w:cs="宋体"/>
          <w:color w:val="000000"/>
          <w:sz w:val="32"/>
          <w:szCs w:val="32"/>
          <w:lang w:val="en-US" w:eastAsia="zh-CN"/>
        </w:rPr>
        <w:t>项目督查检查6次</w:t>
      </w:r>
      <w:r>
        <w:rPr>
          <w:rFonts w:hint="eastAsia" w:ascii="宋体" w:hAnsi="宋体" w:eastAsia="仿宋_GB2312" w:cs="宋体"/>
          <w:color w:val="000000"/>
          <w:sz w:val="32"/>
          <w:szCs w:val="32"/>
          <w:lang w:val="en-US" w:eastAsia="zh-CN"/>
        </w:rPr>
        <w:t>，</w:t>
      </w:r>
      <w:r>
        <w:rPr>
          <w:rFonts w:hint="default" w:ascii="宋体" w:hAnsi="宋体" w:eastAsia="仿宋_GB2312" w:cs="宋体"/>
          <w:color w:val="000000"/>
          <w:sz w:val="32"/>
          <w:szCs w:val="32"/>
          <w:lang w:val="en-US" w:eastAsia="zh-CN"/>
        </w:rPr>
        <w:t>发现问题21个、完成整改21个</w:t>
      </w:r>
      <w:r>
        <w:rPr>
          <w:rFonts w:hint="eastAsia" w:ascii="宋体" w:hAnsi="宋体" w:eastAsia="仿宋_GB2312" w:cs="宋体"/>
          <w:color w:val="000000"/>
          <w:sz w:val="32"/>
          <w:szCs w:val="32"/>
          <w:lang w:val="en-US" w:eastAsia="zh-CN"/>
        </w:rPr>
        <w:t>，罚款2.4万元。针对勿角镇市政基础设施建设项目发出6个处罚决定书，罚款20余万元。截至9月30日，65个重点项目完工项目23个，在建项目32个，9个项目加快前期工作，完成投资20.98亿元。1月—9月，完成固定资产投资27.2亿元，同比下降24%，完成州下达目标任务的82.3%。二是</w:t>
      </w:r>
      <w:r>
        <w:rPr>
          <w:rFonts w:hint="default" w:ascii="宋体" w:hAnsi="宋体" w:eastAsia="仿宋_GB2312" w:cs="宋体"/>
          <w:color w:val="000000"/>
          <w:sz w:val="32"/>
          <w:szCs w:val="32"/>
          <w:lang w:val="en-US" w:eastAsia="zh-CN"/>
        </w:rPr>
        <w:t>强化争取，提升项目建设支撑力。</w:t>
      </w:r>
      <w:r>
        <w:rPr>
          <w:rFonts w:hint="eastAsia" w:ascii="宋体" w:hAnsi="宋体" w:eastAsia="仿宋_GB2312" w:cs="宋体"/>
          <w:color w:val="000000"/>
          <w:sz w:val="32"/>
          <w:szCs w:val="32"/>
          <w:lang w:val="en-US" w:eastAsia="zh-CN"/>
        </w:rPr>
        <w:t>首先理清项目工作思路，</w:t>
      </w:r>
      <w:r>
        <w:rPr>
          <w:rFonts w:hint="default" w:ascii="宋体" w:hAnsi="宋体" w:eastAsia="仿宋_GB2312" w:cs="宋体"/>
          <w:color w:val="000000"/>
          <w:sz w:val="32"/>
          <w:szCs w:val="32"/>
          <w:lang w:val="en-US" w:eastAsia="zh-CN"/>
        </w:rPr>
        <w:t>制定</w:t>
      </w:r>
      <w:r>
        <w:rPr>
          <w:rFonts w:hint="eastAsia" w:ascii="宋体" w:hAnsi="宋体" w:eastAsia="仿宋_GB2312" w:cs="宋体"/>
          <w:color w:val="000000"/>
          <w:sz w:val="32"/>
          <w:szCs w:val="32"/>
          <w:lang w:val="en-US" w:eastAsia="zh-CN"/>
        </w:rPr>
        <w:t>了</w:t>
      </w:r>
      <w:r>
        <w:rPr>
          <w:rFonts w:hint="default" w:ascii="宋体" w:hAnsi="宋体" w:eastAsia="仿宋_GB2312" w:cs="宋体"/>
          <w:color w:val="000000"/>
          <w:sz w:val="32"/>
          <w:szCs w:val="32"/>
          <w:lang w:val="en-US" w:eastAsia="zh-CN"/>
        </w:rPr>
        <w:t>《九寨沟县政府投资项目前期工作经费管理试行办法》，设立1000万元项目前期工作经费保障政府投资项目开展前期工作，不断提高项目成熟度和落地率。</w:t>
      </w:r>
      <w:r>
        <w:rPr>
          <w:rFonts w:hint="eastAsia" w:ascii="宋体" w:hAnsi="宋体" w:eastAsia="仿宋_GB2312" w:cs="宋体"/>
          <w:color w:val="000000"/>
          <w:sz w:val="32"/>
          <w:szCs w:val="32"/>
          <w:lang w:val="en-US" w:eastAsia="zh-CN"/>
        </w:rPr>
        <w:t>其次是加大跑省、跑州力度，</w:t>
      </w:r>
      <w:r>
        <w:rPr>
          <w:rFonts w:hint="default" w:ascii="宋体" w:hAnsi="宋体" w:eastAsia="仿宋_GB2312" w:cs="宋体"/>
          <w:color w:val="000000"/>
          <w:sz w:val="32"/>
          <w:szCs w:val="32"/>
          <w:lang w:val="en-US" w:eastAsia="zh-CN"/>
        </w:rPr>
        <w:t>统筹做好中央、省预算内投资等各类资金争取，</w:t>
      </w:r>
      <w:r>
        <w:rPr>
          <w:rFonts w:hint="eastAsia" w:ascii="宋体" w:hAnsi="宋体" w:eastAsia="仿宋_GB2312" w:cs="宋体"/>
          <w:color w:val="000000"/>
          <w:sz w:val="32"/>
          <w:szCs w:val="32"/>
          <w:lang w:val="en-US" w:eastAsia="zh-CN"/>
        </w:rPr>
        <w:t>并及时向县委、县政府汇报与省州项目对接情况。</w:t>
      </w:r>
      <w:r>
        <w:rPr>
          <w:rFonts w:hint="default" w:ascii="宋体" w:hAnsi="宋体" w:eastAsia="仿宋_GB2312" w:cs="宋体"/>
          <w:color w:val="000000"/>
          <w:sz w:val="32"/>
          <w:szCs w:val="32"/>
          <w:lang w:val="en-US" w:eastAsia="zh-CN"/>
        </w:rPr>
        <w:t>2022年争取到位中、省预算内资金15975万元。持续深化项目“千亿储备”行动，滚动项目储备，储备规模达1700余亿元。</w:t>
      </w:r>
      <w:r>
        <w:rPr>
          <w:rFonts w:hint="eastAsia" w:ascii="宋体" w:hAnsi="宋体" w:eastAsia="仿宋_GB2312" w:cs="宋体"/>
          <w:color w:val="000000"/>
          <w:sz w:val="32"/>
          <w:szCs w:val="32"/>
          <w:lang w:val="en-US" w:eastAsia="zh-CN"/>
        </w:rPr>
        <w:t>三是</w:t>
      </w:r>
      <w:r>
        <w:rPr>
          <w:rFonts w:hint="default" w:ascii="宋体" w:hAnsi="宋体" w:eastAsia="仿宋_GB2312" w:cs="宋体"/>
          <w:color w:val="000000"/>
          <w:sz w:val="32"/>
          <w:szCs w:val="32"/>
          <w:lang w:val="en-US" w:eastAsia="zh-CN"/>
        </w:rPr>
        <w:t>高效管理，提升项目建设牵引力。</w:t>
      </w:r>
      <w:r>
        <w:rPr>
          <w:rFonts w:hint="eastAsia" w:ascii="宋体" w:hAnsi="宋体" w:eastAsia="仿宋_GB2312" w:cs="宋体"/>
          <w:color w:val="000000"/>
          <w:sz w:val="32"/>
          <w:szCs w:val="32"/>
          <w:lang w:val="en-US" w:eastAsia="zh-CN"/>
        </w:rPr>
        <w:t>创新项目推进工作方式，</w:t>
      </w:r>
      <w:r>
        <w:rPr>
          <w:rFonts w:hint="default" w:ascii="宋体" w:hAnsi="宋体" w:eastAsia="仿宋_GB2312" w:cs="宋体"/>
          <w:color w:val="000000"/>
          <w:sz w:val="32"/>
          <w:szCs w:val="32"/>
          <w:lang w:val="en-US" w:eastAsia="zh-CN"/>
        </w:rPr>
        <w:t>推行“问题解决、工作督查、考核奖惩”“三个到位”的工作措施，在全县项目建设调度会</w:t>
      </w:r>
      <w:r>
        <w:rPr>
          <w:rFonts w:hint="eastAsia" w:ascii="宋体" w:hAnsi="宋体" w:eastAsia="仿宋_GB2312" w:cs="宋体"/>
          <w:color w:val="000000"/>
          <w:sz w:val="32"/>
          <w:szCs w:val="32"/>
          <w:lang w:val="en-US" w:eastAsia="zh-CN"/>
        </w:rPr>
        <w:t>上</w:t>
      </w:r>
      <w:r>
        <w:rPr>
          <w:rFonts w:hint="default" w:ascii="宋体" w:hAnsi="宋体" w:eastAsia="仿宋_GB2312" w:cs="宋体"/>
          <w:color w:val="000000"/>
          <w:sz w:val="32"/>
          <w:szCs w:val="32"/>
          <w:lang w:val="en-US" w:eastAsia="zh-CN"/>
        </w:rPr>
        <w:t>首设流动“蜗牛席”，通过</w:t>
      </w:r>
      <w:r>
        <w:rPr>
          <w:rFonts w:hint="eastAsia" w:ascii="宋体" w:hAnsi="宋体" w:eastAsia="仿宋_GB2312" w:cs="宋体"/>
          <w:color w:val="000000"/>
          <w:sz w:val="32"/>
          <w:szCs w:val="32"/>
          <w:lang w:val="en-US" w:eastAsia="zh-CN"/>
        </w:rPr>
        <w:t>“</w:t>
      </w:r>
      <w:r>
        <w:rPr>
          <w:rFonts w:hint="default" w:ascii="宋体" w:hAnsi="宋体" w:eastAsia="仿宋_GB2312" w:cs="宋体"/>
          <w:color w:val="000000"/>
          <w:sz w:val="32"/>
          <w:szCs w:val="32"/>
          <w:lang w:val="en-US" w:eastAsia="zh-CN"/>
        </w:rPr>
        <w:t>红红脸、出出汗</w:t>
      </w:r>
      <w:r>
        <w:rPr>
          <w:rFonts w:hint="eastAsia" w:ascii="宋体" w:hAnsi="宋体" w:eastAsia="仿宋_GB2312" w:cs="宋体"/>
          <w:color w:val="000000"/>
          <w:sz w:val="32"/>
          <w:szCs w:val="32"/>
          <w:lang w:val="en-US" w:eastAsia="zh-CN"/>
        </w:rPr>
        <w:t>”“</w:t>
      </w:r>
      <w:r>
        <w:rPr>
          <w:rFonts w:hint="default" w:ascii="宋体" w:hAnsi="宋体" w:eastAsia="仿宋_GB2312" w:cs="宋体"/>
          <w:color w:val="000000"/>
          <w:sz w:val="32"/>
          <w:szCs w:val="32"/>
          <w:lang w:val="en-US" w:eastAsia="zh-CN"/>
        </w:rPr>
        <w:t>发点球</w:t>
      </w:r>
      <w:r>
        <w:rPr>
          <w:rFonts w:hint="eastAsia" w:ascii="宋体" w:hAnsi="宋体" w:eastAsia="仿宋_GB2312" w:cs="宋体"/>
          <w:color w:val="000000"/>
          <w:sz w:val="32"/>
          <w:szCs w:val="32"/>
          <w:lang w:val="en-US" w:eastAsia="zh-CN"/>
        </w:rPr>
        <w:t>、</w:t>
      </w:r>
      <w:r>
        <w:rPr>
          <w:rFonts w:hint="default" w:ascii="宋体" w:hAnsi="宋体" w:eastAsia="仿宋_GB2312" w:cs="宋体"/>
          <w:color w:val="000000"/>
          <w:sz w:val="32"/>
          <w:szCs w:val="32"/>
          <w:lang w:val="en-US" w:eastAsia="zh-CN"/>
        </w:rPr>
        <w:t>亮黄牌</w:t>
      </w:r>
      <w:r>
        <w:rPr>
          <w:rFonts w:hint="eastAsia" w:ascii="宋体" w:hAnsi="宋体" w:eastAsia="仿宋_GB2312" w:cs="宋体"/>
          <w:color w:val="000000"/>
          <w:sz w:val="32"/>
          <w:szCs w:val="32"/>
          <w:lang w:val="en-US" w:eastAsia="zh-CN"/>
        </w:rPr>
        <w:t>”</w:t>
      </w:r>
      <w:r>
        <w:rPr>
          <w:rFonts w:hint="default" w:ascii="宋体" w:hAnsi="宋体" w:eastAsia="仿宋_GB2312" w:cs="宋体"/>
          <w:color w:val="000000"/>
          <w:sz w:val="32"/>
          <w:szCs w:val="32"/>
          <w:lang w:val="en-US" w:eastAsia="zh-CN"/>
        </w:rPr>
        <w:t>的方式对项目推进缓慢的单位及责任人进行鞭策，督促项目责任单位、项目业主单位加快项目建设。</w:t>
      </w:r>
      <w:r>
        <w:rPr>
          <w:rFonts w:hint="eastAsia" w:ascii="宋体" w:hAnsi="宋体" w:eastAsia="仿宋_GB2312" w:cs="宋体"/>
          <w:color w:val="000000"/>
          <w:sz w:val="32"/>
          <w:szCs w:val="32"/>
          <w:lang w:val="en-US" w:eastAsia="zh-CN"/>
        </w:rPr>
        <w:t>四是</w:t>
      </w:r>
      <w:r>
        <w:rPr>
          <w:rFonts w:hint="default" w:ascii="宋体" w:hAnsi="宋体" w:eastAsia="仿宋_GB2312" w:cs="宋体"/>
          <w:color w:val="000000"/>
          <w:sz w:val="32"/>
          <w:szCs w:val="32"/>
          <w:lang w:val="en-US" w:eastAsia="zh-CN"/>
        </w:rPr>
        <w:t>持续深化“放管服”改革，</w:t>
      </w:r>
      <w:r>
        <w:rPr>
          <w:rFonts w:hint="eastAsia" w:ascii="宋体" w:hAnsi="宋体" w:eastAsia="仿宋_GB2312" w:cs="宋体"/>
          <w:color w:val="000000"/>
          <w:sz w:val="32"/>
          <w:szCs w:val="32"/>
          <w:lang w:val="en-US" w:eastAsia="zh-CN"/>
        </w:rPr>
        <w:t>完成63个政府投资项目审批，总投资12.57亿元；完成企业备案项目12个，总投资15.68亿元，</w:t>
      </w:r>
      <w:r>
        <w:rPr>
          <w:rFonts w:hint="default" w:ascii="宋体" w:hAnsi="宋体" w:eastAsia="仿宋_GB2312" w:cs="宋体"/>
          <w:color w:val="000000"/>
          <w:sz w:val="32"/>
          <w:szCs w:val="32"/>
          <w:lang w:val="en-US" w:eastAsia="zh-CN"/>
        </w:rPr>
        <w:t>按时办结率达100%。</w:t>
      </w:r>
    </w:p>
    <w:p w14:paraId="3BAA7330">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hint="eastAsia" w:ascii="宋体" w:hAnsi="宋体" w:eastAsia="仿宋_GB2312" w:cs="宋体"/>
          <w:color w:val="000000"/>
          <w:sz w:val="32"/>
          <w:szCs w:val="32"/>
        </w:rPr>
      </w:pPr>
      <w:r>
        <w:rPr>
          <w:rFonts w:hint="eastAsia" w:ascii="宋体" w:hAnsi="宋体" w:eastAsia="仿宋_GB2312" w:cs="宋体"/>
          <w:color w:val="000000"/>
          <w:sz w:val="32"/>
          <w:szCs w:val="32"/>
          <w:lang w:val="en-US" w:eastAsia="zh-CN"/>
        </w:rPr>
        <w:t>3.以工代赈，</w:t>
      </w:r>
      <w:r>
        <w:rPr>
          <w:rFonts w:hint="eastAsia" w:ascii="宋体" w:hAnsi="宋体" w:eastAsia="仿宋_GB2312" w:cs="宋体"/>
          <w:color w:val="000000"/>
          <w:sz w:val="32"/>
          <w:szCs w:val="32"/>
        </w:rPr>
        <w:t>持续巩固脱贫攻坚成果</w:t>
      </w:r>
    </w:p>
    <w:p w14:paraId="5EBDEDDE">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hint="eastAsia" w:ascii="宋体" w:hAnsi="宋体" w:eastAsia="仿宋_GB2312" w:cs="宋体"/>
          <w:color w:val="000000"/>
          <w:sz w:val="32"/>
          <w:szCs w:val="32"/>
        </w:rPr>
      </w:pPr>
      <w:r>
        <w:rPr>
          <w:rFonts w:hint="eastAsia" w:ascii="宋体" w:hAnsi="宋体" w:eastAsia="仿宋_GB2312" w:cs="宋体"/>
          <w:color w:val="000000"/>
          <w:sz w:val="32"/>
          <w:szCs w:val="32"/>
          <w:lang w:val="en-US" w:eastAsia="zh-CN"/>
        </w:rPr>
        <w:t>一是积极在全县农村基础设施建设领域推广以工代赈项目方式。2022年推广以以工代赈方式实施项目共计6个，对项目进行全过程督导检查，目前6个项目已基本完工，吸纳群众务工人员276人，其中：脱贫人口47人；发放劳务报酬151万元，其中：脱贫人口发放劳务报酬20万元，有效地巩固了脱贫攻坚成果。二是2022年实施中央预算内以工代赈项目1个，项目总投资417万元，目前该项目已完工。三是</w:t>
      </w:r>
      <w:r>
        <w:rPr>
          <w:rFonts w:hint="default" w:ascii="宋体" w:hAnsi="宋体" w:eastAsia="仿宋_GB2312" w:cs="宋体"/>
          <w:color w:val="000000"/>
          <w:sz w:val="32"/>
          <w:szCs w:val="32"/>
          <w:lang w:val="en-US" w:eastAsia="zh-CN"/>
        </w:rPr>
        <w:t>扎实开展易地扶贫搬迁后续扶持相关工作，</w:t>
      </w:r>
      <w:r>
        <w:rPr>
          <w:rFonts w:hint="eastAsia" w:ascii="宋体" w:hAnsi="宋体" w:eastAsia="仿宋_GB2312" w:cs="宋体"/>
          <w:color w:val="000000"/>
          <w:sz w:val="32"/>
          <w:szCs w:val="32"/>
          <w:lang w:val="en-US" w:eastAsia="zh-CN"/>
        </w:rPr>
        <w:t>申报2023年安置点后续产业类发展项目项目3个，公益类项目1个，计划总投资3650万元，确保每个集中安置区有一个以上项目支持易地搬迁后续发展。四是认真做好2023年以工代赈项目申报遴选工作。2023年我县拟计划申报以工代赈项目3个，其中示范工程1个，中央财政衔接资金项目2个，计划总投资1430万元。目前项目申报前期工作已基本完成，正积极对接省州做好项目申报工作。</w:t>
      </w:r>
    </w:p>
    <w:p w14:paraId="3DECA8C6">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hint="eastAsia" w:ascii="宋体" w:hAnsi="宋体" w:eastAsia="仿宋_GB2312" w:cs="宋体"/>
          <w:color w:val="000000"/>
          <w:sz w:val="32"/>
          <w:szCs w:val="32"/>
          <w:lang w:val="en-US" w:eastAsia="zh-CN"/>
        </w:rPr>
      </w:pPr>
      <w:r>
        <w:rPr>
          <w:rFonts w:hint="eastAsia" w:ascii="宋体" w:hAnsi="宋体" w:eastAsia="仿宋_GB2312" w:cs="宋体"/>
          <w:color w:val="000000"/>
          <w:sz w:val="32"/>
          <w:szCs w:val="32"/>
          <w:lang w:val="en-US" w:eastAsia="zh-CN"/>
        </w:rPr>
        <w:t>4.强化安全，</w:t>
      </w:r>
      <w:r>
        <w:rPr>
          <w:rFonts w:hint="eastAsia" w:ascii="宋体" w:hAnsi="宋体" w:eastAsia="仿宋_GB2312" w:cs="宋体"/>
          <w:color w:val="000000"/>
          <w:sz w:val="32"/>
          <w:szCs w:val="32"/>
        </w:rPr>
        <w:t>粮食</w:t>
      </w:r>
      <w:r>
        <w:rPr>
          <w:rFonts w:hint="eastAsia" w:ascii="宋体" w:hAnsi="宋体" w:eastAsia="仿宋_GB2312" w:cs="宋体"/>
          <w:color w:val="000000"/>
          <w:sz w:val="32"/>
          <w:szCs w:val="32"/>
          <w:lang w:val="en-US" w:eastAsia="zh-CN"/>
        </w:rPr>
        <w:t>和物资储备工作有序开展</w:t>
      </w:r>
    </w:p>
    <w:p w14:paraId="4C8BCAA0">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hint="eastAsia" w:ascii="宋体" w:hAnsi="宋体" w:eastAsia="仿宋_GB2312" w:cs="宋体"/>
          <w:color w:val="000000"/>
          <w:sz w:val="32"/>
          <w:szCs w:val="32"/>
          <w:lang w:val="en-US" w:eastAsia="zh-CN"/>
        </w:rPr>
      </w:pPr>
      <w:r>
        <w:rPr>
          <w:rFonts w:hint="eastAsia" w:ascii="宋体" w:hAnsi="宋体" w:eastAsia="仿宋_GB2312" w:cs="宋体"/>
          <w:color w:val="000000"/>
          <w:sz w:val="32"/>
          <w:szCs w:val="32"/>
          <w:lang w:val="en-US" w:eastAsia="zh-CN"/>
        </w:rPr>
        <w:t>一是压实责任，全面落实粮食安全党政同责工作，完成2021年粮食安全党政同责考核问题整改工作，认真抓好2022年粮食安全党政同责相关工作。认真开展政策性粮油库存检查，摸清粮油库存数，以保证粮油储存安全。加大储备粮油轮换，按质按量完成了地方粮油储备任务。二是抓好应急保供工作，截至目前共发放帐篷、棉衣、棉被、电筒、编织袋等应急物资14993件。三是加强《粮食流通管理条例》等法律法规以及爱粮节粮的宣传。认真开展粮食购销领域专项整治和“以案为鉴、以案促改、以案促治”专项整治。四是认真开展政策性粮油库存检查，摸清粮油库存数，保证粮油储存安全。五是开展粮油仓储建设，完成省级粮油储备库点信息化监管平台升级改造工作。六是完成原粮食局办公用房固定资产清理核销工作，和县粮油收储公司在</w:t>
      </w:r>
      <w:r>
        <w:rPr>
          <w:rFonts w:hint="default" w:ascii="宋体" w:hAnsi="宋体" w:eastAsia="仿宋_GB2312" w:cs="宋体"/>
          <w:color w:val="000000"/>
          <w:sz w:val="32"/>
          <w:szCs w:val="32"/>
          <w:lang w:val="en-US" w:eastAsia="zh-CN"/>
        </w:rPr>
        <w:t>宜居县城</w:t>
      </w:r>
      <w:r>
        <w:rPr>
          <w:rFonts w:hint="eastAsia" w:ascii="宋体" w:hAnsi="宋体" w:eastAsia="仿宋_GB2312" w:cs="宋体"/>
          <w:color w:val="000000"/>
          <w:sz w:val="32"/>
          <w:szCs w:val="32"/>
          <w:lang w:val="en-US" w:eastAsia="zh-CN"/>
        </w:rPr>
        <w:t>项目建设中被拆除部分固定资产的审核认定工作，解除了粮油收储公司安乐鱼塘承包合同。</w:t>
      </w:r>
    </w:p>
    <w:p w14:paraId="09EE6FB8">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hint="default" w:ascii="宋体" w:hAnsi="宋体" w:eastAsia="仿宋_GB2312" w:cs="宋体"/>
          <w:color w:val="000000"/>
          <w:sz w:val="32"/>
          <w:szCs w:val="32"/>
          <w:lang w:val="en-US" w:eastAsia="zh-CN"/>
        </w:rPr>
      </w:pPr>
      <w:r>
        <w:rPr>
          <w:rFonts w:hint="eastAsia" w:ascii="宋体" w:hAnsi="宋体" w:eastAsia="仿宋_GB2312" w:cs="宋体"/>
          <w:color w:val="000000"/>
          <w:sz w:val="32"/>
          <w:szCs w:val="32"/>
          <w:lang w:val="en-US" w:eastAsia="zh-CN"/>
        </w:rPr>
        <w:t>5.服务民生，持续推进价格认证工作</w:t>
      </w:r>
    </w:p>
    <w:p w14:paraId="76E66377">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hint="eastAsia" w:ascii="宋体" w:hAnsi="宋体" w:eastAsia="仿宋_GB2312" w:cs="宋体"/>
          <w:color w:val="000000"/>
          <w:sz w:val="32"/>
          <w:szCs w:val="32"/>
          <w:lang w:eastAsia="zh-CN"/>
        </w:rPr>
      </w:pPr>
      <w:r>
        <w:rPr>
          <w:rFonts w:hint="eastAsia" w:ascii="宋体" w:hAnsi="宋体" w:eastAsia="仿宋_GB2312" w:cs="宋体"/>
          <w:color w:val="000000"/>
          <w:sz w:val="32"/>
          <w:szCs w:val="32"/>
          <w:lang w:val="en-US" w:eastAsia="zh-CN"/>
        </w:rPr>
        <w:t>一是</w:t>
      </w:r>
      <w:r>
        <w:rPr>
          <w:rFonts w:hint="eastAsia" w:ascii="宋体" w:hAnsi="宋体" w:eastAsia="仿宋_GB2312" w:cs="宋体"/>
          <w:color w:val="000000"/>
          <w:sz w:val="32"/>
          <w:szCs w:val="32"/>
        </w:rPr>
        <w:t>完成了城市供水非居民内用水价格调整成本监审工作</w:t>
      </w:r>
      <w:r>
        <w:rPr>
          <w:rFonts w:hint="eastAsia" w:ascii="宋体" w:hAnsi="宋体" w:eastAsia="仿宋_GB2312" w:cs="宋体"/>
          <w:color w:val="000000"/>
          <w:sz w:val="32"/>
          <w:szCs w:val="32"/>
          <w:lang w:eastAsia="zh-CN"/>
        </w:rPr>
        <w:t>，</w:t>
      </w:r>
      <w:r>
        <w:rPr>
          <w:rFonts w:hint="eastAsia" w:ascii="宋体" w:hAnsi="宋体" w:eastAsia="仿宋_GB2312" w:cs="宋体"/>
          <w:color w:val="000000"/>
          <w:sz w:val="32"/>
          <w:szCs w:val="32"/>
        </w:rPr>
        <w:t>制定完成了《九寨沟县天然气阶梯价格制度》、《九寨沟县天然气上下游价格联动机制（试行）办法》</w:t>
      </w:r>
      <w:r>
        <w:rPr>
          <w:rFonts w:hint="eastAsia" w:ascii="宋体" w:hAnsi="宋体" w:eastAsia="仿宋_GB2312" w:cs="宋体"/>
          <w:color w:val="000000"/>
          <w:sz w:val="32"/>
          <w:szCs w:val="32"/>
          <w:lang w:eastAsia="zh-CN"/>
        </w:rPr>
        <w:t>，</w:t>
      </w:r>
      <w:r>
        <w:rPr>
          <w:rFonts w:hint="eastAsia" w:ascii="宋体" w:hAnsi="宋体" w:eastAsia="仿宋_GB2312" w:cs="宋体"/>
          <w:color w:val="000000"/>
          <w:sz w:val="32"/>
          <w:szCs w:val="32"/>
        </w:rPr>
        <w:t>根据联动机制对居民用气价格进行了调整。</w:t>
      </w:r>
      <w:r>
        <w:rPr>
          <w:rFonts w:hint="eastAsia" w:ascii="宋体" w:hAnsi="宋体" w:eastAsia="仿宋_GB2312" w:cs="宋体"/>
          <w:color w:val="000000"/>
          <w:sz w:val="32"/>
          <w:szCs w:val="32"/>
          <w:lang w:val="en-US" w:eastAsia="zh-CN"/>
        </w:rPr>
        <w:t>二是</w:t>
      </w:r>
      <w:r>
        <w:rPr>
          <w:rFonts w:hint="eastAsia" w:ascii="宋体" w:hAnsi="宋体" w:eastAsia="仿宋_GB2312" w:cs="宋体"/>
          <w:color w:val="000000"/>
          <w:sz w:val="32"/>
          <w:szCs w:val="32"/>
        </w:rPr>
        <w:t>完成了相关经营服务行业的价格备案管理工作。</w:t>
      </w:r>
      <w:r>
        <w:rPr>
          <w:rFonts w:hint="eastAsia" w:ascii="宋体" w:hAnsi="宋体" w:eastAsia="仿宋_GB2312" w:cs="宋体"/>
          <w:color w:val="000000"/>
          <w:sz w:val="32"/>
          <w:szCs w:val="32"/>
          <w:lang w:val="en-US" w:eastAsia="zh-CN"/>
        </w:rPr>
        <w:t>三是</w:t>
      </w:r>
      <w:r>
        <w:rPr>
          <w:rFonts w:hint="eastAsia" w:ascii="宋体" w:hAnsi="宋体" w:eastAsia="仿宋_GB2312" w:cs="宋体"/>
          <w:color w:val="000000"/>
          <w:sz w:val="32"/>
          <w:szCs w:val="32"/>
        </w:rPr>
        <w:t>做好停车场等政府定价的相关工作。</w:t>
      </w:r>
      <w:r>
        <w:rPr>
          <w:rFonts w:hint="eastAsia" w:ascii="宋体" w:hAnsi="宋体" w:eastAsia="仿宋_GB2312" w:cs="宋体"/>
          <w:color w:val="000000"/>
          <w:sz w:val="32"/>
          <w:szCs w:val="32"/>
          <w:lang w:val="en-US" w:eastAsia="zh-CN"/>
        </w:rPr>
        <w:t>四是</w:t>
      </w:r>
      <w:r>
        <w:rPr>
          <w:rFonts w:hint="eastAsia" w:ascii="宋体" w:hAnsi="宋体" w:eastAsia="仿宋_GB2312" w:cs="宋体"/>
          <w:color w:val="000000"/>
          <w:sz w:val="32"/>
          <w:szCs w:val="32"/>
        </w:rPr>
        <w:t>完成两项改革“后半篇”文章工作</w:t>
      </w:r>
      <w:r>
        <w:rPr>
          <w:rFonts w:hint="eastAsia" w:ascii="宋体" w:hAnsi="宋体" w:eastAsia="仿宋_GB2312" w:cs="宋体"/>
          <w:color w:val="000000"/>
          <w:sz w:val="32"/>
          <w:szCs w:val="32"/>
          <w:lang w:eastAsia="zh-CN"/>
        </w:rPr>
        <w:t>，</w:t>
      </w:r>
      <w:r>
        <w:rPr>
          <w:rFonts w:hint="eastAsia" w:ascii="宋体" w:hAnsi="宋体" w:eastAsia="仿宋_GB2312" w:cs="宋体"/>
          <w:color w:val="000000"/>
          <w:sz w:val="32"/>
          <w:szCs w:val="32"/>
          <w:lang w:val="en-US" w:eastAsia="zh-CN"/>
        </w:rPr>
        <w:t>及时</w:t>
      </w:r>
      <w:r>
        <w:rPr>
          <w:rFonts w:hint="eastAsia" w:ascii="宋体" w:hAnsi="宋体" w:eastAsia="仿宋_GB2312" w:cs="宋体"/>
          <w:color w:val="000000"/>
          <w:sz w:val="32"/>
          <w:szCs w:val="32"/>
        </w:rPr>
        <w:t>公布《阿坝州涉企行政事业性收费收费目录清单》。</w:t>
      </w:r>
      <w:r>
        <w:rPr>
          <w:rFonts w:hint="eastAsia" w:ascii="宋体" w:hAnsi="宋体" w:eastAsia="仿宋_GB2312" w:cs="宋体"/>
          <w:color w:val="000000"/>
          <w:sz w:val="32"/>
          <w:szCs w:val="32"/>
          <w:lang w:val="en-US" w:eastAsia="zh-CN"/>
        </w:rPr>
        <w:t>五是</w:t>
      </w:r>
      <w:r>
        <w:rPr>
          <w:rFonts w:hint="eastAsia" w:ascii="宋体" w:hAnsi="宋体" w:eastAsia="仿宋_GB2312" w:cs="宋体"/>
          <w:color w:val="000000"/>
          <w:sz w:val="32"/>
          <w:szCs w:val="32"/>
        </w:rPr>
        <w:t>客观公正地开展各项价格认定工作</w:t>
      </w:r>
      <w:r>
        <w:rPr>
          <w:rFonts w:hint="eastAsia" w:ascii="宋体" w:hAnsi="宋体" w:eastAsia="仿宋_GB2312" w:cs="宋体"/>
          <w:color w:val="000000"/>
          <w:sz w:val="32"/>
          <w:szCs w:val="32"/>
          <w:lang w:eastAsia="zh-CN"/>
        </w:rPr>
        <w:t>，</w:t>
      </w:r>
      <w:r>
        <w:rPr>
          <w:rFonts w:ascii="宋体" w:hAnsi="宋体" w:eastAsia="仿宋_GB2312" w:cs="宋体"/>
          <w:color w:val="000000"/>
          <w:sz w:val="32"/>
          <w:szCs w:val="32"/>
        </w:rPr>
        <w:t>完成涉案物品价格认定案件</w:t>
      </w:r>
      <w:r>
        <w:rPr>
          <w:rFonts w:hint="default" w:ascii="宋体" w:hAnsi="宋体" w:eastAsia="仿宋_GB2312" w:cs="宋体"/>
          <w:color w:val="000000"/>
          <w:sz w:val="32"/>
          <w:szCs w:val="32"/>
          <w:lang w:val="en-US" w:eastAsia="zh-CN"/>
        </w:rPr>
        <w:t>11起，涉案金额5.7万元</w:t>
      </w:r>
      <w:r>
        <w:rPr>
          <w:rFonts w:hint="eastAsia" w:ascii="宋体" w:hAnsi="宋体" w:eastAsia="仿宋_GB2312" w:cs="宋体"/>
          <w:color w:val="000000"/>
          <w:sz w:val="32"/>
          <w:szCs w:val="32"/>
        </w:rPr>
        <w:t>。</w:t>
      </w:r>
    </w:p>
    <w:p w14:paraId="01359A42">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hint="eastAsia" w:ascii="宋体" w:hAnsi="宋体" w:eastAsia="仿宋_GB2312" w:cs="宋体"/>
          <w:color w:val="000000"/>
          <w:sz w:val="32"/>
          <w:szCs w:val="32"/>
          <w:lang w:val="en-US" w:eastAsia="zh-CN"/>
        </w:rPr>
      </w:pPr>
      <w:r>
        <w:rPr>
          <w:rFonts w:hint="eastAsia" w:ascii="宋体" w:hAnsi="宋体" w:eastAsia="仿宋_GB2312" w:cs="宋体"/>
          <w:color w:val="000000"/>
          <w:sz w:val="32"/>
          <w:szCs w:val="32"/>
          <w:lang w:val="en-US" w:eastAsia="zh-CN"/>
        </w:rPr>
        <w:t>6.开放合作，全面推进东西协作和省内对口帮扶</w:t>
      </w:r>
    </w:p>
    <w:p w14:paraId="55EBCA0C">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hint="eastAsia" w:ascii="宋体" w:hAnsi="宋体" w:eastAsia="仿宋_GB2312" w:cs="宋体"/>
          <w:color w:val="000000"/>
          <w:sz w:val="32"/>
          <w:szCs w:val="32"/>
        </w:rPr>
      </w:pPr>
      <w:r>
        <w:rPr>
          <w:rFonts w:hint="eastAsia" w:ascii="宋体" w:hAnsi="宋体" w:eastAsia="仿宋_GB2312" w:cs="宋体"/>
          <w:color w:val="000000"/>
          <w:sz w:val="32"/>
          <w:szCs w:val="32"/>
        </w:rPr>
        <w:t>浙江对口支援工作情况：</w:t>
      </w:r>
      <w:r>
        <w:rPr>
          <w:rFonts w:hint="eastAsia" w:ascii="宋体" w:hAnsi="宋体" w:eastAsia="仿宋_GB2312" w:cs="宋体"/>
          <w:color w:val="000000"/>
          <w:sz w:val="32"/>
          <w:szCs w:val="32"/>
          <w:lang w:val="en-US" w:eastAsia="zh-CN"/>
        </w:rPr>
        <w:t>一是</w:t>
      </w:r>
      <w:r>
        <w:rPr>
          <w:rFonts w:hint="eastAsia" w:ascii="宋体" w:hAnsi="宋体" w:eastAsia="仿宋_GB2312" w:cs="宋体"/>
          <w:color w:val="000000"/>
          <w:sz w:val="32"/>
          <w:szCs w:val="32"/>
        </w:rPr>
        <w:t>紧紧围绕推动区域绿色发展、效益农业、全域旅游等工作重点，坚定落实两省重大决策部署，助推</w:t>
      </w:r>
      <w:r>
        <w:rPr>
          <w:rFonts w:hint="eastAsia" w:eastAsia="仿宋_GB2312" w:cs="宋体"/>
          <w:color w:val="000000"/>
          <w:sz w:val="32"/>
          <w:szCs w:val="32"/>
          <w:lang w:eastAsia="zh-CN"/>
        </w:rPr>
        <w:t>巩固拓展脱贫攻坚成果同乡村振兴有效衔接</w:t>
      </w:r>
      <w:r>
        <w:rPr>
          <w:rFonts w:hint="eastAsia" w:ascii="宋体" w:hAnsi="宋体" w:eastAsia="仿宋_GB2312" w:cs="宋体"/>
          <w:color w:val="000000"/>
          <w:sz w:val="32"/>
          <w:szCs w:val="32"/>
          <w:lang w:val="en-US" w:eastAsia="zh-CN"/>
        </w:rPr>
        <w:t>，推动九寨沟县经济社会高质量发展，全力打造对口工作升级版。二是2022年安排帮扶资金5000万元（其中500万元由州统筹使用），实施对口支援项目12个。截至目前，开工率100%，项目投资完成额3654万元，投资完成率为81.2%；经招标后合同价为4141.7173万元，项目支付资金3061.96万元，资金支付率73.82%。三是全面加强“浙川一家”文旅合作。2022年5月起至10月在杭州地铁及机场专线沿途线路或站点，开展“神奇九寨”走进杭州活动。全力推进招商引资。四是积极对接有实力的优质企业，先</w:t>
      </w:r>
      <w:r>
        <w:rPr>
          <w:rFonts w:hint="eastAsia" w:ascii="宋体" w:hAnsi="宋体" w:eastAsia="仿宋_GB2312" w:cs="宋体"/>
          <w:color w:val="000000"/>
          <w:sz w:val="32"/>
          <w:szCs w:val="32"/>
        </w:rPr>
        <w:t>后邀请浙江两山集团、浙江物产安橙、浙江麒盛科技、上海乡伴文旅、上海产业促进中心等</w:t>
      </w:r>
      <w:r>
        <w:rPr>
          <w:rFonts w:hint="eastAsia" w:ascii="宋体" w:hAnsi="宋体" w:eastAsia="仿宋_GB2312" w:cs="宋体"/>
          <w:color w:val="000000"/>
          <w:sz w:val="32"/>
          <w:szCs w:val="32"/>
          <w:lang w:val="en-US" w:eastAsia="zh-CN"/>
        </w:rPr>
        <w:t>21家企业的主要负责人赴九寨沟进行投资考察。脱贫村结对实现全覆盖。五是克服疫情影响，开展“云签约”捐赠，累计促成东部36家企业与九寨沟县61个村结对，双方签订为期3年的结对协议，结对村每年获赠资金1万元</w:t>
      </w:r>
      <w:r>
        <w:rPr>
          <w:rFonts w:hint="eastAsia" w:ascii="宋体" w:hAnsi="宋体" w:eastAsia="仿宋_GB2312" w:cs="宋体"/>
          <w:color w:val="000000"/>
          <w:sz w:val="32"/>
          <w:szCs w:val="32"/>
        </w:rPr>
        <w:t>。</w:t>
      </w:r>
    </w:p>
    <w:p w14:paraId="5280C196">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hint="eastAsia" w:ascii="宋体" w:hAnsi="宋体" w:eastAsia="仿宋_GB2312" w:cs="宋体"/>
          <w:color w:val="000000"/>
          <w:sz w:val="32"/>
          <w:szCs w:val="32"/>
          <w:lang w:val="en-US" w:eastAsia="zh-CN"/>
        </w:rPr>
      </w:pPr>
      <w:r>
        <w:rPr>
          <w:rFonts w:hint="eastAsia" w:ascii="宋体" w:hAnsi="宋体" w:eastAsia="仿宋_GB2312" w:cs="宋体"/>
          <w:color w:val="000000"/>
          <w:sz w:val="32"/>
          <w:szCs w:val="32"/>
          <w:lang w:val="en-US" w:eastAsia="zh-CN"/>
        </w:rPr>
        <w:t>省内对口帮扶工作情况：一是两地交流。</w:t>
      </w:r>
      <w:r>
        <w:rPr>
          <w:rFonts w:hint="default" w:ascii="宋体" w:hAnsi="宋体" w:eastAsia="仿宋_GB2312" w:cs="宋体"/>
          <w:color w:val="000000"/>
          <w:sz w:val="32"/>
          <w:szCs w:val="32"/>
          <w:lang w:val="en-US" w:eastAsia="zh-CN"/>
        </w:rPr>
        <w:t>2022</w:t>
      </w:r>
      <w:r>
        <w:rPr>
          <w:rFonts w:hint="eastAsia" w:ascii="宋体" w:hAnsi="宋体" w:eastAsia="仿宋_GB2312" w:cs="宋体"/>
          <w:color w:val="000000"/>
          <w:sz w:val="32"/>
          <w:szCs w:val="32"/>
          <w:lang w:val="en-US" w:eastAsia="zh-CN"/>
        </w:rPr>
        <w:t>年以来，成都市对口支援办相关领导带队赴九寨沟县调研对口帮扶工作1次，邛崃市组织相关部门、企业、社会组织等到九寨沟县交流对接工作5次，九寨沟县贺松书记带队赴邛崃市对接会商省内对口帮扶工作1次，召开省内对口帮扶工作联席会1次。二是资金和项目落实。对照邛崃市对口帮扶九寨沟县规划（2021-2025年），2022年实施省内对口帮扶项目13个，计划投入资金1098万元。截至目前，项目已开工13个，开工率100%，项目已完工7个，其余项目正按计划推进，项目资金按进度支付。三是人才交流。截至目前，邛崃市选派党政干部、教育医疗人才到九寨沟县挂职交流56人，短期培训交流32人，“组团式”帮扶教育人才4人；九寨沟县选派17名干部人才赴邛崃市挂职锻炼，48名学校管理人员、骨干教师赴邛崃短期培训交流，选派医务人员到邛崃跟岗学习2人。</w:t>
      </w:r>
    </w:p>
    <w:p w14:paraId="47FDCF08">
      <w:pPr>
        <w:pStyle w:val="4"/>
        <w:keepNext w:val="0"/>
        <w:keepLines w:val="0"/>
        <w:pageBreakBefore w:val="0"/>
        <w:numPr>
          <w:ilvl w:val="0"/>
          <w:numId w:val="0"/>
        </w:numPr>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Fonts w:hint="eastAsia" w:ascii="宋体" w:hAnsi="宋体" w:eastAsia="仿宋_GB2312" w:cs="宋体"/>
          <w:b w:val="0"/>
          <w:bCs w:val="0"/>
          <w:color w:val="000000"/>
          <w:sz w:val="32"/>
          <w:szCs w:val="32"/>
          <w:lang w:val="en-US" w:eastAsia="zh-CN" w:bidi="ar-SA"/>
        </w:rPr>
      </w:pPr>
      <w:r>
        <w:rPr>
          <w:rFonts w:hint="eastAsia" w:ascii="宋体" w:hAnsi="宋体" w:eastAsia="仿宋_GB2312" w:cs="宋体"/>
          <w:b w:val="0"/>
          <w:bCs w:val="0"/>
          <w:color w:val="000000"/>
          <w:sz w:val="32"/>
          <w:szCs w:val="32"/>
          <w:lang w:val="en-US" w:eastAsia="zh-CN" w:bidi="ar-SA"/>
        </w:rPr>
        <w:t>二、机构设置</w:t>
      </w:r>
    </w:p>
    <w:p w14:paraId="3927DC4A">
      <w:pPr>
        <w:pStyle w:val="4"/>
        <w:keepNext w:val="0"/>
        <w:keepLines w:val="0"/>
        <w:pageBreakBefore w:val="0"/>
        <w:numPr>
          <w:ilvl w:val="0"/>
          <w:numId w:val="0"/>
        </w:numPr>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Fonts w:hint="eastAsia" w:ascii="宋体" w:hAnsi="宋体" w:eastAsia="仿宋_GB2312" w:cs="宋体"/>
          <w:b w:val="0"/>
          <w:bCs w:val="0"/>
          <w:color w:val="000000"/>
          <w:sz w:val="32"/>
          <w:szCs w:val="32"/>
          <w:lang w:val="en-US" w:eastAsia="zh-CN" w:bidi="ar-SA"/>
        </w:rPr>
      </w:pPr>
      <w:r>
        <w:rPr>
          <w:rFonts w:hint="eastAsia" w:ascii="宋体" w:hAnsi="宋体" w:eastAsia="仿宋_GB2312" w:cs="宋体"/>
          <w:b w:val="0"/>
          <w:bCs w:val="0"/>
          <w:color w:val="000000"/>
          <w:sz w:val="32"/>
          <w:szCs w:val="32"/>
          <w:lang w:val="en-US" w:eastAsia="zh-CN" w:bidi="ar-SA"/>
        </w:rPr>
        <w:t>发改局下属二级单位2个，其中行政单位0个，参照公务员法管理的事业单位1个，其他事业单位1个。</w:t>
      </w:r>
    </w:p>
    <w:p w14:paraId="69CA9026">
      <w:pPr>
        <w:pStyle w:val="4"/>
        <w:keepNext w:val="0"/>
        <w:keepLines w:val="0"/>
        <w:pageBreakBefore w:val="0"/>
        <w:numPr>
          <w:ilvl w:val="0"/>
          <w:numId w:val="0"/>
        </w:numPr>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Fonts w:hint="eastAsia" w:ascii="宋体" w:hAnsi="宋体" w:eastAsia="仿宋_GB2312" w:cs="宋体"/>
          <w:b w:val="0"/>
          <w:bCs w:val="0"/>
          <w:color w:val="000000"/>
          <w:sz w:val="32"/>
          <w:szCs w:val="32"/>
          <w:lang w:val="en-US" w:eastAsia="zh-CN" w:bidi="ar-SA"/>
        </w:rPr>
      </w:pPr>
      <w:r>
        <w:rPr>
          <w:rFonts w:hint="eastAsia" w:ascii="宋体" w:hAnsi="宋体" w:eastAsia="仿宋_GB2312" w:cs="宋体"/>
          <w:b w:val="0"/>
          <w:bCs w:val="0"/>
          <w:color w:val="000000"/>
          <w:sz w:val="32"/>
          <w:szCs w:val="32"/>
          <w:lang w:val="en-US" w:eastAsia="zh-CN" w:bidi="ar-SA"/>
        </w:rPr>
        <w:t>纳入发改局2022年度部门决算编制范围的二级预算单位包括：</w:t>
      </w:r>
    </w:p>
    <w:p w14:paraId="1EF7DB62">
      <w:pPr>
        <w:pStyle w:val="5"/>
        <w:keepNext w:val="0"/>
        <w:keepLines w:val="0"/>
        <w:pageBreakBefore w:val="0"/>
        <w:numPr>
          <w:ilvl w:val="0"/>
          <w:numId w:val="0"/>
        </w:numPr>
        <w:kinsoku/>
        <w:wordWrap/>
        <w:overflowPunct/>
        <w:topLinePunct w:val="0"/>
        <w:autoSpaceDE/>
        <w:autoSpaceDN/>
        <w:bidi w:val="0"/>
        <w:adjustRightInd w:val="0"/>
        <w:snapToGrid w:val="0"/>
        <w:spacing w:beforeLines="0" w:beforeAutospacing="0" w:afterAutospacing="0" w:line="440" w:lineRule="exact"/>
        <w:ind w:firstLine="640" w:firstLineChars="200"/>
        <w:textAlignment w:val="auto"/>
        <w:outlineLvl w:val="2"/>
        <w:rPr>
          <w:rFonts w:ascii="仿宋" w:hAnsi="仿宋" w:eastAsia="仿宋"/>
          <w:color w:val="000000"/>
          <w:sz w:val="32"/>
          <w:szCs w:val="32"/>
        </w:rPr>
      </w:pPr>
      <w:bookmarkStart w:id="0" w:name="_Toc79163857"/>
      <w:bookmarkStart w:id="1" w:name="_Toc15378449"/>
      <w:bookmarkStart w:id="2" w:name="_Toc79163607"/>
      <w:bookmarkStart w:id="3" w:name="_Toc15377433"/>
      <w:bookmarkStart w:id="4" w:name="_Toc15377202"/>
      <w:bookmarkStart w:id="5" w:name="_Toc15306276"/>
      <w:r>
        <w:rPr>
          <w:rFonts w:hint="eastAsia" w:ascii="仿宋" w:hAnsi="仿宋" w:eastAsia="仿宋"/>
          <w:color w:val="000000"/>
          <w:sz w:val="32"/>
          <w:szCs w:val="32"/>
          <w:lang w:val="en-US" w:eastAsia="zh-CN"/>
        </w:rPr>
        <w:t>1.</w:t>
      </w:r>
      <w:r>
        <w:rPr>
          <w:rFonts w:hint="eastAsia" w:ascii="仿宋" w:hAnsi="仿宋" w:eastAsia="仿宋"/>
          <w:color w:val="000000"/>
          <w:sz w:val="32"/>
          <w:szCs w:val="32"/>
          <w:lang w:eastAsia="zh-CN"/>
        </w:rPr>
        <w:t>九寨沟县发展和改革局</w:t>
      </w:r>
      <w:bookmarkEnd w:id="0"/>
      <w:bookmarkEnd w:id="1"/>
      <w:bookmarkEnd w:id="2"/>
      <w:bookmarkEnd w:id="3"/>
      <w:bookmarkEnd w:id="4"/>
      <w:bookmarkEnd w:id="5"/>
    </w:p>
    <w:p w14:paraId="0E0DF49B">
      <w:pPr>
        <w:pStyle w:val="4"/>
        <w:keepNext w:val="0"/>
        <w:keepLines w:val="0"/>
        <w:pageBreakBefore w:val="0"/>
        <w:numPr>
          <w:ilvl w:val="0"/>
          <w:numId w:val="0"/>
        </w:numPr>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Fonts w:hint="eastAsia" w:ascii="仿宋" w:hAnsi="仿宋" w:eastAsia="仿宋" w:cs="宋体"/>
          <w:b w:val="0"/>
          <w:bCs w:val="0"/>
          <w:color w:val="000000"/>
          <w:kern w:val="0"/>
          <w:sz w:val="32"/>
          <w:szCs w:val="32"/>
          <w:lang w:val="zh-CN" w:eastAsia="zh-CN" w:bidi="ar-SA"/>
        </w:rPr>
      </w:pPr>
      <w:r>
        <w:rPr>
          <w:rFonts w:hint="eastAsia" w:ascii="仿宋" w:hAnsi="仿宋" w:eastAsia="仿宋" w:cs="宋体"/>
          <w:b w:val="0"/>
          <w:bCs w:val="0"/>
          <w:color w:val="000000"/>
          <w:kern w:val="0"/>
          <w:sz w:val="32"/>
          <w:szCs w:val="32"/>
          <w:lang w:val="en-US" w:eastAsia="zh-CN" w:bidi="ar-SA"/>
        </w:rPr>
        <w:t>2.</w:t>
      </w:r>
      <w:r>
        <w:rPr>
          <w:rFonts w:hint="eastAsia" w:ascii="仿宋" w:hAnsi="仿宋" w:eastAsia="仿宋" w:cs="宋体"/>
          <w:b w:val="0"/>
          <w:bCs w:val="0"/>
          <w:color w:val="000000"/>
          <w:kern w:val="0"/>
          <w:sz w:val="32"/>
          <w:szCs w:val="32"/>
          <w:lang w:val="zh-CN" w:eastAsia="zh-CN" w:bidi="ar-SA"/>
        </w:rPr>
        <w:t>九寨沟县价格认证中心</w:t>
      </w:r>
    </w:p>
    <w:p w14:paraId="0823E643">
      <w:pPr>
        <w:pStyle w:val="4"/>
        <w:keepNext w:val="0"/>
        <w:keepLines w:val="0"/>
        <w:pageBreakBefore w:val="0"/>
        <w:numPr>
          <w:ilvl w:val="0"/>
          <w:numId w:val="0"/>
        </w:numPr>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Fonts w:hint="eastAsia" w:ascii="仿宋" w:hAnsi="仿宋" w:eastAsia="仿宋" w:cs="宋体"/>
          <w:b w:val="0"/>
          <w:bCs w:val="0"/>
          <w:color w:val="000000"/>
          <w:kern w:val="0"/>
          <w:sz w:val="32"/>
          <w:szCs w:val="32"/>
          <w:lang w:val="zh-CN" w:eastAsia="zh-CN" w:bidi="ar-SA"/>
        </w:rPr>
      </w:pPr>
    </w:p>
    <w:p w14:paraId="0E0DDF3A">
      <w:pPr>
        <w:pStyle w:val="3"/>
        <w:keepNext w:val="0"/>
        <w:keepLines w:val="0"/>
        <w:pageBreakBefore w:val="0"/>
        <w:shd w:val="clear" w:color="auto" w:fill="FFFFFF"/>
        <w:kinsoku/>
        <w:wordWrap/>
        <w:overflowPunct/>
        <w:topLinePunct w:val="0"/>
        <w:autoSpaceDE/>
        <w:autoSpaceDN/>
        <w:bidi w:val="0"/>
        <w:spacing w:before="0" w:beforeAutospacing="0" w:after="0" w:afterAutospacing="0" w:line="440" w:lineRule="exact"/>
        <w:jc w:val="center"/>
        <w:textAlignment w:val="auto"/>
        <w:rPr>
          <w:sz w:val="36"/>
          <w:szCs w:val="36"/>
        </w:rPr>
      </w:pPr>
      <w:r>
        <w:rPr>
          <w:sz w:val="36"/>
          <w:szCs w:val="36"/>
        </w:rPr>
        <w:t>第二部分 2022年度单位决算情况说明</w:t>
      </w:r>
    </w:p>
    <w:p w14:paraId="042B8048">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一、收入支出决算总体情况说明</w:t>
      </w:r>
    </w:p>
    <w:p w14:paraId="3D4D32F4">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2022年度收、支总计872.60万元。与2021年相比，收、支总计各增加481.77万元，增长123.27%。主要变动原因是2022年有新增项目。项目支出增加。</w:t>
      </w:r>
    </w:p>
    <w:p w14:paraId="230C0571">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二、收入决算情况说明</w:t>
      </w:r>
    </w:p>
    <w:p w14:paraId="00A9D481">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2022年本年收入合计601.03万元，其中：一般公共预算财政拨款收入601.03万元，占100.00%；政府性基金预算财政拨款收入0.00万元，占0.00%；国有资本经营预算财政拨款收入0.00万元，占0.00%；上级补助收入0.00万元，占0.00%；事业收入0.00万元，占0.00%%；经营收入0.00万元，占0.00%%；附属单位上缴收入0.00万元，占0.00%；其他收入0.00万元，占0.00%。 </w:t>
      </w:r>
    </w:p>
    <w:p w14:paraId="38C768C5">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三、支出决算情况说明</w:t>
      </w:r>
    </w:p>
    <w:p w14:paraId="77671B52">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2022年本年支出合计872.60万元，其中：基本支出314.02万元，占35.99%；项目支出558.58万元，占64.01%；上缴上级支出0.00万元，占0.00%；经营支出0.00万元，占经营支出0.00万元，占 0.00%；对附属单位补助支出0.00万元，占0.00%。 </w:t>
      </w:r>
    </w:p>
    <w:p w14:paraId="44AA30FD">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四、财政拨款收入支出决算总体情况说明</w:t>
      </w:r>
    </w:p>
    <w:p w14:paraId="68F93515">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2022年财政拨款收、支总计872.60万元。与2021年相比，财政拨款收、支总计各增加481.77万元，增长123.27%。主要变动原因是2022年有新增项目，项目支出增加。 </w:t>
      </w:r>
    </w:p>
    <w:p w14:paraId="3C936E5E">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五、一般公共预算财政拨款支出决算情况说明</w:t>
      </w:r>
    </w:p>
    <w:p w14:paraId="67F42B7C">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（一）一般公共预算财政拨款支出决算总体情况</w:t>
      </w:r>
    </w:p>
    <w:p w14:paraId="044A43D8">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2022年一般公共预算财政拨款支出872.60万元，占本年支出合计的100.00%。与2021年相比，一般公共预算财政拨款支出增加481.77万元，增长123.27%。主要变动原因是2022年有新增项目，项目支出增加。  </w:t>
      </w:r>
    </w:p>
    <w:p w14:paraId="5994A78F">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（二）一般公共预算财政拨款支出决算结构情况</w:t>
      </w:r>
    </w:p>
    <w:p w14:paraId="472A5787">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2022年一般公共预算财政拨款支出872.60万元，主要用于以下方面:一般公共服务（类）支出391.45万元，占44.86%；教育支出（类）0.00万元，占0.00%；科学技术（类）支出0.00万元，占0.00%；文化旅游体育与传媒（类）支出0.00万元，占0.00%；社会保障和就业（类）支出38.21万元，占4.38%；卫生健康支出13.05万元，占1.50%；住房保障支出16.73万元，占1.92%。 </w:t>
      </w:r>
    </w:p>
    <w:p w14:paraId="4881A787">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（三）一般公共预算财政拨款支出决算具体情况</w:t>
      </w:r>
    </w:p>
    <w:p w14:paraId="199B8777">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2022年一般公共预算支出决算数为872.60，完成预算100.00%。其中：</w:t>
      </w:r>
    </w:p>
    <w:p w14:paraId="3DFC4C4F">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1.一般公共服务201发展与改革事务04行政运行01: 支出决算为246.04万元，完成预算100%。</w:t>
      </w:r>
    </w:p>
    <w:p w14:paraId="481DD829">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2. 一般公共服务（201）发展与改革事务（04）一般行政管理事务（02）：支出决算为7万元，完成预算100%。</w:t>
      </w:r>
    </w:p>
    <w:p w14:paraId="5DE8A5C7">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3. 一般公共服务（201）发展与改革事务（04） 其他发展与改革事务支出（99）：支出决算为138.41万元，完成预算100%。</w:t>
      </w:r>
    </w:p>
    <w:p w14:paraId="51AD2B16">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4.社会保障和就业（208）行政事业单位离退休（05）机关事业单位基本养老保险缴费支出（05）: 支出决算为22.13万元，完成预算100%。.社会保障和就业（208）行政事业单位离退休（05） 机关事业单位职业年金缴费支出（06） 支出决算为16.08万元，完成预算100%。.</w:t>
      </w:r>
    </w:p>
    <w:p w14:paraId="30DD7396">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5.卫生健康支出（210）行政事业单位医疗（11）行政支出（01）:支出决算为9.4万元；卫生健康支出（210）行政事业单位医疗（11）公务员医疗补助（03）:支出决算为3.65万元。</w:t>
      </w:r>
    </w:p>
    <w:p w14:paraId="7F8BCB1D">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6.住房保障支出221住房改革支出02住房公积金01支出决算为16.73万元，完成预算100%。</w:t>
      </w:r>
    </w:p>
    <w:p w14:paraId="150EB656">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7.农林水支出（213）扶贫（05） 其他扶贫支出（99）:支出决算为413.17万元，完成预算100%。 </w:t>
      </w:r>
    </w:p>
    <w:p w14:paraId="1E5253E2">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六、一般公共预算财政拨款基本支出决算情况说明   </w:t>
      </w:r>
    </w:p>
    <w:p w14:paraId="4D6185AF">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2022年一般公共预算财政拨款基本支出314.02万元，其中：</w:t>
      </w:r>
    </w:p>
    <w:p w14:paraId="3FE93E24">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人员经费248.07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14:paraId="0F6F22AA">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　　公用经费65.95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 </w:t>
      </w:r>
    </w:p>
    <w:p w14:paraId="375F1285">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七、“三公”经费财政拨款支出决算情况说明</w:t>
      </w:r>
    </w:p>
    <w:p w14:paraId="32B8A937">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（一）“三公”经费财政拨款支出决算总体情况说明</w:t>
      </w:r>
    </w:p>
    <w:p w14:paraId="6E69E713">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2022年“三公”经费财政拨款支出决算为12.12万元，完成预算100.00%，</w:t>
      </w:r>
    </w:p>
    <w:p w14:paraId="3B748F9C">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（二）“三公”经费财政拨款支出决算具体情况说明</w:t>
      </w:r>
    </w:p>
    <w:p w14:paraId="00BF6DA0">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2022年“三公”经费财政拨款支出决算中，因公出国（境）费支出决算0.00万元，占0.00%；公务用车购置及运行维护费支出决算11.92万元，占98.35%；公务接待费支出决算0.21万元，占1.73%。具体情况如下：</w:t>
      </w:r>
    </w:p>
    <w:p w14:paraId="7B0E2B9B">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1.因公出国（境）经费支出0.00万元，完成预算0.00%。全年安排因公出国（境）团组0次，出国（境）0人。因公出国（境）支出决算比2021年增加0.00万元，增长0.00%。</w:t>
      </w:r>
    </w:p>
    <w:p w14:paraId="0E572DBC">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2.公务用车购置及运行维护费支出11.92万元,完成预算100.00%。公务用车购置及运行维护费支出决算比2021年增加-4.77万元，增长-28.58%。主要原因是厉行节约。</w:t>
      </w:r>
    </w:p>
    <w:p w14:paraId="7F6DB7CB">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其中：公务用车购置支出0.00万元。全年按规定更新购置公务用车0辆，其中：轿车0辆、金额0万元，越野车0辆、金额0万元，载客汽车0辆、金额0万元。截至2021年12月底，单位共有公务用车3辆，其中：轿2辆、越野车1辆、载客汽车0辆。</w:t>
      </w:r>
    </w:p>
    <w:p w14:paraId="328DF326">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公务用车运行维护费支出11.92万元。主要用于发改局日常工作出差、检查项目等所需的公务用车燃料费、维修费、过路过桥费、保险费等支出。</w:t>
      </w:r>
    </w:p>
    <w:p w14:paraId="62585597">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3.公务接待费支出0.21万元，完成预算100%。公务接待费支出决算比2021年增加-0.51万元，增长-71.45%。主要原因是厉行节约，接待减少。其中：</w:t>
      </w:r>
    </w:p>
    <w:p w14:paraId="6CD3CD64">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国内公务接待支出0.21万元，主要用于发改局接待开支的交通费、住宿费、用餐费等。国内公务接待4批次，36人次（不包括陪同人员），共计支出0.21万元。</w:t>
      </w:r>
    </w:p>
    <w:p w14:paraId="08D1AD14">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外事接待支出0.00万元，外事接待0批次，0人，共计支出0.00万元。 </w:t>
      </w:r>
    </w:p>
    <w:p w14:paraId="3BB87A0B">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八、政府性基金预算支出决算情况说明</w:t>
      </w:r>
    </w:p>
    <w:p w14:paraId="0FD9D5EB">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2022年政府性基金预算财政拨款支出0.00万元。</w:t>
      </w:r>
    </w:p>
    <w:p w14:paraId="1458E6D5">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 九、国有资本经营预算支出决算情况说明</w:t>
      </w:r>
    </w:p>
    <w:p w14:paraId="260440C1">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2022年国有资本经营预算财政拨款支出0.00万元。</w:t>
      </w:r>
    </w:p>
    <w:p w14:paraId="7810E65A">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十、其他重要事项的情况说明</w:t>
      </w:r>
    </w:p>
    <w:p w14:paraId="09D9ABF6">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（一）机关运行经费支出情况</w:t>
      </w:r>
    </w:p>
    <w:p w14:paraId="5E378D58">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2022年，四川省阿坝州九寨沟县发展和改革局（本级）机关运行经费支出65.95万元，比2021年增加8.96万元，增长15.71%。主要原因是日常工作经费增加。</w:t>
      </w:r>
    </w:p>
    <w:p w14:paraId="6EBF83CB">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（二）政府采购支出情况</w:t>
      </w:r>
    </w:p>
    <w:p w14:paraId="68E8C75B">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2022年，四川省阿坝州九寨沟县发展和改革局（本级）政府采购支出总额0.00万元，其中：政府采购货物支出0.00万元、政府采购工程支出0.00万元、政府采购服务支出0.00万元。授予中小企业合同金额0.00万元，占政府采购支出总额的0.00%，其中：授予小微企业合同金额0.00万元，占政府采购支出总额的0.00%。</w:t>
      </w:r>
    </w:p>
    <w:p w14:paraId="0DBA3857">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（三）国有资产占有使用情况</w:t>
      </w:r>
    </w:p>
    <w:p w14:paraId="3487D6F5">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截至2022年12月31日，四川省阿坝州九寨沟县发展和改革局（本级）共有车辆3辆，其中：主要领导干部用车0辆、机要通信用车0辆、应急保障用车0辆、其他用车3辆，其他用车主要是用于主要用于发改局日常工作出差、检查项目等所需，单价100万元（含）以上设备（不含车辆）0台（套）。</w:t>
      </w:r>
    </w:p>
    <w:p w14:paraId="024D60F8">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（四）预算绩效管理情况</w:t>
      </w:r>
    </w:p>
    <w:p w14:paraId="48DB0791">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根据预算绩效管理要求，本部门在2022年度预算编制阶段，组织对</w:t>
      </w:r>
      <w:r>
        <w:rPr>
          <w:rFonts w:hint="eastAsia" w:ascii="仿宋_GB2312" w:eastAsia="仿宋_GB2312"/>
          <w:color w:val="auto"/>
          <w:kern w:val="2"/>
          <w:sz w:val="32"/>
          <w:szCs w:val="32"/>
        </w:rPr>
        <w:t>保华乡2022年中央财政衔接资金以工代赈</w:t>
      </w:r>
      <w:r>
        <w:rPr>
          <w:rStyle w:val="15"/>
          <w:rFonts w:hint="eastAsia" w:ascii="仿宋" w:hAnsi="仿宋" w:eastAsia="仿宋" w:cs="Times New Roman"/>
          <w:b w:val="0"/>
          <w:color w:val="000000"/>
          <w:sz w:val="32"/>
          <w:szCs w:val="32"/>
          <w:lang w:val="en-US" w:eastAsia="zh-CN" w:bidi="ar-SA"/>
        </w:rPr>
        <w:t>项目、重大项目开工等9个项目开展了预算事前绩效评估，对9个项目编制了绩效目标，预算执行过程中，选取1个项目开展绩效监控，组织对1个项目开展绩效自评，绩效自评表详见第四部分附件。</w:t>
      </w:r>
    </w:p>
    <w:p w14:paraId="01E800E9">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第三部分 名词解释</w:t>
      </w:r>
    </w:p>
    <w:p w14:paraId="089DFBC3">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1.财政拨款收入：指单位从同级财政部门取得的财政预算资金。</w:t>
      </w:r>
    </w:p>
    <w:p w14:paraId="0402666C">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2.事业收入：指事业单位开展专业业务活动及辅助活动取得的收入。</w:t>
      </w:r>
    </w:p>
    <w:p w14:paraId="1FF88E30">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3.经营收入：指事业单位在专业业务活动及其辅助活动之外开展非独立核算经营活动取得的收入。</w:t>
      </w:r>
    </w:p>
    <w:p w14:paraId="1F466633">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default"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 xml:space="preserve">4.其他收入：指单位取得的除上述收入以外的各项收入。                                 </w:t>
      </w:r>
    </w:p>
    <w:p w14:paraId="33467C0C">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5.使用非财政拨款结余：指事业单位使用以前年度积累的非财政拨款结余弥补当年收支差额的金额。</w:t>
      </w:r>
    </w:p>
    <w:p w14:paraId="4F78365C">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6.年初结转和结余：指以前年度尚未完成、结转到本年按有关规定继续使用的资金。</w:t>
      </w:r>
    </w:p>
    <w:p w14:paraId="5723893F">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7.结余分配：指事业单位按照会计制度规定缴纳的所得税、提取的专用结余以及转入非财政拨款结余的金额等。</w:t>
      </w:r>
    </w:p>
    <w:p w14:paraId="713E654E">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8、年末结转和结余：指单位按有关规定结转到下年或以后年度继续使用的资金。</w:t>
      </w:r>
    </w:p>
    <w:p w14:paraId="505D2F91">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Fonts w:eastAsia="仿宋_GB2312"/>
          <w:sz w:val="32"/>
          <w:szCs w:val="32"/>
        </w:rPr>
      </w:pPr>
      <w:r>
        <w:rPr>
          <w:rStyle w:val="15"/>
          <w:rFonts w:hint="eastAsia" w:ascii="仿宋" w:hAnsi="仿宋" w:eastAsia="仿宋" w:cs="Times New Roman"/>
          <w:b w:val="0"/>
          <w:color w:val="000000"/>
          <w:sz w:val="32"/>
          <w:szCs w:val="32"/>
          <w:lang w:val="en-US" w:eastAsia="zh-CN" w:bidi="ar-SA"/>
        </w:rPr>
        <w:t>9.</w:t>
      </w:r>
      <w:r>
        <w:rPr>
          <w:rFonts w:eastAsia="仿宋_GB2312"/>
          <w:sz w:val="32"/>
          <w:szCs w:val="32"/>
        </w:rPr>
        <w:t>一般公共服务（</w:t>
      </w:r>
      <w:r>
        <w:rPr>
          <w:rFonts w:hint="eastAsia" w:eastAsia="仿宋_GB2312"/>
          <w:sz w:val="32"/>
          <w:szCs w:val="32"/>
        </w:rPr>
        <w:t>201</w:t>
      </w:r>
      <w:r>
        <w:rPr>
          <w:rFonts w:eastAsia="仿宋_GB2312"/>
          <w:sz w:val="32"/>
          <w:szCs w:val="32"/>
        </w:rPr>
        <w:t>）行政机关（</w:t>
      </w:r>
      <w:r>
        <w:rPr>
          <w:rFonts w:hint="eastAsia" w:eastAsia="仿宋_GB2312"/>
          <w:sz w:val="32"/>
          <w:szCs w:val="32"/>
        </w:rPr>
        <w:t>0</w:t>
      </w:r>
      <w:r>
        <w:rPr>
          <w:rFonts w:hint="eastAsia" w:eastAsia="仿宋_GB2312"/>
          <w:sz w:val="32"/>
          <w:szCs w:val="32"/>
          <w:lang w:val="en-US" w:eastAsia="zh-CN"/>
        </w:rPr>
        <w:t>4</w:t>
      </w:r>
      <w:r>
        <w:rPr>
          <w:rFonts w:eastAsia="仿宋_GB2312"/>
          <w:sz w:val="32"/>
          <w:szCs w:val="32"/>
        </w:rPr>
        <w:t>）行政运行（</w:t>
      </w:r>
      <w:r>
        <w:rPr>
          <w:rFonts w:hint="eastAsia" w:eastAsia="仿宋_GB2312"/>
          <w:sz w:val="32"/>
          <w:szCs w:val="32"/>
        </w:rPr>
        <w:t>01</w:t>
      </w:r>
      <w:r>
        <w:rPr>
          <w:rFonts w:eastAsia="仿宋_GB2312"/>
          <w:sz w:val="32"/>
          <w:szCs w:val="32"/>
        </w:rPr>
        <w:t>）：指乡机关用于保障机构正常运行、开展日常工作的基本支出。</w:t>
      </w:r>
    </w:p>
    <w:p w14:paraId="3602BB35">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10.</w:t>
      </w:r>
      <w:r>
        <w:rPr>
          <w:rFonts w:hint="eastAsia" w:ascii="仿宋_GB2312" w:eastAsia="仿宋_GB2312"/>
          <w:color w:val="000000"/>
          <w:sz w:val="32"/>
          <w:szCs w:val="32"/>
        </w:rPr>
        <w:t>社会保障和就业（</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行政事业单位离退休</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机关事业单位基本养老保险缴费支出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部门实施养老保险制度由单位缴纳的养老保险支出</w:t>
      </w:r>
      <w:r>
        <w:rPr>
          <w:rStyle w:val="15"/>
          <w:rFonts w:hint="eastAsia" w:ascii="仿宋" w:hAnsi="仿宋" w:eastAsia="仿宋" w:cs="Times New Roman"/>
          <w:b w:val="0"/>
          <w:color w:val="000000"/>
          <w:sz w:val="32"/>
          <w:szCs w:val="32"/>
          <w:lang w:val="en-US" w:eastAsia="zh-CN" w:bidi="ar-SA"/>
        </w:rPr>
        <w:t>。机关事业单位职业年金缴费支出（06）</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部门实施养老保险制度由单位缴纳的职业年金支出。</w:t>
      </w:r>
    </w:p>
    <w:p w14:paraId="42D8ED1E">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olor w:val="000000"/>
          <w:sz w:val="32"/>
          <w:szCs w:val="32"/>
        </w:rPr>
        <w:t>医疗卫生与计划生育（210）行政事业单位医疗（11）行政单位医疗（01）：指反映财政部门集中安排的行政单位的基本医疗保险缴费经费，未参加医疗保险的行政单位的公费医疗经费，按国家规定享受离休人员、红军老战士待遇的医疗经费。</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公务员医疗补助</w:t>
      </w:r>
      <w:r>
        <w:rPr>
          <w:rFonts w:hint="eastAsia" w:ascii="仿宋_GB2312" w:eastAsia="仿宋_GB2312"/>
          <w:color w:val="000000"/>
          <w:sz w:val="32"/>
          <w:szCs w:val="32"/>
          <w:lang w:eastAsia="zh-CN"/>
        </w:rPr>
        <w:t>：指国家公务员在参加城镇职工基本医疗保险制度的基础上国家对公务员实行的医疗补助</w:t>
      </w:r>
      <w:r>
        <w:rPr>
          <w:rFonts w:hint="eastAsia" w:ascii="仿宋_GB2312" w:eastAsia="仿宋_GB2312"/>
          <w:color w:val="000000"/>
          <w:sz w:val="32"/>
          <w:szCs w:val="32"/>
        </w:rPr>
        <w:t>。</w:t>
      </w:r>
    </w:p>
    <w:p w14:paraId="7F24BD7C">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olor w:val="000000"/>
          <w:sz w:val="32"/>
          <w:szCs w:val="32"/>
          <w:lang w:eastAsia="zh-CN"/>
        </w:rPr>
        <w:t>住房保障支出（221）住房改革支出（02）住房公积金（01）：指按照《住房公积金管理条例》的规定，由单位及其在职职工缴存的长期住房储金</w:t>
      </w:r>
      <w:r>
        <w:rPr>
          <w:rFonts w:hint="eastAsia" w:ascii="仿宋_GB2312" w:eastAsia="仿宋_GB2312"/>
          <w:color w:val="000000"/>
          <w:sz w:val="32"/>
          <w:szCs w:val="32"/>
        </w:rPr>
        <w:t>。</w:t>
      </w:r>
    </w:p>
    <w:p w14:paraId="2E0F9C04">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13.农林水支出（213）巩固脱贫衔接乡村振兴（05）其他巩固脱贫衔接乡村振兴支出（99）：指以工代赈等项目支出。</w:t>
      </w:r>
    </w:p>
    <w:p w14:paraId="665256D3">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14.基本支出：指为保障机构正常运转、完成日常工作任务而发生的人员支出和公用支出。</w:t>
      </w:r>
    </w:p>
    <w:p w14:paraId="74D222D8">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15.项目支出：指在基本支出之外为完成特定行政任务和事业发展目标所发生的支出。</w:t>
      </w:r>
    </w:p>
    <w:p w14:paraId="40A4DD31">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16.经营支出：指事业单位在专业业务活动及其辅助活动之外开展非独立核算经营活动发生的支出。</w:t>
      </w:r>
    </w:p>
    <w:p w14:paraId="3E0A4EF1">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17.“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14070F1">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pPr>
      <w:r>
        <w:rPr>
          <w:rStyle w:val="15"/>
          <w:rFonts w:hint="eastAsia" w:ascii="仿宋" w:hAnsi="仿宋" w:eastAsia="仿宋" w:cs="Times New Roman"/>
          <w:b w:val="0"/>
          <w:color w:val="000000"/>
          <w:sz w:val="32"/>
          <w:szCs w:val="32"/>
          <w:lang w:val="en-US" w:eastAsia="zh-CN" w:bidi="ar-SA"/>
        </w:rPr>
        <w:t>18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t> </w:t>
      </w:r>
    </w:p>
    <w:p w14:paraId="29D55A03">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640" w:firstLineChars="200"/>
        <w:textAlignment w:val="auto"/>
        <w:rPr>
          <w:rStyle w:val="15"/>
          <w:rFonts w:hint="eastAsia" w:ascii="仿宋" w:hAnsi="仿宋" w:eastAsia="仿宋" w:cs="Times New Roman"/>
          <w:b w:val="0"/>
          <w:color w:val="000000"/>
          <w:sz w:val="32"/>
          <w:szCs w:val="32"/>
          <w:lang w:val="en-US" w:eastAsia="zh-CN" w:bidi="ar-SA"/>
        </w:rPr>
      </w:pPr>
      <w:r>
        <w:rPr>
          <w:rStyle w:val="15"/>
          <w:rFonts w:hint="eastAsia" w:ascii="仿宋" w:hAnsi="仿宋" w:eastAsia="仿宋" w:cs="Times New Roman"/>
          <w:b w:val="0"/>
          <w:color w:val="000000"/>
          <w:sz w:val="32"/>
          <w:szCs w:val="32"/>
          <w:lang w:val="en-US" w:eastAsia="zh-CN" w:bidi="ar-SA"/>
        </w:rPr>
        <w:t>第四部分 附件</w:t>
      </w:r>
    </w:p>
    <w:p w14:paraId="7353D970">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textAlignment w:val="auto"/>
      </w:pPr>
      <w:r>
        <w:t> </w:t>
      </w:r>
    </w:p>
    <w:p w14:paraId="65CA1C96">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textAlignment w:val="auto"/>
      </w:pPr>
    </w:p>
    <w:p w14:paraId="27C6D374">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textAlignment w:val="auto"/>
      </w:pPr>
    </w:p>
    <w:p w14:paraId="67B855C5">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textAlignment w:val="auto"/>
      </w:pPr>
    </w:p>
    <w:p w14:paraId="1849F679">
      <w:pPr>
        <w:pStyle w:val="12"/>
        <w:keepNext w:val="0"/>
        <w:keepLines w:val="0"/>
        <w:pageBreakBefore w:val="0"/>
        <w:shd w:val="clear" w:color="auto" w:fill="FFFFFF"/>
        <w:kinsoku/>
        <w:wordWrap/>
        <w:overflowPunct/>
        <w:topLinePunct w:val="0"/>
        <w:autoSpaceDE/>
        <w:autoSpaceDN/>
        <w:bidi w:val="0"/>
        <w:spacing w:before="0" w:beforeAutospacing="0" w:after="0" w:afterAutospacing="0" w:line="440" w:lineRule="exact"/>
        <w:textAlignment w:val="auto"/>
        <w:rPr>
          <w:rFonts w:hint="eastAsia"/>
        </w:rPr>
      </w:pPr>
    </w:p>
    <w:p w14:paraId="72672689">
      <w:pPr>
        <w:keepNext w:val="0"/>
        <w:keepLines w:val="0"/>
        <w:pageBreakBefore w:val="0"/>
        <w:widowControl/>
        <w:kinsoku/>
        <w:wordWrap/>
        <w:overflowPunct/>
        <w:topLinePunct w:val="0"/>
        <w:autoSpaceDE/>
        <w:autoSpaceDN/>
        <w:bidi w:val="0"/>
        <w:spacing w:beforeAutospacing="0" w:afterAutospacing="0" w:line="440" w:lineRule="exact"/>
        <w:contextualSpacing/>
        <w:jc w:val="center"/>
        <w:textAlignment w:val="auto"/>
        <w:rPr>
          <w:rFonts w:hint="eastAsia" w:ascii="宋体" w:eastAsia="宋体"/>
          <w:b/>
          <w:sz w:val="44"/>
          <w:szCs w:val="44"/>
          <w:shd w:val="clear" w:color="auto" w:fill="FFFFFF"/>
        </w:rPr>
      </w:pPr>
      <w:r>
        <w:rPr>
          <w:rFonts w:hint="eastAsia" w:ascii="宋体" w:eastAsia="宋体"/>
          <w:b/>
          <w:sz w:val="44"/>
          <w:szCs w:val="44"/>
          <w:shd w:val="clear" w:color="auto" w:fill="FFFFFF"/>
        </w:rPr>
        <w:t>20</w:t>
      </w:r>
      <w:r>
        <w:rPr>
          <w:rFonts w:hint="eastAsia" w:ascii="宋体" w:eastAsia="宋体"/>
          <w:b/>
          <w:sz w:val="44"/>
          <w:szCs w:val="44"/>
          <w:shd w:val="clear" w:color="auto" w:fill="FFFFFF"/>
          <w:lang w:val="en-US" w:eastAsia="zh-CN"/>
        </w:rPr>
        <w:t>2</w:t>
      </w:r>
      <w:r>
        <w:rPr>
          <w:rFonts w:ascii="宋体" w:eastAsia="宋体"/>
          <w:b/>
          <w:sz w:val="44"/>
          <w:szCs w:val="44"/>
          <w:shd w:val="clear" w:color="auto" w:fill="FFFFFF"/>
          <w:lang w:val="en-US" w:eastAsia="zh-CN"/>
        </w:rPr>
        <w:t>3</w:t>
      </w:r>
      <w:r>
        <w:rPr>
          <w:rFonts w:hint="eastAsia" w:ascii="宋体" w:eastAsia="宋体"/>
          <w:b/>
          <w:sz w:val="44"/>
          <w:szCs w:val="44"/>
          <w:shd w:val="clear" w:color="auto" w:fill="FFFFFF"/>
        </w:rPr>
        <w:t>年</w:t>
      </w:r>
      <w:r>
        <w:rPr>
          <w:rFonts w:hint="eastAsia" w:ascii="宋体" w:eastAsia="宋体"/>
          <w:b/>
          <w:sz w:val="44"/>
          <w:szCs w:val="44"/>
          <w:shd w:val="clear" w:color="auto" w:fill="FFFFFF"/>
          <w:lang w:val="en-US" w:eastAsia="zh-CN"/>
        </w:rPr>
        <w:t>县</w:t>
      </w:r>
      <w:r>
        <w:rPr>
          <w:rFonts w:hint="eastAsia" w:ascii="宋体" w:eastAsia="宋体"/>
          <w:b/>
          <w:sz w:val="44"/>
          <w:szCs w:val="44"/>
          <w:shd w:val="clear" w:color="auto" w:fill="FFFFFF"/>
        </w:rPr>
        <w:t>级部门整体支出</w:t>
      </w:r>
    </w:p>
    <w:p w14:paraId="00D18ADB">
      <w:pPr>
        <w:keepNext w:val="0"/>
        <w:keepLines w:val="0"/>
        <w:pageBreakBefore w:val="0"/>
        <w:widowControl/>
        <w:kinsoku/>
        <w:wordWrap/>
        <w:overflowPunct/>
        <w:topLinePunct w:val="0"/>
        <w:autoSpaceDE/>
        <w:autoSpaceDN/>
        <w:bidi w:val="0"/>
        <w:spacing w:beforeAutospacing="0" w:afterAutospacing="0" w:line="440" w:lineRule="exact"/>
        <w:contextualSpacing/>
        <w:jc w:val="center"/>
        <w:textAlignment w:val="auto"/>
        <w:rPr>
          <w:rFonts w:ascii="宋体" w:eastAsia="宋体"/>
          <w:b/>
          <w:sz w:val="44"/>
          <w:szCs w:val="44"/>
          <w:shd w:val="clear" w:color="auto" w:fill="FFFFFF"/>
        </w:rPr>
      </w:pPr>
      <w:r>
        <w:rPr>
          <w:rFonts w:hint="eastAsia" w:ascii="宋体" w:eastAsia="宋体"/>
          <w:b/>
          <w:sz w:val="44"/>
          <w:szCs w:val="44"/>
          <w:shd w:val="clear" w:color="auto" w:fill="FFFFFF"/>
        </w:rPr>
        <w:t>绩效评价报告范本</w:t>
      </w:r>
    </w:p>
    <w:p w14:paraId="7379B413">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firstLine="480" w:firstLineChars="200"/>
        <w:contextualSpacing/>
        <w:jc w:val="left"/>
        <w:textAlignment w:val="auto"/>
        <w:rPr>
          <w:rFonts w:ascii="黑体" w:eastAsia="黑体" w:cs="宋体"/>
          <w:color w:val="000000"/>
          <w:kern w:val="0"/>
          <w:sz w:val="24"/>
          <w:szCs w:val="32"/>
          <w:shd w:val="clear" w:color="auto" w:fill="FFFFFF"/>
        </w:rPr>
      </w:pPr>
    </w:p>
    <w:p w14:paraId="0D6E9E8A">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firstLine="640" w:firstLineChars="200"/>
        <w:contextualSpacing/>
        <w:jc w:val="left"/>
        <w:textAlignment w:val="auto"/>
        <w:rPr>
          <w:rFonts w:hint="eastAsia" w:ascii="仿宋" w:hAnsi="仿宋" w:eastAsia="仿宋" w:cs="仿宋"/>
          <w:sz w:val="32"/>
          <w:szCs w:val="22"/>
          <w:lang w:val="zh-CN" w:eastAsia="zh-CN" w:bidi="ar-SA"/>
        </w:rPr>
      </w:pPr>
      <w:r>
        <w:rPr>
          <w:rFonts w:hint="eastAsia" w:ascii="仿宋" w:hAnsi="仿宋" w:eastAsia="仿宋" w:cs="仿宋"/>
          <w:sz w:val="32"/>
          <w:szCs w:val="22"/>
          <w:lang w:val="en-US" w:eastAsia="zh-CN" w:bidi="ar-SA"/>
        </w:rPr>
        <w:t>一、</w:t>
      </w:r>
      <w:r>
        <w:rPr>
          <w:rFonts w:hint="eastAsia" w:ascii="仿宋" w:hAnsi="仿宋" w:eastAsia="仿宋" w:cs="仿宋"/>
          <w:sz w:val="32"/>
          <w:szCs w:val="22"/>
          <w:lang w:val="zh-CN" w:eastAsia="zh-CN" w:bidi="ar-SA"/>
        </w:rPr>
        <w:t>部门（单位）概况</w:t>
      </w:r>
    </w:p>
    <w:p w14:paraId="19591768">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firstLine="640" w:firstLineChars="200"/>
        <w:contextualSpacing/>
        <w:jc w:val="left"/>
        <w:textAlignment w:val="auto"/>
        <w:rPr>
          <w:rFonts w:hint="eastAsia" w:ascii="仿宋" w:hAnsi="仿宋" w:eastAsia="仿宋" w:cs="仿宋"/>
          <w:sz w:val="32"/>
          <w:szCs w:val="22"/>
          <w:lang w:val="zh-CN" w:eastAsia="zh-CN" w:bidi="ar-SA"/>
        </w:rPr>
      </w:pPr>
      <w:r>
        <w:rPr>
          <w:rFonts w:hint="eastAsia" w:ascii="仿宋" w:hAnsi="仿宋" w:eastAsia="仿宋" w:cs="仿宋"/>
          <w:sz w:val="32"/>
          <w:szCs w:val="22"/>
          <w:lang w:val="zh-CN" w:eastAsia="zh-CN" w:bidi="ar-SA"/>
        </w:rPr>
        <w:t>（一）机构组成。</w:t>
      </w:r>
    </w:p>
    <w:p w14:paraId="45F7694B">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firstLine="640" w:firstLineChars="200"/>
        <w:contextualSpacing/>
        <w:jc w:val="left"/>
        <w:textAlignment w:val="auto"/>
        <w:rPr>
          <w:rFonts w:hint="default" w:ascii="仿宋" w:hAnsi="仿宋" w:eastAsia="仿宋" w:cs="仿宋"/>
          <w:sz w:val="32"/>
          <w:szCs w:val="22"/>
          <w:lang w:val="en-US" w:eastAsia="zh-CN" w:bidi="ar-SA"/>
        </w:rPr>
      </w:pPr>
      <w:r>
        <w:rPr>
          <w:rFonts w:hint="eastAsia" w:ascii="仿宋" w:hAnsi="仿宋" w:eastAsia="仿宋" w:cs="仿宋"/>
          <w:sz w:val="32"/>
          <w:szCs w:val="22"/>
          <w:lang w:val="en-US" w:eastAsia="zh-CN" w:bidi="ar-SA"/>
        </w:rPr>
        <w:t>我单位5个内设机构：1、办公室2、国民经济综合计划股3、投资股4、项目管理协调股5、以工代赈办。</w:t>
      </w:r>
    </w:p>
    <w:p w14:paraId="707EA8DE">
      <w:pPr>
        <w:keepNext w:val="0"/>
        <w:keepLines w:val="0"/>
        <w:pageBreakBefore w:val="0"/>
        <w:widowControl/>
        <w:numPr>
          <w:ilvl w:val="0"/>
          <w:numId w:val="2"/>
        </w:numPr>
        <w:kinsoku/>
        <w:wordWrap/>
        <w:overflowPunct/>
        <w:topLinePunct w:val="0"/>
        <w:autoSpaceDE/>
        <w:autoSpaceDN/>
        <w:bidi w:val="0"/>
        <w:adjustRightInd w:val="0"/>
        <w:snapToGrid w:val="0"/>
        <w:spacing w:beforeAutospacing="0" w:afterAutospacing="0" w:line="440" w:lineRule="exact"/>
        <w:ind w:firstLine="640" w:firstLineChars="200"/>
        <w:contextualSpacing/>
        <w:jc w:val="left"/>
        <w:textAlignment w:val="auto"/>
        <w:rPr>
          <w:rFonts w:hint="eastAsia" w:ascii="仿宋" w:hAnsi="仿宋" w:eastAsia="仿宋" w:cs="仿宋"/>
          <w:sz w:val="32"/>
          <w:szCs w:val="22"/>
          <w:lang w:val="zh-CN" w:eastAsia="zh-CN" w:bidi="ar-SA"/>
        </w:rPr>
      </w:pPr>
      <w:r>
        <w:rPr>
          <w:rFonts w:hint="eastAsia" w:ascii="仿宋" w:hAnsi="仿宋" w:eastAsia="仿宋" w:cs="仿宋"/>
          <w:sz w:val="32"/>
          <w:szCs w:val="22"/>
          <w:lang w:val="zh-CN" w:eastAsia="zh-CN" w:bidi="ar-SA"/>
        </w:rPr>
        <w:t>机构职能。</w:t>
      </w:r>
    </w:p>
    <w:p w14:paraId="351DA24F">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hint="eastAsia" w:ascii="仿宋" w:hAnsi="仿宋" w:eastAsia="仿宋" w:cs="仿宋"/>
          <w:sz w:val="32"/>
          <w:szCs w:val="22"/>
          <w:lang w:val="en-US" w:eastAsia="zh-CN" w:bidi="ar-SA"/>
        </w:rPr>
      </w:pPr>
      <w:r>
        <w:rPr>
          <w:rFonts w:hint="eastAsia" w:ascii="仿宋" w:hAnsi="仿宋" w:eastAsia="仿宋" w:cs="仿宋"/>
          <w:sz w:val="32"/>
          <w:szCs w:val="22"/>
          <w:lang w:val="en-US" w:eastAsia="zh-CN" w:bidi="ar-SA"/>
        </w:rPr>
        <w:t>1.贯彻执行国家国民经济和社会发展的战略、方针和政策，研究提出相应的政策措施；拟订并组织实施全县经济和社会发展战略、中长期规划和年度计划；研究拟定全县人口发展战略规划和人口政策；研究提出全县经济发展的总量平衡、</w:t>
      </w:r>
      <w:r>
        <w:rPr>
          <w:rFonts w:hint="eastAsia" w:ascii="仿宋" w:hAnsi="仿宋" w:eastAsia="仿宋" w:cs="仿宋"/>
          <w:sz w:val="32"/>
          <w:szCs w:val="22"/>
          <w:lang w:val="en-US" w:eastAsia="zh-CN" w:bidi="ar-SA"/>
        </w:rPr>
        <w:tab/>
      </w:r>
      <w:r>
        <w:rPr>
          <w:rFonts w:hint="eastAsia" w:ascii="仿宋" w:hAnsi="仿宋" w:eastAsia="仿宋" w:cs="仿宋"/>
          <w:sz w:val="32"/>
          <w:szCs w:val="22"/>
          <w:lang w:val="en-US" w:eastAsia="zh-CN" w:bidi="ar-SA"/>
        </w:rPr>
        <w:t>发展速度和结构调整的目标、政策；提出运用各种经济手段和政策的建议；受县政府委托向县人大作全县经济和社会发展计划的报告。</w:t>
      </w:r>
    </w:p>
    <w:p w14:paraId="2B343848">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hint="eastAsia" w:ascii="仿宋" w:hAnsi="仿宋" w:eastAsia="仿宋" w:cs="仿宋"/>
          <w:sz w:val="32"/>
          <w:szCs w:val="22"/>
          <w:lang w:val="en-US" w:eastAsia="zh-CN" w:bidi="ar-SA"/>
        </w:rPr>
      </w:pPr>
      <w:r>
        <w:rPr>
          <w:rFonts w:hint="eastAsia" w:ascii="仿宋" w:hAnsi="仿宋" w:eastAsia="仿宋" w:cs="仿宋"/>
          <w:sz w:val="32"/>
          <w:szCs w:val="22"/>
          <w:lang w:val="en-US" w:eastAsia="zh-CN" w:bidi="ar-SA"/>
        </w:rPr>
        <w:t>2.编制我县实施西部大开发战略的规划，提出有关政策建议，组织协调全县实施西部大开发战略的有关重大问题。</w:t>
      </w:r>
    </w:p>
    <w:p w14:paraId="1EA977B8">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hint="eastAsia" w:ascii="仿宋" w:hAnsi="仿宋" w:eastAsia="仿宋" w:cs="仿宋"/>
          <w:sz w:val="32"/>
          <w:szCs w:val="22"/>
          <w:lang w:val="en-US" w:eastAsia="zh-CN" w:bidi="ar-SA"/>
        </w:rPr>
      </w:pPr>
      <w:r>
        <w:rPr>
          <w:rFonts w:hint="eastAsia" w:ascii="仿宋" w:hAnsi="仿宋" w:eastAsia="仿宋" w:cs="仿宋"/>
          <w:sz w:val="32"/>
          <w:szCs w:val="22"/>
          <w:lang w:val="en-US" w:eastAsia="zh-CN" w:bidi="ar-SA"/>
        </w:rPr>
        <w:t>3.研究分析县内外经济形势和发展情况，进行宏观经济的预测、预警；组织对全县经济社会发展中的重大问题和热点、难点问题的调查研究，提出宏观调控政策建议，综合协调经济社会发展。</w:t>
      </w:r>
    </w:p>
    <w:p w14:paraId="59F7595B">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hint="eastAsia" w:ascii="仿宋" w:hAnsi="仿宋" w:eastAsia="仿宋" w:cs="仿宋"/>
          <w:sz w:val="32"/>
          <w:szCs w:val="22"/>
          <w:lang w:val="en-US" w:eastAsia="zh-CN" w:bidi="ar-SA"/>
        </w:rPr>
      </w:pPr>
      <w:r>
        <w:rPr>
          <w:rFonts w:hint="eastAsia" w:ascii="仿宋" w:hAnsi="仿宋" w:eastAsia="仿宋" w:cs="仿宋"/>
          <w:sz w:val="32"/>
          <w:szCs w:val="22"/>
          <w:lang w:val="en-US" w:eastAsia="zh-CN" w:bidi="ar-SA"/>
        </w:rPr>
        <w:t>4.负责汇总和分析全县财政、金融等方面的情况；提出直接融资的发展战略和政策建议；综合协调财政、金融、价格等经济杠杆以及县上直接掌握的经济手段的使用，并通过法规和政策协调、信息指导，保证规划的实施。</w:t>
      </w:r>
    </w:p>
    <w:p w14:paraId="6339295A">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hint="eastAsia" w:ascii="仿宋" w:hAnsi="仿宋" w:eastAsia="仿宋" w:cs="仿宋"/>
          <w:sz w:val="32"/>
          <w:szCs w:val="22"/>
          <w:lang w:val="en-US" w:eastAsia="zh-CN" w:bidi="ar-SA"/>
        </w:rPr>
      </w:pPr>
      <w:r>
        <w:rPr>
          <w:rFonts w:hint="eastAsia" w:ascii="仿宋" w:hAnsi="仿宋" w:eastAsia="仿宋" w:cs="仿宋"/>
          <w:sz w:val="32"/>
          <w:szCs w:val="22"/>
          <w:lang w:val="en-US" w:eastAsia="zh-CN" w:bidi="ar-SA"/>
        </w:rPr>
        <w:t>5.研究全县经济体制改革和对外开放的综合性、全局性问题及对策，提出完善社会主义市场经济体制和以改革开放促进发展的建议，协调发展与改革中的重大问题；组织拟订综合性经济体制改革方案，协调有关专项经济体制改革方案；指导和推进总体经济体制改革以及城市、乡镇综合配套改革与体制创新，组织、指导和协调综合配套改革试点和重大专项经济体制改革试点。</w:t>
      </w:r>
    </w:p>
    <w:p w14:paraId="27A6787E">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hint="eastAsia" w:ascii="仿宋" w:hAnsi="仿宋" w:eastAsia="仿宋" w:cs="仿宋"/>
          <w:sz w:val="32"/>
          <w:szCs w:val="22"/>
          <w:lang w:val="en-US" w:eastAsia="zh-CN" w:bidi="ar-SA"/>
        </w:rPr>
      </w:pPr>
      <w:r>
        <w:rPr>
          <w:rFonts w:hint="eastAsia" w:ascii="仿宋" w:hAnsi="仿宋" w:eastAsia="仿宋" w:cs="仿宋"/>
          <w:sz w:val="32"/>
          <w:szCs w:val="22"/>
          <w:lang w:val="en-US" w:eastAsia="zh-CN" w:bidi="ar-SA"/>
        </w:rPr>
        <w:t>6.提出全县社会固定资产投资总规模、投资结构，编制年度投资计划；研究提出有关重大投资政策，规划重大项目和生产力布局；安排财政性建设资金，指导和监督政策性贷款的使用方向；申报限额以上和审批权限以内的基本建设项目；按照基本建设程序，负责全县基本建设项目立项、可行性研究报告和国家出资的工业(含内贸)、农业、水利、交通、信息产业等行业和产业项目的初步设计审查、开工报告审批工作；引导民间资金用于固定资产投资的方向；研究提出全县利用外资的发展战略、总量平衡和结构优化的目标和政策措施；负责全口径外债的总量控制、结构优化和监控工作；提出拟订全县工商领域外的外商投资产业指导目录的意见；审批权限以内国外贷款、外商投资和境外投资项目；申报和审核利用外资、境外投资的重大项目；负责编制全县重点建设项目和年度投资计划；负责组织和管理重大建设项目稽察特派员工作。</w:t>
      </w:r>
    </w:p>
    <w:p w14:paraId="36442504">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hint="eastAsia" w:ascii="仿宋" w:hAnsi="仿宋" w:eastAsia="仿宋" w:cs="仿宋"/>
          <w:sz w:val="32"/>
          <w:szCs w:val="22"/>
          <w:lang w:val="en-US" w:eastAsia="zh-CN" w:bidi="ar-SA"/>
        </w:rPr>
      </w:pPr>
      <w:r>
        <w:rPr>
          <w:rFonts w:hint="eastAsia" w:ascii="仿宋" w:hAnsi="仿宋" w:eastAsia="仿宋" w:cs="仿宋"/>
          <w:sz w:val="32"/>
          <w:szCs w:val="22"/>
          <w:lang w:val="en-US" w:eastAsia="zh-CN" w:bidi="ar-SA"/>
        </w:rPr>
        <w:t>7.研究分析全县经济结构的状况，提出优化所有制结构的建议，拟订促进全县多种经济成分公平竞争和共同发展的政策措施；提出全县重要经济产业的发展战略和规划，推进产业结构战略性调整和升级；研究并协调农业和农村经济社会发展的有关重大问题，衔接农村专项规划和政策；综合协调产业发展战略、发展规划；拟订全县能源交通发展战略和规划，做好能源供需预测和综合平衡；研究提出全县高技术产业战略和发展规划，推进重大科技成果的产业化，实施技术进步和产业现代化的宏观指导。</w:t>
      </w:r>
    </w:p>
    <w:p w14:paraId="2B274640">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hint="eastAsia" w:ascii="仿宋" w:hAnsi="仿宋" w:eastAsia="仿宋" w:cs="仿宋"/>
          <w:sz w:val="32"/>
          <w:szCs w:val="22"/>
          <w:lang w:val="en-US" w:eastAsia="zh-CN" w:bidi="ar-SA"/>
        </w:rPr>
      </w:pPr>
      <w:r>
        <w:rPr>
          <w:rFonts w:hint="eastAsia" w:ascii="仿宋" w:hAnsi="仿宋" w:eastAsia="仿宋" w:cs="仿宋"/>
          <w:sz w:val="32"/>
          <w:szCs w:val="22"/>
          <w:lang w:val="en-US" w:eastAsia="zh-CN" w:bidi="ar-SA"/>
        </w:rPr>
        <w:t>8.研究分析区域经济和城镇化发展情况，提出全县区域经济协调发展和实施西部大开发战略的规划，提出城镇化发展战略和政策措施建议。</w:t>
      </w:r>
    </w:p>
    <w:p w14:paraId="31CEFDC5">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hint="eastAsia" w:ascii="仿宋" w:hAnsi="仿宋" w:eastAsia="仿宋" w:cs="仿宋"/>
          <w:sz w:val="32"/>
          <w:szCs w:val="22"/>
          <w:lang w:val="en-US" w:eastAsia="zh-CN" w:bidi="ar-SA"/>
        </w:rPr>
      </w:pPr>
      <w:r>
        <w:rPr>
          <w:rFonts w:hint="eastAsia" w:ascii="仿宋" w:hAnsi="仿宋" w:eastAsia="仿宋" w:cs="仿宋"/>
          <w:sz w:val="32"/>
          <w:szCs w:val="22"/>
          <w:lang w:val="en-US" w:eastAsia="zh-CN" w:bidi="ar-SA"/>
        </w:rPr>
        <w:t>9.研究分析县内外市场状况，负责重要商品的总量平衡和宏观调控；编制重要农产品、工业品和原材料进出口总量计划，监督计划执行；研究推进国民经济市场化和市场体系建立中的重要体制改革和政策问题；研究拟订现代物流业发展的战略和规划；提出县内商品市场、生产要素市场的发展规划、总体布局和重大调控政策。</w:t>
      </w:r>
    </w:p>
    <w:p w14:paraId="04283AEB">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hint="eastAsia" w:ascii="仿宋" w:hAnsi="仿宋" w:eastAsia="仿宋" w:cs="仿宋"/>
          <w:sz w:val="32"/>
          <w:szCs w:val="22"/>
          <w:lang w:val="en-US" w:eastAsia="zh-CN" w:bidi="ar-SA"/>
        </w:rPr>
      </w:pPr>
      <w:r>
        <w:rPr>
          <w:rFonts w:hint="eastAsia" w:ascii="仿宋" w:hAnsi="仿宋" w:eastAsia="仿宋" w:cs="仿宋"/>
          <w:sz w:val="32"/>
          <w:szCs w:val="22"/>
          <w:lang w:val="en-US" w:eastAsia="zh-CN" w:bidi="ar-SA"/>
        </w:rPr>
        <w:t>10.做好人口和计划生育、科学技术、教育、文化、卫生等社会事业以及国防动员与经济发展的衔接平衡；提出经济与社会协调发展、相互促进的政策，协调社会事业发展中的重大问题；汇总编制人力资源开发总体发展规划。</w:t>
      </w:r>
    </w:p>
    <w:p w14:paraId="537B6FE0">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hint="eastAsia" w:ascii="仿宋" w:hAnsi="仿宋" w:eastAsia="仿宋" w:cs="仿宋"/>
          <w:sz w:val="32"/>
          <w:szCs w:val="22"/>
          <w:lang w:val="en-US" w:eastAsia="zh-CN" w:bidi="ar-SA"/>
        </w:rPr>
      </w:pPr>
      <w:r>
        <w:rPr>
          <w:rFonts w:hint="eastAsia" w:ascii="仿宋" w:hAnsi="仿宋" w:eastAsia="仿宋" w:cs="仿宋"/>
          <w:sz w:val="32"/>
          <w:szCs w:val="22"/>
          <w:lang w:val="en-US" w:eastAsia="zh-CN" w:bidi="ar-SA"/>
        </w:rPr>
        <w:t>11.推进可持续发展战略，研究拟订全县资源开发与综合利用、环境保护、生态建设等规划，参与组织协调规划的实施；参与国土开发、整治、保护总体规划的组织协调，做好土地利用计划与经济和社会发展计划的衔接工作。</w:t>
      </w:r>
    </w:p>
    <w:p w14:paraId="2BC27B54">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hint="eastAsia" w:ascii="仿宋" w:hAnsi="仿宋" w:eastAsia="仿宋" w:cs="仿宋"/>
          <w:sz w:val="32"/>
          <w:szCs w:val="22"/>
          <w:lang w:val="en-US" w:eastAsia="zh-CN" w:bidi="ar-SA"/>
        </w:rPr>
      </w:pPr>
      <w:r>
        <w:rPr>
          <w:rFonts w:hint="eastAsia" w:ascii="仿宋" w:hAnsi="仿宋" w:eastAsia="仿宋" w:cs="仿宋"/>
          <w:sz w:val="32"/>
          <w:szCs w:val="22"/>
          <w:lang w:val="en-US" w:eastAsia="zh-CN" w:bidi="ar-SA"/>
        </w:rPr>
        <w:t>12.研究提出促进就业、调整收入分配、完善社会保障与经济协调发展的政策；协调就业、收入分配和社会保障的重大问题。</w:t>
      </w:r>
    </w:p>
    <w:p w14:paraId="607D141E">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hint="eastAsia" w:ascii="仿宋" w:hAnsi="仿宋" w:eastAsia="仿宋" w:cs="仿宋"/>
          <w:sz w:val="32"/>
          <w:szCs w:val="22"/>
          <w:lang w:val="en-US" w:eastAsia="zh-CN" w:bidi="ar-SA"/>
        </w:rPr>
      </w:pPr>
      <w:r>
        <w:rPr>
          <w:rFonts w:hint="eastAsia" w:ascii="仿宋" w:hAnsi="仿宋" w:eastAsia="仿宋" w:cs="仿宋"/>
          <w:sz w:val="32"/>
          <w:szCs w:val="22"/>
          <w:lang w:val="en-US" w:eastAsia="zh-CN" w:bidi="ar-SA"/>
        </w:rPr>
        <w:t>13.拟订全县经济和社会发展以及经济体制改革、对外开放的有关规范性文件。</w:t>
      </w:r>
    </w:p>
    <w:p w14:paraId="34927272">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hint="eastAsia" w:ascii="仿宋" w:hAnsi="仿宋" w:eastAsia="仿宋" w:cs="仿宋"/>
          <w:sz w:val="32"/>
          <w:szCs w:val="22"/>
          <w:lang w:val="en-US" w:eastAsia="zh-CN" w:bidi="ar-SA"/>
        </w:rPr>
      </w:pPr>
      <w:r>
        <w:rPr>
          <w:rFonts w:hint="eastAsia" w:ascii="仿宋" w:hAnsi="仿宋" w:eastAsia="仿宋" w:cs="仿宋"/>
          <w:sz w:val="32"/>
          <w:szCs w:val="22"/>
          <w:lang w:val="en-US" w:eastAsia="zh-CN" w:bidi="ar-SA"/>
        </w:rPr>
        <w:t>14.负责指导和协调全县招标投标工作，会同有关行政主管部门拟定招标投标配套规定和必须进行招标投标项目的具体范围、规模标准；按照职责权限对重大建设项目建设过程中的工程招标投标活动实施监督检查。</w:t>
      </w:r>
    </w:p>
    <w:p w14:paraId="175BE31A">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hint="eastAsia" w:ascii="仿宋" w:hAnsi="仿宋" w:eastAsia="仿宋" w:cs="仿宋"/>
          <w:sz w:val="32"/>
          <w:szCs w:val="22"/>
          <w:lang w:val="en-US" w:eastAsia="zh-CN" w:bidi="ar-SA"/>
        </w:rPr>
      </w:pPr>
      <w:r>
        <w:rPr>
          <w:rFonts w:hint="eastAsia" w:ascii="仿宋" w:hAnsi="仿宋" w:eastAsia="仿宋" w:cs="仿宋"/>
          <w:sz w:val="32"/>
          <w:szCs w:val="22"/>
          <w:lang w:val="en-US" w:eastAsia="zh-CN" w:bidi="ar-SA"/>
        </w:rPr>
        <w:t>15.贯彻执行国家、省、州以工代赈方针、政策；负责争取国家、省、州以工代赈项目、资金；编制全县以工代赈中长期规划及年度计划；负责以工代赈项目、资金计划上报及下达工作；组织相关部门搞好以工代赈项目的规划、论证、可行性研究，建设好以工代赈项目储备库；会同财政、审计、监察等部门做好全县以工代赈资金的监督管理；负责以工代赈项目实施的督促、检查、验收及成果宣传，搞好项目的建档立卡工作。</w:t>
      </w:r>
    </w:p>
    <w:p w14:paraId="3C603F87">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hint="eastAsia" w:ascii="仿宋" w:hAnsi="仿宋" w:eastAsia="仿宋" w:cs="仿宋"/>
          <w:sz w:val="32"/>
          <w:szCs w:val="22"/>
          <w:lang w:val="en-US" w:eastAsia="zh-CN" w:bidi="ar-SA"/>
        </w:rPr>
      </w:pPr>
      <w:r>
        <w:rPr>
          <w:rFonts w:hint="eastAsia" w:ascii="仿宋" w:hAnsi="仿宋" w:eastAsia="仿宋" w:cs="仿宋"/>
          <w:sz w:val="32"/>
          <w:szCs w:val="22"/>
          <w:lang w:val="en-US" w:eastAsia="zh-CN" w:bidi="ar-SA"/>
        </w:rPr>
        <w:t>16.承担县政府公布的有关行政审批事项。</w:t>
      </w:r>
    </w:p>
    <w:p w14:paraId="0019C7D1">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hint="eastAsia" w:ascii="仿宋" w:hAnsi="仿宋" w:eastAsia="仿宋" w:cs="仿宋"/>
          <w:sz w:val="32"/>
          <w:szCs w:val="22"/>
          <w:lang w:val="zh-CN" w:eastAsia="zh-CN" w:bidi="ar-SA"/>
        </w:rPr>
      </w:pPr>
      <w:r>
        <w:rPr>
          <w:rFonts w:hint="eastAsia" w:ascii="仿宋" w:hAnsi="仿宋" w:eastAsia="仿宋" w:cs="仿宋"/>
          <w:sz w:val="32"/>
          <w:szCs w:val="22"/>
          <w:lang w:val="en-US" w:eastAsia="zh-CN" w:bidi="ar-SA"/>
        </w:rPr>
        <w:t>17.承办县政府交办的其他事项。</w:t>
      </w:r>
    </w:p>
    <w:p w14:paraId="6C0F7A8B">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firstLine="640" w:firstLineChars="200"/>
        <w:contextualSpacing/>
        <w:jc w:val="left"/>
        <w:textAlignment w:val="auto"/>
        <w:rPr>
          <w:rFonts w:hint="eastAsia" w:ascii="仿宋" w:hAnsi="仿宋" w:eastAsia="仿宋" w:cs="仿宋"/>
          <w:sz w:val="32"/>
          <w:szCs w:val="22"/>
          <w:lang w:val="zh-CN" w:eastAsia="zh-CN" w:bidi="ar-SA"/>
        </w:rPr>
      </w:pPr>
      <w:r>
        <w:rPr>
          <w:rFonts w:hint="eastAsia" w:ascii="仿宋" w:hAnsi="仿宋" w:eastAsia="仿宋" w:cs="仿宋"/>
          <w:sz w:val="32"/>
          <w:szCs w:val="22"/>
          <w:lang w:val="zh-CN" w:eastAsia="zh-CN" w:bidi="ar-SA"/>
        </w:rPr>
        <w:t>（三）人员概况。</w:t>
      </w:r>
    </w:p>
    <w:p w14:paraId="438FC1AC">
      <w:pPr>
        <w:pStyle w:val="7"/>
        <w:keepNext w:val="0"/>
        <w:keepLines w:val="0"/>
        <w:pageBreakBefore w:val="0"/>
        <w:kinsoku/>
        <w:wordWrap/>
        <w:overflowPunct/>
        <w:topLinePunct w:val="0"/>
        <w:autoSpaceDE/>
        <w:autoSpaceDN/>
        <w:bidi w:val="0"/>
        <w:spacing w:beforeAutospacing="0" w:after="0" w:afterAutospacing="0" w:line="440" w:lineRule="exact"/>
        <w:ind w:left="0" w:leftChars="0" w:firstLine="640" w:firstLineChars="200"/>
        <w:textAlignment w:val="auto"/>
        <w:rPr>
          <w:rFonts w:hint="eastAsia" w:ascii="仿宋" w:hAnsi="仿宋" w:eastAsia="仿宋" w:cs="仿宋"/>
          <w:sz w:val="32"/>
          <w:szCs w:val="22"/>
          <w:lang w:val="zh-CN" w:eastAsia="zh-CN" w:bidi="ar-SA"/>
        </w:rPr>
      </w:pPr>
      <w:r>
        <w:rPr>
          <w:rFonts w:hint="eastAsia" w:ascii="仿宋" w:hAnsi="仿宋" w:eastAsia="仿宋" w:cs="仿宋"/>
          <w:sz w:val="32"/>
          <w:szCs w:val="22"/>
          <w:lang w:val="en-US" w:eastAsia="zh-CN" w:bidi="ar-SA"/>
        </w:rPr>
        <w:t>行政编制9名，行政工勤1名。机关工勤人员事业编制1名，事业编制12人。执行行政事业财务会计制度，单位财务人员负责资产账面管理，办公室人员负责实物管理。</w:t>
      </w:r>
    </w:p>
    <w:p w14:paraId="18059A30">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firstLine="640" w:firstLineChars="200"/>
        <w:contextualSpacing/>
        <w:jc w:val="left"/>
        <w:textAlignment w:val="auto"/>
        <w:rPr>
          <w:rFonts w:hint="eastAsia" w:ascii="仿宋" w:hAnsi="仿宋" w:eastAsia="仿宋" w:cs="仿宋"/>
          <w:sz w:val="32"/>
          <w:szCs w:val="22"/>
          <w:lang w:val="en-US" w:eastAsia="zh-CN" w:bidi="ar-SA"/>
        </w:rPr>
      </w:pPr>
      <w:r>
        <w:rPr>
          <w:rFonts w:hint="eastAsia" w:ascii="仿宋" w:hAnsi="仿宋" w:eastAsia="仿宋" w:cs="仿宋"/>
          <w:sz w:val="32"/>
          <w:szCs w:val="22"/>
          <w:lang w:val="en-US" w:eastAsia="zh-CN" w:bidi="ar-SA"/>
        </w:rPr>
        <w:t>二、部门财政资金收支情况</w:t>
      </w:r>
    </w:p>
    <w:p w14:paraId="3BF08774">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firstLine="640" w:firstLineChars="200"/>
        <w:contextualSpacing/>
        <w:jc w:val="left"/>
        <w:textAlignment w:val="auto"/>
        <w:rPr>
          <w:rFonts w:hint="eastAsia" w:ascii="仿宋" w:hAnsi="仿宋" w:eastAsia="仿宋" w:cs="仿宋"/>
          <w:sz w:val="32"/>
          <w:szCs w:val="22"/>
          <w:lang w:val="zh-CN" w:eastAsia="zh-CN" w:bidi="ar-SA"/>
        </w:rPr>
      </w:pPr>
      <w:r>
        <w:rPr>
          <w:rFonts w:hint="eastAsia" w:ascii="仿宋" w:hAnsi="仿宋" w:eastAsia="仿宋" w:cs="仿宋"/>
          <w:sz w:val="32"/>
          <w:szCs w:val="22"/>
          <w:lang w:val="zh-CN" w:eastAsia="zh-CN" w:bidi="ar-SA"/>
        </w:rPr>
        <w:t>（一）部门财政资金收入情况。</w:t>
      </w:r>
    </w:p>
    <w:p w14:paraId="048BAC1F">
      <w:pPr>
        <w:pStyle w:val="7"/>
        <w:keepNext w:val="0"/>
        <w:keepLines w:val="0"/>
        <w:pageBreakBefore w:val="0"/>
        <w:kinsoku/>
        <w:wordWrap/>
        <w:overflowPunct/>
        <w:topLinePunct w:val="0"/>
        <w:autoSpaceDE/>
        <w:autoSpaceDN/>
        <w:bidi w:val="0"/>
        <w:spacing w:beforeAutospacing="0" w:after="0" w:afterAutospacing="0" w:line="440" w:lineRule="exact"/>
        <w:ind w:left="0" w:leftChars="0" w:firstLine="640" w:firstLineChars="200"/>
        <w:textAlignment w:val="auto"/>
        <w:rPr>
          <w:rFonts w:hint="default" w:ascii="仿宋" w:hAnsi="仿宋" w:eastAsia="仿宋" w:cs="仿宋"/>
          <w:sz w:val="32"/>
          <w:szCs w:val="22"/>
          <w:lang w:val="en-US" w:eastAsia="zh-CN" w:bidi="ar-SA"/>
        </w:rPr>
      </w:pPr>
      <w:r>
        <w:rPr>
          <w:rFonts w:hint="eastAsia" w:ascii="仿宋" w:hAnsi="仿宋" w:eastAsia="仿宋" w:cs="仿宋"/>
          <w:sz w:val="32"/>
          <w:szCs w:val="22"/>
          <w:lang w:val="en-US" w:eastAsia="zh-CN" w:bidi="ar-SA"/>
        </w:rPr>
        <w:t>我单位2022年一般公共财政收入767.78万元，年初结转295.77万元。</w:t>
      </w:r>
    </w:p>
    <w:p w14:paraId="24FA0354">
      <w:pPr>
        <w:keepNext w:val="0"/>
        <w:keepLines w:val="0"/>
        <w:pageBreakBefore w:val="0"/>
        <w:widowControl/>
        <w:kinsoku/>
        <w:wordWrap/>
        <w:overflowPunct/>
        <w:topLinePunct w:val="0"/>
        <w:autoSpaceDE/>
        <w:autoSpaceDN/>
        <w:bidi w:val="0"/>
        <w:adjustRightInd w:val="0"/>
        <w:snapToGrid w:val="0"/>
        <w:spacing w:beforeAutospacing="0" w:afterAutospacing="0" w:line="440" w:lineRule="exact"/>
        <w:ind w:firstLine="640" w:firstLineChars="200"/>
        <w:contextualSpacing/>
        <w:jc w:val="left"/>
        <w:textAlignment w:val="auto"/>
        <w:rPr>
          <w:rFonts w:hint="eastAsia" w:ascii="仿宋" w:hAnsi="仿宋" w:eastAsia="仿宋" w:cs="仿宋"/>
          <w:sz w:val="32"/>
          <w:szCs w:val="22"/>
          <w:lang w:val="zh-CN" w:eastAsia="zh-CN" w:bidi="ar-SA"/>
        </w:rPr>
      </w:pPr>
      <w:r>
        <w:rPr>
          <w:rFonts w:hint="eastAsia" w:ascii="仿宋" w:hAnsi="仿宋" w:eastAsia="仿宋" w:cs="仿宋"/>
          <w:sz w:val="32"/>
          <w:szCs w:val="22"/>
          <w:lang w:val="zh-CN" w:eastAsia="zh-CN" w:bidi="ar-SA"/>
        </w:rPr>
        <w:t>（二）部门财政资金支出情况。</w:t>
      </w:r>
    </w:p>
    <w:p w14:paraId="3500F5F5">
      <w:pPr>
        <w:pStyle w:val="8"/>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hint="default" w:ascii="仿宋" w:hAnsi="仿宋" w:eastAsia="仿宋" w:cs="仿宋"/>
          <w:sz w:val="32"/>
          <w:szCs w:val="22"/>
          <w:lang w:val="en-US" w:eastAsia="zh-CN" w:bidi="ar-SA"/>
        </w:rPr>
      </w:pPr>
      <w:r>
        <w:rPr>
          <w:rFonts w:hint="eastAsia" w:ascii="仿宋" w:hAnsi="仿宋" w:eastAsia="仿宋" w:cs="仿宋"/>
          <w:sz w:val="32"/>
          <w:szCs w:val="22"/>
          <w:lang w:val="en-US" w:eastAsia="zh-CN" w:bidi="ar-SA"/>
        </w:rPr>
        <w:t>我单位2022年一般公共财政基本支出1063.55万元，其中：人员经费432.34万元，主要包括：基本工资、津贴补贴、奖金、社会保险缴费、机关事业单位基本养老保险缴费、职业年金缴费、其他工资福利支出、住房公积金、其他对个人和家庭的补助支出。公用经费72.63万元，主要包括：办公费、印刷费、邮电费、取暖费、差旅费、公务接待费、维修（护）费、培训费、工会经费、福利费、公务用车运行维护费、其他商品和服务支出。项目支出558.58万元。</w:t>
      </w:r>
    </w:p>
    <w:p w14:paraId="1A3F8455">
      <w:pPr>
        <w:pStyle w:val="2"/>
        <w:keepNext w:val="0"/>
        <w:keepLines w:val="0"/>
        <w:pageBreakBefore w:val="0"/>
        <w:kinsoku/>
        <w:wordWrap/>
        <w:overflowPunct/>
        <w:topLinePunct w:val="0"/>
        <w:autoSpaceDE/>
        <w:autoSpaceDN/>
        <w:bidi w:val="0"/>
        <w:spacing w:beforeAutospacing="0" w:after="0" w:afterAutospacing="0" w:line="440" w:lineRule="exact"/>
        <w:ind w:firstLine="640" w:firstLineChars="200"/>
        <w:textAlignment w:val="auto"/>
        <w:rPr>
          <w:rFonts w:hint="eastAsia" w:ascii="仿宋" w:hAnsi="仿宋" w:eastAsia="仿宋" w:cs="仿宋"/>
          <w:sz w:val="32"/>
          <w:szCs w:val="22"/>
          <w:lang w:val="en-US" w:eastAsia="zh-CN" w:bidi="ar-SA"/>
        </w:rPr>
      </w:pPr>
      <w:r>
        <w:rPr>
          <w:rFonts w:hint="eastAsia" w:ascii="仿宋" w:hAnsi="仿宋" w:eastAsia="仿宋" w:cs="仿宋"/>
          <w:sz w:val="32"/>
          <w:szCs w:val="22"/>
          <w:lang w:val="en-US" w:eastAsia="zh-CN" w:bidi="ar-SA"/>
        </w:rPr>
        <w:t>三、部门整体预算绩效管理情况（根据适用指标体系进行调整，涉及</w:t>
      </w:r>
      <w:bookmarkStart w:id="6" w:name="_GoBack"/>
      <w:bookmarkEnd w:id="6"/>
      <w:r>
        <w:rPr>
          <w:rFonts w:hint="eastAsia" w:ascii="仿宋" w:hAnsi="仿宋" w:eastAsia="仿宋" w:cs="仿宋"/>
          <w:sz w:val="32"/>
          <w:szCs w:val="22"/>
          <w:lang w:val="en-US" w:eastAsia="zh-CN" w:bidi="ar-SA"/>
        </w:rPr>
        <w:t>有专项预算的部门，专项预算项目自评报告根据要求另行单独报送）</w:t>
      </w:r>
    </w:p>
    <w:p w14:paraId="71AA2DC5">
      <w:pPr>
        <w:pStyle w:val="2"/>
        <w:keepNext w:val="0"/>
        <w:keepLines w:val="0"/>
        <w:pageBreakBefore w:val="0"/>
        <w:kinsoku/>
        <w:wordWrap/>
        <w:overflowPunct/>
        <w:topLinePunct w:val="0"/>
        <w:autoSpaceDE/>
        <w:autoSpaceDN/>
        <w:bidi w:val="0"/>
        <w:spacing w:beforeAutospacing="0" w:after="0" w:afterAutospacing="0" w:line="440" w:lineRule="exact"/>
        <w:ind w:firstLine="640" w:firstLineChars="200"/>
        <w:textAlignment w:val="auto"/>
        <w:rPr>
          <w:rFonts w:hint="eastAsia" w:ascii="仿宋" w:hAnsi="仿宋" w:eastAsia="仿宋" w:cs="仿宋"/>
          <w:sz w:val="32"/>
          <w:szCs w:val="22"/>
          <w:lang w:val="en-US" w:eastAsia="zh-CN" w:bidi="ar-SA"/>
        </w:rPr>
      </w:pPr>
      <w:r>
        <w:rPr>
          <w:rFonts w:hint="eastAsia" w:ascii="仿宋" w:hAnsi="仿宋" w:eastAsia="仿宋" w:cs="仿宋"/>
          <w:sz w:val="32"/>
          <w:szCs w:val="22"/>
          <w:lang w:val="en-US" w:eastAsia="zh-CN" w:bidi="ar-SA"/>
        </w:rPr>
        <w:t>（一）部门预算管理。</w:t>
      </w:r>
    </w:p>
    <w:p w14:paraId="0A646D32">
      <w:pPr>
        <w:pStyle w:val="2"/>
        <w:keepNext w:val="0"/>
        <w:keepLines w:val="0"/>
        <w:pageBreakBefore w:val="0"/>
        <w:kinsoku/>
        <w:wordWrap/>
        <w:overflowPunct/>
        <w:topLinePunct w:val="0"/>
        <w:autoSpaceDE/>
        <w:autoSpaceDN/>
        <w:bidi w:val="0"/>
        <w:spacing w:beforeAutospacing="0" w:after="0" w:afterAutospacing="0" w:line="440" w:lineRule="exact"/>
        <w:ind w:firstLine="640" w:firstLineChars="200"/>
        <w:textAlignment w:val="auto"/>
        <w:rPr>
          <w:rFonts w:hint="eastAsia" w:ascii="仿宋" w:hAnsi="仿宋" w:eastAsia="仿宋" w:cs="仿宋"/>
          <w:sz w:val="32"/>
          <w:szCs w:val="22"/>
          <w:lang w:val="en-US" w:eastAsia="zh-CN" w:bidi="ar-SA"/>
        </w:rPr>
      </w:pPr>
      <w:r>
        <w:rPr>
          <w:rFonts w:hint="eastAsia" w:ascii="仿宋" w:hAnsi="仿宋" w:eastAsia="仿宋" w:cs="仿宋"/>
          <w:sz w:val="32"/>
          <w:szCs w:val="22"/>
          <w:lang w:val="en-US" w:eastAsia="zh-CN" w:bidi="ar-SA"/>
        </w:rPr>
        <w:t>1.预算编制情况。</w:t>
      </w:r>
    </w:p>
    <w:p w14:paraId="064034AD">
      <w:pPr>
        <w:pStyle w:val="2"/>
        <w:keepNext w:val="0"/>
        <w:keepLines w:val="0"/>
        <w:pageBreakBefore w:val="0"/>
        <w:kinsoku/>
        <w:wordWrap/>
        <w:overflowPunct/>
        <w:topLinePunct w:val="0"/>
        <w:autoSpaceDE/>
        <w:autoSpaceDN/>
        <w:bidi w:val="0"/>
        <w:spacing w:beforeAutospacing="0" w:after="0" w:afterAutospacing="0" w:line="440" w:lineRule="exact"/>
        <w:ind w:firstLine="640" w:firstLineChars="200"/>
        <w:textAlignment w:val="auto"/>
        <w:rPr>
          <w:rFonts w:hint="eastAsia" w:ascii="仿宋" w:hAnsi="仿宋" w:eastAsia="仿宋" w:cs="仿宋"/>
          <w:sz w:val="32"/>
          <w:szCs w:val="22"/>
          <w:lang w:val="en-US" w:eastAsia="zh-CN" w:bidi="ar-SA"/>
        </w:rPr>
      </w:pPr>
      <w:r>
        <w:rPr>
          <w:rFonts w:hint="eastAsia" w:ascii="仿宋" w:hAnsi="仿宋" w:eastAsia="仿宋" w:cs="仿宋"/>
          <w:sz w:val="32"/>
          <w:szCs w:val="22"/>
          <w:lang w:val="en-US" w:eastAsia="zh-CN" w:bidi="ar-SA"/>
        </w:rPr>
        <w:t>我单位及时准确的编制部门预算、决算、绩效目标填报，及时支付项目资金。</w:t>
      </w:r>
    </w:p>
    <w:p w14:paraId="0E1C74FF">
      <w:pPr>
        <w:pStyle w:val="2"/>
        <w:keepNext w:val="0"/>
        <w:keepLines w:val="0"/>
        <w:pageBreakBefore w:val="0"/>
        <w:kinsoku/>
        <w:wordWrap/>
        <w:overflowPunct/>
        <w:topLinePunct w:val="0"/>
        <w:autoSpaceDE/>
        <w:autoSpaceDN/>
        <w:bidi w:val="0"/>
        <w:spacing w:beforeAutospacing="0" w:after="0" w:afterAutospacing="0" w:line="440" w:lineRule="exact"/>
        <w:ind w:firstLine="640" w:firstLineChars="200"/>
        <w:textAlignment w:val="auto"/>
        <w:rPr>
          <w:rFonts w:hint="eastAsia" w:ascii="仿宋" w:hAnsi="仿宋" w:eastAsia="仿宋" w:cs="仿宋"/>
          <w:sz w:val="32"/>
          <w:szCs w:val="22"/>
          <w:lang w:val="en-US" w:eastAsia="zh-CN" w:bidi="ar-SA"/>
        </w:rPr>
      </w:pPr>
      <w:r>
        <w:rPr>
          <w:rFonts w:hint="eastAsia" w:ascii="仿宋" w:hAnsi="仿宋" w:eastAsia="仿宋" w:cs="仿宋"/>
          <w:sz w:val="32"/>
          <w:szCs w:val="22"/>
          <w:lang w:val="en-US" w:eastAsia="zh-CN" w:bidi="ar-SA"/>
        </w:rPr>
        <w:t>2.执行管理情况。</w:t>
      </w:r>
      <w:r>
        <w:rPr>
          <w:rFonts w:hint="eastAsia" w:ascii="仿宋" w:hAnsi="仿宋" w:eastAsia="仿宋" w:cs="仿宋"/>
          <w:sz w:val="32"/>
          <w:szCs w:val="22"/>
          <w:lang w:val="en-US" w:eastAsia="zh-CN" w:bidi="ar-SA"/>
        </w:rPr>
        <w:tab/>
      </w:r>
    </w:p>
    <w:p w14:paraId="4D40866F">
      <w:pPr>
        <w:pStyle w:val="2"/>
        <w:keepNext w:val="0"/>
        <w:keepLines w:val="0"/>
        <w:pageBreakBefore w:val="0"/>
        <w:kinsoku/>
        <w:wordWrap/>
        <w:overflowPunct/>
        <w:topLinePunct w:val="0"/>
        <w:autoSpaceDE/>
        <w:autoSpaceDN/>
        <w:bidi w:val="0"/>
        <w:spacing w:beforeAutospacing="0" w:after="0" w:afterAutospacing="0" w:line="440" w:lineRule="exact"/>
        <w:ind w:firstLine="640" w:firstLineChars="200"/>
        <w:textAlignment w:val="auto"/>
        <w:rPr>
          <w:rFonts w:hint="eastAsia" w:ascii="仿宋" w:hAnsi="仿宋" w:eastAsia="仿宋" w:cs="仿宋"/>
          <w:sz w:val="32"/>
          <w:szCs w:val="22"/>
          <w:lang w:val="en-US" w:eastAsia="zh-CN" w:bidi="ar-SA"/>
        </w:rPr>
      </w:pPr>
      <w:r>
        <w:rPr>
          <w:rFonts w:hint="eastAsia" w:ascii="仿宋" w:hAnsi="仿宋" w:eastAsia="仿宋" w:cs="仿宋"/>
          <w:sz w:val="32"/>
          <w:szCs w:val="22"/>
          <w:lang w:val="en-US" w:eastAsia="zh-CN" w:bidi="ar-SA"/>
        </w:rPr>
        <w:t>我单位对州级财力专项资金专款专用，设立专账，认真执行部门预算，节能降耗，降低“三公”经费。</w:t>
      </w:r>
    </w:p>
    <w:p w14:paraId="5030D608">
      <w:pPr>
        <w:pStyle w:val="2"/>
        <w:keepNext w:val="0"/>
        <w:keepLines w:val="0"/>
        <w:pageBreakBefore w:val="0"/>
        <w:kinsoku/>
        <w:wordWrap/>
        <w:overflowPunct/>
        <w:topLinePunct w:val="0"/>
        <w:autoSpaceDE/>
        <w:autoSpaceDN/>
        <w:bidi w:val="0"/>
        <w:spacing w:beforeAutospacing="0" w:after="0" w:afterAutospacing="0" w:line="440" w:lineRule="exact"/>
        <w:ind w:firstLine="640" w:firstLineChars="200"/>
        <w:textAlignment w:val="auto"/>
        <w:rPr>
          <w:rFonts w:hint="eastAsia" w:ascii="仿宋" w:hAnsi="仿宋" w:eastAsia="仿宋" w:cs="仿宋"/>
          <w:sz w:val="32"/>
          <w:szCs w:val="22"/>
          <w:lang w:val="en-US" w:eastAsia="zh-CN" w:bidi="ar-SA"/>
        </w:rPr>
      </w:pPr>
      <w:r>
        <w:rPr>
          <w:rFonts w:hint="eastAsia" w:ascii="仿宋" w:hAnsi="仿宋" w:eastAsia="仿宋" w:cs="仿宋"/>
          <w:sz w:val="32"/>
          <w:szCs w:val="22"/>
          <w:lang w:val="en-US" w:eastAsia="zh-CN" w:bidi="ar-SA"/>
        </w:rPr>
        <w:t>3.综合管理情况。</w:t>
      </w:r>
    </w:p>
    <w:p w14:paraId="783B3AB2">
      <w:pPr>
        <w:pStyle w:val="2"/>
        <w:keepNext w:val="0"/>
        <w:keepLines w:val="0"/>
        <w:pageBreakBefore w:val="0"/>
        <w:kinsoku/>
        <w:wordWrap/>
        <w:overflowPunct/>
        <w:topLinePunct w:val="0"/>
        <w:autoSpaceDE/>
        <w:autoSpaceDN/>
        <w:bidi w:val="0"/>
        <w:spacing w:beforeAutospacing="0" w:after="0" w:afterAutospacing="0" w:line="440" w:lineRule="exact"/>
        <w:ind w:firstLine="640" w:firstLineChars="200"/>
        <w:textAlignment w:val="auto"/>
        <w:rPr>
          <w:rFonts w:hint="eastAsia" w:ascii="仿宋" w:hAnsi="仿宋" w:eastAsia="仿宋" w:cs="仿宋"/>
          <w:sz w:val="32"/>
          <w:szCs w:val="22"/>
          <w:lang w:val="en-US" w:eastAsia="zh-CN" w:bidi="ar-SA"/>
        </w:rPr>
      </w:pPr>
      <w:r>
        <w:rPr>
          <w:rFonts w:hint="eastAsia" w:ascii="仿宋" w:hAnsi="仿宋" w:eastAsia="仿宋" w:cs="仿宋"/>
          <w:sz w:val="32"/>
          <w:szCs w:val="22"/>
          <w:lang w:val="en-US" w:eastAsia="zh-CN" w:bidi="ar-SA"/>
        </w:rPr>
        <w:t>我单位2022年无政府性债务、无非税收入、无政策采购实施计划，进行单位内控制度管理填报。</w:t>
      </w:r>
    </w:p>
    <w:p w14:paraId="2F91B3EA">
      <w:pPr>
        <w:pStyle w:val="2"/>
        <w:keepNext w:val="0"/>
        <w:keepLines w:val="0"/>
        <w:pageBreakBefore w:val="0"/>
        <w:kinsoku/>
        <w:wordWrap/>
        <w:overflowPunct/>
        <w:topLinePunct w:val="0"/>
        <w:autoSpaceDE/>
        <w:autoSpaceDN/>
        <w:bidi w:val="0"/>
        <w:spacing w:beforeAutospacing="0" w:after="0" w:afterAutospacing="0" w:line="440" w:lineRule="exact"/>
        <w:ind w:firstLine="640" w:firstLineChars="200"/>
        <w:textAlignment w:val="auto"/>
        <w:rPr>
          <w:rFonts w:hint="eastAsia" w:ascii="仿宋" w:hAnsi="仿宋" w:eastAsia="仿宋" w:cs="仿宋"/>
          <w:sz w:val="32"/>
          <w:szCs w:val="22"/>
          <w:lang w:val="en-US" w:eastAsia="zh-CN" w:bidi="ar-SA"/>
        </w:rPr>
      </w:pPr>
      <w:r>
        <w:rPr>
          <w:rFonts w:hint="eastAsia" w:ascii="仿宋" w:hAnsi="仿宋" w:eastAsia="仿宋" w:cs="仿宋"/>
          <w:sz w:val="32"/>
          <w:szCs w:val="22"/>
          <w:lang w:val="en-US" w:eastAsia="zh-CN" w:bidi="ar-SA"/>
        </w:rPr>
        <w:t>（二）结果应用情况。</w:t>
      </w:r>
    </w:p>
    <w:p w14:paraId="787AFF53">
      <w:pPr>
        <w:pStyle w:val="2"/>
        <w:keepNext w:val="0"/>
        <w:keepLines w:val="0"/>
        <w:pageBreakBefore w:val="0"/>
        <w:kinsoku/>
        <w:wordWrap/>
        <w:overflowPunct/>
        <w:topLinePunct w:val="0"/>
        <w:autoSpaceDE/>
        <w:autoSpaceDN/>
        <w:bidi w:val="0"/>
        <w:spacing w:beforeAutospacing="0" w:after="0" w:afterAutospacing="0" w:line="440" w:lineRule="exact"/>
        <w:textAlignment w:val="auto"/>
        <w:rPr>
          <w:rFonts w:hint="eastAsia" w:ascii="仿宋" w:hAnsi="仿宋" w:eastAsia="仿宋" w:cs="仿宋"/>
          <w:sz w:val="32"/>
          <w:szCs w:val="22"/>
          <w:lang w:val="en-US" w:eastAsia="zh-CN" w:bidi="ar-SA"/>
        </w:rPr>
      </w:pPr>
      <w:r>
        <w:rPr>
          <w:rFonts w:hint="eastAsia" w:ascii="仿宋" w:hAnsi="仿宋" w:eastAsia="仿宋" w:cs="仿宋"/>
          <w:sz w:val="32"/>
          <w:szCs w:val="22"/>
          <w:lang w:val="en-US" w:eastAsia="zh-CN" w:bidi="ar-SA"/>
        </w:rPr>
        <w:t>包括绩效自评公开、评价结果整改和应用结果反馈等情况。</w:t>
      </w:r>
    </w:p>
    <w:p w14:paraId="2D182782">
      <w:pPr>
        <w:pStyle w:val="2"/>
        <w:keepNext w:val="0"/>
        <w:keepLines w:val="0"/>
        <w:pageBreakBefore w:val="0"/>
        <w:kinsoku/>
        <w:wordWrap/>
        <w:overflowPunct/>
        <w:topLinePunct w:val="0"/>
        <w:autoSpaceDE/>
        <w:autoSpaceDN/>
        <w:bidi w:val="0"/>
        <w:spacing w:beforeAutospacing="0" w:after="0" w:afterAutospacing="0" w:line="440" w:lineRule="exact"/>
        <w:ind w:firstLine="640" w:firstLineChars="200"/>
        <w:textAlignment w:val="auto"/>
        <w:rPr>
          <w:rFonts w:hint="eastAsia" w:ascii="仿宋" w:hAnsi="仿宋" w:eastAsia="仿宋" w:cs="仿宋"/>
          <w:sz w:val="32"/>
          <w:szCs w:val="22"/>
          <w:lang w:val="en-US" w:eastAsia="zh-CN" w:bidi="ar-SA"/>
        </w:rPr>
      </w:pPr>
      <w:r>
        <w:rPr>
          <w:rFonts w:hint="eastAsia" w:ascii="仿宋" w:hAnsi="仿宋" w:eastAsia="仿宋" w:cs="仿宋"/>
          <w:sz w:val="32"/>
          <w:szCs w:val="22"/>
          <w:lang w:val="en-US" w:eastAsia="zh-CN" w:bidi="ar-SA"/>
        </w:rPr>
        <w:t>四、评价结论及建议</w:t>
      </w:r>
    </w:p>
    <w:p w14:paraId="42893BF3">
      <w:pPr>
        <w:pStyle w:val="2"/>
        <w:keepNext w:val="0"/>
        <w:keepLines w:val="0"/>
        <w:pageBreakBefore w:val="0"/>
        <w:kinsoku/>
        <w:wordWrap/>
        <w:overflowPunct/>
        <w:topLinePunct w:val="0"/>
        <w:autoSpaceDE/>
        <w:autoSpaceDN/>
        <w:bidi w:val="0"/>
        <w:spacing w:beforeAutospacing="0" w:after="0" w:afterAutospacing="0" w:line="440" w:lineRule="exact"/>
        <w:ind w:firstLine="640" w:firstLineChars="200"/>
        <w:textAlignment w:val="auto"/>
        <w:rPr>
          <w:rFonts w:hint="eastAsia" w:ascii="仿宋" w:hAnsi="仿宋" w:eastAsia="仿宋" w:cs="仿宋"/>
          <w:sz w:val="32"/>
          <w:szCs w:val="22"/>
          <w:lang w:val="en-US" w:eastAsia="zh-CN" w:bidi="ar-SA"/>
        </w:rPr>
      </w:pPr>
      <w:r>
        <w:rPr>
          <w:rFonts w:hint="eastAsia" w:ascii="仿宋" w:hAnsi="仿宋" w:eastAsia="仿宋" w:cs="仿宋"/>
          <w:sz w:val="32"/>
          <w:szCs w:val="22"/>
          <w:lang w:val="en-US" w:eastAsia="zh-CN" w:bidi="ar-SA"/>
        </w:rPr>
        <w:t>（一）评价结论。</w:t>
      </w:r>
    </w:p>
    <w:p w14:paraId="0366DCE7">
      <w:pPr>
        <w:pStyle w:val="2"/>
        <w:keepNext w:val="0"/>
        <w:keepLines w:val="0"/>
        <w:pageBreakBefore w:val="0"/>
        <w:kinsoku/>
        <w:wordWrap/>
        <w:overflowPunct/>
        <w:topLinePunct w:val="0"/>
        <w:autoSpaceDE/>
        <w:autoSpaceDN/>
        <w:bidi w:val="0"/>
        <w:spacing w:beforeAutospacing="0" w:after="0" w:afterAutospacing="0" w:line="440" w:lineRule="exact"/>
        <w:ind w:firstLine="640" w:firstLineChars="200"/>
        <w:textAlignment w:val="auto"/>
        <w:rPr>
          <w:rFonts w:hint="eastAsia" w:ascii="仿宋" w:hAnsi="仿宋" w:eastAsia="仿宋" w:cs="仿宋"/>
          <w:sz w:val="32"/>
          <w:szCs w:val="22"/>
          <w:lang w:val="en-US" w:eastAsia="zh-CN" w:bidi="ar-SA"/>
        </w:rPr>
      </w:pPr>
      <w:r>
        <w:rPr>
          <w:rFonts w:hint="eastAsia" w:ascii="仿宋" w:hAnsi="仿宋" w:eastAsia="仿宋" w:cs="仿宋"/>
          <w:sz w:val="32"/>
          <w:szCs w:val="22"/>
          <w:lang w:val="en-US" w:eastAsia="zh-CN" w:bidi="ar-SA"/>
        </w:rPr>
        <w:t>2022年我单位未出现超预算情况，对于本职工作和领导安排的各项工作态度积极、思想端正、都保质保量完成，对于群众举报投诉问题，我单位在接到投诉举报后立即出动人员进行检查核实，快速做出回应，群众满意度较高，未出现执法人员被投诉举报情况。</w:t>
      </w:r>
    </w:p>
    <w:p w14:paraId="5DD3BBF0">
      <w:pPr>
        <w:pStyle w:val="2"/>
        <w:keepNext w:val="0"/>
        <w:keepLines w:val="0"/>
        <w:pageBreakBefore w:val="0"/>
        <w:kinsoku/>
        <w:wordWrap/>
        <w:overflowPunct/>
        <w:topLinePunct w:val="0"/>
        <w:autoSpaceDE/>
        <w:autoSpaceDN/>
        <w:bidi w:val="0"/>
        <w:spacing w:beforeAutospacing="0" w:after="0" w:afterAutospacing="0" w:line="440" w:lineRule="exact"/>
        <w:ind w:firstLine="640" w:firstLineChars="200"/>
        <w:textAlignment w:val="auto"/>
        <w:rPr>
          <w:rFonts w:hint="eastAsia" w:ascii="仿宋" w:hAnsi="仿宋" w:eastAsia="仿宋" w:cs="仿宋"/>
          <w:sz w:val="32"/>
          <w:szCs w:val="22"/>
          <w:lang w:val="en-US" w:eastAsia="zh-CN" w:bidi="ar-SA"/>
        </w:rPr>
      </w:pPr>
      <w:r>
        <w:rPr>
          <w:rFonts w:hint="eastAsia" w:ascii="仿宋" w:hAnsi="仿宋" w:eastAsia="仿宋" w:cs="仿宋"/>
          <w:sz w:val="32"/>
          <w:szCs w:val="22"/>
          <w:lang w:val="en-US" w:eastAsia="zh-CN" w:bidi="ar-SA"/>
        </w:rPr>
        <w:t>（二）存在问题。</w:t>
      </w:r>
    </w:p>
    <w:p w14:paraId="15517E00">
      <w:pPr>
        <w:pStyle w:val="2"/>
        <w:keepNext w:val="0"/>
        <w:keepLines w:val="0"/>
        <w:pageBreakBefore w:val="0"/>
        <w:kinsoku/>
        <w:wordWrap/>
        <w:overflowPunct/>
        <w:topLinePunct w:val="0"/>
        <w:autoSpaceDE/>
        <w:autoSpaceDN/>
        <w:bidi w:val="0"/>
        <w:spacing w:beforeAutospacing="0" w:after="0" w:afterAutospacing="0" w:line="440" w:lineRule="exact"/>
        <w:ind w:firstLine="640" w:firstLineChars="200"/>
        <w:textAlignment w:val="auto"/>
        <w:rPr>
          <w:rFonts w:hint="eastAsia" w:ascii="仿宋" w:hAnsi="仿宋" w:eastAsia="仿宋" w:cs="仿宋"/>
          <w:sz w:val="32"/>
          <w:szCs w:val="22"/>
          <w:lang w:val="en-US" w:eastAsia="zh-CN" w:bidi="ar-SA"/>
        </w:rPr>
      </w:pPr>
      <w:r>
        <w:rPr>
          <w:rFonts w:hint="eastAsia" w:ascii="仿宋" w:hAnsi="仿宋" w:eastAsia="仿宋" w:cs="仿宋"/>
          <w:sz w:val="32"/>
          <w:szCs w:val="22"/>
          <w:lang w:val="en-US" w:eastAsia="zh-CN" w:bidi="ar-SA"/>
        </w:rPr>
        <w:t>无</w:t>
      </w:r>
    </w:p>
    <w:p w14:paraId="02F2EECD">
      <w:pPr>
        <w:pStyle w:val="2"/>
        <w:keepNext w:val="0"/>
        <w:keepLines w:val="0"/>
        <w:pageBreakBefore w:val="0"/>
        <w:kinsoku/>
        <w:wordWrap/>
        <w:overflowPunct/>
        <w:topLinePunct w:val="0"/>
        <w:autoSpaceDE/>
        <w:autoSpaceDN/>
        <w:bidi w:val="0"/>
        <w:spacing w:beforeAutospacing="0" w:after="0" w:afterAutospacing="0" w:line="440" w:lineRule="exact"/>
        <w:ind w:firstLine="320" w:firstLineChars="100"/>
        <w:textAlignment w:val="auto"/>
        <w:rPr>
          <w:rFonts w:hint="eastAsia" w:ascii="仿宋" w:hAnsi="仿宋" w:eastAsia="仿宋" w:cs="仿宋"/>
          <w:sz w:val="32"/>
          <w:szCs w:val="22"/>
          <w:lang w:val="en-US" w:eastAsia="zh-CN" w:bidi="ar-SA"/>
        </w:rPr>
      </w:pPr>
      <w:r>
        <w:rPr>
          <w:rFonts w:hint="eastAsia" w:ascii="仿宋" w:hAnsi="仿宋" w:eastAsia="仿宋" w:cs="仿宋"/>
          <w:sz w:val="32"/>
          <w:szCs w:val="22"/>
          <w:lang w:val="en-US" w:eastAsia="zh-CN" w:bidi="ar-SA"/>
        </w:rPr>
        <w:t>（三）改进建议。</w:t>
      </w:r>
    </w:p>
    <w:p w14:paraId="207EAD7C">
      <w:pPr>
        <w:pStyle w:val="2"/>
        <w:keepNext w:val="0"/>
        <w:keepLines w:val="0"/>
        <w:pageBreakBefore w:val="0"/>
        <w:kinsoku/>
        <w:wordWrap/>
        <w:overflowPunct/>
        <w:topLinePunct w:val="0"/>
        <w:autoSpaceDE/>
        <w:autoSpaceDN/>
        <w:bidi w:val="0"/>
        <w:spacing w:beforeAutospacing="0" w:after="0" w:afterAutospacing="0" w:line="440" w:lineRule="exact"/>
        <w:textAlignment w:val="auto"/>
        <w:rPr>
          <w:rFonts w:hint="eastAsia" w:ascii="仿宋" w:hAnsi="仿宋" w:eastAsia="仿宋" w:cs="仿宋"/>
          <w:sz w:val="32"/>
          <w:szCs w:val="22"/>
          <w:lang w:val="en-US" w:eastAsia="zh-CN" w:bidi="ar-SA"/>
        </w:rPr>
      </w:pPr>
      <w:r>
        <w:rPr>
          <w:rFonts w:hint="eastAsia" w:ascii="仿宋" w:hAnsi="仿宋" w:eastAsia="仿宋" w:cs="仿宋"/>
          <w:sz w:val="32"/>
          <w:szCs w:val="22"/>
          <w:lang w:val="en-US" w:eastAsia="zh-CN" w:bidi="ar-SA"/>
        </w:rPr>
        <w:t xml:space="preserve">   无</w:t>
      </w:r>
    </w:p>
    <w:p w14:paraId="75AA2BC7">
      <w:pPr>
        <w:pStyle w:val="2"/>
        <w:keepNext w:val="0"/>
        <w:keepLines w:val="0"/>
        <w:pageBreakBefore w:val="0"/>
        <w:kinsoku/>
        <w:wordWrap/>
        <w:overflowPunct/>
        <w:topLinePunct w:val="0"/>
        <w:autoSpaceDE/>
        <w:autoSpaceDN/>
        <w:bidi w:val="0"/>
        <w:spacing w:beforeAutospacing="0" w:after="0" w:afterAutospacing="0" w:line="440" w:lineRule="exact"/>
        <w:textAlignment w:val="auto"/>
        <w:rPr>
          <w:rFonts w:hint="eastAsia" w:ascii="仿宋" w:hAnsi="仿宋" w:eastAsia="仿宋" w:cs="仿宋"/>
          <w:sz w:val="32"/>
          <w:szCs w:val="22"/>
          <w:lang w:val="en-US" w:eastAsia="zh-CN" w:bidi="ar-SA"/>
        </w:rPr>
      </w:pPr>
    </w:p>
    <w:p w14:paraId="21B408ED">
      <w:pPr>
        <w:keepNext w:val="0"/>
        <w:keepLines w:val="0"/>
        <w:pageBreakBefore w:val="0"/>
        <w:widowControl w:val="0"/>
        <w:tabs>
          <w:tab w:val="left" w:pos="1440"/>
        </w:tabs>
        <w:kinsoku/>
        <w:wordWrap/>
        <w:overflowPunct/>
        <w:topLinePunct w:val="0"/>
        <w:autoSpaceDE/>
        <w:autoSpaceDN/>
        <w:bidi w:val="0"/>
        <w:spacing w:beforeAutospacing="0" w:afterAutospacing="0" w:line="440" w:lineRule="exact"/>
        <w:textAlignment w:val="auto"/>
        <w:rPr>
          <w:rFonts w:ascii="宋体" w:eastAsia="宋体"/>
          <w:sz w:val="30"/>
          <w:szCs w:val="30"/>
        </w:rPr>
      </w:pPr>
    </w:p>
    <w:p w14:paraId="57C15210">
      <w:pPr>
        <w:pStyle w:val="2"/>
        <w:rPr>
          <w:rFonts w:ascii="宋体" w:eastAsia="宋体"/>
          <w:sz w:val="30"/>
          <w:szCs w:val="30"/>
        </w:rPr>
      </w:pPr>
    </w:p>
    <w:p w14:paraId="34D0A64C">
      <w:pPr>
        <w:rPr>
          <w:rFonts w:ascii="宋体" w:eastAsia="宋体"/>
          <w:sz w:val="30"/>
          <w:szCs w:val="30"/>
        </w:rPr>
      </w:pPr>
    </w:p>
    <w:p w14:paraId="433B52AB">
      <w:pPr>
        <w:rPr>
          <w:rFonts w:ascii="宋体" w:eastAsia="宋体"/>
          <w:sz w:val="30"/>
          <w:szCs w:val="30"/>
        </w:rPr>
      </w:pPr>
    </w:p>
    <w:p w14:paraId="262051E5">
      <w:pPr>
        <w:pStyle w:val="2"/>
      </w:pPr>
    </w:p>
    <w:p w14:paraId="71683324">
      <w:pPr>
        <w:pStyle w:val="20"/>
        <w:keepNext w:val="0"/>
        <w:keepLines w:val="0"/>
        <w:pageBreakBefore w:val="0"/>
        <w:widowControl w:val="0"/>
        <w:kinsoku/>
        <w:wordWrap/>
        <w:overflowPunct/>
        <w:topLinePunct w:val="0"/>
        <w:autoSpaceDE/>
        <w:autoSpaceDN/>
        <w:bidi w:val="0"/>
        <w:spacing w:beforeAutospacing="0" w:afterAutospacing="0" w:line="44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lang w:eastAsia="zh-CN"/>
        </w:rPr>
        <w:t>专项预算项目支出</w:t>
      </w:r>
      <w:r>
        <w:rPr>
          <w:rFonts w:hint="eastAsia" w:ascii="方正小标宋简体" w:eastAsia="方正小标宋简体"/>
          <w:sz w:val="44"/>
          <w:szCs w:val="44"/>
        </w:rPr>
        <w:t>绩效自评报告范本</w:t>
      </w:r>
    </w:p>
    <w:p w14:paraId="33C3F19A">
      <w:pPr>
        <w:pStyle w:val="20"/>
        <w:keepNext w:val="0"/>
        <w:keepLines w:val="0"/>
        <w:pageBreakBefore w:val="0"/>
        <w:widowControl w:val="0"/>
        <w:kinsoku/>
        <w:wordWrap/>
        <w:overflowPunct/>
        <w:topLinePunct w:val="0"/>
        <w:autoSpaceDE/>
        <w:autoSpaceDN/>
        <w:bidi w:val="0"/>
        <w:spacing w:beforeAutospacing="0" w:afterAutospacing="0" w:line="440" w:lineRule="exact"/>
        <w:jc w:val="center"/>
        <w:textAlignment w:val="auto"/>
        <w:rPr>
          <w:rFonts w:ascii="仿宋_GB2312" w:eastAsia="仿宋_GB2312"/>
          <w:color w:val="auto"/>
          <w:kern w:val="2"/>
          <w:sz w:val="32"/>
          <w:szCs w:val="32"/>
        </w:rPr>
      </w:pPr>
      <w:r>
        <w:rPr>
          <w:rFonts w:hint="eastAsia" w:ascii="仿宋_GB2312" w:eastAsia="仿宋_GB2312"/>
          <w:color w:val="auto"/>
          <w:kern w:val="2"/>
          <w:sz w:val="32"/>
          <w:szCs w:val="32"/>
        </w:rPr>
        <w:t>（九寨沟县保华乡2022年中央财政衔接资金以工代赈项目）</w:t>
      </w:r>
    </w:p>
    <w:p w14:paraId="5941D0B2">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hint="eastAsia" w:ascii="仿宋" w:hAnsi="仿宋" w:eastAsia="仿宋" w:cs="仿宋"/>
          <w:sz w:val="32"/>
          <w:szCs w:val="22"/>
          <w:lang w:val="zh-CN" w:eastAsia="zh-CN" w:bidi="ar-SA"/>
        </w:rPr>
      </w:pPr>
      <w:r>
        <w:rPr>
          <w:rFonts w:hint="eastAsia" w:ascii="仿宋" w:hAnsi="仿宋" w:eastAsia="仿宋" w:cs="仿宋"/>
          <w:sz w:val="32"/>
          <w:szCs w:val="22"/>
          <w:lang w:val="en-US" w:eastAsia="zh-CN" w:bidi="ar-SA"/>
        </w:rPr>
        <w:t>一、</w:t>
      </w:r>
      <w:r>
        <w:rPr>
          <w:rFonts w:hint="eastAsia" w:ascii="仿宋" w:hAnsi="仿宋" w:eastAsia="仿宋" w:cs="仿宋"/>
          <w:sz w:val="32"/>
          <w:szCs w:val="22"/>
          <w:lang w:val="zh-CN" w:eastAsia="zh-CN" w:bidi="ar-SA"/>
        </w:rPr>
        <w:t>项目概况</w:t>
      </w:r>
    </w:p>
    <w:p w14:paraId="4E35F067">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hint="eastAsia" w:ascii="仿宋" w:hAnsi="仿宋" w:eastAsia="仿宋" w:cs="仿宋"/>
          <w:sz w:val="32"/>
          <w:szCs w:val="22"/>
          <w:lang w:val="zh-CN" w:eastAsia="zh-CN" w:bidi="ar-SA"/>
        </w:rPr>
      </w:pPr>
      <w:r>
        <w:rPr>
          <w:rFonts w:hint="eastAsia" w:ascii="仿宋" w:hAnsi="仿宋" w:eastAsia="仿宋" w:cs="仿宋"/>
          <w:sz w:val="32"/>
          <w:szCs w:val="22"/>
          <w:lang w:val="zh-CN" w:eastAsia="zh-CN" w:bidi="ar-SA"/>
        </w:rPr>
        <w:t>介绍项目基本情况，重点说明以下内容：</w:t>
      </w:r>
    </w:p>
    <w:p w14:paraId="06D24872">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hint="eastAsia" w:ascii="仿宋" w:hAnsi="仿宋" w:eastAsia="仿宋" w:cs="仿宋"/>
          <w:sz w:val="32"/>
          <w:szCs w:val="22"/>
          <w:lang w:val="zh-CN" w:eastAsia="zh-CN" w:bidi="ar-SA"/>
        </w:rPr>
      </w:pPr>
      <w:r>
        <w:rPr>
          <w:rFonts w:hint="eastAsia" w:ascii="仿宋" w:hAnsi="仿宋" w:eastAsia="仿宋" w:cs="仿宋"/>
          <w:sz w:val="32"/>
          <w:szCs w:val="22"/>
          <w:lang w:val="zh-CN" w:eastAsia="zh-CN" w:bidi="ar-SA"/>
        </w:rPr>
        <w:t>项目资金申报及批复情况。</w:t>
      </w:r>
      <w:r>
        <w:rPr>
          <w:rFonts w:hint="eastAsia" w:ascii="仿宋" w:hAnsi="仿宋" w:eastAsia="仿宋" w:cs="仿宋"/>
          <w:sz w:val="32"/>
          <w:szCs w:val="22"/>
          <w:lang w:val="en-US" w:eastAsia="zh-CN" w:bidi="ar-SA"/>
        </w:rPr>
        <w:t>九寨沟县保华乡2022年中央财政衔接资金以工代赈项目经村两委会议申报，乡政府会议通过，立项批复文号为：九发行批〔2021〕83号，建设内容：改建公路3.75公里，路基宽4.5米，20cm水稳层+7cm后沥青砼路面，涵洞2座，道路边沟2.8公里，挡墙2000立方米。</w:t>
      </w:r>
    </w:p>
    <w:p w14:paraId="43B2E712">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hint="eastAsia" w:ascii="仿宋" w:hAnsi="仿宋" w:eastAsia="仿宋" w:cs="仿宋"/>
          <w:sz w:val="32"/>
          <w:szCs w:val="22"/>
          <w:lang w:val="zh-CN" w:eastAsia="zh-CN" w:bidi="ar-SA"/>
        </w:rPr>
      </w:pPr>
      <w:r>
        <w:rPr>
          <w:rFonts w:hint="eastAsia" w:ascii="仿宋" w:hAnsi="仿宋" w:eastAsia="仿宋" w:cs="仿宋"/>
          <w:sz w:val="32"/>
          <w:szCs w:val="22"/>
          <w:lang w:val="zh-CN" w:eastAsia="zh-CN" w:bidi="ar-SA"/>
        </w:rPr>
        <w:t>（二）项目绩效目标。</w:t>
      </w:r>
      <w:r>
        <w:rPr>
          <w:rFonts w:hint="eastAsia" w:ascii="仿宋" w:hAnsi="仿宋" w:eastAsia="仿宋" w:cs="仿宋"/>
          <w:sz w:val="32"/>
          <w:szCs w:val="22"/>
          <w:lang w:val="en-US" w:eastAsia="zh-CN" w:bidi="ar-SA"/>
        </w:rPr>
        <w:t>近年来，九寨沟县保华乡灵保村农村公路交通虽然有了较大的发展，但与其它发达地区比较差距仍然很大，尚不能适应全区经济、社会发展的需要，仍存在不少问题和困难，特别是经过水冲及落石等因素影响，九寨沟县保华乡的乡村公路出现了很多损毁，严重影响村民出行及当地农业旅游发展。项目建成后，将会进一步完善九寨沟县保华乡的基础设施，为产业升级和旅游能力提升打下良好基础，能直接，间接增加当地居民的就业机会，带动农牧民增收，提高群众生活质量和水平。</w:t>
      </w:r>
    </w:p>
    <w:p w14:paraId="2FEF1829">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hint="eastAsia" w:ascii="仿宋" w:hAnsi="仿宋" w:eastAsia="仿宋" w:cs="仿宋"/>
          <w:sz w:val="32"/>
          <w:szCs w:val="22"/>
          <w:lang w:val="zh-CN" w:eastAsia="zh-CN" w:bidi="ar-SA"/>
        </w:rPr>
      </w:pPr>
      <w:r>
        <w:rPr>
          <w:rFonts w:hint="eastAsia" w:ascii="仿宋" w:hAnsi="仿宋" w:eastAsia="仿宋" w:cs="仿宋"/>
          <w:sz w:val="32"/>
          <w:szCs w:val="22"/>
          <w:lang w:val="zh-CN" w:eastAsia="zh-CN" w:bidi="ar-SA"/>
        </w:rPr>
        <w:t>（三）项目资金申报相符性。</w:t>
      </w:r>
    </w:p>
    <w:p w14:paraId="4F8DCBF0">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hint="eastAsia" w:ascii="仿宋" w:hAnsi="仿宋" w:eastAsia="仿宋" w:cs="仿宋"/>
          <w:sz w:val="32"/>
          <w:szCs w:val="22"/>
          <w:lang w:val="zh-CN" w:eastAsia="zh-CN" w:bidi="ar-SA"/>
        </w:rPr>
      </w:pPr>
      <w:r>
        <w:rPr>
          <w:rFonts w:hint="eastAsia" w:ascii="仿宋" w:hAnsi="仿宋" w:eastAsia="仿宋" w:cs="仿宋"/>
          <w:sz w:val="32"/>
          <w:szCs w:val="22"/>
          <w:lang w:val="en-US" w:eastAsia="zh-CN" w:bidi="ar-SA"/>
        </w:rPr>
        <w:t>本项目通过现场踏勘、与项目相关人员及受益群众座谈，讨论了解项目情况，收集相关资料，综合分析相关建设情况后，对项目的立项必要性、投入经济性、目标合理性、方案可行性以及筹资合规性实施，评估</w:t>
      </w:r>
      <w:r>
        <w:rPr>
          <w:rFonts w:hint="eastAsia" w:ascii="仿宋" w:hAnsi="仿宋" w:eastAsia="仿宋" w:cs="仿宋"/>
          <w:sz w:val="32"/>
          <w:szCs w:val="22"/>
          <w:lang w:val="zh-CN" w:eastAsia="zh-CN" w:bidi="ar-SA"/>
        </w:rPr>
        <w:t>申报目标合理。</w:t>
      </w:r>
    </w:p>
    <w:p w14:paraId="4B8AAE92">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hint="eastAsia" w:ascii="仿宋" w:hAnsi="仿宋" w:eastAsia="仿宋" w:cs="仿宋"/>
          <w:sz w:val="32"/>
          <w:szCs w:val="22"/>
          <w:lang w:val="en-US" w:eastAsia="zh-CN" w:bidi="ar-SA"/>
        </w:rPr>
      </w:pPr>
      <w:r>
        <w:rPr>
          <w:rFonts w:hint="eastAsia" w:ascii="仿宋" w:hAnsi="仿宋" w:eastAsia="仿宋" w:cs="仿宋"/>
          <w:sz w:val="32"/>
          <w:szCs w:val="22"/>
          <w:lang w:val="en-US" w:eastAsia="zh-CN" w:bidi="ar-SA"/>
        </w:rPr>
        <w:t>二、项目实施及管理情况</w:t>
      </w:r>
    </w:p>
    <w:p w14:paraId="33F79D62">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hint="eastAsia" w:ascii="仿宋" w:hAnsi="仿宋" w:eastAsia="仿宋" w:cs="仿宋"/>
          <w:sz w:val="32"/>
          <w:szCs w:val="22"/>
          <w:lang w:val="zh-CN" w:eastAsia="zh-CN" w:bidi="ar-SA"/>
        </w:rPr>
      </w:pPr>
      <w:r>
        <w:rPr>
          <w:rFonts w:hint="eastAsia" w:ascii="仿宋" w:hAnsi="仿宋" w:eastAsia="仿宋" w:cs="仿宋"/>
          <w:sz w:val="32"/>
          <w:szCs w:val="22"/>
          <w:lang w:val="zh-CN" w:eastAsia="zh-CN" w:bidi="ar-SA"/>
        </w:rPr>
        <w:t>（一）资金计划、到位及使用情况。</w:t>
      </w:r>
    </w:p>
    <w:p w14:paraId="56928A57">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hint="eastAsia" w:ascii="仿宋" w:hAnsi="仿宋" w:eastAsia="仿宋" w:cs="仿宋"/>
          <w:sz w:val="32"/>
          <w:szCs w:val="22"/>
          <w:lang w:val="en-US" w:eastAsia="zh-CN" w:bidi="ar-SA"/>
        </w:rPr>
      </w:pPr>
      <w:r>
        <w:rPr>
          <w:rFonts w:hint="eastAsia" w:ascii="仿宋" w:hAnsi="仿宋" w:eastAsia="仿宋" w:cs="仿宋"/>
          <w:sz w:val="32"/>
          <w:szCs w:val="22"/>
          <w:lang w:val="zh-CN" w:eastAsia="zh-CN" w:bidi="ar-SA"/>
        </w:rPr>
        <w:t>1．资金计划</w:t>
      </w:r>
      <w:r>
        <w:rPr>
          <w:rFonts w:hint="eastAsia" w:ascii="仿宋" w:hAnsi="仿宋" w:eastAsia="仿宋" w:cs="仿宋"/>
          <w:sz w:val="32"/>
          <w:szCs w:val="22"/>
          <w:lang w:val="en-US" w:eastAsia="zh-CN" w:bidi="ar-SA"/>
        </w:rPr>
        <w:t>及时</w:t>
      </w:r>
      <w:r>
        <w:rPr>
          <w:rFonts w:hint="eastAsia" w:ascii="仿宋" w:hAnsi="仿宋" w:eastAsia="仿宋" w:cs="仿宋"/>
          <w:sz w:val="32"/>
          <w:szCs w:val="22"/>
          <w:lang w:val="zh-CN" w:eastAsia="zh-CN" w:bidi="ar-SA"/>
        </w:rPr>
        <w:t>到位。</w:t>
      </w:r>
      <w:r>
        <w:rPr>
          <w:rFonts w:hint="eastAsia" w:ascii="仿宋" w:hAnsi="仿宋" w:eastAsia="仿宋" w:cs="仿宋"/>
          <w:sz w:val="32"/>
          <w:szCs w:val="22"/>
          <w:lang w:val="en-US" w:eastAsia="zh-CN" w:bidi="ar-SA"/>
        </w:rPr>
        <w:t>项目资金417万已于2022年全部到位。</w:t>
      </w:r>
    </w:p>
    <w:p w14:paraId="3306CA87">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hint="eastAsia" w:ascii="仿宋" w:hAnsi="仿宋" w:eastAsia="仿宋" w:cs="仿宋"/>
          <w:sz w:val="32"/>
          <w:szCs w:val="22"/>
          <w:lang w:val="zh-CN" w:eastAsia="zh-CN" w:bidi="ar-SA"/>
        </w:rPr>
      </w:pPr>
      <w:r>
        <w:rPr>
          <w:rFonts w:hint="eastAsia" w:ascii="仿宋" w:hAnsi="仿宋" w:eastAsia="仿宋" w:cs="仿宋"/>
          <w:sz w:val="32"/>
          <w:szCs w:val="22"/>
          <w:lang w:val="zh-CN" w:eastAsia="zh-CN" w:bidi="ar-SA"/>
        </w:rPr>
        <w:t>2．资金使用。</w:t>
      </w:r>
      <w:r>
        <w:rPr>
          <w:rFonts w:hint="eastAsia" w:ascii="仿宋" w:hAnsi="仿宋" w:eastAsia="仿宋" w:cs="仿宋"/>
          <w:sz w:val="32"/>
          <w:szCs w:val="22"/>
          <w:lang w:val="en-US" w:eastAsia="zh-CN" w:bidi="ar-SA"/>
        </w:rPr>
        <w:t>项目资金均用于九寨沟县保华乡2022年中央财政衔接资金以工代赈项目，确保专款专用。该项目资金于2022年列支项目预付款、进度款、支付材料费、机械租赁费、支付人工劳务工资、监理费、审核费等共计支付3562478.26元，已支付85.43%。</w:t>
      </w:r>
    </w:p>
    <w:p w14:paraId="30A409DF">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hint="eastAsia" w:ascii="仿宋" w:hAnsi="仿宋" w:eastAsia="仿宋" w:cs="仿宋"/>
          <w:sz w:val="32"/>
          <w:szCs w:val="22"/>
          <w:lang w:val="zh-CN" w:eastAsia="zh-CN" w:bidi="ar-SA"/>
        </w:rPr>
      </w:pPr>
      <w:r>
        <w:rPr>
          <w:rFonts w:hint="eastAsia" w:ascii="仿宋" w:hAnsi="仿宋" w:eastAsia="仿宋" w:cs="仿宋"/>
          <w:sz w:val="32"/>
          <w:szCs w:val="22"/>
          <w:lang w:val="zh-CN" w:eastAsia="zh-CN" w:bidi="ar-SA"/>
        </w:rPr>
        <w:t>（二）项目财务管理情况。</w:t>
      </w:r>
    </w:p>
    <w:p w14:paraId="5E938293">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hint="eastAsia" w:ascii="仿宋" w:hAnsi="仿宋" w:eastAsia="仿宋" w:cs="仿宋"/>
          <w:sz w:val="32"/>
          <w:szCs w:val="22"/>
          <w:lang w:val="zh-CN" w:eastAsia="zh-CN" w:bidi="ar-SA"/>
        </w:rPr>
      </w:pPr>
      <w:r>
        <w:rPr>
          <w:rFonts w:hint="eastAsia" w:ascii="仿宋" w:hAnsi="仿宋" w:eastAsia="仿宋" w:cs="仿宋"/>
          <w:sz w:val="32"/>
          <w:szCs w:val="22"/>
          <w:lang w:val="en-US" w:eastAsia="zh-CN" w:bidi="ar-SA"/>
        </w:rPr>
        <w:t>项目资金均用于九寨沟县保华乡2022年中央财政衔接资金以工代赈项目，确保专款专用。资金管理严格按照县财政预算资金的安排合理使用，坚持专款专用、量入为出的原则，严格落实专项资金的申拨、使用审批手续，充分发挥资金使用效益，使专用资金按规定的用途使用并达到预期目的。严格遵守相关财务制度规定，项目费用报账按照项目分管审查，财务审核，财务分管严格把关，层层审批同意才给予报销</w:t>
      </w:r>
    </w:p>
    <w:p w14:paraId="7F8E0A4A">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hint="eastAsia" w:ascii="仿宋" w:hAnsi="仿宋" w:eastAsia="仿宋" w:cs="仿宋"/>
          <w:sz w:val="32"/>
          <w:szCs w:val="22"/>
          <w:lang w:val="zh-CN" w:eastAsia="zh-CN" w:bidi="ar-SA"/>
        </w:rPr>
      </w:pPr>
      <w:r>
        <w:rPr>
          <w:rFonts w:hint="eastAsia" w:ascii="仿宋" w:hAnsi="仿宋" w:eastAsia="仿宋" w:cs="仿宋"/>
          <w:sz w:val="32"/>
          <w:szCs w:val="22"/>
          <w:lang w:val="zh-CN" w:eastAsia="zh-CN" w:bidi="ar-SA"/>
        </w:rPr>
        <w:t>（三）项目组织实施情况。</w:t>
      </w:r>
    </w:p>
    <w:p w14:paraId="481EDE1B">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hint="default" w:ascii="仿宋" w:hAnsi="仿宋" w:eastAsia="仿宋" w:cs="仿宋"/>
          <w:sz w:val="32"/>
          <w:szCs w:val="22"/>
          <w:lang w:val="en-US" w:eastAsia="zh-CN" w:bidi="ar-SA"/>
        </w:rPr>
      </w:pPr>
      <w:r>
        <w:rPr>
          <w:rFonts w:hint="eastAsia" w:ascii="仿宋" w:hAnsi="仿宋" w:eastAsia="仿宋" w:cs="仿宋"/>
          <w:sz w:val="32"/>
          <w:szCs w:val="22"/>
          <w:lang w:val="en-US" w:eastAsia="zh-CN" w:bidi="ar-SA"/>
        </w:rPr>
        <w:t>九寨沟县保华乡2022年中央财政衔接资金以工代赈项目经村两委会议申报，乡政府会议通过，报发改局审批下达，村民代表大会决议通过项目建设内容、建设方式，成立项目领导小组、监督小组、理财小组，有具体人员负责合同管理、资料管理、资金管理进度控制等日常工作，强化落实责任，确保了工程进度和工程质量。</w:t>
      </w:r>
    </w:p>
    <w:p w14:paraId="7B3C7FDD">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hint="eastAsia" w:ascii="仿宋" w:hAnsi="仿宋" w:eastAsia="仿宋" w:cs="仿宋"/>
          <w:sz w:val="32"/>
          <w:szCs w:val="22"/>
          <w:lang w:val="zh-CN" w:eastAsia="zh-CN" w:bidi="ar-SA"/>
        </w:rPr>
      </w:pPr>
      <w:r>
        <w:rPr>
          <w:rFonts w:hint="eastAsia" w:ascii="仿宋" w:hAnsi="仿宋" w:eastAsia="仿宋" w:cs="仿宋"/>
          <w:sz w:val="32"/>
          <w:szCs w:val="22"/>
          <w:lang w:val="en-US" w:eastAsia="zh-CN" w:bidi="ar-SA"/>
        </w:rPr>
        <w:t>三、项目绩效情况</w:t>
      </w:r>
      <w:r>
        <w:rPr>
          <w:rFonts w:hint="eastAsia" w:ascii="仿宋" w:hAnsi="仿宋" w:eastAsia="仿宋" w:cs="仿宋"/>
          <w:sz w:val="32"/>
          <w:szCs w:val="22"/>
          <w:lang w:val="zh-CN" w:eastAsia="zh-CN" w:bidi="ar-SA"/>
        </w:rPr>
        <w:tab/>
      </w:r>
    </w:p>
    <w:p w14:paraId="68DA075E">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hint="eastAsia" w:ascii="仿宋" w:hAnsi="仿宋" w:eastAsia="仿宋" w:cs="仿宋"/>
          <w:sz w:val="32"/>
          <w:szCs w:val="22"/>
          <w:lang w:val="en-US" w:eastAsia="zh-CN" w:bidi="ar-SA"/>
        </w:rPr>
      </w:pPr>
      <w:r>
        <w:rPr>
          <w:rFonts w:hint="eastAsia" w:ascii="仿宋" w:hAnsi="仿宋" w:eastAsia="仿宋" w:cs="仿宋"/>
          <w:sz w:val="32"/>
          <w:szCs w:val="22"/>
          <w:lang w:val="en-US" w:eastAsia="zh-CN" w:bidi="ar-SA"/>
        </w:rPr>
        <w:t>项目所在地没有等级公路通行，现有路面较窄破损，一旦下雨就很难出行，车辆更难行进。目前这条路上汽车通行困难。现在有产业基地，产业基地需要的物资无法运送。</w:t>
      </w:r>
    </w:p>
    <w:p w14:paraId="518C78F7">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hint="eastAsia" w:ascii="仿宋" w:hAnsi="仿宋" w:eastAsia="仿宋" w:cs="仿宋"/>
          <w:sz w:val="32"/>
          <w:szCs w:val="22"/>
          <w:lang w:val="en-US" w:eastAsia="zh-CN" w:bidi="ar-SA"/>
        </w:rPr>
      </w:pPr>
      <w:r>
        <w:rPr>
          <w:rFonts w:hint="eastAsia" w:ascii="仿宋" w:hAnsi="仿宋" w:eastAsia="仿宋" w:cs="仿宋"/>
          <w:sz w:val="32"/>
          <w:szCs w:val="22"/>
          <w:lang w:val="en-US" w:eastAsia="zh-CN" w:bidi="ar-SA"/>
        </w:rPr>
        <w:t>本项目的建设，将极大改变本村的通行条件，改善当地老百姓的生产生活条件，使各种基础设施得到改善，加强对自然资源的管理力度，使周边社区对资源的依赖性逐步减少，可促进社区产业结构的调整，当地居民可得到更多实惠，也为地方经济的发展拓展了空间。</w:t>
      </w:r>
    </w:p>
    <w:p w14:paraId="1176B345">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hint="eastAsia" w:ascii="仿宋" w:hAnsi="仿宋" w:eastAsia="仿宋" w:cs="仿宋"/>
          <w:sz w:val="32"/>
          <w:szCs w:val="22"/>
          <w:lang w:val="en-US" w:eastAsia="zh-CN" w:bidi="ar-SA"/>
        </w:rPr>
      </w:pPr>
      <w:r>
        <w:rPr>
          <w:rFonts w:hint="eastAsia" w:ascii="仿宋" w:hAnsi="仿宋" w:eastAsia="仿宋" w:cs="仿宋"/>
          <w:sz w:val="32"/>
          <w:szCs w:val="22"/>
          <w:lang w:val="en-US" w:eastAsia="zh-CN" w:bidi="ar-SA"/>
        </w:rPr>
        <w:t>本项目的建设，将极大的改善产业基地的交通状况，为产业基地的发展壮大提供极大帮助。而产业基地的发展壮大又可以为当地老百姓起到致富示范引领作用，提供更多就业机会，助力当地经济发展。</w:t>
      </w:r>
    </w:p>
    <w:p w14:paraId="35851C31">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hint="eastAsia" w:ascii="仿宋" w:hAnsi="仿宋" w:eastAsia="仿宋" w:cs="仿宋"/>
          <w:sz w:val="32"/>
          <w:szCs w:val="22"/>
          <w:lang w:val="en-US" w:eastAsia="zh-CN" w:bidi="ar-SA"/>
        </w:rPr>
      </w:pPr>
      <w:r>
        <w:rPr>
          <w:rFonts w:hint="eastAsia" w:ascii="仿宋" w:hAnsi="仿宋" w:eastAsia="仿宋" w:cs="仿宋"/>
          <w:sz w:val="32"/>
          <w:szCs w:val="22"/>
          <w:lang w:val="en-US" w:eastAsia="zh-CN" w:bidi="ar-SA"/>
        </w:rPr>
        <w:t>本项目的建设，将完善当地交通网络，极大的方便村民与外地的沟通、交流和贸易。</w:t>
      </w:r>
    </w:p>
    <w:p w14:paraId="750888C0">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hint="eastAsia" w:ascii="仿宋" w:hAnsi="仿宋" w:eastAsia="仿宋" w:cs="仿宋"/>
          <w:sz w:val="32"/>
          <w:szCs w:val="22"/>
          <w:lang w:val="en-US" w:eastAsia="zh-CN" w:bidi="ar-SA"/>
        </w:rPr>
      </w:pPr>
      <w:r>
        <w:rPr>
          <w:rFonts w:hint="eastAsia" w:ascii="仿宋" w:hAnsi="仿宋" w:eastAsia="仿宋" w:cs="仿宋"/>
          <w:sz w:val="32"/>
          <w:szCs w:val="22"/>
          <w:lang w:val="en-US" w:eastAsia="zh-CN" w:bidi="ar-SA"/>
        </w:rPr>
        <w:t>四、问题及建议</w:t>
      </w:r>
    </w:p>
    <w:p w14:paraId="5315E4B2">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hint="eastAsia" w:ascii="仿宋" w:hAnsi="仿宋" w:eastAsia="仿宋" w:cs="仿宋"/>
          <w:sz w:val="32"/>
          <w:szCs w:val="22"/>
          <w:lang w:val="en-US" w:eastAsia="zh-CN" w:bidi="ar-SA"/>
        </w:rPr>
      </w:pPr>
      <w:r>
        <w:rPr>
          <w:rFonts w:hint="eastAsia" w:ascii="仿宋" w:hAnsi="仿宋" w:eastAsia="仿宋" w:cs="仿宋"/>
          <w:sz w:val="32"/>
          <w:szCs w:val="22"/>
          <w:lang w:val="zh-CN" w:eastAsia="zh-CN" w:bidi="ar-SA"/>
        </w:rPr>
        <w:t>（一）存在的问题。</w:t>
      </w:r>
      <w:r>
        <w:rPr>
          <w:rFonts w:hint="eastAsia" w:ascii="仿宋" w:hAnsi="仿宋" w:eastAsia="仿宋" w:cs="仿宋"/>
          <w:sz w:val="32"/>
          <w:szCs w:val="22"/>
          <w:lang w:val="en-US" w:eastAsia="zh-CN" w:bidi="ar-SA"/>
        </w:rPr>
        <w:t>无</w:t>
      </w:r>
    </w:p>
    <w:p w14:paraId="661D8305">
      <w:pPr>
        <w:keepNext w:val="0"/>
        <w:keepLines w:val="0"/>
        <w:pageBreakBefore w:val="0"/>
        <w:kinsoku/>
        <w:wordWrap/>
        <w:overflowPunct/>
        <w:topLinePunct w:val="0"/>
        <w:autoSpaceDE/>
        <w:autoSpaceDN/>
        <w:bidi w:val="0"/>
        <w:spacing w:beforeAutospacing="0" w:afterAutospacing="0" w:line="440" w:lineRule="exact"/>
        <w:ind w:firstLine="640" w:firstLineChars="200"/>
        <w:textAlignment w:val="auto"/>
        <w:rPr>
          <w:rFonts w:hint="eastAsia" w:ascii="仿宋" w:hAnsi="仿宋" w:eastAsia="仿宋" w:cs="仿宋"/>
          <w:sz w:val="32"/>
          <w:szCs w:val="22"/>
          <w:lang w:val="en-US" w:eastAsia="zh-CN" w:bidi="ar-SA"/>
        </w:rPr>
      </w:pPr>
      <w:r>
        <w:rPr>
          <w:rFonts w:hint="eastAsia" w:ascii="仿宋" w:hAnsi="仿宋" w:eastAsia="仿宋" w:cs="仿宋"/>
          <w:sz w:val="32"/>
          <w:szCs w:val="22"/>
          <w:lang w:val="zh-CN" w:eastAsia="zh-CN" w:bidi="ar-SA"/>
        </w:rPr>
        <w:t>（二）相关建议。</w:t>
      </w:r>
      <w:r>
        <w:rPr>
          <w:rFonts w:hint="eastAsia" w:ascii="仿宋" w:hAnsi="仿宋" w:eastAsia="仿宋" w:cs="仿宋"/>
          <w:sz w:val="32"/>
          <w:szCs w:val="22"/>
          <w:lang w:val="en-US" w:eastAsia="zh-CN" w:bidi="ar-SA"/>
        </w:rPr>
        <w:t>无</w:t>
      </w:r>
    </w:p>
    <w:p w14:paraId="78130689">
      <w:pPr>
        <w:keepNext w:val="0"/>
        <w:keepLines w:val="0"/>
        <w:pageBreakBefore w:val="0"/>
        <w:kinsoku/>
        <w:wordWrap/>
        <w:overflowPunct/>
        <w:topLinePunct w:val="0"/>
        <w:autoSpaceDE/>
        <w:autoSpaceDN/>
        <w:bidi w:val="0"/>
        <w:spacing w:line="240" w:lineRule="auto"/>
        <w:ind w:firstLine="640" w:firstLineChars="200"/>
        <w:textAlignment w:val="auto"/>
        <w:rPr>
          <w:rFonts w:hint="default"/>
          <w:lang w:val="en-US" w:eastAsia="zh-CN"/>
        </w:rPr>
      </w:pPr>
      <w:r>
        <w:rPr>
          <w:rFonts w:hint="eastAsia" w:ascii="仿宋" w:hAnsi="仿宋" w:eastAsia="仿宋" w:cs="仿宋"/>
          <w:sz w:val="32"/>
          <w:szCs w:val="22"/>
          <w:lang w:val="en-US" w:eastAsia="zh-CN" w:bidi="ar-SA"/>
        </w:rPr>
        <w:t xml:space="preserve">  </w:t>
      </w:r>
    </w:p>
    <w:p w14:paraId="48E49C3D">
      <w:pPr>
        <w:pStyle w:val="12"/>
        <w:keepNext w:val="0"/>
        <w:keepLines w:val="0"/>
        <w:pageBreakBefore w:val="0"/>
        <w:shd w:val="clear" w:color="auto" w:fill="FFFFFF"/>
        <w:kinsoku/>
        <w:wordWrap/>
        <w:overflowPunct/>
        <w:topLinePunct w:val="0"/>
        <w:autoSpaceDE/>
        <w:autoSpaceDN/>
        <w:bidi w:val="0"/>
        <w:spacing w:line="240" w:lineRule="auto"/>
        <w:textAlignment w:val="auto"/>
      </w:pPr>
      <w:r>
        <w:t> </w:t>
      </w:r>
    </w:p>
    <w:p w14:paraId="39F8AD04">
      <w:pPr>
        <w:pStyle w:val="12"/>
        <w:keepNext w:val="0"/>
        <w:keepLines w:val="0"/>
        <w:pageBreakBefore w:val="0"/>
        <w:shd w:val="clear" w:color="auto" w:fill="FFFFFF"/>
        <w:kinsoku/>
        <w:wordWrap/>
        <w:overflowPunct/>
        <w:topLinePunct w:val="0"/>
        <w:autoSpaceDE/>
        <w:autoSpaceDN/>
        <w:bidi w:val="0"/>
        <w:spacing w:line="240" w:lineRule="auto"/>
        <w:textAlignment w:val="auto"/>
      </w:pPr>
    </w:p>
    <w:p w14:paraId="5ACB09EB">
      <w:pPr>
        <w:pStyle w:val="12"/>
        <w:keepNext w:val="0"/>
        <w:keepLines w:val="0"/>
        <w:pageBreakBefore w:val="0"/>
        <w:shd w:val="clear" w:color="auto" w:fill="FFFFFF"/>
        <w:kinsoku/>
        <w:wordWrap/>
        <w:overflowPunct/>
        <w:topLinePunct w:val="0"/>
        <w:autoSpaceDE/>
        <w:autoSpaceDN/>
        <w:bidi w:val="0"/>
        <w:spacing w:line="240" w:lineRule="auto"/>
        <w:textAlignment w:val="auto"/>
      </w:pPr>
    </w:p>
    <w:p w14:paraId="195ADC1F">
      <w:pPr>
        <w:pStyle w:val="12"/>
        <w:keepNext w:val="0"/>
        <w:keepLines w:val="0"/>
        <w:pageBreakBefore w:val="0"/>
        <w:shd w:val="clear" w:color="auto" w:fill="FFFFFF"/>
        <w:kinsoku/>
        <w:wordWrap/>
        <w:overflowPunct/>
        <w:topLinePunct w:val="0"/>
        <w:autoSpaceDE/>
        <w:autoSpaceDN/>
        <w:bidi w:val="0"/>
        <w:spacing w:line="240" w:lineRule="auto"/>
        <w:textAlignment w:val="auto"/>
      </w:pPr>
    </w:p>
    <w:p w14:paraId="6A12CE99">
      <w:pPr>
        <w:pStyle w:val="12"/>
        <w:keepNext w:val="0"/>
        <w:keepLines w:val="0"/>
        <w:pageBreakBefore w:val="0"/>
        <w:shd w:val="clear" w:color="auto" w:fill="FFFFFF"/>
        <w:kinsoku/>
        <w:wordWrap/>
        <w:overflowPunct/>
        <w:topLinePunct w:val="0"/>
        <w:autoSpaceDE/>
        <w:autoSpaceDN/>
        <w:bidi w:val="0"/>
        <w:spacing w:line="240" w:lineRule="auto"/>
        <w:textAlignment w:val="auto"/>
      </w:pPr>
    </w:p>
    <w:p w14:paraId="7E2F899D">
      <w:pPr>
        <w:pStyle w:val="12"/>
        <w:keepNext w:val="0"/>
        <w:keepLines w:val="0"/>
        <w:pageBreakBefore w:val="0"/>
        <w:shd w:val="clear" w:color="auto" w:fill="FFFFFF"/>
        <w:kinsoku/>
        <w:wordWrap/>
        <w:overflowPunct/>
        <w:topLinePunct w:val="0"/>
        <w:autoSpaceDE/>
        <w:autoSpaceDN/>
        <w:bidi w:val="0"/>
        <w:spacing w:line="240" w:lineRule="auto"/>
        <w:textAlignment w:val="auto"/>
      </w:pPr>
    </w:p>
    <w:p w14:paraId="719F84FB">
      <w:pPr>
        <w:pStyle w:val="12"/>
        <w:keepNext w:val="0"/>
        <w:keepLines w:val="0"/>
        <w:pageBreakBefore w:val="0"/>
        <w:shd w:val="clear" w:color="auto" w:fill="FFFFFF"/>
        <w:kinsoku/>
        <w:wordWrap/>
        <w:overflowPunct/>
        <w:topLinePunct w:val="0"/>
        <w:autoSpaceDE/>
        <w:autoSpaceDN/>
        <w:bidi w:val="0"/>
        <w:spacing w:line="240" w:lineRule="auto"/>
        <w:textAlignment w:val="auto"/>
      </w:pPr>
    </w:p>
    <w:p w14:paraId="572BA6BB">
      <w:pPr>
        <w:pStyle w:val="12"/>
        <w:keepNext w:val="0"/>
        <w:keepLines w:val="0"/>
        <w:pageBreakBefore w:val="0"/>
        <w:shd w:val="clear" w:color="auto" w:fill="FFFFFF"/>
        <w:kinsoku/>
        <w:wordWrap/>
        <w:overflowPunct/>
        <w:topLinePunct w:val="0"/>
        <w:autoSpaceDE/>
        <w:autoSpaceDN/>
        <w:bidi w:val="0"/>
        <w:spacing w:line="240" w:lineRule="auto"/>
        <w:textAlignment w:val="auto"/>
      </w:pPr>
    </w:p>
    <w:p w14:paraId="09546676">
      <w:pPr>
        <w:pStyle w:val="12"/>
        <w:keepNext w:val="0"/>
        <w:keepLines w:val="0"/>
        <w:pageBreakBefore w:val="0"/>
        <w:shd w:val="clear" w:color="auto" w:fill="FFFFFF"/>
        <w:kinsoku/>
        <w:wordWrap/>
        <w:overflowPunct/>
        <w:topLinePunct w:val="0"/>
        <w:autoSpaceDE/>
        <w:autoSpaceDN/>
        <w:bidi w:val="0"/>
        <w:spacing w:line="240" w:lineRule="auto"/>
        <w:textAlignment w:val="auto"/>
      </w:pPr>
    </w:p>
    <w:p w14:paraId="2EE5744A">
      <w:pPr>
        <w:pStyle w:val="12"/>
        <w:keepNext w:val="0"/>
        <w:keepLines w:val="0"/>
        <w:pageBreakBefore w:val="0"/>
        <w:shd w:val="clear" w:color="auto" w:fill="FFFFFF"/>
        <w:kinsoku/>
        <w:wordWrap/>
        <w:overflowPunct/>
        <w:topLinePunct w:val="0"/>
        <w:autoSpaceDE/>
        <w:autoSpaceDN/>
        <w:bidi w:val="0"/>
        <w:spacing w:line="240" w:lineRule="auto"/>
        <w:textAlignment w:val="auto"/>
      </w:pPr>
    </w:p>
    <w:p w14:paraId="26E564ED">
      <w:pPr>
        <w:pStyle w:val="12"/>
        <w:keepNext w:val="0"/>
        <w:keepLines w:val="0"/>
        <w:pageBreakBefore w:val="0"/>
        <w:shd w:val="clear" w:color="auto" w:fill="FFFFFF"/>
        <w:kinsoku/>
        <w:wordWrap/>
        <w:overflowPunct/>
        <w:topLinePunct w:val="0"/>
        <w:autoSpaceDE/>
        <w:autoSpaceDN/>
        <w:bidi w:val="0"/>
        <w:spacing w:line="240" w:lineRule="auto"/>
        <w:textAlignment w:val="auto"/>
      </w:pPr>
    </w:p>
    <w:p w14:paraId="5F75FFF6">
      <w:pPr>
        <w:pStyle w:val="12"/>
        <w:keepNext w:val="0"/>
        <w:keepLines w:val="0"/>
        <w:pageBreakBefore w:val="0"/>
        <w:shd w:val="clear" w:color="auto" w:fill="FFFFFF"/>
        <w:kinsoku/>
        <w:wordWrap/>
        <w:overflowPunct/>
        <w:topLinePunct w:val="0"/>
        <w:autoSpaceDE/>
        <w:autoSpaceDN/>
        <w:bidi w:val="0"/>
        <w:spacing w:line="240" w:lineRule="auto"/>
        <w:jc w:val="center"/>
        <w:textAlignment w:val="auto"/>
      </w:pPr>
    </w:p>
    <w:p w14:paraId="5E55C993">
      <w:pPr>
        <w:pStyle w:val="12"/>
        <w:keepNext w:val="0"/>
        <w:keepLines w:val="0"/>
        <w:pageBreakBefore w:val="0"/>
        <w:shd w:val="clear" w:color="auto" w:fill="FFFFFF"/>
        <w:kinsoku/>
        <w:wordWrap/>
        <w:overflowPunct/>
        <w:topLinePunct w:val="0"/>
        <w:autoSpaceDE/>
        <w:autoSpaceDN/>
        <w:bidi w:val="0"/>
        <w:spacing w:line="240" w:lineRule="auto"/>
        <w:jc w:val="center"/>
        <w:textAlignment w:val="auto"/>
      </w:pPr>
      <w:r>
        <w:rPr>
          <w:rStyle w:val="15"/>
          <w:sz w:val="39"/>
          <w:szCs w:val="39"/>
        </w:rPr>
        <w:t>第五部分 附表</w:t>
      </w:r>
    </w:p>
    <w:p w14:paraId="48387941">
      <w:pPr>
        <w:pStyle w:val="4"/>
        <w:keepNext w:val="0"/>
        <w:keepLines w:val="0"/>
        <w:pageBreakBefore w:val="0"/>
        <w:shd w:val="clear" w:color="auto" w:fill="FFFFFF"/>
        <w:kinsoku/>
        <w:wordWrap/>
        <w:overflowPunct/>
        <w:topLinePunct w:val="0"/>
        <w:autoSpaceDE/>
        <w:autoSpaceDN/>
        <w:bidi w:val="0"/>
        <w:spacing w:line="240" w:lineRule="auto"/>
        <w:textAlignment w:val="auto"/>
      </w:pPr>
      <w:r>
        <w:t>一、收入支出决算总表</w:t>
      </w:r>
    </w:p>
    <w:p w14:paraId="30D52ECA">
      <w:pPr>
        <w:pStyle w:val="4"/>
        <w:keepNext w:val="0"/>
        <w:keepLines w:val="0"/>
        <w:pageBreakBefore w:val="0"/>
        <w:shd w:val="clear" w:color="auto" w:fill="FFFFFF"/>
        <w:kinsoku/>
        <w:wordWrap/>
        <w:overflowPunct/>
        <w:topLinePunct w:val="0"/>
        <w:autoSpaceDE/>
        <w:autoSpaceDN/>
        <w:bidi w:val="0"/>
        <w:spacing w:line="240" w:lineRule="auto"/>
        <w:textAlignment w:val="auto"/>
      </w:pPr>
      <w:r>
        <w:drawing>
          <wp:inline distT="0" distB="0" distL="114300" distR="114300">
            <wp:extent cx="5271135" cy="4417060"/>
            <wp:effectExtent l="0" t="0" r="5715" b="2540"/>
            <wp:docPr id="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1"/>
                    <pic:cNvPicPr>
                      <a:picLocks noChangeAspect="1"/>
                    </pic:cNvPicPr>
                  </pic:nvPicPr>
                  <pic:blipFill>
                    <a:blip r:embed="rId4"/>
                    <a:stretch>
                      <a:fillRect/>
                    </a:stretch>
                  </pic:blipFill>
                  <pic:spPr>
                    <a:xfrm>
                      <a:off x="0" y="0"/>
                      <a:ext cx="5271135" cy="4417060"/>
                    </a:xfrm>
                    <a:prstGeom prst="rect">
                      <a:avLst/>
                    </a:prstGeom>
                    <a:noFill/>
                    <a:ln>
                      <a:noFill/>
                    </a:ln>
                  </pic:spPr>
                </pic:pic>
              </a:graphicData>
            </a:graphic>
          </wp:inline>
        </w:drawing>
      </w:r>
    </w:p>
    <w:p w14:paraId="36A2473B">
      <w:pPr>
        <w:pStyle w:val="4"/>
        <w:keepNext w:val="0"/>
        <w:keepLines w:val="0"/>
        <w:pageBreakBefore w:val="0"/>
        <w:shd w:val="clear" w:color="auto" w:fill="FFFFFF"/>
        <w:kinsoku/>
        <w:wordWrap/>
        <w:overflowPunct/>
        <w:topLinePunct w:val="0"/>
        <w:autoSpaceDE/>
        <w:autoSpaceDN/>
        <w:bidi w:val="0"/>
        <w:spacing w:line="240" w:lineRule="auto"/>
        <w:textAlignment w:val="auto"/>
      </w:pPr>
      <w:r>
        <w:t>二、收入决算表</w:t>
      </w:r>
      <w:r>
        <w:drawing>
          <wp:inline distT="0" distB="0" distL="114300" distR="114300">
            <wp:extent cx="5266690" cy="2464435"/>
            <wp:effectExtent l="0" t="0" r="10160" b="12065"/>
            <wp:docPr id="1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2"/>
                    <pic:cNvPicPr>
                      <a:picLocks noChangeAspect="1"/>
                    </pic:cNvPicPr>
                  </pic:nvPicPr>
                  <pic:blipFill>
                    <a:blip r:embed="rId5"/>
                    <a:stretch>
                      <a:fillRect/>
                    </a:stretch>
                  </pic:blipFill>
                  <pic:spPr>
                    <a:xfrm>
                      <a:off x="0" y="0"/>
                      <a:ext cx="5266690" cy="2464435"/>
                    </a:xfrm>
                    <a:prstGeom prst="rect">
                      <a:avLst/>
                    </a:prstGeom>
                    <a:noFill/>
                    <a:ln>
                      <a:noFill/>
                    </a:ln>
                  </pic:spPr>
                </pic:pic>
              </a:graphicData>
            </a:graphic>
          </wp:inline>
        </w:drawing>
      </w:r>
    </w:p>
    <w:p w14:paraId="239D45DF">
      <w:pPr>
        <w:pStyle w:val="4"/>
        <w:keepNext w:val="0"/>
        <w:keepLines w:val="0"/>
        <w:pageBreakBefore w:val="0"/>
        <w:shd w:val="clear" w:color="auto" w:fill="FFFFFF"/>
        <w:kinsoku/>
        <w:wordWrap/>
        <w:overflowPunct/>
        <w:topLinePunct w:val="0"/>
        <w:autoSpaceDE/>
        <w:autoSpaceDN/>
        <w:bidi w:val="0"/>
        <w:spacing w:line="240" w:lineRule="auto"/>
        <w:textAlignment w:val="auto"/>
      </w:pPr>
      <w:r>
        <w:t>三、支出决算表</w:t>
      </w:r>
      <w:r>
        <w:drawing>
          <wp:inline distT="0" distB="0" distL="114300" distR="114300">
            <wp:extent cx="5265420" cy="2946400"/>
            <wp:effectExtent l="0" t="0" r="11430" b="6350"/>
            <wp:docPr id="1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3"/>
                    <pic:cNvPicPr>
                      <a:picLocks noChangeAspect="1"/>
                    </pic:cNvPicPr>
                  </pic:nvPicPr>
                  <pic:blipFill>
                    <a:blip r:embed="rId6"/>
                    <a:stretch>
                      <a:fillRect/>
                    </a:stretch>
                  </pic:blipFill>
                  <pic:spPr>
                    <a:xfrm>
                      <a:off x="0" y="0"/>
                      <a:ext cx="5265420" cy="2946400"/>
                    </a:xfrm>
                    <a:prstGeom prst="rect">
                      <a:avLst/>
                    </a:prstGeom>
                    <a:noFill/>
                    <a:ln>
                      <a:noFill/>
                    </a:ln>
                  </pic:spPr>
                </pic:pic>
              </a:graphicData>
            </a:graphic>
          </wp:inline>
        </w:drawing>
      </w:r>
    </w:p>
    <w:p w14:paraId="58B44E66">
      <w:pPr>
        <w:pStyle w:val="4"/>
        <w:keepNext w:val="0"/>
        <w:keepLines w:val="0"/>
        <w:pageBreakBefore w:val="0"/>
        <w:shd w:val="clear" w:color="auto" w:fill="FFFFFF"/>
        <w:kinsoku/>
        <w:wordWrap/>
        <w:overflowPunct/>
        <w:topLinePunct w:val="0"/>
        <w:autoSpaceDE/>
        <w:autoSpaceDN/>
        <w:bidi w:val="0"/>
        <w:spacing w:line="240" w:lineRule="auto"/>
        <w:textAlignment w:val="auto"/>
      </w:pPr>
      <w:r>
        <w:t>四、财政拨款收入支出决算总表</w:t>
      </w:r>
      <w:r>
        <w:drawing>
          <wp:inline distT="0" distB="0" distL="114300" distR="114300">
            <wp:extent cx="5266055" cy="3921125"/>
            <wp:effectExtent l="0" t="0" r="10795" b="3175"/>
            <wp:docPr id="1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4"/>
                    <pic:cNvPicPr>
                      <a:picLocks noChangeAspect="1"/>
                    </pic:cNvPicPr>
                  </pic:nvPicPr>
                  <pic:blipFill>
                    <a:blip r:embed="rId7"/>
                    <a:stretch>
                      <a:fillRect/>
                    </a:stretch>
                  </pic:blipFill>
                  <pic:spPr>
                    <a:xfrm>
                      <a:off x="0" y="0"/>
                      <a:ext cx="5266055" cy="3921125"/>
                    </a:xfrm>
                    <a:prstGeom prst="rect">
                      <a:avLst/>
                    </a:prstGeom>
                    <a:noFill/>
                    <a:ln>
                      <a:noFill/>
                    </a:ln>
                  </pic:spPr>
                </pic:pic>
              </a:graphicData>
            </a:graphic>
          </wp:inline>
        </w:drawing>
      </w:r>
      <w:r>
        <w:t>五、财政拨款支出决算明细表</w:t>
      </w:r>
      <w:r>
        <w:drawing>
          <wp:inline distT="0" distB="0" distL="114300" distR="114300">
            <wp:extent cx="5268595" cy="8337550"/>
            <wp:effectExtent l="0" t="0" r="8255" b="6350"/>
            <wp:docPr id="1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5"/>
                    <pic:cNvPicPr>
                      <a:picLocks noChangeAspect="1"/>
                    </pic:cNvPicPr>
                  </pic:nvPicPr>
                  <pic:blipFill>
                    <a:blip r:embed="rId8"/>
                    <a:stretch>
                      <a:fillRect/>
                    </a:stretch>
                  </pic:blipFill>
                  <pic:spPr>
                    <a:xfrm>
                      <a:off x="0" y="0"/>
                      <a:ext cx="5268595" cy="8337550"/>
                    </a:xfrm>
                    <a:prstGeom prst="rect">
                      <a:avLst/>
                    </a:prstGeom>
                    <a:noFill/>
                    <a:ln>
                      <a:noFill/>
                    </a:ln>
                  </pic:spPr>
                </pic:pic>
              </a:graphicData>
            </a:graphic>
          </wp:inline>
        </w:drawing>
      </w:r>
    </w:p>
    <w:p w14:paraId="4A7384CC">
      <w:pPr>
        <w:pStyle w:val="4"/>
        <w:keepNext w:val="0"/>
        <w:keepLines w:val="0"/>
        <w:pageBreakBefore w:val="0"/>
        <w:shd w:val="clear" w:color="auto" w:fill="FFFFFF"/>
        <w:kinsoku/>
        <w:wordWrap/>
        <w:overflowPunct/>
        <w:topLinePunct w:val="0"/>
        <w:autoSpaceDE/>
        <w:autoSpaceDN/>
        <w:bidi w:val="0"/>
        <w:spacing w:line="240" w:lineRule="auto"/>
        <w:textAlignment w:val="auto"/>
      </w:pPr>
      <w:r>
        <w:t>六、一般公共预算财政拨款支出决算表</w:t>
      </w:r>
      <w:r>
        <w:drawing>
          <wp:inline distT="0" distB="0" distL="114300" distR="114300">
            <wp:extent cx="5267960" cy="3956050"/>
            <wp:effectExtent l="0" t="0" r="8890" b="6350"/>
            <wp:docPr id="1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6"/>
                    <pic:cNvPicPr>
                      <a:picLocks noChangeAspect="1"/>
                    </pic:cNvPicPr>
                  </pic:nvPicPr>
                  <pic:blipFill>
                    <a:blip r:embed="rId9"/>
                    <a:stretch>
                      <a:fillRect/>
                    </a:stretch>
                  </pic:blipFill>
                  <pic:spPr>
                    <a:xfrm>
                      <a:off x="0" y="0"/>
                      <a:ext cx="5267960" cy="3956050"/>
                    </a:xfrm>
                    <a:prstGeom prst="rect">
                      <a:avLst/>
                    </a:prstGeom>
                    <a:noFill/>
                    <a:ln>
                      <a:noFill/>
                    </a:ln>
                  </pic:spPr>
                </pic:pic>
              </a:graphicData>
            </a:graphic>
          </wp:inline>
        </w:drawing>
      </w:r>
      <w:r>
        <w:t>七、一般公共预算财政拨款支出决算明细表</w:t>
      </w:r>
      <w:r>
        <w:drawing>
          <wp:inline distT="0" distB="0" distL="114300" distR="114300">
            <wp:extent cx="5194300" cy="4730750"/>
            <wp:effectExtent l="0" t="0" r="6350" b="12700"/>
            <wp:docPr id="1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7"/>
                    <pic:cNvPicPr>
                      <a:picLocks noChangeAspect="1"/>
                    </pic:cNvPicPr>
                  </pic:nvPicPr>
                  <pic:blipFill>
                    <a:blip r:embed="rId10"/>
                    <a:stretch>
                      <a:fillRect/>
                    </a:stretch>
                  </pic:blipFill>
                  <pic:spPr>
                    <a:xfrm>
                      <a:off x="0" y="0"/>
                      <a:ext cx="5194300" cy="4730750"/>
                    </a:xfrm>
                    <a:prstGeom prst="rect">
                      <a:avLst/>
                    </a:prstGeom>
                    <a:noFill/>
                    <a:ln>
                      <a:noFill/>
                    </a:ln>
                  </pic:spPr>
                </pic:pic>
              </a:graphicData>
            </a:graphic>
          </wp:inline>
        </w:drawing>
      </w:r>
    </w:p>
    <w:p w14:paraId="223DE96B">
      <w:pPr>
        <w:pStyle w:val="4"/>
        <w:keepNext w:val="0"/>
        <w:keepLines w:val="0"/>
        <w:pageBreakBefore w:val="0"/>
        <w:shd w:val="clear" w:color="auto" w:fill="FFFFFF"/>
        <w:kinsoku/>
        <w:wordWrap/>
        <w:overflowPunct/>
        <w:topLinePunct w:val="0"/>
        <w:autoSpaceDE/>
        <w:autoSpaceDN/>
        <w:bidi w:val="0"/>
        <w:spacing w:line="240" w:lineRule="auto"/>
        <w:textAlignment w:val="auto"/>
      </w:pPr>
      <w:r>
        <w:t>八、一般公共预算财政拨款基本支出决算表</w:t>
      </w:r>
      <w:r>
        <w:drawing>
          <wp:inline distT="0" distB="0" distL="114300" distR="114300">
            <wp:extent cx="5267960" cy="3112135"/>
            <wp:effectExtent l="0" t="0" r="8890" b="12065"/>
            <wp:docPr id="16"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8"/>
                    <pic:cNvPicPr>
                      <a:picLocks noChangeAspect="1"/>
                    </pic:cNvPicPr>
                  </pic:nvPicPr>
                  <pic:blipFill>
                    <a:blip r:embed="rId11"/>
                    <a:stretch>
                      <a:fillRect/>
                    </a:stretch>
                  </pic:blipFill>
                  <pic:spPr>
                    <a:xfrm>
                      <a:off x="0" y="0"/>
                      <a:ext cx="5267960" cy="3112135"/>
                    </a:xfrm>
                    <a:prstGeom prst="rect">
                      <a:avLst/>
                    </a:prstGeom>
                    <a:noFill/>
                    <a:ln>
                      <a:noFill/>
                    </a:ln>
                  </pic:spPr>
                </pic:pic>
              </a:graphicData>
            </a:graphic>
          </wp:inline>
        </w:drawing>
      </w:r>
    </w:p>
    <w:p w14:paraId="67B41A19">
      <w:pPr>
        <w:pStyle w:val="4"/>
        <w:keepNext w:val="0"/>
        <w:keepLines w:val="0"/>
        <w:pageBreakBefore w:val="0"/>
        <w:shd w:val="clear" w:color="auto" w:fill="FFFFFF"/>
        <w:kinsoku/>
        <w:wordWrap/>
        <w:overflowPunct/>
        <w:topLinePunct w:val="0"/>
        <w:autoSpaceDE/>
        <w:autoSpaceDN/>
        <w:bidi w:val="0"/>
        <w:spacing w:line="240" w:lineRule="auto"/>
        <w:textAlignment w:val="auto"/>
      </w:pPr>
      <w:r>
        <w:t>九、一般公共预算财政拨款项目支出决算表</w:t>
      </w:r>
      <w:r>
        <w:drawing>
          <wp:inline distT="0" distB="0" distL="114300" distR="114300">
            <wp:extent cx="5272405" cy="4568190"/>
            <wp:effectExtent l="0" t="0" r="4445" b="3810"/>
            <wp:docPr id="1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9"/>
                    <pic:cNvPicPr>
                      <a:picLocks noChangeAspect="1"/>
                    </pic:cNvPicPr>
                  </pic:nvPicPr>
                  <pic:blipFill>
                    <a:blip r:embed="rId12"/>
                    <a:stretch>
                      <a:fillRect/>
                    </a:stretch>
                  </pic:blipFill>
                  <pic:spPr>
                    <a:xfrm>
                      <a:off x="0" y="0"/>
                      <a:ext cx="5272405" cy="4568190"/>
                    </a:xfrm>
                    <a:prstGeom prst="rect">
                      <a:avLst/>
                    </a:prstGeom>
                    <a:noFill/>
                    <a:ln>
                      <a:noFill/>
                    </a:ln>
                  </pic:spPr>
                </pic:pic>
              </a:graphicData>
            </a:graphic>
          </wp:inline>
        </w:drawing>
      </w:r>
    </w:p>
    <w:p w14:paraId="2CB404D0">
      <w:pPr>
        <w:pStyle w:val="4"/>
        <w:keepNext w:val="0"/>
        <w:keepLines w:val="0"/>
        <w:pageBreakBefore w:val="0"/>
        <w:shd w:val="clear" w:color="auto" w:fill="FFFFFF"/>
        <w:kinsoku/>
        <w:wordWrap/>
        <w:overflowPunct/>
        <w:topLinePunct w:val="0"/>
        <w:autoSpaceDE/>
        <w:autoSpaceDN/>
        <w:bidi w:val="0"/>
        <w:spacing w:line="240" w:lineRule="auto"/>
        <w:textAlignment w:val="auto"/>
      </w:pPr>
      <w:r>
        <w:t>十、政府性基金预算财政拨款收入支出决算表</w:t>
      </w:r>
      <w:r>
        <w:drawing>
          <wp:inline distT="0" distB="0" distL="114300" distR="114300">
            <wp:extent cx="5272405" cy="1195705"/>
            <wp:effectExtent l="0" t="0" r="4445" b="4445"/>
            <wp:docPr id="18"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0"/>
                    <pic:cNvPicPr>
                      <a:picLocks noChangeAspect="1"/>
                    </pic:cNvPicPr>
                  </pic:nvPicPr>
                  <pic:blipFill>
                    <a:blip r:embed="rId13"/>
                    <a:stretch>
                      <a:fillRect/>
                    </a:stretch>
                  </pic:blipFill>
                  <pic:spPr>
                    <a:xfrm>
                      <a:off x="0" y="0"/>
                      <a:ext cx="5272405" cy="1195705"/>
                    </a:xfrm>
                    <a:prstGeom prst="rect">
                      <a:avLst/>
                    </a:prstGeom>
                    <a:noFill/>
                    <a:ln>
                      <a:noFill/>
                    </a:ln>
                  </pic:spPr>
                </pic:pic>
              </a:graphicData>
            </a:graphic>
          </wp:inline>
        </w:drawing>
      </w:r>
    </w:p>
    <w:p w14:paraId="4A75F5AB">
      <w:pPr>
        <w:pStyle w:val="4"/>
        <w:keepNext w:val="0"/>
        <w:keepLines w:val="0"/>
        <w:pageBreakBefore w:val="0"/>
        <w:shd w:val="clear" w:color="auto" w:fill="FFFFFF"/>
        <w:kinsoku/>
        <w:wordWrap/>
        <w:overflowPunct/>
        <w:topLinePunct w:val="0"/>
        <w:autoSpaceDE/>
        <w:autoSpaceDN/>
        <w:bidi w:val="0"/>
        <w:spacing w:line="240" w:lineRule="auto"/>
        <w:textAlignment w:val="auto"/>
      </w:pPr>
      <w:r>
        <w:t>十一、国有资本经营预算财政拨款收入支出决算表</w:t>
      </w:r>
      <w:r>
        <w:drawing>
          <wp:inline distT="0" distB="0" distL="114300" distR="114300">
            <wp:extent cx="5271135" cy="1772920"/>
            <wp:effectExtent l="0" t="0" r="5715" b="17780"/>
            <wp:docPr id="19"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1"/>
                    <pic:cNvPicPr>
                      <a:picLocks noChangeAspect="1"/>
                    </pic:cNvPicPr>
                  </pic:nvPicPr>
                  <pic:blipFill>
                    <a:blip r:embed="rId14"/>
                    <a:stretch>
                      <a:fillRect/>
                    </a:stretch>
                  </pic:blipFill>
                  <pic:spPr>
                    <a:xfrm>
                      <a:off x="0" y="0"/>
                      <a:ext cx="5271135" cy="1772920"/>
                    </a:xfrm>
                    <a:prstGeom prst="rect">
                      <a:avLst/>
                    </a:prstGeom>
                    <a:noFill/>
                    <a:ln>
                      <a:noFill/>
                    </a:ln>
                  </pic:spPr>
                </pic:pic>
              </a:graphicData>
            </a:graphic>
          </wp:inline>
        </w:drawing>
      </w:r>
    </w:p>
    <w:p w14:paraId="391F2698">
      <w:pPr>
        <w:pStyle w:val="4"/>
        <w:keepNext w:val="0"/>
        <w:keepLines w:val="0"/>
        <w:pageBreakBefore w:val="0"/>
        <w:shd w:val="clear" w:color="auto" w:fill="FFFFFF"/>
        <w:kinsoku/>
        <w:wordWrap/>
        <w:overflowPunct/>
        <w:topLinePunct w:val="0"/>
        <w:autoSpaceDE/>
        <w:autoSpaceDN/>
        <w:bidi w:val="0"/>
        <w:spacing w:line="240" w:lineRule="auto"/>
        <w:textAlignment w:val="auto"/>
      </w:pPr>
      <w:r>
        <w:t>十二、国有资本经营预算财政拨款支出决算表</w:t>
      </w:r>
      <w:r>
        <w:drawing>
          <wp:inline distT="0" distB="0" distL="114300" distR="114300">
            <wp:extent cx="5269865" cy="1798955"/>
            <wp:effectExtent l="0" t="0" r="6985" b="10795"/>
            <wp:docPr id="20"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2"/>
                    <pic:cNvPicPr>
                      <a:picLocks noChangeAspect="1"/>
                    </pic:cNvPicPr>
                  </pic:nvPicPr>
                  <pic:blipFill>
                    <a:blip r:embed="rId15"/>
                    <a:stretch>
                      <a:fillRect/>
                    </a:stretch>
                  </pic:blipFill>
                  <pic:spPr>
                    <a:xfrm>
                      <a:off x="0" y="0"/>
                      <a:ext cx="5269865" cy="1798955"/>
                    </a:xfrm>
                    <a:prstGeom prst="rect">
                      <a:avLst/>
                    </a:prstGeom>
                    <a:noFill/>
                    <a:ln>
                      <a:noFill/>
                    </a:ln>
                  </pic:spPr>
                </pic:pic>
              </a:graphicData>
            </a:graphic>
          </wp:inline>
        </w:drawing>
      </w:r>
    </w:p>
    <w:p w14:paraId="35664F34">
      <w:pPr>
        <w:pStyle w:val="4"/>
        <w:keepNext w:val="0"/>
        <w:keepLines w:val="0"/>
        <w:pageBreakBefore w:val="0"/>
        <w:shd w:val="clear" w:color="auto" w:fill="FFFFFF"/>
        <w:kinsoku/>
        <w:wordWrap/>
        <w:overflowPunct/>
        <w:topLinePunct w:val="0"/>
        <w:autoSpaceDE/>
        <w:autoSpaceDN/>
        <w:bidi w:val="0"/>
        <w:spacing w:line="240" w:lineRule="auto"/>
        <w:textAlignment w:val="auto"/>
      </w:pPr>
      <w:r>
        <w:t>十三、财政拨款“三公”经费支出决算表</w:t>
      </w:r>
      <w:r>
        <w:drawing>
          <wp:inline distT="0" distB="0" distL="114300" distR="114300">
            <wp:extent cx="5274310" cy="1115695"/>
            <wp:effectExtent l="0" t="0" r="2540" b="8255"/>
            <wp:docPr id="2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3"/>
                    <pic:cNvPicPr>
                      <a:picLocks noChangeAspect="1"/>
                    </pic:cNvPicPr>
                  </pic:nvPicPr>
                  <pic:blipFill>
                    <a:blip r:embed="rId16"/>
                    <a:stretch>
                      <a:fillRect/>
                    </a:stretch>
                  </pic:blipFill>
                  <pic:spPr>
                    <a:xfrm>
                      <a:off x="0" y="0"/>
                      <a:ext cx="5274310" cy="1115695"/>
                    </a:xfrm>
                    <a:prstGeom prst="rect">
                      <a:avLst/>
                    </a:prstGeom>
                    <a:noFill/>
                    <a:ln>
                      <a:noFill/>
                    </a:ln>
                  </pic:spPr>
                </pic:pic>
              </a:graphicData>
            </a:graphic>
          </wp:inline>
        </w:drawing>
      </w:r>
    </w:p>
    <w:sectPr>
      <w:pgSz w:w="11907" w:h="16840"/>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10601030101010101"/>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2E5B00"/>
    <w:multiLevelType w:val="singleLevel"/>
    <w:tmpl w:val="9B2E5B00"/>
    <w:lvl w:ilvl="0" w:tentative="0">
      <w:start w:val="2"/>
      <w:numFmt w:val="chineseCounting"/>
      <w:suff w:val="nothing"/>
      <w:lvlText w:val="（%1）"/>
      <w:lvlJc w:val="left"/>
      <w:rPr>
        <w:rFonts w:hint="eastAsia"/>
      </w:rPr>
    </w:lvl>
  </w:abstractNum>
  <w:abstractNum w:abstractNumId="1">
    <w:nsid w:val="B413D7BB"/>
    <w:multiLevelType w:val="singleLevel"/>
    <w:tmpl w:val="B413D7BB"/>
    <w:lvl w:ilvl="0" w:tentative="0">
      <w:start w:val="1"/>
      <w:numFmt w:val="chineseCounting"/>
      <w:suff w:val="space"/>
      <w:lvlText w:val="第%1部分"/>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2"/>
  </w:compat>
  <w:docVars>
    <w:docVar w:name="commondata" w:val="eyJoZGlkIjoiOGUyMDQxZTNlNTI5ZWUyM2RhYTZkODlhNjNiMWNjZTIifQ=="/>
  </w:docVars>
  <w:rsids>
    <w:rsidRoot w:val="00172A27"/>
    <w:rsid w:val="002B1C43"/>
    <w:rsid w:val="0038745D"/>
    <w:rsid w:val="073949CA"/>
    <w:rsid w:val="0EF73274"/>
    <w:rsid w:val="102D3FF1"/>
    <w:rsid w:val="13E506D5"/>
    <w:rsid w:val="16D72F09"/>
    <w:rsid w:val="2105623C"/>
    <w:rsid w:val="236E0751"/>
    <w:rsid w:val="295977AD"/>
    <w:rsid w:val="2AC53677"/>
    <w:rsid w:val="38666A14"/>
    <w:rsid w:val="3ADA5EAA"/>
    <w:rsid w:val="46686CE3"/>
    <w:rsid w:val="481E7772"/>
    <w:rsid w:val="4C0C09D1"/>
    <w:rsid w:val="4E6376C3"/>
    <w:rsid w:val="512D3678"/>
    <w:rsid w:val="51383FC9"/>
    <w:rsid w:val="5A137CD3"/>
    <w:rsid w:val="5BF32280"/>
    <w:rsid w:val="5F7408C2"/>
    <w:rsid w:val="647749B0"/>
    <w:rsid w:val="658B50AB"/>
    <w:rsid w:val="6E7206C2"/>
    <w:rsid w:val="77855866"/>
    <w:rsid w:val="78AF2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宋体" w:hAnsi="宋体" w:eastAsia="宋体" w:cs="宋体"/>
      <w:sz w:val="24"/>
      <w:szCs w:val="24"/>
      <w:lang w:val="en-US" w:eastAsia="zh-CN" w:bidi="ar-SA"/>
    </w:rPr>
  </w:style>
  <w:style w:type="paragraph" w:styleId="3">
    <w:name w:val="heading 1"/>
    <w:basedOn w:val="1"/>
    <w:link w:val="16"/>
    <w:qFormat/>
    <w:uiPriority w:val="9"/>
    <w:pPr>
      <w:spacing w:before="100" w:beforeAutospacing="1" w:after="100" w:afterAutospacing="1"/>
      <w:outlineLvl w:val="0"/>
    </w:pPr>
    <w:rPr>
      <w:b/>
      <w:bCs/>
      <w:kern w:val="36"/>
      <w:sz w:val="48"/>
      <w:szCs w:val="48"/>
    </w:rPr>
  </w:style>
  <w:style w:type="paragraph" w:styleId="4">
    <w:name w:val="heading 2"/>
    <w:basedOn w:val="1"/>
    <w:link w:val="17"/>
    <w:qFormat/>
    <w:uiPriority w:val="9"/>
    <w:pPr>
      <w:spacing w:before="100" w:beforeAutospacing="1" w:after="100" w:afterAutospacing="1"/>
      <w:outlineLvl w:val="1"/>
    </w:pPr>
    <w:rPr>
      <w:b/>
      <w:bCs/>
      <w:sz w:val="36"/>
      <w:szCs w:val="36"/>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customStyle="1" w:styleId="2">
    <w:name w:val="正文文字"/>
    <w:basedOn w:val="1"/>
    <w:next w:val="1"/>
    <w:qFormat/>
    <w:uiPriority w:val="99"/>
    <w:pPr>
      <w:spacing w:after="120"/>
    </w:pPr>
  </w:style>
  <w:style w:type="paragraph" w:styleId="5">
    <w:name w:val="Body Text"/>
    <w:basedOn w:val="1"/>
    <w:qFormat/>
    <w:uiPriority w:val="99"/>
    <w:pPr>
      <w:spacing w:beforeLines="30"/>
    </w:pPr>
    <w:rPr>
      <w:rFonts w:ascii="仿宋_GB2312" w:eastAsia="仿宋_GB2312"/>
      <w:kern w:val="0"/>
      <w:sz w:val="24"/>
      <w:szCs w:val="20"/>
      <w:lang w:val="zh-CN" w:eastAsia="zh-CN"/>
    </w:rPr>
  </w:style>
  <w:style w:type="paragraph" w:styleId="6">
    <w:name w:val="Body Text Indent"/>
    <w:basedOn w:val="1"/>
    <w:next w:val="7"/>
    <w:qFormat/>
    <w:uiPriority w:val="99"/>
    <w:pPr>
      <w:spacing w:after="120"/>
      <w:ind w:left="420" w:leftChars="200"/>
    </w:pPr>
  </w:style>
  <w:style w:type="paragraph" w:styleId="7">
    <w:name w:val="Body Text First Indent 2"/>
    <w:basedOn w:val="6"/>
    <w:next w:val="1"/>
    <w:qFormat/>
    <w:uiPriority w:val="99"/>
    <w:pPr>
      <w:ind w:firstLine="420" w:firstLineChars="200"/>
    </w:pPr>
    <w:rPr>
      <w:rFonts w:ascii="Calibri" w:hAnsi="Calibri"/>
      <w:szCs w:val="22"/>
    </w:rPr>
  </w:style>
  <w:style w:type="paragraph" w:styleId="8">
    <w:name w:val="Plain Text"/>
    <w:basedOn w:val="1"/>
    <w:qFormat/>
    <w:uiPriority w:val="99"/>
    <w:rPr>
      <w:rFonts w:ascii="宋体" w:hAnsi="Courier New" w:eastAsia="宋体" w:cs="Courier New"/>
      <w:sz w:val="21"/>
      <w:szCs w:val="21"/>
    </w:rPr>
  </w:style>
  <w:style w:type="paragraph" w:styleId="9">
    <w:name w:val="footer"/>
    <w:basedOn w:val="1"/>
    <w:qFormat/>
    <w:uiPriority w:val="0"/>
    <w:pPr>
      <w:tabs>
        <w:tab w:val="center" w:pos="4153"/>
        <w:tab w:val="right" w:pos="8306"/>
      </w:tabs>
      <w:snapToGrid w:val="0"/>
      <w:jc w:val="left"/>
    </w:pPr>
    <w:rPr>
      <w:rFonts w:eastAsia="宋体"/>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11">
    <w:name w:val="table of figures"/>
    <w:basedOn w:val="1"/>
    <w:next w:val="1"/>
    <w:unhideWhenUsed/>
    <w:qFormat/>
    <w:uiPriority w:val="99"/>
    <w:pPr>
      <w:ind w:left="200" w:leftChars="200" w:hanging="200" w:hangingChars="200"/>
    </w:pPr>
  </w:style>
  <w:style w:type="paragraph" w:styleId="12">
    <w:name w:val="Normal (Web)"/>
    <w:basedOn w:val="1"/>
    <w:semiHidden/>
    <w:unhideWhenUsed/>
    <w:qFormat/>
    <w:uiPriority w:val="99"/>
    <w:pPr>
      <w:spacing w:before="100" w:beforeAutospacing="1" w:after="100" w:afterAutospacing="1"/>
    </w:pPr>
  </w:style>
  <w:style w:type="character" w:styleId="15">
    <w:name w:val="Strong"/>
    <w:basedOn w:val="14"/>
    <w:qFormat/>
    <w:uiPriority w:val="22"/>
    <w:rPr>
      <w:b/>
      <w:bCs/>
    </w:rPr>
  </w:style>
  <w:style w:type="character" w:customStyle="1" w:styleId="16">
    <w:name w:val="标题 1 Char"/>
    <w:basedOn w:val="14"/>
    <w:link w:val="3"/>
    <w:qFormat/>
    <w:uiPriority w:val="9"/>
    <w:rPr>
      <w:rFonts w:ascii="宋体" w:hAnsi="宋体" w:eastAsia="宋体" w:cs="宋体"/>
      <w:b/>
      <w:bCs/>
      <w:kern w:val="44"/>
      <w:sz w:val="44"/>
      <w:szCs w:val="44"/>
    </w:rPr>
  </w:style>
  <w:style w:type="character" w:customStyle="1" w:styleId="17">
    <w:name w:val="标题 2 Char"/>
    <w:basedOn w:val="14"/>
    <w:link w:val="4"/>
    <w:semiHidden/>
    <w:qFormat/>
    <w:uiPriority w:val="9"/>
    <w:rPr>
      <w:rFonts w:asciiTheme="majorHAnsi" w:hAnsiTheme="majorHAnsi" w:eastAsiaTheme="majorEastAsia" w:cstheme="majorBidi"/>
      <w:b/>
      <w:bCs/>
      <w:sz w:val="32"/>
      <w:szCs w:val="32"/>
    </w:rPr>
  </w:style>
  <w:style w:type="paragraph" w:customStyle="1" w:styleId="18">
    <w:name w:val="Index6"/>
    <w:basedOn w:val="1"/>
    <w:next w:val="1"/>
    <w:qFormat/>
    <w:uiPriority w:val="0"/>
    <w:pPr>
      <w:jc w:val="left"/>
    </w:pPr>
    <w:rPr>
      <w:rFonts w:ascii="楷体" w:eastAsia="楷体"/>
      <w:sz w:val="32"/>
      <w:szCs w:val="32"/>
    </w:rPr>
  </w:style>
  <w:style w:type="paragraph" w:customStyle="1" w:styleId="19">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0">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6.emf"/><Relationship Id="rId8" Type="http://schemas.openxmlformats.org/officeDocument/2006/relationships/image" Target="media/image5.emf"/><Relationship Id="rId7" Type="http://schemas.openxmlformats.org/officeDocument/2006/relationships/image" Target="media/image4.emf"/><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emf"/><Relationship Id="rId3" Type="http://schemas.openxmlformats.org/officeDocument/2006/relationships/theme" Target="theme/theme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image" Target="media/image13.emf"/><Relationship Id="rId15" Type="http://schemas.openxmlformats.org/officeDocument/2006/relationships/image" Target="media/image12.emf"/><Relationship Id="rId14" Type="http://schemas.openxmlformats.org/officeDocument/2006/relationships/image" Target="media/image11.emf"/><Relationship Id="rId13" Type="http://schemas.openxmlformats.org/officeDocument/2006/relationships/image" Target="media/image10.emf"/><Relationship Id="rId12" Type="http://schemas.openxmlformats.org/officeDocument/2006/relationships/image" Target="media/image9.emf"/><Relationship Id="rId11" Type="http://schemas.openxmlformats.org/officeDocument/2006/relationships/image" Target="media/image8.emf"/><Relationship Id="rId10" Type="http://schemas.openxmlformats.org/officeDocument/2006/relationships/image" Target="media/image7.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36</Pages>
  <Words>14063</Words>
  <Characters>16253</Characters>
  <Lines>8</Lines>
  <Paragraphs>12</Paragraphs>
  <TotalTime>7</TotalTime>
  <ScaleCrop>false</ScaleCrop>
  <LinksUpToDate>false</LinksUpToDate>
  <CharactersWithSpaces>16346</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2023-10-12T07:13:00Z</dcterms:created>
  <dc:creator>Administrator</dc:creator>
  <cp:lastModifiedBy>常想一二</cp:lastModifiedBy>
  <dcterms:modified xsi:type="dcterms:W3CDTF">2025-05-12T03:19:44Z</dcterms:modified>
  <dc:title>2022年单位决算公开</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A638BB8A7B354CD2BC838B344A1839D1_12</vt:lpwstr>
  </property>
  <property fmtid="{D5CDD505-2E9C-101B-9397-08002B2CF9AE}" pid="4" name="KSOTemplateDocerSaveRecord">
    <vt:lpwstr>eyJoZGlkIjoiODhiZDQyNzU3YWUzNDgwYTEzMTNkZDUzMTRhMDk2NzEiLCJ1c2VySWQiOiIzOTg3OTU0NDUifQ==</vt:lpwstr>
  </property>
</Properties>
</file>