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72C02">
      <w:pPr>
        <w:spacing w:line="600" w:lineRule="exact"/>
        <w:jc w:val="center"/>
        <w:outlineLvl w:val="0"/>
        <w:rPr>
          <w:rFonts w:ascii="方正小标宋简体" w:hAnsi="宋体" w:eastAsia="方正小标宋简体"/>
          <w:sz w:val="72"/>
          <w:szCs w:val="72"/>
        </w:rPr>
      </w:pPr>
      <w:bookmarkStart w:id="0" w:name="_Toc15377193"/>
      <w:bookmarkStart w:id="1" w:name="_Toc15377425"/>
      <w:bookmarkStart w:id="2" w:name="_Toc15378441"/>
      <w:bookmarkStart w:id="3" w:name="_Toc15396475"/>
      <w:bookmarkStart w:id="4" w:name="_Toc15396597"/>
      <w:bookmarkStart w:id="5" w:name="_Toc15306267"/>
    </w:p>
    <w:p w14:paraId="4F92474B">
      <w:pPr>
        <w:pStyle w:val="6"/>
        <w:spacing w:before="93"/>
      </w:pPr>
    </w:p>
    <w:p w14:paraId="39807241">
      <w:pPr>
        <w:spacing w:line="600" w:lineRule="exact"/>
        <w:jc w:val="center"/>
        <w:outlineLvl w:val="0"/>
        <w:rPr>
          <w:rFonts w:ascii="方正小标宋简体" w:hAnsi="宋体" w:eastAsia="方正小标宋简体"/>
          <w:sz w:val="72"/>
          <w:szCs w:val="72"/>
        </w:rPr>
      </w:pPr>
    </w:p>
    <w:p w14:paraId="52AE0D1A">
      <w:pPr>
        <w:spacing w:line="600" w:lineRule="exact"/>
        <w:jc w:val="center"/>
        <w:outlineLvl w:val="0"/>
        <w:rPr>
          <w:rFonts w:ascii="方正小标宋简体" w:hAnsi="宋体" w:eastAsia="方正小标宋简体"/>
          <w:sz w:val="72"/>
          <w:szCs w:val="72"/>
        </w:rPr>
      </w:pPr>
    </w:p>
    <w:p w14:paraId="7D06C7A3">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p>
    <w:p w14:paraId="7E4F46A9">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8442"/>
      <w:bookmarkStart w:id="7" w:name="_Toc15377426"/>
      <w:bookmarkStart w:id="8" w:name="_Toc15396476"/>
      <w:bookmarkStart w:id="9" w:name="_Toc15377194"/>
      <w:bookmarkStart w:id="10" w:name="_Toc15396598"/>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lang w:eastAsia="zh-CN"/>
        </w:rPr>
        <w:t>九寨沟县发展和改革局</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14:paraId="2E11F0A9">
      <w:pPr>
        <w:adjustRightInd w:val="0"/>
        <w:snapToGrid w:val="0"/>
        <w:spacing w:line="360" w:lineRule="auto"/>
        <w:jc w:val="center"/>
        <w:outlineLvl w:val="0"/>
        <w:rPr>
          <w:rFonts w:ascii="方正小标宋简体" w:hAnsi="宋体" w:eastAsia="方正小标宋简体"/>
          <w:sz w:val="52"/>
          <w:szCs w:val="52"/>
        </w:rPr>
      </w:pPr>
      <w:r>
        <w:rPr>
          <w:rFonts w:hint="eastAsia" w:ascii="方正小标宋简体" w:hAnsi="宋体" w:eastAsia="方正小标宋简体"/>
          <w:sz w:val="52"/>
          <w:szCs w:val="52"/>
        </w:rPr>
        <w:t>(部门公开范本)</w:t>
      </w:r>
    </w:p>
    <w:p w14:paraId="7C762BD1">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7D2CE6DE">
      <w:pPr>
        <w:widowControl/>
        <w:jc w:val="center"/>
        <w:rPr>
          <w:rFonts w:ascii="黑体" w:hAnsi="黑体" w:eastAsia="黑体" w:cstheme="minorBidi"/>
          <w:sz w:val="28"/>
          <w:szCs w:val="28"/>
        </w:rPr>
      </w:pPr>
    </w:p>
    <w:p w14:paraId="44D37D35">
      <w:pPr>
        <w:pStyle w:val="13"/>
      </w:pPr>
      <w:r>
        <w:rPr>
          <w:rFonts w:hint="eastAsia"/>
        </w:rPr>
        <w:t>公开时间：202</w:t>
      </w:r>
      <w:r>
        <w:rPr>
          <w:rFonts w:hint="eastAsia"/>
          <w:lang w:val="en-US" w:eastAsia="zh-CN"/>
        </w:rPr>
        <w:t>4</w:t>
      </w:r>
      <w:r>
        <w:rPr>
          <w:rFonts w:hint="eastAsia"/>
        </w:rPr>
        <w:t>年</w:t>
      </w:r>
      <w:r>
        <w:rPr>
          <w:rFonts w:hint="eastAsia"/>
          <w:lang w:val="en-US" w:eastAsia="zh-CN"/>
        </w:rPr>
        <w:t>10</w:t>
      </w:r>
      <w:r>
        <w:rPr>
          <w:rFonts w:hint="eastAsia"/>
        </w:rPr>
        <w:t>月</w:t>
      </w:r>
      <w:r>
        <w:rPr>
          <w:rFonts w:hint="eastAsia"/>
          <w:lang w:val="en-US" w:eastAsia="zh-CN"/>
        </w:rPr>
        <w:t>14</w:t>
      </w:r>
      <w:r>
        <w:rPr>
          <w:rFonts w:hint="eastAsia"/>
        </w:rPr>
        <w:t xml:space="preserve">  日</w:t>
      </w:r>
    </w:p>
    <w:p w14:paraId="59D15F01"/>
    <w:p w14:paraId="6B03EABB">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bookmarkStart w:id="50" w:name="_GoBack"/>
      <w:bookmarkEnd w:id="50"/>
    </w:p>
    <w:p w14:paraId="7195C0DA">
      <w:pPr>
        <w:pStyle w:val="2"/>
        <w:adjustRightInd w:val="0"/>
        <w:snapToGrid w:val="0"/>
        <w:spacing w:line="440" w:lineRule="exact"/>
        <w:jc w:val="left"/>
        <w:rPr>
          <w:rFonts w:ascii="仿宋" w:hAnsi="仿宋" w:eastAsia="仿宋"/>
          <w:sz w:val="24"/>
        </w:rPr>
      </w:pPr>
      <w:r>
        <w:rPr>
          <w:rFonts w:hint="eastAsia"/>
          <w:sz w:val="24"/>
        </w:rPr>
        <w:t>一、部门职责</w:t>
      </w:r>
      <w:r>
        <w:rPr>
          <w:rFonts w:hint="eastAsia"/>
          <w:sz w:val="24"/>
          <w:lang w:val="en-US" w:eastAsia="zh-CN"/>
        </w:rPr>
        <w:t>...................................................................................................4</w:t>
      </w:r>
    </w:p>
    <w:p w14:paraId="4B73D6B7">
      <w:pPr>
        <w:pStyle w:val="2"/>
        <w:adjustRightInd w:val="0"/>
        <w:snapToGrid w:val="0"/>
        <w:spacing w:line="440" w:lineRule="exact"/>
        <w:jc w:val="left"/>
        <w:rPr>
          <w:rFonts w:hint="default" w:ascii="仿宋" w:hAnsi="仿宋" w:eastAsia="仿宋" w:cstheme="minorBidi"/>
          <w:sz w:val="24"/>
          <w:lang w:val="en-US"/>
        </w:rPr>
      </w:pPr>
      <w:r>
        <w:rPr>
          <w:rFonts w:hint="eastAsia"/>
          <w:sz w:val="24"/>
        </w:rPr>
        <w:t>二、机构设置</w:t>
      </w:r>
      <w:r>
        <w:rPr>
          <w:rFonts w:hint="eastAsia"/>
          <w:sz w:val="24"/>
          <w:lang w:val="en-US" w:eastAsia="zh-CN"/>
        </w:rPr>
        <w:t>...................................................................................................8</w:t>
      </w:r>
    </w:p>
    <w:p w14:paraId="4DF1552E">
      <w:pPr>
        <w:pStyle w:val="13"/>
        <w:adjustRightInd w:val="0"/>
        <w:snapToGrid w:val="0"/>
        <w:spacing w:before="0" w:line="440" w:lineRule="exact"/>
        <w:jc w:val="left"/>
        <w:rPr>
          <w:sz w:val="24"/>
          <w:szCs w:val="24"/>
        </w:rPr>
      </w:pPr>
      <w:r>
        <w:rPr>
          <w:rFonts w:hint="eastAsia"/>
          <w:sz w:val="24"/>
        </w:rPr>
        <w:t>第二部分 2023年度部门决算情况说明</w:t>
      </w:r>
    </w:p>
    <w:p w14:paraId="4C2D7B7E">
      <w:pPr>
        <w:pStyle w:val="2"/>
        <w:adjustRightInd w:val="0"/>
        <w:snapToGrid w:val="0"/>
        <w:spacing w:line="440" w:lineRule="exact"/>
        <w:jc w:val="left"/>
        <w:rPr>
          <w:rFonts w:hint="eastAsia"/>
          <w:sz w:val="24"/>
          <w:lang w:val="en-US" w:eastAsia="zh-CN"/>
        </w:rPr>
      </w:pPr>
      <w:r>
        <w:rPr>
          <w:rFonts w:hint="eastAsia"/>
          <w:sz w:val="24"/>
        </w:rPr>
        <w:t>一、收入支出决算总体情况说明</w:t>
      </w:r>
      <w:r>
        <w:rPr>
          <w:rFonts w:hint="eastAsia"/>
          <w:sz w:val="24"/>
          <w:lang w:val="en-US" w:eastAsia="zh-CN"/>
        </w:rPr>
        <w:t>...................................................................9</w:t>
      </w:r>
    </w:p>
    <w:p w14:paraId="3E407CB2">
      <w:pPr>
        <w:pStyle w:val="2"/>
        <w:adjustRightInd w:val="0"/>
        <w:snapToGrid w:val="0"/>
        <w:spacing w:line="440" w:lineRule="exact"/>
        <w:jc w:val="left"/>
        <w:rPr>
          <w:rFonts w:hint="default" w:ascii="仿宋" w:hAnsi="仿宋" w:eastAsia="仿宋" w:cstheme="minorBidi"/>
          <w:sz w:val="24"/>
          <w:lang w:val="en-US"/>
        </w:rPr>
      </w:pPr>
      <w:r>
        <w:rPr>
          <w:rFonts w:hint="eastAsia"/>
          <w:sz w:val="24"/>
        </w:rPr>
        <w:t>二、收入决算情况说明</w:t>
      </w:r>
      <w:r>
        <w:rPr>
          <w:rFonts w:hint="eastAsia"/>
          <w:sz w:val="24"/>
          <w:lang w:val="en-US" w:eastAsia="zh-CN"/>
        </w:rPr>
        <w:t>...................................................................v...............9</w:t>
      </w:r>
    </w:p>
    <w:p w14:paraId="0DF1AA04">
      <w:pPr>
        <w:pStyle w:val="2"/>
        <w:adjustRightInd w:val="0"/>
        <w:snapToGrid w:val="0"/>
        <w:spacing w:line="440" w:lineRule="exact"/>
        <w:jc w:val="left"/>
        <w:rPr>
          <w:rFonts w:hint="default" w:ascii="仿宋" w:hAnsi="仿宋" w:eastAsia="仿宋" w:cstheme="minorBidi"/>
          <w:sz w:val="24"/>
          <w:lang w:val="en-US"/>
        </w:rPr>
      </w:pPr>
      <w:r>
        <w:rPr>
          <w:rFonts w:hint="eastAsia"/>
          <w:sz w:val="24"/>
        </w:rPr>
        <w:t>三、支出决算情况说明</w:t>
      </w:r>
      <w:r>
        <w:rPr>
          <w:rFonts w:hint="eastAsia"/>
          <w:sz w:val="24"/>
          <w:lang w:val="en-US" w:eastAsia="zh-CN"/>
        </w:rPr>
        <w:t>..................................................................................10</w:t>
      </w:r>
    </w:p>
    <w:p w14:paraId="105316F5">
      <w:pPr>
        <w:pStyle w:val="2"/>
        <w:adjustRightInd w:val="0"/>
        <w:snapToGrid w:val="0"/>
        <w:spacing w:line="440" w:lineRule="exact"/>
        <w:jc w:val="left"/>
        <w:rPr>
          <w:rFonts w:hint="default" w:ascii="仿宋" w:hAnsi="仿宋" w:eastAsia="仿宋" w:cstheme="minorBidi"/>
          <w:sz w:val="24"/>
          <w:lang w:val="en-US"/>
        </w:rPr>
      </w:pPr>
      <w:r>
        <w:rPr>
          <w:rFonts w:hint="eastAsia"/>
          <w:sz w:val="24"/>
        </w:rPr>
        <w:t>四、财政拨款收入支出决算总体情况说明</w:t>
      </w:r>
      <w:r>
        <w:rPr>
          <w:rFonts w:hint="eastAsia"/>
          <w:sz w:val="24"/>
          <w:lang w:val="en-US" w:eastAsia="zh-CN"/>
        </w:rPr>
        <w:t>...................................................11</w:t>
      </w:r>
    </w:p>
    <w:p w14:paraId="4067AC85">
      <w:pPr>
        <w:pStyle w:val="2"/>
        <w:adjustRightInd w:val="0"/>
        <w:snapToGrid w:val="0"/>
        <w:spacing w:line="440" w:lineRule="exact"/>
        <w:jc w:val="left"/>
        <w:rPr>
          <w:rFonts w:hint="default" w:ascii="仿宋" w:hAnsi="仿宋" w:eastAsia="仿宋" w:cstheme="minorBidi"/>
          <w:sz w:val="24"/>
          <w:lang w:val="en-US"/>
        </w:rPr>
      </w:pPr>
      <w:r>
        <w:rPr>
          <w:rFonts w:hint="eastAsia"/>
          <w:sz w:val="24"/>
        </w:rPr>
        <w:t>五、一般公共预算财政拨款支出决算情况说明</w:t>
      </w:r>
      <w:r>
        <w:rPr>
          <w:rFonts w:hint="eastAsia"/>
          <w:sz w:val="24"/>
          <w:lang w:val="en-US" w:eastAsia="zh-CN"/>
        </w:rPr>
        <w:t>...........................................11</w:t>
      </w:r>
    </w:p>
    <w:p w14:paraId="1C8195AB">
      <w:pPr>
        <w:pStyle w:val="2"/>
        <w:adjustRightInd w:val="0"/>
        <w:snapToGrid w:val="0"/>
        <w:spacing w:line="440" w:lineRule="exact"/>
        <w:jc w:val="left"/>
        <w:rPr>
          <w:rFonts w:hint="eastAsia"/>
          <w:sz w:val="24"/>
          <w:lang w:val="en-US" w:eastAsia="zh-CN"/>
        </w:rPr>
      </w:pPr>
      <w:r>
        <w:rPr>
          <w:rFonts w:hint="eastAsia"/>
          <w:sz w:val="24"/>
        </w:rPr>
        <w:t>六、一般公共预算财政拨款基本支出决算情况说明</w:t>
      </w:r>
      <w:r>
        <w:rPr>
          <w:rFonts w:hint="eastAsia"/>
          <w:sz w:val="24"/>
          <w:lang w:val="en-US" w:eastAsia="zh-CN"/>
        </w:rPr>
        <w:t>...................................15</w:t>
      </w:r>
    </w:p>
    <w:p w14:paraId="022937A2">
      <w:pPr>
        <w:pStyle w:val="2"/>
        <w:adjustRightInd w:val="0"/>
        <w:snapToGrid w:val="0"/>
        <w:spacing w:line="440" w:lineRule="exact"/>
        <w:jc w:val="left"/>
        <w:rPr>
          <w:rFonts w:hint="default" w:ascii="仿宋" w:hAnsi="仿宋" w:eastAsia="仿宋" w:cstheme="minorBidi"/>
          <w:sz w:val="24"/>
          <w:lang w:val="en-US"/>
        </w:rPr>
      </w:pPr>
      <w:r>
        <w:rPr>
          <w:rFonts w:hint="eastAsia"/>
          <w:sz w:val="24"/>
        </w:rPr>
        <w:t>七、财政拨款“三公”经费支出决算情况说明</w:t>
      </w:r>
      <w:r>
        <w:rPr>
          <w:rFonts w:hint="eastAsia"/>
          <w:sz w:val="24"/>
          <w:lang w:val="en-US" w:eastAsia="zh-CN"/>
        </w:rPr>
        <w:t>............................................16</w:t>
      </w:r>
    </w:p>
    <w:p w14:paraId="1B4D004D">
      <w:pPr>
        <w:pStyle w:val="2"/>
        <w:adjustRightInd w:val="0"/>
        <w:snapToGrid w:val="0"/>
        <w:spacing w:line="440" w:lineRule="exact"/>
        <w:jc w:val="left"/>
        <w:rPr>
          <w:rFonts w:hint="default" w:ascii="仿宋" w:hAnsi="仿宋" w:eastAsia="仿宋" w:cstheme="minorBidi"/>
          <w:sz w:val="24"/>
          <w:lang w:val="en-US"/>
        </w:rPr>
      </w:pPr>
      <w:r>
        <w:rPr>
          <w:rFonts w:hint="eastAsia"/>
          <w:sz w:val="24"/>
        </w:rPr>
        <w:t>八、政府性基金预算支出决算情况说明</w:t>
      </w:r>
      <w:r>
        <w:rPr>
          <w:rFonts w:hint="eastAsia"/>
          <w:sz w:val="24"/>
          <w:lang w:val="en-US" w:eastAsia="zh-CN"/>
        </w:rPr>
        <w:t>........................................................18</w:t>
      </w:r>
    </w:p>
    <w:p w14:paraId="016742B3">
      <w:pPr>
        <w:pStyle w:val="2"/>
        <w:adjustRightInd w:val="0"/>
        <w:snapToGrid w:val="0"/>
        <w:spacing w:line="440" w:lineRule="exact"/>
        <w:jc w:val="left"/>
        <w:rPr>
          <w:rFonts w:hint="default" w:ascii="仿宋" w:hAnsi="仿宋" w:eastAsia="仿宋" w:cstheme="minorBidi"/>
          <w:sz w:val="24"/>
          <w:lang w:val="en-US"/>
        </w:rPr>
      </w:pPr>
      <w:r>
        <w:rPr>
          <w:rFonts w:hint="eastAsia" w:asciiTheme="minorEastAsia" w:hAnsiTheme="minorEastAsia" w:eastAsiaTheme="minorEastAsia" w:cstheme="minorEastAsia"/>
          <w:sz w:val="24"/>
        </w:rPr>
        <w:t>九、国有资本经营预算支出决算情况说明</w:t>
      </w:r>
      <w:r>
        <w:rPr>
          <w:rFonts w:hint="eastAsia"/>
          <w:sz w:val="24"/>
          <w:lang w:val="en-US" w:eastAsia="zh-CN"/>
        </w:rPr>
        <w:t>.....................................................18</w:t>
      </w:r>
    </w:p>
    <w:p w14:paraId="2E7344CE">
      <w:pPr>
        <w:pStyle w:val="2"/>
        <w:adjustRightInd w:val="0"/>
        <w:snapToGrid w:val="0"/>
        <w:spacing w:line="440" w:lineRule="exact"/>
        <w:jc w:val="left"/>
        <w:rPr>
          <w:rFonts w:hint="default" w:ascii="仿宋" w:hAnsi="仿宋" w:eastAsia="仿宋" w:cstheme="minorBidi"/>
          <w:sz w:val="24"/>
          <w:lang w:val="en-US"/>
        </w:rPr>
      </w:pPr>
      <w:r>
        <w:rPr>
          <w:rStyle w:val="18"/>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w:t>
      </w:r>
      <w:r>
        <w:rPr>
          <w:rFonts w:hint="eastAsia"/>
          <w:sz w:val="24"/>
          <w:lang w:val="en-US" w:eastAsia="zh-CN"/>
        </w:rPr>
        <w:t>.............................................................................18</w:t>
      </w:r>
    </w:p>
    <w:p w14:paraId="0B67F921">
      <w:pPr>
        <w:pStyle w:val="2"/>
        <w:adjustRightInd w:val="0"/>
        <w:snapToGrid w:val="0"/>
        <w:spacing w:line="440" w:lineRule="exact"/>
        <w:jc w:val="left"/>
        <w:rPr>
          <w:rFonts w:hint="default" w:ascii="仿宋" w:hAnsi="仿宋" w:eastAsia="仿宋" w:cstheme="minorBidi"/>
          <w:sz w:val="24"/>
          <w:lang w:val="en-US"/>
        </w:rPr>
      </w:pPr>
      <w:r>
        <w:rPr>
          <w:rFonts w:hint="eastAsia"/>
          <w:sz w:val="24"/>
        </w:rPr>
        <w:t>第三部分</w:t>
      </w:r>
      <w:r>
        <w:rPr>
          <w:sz w:val="24"/>
        </w:rPr>
        <w:t xml:space="preserve"> </w:t>
      </w:r>
      <w:r>
        <w:rPr>
          <w:rFonts w:hint="eastAsia"/>
          <w:sz w:val="24"/>
        </w:rPr>
        <w:t>名词解释</w:t>
      </w:r>
      <w:r>
        <w:rPr>
          <w:rFonts w:hint="eastAsia"/>
          <w:sz w:val="24"/>
          <w:lang w:val="en-US" w:eastAsia="zh-CN"/>
        </w:rPr>
        <w:t>...........................................................................................20</w:t>
      </w:r>
    </w:p>
    <w:p w14:paraId="2459D41B">
      <w:pPr>
        <w:pStyle w:val="2"/>
        <w:adjustRightInd w:val="0"/>
        <w:snapToGrid w:val="0"/>
        <w:spacing w:line="440" w:lineRule="exact"/>
        <w:jc w:val="left"/>
        <w:rPr>
          <w:rFonts w:hint="default" w:ascii="仿宋" w:hAnsi="仿宋" w:eastAsia="仿宋" w:cstheme="minorBidi"/>
          <w:sz w:val="24"/>
          <w:lang w:val="en-US"/>
        </w:rPr>
      </w:pPr>
      <w:r>
        <w:rPr>
          <w:rFonts w:hint="eastAsia"/>
          <w:sz w:val="24"/>
        </w:rPr>
        <w:t>第四部分</w:t>
      </w:r>
      <w:r>
        <w:rPr>
          <w:sz w:val="24"/>
        </w:rPr>
        <w:t xml:space="preserve"> </w:t>
      </w:r>
      <w:r>
        <w:rPr>
          <w:rFonts w:hint="eastAsia"/>
          <w:sz w:val="24"/>
        </w:rPr>
        <w:t>附件</w:t>
      </w:r>
      <w:r>
        <w:rPr>
          <w:rFonts w:hint="eastAsia"/>
          <w:sz w:val="24"/>
          <w:lang w:val="en-US" w:eastAsia="zh-CN"/>
        </w:rPr>
        <w:t>...................................................................................................24</w:t>
      </w:r>
    </w:p>
    <w:p w14:paraId="12EE0163">
      <w:pPr>
        <w:pStyle w:val="2"/>
        <w:adjustRightInd w:val="0"/>
        <w:snapToGrid w:val="0"/>
        <w:spacing w:line="440" w:lineRule="exact"/>
        <w:jc w:val="left"/>
        <w:rPr>
          <w:rFonts w:hint="default" w:ascii="仿宋" w:hAnsi="仿宋" w:eastAsia="仿宋" w:cstheme="minorBidi"/>
          <w:sz w:val="24"/>
          <w:lang w:val="en-US"/>
        </w:rPr>
      </w:pPr>
      <w:r>
        <w:rPr>
          <w:rFonts w:hint="eastAsia"/>
          <w:sz w:val="24"/>
        </w:rPr>
        <w:t>第五部分</w:t>
      </w:r>
      <w:r>
        <w:rPr>
          <w:sz w:val="24"/>
        </w:rPr>
        <w:t xml:space="preserve"> </w:t>
      </w:r>
      <w:r>
        <w:rPr>
          <w:rFonts w:hint="eastAsia"/>
          <w:sz w:val="24"/>
        </w:rPr>
        <w:t>附表</w:t>
      </w:r>
      <w:r>
        <w:rPr>
          <w:rFonts w:hint="eastAsia"/>
          <w:sz w:val="24"/>
          <w:lang w:val="en-US" w:eastAsia="zh-CN"/>
        </w:rPr>
        <w:t>....................................................................................................94</w:t>
      </w:r>
    </w:p>
    <w:p w14:paraId="1B5A4F3D">
      <w:pPr>
        <w:pStyle w:val="2"/>
        <w:adjustRightInd w:val="0"/>
        <w:snapToGrid w:val="0"/>
        <w:spacing w:line="440" w:lineRule="exact"/>
        <w:jc w:val="left"/>
        <w:rPr>
          <w:sz w:val="24"/>
        </w:rPr>
      </w:pPr>
      <w:r>
        <w:rPr>
          <w:rFonts w:hint="eastAsia"/>
          <w:sz w:val="24"/>
        </w:rPr>
        <w:t>一、收入支出决算总表</w:t>
      </w:r>
      <w:r>
        <w:rPr>
          <w:rFonts w:hint="eastAsia"/>
          <w:sz w:val="24"/>
          <w:lang w:val="en-US" w:eastAsia="zh-CN"/>
        </w:rPr>
        <w:t>.....................................................................................94</w:t>
      </w:r>
    </w:p>
    <w:p w14:paraId="4A311690">
      <w:pPr>
        <w:pStyle w:val="2"/>
        <w:adjustRightInd w:val="0"/>
        <w:snapToGrid w:val="0"/>
        <w:spacing w:line="440" w:lineRule="exact"/>
        <w:jc w:val="left"/>
        <w:rPr>
          <w:rFonts w:ascii="仿宋" w:hAnsi="仿宋" w:eastAsia="仿宋" w:cstheme="minorBidi"/>
          <w:sz w:val="24"/>
        </w:rPr>
      </w:pPr>
      <w:r>
        <w:rPr>
          <w:rFonts w:hint="eastAsia"/>
          <w:sz w:val="24"/>
        </w:rPr>
        <w:t>二、收入决算表</w:t>
      </w:r>
      <w:r>
        <w:rPr>
          <w:rFonts w:hint="eastAsia"/>
          <w:sz w:val="24"/>
          <w:lang w:val="en-US" w:eastAsia="zh-CN"/>
        </w:rPr>
        <w:t>..................................................................................................94</w:t>
      </w:r>
    </w:p>
    <w:p w14:paraId="31489462">
      <w:pPr>
        <w:pStyle w:val="2"/>
        <w:adjustRightInd w:val="0"/>
        <w:snapToGrid w:val="0"/>
        <w:spacing w:line="440" w:lineRule="exact"/>
        <w:jc w:val="left"/>
        <w:rPr>
          <w:rFonts w:ascii="仿宋" w:hAnsi="仿宋" w:eastAsia="仿宋" w:cstheme="minorBidi"/>
          <w:sz w:val="24"/>
        </w:rPr>
      </w:pPr>
      <w:r>
        <w:rPr>
          <w:rFonts w:hint="eastAsia"/>
          <w:sz w:val="24"/>
        </w:rPr>
        <w:t>三、支出决算表</w:t>
      </w:r>
      <w:r>
        <w:rPr>
          <w:rFonts w:hint="eastAsia"/>
          <w:sz w:val="24"/>
          <w:lang w:val="en-US" w:eastAsia="zh-CN"/>
        </w:rPr>
        <w:t>..................................................................................................94</w:t>
      </w:r>
      <w:r>
        <w:rPr>
          <w:rFonts w:hint="eastAsia"/>
          <w:sz w:val="24"/>
        </w:rPr>
        <w:t>四、财政拨款收入支出决算总表</w:t>
      </w:r>
      <w:r>
        <w:rPr>
          <w:rFonts w:hint="eastAsia"/>
          <w:sz w:val="24"/>
          <w:lang w:val="en-US" w:eastAsia="zh-CN"/>
        </w:rPr>
        <w:t>.......................................................................94</w:t>
      </w:r>
    </w:p>
    <w:p w14:paraId="580CEE66">
      <w:pPr>
        <w:pStyle w:val="2"/>
        <w:adjustRightInd w:val="0"/>
        <w:snapToGrid w:val="0"/>
        <w:spacing w:line="440" w:lineRule="exact"/>
        <w:jc w:val="left"/>
        <w:rPr>
          <w:rFonts w:hint="eastAsia"/>
          <w:sz w:val="24"/>
          <w:lang w:val="en-US" w:eastAsia="zh-CN"/>
        </w:rPr>
      </w:pPr>
      <w:r>
        <w:rPr>
          <w:rFonts w:hint="eastAsia"/>
          <w:sz w:val="24"/>
        </w:rPr>
        <w:t>五、财政拨款支出决算明细表</w:t>
      </w:r>
      <w:r>
        <w:rPr>
          <w:rFonts w:hint="eastAsia"/>
          <w:sz w:val="24"/>
          <w:lang w:val="en-US" w:eastAsia="zh-CN"/>
        </w:rPr>
        <w:t>............................................................................94</w:t>
      </w:r>
      <w:r>
        <w:rPr>
          <w:rFonts w:hint="eastAsia"/>
          <w:sz w:val="24"/>
        </w:rPr>
        <w:t>六、一般公共预算财政拨款支出决算表</w:t>
      </w:r>
      <w:r>
        <w:rPr>
          <w:rFonts w:hint="eastAsia"/>
          <w:sz w:val="24"/>
          <w:lang w:val="en-US" w:eastAsia="zh-CN"/>
        </w:rPr>
        <w:t>...........................................................94</w:t>
      </w:r>
    </w:p>
    <w:p w14:paraId="3EA32E18">
      <w:pPr>
        <w:pStyle w:val="2"/>
        <w:adjustRightInd w:val="0"/>
        <w:snapToGrid w:val="0"/>
        <w:spacing w:line="440" w:lineRule="exact"/>
        <w:jc w:val="left"/>
        <w:rPr>
          <w:rFonts w:hint="default" w:ascii="仿宋" w:hAnsi="仿宋" w:eastAsia="仿宋" w:cstheme="minorBidi"/>
          <w:sz w:val="24"/>
          <w:lang w:val="en-US"/>
        </w:rPr>
      </w:pPr>
      <w:r>
        <w:rPr>
          <w:rFonts w:hint="eastAsia"/>
          <w:sz w:val="24"/>
        </w:rPr>
        <w:t>七、一般公共预算财政拨款支出决算明细表</w:t>
      </w:r>
      <w:r>
        <w:rPr>
          <w:rFonts w:hint="eastAsia"/>
          <w:sz w:val="24"/>
          <w:lang w:val="en-US" w:eastAsia="zh-CN"/>
        </w:rPr>
        <w:t>...................................................94</w:t>
      </w:r>
      <w:r>
        <w:rPr>
          <w:rFonts w:hint="eastAsia"/>
          <w:sz w:val="24"/>
        </w:rPr>
        <w:t>八、一般公共预算财政拨款基本支出决算明细表</w:t>
      </w:r>
      <w:r>
        <w:rPr>
          <w:rFonts w:hint="eastAsia"/>
          <w:sz w:val="24"/>
          <w:lang w:val="en-US" w:eastAsia="zh-CN"/>
        </w:rPr>
        <w:t>...........................................94</w:t>
      </w:r>
    </w:p>
    <w:p w14:paraId="6B0F4F71">
      <w:pPr>
        <w:pStyle w:val="2"/>
        <w:adjustRightInd w:val="0"/>
        <w:snapToGrid w:val="0"/>
        <w:spacing w:line="440" w:lineRule="exact"/>
        <w:jc w:val="left"/>
        <w:rPr>
          <w:sz w:val="24"/>
        </w:rPr>
      </w:pPr>
    </w:p>
    <w:p w14:paraId="4F1AE732">
      <w:pPr>
        <w:pStyle w:val="2"/>
        <w:numPr>
          <w:ilvl w:val="0"/>
          <w:numId w:val="1"/>
        </w:numPr>
        <w:adjustRightInd w:val="0"/>
        <w:snapToGrid w:val="0"/>
        <w:spacing w:line="440" w:lineRule="exact"/>
        <w:jc w:val="left"/>
        <w:rPr>
          <w:rFonts w:hint="eastAsia"/>
          <w:sz w:val="24"/>
          <w:lang w:val="en-US" w:eastAsia="zh-CN"/>
        </w:rPr>
      </w:pPr>
      <w:r>
        <w:rPr>
          <w:rFonts w:hint="eastAsia"/>
          <w:sz w:val="24"/>
        </w:rPr>
        <w:t>一般公共预算财政拨款项目支出决算表</w:t>
      </w:r>
      <w:r>
        <w:rPr>
          <w:rFonts w:hint="eastAsia"/>
          <w:sz w:val="24"/>
          <w:lang w:val="en-US" w:eastAsia="zh-CN"/>
        </w:rPr>
        <w:t>..................................................94</w:t>
      </w:r>
    </w:p>
    <w:p w14:paraId="0AD0C412">
      <w:pPr>
        <w:pStyle w:val="2"/>
        <w:numPr>
          <w:ilvl w:val="0"/>
          <w:numId w:val="1"/>
        </w:numPr>
        <w:adjustRightInd w:val="0"/>
        <w:snapToGrid w:val="0"/>
        <w:spacing w:line="440" w:lineRule="exact"/>
        <w:jc w:val="left"/>
        <w:rPr>
          <w:rFonts w:ascii="仿宋" w:hAnsi="仿宋" w:eastAsia="仿宋" w:cstheme="minorBidi"/>
          <w:sz w:val="24"/>
        </w:rPr>
      </w:pPr>
      <w:r>
        <w:rPr>
          <w:rFonts w:hint="eastAsia"/>
          <w:sz w:val="24"/>
        </w:rPr>
        <w:t>政府性基金预算财政拨款收入支出决算表</w:t>
      </w:r>
      <w:r>
        <w:rPr>
          <w:rFonts w:hint="eastAsia"/>
          <w:sz w:val="24"/>
          <w:lang w:val="en-US" w:eastAsia="zh-CN"/>
        </w:rPr>
        <w:t>..............................................94</w:t>
      </w:r>
    </w:p>
    <w:p w14:paraId="54A5EB15">
      <w:pPr>
        <w:pStyle w:val="2"/>
        <w:adjustRightInd w:val="0"/>
        <w:snapToGrid w:val="0"/>
        <w:spacing w:line="440" w:lineRule="exact"/>
        <w:jc w:val="left"/>
        <w:rPr>
          <w:rFonts w:ascii="仿宋" w:hAnsi="仿宋" w:eastAsia="仿宋" w:cstheme="minorBidi"/>
          <w:sz w:val="24"/>
        </w:rPr>
      </w:pPr>
      <w:r>
        <w:rPr>
          <w:rFonts w:hint="eastAsia"/>
          <w:sz w:val="24"/>
        </w:rPr>
        <w:t>十一、国有资本经营预算财政拨款收入支出决算表</w:t>
      </w:r>
      <w:r>
        <w:rPr>
          <w:rFonts w:hint="eastAsia"/>
          <w:sz w:val="24"/>
          <w:lang w:val="en-US" w:eastAsia="zh-CN"/>
        </w:rPr>
        <w:t>........................................94</w:t>
      </w:r>
    </w:p>
    <w:p w14:paraId="6CBEC90D">
      <w:pPr>
        <w:pStyle w:val="2"/>
        <w:adjustRightInd w:val="0"/>
        <w:snapToGrid w:val="0"/>
        <w:spacing w:line="440" w:lineRule="exact"/>
        <w:jc w:val="left"/>
        <w:rPr>
          <w:rFonts w:ascii="仿宋" w:hAnsi="仿宋" w:eastAsia="仿宋" w:cstheme="minorBidi"/>
          <w:sz w:val="24"/>
        </w:rPr>
      </w:pPr>
      <w:r>
        <w:rPr>
          <w:rFonts w:hint="eastAsia"/>
          <w:sz w:val="24"/>
        </w:rPr>
        <w:t>十二、国有资本经营预算财政拨款支出决算表</w:t>
      </w:r>
      <w:r>
        <w:rPr>
          <w:rFonts w:hint="eastAsia"/>
          <w:sz w:val="24"/>
          <w:lang w:val="en-US" w:eastAsia="zh-CN"/>
        </w:rPr>
        <w:t>...............................................94</w:t>
      </w:r>
      <w:r>
        <w:rPr>
          <w:rFonts w:hint="eastAsia"/>
          <w:sz w:val="24"/>
        </w:rPr>
        <w:t>十三、财政拨款“三公”经费支出决算表</w:t>
      </w:r>
      <w:r>
        <w:rPr>
          <w:rFonts w:hint="eastAsia"/>
          <w:sz w:val="24"/>
          <w:lang w:val="en-US" w:eastAsia="zh-CN"/>
        </w:rPr>
        <w:t>........................................................94</w:t>
      </w:r>
    </w:p>
    <w:p w14:paraId="4F4777EF">
      <w:pPr>
        <w:pStyle w:val="2"/>
        <w:adjustRightInd w:val="0"/>
        <w:snapToGrid w:val="0"/>
        <w:spacing w:line="440" w:lineRule="exact"/>
        <w:jc w:val="left"/>
        <w:rPr>
          <w:rFonts w:asciiTheme="minorEastAsia" w:hAnsiTheme="minorEastAsia" w:eastAsiaTheme="minorEastAsia" w:cstheme="minorEastAsia"/>
          <w:sz w:val="24"/>
        </w:rPr>
      </w:pPr>
    </w:p>
    <w:p w14:paraId="1D897EF3">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30557C69">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267070D1">
      <w:pPr>
        <w:pStyle w:val="3"/>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14:paraId="5C68D024">
      <w:pPr>
        <w:widowControl/>
        <w:jc w:val="left"/>
        <w:rPr>
          <w:rFonts w:ascii="黑体" w:eastAsia="黑体"/>
          <w:sz w:val="32"/>
          <w:szCs w:val="32"/>
        </w:rPr>
      </w:pPr>
    </w:p>
    <w:p w14:paraId="57ED560E">
      <w:pPr>
        <w:pStyle w:val="4"/>
        <w:numPr>
          <w:ilvl w:val="0"/>
          <w:numId w:val="2"/>
        </w:numPr>
        <w:rPr>
          <w:rFonts w:hint="eastAsia" w:ascii="黑体" w:hAnsi="黑体" w:eastAsia="黑体"/>
          <w:b w:val="0"/>
        </w:rPr>
      </w:pPr>
      <w:r>
        <w:rPr>
          <w:rFonts w:hint="eastAsia" w:ascii="黑体" w:hAnsi="黑体" w:eastAsia="黑体"/>
          <w:b w:val="0"/>
        </w:rPr>
        <w:t>部门职责</w:t>
      </w:r>
    </w:p>
    <w:p w14:paraId="5B8BE8D3">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w:t>
      </w:r>
      <w:r>
        <w:rPr>
          <w:rFonts w:eastAsia="仿宋_GB2312"/>
          <w:color w:val="000000"/>
          <w:sz w:val="32"/>
          <w:szCs w:val="32"/>
        </w:rPr>
        <w:t>贯彻执行国家国民经济和社会发展的战略、方针和政策，研究提出相应的政策措施；拟订并组织实施全县经济和社会发展战略、中长期规划和年度计划；</w:t>
      </w:r>
      <w:r>
        <w:rPr>
          <w:rFonts w:hint="eastAsia" w:eastAsia="仿宋_GB2312"/>
          <w:color w:val="auto"/>
          <w:sz w:val="32"/>
          <w:szCs w:val="32"/>
          <w:highlight w:val="none"/>
          <w:lang w:eastAsia="zh-CN"/>
        </w:rPr>
        <w:t>研究拟定全县人口发展战略规划和人口政策；</w:t>
      </w:r>
      <w:r>
        <w:rPr>
          <w:rFonts w:eastAsia="仿宋_GB2312"/>
          <w:color w:val="000000"/>
          <w:sz w:val="32"/>
          <w:szCs w:val="32"/>
        </w:rPr>
        <w:t>研究提出全县经济发展的总量平衡、发展速度和结构调整的目标、政策；提出运用各种经济手段和政策的建议；受县政府委托向县人大作全县经济和社会发展计划的报告。</w:t>
      </w:r>
    </w:p>
    <w:p w14:paraId="38AB863F">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2.</w:t>
      </w:r>
      <w:r>
        <w:rPr>
          <w:rFonts w:eastAsia="仿宋_GB2312"/>
          <w:color w:val="000000"/>
          <w:sz w:val="32"/>
          <w:szCs w:val="32"/>
        </w:rPr>
        <w:t>编制我县实施西部大开发战略的规划，提出有关政策建议，组织协调全县实施西部大开发战略的有关重大问题。</w:t>
      </w:r>
    </w:p>
    <w:p w14:paraId="3DE1C76F">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3.</w:t>
      </w:r>
      <w:r>
        <w:rPr>
          <w:rFonts w:eastAsia="仿宋_GB2312"/>
          <w:color w:val="000000"/>
          <w:sz w:val="32"/>
          <w:szCs w:val="32"/>
        </w:rPr>
        <w:t>研究分析县内外经济形势和发展情况，进行宏观经济的预测、预警；组织对全县经济社会发展中的重大问题和热点、难点问题的调查研究，提出宏观调控政策建议，综合协调经济社会发展。</w:t>
      </w:r>
    </w:p>
    <w:p w14:paraId="4E3D756B">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4.</w:t>
      </w:r>
      <w:r>
        <w:rPr>
          <w:rFonts w:eastAsia="仿宋_GB2312"/>
          <w:color w:val="000000"/>
          <w:sz w:val="32"/>
          <w:szCs w:val="32"/>
        </w:rPr>
        <w:t>负责汇总和分析全县财政、金融等方面的情况；提出直接融资的发展战略和政策建议；综合协调财政、金融、价格等经济杠杆以及县上直接掌握的经济手段的使用，并通过法规和政策协调、信息指导，保证规划的实施。</w:t>
      </w:r>
    </w:p>
    <w:p w14:paraId="2850ADF5">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5.</w:t>
      </w:r>
      <w:r>
        <w:rPr>
          <w:rFonts w:eastAsia="仿宋_GB2312"/>
          <w:color w:val="000000"/>
          <w:sz w:val="32"/>
          <w:szCs w:val="32"/>
        </w:rPr>
        <w:t>研究全县经济体制改革和对外开放的综合性、全局性问题及对策，提出完善社会主义市场经济体制和以改革开放促进发展的建议，协调发展与改革中的重大问题；组织拟订综合性经济体制改革方案，协调有关专项经济体制改革方案；指导和推进总体经济体制改革以及城市、乡镇综合配套改革与体制创新，组织、指导和协调综合配套改革试点和重大专项经济体制改革试点。</w:t>
      </w:r>
    </w:p>
    <w:p w14:paraId="54C637B2">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6.</w:t>
      </w:r>
      <w:r>
        <w:rPr>
          <w:rFonts w:eastAsia="仿宋_GB2312"/>
          <w:color w:val="000000"/>
          <w:sz w:val="32"/>
          <w:szCs w:val="32"/>
        </w:rPr>
        <w:t>提出全县社会固定资产投资总规模、投资结构，编制年度投资计划；研究提出有关重大投资政策，规划重大项目和生产力布局；安排财政性建设资金，指导和监督政策性贷款的使用方向；申报限额以上和审批权限以内的基本建设项目；按照基本建设程序，负责全县基本建设项目立项、可行性研究报告和国家出资的工业(含内贸)、农业、水利、交通、信息产业等行业和产业项目的初步设计审查、开工报告审批工作；引导民间资金用于固定资产投资的方向；研究提出全县利用外资的发展战略、总量平衡和结构优化的目标和政策措施；负责全口径外债的总量控制、结构优化和监控工作；提出拟订全县工商领域外的外商投资产业指导目录的意见；审批权限以内国外贷款、外商投资和境外投资项目；申报和审核利用外资、境外投资的重大项目；负责编制全县重点建设项目和年度投资计划；负责组织和管理重大建设项目稽察特派员工作。</w:t>
      </w:r>
    </w:p>
    <w:p w14:paraId="40E4AB1F">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7.</w:t>
      </w:r>
      <w:r>
        <w:rPr>
          <w:rFonts w:eastAsia="仿宋_GB2312"/>
          <w:color w:val="000000"/>
          <w:sz w:val="32"/>
          <w:szCs w:val="32"/>
        </w:rPr>
        <w:t>研究分析全县经济结构的状况，提出优化所有制结构的建议，拟订促进全县多种经济成分公平竞争和共同发展的政策措施；提出全县重要经济产业的发展战略和规划，推进产业结构战略性调整和升级；研究并协调农业和农村经济社会发展的有关重大问题，衔接农村专项规划和政策；综合协调产业发展战略、发展规划；拟订全县能源交通发展战略和规划，做好能源供需预测和综合平衡；研究提出全县高技术产业战略和发展规划，推进重大科技成果的产业化，实施技术进步和产业现代化的宏观指导。</w:t>
      </w:r>
    </w:p>
    <w:p w14:paraId="3CF1A625">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8.</w:t>
      </w:r>
      <w:r>
        <w:rPr>
          <w:rFonts w:eastAsia="仿宋_GB2312"/>
          <w:color w:val="000000"/>
          <w:sz w:val="32"/>
          <w:szCs w:val="32"/>
        </w:rPr>
        <w:t>研究分析区域经济和城镇化发展情况，提出全县区域经济协调发展和实施西部大开发战略的规划，提出城镇化发展战略和政策措施建议。</w:t>
      </w:r>
    </w:p>
    <w:p w14:paraId="2C867040">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9.</w:t>
      </w:r>
      <w:r>
        <w:rPr>
          <w:rFonts w:eastAsia="仿宋_GB2312"/>
          <w:color w:val="000000"/>
          <w:sz w:val="32"/>
          <w:szCs w:val="32"/>
        </w:rPr>
        <w:t>研究分析县内外市场状况，负责重要商品的总量平衡和宏观调控；编制重要农产品、工业品和原材料进出口总量计划，监督计划执行；研究推进国民经济市场化和市场体系建立中的重要体制改革和政策问题；研究拟订现代物流业发展的战略和规划；提出县内商品市场、生产要素市场的发展规划、总体布局和重大调控政策。</w:t>
      </w:r>
    </w:p>
    <w:p w14:paraId="1B33C38D">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10.</w:t>
      </w:r>
      <w:r>
        <w:rPr>
          <w:rFonts w:eastAsia="仿宋_GB2312"/>
          <w:color w:val="000000"/>
          <w:sz w:val="32"/>
          <w:szCs w:val="32"/>
        </w:rPr>
        <w:t>做好人口和计划生育、科学技术、教育、文化、卫生等社会事业以及国防动员与经济发展的衔接平衡；提出经济与社会协调发展、相互促进的政策，协调社会事业发展中的重大问题；汇总编制人力资源开发总体发展规划。</w:t>
      </w:r>
    </w:p>
    <w:p w14:paraId="28E3CEF3">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11.</w:t>
      </w:r>
      <w:r>
        <w:rPr>
          <w:rFonts w:eastAsia="仿宋_GB2312"/>
          <w:color w:val="000000"/>
          <w:sz w:val="32"/>
          <w:szCs w:val="32"/>
        </w:rPr>
        <w:t>推进可持续发展战略，研究拟订全县资源开发与综合利用、环境保护、生态建设等规划，参与组织协调规划的实施；参与国土开发、整治、保护总体规划的组织协调，做好土地利用计划与经济和社会发展计划的衔接工作。</w:t>
      </w:r>
    </w:p>
    <w:p w14:paraId="24B2F9A4">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12.</w:t>
      </w:r>
      <w:r>
        <w:rPr>
          <w:rFonts w:eastAsia="仿宋_GB2312"/>
          <w:color w:val="000000"/>
          <w:sz w:val="32"/>
          <w:szCs w:val="32"/>
        </w:rPr>
        <w:t>研究提出促进就业、调整收入分配、完善社会保障与经济协调发展的政策；协调就业、收入分配和社会保障的重大问题。</w:t>
      </w:r>
    </w:p>
    <w:p w14:paraId="0CD05445">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13.</w:t>
      </w:r>
      <w:r>
        <w:rPr>
          <w:rFonts w:eastAsia="仿宋_GB2312"/>
          <w:color w:val="000000"/>
          <w:sz w:val="32"/>
          <w:szCs w:val="32"/>
        </w:rPr>
        <w:t>拟订全县经济和社会发展以及经济体制改革、对外开放的有关规范性文件。</w:t>
      </w:r>
    </w:p>
    <w:p w14:paraId="6994C921">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14.</w:t>
      </w:r>
      <w:r>
        <w:rPr>
          <w:rFonts w:eastAsia="仿宋_GB2312"/>
          <w:color w:val="000000"/>
          <w:sz w:val="32"/>
          <w:szCs w:val="32"/>
        </w:rPr>
        <w:t>负责指导和协调全县招标投标工作，会同有关行政主管部门拟定招标投标配套规定和必须进行招标投标项目的具体范围、规模标准；按照职责权限对重大建设项目建设过程中的工程招标投标活动实施监督检查。</w:t>
      </w:r>
    </w:p>
    <w:p w14:paraId="2ABBD45C">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15.</w:t>
      </w:r>
      <w:r>
        <w:rPr>
          <w:rFonts w:eastAsia="仿宋_GB2312"/>
          <w:color w:val="000000"/>
          <w:sz w:val="32"/>
          <w:szCs w:val="32"/>
        </w:rPr>
        <w:t>贯彻执行国家、省、州以工代赈方针、政策；负责争取国家、省、州以工代赈项目、资金；编制全县以工代赈中长期规划及年度计划；负责以工代赈项目、资金计划上报及下达工作；组织相关部门搞好以工代赈项目的规划、论证、可行性研究，建设好以工代赈项目储备库；会同财政、审计、监察等部门做好全县以工代赈资金的监督管理；负责以工代赈项目实施的督促、检查、验收及成果宣传，搞好项目的建档立卡工作。</w:t>
      </w:r>
    </w:p>
    <w:p w14:paraId="484F56E1">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16.</w:t>
      </w:r>
      <w:r>
        <w:rPr>
          <w:rFonts w:eastAsia="仿宋_GB2312"/>
          <w:color w:val="000000"/>
          <w:sz w:val="32"/>
          <w:szCs w:val="32"/>
        </w:rPr>
        <w:t>承担县政府公布的有关行政审批事项。</w:t>
      </w:r>
    </w:p>
    <w:p w14:paraId="65530A9A">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 w:hAnsi="仿宋" w:eastAsia="仿宋"/>
          <w:bCs/>
          <w:color w:val="000000"/>
          <w:sz w:val="32"/>
          <w:szCs w:val="32"/>
        </w:rPr>
      </w:pPr>
      <w:r>
        <w:rPr>
          <w:rFonts w:hint="eastAsia" w:eastAsia="仿宋_GB2312"/>
          <w:color w:val="000000"/>
          <w:sz w:val="32"/>
          <w:szCs w:val="32"/>
          <w:lang w:val="en-US" w:eastAsia="zh-CN"/>
        </w:rPr>
        <w:t>17.</w:t>
      </w:r>
      <w:r>
        <w:rPr>
          <w:rFonts w:eastAsia="仿宋_GB2312"/>
          <w:color w:val="000000"/>
          <w:sz w:val="32"/>
          <w:szCs w:val="32"/>
        </w:rPr>
        <w:t>承办县政府交办的其他事项。</w:t>
      </w:r>
    </w:p>
    <w:p w14:paraId="0F7B01B8">
      <w:pPr>
        <w:numPr>
          <w:ilvl w:val="0"/>
          <w:numId w:val="2"/>
        </w:numPr>
      </w:pPr>
    </w:p>
    <w:p w14:paraId="414B54F3">
      <w:pPr>
        <w:pStyle w:val="4"/>
        <w:rPr>
          <w:rStyle w:val="29"/>
          <w:b w:val="0"/>
          <w:bCs w:val="0"/>
        </w:rPr>
      </w:pPr>
      <w:bookmarkStart w:id="14" w:name="_Toc15377200"/>
      <w:bookmarkStart w:id="15" w:name="_Toc15396601"/>
      <w:r>
        <w:rPr>
          <w:rFonts w:hint="eastAsia" w:ascii="黑体" w:eastAsia="黑体"/>
          <w:b w:val="0"/>
        </w:rPr>
        <w:t>二、</w:t>
      </w:r>
      <w:r>
        <w:rPr>
          <w:rFonts w:hint="eastAsia" w:ascii="黑体" w:hAnsi="黑体" w:eastAsia="黑体"/>
          <w:b w:val="0"/>
        </w:rPr>
        <w:t>机</w:t>
      </w:r>
      <w:r>
        <w:rPr>
          <w:rStyle w:val="29"/>
          <w:rFonts w:hint="eastAsia" w:ascii="黑体" w:hAnsi="黑体" w:eastAsia="黑体"/>
          <w:b w:val="0"/>
          <w:bCs w:val="0"/>
        </w:rPr>
        <w:t>构设置</w:t>
      </w:r>
      <w:bookmarkEnd w:id="14"/>
      <w:bookmarkEnd w:id="15"/>
    </w:p>
    <w:p w14:paraId="7C6C554F">
      <w:pPr>
        <w:ind w:firstLine="800" w:firstLineChars="250"/>
        <w:rPr>
          <w:rFonts w:ascii="仿宋" w:hAnsi="仿宋" w:eastAsia="仿宋"/>
          <w:sz w:val="32"/>
          <w:szCs w:val="32"/>
        </w:rPr>
      </w:pPr>
      <w:r>
        <w:rPr>
          <w:sz w:val="32"/>
          <w:szCs w:val="32"/>
        </w:rPr>
        <w:t>四川省阿坝州九寨沟县发展和改革局</w:t>
      </w:r>
      <w:r>
        <w:rPr>
          <w:rFonts w:hint="eastAsia" w:ascii="仿宋" w:hAnsi="仿宋" w:eastAsia="仿宋"/>
          <w:sz w:val="32"/>
          <w:szCs w:val="32"/>
        </w:rPr>
        <w:t>下属二级预算单位</w:t>
      </w:r>
      <w:r>
        <w:rPr>
          <w:sz w:val="32"/>
          <w:szCs w:val="32"/>
        </w:rPr>
        <w:t>3</w:t>
      </w:r>
      <w:r>
        <w:rPr>
          <w:rFonts w:hint="eastAsia" w:ascii="仿宋" w:hAnsi="仿宋" w:eastAsia="仿宋"/>
          <w:sz w:val="32"/>
          <w:szCs w:val="32"/>
        </w:rPr>
        <w:t>个，其中行政单位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14:paraId="624A62C7">
      <w:pPr>
        <w:pStyle w:val="6"/>
        <w:adjustRightInd w:val="0"/>
        <w:snapToGrid w:val="0"/>
        <w:spacing w:before="93" w:line="600" w:lineRule="exact"/>
        <w:ind w:firstLine="672" w:firstLineChars="210"/>
        <w:rPr>
          <w:rFonts w:ascii="仿宋" w:hAnsi="仿宋" w:eastAsia="仿宋"/>
          <w:sz w:val="32"/>
          <w:szCs w:val="32"/>
        </w:rPr>
      </w:pPr>
      <w:r>
        <w:rPr>
          <w:rFonts w:hint="eastAsia" w:ascii="仿宋" w:hAnsi="仿宋" w:eastAsia="仿宋"/>
          <w:sz w:val="32"/>
          <w:szCs w:val="32"/>
        </w:rPr>
        <w:t>纳入</w:t>
      </w:r>
      <w:r>
        <w:rPr>
          <w:rFonts w:ascii="Times New Roman" w:eastAsia="宋体"/>
          <w:kern w:val="2"/>
          <w:sz w:val="32"/>
          <w:szCs w:val="32"/>
        </w:rPr>
        <w:t>四川省阿坝州九寨沟县发展和改革局</w:t>
      </w:r>
      <w:r>
        <w:rPr>
          <w:rFonts w:hint="eastAsia" w:ascii="仿宋" w:hAnsi="仿宋" w:eastAsia="仿宋"/>
          <w:sz w:val="32"/>
          <w:szCs w:val="32"/>
        </w:rPr>
        <w:t>2023年度部门决算编制范围的二级预算单位包括：</w:t>
      </w:r>
    </w:p>
    <w:p w14:paraId="67AD71EF">
      <w:pPr>
        <w:pStyle w:val="6"/>
        <w:numPr>
          <w:ilvl w:val="0"/>
          <w:numId w:val="3"/>
        </w:numPr>
        <w:adjustRightInd w:val="0"/>
        <w:snapToGrid w:val="0"/>
        <w:spacing w:before="93" w:line="600" w:lineRule="exact"/>
        <w:outlineLvl w:val="2"/>
        <w:rPr>
          <w:rFonts w:ascii="仿宋" w:hAnsi="仿宋" w:eastAsia="仿宋"/>
          <w:sz w:val="32"/>
          <w:szCs w:val="32"/>
        </w:rPr>
      </w:pPr>
      <w:r>
        <w:rPr>
          <w:rFonts w:hint="eastAsia" w:ascii="仿宋" w:hAnsi="仿宋" w:eastAsia="仿宋"/>
          <w:sz w:val="32"/>
          <w:szCs w:val="32"/>
          <w:lang w:eastAsia="zh-CN"/>
        </w:rPr>
        <w:t>九寨沟县发展和改革局</w:t>
      </w:r>
    </w:p>
    <w:p w14:paraId="386B861E">
      <w:pPr>
        <w:pStyle w:val="6"/>
        <w:numPr>
          <w:ilvl w:val="0"/>
          <w:numId w:val="3"/>
        </w:numPr>
        <w:adjustRightInd w:val="0"/>
        <w:snapToGrid w:val="0"/>
        <w:spacing w:before="93" w:line="600" w:lineRule="exact"/>
        <w:outlineLvl w:val="2"/>
        <w:rPr>
          <w:rFonts w:ascii="仿宋" w:hAnsi="仿宋" w:eastAsia="仿宋"/>
          <w:sz w:val="32"/>
          <w:szCs w:val="32"/>
        </w:rPr>
      </w:pPr>
      <w:r>
        <w:rPr>
          <w:rFonts w:hint="eastAsia" w:ascii="仿宋" w:hAnsi="仿宋" w:eastAsia="仿宋"/>
          <w:sz w:val="32"/>
          <w:szCs w:val="32"/>
          <w:lang w:eastAsia="zh-CN"/>
        </w:rPr>
        <w:t>九寨沟县价格认证中心</w:t>
      </w:r>
    </w:p>
    <w:p w14:paraId="2E14BAB5">
      <w:pPr>
        <w:pStyle w:val="6"/>
        <w:numPr>
          <w:ilvl w:val="0"/>
          <w:numId w:val="3"/>
        </w:numPr>
        <w:adjustRightInd w:val="0"/>
        <w:snapToGrid w:val="0"/>
        <w:spacing w:before="93" w:line="600" w:lineRule="exact"/>
        <w:outlineLvl w:val="2"/>
        <w:rPr>
          <w:rFonts w:ascii="仿宋" w:hAnsi="仿宋" w:eastAsia="仿宋"/>
          <w:sz w:val="32"/>
          <w:szCs w:val="32"/>
        </w:rPr>
      </w:pPr>
      <w:r>
        <w:rPr>
          <w:rFonts w:hint="eastAsia" w:ascii="仿宋" w:hAnsi="仿宋" w:eastAsia="仿宋"/>
          <w:sz w:val="32"/>
          <w:szCs w:val="32"/>
          <w:lang w:eastAsia="zh-CN"/>
        </w:rPr>
        <w:t>九寨沟县粮食和物资储备中心</w:t>
      </w:r>
    </w:p>
    <w:p w14:paraId="2B0A902B">
      <w:pPr>
        <w:widowControl/>
        <w:jc w:val="left"/>
        <w:rPr>
          <w:rFonts w:ascii="仿宋" w:hAnsi="仿宋" w:eastAsia="仿宋"/>
          <w:kern w:val="0"/>
          <w:sz w:val="32"/>
          <w:szCs w:val="32"/>
        </w:rPr>
      </w:pPr>
      <w:r>
        <w:rPr>
          <w:rFonts w:ascii="仿宋" w:hAnsi="仿宋" w:eastAsia="仿宋"/>
          <w:sz w:val="32"/>
          <w:szCs w:val="32"/>
        </w:rPr>
        <w:br w:type="page"/>
      </w:r>
    </w:p>
    <w:p w14:paraId="66FD5931">
      <w:pPr>
        <w:pStyle w:val="3"/>
        <w:ind w:right="440"/>
        <w:jc w:val="center"/>
        <w:rPr>
          <w:rStyle w:val="28"/>
          <w:rFonts w:ascii="黑体" w:hAnsi="黑体" w:eastAsia="黑体"/>
          <w:b w:val="0"/>
          <w:bCs/>
        </w:rPr>
      </w:pPr>
      <w:bookmarkStart w:id="16" w:name="_Toc15377204"/>
      <w:bookmarkStart w:id="17" w:name="_Toc15396602"/>
      <w:r>
        <w:rPr>
          <w:rFonts w:hint="eastAsia" w:ascii="黑体" w:hAnsi="黑体" w:eastAsia="黑体"/>
          <w:b w:val="0"/>
        </w:rPr>
        <w:t>第二部分 2023年度</w:t>
      </w:r>
      <w:r>
        <w:rPr>
          <w:rStyle w:val="28"/>
          <w:rFonts w:hint="eastAsia" w:ascii="黑体" w:hAnsi="黑体" w:eastAsia="黑体"/>
          <w:b w:val="0"/>
          <w:bCs/>
        </w:rPr>
        <w:t>部门决算情况说明</w:t>
      </w:r>
      <w:bookmarkEnd w:id="16"/>
      <w:bookmarkEnd w:id="17"/>
    </w:p>
    <w:p w14:paraId="70DD7EC9"/>
    <w:p w14:paraId="282C83B6">
      <w:pPr>
        <w:pStyle w:val="27"/>
        <w:numPr>
          <w:ilvl w:val="0"/>
          <w:numId w:val="4"/>
        </w:numPr>
        <w:spacing w:line="600" w:lineRule="exact"/>
        <w:ind w:firstLineChars="0"/>
        <w:outlineLvl w:val="1"/>
        <w:rPr>
          <w:rStyle w:val="29"/>
          <w:rFonts w:ascii="黑体" w:hAnsi="黑体" w:eastAsia="黑体"/>
          <w:b w:val="0"/>
        </w:rPr>
      </w:pPr>
      <w:bookmarkStart w:id="18" w:name="_Toc15377205"/>
      <w:bookmarkStart w:id="19" w:name="_Toc15396603"/>
      <w:r>
        <w:rPr>
          <w:rFonts w:hint="eastAsia" w:ascii="黑体" w:hAnsi="黑体" w:eastAsia="黑体"/>
          <w:sz w:val="32"/>
          <w:szCs w:val="32"/>
        </w:rPr>
        <w:t>收</w:t>
      </w:r>
      <w:r>
        <w:rPr>
          <w:rStyle w:val="29"/>
          <w:rFonts w:hint="eastAsia" w:ascii="黑体" w:hAnsi="黑体" w:eastAsia="黑体"/>
          <w:b w:val="0"/>
        </w:rPr>
        <w:t>入支出决算总体情况说明</w:t>
      </w:r>
      <w:bookmarkEnd w:id="18"/>
      <w:bookmarkEnd w:id="19"/>
    </w:p>
    <w:p w14:paraId="3CD42F54">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2023年度收、支总计均为</w:t>
      </w:r>
      <w:r>
        <w:rPr>
          <w:rFonts w:hint="eastAsia"/>
          <w:sz w:val="32"/>
          <w:szCs w:val="32"/>
        </w:rPr>
        <w:t>1597.91</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与2022年度相比，收、支总计各增加</w:t>
      </w:r>
      <w:r>
        <w:rPr>
          <w:rFonts w:hint="eastAsia" w:ascii="仿宋" w:hAnsi="仿宋" w:eastAsia="仿宋"/>
          <w:sz w:val="32"/>
          <w:szCs w:val="32"/>
          <w:lang w:val="en-US" w:eastAsia="zh-CN"/>
        </w:rPr>
        <w:t>534.36</w:t>
      </w:r>
      <w:r>
        <w:rPr>
          <w:rFonts w:hint="eastAsia" w:ascii="仿宋" w:hAnsi="仿宋" w:eastAsia="仿宋"/>
          <w:sz w:val="32"/>
          <w:szCs w:val="32"/>
        </w:rPr>
        <w:t>万元，增长</w:t>
      </w:r>
      <w:r>
        <w:rPr>
          <w:rFonts w:hint="eastAsia" w:ascii="仿宋" w:hAnsi="仿宋" w:eastAsia="仿宋"/>
          <w:sz w:val="32"/>
          <w:szCs w:val="32"/>
          <w:lang w:val="en-US" w:eastAsia="zh-CN"/>
        </w:rPr>
        <w:t>33.44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2022年粮食和物资储备中心决算未纳入发改局，2023年纳入发改局，经费增加</w:t>
      </w:r>
      <w:r>
        <w:rPr>
          <w:rFonts w:hint="eastAsia" w:ascii="仿宋" w:hAnsi="仿宋" w:eastAsia="仿宋"/>
          <w:sz w:val="32"/>
          <w:szCs w:val="32"/>
        </w:rPr>
        <w:t>。</w:t>
      </w:r>
    </w:p>
    <w:p w14:paraId="09F2E3AF">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15F3F521">
      <w:pPr>
        <w:spacing w:line="600" w:lineRule="exact"/>
        <w:ind w:firstLine="640" w:firstLineChars="200"/>
        <w:jc w:val="left"/>
        <w:rPr>
          <w:rFonts w:ascii="仿宋_GB2312" w:eastAsia="仿宋_GB2312"/>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margin">
              <wp:posOffset>-46990</wp:posOffset>
            </wp:positionH>
            <wp:positionV relativeFrom="paragraph">
              <wp:posOffset>325755</wp:posOffset>
            </wp:positionV>
            <wp:extent cx="5181600" cy="2447925"/>
            <wp:effectExtent l="4445" t="4445" r="14605" b="508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66CF2C7">
      <w:pPr>
        <w:pStyle w:val="27"/>
        <w:numPr>
          <w:ilvl w:val="0"/>
          <w:numId w:val="4"/>
        </w:numPr>
        <w:spacing w:line="600" w:lineRule="exact"/>
        <w:ind w:firstLineChars="0"/>
        <w:outlineLvl w:val="1"/>
        <w:rPr>
          <w:rStyle w:val="29"/>
          <w:rFonts w:ascii="黑体" w:hAnsi="黑体" w:eastAsia="黑体"/>
          <w:b w:val="0"/>
        </w:rPr>
      </w:pPr>
      <w:bookmarkStart w:id="20" w:name="_Toc15396604"/>
      <w:bookmarkStart w:id="21" w:name="_Toc15377206"/>
      <w:r>
        <w:rPr>
          <w:rFonts w:hint="eastAsia" w:ascii="黑体" w:hAnsi="黑体" w:eastAsia="黑体"/>
          <w:sz w:val="32"/>
          <w:szCs w:val="32"/>
        </w:rPr>
        <w:t>收</w:t>
      </w:r>
      <w:r>
        <w:rPr>
          <w:rStyle w:val="29"/>
          <w:rFonts w:hint="eastAsia" w:ascii="黑体" w:hAnsi="黑体" w:eastAsia="黑体"/>
          <w:b w:val="0"/>
        </w:rPr>
        <w:t>入决算情况说明</w:t>
      </w:r>
      <w:bookmarkEnd w:id="20"/>
      <w:bookmarkEnd w:id="21"/>
    </w:p>
    <w:p w14:paraId="5D1776DD">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2023年度本年收入合计</w:t>
      </w:r>
      <w:r>
        <w:rPr>
          <w:sz w:val="32"/>
          <w:szCs w:val="32"/>
        </w:rPr>
        <w:t>1414.39</w:t>
      </w:r>
      <w:r>
        <w:rPr>
          <w:rFonts w:hint="eastAsia" w:ascii="仿宋" w:hAnsi="仿宋" w:eastAsia="仿宋"/>
          <w:sz w:val="32"/>
          <w:szCs w:val="32"/>
        </w:rPr>
        <w:t>万元，其中：一般公共预算财政拨款收入</w:t>
      </w:r>
      <w:r>
        <w:rPr>
          <w:sz w:val="32"/>
          <w:szCs w:val="32"/>
        </w:rPr>
        <w:t>1414.39</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6000394B">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14:paraId="250E14EF">
      <w:pPr>
        <w:spacing w:line="600" w:lineRule="exact"/>
        <w:ind w:firstLine="640" w:firstLineChars="200"/>
        <w:outlineLvl w:val="1"/>
        <w:rPr>
          <w:rFonts w:ascii="仿宋" w:hAnsi="仿宋" w:eastAsia="仿宋"/>
          <w:sz w:val="32"/>
          <w:szCs w:val="32"/>
        </w:rPr>
      </w:pPr>
    </w:p>
    <w:p w14:paraId="282DF32A">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14:paraId="4AE00C73">
      <w:pPr>
        <w:spacing w:line="600" w:lineRule="exact"/>
        <w:ind w:firstLine="640" w:firstLineChars="200"/>
        <w:rPr>
          <w:rFonts w:ascii="仿宋_GB2312" w:eastAsia="仿宋_GB2312"/>
          <w:sz w:val="32"/>
          <w:szCs w:val="32"/>
        </w:rPr>
      </w:pPr>
      <w:r>
        <w:rPr>
          <w:rFonts w:hint="eastAsia" w:ascii="仿宋" w:hAnsi="仿宋" w:eastAsia="仿宋"/>
          <w:color w:val="000000"/>
          <w:sz w:val="32"/>
          <w:szCs w:val="32"/>
        </w:rPr>
        <w:drawing>
          <wp:anchor distT="0" distB="0" distL="114300" distR="114300" simplePos="0" relativeHeight="251660288" behindDoc="0" locked="0" layoutInCell="1" allowOverlap="1">
            <wp:simplePos x="0" y="0"/>
            <wp:positionH relativeFrom="column">
              <wp:posOffset>-376555</wp:posOffset>
            </wp:positionH>
            <wp:positionV relativeFrom="paragraph">
              <wp:posOffset>131445</wp:posOffset>
            </wp:positionV>
            <wp:extent cx="5086350" cy="2190750"/>
            <wp:effectExtent l="4445" t="4445" r="14605" b="146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760F636">
      <w:pPr>
        <w:pStyle w:val="27"/>
        <w:numPr>
          <w:ilvl w:val="0"/>
          <w:numId w:val="4"/>
        </w:numPr>
        <w:spacing w:line="600" w:lineRule="exact"/>
        <w:ind w:firstLineChars="0"/>
        <w:outlineLvl w:val="1"/>
        <w:rPr>
          <w:rStyle w:val="29"/>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29"/>
          <w:rFonts w:hint="eastAsia" w:ascii="黑体" w:hAnsi="黑体" w:eastAsia="黑体"/>
          <w:b w:val="0"/>
        </w:rPr>
        <w:t>出决算情况说明</w:t>
      </w:r>
      <w:bookmarkEnd w:id="22"/>
      <w:bookmarkEnd w:id="23"/>
    </w:p>
    <w:p w14:paraId="0F5B98E4">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2023年度本年支出合计</w:t>
      </w:r>
      <w:r>
        <w:rPr>
          <w:sz w:val="32"/>
          <w:szCs w:val="32"/>
        </w:rPr>
        <w:t>1597.91</w:t>
      </w:r>
      <w:r>
        <w:rPr>
          <w:rFonts w:hint="eastAsia" w:ascii="仿宋" w:hAnsi="仿宋" w:eastAsia="仿宋"/>
          <w:sz w:val="32"/>
          <w:szCs w:val="32"/>
        </w:rPr>
        <w:t>万元，其中：基本支出</w:t>
      </w:r>
      <w:r>
        <w:rPr>
          <w:sz w:val="32"/>
          <w:szCs w:val="32"/>
        </w:rPr>
        <w:t>929.76</w:t>
      </w:r>
      <w:r>
        <w:rPr>
          <w:rFonts w:hint="eastAsia" w:ascii="仿宋" w:hAnsi="仿宋" w:eastAsia="仿宋"/>
          <w:sz w:val="32"/>
          <w:szCs w:val="32"/>
        </w:rPr>
        <w:t>万元，占</w:t>
      </w:r>
      <w:r>
        <w:rPr>
          <w:sz w:val="32"/>
          <w:szCs w:val="32"/>
        </w:rPr>
        <w:t>58.18</w:t>
      </w:r>
      <w:r>
        <w:rPr>
          <w:rFonts w:ascii="仿宋" w:hAnsi="仿宋" w:eastAsia="仿宋"/>
          <w:sz w:val="32"/>
          <w:szCs w:val="32"/>
        </w:rPr>
        <w:t>%</w:t>
      </w:r>
      <w:r>
        <w:rPr>
          <w:rFonts w:hint="eastAsia" w:ascii="仿宋" w:hAnsi="仿宋" w:eastAsia="仿宋"/>
          <w:sz w:val="32"/>
          <w:szCs w:val="32"/>
        </w:rPr>
        <w:t>；项目支出</w:t>
      </w:r>
      <w:r>
        <w:rPr>
          <w:sz w:val="32"/>
          <w:szCs w:val="32"/>
        </w:rPr>
        <w:t>668.15</w:t>
      </w:r>
      <w:r>
        <w:rPr>
          <w:rFonts w:hint="eastAsia" w:ascii="仿宋" w:hAnsi="仿宋" w:eastAsia="仿宋"/>
          <w:sz w:val="32"/>
          <w:szCs w:val="32"/>
        </w:rPr>
        <w:t>万元，占</w:t>
      </w:r>
      <w:r>
        <w:rPr>
          <w:sz w:val="32"/>
          <w:szCs w:val="32"/>
        </w:rPr>
        <w:t>41.81</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50296B4E">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p>
    <w:p w14:paraId="58063FF6">
      <w:pPr>
        <w:spacing w:line="600" w:lineRule="exact"/>
        <w:ind w:firstLine="640"/>
        <w:rPr>
          <w:rFonts w:ascii="仿宋" w:hAnsi="仿宋" w:eastAsia="仿宋"/>
          <w:sz w:val="32"/>
          <w:szCs w:val="32"/>
          <w:shd w:val="pct10" w:color="auto" w:fill="FFFFFF"/>
        </w:rPr>
      </w:pPr>
    </w:p>
    <w:p w14:paraId="4AE7AFE8">
      <w:pPr>
        <w:spacing w:line="600" w:lineRule="exact"/>
        <w:ind w:firstLine="640" w:firstLineChars="200"/>
        <w:rPr>
          <w:rFonts w:ascii="仿宋" w:hAnsi="仿宋" w:eastAsia="仿宋"/>
          <w:sz w:val="32"/>
          <w:szCs w:val="32"/>
        </w:rPr>
      </w:pPr>
      <w:r>
        <w:rPr>
          <w:rFonts w:ascii="仿宋_GB2312" w:eastAsia="仿宋_GB2312"/>
          <w:color w:val="FF0000"/>
          <w:sz w:val="32"/>
          <w:szCs w:val="32"/>
        </w:rPr>
        <w:drawing>
          <wp:anchor distT="0" distB="0" distL="114300" distR="114300" simplePos="0" relativeHeight="251661312" behindDoc="1" locked="0" layoutInCell="1" allowOverlap="1">
            <wp:simplePos x="0" y="0"/>
            <wp:positionH relativeFrom="column">
              <wp:posOffset>221615</wp:posOffset>
            </wp:positionH>
            <wp:positionV relativeFrom="paragraph">
              <wp:posOffset>-6736715</wp:posOffset>
            </wp:positionV>
            <wp:extent cx="5162550" cy="2152650"/>
            <wp:effectExtent l="4445" t="4445" r="14605" b="14605"/>
            <wp:wrapTight wrapText="bothSides">
              <wp:wrapPolygon>
                <wp:start x="-19" y="-45"/>
                <wp:lineTo x="-19" y="21555"/>
                <wp:lineTo x="21581" y="21555"/>
                <wp:lineTo x="21581" y="-45"/>
                <wp:lineTo x="-19" y="-45"/>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sz w:val="32"/>
          <w:szCs w:val="32"/>
        </w:rPr>
        <w:t>（图3：支出决算结构图）（饼状图）</w:t>
      </w:r>
    </w:p>
    <w:p w14:paraId="06621452">
      <w:pPr>
        <w:spacing w:line="600" w:lineRule="exact"/>
        <w:ind w:firstLine="640" w:firstLineChars="200"/>
        <w:rPr>
          <w:rFonts w:ascii="仿宋_GB2312" w:eastAsia="仿宋_GB2312"/>
          <w:sz w:val="32"/>
          <w:szCs w:val="32"/>
        </w:rPr>
      </w:pPr>
    </w:p>
    <w:p w14:paraId="3A42D4B9">
      <w:pPr>
        <w:spacing w:line="600" w:lineRule="exact"/>
        <w:ind w:firstLine="640" w:firstLineChars="200"/>
        <w:outlineLvl w:val="1"/>
        <w:rPr>
          <w:rStyle w:val="29"/>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4"/>
      <w:bookmarkEnd w:id="25"/>
    </w:p>
    <w:p w14:paraId="6549C2C5">
      <w:pPr>
        <w:spacing w:line="600" w:lineRule="exact"/>
        <w:ind w:firstLine="640"/>
        <w:rPr>
          <w:rFonts w:ascii="仿宋" w:hAnsi="仿宋" w:eastAsia="仿宋"/>
          <w:b/>
          <w:sz w:val="32"/>
          <w:szCs w:val="32"/>
        </w:rPr>
      </w:pPr>
      <w:r>
        <w:rPr>
          <w:rFonts w:hint="eastAsia" w:ascii="仿宋" w:hAnsi="仿宋" w:eastAsia="仿宋"/>
          <w:sz w:val="32"/>
          <w:szCs w:val="32"/>
        </w:rPr>
        <w:t>2023年度财政拨款收、支总计均为</w:t>
      </w:r>
      <w:r>
        <w:rPr>
          <w:sz w:val="32"/>
          <w:szCs w:val="32"/>
        </w:rPr>
        <w:t>1597.91</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534.36</w:t>
      </w:r>
      <w:r>
        <w:rPr>
          <w:rFonts w:hint="eastAsia" w:ascii="仿宋" w:hAnsi="仿宋" w:eastAsia="仿宋"/>
          <w:sz w:val="32"/>
          <w:szCs w:val="32"/>
        </w:rPr>
        <w:t>万元，增长</w:t>
      </w:r>
      <w:r>
        <w:rPr>
          <w:rFonts w:hint="eastAsia" w:ascii="仿宋" w:hAnsi="仿宋" w:eastAsia="仿宋"/>
          <w:sz w:val="32"/>
          <w:szCs w:val="32"/>
          <w:lang w:val="en-US" w:eastAsia="zh-CN"/>
        </w:rPr>
        <w:t>33.44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2022年粮食和物资储备中心决算未纳入发改局，2023年纳入发改局，经费增加</w:t>
      </w:r>
      <w:r>
        <w:rPr>
          <w:rFonts w:hint="eastAsia" w:ascii="仿宋" w:hAnsi="仿宋" w:eastAsia="仿宋"/>
          <w:sz w:val="32"/>
          <w:szCs w:val="32"/>
        </w:rPr>
        <w:t>。</w:t>
      </w: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58E22B97">
      <w:pPr>
        <w:spacing w:line="600" w:lineRule="exact"/>
        <w:rPr>
          <w:rFonts w:ascii="仿宋" w:hAnsi="仿宋" w:eastAsia="仿宋"/>
          <w:sz w:val="32"/>
          <w:szCs w:val="32"/>
        </w:rPr>
      </w:pPr>
    </w:p>
    <w:p w14:paraId="2D3CCDD2">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090788F8">
      <w:pPr>
        <w:spacing w:line="600" w:lineRule="exact"/>
        <w:ind w:firstLine="640"/>
        <w:rPr>
          <w:rFonts w:ascii="仿宋" w:hAnsi="仿宋" w:eastAsia="仿宋"/>
          <w:b/>
          <w:sz w:val="32"/>
          <w:szCs w:val="32"/>
        </w:rPr>
      </w:pPr>
      <w:r>
        <w:rPr>
          <w:rFonts w:hint="eastAsia" w:ascii="仿宋_GB2312" w:eastAsia="仿宋_GB2312"/>
          <w:color w:val="000000"/>
          <w:sz w:val="32"/>
          <w:szCs w:val="32"/>
        </w:rPr>
        <w:drawing>
          <wp:anchor distT="0" distB="0" distL="114300" distR="114300" simplePos="0" relativeHeight="251662336" behindDoc="0" locked="0" layoutInCell="1" allowOverlap="1">
            <wp:simplePos x="0" y="0"/>
            <wp:positionH relativeFrom="margin">
              <wp:posOffset>-133985</wp:posOffset>
            </wp:positionH>
            <wp:positionV relativeFrom="paragraph">
              <wp:posOffset>186690</wp:posOffset>
            </wp:positionV>
            <wp:extent cx="5181600" cy="2447925"/>
            <wp:effectExtent l="4445" t="4445" r="14605" b="508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8C92B64">
      <w:pPr>
        <w:spacing w:line="600" w:lineRule="exact"/>
        <w:ind w:firstLine="640" w:firstLineChars="200"/>
        <w:outlineLvl w:val="1"/>
        <w:rPr>
          <w:rStyle w:val="29"/>
          <w:rFonts w:ascii="黑体" w:hAnsi="黑体" w:eastAsia="黑体"/>
          <w:b w:val="0"/>
        </w:rPr>
      </w:pPr>
      <w:bookmarkStart w:id="26" w:name="_Toc15396607"/>
      <w:bookmarkStart w:id="27" w:name="_Toc15377209"/>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6"/>
      <w:bookmarkEnd w:id="27"/>
    </w:p>
    <w:p w14:paraId="29D24ABB">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102B20D0">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1597.91</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534.36</w:t>
      </w:r>
      <w:r>
        <w:rPr>
          <w:rFonts w:hint="eastAsia" w:ascii="仿宋" w:hAnsi="仿宋" w:eastAsia="仿宋"/>
          <w:sz w:val="32"/>
          <w:szCs w:val="32"/>
        </w:rPr>
        <w:t>万元，增长</w:t>
      </w:r>
      <w:r>
        <w:rPr>
          <w:rFonts w:hint="eastAsia" w:ascii="仿宋" w:hAnsi="仿宋" w:eastAsia="仿宋"/>
          <w:sz w:val="32"/>
          <w:szCs w:val="32"/>
          <w:lang w:val="en-US" w:eastAsia="zh-CN"/>
        </w:rPr>
        <w:t>33.44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2022年粮食和物资储备中心决算未纳入发改局，2023年纳入发改局，经费增加</w:t>
      </w:r>
      <w:r>
        <w:rPr>
          <w:rFonts w:hint="eastAsia" w:ascii="仿宋" w:hAnsi="仿宋" w:eastAsia="仿宋"/>
          <w:sz w:val="32"/>
          <w:szCs w:val="32"/>
        </w:rPr>
        <w:t>。</w:t>
      </w:r>
    </w:p>
    <w:p w14:paraId="08055489">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3F9F572C">
      <w:pPr>
        <w:spacing w:line="600" w:lineRule="exact"/>
        <w:ind w:firstLine="643" w:firstLineChars="200"/>
        <w:rPr>
          <w:rFonts w:ascii="仿宋" w:hAnsi="仿宋" w:eastAsia="仿宋"/>
          <w:sz w:val="32"/>
          <w:szCs w:val="32"/>
        </w:rPr>
      </w:pPr>
      <w:r>
        <w:rPr>
          <w:rFonts w:ascii="仿宋" w:hAnsi="仿宋" w:eastAsia="仿宋"/>
          <w:b/>
          <w:color w:val="00B050"/>
          <w:sz w:val="32"/>
          <w:szCs w:val="32"/>
        </w:rPr>
        <w:drawing>
          <wp:anchor distT="0" distB="0" distL="114300" distR="114300" simplePos="0" relativeHeight="251663360" behindDoc="1" locked="0" layoutInCell="1" allowOverlap="1">
            <wp:simplePos x="0" y="0"/>
            <wp:positionH relativeFrom="margin">
              <wp:posOffset>-47625</wp:posOffset>
            </wp:positionH>
            <wp:positionV relativeFrom="paragraph">
              <wp:posOffset>7620</wp:posOffset>
            </wp:positionV>
            <wp:extent cx="5257800" cy="2324100"/>
            <wp:effectExtent l="4445" t="4445" r="14605" b="14605"/>
            <wp:wrapTight wrapText="bothSides">
              <wp:wrapPolygon>
                <wp:start x="-18" y="-41"/>
                <wp:lineTo x="-18" y="21559"/>
                <wp:lineTo x="21582" y="21559"/>
                <wp:lineTo x="21582" y="-41"/>
                <wp:lineTo x="-18" y="-41"/>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47EE09B">
      <w:pPr>
        <w:spacing w:line="600"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7D16FDC9">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1597.91</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564.22</w:t>
      </w:r>
      <w:r>
        <w:rPr>
          <w:rFonts w:hint="eastAsia" w:ascii="仿宋" w:hAnsi="仿宋" w:eastAsia="仿宋"/>
          <w:sz w:val="32"/>
          <w:szCs w:val="32"/>
        </w:rPr>
        <w:t>万元，占</w:t>
      </w:r>
      <w:r>
        <w:rPr>
          <w:rFonts w:hint="eastAsia" w:ascii="仿宋" w:hAnsi="仿宋" w:eastAsia="仿宋"/>
          <w:sz w:val="32"/>
          <w:szCs w:val="32"/>
          <w:lang w:val="en-US" w:eastAsia="zh-CN"/>
        </w:rPr>
        <w:t>35.31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农林水</w:t>
      </w:r>
      <w:r>
        <w:rPr>
          <w:rFonts w:hint="eastAsia" w:ascii="仿宋" w:hAnsi="仿宋" w:eastAsia="仿宋"/>
          <w:b/>
          <w:sz w:val="32"/>
          <w:szCs w:val="32"/>
        </w:rPr>
        <w:t>支出</w:t>
      </w:r>
      <w:r>
        <w:rPr>
          <w:rFonts w:hint="eastAsia" w:ascii="仿宋" w:hAnsi="仿宋" w:eastAsia="仿宋"/>
          <w:sz w:val="32"/>
          <w:szCs w:val="32"/>
          <w:lang w:val="en-US" w:eastAsia="zh-CN"/>
        </w:rPr>
        <w:t>250.95</w:t>
      </w:r>
      <w:r>
        <w:rPr>
          <w:rFonts w:hint="eastAsia" w:ascii="仿宋" w:hAnsi="仿宋" w:eastAsia="仿宋"/>
          <w:sz w:val="32"/>
          <w:szCs w:val="32"/>
        </w:rPr>
        <w:t>万元，占</w:t>
      </w:r>
      <w:r>
        <w:rPr>
          <w:rFonts w:hint="eastAsia" w:ascii="仿宋" w:hAnsi="仿宋" w:eastAsia="仿宋"/>
          <w:sz w:val="32"/>
          <w:szCs w:val="32"/>
          <w:lang w:val="en-US" w:eastAsia="zh-CN"/>
        </w:rPr>
        <w:t>15.71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节能环保支出</w:t>
      </w:r>
      <w:r>
        <w:rPr>
          <w:rFonts w:hint="eastAsia" w:ascii="仿宋" w:hAnsi="仿宋" w:eastAsia="仿宋"/>
          <w:sz w:val="32"/>
          <w:szCs w:val="32"/>
          <w:lang w:val="en-US" w:eastAsia="zh-CN"/>
        </w:rPr>
        <w:t>76</w:t>
      </w:r>
      <w:r>
        <w:rPr>
          <w:rFonts w:hint="eastAsia" w:ascii="仿宋" w:hAnsi="仿宋" w:eastAsia="仿宋"/>
          <w:sz w:val="32"/>
          <w:szCs w:val="32"/>
        </w:rPr>
        <w:t>万元，占</w:t>
      </w:r>
      <w:r>
        <w:rPr>
          <w:rFonts w:hint="eastAsia" w:ascii="仿宋" w:hAnsi="仿宋" w:eastAsia="仿宋"/>
          <w:sz w:val="32"/>
          <w:szCs w:val="32"/>
          <w:lang w:val="en-US" w:eastAsia="zh-CN"/>
        </w:rPr>
        <w:t>4.76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103.93</w:t>
      </w:r>
      <w:r>
        <w:rPr>
          <w:rFonts w:hint="eastAsia" w:ascii="仿宋" w:hAnsi="仿宋" w:eastAsia="仿宋"/>
          <w:sz w:val="32"/>
          <w:szCs w:val="32"/>
        </w:rPr>
        <w:t>万元，占</w:t>
      </w:r>
      <w:r>
        <w:rPr>
          <w:rFonts w:hint="eastAsia" w:ascii="仿宋" w:hAnsi="仿宋" w:eastAsia="仿宋"/>
          <w:sz w:val="32"/>
          <w:szCs w:val="32"/>
          <w:lang w:val="en-US" w:eastAsia="zh-CN"/>
        </w:rPr>
        <w:t>6.5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122.43</w:t>
      </w:r>
      <w:r>
        <w:rPr>
          <w:rFonts w:hint="eastAsia" w:ascii="仿宋" w:hAnsi="仿宋" w:eastAsia="仿宋"/>
          <w:sz w:val="32"/>
          <w:szCs w:val="32"/>
        </w:rPr>
        <w:t>万元，占</w:t>
      </w:r>
      <w:r>
        <w:rPr>
          <w:rFonts w:hint="eastAsia" w:ascii="仿宋" w:hAnsi="仿宋" w:eastAsia="仿宋"/>
          <w:sz w:val="32"/>
          <w:szCs w:val="32"/>
          <w:lang w:val="en-US" w:eastAsia="zh-CN"/>
        </w:rPr>
        <w:t>7.66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52.62</w:t>
      </w:r>
      <w:r>
        <w:rPr>
          <w:rFonts w:hint="eastAsia" w:ascii="仿宋" w:hAnsi="仿宋" w:eastAsia="仿宋"/>
          <w:sz w:val="32"/>
          <w:szCs w:val="32"/>
        </w:rPr>
        <w:t>万元，占</w:t>
      </w:r>
      <w:r>
        <w:rPr>
          <w:rFonts w:hint="eastAsia" w:ascii="仿宋" w:hAnsi="仿宋" w:eastAsia="仿宋"/>
          <w:sz w:val="32"/>
          <w:szCs w:val="32"/>
          <w:lang w:val="en-US" w:eastAsia="zh-CN"/>
        </w:rPr>
        <w:t>3.29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Times New Roman"/>
          <w:b/>
          <w:bCs/>
          <w:sz w:val="32"/>
          <w:szCs w:val="32"/>
        </w:rPr>
        <w:t>粮油物资储备支出</w:t>
      </w:r>
      <w:r>
        <w:rPr>
          <w:rFonts w:hint="eastAsia" w:ascii="仿宋" w:hAnsi="仿宋" w:eastAsia="仿宋"/>
          <w:sz w:val="32"/>
          <w:szCs w:val="32"/>
          <w:lang w:val="en-US" w:eastAsia="zh-CN"/>
        </w:rPr>
        <w:t>427.76</w:t>
      </w:r>
      <w:r>
        <w:rPr>
          <w:rFonts w:hint="eastAsia" w:ascii="仿宋" w:hAnsi="仿宋" w:eastAsia="仿宋"/>
          <w:sz w:val="32"/>
          <w:szCs w:val="32"/>
        </w:rPr>
        <w:t>万元，占</w:t>
      </w:r>
      <w:r>
        <w:rPr>
          <w:rFonts w:hint="eastAsia" w:ascii="仿宋" w:hAnsi="仿宋" w:eastAsia="仿宋"/>
          <w:sz w:val="32"/>
          <w:szCs w:val="32"/>
          <w:lang w:val="en-US" w:eastAsia="zh-CN"/>
        </w:rPr>
        <w:t>26.77</w:t>
      </w:r>
      <w:r>
        <w:rPr>
          <w:rFonts w:ascii="仿宋" w:hAnsi="仿宋" w:eastAsia="仿宋"/>
          <w:sz w:val="32"/>
          <w:szCs w:val="32"/>
        </w:rPr>
        <w:t>%</w:t>
      </w:r>
      <w:r>
        <w:rPr>
          <w:rFonts w:hint="eastAsia" w:ascii="仿宋" w:hAnsi="仿宋" w:eastAsia="仿宋"/>
          <w:sz w:val="32"/>
          <w:szCs w:val="32"/>
        </w:rPr>
        <w:t>。</w:t>
      </w:r>
    </w:p>
    <w:p w14:paraId="4C1E6AD1">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（注：数据来源于财决01-1表，仅罗列本部门涉及的全部功能分类科目，至类级。）</w:t>
      </w:r>
    </w:p>
    <w:p w14:paraId="38ABE9A0">
      <w:pPr>
        <w:spacing w:line="600" w:lineRule="exact"/>
        <w:ind w:firstLine="640"/>
        <w:rPr>
          <w:rFonts w:ascii="仿宋" w:hAnsi="仿宋" w:eastAsia="仿宋"/>
          <w:sz w:val="32"/>
          <w:szCs w:val="32"/>
        </w:rPr>
      </w:pPr>
    </w:p>
    <w:p w14:paraId="59AD677F">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12255FEF">
      <w:pPr>
        <w:spacing w:line="600" w:lineRule="exact"/>
        <w:ind w:firstLine="640" w:firstLineChars="200"/>
        <w:rPr>
          <w:rFonts w:ascii="仿宋" w:hAnsi="仿宋" w:eastAsia="仿宋"/>
          <w:sz w:val="32"/>
          <w:szCs w:val="32"/>
        </w:rPr>
      </w:pPr>
      <w:r>
        <w:rPr>
          <w:rFonts w:ascii="仿宋" w:hAnsi="仿宋" w:eastAsia="仿宋"/>
          <w:color w:val="000000"/>
          <w:sz w:val="32"/>
          <w:szCs w:val="32"/>
        </w:rPr>
        <w:drawing>
          <wp:anchor distT="0" distB="0" distL="114300" distR="114300" simplePos="0" relativeHeight="251664384" behindDoc="1" locked="0" layoutInCell="1" allowOverlap="1">
            <wp:simplePos x="0" y="0"/>
            <wp:positionH relativeFrom="margin">
              <wp:posOffset>-39370</wp:posOffset>
            </wp:positionH>
            <wp:positionV relativeFrom="paragraph">
              <wp:posOffset>233045</wp:posOffset>
            </wp:positionV>
            <wp:extent cx="5210175" cy="2244725"/>
            <wp:effectExtent l="4445" t="4445" r="5080" b="17780"/>
            <wp:wrapTight wrapText="bothSides">
              <wp:wrapPolygon>
                <wp:start x="-18" y="-43"/>
                <wp:lineTo x="-18" y="21404"/>
                <wp:lineTo x="21542" y="21404"/>
                <wp:lineTo x="21542" y="-43"/>
                <wp:lineTo x="-18" y="-4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F297AC7">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1BB0A773">
      <w:pPr>
        <w:spacing w:line="600" w:lineRule="exact"/>
        <w:ind w:firstLine="643" w:firstLineChars="200"/>
        <w:outlineLvl w:val="2"/>
        <w:rPr>
          <w:rFonts w:ascii="仿宋" w:hAnsi="仿宋" w:eastAsia="仿宋"/>
          <w:sz w:val="32"/>
          <w:szCs w:val="32"/>
        </w:rPr>
      </w:pPr>
      <w:bookmarkStart w:id="31" w:name="_Toc15378460"/>
      <w:bookmarkStart w:id="32" w:name="_Toc15377444"/>
      <w:bookmarkStart w:id="33" w:name="_Toc15377213"/>
      <w:r>
        <w:rPr>
          <w:rFonts w:hint="eastAsia" w:ascii="仿宋" w:hAnsi="仿宋" w:eastAsia="仿宋"/>
          <w:b/>
          <w:sz w:val="32"/>
          <w:szCs w:val="32"/>
        </w:rPr>
        <w:t>2023年度一般公共预算支出决算数为</w:t>
      </w:r>
      <w:r>
        <w:rPr>
          <w:sz w:val="32"/>
          <w:szCs w:val="32"/>
        </w:rPr>
        <w:t>1597.91</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100</w:t>
      </w:r>
      <w:r>
        <w:rPr>
          <w:rStyle w:val="17"/>
          <w:rFonts w:ascii="仿宋" w:hAnsi="仿宋" w:eastAsia="仿宋"/>
          <w:bCs/>
          <w:sz w:val="32"/>
          <w:szCs w:val="32"/>
        </w:rPr>
        <w:t>%</w:t>
      </w:r>
      <w:r>
        <w:rPr>
          <w:rStyle w:val="17"/>
          <w:rFonts w:hint="eastAsia" w:ascii="仿宋" w:hAnsi="仿宋" w:eastAsia="仿宋"/>
          <w:bCs/>
          <w:sz w:val="32"/>
          <w:szCs w:val="32"/>
        </w:rPr>
        <w:t>。其中：</w:t>
      </w:r>
      <w:bookmarkEnd w:id="31"/>
      <w:bookmarkEnd w:id="32"/>
      <w:bookmarkEnd w:id="33"/>
    </w:p>
    <w:p w14:paraId="6D37EB34">
      <w:pPr>
        <w:pStyle w:val="14"/>
        <w:keepNext w:val="0"/>
        <w:keepLines w:val="0"/>
        <w:pageBreakBefore w:val="0"/>
        <w:numPr>
          <w:ilvl w:val="0"/>
          <w:numId w:val="5"/>
        </w:numPr>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一般公共服务201发展与改革事务04行政运行01: 支出决算为286.81万元，完成预算100%。</w:t>
      </w:r>
    </w:p>
    <w:p w14:paraId="1DA2F547">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2. 一般公共服务（201）发展与改革事务（04）事业运行（50）：支出决算为162.69万元，完成预算100%。</w:t>
      </w:r>
    </w:p>
    <w:p w14:paraId="1714B212">
      <w:pPr>
        <w:pStyle w:val="14"/>
        <w:keepNext w:val="0"/>
        <w:keepLines w:val="0"/>
        <w:pageBreakBefore w:val="0"/>
        <w:numPr>
          <w:numId w:val="0"/>
        </w:numPr>
        <w:shd w:val="clear" w:color="auto" w:fill="FFFFFF"/>
        <w:kinsoku/>
        <w:wordWrap/>
        <w:overflowPunct/>
        <w:topLinePunct w:val="0"/>
        <w:autoSpaceDE/>
        <w:autoSpaceDN/>
        <w:bidi w:val="0"/>
        <w:spacing w:line="240" w:lineRule="auto"/>
        <w:textAlignment w:val="auto"/>
        <w:rPr>
          <w:rStyle w:val="17"/>
          <w:rFonts w:hint="eastAsia" w:ascii="仿宋" w:hAnsi="仿宋" w:eastAsia="仿宋" w:cs="Times New Roman"/>
          <w:b w:val="0"/>
          <w:color w:val="000000"/>
          <w:sz w:val="32"/>
          <w:szCs w:val="32"/>
          <w:lang w:val="en-US" w:eastAsia="zh-CN" w:bidi="ar-SA"/>
        </w:rPr>
      </w:pPr>
    </w:p>
    <w:p w14:paraId="2A68651F">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3. 一般公共服务（201）发展与改革事务（04）一其他发展与改革事务支出（99）：支出决算为114.72万元，完成预算100%。</w:t>
      </w:r>
    </w:p>
    <w:p w14:paraId="6C745368">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4.社会保障和就业（208）行政事业单位离退休（05）机关事业单位基本养老保险缴费支出（05）: 支出决算为67.51万元，完成预算100%。社会保障和就业（208）行政事业单位离退休（05） 机关事业单位职业年金缴费支出（06） 支出决算为36.42万元，完成预算100%。</w:t>
      </w:r>
    </w:p>
    <w:p w14:paraId="364A05E2">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5.卫生健康支出（210）公共卫生（04）行重大公共卫生服务（09）:支出决算为74.98万元。卫生健康支出（210）行政事业单位医疗（11）行政支出（01）:支出决算为10.8万元；卫生健康支出（210）行政事业单位医疗（11）事业单位医疗（02）支出决算为23.84万元。完成预算100%，卫生健康支出（210）行政事业单位医疗（11）公务员医疗补助（03）:支出决算为12.30万元。卫生健康支出（210）行政事业单位医疗（11）其他行政事业单位医疗支出（99）完成预算100%支出决算为0.51万元。完成预算100%</w:t>
      </w:r>
    </w:p>
    <w:p w14:paraId="2F81B168">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default"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6.节能环保支出（211）其他节能环保支出（99）其他节能环保支出（99）支出决算为76万元，完成预算100%。</w:t>
      </w:r>
    </w:p>
    <w:p w14:paraId="12507B87">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7.住房保障支出（221）住房改革支出（02）住房公积金（01）支出决算为52.62万元，完成预算100%。</w:t>
      </w:r>
    </w:p>
    <w:p w14:paraId="27CC3C26">
      <w:pPr>
        <w:spacing w:line="600" w:lineRule="exact"/>
        <w:ind w:firstLine="640" w:firstLineChars="200"/>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8.农林水支出（213）扶贫（05） 其他扶贫支出（99）:支出决算为250.95万元，完成预算100%。</w:t>
      </w:r>
    </w:p>
    <w:p w14:paraId="18CA004B">
      <w:pPr>
        <w:pStyle w:val="19"/>
        <w:ind w:firstLine="640"/>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9.粮油物资储备支出（222）粮油物资事务（01）行政运行（01）；支出决算为276.27万元，完成预算100%。</w:t>
      </w:r>
    </w:p>
    <w:p w14:paraId="6FDD0507">
      <w:pPr>
        <w:ind w:firstLine="640"/>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10.</w:t>
      </w:r>
      <w:r>
        <w:rPr>
          <w:rStyle w:val="17"/>
          <w:rFonts w:hint="eastAsia" w:ascii="仿宋" w:hAnsi="仿宋" w:eastAsia="仿宋" w:cs="Times New Roman"/>
          <w:b w:val="0"/>
          <w:color w:val="000000"/>
          <w:sz w:val="32"/>
          <w:szCs w:val="32"/>
          <w:lang w:val="en-US" w:eastAsia="zh-CN" w:bidi="ar-SA"/>
        </w:rPr>
        <w:t>粮油物资储备支出（222）粮油物资事务（01）其他粮油物资事务支出</w:t>
      </w:r>
      <w:r>
        <w:rPr>
          <w:rStyle w:val="17"/>
          <w:rFonts w:hint="eastAsia" w:ascii="仿宋" w:hAnsi="仿宋" w:eastAsia="仿宋" w:cs="Times New Roman"/>
          <w:b w:val="0"/>
          <w:color w:val="000000"/>
          <w:sz w:val="32"/>
          <w:szCs w:val="32"/>
          <w:lang w:val="en-US" w:eastAsia="zh-CN" w:bidi="ar-SA"/>
        </w:rPr>
        <w:t>（99）；支出决算为14.79万元，完成预算100%。</w:t>
      </w:r>
    </w:p>
    <w:p w14:paraId="05311D69">
      <w:pPr>
        <w:ind w:firstLine="640"/>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11.粮油物资储备支出（222）粮油储备（04）储备粮油补贴（01）；支出决算为44.1万元，完成预算100%。</w:t>
      </w:r>
    </w:p>
    <w:p w14:paraId="3DFE4CF3">
      <w:pPr>
        <w:ind w:firstLine="640"/>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12.</w:t>
      </w:r>
      <w:r>
        <w:rPr>
          <w:rStyle w:val="17"/>
          <w:rFonts w:hint="eastAsia" w:ascii="仿宋" w:hAnsi="仿宋" w:eastAsia="仿宋" w:cs="Times New Roman"/>
          <w:b w:val="0"/>
          <w:color w:val="000000"/>
          <w:sz w:val="32"/>
          <w:szCs w:val="32"/>
          <w:lang w:val="en-US" w:eastAsia="zh-CN" w:bidi="ar-SA"/>
        </w:rPr>
        <w:t>粮油物资储备支出（222）粮油储备（04）储备粮油差价补贴（02）；支出决算为39.9万元，完成预算100%。</w:t>
      </w:r>
    </w:p>
    <w:p w14:paraId="55A7F16B">
      <w:pPr>
        <w:ind w:firstLine="640"/>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13.</w:t>
      </w:r>
      <w:r>
        <w:rPr>
          <w:rStyle w:val="17"/>
          <w:rFonts w:hint="eastAsia" w:ascii="仿宋" w:hAnsi="仿宋" w:eastAsia="仿宋" w:cs="Times New Roman"/>
          <w:b w:val="0"/>
          <w:color w:val="000000"/>
          <w:sz w:val="32"/>
          <w:szCs w:val="32"/>
          <w:lang w:val="en-US" w:eastAsia="zh-CN" w:bidi="ar-SA"/>
        </w:rPr>
        <w:t>粮油物资储备支出（222）粮油储备（04）其他粮油储备支出（03）；支出决算为52.7万元，完成预算100%。</w:t>
      </w:r>
    </w:p>
    <w:p w14:paraId="4231A18B">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1-1表和财决08表，仅罗列本部门涉及的全部功能分类科目，至项级。上述“预算”口径为全年预算数。增减变动原因为决算数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14:paraId="764254F0">
      <w:pPr>
        <w:spacing w:line="600" w:lineRule="exact"/>
        <w:ind w:firstLine="640"/>
        <w:rPr>
          <w:rFonts w:ascii="仿宋" w:hAnsi="仿宋" w:eastAsia="仿宋"/>
          <w:b/>
          <w:sz w:val="32"/>
          <w:szCs w:val="32"/>
        </w:rPr>
      </w:pPr>
    </w:p>
    <w:p w14:paraId="0C046F51">
      <w:pPr>
        <w:tabs>
          <w:tab w:val="right" w:pos="8306"/>
        </w:tabs>
        <w:spacing w:line="600" w:lineRule="exact"/>
        <w:ind w:firstLine="640"/>
        <w:outlineLvl w:val="1"/>
        <w:rPr>
          <w:rStyle w:val="29"/>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4"/>
      <w:bookmarkEnd w:id="35"/>
      <w:r>
        <w:rPr>
          <w:rStyle w:val="29"/>
          <w:rFonts w:ascii="黑体" w:hAnsi="黑体" w:eastAsia="黑体"/>
          <w:b w:val="0"/>
        </w:rPr>
        <w:tab/>
      </w:r>
    </w:p>
    <w:p w14:paraId="6D4A1A3E">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929.76</w:t>
      </w:r>
      <w:r>
        <w:rPr>
          <w:rFonts w:hint="eastAsia" w:ascii="仿宋" w:hAnsi="仿宋" w:eastAsia="仿宋"/>
          <w:sz w:val="32"/>
          <w:szCs w:val="32"/>
        </w:rPr>
        <w:t>万元，其中：</w:t>
      </w:r>
    </w:p>
    <w:p w14:paraId="697D8B83">
      <w:pPr>
        <w:spacing w:line="600" w:lineRule="exact"/>
        <w:ind w:firstLine="645"/>
        <w:rPr>
          <w:rFonts w:ascii="仿宋" w:hAnsi="仿宋" w:eastAsia="仿宋"/>
          <w:sz w:val="32"/>
          <w:szCs w:val="32"/>
        </w:rPr>
      </w:pPr>
      <w:r>
        <w:rPr>
          <w:rFonts w:hint="eastAsia" w:ascii="仿宋" w:hAnsi="仿宋" w:eastAsia="仿宋"/>
          <w:sz w:val="32"/>
          <w:szCs w:val="32"/>
        </w:rPr>
        <w:t>人员经费</w:t>
      </w:r>
      <w:r>
        <w:rPr>
          <w:sz w:val="32"/>
          <w:szCs w:val="32"/>
        </w:rPr>
        <w:t>827.26</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sz w:val="32"/>
          <w:szCs w:val="32"/>
        </w:rPr>
        <w:t>102.5</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6322934">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7表和财决08-1表，仅罗列本部门实际支出涉及的经济分类科目。）</w:t>
      </w:r>
    </w:p>
    <w:p w14:paraId="32A52B09">
      <w:pPr>
        <w:spacing w:line="600" w:lineRule="exact"/>
        <w:ind w:firstLine="640"/>
        <w:rPr>
          <w:rFonts w:ascii="仿宋" w:hAnsi="仿宋" w:eastAsia="仿宋"/>
          <w:b/>
          <w:sz w:val="32"/>
          <w:szCs w:val="32"/>
        </w:rPr>
      </w:pPr>
    </w:p>
    <w:p w14:paraId="5B6B6EC4">
      <w:pPr>
        <w:spacing w:line="600" w:lineRule="exact"/>
        <w:ind w:firstLine="640"/>
        <w:outlineLvl w:val="1"/>
        <w:rPr>
          <w:rStyle w:val="29"/>
          <w:rFonts w:ascii="黑体" w:hAnsi="黑体" w:eastAsia="黑体"/>
          <w:b w:val="0"/>
        </w:rPr>
      </w:pPr>
      <w:bookmarkStart w:id="36" w:name="_Toc15396609"/>
      <w:bookmarkStart w:id="37" w:name="_Toc15377215"/>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6"/>
      <w:bookmarkEnd w:id="37"/>
    </w:p>
    <w:p w14:paraId="3F4FA67D">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1D12C709">
      <w:pPr>
        <w:spacing w:line="600" w:lineRule="exact"/>
        <w:ind w:firstLine="640"/>
        <w:rPr>
          <w:rFonts w:hint="eastAsia" w:ascii="仿宋" w:hAnsi="仿宋" w:eastAsia="仿宋"/>
          <w:sz w:val="32"/>
          <w:szCs w:val="32"/>
        </w:rPr>
      </w:pPr>
      <w:r>
        <w:rPr>
          <w:rFonts w:hint="eastAsia" w:ascii="仿宋" w:hAnsi="仿宋" w:eastAsia="仿宋"/>
          <w:sz w:val="32"/>
          <w:szCs w:val="32"/>
        </w:rPr>
        <w:t>2023年度“三公”经费财政拨款支出决算为</w:t>
      </w:r>
      <w:r>
        <w:rPr>
          <w:sz w:val="32"/>
          <w:szCs w:val="32"/>
        </w:rPr>
        <w:t>11.99</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0.13</w:t>
      </w:r>
      <w:r>
        <w:rPr>
          <w:rFonts w:hint="eastAsia" w:ascii="仿宋" w:hAnsi="仿宋" w:eastAsia="仿宋"/>
          <w:sz w:val="32"/>
          <w:szCs w:val="32"/>
        </w:rPr>
        <w:t>万元，下降</w:t>
      </w:r>
      <w:r>
        <w:rPr>
          <w:rFonts w:hint="eastAsia" w:ascii="仿宋" w:hAnsi="仿宋" w:eastAsia="仿宋"/>
          <w:sz w:val="32"/>
          <w:szCs w:val="32"/>
          <w:lang w:val="en-US" w:eastAsia="zh-CN"/>
        </w:rPr>
        <w:t>1.08</w:t>
      </w:r>
      <w:r>
        <w:rPr>
          <w:rFonts w:hint="eastAsia" w:ascii="仿宋" w:hAnsi="仿宋" w:eastAsia="仿宋"/>
          <w:sz w:val="32"/>
          <w:szCs w:val="32"/>
        </w:rPr>
        <w:t>%。</w:t>
      </w:r>
    </w:p>
    <w:p w14:paraId="7F36C81B">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423FAC3E">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14:paraId="291F00C3">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11.43</w:t>
      </w:r>
      <w:r>
        <w:rPr>
          <w:rFonts w:hint="eastAsia" w:ascii="仿宋" w:hAnsi="仿宋" w:eastAsia="仿宋"/>
          <w:sz w:val="32"/>
          <w:szCs w:val="32"/>
        </w:rPr>
        <w:t>万元，占</w:t>
      </w:r>
      <w:r>
        <w:rPr>
          <w:sz w:val="32"/>
          <w:szCs w:val="32"/>
        </w:rPr>
        <w:t>95.31</w:t>
      </w:r>
      <w:r>
        <w:rPr>
          <w:rFonts w:ascii="仿宋" w:hAnsi="仿宋" w:eastAsia="仿宋"/>
          <w:sz w:val="32"/>
          <w:szCs w:val="32"/>
        </w:rPr>
        <w:t>%</w:t>
      </w:r>
      <w:r>
        <w:rPr>
          <w:rFonts w:hint="eastAsia" w:ascii="仿宋" w:hAnsi="仿宋" w:eastAsia="仿宋"/>
          <w:sz w:val="32"/>
          <w:szCs w:val="32"/>
        </w:rPr>
        <w:t>；公务接待费支出决算</w:t>
      </w:r>
      <w:r>
        <w:rPr>
          <w:sz w:val="32"/>
          <w:szCs w:val="32"/>
        </w:rPr>
        <w:t>0.56</w:t>
      </w:r>
      <w:r>
        <w:rPr>
          <w:rFonts w:hint="eastAsia" w:ascii="仿宋" w:hAnsi="仿宋" w:eastAsia="仿宋"/>
          <w:sz w:val="32"/>
          <w:szCs w:val="32"/>
        </w:rPr>
        <w:t>万元，占</w:t>
      </w:r>
      <w:r>
        <w:rPr>
          <w:sz w:val="32"/>
          <w:szCs w:val="32"/>
        </w:rPr>
        <w:t>4.68</w:t>
      </w:r>
      <w:r>
        <w:rPr>
          <w:rFonts w:ascii="仿宋" w:hAnsi="仿宋" w:eastAsia="仿宋"/>
          <w:sz w:val="32"/>
          <w:szCs w:val="32"/>
        </w:rPr>
        <w:t>%</w:t>
      </w:r>
      <w:r>
        <w:rPr>
          <w:rFonts w:hint="eastAsia" w:ascii="仿宋" w:hAnsi="仿宋" w:eastAsia="仿宋"/>
          <w:sz w:val="32"/>
          <w:szCs w:val="32"/>
        </w:rPr>
        <w:t>。具体情况如下：</w:t>
      </w:r>
    </w:p>
    <w:p w14:paraId="11DD584D">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08E9C3EF">
      <w:pPr>
        <w:spacing w:line="600" w:lineRule="exact"/>
        <w:ind w:firstLine="640"/>
        <w:rPr>
          <w:rFonts w:ascii="仿宋_GB2312" w:eastAsia="仿宋_GB2312"/>
          <w:b/>
          <w:sz w:val="32"/>
          <w:szCs w:val="32"/>
        </w:rPr>
      </w:pPr>
      <w:r>
        <w:rPr>
          <w:rFonts w:ascii="仿宋" w:hAnsi="仿宋" w:eastAsia="仿宋"/>
          <w:color w:val="000000"/>
          <w:sz w:val="32"/>
          <w:szCs w:val="32"/>
        </w:rPr>
        <w:drawing>
          <wp:anchor distT="0" distB="0" distL="114300" distR="114300" simplePos="0" relativeHeight="251665408" behindDoc="1" locked="0" layoutInCell="1" allowOverlap="1">
            <wp:simplePos x="0" y="0"/>
            <wp:positionH relativeFrom="margin">
              <wp:posOffset>55880</wp:posOffset>
            </wp:positionH>
            <wp:positionV relativeFrom="paragraph">
              <wp:posOffset>42545</wp:posOffset>
            </wp:positionV>
            <wp:extent cx="5200650" cy="2190750"/>
            <wp:effectExtent l="4445" t="4445" r="14605" b="14605"/>
            <wp:wrapTight wrapText="bothSides">
              <wp:wrapPolygon>
                <wp:start x="-18" y="-44"/>
                <wp:lineTo x="-18" y="21556"/>
                <wp:lineTo x="21582" y="21556"/>
                <wp:lineTo x="21582" y="-44"/>
                <wp:lineTo x="-18" y="-44"/>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人。因公出国（境）支出决算比2022年增加</w:t>
      </w:r>
      <w:r>
        <w:rPr>
          <w:rFonts w:ascii="仿宋_GB2312" w:eastAsia="仿宋_GB2312"/>
          <w:sz w:val="32"/>
          <w:szCs w:val="32"/>
        </w:rPr>
        <w:t>/</w:t>
      </w:r>
      <w:r>
        <w:rPr>
          <w:rFonts w:hint="eastAsia" w:ascii="仿宋_GB2312" w:eastAsia="仿宋_GB2312"/>
          <w:sz w:val="32"/>
          <w:szCs w:val="32"/>
        </w:rPr>
        <w:t>减少</w:t>
      </w:r>
      <w:r>
        <w:rPr>
          <w:rFonts w:ascii="仿宋_GB2312" w:eastAsia="仿宋_GB2312"/>
          <w:sz w:val="32"/>
          <w:szCs w:val="32"/>
        </w:rPr>
        <w:t>**</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ascii="仿宋_GB2312" w:eastAsia="仿宋_GB2312"/>
          <w:sz w:val="32"/>
          <w:szCs w:val="32"/>
        </w:rPr>
        <w:t>**%</w:t>
      </w:r>
      <w:r>
        <w:rPr>
          <w:rFonts w:hint="eastAsia" w:ascii="仿宋_GB2312" w:eastAsia="仿宋_GB2312"/>
          <w:sz w:val="32"/>
          <w:szCs w:val="32"/>
        </w:rPr>
        <w:t>。主要原因是……。</w:t>
      </w:r>
    </w:p>
    <w:p w14:paraId="452D3B9F">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11.43</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公务用车购置及运行维护费支出决算比2022年度减少</w:t>
      </w:r>
      <w:r>
        <w:rPr>
          <w:rFonts w:hint="eastAsia" w:ascii="仿宋_GB2312" w:eastAsia="仿宋_GB2312"/>
          <w:sz w:val="32"/>
          <w:szCs w:val="32"/>
          <w:lang w:val="en-US" w:eastAsia="zh-CN"/>
        </w:rPr>
        <w:t>0.49</w:t>
      </w:r>
      <w:r>
        <w:rPr>
          <w:rFonts w:hint="eastAsia" w:ascii="仿宋_GB2312" w:eastAsia="仿宋_GB2312"/>
          <w:sz w:val="32"/>
          <w:szCs w:val="32"/>
        </w:rPr>
        <w:t>万元下降</w:t>
      </w:r>
      <w:r>
        <w:rPr>
          <w:rFonts w:hint="eastAsia" w:ascii="仿宋_GB2312" w:eastAsia="仿宋_GB2312"/>
          <w:sz w:val="32"/>
          <w:szCs w:val="32"/>
          <w:lang w:val="en-US" w:eastAsia="zh-CN"/>
        </w:rPr>
        <w:t>4.29</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厉行节约，</w:t>
      </w:r>
      <w:r>
        <w:rPr>
          <w:rFonts w:hint="eastAsia" w:ascii="仿宋_GB2312" w:eastAsia="仿宋_GB2312"/>
          <w:sz w:val="32"/>
          <w:szCs w:val="32"/>
        </w:rPr>
        <w:t>。</w:t>
      </w:r>
    </w:p>
    <w:p w14:paraId="18F2EB90">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ascii="仿宋_GB2312" w:eastAsia="仿宋_GB2312"/>
          <w:sz w:val="32"/>
          <w:szCs w:val="32"/>
        </w:rPr>
        <w:t>**</w:t>
      </w:r>
      <w:r>
        <w:rPr>
          <w:rFonts w:hint="eastAsia" w:ascii="仿宋_GB2312" w:eastAsia="仿宋_GB2312"/>
          <w:sz w:val="32"/>
          <w:szCs w:val="32"/>
        </w:rPr>
        <w:t>辆，其中：轿车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万元，越野车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万元，载客汽车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万元，主要用于…。截至2023年</w:t>
      </w:r>
      <w:r>
        <w:rPr>
          <w:rFonts w:ascii="仿宋_GB2312" w:eastAsia="仿宋_GB2312"/>
          <w:sz w:val="32"/>
          <w:szCs w:val="32"/>
        </w:rPr>
        <w:t>12</w:t>
      </w:r>
      <w:r>
        <w:rPr>
          <w:rFonts w:hint="eastAsia" w:ascii="仿宋_GB2312" w:eastAsia="仿宋_GB2312"/>
          <w:sz w:val="32"/>
          <w:szCs w:val="32"/>
        </w:rPr>
        <w:t>月31日，单位共有公务用车</w:t>
      </w:r>
      <w:r>
        <w:rPr>
          <w:rFonts w:ascii="仿宋_GB2312" w:eastAsia="仿宋_GB2312"/>
          <w:sz w:val="32"/>
          <w:szCs w:val="32"/>
        </w:rPr>
        <w:t>**</w:t>
      </w:r>
      <w:r>
        <w:rPr>
          <w:rFonts w:hint="eastAsia" w:ascii="仿宋_GB2312" w:eastAsia="仿宋_GB2312"/>
          <w:sz w:val="32"/>
          <w:szCs w:val="32"/>
        </w:rPr>
        <w:t>辆，其中：轿车</w:t>
      </w:r>
      <w:r>
        <w:rPr>
          <w:rFonts w:ascii="仿宋_GB2312" w:eastAsia="仿宋_GB2312"/>
          <w:sz w:val="32"/>
          <w:szCs w:val="32"/>
        </w:rPr>
        <w:t>**</w:t>
      </w:r>
      <w:r>
        <w:rPr>
          <w:rFonts w:hint="eastAsia" w:ascii="仿宋_GB2312" w:eastAsia="仿宋_GB2312"/>
          <w:sz w:val="32"/>
          <w:szCs w:val="32"/>
        </w:rPr>
        <w:t>辆、越野车</w:t>
      </w:r>
      <w:r>
        <w:rPr>
          <w:rFonts w:ascii="仿宋_GB2312" w:eastAsia="仿宋_GB2312"/>
          <w:sz w:val="32"/>
          <w:szCs w:val="32"/>
        </w:rPr>
        <w:t>**</w:t>
      </w:r>
      <w:r>
        <w:rPr>
          <w:rFonts w:hint="eastAsia" w:ascii="仿宋_GB2312" w:eastAsia="仿宋_GB2312"/>
          <w:sz w:val="32"/>
          <w:szCs w:val="32"/>
        </w:rPr>
        <w:t>辆、载客汽车</w:t>
      </w:r>
      <w:r>
        <w:rPr>
          <w:rFonts w:ascii="仿宋_GB2312" w:eastAsia="仿宋_GB2312"/>
          <w:sz w:val="32"/>
          <w:szCs w:val="32"/>
        </w:rPr>
        <w:t>**</w:t>
      </w:r>
      <w:r>
        <w:rPr>
          <w:rFonts w:hint="eastAsia" w:ascii="仿宋_GB2312" w:eastAsia="仿宋_GB2312"/>
          <w:sz w:val="32"/>
          <w:szCs w:val="32"/>
        </w:rPr>
        <w:t>辆。</w:t>
      </w:r>
    </w:p>
    <w:p w14:paraId="2A9DD323">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11.43</w:t>
      </w:r>
      <w:r>
        <w:rPr>
          <w:rFonts w:hint="eastAsia" w:ascii="仿宋_GB2312" w:eastAsia="仿宋_GB2312"/>
          <w:sz w:val="32"/>
          <w:szCs w:val="32"/>
        </w:rPr>
        <w:t>万元。主要用于</w:t>
      </w:r>
      <w:r>
        <w:rPr>
          <w:rFonts w:hint="eastAsia" w:ascii="仿宋_GB2312" w:eastAsia="仿宋_GB2312"/>
          <w:sz w:val="32"/>
          <w:szCs w:val="32"/>
          <w:lang w:eastAsia="zh-CN"/>
        </w:rPr>
        <w:t>发改局、认证中心、粮食和物资储备中心，</w:t>
      </w:r>
      <w:r>
        <w:rPr>
          <w:rFonts w:hint="eastAsia" w:ascii="仿宋_GB2312" w:eastAsia="仿宋_GB2312"/>
          <w:sz w:val="32"/>
          <w:szCs w:val="32"/>
          <w:lang w:val="en-US" w:eastAsia="zh-CN"/>
        </w:rPr>
        <w:t>3个单位日常工作</w:t>
      </w:r>
      <w:r>
        <w:rPr>
          <w:rFonts w:hint="eastAsia" w:ascii="仿宋_GB2312" w:eastAsia="仿宋_GB2312"/>
          <w:sz w:val="32"/>
          <w:szCs w:val="32"/>
        </w:rPr>
        <w:t>所需的公务用车燃料费、维修费、过路过桥费、保险费等支出。</w:t>
      </w:r>
    </w:p>
    <w:p w14:paraId="721D690C">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0.56</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100%</w:t>
      </w:r>
      <w:r>
        <w:rPr>
          <w:rStyle w:val="17"/>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0.35</w:t>
      </w:r>
      <w:r>
        <w:rPr>
          <w:rFonts w:hint="eastAsia" w:ascii="仿宋_GB2312" w:eastAsia="仿宋_GB2312"/>
          <w:sz w:val="32"/>
          <w:szCs w:val="32"/>
        </w:rPr>
        <w:t>万元，增长</w:t>
      </w:r>
      <w:r>
        <w:rPr>
          <w:rFonts w:hint="eastAsia" w:ascii="仿宋_GB2312" w:eastAsia="仿宋_GB2312"/>
          <w:sz w:val="32"/>
          <w:szCs w:val="32"/>
          <w:lang w:val="en-US" w:eastAsia="zh-CN"/>
        </w:rPr>
        <w:t>62.5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2023年粮食和物资储备中心纳入发改局部门决算，经费增加</w:t>
      </w:r>
      <w:r>
        <w:rPr>
          <w:rFonts w:hint="eastAsia" w:ascii="仿宋_GB2312" w:eastAsia="仿宋_GB2312"/>
          <w:sz w:val="32"/>
          <w:szCs w:val="32"/>
        </w:rPr>
        <w:t>。其中：</w:t>
      </w:r>
    </w:p>
    <w:p w14:paraId="227D1089">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0.56</w:t>
      </w:r>
      <w:r>
        <w:rPr>
          <w:rFonts w:hint="eastAsia" w:ascii="仿宋_GB2312" w:eastAsia="仿宋_GB2312"/>
          <w:sz w:val="32"/>
          <w:szCs w:val="32"/>
        </w:rPr>
        <w:t>万元，主要用于执行公务、开开支的交通费、住宿费、用餐费等。国内公务接待</w:t>
      </w:r>
      <w:r>
        <w:rPr>
          <w:rFonts w:hint="eastAsia" w:ascii="仿宋_GB2312" w:eastAsia="仿宋_GB2312"/>
          <w:sz w:val="32"/>
          <w:szCs w:val="32"/>
          <w:lang w:val="en-US" w:eastAsia="zh-CN"/>
        </w:rPr>
        <w:t>7</w:t>
      </w:r>
      <w:r>
        <w:rPr>
          <w:rFonts w:hint="eastAsia" w:ascii="仿宋_GB2312" w:eastAsia="仿宋_GB2312"/>
          <w:sz w:val="32"/>
          <w:szCs w:val="32"/>
        </w:rPr>
        <w:t>批次，</w:t>
      </w:r>
      <w:r>
        <w:rPr>
          <w:rFonts w:hint="eastAsia" w:ascii="仿宋_GB2312" w:eastAsia="仿宋_GB2312"/>
          <w:sz w:val="32"/>
          <w:szCs w:val="32"/>
          <w:lang w:val="en-US" w:eastAsia="zh-CN"/>
        </w:rPr>
        <w:t>63</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0.56</w:t>
      </w:r>
      <w:r>
        <w:rPr>
          <w:rFonts w:hint="eastAsia" w:ascii="仿宋_GB2312" w:eastAsia="仿宋_GB2312"/>
          <w:sz w:val="32"/>
          <w:szCs w:val="32"/>
        </w:rPr>
        <w:t>万元，具体内容包括：</w:t>
      </w:r>
      <w:r>
        <w:rPr>
          <w:rFonts w:hint="eastAsia" w:ascii="仿宋_GB2312" w:eastAsia="仿宋_GB2312"/>
          <w:sz w:val="32"/>
          <w:szCs w:val="32"/>
          <w:lang w:eastAsia="zh-CN"/>
        </w:rPr>
        <w:t>全省社会事业领域中央预算投资专项监督交叉检查、高尔夫球场实地核查组、</w:t>
      </w:r>
      <w:r>
        <w:rPr>
          <w:rFonts w:hint="eastAsia" w:ascii="仿宋_GB2312" w:eastAsia="仿宋_GB2312"/>
          <w:sz w:val="32"/>
          <w:szCs w:val="32"/>
        </w:rPr>
        <w:t>政策性粮食清仓查库检查、粮食购销领域额定期巡查等</w:t>
      </w:r>
      <w:r>
        <w:rPr>
          <w:rFonts w:hint="eastAsia" w:ascii="仿宋_GB2312" w:eastAsia="仿宋_GB2312"/>
          <w:sz w:val="32"/>
          <w:szCs w:val="32"/>
          <w:lang w:eastAsia="zh-CN"/>
        </w:rPr>
        <w:t>，</w:t>
      </w:r>
      <w:r>
        <w:rPr>
          <w:rFonts w:hint="eastAsia" w:ascii="仿宋_GB2312" w:eastAsia="仿宋_GB2312"/>
          <w:sz w:val="32"/>
          <w:szCs w:val="32"/>
        </w:rPr>
        <w:t>共计支出</w:t>
      </w:r>
      <w:r>
        <w:rPr>
          <w:rFonts w:hint="eastAsia" w:ascii="仿宋_GB2312" w:eastAsia="仿宋_GB2312"/>
          <w:sz w:val="32"/>
          <w:szCs w:val="32"/>
          <w:lang w:val="en-US" w:eastAsia="zh-CN"/>
        </w:rPr>
        <w:t>0.56</w:t>
      </w:r>
      <w:r>
        <w:rPr>
          <w:rFonts w:hint="eastAsia" w:ascii="仿宋_GB2312" w:eastAsia="仿宋_GB2312"/>
          <w:sz w:val="32"/>
          <w:szCs w:val="32"/>
        </w:rPr>
        <w:t>万元。</w:t>
      </w:r>
    </w:p>
    <w:p w14:paraId="5DAE3A53">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ascii="仿宋_GB2312" w:eastAsia="仿宋_GB2312"/>
          <w:sz w:val="32"/>
          <w:szCs w:val="32"/>
        </w:rPr>
        <w:t>**</w:t>
      </w:r>
      <w:r>
        <w:rPr>
          <w:rFonts w:hint="eastAsia" w:ascii="仿宋_GB2312" w:eastAsia="仿宋_GB2312"/>
          <w:sz w:val="32"/>
          <w:szCs w:val="32"/>
        </w:rPr>
        <w:t>批次，</w:t>
      </w:r>
      <w:r>
        <w:rPr>
          <w:rFonts w:ascii="仿宋_GB2312" w:eastAsia="仿宋_GB2312"/>
          <w:sz w:val="32"/>
          <w:szCs w:val="32"/>
        </w:rPr>
        <w:t>**</w:t>
      </w:r>
      <w:r>
        <w:rPr>
          <w:rFonts w:hint="eastAsia" w:ascii="仿宋_GB2312" w:eastAsia="仿宋_GB2312"/>
          <w:sz w:val="32"/>
          <w:szCs w:val="32"/>
        </w:rPr>
        <w:t>人次（不包括陪同人员），共计支出</w:t>
      </w:r>
      <w:r>
        <w:rPr>
          <w:rFonts w:ascii="仿宋_GB2312" w:eastAsia="仿宋_GB2312"/>
          <w:sz w:val="32"/>
          <w:szCs w:val="32"/>
        </w:rPr>
        <w:t>**</w:t>
      </w:r>
      <w:r>
        <w:rPr>
          <w:rFonts w:hint="eastAsia" w:ascii="仿宋_GB2312" w:eastAsia="仿宋_GB2312"/>
          <w:sz w:val="32"/>
          <w:szCs w:val="32"/>
        </w:rPr>
        <w:t>万元。</w:t>
      </w:r>
    </w:p>
    <w:p w14:paraId="2ABCEF47">
      <w:pPr>
        <w:spacing w:line="600" w:lineRule="exact"/>
        <w:ind w:firstLine="640"/>
        <w:outlineLvl w:val="1"/>
        <w:rPr>
          <w:rFonts w:ascii="黑体" w:eastAsia="黑体"/>
          <w:sz w:val="32"/>
          <w:szCs w:val="32"/>
        </w:rPr>
      </w:pPr>
      <w:bookmarkStart w:id="40" w:name="_Toc15396610"/>
      <w:bookmarkStart w:id="41" w:name="_Toc15377218"/>
    </w:p>
    <w:p w14:paraId="7CBDDEB8">
      <w:pPr>
        <w:spacing w:line="600" w:lineRule="exact"/>
        <w:ind w:firstLine="64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0"/>
      <w:bookmarkEnd w:id="41"/>
    </w:p>
    <w:p w14:paraId="09BF8E46">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p>
    <w:p w14:paraId="33505D56">
      <w:pPr>
        <w:spacing w:line="600" w:lineRule="exact"/>
        <w:ind w:firstLine="640"/>
        <w:rPr>
          <w:rFonts w:ascii="仿宋_GB2312" w:eastAsia="仿宋_GB2312"/>
          <w:sz w:val="32"/>
          <w:szCs w:val="32"/>
        </w:rPr>
      </w:pPr>
    </w:p>
    <w:p w14:paraId="5F5C32E7">
      <w:pPr>
        <w:numPr>
          <w:ilvl w:val="0"/>
          <w:numId w:val="6"/>
        </w:numPr>
        <w:spacing w:line="600" w:lineRule="exact"/>
        <w:ind w:firstLine="640"/>
        <w:outlineLvl w:val="1"/>
        <w:rPr>
          <w:rStyle w:val="29"/>
          <w:rFonts w:ascii="黑体" w:hAnsi="黑体" w:eastAsia="黑体"/>
          <w:b w:val="0"/>
        </w:rPr>
      </w:pPr>
      <w:bookmarkStart w:id="42" w:name="_Toc15377219"/>
      <w:bookmarkStart w:id="43" w:name="_Toc15396611"/>
      <w:r>
        <w:rPr>
          <w:rStyle w:val="29"/>
          <w:rFonts w:hint="eastAsia" w:ascii="黑体" w:hAnsi="黑体" w:eastAsia="黑体"/>
          <w:b w:val="0"/>
        </w:rPr>
        <w:t>国有资本经营预算支出决算情况说明</w:t>
      </w:r>
      <w:bookmarkEnd w:id="42"/>
      <w:bookmarkEnd w:id="43"/>
    </w:p>
    <w:p w14:paraId="60BDDEEA">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14:paraId="0CCA0201">
      <w:pPr>
        <w:spacing w:line="580" w:lineRule="exact"/>
        <w:jc w:val="center"/>
        <w:rPr>
          <w:rFonts w:ascii="方正小标宋简体" w:hAnsi="方正小标宋简体" w:eastAsia="方正小标宋简体" w:cs="方正小标宋简体"/>
          <w:sz w:val="44"/>
          <w:szCs w:val="44"/>
        </w:rPr>
      </w:pPr>
    </w:p>
    <w:p w14:paraId="7BB8AC7D">
      <w:pPr>
        <w:numPr>
          <w:ilvl w:val="0"/>
          <w:numId w:val="6"/>
        </w:numPr>
        <w:spacing w:line="600" w:lineRule="exact"/>
        <w:ind w:firstLine="640"/>
        <w:outlineLvl w:val="1"/>
        <w:rPr>
          <w:rStyle w:val="29"/>
          <w:rFonts w:ascii="黑体" w:hAnsi="黑体" w:eastAsia="黑体"/>
          <w:b w:val="0"/>
        </w:rPr>
      </w:pPr>
      <w:bookmarkStart w:id="44" w:name="_Toc15396612"/>
      <w:bookmarkStart w:id="45" w:name="_Toc15377221"/>
      <w:r>
        <w:rPr>
          <w:rStyle w:val="29"/>
          <w:rFonts w:hint="eastAsia" w:ascii="黑体" w:hAnsi="黑体" w:eastAsia="黑体"/>
          <w:b w:val="0"/>
        </w:rPr>
        <w:t>其他重要事项的情况说明</w:t>
      </w:r>
      <w:bookmarkEnd w:id="44"/>
      <w:bookmarkEnd w:id="45"/>
    </w:p>
    <w:p w14:paraId="55693C55">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14:paraId="01DA8D15">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四川省阿坝州九寨沟县发展和改革局</w:t>
      </w:r>
      <w:r>
        <w:rPr>
          <w:rFonts w:hint="eastAsia" w:ascii="仿宋_GB2312" w:eastAsia="仿宋_GB2312"/>
          <w:sz w:val="32"/>
          <w:szCs w:val="32"/>
        </w:rPr>
        <w:t>机关运行经费支出</w:t>
      </w:r>
      <w:r>
        <w:rPr>
          <w:sz w:val="32"/>
          <w:szCs w:val="32"/>
        </w:rPr>
        <w:t>95.35</w:t>
      </w:r>
      <w:r>
        <w:rPr>
          <w:rFonts w:hint="eastAsia" w:ascii="仿宋_GB2312" w:eastAsia="仿宋_GB2312"/>
          <w:sz w:val="32"/>
          <w:szCs w:val="32"/>
        </w:rPr>
        <w:t>万元，比2022年度增加</w:t>
      </w:r>
      <w:r>
        <w:rPr>
          <w:rFonts w:hint="eastAsia" w:ascii="仿宋_GB2312" w:eastAsia="仿宋_GB2312"/>
          <w:sz w:val="32"/>
          <w:szCs w:val="32"/>
          <w:lang w:val="en-US" w:eastAsia="zh-CN"/>
        </w:rPr>
        <w:t>29.4</w:t>
      </w:r>
      <w:r>
        <w:rPr>
          <w:rFonts w:hint="eastAsia" w:ascii="仿宋_GB2312" w:eastAsia="仿宋_GB2312"/>
          <w:sz w:val="32"/>
          <w:szCs w:val="32"/>
        </w:rPr>
        <w:t>万元，增长</w:t>
      </w:r>
      <w:r>
        <w:rPr>
          <w:rFonts w:hint="eastAsia" w:ascii="仿宋_GB2312" w:eastAsia="仿宋_GB2312"/>
          <w:sz w:val="32"/>
          <w:szCs w:val="32"/>
          <w:lang w:val="en-US" w:eastAsia="zh-CN"/>
        </w:rPr>
        <w:t>30.83</w:t>
      </w:r>
      <w:r>
        <w:rPr>
          <w:rFonts w:ascii="仿宋_GB2312" w:eastAsia="仿宋_GB2312"/>
          <w:sz w:val="32"/>
          <w:szCs w:val="32"/>
        </w:rPr>
        <w:t>%</w:t>
      </w:r>
      <w:r>
        <w:rPr>
          <w:rFonts w:hint="eastAsia" w:ascii="仿宋_GB2312" w:eastAsia="仿宋_GB2312"/>
          <w:sz w:val="32"/>
          <w:szCs w:val="32"/>
        </w:rPr>
        <w:t>（或与2022年度决算数持平）。主要原因是</w:t>
      </w:r>
      <w:r>
        <w:rPr>
          <w:rFonts w:hint="eastAsia" w:ascii="仿宋_GB2312" w:eastAsia="仿宋_GB2312"/>
          <w:sz w:val="32"/>
          <w:szCs w:val="32"/>
          <w:lang w:val="en-US" w:eastAsia="zh-CN"/>
        </w:rPr>
        <w:t>2023年粮食和物资储备中心纳入发改局部门决算，经费增加</w:t>
      </w:r>
      <w:r>
        <w:rPr>
          <w:rFonts w:hint="eastAsia" w:ascii="仿宋_GB2312" w:eastAsia="仿宋_GB2312"/>
          <w:sz w:val="32"/>
          <w:szCs w:val="32"/>
        </w:rPr>
        <w:t>。。</w:t>
      </w:r>
    </w:p>
    <w:p w14:paraId="2BCE4786">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7059DE2A">
      <w:pPr>
        <w:autoSpaceDE w:val="0"/>
        <w:autoSpaceDN w:val="0"/>
        <w:adjustRightInd w:val="0"/>
        <w:spacing w:line="600" w:lineRule="exact"/>
        <w:ind w:firstLine="643" w:firstLineChars="2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2C320FD8">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四川省阿坝州九寨沟县发展和改革局</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3A5E0701">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00B1C86A">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14:paraId="7D324104">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四川省阿坝州九寨沟县发展和改革局</w:t>
      </w:r>
      <w:r>
        <w:rPr>
          <w:rFonts w:hint="eastAsia" w:ascii="仿宋_GB2312" w:eastAsia="仿宋_GB2312"/>
          <w:sz w:val="32"/>
          <w:szCs w:val="32"/>
        </w:rPr>
        <w:t>共有车辆</w:t>
      </w:r>
      <w:r>
        <w:rPr>
          <w:rFonts w:ascii="仿宋_GB2312" w:eastAsia="仿宋_GB2312"/>
          <w:sz w:val="32"/>
          <w:szCs w:val="32"/>
        </w:rPr>
        <w:t>5</w:t>
      </w:r>
      <w:r>
        <w:rPr>
          <w:rFonts w:hint="eastAsia" w:ascii="仿宋_GB2312" w:eastAsia="仿宋_GB2312"/>
          <w:sz w:val="32"/>
          <w:szCs w:val="32"/>
        </w:rPr>
        <w:t>辆，其中：主要领导干部用车</w:t>
      </w:r>
      <w:r>
        <w:rPr>
          <w:rFonts w:ascii="仿宋_GB2312" w:eastAsia="仿宋_GB2312"/>
          <w:sz w:val="32"/>
          <w:szCs w:val="32"/>
        </w:rPr>
        <w:t>**</w:t>
      </w:r>
      <w:r>
        <w:rPr>
          <w:rFonts w:hint="eastAsia" w:ascii="仿宋_GB2312" w:eastAsia="仿宋_GB2312"/>
          <w:sz w:val="32"/>
          <w:szCs w:val="32"/>
        </w:rPr>
        <w:t>辆、机要通信用车</w:t>
      </w:r>
      <w:r>
        <w:rPr>
          <w:rFonts w:ascii="仿宋_GB2312" w:eastAsia="仿宋_GB2312"/>
          <w:sz w:val="32"/>
          <w:szCs w:val="32"/>
        </w:rPr>
        <w:t>**</w:t>
      </w:r>
      <w:r>
        <w:rPr>
          <w:rFonts w:hint="eastAsia" w:ascii="仿宋_GB2312" w:eastAsia="仿宋_GB2312"/>
          <w:sz w:val="32"/>
          <w:szCs w:val="32"/>
        </w:rPr>
        <w:t>辆、应急保障用车</w:t>
      </w:r>
      <w:r>
        <w:rPr>
          <w:rFonts w:ascii="仿宋_GB2312" w:eastAsia="仿宋_GB2312"/>
          <w:sz w:val="32"/>
          <w:szCs w:val="32"/>
        </w:rPr>
        <w:t>**</w:t>
      </w:r>
      <w:r>
        <w:rPr>
          <w:rFonts w:hint="eastAsia" w:ascii="仿宋_GB2312" w:eastAsia="仿宋_GB2312"/>
          <w:sz w:val="32"/>
          <w:szCs w:val="32"/>
        </w:rPr>
        <w:t>辆、其他用车</w:t>
      </w:r>
      <w:r>
        <w:rPr>
          <w:rFonts w:hint="eastAsia" w:ascii="仿宋_GB2312" w:eastAsia="仿宋_GB2312"/>
          <w:sz w:val="32"/>
          <w:szCs w:val="32"/>
          <w:lang w:val="en-US" w:eastAsia="zh-CN"/>
        </w:rPr>
        <w:t>5</w:t>
      </w:r>
      <w:r>
        <w:rPr>
          <w:rFonts w:hint="eastAsia" w:ascii="仿宋_GB2312" w:eastAsia="仿宋_GB2312"/>
          <w:sz w:val="32"/>
          <w:szCs w:val="32"/>
        </w:rPr>
        <w:t>辆，其他用车主要是用于日常工作开展。单价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5F355939">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7066106D">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6F59172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项目（</w:t>
      </w:r>
      <w:r>
        <w:rPr>
          <w:rFonts w:hint="eastAsia" w:ascii="仿宋_GB2312" w:eastAsia="仿宋_GB2312"/>
          <w:sz w:val="32"/>
          <w:szCs w:val="32"/>
          <w:lang w:eastAsia="zh-CN"/>
        </w:rPr>
        <w:t>双河镇以工代赈、三交资金、重大项目开工经费、重点项目工作推进费、十四五规划编制费、九寨云顶监控电信光纤专线租赁费、新冠肺炎疫情生活物资保障经费、新能源充电桩、邛崃九寨沟对口支援交流资金、</w:t>
      </w:r>
      <w:r>
        <w:rPr>
          <w:rFonts w:ascii="仿宋_GB2312" w:eastAsia="仿宋_GB2312"/>
          <w:sz w:val="32"/>
          <w:szCs w:val="32"/>
        </w:rPr>
        <w:t>粮食工作经费、应急救灾物资管理经费、县级储备粮油费用、县级储备粮油轮换价差补贴、政府储备粮食监管信息化提档升级</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个项目开展绩效监控。</w:t>
      </w:r>
    </w:p>
    <w:p w14:paraId="519FA2A8">
      <w:pPr>
        <w:pStyle w:val="34"/>
        <w:spacing w:line="578"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发改局</w:t>
      </w:r>
      <w:r>
        <w:rPr>
          <w:rFonts w:hint="eastAsia" w:ascii="仿宋_GB2312" w:hAnsi="仿宋_GB2312" w:eastAsia="仿宋_GB2312" w:cs="仿宋_GB2312"/>
          <w:sz w:val="32"/>
          <w:szCs w:val="32"/>
        </w:rPr>
        <w:t>部门整体（含部门预算项目）绩效自评报告，</w:t>
      </w:r>
      <w:r>
        <w:rPr>
          <w:rFonts w:hint="eastAsia" w:ascii="仿宋_GB2312" w:hAnsi="仿宋_GB2312" w:eastAsia="仿宋_GB2312" w:cs="仿宋_GB2312"/>
          <w:sz w:val="32"/>
          <w:szCs w:val="32"/>
          <w:lang w:val="en-US" w:eastAsia="zh-CN"/>
        </w:rPr>
        <w:t>14个专项项目绩效评价报告，</w:t>
      </w:r>
      <w:r>
        <w:rPr>
          <w:rFonts w:hint="eastAsia" w:ascii="仿宋_GB2312" w:hAnsi="仿宋_GB2312" w:eastAsia="仿宋_GB2312" w:cs="仿宋_GB2312"/>
          <w:sz w:val="32"/>
          <w:szCs w:val="32"/>
          <w:lang w:eastAsia="zh-CN"/>
        </w:rPr>
        <w:t>发改局</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分，绩效自评报告详见附件。</w:t>
      </w:r>
    </w:p>
    <w:p w14:paraId="3D9348FB">
      <w:pPr>
        <w:pStyle w:val="3"/>
        <w:jc w:val="center"/>
      </w:pPr>
      <w:r>
        <w:rPr>
          <w:rFonts w:hint="eastAsia"/>
        </w:rPr>
        <w:t>第三部分 名词解释</w:t>
      </w:r>
    </w:p>
    <w:p w14:paraId="6E2B9679"/>
    <w:p w14:paraId="0D5C9676">
      <w:pPr>
        <w:pStyle w:val="14"/>
        <w:keepNext w:val="0"/>
        <w:keepLines w:val="0"/>
        <w:pageBreakBefore w:val="0"/>
        <w:numPr>
          <w:ilvl w:val="0"/>
          <w:numId w:val="7"/>
        </w:numPr>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财政拨款收入：指单位从同级财政部门取得的财政预算资金。</w:t>
      </w:r>
    </w:p>
    <w:p w14:paraId="022C49FD">
      <w:pPr>
        <w:pStyle w:val="14"/>
        <w:keepNext w:val="0"/>
        <w:keepLines w:val="0"/>
        <w:pageBreakBefore w:val="0"/>
        <w:numPr>
          <w:ilvl w:val="0"/>
          <w:numId w:val="0"/>
        </w:numPr>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2.事业收入：指事业单位开展专业业务活动及辅助活动取得的收入。</w:t>
      </w:r>
    </w:p>
    <w:p w14:paraId="0C78DA65">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3.经营收入：指事业单位在专业业务活动及其辅助活动之外开展非独立核算经营活动取得的收入。</w:t>
      </w:r>
    </w:p>
    <w:p w14:paraId="2BBF4EA7">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default"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 xml:space="preserve">4.其他收入：指单位取得的除上述收入以外的各项收入。                                 </w:t>
      </w:r>
    </w:p>
    <w:p w14:paraId="16ED62C6">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5.使用非财政拨款结余：指事业单位使用以前年度积累的非财政拨款结余弥补当年收支差额的金额。</w:t>
      </w:r>
    </w:p>
    <w:p w14:paraId="76A7076D">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6.年初结转和结余：指以前年度尚未完成、结转到本年按有关规定继续使用的资金。</w:t>
      </w:r>
    </w:p>
    <w:p w14:paraId="1EC06445">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7.结余分配：指事业单位按照会计制度规定缴纳的所得税、提取的专用结余以及转入非财政拨款结余的金额等。</w:t>
      </w:r>
    </w:p>
    <w:p w14:paraId="7CAB0461">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8、年末结转和结余：指单位按有关规定结转到下年或以后年度继续使用的资金。</w:t>
      </w:r>
    </w:p>
    <w:p w14:paraId="7432F5DE">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Fonts w:eastAsia="仿宋_GB2312"/>
          <w:sz w:val="32"/>
          <w:szCs w:val="32"/>
        </w:rPr>
      </w:pPr>
      <w:r>
        <w:rPr>
          <w:rStyle w:val="17"/>
          <w:rFonts w:hint="eastAsia" w:ascii="仿宋" w:hAnsi="仿宋" w:eastAsia="仿宋" w:cs="Times New Roman"/>
          <w:b w:val="0"/>
          <w:color w:val="000000"/>
          <w:sz w:val="32"/>
          <w:szCs w:val="32"/>
          <w:lang w:val="en-US" w:eastAsia="zh-CN" w:bidi="ar-SA"/>
        </w:rPr>
        <w:t>9.</w:t>
      </w:r>
      <w:r>
        <w:rPr>
          <w:rFonts w:eastAsia="仿宋_GB2312"/>
          <w:sz w:val="32"/>
          <w:szCs w:val="32"/>
        </w:rPr>
        <w:t>一般公共服务（</w:t>
      </w:r>
      <w:r>
        <w:rPr>
          <w:rFonts w:hint="eastAsia" w:eastAsia="仿宋_GB2312"/>
          <w:sz w:val="32"/>
          <w:szCs w:val="32"/>
        </w:rPr>
        <w:t>201</w:t>
      </w:r>
      <w:r>
        <w:rPr>
          <w:rFonts w:eastAsia="仿宋_GB2312"/>
          <w:sz w:val="32"/>
          <w:szCs w:val="32"/>
        </w:rPr>
        <w:t>）行政机关（</w:t>
      </w:r>
      <w:r>
        <w:rPr>
          <w:rFonts w:hint="eastAsia" w:eastAsia="仿宋_GB2312"/>
          <w:sz w:val="32"/>
          <w:szCs w:val="32"/>
        </w:rPr>
        <w:t>0</w:t>
      </w:r>
      <w:r>
        <w:rPr>
          <w:rFonts w:hint="eastAsia" w:eastAsia="仿宋_GB2312"/>
          <w:sz w:val="32"/>
          <w:szCs w:val="32"/>
          <w:lang w:val="en-US" w:eastAsia="zh-CN"/>
        </w:rPr>
        <w:t>4</w:t>
      </w:r>
      <w:r>
        <w:rPr>
          <w:rFonts w:eastAsia="仿宋_GB2312"/>
          <w:sz w:val="32"/>
          <w:szCs w:val="32"/>
        </w:rPr>
        <w:t>）行政运行（</w:t>
      </w:r>
      <w:r>
        <w:rPr>
          <w:rFonts w:hint="eastAsia" w:eastAsia="仿宋_GB2312"/>
          <w:sz w:val="32"/>
          <w:szCs w:val="32"/>
        </w:rPr>
        <w:t>01</w:t>
      </w:r>
      <w:r>
        <w:rPr>
          <w:rFonts w:eastAsia="仿宋_GB2312"/>
          <w:sz w:val="32"/>
          <w:szCs w:val="32"/>
        </w:rPr>
        <w:t>）：指乡机关用于保障机构正常运行、开展日常工作的基本支出。</w:t>
      </w:r>
    </w:p>
    <w:p w14:paraId="600A3BD7">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10.</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部门实施养老保险制度由单位缴纳的养老保险支出</w:t>
      </w:r>
      <w:r>
        <w:rPr>
          <w:rStyle w:val="17"/>
          <w:rFonts w:hint="eastAsia" w:ascii="仿宋" w:hAnsi="仿宋" w:eastAsia="仿宋" w:cs="Times New Roman"/>
          <w:b w:val="0"/>
          <w:color w:val="000000"/>
          <w:sz w:val="32"/>
          <w:szCs w:val="32"/>
          <w:lang w:val="en-US" w:eastAsia="zh-CN" w:bidi="ar-SA"/>
        </w:rPr>
        <w:t>。机关事业单位职业年金缴费支出（06）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部门实施养老保险制度由单位缴纳的职业年金支出。</w:t>
      </w:r>
    </w:p>
    <w:p w14:paraId="709EC1AC">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公务员医疗补助</w:t>
      </w:r>
      <w:r>
        <w:rPr>
          <w:rFonts w:hint="eastAsia" w:ascii="仿宋_GB2312" w:eastAsia="仿宋_GB2312"/>
          <w:color w:val="000000"/>
          <w:sz w:val="32"/>
          <w:szCs w:val="32"/>
          <w:lang w:eastAsia="zh-CN"/>
        </w:rPr>
        <w:t>：指国家公务员在参加城镇职工基本医疗保险制度的基础上国家对公务员实行的医疗补助</w:t>
      </w:r>
      <w:r>
        <w:rPr>
          <w:rFonts w:hint="eastAsia" w:ascii="仿宋_GB2312" w:eastAsia="仿宋_GB2312"/>
          <w:color w:val="000000"/>
          <w:sz w:val="32"/>
          <w:szCs w:val="32"/>
        </w:rPr>
        <w:t>。</w:t>
      </w:r>
    </w:p>
    <w:p w14:paraId="1D5C6B1E">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eastAsia="zh-CN"/>
        </w:rPr>
        <w:t>住房保障支出（221）住房改革支出（02）住房公积金（01）：指按照《住房公积金管理条例》的规定，由单位及其在职职工缴存的长期住房储金</w:t>
      </w:r>
      <w:r>
        <w:rPr>
          <w:rFonts w:hint="eastAsia" w:ascii="仿宋_GB2312" w:eastAsia="仿宋_GB2312"/>
          <w:color w:val="000000"/>
          <w:sz w:val="32"/>
          <w:szCs w:val="32"/>
        </w:rPr>
        <w:t>。</w:t>
      </w:r>
    </w:p>
    <w:p w14:paraId="23004B9D">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13.农林水支出（213）巩固脱贫衔接乡村振兴（05）其他巩固脱贫衔接乡村振兴支出（99）：指以工代赈等项目支出。</w:t>
      </w:r>
    </w:p>
    <w:p w14:paraId="0CD99C3A">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14.基本支出：指为保障机构正常运转、完成日常工作任务而发生的人员支出和公用支出。</w:t>
      </w:r>
    </w:p>
    <w:p w14:paraId="170E1751">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15.项目支出：指在基本支出之外为完成特定行政任务和事业发展目标所发生的支出。</w:t>
      </w:r>
    </w:p>
    <w:p w14:paraId="205711F7">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16.经营支出：指事业单位在专业业务活动及其辅助活动之外开展非独立核算经营活动发生的支出。</w:t>
      </w:r>
    </w:p>
    <w:p w14:paraId="6DB9FE85">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7"/>
          <w:rFonts w:hint="eastAsia" w:ascii="仿宋" w:hAnsi="仿宋" w:eastAsia="仿宋" w:cs="Times New Roman"/>
          <w:b w:val="0"/>
          <w:color w:val="000000"/>
          <w:sz w:val="32"/>
          <w:szCs w:val="32"/>
          <w:lang w:val="en-US" w:eastAsia="zh-CN" w:bidi="ar-SA"/>
        </w:rPr>
      </w:pPr>
      <w:r>
        <w:rPr>
          <w:rStyle w:val="17"/>
          <w:rFonts w:hint="eastAsia" w:ascii="仿宋" w:hAnsi="仿宋" w:eastAsia="仿宋" w:cs="Times New Roman"/>
          <w:b w:val="0"/>
          <w:color w:val="000000"/>
          <w:sz w:val="32"/>
          <w:szCs w:val="32"/>
          <w:lang w:val="en-US" w:eastAsia="zh-CN" w:bidi="ar-SA"/>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57530D5">
      <w:pPr>
        <w:ind w:firstLine="640" w:firstLineChars="200"/>
        <w:rPr>
          <w:rFonts w:ascii="仿宋" w:hAnsi="仿宋" w:eastAsia="仿宋"/>
          <w:b/>
          <w:sz w:val="32"/>
          <w:szCs w:val="32"/>
        </w:rPr>
      </w:pPr>
      <w:r>
        <w:rPr>
          <w:rStyle w:val="17"/>
          <w:rFonts w:hint="eastAsia" w:ascii="仿宋" w:hAnsi="仿宋" w:eastAsia="仿宋" w:cs="Times New Roman"/>
          <w:b w:val="0"/>
          <w:color w:val="000000"/>
          <w:sz w:val="32"/>
          <w:szCs w:val="32"/>
          <w:lang w:val="en-US"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7B91A08">
      <w:pPr>
        <w:pStyle w:val="6"/>
        <w:spacing w:before="93"/>
        <w:rPr>
          <w:rFonts w:ascii="宋体"/>
          <w:b/>
          <w:sz w:val="44"/>
          <w:szCs w:val="44"/>
        </w:rPr>
        <w:sectPr>
          <w:headerReference r:id="rId3" w:type="default"/>
          <w:footerReference r:id="rId4" w:type="default"/>
          <w:pgSz w:w="11906" w:h="16838"/>
          <w:pgMar w:top="1440" w:right="1803" w:bottom="1440" w:left="1800" w:header="851" w:footer="992" w:gutter="0"/>
          <w:pgNumType w:start="1"/>
          <w:cols w:space="425" w:num="1"/>
          <w:titlePg/>
          <w:docGrid w:type="lines" w:linePitch="312" w:charSpace="0"/>
        </w:sectPr>
      </w:pPr>
    </w:p>
    <w:p w14:paraId="54C6A5ED">
      <w:pPr>
        <w:rPr>
          <w:rFonts w:ascii="仿宋" w:hAnsi="仿宋" w:eastAsia="仿宋"/>
          <w:b/>
          <w:sz w:val="32"/>
          <w:szCs w:val="32"/>
        </w:rPr>
      </w:pPr>
    </w:p>
    <w:p w14:paraId="1156833F">
      <w:pPr>
        <w:pStyle w:val="3"/>
        <w:jc w:val="center"/>
        <w:rPr>
          <w:rFonts w:ascii="黑体" w:hAnsi="黑体" w:eastAsia="黑体"/>
          <w:b w:val="0"/>
        </w:rPr>
      </w:pPr>
      <w:r>
        <w:rPr>
          <w:rFonts w:hint="eastAsia" w:ascii="黑体" w:hAnsi="黑体" w:eastAsia="黑体"/>
          <w:b w:val="0"/>
        </w:rPr>
        <w:t>第四部分 附件</w:t>
      </w:r>
    </w:p>
    <w:p w14:paraId="0690DEA7"/>
    <w:p w14:paraId="7324DA6E">
      <w:pPr>
        <w:rPr>
          <w:rFonts w:ascii="黑体" w:hAnsi="黑体" w:eastAsia="黑体"/>
          <w:sz w:val="32"/>
          <w:szCs w:val="32"/>
        </w:rPr>
      </w:pPr>
      <w:r>
        <w:rPr>
          <w:rFonts w:hint="eastAsia" w:ascii="黑体" w:hAnsi="黑体" w:eastAsia="黑体"/>
          <w:sz w:val="32"/>
          <w:szCs w:val="32"/>
        </w:rPr>
        <w:t>附件1</w:t>
      </w:r>
    </w:p>
    <w:p w14:paraId="58255A24">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部门预算绩效评价报告范本</w:t>
      </w:r>
    </w:p>
    <w:p w14:paraId="240C610C">
      <w:pPr>
        <w:jc w:val="center"/>
        <w:rPr>
          <w:rFonts w:ascii="仿宋_GB2312" w:eastAsia="仿宋_GB2312"/>
          <w:sz w:val="32"/>
          <w:szCs w:val="32"/>
        </w:rPr>
      </w:pPr>
      <w:r>
        <w:rPr>
          <w:rFonts w:hint="eastAsia" w:ascii="仿宋_GB2312" w:eastAsia="仿宋_GB2312"/>
          <w:sz w:val="32"/>
          <w:szCs w:val="32"/>
        </w:rPr>
        <w:t>（报告范围包括机关和下属单位）</w:t>
      </w:r>
    </w:p>
    <w:p w14:paraId="6C43FDD9"/>
    <w:p w14:paraId="36C0621A">
      <w:pPr>
        <w:widowControl/>
        <w:spacing w:line="578" w:lineRule="exact"/>
        <w:contextualSpacing/>
        <w:jc w:val="center"/>
        <w:rPr>
          <w:rFonts w:hint="eastAsia" w:eastAsia="方正小标宋简体"/>
          <w:bCs/>
          <w:sz w:val="44"/>
          <w:szCs w:val="44"/>
          <w:shd w:val="clear" w:color="auto" w:fill="FFFFFF"/>
          <w:lang w:eastAsia="zh-CN"/>
        </w:rPr>
      </w:pPr>
      <w:r>
        <w:rPr>
          <w:rFonts w:hint="eastAsia" w:eastAsia="方正小标宋简体"/>
          <w:bCs/>
          <w:sz w:val="44"/>
          <w:szCs w:val="44"/>
          <w:shd w:val="clear" w:color="auto" w:fill="FFFFFF"/>
          <w:lang w:eastAsia="zh-CN"/>
        </w:rPr>
        <w:t>九寨沟县发展和改革局</w:t>
      </w:r>
    </w:p>
    <w:p w14:paraId="52B34828">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6ECED196">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0B2CCF2F">
      <w:pPr>
        <w:widowControl/>
        <w:numPr>
          <w:ilvl w:val="0"/>
          <w:numId w:val="0"/>
        </w:numPr>
        <w:adjustRightInd w:val="0"/>
        <w:snapToGrid w:val="0"/>
        <w:spacing w:line="578" w:lineRule="exact"/>
        <w:contextualSpacing/>
        <w:jc w:val="left"/>
        <w:rPr>
          <w:rFonts w:hint="eastAsia" w:ascii="仿宋_GB2312" w:hAnsi="Times New Roman" w:eastAsia="宋体" w:cs="宋体"/>
          <w:b w:val="0"/>
          <w:bCs w:val="0"/>
          <w:color w:val="000000"/>
          <w:kern w:val="0"/>
          <w:sz w:val="32"/>
          <w:szCs w:val="32"/>
          <w:shd w:val="clear" w:color="auto" w:fill="FFFFFF"/>
          <w:lang w:val="zh-CN"/>
        </w:rPr>
      </w:pPr>
      <w:r>
        <w:rPr>
          <w:rFonts w:hint="eastAsia" w:ascii="仿宋_GB2312" w:hAnsi="Times New Roman" w:eastAsia="宋体" w:cs="宋体"/>
          <w:b w:val="0"/>
          <w:bCs w:val="0"/>
          <w:color w:val="000000"/>
          <w:kern w:val="0"/>
          <w:sz w:val="32"/>
          <w:szCs w:val="32"/>
          <w:shd w:val="clear" w:color="auto" w:fill="FFFFFF"/>
          <w:lang w:val="zh-CN"/>
        </w:rPr>
        <w:t>部门（单位）基本情况</w:t>
      </w:r>
    </w:p>
    <w:p w14:paraId="7BD889E1">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宋体" w:cs="宋体"/>
          <w:b w:val="0"/>
          <w:bCs w:val="0"/>
          <w:color w:val="000000"/>
          <w:kern w:val="0"/>
          <w:sz w:val="32"/>
          <w:szCs w:val="32"/>
          <w:shd w:val="clear" w:color="auto" w:fill="FFFFFF"/>
          <w:lang w:val="zh-CN"/>
        </w:rPr>
      </w:pPr>
      <w:r>
        <w:rPr>
          <w:rFonts w:hint="eastAsia" w:ascii="仿宋_GB2312" w:hAnsi="Times New Roman" w:eastAsia="宋体" w:cs="宋体"/>
          <w:b w:val="0"/>
          <w:bCs w:val="0"/>
          <w:color w:val="000000"/>
          <w:kern w:val="0"/>
          <w:sz w:val="32"/>
          <w:szCs w:val="32"/>
          <w:shd w:val="clear" w:color="auto" w:fill="FFFFFF"/>
          <w:lang w:val="zh-CN"/>
        </w:rPr>
        <w:t>（一）机构组成。</w:t>
      </w:r>
    </w:p>
    <w:p w14:paraId="2DEE39AA">
      <w:pPr>
        <w:widowControl/>
        <w:numPr>
          <w:numId w:val="0"/>
        </w:numPr>
        <w:adjustRightInd w:val="0"/>
        <w:snapToGrid w:val="0"/>
        <w:spacing w:line="578" w:lineRule="exact"/>
        <w:ind w:firstLine="640" w:firstLineChars="200"/>
        <w:contextualSpacing/>
        <w:jc w:val="left"/>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发改局下属二级单位2个，其中行政单位0个，参照公务员法管理的事业单位1个，粮食和物资储备中心，其他事业单位1个，价格认证中心。九寨沟县发展和改革局5个内设机构：1、办公室，2、法规和项目管理协调股，3、国民经济综合计划和粮食物资储备股（挂粮食和物资储备局牌子</w:t>
      </w:r>
      <w:r>
        <w:rPr>
          <w:rFonts w:hint="eastAsia" w:ascii="仿宋_GB2312" w:cs="宋体"/>
          <w:b w:val="0"/>
          <w:bCs w:val="0"/>
          <w:color w:val="000000"/>
          <w:kern w:val="0"/>
          <w:sz w:val="32"/>
          <w:szCs w:val="32"/>
          <w:shd w:val="clear" w:color="auto" w:fill="FFFFFF"/>
          <w:lang w:val="zh-CN"/>
        </w:rPr>
        <w:t>），4、固定资产投资股5、以工代赈办。</w:t>
      </w:r>
    </w:p>
    <w:p w14:paraId="6A415B0F">
      <w:pPr>
        <w:widowControl/>
        <w:numPr>
          <w:ilvl w:val="0"/>
          <w:numId w:val="8"/>
        </w:numPr>
        <w:adjustRightInd w:val="0"/>
        <w:snapToGrid w:val="0"/>
        <w:spacing w:line="578" w:lineRule="exact"/>
        <w:ind w:firstLine="640" w:firstLineChars="200"/>
        <w:contextualSpacing/>
        <w:jc w:val="left"/>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机构职能。</w:t>
      </w:r>
    </w:p>
    <w:p w14:paraId="47012ADB">
      <w:pPr>
        <w:widowControl/>
        <w:numPr>
          <w:numId w:val="0"/>
        </w:numPr>
        <w:adjustRightInd w:val="0"/>
        <w:snapToGrid w:val="0"/>
        <w:spacing w:line="578" w:lineRule="exact"/>
        <w:ind w:firstLine="640" w:firstLineChars="200"/>
        <w:contextualSpacing/>
        <w:jc w:val="left"/>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贯彻执行国家国民经济和社会发展的战略、方针和政策，研究提出相应的政策措施；拟订并组织实施全县经济和社会发展战略、中长期规划和年度计划；研究拟定全县人口发展战略规划和人口政策；研究提出全县经济发展的总量平衡、</w:t>
      </w:r>
      <w:r>
        <w:rPr>
          <w:rFonts w:hint="eastAsia" w:ascii="仿宋_GB2312" w:cs="宋体"/>
          <w:b w:val="0"/>
          <w:bCs w:val="0"/>
          <w:color w:val="000000"/>
          <w:kern w:val="0"/>
          <w:sz w:val="32"/>
          <w:szCs w:val="32"/>
          <w:shd w:val="clear" w:color="auto" w:fill="FFFFFF"/>
          <w:lang w:val="zh-CN"/>
        </w:rPr>
        <w:tab/>
      </w:r>
      <w:r>
        <w:rPr>
          <w:rFonts w:hint="eastAsia" w:ascii="仿宋_GB2312" w:cs="宋体"/>
          <w:b w:val="0"/>
          <w:bCs w:val="0"/>
          <w:color w:val="000000"/>
          <w:kern w:val="0"/>
          <w:sz w:val="32"/>
          <w:szCs w:val="32"/>
          <w:shd w:val="clear" w:color="auto" w:fill="FFFFFF"/>
          <w:lang w:val="zh-CN"/>
        </w:rPr>
        <w:t>发展速度和结构调整的目标、政策；提出运用各种经济手段和政策的建议；受县政府委托向县人大作全县经济和社会发展计划的报告。</w:t>
      </w:r>
    </w:p>
    <w:p w14:paraId="1325C42C">
      <w:pPr>
        <w:widowControl/>
        <w:numPr>
          <w:numId w:val="0"/>
        </w:numPr>
        <w:adjustRightInd w:val="0"/>
        <w:snapToGrid w:val="0"/>
        <w:spacing w:line="578" w:lineRule="exact"/>
        <w:contextualSpacing/>
        <w:jc w:val="left"/>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2.编制我县实施西部大开发战略的规划，提出有关政策建议，组织协调全县实施西部大开发战略的有关重大问题。</w:t>
      </w:r>
    </w:p>
    <w:p w14:paraId="3964A8A8">
      <w:pPr>
        <w:widowControl/>
        <w:numPr>
          <w:numId w:val="0"/>
        </w:numPr>
        <w:adjustRightInd w:val="0"/>
        <w:snapToGrid w:val="0"/>
        <w:spacing w:line="578" w:lineRule="exact"/>
        <w:ind w:firstLine="640" w:firstLineChars="200"/>
        <w:contextualSpacing/>
        <w:jc w:val="left"/>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3.研究分析县内外经济形势和发展情况，进行宏观经济的预测、预警；组织对全县经济社会发展中的重大问题和热点、难点问题的调查研究，提出宏观调控政策建议，综合协调经济社会发展。</w:t>
      </w:r>
    </w:p>
    <w:p w14:paraId="058F5475">
      <w:pPr>
        <w:widowControl/>
        <w:numPr>
          <w:numId w:val="0"/>
        </w:numPr>
        <w:adjustRightInd w:val="0"/>
        <w:snapToGrid w:val="0"/>
        <w:spacing w:line="578" w:lineRule="exact"/>
        <w:ind w:firstLine="640" w:firstLineChars="200"/>
        <w:contextualSpacing/>
        <w:jc w:val="left"/>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4.负责汇总和分析全县财政、金融等方面的情况；提出直接融资的发展战略和政策建议；综合协调财政、金融、价格等经济杠杆以及县上直接掌握的经济手段的使用，并通过法规和政策协调、信息指导，保证规划的实施。</w:t>
      </w:r>
    </w:p>
    <w:p w14:paraId="11CA78F3">
      <w:pPr>
        <w:widowControl/>
        <w:numPr>
          <w:numId w:val="0"/>
        </w:numPr>
        <w:adjustRightInd w:val="0"/>
        <w:snapToGrid w:val="0"/>
        <w:spacing w:line="578" w:lineRule="exact"/>
        <w:ind w:firstLine="640" w:firstLineChars="200"/>
        <w:contextualSpacing/>
        <w:jc w:val="left"/>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5.研究全县经济体制改革和对外开放的综合性、全局性问题及对策，提出完善社会主义市场经济体制和以改革开放促进发展的建议，协调发展与改革中的重大问题；组织拟订综合性经济体制改革方案，协调有关专项经济体制改革方案；指导和推进总体经济体制改革以及城市、乡镇综合配套改革与体制创新，组织、指导和协调综合配套改革试点和重大专项经济体制改革试点。</w:t>
      </w:r>
    </w:p>
    <w:p w14:paraId="07384459">
      <w:pPr>
        <w:widowControl/>
        <w:numPr>
          <w:numId w:val="0"/>
        </w:numPr>
        <w:adjustRightInd w:val="0"/>
        <w:snapToGrid w:val="0"/>
        <w:spacing w:line="578" w:lineRule="exact"/>
        <w:ind w:firstLine="640" w:firstLineChars="200"/>
        <w:contextualSpacing/>
        <w:jc w:val="left"/>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6.提出全县社会固定资产投资总规模、投资结构，编制年度投资计划；研究提出有关重大投资政策，规划重大项目和生产力布局；安排财政性建设资金，指导和监督政策性贷款的使用方向；申报限额以上和审批权限以内的基本建设项目；按照基本建设程序，负责全县基本建设项目立项、可行性研究报告和国家出资的工业(含内贸)、农业、水利、交通、信息产业等行业和产业项目的初步设计审查、开工报告审批工作；引导民间资金用于固定资产投资的方向；研究提出全县利用外资的发展战略、总量平衡和结构优化的目标和政策措施；负责全口径外债的总量控制、结构优化和监控工作；提出拟订全县工商领域外的外商投资产业指导目录的意见；审批权限以内国外贷款、外商投资和境外投资项目；申报和审核利用外资、境外投资的重大项目；负责编制全县重点建设项目和年度投资计划；负责组织和管理重大建设项目稽察特派员工作。</w:t>
      </w:r>
    </w:p>
    <w:p w14:paraId="07A977FF">
      <w:pPr>
        <w:widowControl/>
        <w:numPr>
          <w:numId w:val="0"/>
        </w:numPr>
        <w:adjustRightInd w:val="0"/>
        <w:snapToGrid w:val="0"/>
        <w:spacing w:line="578" w:lineRule="exact"/>
        <w:ind w:firstLine="640" w:firstLineChars="200"/>
        <w:contextualSpacing/>
        <w:jc w:val="left"/>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7.研究分析全县经济结构的状况，提出优化所有制结构的建议，拟订促进全县多种经济成分公平竞争和共同发展的政策措施；提出全县重要经济产业的发展战略和规划，推进产业结构战略性调整和升级；研究并协调农业和农村经济社会发展的有关重大问题，衔接农村专项规划和政策；综合协调产业发展战略、发展规划；拟订全县能源交通发展战略和规划，做好能源供需预测和综合平衡；研究提出全县高技术产业战略和发展规划，推进重大科技成果的产业化，实施技术进步和产业现代化的宏观指导。</w:t>
      </w:r>
    </w:p>
    <w:p w14:paraId="16E65505">
      <w:pPr>
        <w:widowControl/>
        <w:numPr>
          <w:numId w:val="0"/>
        </w:numPr>
        <w:adjustRightInd w:val="0"/>
        <w:snapToGrid w:val="0"/>
        <w:spacing w:line="578" w:lineRule="exact"/>
        <w:ind w:firstLine="640" w:firstLineChars="200"/>
        <w:contextualSpacing/>
        <w:jc w:val="left"/>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8.研究分析区域经济和城镇化发展情况，提出全县区域经济协调发展和实施西部大开发战略的规划，提出城镇化发展战略和政策措施建议。</w:t>
      </w:r>
    </w:p>
    <w:p w14:paraId="37A5EA57">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9.研究分析县内外市场状况，负责重要商品的总量平衡和宏观调控；编制重要农产品、工业品和原材料进出口总量计划，监督计划执行；研究推进国民经济市场化和市场体系建立中的重要体制改革和政策问题；研究拟订现代物流业发展的战略和规划；提出县内商品市场、生产要素市场的发展规划、总体布局和重大调控政策。</w:t>
      </w:r>
    </w:p>
    <w:p w14:paraId="5D544B1F">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10.做好人口和计划生育、科学技术、教育、文化、卫生等社会事业以及国防动员与经济发展的衔接平衡；提出经济与社会协调发展、相互促进的政策，协调社会事业发展中的重大问题；汇总编制人力资源开发总体发展规划。</w:t>
      </w:r>
    </w:p>
    <w:p w14:paraId="0A968AE8">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11.推进可持续发展战略，研究拟订全县资源开发与综合利用、环境保护、生态建设等规划，参与组织协调规划的实施；参与国土开发、整治、保护总体规划的组织协调，做好土地利用计划与经济和社会发展计划的衔接工作。</w:t>
      </w:r>
    </w:p>
    <w:p w14:paraId="21604E1B">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12.研究提出促进就业、调整收入分配、完善社会保障与经济协调发展的政策；协调就业、收入分配和社会保障的重大问题。</w:t>
      </w:r>
    </w:p>
    <w:p w14:paraId="7E682BE4">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13.拟订全县经济和社会发展以及经济体制改革、对外开放的有关规范性文件。</w:t>
      </w:r>
    </w:p>
    <w:p w14:paraId="35F26B8F">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14.负责指导和协调全县招标投标工作，会同有关行政主管部门拟定招标投标配套规定和必须进行招标投标项目的具体范围、规模标准；按照职责权限对重大建设项目建设过程中的工程招标投标活动实施监督检查。</w:t>
      </w:r>
    </w:p>
    <w:p w14:paraId="083D68C9">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15.贯彻执行国家、省、州以工代赈方针、政策；负责争取国家、省、州以工代赈项目、资金；编制全县以工代赈中长期规划及年度计划；负责以工代赈项目、资金计划上报及下达工作；组织相关部门搞好以工代赈项目的规划、论证、可行性研究，建设好以工代赈项目储备库；会同财政、审计、监察等部门做好全县以工代赈资金的监督管理；负责以工代赈项目实施的督促、检查、验收及成果宣传，搞好项目的建档立卡工作。</w:t>
      </w:r>
    </w:p>
    <w:p w14:paraId="16192DCE">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16.承担县政府公布的有关行政审批事项。</w:t>
      </w:r>
    </w:p>
    <w:p w14:paraId="40EC79A4">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17.承办县政府交办的其他事项。</w:t>
      </w:r>
    </w:p>
    <w:p w14:paraId="15285033">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三）人员概况。截至2023年末，发展和改革局行政编制9名，行政工勤1名。价格认证中心机关工勤人员事业编制1名，事业编制12人。粮食和物资储备中心参公编制15名，实有人数14人。执行行政事业财务会计制度，单位财务人员负责资产账面管理，办公室人员负责实物管理。</w:t>
      </w:r>
    </w:p>
    <w:p w14:paraId="6F0952C8">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二、部门资金收支情况</w:t>
      </w:r>
    </w:p>
    <w:p w14:paraId="0B8E902B">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（一）收入情况。</w:t>
      </w:r>
    </w:p>
    <w:p w14:paraId="554C566E">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2023年年初预算收入648.04万元、决算报表收入1414.39万元，年初结转183.52万元。均属于财政拨款收入，无事业、经营等其他收入。</w:t>
      </w:r>
    </w:p>
    <w:p w14:paraId="44C0110B">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（二）支出情况。</w:t>
      </w:r>
    </w:p>
    <w:p w14:paraId="19DCD3A5">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2023年年初预算支出648.04万元、决算报表支出1597.91万元。其中：基本支出中人员经费支出为827.26万元，公用经费支出为102.5万元。项目支出668.15万元，其中基本建设类项目支出为216.22万元。</w:t>
      </w:r>
    </w:p>
    <w:p w14:paraId="0579C0BC">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（三）结余分配和结转结余情况。</w:t>
      </w:r>
    </w:p>
    <w:p w14:paraId="5F20FBA4">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2023年决算无结转结余。</w:t>
      </w:r>
    </w:p>
    <w:p w14:paraId="3754ECBC">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部门预算绩效分析</w:t>
      </w:r>
    </w:p>
    <w:p w14:paraId="20367FA8">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部门预算总体绩效分析。</w:t>
      </w:r>
    </w:p>
    <w:p w14:paraId="276F2BFB">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1.履职效能。部门整体绩效目标中我中心选定3个核心职能目标进行分析评分，针对选定的三个职能目标都圆满完成任务，并取得良好效果，保证了单位持续良性的发展。</w:t>
      </w:r>
    </w:p>
    <w:p w14:paraId="78ECA074">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2.预算管理。我中心按照县财政局部门预算编制通知和有关要求，及时准确高质量完成单位部门预算编报，项目库报送工作。部门整体绩效目标能完整、合理反映部门年度职责履行情况，项目编制明确、能有效量化。</w:t>
      </w:r>
    </w:p>
    <w:p w14:paraId="2ACB99A1">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3.财务管理。我中心围绕内控制度系统为中心，制定了财务管理制度、结合制度和实际情况完善了财务岗位设置、严格按照财经纪律制度规范使用各项资金，有力保障单位各项工作任务的完成。</w:t>
      </w:r>
    </w:p>
    <w:p w14:paraId="7E481EFB">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4.资产管理。我中心以每年资产清理为契机，理清单位固定资产，层层分散做好资产管理，严格执行每年盘点制度。单位人均资产变化率在正常范围，资产利用率达到100%，单位无闲置资产。单位的资产为完成工作任务提供了有力保障。</w:t>
      </w:r>
    </w:p>
    <w:p w14:paraId="0BB88639">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5.采购管理。我中心严格执行政府采购促进中小企业发展相关管理办法，对适宜由中小企业提供的采购项目专门面向中小企业采购，采购资金支付率100%。</w:t>
      </w:r>
    </w:p>
    <w:p w14:paraId="4C3CC0A4">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（二）部门预算项目绩效分析。</w:t>
      </w:r>
    </w:p>
    <w:p w14:paraId="2B683A0A">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常年项目绩效分析。该类项目总数12个，涉及预算总金额427.25万元，1—12月预算执行总体进度为100 %，其中：预算结余率大于10%的项目共计0个。</w:t>
      </w:r>
    </w:p>
    <w:p w14:paraId="14035990">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阶段（一次性）项目绩效分析。该类项目总数3个，涉及预算总金额307.01万元，1—12月预算执行总体进度为100%，其中：预算结余率大于10%的项目共计0个。</w:t>
      </w:r>
    </w:p>
    <w:p w14:paraId="2FBD5077">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1.项目决策。我局在2023年度中预算项目绩效目标与计划期内的任务量、预算安排的资金量相匹配，绩效目标设置做到了科学合理、规范完整、量化细化，与预算匹配，预算项目在规定时间完成项目入库。</w:t>
      </w:r>
    </w:p>
    <w:p w14:paraId="2CD4B8E4">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2.项目执行。预算项目实际列支内容与绩效目标设置方向相符，项目未采取收回预算、调整目标等处置措施，项目预算结余率小于10%。</w:t>
      </w:r>
    </w:p>
    <w:p w14:paraId="7922642B">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3.目标实现。预算项目绩效目标数量指标资金完成100%，项目绩效目标数量指标实现程度与预期目标的偏离较小，该项目实施效果基本实现。</w:t>
      </w:r>
    </w:p>
    <w:p w14:paraId="552EA762">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（三）重点领域绩效分析。</w:t>
      </w:r>
    </w:p>
    <w:p w14:paraId="083D66C5">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发改局2023年未涉及国有资本、行政事业性国有资产、债券资金、政府采购和政府购买服务等重点领域。</w:t>
      </w:r>
    </w:p>
    <w:p w14:paraId="080F80FE">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四）绩效结果应用情况。2023年发改局未出现超预算情况，对于本职工作和领导安排的各项工作态度积极、思想端正、都保质保量完成，对于群众举报投诉问题，我中心在接到投诉举报后立即出动人员进行检查核实，快速做出回应，群众满意度较高，未出现执法人员被投诉举报情况。</w:t>
      </w:r>
    </w:p>
    <w:p w14:paraId="54ABE78B">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四、评价结论及建议</w:t>
      </w:r>
    </w:p>
    <w:p w14:paraId="58B39A42">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（一）评价结论。</w:t>
      </w:r>
    </w:p>
    <w:p w14:paraId="0D9126C9">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通过自评，2023年度县发改局各项经费达到对应的绩效目标，圆满完成了各项工作任务，达到预期绩效目标总体较满意。经综合评价，自评得分96分。本部门2023年预算整体绩效评价良好。</w:t>
      </w:r>
    </w:p>
    <w:p w14:paraId="42E72C14">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（二）存在问题。</w:t>
      </w:r>
    </w:p>
    <w:p w14:paraId="5B579763">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1.预算编制测算还不够精确，编制依据和测算深度不够，缺乏一定的科学性，实际执行与项目预算绩效存在偏差。</w:t>
      </w:r>
    </w:p>
    <w:p w14:paraId="5A5CB8D0">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2.预算执行进度不均衡,因年度大项工作任务多集中在年底故项目资金存在年底较集中支付的现象。</w:t>
      </w:r>
    </w:p>
    <w:p w14:paraId="4401F99E">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（三）改进建议</w:t>
      </w:r>
      <w:bookmarkStart w:id="49" w:name="_Hlk110546638"/>
      <w:r>
        <w:rPr>
          <w:rFonts w:hint="eastAsia" w:ascii="仿宋_GB2312" w:cs="宋体"/>
          <w:b w:val="0"/>
          <w:bCs w:val="0"/>
          <w:color w:val="000000"/>
          <w:kern w:val="0"/>
          <w:sz w:val="32"/>
          <w:szCs w:val="32"/>
          <w:shd w:val="clear" w:color="auto" w:fill="FFFFFF"/>
          <w:lang w:val="zh-CN"/>
        </w:rPr>
        <w:t>。</w:t>
      </w:r>
      <w:bookmarkEnd w:id="49"/>
    </w:p>
    <w:p w14:paraId="6844A583">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1.加强对项目实施主体、财务管理人员的培养，加强业务培训，提升管理能力和水平。</w:t>
      </w:r>
    </w:p>
    <w:p w14:paraId="5E7057B5">
      <w:pPr>
        <w:pStyle w:val="4"/>
        <w:shd w:val="clear" w:color="auto" w:fill="FFFFFF"/>
        <w:ind w:firstLine="640" w:firstLineChars="200"/>
        <w:rPr>
          <w:rFonts w:hint="eastAsia" w:ascii="仿宋_GB2312" w:cs="宋体"/>
          <w:b w:val="0"/>
          <w:bCs w:val="0"/>
          <w:color w:val="000000"/>
          <w:kern w:val="0"/>
          <w:sz w:val="32"/>
          <w:szCs w:val="32"/>
          <w:shd w:val="clear" w:color="auto" w:fill="FFFFFF"/>
          <w:lang w:val="zh-CN"/>
        </w:rPr>
      </w:pPr>
      <w:r>
        <w:rPr>
          <w:rFonts w:hint="eastAsia" w:ascii="仿宋_GB2312" w:cs="宋体"/>
          <w:b w:val="0"/>
          <w:bCs w:val="0"/>
          <w:color w:val="000000"/>
          <w:kern w:val="0"/>
          <w:sz w:val="32"/>
          <w:szCs w:val="32"/>
          <w:shd w:val="clear" w:color="auto" w:fill="FFFFFF"/>
          <w:lang w:val="zh-CN"/>
        </w:rPr>
        <w:t>2.培养绩效管理氛围，加强理论研究，提高思想认识，扩大舆论宣传，尽快让预算绩效理念在深入人心，形成讲绩效、重绩效的浓厚气氛。</w:t>
      </w:r>
    </w:p>
    <w:p w14:paraId="545ED5F6">
      <w:pPr>
        <w:spacing w:line="578" w:lineRule="exact"/>
        <w:ind w:firstLine="420" w:firstLineChars="200"/>
        <w:rPr>
          <w:color w:val="000000"/>
          <w:kern w:val="0"/>
          <w:szCs w:val="32"/>
          <w:shd w:val="clear" w:color="auto" w:fill="FFFFFF"/>
        </w:rPr>
      </w:pPr>
    </w:p>
    <w:p w14:paraId="2D155211">
      <w:pPr>
        <w:spacing w:line="578" w:lineRule="exact"/>
        <w:ind w:firstLine="420" w:firstLineChars="200"/>
        <w:rPr>
          <w:color w:val="000000"/>
          <w:kern w:val="0"/>
          <w:szCs w:val="32"/>
          <w:shd w:val="clear" w:color="auto" w:fill="FFFFFF"/>
        </w:rPr>
      </w:pPr>
      <w:r>
        <w:rPr>
          <w:color w:val="000000"/>
          <w:kern w:val="0"/>
          <w:szCs w:val="32"/>
          <w:shd w:val="clear" w:color="auto" w:fill="FFFFFF"/>
        </w:rPr>
        <w:br w:type="page"/>
      </w:r>
    </w:p>
    <w:p w14:paraId="5570C797">
      <w:pPr>
        <w:ind w:firstLine="640" w:firstLineChars="200"/>
        <w:rPr>
          <w:rFonts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预算项目支出绩效自评表（2023年度）</w:t>
      </w:r>
    </w:p>
    <w:tbl>
      <w:tblPr>
        <w:tblStyle w:val="15"/>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798"/>
        <w:gridCol w:w="1242"/>
      </w:tblGrid>
      <w:tr w14:paraId="66BFEC3B">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33190C09">
            <w:pPr>
              <w:widowControl/>
              <w:spacing w:line="600" w:lineRule="exact"/>
              <w:jc w:val="center"/>
              <w:textAlignment w:val="center"/>
              <w:rPr>
                <w:rFonts w:eastAsia="黑体"/>
                <w:color w:val="000000"/>
                <w:sz w:val="28"/>
                <w:szCs w:val="28"/>
              </w:rPr>
            </w:pPr>
            <w:r>
              <w:rPr>
                <w:rFonts w:eastAsia="方正小标宋简体"/>
                <w:color w:val="000000"/>
                <w:kern w:val="0"/>
                <w:sz w:val="44"/>
                <w:szCs w:val="44"/>
              </w:rPr>
              <w:t>部门整体支出绩效目标完成情况自评表</w:t>
            </w:r>
          </w:p>
        </w:tc>
      </w:tr>
      <w:tr w14:paraId="0632482E">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2C35B68F">
            <w:pPr>
              <w:widowControl/>
              <w:spacing w:line="300" w:lineRule="exact"/>
              <w:jc w:val="center"/>
              <w:textAlignment w:val="center"/>
              <w:rPr>
                <w:rFonts w:eastAsia="宋体"/>
                <w:color w:val="000000"/>
                <w:sz w:val="28"/>
                <w:szCs w:val="28"/>
              </w:rPr>
            </w:pPr>
            <w:r>
              <w:rPr>
                <w:rFonts w:eastAsia="宋体"/>
                <w:color w:val="000000"/>
                <w:kern w:val="0"/>
                <w:sz w:val="28"/>
                <w:szCs w:val="28"/>
              </w:rPr>
              <w:t>（2023年度）</w:t>
            </w:r>
          </w:p>
        </w:tc>
      </w:tr>
      <w:tr w14:paraId="5B2A4671">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57397311">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14:paraId="0EB2C05C">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CD79B3">
            <w:pPr>
              <w:widowControl/>
              <w:spacing w:line="300" w:lineRule="exact"/>
              <w:jc w:val="center"/>
              <w:textAlignment w:val="center"/>
              <w:rPr>
                <w:rFonts w:eastAsia="宋体"/>
                <w:color w:val="000000"/>
                <w:sz w:val="24"/>
              </w:rPr>
            </w:pPr>
            <w:r>
              <w:rPr>
                <w:rFonts w:eastAsia="宋体"/>
                <w:color w:val="000000"/>
                <w:kern w:val="0"/>
                <w:sz w:val="24"/>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2D92B2">
            <w:pPr>
              <w:widowControl/>
              <w:spacing w:line="300" w:lineRule="exact"/>
              <w:jc w:val="center"/>
              <w:textAlignment w:val="center"/>
              <w:rPr>
                <w:rFonts w:eastAsia="宋体"/>
                <w:color w:val="000000"/>
                <w:sz w:val="24"/>
              </w:rPr>
            </w:pPr>
            <w:r>
              <w:rPr>
                <w:rFonts w:hint="eastAsia" w:eastAsia="宋体"/>
                <w:color w:val="000000"/>
                <w:kern w:val="0"/>
                <w:sz w:val="24"/>
              </w:rPr>
              <w:t>发展和改革局部门</w:t>
            </w:r>
          </w:p>
        </w:tc>
      </w:tr>
      <w:tr w14:paraId="46D5AC4E">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A3D74">
            <w:pPr>
              <w:widowControl/>
              <w:spacing w:line="300" w:lineRule="exact"/>
              <w:jc w:val="center"/>
              <w:textAlignment w:val="center"/>
              <w:rPr>
                <w:rFonts w:eastAsia="宋体"/>
                <w:color w:val="000000"/>
                <w:sz w:val="24"/>
              </w:rPr>
            </w:pPr>
            <w:r>
              <w:rPr>
                <w:rFonts w:eastAsia="宋体"/>
                <w:color w:val="000000"/>
                <w:kern w:val="0"/>
                <w:sz w:val="24"/>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1B90F">
            <w:pPr>
              <w:widowControl/>
              <w:spacing w:line="300" w:lineRule="exact"/>
              <w:jc w:val="center"/>
              <w:textAlignment w:val="center"/>
              <w:rPr>
                <w:rFonts w:eastAsia="宋体"/>
                <w:color w:val="000000"/>
                <w:sz w:val="24"/>
              </w:rPr>
            </w:pPr>
            <w:r>
              <w:rPr>
                <w:rFonts w:eastAsia="宋体"/>
                <w:color w:val="000000"/>
                <w:kern w:val="0"/>
                <w:sz w:val="24"/>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A85C4">
            <w:pPr>
              <w:widowControl/>
              <w:spacing w:line="300" w:lineRule="exact"/>
              <w:jc w:val="center"/>
              <w:textAlignment w:val="center"/>
              <w:rPr>
                <w:rFonts w:eastAsia="宋体"/>
                <w:color w:val="000000"/>
                <w:sz w:val="24"/>
              </w:rPr>
            </w:pPr>
            <w:r>
              <w:rPr>
                <w:rFonts w:eastAsia="宋体"/>
                <w:color w:val="000000"/>
                <w:kern w:val="0"/>
                <w:sz w:val="24"/>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A479E3">
            <w:pPr>
              <w:widowControl/>
              <w:spacing w:line="300" w:lineRule="exact"/>
              <w:jc w:val="center"/>
              <w:textAlignment w:val="center"/>
              <w:rPr>
                <w:rFonts w:eastAsia="宋体"/>
                <w:color w:val="000000"/>
                <w:sz w:val="24"/>
              </w:rPr>
            </w:pPr>
            <w:r>
              <w:rPr>
                <w:rFonts w:eastAsia="宋体"/>
                <w:color w:val="000000"/>
                <w:kern w:val="0"/>
                <w:sz w:val="24"/>
              </w:rPr>
              <w:t>其他资金</w:t>
            </w:r>
          </w:p>
        </w:tc>
      </w:tr>
      <w:tr w14:paraId="54CAA29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380AC">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23CD4A">
            <w:pPr>
              <w:widowControl/>
              <w:spacing w:line="300" w:lineRule="exact"/>
              <w:jc w:val="center"/>
              <w:textAlignment w:val="center"/>
              <w:rPr>
                <w:rFonts w:eastAsia="宋体"/>
                <w:color w:val="000000"/>
                <w:sz w:val="24"/>
              </w:rPr>
            </w:pPr>
            <w:r>
              <w:rPr>
                <w:rFonts w:hint="eastAsia" w:eastAsia="宋体"/>
                <w:color w:val="000000"/>
                <w:kern w:val="0"/>
                <w:sz w:val="24"/>
              </w:rPr>
              <w:t>1597.91</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91F6B">
            <w:pPr>
              <w:widowControl/>
              <w:spacing w:line="300" w:lineRule="exact"/>
              <w:jc w:val="center"/>
              <w:textAlignment w:val="center"/>
              <w:rPr>
                <w:rFonts w:eastAsia="宋体"/>
                <w:color w:val="000000"/>
                <w:sz w:val="24"/>
              </w:rPr>
            </w:pPr>
            <w:r>
              <w:rPr>
                <w:rFonts w:hint="eastAsia" w:eastAsia="宋体"/>
                <w:color w:val="000000"/>
                <w:kern w:val="0"/>
                <w:sz w:val="24"/>
              </w:rPr>
              <w:t>1597.91</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E5C637">
            <w:pPr>
              <w:widowControl/>
              <w:spacing w:line="300" w:lineRule="exact"/>
              <w:jc w:val="center"/>
              <w:textAlignment w:val="center"/>
              <w:rPr>
                <w:rFonts w:eastAsia="宋体"/>
                <w:color w:val="000000"/>
                <w:sz w:val="24"/>
              </w:rPr>
            </w:pPr>
            <w:r>
              <w:rPr>
                <w:rFonts w:hint="eastAsia" w:eastAsia="宋体"/>
                <w:color w:val="000000"/>
                <w:kern w:val="0"/>
                <w:sz w:val="24"/>
              </w:rPr>
              <w:t>0</w:t>
            </w:r>
          </w:p>
        </w:tc>
      </w:tr>
      <w:tr w14:paraId="03BCFD3F">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16D3">
            <w:pPr>
              <w:widowControl/>
              <w:spacing w:line="300" w:lineRule="exact"/>
              <w:jc w:val="center"/>
              <w:textAlignment w:val="center"/>
              <w:rPr>
                <w:rFonts w:eastAsia="宋体"/>
                <w:color w:val="000000"/>
                <w:kern w:val="0"/>
                <w:sz w:val="24"/>
              </w:rPr>
            </w:pPr>
            <w:r>
              <w:rPr>
                <w:rFonts w:eastAsia="宋体"/>
                <w:color w:val="000000"/>
                <w:kern w:val="0"/>
                <w:sz w:val="24"/>
              </w:rPr>
              <w:t>年度总体</w:t>
            </w:r>
          </w:p>
          <w:p w14:paraId="18FA4642">
            <w:pPr>
              <w:widowControl/>
              <w:spacing w:line="300" w:lineRule="exact"/>
              <w:jc w:val="center"/>
              <w:textAlignment w:val="center"/>
              <w:rPr>
                <w:rFonts w:eastAsia="宋体"/>
                <w:color w:val="000000"/>
                <w:sz w:val="24"/>
              </w:rPr>
            </w:pPr>
            <w:r>
              <w:rPr>
                <w:rFonts w:eastAsia="宋体"/>
                <w:color w:val="000000"/>
                <w:kern w:val="0"/>
                <w:sz w:val="24"/>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FD7B0A">
            <w:pPr>
              <w:widowControl/>
              <w:spacing w:line="300" w:lineRule="exact"/>
              <w:jc w:val="left"/>
              <w:textAlignment w:val="center"/>
              <w:rPr>
                <w:rFonts w:eastAsia="宋体"/>
                <w:color w:val="000000"/>
                <w:sz w:val="24"/>
              </w:rPr>
            </w:pPr>
            <w:r>
              <w:rPr>
                <w:rFonts w:hint="eastAsia" w:eastAsia="宋体"/>
                <w:color w:val="000000"/>
                <w:kern w:val="0"/>
                <w:sz w:val="24"/>
              </w:rPr>
              <w:t>完成发改局2023年度 经济调度、督促项目进度、项目申报、以工代赈、粮食安全、价格认证、东西援建等日常工作。2023年九寨沟县重大项目开工工作、2023年应急救灾物资管理工作，县级粮食储备工作。</w:t>
            </w:r>
          </w:p>
        </w:tc>
      </w:tr>
      <w:tr w14:paraId="3AA6A42D">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right w:val="single" w:color="000000" w:sz="4" w:space="0"/>
            </w:tcBorders>
            <w:shd w:val="clear" w:color="auto" w:fill="auto"/>
            <w:vAlign w:val="center"/>
          </w:tcPr>
          <w:p w14:paraId="08FA40CF">
            <w:pPr>
              <w:widowControl/>
              <w:spacing w:line="300" w:lineRule="exact"/>
              <w:jc w:val="center"/>
              <w:textAlignment w:val="center"/>
              <w:rPr>
                <w:rFonts w:eastAsia="宋体"/>
                <w:color w:val="000000"/>
                <w:kern w:val="0"/>
                <w:sz w:val="24"/>
              </w:rPr>
            </w:pPr>
            <w:r>
              <w:rPr>
                <w:rFonts w:eastAsia="宋体"/>
                <w:color w:val="000000"/>
                <w:kern w:val="0"/>
                <w:sz w:val="24"/>
              </w:rPr>
              <w:t>年度主要</w:t>
            </w:r>
          </w:p>
          <w:p w14:paraId="437383BA">
            <w:pPr>
              <w:widowControl/>
              <w:spacing w:line="300" w:lineRule="exact"/>
              <w:jc w:val="center"/>
              <w:textAlignment w:val="center"/>
              <w:rPr>
                <w:rFonts w:eastAsia="宋体"/>
                <w:color w:val="000000"/>
                <w:sz w:val="24"/>
              </w:rPr>
            </w:pPr>
            <w:r>
              <w:rPr>
                <w:rFonts w:eastAsia="宋体"/>
                <w:color w:val="000000"/>
                <w:kern w:val="0"/>
                <w:sz w:val="24"/>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22EB9">
            <w:pPr>
              <w:widowControl/>
              <w:spacing w:line="300" w:lineRule="exact"/>
              <w:jc w:val="center"/>
              <w:textAlignment w:val="center"/>
              <w:rPr>
                <w:rFonts w:eastAsia="宋体"/>
                <w:color w:val="000000"/>
                <w:sz w:val="24"/>
              </w:rPr>
            </w:pPr>
            <w:r>
              <w:rPr>
                <w:rFonts w:eastAsia="宋体"/>
                <w:color w:val="000000"/>
                <w:kern w:val="0"/>
                <w:sz w:val="24"/>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AD79D1">
            <w:pPr>
              <w:widowControl/>
              <w:spacing w:line="300" w:lineRule="exact"/>
              <w:jc w:val="center"/>
              <w:textAlignment w:val="center"/>
              <w:rPr>
                <w:rFonts w:eastAsia="宋体"/>
                <w:color w:val="000000"/>
                <w:sz w:val="24"/>
              </w:rPr>
            </w:pPr>
            <w:r>
              <w:rPr>
                <w:rFonts w:eastAsia="宋体"/>
                <w:color w:val="000000"/>
                <w:kern w:val="0"/>
                <w:sz w:val="24"/>
              </w:rPr>
              <w:t>主要内容</w:t>
            </w:r>
          </w:p>
        </w:tc>
      </w:tr>
      <w:tr w14:paraId="4F695D3B">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right w:val="single" w:color="000000" w:sz="4" w:space="0"/>
            </w:tcBorders>
            <w:shd w:val="clear" w:color="auto" w:fill="auto"/>
            <w:vAlign w:val="center"/>
          </w:tcPr>
          <w:p w14:paraId="3E58D19F">
            <w:pPr>
              <w:widowControl/>
              <w:spacing w:line="300" w:lineRule="exact"/>
              <w:jc w:val="center"/>
              <w:textAlignment w:val="center"/>
              <w:rPr>
                <w:rFonts w:eastAsia="宋体"/>
                <w:color w:val="000000"/>
                <w:kern w:val="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A2263">
            <w:pPr>
              <w:widowControl/>
              <w:spacing w:line="300" w:lineRule="exact"/>
              <w:jc w:val="center"/>
              <w:textAlignment w:val="center"/>
              <w:rPr>
                <w:rFonts w:eastAsia="宋体"/>
                <w:color w:val="000000"/>
                <w:kern w:val="0"/>
                <w:sz w:val="24"/>
              </w:rPr>
            </w:pPr>
            <w:r>
              <w:rPr>
                <w:rFonts w:hint="eastAsia" w:eastAsia="宋体"/>
                <w:color w:val="000000"/>
                <w:kern w:val="0"/>
                <w:sz w:val="24"/>
              </w:rPr>
              <w:t>重大项目开工经费</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2E2493">
            <w:pPr>
              <w:widowControl/>
              <w:spacing w:line="300" w:lineRule="exact"/>
              <w:jc w:val="center"/>
              <w:textAlignment w:val="center"/>
              <w:rPr>
                <w:rFonts w:eastAsia="宋体"/>
                <w:color w:val="000000"/>
                <w:kern w:val="0"/>
                <w:sz w:val="24"/>
              </w:rPr>
            </w:pPr>
            <w:r>
              <w:rPr>
                <w:rFonts w:hint="eastAsia" w:eastAsia="宋体"/>
                <w:color w:val="000000"/>
                <w:kern w:val="0"/>
                <w:sz w:val="24"/>
              </w:rPr>
              <w:t>2023年九寨沟县重大项目开工经费</w:t>
            </w:r>
          </w:p>
        </w:tc>
      </w:tr>
      <w:tr w14:paraId="0530D71A">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right w:val="single" w:color="000000" w:sz="4" w:space="0"/>
            </w:tcBorders>
            <w:shd w:val="clear" w:color="auto" w:fill="auto"/>
            <w:vAlign w:val="center"/>
          </w:tcPr>
          <w:p w14:paraId="4D1F6BC2">
            <w:pPr>
              <w:widowControl/>
              <w:spacing w:line="300" w:lineRule="exact"/>
              <w:jc w:val="center"/>
              <w:textAlignment w:val="center"/>
              <w:rPr>
                <w:rFonts w:eastAsia="宋体"/>
                <w:color w:val="000000"/>
                <w:kern w:val="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F3267">
            <w:pPr>
              <w:widowControl/>
              <w:spacing w:line="300" w:lineRule="exact"/>
              <w:jc w:val="center"/>
              <w:textAlignment w:val="center"/>
              <w:rPr>
                <w:rFonts w:eastAsia="宋体"/>
                <w:color w:val="000000"/>
                <w:kern w:val="0"/>
                <w:sz w:val="24"/>
              </w:rPr>
            </w:pPr>
            <w:r>
              <w:rPr>
                <w:rFonts w:eastAsia="宋体"/>
                <w:color w:val="000000"/>
                <w:kern w:val="0"/>
                <w:sz w:val="24"/>
              </w:rPr>
              <w:t>日常工作任务</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B21E13">
            <w:pPr>
              <w:widowControl/>
              <w:spacing w:line="300" w:lineRule="exact"/>
              <w:jc w:val="center"/>
              <w:textAlignment w:val="center"/>
              <w:rPr>
                <w:rFonts w:eastAsia="宋体"/>
                <w:color w:val="000000"/>
                <w:kern w:val="0"/>
                <w:sz w:val="24"/>
              </w:rPr>
            </w:pPr>
            <w:r>
              <w:rPr>
                <w:rFonts w:hint="eastAsia" w:eastAsia="宋体"/>
                <w:color w:val="000000"/>
                <w:kern w:val="0"/>
                <w:sz w:val="24"/>
              </w:rPr>
              <w:t>发改局2023年度 经济调度、督促项目进度、项目申报、以工代赈、粮食安全、价格认证、东西援建等日常工作</w:t>
            </w:r>
          </w:p>
        </w:tc>
      </w:tr>
      <w:tr w14:paraId="36080F21">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2D2E0BC5">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D2D75">
            <w:pPr>
              <w:widowControl/>
              <w:spacing w:line="300" w:lineRule="exact"/>
              <w:jc w:val="left"/>
              <w:rPr>
                <w:rFonts w:eastAsia="宋体"/>
                <w:color w:val="000000"/>
                <w:sz w:val="24"/>
              </w:rPr>
            </w:pPr>
            <w:r>
              <w:rPr>
                <w:rFonts w:eastAsia="宋体"/>
                <w:color w:val="000000"/>
                <w:sz w:val="24"/>
              </w:rPr>
              <w:t>应急救灾物资管理经费</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89F459">
            <w:pPr>
              <w:widowControl/>
              <w:spacing w:line="300" w:lineRule="exact"/>
              <w:jc w:val="left"/>
              <w:rPr>
                <w:rFonts w:eastAsia="宋体"/>
                <w:color w:val="000000"/>
                <w:sz w:val="24"/>
              </w:rPr>
            </w:pPr>
            <w:r>
              <w:rPr>
                <w:rFonts w:eastAsia="宋体"/>
                <w:color w:val="000000"/>
                <w:sz w:val="24"/>
              </w:rPr>
              <w:t>2023年应急救灾物资管理经费</w:t>
            </w:r>
          </w:p>
        </w:tc>
      </w:tr>
      <w:tr w14:paraId="658429E9">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bottom w:val="single" w:color="000000" w:sz="4" w:space="0"/>
              <w:right w:val="single" w:color="000000" w:sz="4" w:space="0"/>
            </w:tcBorders>
            <w:shd w:val="clear" w:color="auto" w:fill="auto"/>
            <w:vAlign w:val="center"/>
          </w:tcPr>
          <w:p w14:paraId="72A0FE36">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F30C3">
            <w:pPr>
              <w:widowControl/>
              <w:tabs>
                <w:tab w:val="left" w:pos="685"/>
              </w:tabs>
              <w:spacing w:line="300" w:lineRule="exact"/>
              <w:rPr>
                <w:rFonts w:eastAsia="宋体"/>
                <w:color w:val="000000"/>
                <w:sz w:val="24"/>
              </w:rPr>
            </w:pPr>
            <w:r>
              <w:rPr>
                <w:rFonts w:hint="eastAsia" w:eastAsia="宋体"/>
                <w:color w:val="000000"/>
                <w:sz w:val="24"/>
              </w:rPr>
              <w:t>县级粮食储备</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C57218">
            <w:pPr>
              <w:widowControl/>
              <w:spacing w:line="300" w:lineRule="exact"/>
              <w:jc w:val="left"/>
              <w:rPr>
                <w:rFonts w:eastAsia="宋体"/>
                <w:color w:val="000000"/>
                <w:sz w:val="24"/>
              </w:rPr>
            </w:pPr>
            <w:r>
              <w:rPr>
                <w:rFonts w:eastAsia="宋体"/>
                <w:color w:val="000000"/>
                <w:sz w:val="24"/>
              </w:rPr>
              <w:t>县级粮食储备工作</w:t>
            </w:r>
          </w:p>
        </w:tc>
      </w:tr>
      <w:tr w14:paraId="52CC5653">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right w:val="single" w:color="000000" w:sz="4" w:space="0"/>
            </w:tcBorders>
            <w:shd w:val="clear" w:color="auto" w:fill="auto"/>
            <w:vAlign w:val="center"/>
          </w:tcPr>
          <w:p w14:paraId="6EA5BBE8">
            <w:pPr>
              <w:widowControl/>
              <w:spacing w:line="300" w:lineRule="exact"/>
              <w:jc w:val="center"/>
              <w:textAlignment w:val="center"/>
              <w:rPr>
                <w:rFonts w:eastAsia="宋体"/>
                <w:color w:val="000000"/>
                <w:kern w:val="0"/>
                <w:sz w:val="24"/>
              </w:rPr>
            </w:pPr>
            <w:r>
              <w:rPr>
                <w:rFonts w:eastAsia="宋体"/>
                <w:color w:val="000000"/>
                <w:kern w:val="0"/>
                <w:sz w:val="24"/>
              </w:rPr>
              <w:t>年度绩效</w:t>
            </w:r>
          </w:p>
          <w:p w14:paraId="7983D245">
            <w:pPr>
              <w:widowControl/>
              <w:spacing w:line="300" w:lineRule="exact"/>
              <w:jc w:val="center"/>
              <w:textAlignment w:val="center"/>
              <w:rPr>
                <w:rFonts w:eastAsia="宋体"/>
                <w:color w:val="000000"/>
                <w:sz w:val="24"/>
              </w:rPr>
            </w:pPr>
            <w:r>
              <w:rPr>
                <w:rFonts w:eastAsia="宋体"/>
                <w:color w:val="000000"/>
                <w:kern w:val="0"/>
                <w:sz w:val="24"/>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18CD">
            <w:pPr>
              <w:widowControl/>
              <w:spacing w:line="300" w:lineRule="exact"/>
              <w:jc w:val="center"/>
              <w:textAlignment w:val="center"/>
              <w:rPr>
                <w:rFonts w:eastAsia="宋体"/>
                <w:color w:val="000000"/>
                <w:sz w:val="24"/>
              </w:rPr>
            </w:pPr>
            <w:r>
              <w:rPr>
                <w:rFonts w:eastAsia="宋体"/>
                <w:color w:val="000000"/>
                <w:kern w:val="0"/>
                <w:sz w:val="24"/>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AA25">
            <w:pPr>
              <w:widowControl/>
              <w:spacing w:line="300" w:lineRule="exact"/>
              <w:jc w:val="center"/>
              <w:textAlignment w:val="center"/>
              <w:rPr>
                <w:rFonts w:eastAsia="宋体"/>
                <w:color w:val="000000"/>
                <w:sz w:val="24"/>
              </w:rPr>
            </w:pPr>
            <w:r>
              <w:rPr>
                <w:rFonts w:eastAsia="宋体"/>
                <w:color w:val="000000"/>
                <w:kern w:val="0"/>
                <w:sz w:val="24"/>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DA2B2">
            <w:pPr>
              <w:widowControl/>
              <w:spacing w:line="300" w:lineRule="exact"/>
              <w:jc w:val="center"/>
              <w:textAlignment w:val="center"/>
              <w:rPr>
                <w:rFonts w:eastAsia="宋体"/>
                <w:color w:val="000000"/>
                <w:sz w:val="24"/>
              </w:rPr>
            </w:pPr>
            <w:r>
              <w:rPr>
                <w:rFonts w:eastAsia="宋体"/>
                <w:color w:val="000000"/>
                <w:kern w:val="0"/>
                <w:sz w:val="24"/>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3F93">
            <w:pPr>
              <w:widowControl/>
              <w:spacing w:line="300" w:lineRule="exact"/>
              <w:jc w:val="center"/>
              <w:textAlignment w:val="center"/>
              <w:rPr>
                <w:rFonts w:eastAsia="宋体"/>
                <w:color w:val="000000"/>
                <w:kern w:val="0"/>
                <w:sz w:val="24"/>
              </w:rPr>
            </w:pPr>
            <w:r>
              <w:rPr>
                <w:rFonts w:eastAsia="宋体"/>
                <w:color w:val="000000"/>
                <w:kern w:val="0"/>
                <w:sz w:val="24"/>
              </w:rPr>
              <w:t>绩效指标</w:t>
            </w:r>
          </w:p>
          <w:p w14:paraId="61D31A0C">
            <w:pPr>
              <w:widowControl/>
              <w:spacing w:line="300" w:lineRule="exact"/>
              <w:jc w:val="center"/>
              <w:textAlignment w:val="center"/>
              <w:rPr>
                <w:rFonts w:eastAsia="宋体"/>
                <w:color w:val="000000"/>
                <w:sz w:val="24"/>
              </w:rPr>
            </w:pPr>
            <w:r>
              <w:rPr>
                <w:rFonts w:eastAsia="宋体"/>
                <w:color w:val="000000"/>
                <w:kern w:val="0"/>
                <w:sz w:val="24"/>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6586">
            <w:pPr>
              <w:widowControl/>
              <w:spacing w:line="300" w:lineRule="exact"/>
              <w:jc w:val="center"/>
              <w:textAlignment w:val="center"/>
              <w:rPr>
                <w:rFonts w:eastAsia="宋体"/>
                <w:color w:val="000000"/>
                <w:sz w:val="24"/>
              </w:rPr>
            </w:pPr>
            <w:r>
              <w:rPr>
                <w:rFonts w:eastAsia="宋体"/>
                <w:color w:val="000000"/>
                <w:kern w:val="0"/>
                <w:sz w:val="24"/>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7B68">
            <w:pPr>
              <w:widowControl/>
              <w:spacing w:line="300" w:lineRule="exact"/>
              <w:jc w:val="center"/>
              <w:textAlignment w:val="center"/>
              <w:rPr>
                <w:rFonts w:eastAsia="宋体"/>
                <w:color w:val="000000"/>
                <w:sz w:val="24"/>
              </w:rPr>
            </w:pPr>
            <w:r>
              <w:rPr>
                <w:rFonts w:eastAsia="宋体"/>
                <w:color w:val="000000"/>
                <w:kern w:val="0"/>
                <w:sz w:val="24"/>
              </w:rPr>
              <w:t>绩效度量单位</w:t>
            </w:r>
          </w:p>
        </w:tc>
        <w:tc>
          <w:tcPr>
            <w:tcW w:w="798" w:type="dxa"/>
            <w:tcBorders>
              <w:top w:val="single" w:color="000000" w:sz="4" w:space="0"/>
              <w:left w:val="single" w:color="000000" w:sz="4" w:space="0"/>
              <w:bottom w:val="single" w:color="000000" w:sz="4" w:space="0"/>
            </w:tcBorders>
            <w:shd w:val="clear" w:color="auto" w:fill="auto"/>
            <w:vAlign w:val="center"/>
          </w:tcPr>
          <w:p w14:paraId="03F5BB70">
            <w:pPr>
              <w:widowControl/>
              <w:spacing w:line="300" w:lineRule="exact"/>
              <w:jc w:val="center"/>
              <w:textAlignment w:val="center"/>
              <w:rPr>
                <w:rFonts w:eastAsia="宋体"/>
                <w:color w:val="000000"/>
                <w:sz w:val="24"/>
              </w:rPr>
            </w:pPr>
            <w:r>
              <w:rPr>
                <w:rFonts w:eastAsia="宋体"/>
                <w:color w:val="000000"/>
                <w:kern w:val="0"/>
                <w:sz w:val="24"/>
              </w:rPr>
              <w:t>权重</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9A99">
            <w:pPr>
              <w:widowControl/>
              <w:spacing w:line="300" w:lineRule="exact"/>
              <w:jc w:val="center"/>
              <w:textAlignment w:val="center"/>
              <w:rPr>
                <w:rFonts w:eastAsia="宋体"/>
                <w:color w:val="000000"/>
                <w:kern w:val="0"/>
                <w:sz w:val="24"/>
              </w:rPr>
            </w:pPr>
            <w:r>
              <w:rPr>
                <w:rFonts w:eastAsia="宋体"/>
                <w:color w:val="000000"/>
                <w:kern w:val="0"/>
                <w:sz w:val="24"/>
              </w:rPr>
              <w:t>实际完成</w:t>
            </w:r>
          </w:p>
          <w:p w14:paraId="7A15EA57">
            <w:pPr>
              <w:widowControl/>
              <w:spacing w:line="300" w:lineRule="exact"/>
              <w:jc w:val="center"/>
              <w:textAlignment w:val="center"/>
              <w:rPr>
                <w:rFonts w:eastAsia="宋体"/>
                <w:color w:val="000000"/>
                <w:sz w:val="24"/>
              </w:rPr>
            </w:pPr>
            <w:r>
              <w:rPr>
                <w:rFonts w:eastAsia="宋体"/>
                <w:color w:val="000000"/>
                <w:kern w:val="0"/>
                <w:sz w:val="24"/>
              </w:rPr>
              <w:t>指标值</w:t>
            </w:r>
          </w:p>
        </w:tc>
      </w:tr>
      <w:tr w14:paraId="55B479D3">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6C0120B3">
            <w:pPr>
              <w:widowControl/>
              <w:spacing w:line="300" w:lineRule="exact"/>
              <w:jc w:val="center"/>
              <w:rPr>
                <w:rFonts w:eastAsia="宋体"/>
                <w:color w:val="000000"/>
                <w:sz w:val="24"/>
              </w:rPr>
            </w:pPr>
          </w:p>
        </w:tc>
        <w:tc>
          <w:tcPr>
            <w:tcW w:w="1347" w:type="dxa"/>
            <w:tcBorders>
              <w:top w:val="single" w:color="000000" w:sz="4" w:space="0"/>
              <w:left w:val="single" w:color="000000" w:sz="4" w:space="0"/>
              <w:right w:val="single" w:color="000000" w:sz="4" w:space="0"/>
            </w:tcBorders>
            <w:shd w:val="clear" w:color="auto" w:fill="auto"/>
            <w:vAlign w:val="center"/>
          </w:tcPr>
          <w:p w14:paraId="16F9C6B5">
            <w:pPr>
              <w:widowControl/>
              <w:spacing w:line="300" w:lineRule="exact"/>
              <w:jc w:val="center"/>
              <w:rPr>
                <w:rFonts w:eastAsia="宋体"/>
                <w:color w:val="000000"/>
                <w:sz w:val="24"/>
              </w:rPr>
            </w:pPr>
            <w:r>
              <w:rPr>
                <w:rFonts w:hint="eastAsia" w:eastAsia="宋体"/>
                <w:color w:val="000000"/>
                <w:sz w:val="24"/>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01CC">
            <w:pPr>
              <w:widowControl/>
              <w:spacing w:line="300" w:lineRule="exact"/>
              <w:jc w:val="center"/>
              <w:textAlignment w:val="center"/>
              <w:rPr>
                <w:rFonts w:eastAsia="宋体"/>
                <w:color w:val="000000"/>
                <w:sz w:val="24"/>
              </w:rPr>
            </w:pPr>
            <w:r>
              <w:rPr>
                <w:rFonts w:eastAsia="宋体"/>
                <w:color w:val="000000"/>
                <w:kern w:val="0"/>
                <w:sz w:val="24"/>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4BD2">
            <w:pPr>
              <w:widowControl/>
              <w:spacing w:line="300" w:lineRule="exact"/>
              <w:jc w:val="left"/>
              <w:rPr>
                <w:rFonts w:eastAsia="宋体"/>
                <w:color w:val="000000"/>
                <w:sz w:val="24"/>
              </w:rPr>
            </w:pPr>
            <w:r>
              <w:rPr>
                <w:rFonts w:eastAsia="宋体"/>
                <w:color w:val="000000"/>
                <w:sz w:val="24"/>
              </w:rPr>
              <w:t>完成及时率</w:t>
            </w:r>
          </w:p>
          <w:p w14:paraId="65DD88D6">
            <w:pPr>
              <w:widowControl/>
              <w:spacing w:line="300" w:lineRule="exact"/>
              <w:jc w:val="left"/>
              <w:rPr>
                <w:rFonts w:eastAsia="宋体"/>
                <w:color w:val="000000"/>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0DCB">
            <w:pPr>
              <w:widowControl/>
              <w:spacing w:line="300" w:lineRule="exact"/>
              <w:jc w:val="center"/>
              <w:rPr>
                <w:rFonts w:eastAsia="宋体"/>
                <w:color w:val="000000"/>
                <w:sz w:val="24"/>
              </w:rPr>
            </w:pPr>
            <w:r>
              <w:rPr>
                <w:rFonts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B416">
            <w:pPr>
              <w:widowControl/>
              <w:spacing w:line="300" w:lineRule="exact"/>
              <w:jc w:val="center"/>
              <w:rPr>
                <w:rFonts w:eastAsia="宋体"/>
                <w:color w:val="000000"/>
                <w:sz w:val="24"/>
              </w:rPr>
            </w:pPr>
            <w:r>
              <w:rPr>
                <w:rFonts w:eastAsia="宋体"/>
                <w:color w:val="000000"/>
                <w:sz w:val="24"/>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1EAC">
            <w:pPr>
              <w:widowControl/>
              <w:spacing w:line="300" w:lineRule="exact"/>
              <w:jc w:val="center"/>
              <w:rPr>
                <w:rFonts w:eastAsia="宋体"/>
                <w:color w:val="000000"/>
                <w:sz w:val="24"/>
              </w:rPr>
            </w:pPr>
            <w:r>
              <w:rPr>
                <w:rFonts w:eastAsia="宋体"/>
                <w:color w:val="000000"/>
                <w:sz w:val="24"/>
              </w:rPr>
              <w:t>%</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FD1E">
            <w:pPr>
              <w:widowControl/>
              <w:spacing w:line="300" w:lineRule="exact"/>
              <w:jc w:val="center"/>
              <w:rPr>
                <w:rFonts w:eastAsia="宋体"/>
                <w:color w:val="000000"/>
                <w:sz w:val="24"/>
              </w:rPr>
            </w:pPr>
            <w:r>
              <w:rPr>
                <w:rFonts w:eastAsia="宋体"/>
                <w:color w:val="000000"/>
                <w:sz w:val="24"/>
              </w:rPr>
              <w:t>50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809D">
            <w:pPr>
              <w:widowControl/>
              <w:spacing w:line="300" w:lineRule="exact"/>
              <w:jc w:val="center"/>
              <w:rPr>
                <w:rFonts w:eastAsia="宋体"/>
                <w:color w:val="000000"/>
                <w:sz w:val="24"/>
              </w:rPr>
            </w:pPr>
            <w:r>
              <w:rPr>
                <w:rFonts w:hint="eastAsia" w:eastAsia="宋体"/>
                <w:color w:val="000000"/>
                <w:sz w:val="24"/>
              </w:rPr>
              <w:t>90</w:t>
            </w:r>
          </w:p>
        </w:tc>
      </w:tr>
      <w:tr w14:paraId="5227EF85">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054524FA">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EFE4">
            <w:pPr>
              <w:widowControl/>
              <w:spacing w:line="300" w:lineRule="exact"/>
              <w:jc w:val="center"/>
              <w:textAlignment w:val="center"/>
              <w:rPr>
                <w:rFonts w:eastAsia="宋体"/>
                <w:color w:val="000000"/>
                <w:sz w:val="24"/>
              </w:rPr>
            </w:pPr>
            <w:r>
              <w:rPr>
                <w:rFonts w:eastAsia="宋体"/>
                <w:color w:val="000000"/>
                <w:kern w:val="0"/>
                <w:sz w:val="24"/>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3C7F3AB2">
            <w:pPr>
              <w:widowControl/>
              <w:spacing w:line="300" w:lineRule="exact"/>
              <w:jc w:val="center"/>
              <w:textAlignment w:val="center"/>
              <w:rPr>
                <w:rFonts w:eastAsia="宋体"/>
                <w:color w:val="000000"/>
                <w:kern w:val="0"/>
                <w:sz w:val="24"/>
              </w:rPr>
            </w:pPr>
            <w:r>
              <w:rPr>
                <w:rFonts w:eastAsia="宋体"/>
                <w:color w:val="000000"/>
                <w:kern w:val="0"/>
                <w:sz w:val="24"/>
              </w:rPr>
              <w:t>社会效益</w:t>
            </w:r>
          </w:p>
          <w:p w14:paraId="337CFD33">
            <w:pPr>
              <w:widowControl/>
              <w:spacing w:line="300" w:lineRule="exact"/>
              <w:jc w:val="center"/>
              <w:textAlignment w:val="center"/>
              <w:rPr>
                <w:rFonts w:eastAsia="宋体"/>
                <w:color w:val="000000"/>
                <w:sz w:val="24"/>
              </w:rPr>
            </w:pPr>
            <w:r>
              <w:rPr>
                <w:rFonts w:eastAsia="宋体"/>
                <w:color w:val="000000"/>
                <w:kern w:val="0"/>
                <w:sz w:val="24"/>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8A8D">
            <w:pPr>
              <w:widowControl/>
              <w:spacing w:line="300" w:lineRule="exact"/>
              <w:jc w:val="left"/>
              <w:rPr>
                <w:rFonts w:eastAsia="宋体"/>
                <w:color w:val="000000"/>
                <w:sz w:val="24"/>
              </w:rPr>
            </w:pPr>
            <w:r>
              <w:rPr>
                <w:rFonts w:eastAsia="宋体"/>
                <w:color w:val="000000"/>
                <w:sz w:val="24"/>
              </w:rPr>
              <w:t>日常工作和项目产出效益</w:t>
            </w:r>
          </w:p>
          <w:p w14:paraId="1C61B03E">
            <w:pPr>
              <w:widowControl/>
              <w:spacing w:line="300" w:lineRule="exact"/>
              <w:jc w:val="left"/>
              <w:rPr>
                <w:rFonts w:eastAsia="宋体"/>
                <w:color w:val="000000"/>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863D">
            <w:pPr>
              <w:widowControl/>
              <w:spacing w:line="300" w:lineRule="exact"/>
              <w:jc w:val="center"/>
              <w:rPr>
                <w:rFonts w:eastAsia="宋体"/>
                <w:color w:val="000000"/>
                <w:sz w:val="24"/>
              </w:rPr>
            </w:pPr>
            <w:r>
              <w:rPr>
                <w:rFonts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856E">
            <w:pPr>
              <w:widowControl/>
              <w:spacing w:line="300" w:lineRule="exact"/>
              <w:jc w:val="center"/>
              <w:rPr>
                <w:rFonts w:eastAsia="宋体"/>
                <w:color w:val="000000"/>
                <w:sz w:val="24"/>
              </w:rPr>
            </w:pPr>
            <w:r>
              <w:rPr>
                <w:rFonts w:eastAsia="宋体"/>
                <w:color w:val="000000"/>
                <w:sz w:val="24"/>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61593">
            <w:pPr>
              <w:widowControl/>
              <w:spacing w:line="300" w:lineRule="exact"/>
              <w:jc w:val="center"/>
              <w:rPr>
                <w:rFonts w:eastAsia="宋体"/>
                <w:color w:val="000000"/>
                <w:sz w:val="24"/>
              </w:rPr>
            </w:pPr>
            <w:r>
              <w:rPr>
                <w:rFonts w:eastAsia="宋体"/>
                <w:color w:val="000000"/>
                <w:sz w:val="24"/>
              </w:rPr>
              <w:t>%</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7B36">
            <w:pPr>
              <w:widowControl/>
              <w:spacing w:line="300" w:lineRule="exact"/>
              <w:jc w:val="center"/>
              <w:rPr>
                <w:rFonts w:eastAsia="宋体"/>
                <w:color w:val="000000"/>
                <w:sz w:val="24"/>
              </w:rPr>
            </w:pPr>
            <w:r>
              <w:rPr>
                <w:rFonts w:eastAsia="宋体"/>
                <w:color w:val="000000"/>
                <w:sz w:val="24"/>
              </w:rPr>
              <w:t>20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EA2B">
            <w:pPr>
              <w:widowControl/>
              <w:spacing w:line="300" w:lineRule="exact"/>
              <w:jc w:val="center"/>
              <w:rPr>
                <w:rFonts w:eastAsia="宋体"/>
                <w:color w:val="000000"/>
                <w:sz w:val="24"/>
              </w:rPr>
            </w:pPr>
            <w:r>
              <w:rPr>
                <w:rFonts w:hint="eastAsia" w:eastAsia="宋体"/>
                <w:color w:val="000000"/>
                <w:sz w:val="24"/>
              </w:rPr>
              <w:t>90</w:t>
            </w:r>
          </w:p>
        </w:tc>
      </w:tr>
      <w:tr w14:paraId="7B1ED044">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4094FE27">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481B">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C675C">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F1EB">
            <w:pPr>
              <w:widowControl/>
              <w:spacing w:line="300" w:lineRule="exact"/>
              <w:jc w:val="left"/>
              <w:rPr>
                <w:rFonts w:eastAsia="宋体"/>
                <w:color w:val="000000"/>
                <w:sz w:val="24"/>
              </w:rPr>
            </w:pPr>
            <w:r>
              <w:rPr>
                <w:rFonts w:eastAsia="宋体"/>
                <w:color w:val="000000"/>
                <w:sz w:val="24"/>
              </w:rPr>
              <w:t>公众及有关部门满意率</w:t>
            </w:r>
          </w:p>
          <w:p w14:paraId="7050EAE7">
            <w:pPr>
              <w:widowControl/>
              <w:spacing w:line="300" w:lineRule="exact"/>
              <w:jc w:val="left"/>
              <w:rPr>
                <w:rFonts w:eastAsia="宋体"/>
                <w:color w:val="000000"/>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7BED">
            <w:pPr>
              <w:widowControl/>
              <w:spacing w:line="300" w:lineRule="exact"/>
              <w:jc w:val="center"/>
              <w:rPr>
                <w:rFonts w:eastAsia="宋体"/>
                <w:color w:val="000000"/>
                <w:sz w:val="24"/>
              </w:rPr>
            </w:pPr>
            <w:r>
              <w:rPr>
                <w:rFonts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F563">
            <w:pPr>
              <w:widowControl/>
              <w:spacing w:line="300" w:lineRule="exact"/>
              <w:jc w:val="center"/>
              <w:rPr>
                <w:rFonts w:eastAsia="宋体"/>
                <w:color w:val="000000"/>
                <w:sz w:val="24"/>
              </w:rPr>
            </w:pPr>
            <w:r>
              <w:rPr>
                <w:rFonts w:eastAsia="宋体"/>
                <w:color w:val="000000"/>
                <w:sz w:val="24"/>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8FE25">
            <w:pPr>
              <w:widowControl/>
              <w:spacing w:line="300" w:lineRule="exact"/>
              <w:jc w:val="center"/>
              <w:rPr>
                <w:rFonts w:eastAsia="宋体"/>
                <w:color w:val="000000"/>
                <w:sz w:val="24"/>
              </w:rPr>
            </w:pPr>
            <w:r>
              <w:rPr>
                <w:rFonts w:eastAsia="宋体"/>
                <w:color w:val="000000"/>
                <w:sz w:val="24"/>
              </w:rPr>
              <w:t>%</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479AF">
            <w:pPr>
              <w:widowControl/>
              <w:spacing w:line="300" w:lineRule="exact"/>
              <w:jc w:val="center"/>
              <w:rPr>
                <w:rFonts w:eastAsia="宋体"/>
                <w:color w:val="000000"/>
                <w:sz w:val="24"/>
              </w:rPr>
            </w:pPr>
            <w:r>
              <w:rPr>
                <w:rFonts w:eastAsia="宋体"/>
                <w:color w:val="000000"/>
                <w:sz w:val="24"/>
              </w:rPr>
              <w:t>10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5DE7">
            <w:pPr>
              <w:widowControl/>
              <w:spacing w:line="300" w:lineRule="exact"/>
              <w:jc w:val="center"/>
              <w:rPr>
                <w:rFonts w:eastAsia="宋体"/>
                <w:color w:val="000000"/>
                <w:sz w:val="24"/>
              </w:rPr>
            </w:pPr>
            <w:r>
              <w:rPr>
                <w:rFonts w:hint="eastAsia" w:eastAsia="宋体"/>
                <w:color w:val="000000"/>
                <w:sz w:val="24"/>
              </w:rPr>
              <w:t>90</w:t>
            </w:r>
          </w:p>
        </w:tc>
      </w:tr>
      <w:tr w14:paraId="01497ECA">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bottom w:val="single" w:color="000000" w:sz="4" w:space="0"/>
              <w:right w:val="single" w:color="000000" w:sz="4" w:space="0"/>
            </w:tcBorders>
            <w:shd w:val="clear" w:color="auto" w:fill="auto"/>
            <w:vAlign w:val="center"/>
          </w:tcPr>
          <w:p w14:paraId="77EBCB4F">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FB59">
            <w:pPr>
              <w:widowControl/>
              <w:spacing w:line="300" w:lineRule="exact"/>
              <w:jc w:val="center"/>
              <w:textAlignment w:val="center"/>
              <w:rPr>
                <w:rFonts w:eastAsia="宋体"/>
                <w:color w:val="000000"/>
                <w:kern w:val="0"/>
                <w:sz w:val="24"/>
              </w:rPr>
            </w:pPr>
            <w:r>
              <w:rPr>
                <w:rFonts w:eastAsia="宋体"/>
                <w:color w:val="000000"/>
                <w:kern w:val="0"/>
                <w:sz w:val="24"/>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8159">
            <w:pPr>
              <w:widowControl/>
              <w:spacing w:line="300" w:lineRule="exact"/>
              <w:jc w:val="center"/>
              <w:textAlignment w:val="center"/>
              <w:rPr>
                <w:rFonts w:eastAsia="宋体"/>
                <w:color w:val="000000"/>
                <w:kern w:val="0"/>
                <w:sz w:val="24"/>
              </w:rPr>
            </w:pPr>
            <w:r>
              <w:rPr>
                <w:rFonts w:eastAsia="宋体"/>
                <w:color w:val="000000"/>
                <w:kern w:val="0"/>
                <w:sz w:val="24"/>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E840">
            <w:pPr>
              <w:widowControl/>
              <w:spacing w:line="300" w:lineRule="exact"/>
              <w:jc w:val="left"/>
              <w:rPr>
                <w:rFonts w:eastAsia="宋体"/>
                <w:color w:val="000000"/>
                <w:sz w:val="24"/>
              </w:rPr>
            </w:pPr>
            <w:r>
              <w:rPr>
                <w:rFonts w:eastAsia="宋体"/>
                <w:color w:val="000000"/>
                <w:sz w:val="24"/>
              </w:rPr>
              <w:t>成本控制</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92DD3">
            <w:pPr>
              <w:widowControl/>
              <w:spacing w:line="300" w:lineRule="exact"/>
              <w:jc w:val="center"/>
              <w:rPr>
                <w:rFonts w:eastAsia="宋体"/>
                <w:color w:val="000000"/>
                <w:sz w:val="24"/>
              </w:rPr>
            </w:pPr>
            <w:r>
              <w:rPr>
                <w:rFonts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3C62">
            <w:pPr>
              <w:widowControl/>
              <w:spacing w:line="300" w:lineRule="exact"/>
              <w:jc w:val="center"/>
              <w:rPr>
                <w:rFonts w:eastAsia="宋体"/>
                <w:color w:val="000000"/>
                <w:sz w:val="24"/>
              </w:rPr>
            </w:pPr>
            <w:r>
              <w:rPr>
                <w:rFonts w:hint="eastAsia" w:eastAsia="宋体"/>
                <w:color w:val="000000"/>
                <w:sz w:val="24"/>
              </w:rPr>
              <w:t>15979146.27</w:t>
            </w:r>
            <w:r>
              <w:rPr>
                <w:rFonts w:eastAsia="宋体"/>
                <w:color w:val="000000"/>
                <w:sz w:val="24"/>
              </w:rPr>
              <w:t>4</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6765A">
            <w:pPr>
              <w:widowControl/>
              <w:spacing w:line="300" w:lineRule="exact"/>
              <w:jc w:val="center"/>
              <w:rPr>
                <w:rFonts w:eastAsia="宋体"/>
                <w:color w:val="000000"/>
                <w:sz w:val="24"/>
              </w:rPr>
            </w:pPr>
            <w:r>
              <w:rPr>
                <w:rFonts w:eastAsia="宋体"/>
                <w:color w:val="000000"/>
                <w:sz w:val="24"/>
              </w:rPr>
              <w:t>元</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A1C7">
            <w:pPr>
              <w:widowControl/>
              <w:spacing w:line="300" w:lineRule="exact"/>
              <w:jc w:val="center"/>
              <w:rPr>
                <w:rFonts w:eastAsia="宋体"/>
                <w:color w:val="000000"/>
                <w:sz w:val="24"/>
              </w:rPr>
            </w:pPr>
            <w:r>
              <w:rPr>
                <w:rFonts w:eastAsia="宋体"/>
                <w:color w:val="000000"/>
                <w:sz w:val="24"/>
              </w:rPr>
              <w:t>10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D18E">
            <w:pPr>
              <w:widowControl/>
              <w:spacing w:line="300" w:lineRule="exact"/>
              <w:jc w:val="center"/>
              <w:rPr>
                <w:rFonts w:eastAsia="宋体"/>
                <w:color w:val="000000"/>
                <w:sz w:val="24"/>
              </w:rPr>
            </w:pPr>
            <w:r>
              <w:rPr>
                <w:rFonts w:hint="eastAsia" w:eastAsia="宋体"/>
                <w:color w:val="000000"/>
                <w:sz w:val="24"/>
              </w:rPr>
              <w:t>15979146.27</w:t>
            </w:r>
          </w:p>
        </w:tc>
      </w:tr>
    </w:tbl>
    <w:p w14:paraId="4784E476"/>
    <w:p w14:paraId="5B028811">
      <w:pPr>
        <w:pStyle w:val="19"/>
      </w:pPr>
    </w:p>
    <w:p w14:paraId="45405832"/>
    <w:p w14:paraId="7B418464">
      <w:pPr>
        <w:pStyle w:val="19"/>
      </w:pPr>
    </w:p>
    <w:p w14:paraId="62843C40"/>
    <w:p w14:paraId="0B7FE73A">
      <w:pPr>
        <w:rPr>
          <w:rFonts w:ascii="黑体" w:hAnsi="黑体" w:eastAsia="黑体"/>
          <w:sz w:val="32"/>
          <w:szCs w:val="32"/>
        </w:rPr>
      </w:pPr>
      <w:r>
        <w:rPr>
          <w:rFonts w:hint="eastAsia" w:ascii="黑体" w:hAnsi="黑体" w:eastAsia="黑体"/>
          <w:sz w:val="32"/>
          <w:szCs w:val="32"/>
        </w:rPr>
        <w:t>附件2</w:t>
      </w:r>
    </w:p>
    <w:p w14:paraId="400CDFF0">
      <w:pPr>
        <w:pStyle w:val="34"/>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7DAC04B0">
      <w:pPr>
        <w:pStyle w:val="34"/>
        <w:spacing w:line="578" w:lineRule="exact"/>
        <w:ind w:firstLine="640"/>
        <w:jc w:val="center"/>
        <w:rPr>
          <w:rFonts w:ascii="宋体" w:hAnsi="宋体"/>
          <w:color w:val="auto"/>
          <w:kern w:val="2"/>
          <w:sz w:val="32"/>
          <w:szCs w:val="32"/>
        </w:rPr>
      </w:pPr>
    </w:p>
    <w:p w14:paraId="6E1F6F67">
      <w:pPr>
        <w:adjustRightInd w:val="0"/>
        <w:snapToGrid w:val="0"/>
        <w:spacing w:line="578"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一、项目概况</w:t>
      </w:r>
    </w:p>
    <w:p w14:paraId="3FDEE673">
      <w:pPr>
        <w:adjustRightInd w:val="0"/>
        <w:snapToGrid w:val="0"/>
        <w:spacing w:line="578"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（一）设立背景及基本情况。</w:t>
      </w:r>
    </w:p>
    <w:p w14:paraId="37E253C5">
      <w:pPr>
        <w:tabs>
          <w:tab w:val="left" w:pos="0"/>
        </w:tabs>
        <w:adjustRightInd w:val="0"/>
        <w:snapToGrid w:val="0"/>
        <w:spacing w:line="520" w:lineRule="exact"/>
        <w:ind w:firstLine="320" w:firstLineChars="1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根据浙江省对口支援工作领导小组第15次会议审议通过的《浙江省对口支援四川省阿坝藏族羌族自治州和凉山州木里藏族自治县2022年项目实施计划》（浙发改帮扶【2022】69号）及阿坝州发改委《关于转下达浙江省对口支援阿坝州2022年项目实施计划的通知》(阿州发改【2022】163号)文件要求实施该项目。</w:t>
      </w:r>
    </w:p>
    <w:p w14:paraId="5F318576">
      <w:pPr>
        <w:adjustRightInd w:val="0"/>
        <w:snapToGrid w:val="0"/>
        <w:spacing w:line="578"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(二)实施目的及支持方向。</w:t>
      </w:r>
    </w:p>
    <w:p w14:paraId="01D653F8">
      <w:pPr>
        <w:adjustRightInd w:val="0"/>
        <w:snapToGrid w:val="0"/>
        <w:spacing w:line="578" w:lineRule="exact"/>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该项目属于专项业务费、社会发展性项目，完成2023年“三交”工作，组织开展基层党员、优秀村党支部书记等交流交往交融活动；结对双方经贸考察等交往交流交融，结合我单位工作职责,负责交流交融，纳入县级财政预算</w:t>
      </w:r>
    </w:p>
    <w:p w14:paraId="4F6EE302">
      <w:pPr>
        <w:widowControl/>
        <w:numPr>
          <w:ilvl w:val="0"/>
          <w:numId w:val="9"/>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预算安排及分配管理</w:t>
      </w:r>
      <w:r>
        <w:rPr>
          <w:rFonts w:hint="eastAsia" w:ascii="仿宋_GB2312" w:hAnsi="Times New Roman" w:eastAsia="仿宋_GB2312" w:cs="Times New Roman"/>
          <w:kern w:val="2"/>
          <w:sz w:val="32"/>
          <w:szCs w:val="32"/>
          <w:lang w:val="zh-CN" w:eastAsia="zh-CN" w:bidi="ar-SA"/>
        </w:rPr>
        <w:t>。</w:t>
      </w:r>
    </w:p>
    <w:p w14:paraId="788B70EC">
      <w:pPr>
        <w:widowControl/>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该项目预算资金安排407352元，</w:t>
      </w:r>
    </w:p>
    <w:p w14:paraId="7F1872F8">
      <w:pPr>
        <w:numPr>
          <w:ilvl w:val="0"/>
          <w:numId w:val="9"/>
        </w:numPr>
        <w:adjustRightInd w:val="0"/>
        <w:snapToGrid w:val="0"/>
        <w:spacing w:line="578" w:lineRule="exact"/>
        <w:ind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项目绩效目标设置。</w:t>
      </w:r>
    </w:p>
    <w:p w14:paraId="2071FE48">
      <w:pPr>
        <w:pStyle w:val="35"/>
        <w:spacing w:line="560" w:lineRule="exact"/>
        <w:ind w:firstLine="640"/>
        <w:rPr>
          <w:rFonts w:ascii="仿宋_GB2312"/>
        </w:rPr>
      </w:pPr>
      <w:r>
        <w:rPr>
          <w:rFonts w:hint="eastAsia" w:ascii="仿宋_GB2312"/>
        </w:rPr>
        <w:t>绩效目标和绩效指标全面完整，契合项目实质，与县发展和改革局的长期规划目标、年度工作目标相一致，产出和效果关联。</w:t>
      </w:r>
    </w:p>
    <w:tbl>
      <w:tblPr>
        <w:tblStyle w:val="15"/>
        <w:tblW w:w="7560" w:type="dxa"/>
        <w:tblInd w:w="93" w:type="dxa"/>
        <w:tblLayout w:type="autofit"/>
        <w:tblCellMar>
          <w:top w:w="0" w:type="dxa"/>
          <w:left w:w="108" w:type="dxa"/>
          <w:bottom w:w="0" w:type="dxa"/>
          <w:right w:w="108" w:type="dxa"/>
        </w:tblCellMar>
      </w:tblPr>
      <w:tblGrid>
        <w:gridCol w:w="1080"/>
        <w:gridCol w:w="1080"/>
        <w:gridCol w:w="1080"/>
        <w:gridCol w:w="1080"/>
        <w:gridCol w:w="1080"/>
        <w:gridCol w:w="1080"/>
        <w:gridCol w:w="1080"/>
      </w:tblGrid>
      <w:tr w14:paraId="42F36EDD">
        <w:tblPrEx>
          <w:tblCellMar>
            <w:top w:w="0" w:type="dxa"/>
            <w:left w:w="108" w:type="dxa"/>
            <w:bottom w:w="0" w:type="dxa"/>
            <w:right w:w="108"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DA92">
            <w:pPr>
              <w:jc w:val="center"/>
              <w:rPr>
                <w:rFonts w:ascii="宋体" w:hAnsi="宋体" w:eastAsia="宋体" w:cs="宋体"/>
                <w:color w:val="000000"/>
                <w:sz w:val="18"/>
                <w:szCs w:val="18"/>
              </w:rPr>
            </w:pPr>
            <w:r>
              <w:rPr>
                <w:rFonts w:hint="eastAsia"/>
                <w:color w:val="000000"/>
                <w:sz w:val="18"/>
                <w:szCs w:val="18"/>
              </w:rPr>
              <w:t>一级指标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C2323AE">
            <w:pPr>
              <w:jc w:val="center"/>
              <w:rPr>
                <w:rFonts w:ascii="宋体" w:hAnsi="宋体" w:eastAsia="宋体" w:cs="宋体"/>
                <w:color w:val="000000"/>
                <w:sz w:val="18"/>
                <w:szCs w:val="18"/>
              </w:rPr>
            </w:pPr>
            <w:r>
              <w:rPr>
                <w:rFonts w:hint="eastAsia"/>
                <w:color w:val="000000"/>
                <w:sz w:val="18"/>
                <w:szCs w:val="18"/>
              </w:rPr>
              <w:t>二级指标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056D015">
            <w:pPr>
              <w:jc w:val="center"/>
              <w:rPr>
                <w:rFonts w:ascii="宋体" w:hAnsi="宋体" w:eastAsia="宋体" w:cs="宋体"/>
                <w:color w:val="000000"/>
                <w:sz w:val="18"/>
                <w:szCs w:val="18"/>
              </w:rPr>
            </w:pPr>
            <w:r>
              <w:rPr>
                <w:rFonts w:hint="eastAsia"/>
                <w:color w:val="000000"/>
                <w:sz w:val="18"/>
                <w:szCs w:val="18"/>
              </w:rPr>
              <w:t>三级指标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7FB881C">
            <w:pPr>
              <w:jc w:val="center"/>
              <w:rPr>
                <w:rFonts w:ascii="宋体" w:hAnsi="宋体" w:eastAsia="宋体" w:cs="宋体"/>
                <w:color w:val="000000"/>
                <w:sz w:val="18"/>
                <w:szCs w:val="18"/>
              </w:rPr>
            </w:pPr>
            <w:r>
              <w:rPr>
                <w:rFonts w:hint="eastAsia"/>
                <w:color w:val="000000"/>
                <w:sz w:val="18"/>
                <w:szCs w:val="18"/>
              </w:rPr>
              <w:t>指标性质</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C60095F">
            <w:pPr>
              <w:jc w:val="center"/>
              <w:rPr>
                <w:rFonts w:ascii="宋体" w:hAnsi="宋体" w:eastAsia="宋体" w:cs="宋体"/>
                <w:color w:val="000000"/>
                <w:sz w:val="18"/>
                <w:szCs w:val="18"/>
              </w:rPr>
            </w:pPr>
            <w:r>
              <w:rPr>
                <w:rFonts w:hint="eastAsia"/>
                <w:color w:val="000000"/>
                <w:sz w:val="18"/>
                <w:szCs w:val="18"/>
              </w:rPr>
              <w:t>指标值</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39C178D">
            <w:pPr>
              <w:jc w:val="center"/>
              <w:rPr>
                <w:rFonts w:ascii="宋体" w:hAnsi="宋体" w:eastAsia="宋体" w:cs="宋体"/>
                <w:color w:val="000000"/>
                <w:sz w:val="18"/>
                <w:szCs w:val="18"/>
              </w:rPr>
            </w:pPr>
            <w:r>
              <w:rPr>
                <w:rFonts w:hint="eastAsia"/>
                <w:color w:val="000000"/>
                <w:sz w:val="18"/>
                <w:szCs w:val="18"/>
              </w:rPr>
              <w:t>度量单位</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89EAB7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r>
      <w:tr w14:paraId="46E08DB8">
        <w:tblPrEx>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D0C3A7">
            <w:pPr>
              <w:jc w:val="center"/>
              <w:rPr>
                <w:rFonts w:ascii="宋体" w:hAnsi="宋体" w:eastAsia="宋体" w:cs="宋体"/>
                <w:color w:val="000000"/>
                <w:sz w:val="18"/>
                <w:szCs w:val="18"/>
              </w:rPr>
            </w:pPr>
            <w:r>
              <w:rPr>
                <w:rFonts w:hint="eastAsia"/>
                <w:color w:val="000000"/>
                <w:sz w:val="18"/>
                <w:szCs w:val="18"/>
              </w:rPr>
              <w:t>产出指标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CAC639A">
            <w:pPr>
              <w:jc w:val="center"/>
              <w:rPr>
                <w:rFonts w:ascii="宋体" w:hAnsi="宋体" w:eastAsia="宋体" w:cs="宋体"/>
                <w:color w:val="000000"/>
                <w:sz w:val="18"/>
                <w:szCs w:val="18"/>
              </w:rPr>
            </w:pPr>
            <w:r>
              <w:rPr>
                <w:rFonts w:hint="eastAsia"/>
                <w:color w:val="000000"/>
                <w:sz w:val="18"/>
                <w:szCs w:val="18"/>
              </w:rPr>
              <w:t>数量指标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550D6BC8">
            <w:pPr>
              <w:jc w:val="center"/>
              <w:rPr>
                <w:rFonts w:ascii="宋体" w:hAnsi="宋体" w:eastAsia="宋体" w:cs="宋体"/>
                <w:color w:val="000000"/>
                <w:sz w:val="18"/>
                <w:szCs w:val="18"/>
              </w:rPr>
            </w:pPr>
            <w:r>
              <w:rPr>
                <w:rFonts w:hint="eastAsia"/>
                <w:color w:val="000000"/>
                <w:sz w:val="18"/>
                <w:szCs w:val="18"/>
              </w:rPr>
              <w:t>交流人数</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F4614A0">
            <w:pPr>
              <w:jc w:val="center"/>
              <w:rPr>
                <w:rFonts w:ascii="宋体" w:hAnsi="宋体" w:eastAsia="宋体" w:cs="宋体"/>
                <w:color w:val="000000"/>
                <w:sz w:val="18"/>
                <w:szCs w:val="18"/>
              </w:rPr>
            </w:pPr>
            <w:r>
              <w:rPr>
                <w:rFonts w:hint="eastAsia"/>
                <w:color w:val="000000"/>
                <w:sz w:val="18"/>
                <w:szCs w:val="18"/>
              </w:rPr>
              <w:t>≥</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3676A4F">
            <w:pPr>
              <w:jc w:val="center"/>
              <w:rPr>
                <w:rFonts w:ascii="宋体" w:hAnsi="宋体" w:eastAsia="宋体" w:cs="宋体"/>
                <w:color w:val="000000"/>
                <w:sz w:val="18"/>
                <w:szCs w:val="18"/>
              </w:rPr>
            </w:pPr>
            <w:r>
              <w:rPr>
                <w:rFonts w:hint="eastAsia"/>
                <w:color w:val="000000"/>
                <w:sz w:val="18"/>
                <w:szCs w:val="18"/>
              </w:rPr>
              <w:t>60</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BDB432E">
            <w:pPr>
              <w:jc w:val="center"/>
              <w:rPr>
                <w:rFonts w:ascii="宋体" w:hAnsi="宋体" w:eastAsia="宋体" w:cs="宋体"/>
                <w:color w:val="000000"/>
                <w:sz w:val="18"/>
                <w:szCs w:val="18"/>
              </w:rPr>
            </w:pPr>
            <w:r>
              <w:rPr>
                <w:rFonts w:hint="eastAsia"/>
                <w:color w:val="000000"/>
                <w:sz w:val="18"/>
                <w:szCs w:val="18"/>
              </w:rPr>
              <w:t>人</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483502B">
            <w:pPr>
              <w:jc w:val="center"/>
              <w:rPr>
                <w:rFonts w:ascii="微软雅黑" w:hAnsi="微软雅黑" w:eastAsia="微软雅黑" w:cs="宋体"/>
                <w:i/>
                <w:iCs/>
                <w:color w:val="000000"/>
                <w:sz w:val="16"/>
                <w:szCs w:val="16"/>
              </w:rPr>
            </w:pPr>
            <w:r>
              <w:rPr>
                <w:rFonts w:hint="eastAsia" w:ascii="微软雅黑" w:hAnsi="微软雅黑" w:eastAsia="微软雅黑"/>
                <w:i/>
                <w:iCs/>
                <w:color w:val="000000"/>
                <w:sz w:val="16"/>
                <w:szCs w:val="16"/>
              </w:rPr>
              <w:t>　</w:t>
            </w:r>
          </w:p>
        </w:tc>
      </w:tr>
      <w:tr w14:paraId="46504138">
        <w:tblPrEx>
          <w:tblCellMar>
            <w:top w:w="0" w:type="dxa"/>
            <w:left w:w="108" w:type="dxa"/>
            <w:bottom w:w="0" w:type="dxa"/>
            <w:right w:w="108" w:type="dxa"/>
          </w:tblCellMar>
        </w:tblPrEx>
        <w:trPr>
          <w:trHeight w:val="450" w:hRule="atLeast"/>
        </w:trPr>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7B09D492">
            <w:pPr>
              <w:rPr>
                <w:rFonts w:ascii="宋体" w:hAnsi="宋体" w:eastAsia="宋体" w:cs="宋体"/>
                <w:color w:val="000000"/>
                <w:sz w:val="18"/>
                <w:szCs w:val="18"/>
              </w:rPr>
            </w:pPr>
          </w:p>
        </w:tc>
        <w:tc>
          <w:tcPr>
            <w:tcW w:w="1080" w:type="dxa"/>
            <w:tcBorders>
              <w:top w:val="nil"/>
              <w:left w:val="nil"/>
              <w:bottom w:val="single" w:color="000000" w:sz="4" w:space="0"/>
              <w:right w:val="single" w:color="000000" w:sz="4" w:space="0"/>
            </w:tcBorders>
            <w:shd w:val="clear" w:color="auto" w:fill="auto"/>
            <w:vAlign w:val="center"/>
          </w:tcPr>
          <w:p w14:paraId="1FEE1220">
            <w:pPr>
              <w:jc w:val="center"/>
              <w:rPr>
                <w:rFonts w:ascii="宋体" w:hAnsi="宋体" w:eastAsia="宋体" w:cs="宋体"/>
                <w:color w:val="000000"/>
                <w:sz w:val="18"/>
                <w:szCs w:val="18"/>
              </w:rPr>
            </w:pPr>
            <w:r>
              <w:rPr>
                <w:rFonts w:hint="eastAsia"/>
                <w:color w:val="000000"/>
                <w:sz w:val="18"/>
                <w:szCs w:val="18"/>
              </w:rPr>
              <w:t>质量指标</w:t>
            </w:r>
          </w:p>
        </w:tc>
        <w:tc>
          <w:tcPr>
            <w:tcW w:w="1080" w:type="dxa"/>
            <w:tcBorders>
              <w:top w:val="nil"/>
              <w:left w:val="nil"/>
              <w:bottom w:val="single" w:color="000000" w:sz="4" w:space="0"/>
              <w:right w:val="single" w:color="000000" w:sz="4" w:space="0"/>
            </w:tcBorders>
            <w:shd w:val="clear" w:color="auto" w:fill="auto"/>
            <w:vAlign w:val="center"/>
          </w:tcPr>
          <w:p w14:paraId="4E8E595F">
            <w:pPr>
              <w:jc w:val="center"/>
              <w:rPr>
                <w:rFonts w:ascii="宋体" w:hAnsi="宋体" w:eastAsia="宋体" w:cs="宋体"/>
                <w:color w:val="000000"/>
                <w:sz w:val="18"/>
                <w:szCs w:val="18"/>
              </w:rPr>
            </w:pPr>
            <w:r>
              <w:rPr>
                <w:rFonts w:hint="eastAsia"/>
                <w:color w:val="000000"/>
                <w:sz w:val="18"/>
                <w:szCs w:val="18"/>
              </w:rPr>
              <w:t>交流交融工作质量</w:t>
            </w:r>
          </w:p>
        </w:tc>
        <w:tc>
          <w:tcPr>
            <w:tcW w:w="1080" w:type="dxa"/>
            <w:tcBorders>
              <w:top w:val="nil"/>
              <w:left w:val="nil"/>
              <w:bottom w:val="single" w:color="000000" w:sz="4" w:space="0"/>
              <w:right w:val="single" w:color="000000" w:sz="4" w:space="0"/>
            </w:tcBorders>
            <w:shd w:val="clear" w:color="auto" w:fill="auto"/>
            <w:vAlign w:val="center"/>
          </w:tcPr>
          <w:p w14:paraId="02F2B0AC">
            <w:pPr>
              <w:jc w:val="center"/>
              <w:rPr>
                <w:rFonts w:ascii="宋体" w:hAnsi="宋体" w:eastAsia="宋体" w:cs="宋体"/>
                <w:color w:val="000000"/>
                <w:sz w:val="18"/>
                <w:szCs w:val="18"/>
              </w:rPr>
            </w:pPr>
            <w:r>
              <w:rPr>
                <w:rFonts w:hint="eastAsia"/>
                <w:color w:val="000000"/>
                <w:sz w:val="18"/>
                <w:szCs w:val="18"/>
              </w:rPr>
              <w:t>定性</w:t>
            </w:r>
          </w:p>
        </w:tc>
        <w:tc>
          <w:tcPr>
            <w:tcW w:w="1080" w:type="dxa"/>
            <w:tcBorders>
              <w:top w:val="nil"/>
              <w:left w:val="nil"/>
              <w:bottom w:val="single" w:color="000000" w:sz="4" w:space="0"/>
              <w:right w:val="single" w:color="000000" w:sz="4" w:space="0"/>
            </w:tcBorders>
            <w:shd w:val="clear" w:color="auto" w:fill="auto"/>
            <w:vAlign w:val="center"/>
          </w:tcPr>
          <w:p w14:paraId="177691F0">
            <w:pPr>
              <w:jc w:val="center"/>
              <w:rPr>
                <w:rFonts w:ascii="宋体" w:hAnsi="宋体" w:eastAsia="宋体" w:cs="宋体"/>
                <w:color w:val="000000"/>
                <w:sz w:val="18"/>
                <w:szCs w:val="18"/>
              </w:rPr>
            </w:pPr>
            <w:r>
              <w:rPr>
                <w:rFonts w:hint="eastAsia"/>
                <w:color w:val="000000"/>
                <w:sz w:val="18"/>
                <w:szCs w:val="18"/>
              </w:rPr>
              <w:t>优</w:t>
            </w:r>
          </w:p>
        </w:tc>
        <w:tc>
          <w:tcPr>
            <w:tcW w:w="1080" w:type="dxa"/>
            <w:tcBorders>
              <w:top w:val="nil"/>
              <w:left w:val="nil"/>
              <w:bottom w:val="single" w:color="000000" w:sz="4" w:space="0"/>
              <w:right w:val="single" w:color="000000" w:sz="4" w:space="0"/>
            </w:tcBorders>
            <w:shd w:val="clear" w:color="auto" w:fill="auto"/>
            <w:vAlign w:val="center"/>
          </w:tcPr>
          <w:p w14:paraId="39DD6741">
            <w:pPr>
              <w:jc w:val="center"/>
              <w:rPr>
                <w:rFonts w:ascii="宋体" w:hAnsi="宋体" w:eastAsia="宋体" w:cs="宋体"/>
                <w:color w:val="000000"/>
                <w:sz w:val="18"/>
                <w:szCs w:val="18"/>
              </w:rPr>
            </w:pPr>
            <w:r>
              <w:rPr>
                <w:rFonts w:hint="eastAsia"/>
                <w:color w:val="000000"/>
                <w:sz w:val="18"/>
                <w:szCs w:val="18"/>
              </w:rPr>
              <w:t>　</w:t>
            </w:r>
          </w:p>
        </w:tc>
        <w:tc>
          <w:tcPr>
            <w:tcW w:w="1080" w:type="dxa"/>
            <w:tcBorders>
              <w:top w:val="nil"/>
              <w:left w:val="nil"/>
              <w:bottom w:val="single" w:color="000000" w:sz="4" w:space="0"/>
              <w:right w:val="single" w:color="000000" w:sz="4" w:space="0"/>
            </w:tcBorders>
            <w:shd w:val="clear" w:color="auto" w:fill="auto"/>
            <w:vAlign w:val="center"/>
          </w:tcPr>
          <w:p w14:paraId="07B4C565">
            <w:pPr>
              <w:jc w:val="center"/>
              <w:rPr>
                <w:rFonts w:ascii="微软雅黑" w:hAnsi="微软雅黑" w:eastAsia="微软雅黑" w:cs="宋体"/>
                <w:i/>
                <w:iCs/>
                <w:color w:val="000000"/>
                <w:sz w:val="16"/>
                <w:szCs w:val="16"/>
              </w:rPr>
            </w:pPr>
            <w:r>
              <w:rPr>
                <w:rFonts w:hint="eastAsia" w:ascii="微软雅黑" w:hAnsi="微软雅黑" w:eastAsia="微软雅黑"/>
                <w:i/>
                <w:iCs/>
                <w:color w:val="000000"/>
                <w:sz w:val="16"/>
                <w:szCs w:val="16"/>
              </w:rPr>
              <w:t>　</w:t>
            </w:r>
          </w:p>
        </w:tc>
      </w:tr>
      <w:tr w14:paraId="6E4DFEDA">
        <w:tblPrEx>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35DEB8EE">
            <w:pPr>
              <w:rPr>
                <w:rFonts w:ascii="宋体" w:hAnsi="宋体" w:eastAsia="宋体" w:cs="宋体"/>
                <w:color w:val="000000"/>
                <w:sz w:val="18"/>
                <w:szCs w:val="18"/>
              </w:rPr>
            </w:pPr>
          </w:p>
        </w:tc>
        <w:tc>
          <w:tcPr>
            <w:tcW w:w="1080" w:type="dxa"/>
            <w:tcBorders>
              <w:top w:val="nil"/>
              <w:left w:val="nil"/>
              <w:bottom w:val="single" w:color="000000" w:sz="4" w:space="0"/>
              <w:right w:val="single" w:color="000000" w:sz="4" w:space="0"/>
            </w:tcBorders>
            <w:shd w:val="clear" w:color="auto" w:fill="auto"/>
            <w:vAlign w:val="center"/>
          </w:tcPr>
          <w:p w14:paraId="6F349879">
            <w:pPr>
              <w:jc w:val="center"/>
              <w:rPr>
                <w:rFonts w:ascii="宋体" w:hAnsi="宋体" w:eastAsia="宋体" w:cs="宋体"/>
                <w:color w:val="000000"/>
                <w:sz w:val="18"/>
                <w:szCs w:val="18"/>
              </w:rPr>
            </w:pPr>
            <w:r>
              <w:rPr>
                <w:rFonts w:hint="eastAsia"/>
                <w:color w:val="000000"/>
                <w:sz w:val="18"/>
                <w:szCs w:val="18"/>
              </w:rPr>
              <w:t>时效指标</w:t>
            </w:r>
          </w:p>
        </w:tc>
        <w:tc>
          <w:tcPr>
            <w:tcW w:w="1080" w:type="dxa"/>
            <w:tcBorders>
              <w:top w:val="nil"/>
              <w:left w:val="nil"/>
              <w:bottom w:val="single" w:color="000000" w:sz="4" w:space="0"/>
              <w:right w:val="single" w:color="000000" w:sz="4" w:space="0"/>
            </w:tcBorders>
            <w:shd w:val="clear" w:color="auto" w:fill="auto"/>
            <w:vAlign w:val="center"/>
          </w:tcPr>
          <w:p w14:paraId="39305B7D">
            <w:pPr>
              <w:jc w:val="center"/>
              <w:rPr>
                <w:rFonts w:ascii="宋体" w:hAnsi="宋体" w:eastAsia="宋体" w:cs="宋体"/>
                <w:color w:val="000000"/>
                <w:sz w:val="18"/>
                <w:szCs w:val="18"/>
              </w:rPr>
            </w:pPr>
            <w:r>
              <w:rPr>
                <w:rFonts w:hint="eastAsia"/>
                <w:color w:val="000000"/>
                <w:sz w:val="18"/>
                <w:szCs w:val="18"/>
              </w:rPr>
              <w:t>完成时间</w:t>
            </w:r>
          </w:p>
        </w:tc>
        <w:tc>
          <w:tcPr>
            <w:tcW w:w="1080" w:type="dxa"/>
            <w:tcBorders>
              <w:top w:val="nil"/>
              <w:left w:val="nil"/>
              <w:bottom w:val="single" w:color="000000" w:sz="4" w:space="0"/>
              <w:right w:val="single" w:color="000000" w:sz="4" w:space="0"/>
            </w:tcBorders>
            <w:shd w:val="clear" w:color="auto" w:fill="auto"/>
            <w:vAlign w:val="center"/>
          </w:tcPr>
          <w:p w14:paraId="265F0DD3">
            <w:pPr>
              <w:jc w:val="center"/>
              <w:rPr>
                <w:rFonts w:ascii="宋体" w:hAnsi="宋体" w:eastAsia="宋体" w:cs="宋体"/>
                <w:color w:val="000000"/>
                <w:sz w:val="18"/>
                <w:szCs w:val="18"/>
              </w:rPr>
            </w:pPr>
            <w:r>
              <w:rPr>
                <w:rFonts w:hint="eastAsia"/>
                <w:color w:val="000000"/>
                <w:sz w:val="18"/>
                <w:szCs w:val="18"/>
              </w:rPr>
              <w:t>≤</w:t>
            </w:r>
          </w:p>
        </w:tc>
        <w:tc>
          <w:tcPr>
            <w:tcW w:w="1080" w:type="dxa"/>
            <w:tcBorders>
              <w:top w:val="nil"/>
              <w:left w:val="nil"/>
              <w:bottom w:val="single" w:color="000000" w:sz="4" w:space="0"/>
              <w:right w:val="single" w:color="000000" w:sz="4" w:space="0"/>
            </w:tcBorders>
            <w:shd w:val="clear" w:color="auto" w:fill="auto"/>
            <w:vAlign w:val="center"/>
          </w:tcPr>
          <w:p w14:paraId="5CDDBAA9">
            <w:pPr>
              <w:jc w:val="center"/>
              <w:rPr>
                <w:rFonts w:ascii="宋体" w:hAnsi="宋体" w:eastAsia="宋体" w:cs="宋体"/>
                <w:color w:val="000000"/>
                <w:sz w:val="18"/>
                <w:szCs w:val="18"/>
              </w:rPr>
            </w:pPr>
            <w:r>
              <w:rPr>
                <w:rFonts w:hint="eastAsia"/>
                <w:color w:val="000000"/>
                <w:sz w:val="18"/>
                <w:szCs w:val="18"/>
              </w:rPr>
              <w:t>12</w:t>
            </w:r>
          </w:p>
        </w:tc>
        <w:tc>
          <w:tcPr>
            <w:tcW w:w="1080" w:type="dxa"/>
            <w:tcBorders>
              <w:top w:val="nil"/>
              <w:left w:val="nil"/>
              <w:bottom w:val="single" w:color="000000" w:sz="4" w:space="0"/>
              <w:right w:val="single" w:color="000000" w:sz="4" w:space="0"/>
            </w:tcBorders>
            <w:shd w:val="clear" w:color="auto" w:fill="auto"/>
            <w:vAlign w:val="center"/>
          </w:tcPr>
          <w:p w14:paraId="6EAA8158">
            <w:pPr>
              <w:jc w:val="center"/>
              <w:rPr>
                <w:rFonts w:ascii="宋体" w:hAnsi="宋体" w:eastAsia="宋体" w:cs="宋体"/>
                <w:color w:val="000000"/>
                <w:sz w:val="18"/>
                <w:szCs w:val="18"/>
              </w:rPr>
            </w:pPr>
            <w:r>
              <w:rPr>
                <w:rFonts w:hint="eastAsia"/>
                <w:color w:val="000000"/>
                <w:sz w:val="18"/>
                <w:szCs w:val="18"/>
              </w:rPr>
              <w:t>月</w:t>
            </w:r>
          </w:p>
        </w:tc>
        <w:tc>
          <w:tcPr>
            <w:tcW w:w="1080" w:type="dxa"/>
            <w:tcBorders>
              <w:top w:val="nil"/>
              <w:left w:val="nil"/>
              <w:bottom w:val="single" w:color="000000" w:sz="4" w:space="0"/>
              <w:right w:val="single" w:color="000000" w:sz="4" w:space="0"/>
            </w:tcBorders>
            <w:shd w:val="clear" w:color="auto" w:fill="auto"/>
            <w:vAlign w:val="center"/>
          </w:tcPr>
          <w:p w14:paraId="54AB10AC">
            <w:pPr>
              <w:jc w:val="center"/>
              <w:rPr>
                <w:rFonts w:ascii="微软雅黑" w:hAnsi="微软雅黑" w:eastAsia="微软雅黑" w:cs="宋体"/>
                <w:i/>
                <w:iCs/>
                <w:color w:val="000000"/>
                <w:sz w:val="16"/>
                <w:szCs w:val="16"/>
              </w:rPr>
            </w:pPr>
            <w:r>
              <w:rPr>
                <w:rFonts w:hint="eastAsia" w:ascii="微软雅黑" w:hAnsi="微软雅黑" w:eastAsia="微软雅黑"/>
                <w:i/>
                <w:iCs/>
                <w:color w:val="000000"/>
                <w:sz w:val="16"/>
                <w:szCs w:val="16"/>
              </w:rPr>
              <w:t>　</w:t>
            </w:r>
          </w:p>
        </w:tc>
      </w:tr>
      <w:tr w14:paraId="0EAD6307">
        <w:tblPrEx>
          <w:tblCellMar>
            <w:top w:w="0" w:type="dxa"/>
            <w:left w:w="108" w:type="dxa"/>
            <w:bottom w:w="0" w:type="dxa"/>
            <w:right w:w="108" w:type="dxa"/>
          </w:tblCellMar>
        </w:tblPrEx>
        <w:trPr>
          <w:trHeight w:val="675"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1B434A06">
            <w:pPr>
              <w:jc w:val="center"/>
              <w:rPr>
                <w:rFonts w:ascii="宋体" w:hAnsi="宋体" w:eastAsia="宋体" w:cs="宋体"/>
                <w:color w:val="000000"/>
                <w:sz w:val="18"/>
                <w:szCs w:val="18"/>
              </w:rPr>
            </w:pPr>
            <w:r>
              <w:rPr>
                <w:rFonts w:hint="eastAsia"/>
                <w:color w:val="000000"/>
                <w:sz w:val="18"/>
                <w:szCs w:val="18"/>
              </w:rPr>
              <w:t>效益指标</w:t>
            </w:r>
          </w:p>
        </w:tc>
        <w:tc>
          <w:tcPr>
            <w:tcW w:w="1080" w:type="dxa"/>
            <w:tcBorders>
              <w:top w:val="nil"/>
              <w:left w:val="nil"/>
              <w:bottom w:val="single" w:color="000000" w:sz="4" w:space="0"/>
              <w:right w:val="single" w:color="000000" w:sz="4" w:space="0"/>
            </w:tcBorders>
            <w:shd w:val="clear" w:color="auto" w:fill="auto"/>
            <w:vAlign w:val="center"/>
          </w:tcPr>
          <w:p w14:paraId="0DD02430">
            <w:pPr>
              <w:jc w:val="center"/>
              <w:rPr>
                <w:rFonts w:ascii="宋体" w:hAnsi="宋体" w:eastAsia="宋体" w:cs="宋体"/>
                <w:color w:val="000000"/>
                <w:sz w:val="18"/>
                <w:szCs w:val="18"/>
              </w:rPr>
            </w:pPr>
            <w:r>
              <w:rPr>
                <w:rFonts w:hint="eastAsia"/>
                <w:color w:val="000000"/>
                <w:sz w:val="18"/>
                <w:szCs w:val="18"/>
              </w:rPr>
              <w:t>可持续发展指标</w:t>
            </w:r>
          </w:p>
        </w:tc>
        <w:tc>
          <w:tcPr>
            <w:tcW w:w="1080" w:type="dxa"/>
            <w:tcBorders>
              <w:top w:val="nil"/>
              <w:left w:val="nil"/>
              <w:bottom w:val="single" w:color="000000" w:sz="4" w:space="0"/>
              <w:right w:val="single" w:color="000000" w:sz="4" w:space="0"/>
            </w:tcBorders>
            <w:shd w:val="clear" w:color="auto" w:fill="auto"/>
            <w:vAlign w:val="center"/>
          </w:tcPr>
          <w:p w14:paraId="7DB409E1">
            <w:pPr>
              <w:jc w:val="center"/>
              <w:rPr>
                <w:rFonts w:ascii="宋体" w:hAnsi="宋体" w:eastAsia="宋体" w:cs="宋体"/>
                <w:color w:val="000000"/>
                <w:sz w:val="18"/>
                <w:szCs w:val="18"/>
              </w:rPr>
            </w:pPr>
            <w:r>
              <w:rPr>
                <w:rFonts w:hint="eastAsia"/>
                <w:color w:val="000000"/>
                <w:sz w:val="18"/>
                <w:szCs w:val="18"/>
              </w:rPr>
              <w:t>三交工作带来的后续影响</w:t>
            </w:r>
          </w:p>
        </w:tc>
        <w:tc>
          <w:tcPr>
            <w:tcW w:w="1080" w:type="dxa"/>
            <w:tcBorders>
              <w:top w:val="nil"/>
              <w:left w:val="nil"/>
              <w:bottom w:val="single" w:color="000000" w:sz="4" w:space="0"/>
              <w:right w:val="single" w:color="000000" w:sz="4" w:space="0"/>
            </w:tcBorders>
            <w:shd w:val="clear" w:color="auto" w:fill="auto"/>
            <w:vAlign w:val="center"/>
          </w:tcPr>
          <w:p w14:paraId="408F65DE">
            <w:pPr>
              <w:jc w:val="center"/>
              <w:rPr>
                <w:rFonts w:ascii="宋体" w:hAnsi="宋体" w:eastAsia="宋体" w:cs="宋体"/>
                <w:color w:val="000000"/>
                <w:sz w:val="18"/>
                <w:szCs w:val="18"/>
              </w:rPr>
            </w:pPr>
            <w:r>
              <w:rPr>
                <w:rFonts w:hint="eastAsia"/>
                <w:color w:val="000000"/>
                <w:sz w:val="18"/>
                <w:szCs w:val="18"/>
              </w:rPr>
              <w:t>定性</w:t>
            </w:r>
          </w:p>
        </w:tc>
        <w:tc>
          <w:tcPr>
            <w:tcW w:w="1080" w:type="dxa"/>
            <w:tcBorders>
              <w:top w:val="nil"/>
              <w:left w:val="nil"/>
              <w:bottom w:val="single" w:color="000000" w:sz="4" w:space="0"/>
              <w:right w:val="single" w:color="000000" w:sz="4" w:space="0"/>
            </w:tcBorders>
            <w:shd w:val="clear" w:color="auto" w:fill="auto"/>
            <w:vAlign w:val="center"/>
          </w:tcPr>
          <w:p w14:paraId="67CCBDB3">
            <w:pPr>
              <w:jc w:val="center"/>
              <w:rPr>
                <w:rFonts w:ascii="宋体" w:hAnsi="宋体" w:eastAsia="宋体" w:cs="宋体"/>
                <w:color w:val="000000"/>
                <w:sz w:val="18"/>
                <w:szCs w:val="18"/>
              </w:rPr>
            </w:pPr>
            <w:r>
              <w:rPr>
                <w:rFonts w:hint="eastAsia"/>
                <w:color w:val="000000"/>
                <w:sz w:val="18"/>
                <w:szCs w:val="18"/>
              </w:rPr>
              <w:t>高</w:t>
            </w:r>
          </w:p>
        </w:tc>
        <w:tc>
          <w:tcPr>
            <w:tcW w:w="1080" w:type="dxa"/>
            <w:tcBorders>
              <w:top w:val="nil"/>
              <w:left w:val="nil"/>
              <w:bottom w:val="single" w:color="000000" w:sz="4" w:space="0"/>
              <w:right w:val="single" w:color="000000" w:sz="4" w:space="0"/>
            </w:tcBorders>
            <w:shd w:val="clear" w:color="auto" w:fill="auto"/>
            <w:vAlign w:val="center"/>
          </w:tcPr>
          <w:p w14:paraId="783395AA">
            <w:pPr>
              <w:jc w:val="center"/>
              <w:rPr>
                <w:rFonts w:ascii="宋体" w:hAnsi="宋体" w:eastAsia="宋体" w:cs="宋体"/>
                <w:color w:val="000000"/>
                <w:sz w:val="18"/>
                <w:szCs w:val="18"/>
              </w:rPr>
            </w:pPr>
            <w:r>
              <w:rPr>
                <w:rFonts w:hint="eastAsia"/>
                <w:color w:val="000000"/>
                <w:sz w:val="18"/>
                <w:szCs w:val="18"/>
              </w:rPr>
              <w:t>　</w:t>
            </w:r>
          </w:p>
        </w:tc>
        <w:tc>
          <w:tcPr>
            <w:tcW w:w="1080" w:type="dxa"/>
            <w:tcBorders>
              <w:top w:val="nil"/>
              <w:left w:val="nil"/>
              <w:bottom w:val="single" w:color="000000" w:sz="4" w:space="0"/>
              <w:right w:val="single" w:color="000000" w:sz="4" w:space="0"/>
            </w:tcBorders>
            <w:shd w:val="clear" w:color="auto" w:fill="auto"/>
            <w:vAlign w:val="center"/>
          </w:tcPr>
          <w:p w14:paraId="267858E8">
            <w:pPr>
              <w:jc w:val="center"/>
              <w:rPr>
                <w:rFonts w:ascii="微软雅黑" w:hAnsi="微软雅黑" w:eastAsia="微软雅黑" w:cs="宋体"/>
                <w:i/>
                <w:iCs/>
                <w:color w:val="000000"/>
                <w:sz w:val="16"/>
                <w:szCs w:val="16"/>
              </w:rPr>
            </w:pPr>
            <w:r>
              <w:rPr>
                <w:rFonts w:hint="eastAsia" w:ascii="微软雅黑" w:hAnsi="微软雅黑" w:eastAsia="微软雅黑"/>
                <w:i/>
                <w:iCs/>
                <w:color w:val="000000"/>
                <w:sz w:val="16"/>
                <w:szCs w:val="16"/>
              </w:rPr>
              <w:t>　</w:t>
            </w:r>
          </w:p>
        </w:tc>
      </w:tr>
      <w:tr w14:paraId="4B2B0039">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5C081C27">
            <w:pPr>
              <w:jc w:val="center"/>
              <w:rPr>
                <w:rFonts w:ascii="宋体" w:hAnsi="宋体" w:eastAsia="宋体" w:cs="宋体"/>
                <w:color w:val="000000"/>
                <w:sz w:val="18"/>
                <w:szCs w:val="18"/>
              </w:rPr>
            </w:pPr>
            <w:r>
              <w:rPr>
                <w:rFonts w:hint="eastAsia"/>
                <w:color w:val="000000"/>
                <w:sz w:val="18"/>
                <w:szCs w:val="18"/>
              </w:rPr>
              <w:t>满意度指标</w:t>
            </w:r>
          </w:p>
        </w:tc>
        <w:tc>
          <w:tcPr>
            <w:tcW w:w="1080" w:type="dxa"/>
            <w:tcBorders>
              <w:top w:val="nil"/>
              <w:left w:val="nil"/>
              <w:bottom w:val="single" w:color="000000" w:sz="4" w:space="0"/>
              <w:right w:val="single" w:color="000000" w:sz="4" w:space="0"/>
            </w:tcBorders>
            <w:shd w:val="clear" w:color="auto" w:fill="auto"/>
            <w:vAlign w:val="center"/>
          </w:tcPr>
          <w:p w14:paraId="03158076">
            <w:pPr>
              <w:jc w:val="center"/>
              <w:rPr>
                <w:rFonts w:ascii="宋体" w:hAnsi="宋体" w:eastAsia="宋体" w:cs="宋体"/>
                <w:color w:val="000000"/>
                <w:sz w:val="18"/>
                <w:szCs w:val="18"/>
              </w:rPr>
            </w:pPr>
            <w:r>
              <w:rPr>
                <w:rFonts w:hint="eastAsia"/>
                <w:color w:val="000000"/>
                <w:sz w:val="18"/>
                <w:szCs w:val="18"/>
              </w:rPr>
              <w:t>满意度指标</w:t>
            </w:r>
          </w:p>
        </w:tc>
        <w:tc>
          <w:tcPr>
            <w:tcW w:w="1080" w:type="dxa"/>
            <w:tcBorders>
              <w:top w:val="nil"/>
              <w:left w:val="nil"/>
              <w:bottom w:val="single" w:color="000000" w:sz="4" w:space="0"/>
              <w:right w:val="single" w:color="000000" w:sz="4" w:space="0"/>
            </w:tcBorders>
            <w:shd w:val="clear" w:color="auto" w:fill="auto"/>
            <w:vAlign w:val="center"/>
          </w:tcPr>
          <w:p w14:paraId="6C3EC0DA">
            <w:pPr>
              <w:jc w:val="center"/>
              <w:rPr>
                <w:rFonts w:ascii="宋体" w:hAnsi="宋体" w:eastAsia="宋体" w:cs="宋体"/>
                <w:color w:val="000000"/>
                <w:sz w:val="18"/>
                <w:szCs w:val="18"/>
              </w:rPr>
            </w:pPr>
            <w:r>
              <w:rPr>
                <w:rFonts w:hint="eastAsia"/>
                <w:color w:val="000000"/>
                <w:sz w:val="18"/>
                <w:szCs w:val="18"/>
              </w:rPr>
              <w:t>演职、工作人员满意</w:t>
            </w:r>
          </w:p>
        </w:tc>
        <w:tc>
          <w:tcPr>
            <w:tcW w:w="1080" w:type="dxa"/>
            <w:tcBorders>
              <w:top w:val="nil"/>
              <w:left w:val="nil"/>
              <w:bottom w:val="single" w:color="000000" w:sz="4" w:space="0"/>
              <w:right w:val="single" w:color="000000" w:sz="4" w:space="0"/>
            </w:tcBorders>
            <w:shd w:val="clear" w:color="auto" w:fill="auto"/>
            <w:vAlign w:val="center"/>
          </w:tcPr>
          <w:p w14:paraId="4B5F828A">
            <w:pPr>
              <w:jc w:val="center"/>
              <w:rPr>
                <w:rFonts w:ascii="宋体" w:hAnsi="宋体" w:eastAsia="宋体" w:cs="宋体"/>
                <w:color w:val="000000"/>
                <w:sz w:val="18"/>
                <w:szCs w:val="18"/>
              </w:rPr>
            </w:pPr>
            <w:r>
              <w:rPr>
                <w:rFonts w:hint="eastAsia"/>
                <w:color w:val="000000"/>
                <w:sz w:val="18"/>
                <w:szCs w:val="18"/>
              </w:rPr>
              <w:t>≥</w:t>
            </w:r>
          </w:p>
        </w:tc>
        <w:tc>
          <w:tcPr>
            <w:tcW w:w="1080" w:type="dxa"/>
            <w:tcBorders>
              <w:top w:val="nil"/>
              <w:left w:val="nil"/>
              <w:bottom w:val="single" w:color="000000" w:sz="4" w:space="0"/>
              <w:right w:val="single" w:color="000000" w:sz="4" w:space="0"/>
            </w:tcBorders>
            <w:shd w:val="clear" w:color="auto" w:fill="auto"/>
            <w:vAlign w:val="center"/>
          </w:tcPr>
          <w:p w14:paraId="5E2532CC">
            <w:pPr>
              <w:jc w:val="center"/>
              <w:rPr>
                <w:rFonts w:ascii="宋体" w:hAnsi="宋体" w:eastAsia="宋体" w:cs="宋体"/>
                <w:color w:val="000000"/>
                <w:sz w:val="18"/>
                <w:szCs w:val="18"/>
              </w:rPr>
            </w:pPr>
            <w:r>
              <w:rPr>
                <w:rFonts w:hint="eastAsia"/>
                <w:color w:val="000000"/>
                <w:sz w:val="18"/>
                <w:szCs w:val="18"/>
              </w:rPr>
              <w:t>95</w:t>
            </w:r>
          </w:p>
        </w:tc>
        <w:tc>
          <w:tcPr>
            <w:tcW w:w="1080" w:type="dxa"/>
            <w:tcBorders>
              <w:top w:val="nil"/>
              <w:left w:val="nil"/>
              <w:bottom w:val="single" w:color="000000" w:sz="4" w:space="0"/>
              <w:right w:val="single" w:color="000000" w:sz="4" w:space="0"/>
            </w:tcBorders>
            <w:shd w:val="clear" w:color="auto" w:fill="auto"/>
            <w:vAlign w:val="center"/>
          </w:tcPr>
          <w:p w14:paraId="69F752EE">
            <w:pPr>
              <w:jc w:val="center"/>
              <w:rPr>
                <w:rFonts w:ascii="宋体" w:hAnsi="宋体" w:eastAsia="宋体" w:cs="宋体"/>
                <w:color w:val="000000"/>
                <w:sz w:val="18"/>
                <w:szCs w:val="18"/>
              </w:rPr>
            </w:pPr>
            <w:r>
              <w:rPr>
                <w:rFonts w:hint="eastAsia"/>
                <w:color w:val="000000"/>
                <w:sz w:val="18"/>
                <w:szCs w:val="18"/>
              </w:rPr>
              <w:t>%</w:t>
            </w:r>
          </w:p>
        </w:tc>
        <w:tc>
          <w:tcPr>
            <w:tcW w:w="1080" w:type="dxa"/>
            <w:tcBorders>
              <w:top w:val="nil"/>
              <w:left w:val="nil"/>
              <w:bottom w:val="single" w:color="000000" w:sz="4" w:space="0"/>
              <w:right w:val="single" w:color="000000" w:sz="4" w:space="0"/>
            </w:tcBorders>
            <w:shd w:val="clear" w:color="auto" w:fill="auto"/>
            <w:vAlign w:val="center"/>
          </w:tcPr>
          <w:p w14:paraId="08BFFC54">
            <w:pPr>
              <w:jc w:val="center"/>
              <w:rPr>
                <w:rFonts w:ascii="微软雅黑" w:hAnsi="微软雅黑" w:eastAsia="微软雅黑" w:cs="宋体"/>
                <w:i/>
                <w:iCs/>
                <w:color w:val="000000"/>
                <w:sz w:val="16"/>
                <w:szCs w:val="16"/>
              </w:rPr>
            </w:pPr>
            <w:r>
              <w:rPr>
                <w:rFonts w:hint="eastAsia" w:ascii="微软雅黑" w:hAnsi="微软雅黑" w:eastAsia="微软雅黑"/>
                <w:i/>
                <w:iCs/>
                <w:color w:val="000000"/>
                <w:sz w:val="16"/>
                <w:szCs w:val="16"/>
              </w:rPr>
              <w:t>　</w:t>
            </w:r>
          </w:p>
        </w:tc>
      </w:tr>
      <w:tr w14:paraId="453FE8E4">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4438312F">
            <w:pPr>
              <w:jc w:val="center"/>
              <w:rPr>
                <w:rFonts w:ascii="宋体" w:hAnsi="宋体" w:eastAsia="宋体" w:cs="宋体"/>
                <w:color w:val="000000"/>
                <w:sz w:val="18"/>
                <w:szCs w:val="18"/>
              </w:rPr>
            </w:pPr>
            <w:r>
              <w:rPr>
                <w:rFonts w:hint="eastAsia"/>
                <w:color w:val="000000"/>
                <w:sz w:val="18"/>
                <w:szCs w:val="18"/>
              </w:rPr>
              <w:t>成本指标</w:t>
            </w:r>
          </w:p>
        </w:tc>
        <w:tc>
          <w:tcPr>
            <w:tcW w:w="1080" w:type="dxa"/>
            <w:tcBorders>
              <w:top w:val="nil"/>
              <w:left w:val="nil"/>
              <w:bottom w:val="single" w:color="000000" w:sz="4" w:space="0"/>
              <w:right w:val="single" w:color="000000" w:sz="4" w:space="0"/>
            </w:tcBorders>
            <w:shd w:val="clear" w:color="auto" w:fill="auto"/>
            <w:vAlign w:val="center"/>
          </w:tcPr>
          <w:p w14:paraId="0FA5FBB8">
            <w:pPr>
              <w:jc w:val="center"/>
              <w:rPr>
                <w:rFonts w:ascii="宋体" w:hAnsi="宋体" w:eastAsia="宋体" w:cs="宋体"/>
                <w:color w:val="000000"/>
                <w:sz w:val="18"/>
                <w:szCs w:val="18"/>
              </w:rPr>
            </w:pPr>
            <w:r>
              <w:rPr>
                <w:rFonts w:hint="eastAsia"/>
                <w:color w:val="000000"/>
                <w:sz w:val="18"/>
                <w:szCs w:val="18"/>
              </w:rPr>
              <w:t>经济成本指标</w:t>
            </w:r>
          </w:p>
        </w:tc>
        <w:tc>
          <w:tcPr>
            <w:tcW w:w="1080" w:type="dxa"/>
            <w:tcBorders>
              <w:top w:val="nil"/>
              <w:left w:val="nil"/>
              <w:bottom w:val="single" w:color="000000" w:sz="4" w:space="0"/>
              <w:right w:val="single" w:color="000000" w:sz="4" w:space="0"/>
            </w:tcBorders>
            <w:shd w:val="clear" w:color="auto" w:fill="auto"/>
            <w:vAlign w:val="center"/>
          </w:tcPr>
          <w:p w14:paraId="2B8496FF">
            <w:pPr>
              <w:jc w:val="center"/>
              <w:rPr>
                <w:rFonts w:ascii="宋体" w:hAnsi="宋体" w:eastAsia="宋体" w:cs="宋体"/>
                <w:color w:val="000000"/>
                <w:sz w:val="18"/>
                <w:szCs w:val="18"/>
              </w:rPr>
            </w:pPr>
            <w:r>
              <w:rPr>
                <w:rFonts w:hint="eastAsia"/>
                <w:color w:val="000000"/>
                <w:sz w:val="18"/>
                <w:szCs w:val="18"/>
              </w:rPr>
              <w:t>成本控制</w:t>
            </w:r>
          </w:p>
        </w:tc>
        <w:tc>
          <w:tcPr>
            <w:tcW w:w="1080" w:type="dxa"/>
            <w:tcBorders>
              <w:top w:val="nil"/>
              <w:left w:val="nil"/>
              <w:bottom w:val="single" w:color="000000" w:sz="4" w:space="0"/>
              <w:right w:val="single" w:color="000000" w:sz="4" w:space="0"/>
            </w:tcBorders>
            <w:shd w:val="clear" w:color="auto" w:fill="auto"/>
            <w:vAlign w:val="center"/>
          </w:tcPr>
          <w:p w14:paraId="39F12562">
            <w:pPr>
              <w:jc w:val="center"/>
              <w:rPr>
                <w:rFonts w:ascii="宋体" w:hAnsi="宋体" w:eastAsia="宋体" w:cs="宋体"/>
                <w:color w:val="000000"/>
                <w:sz w:val="18"/>
                <w:szCs w:val="18"/>
              </w:rPr>
            </w:pPr>
            <w:r>
              <w:rPr>
                <w:rFonts w:hint="eastAsia"/>
                <w:color w:val="000000"/>
                <w:sz w:val="18"/>
                <w:szCs w:val="18"/>
              </w:rPr>
              <w:t>≤</w:t>
            </w:r>
          </w:p>
        </w:tc>
        <w:tc>
          <w:tcPr>
            <w:tcW w:w="1080" w:type="dxa"/>
            <w:tcBorders>
              <w:top w:val="nil"/>
              <w:left w:val="nil"/>
              <w:bottom w:val="single" w:color="000000" w:sz="4" w:space="0"/>
              <w:right w:val="single" w:color="000000" w:sz="4" w:space="0"/>
            </w:tcBorders>
            <w:shd w:val="clear" w:color="auto" w:fill="auto"/>
            <w:vAlign w:val="center"/>
          </w:tcPr>
          <w:p w14:paraId="24339681">
            <w:pPr>
              <w:jc w:val="center"/>
              <w:rPr>
                <w:rFonts w:ascii="宋体" w:hAnsi="宋体" w:eastAsia="宋体" w:cs="宋体"/>
                <w:color w:val="000000"/>
                <w:sz w:val="18"/>
                <w:szCs w:val="18"/>
              </w:rPr>
            </w:pPr>
            <w:r>
              <w:rPr>
                <w:rFonts w:hint="eastAsia"/>
                <w:color w:val="000000"/>
                <w:sz w:val="18"/>
                <w:szCs w:val="18"/>
              </w:rPr>
              <w:t>46</w:t>
            </w:r>
          </w:p>
        </w:tc>
        <w:tc>
          <w:tcPr>
            <w:tcW w:w="1080" w:type="dxa"/>
            <w:tcBorders>
              <w:top w:val="nil"/>
              <w:left w:val="nil"/>
              <w:bottom w:val="single" w:color="000000" w:sz="4" w:space="0"/>
              <w:right w:val="single" w:color="000000" w:sz="4" w:space="0"/>
            </w:tcBorders>
            <w:shd w:val="clear" w:color="auto" w:fill="auto"/>
            <w:vAlign w:val="center"/>
          </w:tcPr>
          <w:p w14:paraId="537EA527">
            <w:pPr>
              <w:jc w:val="center"/>
              <w:rPr>
                <w:rFonts w:ascii="宋体" w:hAnsi="宋体" w:eastAsia="宋体" w:cs="宋体"/>
                <w:color w:val="000000"/>
                <w:sz w:val="18"/>
                <w:szCs w:val="18"/>
              </w:rPr>
            </w:pPr>
            <w:r>
              <w:rPr>
                <w:rFonts w:hint="eastAsia"/>
                <w:color w:val="000000"/>
                <w:sz w:val="18"/>
                <w:szCs w:val="18"/>
              </w:rPr>
              <w:t>万元</w:t>
            </w:r>
          </w:p>
        </w:tc>
        <w:tc>
          <w:tcPr>
            <w:tcW w:w="1080" w:type="dxa"/>
            <w:tcBorders>
              <w:top w:val="nil"/>
              <w:left w:val="nil"/>
              <w:bottom w:val="single" w:color="000000" w:sz="4" w:space="0"/>
              <w:right w:val="single" w:color="000000" w:sz="4" w:space="0"/>
            </w:tcBorders>
            <w:shd w:val="clear" w:color="auto" w:fill="auto"/>
            <w:vAlign w:val="center"/>
          </w:tcPr>
          <w:p w14:paraId="5A1301F6">
            <w:pPr>
              <w:jc w:val="center"/>
              <w:rPr>
                <w:rFonts w:ascii="微软雅黑" w:hAnsi="微软雅黑" w:eastAsia="微软雅黑" w:cs="宋体"/>
                <w:i/>
                <w:iCs/>
                <w:color w:val="000000"/>
                <w:sz w:val="16"/>
                <w:szCs w:val="16"/>
              </w:rPr>
            </w:pPr>
            <w:r>
              <w:rPr>
                <w:rFonts w:hint="eastAsia" w:ascii="微软雅黑" w:hAnsi="微软雅黑" w:eastAsia="微软雅黑"/>
                <w:i/>
                <w:iCs/>
                <w:color w:val="000000"/>
                <w:sz w:val="16"/>
                <w:szCs w:val="16"/>
              </w:rPr>
              <w:t>　</w:t>
            </w:r>
          </w:p>
        </w:tc>
      </w:tr>
    </w:tbl>
    <w:p w14:paraId="0AE37621">
      <w:pPr>
        <w:spacing w:line="578" w:lineRule="exact"/>
        <w:ind w:firstLine="640"/>
        <w:rPr>
          <w:rFonts w:ascii="楷体_GB2312" w:hAnsi="宋体" w:eastAsia="楷体_GB2312"/>
          <w:b/>
          <w:lang w:val="zh-CN"/>
        </w:rPr>
      </w:pPr>
      <w:r>
        <w:rPr>
          <w:rFonts w:hint="eastAsia" w:ascii="楷体_GB2312" w:hAnsi="宋体" w:eastAsia="楷体_GB2312"/>
          <w:b/>
          <w:lang w:val="zh-CN"/>
        </w:rPr>
        <w:t>（一）评价目的。</w:t>
      </w:r>
    </w:p>
    <w:p w14:paraId="1691D41C">
      <w:pPr>
        <w:adjustRightInd w:val="0"/>
        <w:snapToGrid w:val="0"/>
        <w:spacing w:line="520"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通过项目绩效自评提高绩效管理，为项目设立和安排提供重要参考依据，提高预算编制科学性、合理性，优化支出结构，从源头上防控资源配置的低效无效，提高资源配置效率和资金使用效益。</w:t>
      </w:r>
    </w:p>
    <w:p w14:paraId="6EF1E6F6">
      <w:pPr>
        <w:adjustRightInd w:val="0"/>
        <w:snapToGrid w:val="0"/>
        <w:spacing w:line="578"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zh-CN" w:eastAsia="zh-CN" w:bidi="ar-SA"/>
        </w:rPr>
        <w:t>（二）预设问题及评价重点。</w:t>
      </w:r>
      <w:r>
        <w:rPr>
          <w:rFonts w:hint="eastAsia" w:ascii="仿宋_GB2312" w:hAnsi="Times New Roman" w:eastAsia="仿宋_GB2312" w:cs="Times New Roman"/>
          <w:kern w:val="2"/>
          <w:position w:val="0"/>
          <w:sz w:val="32"/>
          <w:szCs w:val="32"/>
          <w:lang w:val="en-US" w:eastAsia="zh-CN" w:bidi="ar-SA"/>
        </w:rPr>
        <w:t>按照绩效评价指标体系，对资金支出使用全过程及其实施效果进行综合评价和判断。</w:t>
      </w:r>
    </w:p>
    <w:p w14:paraId="471190AA">
      <w:pPr>
        <w:adjustRightInd w:val="0"/>
        <w:snapToGrid w:val="0"/>
        <w:spacing w:line="578" w:lineRule="exact"/>
        <w:ind w:firstLine="640" w:firstLineChars="200"/>
        <w:rPr>
          <w:rFonts w:hint="eastAsia" w:ascii="仿宋_GB2312" w:hAnsi="Times New Roman" w:eastAsia="仿宋_GB2312" w:cs="Times New Roman"/>
          <w:kern w:val="2"/>
          <w:position w:val="0"/>
          <w:sz w:val="32"/>
          <w:szCs w:val="32"/>
          <w:lang w:val="zh-CN" w:eastAsia="zh-CN" w:bidi="ar-SA"/>
        </w:rPr>
      </w:pPr>
      <w:r>
        <w:rPr>
          <w:rFonts w:hint="eastAsia" w:ascii="仿宋_GB2312" w:hAnsi="Times New Roman" w:eastAsia="仿宋_GB2312" w:cs="Times New Roman"/>
          <w:kern w:val="2"/>
          <w:position w:val="0"/>
          <w:sz w:val="32"/>
          <w:szCs w:val="32"/>
          <w:lang w:val="zh-CN" w:eastAsia="zh-CN" w:bidi="ar-SA"/>
        </w:rPr>
        <w:t>（三）评价选点。</w:t>
      </w:r>
    </w:p>
    <w:p w14:paraId="20A2F39B">
      <w:pPr>
        <w:spacing w:line="578" w:lineRule="exact"/>
        <w:ind w:firstLine="640"/>
        <w:rPr>
          <w:rFonts w:hint="eastAsia" w:ascii="仿宋_GB2312" w:hAnsi="Times New Roman" w:eastAsia="仿宋_GB2312" w:cs="Times New Roman"/>
          <w:kern w:val="2"/>
          <w:position w:val="0"/>
          <w:sz w:val="32"/>
          <w:szCs w:val="32"/>
          <w:lang w:val="zh-CN" w:eastAsia="zh-CN" w:bidi="ar-SA"/>
        </w:rPr>
      </w:pPr>
      <w:r>
        <w:rPr>
          <w:rFonts w:hint="eastAsia" w:ascii="仿宋_GB2312" w:hAnsi="Times New Roman" w:eastAsia="仿宋_GB2312" w:cs="Times New Roman"/>
          <w:kern w:val="2"/>
          <w:position w:val="0"/>
          <w:sz w:val="32"/>
          <w:szCs w:val="32"/>
          <w:lang w:val="zh-CN" w:eastAsia="zh-CN" w:bidi="ar-SA"/>
        </w:rPr>
        <w:t>（四）评价方法。</w:t>
      </w:r>
    </w:p>
    <w:p w14:paraId="02FA988D">
      <w:pPr>
        <w:spacing w:line="578" w:lineRule="exact"/>
        <w:ind w:firstLine="64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以单位自评法、实地勘察法。</w:t>
      </w:r>
    </w:p>
    <w:p w14:paraId="41A0B439">
      <w:pPr>
        <w:spacing w:line="578" w:lineRule="exact"/>
        <w:ind w:firstLine="640"/>
        <w:rPr>
          <w:rFonts w:hint="eastAsia" w:ascii="仿宋_GB2312" w:hAnsi="Times New Roman" w:eastAsia="仿宋_GB2312" w:cs="Times New Roman"/>
          <w:kern w:val="2"/>
          <w:position w:val="0"/>
          <w:sz w:val="32"/>
          <w:szCs w:val="32"/>
          <w:lang w:val="zh-CN" w:eastAsia="zh-CN" w:bidi="ar-SA"/>
        </w:rPr>
      </w:pPr>
      <w:r>
        <w:rPr>
          <w:rFonts w:hint="eastAsia" w:ascii="仿宋_GB2312" w:hAnsi="Times New Roman" w:eastAsia="仿宋_GB2312" w:cs="Times New Roman"/>
          <w:kern w:val="2"/>
          <w:position w:val="0"/>
          <w:sz w:val="32"/>
          <w:szCs w:val="32"/>
          <w:lang w:val="zh-CN" w:eastAsia="zh-CN" w:bidi="ar-SA"/>
        </w:rPr>
        <w:t>（五）评价组织。财务分管领导、财务人员、相关工作人员 。</w:t>
      </w:r>
    </w:p>
    <w:p w14:paraId="4922CC47">
      <w:pPr>
        <w:adjustRightInd w:val="0"/>
        <w:snapToGrid w:val="0"/>
        <w:spacing w:line="578" w:lineRule="exact"/>
        <w:ind w:firstLine="640" w:firstLineChars="200"/>
        <w:rPr>
          <w:rFonts w:hint="eastAsia" w:ascii="仿宋_GB2312" w:hAnsi="Times New Roman" w:eastAsia="仿宋_GB2312" w:cs="Times New Roman"/>
          <w:kern w:val="2"/>
          <w:position w:val="0"/>
          <w:sz w:val="32"/>
          <w:szCs w:val="32"/>
          <w:lang w:val="zh-CN" w:eastAsia="zh-CN" w:bidi="ar-SA"/>
        </w:rPr>
      </w:pPr>
      <w:r>
        <w:rPr>
          <w:rFonts w:hint="eastAsia" w:ascii="仿宋_GB2312" w:hAnsi="Times New Roman" w:eastAsia="仿宋_GB2312" w:cs="Times New Roman"/>
          <w:kern w:val="2"/>
          <w:position w:val="0"/>
          <w:sz w:val="32"/>
          <w:szCs w:val="32"/>
          <w:lang w:val="en-US" w:eastAsia="zh-CN" w:bidi="ar-SA"/>
        </w:rPr>
        <w:t>三、绩效分析</w:t>
      </w:r>
      <w:r>
        <w:rPr>
          <w:rFonts w:hint="eastAsia" w:ascii="仿宋_GB2312" w:hAnsi="Times New Roman" w:eastAsia="仿宋_GB2312" w:cs="Times New Roman"/>
          <w:kern w:val="2"/>
          <w:position w:val="0"/>
          <w:sz w:val="32"/>
          <w:szCs w:val="32"/>
          <w:lang w:val="zh-CN" w:eastAsia="zh-CN" w:bidi="ar-SA"/>
        </w:rPr>
        <w:tab/>
      </w:r>
    </w:p>
    <w:p w14:paraId="751BF838">
      <w:pPr>
        <w:spacing w:line="578" w:lineRule="exact"/>
        <w:ind w:firstLine="64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zh-CN" w:eastAsia="zh-CN" w:bidi="ar-SA"/>
        </w:rPr>
        <w:t>根据项目预算绩效评价指标体系“通用指标”“专用指标”“个性指标”涉及二、三级指标进行逐项绩效分析并评分</w:t>
      </w:r>
      <w:r>
        <w:rPr>
          <w:rFonts w:hint="eastAsia" w:ascii="仿宋_GB2312" w:hAnsi="Times New Roman" w:eastAsia="仿宋_GB2312" w:cs="Times New Roman"/>
          <w:kern w:val="2"/>
          <w:position w:val="0"/>
          <w:sz w:val="32"/>
          <w:szCs w:val="32"/>
          <w:lang w:val="en-US" w:eastAsia="zh-CN" w:bidi="ar-SA"/>
        </w:rPr>
        <w:t>。</w:t>
      </w:r>
    </w:p>
    <w:p w14:paraId="2E572A78">
      <w:pPr>
        <w:spacing w:line="578" w:lineRule="exact"/>
        <w:ind w:firstLine="64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zh-CN" w:eastAsia="zh-CN" w:bidi="ar-SA"/>
        </w:rPr>
        <w:t>（一）</w:t>
      </w:r>
      <w:r>
        <w:rPr>
          <w:rFonts w:hint="eastAsia" w:ascii="仿宋_GB2312" w:hAnsi="Times New Roman" w:eastAsia="仿宋_GB2312" w:cs="Times New Roman"/>
          <w:kern w:val="2"/>
          <w:position w:val="0"/>
          <w:sz w:val="32"/>
          <w:szCs w:val="32"/>
          <w:lang w:val="en-US" w:eastAsia="zh-CN" w:bidi="ar-SA"/>
        </w:rPr>
        <w:t>通用指标</w:t>
      </w:r>
      <w:r>
        <w:rPr>
          <w:rFonts w:hint="eastAsia" w:ascii="仿宋_GB2312" w:hAnsi="Times New Roman" w:eastAsia="仿宋_GB2312" w:cs="Times New Roman"/>
          <w:kern w:val="2"/>
          <w:position w:val="0"/>
          <w:sz w:val="32"/>
          <w:szCs w:val="32"/>
          <w:lang w:val="zh-CN" w:eastAsia="zh-CN" w:bidi="ar-SA"/>
        </w:rPr>
        <w:t>绩效分析。</w:t>
      </w:r>
    </w:p>
    <w:p w14:paraId="1E122405">
      <w:pPr>
        <w:spacing w:line="578" w:lineRule="exact"/>
        <w:ind w:firstLine="64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1.项目决策。</w:t>
      </w:r>
    </w:p>
    <w:p w14:paraId="5E8D3643">
      <w:pPr>
        <w:spacing w:line="578" w:lineRule="exact"/>
        <w:ind w:firstLine="640"/>
        <w:rPr>
          <w:rFonts w:hint="eastAsia" w:ascii="仿宋_GB2312" w:hAnsi="Times New Roman" w:eastAsia="仿宋_GB2312" w:cs="Times New Roman"/>
          <w:kern w:val="2"/>
          <w:position w:val="0"/>
          <w:sz w:val="32"/>
          <w:szCs w:val="32"/>
          <w:lang w:val="zh-CN" w:eastAsia="zh-CN" w:bidi="ar-SA"/>
        </w:rPr>
      </w:pPr>
      <w:r>
        <w:rPr>
          <w:rFonts w:hint="eastAsia" w:ascii="仿宋_GB2312" w:hAnsi="Times New Roman" w:eastAsia="仿宋_GB2312" w:cs="Times New Roman"/>
          <w:kern w:val="2"/>
          <w:position w:val="0"/>
          <w:sz w:val="32"/>
          <w:szCs w:val="32"/>
          <w:lang w:val="zh-CN" w:eastAsia="zh-CN" w:bidi="ar-SA"/>
        </w:rPr>
        <w:t>为了加强财政支出管理，提高资金使用效益，促进资源有效配置。</w:t>
      </w:r>
    </w:p>
    <w:p w14:paraId="0FC9FC00">
      <w:pPr>
        <w:spacing w:line="578"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2.项目管理。</w:t>
      </w:r>
    </w:p>
    <w:p w14:paraId="3A4F9B7E">
      <w:pPr>
        <w:spacing w:line="578"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zh-CN" w:eastAsia="zh-CN" w:bidi="ar-SA"/>
        </w:rPr>
        <w:t>在项目实施过程中，均由县财政集中支付核算中心审核，同时我中心还根据相关财务规定，对项目资金实行专款专用。</w:t>
      </w:r>
    </w:p>
    <w:p w14:paraId="30963057">
      <w:pPr>
        <w:spacing w:line="578"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3.项目实施。</w:t>
      </w:r>
    </w:p>
    <w:p w14:paraId="5C51AC22">
      <w:pPr>
        <w:spacing w:line="578"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在报账时，经我中心财务负责人、财务分管领导按职权审批，较好地保护了该项目资金的合理使用。</w:t>
      </w:r>
    </w:p>
    <w:p w14:paraId="1B63471F">
      <w:pPr>
        <w:spacing w:line="578"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4.项目结果。</w:t>
      </w:r>
    </w:p>
    <w:p w14:paraId="7DFC0FF8">
      <w:pPr>
        <w:adjustRightInd w:val="0"/>
        <w:snapToGrid w:val="0"/>
        <w:spacing w:line="520" w:lineRule="exact"/>
        <w:ind w:firstLine="640" w:firstLineChars="200"/>
        <w:rPr>
          <w:rFonts w:hint="eastAsia" w:ascii="仿宋_GB2312" w:hAnsi="Times New Roman" w:eastAsia="仿宋_GB2312" w:cs="Times New Roman"/>
          <w:kern w:val="2"/>
          <w:position w:val="0"/>
          <w:sz w:val="32"/>
          <w:szCs w:val="32"/>
          <w:lang w:val="zh-CN" w:eastAsia="zh-CN" w:bidi="ar-SA"/>
        </w:rPr>
      </w:pPr>
      <w:r>
        <w:rPr>
          <w:rFonts w:hint="eastAsia" w:ascii="仿宋_GB2312" w:hAnsi="Times New Roman" w:eastAsia="仿宋_GB2312" w:cs="Times New Roman"/>
          <w:kern w:val="2"/>
          <w:position w:val="0"/>
          <w:sz w:val="32"/>
          <w:szCs w:val="32"/>
          <w:lang w:val="en-US" w:eastAsia="zh-CN" w:bidi="ar-SA"/>
        </w:rPr>
        <w:t>完成2023年促进省州关于促进各民族交流交往交融的具体工作要求，组织开展基层党员、优秀村党支部书记等交流交往交融活动；结对双方经贸考察等交往交流交融等内容</w:t>
      </w:r>
      <w:r>
        <w:rPr>
          <w:rFonts w:hint="eastAsia" w:ascii="仿宋_GB2312" w:hAnsi="Times New Roman" w:eastAsia="仿宋_GB2312" w:cs="Times New Roman"/>
          <w:kern w:val="2"/>
          <w:position w:val="0"/>
          <w:sz w:val="32"/>
          <w:szCs w:val="32"/>
          <w:lang w:val="zh-CN" w:eastAsia="zh-CN" w:bidi="ar-SA"/>
        </w:rPr>
        <w:t>（二）</w:t>
      </w:r>
      <w:r>
        <w:rPr>
          <w:rFonts w:hint="eastAsia" w:ascii="仿宋_GB2312" w:hAnsi="Times New Roman" w:eastAsia="仿宋_GB2312" w:cs="Times New Roman"/>
          <w:kern w:val="2"/>
          <w:position w:val="0"/>
          <w:sz w:val="32"/>
          <w:szCs w:val="32"/>
          <w:lang w:val="en-US" w:eastAsia="zh-CN" w:bidi="ar-SA"/>
        </w:rPr>
        <w:t>专用指标</w:t>
      </w:r>
      <w:r>
        <w:rPr>
          <w:rFonts w:hint="eastAsia" w:ascii="仿宋_GB2312" w:hAnsi="Times New Roman" w:eastAsia="仿宋_GB2312" w:cs="Times New Roman"/>
          <w:kern w:val="2"/>
          <w:position w:val="0"/>
          <w:sz w:val="32"/>
          <w:szCs w:val="32"/>
          <w:lang w:val="zh-CN" w:eastAsia="zh-CN" w:bidi="ar-SA"/>
        </w:rPr>
        <w:t>绩效分析。根据</w:t>
      </w:r>
      <w:r>
        <w:rPr>
          <w:rFonts w:hint="eastAsia" w:ascii="仿宋_GB2312" w:hAnsi="Times New Roman" w:eastAsia="仿宋_GB2312" w:cs="Times New Roman"/>
          <w:kern w:val="2"/>
          <w:position w:val="0"/>
          <w:sz w:val="32"/>
          <w:szCs w:val="32"/>
          <w:lang w:val="en-US" w:eastAsia="zh-CN" w:bidi="ar-SA"/>
        </w:rPr>
        <w:t>专项预算项目资金支持对象选择所属指标进行绩效分析。支持对象</w:t>
      </w:r>
      <w:r>
        <w:rPr>
          <w:rFonts w:hint="eastAsia" w:ascii="仿宋_GB2312" w:hAnsi="Times New Roman" w:eastAsia="仿宋_GB2312" w:cs="Times New Roman"/>
          <w:kern w:val="2"/>
          <w:position w:val="0"/>
          <w:sz w:val="32"/>
          <w:szCs w:val="32"/>
          <w:lang w:val="zh-CN" w:eastAsia="zh-CN" w:bidi="ar-SA"/>
        </w:rPr>
        <w:t>包括产业发展、民生保障、基础设施、行政运转等方面。</w:t>
      </w:r>
    </w:p>
    <w:p w14:paraId="3AB4E460">
      <w:pPr>
        <w:spacing w:line="578"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1.产业发展。不涉及。</w:t>
      </w:r>
    </w:p>
    <w:p w14:paraId="243B4BA2">
      <w:pPr>
        <w:spacing w:line="578"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2.</w:t>
      </w:r>
      <w:r>
        <w:rPr>
          <w:rFonts w:hint="eastAsia" w:ascii="仿宋_GB2312" w:hAnsi="Times New Roman" w:eastAsia="仿宋_GB2312" w:cs="Times New Roman"/>
          <w:kern w:val="2"/>
          <w:position w:val="0"/>
          <w:sz w:val="32"/>
          <w:szCs w:val="32"/>
          <w:lang w:val="zh-CN" w:eastAsia="zh-CN" w:bidi="ar-SA"/>
        </w:rPr>
        <w:t>民生保障。</w:t>
      </w:r>
      <w:r>
        <w:rPr>
          <w:rFonts w:hint="eastAsia" w:ascii="仿宋_GB2312" w:hAnsi="Times New Roman" w:eastAsia="仿宋_GB2312" w:cs="Times New Roman"/>
          <w:kern w:val="2"/>
          <w:position w:val="0"/>
          <w:sz w:val="32"/>
          <w:szCs w:val="32"/>
          <w:lang w:val="en-US" w:eastAsia="zh-CN" w:bidi="ar-SA"/>
        </w:rPr>
        <w:t>围绕区域均衡性、对象精准性、标准合理性、群众满意度进行绩效分析。</w:t>
      </w:r>
    </w:p>
    <w:p w14:paraId="5572D08B">
      <w:pPr>
        <w:spacing w:line="578"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3.基础设施。不涉及。</w:t>
      </w:r>
    </w:p>
    <w:p w14:paraId="56773404">
      <w:pPr>
        <w:adjustRightInd w:val="0"/>
        <w:snapToGrid w:val="0"/>
        <w:spacing w:line="520"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4.</w:t>
      </w:r>
      <w:r>
        <w:rPr>
          <w:rFonts w:hint="eastAsia" w:ascii="仿宋_GB2312" w:hAnsi="Times New Roman" w:eastAsia="仿宋_GB2312" w:cs="Times New Roman"/>
          <w:kern w:val="2"/>
          <w:position w:val="0"/>
          <w:sz w:val="32"/>
          <w:szCs w:val="32"/>
          <w:lang w:val="zh-CN" w:eastAsia="zh-CN" w:bidi="ar-SA"/>
        </w:rPr>
        <w:t>行政运转</w:t>
      </w:r>
      <w:r>
        <w:rPr>
          <w:rFonts w:hint="eastAsia" w:ascii="仿宋_GB2312" w:hAnsi="Times New Roman" w:eastAsia="仿宋_GB2312" w:cs="Times New Roman"/>
          <w:kern w:val="2"/>
          <w:position w:val="0"/>
          <w:sz w:val="32"/>
          <w:szCs w:val="32"/>
          <w:lang w:val="en-US" w:eastAsia="zh-CN" w:bidi="ar-SA"/>
        </w:rPr>
        <w:t>。完成2023年三交工作</w:t>
      </w:r>
    </w:p>
    <w:p w14:paraId="6E08C7C3">
      <w:pPr>
        <w:adjustRightInd w:val="0"/>
        <w:snapToGrid w:val="0"/>
        <w:spacing w:line="520" w:lineRule="exact"/>
        <w:ind w:firstLine="640" w:firstLineChars="200"/>
        <w:rPr>
          <w:rFonts w:hint="eastAsia"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zh-CN" w:eastAsia="zh-CN" w:bidi="ar-SA"/>
        </w:rPr>
        <w:t>（三）</w:t>
      </w:r>
      <w:r>
        <w:rPr>
          <w:rFonts w:hint="eastAsia" w:ascii="仿宋_GB2312" w:hAnsi="Times New Roman" w:eastAsia="仿宋_GB2312" w:cs="Times New Roman"/>
          <w:kern w:val="2"/>
          <w:position w:val="0"/>
          <w:sz w:val="32"/>
          <w:szCs w:val="32"/>
          <w:lang w:val="en-US" w:eastAsia="zh-CN" w:bidi="ar-SA"/>
        </w:rPr>
        <w:t>个性指标</w:t>
      </w:r>
      <w:r>
        <w:rPr>
          <w:rFonts w:hint="eastAsia" w:ascii="仿宋_GB2312" w:hAnsi="Times New Roman" w:eastAsia="仿宋_GB2312" w:cs="Times New Roman"/>
          <w:kern w:val="2"/>
          <w:position w:val="0"/>
          <w:sz w:val="32"/>
          <w:szCs w:val="32"/>
          <w:lang w:val="zh-CN" w:eastAsia="zh-CN" w:bidi="ar-SA"/>
        </w:rPr>
        <w:t>绩效分析。根据项目个性自行设定部分指标，反映该项指标执行完成情况。</w:t>
      </w:r>
    </w:p>
    <w:p w14:paraId="09560550">
      <w:pPr>
        <w:pStyle w:val="6"/>
        <w:tabs>
          <w:tab w:val="left" w:pos="2160"/>
        </w:tabs>
        <w:spacing w:line="600" w:lineRule="exact"/>
        <w:ind w:firstLine="640" w:firstLineChars="200"/>
        <w:rPr>
          <w:rFonts w:ascii="黑体" w:hAnsi="宋体"/>
          <w:sz w:val="32"/>
          <w:szCs w:val="32"/>
        </w:rPr>
      </w:pPr>
      <w:r>
        <w:rPr>
          <w:rFonts w:hint="eastAsia" w:ascii="黑体" w:hAnsi="宋体"/>
          <w:sz w:val="32"/>
          <w:szCs w:val="32"/>
          <w:lang w:eastAsia="zh-CN"/>
        </w:rPr>
        <w:t>四</w:t>
      </w:r>
      <w:r>
        <w:rPr>
          <w:rFonts w:hint="eastAsia" w:ascii="黑体" w:hAnsi="宋体"/>
          <w:sz w:val="32"/>
          <w:szCs w:val="32"/>
        </w:rPr>
        <w:t>、评价结论</w:t>
      </w:r>
    </w:p>
    <w:p w14:paraId="3403FD14">
      <w:pPr>
        <w:pStyle w:val="6"/>
        <w:tabs>
          <w:tab w:val="left" w:pos="2160"/>
        </w:tabs>
        <w:spacing w:line="600" w:lineRule="exact"/>
        <w:ind w:firstLine="640" w:firstLineChars="200"/>
        <w:rPr>
          <w:rFonts w:hint="eastAsia" w:ascii="仿宋_GB2312" w:eastAsia="仿宋_GB2312"/>
          <w:kern w:val="2"/>
          <w:position w:val="0"/>
          <w:sz w:val="32"/>
          <w:szCs w:val="32"/>
          <w:lang w:eastAsia="zh-CN"/>
        </w:rPr>
      </w:pPr>
      <w:r>
        <w:rPr>
          <w:rFonts w:hint="eastAsia" w:ascii="仿宋_GB2312" w:eastAsia="仿宋_GB2312"/>
          <w:kern w:val="2"/>
          <w:position w:val="0"/>
          <w:sz w:val="32"/>
          <w:szCs w:val="32"/>
          <w:lang w:eastAsia="zh-CN"/>
        </w:rPr>
        <w:t>完成2023年“三交”工作，组织开展基层党员、优秀村党支部书记等交流交往交融活动；结对双方经贸考察等交往交流交融。</w:t>
      </w:r>
    </w:p>
    <w:p w14:paraId="49CD6F5F">
      <w:pPr>
        <w:pStyle w:val="6"/>
        <w:tabs>
          <w:tab w:val="left" w:pos="2160"/>
        </w:tabs>
        <w:spacing w:line="600" w:lineRule="exact"/>
        <w:ind w:firstLine="640" w:firstLineChars="200"/>
        <w:rPr>
          <w:rFonts w:ascii="黑体" w:hAnsi="宋体"/>
          <w:sz w:val="32"/>
          <w:szCs w:val="32"/>
          <w:lang w:eastAsia="zh-CN"/>
        </w:rPr>
      </w:pPr>
      <w:r>
        <w:rPr>
          <w:rFonts w:hint="eastAsia" w:ascii="黑体" w:hAnsi="宋体"/>
          <w:sz w:val="32"/>
          <w:szCs w:val="32"/>
          <w:lang w:eastAsia="zh-CN"/>
        </w:rPr>
        <w:t>五、存在主要问题</w:t>
      </w:r>
    </w:p>
    <w:p w14:paraId="0CC1E60E">
      <w:pPr>
        <w:pStyle w:val="6"/>
        <w:tabs>
          <w:tab w:val="left" w:pos="2160"/>
        </w:tabs>
        <w:spacing w:line="600" w:lineRule="exact"/>
        <w:ind w:firstLine="640" w:firstLineChars="200"/>
        <w:rPr>
          <w:rFonts w:ascii="黑体" w:hAnsi="黑体" w:cs="黑体"/>
          <w:kern w:val="2"/>
          <w:position w:val="0"/>
          <w:sz w:val="32"/>
          <w:szCs w:val="32"/>
          <w:lang w:eastAsia="zh-CN"/>
        </w:rPr>
      </w:pPr>
      <w:r>
        <w:rPr>
          <w:rFonts w:hint="eastAsia" w:ascii="仿宋_GB2312" w:hAnsi="仿宋_GB2312" w:eastAsia="仿宋_GB2312" w:cs="仿宋_GB2312"/>
          <w:position w:val="0"/>
          <w:sz w:val="32"/>
          <w:szCs w:val="32"/>
          <w:lang w:eastAsia="zh-CN"/>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4B57F5C3">
      <w:pPr>
        <w:pStyle w:val="6"/>
        <w:tabs>
          <w:tab w:val="left" w:pos="2160"/>
        </w:tabs>
        <w:spacing w:line="600" w:lineRule="exact"/>
        <w:ind w:firstLine="640" w:firstLineChars="200"/>
        <w:rPr>
          <w:rFonts w:ascii="黑体" w:hAnsi="宋体"/>
          <w:sz w:val="32"/>
          <w:szCs w:val="32"/>
          <w:lang w:val="zh-CN" w:eastAsia="zh-CN"/>
        </w:rPr>
      </w:pPr>
      <w:r>
        <w:rPr>
          <w:rFonts w:hint="eastAsia" w:ascii="黑体" w:hAnsi="宋体"/>
          <w:sz w:val="32"/>
          <w:szCs w:val="32"/>
          <w:lang w:val="zh-CN" w:eastAsia="zh-CN"/>
        </w:rPr>
        <w:t>六、改进建议</w:t>
      </w:r>
    </w:p>
    <w:p w14:paraId="30738A38">
      <w:pPr>
        <w:pStyle w:val="8"/>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cs="仿宋_GB2312"/>
          <w:kern w:val="0"/>
          <w:shd w:val="clear" w:color="auto" w:fill="FFFFFF"/>
          <w:lang w:val="zh-CN"/>
        </w:rPr>
        <w:t xml:space="preserve"> </w:t>
      </w:r>
      <w:r>
        <w:rPr>
          <w:rFonts w:hint="eastAsia" w:ascii="仿宋_GB2312" w:hAnsi="仿宋_GB2312" w:cs="仿宋_GB2312"/>
          <w:kern w:val="0"/>
        </w:rPr>
        <w:t xml:space="preserve">  </w:t>
      </w:r>
      <w:r>
        <w:rPr>
          <w:rFonts w:hint="eastAsia" w:ascii="仿宋_GB2312" w:hAnsi="仿宋_GB2312" w:eastAsia="仿宋_GB2312" w:cs="仿宋_GB2312"/>
          <w:kern w:val="0"/>
          <w:position w:val="0"/>
          <w:sz w:val="32"/>
          <w:szCs w:val="32"/>
          <w:lang w:val="en-US" w:eastAsia="zh-CN" w:bidi="ar-SA"/>
        </w:rPr>
        <w:t xml:space="preserve"> 建议增加项目资金使用的灵活性。机动灵活地增加项目资金的使用范围，让项目实施部门有一定的调整空间，保证资金能及时有效的使用，进一步提高其使用效益。</w:t>
      </w:r>
    </w:p>
    <w:p w14:paraId="47EBABCB">
      <w:pPr>
        <w:pStyle w:val="34"/>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153F1147">
      <w:pPr>
        <w:pStyle w:val="34"/>
        <w:spacing w:line="578" w:lineRule="exact"/>
        <w:ind w:firstLine="640"/>
        <w:jc w:val="center"/>
        <w:rPr>
          <w:rFonts w:ascii="宋体" w:hAnsi="宋体"/>
          <w:color w:val="auto"/>
          <w:kern w:val="2"/>
          <w:sz w:val="32"/>
          <w:szCs w:val="32"/>
        </w:rPr>
      </w:pPr>
    </w:p>
    <w:p w14:paraId="3F2FD298">
      <w:pPr>
        <w:adjustRightInd w:val="0"/>
        <w:snapToGrid w:val="0"/>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一、项目概况</w:t>
      </w:r>
    </w:p>
    <w:p w14:paraId="1C6F5659">
      <w:pPr>
        <w:adjustRightInd w:val="0"/>
        <w:snapToGrid w:val="0"/>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（一）设立背景及基本情况。</w:t>
      </w:r>
    </w:p>
    <w:p w14:paraId="4B1DF6E2">
      <w:pPr>
        <w:tabs>
          <w:tab w:val="left" w:pos="0"/>
        </w:tabs>
        <w:adjustRightInd w:val="0"/>
        <w:snapToGrid w:val="0"/>
        <w:spacing w:line="520"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为落实邛九两地互访会商，开展文化旅游推介，促进邛九两地文化交流交融，提升两地文化旅游市场的竞争力和吸引力，2023年7月12-14日，在邛崃市组织开展了邛崃市—九寨沟县对口支援文旅推介会暨文化交流活动。</w:t>
      </w:r>
    </w:p>
    <w:p w14:paraId="48A03B8A">
      <w:pPr>
        <w:adjustRightInd w:val="0"/>
        <w:snapToGrid w:val="0"/>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xml:space="preserve"> (二)实施目的及支持方向。</w:t>
      </w:r>
    </w:p>
    <w:p w14:paraId="55C77C0D">
      <w:pPr>
        <w:adjustRightInd w:val="0"/>
        <w:snapToGrid w:val="0"/>
        <w:spacing w:line="578" w:lineRule="exact"/>
        <w:ind w:firstLine="640" w:firstLineChars="200"/>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该项目属于专项业务费、社会发展性项目,完成2023年邛崃-九寨沟两地文旅推介会暨文化交流活动，结合我单位工作职责,负责交流交融，纳入县级财政预算</w:t>
      </w:r>
    </w:p>
    <w:p w14:paraId="1FB2D992">
      <w:pPr>
        <w:widowControl/>
        <w:numPr>
          <w:ilvl w:val="0"/>
          <w:numId w:val="9"/>
        </w:numPr>
        <w:adjustRightInd w:val="0"/>
        <w:snapToGrid w:val="0"/>
        <w:spacing w:line="578" w:lineRule="exact"/>
        <w:ind w:firstLine="640" w:firstLineChars="200"/>
        <w:contextualSpacing/>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预算安排及分配管理</w:t>
      </w:r>
      <w:r>
        <w:rPr>
          <w:rFonts w:hint="eastAsia" w:ascii="仿宋_GB2312" w:hAnsi="仿宋_GB2312" w:eastAsia="仿宋_GB2312" w:cs="仿宋_GB2312"/>
          <w:kern w:val="0"/>
          <w:position w:val="0"/>
          <w:sz w:val="32"/>
          <w:szCs w:val="32"/>
          <w:lang w:val="zh-CN" w:eastAsia="zh-CN" w:bidi="ar-SA"/>
        </w:rPr>
        <w:t>。</w:t>
      </w:r>
    </w:p>
    <w:p w14:paraId="42871A32">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该项目预算资金安排183994元，</w:t>
      </w:r>
    </w:p>
    <w:p w14:paraId="39BC76DD">
      <w:pPr>
        <w:numPr>
          <w:ilvl w:val="0"/>
          <w:numId w:val="9"/>
        </w:numPr>
        <w:adjustRightInd w:val="0"/>
        <w:snapToGrid w:val="0"/>
        <w:spacing w:line="578" w:lineRule="exact"/>
        <w:ind w:firstLine="640" w:firstLineChars="200"/>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项目绩效目标设置。</w:t>
      </w:r>
    </w:p>
    <w:p w14:paraId="749F9129">
      <w:pPr>
        <w:pStyle w:val="35"/>
        <w:spacing w:line="560" w:lineRule="exact"/>
        <w:ind w:firstLine="64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绩效目标和绩效指标全面完整，契合项目实质，与县发展和改革局的长期规划目标、年度工作目标相一致，产出和效果关联。</w:t>
      </w:r>
    </w:p>
    <w:tbl>
      <w:tblPr>
        <w:tblStyle w:val="15"/>
        <w:tblW w:w="7560" w:type="dxa"/>
        <w:tblInd w:w="93" w:type="dxa"/>
        <w:tblLayout w:type="autofit"/>
        <w:tblCellMar>
          <w:top w:w="0" w:type="dxa"/>
          <w:left w:w="108" w:type="dxa"/>
          <w:bottom w:w="0" w:type="dxa"/>
          <w:right w:w="108" w:type="dxa"/>
        </w:tblCellMar>
      </w:tblPr>
      <w:tblGrid>
        <w:gridCol w:w="1064"/>
        <w:gridCol w:w="1064"/>
        <w:gridCol w:w="1064"/>
        <w:gridCol w:w="1064"/>
        <w:gridCol w:w="1176"/>
        <w:gridCol w:w="1064"/>
        <w:gridCol w:w="1064"/>
      </w:tblGrid>
      <w:tr w14:paraId="59BE7ECB">
        <w:tblPrEx>
          <w:tblCellMar>
            <w:top w:w="0" w:type="dxa"/>
            <w:left w:w="108" w:type="dxa"/>
            <w:bottom w:w="0" w:type="dxa"/>
            <w:right w:w="108"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9386">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一级指标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D37714B">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二级指标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276540B">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三级指标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D027D22">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指标性质</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E93801F">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指标值</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51EB712">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度量单位</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5E06AE4E">
            <w:pPr>
              <w:widowControl/>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完成值</w:t>
            </w:r>
          </w:p>
        </w:tc>
      </w:tr>
      <w:tr w14:paraId="0D23C5F7">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ED12">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产出指标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2B42275">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数量指标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7FB6E51">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参加人数</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A8EBC69">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E0A37CB">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51</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8461A8C">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人数</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A6AE9D9">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r>
      <w:tr w14:paraId="162872E7">
        <w:tblPrEx>
          <w:tblCellMar>
            <w:top w:w="0" w:type="dxa"/>
            <w:left w:w="108" w:type="dxa"/>
            <w:bottom w:w="0" w:type="dxa"/>
            <w:right w:w="108" w:type="dxa"/>
          </w:tblCellMar>
        </w:tblPrEx>
        <w:trPr>
          <w:trHeight w:val="27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1291ACBD">
            <w:pPr>
              <w:rPr>
                <w:rFonts w:hint="eastAsia" w:ascii="仿宋_GB2312" w:hAnsi="仿宋_GB2312" w:eastAsia="仿宋_GB2312" w:cs="仿宋_GB2312"/>
                <w:kern w:val="0"/>
                <w:position w:val="0"/>
                <w:sz w:val="32"/>
                <w:szCs w:val="32"/>
                <w:lang w:val="en-US" w:eastAsia="zh-CN" w:bidi="ar-SA"/>
              </w:rPr>
            </w:pPr>
          </w:p>
        </w:tc>
        <w:tc>
          <w:tcPr>
            <w:tcW w:w="1080" w:type="dxa"/>
            <w:tcBorders>
              <w:top w:val="nil"/>
              <w:left w:val="nil"/>
              <w:bottom w:val="single" w:color="000000" w:sz="4" w:space="0"/>
              <w:right w:val="single" w:color="000000" w:sz="4" w:space="0"/>
            </w:tcBorders>
            <w:shd w:val="clear" w:color="auto" w:fill="auto"/>
            <w:vAlign w:val="center"/>
          </w:tcPr>
          <w:p w14:paraId="049F15B5">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质量指标</w:t>
            </w:r>
          </w:p>
        </w:tc>
        <w:tc>
          <w:tcPr>
            <w:tcW w:w="1080" w:type="dxa"/>
            <w:tcBorders>
              <w:top w:val="nil"/>
              <w:left w:val="nil"/>
              <w:bottom w:val="single" w:color="000000" w:sz="4" w:space="0"/>
              <w:right w:val="single" w:color="000000" w:sz="4" w:space="0"/>
            </w:tcBorders>
            <w:shd w:val="clear" w:color="auto" w:fill="auto"/>
            <w:vAlign w:val="center"/>
          </w:tcPr>
          <w:p w14:paraId="13A53D9E">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活动质量</w:t>
            </w:r>
          </w:p>
        </w:tc>
        <w:tc>
          <w:tcPr>
            <w:tcW w:w="1080" w:type="dxa"/>
            <w:tcBorders>
              <w:top w:val="nil"/>
              <w:left w:val="nil"/>
              <w:bottom w:val="single" w:color="000000" w:sz="4" w:space="0"/>
              <w:right w:val="single" w:color="000000" w:sz="4" w:space="0"/>
            </w:tcBorders>
            <w:shd w:val="clear" w:color="auto" w:fill="auto"/>
            <w:vAlign w:val="center"/>
          </w:tcPr>
          <w:p w14:paraId="154FC852">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定性</w:t>
            </w:r>
          </w:p>
        </w:tc>
        <w:tc>
          <w:tcPr>
            <w:tcW w:w="1080" w:type="dxa"/>
            <w:tcBorders>
              <w:top w:val="nil"/>
              <w:left w:val="nil"/>
              <w:bottom w:val="single" w:color="000000" w:sz="4" w:space="0"/>
              <w:right w:val="single" w:color="000000" w:sz="4" w:space="0"/>
            </w:tcBorders>
            <w:shd w:val="clear" w:color="auto" w:fill="auto"/>
            <w:vAlign w:val="center"/>
          </w:tcPr>
          <w:p w14:paraId="7B674DAF">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优</w:t>
            </w:r>
          </w:p>
        </w:tc>
        <w:tc>
          <w:tcPr>
            <w:tcW w:w="1080" w:type="dxa"/>
            <w:tcBorders>
              <w:top w:val="nil"/>
              <w:left w:val="nil"/>
              <w:bottom w:val="single" w:color="000000" w:sz="4" w:space="0"/>
              <w:right w:val="single" w:color="000000" w:sz="4" w:space="0"/>
            </w:tcBorders>
            <w:shd w:val="clear" w:color="auto" w:fill="auto"/>
            <w:vAlign w:val="center"/>
          </w:tcPr>
          <w:p w14:paraId="67C364D2">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5A819EBA">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r>
      <w:tr w14:paraId="14D30D48">
        <w:tblPrEx>
          <w:tblCellMar>
            <w:top w:w="0" w:type="dxa"/>
            <w:left w:w="108" w:type="dxa"/>
            <w:bottom w:w="0" w:type="dxa"/>
            <w:right w:w="108" w:type="dxa"/>
          </w:tblCellMar>
        </w:tblPrEx>
        <w:trPr>
          <w:trHeight w:val="27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178D251A">
            <w:pPr>
              <w:rPr>
                <w:rFonts w:hint="eastAsia" w:ascii="仿宋_GB2312" w:hAnsi="仿宋_GB2312" w:eastAsia="仿宋_GB2312" w:cs="仿宋_GB2312"/>
                <w:kern w:val="0"/>
                <w:position w:val="0"/>
                <w:sz w:val="32"/>
                <w:szCs w:val="32"/>
                <w:lang w:val="en-US" w:eastAsia="zh-CN" w:bidi="ar-SA"/>
              </w:rPr>
            </w:pPr>
          </w:p>
        </w:tc>
        <w:tc>
          <w:tcPr>
            <w:tcW w:w="1080" w:type="dxa"/>
            <w:tcBorders>
              <w:top w:val="nil"/>
              <w:left w:val="nil"/>
              <w:bottom w:val="single" w:color="000000" w:sz="4" w:space="0"/>
              <w:right w:val="single" w:color="000000" w:sz="4" w:space="0"/>
            </w:tcBorders>
            <w:shd w:val="clear" w:color="auto" w:fill="auto"/>
            <w:vAlign w:val="center"/>
          </w:tcPr>
          <w:p w14:paraId="2789037B">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时效指标</w:t>
            </w:r>
          </w:p>
        </w:tc>
        <w:tc>
          <w:tcPr>
            <w:tcW w:w="1080" w:type="dxa"/>
            <w:tcBorders>
              <w:top w:val="nil"/>
              <w:left w:val="nil"/>
              <w:bottom w:val="single" w:color="000000" w:sz="4" w:space="0"/>
              <w:right w:val="single" w:color="000000" w:sz="4" w:space="0"/>
            </w:tcBorders>
            <w:shd w:val="clear" w:color="auto" w:fill="auto"/>
            <w:vAlign w:val="center"/>
          </w:tcPr>
          <w:p w14:paraId="0CAB8BB7">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完成时间</w:t>
            </w:r>
          </w:p>
        </w:tc>
        <w:tc>
          <w:tcPr>
            <w:tcW w:w="1080" w:type="dxa"/>
            <w:tcBorders>
              <w:top w:val="nil"/>
              <w:left w:val="nil"/>
              <w:bottom w:val="single" w:color="000000" w:sz="4" w:space="0"/>
              <w:right w:val="single" w:color="000000" w:sz="4" w:space="0"/>
            </w:tcBorders>
            <w:shd w:val="clear" w:color="auto" w:fill="auto"/>
            <w:vAlign w:val="center"/>
          </w:tcPr>
          <w:p w14:paraId="54E87224">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0115CFAB">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5</w:t>
            </w:r>
          </w:p>
        </w:tc>
        <w:tc>
          <w:tcPr>
            <w:tcW w:w="1080" w:type="dxa"/>
            <w:tcBorders>
              <w:top w:val="nil"/>
              <w:left w:val="nil"/>
              <w:bottom w:val="single" w:color="000000" w:sz="4" w:space="0"/>
              <w:right w:val="single" w:color="000000" w:sz="4" w:space="0"/>
            </w:tcBorders>
            <w:shd w:val="clear" w:color="auto" w:fill="auto"/>
            <w:vAlign w:val="center"/>
          </w:tcPr>
          <w:p w14:paraId="1FE540EA">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月</w:t>
            </w:r>
          </w:p>
        </w:tc>
        <w:tc>
          <w:tcPr>
            <w:tcW w:w="1080" w:type="dxa"/>
            <w:tcBorders>
              <w:top w:val="nil"/>
              <w:left w:val="nil"/>
              <w:bottom w:val="single" w:color="000000" w:sz="4" w:space="0"/>
              <w:right w:val="single" w:color="000000" w:sz="4" w:space="0"/>
            </w:tcBorders>
            <w:shd w:val="clear" w:color="auto" w:fill="auto"/>
            <w:vAlign w:val="center"/>
          </w:tcPr>
          <w:p w14:paraId="4A2AF7B1">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r>
      <w:tr w14:paraId="329C17DA">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3DD27E01">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效益指标</w:t>
            </w:r>
          </w:p>
        </w:tc>
        <w:tc>
          <w:tcPr>
            <w:tcW w:w="1080" w:type="dxa"/>
            <w:tcBorders>
              <w:top w:val="nil"/>
              <w:left w:val="nil"/>
              <w:bottom w:val="single" w:color="000000" w:sz="4" w:space="0"/>
              <w:right w:val="single" w:color="000000" w:sz="4" w:space="0"/>
            </w:tcBorders>
            <w:shd w:val="clear" w:color="auto" w:fill="auto"/>
            <w:vAlign w:val="center"/>
          </w:tcPr>
          <w:p w14:paraId="7AC71ACE">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可持续发展指标</w:t>
            </w:r>
          </w:p>
        </w:tc>
        <w:tc>
          <w:tcPr>
            <w:tcW w:w="1080" w:type="dxa"/>
            <w:tcBorders>
              <w:top w:val="nil"/>
              <w:left w:val="nil"/>
              <w:bottom w:val="single" w:color="000000" w:sz="4" w:space="0"/>
              <w:right w:val="single" w:color="000000" w:sz="4" w:space="0"/>
            </w:tcBorders>
            <w:shd w:val="clear" w:color="auto" w:fill="auto"/>
            <w:vAlign w:val="center"/>
          </w:tcPr>
          <w:p w14:paraId="4ABB1E2A">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活动带来的影响</w:t>
            </w:r>
          </w:p>
        </w:tc>
        <w:tc>
          <w:tcPr>
            <w:tcW w:w="1080" w:type="dxa"/>
            <w:tcBorders>
              <w:top w:val="nil"/>
              <w:left w:val="nil"/>
              <w:bottom w:val="single" w:color="000000" w:sz="4" w:space="0"/>
              <w:right w:val="single" w:color="000000" w:sz="4" w:space="0"/>
            </w:tcBorders>
            <w:shd w:val="clear" w:color="auto" w:fill="auto"/>
            <w:vAlign w:val="center"/>
          </w:tcPr>
          <w:p w14:paraId="2E4D9A2C">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定性</w:t>
            </w:r>
          </w:p>
        </w:tc>
        <w:tc>
          <w:tcPr>
            <w:tcW w:w="1080" w:type="dxa"/>
            <w:tcBorders>
              <w:top w:val="nil"/>
              <w:left w:val="nil"/>
              <w:bottom w:val="single" w:color="000000" w:sz="4" w:space="0"/>
              <w:right w:val="single" w:color="000000" w:sz="4" w:space="0"/>
            </w:tcBorders>
            <w:shd w:val="clear" w:color="auto" w:fill="auto"/>
            <w:vAlign w:val="center"/>
          </w:tcPr>
          <w:p w14:paraId="688C00B3">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高</w:t>
            </w:r>
          </w:p>
        </w:tc>
        <w:tc>
          <w:tcPr>
            <w:tcW w:w="1080" w:type="dxa"/>
            <w:tcBorders>
              <w:top w:val="nil"/>
              <w:left w:val="nil"/>
              <w:bottom w:val="single" w:color="000000" w:sz="4" w:space="0"/>
              <w:right w:val="single" w:color="000000" w:sz="4" w:space="0"/>
            </w:tcBorders>
            <w:shd w:val="clear" w:color="auto" w:fill="auto"/>
            <w:vAlign w:val="center"/>
          </w:tcPr>
          <w:p w14:paraId="40B9454E">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1F3186DA">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r>
      <w:tr w14:paraId="592E6B6B">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191B70E7">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0261FF32">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696F7AB7">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演职人员满意</w:t>
            </w:r>
          </w:p>
        </w:tc>
        <w:tc>
          <w:tcPr>
            <w:tcW w:w="1080" w:type="dxa"/>
            <w:tcBorders>
              <w:top w:val="nil"/>
              <w:left w:val="nil"/>
              <w:bottom w:val="single" w:color="000000" w:sz="4" w:space="0"/>
              <w:right w:val="single" w:color="000000" w:sz="4" w:space="0"/>
            </w:tcBorders>
            <w:shd w:val="clear" w:color="auto" w:fill="auto"/>
            <w:vAlign w:val="center"/>
          </w:tcPr>
          <w:p w14:paraId="0CA026E9">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43F754E6">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95</w:t>
            </w:r>
          </w:p>
        </w:tc>
        <w:tc>
          <w:tcPr>
            <w:tcW w:w="1080" w:type="dxa"/>
            <w:tcBorders>
              <w:top w:val="nil"/>
              <w:left w:val="nil"/>
              <w:bottom w:val="single" w:color="000000" w:sz="4" w:space="0"/>
              <w:right w:val="single" w:color="000000" w:sz="4" w:space="0"/>
            </w:tcBorders>
            <w:shd w:val="clear" w:color="auto" w:fill="auto"/>
            <w:vAlign w:val="center"/>
          </w:tcPr>
          <w:p w14:paraId="406F4381">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2D78A7D1">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r>
      <w:tr w14:paraId="48E21399">
        <w:tblPrEx>
          <w:tblCellMar>
            <w:top w:w="0" w:type="dxa"/>
            <w:left w:w="108" w:type="dxa"/>
            <w:bottom w:w="0" w:type="dxa"/>
            <w:right w:w="108" w:type="dxa"/>
          </w:tblCellMar>
        </w:tblPrEx>
        <w:trPr>
          <w:trHeight w:val="27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19817AEB">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成本指标</w:t>
            </w:r>
          </w:p>
        </w:tc>
        <w:tc>
          <w:tcPr>
            <w:tcW w:w="1080" w:type="dxa"/>
            <w:tcBorders>
              <w:top w:val="nil"/>
              <w:left w:val="nil"/>
              <w:bottom w:val="single" w:color="000000" w:sz="4" w:space="0"/>
              <w:right w:val="single" w:color="000000" w:sz="4" w:space="0"/>
            </w:tcBorders>
            <w:shd w:val="clear" w:color="auto" w:fill="auto"/>
            <w:vAlign w:val="center"/>
          </w:tcPr>
          <w:p w14:paraId="7E628C7C">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经济成本指标</w:t>
            </w:r>
          </w:p>
        </w:tc>
        <w:tc>
          <w:tcPr>
            <w:tcW w:w="1080" w:type="dxa"/>
            <w:tcBorders>
              <w:top w:val="nil"/>
              <w:left w:val="nil"/>
              <w:bottom w:val="single" w:color="000000" w:sz="4" w:space="0"/>
              <w:right w:val="single" w:color="000000" w:sz="4" w:space="0"/>
            </w:tcBorders>
            <w:shd w:val="clear" w:color="auto" w:fill="auto"/>
            <w:vAlign w:val="center"/>
          </w:tcPr>
          <w:p w14:paraId="1ACE4339">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成本控制</w:t>
            </w:r>
          </w:p>
        </w:tc>
        <w:tc>
          <w:tcPr>
            <w:tcW w:w="1080" w:type="dxa"/>
            <w:tcBorders>
              <w:top w:val="nil"/>
              <w:left w:val="nil"/>
              <w:bottom w:val="single" w:color="000000" w:sz="4" w:space="0"/>
              <w:right w:val="single" w:color="000000" w:sz="4" w:space="0"/>
            </w:tcBorders>
            <w:shd w:val="clear" w:color="auto" w:fill="auto"/>
            <w:vAlign w:val="center"/>
          </w:tcPr>
          <w:p w14:paraId="6CC5DD42">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1E39C6A4">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183994</w:t>
            </w:r>
          </w:p>
        </w:tc>
        <w:tc>
          <w:tcPr>
            <w:tcW w:w="1080" w:type="dxa"/>
            <w:tcBorders>
              <w:top w:val="nil"/>
              <w:left w:val="nil"/>
              <w:bottom w:val="single" w:color="000000" w:sz="4" w:space="0"/>
              <w:right w:val="single" w:color="000000" w:sz="4" w:space="0"/>
            </w:tcBorders>
            <w:shd w:val="clear" w:color="auto" w:fill="auto"/>
            <w:vAlign w:val="center"/>
          </w:tcPr>
          <w:p w14:paraId="5597D22F">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元</w:t>
            </w:r>
          </w:p>
        </w:tc>
        <w:tc>
          <w:tcPr>
            <w:tcW w:w="1080" w:type="dxa"/>
            <w:tcBorders>
              <w:top w:val="nil"/>
              <w:left w:val="nil"/>
              <w:bottom w:val="single" w:color="000000" w:sz="4" w:space="0"/>
              <w:right w:val="single" w:color="000000" w:sz="4" w:space="0"/>
            </w:tcBorders>
            <w:shd w:val="clear" w:color="auto" w:fill="auto"/>
            <w:vAlign w:val="center"/>
          </w:tcPr>
          <w:p w14:paraId="157C15D6">
            <w:pPr>
              <w:jc w:val="center"/>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r>
    </w:tbl>
    <w:p w14:paraId="0C64F7E2">
      <w:pPr>
        <w:spacing w:line="578" w:lineRule="exact"/>
        <w:ind w:firstLine="640"/>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（一）评价目的。</w:t>
      </w:r>
    </w:p>
    <w:p w14:paraId="4EFBEA76">
      <w:pPr>
        <w:adjustRightInd w:val="0"/>
        <w:snapToGrid w:val="0"/>
        <w:spacing w:line="520"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通过项目绩效自评提高绩效管理，为项目设立和安排提供重要参考依据，提高预算编制科学性、合理性，优化支出结构，从源头上防控资源配置的低效无效，提高资源配置效率和资金使用效益。</w:t>
      </w:r>
    </w:p>
    <w:p w14:paraId="68A2C829">
      <w:pPr>
        <w:adjustRightInd w:val="0"/>
        <w:snapToGrid w:val="0"/>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（二）预设问题及评价重点。</w:t>
      </w:r>
      <w:r>
        <w:rPr>
          <w:rFonts w:hint="eastAsia" w:ascii="仿宋_GB2312" w:hAnsi="仿宋_GB2312" w:eastAsia="仿宋_GB2312" w:cs="仿宋_GB2312"/>
          <w:kern w:val="0"/>
          <w:position w:val="0"/>
          <w:sz w:val="32"/>
          <w:szCs w:val="32"/>
          <w:lang w:val="en-US" w:eastAsia="zh-CN" w:bidi="ar-SA"/>
        </w:rPr>
        <w:t>按照绩效评价指标体系，对资金支出使用全过程及其实施效果进行综合评价和判断。</w:t>
      </w:r>
    </w:p>
    <w:p w14:paraId="649074E4">
      <w:pPr>
        <w:adjustRightInd w:val="0"/>
        <w:snapToGrid w:val="0"/>
        <w:spacing w:line="578" w:lineRule="exact"/>
        <w:ind w:firstLine="640" w:firstLineChars="200"/>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（三）评价选点。浙江推介会。</w:t>
      </w:r>
    </w:p>
    <w:p w14:paraId="2346C46D">
      <w:pPr>
        <w:spacing w:line="578" w:lineRule="exact"/>
        <w:ind w:firstLine="640"/>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（四）评价方法。</w:t>
      </w:r>
    </w:p>
    <w:p w14:paraId="13F44F17">
      <w:pPr>
        <w:spacing w:line="578" w:lineRule="exact"/>
        <w:ind w:firstLine="64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以单位自评法、实地勘察法。</w:t>
      </w:r>
    </w:p>
    <w:p w14:paraId="29942B30">
      <w:pPr>
        <w:spacing w:line="578" w:lineRule="exact"/>
        <w:ind w:firstLine="640"/>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（五）评价组织。财务分管领导、财务人员、相关工作人员 。</w:t>
      </w:r>
    </w:p>
    <w:p w14:paraId="1A15BC6A">
      <w:pPr>
        <w:adjustRightInd w:val="0"/>
        <w:snapToGrid w:val="0"/>
        <w:spacing w:line="578" w:lineRule="exact"/>
        <w:ind w:firstLine="640" w:firstLineChars="200"/>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三、绩效分析</w:t>
      </w:r>
      <w:r>
        <w:rPr>
          <w:rFonts w:hint="eastAsia" w:ascii="仿宋_GB2312" w:hAnsi="仿宋_GB2312" w:eastAsia="仿宋_GB2312" w:cs="仿宋_GB2312"/>
          <w:kern w:val="0"/>
          <w:position w:val="0"/>
          <w:sz w:val="32"/>
          <w:szCs w:val="32"/>
          <w:lang w:val="zh-CN" w:eastAsia="zh-CN" w:bidi="ar-SA"/>
        </w:rPr>
        <w:tab/>
      </w:r>
    </w:p>
    <w:p w14:paraId="6A5D5F3C">
      <w:pPr>
        <w:spacing w:line="578" w:lineRule="exact"/>
        <w:ind w:firstLine="64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根据项目预算绩效评价指标体系“通用指标”“专用指标”“个性指标”涉及二、三级指标进行逐项绩效分析并评分</w:t>
      </w:r>
      <w:r>
        <w:rPr>
          <w:rFonts w:hint="eastAsia" w:ascii="仿宋_GB2312" w:hAnsi="仿宋_GB2312" w:eastAsia="仿宋_GB2312" w:cs="仿宋_GB2312"/>
          <w:kern w:val="0"/>
          <w:position w:val="0"/>
          <w:sz w:val="32"/>
          <w:szCs w:val="32"/>
          <w:lang w:val="en-US" w:eastAsia="zh-CN" w:bidi="ar-SA"/>
        </w:rPr>
        <w:t>。</w:t>
      </w:r>
    </w:p>
    <w:p w14:paraId="1D65D4B5">
      <w:pPr>
        <w:spacing w:line="578" w:lineRule="exact"/>
        <w:ind w:firstLine="64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（一）</w:t>
      </w:r>
      <w:r>
        <w:rPr>
          <w:rFonts w:hint="eastAsia" w:ascii="仿宋_GB2312" w:hAnsi="仿宋_GB2312" w:eastAsia="仿宋_GB2312" w:cs="仿宋_GB2312"/>
          <w:kern w:val="0"/>
          <w:position w:val="0"/>
          <w:sz w:val="32"/>
          <w:szCs w:val="32"/>
          <w:lang w:val="en-US" w:eastAsia="zh-CN" w:bidi="ar-SA"/>
        </w:rPr>
        <w:t>通用指标</w:t>
      </w:r>
      <w:r>
        <w:rPr>
          <w:rFonts w:hint="eastAsia" w:ascii="仿宋_GB2312" w:hAnsi="仿宋_GB2312" w:eastAsia="仿宋_GB2312" w:cs="仿宋_GB2312"/>
          <w:kern w:val="0"/>
          <w:position w:val="0"/>
          <w:sz w:val="32"/>
          <w:szCs w:val="32"/>
          <w:lang w:val="zh-CN" w:eastAsia="zh-CN" w:bidi="ar-SA"/>
        </w:rPr>
        <w:t>绩效分析。</w:t>
      </w:r>
    </w:p>
    <w:p w14:paraId="7B596E3C">
      <w:pPr>
        <w:spacing w:line="578" w:lineRule="exact"/>
        <w:ind w:firstLine="64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1.项目决策。</w:t>
      </w:r>
    </w:p>
    <w:p w14:paraId="4787CA07">
      <w:pPr>
        <w:spacing w:line="578" w:lineRule="exact"/>
        <w:ind w:firstLine="640"/>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为了加强财政支出管理，提高资金使用效益，促进资源有效配置。</w:t>
      </w:r>
    </w:p>
    <w:p w14:paraId="583E9485">
      <w:pPr>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2.项目管理。</w:t>
      </w:r>
    </w:p>
    <w:p w14:paraId="6C02E654">
      <w:pPr>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在项目实施过程中，均由县财政集中支付核算中心审核，同时我中心还根据相关财务规定，对项目资金实行专款专用。</w:t>
      </w:r>
    </w:p>
    <w:p w14:paraId="609734ED">
      <w:pPr>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3.项目实施。</w:t>
      </w:r>
    </w:p>
    <w:p w14:paraId="4642BA69">
      <w:pPr>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在报账时，经我中心财务负责人、财务分管领导按职权审批，较好地保护了该项目资金的合理使用。</w:t>
      </w:r>
    </w:p>
    <w:p w14:paraId="7D4C24B7">
      <w:pPr>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4.项目结果。</w:t>
      </w:r>
    </w:p>
    <w:p w14:paraId="5BB0ECA7">
      <w:pPr>
        <w:adjustRightInd w:val="0"/>
        <w:snapToGrid w:val="0"/>
        <w:spacing w:line="520"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完成2023年邛崃-九寨沟两地文旅推介会暨文化交流活动。</w:t>
      </w:r>
    </w:p>
    <w:p w14:paraId="54D4D6C3">
      <w:pPr>
        <w:spacing w:line="578" w:lineRule="exact"/>
        <w:ind w:firstLine="640" w:firstLineChars="200"/>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w:t>
      </w:r>
      <w:r>
        <w:rPr>
          <w:rFonts w:hint="eastAsia" w:ascii="仿宋_GB2312" w:hAnsi="仿宋_GB2312" w:eastAsia="仿宋_GB2312" w:cs="仿宋_GB2312"/>
          <w:kern w:val="0"/>
          <w:position w:val="0"/>
          <w:sz w:val="32"/>
          <w:szCs w:val="32"/>
          <w:lang w:val="en-US" w:eastAsia="zh-CN" w:bidi="ar-SA"/>
        </w:rPr>
        <w:t>专用指标</w:t>
      </w:r>
      <w:r>
        <w:rPr>
          <w:rFonts w:hint="eastAsia" w:ascii="仿宋_GB2312" w:hAnsi="仿宋_GB2312" w:eastAsia="仿宋_GB2312" w:cs="仿宋_GB2312"/>
          <w:kern w:val="0"/>
          <w:position w:val="0"/>
          <w:sz w:val="32"/>
          <w:szCs w:val="32"/>
          <w:lang w:val="zh-CN" w:eastAsia="zh-CN" w:bidi="ar-SA"/>
        </w:rPr>
        <w:t>绩效分析。根据</w:t>
      </w:r>
      <w:r>
        <w:rPr>
          <w:rFonts w:hint="eastAsia" w:ascii="仿宋_GB2312" w:hAnsi="仿宋_GB2312" w:eastAsia="仿宋_GB2312" w:cs="仿宋_GB2312"/>
          <w:kern w:val="0"/>
          <w:position w:val="0"/>
          <w:sz w:val="32"/>
          <w:szCs w:val="32"/>
          <w:lang w:val="en-US" w:eastAsia="zh-CN" w:bidi="ar-SA"/>
        </w:rPr>
        <w:t>专项预算项目资金支持对象选择所属指标进行绩效分析。支持对象</w:t>
      </w:r>
      <w:r>
        <w:rPr>
          <w:rFonts w:hint="eastAsia" w:ascii="仿宋_GB2312" w:hAnsi="仿宋_GB2312" w:eastAsia="仿宋_GB2312" w:cs="仿宋_GB2312"/>
          <w:kern w:val="0"/>
          <w:position w:val="0"/>
          <w:sz w:val="32"/>
          <w:szCs w:val="32"/>
          <w:lang w:val="zh-CN" w:eastAsia="zh-CN" w:bidi="ar-SA"/>
        </w:rPr>
        <w:t>包括产业发展、民生保障、基础设施、行政运转等方面。</w:t>
      </w:r>
    </w:p>
    <w:p w14:paraId="1332FD89">
      <w:pPr>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1.产业发展。不涉及。</w:t>
      </w:r>
    </w:p>
    <w:p w14:paraId="3DC04586">
      <w:pPr>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2.</w:t>
      </w:r>
      <w:r>
        <w:rPr>
          <w:rFonts w:hint="eastAsia" w:ascii="仿宋_GB2312" w:hAnsi="仿宋_GB2312" w:eastAsia="仿宋_GB2312" w:cs="仿宋_GB2312"/>
          <w:kern w:val="0"/>
          <w:position w:val="0"/>
          <w:sz w:val="32"/>
          <w:szCs w:val="32"/>
          <w:lang w:val="zh-CN" w:eastAsia="zh-CN" w:bidi="ar-SA"/>
        </w:rPr>
        <w:t>民生保障。</w:t>
      </w:r>
      <w:r>
        <w:rPr>
          <w:rFonts w:hint="eastAsia" w:ascii="仿宋_GB2312" w:hAnsi="仿宋_GB2312" w:eastAsia="仿宋_GB2312" w:cs="仿宋_GB2312"/>
          <w:kern w:val="0"/>
          <w:position w:val="0"/>
          <w:sz w:val="32"/>
          <w:szCs w:val="32"/>
          <w:lang w:val="en-US" w:eastAsia="zh-CN" w:bidi="ar-SA"/>
        </w:rPr>
        <w:t>围绕区域均衡性、对象精准性、标准合理性、群众满意度进行绩效分析。</w:t>
      </w:r>
    </w:p>
    <w:p w14:paraId="714C710C">
      <w:pPr>
        <w:spacing w:line="578"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3.基础设施。不涉及。</w:t>
      </w:r>
    </w:p>
    <w:p w14:paraId="4E081AA0">
      <w:pPr>
        <w:adjustRightInd w:val="0"/>
        <w:snapToGrid w:val="0"/>
        <w:spacing w:line="520"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4.</w:t>
      </w:r>
      <w:r>
        <w:rPr>
          <w:rFonts w:hint="eastAsia" w:ascii="仿宋_GB2312" w:hAnsi="仿宋_GB2312" w:eastAsia="仿宋_GB2312" w:cs="仿宋_GB2312"/>
          <w:kern w:val="0"/>
          <w:position w:val="0"/>
          <w:sz w:val="32"/>
          <w:szCs w:val="32"/>
          <w:lang w:val="zh-CN" w:eastAsia="zh-CN" w:bidi="ar-SA"/>
        </w:rPr>
        <w:t>行政运转</w:t>
      </w:r>
      <w:r>
        <w:rPr>
          <w:rFonts w:hint="eastAsia" w:ascii="仿宋_GB2312" w:hAnsi="仿宋_GB2312" w:eastAsia="仿宋_GB2312" w:cs="仿宋_GB2312"/>
          <w:kern w:val="0"/>
          <w:position w:val="0"/>
          <w:sz w:val="32"/>
          <w:szCs w:val="32"/>
          <w:lang w:val="en-US" w:eastAsia="zh-CN" w:bidi="ar-SA"/>
        </w:rPr>
        <w:t>。完成2023年邛崃-九寨沟两地文旅推介会暨文化交流活动。</w:t>
      </w:r>
    </w:p>
    <w:p w14:paraId="722E90D4">
      <w:pPr>
        <w:spacing w:line="578" w:lineRule="exact"/>
        <w:ind w:firstLine="64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（三）</w:t>
      </w:r>
      <w:r>
        <w:rPr>
          <w:rFonts w:hint="eastAsia" w:ascii="仿宋_GB2312" w:hAnsi="仿宋_GB2312" w:eastAsia="仿宋_GB2312" w:cs="仿宋_GB2312"/>
          <w:kern w:val="0"/>
          <w:position w:val="0"/>
          <w:sz w:val="32"/>
          <w:szCs w:val="32"/>
          <w:lang w:val="en-US" w:eastAsia="zh-CN" w:bidi="ar-SA"/>
        </w:rPr>
        <w:t>个性指标</w:t>
      </w:r>
      <w:r>
        <w:rPr>
          <w:rFonts w:hint="eastAsia" w:ascii="仿宋_GB2312" w:hAnsi="仿宋_GB2312" w:eastAsia="仿宋_GB2312" w:cs="仿宋_GB2312"/>
          <w:kern w:val="0"/>
          <w:position w:val="0"/>
          <w:sz w:val="32"/>
          <w:szCs w:val="32"/>
          <w:lang w:val="zh-CN" w:eastAsia="zh-CN" w:bidi="ar-SA"/>
        </w:rPr>
        <w:t>绩效分析。根据项目个性自行设定部分指标，反映该项指标执行完成情况。</w:t>
      </w:r>
    </w:p>
    <w:p w14:paraId="55BAF9B5">
      <w:pPr>
        <w:pStyle w:val="6"/>
        <w:tabs>
          <w:tab w:val="left" w:pos="2160"/>
        </w:tabs>
        <w:spacing w:line="600"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四、评价结论</w:t>
      </w:r>
    </w:p>
    <w:p w14:paraId="13DC14EE">
      <w:pPr>
        <w:adjustRightInd w:val="0"/>
        <w:snapToGrid w:val="0"/>
        <w:spacing w:line="520"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完成2023年邛崃-九寨沟两地文旅推介会暨文化交流活动。</w:t>
      </w:r>
    </w:p>
    <w:p w14:paraId="408A8C85">
      <w:pPr>
        <w:pStyle w:val="6"/>
        <w:tabs>
          <w:tab w:val="left" w:pos="2160"/>
        </w:tabs>
        <w:spacing w:line="600"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五、存在主要问题</w:t>
      </w:r>
    </w:p>
    <w:p w14:paraId="797D60C5">
      <w:pPr>
        <w:pStyle w:val="6"/>
        <w:tabs>
          <w:tab w:val="left" w:pos="2160"/>
        </w:tabs>
        <w:spacing w:line="600" w:lineRule="exact"/>
        <w:ind w:firstLine="640" w:firstLineChars="200"/>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1DBD1E0C">
      <w:pPr>
        <w:pStyle w:val="6"/>
        <w:tabs>
          <w:tab w:val="left" w:pos="2160"/>
        </w:tabs>
        <w:spacing w:line="600" w:lineRule="exact"/>
        <w:ind w:firstLine="640" w:firstLineChars="200"/>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六、改进建议</w:t>
      </w:r>
    </w:p>
    <w:p w14:paraId="36460A17">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建议增加项目资金使用的灵活性。机动灵活地增加项目资金的使用范围，让项目实施部门有一定的调整空间，保证资金能及时有效的使用，进一步提高其使用效益。</w:t>
      </w:r>
    </w:p>
    <w:p w14:paraId="1F9385A5">
      <w:pPr>
        <w:tabs>
          <w:tab w:val="left" w:pos="1911"/>
        </w:tabs>
        <w:ind w:firstLine="640"/>
        <w:jc w:val="left"/>
        <w:rPr>
          <w:rFonts w:hint="eastAsia" w:ascii="方正小标宋简体" w:hAnsi="方正小标宋简体" w:eastAsia="方正小标宋简体" w:cs="方正小标宋简体"/>
          <w:color w:val="auto"/>
          <w:kern w:val="2"/>
          <w:sz w:val="44"/>
          <w:szCs w:val="44"/>
          <w:lang w:val="en-US"/>
        </w:rPr>
      </w:pPr>
    </w:p>
    <w:p w14:paraId="63C34C7D">
      <w:pPr>
        <w:tabs>
          <w:tab w:val="left" w:pos="1911"/>
        </w:tabs>
        <w:ind w:firstLine="1777" w:firstLineChars="404"/>
        <w:jc w:val="left"/>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0083AA33">
      <w:pPr>
        <w:pStyle w:val="34"/>
        <w:spacing w:line="578" w:lineRule="exact"/>
        <w:ind w:firstLine="640"/>
        <w:jc w:val="center"/>
        <w:rPr>
          <w:rFonts w:ascii="宋体" w:hAnsi="宋体"/>
          <w:color w:val="auto"/>
          <w:kern w:val="2"/>
          <w:sz w:val="32"/>
          <w:szCs w:val="32"/>
        </w:rPr>
      </w:pPr>
    </w:p>
    <w:p w14:paraId="1B489BC1">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一、项目概况</w:t>
      </w:r>
    </w:p>
    <w:p w14:paraId="2A2DCD27">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（一）设立背景及基本情况。</w:t>
      </w:r>
    </w:p>
    <w:p w14:paraId="5A8882F0">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根据县政府要求，编制十四五规划，</w:t>
      </w:r>
    </w:p>
    <w:p w14:paraId="2FC40F15">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(二)实施目的及支持方向。</w:t>
      </w:r>
    </w:p>
    <w:p w14:paraId="592F5A0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该项目属于专项业务费、社会发展性项目，主要编制十四五规划，结合我单位工作职责,负责县十四五编制，纳入县级财政预算</w:t>
      </w:r>
    </w:p>
    <w:p w14:paraId="7E8E6BF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预算安排及分配管理</w:t>
      </w:r>
      <w:r>
        <w:rPr>
          <w:rFonts w:hint="eastAsia" w:ascii="仿宋_GB2312" w:hAnsi="仿宋_GB2312" w:eastAsia="仿宋_GB2312" w:cs="仿宋_GB2312"/>
          <w:kern w:val="0"/>
          <w:position w:val="0"/>
          <w:sz w:val="32"/>
          <w:szCs w:val="32"/>
          <w:lang w:val="zh-CN" w:eastAsia="zh-CN" w:bidi="ar-SA"/>
        </w:rPr>
        <w:t>。</w:t>
      </w:r>
    </w:p>
    <w:p w14:paraId="679875D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该项目预算资金安排18万元，</w:t>
      </w:r>
    </w:p>
    <w:p w14:paraId="54417FA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项目绩效目标设置。</w:t>
      </w:r>
    </w:p>
    <w:p w14:paraId="0F63B5B4">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绩效目标和绩效指标全面完整，契合项目实质，与县发展和改革局的长期规划目标、年度工作目标相一致，产出和效果关联。</w:t>
      </w:r>
    </w:p>
    <w:tbl>
      <w:tblPr>
        <w:tblStyle w:val="15"/>
        <w:tblW w:w="7560" w:type="dxa"/>
        <w:tblInd w:w="95" w:type="dxa"/>
        <w:tblLayout w:type="autofit"/>
        <w:tblCellMar>
          <w:top w:w="0" w:type="dxa"/>
          <w:left w:w="108" w:type="dxa"/>
          <w:bottom w:w="0" w:type="dxa"/>
          <w:right w:w="108" w:type="dxa"/>
        </w:tblCellMar>
      </w:tblPr>
      <w:tblGrid>
        <w:gridCol w:w="1176"/>
        <w:gridCol w:w="1176"/>
        <w:gridCol w:w="1176"/>
        <w:gridCol w:w="1176"/>
        <w:gridCol w:w="1176"/>
        <w:gridCol w:w="1176"/>
        <w:gridCol w:w="1176"/>
      </w:tblGrid>
      <w:tr w14:paraId="37F1D01E">
        <w:tblPrEx>
          <w:tblCellMar>
            <w:top w:w="0" w:type="dxa"/>
            <w:left w:w="108" w:type="dxa"/>
            <w:bottom w:w="0" w:type="dxa"/>
            <w:right w:w="108"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7948">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一级指标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277468E">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二级指标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4DEE1F4">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三级指标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850292C">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指标性质</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9133D2C">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指标值</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579E0855">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度量单位</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05B5AFB">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完成值</w:t>
            </w:r>
          </w:p>
        </w:tc>
      </w:tr>
      <w:tr w14:paraId="1AB72384">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04AFAE11">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产出指标</w:t>
            </w:r>
          </w:p>
        </w:tc>
        <w:tc>
          <w:tcPr>
            <w:tcW w:w="1080" w:type="dxa"/>
            <w:tcBorders>
              <w:top w:val="nil"/>
              <w:left w:val="nil"/>
              <w:bottom w:val="single" w:color="000000" w:sz="4" w:space="0"/>
              <w:right w:val="single" w:color="000000" w:sz="4" w:space="0"/>
            </w:tcBorders>
            <w:shd w:val="clear" w:color="auto" w:fill="auto"/>
            <w:vAlign w:val="center"/>
          </w:tcPr>
          <w:p w14:paraId="02DB99BF">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数量指标</w:t>
            </w:r>
          </w:p>
        </w:tc>
        <w:tc>
          <w:tcPr>
            <w:tcW w:w="1080" w:type="dxa"/>
            <w:tcBorders>
              <w:top w:val="nil"/>
              <w:left w:val="nil"/>
              <w:bottom w:val="single" w:color="000000" w:sz="4" w:space="0"/>
              <w:right w:val="single" w:color="000000" w:sz="4" w:space="0"/>
            </w:tcBorders>
            <w:shd w:val="clear" w:color="auto" w:fill="auto"/>
            <w:vAlign w:val="center"/>
          </w:tcPr>
          <w:p w14:paraId="2FA3E583">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领导批示圈阅次数</w:t>
            </w:r>
          </w:p>
        </w:tc>
        <w:tc>
          <w:tcPr>
            <w:tcW w:w="1080" w:type="dxa"/>
            <w:tcBorders>
              <w:top w:val="nil"/>
              <w:left w:val="nil"/>
              <w:bottom w:val="single" w:color="000000" w:sz="4" w:space="0"/>
              <w:right w:val="single" w:color="000000" w:sz="4" w:space="0"/>
            </w:tcBorders>
            <w:shd w:val="clear" w:color="auto" w:fill="auto"/>
            <w:vAlign w:val="center"/>
          </w:tcPr>
          <w:p w14:paraId="0BCE93BE">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1FE49052">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10</w:t>
            </w:r>
          </w:p>
        </w:tc>
        <w:tc>
          <w:tcPr>
            <w:tcW w:w="1080" w:type="dxa"/>
            <w:tcBorders>
              <w:top w:val="nil"/>
              <w:left w:val="nil"/>
              <w:bottom w:val="single" w:color="000000" w:sz="4" w:space="0"/>
              <w:right w:val="single" w:color="000000" w:sz="4" w:space="0"/>
            </w:tcBorders>
            <w:shd w:val="clear" w:color="auto" w:fill="auto"/>
            <w:vAlign w:val="center"/>
          </w:tcPr>
          <w:p w14:paraId="10343CD2">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4704106A">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r>
      <w:tr w14:paraId="1A7D271C">
        <w:tblPrEx>
          <w:tblCellMar>
            <w:top w:w="0" w:type="dxa"/>
            <w:left w:w="108" w:type="dxa"/>
            <w:bottom w:w="0" w:type="dxa"/>
            <w:right w:w="108" w:type="dxa"/>
          </w:tblCellMar>
        </w:tblPrEx>
        <w:trPr>
          <w:trHeight w:val="450"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14:paraId="79AAE7DC">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效益指标</w:t>
            </w:r>
          </w:p>
          <w:p w14:paraId="723943E2">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47E1DCC7">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可持续影响指标</w:t>
            </w:r>
          </w:p>
        </w:tc>
        <w:tc>
          <w:tcPr>
            <w:tcW w:w="1080" w:type="dxa"/>
            <w:tcBorders>
              <w:top w:val="nil"/>
              <w:left w:val="nil"/>
              <w:bottom w:val="single" w:color="000000" w:sz="4" w:space="0"/>
              <w:right w:val="single" w:color="000000" w:sz="4" w:space="0"/>
            </w:tcBorders>
            <w:shd w:val="clear" w:color="auto" w:fill="auto"/>
            <w:vAlign w:val="center"/>
          </w:tcPr>
          <w:p w14:paraId="6FE9DD24">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研究报告成果利用率或转化率</w:t>
            </w:r>
          </w:p>
        </w:tc>
        <w:tc>
          <w:tcPr>
            <w:tcW w:w="1080" w:type="dxa"/>
            <w:tcBorders>
              <w:top w:val="nil"/>
              <w:left w:val="nil"/>
              <w:bottom w:val="single" w:color="000000" w:sz="4" w:space="0"/>
              <w:right w:val="single" w:color="000000" w:sz="4" w:space="0"/>
            </w:tcBorders>
            <w:shd w:val="clear" w:color="auto" w:fill="auto"/>
            <w:vAlign w:val="center"/>
          </w:tcPr>
          <w:p w14:paraId="715505A6">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定性</w:t>
            </w:r>
          </w:p>
        </w:tc>
        <w:tc>
          <w:tcPr>
            <w:tcW w:w="1080" w:type="dxa"/>
            <w:tcBorders>
              <w:top w:val="nil"/>
              <w:left w:val="nil"/>
              <w:bottom w:val="single" w:color="000000" w:sz="4" w:space="0"/>
              <w:right w:val="single" w:color="000000" w:sz="4" w:space="0"/>
            </w:tcBorders>
            <w:shd w:val="clear" w:color="auto" w:fill="auto"/>
            <w:vAlign w:val="center"/>
          </w:tcPr>
          <w:p w14:paraId="1838C6CC">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优</w:t>
            </w:r>
          </w:p>
        </w:tc>
        <w:tc>
          <w:tcPr>
            <w:tcW w:w="1080" w:type="dxa"/>
            <w:tcBorders>
              <w:top w:val="nil"/>
              <w:left w:val="nil"/>
              <w:bottom w:val="single" w:color="000000" w:sz="4" w:space="0"/>
              <w:right w:val="single" w:color="000000" w:sz="4" w:space="0"/>
            </w:tcBorders>
            <w:shd w:val="clear" w:color="auto" w:fill="auto"/>
            <w:vAlign w:val="center"/>
          </w:tcPr>
          <w:p w14:paraId="5F97FACA">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4984141D">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r>
      <w:tr w14:paraId="66FA4CE8">
        <w:tblPrEx>
          <w:tblCellMar>
            <w:top w:w="0" w:type="dxa"/>
            <w:left w:w="108" w:type="dxa"/>
            <w:bottom w:w="0" w:type="dxa"/>
            <w:right w:w="108" w:type="dxa"/>
          </w:tblCellMar>
        </w:tblPrEx>
        <w:trPr>
          <w:trHeight w:val="675" w:hRule="atLeast"/>
        </w:trPr>
        <w:tc>
          <w:tcPr>
            <w:tcW w:w="1080" w:type="dxa"/>
            <w:vMerge w:val="continue"/>
            <w:tcBorders>
              <w:top w:val="nil"/>
              <w:left w:val="single" w:color="000000" w:sz="4" w:space="0"/>
              <w:bottom w:val="single" w:color="000000" w:sz="4" w:space="0"/>
              <w:right w:val="single" w:color="000000" w:sz="4" w:space="0"/>
            </w:tcBorders>
            <w:vAlign w:val="center"/>
          </w:tcPr>
          <w:p w14:paraId="0979CA2A">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p>
        </w:tc>
        <w:tc>
          <w:tcPr>
            <w:tcW w:w="1080" w:type="dxa"/>
            <w:tcBorders>
              <w:top w:val="nil"/>
              <w:left w:val="nil"/>
              <w:bottom w:val="single" w:color="000000" w:sz="4" w:space="0"/>
              <w:right w:val="single" w:color="000000" w:sz="4" w:space="0"/>
            </w:tcBorders>
            <w:shd w:val="clear" w:color="auto" w:fill="auto"/>
            <w:vAlign w:val="center"/>
          </w:tcPr>
          <w:p w14:paraId="422E24AD">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63362519">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使用人员满意</w:t>
            </w:r>
          </w:p>
        </w:tc>
        <w:tc>
          <w:tcPr>
            <w:tcW w:w="1080" w:type="dxa"/>
            <w:tcBorders>
              <w:top w:val="nil"/>
              <w:left w:val="nil"/>
              <w:bottom w:val="single" w:color="000000" w:sz="4" w:space="0"/>
              <w:right w:val="single" w:color="000000" w:sz="4" w:space="0"/>
            </w:tcBorders>
            <w:shd w:val="clear" w:color="auto" w:fill="auto"/>
            <w:vAlign w:val="center"/>
          </w:tcPr>
          <w:p w14:paraId="2A3519E6">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46C7148E">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95</w:t>
            </w:r>
          </w:p>
        </w:tc>
        <w:tc>
          <w:tcPr>
            <w:tcW w:w="1080" w:type="dxa"/>
            <w:tcBorders>
              <w:top w:val="nil"/>
              <w:left w:val="nil"/>
              <w:bottom w:val="single" w:color="000000" w:sz="4" w:space="0"/>
              <w:right w:val="single" w:color="000000" w:sz="4" w:space="0"/>
            </w:tcBorders>
            <w:shd w:val="clear" w:color="auto" w:fill="auto"/>
            <w:vAlign w:val="center"/>
          </w:tcPr>
          <w:p w14:paraId="6536332E">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3ED41273">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w:t>
            </w:r>
          </w:p>
        </w:tc>
      </w:tr>
    </w:tbl>
    <w:p w14:paraId="374AC07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（一）评价目的。</w:t>
      </w:r>
    </w:p>
    <w:p w14:paraId="0CFEB25B">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通过项目绩效自评提高绩效管理，为项目设立和安排提供重要参考依据，提高预算编制科学性、合理性，优化支出结构，从源头上防控资源配置的低效无效，提高资源配置效率和资金使用效益。</w:t>
      </w:r>
    </w:p>
    <w:p w14:paraId="4293A767">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（二）预设问题及评价重点。</w:t>
      </w:r>
      <w:r>
        <w:rPr>
          <w:rFonts w:hint="eastAsia" w:ascii="仿宋_GB2312" w:hAnsi="仿宋_GB2312" w:eastAsia="仿宋_GB2312" w:cs="仿宋_GB2312"/>
          <w:kern w:val="0"/>
          <w:position w:val="0"/>
          <w:sz w:val="32"/>
          <w:szCs w:val="32"/>
          <w:lang w:val="en-US" w:eastAsia="zh-CN" w:bidi="ar-SA"/>
        </w:rPr>
        <w:t>按照绩效评价指标体系，对资金支出使用全过程及其实施效果进行综合评价和判断。</w:t>
      </w:r>
    </w:p>
    <w:p w14:paraId="692AEA1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（三）评价选点。零时隔离点</w:t>
      </w:r>
    </w:p>
    <w:p w14:paraId="19C92C7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（四）评价方法。</w:t>
      </w:r>
    </w:p>
    <w:p w14:paraId="0663E211">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以单位自评法、实地勘察法。</w:t>
      </w:r>
    </w:p>
    <w:p w14:paraId="4335A04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（五）评价组织。财务分管领导、财务人员、相关工作人员 。</w:t>
      </w:r>
    </w:p>
    <w:p w14:paraId="66054C4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三、绩效分析</w:t>
      </w:r>
      <w:r>
        <w:rPr>
          <w:rFonts w:hint="eastAsia" w:ascii="仿宋_GB2312" w:hAnsi="仿宋_GB2312" w:eastAsia="仿宋_GB2312" w:cs="仿宋_GB2312"/>
          <w:kern w:val="0"/>
          <w:position w:val="0"/>
          <w:sz w:val="32"/>
          <w:szCs w:val="32"/>
          <w:lang w:val="zh-CN" w:eastAsia="zh-CN" w:bidi="ar-SA"/>
        </w:rPr>
        <w:tab/>
      </w:r>
    </w:p>
    <w:p w14:paraId="386896DE">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根据项目预算绩效评价指标体系“通用指标”“专用指标”“个性指标”涉及二、三级指标进行逐项绩效分析并评分</w:t>
      </w:r>
      <w:r>
        <w:rPr>
          <w:rFonts w:hint="eastAsia" w:ascii="仿宋_GB2312" w:hAnsi="仿宋_GB2312" w:eastAsia="仿宋_GB2312" w:cs="仿宋_GB2312"/>
          <w:kern w:val="0"/>
          <w:position w:val="0"/>
          <w:sz w:val="32"/>
          <w:szCs w:val="32"/>
          <w:lang w:val="en-US" w:eastAsia="zh-CN" w:bidi="ar-SA"/>
        </w:rPr>
        <w:t>。</w:t>
      </w:r>
    </w:p>
    <w:p w14:paraId="2A0778A1">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（一）</w:t>
      </w:r>
      <w:r>
        <w:rPr>
          <w:rFonts w:hint="eastAsia" w:ascii="仿宋_GB2312" w:hAnsi="仿宋_GB2312" w:eastAsia="仿宋_GB2312" w:cs="仿宋_GB2312"/>
          <w:kern w:val="0"/>
          <w:position w:val="0"/>
          <w:sz w:val="32"/>
          <w:szCs w:val="32"/>
          <w:lang w:val="en-US" w:eastAsia="zh-CN" w:bidi="ar-SA"/>
        </w:rPr>
        <w:t>通用指标</w:t>
      </w:r>
      <w:r>
        <w:rPr>
          <w:rFonts w:hint="eastAsia" w:ascii="仿宋_GB2312" w:hAnsi="仿宋_GB2312" w:eastAsia="仿宋_GB2312" w:cs="仿宋_GB2312"/>
          <w:kern w:val="0"/>
          <w:position w:val="0"/>
          <w:sz w:val="32"/>
          <w:szCs w:val="32"/>
          <w:lang w:val="zh-CN" w:eastAsia="zh-CN" w:bidi="ar-SA"/>
        </w:rPr>
        <w:t>绩效分析。</w:t>
      </w:r>
    </w:p>
    <w:p w14:paraId="52F24EE2">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1.项目决策。</w:t>
      </w:r>
    </w:p>
    <w:p w14:paraId="4A4A4BC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为了加强财政支出管理，提高资金使用效益，促进资源有效配置。</w:t>
      </w:r>
    </w:p>
    <w:p w14:paraId="6E192E9B">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2.项目管理。</w:t>
      </w:r>
    </w:p>
    <w:p w14:paraId="2F0B9291">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在项目实施过程中，均由县财政集中支付核算中心审核，同时我中心还根据相关财务规定，对项目资金实行专款专用。</w:t>
      </w:r>
    </w:p>
    <w:p w14:paraId="13A855CA">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3.项目实施。</w:t>
      </w:r>
    </w:p>
    <w:p w14:paraId="5B1DB0A4">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在报账时，经我中心财务负责人、财务分管领导按职权审批，较好地保护了该项目资金的合理使用。</w:t>
      </w:r>
    </w:p>
    <w:p w14:paraId="11BFCA2E">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4.项目结果。</w:t>
      </w:r>
    </w:p>
    <w:p w14:paraId="4BD81C4A">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完成2023年九寨沟县十四五编制工作。</w:t>
      </w:r>
    </w:p>
    <w:p w14:paraId="3E5D100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w:t>
      </w:r>
      <w:r>
        <w:rPr>
          <w:rFonts w:hint="eastAsia" w:ascii="仿宋_GB2312" w:hAnsi="仿宋_GB2312" w:eastAsia="仿宋_GB2312" w:cs="仿宋_GB2312"/>
          <w:kern w:val="0"/>
          <w:position w:val="0"/>
          <w:sz w:val="32"/>
          <w:szCs w:val="32"/>
          <w:lang w:val="en-US" w:eastAsia="zh-CN" w:bidi="ar-SA"/>
        </w:rPr>
        <w:t>专用指标</w:t>
      </w:r>
      <w:r>
        <w:rPr>
          <w:rFonts w:hint="eastAsia" w:ascii="仿宋_GB2312" w:hAnsi="仿宋_GB2312" w:eastAsia="仿宋_GB2312" w:cs="仿宋_GB2312"/>
          <w:kern w:val="0"/>
          <w:position w:val="0"/>
          <w:sz w:val="32"/>
          <w:szCs w:val="32"/>
          <w:lang w:val="zh-CN" w:eastAsia="zh-CN" w:bidi="ar-SA"/>
        </w:rPr>
        <w:t>绩效分析。根据</w:t>
      </w:r>
      <w:r>
        <w:rPr>
          <w:rFonts w:hint="eastAsia" w:ascii="仿宋_GB2312" w:hAnsi="仿宋_GB2312" w:eastAsia="仿宋_GB2312" w:cs="仿宋_GB2312"/>
          <w:kern w:val="0"/>
          <w:position w:val="0"/>
          <w:sz w:val="32"/>
          <w:szCs w:val="32"/>
          <w:lang w:val="en-US" w:eastAsia="zh-CN" w:bidi="ar-SA"/>
        </w:rPr>
        <w:t>专项预算项目资金支持对象选择所属指标进行绩效分析。支持对象</w:t>
      </w:r>
      <w:r>
        <w:rPr>
          <w:rFonts w:hint="eastAsia" w:ascii="仿宋_GB2312" w:hAnsi="仿宋_GB2312" w:eastAsia="仿宋_GB2312" w:cs="仿宋_GB2312"/>
          <w:kern w:val="0"/>
          <w:position w:val="0"/>
          <w:sz w:val="32"/>
          <w:szCs w:val="32"/>
          <w:lang w:val="zh-CN" w:eastAsia="zh-CN" w:bidi="ar-SA"/>
        </w:rPr>
        <w:t>包括产业发展、民生保障、基础设施、行政运转等方面。</w:t>
      </w:r>
    </w:p>
    <w:p w14:paraId="7BFDABAA">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1.产业发展。不涉及。</w:t>
      </w:r>
    </w:p>
    <w:p w14:paraId="44E9C160">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2.</w:t>
      </w:r>
      <w:r>
        <w:rPr>
          <w:rFonts w:hint="eastAsia" w:ascii="仿宋_GB2312" w:hAnsi="仿宋_GB2312" w:eastAsia="仿宋_GB2312" w:cs="仿宋_GB2312"/>
          <w:kern w:val="0"/>
          <w:position w:val="0"/>
          <w:sz w:val="32"/>
          <w:szCs w:val="32"/>
          <w:lang w:val="zh-CN" w:eastAsia="zh-CN" w:bidi="ar-SA"/>
        </w:rPr>
        <w:t>民生保障。</w:t>
      </w:r>
      <w:r>
        <w:rPr>
          <w:rFonts w:hint="eastAsia" w:ascii="仿宋_GB2312" w:hAnsi="仿宋_GB2312" w:eastAsia="仿宋_GB2312" w:cs="仿宋_GB2312"/>
          <w:kern w:val="0"/>
          <w:position w:val="0"/>
          <w:sz w:val="32"/>
          <w:szCs w:val="32"/>
          <w:lang w:val="en-US" w:eastAsia="zh-CN" w:bidi="ar-SA"/>
        </w:rPr>
        <w:t>围绕区域均衡性、对象精准性、标准合理性、群众满意度进行绩效分析。</w:t>
      </w:r>
    </w:p>
    <w:p w14:paraId="494D6576">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3.基础设施。不涉及。</w:t>
      </w:r>
    </w:p>
    <w:p w14:paraId="7C48CDFC">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4.</w:t>
      </w:r>
      <w:r>
        <w:rPr>
          <w:rFonts w:hint="eastAsia" w:ascii="仿宋_GB2312" w:hAnsi="仿宋_GB2312" w:eastAsia="仿宋_GB2312" w:cs="仿宋_GB2312"/>
          <w:kern w:val="0"/>
          <w:position w:val="0"/>
          <w:sz w:val="32"/>
          <w:szCs w:val="32"/>
          <w:lang w:val="zh-CN" w:eastAsia="zh-CN" w:bidi="ar-SA"/>
        </w:rPr>
        <w:t>行政运转</w:t>
      </w:r>
      <w:r>
        <w:rPr>
          <w:rFonts w:hint="eastAsia" w:ascii="仿宋_GB2312" w:hAnsi="仿宋_GB2312" w:eastAsia="仿宋_GB2312" w:cs="仿宋_GB2312"/>
          <w:kern w:val="0"/>
          <w:position w:val="0"/>
          <w:sz w:val="32"/>
          <w:szCs w:val="32"/>
          <w:lang w:val="en-US" w:eastAsia="zh-CN" w:bidi="ar-SA"/>
        </w:rPr>
        <w:t>。完成2023年九寨沟县十四五编制工作。</w:t>
      </w:r>
    </w:p>
    <w:p w14:paraId="25F96015">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（三）</w:t>
      </w:r>
      <w:r>
        <w:rPr>
          <w:rFonts w:hint="eastAsia" w:ascii="仿宋_GB2312" w:hAnsi="仿宋_GB2312" w:eastAsia="仿宋_GB2312" w:cs="仿宋_GB2312"/>
          <w:kern w:val="0"/>
          <w:position w:val="0"/>
          <w:sz w:val="32"/>
          <w:szCs w:val="32"/>
          <w:lang w:val="en-US" w:eastAsia="zh-CN" w:bidi="ar-SA"/>
        </w:rPr>
        <w:t>个性指标</w:t>
      </w:r>
      <w:r>
        <w:rPr>
          <w:rFonts w:hint="eastAsia" w:ascii="仿宋_GB2312" w:hAnsi="仿宋_GB2312" w:eastAsia="仿宋_GB2312" w:cs="仿宋_GB2312"/>
          <w:kern w:val="0"/>
          <w:position w:val="0"/>
          <w:sz w:val="32"/>
          <w:szCs w:val="32"/>
          <w:lang w:val="zh-CN" w:eastAsia="zh-CN" w:bidi="ar-SA"/>
        </w:rPr>
        <w:t>绩效分析。根据项目个性自行设定部分指标，反映该项指标执行完成情况。</w:t>
      </w:r>
    </w:p>
    <w:p w14:paraId="03DC62E0">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四、评价结论</w:t>
      </w:r>
    </w:p>
    <w:p w14:paraId="5A87E13C">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完成2023年九寨沟县十四五编制工作，达到了预期的绩效目标。</w:t>
      </w:r>
    </w:p>
    <w:p w14:paraId="6E0E60D6">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五、存在主要问题</w:t>
      </w:r>
    </w:p>
    <w:p w14:paraId="4592F5C7">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5ADA644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六、改进建议</w:t>
      </w:r>
    </w:p>
    <w:p w14:paraId="2426A6D7">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建议增加项目资金使用的灵活性。机动灵活地增加项目资金的使用范围，让项目实施部门有一定的调整空间，保证资金能及时有效的使用，进一步提高其使用效益。</w:t>
      </w:r>
    </w:p>
    <w:p w14:paraId="118909A6">
      <w:pPr>
        <w:pStyle w:val="19"/>
        <w:ind w:firstLine="420"/>
      </w:pPr>
    </w:p>
    <w:p w14:paraId="33AB63FD">
      <w:pPr>
        <w:pStyle w:val="34"/>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专项预算项目绩效评价报告范本</w:t>
      </w:r>
    </w:p>
    <w:p w14:paraId="6ECE01BA">
      <w:pPr>
        <w:pStyle w:val="34"/>
        <w:spacing w:line="578" w:lineRule="exact"/>
        <w:ind w:firstLine="640"/>
        <w:jc w:val="center"/>
        <w:rPr>
          <w:rFonts w:ascii="宋体" w:hAnsi="宋体"/>
          <w:color w:val="auto"/>
          <w:kern w:val="2"/>
          <w:sz w:val="32"/>
          <w:szCs w:val="32"/>
        </w:rPr>
      </w:pPr>
    </w:p>
    <w:p w14:paraId="60A3672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一、</w:t>
      </w:r>
      <w:r>
        <w:rPr>
          <w:rFonts w:hint="eastAsia" w:ascii="仿宋_GB2312" w:hAnsi="仿宋_GB2312" w:eastAsia="仿宋_GB2312" w:cs="仿宋_GB2312"/>
          <w:kern w:val="0"/>
          <w:position w:val="0"/>
          <w:sz w:val="32"/>
          <w:szCs w:val="32"/>
          <w:lang w:val="zh-CN" w:eastAsia="zh-CN" w:bidi="ar-SA"/>
        </w:rPr>
        <w:t>项目概况</w:t>
      </w:r>
    </w:p>
    <w:p w14:paraId="30709AC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（一）设立背景及基本情况。</w:t>
      </w:r>
    </w:p>
    <w:p w14:paraId="27B685B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本项目的主要内容是拟通过向第三方采购的方式，采购充电系统及安装实施服务。具体采购内容为：分体式直流充电机（型号：TZKX系列）15台、直流充电终端（型号：TZD系列）85台、箱式变电站（型号：1250KVA）4台、箱式变电站（型号：400KVA）1台、开关站1台、集中控制台6台、综合监控与运营管理云平台1项、电缆、安装服务、场站安全监控系统共十项，资金预算82万元</w:t>
      </w:r>
      <w:r>
        <w:rPr>
          <w:rFonts w:hint="eastAsia" w:ascii="仿宋_GB2312" w:hAnsi="仿宋_GB2312" w:eastAsia="仿宋_GB2312" w:cs="仿宋_GB2312"/>
          <w:kern w:val="0"/>
          <w:position w:val="0"/>
          <w:sz w:val="32"/>
          <w:szCs w:val="32"/>
          <w:lang w:val="zh-CN" w:eastAsia="zh-CN" w:bidi="ar-SA"/>
        </w:rPr>
        <w:t>。</w:t>
      </w:r>
    </w:p>
    <w:p w14:paraId="45EC2CD8">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（二）</w:t>
      </w:r>
      <w:r>
        <w:rPr>
          <w:rFonts w:hint="eastAsia" w:ascii="仿宋_GB2312" w:hAnsi="仿宋_GB2312" w:eastAsia="仿宋_GB2312" w:cs="仿宋_GB2312"/>
          <w:kern w:val="0"/>
          <w:position w:val="0"/>
          <w:sz w:val="32"/>
          <w:szCs w:val="32"/>
          <w:lang w:val="en-US" w:eastAsia="zh-CN" w:bidi="ar-SA"/>
        </w:rPr>
        <w:t>实施目的及支持方向。1.政府高度重视</w:t>
      </w:r>
    </w:p>
    <w:p w14:paraId="1C05DFE0">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九寨沟景区发展得到州委州政府高度重视，于2016年3月24日,州委常委、常务副州长虞平在九寨沟县主持召开会议,专题研究九寨沟景区电力基础设施建设相关事宜,会议听取了国网四川阿坝州电力公司(关于充电站配套电网项规划建设情况和大九旅集团公司关子景区新能源汽车选型购置等相关情况的汇报。会议强调,要始终站在“九寨沟景区长远发展、阿坝州与国网四川省电力公司加快推进阿坝州电网建设发展战略合作协议”两个大局当中去思考，谋划九寨沟景区中电力基础设施建设项目，高起点规划好景区内新能源汽车选型使用和沟口空中轨道交通建设项目, 促进九寨沟景区持续健康发展。会议议定:关于新能源汽车选购问题。请大九旅集团公司牵头,接照“逐步替换”的方式,与九寨沟县政府和九寨沟管理局进行协商,抓紧时间解制定逐年淘汰大巴车的方案, 尽快明确电动汽车选型及充电方式、逐年车辆更换数量等,并将方案报州国资委审定后报州政府批准。关于景区内充电站建设问题,州电力公司作为业主,坚持高起点规划,按照分步实施的原则,加快充电站建设,大九旅集团公司要加强与州电力公司的沟通协调,确保车辆更换数量、电动汽车选型及充电方式等与充电站建设规划匹配。</w:t>
      </w:r>
    </w:p>
    <w:p w14:paraId="73B2F518">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2.企业前期准备充分</w:t>
      </w:r>
    </w:p>
    <w:p w14:paraId="676D625F">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为认真贯彻落实发展新能源汽车的国家战略，提升景区交通设施水平，努力改善景区公共交通能源结构，减少景区交通污染，全力推动景区节能减排，为九寨沟生态文明建设做出积极贡献。公司以纯电动汽车在九寨沟景区推广应用为契机，积极探索创新纯电动汽车推广应用商业合作模式。自2015年6月开始，公司与国内纯电动客车市场拥有成熟领先技术和较高占有率的多家纯电动汽车厂家合作，在九寨沟景区内开展了纯电动观光车营运试验。目前，纯电动观光车营运试验和停车场建设基本完成，部分纯电动观光车已符合九寨沟景区营运需求。</w:t>
      </w:r>
    </w:p>
    <w:p w14:paraId="52F1AE99">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综上，</w:t>
      </w:r>
      <w:r>
        <w:rPr>
          <w:rFonts w:hint="eastAsia" w:ascii="仿宋_GB2312" w:hAnsi="仿宋_GB2312" w:eastAsia="仿宋_GB2312" w:cs="仿宋_GB2312"/>
          <w:kern w:val="0"/>
          <w:position w:val="0"/>
          <w:sz w:val="32"/>
          <w:szCs w:val="32"/>
          <w:lang w:val="en-US" w:eastAsia="zh-CN" w:bidi="ar-SA"/>
        </w:rPr>
        <w:fldChar w:fldCharType="begin"/>
      </w:r>
      <w:r>
        <w:rPr>
          <w:rFonts w:hint="eastAsia" w:ascii="仿宋_GB2312" w:hAnsi="仿宋_GB2312" w:eastAsia="仿宋_GB2312" w:cs="仿宋_GB2312"/>
          <w:kern w:val="0"/>
          <w:position w:val="0"/>
          <w:sz w:val="32"/>
          <w:szCs w:val="32"/>
          <w:lang w:val="en-US" w:eastAsia="zh-CN" w:bidi="ar-SA"/>
        </w:rPr>
        <w:instrText xml:space="preserve"> HYPERLINK "http://www.baidu.com/link?url=tQqt3SOegmfry7LxVum_tCYf565AQ-xs8ZQDFJkFPA3ryO_jYtd53bED2GLtVkqdHHhZkTz30gH8pc3HiVqGsK" \t "http://www.baidu.com/_blank" </w:instrText>
      </w:r>
      <w:r>
        <w:rPr>
          <w:rFonts w:hint="eastAsia" w:ascii="仿宋_GB2312" w:hAnsi="仿宋_GB2312" w:eastAsia="仿宋_GB2312" w:cs="仿宋_GB2312"/>
          <w:kern w:val="0"/>
          <w:position w:val="0"/>
          <w:sz w:val="32"/>
          <w:szCs w:val="32"/>
          <w:lang w:val="en-US" w:eastAsia="zh-CN" w:bidi="ar-SA"/>
        </w:rPr>
        <w:fldChar w:fldCharType="separate"/>
      </w:r>
      <w:r>
        <w:rPr>
          <w:rFonts w:hint="eastAsia" w:ascii="仿宋_GB2312" w:hAnsi="仿宋_GB2312" w:eastAsia="仿宋_GB2312" w:cs="仿宋_GB2312"/>
          <w:kern w:val="0"/>
          <w:position w:val="0"/>
          <w:sz w:val="32"/>
          <w:szCs w:val="32"/>
          <w:lang w:val="en-US" w:eastAsia="zh-CN" w:bidi="ar-SA"/>
        </w:rPr>
        <w:t>公司</w:t>
      </w:r>
      <w:r>
        <w:rPr>
          <w:rFonts w:hint="eastAsia" w:ascii="仿宋_GB2312" w:hAnsi="仿宋_GB2312" w:eastAsia="仿宋_GB2312" w:cs="仿宋_GB2312"/>
          <w:kern w:val="0"/>
          <w:position w:val="0"/>
          <w:sz w:val="32"/>
          <w:szCs w:val="32"/>
          <w:lang w:val="en-US" w:eastAsia="zh-CN" w:bidi="ar-SA"/>
        </w:rPr>
        <w:fldChar w:fldCharType="end"/>
      </w:r>
      <w:r>
        <w:rPr>
          <w:rFonts w:hint="eastAsia" w:ascii="仿宋_GB2312" w:hAnsi="仿宋_GB2312" w:eastAsia="仿宋_GB2312" w:cs="仿宋_GB2312"/>
          <w:kern w:val="0"/>
          <w:position w:val="0"/>
          <w:sz w:val="32"/>
          <w:szCs w:val="32"/>
          <w:lang w:val="en-US" w:eastAsia="zh-CN" w:bidi="ar-SA"/>
        </w:rPr>
        <w:t>按照“高起点规划、高标准保护、大手笔运作、快节奏建设”的要求，筹集资金，历经五年时间完善了景区游客观光车辆等一系列相关配套服务设施。该项目建成后，在满足景区观光车充电的同时，可为自驾前来九寨沟景区旅游的电动车车主提供方便、快捷的充电服务，提升九寨沟景区的综合服务水平。漳扎镇隆康村红石头山地理位置优越，紧邻九寨沟景区，有着重要的旅游开发价值，安装景区观光车充电桩势是十分必要和迫切的。</w:t>
      </w:r>
    </w:p>
    <w:p w14:paraId="7ADCDD0B">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（二）投入经济性</w:t>
      </w:r>
    </w:p>
    <w:p w14:paraId="67D9C132">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该项目申报预算82万元，年度申报金额为82万元，资金来源为自有资金0万元、财政资金82万元。拟通过购买第三方服务的方式开展，具体测算过程如下：</w:t>
      </w:r>
    </w:p>
    <w:p w14:paraId="6EE14300">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xml:space="preserve">1.预算测算依据：《中华人民共和国政府采购法》、《中华人民共和国民法典》及阿坝大九寨旅游集团有限责任公司九寨沟旅游分公司充电桩采购安装项目（项目编号XLZB-2021-0604）的《招标文件》、第三方的《投标文件》；                       </w:t>
      </w:r>
    </w:p>
    <w:p w14:paraId="20C8E553">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 xml:space="preserve">2.测算过程：                                                                                   </w:t>
      </w:r>
    </w:p>
    <w:p w14:paraId="30A2E20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本次对项目投入经济性的评估是在项目事前绩效评估、预算测算的基础上，按照厉行节约的要求，结合项目2021年-2023年开支情况和2023年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w:t>
      </w:r>
    </w:p>
    <w:p w14:paraId="26A04A3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w:t>
      </w:r>
      <w:r>
        <w:rPr>
          <w:rFonts w:hint="eastAsia" w:ascii="仿宋_GB2312" w:hAnsi="仿宋_GB2312" w:eastAsia="仿宋_GB2312" w:cs="仿宋_GB2312"/>
          <w:kern w:val="0"/>
          <w:position w:val="0"/>
          <w:sz w:val="32"/>
          <w:szCs w:val="32"/>
          <w:lang w:val="en-US" w:eastAsia="zh-CN" w:bidi="ar-SA"/>
        </w:rPr>
        <w:t>预算安排及分配管理</w:t>
      </w:r>
      <w:r>
        <w:rPr>
          <w:rFonts w:hint="eastAsia" w:ascii="仿宋_GB2312" w:hAnsi="仿宋_GB2312" w:eastAsia="仿宋_GB2312" w:cs="仿宋_GB2312"/>
          <w:kern w:val="0"/>
          <w:position w:val="0"/>
          <w:sz w:val="32"/>
          <w:szCs w:val="32"/>
          <w:lang w:val="zh-CN" w:eastAsia="zh-CN" w:bidi="ar-SA"/>
        </w:rPr>
        <w:t>。按照九财预〔2023〕108号文件下达资金82万。阿坝大九寨旅游集团有限责任公司九寨沟旅游分公司76万元、鲁能集团6万元新能源充电桩补助款。</w:t>
      </w:r>
    </w:p>
    <w:p w14:paraId="586E9CF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（四）项目绩效目标设置。</w:t>
      </w:r>
    </w:p>
    <w:tbl>
      <w:tblPr>
        <w:tblStyle w:val="15"/>
        <w:tblW w:w="8501" w:type="dxa"/>
        <w:jc w:val="center"/>
        <w:tblLayout w:type="fixed"/>
        <w:tblCellMar>
          <w:top w:w="0" w:type="dxa"/>
          <w:left w:w="108" w:type="dxa"/>
          <w:bottom w:w="0" w:type="dxa"/>
          <w:right w:w="108" w:type="dxa"/>
        </w:tblCellMar>
      </w:tblPr>
      <w:tblGrid>
        <w:gridCol w:w="788"/>
        <w:gridCol w:w="1334"/>
        <w:gridCol w:w="1734"/>
        <w:gridCol w:w="800"/>
        <w:gridCol w:w="755"/>
        <w:gridCol w:w="745"/>
        <w:gridCol w:w="722"/>
        <w:gridCol w:w="759"/>
        <w:gridCol w:w="864"/>
      </w:tblGrid>
      <w:tr w14:paraId="7C87193D">
        <w:tblPrEx>
          <w:tblCellMar>
            <w:top w:w="0" w:type="dxa"/>
            <w:left w:w="108" w:type="dxa"/>
            <w:bottom w:w="0" w:type="dxa"/>
            <w:right w:w="108" w:type="dxa"/>
          </w:tblCellMar>
        </w:tblPrEx>
        <w:trPr>
          <w:trHeight w:val="280" w:hRule="atLeast"/>
          <w:jc w:val="center"/>
        </w:trPr>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F6C1">
            <w:pPr>
              <w:widowControl/>
              <w:jc w:val="center"/>
              <w:textAlignment w:val="center"/>
              <w:rPr>
                <w:b/>
                <w:bCs/>
                <w:color w:val="000000"/>
                <w:szCs w:val="21"/>
              </w:rPr>
            </w:pPr>
            <w:r>
              <w:rPr>
                <w:rFonts w:ascii="仿宋_GB2312" w:cs="仿宋_GB2312"/>
                <w:b/>
                <w:bCs/>
                <w:color w:val="000000"/>
                <w:kern w:val="0"/>
                <w:szCs w:val="21"/>
              </w:rPr>
              <w:t>一级指标</w:t>
            </w:r>
          </w:p>
        </w:tc>
        <w:tc>
          <w:tcPr>
            <w:tcW w:w="1334" w:type="dxa"/>
            <w:tcBorders>
              <w:top w:val="single" w:color="000000" w:sz="4" w:space="0"/>
              <w:left w:val="nil"/>
              <w:bottom w:val="single" w:color="000000" w:sz="4" w:space="0"/>
              <w:right w:val="single" w:color="000000" w:sz="4" w:space="0"/>
            </w:tcBorders>
            <w:shd w:val="clear" w:color="auto" w:fill="auto"/>
            <w:noWrap/>
            <w:vAlign w:val="center"/>
          </w:tcPr>
          <w:p w14:paraId="073098D0">
            <w:pPr>
              <w:widowControl/>
              <w:jc w:val="center"/>
              <w:textAlignment w:val="center"/>
              <w:rPr>
                <w:b/>
                <w:bCs/>
                <w:color w:val="000000"/>
                <w:szCs w:val="21"/>
              </w:rPr>
            </w:pPr>
            <w:r>
              <w:rPr>
                <w:rFonts w:ascii="仿宋_GB2312" w:cs="仿宋_GB2312"/>
                <w:b/>
                <w:bCs/>
                <w:color w:val="000000"/>
                <w:kern w:val="0"/>
                <w:szCs w:val="21"/>
              </w:rPr>
              <w:t>二级指标</w:t>
            </w:r>
          </w:p>
        </w:tc>
        <w:tc>
          <w:tcPr>
            <w:tcW w:w="1734" w:type="dxa"/>
            <w:tcBorders>
              <w:top w:val="single" w:color="000000" w:sz="4" w:space="0"/>
              <w:left w:val="nil"/>
              <w:bottom w:val="single" w:color="000000" w:sz="4" w:space="0"/>
              <w:right w:val="single" w:color="000000" w:sz="4" w:space="0"/>
            </w:tcBorders>
            <w:shd w:val="clear" w:color="auto" w:fill="auto"/>
            <w:noWrap/>
            <w:vAlign w:val="center"/>
          </w:tcPr>
          <w:p w14:paraId="01E6D8E5">
            <w:pPr>
              <w:widowControl/>
              <w:jc w:val="center"/>
              <w:textAlignment w:val="center"/>
              <w:rPr>
                <w:b/>
                <w:bCs/>
                <w:color w:val="000000"/>
                <w:szCs w:val="21"/>
              </w:rPr>
            </w:pPr>
            <w:r>
              <w:rPr>
                <w:rFonts w:ascii="仿宋_GB2312" w:cs="仿宋_GB2312"/>
                <w:b/>
                <w:bCs/>
                <w:color w:val="000000"/>
                <w:kern w:val="0"/>
                <w:szCs w:val="21"/>
              </w:rPr>
              <w:t>三级指标</w:t>
            </w:r>
          </w:p>
        </w:tc>
        <w:tc>
          <w:tcPr>
            <w:tcW w:w="800" w:type="dxa"/>
            <w:tcBorders>
              <w:top w:val="single" w:color="000000" w:sz="4" w:space="0"/>
              <w:left w:val="nil"/>
              <w:bottom w:val="single" w:color="000000" w:sz="4" w:space="0"/>
              <w:right w:val="single" w:color="000000" w:sz="4" w:space="0"/>
            </w:tcBorders>
            <w:shd w:val="clear" w:color="auto" w:fill="auto"/>
            <w:noWrap/>
            <w:vAlign w:val="center"/>
          </w:tcPr>
          <w:p w14:paraId="3AEDB962">
            <w:pPr>
              <w:widowControl/>
              <w:jc w:val="center"/>
              <w:textAlignment w:val="center"/>
              <w:rPr>
                <w:b/>
                <w:bCs/>
                <w:color w:val="000000"/>
                <w:szCs w:val="21"/>
              </w:rPr>
            </w:pPr>
            <w:r>
              <w:rPr>
                <w:rFonts w:ascii="仿宋_GB2312" w:cs="仿宋_GB2312"/>
                <w:b/>
                <w:bCs/>
                <w:color w:val="000000"/>
                <w:kern w:val="0"/>
                <w:szCs w:val="21"/>
              </w:rPr>
              <w:t>指标性质</w:t>
            </w:r>
          </w:p>
        </w:tc>
        <w:tc>
          <w:tcPr>
            <w:tcW w:w="755" w:type="dxa"/>
            <w:tcBorders>
              <w:top w:val="single" w:color="000000" w:sz="4" w:space="0"/>
              <w:left w:val="nil"/>
              <w:bottom w:val="single" w:color="000000" w:sz="4" w:space="0"/>
              <w:right w:val="single" w:color="000000" w:sz="4" w:space="0"/>
            </w:tcBorders>
            <w:shd w:val="clear" w:color="auto" w:fill="auto"/>
            <w:noWrap/>
            <w:vAlign w:val="center"/>
          </w:tcPr>
          <w:p w14:paraId="7DB5B6FE">
            <w:pPr>
              <w:widowControl/>
              <w:jc w:val="center"/>
              <w:textAlignment w:val="center"/>
              <w:rPr>
                <w:b/>
                <w:bCs/>
                <w:color w:val="000000"/>
                <w:szCs w:val="21"/>
              </w:rPr>
            </w:pPr>
            <w:r>
              <w:rPr>
                <w:rFonts w:ascii="仿宋_GB2312" w:cs="仿宋_GB2312"/>
                <w:b/>
                <w:bCs/>
                <w:color w:val="000000"/>
                <w:kern w:val="0"/>
                <w:szCs w:val="21"/>
              </w:rPr>
              <w:t>历史参考值</w:t>
            </w:r>
          </w:p>
        </w:tc>
        <w:tc>
          <w:tcPr>
            <w:tcW w:w="745" w:type="dxa"/>
            <w:tcBorders>
              <w:top w:val="single" w:color="000000" w:sz="4" w:space="0"/>
              <w:left w:val="nil"/>
              <w:bottom w:val="single" w:color="000000" w:sz="4" w:space="0"/>
              <w:right w:val="single" w:color="000000" w:sz="4" w:space="0"/>
            </w:tcBorders>
            <w:shd w:val="clear" w:color="auto" w:fill="auto"/>
            <w:noWrap/>
            <w:vAlign w:val="center"/>
          </w:tcPr>
          <w:p w14:paraId="662DE488">
            <w:pPr>
              <w:widowControl/>
              <w:jc w:val="center"/>
              <w:textAlignment w:val="center"/>
              <w:rPr>
                <w:b/>
                <w:bCs/>
                <w:color w:val="000000"/>
                <w:szCs w:val="21"/>
              </w:rPr>
            </w:pPr>
            <w:r>
              <w:rPr>
                <w:rFonts w:ascii="仿宋_GB2312" w:cs="仿宋_GB2312"/>
                <w:b/>
                <w:bCs/>
                <w:color w:val="000000"/>
                <w:kern w:val="0"/>
                <w:szCs w:val="21"/>
              </w:rPr>
              <w:t>指标值</w:t>
            </w:r>
          </w:p>
        </w:tc>
        <w:tc>
          <w:tcPr>
            <w:tcW w:w="722" w:type="dxa"/>
            <w:tcBorders>
              <w:top w:val="single" w:color="000000" w:sz="4" w:space="0"/>
              <w:left w:val="nil"/>
              <w:bottom w:val="single" w:color="000000" w:sz="4" w:space="0"/>
              <w:right w:val="single" w:color="000000" w:sz="4" w:space="0"/>
            </w:tcBorders>
            <w:shd w:val="clear" w:color="auto" w:fill="auto"/>
            <w:noWrap/>
            <w:vAlign w:val="center"/>
          </w:tcPr>
          <w:p w14:paraId="781E618C">
            <w:pPr>
              <w:widowControl/>
              <w:jc w:val="center"/>
              <w:textAlignment w:val="center"/>
              <w:rPr>
                <w:b/>
                <w:bCs/>
                <w:color w:val="000000"/>
                <w:szCs w:val="21"/>
              </w:rPr>
            </w:pPr>
            <w:r>
              <w:rPr>
                <w:rFonts w:ascii="仿宋_GB2312" w:cs="仿宋_GB2312"/>
                <w:b/>
                <w:bCs/>
                <w:color w:val="000000"/>
                <w:kern w:val="0"/>
                <w:szCs w:val="21"/>
              </w:rPr>
              <w:t>度量单位</w:t>
            </w:r>
          </w:p>
        </w:tc>
        <w:tc>
          <w:tcPr>
            <w:tcW w:w="759" w:type="dxa"/>
            <w:tcBorders>
              <w:top w:val="single" w:color="000000" w:sz="4" w:space="0"/>
              <w:left w:val="nil"/>
              <w:bottom w:val="single" w:color="000000" w:sz="4" w:space="0"/>
              <w:right w:val="single" w:color="000000" w:sz="4" w:space="0"/>
            </w:tcBorders>
            <w:shd w:val="clear" w:color="auto" w:fill="auto"/>
            <w:noWrap/>
            <w:vAlign w:val="center"/>
          </w:tcPr>
          <w:p w14:paraId="275AEC10">
            <w:pPr>
              <w:widowControl/>
              <w:jc w:val="center"/>
              <w:textAlignment w:val="center"/>
              <w:rPr>
                <w:b/>
                <w:bCs/>
                <w:color w:val="000000"/>
                <w:szCs w:val="21"/>
              </w:rPr>
            </w:pPr>
            <w:r>
              <w:rPr>
                <w:rFonts w:ascii="仿宋_GB2312" w:cs="仿宋_GB2312"/>
                <w:b/>
                <w:bCs/>
                <w:color w:val="000000"/>
                <w:kern w:val="0"/>
                <w:szCs w:val="21"/>
              </w:rPr>
              <w:t>权重（</w:t>
            </w:r>
            <w:r>
              <w:rPr>
                <w:b/>
                <w:bCs/>
                <w:color w:val="000000"/>
                <w:kern w:val="0"/>
                <w:szCs w:val="21"/>
              </w:rPr>
              <w:t>%</w:t>
            </w:r>
            <w:r>
              <w:rPr>
                <w:rFonts w:ascii="仿宋_GB2312" w:cs="仿宋_GB2312"/>
                <w:b/>
                <w:bCs/>
                <w:color w:val="000000"/>
                <w:kern w:val="0"/>
                <w:szCs w:val="21"/>
              </w:rPr>
              <w:t>）</w:t>
            </w:r>
          </w:p>
        </w:tc>
        <w:tc>
          <w:tcPr>
            <w:tcW w:w="864" w:type="dxa"/>
            <w:tcBorders>
              <w:top w:val="single" w:color="000000" w:sz="4" w:space="0"/>
              <w:left w:val="nil"/>
              <w:bottom w:val="single" w:color="000000" w:sz="4" w:space="0"/>
              <w:right w:val="single" w:color="000000" w:sz="4" w:space="0"/>
            </w:tcBorders>
            <w:shd w:val="clear" w:color="auto" w:fill="auto"/>
            <w:noWrap/>
            <w:vAlign w:val="center"/>
          </w:tcPr>
          <w:p w14:paraId="23B30884">
            <w:pPr>
              <w:widowControl/>
              <w:jc w:val="center"/>
              <w:textAlignment w:val="center"/>
              <w:rPr>
                <w:b/>
                <w:bCs/>
                <w:color w:val="000000"/>
                <w:szCs w:val="21"/>
              </w:rPr>
            </w:pPr>
            <w:r>
              <w:rPr>
                <w:rFonts w:ascii="仿宋_GB2312" w:cs="仿宋_GB2312"/>
                <w:b/>
                <w:bCs/>
                <w:color w:val="000000"/>
                <w:kern w:val="0"/>
                <w:szCs w:val="21"/>
              </w:rPr>
              <w:t>指标方向性</w:t>
            </w:r>
          </w:p>
        </w:tc>
      </w:tr>
      <w:tr w14:paraId="399E31E5">
        <w:tblPrEx>
          <w:tblCellMar>
            <w:top w:w="0" w:type="dxa"/>
            <w:left w:w="108" w:type="dxa"/>
            <w:bottom w:w="0" w:type="dxa"/>
            <w:right w:w="108" w:type="dxa"/>
          </w:tblCellMar>
        </w:tblPrEx>
        <w:trPr>
          <w:trHeight w:val="280" w:hRule="atLeast"/>
          <w:jc w:val="center"/>
        </w:trPr>
        <w:tc>
          <w:tcPr>
            <w:tcW w:w="788" w:type="dxa"/>
            <w:tcBorders>
              <w:top w:val="nil"/>
              <w:left w:val="single" w:color="000000" w:sz="4" w:space="0"/>
              <w:bottom w:val="nil"/>
              <w:right w:val="nil"/>
            </w:tcBorders>
            <w:shd w:val="clear" w:color="auto" w:fill="auto"/>
            <w:noWrap/>
            <w:vAlign w:val="center"/>
          </w:tcPr>
          <w:p w14:paraId="258D293E">
            <w:pPr>
              <w:widowControl/>
              <w:jc w:val="center"/>
              <w:textAlignment w:val="center"/>
              <w:rPr>
                <w:color w:val="000000"/>
                <w:szCs w:val="21"/>
              </w:rPr>
            </w:pPr>
            <w:r>
              <w:rPr>
                <w:rFonts w:ascii="仿宋_GB2312" w:cs="仿宋_GB2312"/>
                <w:color w:val="000000"/>
                <w:kern w:val="0"/>
                <w:szCs w:val="21"/>
              </w:rPr>
              <w:t>产出指标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E9F7">
            <w:pPr>
              <w:widowControl/>
              <w:jc w:val="center"/>
              <w:textAlignment w:val="center"/>
              <w:rPr>
                <w:color w:val="000000"/>
                <w:szCs w:val="21"/>
              </w:rPr>
            </w:pPr>
            <w:r>
              <w:rPr>
                <w:rFonts w:ascii="仿宋_GB2312" w:cs="仿宋_GB2312"/>
                <w:color w:val="000000"/>
                <w:kern w:val="0"/>
                <w:szCs w:val="21"/>
              </w:rPr>
              <w:t>数量指标</w:t>
            </w:r>
          </w:p>
        </w:tc>
        <w:tc>
          <w:tcPr>
            <w:tcW w:w="1734" w:type="dxa"/>
            <w:tcBorders>
              <w:top w:val="single" w:color="000000" w:sz="4" w:space="0"/>
              <w:left w:val="nil"/>
              <w:bottom w:val="single" w:color="000000" w:sz="4" w:space="0"/>
              <w:right w:val="nil"/>
            </w:tcBorders>
            <w:shd w:val="clear" w:color="auto" w:fill="auto"/>
            <w:noWrap/>
            <w:vAlign w:val="center"/>
          </w:tcPr>
          <w:p w14:paraId="00D92ED3">
            <w:pPr>
              <w:widowControl/>
              <w:textAlignment w:val="center"/>
              <w:rPr>
                <w:color w:val="000000"/>
                <w:szCs w:val="21"/>
              </w:rPr>
            </w:pPr>
            <w:r>
              <w:rPr>
                <w:rFonts w:hint="eastAsia" w:ascii="仿宋_GB2312" w:cs="仿宋_GB2312"/>
                <w:color w:val="000000"/>
                <w:kern w:val="0"/>
                <w:szCs w:val="21"/>
              </w:rPr>
              <w:t>数量</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8828">
            <w:pPr>
              <w:widowControl/>
              <w:jc w:val="center"/>
              <w:textAlignment w:val="center"/>
              <w:rPr>
                <w:color w:val="000000"/>
                <w:szCs w:val="21"/>
              </w:rPr>
            </w:pPr>
            <w:r>
              <w:rPr>
                <w:color w:val="000000"/>
                <w:kern w:val="0"/>
                <w:szCs w:val="21"/>
              </w:rPr>
              <w:t>≥</w:t>
            </w:r>
          </w:p>
        </w:tc>
        <w:tc>
          <w:tcPr>
            <w:tcW w:w="755" w:type="dxa"/>
            <w:tcBorders>
              <w:top w:val="single" w:color="000000" w:sz="4" w:space="0"/>
              <w:left w:val="nil"/>
              <w:bottom w:val="single" w:color="000000" w:sz="4" w:space="0"/>
              <w:right w:val="nil"/>
            </w:tcBorders>
            <w:shd w:val="clear" w:color="auto" w:fill="auto"/>
            <w:noWrap/>
            <w:vAlign w:val="center"/>
          </w:tcPr>
          <w:p w14:paraId="34018382">
            <w:pPr>
              <w:jc w:val="center"/>
              <w:rPr>
                <w:color w:val="000000"/>
                <w:szCs w:val="21"/>
              </w:rPr>
            </w:pPr>
            <w:r>
              <w:rPr>
                <w:rFonts w:hint="eastAsia"/>
                <w:color w:val="000000"/>
                <w:szCs w:val="21"/>
              </w:rPr>
              <w:t>85</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3A19C">
            <w:pPr>
              <w:widowControl/>
              <w:jc w:val="center"/>
              <w:textAlignment w:val="center"/>
              <w:rPr>
                <w:color w:val="000000"/>
                <w:szCs w:val="21"/>
              </w:rPr>
            </w:pPr>
            <w:r>
              <w:rPr>
                <w:rFonts w:hint="eastAsia"/>
                <w:color w:val="000000"/>
                <w:kern w:val="0"/>
                <w:szCs w:val="21"/>
              </w:rPr>
              <w:t>86</w:t>
            </w:r>
          </w:p>
        </w:tc>
        <w:tc>
          <w:tcPr>
            <w:tcW w:w="722" w:type="dxa"/>
            <w:tcBorders>
              <w:top w:val="single" w:color="000000" w:sz="4" w:space="0"/>
              <w:left w:val="nil"/>
              <w:bottom w:val="single" w:color="000000" w:sz="4" w:space="0"/>
              <w:right w:val="single" w:color="000000" w:sz="4" w:space="0"/>
            </w:tcBorders>
            <w:shd w:val="clear" w:color="auto" w:fill="auto"/>
            <w:noWrap/>
            <w:vAlign w:val="center"/>
          </w:tcPr>
          <w:p w14:paraId="5EE1FD58">
            <w:pPr>
              <w:widowControl/>
              <w:jc w:val="center"/>
              <w:textAlignment w:val="center"/>
              <w:rPr>
                <w:color w:val="000000"/>
                <w:szCs w:val="21"/>
              </w:rPr>
            </w:pPr>
            <w:r>
              <w:rPr>
                <w:rFonts w:ascii="仿宋_GB2312" w:cs="仿宋_GB2312"/>
                <w:color w:val="000000"/>
                <w:kern w:val="0"/>
                <w:szCs w:val="21"/>
              </w:rPr>
              <w:t>个</w:t>
            </w:r>
          </w:p>
        </w:tc>
        <w:tc>
          <w:tcPr>
            <w:tcW w:w="759" w:type="dxa"/>
            <w:tcBorders>
              <w:top w:val="single" w:color="000000" w:sz="4" w:space="0"/>
              <w:left w:val="nil"/>
              <w:bottom w:val="single" w:color="000000" w:sz="4" w:space="0"/>
              <w:right w:val="single" w:color="000000" w:sz="4" w:space="0"/>
            </w:tcBorders>
            <w:shd w:val="clear" w:color="auto" w:fill="auto"/>
            <w:noWrap/>
            <w:vAlign w:val="center"/>
          </w:tcPr>
          <w:p w14:paraId="05C965AB">
            <w:pPr>
              <w:widowControl/>
              <w:jc w:val="center"/>
              <w:textAlignment w:val="center"/>
              <w:rPr>
                <w:color w:val="000000"/>
                <w:szCs w:val="21"/>
              </w:rPr>
            </w:pPr>
            <w:r>
              <w:rPr>
                <w:rFonts w:hint="eastAsia"/>
                <w:color w:val="000000"/>
                <w:kern w:val="0"/>
                <w:szCs w:val="21"/>
              </w:rPr>
              <w:t>40</w:t>
            </w:r>
            <w:r>
              <w:rPr>
                <w:color w:val="000000"/>
                <w:kern w:val="0"/>
                <w:szCs w:val="21"/>
              </w:rPr>
              <w:t>%</w:t>
            </w:r>
          </w:p>
        </w:tc>
        <w:tc>
          <w:tcPr>
            <w:tcW w:w="864" w:type="dxa"/>
            <w:tcBorders>
              <w:top w:val="single" w:color="000000" w:sz="4" w:space="0"/>
              <w:left w:val="nil"/>
              <w:bottom w:val="single" w:color="000000" w:sz="4" w:space="0"/>
              <w:right w:val="single" w:color="000000" w:sz="4" w:space="0"/>
            </w:tcBorders>
            <w:shd w:val="clear" w:color="auto" w:fill="auto"/>
            <w:noWrap/>
            <w:vAlign w:val="center"/>
          </w:tcPr>
          <w:p w14:paraId="08FDB022">
            <w:pPr>
              <w:widowControl/>
              <w:jc w:val="center"/>
              <w:textAlignment w:val="center"/>
              <w:rPr>
                <w:color w:val="000000"/>
                <w:szCs w:val="21"/>
              </w:rPr>
            </w:pPr>
            <w:r>
              <w:rPr>
                <w:rFonts w:ascii="仿宋_GB2312" w:cs="仿宋_GB2312"/>
                <w:color w:val="000000"/>
                <w:kern w:val="0"/>
                <w:szCs w:val="21"/>
              </w:rPr>
              <w:t>正向指标</w:t>
            </w:r>
          </w:p>
        </w:tc>
      </w:tr>
      <w:tr w14:paraId="48E7B124">
        <w:tblPrEx>
          <w:tblCellMar>
            <w:top w:w="0" w:type="dxa"/>
            <w:left w:w="108" w:type="dxa"/>
            <w:bottom w:w="0" w:type="dxa"/>
            <w:right w:w="108" w:type="dxa"/>
          </w:tblCellMar>
        </w:tblPrEx>
        <w:trPr>
          <w:trHeight w:val="3170" w:hRule="atLeast"/>
          <w:jc w:val="center"/>
        </w:trPr>
        <w:tc>
          <w:tcPr>
            <w:tcW w:w="788" w:type="dxa"/>
            <w:tcBorders>
              <w:top w:val="nil"/>
              <w:left w:val="single" w:color="auto" w:sz="4" w:space="0"/>
              <w:bottom w:val="single" w:color="auto" w:sz="4" w:space="0"/>
              <w:right w:val="single" w:color="auto" w:sz="4" w:space="0"/>
            </w:tcBorders>
            <w:shd w:val="clear" w:color="auto" w:fill="auto"/>
            <w:noWrap/>
            <w:vAlign w:val="center"/>
          </w:tcPr>
          <w:p w14:paraId="494C29DE">
            <w:pPr>
              <w:widowControl/>
              <w:jc w:val="center"/>
              <w:textAlignment w:val="center"/>
              <w:rPr>
                <w:color w:val="000000"/>
                <w:szCs w:val="21"/>
              </w:rPr>
            </w:pPr>
            <w:r>
              <w:rPr>
                <w:rFonts w:ascii="仿宋_GB2312" w:cs="仿宋_GB2312"/>
                <w:color w:val="000000"/>
                <w:kern w:val="0"/>
                <w:szCs w:val="21"/>
              </w:rPr>
              <w:t>效益指标</w:t>
            </w:r>
          </w:p>
        </w:tc>
        <w:tc>
          <w:tcPr>
            <w:tcW w:w="1334" w:type="dxa"/>
            <w:tcBorders>
              <w:top w:val="single" w:color="auto" w:sz="4" w:space="0"/>
              <w:left w:val="nil"/>
              <w:bottom w:val="single" w:color="auto" w:sz="4" w:space="0"/>
              <w:right w:val="single" w:color="auto" w:sz="4" w:space="0"/>
            </w:tcBorders>
            <w:shd w:val="clear" w:color="auto" w:fill="auto"/>
            <w:noWrap/>
            <w:vAlign w:val="center"/>
          </w:tcPr>
          <w:p w14:paraId="73F265A0">
            <w:pPr>
              <w:widowControl/>
              <w:jc w:val="center"/>
              <w:textAlignment w:val="center"/>
              <w:rPr>
                <w:color w:val="000000"/>
                <w:szCs w:val="21"/>
              </w:rPr>
            </w:pPr>
            <w:r>
              <w:rPr>
                <w:rFonts w:ascii="仿宋_GB2312" w:cs="仿宋_GB2312"/>
                <w:color w:val="000000"/>
                <w:kern w:val="0"/>
                <w:szCs w:val="21"/>
              </w:rPr>
              <w:t>可持续影响指标</w:t>
            </w:r>
          </w:p>
        </w:tc>
        <w:tc>
          <w:tcPr>
            <w:tcW w:w="1734" w:type="dxa"/>
            <w:tcBorders>
              <w:top w:val="single" w:color="auto" w:sz="4" w:space="0"/>
              <w:left w:val="nil"/>
              <w:bottom w:val="single" w:color="auto" w:sz="4" w:space="0"/>
              <w:right w:val="single" w:color="auto" w:sz="4" w:space="0"/>
            </w:tcBorders>
            <w:shd w:val="clear" w:color="auto" w:fill="auto"/>
            <w:noWrap/>
            <w:vAlign w:val="center"/>
          </w:tcPr>
          <w:p w14:paraId="3FB3EDD1">
            <w:pPr>
              <w:widowControl/>
              <w:jc w:val="center"/>
              <w:textAlignment w:val="center"/>
              <w:rPr>
                <w:color w:val="000000"/>
                <w:szCs w:val="21"/>
              </w:rPr>
            </w:pPr>
            <w:r>
              <w:rPr>
                <w:rFonts w:hint="eastAsia"/>
                <w:color w:val="000000"/>
                <w:szCs w:val="21"/>
              </w:rPr>
              <w:t>充电桩建成后能最大限度减少区域内环境污染，推动节能减排，促进经济社会可持续发展</w:t>
            </w:r>
          </w:p>
        </w:tc>
        <w:tc>
          <w:tcPr>
            <w:tcW w:w="800" w:type="dxa"/>
            <w:tcBorders>
              <w:top w:val="single" w:color="auto" w:sz="4" w:space="0"/>
              <w:left w:val="nil"/>
              <w:bottom w:val="single" w:color="auto" w:sz="4" w:space="0"/>
              <w:right w:val="single" w:color="auto" w:sz="4" w:space="0"/>
            </w:tcBorders>
            <w:shd w:val="clear" w:color="auto" w:fill="auto"/>
            <w:noWrap/>
            <w:vAlign w:val="center"/>
          </w:tcPr>
          <w:p w14:paraId="73A58F3C">
            <w:pPr>
              <w:widowControl/>
              <w:jc w:val="center"/>
              <w:textAlignment w:val="center"/>
              <w:rPr>
                <w:color w:val="000000"/>
                <w:szCs w:val="21"/>
              </w:rPr>
            </w:pPr>
            <w:r>
              <w:rPr>
                <w:color w:val="000000"/>
                <w:kern w:val="0"/>
                <w:szCs w:val="21"/>
              </w:rPr>
              <w:t>≥</w:t>
            </w:r>
          </w:p>
        </w:tc>
        <w:tc>
          <w:tcPr>
            <w:tcW w:w="755" w:type="dxa"/>
            <w:tcBorders>
              <w:top w:val="single" w:color="auto" w:sz="4" w:space="0"/>
              <w:left w:val="nil"/>
              <w:bottom w:val="single" w:color="auto" w:sz="4" w:space="0"/>
              <w:right w:val="single" w:color="auto" w:sz="4" w:space="0"/>
            </w:tcBorders>
            <w:shd w:val="clear" w:color="auto" w:fill="auto"/>
            <w:noWrap/>
            <w:vAlign w:val="center"/>
          </w:tcPr>
          <w:p w14:paraId="65EB4BA9">
            <w:pPr>
              <w:jc w:val="center"/>
              <w:rPr>
                <w:color w:val="000000"/>
                <w:szCs w:val="21"/>
              </w:rPr>
            </w:pPr>
          </w:p>
        </w:tc>
        <w:tc>
          <w:tcPr>
            <w:tcW w:w="745" w:type="dxa"/>
            <w:tcBorders>
              <w:top w:val="single" w:color="auto" w:sz="4" w:space="0"/>
              <w:left w:val="nil"/>
              <w:bottom w:val="single" w:color="auto" w:sz="4" w:space="0"/>
              <w:right w:val="single" w:color="auto" w:sz="4" w:space="0"/>
            </w:tcBorders>
            <w:shd w:val="clear" w:color="auto" w:fill="auto"/>
            <w:noWrap/>
            <w:vAlign w:val="center"/>
          </w:tcPr>
          <w:p w14:paraId="10EC5387">
            <w:pPr>
              <w:widowControl/>
              <w:jc w:val="center"/>
              <w:textAlignment w:val="center"/>
              <w:rPr>
                <w:color w:val="000000"/>
                <w:szCs w:val="21"/>
              </w:rPr>
            </w:pPr>
            <w:r>
              <w:rPr>
                <w:rFonts w:hint="eastAsia"/>
                <w:color w:val="000000"/>
                <w:kern w:val="0"/>
                <w:szCs w:val="21"/>
              </w:rPr>
              <w:t>定性</w:t>
            </w:r>
          </w:p>
        </w:tc>
        <w:tc>
          <w:tcPr>
            <w:tcW w:w="722" w:type="dxa"/>
            <w:tcBorders>
              <w:top w:val="single" w:color="auto" w:sz="4" w:space="0"/>
              <w:left w:val="nil"/>
              <w:bottom w:val="single" w:color="auto" w:sz="4" w:space="0"/>
              <w:right w:val="single" w:color="auto" w:sz="4" w:space="0"/>
            </w:tcBorders>
            <w:shd w:val="clear" w:color="auto" w:fill="auto"/>
            <w:noWrap/>
            <w:vAlign w:val="center"/>
          </w:tcPr>
          <w:p w14:paraId="4489EA12">
            <w:pPr>
              <w:widowControl/>
              <w:jc w:val="center"/>
              <w:textAlignment w:val="center"/>
              <w:rPr>
                <w:color w:val="000000"/>
                <w:szCs w:val="21"/>
              </w:rPr>
            </w:pPr>
            <w:r>
              <w:rPr>
                <w:rFonts w:hint="eastAsia"/>
                <w:color w:val="000000"/>
                <w:kern w:val="0"/>
                <w:szCs w:val="21"/>
              </w:rPr>
              <w:t>优</w:t>
            </w:r>
          </w:p>
        </w:tc>
        <w:tc>
          <w:tcPr>
            <w:tcW w:w="759" w:type="dxa"/>
            <w:tcBorders>
              <w:top w:val="single" w:color="auto" w:sz="4" w:space="0"/>
              <w:left w:val="nil"/>
              <w:bottom w:val="single" w:color="auto" w:sz="4" w:space="0"/>
              <w:right w:val="single" w:color="auto" w:sz="4" w:space="0"/>
            </w:tcBorders>
            <w:shd w:val="clear" w:color="auto" w:fill="auto"/>
            <w:noWrap/>
            <w:vAlign w:val="center"/>
          </w:tcPr>
          <w:p w14:paraId="6C7E7F4A">
            <w:pPr>
              <w:widowControl/>
              <w:jc w:val="center"/>
              <w:textAlignment w:val="center"/>
              <w:rPr>
                <w:color w:val="000000"/>
                <w:szCs w:val="21"/>
              </w:rPr>
            </w:pPr>
            <w:r>
              <w:rPr>
                <w:rFonts w:hint="eastAsia"/>
                <w:color w:val="000000"/>
                <w:kern w:val="0"/>
                <w:szCs w:val="21"/>
              </w:rPr>
              <w:t>30</w:t>
            </w:r>
            <w:r>
              <w:rPr>
                <w:color w:val="000000"/>
                <w:kern w:val="0"/>
                <w:szCs w:val="21"/>
              </w:rPr>
              <w:t>%</w:t>
            </w:r>
          </w:p>
        </w:tc>
        <w:tc>
          <w:tcPr>
            <w:tcW w:w="864" w:type="dxa"/>
            <w:tcBorders>
              <w:top w:val="single" w:color="auto" w:sz="4" w:space="0"/>
              <w:left w:val="nil"/>
              <w:bottom w:val="single" w:color="auto" w:sz="4" w:space="0"/>
              <w:right w:val="single" w:color="auto" w:sz="4" w:space="0"/>
            </w:tcBorders>
            <w:shd w:val="clear" w:color="auto" w:fill="auto"/>
            <w:noWrap/>
            <w:vAlign w:val="center"/>
          </w:tcPr>
          <w:p w14:paraId="370FDF12">
            <w:pPr>
              <w:widowControl/>
              <w:jc w:val="center"/>
              <w:textAlignment w:val="center"/>
              <w:rPr>
                <w:color w:val="000000"/>
                <w:szCs w:val="21"/>
              </w:rPr>
            </w:pPr>
            <w:r>
              <w:rPr>
                <w:rFonts w:ascii="仿宋_GB2312" w:cs="仿宋_GB2312"/>
                <w:color w:val="000000"/>
                <w:kern w:val="0"/>
                <w:szCs w:val="21"/>
              </w:rPr>
              <w:t>正向指标</w:t>
            </w:r>
          </w:p>
        </w:tc>
      </w:tr>
      <w:tr w14:paraId="50231490">
        <w:tblPrEx>
          <w:tblCellMar>
            <w:top w:w="0" w:type="dxa"/>
            <w:left w:w="108" w:type="dxa"/>
            <w:bottom w:w="0" w:type="dxa"/>
            <w:right w:w="108" w:type="dxa"/>
          </w:tblCellMar>
        </w:tblPrEx>
        <w:trPr>
          <w:trHeight w:val="280" w:hRule="atLeast"/>
          <w:jc w:val="center"/>
        </w:trPr>
        <w:tc>
          <w:tcPr>
            <w:tcW w:w="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0CFE00">
            <w:pPr>
              <w:widowControl/>
              <w:jc w:val="center"/>
              <w:textAlignment w:val="center"/>
              <w:rPr>
                <w:color w:val="000000"/>
                <w:szCs w:val="21"/>
              </w:rPr>
            </w:pPr>
            <w:r>
              <w:rPr>
                <w:rFonts w:ascii="仿宋_GB2312" w:cs="仿宋_GB2312"/>
                <w:color w:val="000000"/>
                <w:kern w:val="0"/>
                <w:szCs w:val="21"/>
              </w:rPr>
              <w:t>满意度指标</w:t>
            </w:r>
          </w:p>
        </w:tc>
        <w:tc>
          <w:tcPr>
            <w:tcW w:w="1334" w:type="dxa"/>
            <w:tcBorders>
              <w:top w:val="single" w:color="auto" w:sz="4" w:space="0"/>
              <w:left w:val="nil"/>
              <w:bottom w:val="single" w:color="auto" w:sz="4" w:space="0"/>
              <w:right w:val="single" w:color="auto" w:sz="4" w:space="0"/>
            </w:tcBorders>
            <w:shd w:val="clear" w:color="auto" w:fill="auto"/>
            <w:noWrap/>
            <w:vAlign w:val="center"/>
          </w:tcPr>
          <w:p w14:paraId="43CA8370">
            <w:pPr>
              <w:widowControl/>
              <w:jc w:val="center"/>
              <w:textAlignment w:val="center"/>
              <w:rPr>
                <w:color w:val="000000"/>
                <w:szCs w:val="21"/>
              </w:rPr>
            </w:pPr>
            <w:r>
              <w:rPr>
                <w:rFonts w:ascii="仿宋_GB2312" w:cs="仿宋_GB2312"/>
                <w:color w:val="000000"/>
                <w:kern w:val="0"/>
                <w:szCs w:val="21"/>
              </w:rPr>
              <w:t>满意度指标</w:t>
            </w:r>
          </w:p>
        </w:tc>
        <w:tc>
          <w:tcPr>
            <w:tcW w:w="1734" w:type="dxa"/>
            <w:tcBorders>
              <w:top w:val="single" w:color="auto" w:sz="4" w:space="0"/>
              <w:left w:val="nil"/>
              <w:bottom w:val="single" w:color="auto" w:sz="4" w:space="0"/>
              <w:right w:val="single" w:color="auto" w:sz="4" w:space="0"/>
            </w:tcBorders>
            <w:shd w:val="clear" w:color="auto" w:fill="auto"/>
            <w:noWrap/>
            <w:vAlign w:val="center"/>
          </w:tcPr>
          <w:p w14:paraId="67D5A66C">
            <w:pPr>
              <w:widowControl/>
              <w:jc w:val="center"/>
              <w:textAlignment w:val="center"/>
              <w:rPr>
                <w:color w:val="000000"/>
                <w:szCs w:val="21"/>
              </w:rPr>
            </w:pPr>
            <w:r>
              <w:rPr>
                <w:rFonts w:hint="eastAsia" w:ascii="仿宋_GB2312" w:cs="仿宋_GB2312"/>
                <w:color w:val="000000"/>
                <w:kern w:val="0"/>
                <w:szCs w:val="21"/>
              </w:rPr>
              <w:t>使用者满意</w:t>
            </w:r>
          </w:p>
        </w:tc>
        <w:tc>
          <w:tcPr>
            <w:tcW w:w="800" w:type="dxa"/>
            <w:tcBorders>
              <w:top w:val="single" w:color="auto" w:sz="4" w:space="0"/>
              <w:left w:val="nil"/>
              <w:bottom w:val="single" w:color="auto" w:sz="4" w:space="0"/>
              <w:right w:val="single" w:color="auto" w:sz="4" w:space="0"/>
            </w:tcBorders>
            <w:shd w:val="clear" w:color="auto" w:fill="auto"/>
            <w:noWrap/>
            <w:vAlign w:val="center"/>
          </w:tcPr>
          <w:p w14:paraId="73DBA7EA">
            <w:pPr>
              <w:widowControl/>
              <w:jc w:val="center"/>
              <w:textAlignment w:val="center"/>
              <w:rPr>
                <w:color w:val="000000"/>
                <w:szCs w:val="21"/>
              </w:rPr>
            </w:pPr>
            <w:r>
              <w:rPr>
                <w:color w:val="000000"/>
                <w:kern w:val="0"/>
                <w:szCs w:val="21"/>
              </w:rPr>
              <w:t>≥</w:t>
            </w:r>
          </w:p>
        </w:tc>
        <w:tc>
          <w:tcPr>
            <w:tcW w:w="755" w:type="dxa"/>
            <w:tcBorders>
              <w:top w:val="single" w:color="auto" w:sz="4" w:space="0"/>
              <w:left w:val="nil"/>
              <w:bottom w:val="single" w:color="auto" w:sz="4" w:space="0"/>
              <w:right w:val="single" w:color="auto" w:sz="4" w:space="0"/>
            </w:tcBorders>
            <w:shd w:val="clear" w:color="auto" w:fill="auto"/>
            <w:noWrap/>
            <w:vAlign w:val="center"/>
          </w:tcPr>
          <w:p w14:paraId="5DC4A28B">
            <w:pPr>
              <w:widowControl/>
              <w:jc w:val="center"/>
              <w:textAlignment w:val="center"/>
              <w:rPr>
                <w:color w:val="000000"/>
                <w:szCs w:val="21"/>
              </w:rPr>
            </w:pPr>
            <w:r>
              <w:rPr>
                <w:rFonts w:hint="eastAsia"/>
                <w:color w:val="000000"/>
                <w:kern w:val="0"/>
                <w:szCs w:val="21"/>
              </w:rPr>
              <w:t>98</w:t>
            </w:r>
            <w:r>
              <w:rPr>
                <w:color w:val="000000"/>
                <w:kern w:val="0"/>
                <w:szCs w:val="21"/>
              </w:rPr>
              <w:t>%</w:t>
            </w:r>
          </w:p>
        </w:tc>
        <w:tc>
          <w:tcPr>
            <w:tcW w:w="745" w:type="dxa"/>
            <w:tcBorders>
              <w:top w:val="single" w:color="auto" w:sz="4" w:space="0"/>
              <w:left w:val="nil"/>
              <w:bottom w:val="single" w:color="auto" w:sz="4" w:space="0"/>
              <w:right w:val="single" w:color="auto" w:sz="4" w:space="0"/>
            </w:tcBorders>
            <w:shd w:val="clear" w:color="auto" w:fill="auto"/>
            <w:noWrap/>
            <w:vAlign w:val="center"/>
          </w:tcPr>
          <w:p w14:paraId="3580F597">
            <w:pPr>
              <w:widowControl/>
              <w:jc w:val="center"/>
              <w:textAlignment w:val="center"/>
              <w:rPr>
                <w:color w:val="000000"/>
                <w:szCs w:val="21"/>
              </w:rPr>
            </w:pPr>
            <w:r>
              <w:rPr>
                <w:rFonts w:hint="eastAsia"/>
                <w:color w:val="000000"/>
                <w:kern w:val="0"/>
                <w:szCs w:val="21"/>
              </w:rPr>
              <w:t>98</w:t>
            </w:r>
          </w:p>
        </w:tc>
        <w:tc>
          <w:tcPr>
            <w:tcW w:w="722" w:type="dxa"/>
            <w:tcBorders>
              <w:top w:val="single" w:color="auto" w:sz="4" w:space="0"/>
              <w:left w:val="nil"/>
              <w:bottom w:val="single" w:color="auto" w:sz="4" w:space="0"/>
              <w:right w:val="single" w:color="auto" w:sz="4" w:space="0"/>
            </w:tcBorders>
            <w:shd w:val="clear" w:color="auto" w:fill="auto"/>
            <w:noWrap/>
            <w:vAlign w:val="center"/>
          </w:tcPr>
          <w:p w14:paraId="3D2E87ED">
            <w:pPr>
              <w:rPr>
                <w:color w:val="000000"/>
                <w:szCs w:val="21"/>
              </w:rPr>
            </w:pPr>
            <w:r>
              <w:rPr>
                <w:rFonts w:hint="eastAsia"/>
                <w:color w:val="000000"/>
                <w:szCs w:val="21"/>
              </w:rPr>
              <w:t>%</w:t>
            </w:r>
          </w:p>
        </w:tc>
        <w:tc>
          <w:tcPr>
            <w:tcW w:w="759" w:type="dxa"/>
            <w:tcBorders>
              <w:top w:val="single" w:color="auto" w:sz="4" w:space="0"/>
              <w:left w:val="nil"/>
              <w:bottom w:val="single" w:color="auto" w:sz="4" w:space="0"/>
              <w:right w:val="single" w:color="auto" w:sz="4" w:space="0"/>
            </w:tcBorders>
            <w:shd w:val="clear" w:color="auto" w:fill="auto"/>
            <w:noWrap/>
            <w:vAlign w:val="center"/>
          </w:tcPr>
          <w:p w14:paraId="6C811CB6">
            <w:pPr>
              <w:widowControl/>
              <w:jc w:val="center"/>
              <w:textAlignment w:val="center"/>
              <w:rPr>
                <w:color w:val="000000"/>
                <w:szCs w:val="21"/>
              </w:rPr>
            </w:pPr>
            <w:r>
              <w:rPr>
                <w:rFonts w:hint="eastAsia"/>
                <w:color w:val="000000"/>
                <w:kern w:val="0"/>
                <w:szCs w:val="21"/>
              </w:rPr>
              <w:t>10</w:t>
            </w:r>
            <w:r>
              <w:rPr>
                <w:color w:val="000000"/>
                <w:kern w:val="0"/>
                <w:szCs w:val="21"/>
              </w:rPr>
              <w:t>%</w:t>
            </w:r>
          </w:p>
        </w:tc>
        <w:tc>
          <w:tcPr>
            <w:tcW w:w="864" w:type="dxa"/>
            <w:tcBorders>
              <w:top w:val="single" w:color="auto" w:sz="4" w:space="0"/>
              <w:left w:val="nil"/>
              <w:bottom w:val="single" w:color="auto" w:sz="4" w:space="0"/>
              <w:right w:val="single" w:color="auto" w:sz="4" w:space="0"/>
            </w:tcBorders>
            <w:shd w:val="clear" w:color="auto" w:fill="auto"/>
            <w:noWrap/>
            <w:vAlign w:val="center"/>
          </w:tcPr>
          <w:p w14:paraId="48152068">
            <w:pPr>
              <w:widowControl/>
              <w:jc w:val="center"/>
              <w:textAlignment w:val="center"/>
              <w:rPr>
                <w:color w:val="000000"/>
                <w:szCs w:val="21"/>
              </w:rPr>
            </w:pPr>
            <w:r>
              <w:rPr>
                <w:rFonts w:ascii="仿宋_GB2312" w:cs="仿宋_GB2312"/>
                <w:color w:val="000000"/>
                <w:kern w:val="0"/>
                <w:szCs w:val="21"/>
              </w:rPr>
              <w:t>正向指标</w:t>
            </w:r>
          </w:p>
        </w:tc>
      </w:tr>
      <w:tr w14:paraId="285D1C85">
        <w:tblPrEx>
          <w:tblCellMar>
            <w:top w:w="0" w:type="dxa"/>
            <w:left w:w="108" w:type="dxa"/>
            <w:bottom w:w="0" w:type="dxa"/>
            <w:right w:w="108" w:type="dxa"/>
          </w:tblCellMar>
        </w:tblPrEx>
        <w:trPr>
          <w:trHeight w:val="280" w:hRule="atLeast"/>
          <w:jc w:val="center"/>
        </w:trPr>
        <w:tc>
          <w:tcPr>
            <w:tcW w:w="78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ED166C">
            <w:pPr>
              <w:widowControl/>
              <w:jc w:val="center"/>
              <w:textAlignment w:val="center"/>
              <w:rPr>
                <w:color w:val="000000"/>
                <w:szCs w:val="21"/>
              </w:rPr>
            </w:pPr>
            <w:r>
              <w:rPr>
                <w:rFonts w:ascii="仿宋_GB2312" w:cs="仿宋_GB2312"/>
                <w:color w:val="000000"/>
                <w:kern w:val="0"/>
                <w:szCs w:val="21"/>
              </w:rPr>
              <w:t>成本指标</w:t>
            </w:r>
          </w:p>
        </w:tc>
        <w:tc>
          <w:tcPr>
            <w:tcW w:w="1334" w:type="dxa"/>
            <w:tcBorders>
              <w:top w:val="single" w:color="000000" w:sz="4" w:space="0"/>
              <w:left w:val="nil"/>
              <w:bottom w:val="single" w:color="auto" w:sz="4" w:space="0"/>
              <w:right w:val="single" w:color="000000" w:sz="4" w:space="0"/>
            </w:tcBorders>
            <w:shd w:val="clear" w:color="auto" w:fill="auto"/>
            <w:noWrap/>
            <w:vAlign w:val="center"/>
          </w:tcPr>
          <w:p w14:paraId="68512AE7">
            <w:pPr>
              <w:widowControl/>
              <w:jc w:val="center"/>
              <w:textAlignment w:val="center"/>
              <w:rPr>
                <w:color w:val="000000"/>
                <w:szCs w:val="21"/>
              </w:rPr>
            </w:pPr>
            <w:r>
              <w:rPr>
                <w:rFonts w:hint="eastAsia" w:ascii="仿宋_GB2312" w:cs="仿宋_GB2312"/>
                <w:color w:val="000000"/>
                <w:kern w:val="0"/>
                <w:szCs w:val="21"/>
              </w:rPr>
              <w:t>经济</w:t>
            </w:r>
            <w:r>
              <w:rPr>
                <w:rFonts w:ascii="仿宋_GB2312" w:cs="仿宋_GB2312"/>
                <w:color w:val="000000"/>
                <w:kern w:val="0"/>
                <w:szCs w:val="21"/>
              </w:rPr>
              <w:t>成本</w:t>
            </w:r>
            <w:r>
              <w:rPr>
                <w:rFonts w:hint="eastAsia" w:ascii="仿宋_GB2312" w:cs="仿宋_GB2312"/>
                <w:color w:val="000000"/>
                <w:kern w:val="0"/>
                <w:szCs w:val="21"/>
              </w:rPr>
              <w:t>指标</w:t>
            </w:r>
          </w:p>
        </w:tc>
        <w:tc>
          <w:tcPr>
            <w:tcW w:w="1734" w:type="dxa"/>
            <w:tcBorders>
              <w:top w:val="single" w:color="000000" w:sz="4" w:space="0"/>
              <w:left w:val="nil"/>
              <w:bottom w:val="single" w:color="auto" w:sz="4" w:space="0"/>
              <w:right w:val="single" w:color="000000" w:sz="4" w:space="0"/>
            </w:tcBorders>
            <w:shd w:val="clear" w:color="auto" w:fill="auto"/>
            <w:noWrap/>
            <w:vAlign w:val="center"/>
          </w:tcPr>
          <w:p w14:paraId="31E01559">
            <w:pPr>
              <w:widowControl/>
              <w:jc w:val="center"/>
              <w:textAlignment w:val="center"/>
              <w:rPr>
                <w:color w:val="000000"/>
                <w:szCs w:val="21"/>
              </w:rPr>
            </w:pPr>
            <w:r>
              <w:rPr>
                <w:rFonts w:hint="eastAsia"/>
                <w:color w:val="000000"/>
                <w:szCs w:val="21"/>
              </w:rPr>
              <w:t>成本控制在标准建设范围内</w:t>
            </w:r>
          </w:p>
        </w:tc>
        <w:tc>
          <w:tcPr>
            <w:tcW w:w="800" w:type="dxa"/>
            <w:tcBorders>
              <w:top w:val="single" w:color="000000" w:sz="4" w:space="0"/>
              <w:left w:val="nil"/>
              <w:bottom w:val="single" w:color="auto" w:sz="4" w:space="0"/>
              <w:right w:val="nil"/>
            </w:tcBorders>
            <w:shd w:val="clear" w:color="auto" w:fill="auto"/>
            <w:noWrap/>
            <w:vAlign w:val="center"/>
          </w:tcPr>
          <w:p w14:paraId="6ECFF6B3">
            <w:pPr>
              <w:widowControl/>
              <w:jc w:val="center"/>
              <w:textAlignment w:val="center"/>
              <w:rPr>
                <w:color w:val="000000"/>
                <w:szCs w:val="21"/>
              </w:rPr>
            </w:pPr>
            <w:r>
              <w:rPr>
                <w:color w:val="000000"/>
                <w:kern w:val="0"/>
                <w:szCs w:val="21"/>
              </w:rPr>
              <w:t>≤</w:t>
            </w:r>
          </w:p>
        </w:tc>
        <w:tc>
          <w:tcPr>
            <w:tcW w:w="75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E8B95F">
            <w:pPr>
              <w:widowControl/>
              <w:jc w:val="center"/>
              <w:textAlignment w:val="center"/>
              <w:rPr>
                <w:color w:val="000000"/>
                <w:szCs w:val="21"/>
              </w:rPr>
            </w:pPr>
          </w:p>
        </w:tc>
        <w:tc>
          <w:tcPr>
            <w:tcW w:w="745" w:type="dxa"/>
            <w:tcBorders>
              <w:top w:val="single" w:color="000000" w:sz="4" w:space="0"/>
              <w:left w:val="nil"/>
              <w:bottom w:val="single" w:color="auto" w:sz="4" w:space="0"/>
              <w:right w:val="single" w:color="000000" w:sz="4" w:space="0"/>
            </w:tcBorders>
            <w:shd w:val="clear" w:color="auto" w:fill="auto"/>
            <w:noWrap/>
            <w:vAlign w:val="center"/>
          </w:tcPr>
          <w:p w14:paraId="101C29F9">
            <w:pPr>
              <w:widowControl/>
              <w:jc w:val="center"/>
              <w:textAlignment w:val="center"/>
              <w:rPr>
                <w:color w:val="000000"/>
                <w:szCs w:val="21"/>
              </w:rPr>
            </w:pPr>
            <w:r>
              <w:rPr>
                <w:rFonts w:hint="eastAsia"/>
                <w:color w:val="000000"/>
                <w:kern w:val="0"/>
                <w:szCs w:val="21"/>
              </w:rPr>
              <w:t>82</w:t>
            </w:r>
          </w:p>
        </w:tc>
        <w:tc>
          <w:tcPr>
            <w:tcW w:w="722" w:type="dxa"/>
            <w:tcBorders>
              <w:top w:val="single" w:color="000000" w:sz="4" w:space="0"/>
              <w:left w:val="nil"/>
              <w:bottom w:val="single" w:color="auto" w:sz="4" w:space="0"/>
              <w:right w:val="single" w:color="000000" w:sz="4" w:space="0"/>
            </w:tcBorders>
            <w:shd w:val="clear" w:color="auto" w:fill="auto"/>
            <w:noWrap/>
            <w:vAlign w:val="center"/>
          </w:tcPr>
          <w:p w14:paraId="3181BD77">
            <w:pPr>
              <w:widowControl/>
              <w:jc w:val="center"/>
              <w:textAlignment w:val="center"/>
              <w:rPr>
                <w:color w:val="000000"/>
                <w:szCs w:val="21"/>
              </w:rPr>
            </w:pPr>
            <w:r>
              <w:rPr>
                <w:rFonts w:ascii="仿宋_GB2312" w:cs="仿宋_GB2312"/>
                <w:color w:val="000000"/>
                <w:kern w:val="0"/>
                <w:szCs w:val="21"/>
              </w:rPr>
              <w:t>万元</w:t>
            </w:r>
          </w:p>
        </w:tc>
        <w:tc>
          <w:tcPr>
            <w:tcW w:w="759" w:type="dxa"/>
            <w:tcBorders>
              <w:top w:val="single" w:color="000000" w:sz="4" w:space="0"/>
              <w:left w:val="nil"/>
              <w:bottom w:val="single" w:color="auto" w:sz="4" w:space="0"/>
              <w:right w:val="single" w:color="000000" w:sz="4" w:space="0"/>
            </w:tcBorders>
            <w:shd w:val="clear" w:color="auto" w:fill="auto"/>
            <w:noWrap/>
            <w:vAlign w:val="center"/>
          </w:tcPr>
          <w:p w14:paraId="27274A8C">
            <w:pPr>
              <w:widowControl/>
              <w:jc w:val="center"/>
              <w:textAlignment w:val="center"/>
              <w:rPr>
                <w:color w:val="000000"/>
                <w:szCs w:val="21"/>
              </w:rPr>
            </w:pPr>
            <w:r>
              <w:rPr>
                <w:rFonts w:hint="eastAsia"/>
                <w:color w:val="000000"/>
                <w:kern w:val="0"/>
                <w:szCs w:val="21"/>
              </w:rPr>
              <w:t>10</w:t>
            </w:r>
            <w:r>
              <w:rPr>
                <w:color w:val="000000"/>
                <w:kern w:val="0"/>
                <w:szCs w:val="21"/>
              </w:rPr>
              <w:t>%</w:t>
            </w:r>
          </w:p>
        </w:tc>
        <w:tc>
          <w:tcPr>
            <w:tcW w:w="864" w:type="dxa"/>
            <w:tcBorders>
              <w:top w:val="single" w:color="000000" w:sz="4" w:space="0"/>
              <w:left w:val="nil"/>
              <w:bottom w:val="single" w:color="auto" w:sz="4" w:space="0"/>
              <w:right w:val="single" w:color="000000" w:sz="4" w:space="0"/>
            </w:tcBorders>
            <w:shd w:val="clear" w:color="auto" w:fill="auto"/>
            <w:noWrap/>
            <w:vAlign w:val="center"/>
          </w:tcPr>
          <w:p w14:paraId="758C4CDA">
            <w:pPr>
              <w:widowControl/>
              <w:jc w:val="center"/>
              <w:textAlignment w:val="center"/>
              <w:rPr>
                <w:color w:val="000000"/>
                <w:szCs w:val="21"/>
              </w:rPr>
            </w:pPr>
            <w:r>
              <w:rPr>
                <w:rFonts w:ascii="仿宋_GB2312" w:cs="仿宋_GB2312"/>
                <w:color w:val="000000"/>
                <w:kern w:val="0"/>
                <w:szCs w:val="21"/>
              </w:rPr>
              <w:t>反向指标</w:t>
            </w:r>
          </w:p>
        </w:tc>
      </w:tr>
    </w:tbl>
    <w:p w14:paraId="559F3B38">
      <w:pPr>
        <w:autoSpaceDE w:val="0"/>
        <w:snapToGrid w:val="0"/>
        <w:spacing w:line="600" w:lineRule="atLeast"/>
        <w:rPr>
          <w:rFonts w:ascii="仿宋_GB2312" w:hAnsi="宋体"/>
        </w:rPr>
      </w:pPr>
      <w:r>
        <w:rPr>
          <w:rFonts w:ascii="仿宋_GB2312" w:hAnsi="宋体"/>
        </w:rPr>
        <w:t xml:space="preserve"> </w:t>
      </w:r>
    </w:p>
    <w:p w14:paraId="310C4AB5">
      <w:pPr>
        <w:adjustRightInd w:val="0"/>
        <w:snapToGrid w:val="0"/>
        <w:spacing w:line="578" w:lineRule="exact"/>
        <w:ind w:firstLine="420" w:firstLineChars="200"/>
        <w:rPr>
          <w:rFonts w:ascii="仿宋_GB2312" w:hAnsi="仿宋_GB2312" w:cs="仿宋_GB2312"/>
          <w:kern w:val="0"/>
          <w:shd w:val="clear" w:color="auto" w:fill="FFFFFF"/>
          <w:lang w:val="zh-CN"/>
        </w:rPr>
      </w:pPr>
    </w:p>
    <w:p w14:paraId="61F90B0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二、评价实施</w:t>
      </w:r>
    </w:p>
    <w:p w14:paraId="5FFD0F9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（一）评价目的。通过项目绩效自评提高绩效管理，为项目设立和安排提供重要参考依据，提高预算编制科学性、合理性，优化支出结构，从源头上防控资源配置的低效无效，提高资源配置效率和资金使用效益。</w:t>
      </w:r>
    </w:p>
    <w:p w14:paraId="62B31FE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（二）预设问题及评价重点。无。</w:t>
      </w:r>
    </w:p>
    <w:p w14:paraId="599F652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（三）评价选点。阿坝大九寨旅游集团有限责任公司九寨沟旅游分公司已完成建设，与投入使用。</w:t>
      </w:r>
    </w:p>
    <w:p w14:paraId="13A3BBD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（四）评价方法。按照有关规定和工作安排，公司开展自行评估，通过自行成立方式组建评估组，通过收集被评估项目相关基础资料，并查阅资料、收集数据信息等，深入论证分析后，形成绩效评估报告。</w:t>
      </w:r>
    </w:p>
    <w:p w14:paraId="228D263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（五）评价组织。营运部、后勤保障部、充电站站长、充电站运行维护人员。</w:t>
      </w:r>
    </w:p>
    <w:p w14:paraId="2612FEE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三、绩效分析</w:t>
      </w:r>
      <w:r>
        <w:rPr>
          <w:rFonts w:hint="eastAsia" w:ascii="仿宋_GB2312" w:hAnsi="仿宋_GB2312" w:eastAsia="仿宋_GB2312" w:cs="仿宋_GB2312"/>
          <w:kern w:val="0"/>
          <w:position w:val="0"/>
          <w:sz w:val="32"/>
          <w:szCs w:val="32"/>
          <w:lang w:val="zh-CN" w:eastAsia="zh-CN" w:bidi="ar-SA"/>
        </w:rPr>
        <w:tab/>
      </w:r>
    </w:p>
    <w:p w14:paraId="16CD695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根据项目预算绩效评价指标体系“通用指标”“专用指标”“个性指标”涉及二、三级指标进行逐项绩效分析并评分。</w:t>
      </w:r>
    </w:p>
    <w:p w14:paraId="2BEDF84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（一）通用指标绩效分析。</w:t>
      </w:r>
    </w:p>
    <w:p w14:paraId="478A8FF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1.项目决策。为了加强财政支出管理，提高资金使用效益，促进资源有效配置。</w:t>
      </w:r>
    </w:p>
    <w:p w14:paraId="1F34556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2.项目管理。在项目实施过程中，均由县财政集中支付核算中心审核，同时我中心还根据相关财务规定，对项目资金实行专款专用。</w:t>
      </w:r>
    </w:p>
    <w:p w14:paraId="67D9ABA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3.项目实施。报账时，经我中心财务负责人、财务分管领导按职权审批后拨付承储企业，较好地保护了该项目资金的合理使用。</w:t>
      </w:r>
    </w:p>
    <w:p w14:paraId="156C706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4.项目结果。为认真贯彻落实发展新能源汽车的国家战略，提升景区交通设施水平，努力改善景区公共交通能源结构，减少景区交通污染，全力推动景区节能减排，为九寨沟生态文明建设做出积极贡献。</w:t>
      </w:r>
    </w:p>
    <w:p w14:paraId="731ADD5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（二）专用指标绩效分析。根据专项预算项目资金支持对象选择所属指标进行绩效分析。支持对象包括产业发展、民生保障、基础设施、行政运转等方面。</w:t>
      </w:r>
    </w:p>
    <w:p w14:paraId="328DEAD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1.产业发展。不涉及。</w:t>
      </w:r>
    </w:p>
    <w:p w14:paraId="6715456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2.民生保障。为认真贯彻落实发展新能源汽车的国家战略，提升景区交通设施水平，努力改善景区公共交通能源结构，减少景区交通污染，全力推动景区节能减排，为九寨沟生态文明建设做出积极贡献。</w:t>
      </w:r>
    </w:p>
    <w:p w14:paraId="08EEA28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基础设施。本项目的主要内容是拟通过向第三方采购的方式，采购充电系统及安装实施服务。具体采购内容为：分体式直流充电机（型号：TZKX系列）15台、直流充电终端（型号：TZD系列）85台、箱式变电站（型号：1250KVA）4台、箱式变电站（型号：400KVA）1台、开关站1台、集中控制台6台、综合监控与运营管理云平台1项、电缆、安装服务、场站安全监控系统共十项。</w:t>
      </w:r>
    </w:p>
    <w:p w14:paraId="4CC19DD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行政运转。本次对项目投入经济性的评估是在项目事前绩效评估、预算测算的基础上，按照厉行节约的要求，结合项目2021年-2023年开支情况和2023年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w:t>
      </w:r>
    </w:p>
    <w:p w14:paraId="2DDAFD1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（三）个性指标绩效分析。根据项目个性自行设定部分指标，反映该项指标执行完成情况。</w:t>
      </w:r>
    </w:p>
    <w:p w14:paraId="2515D8B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四、评价结论</w:t>
      </w:r>
    </w:p>
    <w:p w14:paraId="7AFE9E9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阿坝大九寨旅游集团有限责任公司九寨沟旅游分公司、鲁能集团新能源充电桩补助款。阿坝大九寨旅游集团有限责任公司九寨沟旅游分公司已完成支付，鲁能集团未支付。</w:t>
      </w:r>
    </w:p>
    <w:p w14:paraId="115BEB0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五、存在主要问题</w:t>
      </w:r>
    </w:p>
    <w:p w14:paraId="29443B8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1EFF5D4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六、改进建议</w:t>
      </w:r>
    </w:p>
    <w:p w14:paraId="7A19881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xml:space="preserve">   无。</w:t>
      </w:r>
    </w:p>
    <w:p w14:paraId="37FC280F">
      <w:pPr>
        <w:pStyle w:val="34"/>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3FE629AD">
      <w:pPr>
        <w:pStyle w:val="34"/>
        <w:spacing w:line="578" w:lineRule="exact"/>
        <w:ind w:firstLine="640"/>
        <w:jc w:val="center"/>
        <w:rPr>
          <w:rFonts w:ascii="宋体" w:hAnsi="宋体"/>
          <w:color w:val="auto"/>
          <w:kern w:val="2"/>
          <w:sz w:val="32"/>
          <w:szCs w:val="32"/>
        </w:rPr>
      </w:pPr>
    </w:p>
    <w:p w14:paraId="1824F0A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一、项目概况</w:t>
      </w:r>
    </w:p>
    <w:p w14:paraId="40F4042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（一）设立背景及基本情况。</w:t>
      </w:r>
    </w:p>
    <w:p w14:paraId="3FDCF20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《九寨沟县发展和改革局关于解决新冠肺炎疫情生活保障经费的请示》（九发改【2022】161号文件）提供疫情期间保障物资供应。</w:t>
      </w:r>
    </w:p>
    <w:p w14:paraId="4659DED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(二)实施目的及支持方向。</w:t>
      </w:r>
    </w:p>
    <w:p w14:paraId="0DA2A2D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该项目属于专项业务费、社会发展性项目，主要致力于保障我县疫情期间保障物资供应，结合我单位工作职责,负责县物资保障，纳入县级财政预算</w:t>
      </w:r>
    </w:p>
    <w:p w14:paraId="40FD86B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预算安排及分配管理。</w:t>
      </w:r>
    </w:p>
    <w:p w14:paraId="262E064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该项目预算资金安排75，</w:t>
      </w:r>
    </w:p>
    <w:p w14:paraId="56EEC66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项目绩效目标设置。</w:t>
      </w:r>
    </w:p>
    <w:p w14:paraId="26FF08A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绩效目标和绩效指标全面完整，契合项目实质，与县发展和改革局的长期规划目标、年度工作目标相一致，产出和效果关联。</w:t>
      </w:r>
    </w:p>
    <w:tbl>
      <w:tblPr>
        <w:tblStyle w:val="15"/>
        <w:tblW w:w="7560" w:type="dxa"/>
        <w:tblInd w:w="95" w:type="dxa"/>
        <w:tblLayout w:type="autofit"/>
        <w:tblCellMar>
          <w:top w:w="0" w:type="dxa"/>
          <w:left w:w="108" w:type="dxa"/>
          <w:bottom w:w="0" w:type="dxa"/>
          <w:right w:w="108" w:type="dxa"/>
        </w:tblCellMar>
      </w:tblPr>
      <w:tblGrid>
        <w:gridCol w:w="1176"/>
        <w:gridCol w:w="1176"/>
        <w:gridCol w:w="1176"/>
        <w:gridCol w:w="1176"/>
        <w:gridCol w:w="1176"/>
        <w:gridCol w:w="1176"/>
        <w:gridCol w:w="1176"/>
      </w:tblGrid>
      <w:tr w14:paraId="0233BDE9">
        <w:tblPrEx>
          <w:tblCellMar>
            <w:top w:w="0" w:type="dxa"/>
            <w:left w:w="108" w:type="dxa"/>
            <w:bottom w:w="0" w:type="dxa"/>
            <w:right w:w="108"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257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77DC1E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E1CE11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A25E07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指标性质</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770F8D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指标值</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BEDB67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度量单位</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344F25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完成值</w:t>
            </w:r>
          </w:p>
        </w:tc>
      </w:tr>
      <w:tr w14:paraId="10EE0657">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1140D5B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产出指标</w:t>
            </w:r>
          </w:p>
        </w:tc>
        <w:tc>
          <w:tcPr>
            <w:tcW w:w="1080" w:type="dxa"/>
            <w:tcBorders>
              <w:top w:val="nil"/>
              <w:left w:val="nil"/>
              <w:bottom w:val="single" w:color="000000" w:sz="4" w:space="0"/>
              <w:right w:val="single" w:color="000000" w:sz="4" w:space="0"/>
            </w:tcBorders>
            <w:shd w:val="clear" w:color="auto" w:fill="auto"/>
            <w:vAlign w:val="center"/>
          </w:tcPr>
          <w:p w14:paraId="41D4364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数量指标</w:t>
            </w:r>
          </w:p>
        </w:tc>
        <w:tc>
          <w:tcPr>
            <w:tcW w:w="1080" w:type="dxa"/>
            <w:tcBorders>
              <w:top w:val="nil"/>
              <w:left w:val="nil"/>
              <w:bottom w:val="single" w:color="000000" w:sz="4" w:space="0"/>
              <w:right w:val="single" w:color="000000" w:sz="4" w:space="0"/>
            </w:tcBorders>
            <w:shd w:val="clear" w:color="auto" w:fill="auto"/>
            <w:vAlign w:val="center"/>
          </w:tcPr>
          <w:p w14:paraId="661099E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疫情期间所需物资保障群众人数</w:t>
            </w:r>
          </w:p>
        </w:tc>
        <w:tc>
          <w:tcPr>
            <w:tcW w:w="1080" w:type="dxa"/>
            <w:tcBorders>
              <w:top w:val="nil"/>
              <w:left w:val="nil"/>
              <w:bottom w:val="single" w:color="000000" w:sz="4" w:space="0"/>
              <w:right w:val="single" w:color="000000" w:sz="4" w:space="0"/>
            </w:tcBorders>
            <w:shd w:val="clear" w:color="auto" w:fill="auto"/>
            <w:vAlign w:val="center"/>
          </w:tcPr>
          <w:p w14:paraId="59BE694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5CE02BD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w:t>
            </w:r>
          </w:p>
        </w:tc>
        <w:tc>
          <w:tcPr>
            <w:tcW w:w="1080" w:type="dxa"/>
            <w:tcBorders>
              <w:top w:val="nil"/>
              <w:left w:val="nil"/>
              <w:bottom w:val="single" w:color="000000" w:sz="4" w:space="0"/>
              <w:right w:val="single" w:color="000000" w:sz="4" w:space="0"/>
            </w:tcBorders>
            <w:shd w:val="clear" w:color="auto" w:fill="auto"/>
            <w:vAlign w:val="center"/>
          </w:tcPr>
          <w:p w14:paraId="4902B9A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38CA2B2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0C1FDF9B">
        <w:tblPrEx>
          <w:tblCellMar>
            <w:top w:w="0" w:type="dxa"/>
            <w:left w:w="108" w:type="dxa"/>
            <w:bottom w:w="0" w:type="dxa"/>
            <w:right w:w="108" w:type="dxa"/>
          </w:tblCellMar>
        </w:tblPrEx>
        <w:trPr>
          <w:trHeight w:val="450"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14:paraId="7729228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p w14:paraId="72B6E57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效益指标</w:t>
            </w:r>
          </w:p>
        </w:tc>
        <w:tc>
          <w:tcPr>
            <w:tcW w:w="1080" w:type="dxa"/>
            <w:tcBorders>
              <w:top w:val="nil"/>
              <w:left w:val="nil"/>
              <w:bottom w:val="single" w:color="000000" w:sz="4" w:space="0"/>
              <w:right w:val="single" w:color="000000" w:sz="4" w:space="0"/>
            </w:tcBorders>
            <w:shd w:val="clear" w:color="auto" w:fill="auto"/>
            <w:vAlign w:val="center"/>
          </w:tcPr>
          <w:p w14:paraId="6E39099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时效指标</w:t>
            </w:r>
          </w:p>
        </w:tc>
        <w:tc>
          <w:tcPr>
            <w:tcW w:w="1080" w:type="dxa"/>
            <w:tcBorders>
              <w:top w:val="nil"/>
              <w:left w:val="nil"/>
              <w:bottom w:val="single" w:color="000000" w:sz="4" w:space="0"/>
              <w:right w:val="single" w:color="000000" w:sz="4" w:space="0"/>
            </w:tcBorders>
            <w:shd w:val="clear" w:color="auto" w:fill="auto"/>
            <w:vAlign w:val="center"/>
          </w:tcPr>
          <w:p w14:paraId="3C3F663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完成时间</w:t>
            </w:r>
          </w:p>
        </w:tc>
        <w:tc>
          <w:tcPr>
            <w:tcW w:w="1080" w:type="dxa"/>
            <w:tcBorders>
              <w:top w:val="nil"/>
              <w:left w:val="nil"/>
              <w:bottom w:val="single" w:color="000000" w:sz="4" w:space="0"/>
              <w:right w:val="single" w:color="000000" w:sz="4" w:space="0"/>
            </w:tcBorders>
            <w:shd w:val="clear" w:color="auto" w:fill="auto"/>
            <w:vAlign w:val="center"/>
          </w:tcPr>
          <w:p w14:paraId="6C62565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0CF5FBB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12</w:t>
            </w:r>
          </w:p>
        </w:tc>
        <w:tc>
          <w:tcPr>
            <w:tcW w:w="1080" w:type="dxa"/>
            <w:tcBorders>
              <w:top w:val="nil"/>
              <w:left w:val="nil"/>
              <w:bottom w:val="single" w:color="000000" w:sz="4" w:space="0"/>
              <w:right w:val="single" w:color="000000" w:sz="4" w:space="0"/>
            </w:tcBorders>
            <w:shd w:val="clear" w:color="auto" w:fill="auto"/>
            <w:vAlign w:val="center"/>
          </w:tcPr>
          <w:p w14:paraId="5A55031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5B64461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0CF61828">
        <w:tblPrEx>
          <w:tblCellMar>
            <w:top w:w="0" w:type="dxa"/>
            <w:left w:w="108" w:type="dxa"/>
            <w:bottom w:w="0" w:type="dxa"/>
            <w:right w:w="108" w:type="dxa"/>
          </w:tblCellMar>
        </w:tblPrEx>
        <w:trPr>
          <w:trHeight w:val="675" w:hRule="atLeast"/>
        </w:trPr>
        <w:tc>
          <w:tcPr>
            <w:tcW w:w="1080" w:type="dxa"/>
            <w:vMerge w:val="continue"/>
            <w:tcBorders>
              <w:top w:val="nil"/>
              <w:left w:val="single" w:color="000000" w:sz="4" w:space="0"/>
              <w:bottom w:val="single" w:color="000000" w:sz="4" w:space="0"/>
              <w:right w:val="single" w:color="000000" w:sz="4" w:space="0"/>
            </w:tcBorders>
            <w:vAlign w:val="center"/>
          </w:tcPr>
          <w:p w14:paraId="3E39331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tc>
        <w:tc>
          <w:tcPr>
            <w:tcW w:w="1080" w:type="dxa"/>
            <w:tcBorders>
              <w:top w:val="nil"/>
              <w:left w:val="nil"/>
              <w:bottom w:val="single" w:color="000000" w:sz="4" w:space="0"/>
              <w:right w:val="single" w:color="000000" w:sz="4" w:space="0"/>
            </w:tcBorders>
            <w:shd w:val="clear" w:color="auto" w:fill="auto"/>
            <w:vAlign w:val="center"/>
          </w:tcPr>
          <w:p w14:paraId="7205145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社会效益指标</w:t>
            </w:r>
          </w:p>
        </w:tc>
        <w:tc>
          <w:tcPr>
            <w:tcW w:w="1080" w:type="dxa"/>
            <w:tcBorders>
              <w:top w:val="nil"/>
              <w:left w:val="nil"/>
              <w:bottom w:val="single" w:color="000000" w:sz="4" w:space="0"/>
              <w:right w:val="single" w:color="000000" w:sz="4" w:space="0"/>
            </w:tcBorders>
            <w:shd w:val="clear" w:color="auto" w:fill="auto"/>
            <w:vAlign w:val="center"/>
          </w:tcPr>
          <w:p w14:paraId="6702A83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带来的社会效益</w:t>
            </w:r>
          </w:p>
        </w:tc>
        <w:tc>
          <w:tcPr>
            <w:tcW w:w="1080" w:type="dxa"/>
            <w:tcBorders>
              <w:top w:val="nil"/>
              <w:left w:val="nil"/>
              <w:bottom w:val="single" w:color="000000" w:sz="4" w:space="0"/>
              <w:right w:val="single" w:color="000000" w:sz="4" w:space="0"/>
            </w:tcBorders>
            <w:shd w:val="clear" w:color="auto" w:fill="auto"/>
            <w:vAlign w:val="center"/>
          </w:tcPr>
          <w:p w14:paraId="263C9A1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定性</w:t>
            </w:r>
          </w:p>
        </w:tc>
        <w:tc>
          <w:tcPr>
            <w:tcW w:w="1080" w:type="dxa"/>
            <w:tcBorders>
              <w:top w:val="nil"/>
              <w:left w:val="nil"/>
              <w:bottom w:val="single" w:color="000000" w:sz="4" w:space="0"/>
              <w:right w:val="single" w:color="000000" w:sz="4" w:space="0"/>
            </w:tcBorders>
            <w:shd w:val="clear" w:color="auto" w:fill="auto"/>
            <w:vAlign w:val="center"/>
          </w:tcPr>
          <w:p w14:paraId="7477E1D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优</w:t>
            </w:r>
          </w:p>
        </w:tc>
        <w:tc>
          <w:tcPr>
            <w:tcW w:w="1080" w:type="dxa"/>
            <w:tcBorders>
              <w:top w:val="nil"/>
              <w:left w:val="nil"/>
              <w:bottom w:val="single" w:color="000000" w:sz="4" w:space="0"/>
              <w:right w:val="single" w:color="000000" w:sz="4" w:space="0"/>
            </w:tcBorders>
            <w:shd w:val="clear" w:color="auto" w:fill="auto"/>
            <w:vAlign w:val="center"/>
          </w:tcPr>
          <w:p w14:paraId="42A2048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7FBF639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4CEFE3C3">
        <w:tblPrEx>
          <w:tblCellMar>
            <w:top w:w="0" w:type="dxa"/>
            <w:left w:w="108" w:type="dxa"/>
            <w:bottom w:w="0" w:type="dxa"/>
            <w:right w:w="108" w:type="dxa"/>
          </w:tblCellMar>
        </w:tblPrEx>
        <w:trPr>
          <w:trHeight w:val="450" w:hRule="atLeast"/>
        </w:trPr>
        <w:tc>
          <w:tcPr>
            <w:tcW w:w="1080" w:type="dxa"/>
            <w:tcBorders>
              <w:top w:val="nil"/>
              <w:left w:val="single" w:color="000000" w:sz="4" w:space="0"/>
              <w:bottom w:val="nil"/>
              <w:right w:val="single" w:color="000000" w:sz="4" w:space="0"/>
            </w:tcBorders>
            <w:shd w:val="clear" w:color="auto" w:fill="auto"/>
            <w:vAlign w:val="center"/>
          </w:tcPr>
          <w:p w14:paraId="590A16A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080" w:type="dxa"/>
            <w:tcBorders>
              <w:top w:val="nil"/>
              <w:left w:val="nil"/>
              <w:bottom w:val="nil"/>
              <w:right w:val="single" w:color="000000" w:sz="4" w:space="0"/>
            </w:tcBorders>
            <w:shd w:val="clear" w:color="auto" w:fill="auto"/>
            <w:vAlign w:val="center"/>
          </w:tcPr>
          <w:p w14:paraId="54CDAE9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080" w:type="dxa"/>
            <w:tcBorders>
              <w:top w:val="nil"/>
              <w:left w:val="nil"/>
              <w:bottom w:val="nil"/>
              <w:right w:val="single" w:color="000000" w:sz="4" w:space="0"/>
            </w:tcBorders>
            <w:shd w:val="clear" w:color="auto" w:fill="auto"/>
            <w:vAlign w:val="center"/>
          </w:tcPr>
          <w:p w14:paraId="58D9B0F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群众满意度</w:t>
            </w:r>
          </w:p>
        </w:tc>
        <w:tc>
          <w:tcPr>
            <w:tcW w:w="1080" w:type="dxa"/>
            <w:tcBorders>
              <w:top w:val="nil"/>
              <w:left w:val="nil"/>
              <w:bottom w:val="nil"/>
              <w:right w:val="single" w:color="000000" w:sz="4" w:space="0"/>
            </w:tcBorders>
            <w:shd w:val="clear" w:color="auto" w:fill="auto"/>
            <w:vAlign w:val="center"/>
          </w:tcPr>
          <w:p w14:paraId="798F7DE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nil"/>
              <w:right w:val="single" w:color="000000" w:sz="4" w:space="0"/>
            </w:tcBorders>
            <w:shd w:val="clear" w:color="auto" w:fill="auto"/>
            <w:vAlign w:val="center"/>
          </w:tcPr>
          <w:p w14:paraId="1EDAAEA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98</w:t>
            </w:r>
          </w:p>
        </w:tc>
        <w:tc>
          <w:tcPr>
            <w:tcW w:w="1080" w:type="dxa"/>
            <w:tcBorders>
              <w:top w:val="nil"/>
              <w:left w:val="nil"/>
              <w:bottom w:val="nil"/>
              <w:right w:val="single" w:color="000000" w:sz="4" w:space="0"/>
            </w:tcBorders>
            <w:shd w:val="clear" w:color="auto" w:fill="auto"/>
            <w:vAlign w:val="center"/>
          </w:tcPr>
          <w:p w14:paraId="5CA4A41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nil"/>
              <w:right w:val="single" w:color="000000" w:sz="4" w:space="0"/>
            </w:tcBorders>
            <w:shd w:val="clear" w:color="auto" w:fill="auto"/>
            <w:vAlign w:val="center"/>
          </w:tcPr>
          <w:p w14:paraId="6D4A15D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52B00ECA">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4D6F15C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成本指标</w:t>
            </w:r>
          </w:p>
        </w:tc>
        <w:tc>
          <w:tcPr>
            <w:tcW w:w="1080" w:type="dxa"/>
            <w:tcBorders>
              <w:top w:val="nil"/>
              <w:left w:val="nil"/>
              <w:bottom w:val="single" w:color="000000" w:sz="4" w:space="0"/>
              <w:right w:val="single" w:color="000000" w:sz="4" w:space="0"/>
            </w:tcBorders>
            <w:shd w:val="clear" w:color="auto" w:fill="auto"/>
            <w:vAlign w:val="center"/>
          </w:tcPr>
          <w:p w14:paraId="33B8EB1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经济成本指标</w:t>
            </w:r>
          </w:p>
        </w:tc>
        <w:tc>
          <w:tcPr>
            <w:tcW w:w="1080" w:type="dxa"/>
            <w:tcBorders>
              <w:top w:val="nil"/>
              <w:left w:val="nil"/>
              <w:bottom w:val="single" w:color="000000" w:sz="4" w:space="0"/>
              <w:right w:val="single" w:color="000000" w:sz="4" w:space="0"/>
            </w:tcBorders>
            <w:shd w:val="clear" w:color="auto" w:fill="auto"/>
            <w:vAlign w:val="center"/>
          </w:tcPr>
          <w:p w14:paraId="0940A80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成本控制</w:t>
            </w:r>
          </w:p>
        </w:tc>
        <w:tc>
          <w:tcPr>
            <w:tcW w:w="1080" w:type="dxa"/>
            <w:tcBorders>
              <w:top w:val="nil"/>
              <w:left w:val="nil"/>
              <w:bottom w:val="single" w:color="000000" w:sz="4" w:space="0"/>
              <w:right w:val="single" w:color="000000" w:sz="4" w:space="0"/>
            </w:tcBorders>
            <w:shd w:val="clear" w:color="auto" w:fill="auto"/>
            <w:vAlign w:val="center"/>
          </w:tcPr>
          <w:p w14:paraId="1510C5D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3AACEEA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75</w:t>
            </w:r>
          </w:p>
        </w:tc>
        <w:tc>
          <w:tcPr>
            <w:tcW w:w="1080" w:type="dxa"/>
            <w:tcBorders>
              <w:top w:val="nil"/>
              <w:left w:val="nil"/>
              <w:bottom w:val="single" w:color="000000" w:sz="4" w:space="0"/>
              <w:right w:val="single" w:color="000000" w:sz="4" w:space="0"/>
            </w:tcBorders>
            <w:shd w:val="clear" w:color="auto" w:fill="auto"/>
            <w:vAlign w:val="center"/>
          </w:tcPr>
          <w:p w14:paraId="61E4FDE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万元</w:t>
            </w:r>
          </w:p>
        </w:tc>
        <w:tc>
          <w:tcPr>
            <w:tcW w:w="1080" w:type="dxa"/>
            <w:tcBorders>
              <w:top w:val="nil"/>
              <w:left w:val="nil"/>
              <w:bottom w:val="single" w:color="000000" w:sz="4" w:space="0"/>
              <w:right w:val="single" w:color="000000" w:sz="4" w:space="0"/>
            </w:tcBorders>
            <w:shd w:val="clear" w:color="auto" w:fill="auto"/>
            <w:vAlign w:val="center"/>
          </w:tcPr>
          <w:p w14:paraId="2993124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tc>
      </w:tr>
    </w:tbl>
    <w:p w14:paraId="2CB71E7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（一）评价目的。</w:t>
      </w:r>
    </w:p>
    <w:p w14:paraId="2F9C4C9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通过项目绩效自评提高绩效管理，为项目设立和安排提供重要参考依据，提高预算编制科学性、合理性，优化支出结构，从源头上防控资源配置的低效无效，提高资源配置效率和资金使用效益。</w:t>
      </w:r>
    </w:p>
    <w:p w14:paraId="49F9B66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（二）预设问题及评价重点。按照绩效评价指标体系，对资金支出使用全过程及其实施效果进行综合评价和判断。</w:t>
      </w:r>
    </w:p>
    <w:p w14:paraId="4C2878C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（三）评价选点。零时隔离点</w:t>
      </w:r>
    </w:p>
    <w:p w14:paraId="1EED351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（四）评价方法。</w:t>
      </w:r>
    </w:p>
    <w:p w14:paraId="003DDB5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以单位自评法、实地勘察法。</w:t>
      </w:r>
    </w:p>
    <w:p w14:paraId="5C788FA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（五）评价组织。财务分管领导、财务人员、相关工作人员 。</w:t>
      </w:r>
    </w:p>
    <w:p w14:paraId="2BFEDF3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三、绩效分析</w:t>
      </w:r>
      <w:r>
        <w:rPr>
          <w:rFonts w:hint="eastAsia" w:ascii="仿宋_GB2312" w:hAnsi="仿宋_GB2312" w:eastAsia="仿宋_GB2312" w:cs="仿宋_GB2312"/>
          <w:kern w:val="0"/>
          <w:position w:val="0"/>
          <w:sz w:val="32"/>
          <w:szCs w:val="32"/>
          <w:lang w:val="zh-CN" w:eastAsia="zh-CN" w:bidi="ar-SA"/>
        </w:rPr>
        <w:tab/>
      </w:r>
    </w:p>
    <w:p w14:paraId="1E4DD0E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根据项目预算绩效评价指标体系“通用指标”“专用指标”“个性指标”涉及二、三级指标进行逐项绩效分析并评分。</w:t>
      </w:r>
    </w:p>
    <w:p w14:paraId="032D231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（一）通用指标绩效分析。</w:t>
      </w:r>
    </w:p>
    <w:p w14:paraId="2372A4F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1.项目决策。</w:t>
      </w:r>
    </w:p>
    <w:p w14:paraId="3E4F47D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为了加强财政支出管理，提高资金使用效益，促进资源有效配置。</w:t>
      </w:r>
    </w:p>
    <w:p w14:paraId="53E8A52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2.项目管理。</w:t>
      </w:r>
    </w:p>
    <w:p w14:paraId="75C9BED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在项目实施过程中，均由县财政集中支付核算中心审核，同时我中心还根据相关财务规定，对项目资金实行专款专用。</w:t>
      </w:r>
    </w:p>
    <w:p w14:paraId="2BF8817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3.项目实施。</w:t>
      </w:r>
    </w:p>
    <w:p w14:paraId="7F6E68A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在报账时，经我中心财务负责人、财务分管领导按职权审批，较好地保护了该项目资金的合理使用。</w:t>
      </w:r>
    </w:p>
    <w:p w14:paraId="234B243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4.项目结果。</w:t>
      </w:r>
    </w:p>
    <w:p w14:paraId="599FE8C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完成2023年九寨沟县保障疫情期间物资充足。稳定市场工作。</w:t>
      </w:r>
    </w:p>
    <w:p w14:paraId="20F33DD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（二）专用指标绩效分析。根据专项预算项目资金支持对象选择所属指标进行绩效分析。支持对象包括产业发展、民生保障、基础设施、行政运转等方面。</w:t>
      </w:r>
    </w:p>
    <w:p w14:paraId="07EDA88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1.产业发展。不涉及。</w:t>
      </w:r>
    </w:p>
    <w:p w14:paraId="56C44BB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2.民生保障。围绕区域均衡性、对象精准性、标准合理性、群众满意度进行绩效分析。</w:t>
      </w:r>
    </w:p>
    <w:p w14:paraId="26E37F5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3.基础设施。不涉及。</w:t>
      </w:r>
    </w:p>
    <w:p w14:paraId="49E4913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4.行政运转。完成2023年九寨沟县保障疫情期间物资充足。稳定市场工作。</w:t>
      </w:r>
    </w:p>
    <w:p w14:paraId="323C90C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（三）个性指标绩效分析。根据项目个性自行设定部分指标，反映该项指标执行完成情况。</w:t>
      </w:r>
    </w:p>
    <w:p w14:paraId="22645FD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四、评价结论</w:t>
      </w:r>
    </w:p>
    <w:p w14:paraId="79B9F97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完成2023年九寨沟县保障疫情期间物资充足。稳定市场工作，达到了预期的绩效目标。</w:t>
      </w:r>
    </w:p>
    <w:p w14:paraId="5ACE5A9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五、存在主要问题</w:t>
      </w:r>
    </w:p>
    <w:p w14:paraId="1B351C0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367546D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六、改进建议</w:t>
      </w:r>
    </w:p>
    <w:p w14:paraId="420C4E9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建议增加项目资金使用的灵活性。机动灵活地增加项目资金的使用范围，让项目实施部门有一定的调整空间，保证资金能及时有效的使用，进一步提高其使用效益。</w:t>
      </w:r>
    </w:p>
    <w:p w14:paraId="08018021">
      <w:pPr>
        <w:pStyle w:val="34"/>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01E87180">
      <w:pPr>
        <w:pStyle w:val="34"/>
        <w:spacing w:line="578" w:lineRule="exact"/>
        <w:ind w:firstLine="640"/>
        <w:jc w:val="center"/>
        <w:rPr>
          <w:rFonts w:ascii="宋体" w:hAnsi="宋体"/>
          <w:color w:val="auto"/>
          <w:kern w:val="2"/>
          <w:sz w:val="32"/>
          <w:szCs w:val="32"/>
        </w:rPr>
      </w:pPr>
    </w:p>
    <w:p w14:paraId="7CFE72D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一、项目概况</w:t>
      </w:r>
    </w:p>
    <w:p w14:paraId="5C955D1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（一）设立背景及基本情况。</w:t>
      </w:r>
    </w:p>
    <w:p w14:paraId="0DD1020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xml:space="preserve">本项目的主要内容是九寨沟县重大项目集中开工仪式，暂未有专项经费支持工作开展，确需立项申请10万元办公经费用于工作开展。   </w:t>
      </w:r>
    </w:p>
    <w:p w14:paraId="2133792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(二)实施目的及支持方向。</w:t>
      </w:r>
    </w:p>
    <w:p w14:paraId="118E536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该项目属于专项业务费、社会发展性项目，主要致力于保障我县2023年重大项目开工经费，结合我单位工作职责,负责县重大项目集中开工，纳入县级财政预算。</w:t>
      </w:r>
    </w:p>
    <w:p w14:paraId="7D8CC9F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预算安排及分配管理。</w:t>
      </w:r>
    </w:p>
    <w:p w14:paraId="17B8D5F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该项目预算资金安排10万元，</w:t>
      </w:r>
    </w:p>
    <w:p w14:paraId="19E4A6B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项目绩效目标设置。</w:t>
      </w:r>
    </w:p>
    <w:p w14:paraId="18A5162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绩效目标和绩效指标全面完整，契合项目实质，与县发展和改革局的长期规划目标、年度工作目标相一致，产出和效果关联。</w:t>
      </w:r>
    </w:p>
    <w:tbl>
      <w:tblPr>
        <w:tblStyle w:val="15"/>
        <w:tblW w:w="7560" w:type="dxa"/>
        <w:tblInd w:w="95" w:type="dxa"/>
        <w:tblLayout w:type="autofit"/>
        <w:tblCellMar>
          <w:top w:w="0" w:type="dxa"/>
          <w:left w:w="108" w:type="dxa"/>
          <w:bottom w:w="0" w:type="dxa"/>
          <w:right w:w="108" w:type="dxa"/>
        </w:tblCellMar>
      </w:tblPr>
      <w:tblGrid>
        <w:gridCol w:w="1118"/>
        <w:gridCol w:w="1118"/>
        <w:gridCol w:w="1118"/>
        <w:gridCol w:w="1118"/>
        <w:gridCol w:w="1719"/>
        <w:gridCol w:w="1118"/>
        <w:gridCol w:w="1118"/>
      </w:tblGrid>
      <w:tr w14:paraId="5D7624FC">
        <w:tblPrEx>
          <w:tblCellMar>
            <w:top w:w="0" w:type="dxa"/>
            <w:left w:w="108" w:type="dxa"/>
            <w:bottom w:w="0" w:type="dxa"/>
            <w:right w:w="108"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1C4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CC3376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4DE044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68F52C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指标性质</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822156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指标值</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CA61D9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度量单位</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0C91AF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完成值</w:t>
            </w:r>
          </w:p>
        </w:tc>
      </w:tr>
      <w:tr w14:paraId="5DFF341D">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7628744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产出指标</w:t>
            </w:r>
          </w:p>
        </w:tc>
        <w:tc>
          <w:tcPr>
            <w:tcW w:w="1080" w:type="dxa"/>
            <w:tcBorders>
              <w:top w:val="nil"/>
              <w:left w:val="nil"/>
              <w:bottom w:val="single" w:color="000000" w:sz="4" w:space="0"/>
              <w:right w:val="single" w:color="000000" w:sz="4" w:space="0"/>
            </w:tcBorders>
            <w:shd w:val="clear" w:color="auto" w:fill="auto"/>
            <w:vAlign w:val="center"/>
          </w:tcPr>
          <w:p w14:paraId="41A96C4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质量指标</w:t>
            </w:r>
          </w:p>
        </w:tc>
        <w:tc>
          <w:tcPr>
            <w:tcW w:w="1080" w:type="dxa"/>
            <w:tcBorders>
              <w:top w:val="nil"/>
              <w:left w:val="nil"/>
              <w:bottom w:val="single" w:color="000000" w:sz="4" w:space="0"/>
              <w:right w:val="single" w:color="000000" w:sz="4" w:space="0"/>
            </w:tcBorders>
            <w:shd w:val="clear" w:color="auto" w:fill="auto"/>
            <w:vAlign w:val="center"/>
          </w:tcPr>
          <w:p w14:paraId="7D14C8A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重大项目开公仪式质量</w:t>
            </w:r>
          </w:p>
        </w:tc>
        <w:tc>
          <w:tcPr>
            <w:tcW w:w="1080" w:type="dxa"/>
            <w:tcBorders>
              <w:top w:val="nil"/>
              <w:left w:val="nil"/>
              <w:bottom w:val="single" w:color="000000" w:sz="4" w:space="0"/>
              <w:right w:val="single" w:color="000000" w:sz="4" w:space="0"/>
            </w:tcBorders>
            <w:shd w:val="clear" w:color="auto" w:fill="auto"/>
            <w:vAlign w:val="center"/>
          </w:tcPr>
          <w:p w14:paraId="44DE183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定性</w:t>
            </w:r>
          </w:p>
        </w:tc>
        <w:tc>
          <w:tcPr>
            <w:tcW w:w="1080" w:type="dxa"/>
            <w:tcBorders>
              <w:top w:val="nil"/>
              <w:left w:val="nil"/>
              <w:bottom w:val="single" w:color="000000" w:sz="4" w:space="0"/>
              <w:right w:val="single" w:color="000000" w:sz="4" w:space="0"/>
            </w:tcBorders>
            <w:shd w:val="clear" w:color="auto" w:fill="auto"/>
            <w:vAlign w:val="center"/>
          </w:tcPr>
          <w:p w14:paraId="077AC97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优</w:t>
            </w:r>
          </w:p>
        </w:tc>
        <w:tc>
          <w:tcPr>
            <w:tcW w:w="1080" w:type="dxa"/>
            <w:tcBorders>
              <w:top w:val="nil"/>
              <w:left w:val="nil"/>
              <w:bottom w:val="single" w:color="000000" w:sz="4" w:space="0"/>
              <w:right w:val="single" w:color="000000" w:sz="4" w:space="0"/>
            </w:tcBorders>
            <w:shd w:val="clear" w:color="auto" w:fill="auto"/>
            <w:vAlign w:val="center"/>
          </w:tcPr>
          <w:p w14:paraId="0629903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5EABB15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066B68B4">
        <w:tblPrEx>
          <w:tblCellMar>
            <w:top w:w="0" w:type="dxa"/>
            <w:left w:w="108" w:type="dxa"/>
            <w:bottom w:w="0" w:type="dxa"/>
            <w:right w:w="108" w:type="dxa"/>
          </w:tblCellMar>
        </w:tblPrEx>
        <w:trPr>
          <w:trHeight w:val="450"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14:paraId="19A1E66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效益指标</w:t>
            </w:r>
          </w:p>
        </w:tc>
        <w:tc>
          <w:tcPr>
            <w:tcW w:w="1080" w:type="dxa"/>
            <w:tcBorders>
              <w:top w:val="nil"/>
              <w:left w:val="nil"/>
              <w:bottom w:val="single" w:color="000000" w:sz="4" w:space="0"/>
              <w:right w:val="single" w:color="000000" w:sz="4" w:space="0"/>
            </w:tcBorders>
            <w:shd w:val="clear" w:color="auto" w:fill="auto"/>
            <w:vAlign w:val="center"/>
          </w:tcPr>
          <w:p w14:paraId="4462E55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可持续发展指标</w:t>
            </w:r>
          </w:p>
        </w:tc>
        <w:tc>
          <w:tcPr>
            <w:tcW w:w="1080" w:type="dxa"/>
            <w:tcBorders>
              <w:top w:val="nil"/>
              <w:left w:val="nil"/>
              <w:bottom w:val="single" w:color="000000" w:sz="4" w:space="0"/>
              <w:right w:val="single" w:color="000000" w:sz="4" w:space="0"/>
            </w:tcBorders>
            <w:shd w:val="clear" w:color="auto" w:fill="auto"/>
            <w:vAlign w:val="center"/>
          </w:tcPr>
          <w:p w14:paraId="040E4A2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重大项目带来的后续影响</w:t>
            </w:r>
          </w:p>
        </w:tc>
        <w:tc>
          <w:tcPr>
            <w:tcW w:w="1080" w:type="dxa"/>
            <w:tcBorders>
              <w:top w:val="nil"/>
              <w:left w:val="nil"/>
              <w:bottom w:val="single" w:color="000000" w:sz="4" w:space="0"/>
              <w:right w:val="single" w:color="000000" w:sz="4" w:space="0"/>
            </w:tcBorders>
            <w:shd w:val="clear" w:color="auto" w:fill="auto"/>
            <w:vAlign w:val="center"/>
          </w:tcPr>
          <w:p w14:paraId="23576B9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定性</w:t>
            </w:r>
          </w:p>
        </w:tc>
        <w:tc>
          <w:tcPr>
            <w:tcW w:w="1080" w:type="dxa"/>
            <w:tcBorders>
              <w:top w:val="nil"/>
              <w:left w:val="nil"/>
              <w:bottom w:val="single" w:color="000000" w:sz="4" w:space="0"/>
              <w:right w:val="single" w:color="000000" w:sz="4" w:space="0"/>
            </w:tcBorders>
            <w:shd w:val="clear" w:color="auto" w:fill="auto"/>
            <w:vAlign w:val="center"/>
          </w:tcPr>
          <w:p w14:paraId="18AF78A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优</w:t>
            </w:r>
          </w:p>
        </w:tc>
        <w:tc>
          <w:tcPr>
            <w:tcW w:w="1080" w:type="dxa"/>
            <w:tcBorders>
              <w:top w:val="nil"/>
              <w:left w:val="nil"/>
              <w:bottom w:val="single" w:color="000000" w:sz="4" w:space="0"/>
              <w:right w:val="single" w:color="000000" w:sz="4" w:space="0"/>
            </w:tcBorders>
            <w:shd w:val="clear" w:color="auto" w:fill="auto"/>
            <w:vAlign w:val="center"/>
          </w:tcPr>
          <w:p w14:paraId="6CC7208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302DE21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7851BA2C">
        <w:tblPrEx>
          <w:tblCellMar>
            <w:top w:w="0" w:type="dxa"/>
            <w:left w:w="108" w:type="dxa"/>
            <w:bottom w:w="0" w:type="dxa"/>
            <w:right w:w="108" w:type="dxa"/>
          </w:tblCellMar>
        </w:tblPrEx>
        <w:trPr>
          <w:trHeight w:val="675" w:hRule="atLeast"/>
        </w:trPr>
        <w:tc>
          <w:tcPr>
            <w:tcW w:w="1080" w:type="dxa"/>
            <w:vMerge w:val="continue"/>
            <w:tcBorders>
              <w:top w:val="nil"/>
              <w:left w:val="single" w:color="000000" w:sz="4" w:space="0"/>
              <w:bottom w:val="single" w:color="000000" w:sz="4" w:space="0"/>
              <w:right w:val="single" w:color="000000" w:sz="4" w:space="0"/>
            </w:tcBorders>
            <w:vAlign w:val="center"/>
          </w:tcPr>
          <w:p w14:paraId="0FA55E6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tc>
        <w:tc>
          <w:tcPr>
            <w:tcW w:w="1080" w:type="dxa"/>
            <w:tcBorders>
              <w:top w:val="nil"/>
              <w:left w:val="nil"/>
              <w:bottom w:val="single" w:color="000000" w:sz="4" w:space="0"/>
              <w:right w:val="single" w:color="000000" w:sz="4" w:space="0"/>
            </w:tcBorders>
            <w:shd w:val="clear" w:color="auto" w:fill="auto"/>
            <w:vAlign w:val="center"/>
          </w:tcPr>
          <w:p w14:paraId="631DAB0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可持续影响指标</w:t>
            </w:r>
          </w:p>
        </w:tc>
        <w:tc>
          <w:tcPr>
            <w:tcW w:w="1080" w:type="dxa"/>
            <w:tcBorders>
              <w:top w:val="nil"/>
              <w:left w:val="nil"/>
              <w:bottom w:val="single" w:color="000000" w:sz="4" w:space="0"/>
              <w:right w:val="single" w:color="000000" w:sz="4" w:space="0"/>
            </w:tcBorders>
            <w:shd w:val="clear" w:color="auto" w:fill="auto"/>
            <w:vAlign w:val="center"/>
          </w:tcPr>
          <w:p w14:paraId="6629EC6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提高重大项目进度</w:t>
            </w:r>
          </w:p>
        </w:tc>
        <w:tc>
          <w:tcPr>
            <w:tcW w:w="1080" w:type="dxa"/>
            <w:tcBorders>
              <w:top w:val="nil"/>
              <w:left w:val="nil"/>
              <w:bottom w:val="single" w:color="000000" w:sz="4" w:space="0"/>
              <w:right w:val="single" w:color="000000" w:sz="4" w:space="0"/>
            </w:tcBorders>
            <w:shd w:val="clear" w:color="auto" w:fill="auto"/>
            <w:vAlign w:val="center"/>
          </w:tcPr>
          <w:p w14:paraId="74F74B9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0DE1F88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90</w:t>
            </w:r>
          </w:p>
        </w:tc>
        <w:tc>
          <w:tcPr>
            <w:tcW w:w="1080" w:type="dxa"/>
            <w:tcBorders>
              <w:top w:val="nil"/>
              <w:left w:val="nil"/>
              <w:bottom w:val="single" w:color="000000" w:sz="4" w:space="0"/>
              <w:right w:val="single" w:color="000000" w:sz="4" w:space="0"/>
            </w:tcBorders>
            <w:shd w:val="clear" w:color="auto" w:fill="auto"/>
            <w:vAlign w:val="center"/>
          </w:tcPr>
          <w:p w14:paraId="219D001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6692BD5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09FC58F0">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5D6A853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017EC34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7DA0F17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开工参加人员满意度</w:t>
            </w:r>
          </w:p>
        </w:tc>
        <w:tc>
          <w:tcPr>
            <w:tcW w:w="1080" w:type="dxa"/>
            <w:tcBorders>
              <w:top w:val="nil"/>
              <w:left w:val="nil"/>
              <w:bottom w:val="single" w:color="000000" w:sz="4" w:space="0"/>
              <w:right w:val="single" w:color="000000" w:sz="4" w:space="0"/>
            </w:tcBorders>
            <w:shd w:val="clear" w:color="auto" w:fill="auto"/>
            <w:vAlign w:val="center"/>
          </w:tcPr>
          <w:p w14:paraId="3E30691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7A24AA1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90</w:t>
            </w:r>
          </w:p>
        </w:tc>
        <w:tc>
          <w:tcPr>
            <w:tcW w:w="1080" w:type="dxa"/>
            <w:tcBorders>
              <w:top w:val="nil"/>
              <w:left w:val="nil"/>
              <w:bottom w:val="single" w:color="000000" w:sz="4" w:space="0"/>
              <w:right w:val="single" w:color="000000" w:sz="4" w:space="0"/>
            </w:tcBorders>
            <w:shd w:val="clear" w:color="auto" w:fill="auto"/>
            <w:vAlign w:val="center"/>
          </w:tcPr>
          <w:p w14:paraId="739EC3E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6361834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6FFB29DF">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084EF5F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成本指标</w:t>
            </w:r>
          </w:p>
        </w:tc>
        <w:tc>
          <w:tcPr>
            <w:tcW w:w="1080" w:type="dxa"/>
            <w:tcBorders>
              <w:top w:val="nil"/>
              <w:left w:val="nil"/>
              <w:bottom w:val="single" w:color="000000" w:sz="4" w:space="0"/>
              <w:right w:val="single" w:color="000000" w:sz="4" w:space="0"/>
            </w:tcBorders>
            <w:shd w:val="clear" w:color="auto" w:fill="auto"/>
            <w:vAlign w:val="center"/>
          </w:tcPr>
          <w:p w14:paraId="07809C4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经济成本指标</w:t>
            </w:r>
          </w:p>
        </w:tc>
        <w:tc>
          <w:tcPr>
            <w:tcW w:w="1080" w:type="dxa"/>
            <w:tcBorders>
              <w:top w:val="nil"/>
              <w:left w:val="nil"/>
              <w:bottom w:val="single" w:color="000000" w:sz="4" w:space="0"/>
              <w:right w:val="single" w:color="000000" w:sz="4" w:space="0"/>
            </w:tcBorders>
            <w:shd w:val="clear" w:color="auto" w:fill="auto"/>
            <w:vAlign w:val="center"/>
          </w:tcPr>
          <w:p w14:paraId="0736E66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成本控制</w:t>
            </w:r>
          </w:p>
        </w:tc>
        <w:tc>
          <w:tcPr>
            <w:tcW w:w="1080" w:type="dxa"/>
            <w:tcBorders>
              <w:top w:val="nil"/>
              <w:left w:val="nil"/>
              <w:bottom w:val="single" w:color="000000" w:sz="4" w:space="0"/>
              <w:right w:val="single" w:color="000000" w:sz="4" w:space="0"/>
            </w:tcBorders>
            <w:shd w:val="clear" w:color="auto" w:fill="auto"/>
            <w:vAlign w:val="center"/>
          </w:tcPr>
          <w:p w14:paraId="6EB81E2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0B89102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300000</w:t>
            </w:r>
          </w:p>
        </w:tc>
        <w:tc>
          <w:tcPr>
            <w:tcW w:w="1080" w:type="dxa"/>
            <w:tcBorders>
              <w:top w:val="nil"/>
              <w:left w:val="nil"/>
              <w:bottom w:val="single" w:color="000000" w:sz="4" w:space="0"/>
              <w:right w:val="single" w:color="000000" w:sz="4" w:space="0"/>
            </w:tcBorders>
            <w:shd w:val="clear" w:color="auto" w:fill="auto"/>
            <w:vAlign w:val="center"/>
          </w:tcPr>
          <w:p w14:paraId="0FFE487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元</w:t>
            </w:r>
          </w:p>
        </w:tc>
        <w:tc>
          <w:tcPr>
            <w:tcW w:w="1080" w:type="dxa"/>
            <w:tcBorders>
              <w:top w:val="nil"/>
              <w:left w:val="nil"/>
              <w:bottom w:val="single" w:color="000000" w:sz="4" w:space="0"/>
              <w:right w:val="single" w:color="000000" w:sz="4" w:space="0"/>
            </w:tcBorders>
            <w:shd w:val="clear" w:color="auto" w:fill="auto"/>
            <w:vAlign w:val="center"/>
          </w:tcPr>
          <w:p w14:paraId="4D2B16D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bl>
    <w:p w14:paraId="719A6BD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（一）评价目的。</w:t>
      </w:r>
    </w:p>
    <w:p w14:paraId="0AA2492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通过项目绩效自评提高绩效管理，为项目设立和安排提供重要参考依据，提高预算编制科学性、合理性，优化支出结构，从源头上防控资源配置的低效无效，提高资源配置效率和资金使用效益。</w:t>
      </w:r>
    </w:p>
    <w:p w14:paraId="327DA48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（二）预设问题及评价重点。按照绩效评价指标体系，对资金支出使用全过程及其实施效果进行综合评价和判断。</w:t>
      </w:r>
    </w:p>
    <w:p w14:paraId="5331E75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（三）评价选点。双河、罗依集中开工。</w:t>
      </w:r>
    </w:p>
    <w:p w14:paraId="0D671B9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（四）评价方法。</w:t>
      </w:r>
    </w:p>
    <w:p w14:paraId="7C89550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以单位自评法、实地勘察法。</w:t>
      </w:r>
    </w:p>
    <w:p w14:paraId="7095578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（五）评价组织。财务分管领导、财务人员、相关工作人员 。</w:t>
      </w:r>
    </w:p>
    <w:p w14:paraId="6204BAF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三、绩效分析</w:t>
      </w:r>
      <w:r>
        <w:rPr>
          <w:rFonts w:hint="eastAsia" w:ascii="仿宋_GB2312" w:hAnsi="仿宋_GB2312" w:eastAsia="仿宋_GB2312" w:cs="仿宋_GB2312"/>
          <w:kern w:val="0"/>
          <w:position w:val="0"/>
          <w:sz w:val="32"/>
          <w:szCs w:val="32"/>
          <w:lang w:val="zh-CN" w:eastAsia="zh-CN" w:bidi="ar-SA"/>
        </w:rPr>
        <w:tab/>
      </w:r>
    </w:p>
    <w:p w14:paraId="2761963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根据项目预算绩效评价指标体系“通用指标”“专用指标”“个性指标”涉及二、三级指标进行逐项绩效分析并评分。</w:t>
      </w:r>
    </w:p>
    <w:p w14:paraId="432A9B1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（一）通用指标绩效分析。</w:t>
      </w:r>
    </w:p>
    <w:p w14:paraId="49D8CD7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1.项目决策。</w:t>
      </w:r>
    </w:p>
    <w:p w14:paraId="031880B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为了加强财政支出管理，提高资金使用效益，促进资源有效配置。</w:t>
      </w:r>
    </w:p>
    <w:p w14:paraId="65F26C8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2.项目管理。</w:t>
      </w:r>
    </w:p>
    <w:p w14:paraId="76011D3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在项目实施过程中，均由县财政集中支付核算中心审核，同时我中心还根据相关财务规定，对项目资金实行专款专用。</w:t>
      </w:r>
    </w:p>
    <w:p w14:paraId="5DF4B23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3.项目实施。</w:t>
      </w:r>
    </w:p>
    <w:p w14:paraId="7C1BE8C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在报账时，经我中心财务负责人、财务分管领导按职权审批，较好地保护了该项目资金的合理使用。</w:t>
      </w:r>
    </w:p>
    <w:p w14:paraId="5283C47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4.项目结果。</w:t>
      </w:r>
    </w:p>
    <w:p w14:paraId="62263AC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完成2023年九寨沟县重大项目集中开工仪式工作。</w:t>
      </w:r>
    </w:p>
    <w:p w14:paraId="78B551F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（二）专用指标绩效分析。根据专项预算项目资金支持对象选择所属指标进行绩效分析。支持对象包括产业发展、民生保障、基础设施、行政运转等方面。</w:t>
      </w:r>
    </w:p>
    <w:p w14:paraId="24E79B3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1.产业发展。不涉及。</w:t>
      </w:r>
    </w:p>
    <w:p w14:paraId="442516D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2.民生保障。围绕区域均衡性、对象精准性、标准合理性、群众满意度进行绩效分析。</w:t>
      </w:r>
    </w:p>
    <w:p w14:paraId="5989D9B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3.基础设施。不涉及。</w:t>
      </w:r>
    </w:p>
    <w:p w14:paraId="28CDBD1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4.行政运转。完成2023年九寨沟县重大项目集中开工仪式工作，提高县项目进度。</w:t>
      </w:r>
    </w:p>
    <w:p w14:paraId="25E5109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（三）个性指标绩效分析。根据项目个性自行设定部分指标，反映该项指标执行完成情况。</w:t>
      </w:r>
    </w:p>
    <w:p w14:paraId="0CE5026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四、评价结论</w:t>
      </w:r>
    </w:p>
    <w:p w14:paraId="54ED1BB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通过对重大项目集中开工管理，确保我县项目进度，确保我县。且实际运行规范有效，达到了预期的绩效目标。</w:t>
      </w:r>
    </w:p>
    <w:p w14:paraId="4B3FADE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五、存在主要问题</w:t>
      </w:r>
    </w:p>
    <w:p w14:paraId="39DA6FE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47453EE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六、改进建议</w:t>
      </w:r>
    </w:p>
    <w:p w14:paraId="297E84C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xml:space="preserve"> 建议增加项目资金使用的灵活性。机动灵活地增加项目资金的使用范围，让项目实施部门有一定的调整空间，保证资金能及时有效的使用，进一步提高其使用效益。</w:t>
      </w:r>
    </w:p>
    <w:p w14:paraId="00FCEA0D">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p>
    <w:p w14:paraId="6FA79328">
      <w:pPr>
        <w:pStyle w:val="34"/>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28D1C6A0">
      <w:pPr>
        <w:pStyle w:val="34"/>
        <w:spacing w:line="578" w:lineRule="exact"/>
        <w:ind w:firstLine="640"/>
        <w:jc w:val="center"/>
        <w:rPr>
          <w:rFonts w:ascii="宋体" w:hAnsi="宋体"/>
          <w:color w:val="auto"/>
          <w:kern w:val="2"/>
          <w:sz w:val="32"/>
          <w:szCs w:val="32"/>
        </w:rPr>
      </w:pPr>
    </w:p>
    <w:p w14:paraId="6A469B5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一、项目概况</w:t>
      </w:r>
    </w:p>
    <w:p w14:paraId="669FF11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（一）设立背景及基本情况。</w:t>
      </w:r>
    </w:p>
    <w:p w14:paraId="322C34C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重点项目推进工作经费,完成2023年重点项目监督检查，保障2023年九寨沟县重点项目推进顺利开展</w:t>
      </w:r>
    </w:p>
    <w:p w14:paraId="0B23E2A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(二)实施目的及支持方向。</w:t>
      </w:r>
    </w:p>
    <w:p w14:paraId="31AA53F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该项目属于专项业务费、社会发展性项目，重点项目推进工作经费,完成2023年重点项目监督检查，保障2023年九寨沟县重点项目推进顺利开展，结合我单位工作职责,负责县重点项目监督检查，纳入县级财政预算</w:t>
      </w:r>
    </w:p>
    <w:p w14:paraId="2B136BE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预算安排及分配管理。</w:t>
      </w:r>
    </w:p>
    <w:p w14:paraId="4CA1343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该项目预算资金安排340279.45元，</w:t>
      </w:r>
    </w:p>
    <w:p w14:paraId="4A71BC9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项目绩效目标设置。</w:t>
      </w:r>
    </w:p>
    <w:p w14:paraId="3EBF1D3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绩效目标和绩效指标全面完整，契合项目实质，与县发展和改革局的长期规划目标、年度工作目标相一致，产出和效果关联。</w:t>
      </w:r>
    </w:p>
    <w:tbl>
      <w:tblPr>
        <w:tblStyle w:val="15"/>
        <w:tblW w:w="7562" w:type="dxa"/>
        <w:tblInd w:w="93" w:type="dxa"/>
        <w:tblLayout w:type="autofit"/>
        <w:tblCellMar>
          <w:top w:w="0" w:type="dxa"/>
          <w:left w:w="108" w:type="dxa"/>
          <w:bottom w:w="0" w:type="dxa"/>
          <w:right w:w="108" w:type="dxa"/>
        </w:tblCellMar>
      </w:tblPr>
      <w:tblGrid>
        <w:gridCol w:w="1176"/>
        <w:gridCol w:w="1176"/>
        <w:gridCol w:w="1176"/>
        <w:gridCol w:w="1176"/>
        <w:gridCol w:w="1336"/>
        <w:gridCol w:w="1176"/>
        <w:gridCol w:w="1176"/>
      </w:tblGrid>
      <w:tr w14:paraId="11491C60">
        <w:tblPrEx>
          <w:tblCellMar>
            <w:top w:w="0" w:type="dxa"/>
            <w:left w:w="108" w:type="dxa"/>
            <w:bottom w:w="0" w:type="dxa"/>
            <w:right w:w="108" w:type="dxa"/>
          </w:tblCellMar>
        </w:tblPrEx>
        <w:trPr>
          <w:trHeight w:val="450" w:hRule="atLeast"/>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CEE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一级指标</w:t>
            </w:r>
          </w:p>
        </w:tc>
        <w:tc>
          <w:tcPr>
            <w:tcW w:w="1081" w:type="dxa"/>
            <w:tcBorders>
              <w:top w:val="single" w:color="000000" w:sz="4" w:space="0"/>
              <w:left w:val="nil"/>
              <w:bottom w:val="single" w:color="000000" w:sz="4" w:space="0"/>
              <w:right w:val="single" w:color="000000" w:sz="4" w:space="0"/>
            </w:tcBorders>
            <w:shd w:val="clear" w:color="auto" w:fill="auto"/>
            <w:vAlign w:val="center"/>
          </w:tcPr>
          <w:p w14:paraId="2F7DED0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4FE24C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5ED66E9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指标性质</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9DBF19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指标值</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904DD2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度量单位</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515BFA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完成值</w:t>
            </w:r>
          </w:p>
        </w:tc>
      </w:tr>
      <w:tr w14:paraId="7E877303">
        <w:tblPrEx>
          <w:tblCellMar>
            <w:top w:w="0" w:type="dxa"/>
            <w:left w:w="108" w:type="dxa"/>
            <w:bottom w:w="0" w:type="dxa"/>
            <w:right w:w="108" w:type="dxa"/>
          </w:tblCellMar>
        </w:tblPrEx>
        <w:trPr>
          <w:trHeight w:val="450" w:hRule="atLeast"/>
        </w:trPr>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300B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产出指标</w:t>
            </w:r>
          </w:p>
        </w:tc>
        <w:tc>
          <w:tcPr>
            <w:tcW w:w="1081" w:type="dxa"/>
            <w:tcBorders>
              <w:top w:val="single" w:color="000000" w:sz="4" w:space="0"/>
              <w:left w:val="nil"/>
              <w:bottom w:val="single" w:color="000000" w:sz="4" w:space="0"/>
              <w:right w:val="single" w:color="000000" w:sz="4" w:space="0"/>
            </w:tcBorders>
            <w:shd w:val="clear" w:color="auto" w:fill="auto"/>
            <w:vAlign w:val="center"/>
          </w:tcPr>
          <w:p w14:paraId="1D087F2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数量指标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8AC2BE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重点项目检查</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B3A670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7D1981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500</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50F8FD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次</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F2326D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646400BF">
        <w:tblPrEx>
          <w:tblCellMar>
            <w:top w:w="0" w:type="dxa"/>
            <w:left w:w="108" w:type="dxa"/>
            <w:bottom w:w="0" w:type="dxa"/>
            <w:right w:w="108" w:type="dxa"/>
          </w:tblCellMar>
        </w:tblPrEx>
        <w:trPr>
          <w:trHeight w:val="450" w:hRule="atLeast"/>
        </w:trPr>
        <w:tc>
          <w:tcPr>
            <w:tcW w:w="1081" w:type="dxa"/>
            <w:vMerge w:val="continue"/>
            <w:tcBorders>
              <w:top w:val="single" w:color="000000" w:sz="4" w:space="0"/>
              <w:left w:val="single" w:color="000000" w:sz="4" w:space="0"/>
              <w:bottom w:val="single" w:color="000000" w:sz="4" w:space="0"/>
              <w:right w:val="single" w:color="000000" w:sz="4" w:space="0"/>
            </w:tcBorders>
            <w:vAlign w:val="center"/>
          </w:tcPr>
          <w:p w14:paraId="4110047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tc>
        <w:tc>
          <w:tcPr>
            <w:tcW w:w="1081" w:type="dxa"/>
            <w:tcBorders>
              <w:top w:val="nil"/>
              <w:left w:val="nil"/>
              <w:bottom w:val="single" w:color="000000" w:sz="4" w:space="0"/>
              <w:right w:val="single" w:color="000000" w:sz="4" w:space="0"/>
            </w:tcBorders>
            <w:shd w:val="clear" w:color="auto" w:fill="auto"/>
            <w:vAlign w:val="center"/>
          </w:tcPr>
          <w:p w14:paraId="457B2B7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质量指标</w:t>
            </w:r>
          </w:p>
        </w:tc>
        <w:tc>
          <w:tcPr>
            <w:tcW w:w="1080" w:type="dxa"/>
            <w:tcBorders>
              <w:top w:val="nil"/>
              <w:left w:val="nil"/>
              <w:bottom w:val="single" w:color="000000" w:sz="4" w:space="0"/>
              <w:right w:val="single" w:color="000000" w:sz="4" w:space="0"/>
            </w:tcBorders>
            <w:shd w:val="clear" w:color="auto" w:fill="auto"/>
            <w:vAlign w:val="center"/>
          </w:tcPr>
          <w:p w14:paraId="170475E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重点项目质量</w:t>
            </w:r>
          </w:p>
        </w:tc>
        <w:tc>
          <w:tcPr>
            <w:tcW w:w="1080" w:type="dxa"/>
            <w:tcBorders>
              <w:top w:val="nil"/>
              <w:left w:val="nil"/>
              <w:bottom w:val="single" w:color="000000" w:sz="4" w:space="0"/>
              <w:right w:val="single" w:color="000000" w:sz="4" w:space="0"/>
            </w:tcBorders>
            <w:shd w:val="clear" w:color="auto" w:fill="auto"/>
            <w:vAlign w:val="center"/>
          </w:tcPr>
          <w:p w14:paraId="1083090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定性</w:t>
            </w:r>
          </w:p>
        </w:tc>
        <w:tc>
          <w:tcPr>
            <w:tcW w:w="1080" w:type="dxa"/>
            <w:tcBorders>
              <w:top w:val="nil"/>
              <w:left w:val="nil"/>
              <w:bottom w:val="single" w:color="000000" w:sz="4" w:space="0"/>
              <w:right w:val="single" w:color="000000" w:sz="4" w:space="0"/>
            </w:tcBorders>
            <w:shd w:val="clear" w:color="auto" w:fill="auto"/>
            <w:vAlign w:val="center"/>
          </w:tcPr>
          <w:p w14:paraId="6355DC7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优</w:t>
            </w:r>
          </w:p>
        </w:tc>
        <w:tc>
          <w:tcPr>
            <w:tcW w:w="1080" w:type="dxa"/>
            <w:tcBorders>
              <w:top w:val="nil"/>
              <w:left w:val="nil"/>
              <w:bottom w:val="single" w:color="000000" w:sz="4" w:space="0"/>
              <w:right w:val="single" w:color="000000" w:sz="4" w:space="0"/>
            </w:tcBorders>
            <w:shd w:val="clear" w:color="auto" w:fill="auto"/>
            <w:vAlign w:val="center"/>
          </w:tcPr>
          <w:p w14:paraId="680307F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43CD7AE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58C55DB8">
        <w:tblPrEx>
          <w:tblCellMar>
            <w:top w:w="0" w:type="dxa"/>
            <w:left w:w="108" w:type="dxa"/>
            <w:bottom w:w="0" w:type="dxa"/>
            <w:right w:w="108" w:type="dxa"/>
          </w:tblCellMar>
        </w:tblPrEx>
        <w:trPr>
          <w:trHeight w:val="675" w:hRule="atLeast"/>
        </w:trPr>
        <w:tc>
          <w:tcPr>
            <w:tcW w:w="1081" w:type="dxa"/>
            <w:tcBorders>
              <w:top w:val="nil"/>
              <w:left w:val="single" w:color="000000" w:sz="4" w:space="0"/>
              <w:bottom w:val="single" w:color="000000" w:sz="4" w:space="0"/>
              <w:right w:val="single" w:color="000000" w:sz="4" w:space="0"/>
            </w:tcBorders>
            <w:shd w:val="clear" w:color="auto" w:fill="auto"/>
            <w:vAlign w:val="center"/>
          </w:tcPr>
          <w:p w14:paraId="75F2363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效益指标</w:t>
            </w:r>
          </w:p>
        </w:tc>
        <w:tc>
          <w:tcPr>
            <w:tcW w:w="1081" w:type="dxa"/>
            <w:tcBorders>
              <w:top w:val="nil"/>
              <w:left w:val="nil"/>
              <w:bottom w:val="single" w:color="000000" w:sz="4" w:space="0"/>
              <w:right w:val="single" w:color="000000" w:sz="4" w:space="0"/>
            </w:tcBorders>
            <w:shd w:val="clear" w:color="auto" w:fill="auto"/>
            <w:vAlign w:val="center"/>
          </w:tcPr>
          <w:p w14:paraId="4E2453D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可持续影响指标</w:t>
            </w:r>
          </w:p>
        </w:tc>
        <w:tc>
          <w:tcPr>
            <w:tcW w:w="1080" w:type="dxa"/>
            <w:tcBorders>
              <w:top w:val="nil"/>
              <w:left w:val="nil"/>
              <w:bottom w:val="single" w:color="000000" w:sz="4" w:space="0"/>
              <w:right w:val="single" w:color="000000" w:sz="4" w:space="0"/>
            </w:tcBorders>
            <w:shd w:val="clear" w:color="auto" w:fill="auto"/>
            <w:vAlign w:val="center"/>
          </w:tcPr>
          <w:p w14:paraId="2BBFE3B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重点项目带来的后续影响</w:t>
            </w:r>
          </w:p>
        </w:tc>
        <w:tc>
          <w:tcPr>
            <w:tcW w:w="1080" w:type="dxa"/>
            <w:tcBorders>
              <w:top w:val="nil"/>
              <w:left w:val="nil"/>
              <w:bottom w:val="single" w:color="000000" w:sz="4" w:space="0"/>
              <w:right w:val="single" w:color="000000" w:sz="4" w:space="0"/>
            </w:tcBorders>
            <w:shd w:val="clear" w:color="auto" w:fill="auto"/>
            <w:vAlign w:val="center"/>
          </w:tcPr>
          <w:p w14:paraId="6CF55D5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定性</w:t>
            </w:r>
          </w:p>
        </w:tc>
        <w:tc>
          <w:tcPr>
            <w:tcW w:w="1080" w:type="dxa"/>
            <w:tcBorders>
              <w:top w:val="nil"/>
              <w:left w:val="nil"/>
              <w:bottom w:val="single" w:color="000000" w:sz="4" w:space="0"/>
              <w:right w:val="single" w:color="000000" w:sz="4" w:space="0"/>
            </w:tcBorders>
            <w:shd w:val="clear" w:color="auto" w:fill="auto"/>
            <w:vAlign w:val="center"/>
          </w:tcPr>
          <w:p w14:paraId="19740ED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优</w:t>
            </w:r>
          </w:p>
        </w:tc>
        <w:tc>
          <w:tcPr>
            <w:tcW w:w="1080" w:type="dxa"/>
            <w:tcBorders>
              <w:top w:val="nil"/>
              <w:left w:val="nil"/>
              <w:bottom w:val="single" w:color="000000" w:sz="4" w:space="0"/>
              <w:right w:val="single" w:color="000000" w:sz="4" w:space="0"/>
            </w:tcBorders>
            <w:shd w:val="clear" w:color="auto" w:fill="auto"/>
            <w:vAlign w:val="center"/>
          </w:tcPr>
          <w:p w14:paraId="45CCB23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0BA7094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10DCC66D">
        <w:tblPrEx>
          <w:tblCellMar>
            <w:top w:w="0" w:type="dxa"/>
            <w:left w:w="108" w:type="dxa"/>
            <w:bottom w:w="0" w:type="dxa"/>
            <w:right w:w="108" w:type="dxa"/>
          </w:tblCellMar>
        </w:tblPrEx>
        <w:trPr>
          <w:trHeight w:val="450" w:hRule="atLeast"/>
        </w:trPr>
        <w:tc>
          <w:tcPr>
            <w:tcW w:w="1081" w:type="dxa"/>
            <w:tcBorders>
              <w:top w:val="nil"/>
              <w:left w:val="single" w:color="000000" w:sz="4" w:space="0"/>
              <w:bottom w:val="single" w:color="000000" w:sz="4" w:space="0"/>
              <w:right w:val="single" w:color="000000" w:sz="4" w:space="0"/>
            </w:tcBorders>
            <w:shd w:val="clear" w:color="auto" w:fill="auto"/>
            <w:vAlign w:val="center"/>
          </w:tcPr>
          <w:p w14:paraId="5B0A90C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081" w:type="dxa"/>
            <w:tcBorders>
              <w:top w:val="nil"/>
              <w:left w:val="nil"/>
              <w:bottom w:val="single" w:color="000000" w:sz="4" w:space="0"/>
              <w:right w:val="single" w:color="000000" w:sz="4" w:space="0"/>
            </w:tcBorders>
            <w:shd w:val="clear" w:color="auto" w:fill="auto"/>
            <w:vAlign w:val="center"/>
          </w:tcPr>
          <w:p w14:paraId="1DE38FF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162D3CF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服务对象满意度</w:t>
            </w:r>
          </w:p>
        </w:tc>
        <w:tc>
          <w:tcPr>
            <w:tcW w:w="1080" w:type="dxa"/>
            <w:tcBorders>
              <w:top w:val="nil"/>
              <w:left w:val="nil"/>
              <w:bottom w:val="single" w:color="000000" w:sz="4" w:space="0"/>
              <w:right w:val="single" w:color="000000" w:sz="4" w:space="0"/>
            </w:tcBorders>
            <w:shd w:val="clear" w:color="auto" w:fill="auto"/>
            <w:vAlign w:val="center"/>
          </w:tcPr>
          <w:p w14:paraId="11D507E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117E741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98</w:t>
            </w:r>
          </w:p>
        </w:tc>
        <w:tc>
          <w:tcPr>
            <w:tcW w:w="1080" w:type="dxa"/>
            <w:tcBorders>
              <w:top w:val="nil"/>
              <w:left w:val="nil"/>
              <w:bottom w:val="single" w:color="000000" w:sz="4" w:space="0"/>
              <w:right w:val="single" w:color="000000" w:sz="4" w:space="0"/>
            </w:tcBorders>
            <w:shd w:val="clear" w:color="auto" w:fill="auto"/>
            <w:vAlign w:val="center"/>
          </w:tcPr>
          <w:p w14:paraId="1FC37FD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33CCBFC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058A562D">
        <w:tblPrEx>
          <w:tblCellMar>
            <w:top w:w="0" w:type="dxa"/>
            <w:left w:w="108" w:type="dxa"/>
            <w:bottom w:w="0" w:type="dxa"/>
            <w:right w:w="108" w:type="dxa"/>
          </w:tblCellMar>
        </w:tblPrEx>
        <w:trPr>
          <w:trHeight w:val="450" w:hRule="atLeast"/>
        </w:trPr>
        <w:tc>
          <w:tcPr>
            <w:tcW w:w="1081" w:type="dxa"/>
            <w:tcBorders>
              <w:top w:val="nil"/>
              <w:left w:val="single" w:color="000000" w:sz="4" w:space="0"/>
              <w:bottom w:val="single" w:color="000000" w:sz="4" w:space="0"/>
              <w:right w:val="single" w:color="000000" w:sz="4" w:space="0"/>
            </w:tcBorders>
            <w:shd w:val="clear" w:color="auto" w:fill="auto"/>
            <w:vAlign w:val="center"/>
          </w:tcPr>
          <w:p w14:paraId="516C491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成本指标</w:t>
            </w:r>
          </w:p>
        </w:tc>
        <w:tc>
          <w:tcPr>
            <w:tcW w:w="1081" w:type="dxa"/>
            <w:tcBorders>
              <w:top w:val="nil"/>
              <w:left w:val="nil"/>
              <w:bottom w:val="single" w:color="000000" w:sz="4" w:space="0"/>
              <w:right w:val="single" w:color="000000" w:sz="4" w:space="0"/>
            </w:tcBorders>
            <w:shd w:val="clear" w:color="auto" w:fill="auto"/>
            <w:vAlign w:val="center"/>
          </w:tcPr>
          <w:p w14:paraId="44E955F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经济成本指标</w:t>
            </w:r>
          </w:p>
        </w:tc>
        <w:tc>
          <w:tcPr>
            <w:tcW w:w="1080" w:type="dxa"/>
            <w:tcBorders>
              <w:top w:val="nil"/>
              <w:left w:val="nil"/>
              <w:bottom w:val="single" w:color="000000" w:sz="4" w:space="0"/>
              <w:right w:val="single" w:color="000000" w:sz="4" w:space="0"/>
            </w:tcBorders>
            <w:shd w:val="clear" w:color="auto" w:fill="auto"/>
            <w:vAlign w:val="center"/>
          </w:tcPr>
          <w:p w14:paraId="25023A2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成本控制</w:t>
            </w:r>
          </w:p>
        </w:tc>
        <w:tc>
          <w:tcPr>
            <w:tcW w:w="1080" w:type="dxa"/>
            <w:tcBorders>
              <w:top w:val="nil"/>
              <w:left w:val="nil"/>
              <w:bottom w:val="single" w:color="000000" w:sz="4" w:space="0"/>
              <w:right w:val="single" w:color="000000" w:sz="4" w:space="0"/>
            </w:tcBorders>
            <w:shd w:val="clear" w:color="auto" w:fill="auto"/>
            <w:vAlign w:val="center"/>
          </w:tcPr>
          <w:p w14:paraId="6140340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43F6C97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25</w:t>
            </w:r>
          </w:p>
        </w:tc>
        <w:tc>
          <w:tcPr>
            <w:tcW w:w="1080" w:type="dxa"/>
            <w:tcBorders>
              <w:top w:val="nil"/>
              <w:left w:val="nil"/>
              <w:bottom w:val="single" w:color="000000" w:sz="4" w:space="0"/>
              <w:right w:val="single" w:color="000000" w:sz="4" w:space="0"/>
            </w:tcBorders>
            <w:shd w:val="clear" w:color="auto" w:fill="auto"/>
            <w:vAlign w:val="center"/>
          </w:tcPr>
          <w:p w14:paraId="198CD2B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万元</w:t>
            </w:r>
          </w:p>
        </w:tc>
        <w:tc>
          <w:tcPr>
            <w:tcW w:w="1080" w:type="dxa"/>
            <w:tcBorders>
              <w:top w:val="nil"/>
              <w:left w:val="nil"/>
              <w:bottom w:val="single" w:color="000000" w:sz="4" w:space="0"/>
              <w:right w:val="single" w:color="000000" w:sz="4" w:space="0"/>
            </w:tcBorders>
            <w:shd w:val="clear" w:color="auto" w:fill="auto"/>
            <w:vAlign w:val="center"/>
          </w:tcPr>
          <w:p w14:paraId="669E792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bl>
    <w:p w14:paraId="5421FF4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（一）评价目的。</w:t>
      </w:r>
    </w:p>
    <w:p w14:paraId="34BF5B9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通过项目绩效自评提高绩效管理，为项目设立和安排提供重要参考依据，提高预算编制科学性、合理性，优化支出结构，从源头上防控资源配置的低效无效，提高资源配置效率和资金使用效益。</w:t>
      </w:r>
    </w:p>
    <w:p w14:paraId="77C6B50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（二）预设问题及评价重点。按照绩效评价指标体系，对资金支出使用全过程及其实施效果进行综合评价和判断。</w:t>
      </w:r>
    </w:p>
    <w:p w14:paraId="2ACAE44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（三）评价选点。重点项目。</w:t>
      </w:r>
    </w:p>
    <w:p w14:paraId="39791FD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（四）评价方法。</w:t>
      </w:r>
    </w:p>
    <w:p w14:paraId="4B148E3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以单位自评法、实地勘察法。</w:t>
      </w:r>
    </w:p>
    <w:p w14:paraId="623A13B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（五）评价组织。财务分管领导、财务人员、相关工作人员 。</w:t>
      </w:r>
    </w:p>
    <w:p w14:paraId="324C7DB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三、绩效分析</w:t>
      </w:r>
      <w:r>
        <w:rPr>
          <w:rFonts w:hint="eastAsia" w:ascii="仿宋_GB2312" w:hAnsi="仿宋_GB2312" w:eastAsia="仿宋_GB2312" w:cs="仿宋_GB2312"/>
          <w:kern w:val="0"/>
          <w:position w:val="0"/>
          <w:sz w:val="32"/>
          <w:szCs w:val="32"/>
          <w:lang w:val="zh-CN" w:eastAsia="zh-CN" w:bidi="ar-SA"/>
        </w:rPr>
        <w:tab/>
      </w:r>
    </w:p>
    <w:p w14:paraId="3DDDA35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根据项目预算绩效评价指标体系“通用指标”“专用指标”“个性指标”涉及二、三级指标进行逐项绩效分析并评分。</w:t>
      </w:r>
    </w:p>
    <w:p w14:paraId="191870A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（一）通用指标绩效分析。</w:t>
      </w:r>
    </w:p>
    <w:p w14:paraId="1A6C7CB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1.项目决策。</w:t>
      </w:r>
    </w:p>
    <w:p w14:paraId="30D0ABC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为了加强财政支出管理，提高资金使用效益，促进资源有效配置。</w:t>
      </w:r>
    </w:p>
    <w:p w14:paraId="62EC7E8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2.项目管理。</w:t>
      </w:r>
    </w:p>
    <w:p w14:paraId="585EC97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在项目实施过程中，均由县财政集中支付核算中心审核，同时我中心还根据相关财务规定，对项目资金实行专款专用。</w:t>
      </w:r>
    </w:p>
    <w:p w14:paraId="3897B5F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3.项目实施。</w:t>
      </w:r>
    </w:p>
    <w:p w14:paraId="357BBC9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在报账时，经我中心财务负责人、财务分管领导按职权审批，较好地保护了该项目资金的合理使用。</w:t>
      </w:r>
    </w:p>
    <w:p w14:paraId="1B9EB48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4.项目结果。</w:t>
      </w:r>
    </w:p>
    <w:p w14:paraId="1F47B8F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完成2023年九寨沟县重点项目监督检查。</w:t>
      </w:r>
    </w:p>
    <w:p w14:paraId="038D553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（二）专用指标绩效分析。根据专项预算项目资金支持对象选择所属指标进行绩效分析。支持对象包括产业发展、民生保障、基础设施、行政运转等方面。</w:t>
      </w:r>
    </w:p>
    <w:p w14:paraId="55AD0CE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1.产业发展。不涉及。</w:t>
      </w:r>
    </w:p>
    <w:p w14:paraId="43AA36C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2.民生保障。围绕区域均衡性、对象精准性、标准合理性、群众满意度进行绩效分析。</w:t>
      </w:r>
    </w:p>
    <w:p w14:paraId="2230437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3.基础设施。不涉及。</w:t>
      </w:r>
    </w:p>
    <w:p w14:paraId="79C3F00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4.行政运转。完成2023年九寨沟县重点项目监督检查。</w:t>
      </w:r>
    </w:p>
    <w:p w14:paraId="0C9B7EC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（三）个性指标绩效分析。根据项目个性自行设定部分指标，反映该项指标执行完成情况。</w:t>
      </w:r>
    </w:p>
    <w:p w14:paraId="5A9E41F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四、评价结论</w:t>
      </w:r>
    </w:p>
    <w:p w14:paraId="0EA8ED5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完成2023年九寨沟县重点项目监督检查。</w:t>
      </w:r>
    </w:p>
    <w:p w14:paraId="2D45EE7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五、存在主要问题</w:t>
      </w:r>
    </w:p>
    <w:p w14:paraId="5FBA7AA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406B70B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六、改进建议</w:t>
      </w:r>
    </w:p>
    <w:p w14:paraId="07CBE0A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建议增加项目资金使用的灵活性。机动灵活地增加项目资金的使用范围，让项目实施部门有一定的调整空间，保证资金能及时有效的使用，进一步提高其使用效益。</w:t>
      </w:r>
    </w:p>
    <w:p w14:paraId="2DD31E37">
      <w:pPr>
        <w:pStyle w:val="8"/>
        <w:rPr>
          <w:rFonts w:hint="eastAsia"/>
          <w:lang w:val="zh-CN" w:eastAsia="zh-CN"/>
        </w:rPr>
      </w:pPr>
    </w:p>
    <w:p w14:paraId="267600A6">
      <w:pPr>
        <w:pStyle w:val="34"/>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0589F1DF">
      <w:pPr>
        <w:pStyle w:val="34"/>
        <w:spacing w:line="578" w:lineRule="exact"/>
        <w:ind w:firstLine="640"/>
        <w:jc w:val="center"/>
        <w:rPr>
          <w:rFonts w:ascii="宋体" w:hAnsi="宋体"/>
          <w:color w:val="auto"/>
          <w:kern w:val="2"/>
          <w:sz w:val="32"/>
          <w:szCs w:val="32"/>
        </w:rPr>
      </w:pPr>
    </w:p>
    <w:p w14:paraId="1459F68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一、项目概况</w:t>
      </w:r>
    </w:p>
    <w:p w14:paraId="54C73B7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（一）设立背景及基本情况。</w:t>
      </w:r>
    </w:p>
    <w:p w14:paraId="43BA0B0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为提高整改工作效率，办好中央生态环境保护督察组转办事项，县发改局制定实施方案和预算方案，在保华悦榕庄安装8个摄像头，支付电信公司9万元租赁费。</w:t>
      </w:r>
    </w:p>
    <w:p w14:paraId="51333C5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xml:space="preserve"> (二)实施目的及支持方向。</w:t>
      </w:r>
    </w:p>
    <w:p w14:paraId="3B91553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该项目属于专项业务费、社会发展性项目,完成中央生态环境保护督察组转办事项，结合我单位工作职责，纳入县级财政预算</w:t>
      </w:r>
    </w:p>
    <w:p w14:paraId="63F2832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预算安排及分配管理。</w:t>
      </w:r>
    </w:p>
    <w:p w14:paraId="10A609D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该项目预算资金安排9万元，</w:t>
      </w:r>
    </w:p>
    <w:p w14:paraId="4D73151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项目绩效目标设置。</w:t>
      </w:r>
    </w:p>
    <w:p w14:paraId="2429918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绩效目标和绩效指标全面完整，契合项目实质，与县发展和改革局的长期规划目标、年度工作目标相一致，产出和效果关联。</w:t>
      </w:r>
    </w:p>
    <w:tbl>
      <w:tblPr>
        <w:tblStyle w:val="15"/>
        <w:tblW w:w="7560" w:type="dxa"/>
        <w:tblInd w:w="93" w:type="dxa"/>
        <w:tblLayout w:type="autofit"/>
        <w:tblCellMar>
          <w:top w:w="0" w:type="dxa"/>
          <w:left w:w="108" w:type="dxa"/>
          <w:bottom w:w="0" w:type="dxa"/>
          <w:right w:w="108" w:type="dxa"/>
        </w:tblCellMar>
      </w:tblPr>
      <w:tblGrid>
        <w:gridCol w:w="1176"/>
        <w:gridCol w:w="1176"/>
        <w:gridCol w:w="1176"/>
        <w:gridCol w:w="1176"/>
        <w:gridCol w:w="1176"/>
        <w:gridCol w:w="1176"/>
        <w:gridCol w:w="1176"/>
      </w:tblGrid>
      <w:tr w14:paraId="32550202">
        <w:tblPrEx>
          <w:tblCellMar>
            <w:top w:w="0" w:type="dxa"/>
            <w:left w:w="108" w:type="dxa"/>
            <w:bottom w:w="0" w:type="dxa"/>
            <w:right w:w="108"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A00C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3E4D52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2D50D3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3F107C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指标性质</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3D46A2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指标值</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7C65E9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度量单位</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76CE25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完成值</w:t>
            </w:r>
          </w:p>
        </w:tc>
      </w:tr>
      <w:tr w14:paraId="21EF669E">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F1C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产出指标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052A26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质量指标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BD87F7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安装数量</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EA460E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0A331A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8</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D95DD2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个</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88D332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14F49BA2">
        <w:tblPrEx>
          <w:tblCellMar>
            <w:top w:w="0" w:type="dxa"/>
            <w:left w:w="108" w:type="dxa"/>
            <w:bottom w:w="0" w:type="dxa"/>
            <w:right w:w="108" w:type="dxa"/>
          </w:tblCellMar>
        </w:tblPrEx>
        <w:trPr>
          <w:trHeight w:val="27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0DBC852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效益指标</w:t>
            </w:r>
          </w:p>
        </w:tc>
        <w:tc>
          <w:tcPr>
            <w:tcW w:w="1080" w:type="dxa"/>
            <w:tcBorders>
              <w:top w:val="nil"/>
              <w:left w:val="nil"/>
              <w:bottom w:val="single" w:color="000000" w:sz="4" w:space="0"/>
              <w:right w:val="single" w:color="000000" w:sz="4" w:space="0"/>
            </w:tcBorders>
            <w:shd w:val="clear" w:color="auto" w:fill="auto"/>
            <w:vAlign w:val="center"/>
          </w:tcPr>
          <w:p w14:paraId="6FAC220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可持续影响指标</w:t>
            </w:r>
          </w:p>
        </w:tc>
        <w:tc>
          <w:tcPr>
            <w:tcW w:w="1080" w:type="dxa"/>
            <w:tcBorders>
              <w:top w:val="nil"/>
              <w:left w:val="nil"/>
              <w:bottom w:val="single" w:color="000000" w:sz="4" w:space="0"/>
              <w:right w:val="single" w:color="000000" w:sz="4" w:space="0"/>
            </w:tcBorders>
            <w:shd w:val="clear" w:color="auto" w:fill="auto"/>
            <w:vAlign w:val="center"/>
          </w:tcPr>
          <w:p w14:paraId="01D3C39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安装摄像头带来的后续影响</w:t>
            </w:r>
          </w:p>
        </w:tc>
        <w:tc>
          <w:tcPr>
            <w:tcW w:w="1080" w:type="dxa"/>
            <w:tcBorders>
              <w:top w:val="nil"/>
              <w:left w:val="nil"/>
              <w:bottom w:val="single" w:color="000000" w:sz="4" w:space="0"/>
              <w:right w:val="single" w:color="000000" w:sz="4" w:space="0"/>
            </w:tcBorders>
            <w:shd w:val="clear" w:color="auto" w:fill="auto"/>
            <w:vAlign w:val="center"/>
          </w:tcPr>
          <w:p w14:paraId="183219F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定性</w:t>
            </w:r>
          </w:p>
        </w:tc>
        <w:tc>
          <w:tcPr>
            <w:tcW w:w="1080" w:type="dxa"/>
            <w:tcBorders>
              <w:top w:val="nil"/>
              <w:left w:val="nil"/>
              <w:bottom w:val="single" w:color="000000" w:sz="4" w:space="0"/>
              <w:right w:val="single" w:color="000000" w:sz="4" w:space="0"/>
            </w:tcBorders>
            <w:shd w:val="clear" w:color="auto" w:fill="auto"/>
            <w:vAlign w:val="center"/>
          </w:tcPr>
          <w:p w14:paraId="3652915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优</w:t>
            </w:r>
          </w:p>
        </w:tc>
        <w:tc>
          <w:tcPr>
            <w:tcW w:w="1080" w:type="dxa"/>
            <w:tcBorders>
              <w:top w:val="nil"/>
              <w:left w:val="nil"/>
              <w:bottom w:val="single" w:color="000000" w:sz="4" w:space="0"/>
              <w:right w:val="single" w:color="000000" w:sz="4" w:space="0"/>
            </w:tcBorders>
            <w:shd w:val="clear" w:color="auto" w:fill="auto"/>
            <w:vAlign w:val="center"/>
          </w:tcPr>
          <w:p w14:paraId="39712F3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624BC07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6DAD43AC">
        <w:tblPrEx>
          <w:tblCellMar>
            <w:top w:w="0" w:type="dxa"/>
            <w:left w:w="108" w:type="dxa"/>
            <w:bottom w:w="0" w:type="dxa"/>
            <w:right w:w="108" w:type="dxa"/>
          </w:tblCellMar>
        </w:tblPrEx>
        <w:trPr>
          <w:trHeight w:val="27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32F133B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54AF68D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5743119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参与人员满意度</w:t>
            </w:r>
          </w:p>
        </w:tc>
        <w:tc>
          <w:tcPr>
            <w:tcW w:w="1080" w:type="dxa"/>
            <w:tcBorders>
              <w:top w:val="nil"/>
              <w:left w:val="nil"/>
              <w:bottom w:val="single" w:color="000000" w:sz="4" w:space="0"/>
              <w:right w:val="single" w:color="000000" w:sz="4" w:space="0"/>
            </w:tcBorders>
            <w:shd w:val="clear" w:color="auto" w:fill="auto"/>
            <w:vAlign w:val="center"/>
          </w:tcPr>
          <w:p w14:paraId="2CD7E0C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28E3C20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95</w:t>
            </w:r>
          </w:p>
        </w:tc>
        <w:tc>
          <w:tcPr>
            <w:tcW w:w="1080" w:type="dxa"/>
            <w:tcBorders>
              <w:top w:val="nil"/>
              <w:left w:val="nil"/>
              <w:bottom w:val="single" w:color="000000" w:sz="4" w:space="0"/>
              <w:right w:val="single" w:color="000000" w:sz="4" w:space="0"/>
            </w:tcBorders>
            <w:shd w:val="clear" w:color="auto" w:fill="auto"/>
            <w:vAlign w:val="center"/>
          </w:tcPr>
          <w:p w14:paraId="2AE9AEE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7E32406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4F0C0F01">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73CB431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成本指标</w:t>
            </w:r>
          </w:p>
        </w:tc>
        <w:tc>
          <w:tcPr>
            <w:tcW w:w="1080" w:type="dxa"/>
            <w:tcBorders>
              <w:top w:val="nil"/>
              <w:left w:val="nil"/>
              <w:bottom w:val="single" w:color="000000" w:sz="4" w:space="0"/>
              <w:right w:val="single" w:color="000000" w:sz="4" w:space="0"/>
            </w:tcBorders>
            <w:shd w:val="clear" w:color="auto" w:fill="auto"/>
            <w:vAlign w:val="center"/>
          </w:tcPr>
          <w:p w14:paraId="2F28A61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经济成本指标</w:t>
            </w:r>
          </w:p>
        </w:tc>
        <w:tc>
          <w:tcPr>
            <w:tcW w:w="1080" w:type="dxa"/>
            <w:tcBorders>
              <w:top w:val="nil"/>
              <w:left w:val="nil"/>
              <w:bottom w:val="single" w:color="000000" w:sz="4" w:space="0"/>
              <w:right w:val="single" w:color="000000" w:sz="4" w:space="0"/>
            </w:tcBorders>
            <w:shd w:val="clear" w:color="auto" w:fill="auto"/>
            <w:vAlign w:val="center"/>
          </w:tcPr>
          <w:p w14:paraId="5041D79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成本控制</w:t>
            </w:r>
          </w:p>
        </w:tc>
        <w:tc>
          <w:tcPr>
            <w:tcW w:w="1080" w:type="dxa"/>
            <w:tcBorders>
              <w:top w:val="nil"/>
              <w:left w:val="nil"/>
              <w:bottom w:val="single" w:color="000000" w:sz="4" w:space="0"/>
              <w:right w:val="single" w:color="000000" w:sz="4" w:space="0"/>
            </w:tcBorders>
            <w:shd w:val="clear" w:color="auto" w:fill="auto"/>
            <w:vAlign w:val="center"/>
          </w:tcPr>
          <w:p w14:paraId="49A882B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6AB7A1A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9</w:t>
            </w:r>
          </w:p>
        </w:tc>
        <w:tc>
          <w:tcPr>
            <w:tcW w:w="1080" w:type="dxa"/>
            <w:tcBorders>
              <w:top w:val="nil"/>
              <w:left w:val="nil"/>
              <w:bottom w:val="single" w:color="000000" w:sz="4" w:space="0"/>
              <w:right w:val="single" w:color="000000" w:sz="4" w:space="0"/>
            </w:tcBorders>
            <w:shd w:val="clear" w:color="auto" w:fill="auto"/>
            <w:vAlign w:val="center"/>
          </w:tcPr>
          <w:p w14:paraId="4BCD0EF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万元</w:t>
            </w:r>
          </w:p>
        </w:tc>
        <w:tc>
          <w:tcPr>
            <w:tcW w:w="1080" w:type="dxa"/>
            <w:tcBorders>
              <w:top w:val="nil"/>
              <w:left w:val="nil"/>
              <w:bottom w:val="single" w:color="000000" w:sz="4" w:space="0"/>
              <w:right w:val="single" w:color="000000" w:sz="4" w:space="0"/>
            </w:tcBorders>
            <w:shd w:val="clear" w:color="auto" w:fill="auto"/>
            <w:vAlign w:val="center"/>
          </w:tcPr>
          <w:p w14:paraId="581A99E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bl>
    <w:p w14:paraId="456130E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（一）评价目的。</w:t>
      </w:r>
    </w:p>
    <w:p w14:paraId="434B1E9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通过项目绩效自评提高绩效管理，为项目设立和安排提供重要参考依据，提高预算编制科学性、合理性，优化支出结构，从源头上防控资源配置的低效无效，提高资源配置效率和资金使用效益。</w:t>
      </w:r>
    </w:p>
    <w:p w14:paraId="1DCA7E6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（二）预设问题及评价重点。按照绩效评价指标体系，对资金支出使用全过程及其实施效果进行综合评价和判断。</w:t>
      </w:r>
    </w:p>
    <w:p w14:paraId="275ABB0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（三）评价选点。浙江推介会。</w:t>
      </w:r>
    </w:p>
    <w:p w14:paraId="718BA1F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（四）评价方法。</w:t>
      </w:r>
    </w:p>
    <w:p w14:paraId="3491088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以单位自评法、实地勘察法。</w:t>
      </w:r>
    </w:p>
    <w:p w14:paraId="7F17B59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（五）评价组织。财务分管领导、财务人员、相关工作人员 。</w:t>
      </w:r>
    </w:p>
    <w:p w14:paraId="72CB150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三、绩效分析</w:t>
      </w:r>
      <w:r>
        <w:rPr>
          <w:rFonts w:hint="eastAsia" w:ascii="仿宋_GB2312" w:hAnsi="仿宋_GB2312" w:eastAsia="仿宋_GB2312" w:cs="仿宋_GB2312"/>
          <w:kern w:val="0"/>
          <w:position w:val="0"/>
          <w:sz w:val="32"/>
          <w:szCs w:val="32"/>
          <w:lang w:val="zh-CN" w:eastAsia="zh-CN" w:bidi="ar-SA"/>
        </w:rPr>
        <w:tab/>
      </w:r>
    </w:p>
    <w:p w14:paraId="3212AFA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根据项目预算绩效评价指标体系“通用指标”“专用指标”“个性指标”涉及二、三级指标进行逐项绩效分析并评分。</w:t>
      </w:r>
    </w:p>
    <w:p w14:paraId="07439DB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（一）通用指标绩效分析。</w:t>
      </w:r>
    </w:p>
    <w:p w14:paraId="339D850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1.项目决策。</w:t>
      </w:r>
    </w:p>
    <w:p w14:paraId="5AF044C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为了加强财政支出管理，提高资金使用效益，促进资源有效配置。</w:t>
      </w:r>
    </w:p>
    <w:p w14:paraId="1644204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2.项目管理。</w:t>
      </w:r>
    </w:p>
    <w:p w14:paraId="73F9D94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在项目实施过程中，均由县财政集中支付核算中心审核，同时我中心还根据相关财务规定，对项目资金实行专款专用。</w:t>
      </w:r>
    </w:p>
    <w:p w14:paraId="5924003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3.项目实施。</w:t>
      </w:r>
    </w:p>
    <w:p w14:paraId="2437F57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在报账时，经我中心财务负责人、财务分管领导按职权审批，较好地保护了该项目资金的合理使用。</w:t>
      </w:r>
    </w:p>
    <w:p w14:paraId="40B9C75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4.项目结果。</w:t>
      </w:r>
    </w:p>
    <w:p w14:paraId="2ACEF78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完成,完成中央生态环境保护督察组转办事项，监督九寨云顶项目。</w:t>
      </w:r>
    </w:p>
    <w:p w14:paraId="32DF31F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（二）专用指标绩效分析。根据专项预算项目资金支持对象选择所属指标进行绩效分析。支持对象包括产业发展、民生保障、基础设施、行政运转等方面。</w:t>
      </w:r>
    </w:p>
    <w:p w14:paraId="521A1DE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1.产业发展。不涉及。</w:t>
      </w:r>
    </w:p>
    <w:p w14:paraId="101AD2C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2.民生保障。围绕区域均衡性、对象精准性、标准合理性、群众满意度进行绩效分析。</w:t>
      </w:r>
    </w:p>
    <w:p w14:paraId="38F2BBB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3.基础设施。不涉及。</w:t>
      </w:r>
    </w:p>
    <w:p w14:paraId="5274F62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4.行政运转。完成,完成中央生态环境保护督察组转办事项。</w:t>
      </w:r>
    </w:p>
    <w:p w14:paraId="18C96D5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（三）个性指标绩效分析。根据项目个性自行设定部分指标，反映该项指标执行完成情况。</w:t>
      </w:r>
    </w:p>
    <w:p w14:paraId="1E3F0C1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四、评价结论</w:t>
      </w:r>
    </w:p>
    <w:p w14:paraId="6D9C1FC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完成,完成中央生态环境保护督察组转办事项。</w:t>
      </w:r>
    </w:p>
    <w:p w14:paraId="1735627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五、存在主要问题</w:t>
      </w:r>
    </w:p>
    <w:p w14:paraId="5E18EEF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74FBB7E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六、改进建议</w:t>
      </w:r>
    </w:p>
    <w:p w14:paraId="0FAD6B9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xml:space="preserve"> 建议增加项目资金使用的灵活性。机动灵活地增加项目资金的使用范围，让项目实施部门有一定的调整空间，保证资金能及时有效的使用，进一步提高其使用效益。</w:t>
      </w:r>
    </w:p>
    <w:p w14:paraId="2DC34EA5">
      <w:pPr>
        <w:pStyle w:val="34"/>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55F1C753">
      <w:pPr>
        <w:pStyle w:val="34"/>
        <w:spacing w:line="578" w:lineRule="exact"/>
        <w:ind w:firstLine="640"/>
        <w:jc w:val="center"/>
        <w:rPr>
          <w:rFonts w:ascii="宋体" w:hAnsi="宋体"/>
          <w:color w:val="auto"/>
          <w:kern w:val="2"/>
          <w:sz w:val="32"/>
          <w:szCs w:val="32"/>
        </w:rPr>
      </w:pPr>
    </w:p>
    <w:p w14:paraId="2C3B469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一、项目概况</w:t>
      </w:r>
    </w:p>
    <w:p w14:paraId="43D8426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（一）设立背景及基本情况。</w:t>
      </w:r>
    </w:p>
    <w:p w14:paraId="2376E4B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为落实浙九两地互访会商，开展文化旅游推介，促进浙九两地文化交流交融，提升两地文化旅游市场的竞争力和吸引力，在浙江市组织开展了浙江市—九寨沟县对口支援文旅推介会暨文化交流活动。</w:t>
      </w:r>
    </w:p>
    <w:p w14:paraId="3FB99DD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(二)实施目的及支持方向。</w:t>
      </w:r>
    </w:p>
    <w:p w14:paraId="4895B9E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该项目属于专项业务费、社会发展性项目，重点项目推进工作经费, 完成2023年浙江-九寨沟两地文旅推介会暨文化交流活动，结合我单位工作职责,负责交流交融，纳入县级财政预算</w:t>
      </w:r>
    </w:p>
    <w:p w14:paraId="7129D84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预算安排及分配管理。</w:t>
      </w:r>
    </w:p>
    <w:p w14:paraId="4379077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该项目预算资金安排534040元，</w:t>
      </w:r>
    </w:p>
    <w:p w14:paraId="4B51D0B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项目绩效目标设置。</w:t>
      </w:r>
    </w:p>
    <w:p w14:paraId="6DAD3BD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绩效目标和绩效指标全面完整，契合项目实质，与县发展和改革局的长期规划目标、年度工作目标相一致，产出和效果关联。</w:t>
      </w:r>
    </w:p>
    <w:tbl>
      <w:tblPr>
        <w:tblStyle w:val="15"/>
        <w:tblW w:w="7560" w:type="dxa"/>
        <w:tblInd w:w="93" w:type="dxa"/>
        <w:tblLayout w:type="autofit"/>
        <w:tblCellMar>
          <w:top w:w="0" w:type="dxa"/>
          <w:left w:w="108" w:type="dxa"/>
          <w:bottom w:w="0" w:type="dxa"/>
          <w:right w:w="108" w:type="dxa"/>
        </w:tblCellMar>
      </w:tblPr>
      <w:tblGrid>
        <w:gridCol w:w="1118"/>
        <w:gridCol w:w="1118"/>
        <w:gridCol w:w="1118"/>
        <w:gridCol w:w="1118"/>
        <w:gridCol w:w="1720"/>
        <w:gridCol w:w="1118"/>
        <w:gridCol w:w="1119"/>
      </w:tblGrid>
      <w:tr w14:paraId="3F0263CD">
        <w:tblPrEx>
          <w:tblCellMar>
            <w:top w:w="0" w:type="dxa"/>
            <w:left w:w="108" w:type="dxa"/>
            <w:bottom w:w="0" w:type="dxa"/>
            <w:right w:w="108"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40E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EC3B4F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6475CC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DA3481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指标性质</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35FF68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指标值</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18E782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度量单位</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0C6D6B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完成值</w:t>
            </w:r>
          </w:p>
        </w:tc>
      </w:tr>
      <w:tr w14:paraId="7CD67B6D">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F9B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产出指标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1F640C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质量指标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2D19F0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活动质量</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F1D780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定性</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197389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8C35ED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优</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B75E62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3AD8C19D">
        <w:tblPrEx>
          <w:tblCellMar>
            <w:top w:w="0" w:type="dxa"/>
            <w:left w:w="108" w:type="dxa"/>
            <w:bottom w:w="0" w:type="dxa"/>
            <w:right w:w="108" w:type="dxa"/>
          </w:tblCellMar>
        </w:tblPrEx>
        <w:trPr>
          <w:trHeight w:val="27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1F24B04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产出指标</w:t>
            </w:r>
          </w:p>
        </w:tc>
        <w:tc>
          <w:tcPr>
            <w:tcW w:w="1080" w:type="dxa"/>
            <w:tcBorders>
              <w:top w:val="nil"/>
              <w:left w:val="nil"/>
              <w:bottom w:val="single" w:color="000000" w:sz="4" w:space="0"/>
              <w:right w:val="single" w:color="000000" w:sz="4" w:space="0"/>
            </w:tcBorders>
            <w:shd w:val="clear" w:color="auto" w:fill="auto"/>
            <w:vAlign w:val="center"/>
          </w:tcPr>
          <w:p w14:paraId="4B5DD7A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时效指标</w:t>
            </w:r>
          </w:p>
        </w:tc>
        <w:tc>
          <w:tcPr>
            <w:tcW w:w="1080" w:type="dxa"/>
            <w:tcBorders>
              <w:top w:val="nil"/>
              <w:left w:val="nil"/>
              <w:bottom w:val="single" w:color="000000" w:sz="4" w:space="0"/>
              <w:right w:val="single" w:color="000000" w:sz="4" w:space="0"/>
            </w:tcBorders>
            <w:shd w:val="clear" w:color="auto" w:fill="auto"/>
            <w:vAlign w:val="center"/>
          </w:tcPr>
          <w:p w14:paraId="3959A2E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完成时间</w:t>
            </w:r>
          </w:p>
        </w:tc>
        <w:tc>
          <w:tcPr>
            <w:tcW w:w="1080" w:type="dxa"/>
            <w:tcBorders>
              <w:top w:val="nil"/>
              <w:left w:val="nil"/>
              <w:bottom w:val="single" w:color="000000" w:sz="4" w:space="0"/>
              <w:right w:val="single" w:color="000000" w:sz="4" w:space="0"/>
            </w:tcBorders>
            <w:shd w:val="clear" w:color="auto" w:fill="auto"/>
            <w:vAlign w:val="center"/>
          </w:tcPr>
          <w:p w14:paraId="27D16D9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328C66E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w:t>
            </w:r>
          </w:p>
        </w:tc>
        <w:tc>
          <w:tcPr>
            <w:tcW w:w="1080" w:type="dxa"/>
            <w:tcBorders>
              <w:top w:val="nil"/>
              <w:left w:val="nil"/>
              <w:bottom w:val="single" w:color="000000" w:sz="4" w:space="0"/>
              <w:right w:val="single" w:color="000000" w:sz="4" w:space="0"/>
            </w:tcBorders>
            <w:shd w:val="clear" w:color="auto" w:fill="auto"/>
            <w:vAlign w:val="center"/>
          </w:tcPr>
          <w:p w14:paraId="4F95A80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月</w:t>
            </w:r>
          </w:p>
        </w:tc>
        <w:tc>
          <w:tcPr>
            <w:tcW w:w="1080" w:type="dxa"/>
            <w:tcBorders>
              <w:top w:val="nil"/>
              <w:left w:val="nil"/>
              <w:bottom w:val="single" w:color="000000" w:sz="4" w:space="0"/>
              <w:right w:val="single" w:color="000000" w:sz="4" w:space="0"/>
            </w:tcBorders>
            <w:shd w:val="clear" w:color="auto" w:fill="auto"/>
            <w:vAlign w:val="center"/>
          </w:tcPr>
          <w:p w14:paraId="7283140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tc>
      </w:tr>
      <w:tr w14:paraId="000001E9">
        <w:tblPrEx>
          <w:tblCellMar>
            <w:top w:w="0" w:type="dxa"/>
            <w:left w:w="108" w:type="dxa"/>
            <w:bottom w:w="0" w:type="dxa"/>
            <w:right w:w="108" w:type="dxa"/>
          </w:tblCellMar>
        </w:tblPrEx>
        <w:trPr>
          <w:trHeight w:val="27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7B05611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产出指标</w:t>
            </w:r>
          </w:p>
        </w:tc>
        <w:tc>
          <w:tcPr>
            <w:tcW w:w="1080" w:type="dxa"/>
            <w:tcBorders>
              <w:top w:val="nil"/>
              <w:left w:val="nil"/>
              <w:bottom w:val="single" w:color="000000" w:sz="4" w:space="0"/>
              <w:right w:val="single" w:color="000000" w:sz="4" w:space="0"/>
            </w:tcBorders>
            <w:shd w:val="clear" w:color="auto" w:fill="auto"/>
            <w:vAlign w:val="center"/>
          </w:tcPr>
          <w:p w14:paraId="0C08F9E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数量指标</w:t>
            </w:r>
          </w:p>
        </w:tc>
        <w:tc>
          <w:tcPr>
            <w:tcW w:w="1080" w:type="dxa"/>
            <w:tcBorders>
              <w:top w:val="nil"/>
              <w:left w:val="nil"/>
              <w:bottom w:val="single" w:color="000000" w:sz="4" w:space="0"/>
              <w:right w:val="single" w:color="000000" w:sz="4" w:space="0"/>
            </w:tcBorders>
            <w:shd w:val="clear" w:color="auto" w:fill="auto"/>
            <w:vAlign w:val="center"/>
          </w:tcPr>
          <w:p w14:paraId="7904779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参加人数</w:t>
            </w:r>
          </w:p>
        </w:tc>
        <w:tc>
          <w:tcPr>
            <w:tcW w:w="1080" w:type="dxa"/>
            <w:tcBorders>
              <w:top w:val="nil"/>
              <w:left w:val="nil"/>
              <w:bottom w:val="single" w:color="000000" w:sz="4" w:space="0"/>
              <w:right w:val="single" w:color="000000" w:sz="4" w:space="0"/>
            </w:tcBorders>
            <w:shd w:val="clear" w:color="auto" w:fill="auto"/>
            <w:vAlign w:val="center"/>
          </w:tcPr>
          <w:p w14:paraId="66B66EA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4A0FA83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50</w:t>
            </w:r>
          </w:p>
        </w:tc>
        <w:tc>
          <w:tcPr>
            <w:tcW w:w="1080" w:type="dxa"/>
            <w:tcBorders>
              <w:top w:val="nil"/>
              <w:left w:val="nil"/>
              <w:bottom w:val="single" w:color="000000" w:sz="4" w:space="0"/>
              <w:right w:val="single" w:color="000000" w:sz="4" w:space="0"/>
            </w:tcBorders>
            <w:shd w:val="clear" w:color="auto" w:fill="auto"/>
            <w:vAlign w:val="center"/>
          </w:tcPr>
          <w:p w14:paraId="6FAE8C3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人</w:t>
            </w:r>
          </w:p>
        </w:tc>
        <w:tc>
          <w:tcPr>
            <w:tcW w:w="1080" w:type="dxa"/>
            <w:tcBorders>
              <w:top w:val="nil"/>
              <w:left w:val="nil"/>
              <w:bottom w:val="single" w:color="000000" w:sz="4" w:space="0"/>
              <w:right w:val="single" w:color="000000" w:sz="4" w:space="0"/>
            </w:tcBorders>
            <w:shd w:val="clear" w:color="auto" w:fill="auto"/>
            <w:vAlign w:val="center"/>
          </w:tcPr>
          <w:p w14:paraId="3C1BDCA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tc>
      </w:tr>
      <w:tr w14:paraId="35FF3AFF">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0D9B57F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效益指标</w:t>
            </w:r>
          </w:p>
        </w:tc>
        <w:tc>
          <w:tcPr>
            <w:tcW w:w="1080" w:type="dxa"/>
            <w:tcBorders>
              <w:top w:val="nil"/>
              <w:left w:val="nil"/>
              <w:bottom w:val="single" w:color="000000" w:sz="4" w:space="0"/>
              <w:right w:val="single" w:color="000000" w:sz="4" w:space="0"/>
            </w:tcBorders>
            <w:shd w:val="clear" w:color="auto" w:fill="auto"/>
            <w:vAlign w:val="center"/>
          </w:tcPr>
          <w:p w14:paraId="662BB43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可持续影响指标</w:t>
            </w:r>
          </w:p>
        </w:tc>
        <w:tc>
          <w:tcPr>
            <w:tcW w:w="1080" w:type="dxa"/>
            <w:tcBorders>
              <w:top w:val="nil"/>
              <w:left w:val="nil"/>
              <w:bottom w:val="single" w:color="000000" w:sz="4" w:space="0"/>
              <w:right w:val="single" w:color="000000" w:sz="4" w:space="0"/>
            </w:tcBorders>
            <w:shd w:val="clear" w:color="auto" w:fill="auto"/>
            <w:vAlign w:val="center"/>
          </w:tcPr>
          <w:p w14:paraId="3216F9F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活动带来的影响</w:t>
            </w:r>
          </w:p>
        </w:tc>
        <w:tc>
          <w:tcPr>
            <w:tcW w:w="1080" w:type="dxa"/>
            <w:tcBorders>
              <w:top w:val="nil"/>
              <w:left w:val="nil"/>
              <w:bottom w:val="single" w:color="000000" w:sz="4" w:space="0"/>
              <w:right w:val="single" w:color="000000" w:sz="4" w:space="0"/>
            </w:tcBorders>
            <w:shd w:val="clear" w:color="auto" w:fill="auto"/>
            <w:vAlign w:val="center"/>
          </w:tcPr>
          <w:p w14:paraId="2C5BE4E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定性</w:t>
            </w:r>
          </w:p>
        </w:tc>
        <w:tc>
          <w:tcPr>
            <w:tcW w:w="1080" w:type="dxa"/>
            <w:tcBorders>
              <w:top w:val="nil"/>
              <w:left w:val="nil"/>
              <w:bottom w:val="single" w:color="000000" w:sz="4" w:space="0"/>
              <w:right w:val="single" w:color="000000" w:sz="4" w:space="0"/>
            </w:tcBorders>
            <w:shd w:val="clear" w:color="auto" w:fill="auto"/>
            <w:vAlign w:val="center"/>
          </w:tcPr>
          <w:p w14:paraId="4C2174D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c>
          <w:tcPr>
            <w:tcW w:w="1080" w:type="dxa"/>
            <w:tcBorders>
              <w:top w:val="nil"/>
              <w:left w:val="nil"/>
              <w:bottom w:val="single" w:color="000000" w:sz="4" w:space="0"/>
              <w:right w:val="single" w:color="000000" w:sz="4" w:space="0"/>
            </w:tcBorders>
            <w:shd w:val="clear" w:color="auto" w:fill="auto"/>
            <w:vAlign w:val="center"/>
          </w:tcPr>
          <w:p w14:paraId="5314DED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高</w:t>
            </w:r>
          </w:p>
        </w:tc>
        <w:tc>
          <w:tcPr>
            <w:tcW w:w="1080" w:type="dxa"/>
            <w:tcBorders>
              <w:top w:val="nil"/>
              <w:left w:val="nil"/>
              <w:bottom w:val="single" w:color="000000" w:sz="4" w:space="0"/>
              <w:right w:val="single" w:color="000000" w:sz="4" w:space="0"/>
            </w:tcBorders>
            <w:shd w:val="clear" w:color="auto" w:fill="auto"/>
            <w:vAlign w:val="center"/>
          </w:tcPr>
          <w:p w14:paraId="13EAC17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w:t>
            </w:r>
          </w:p>
        </w:tc>
      </w:tr>
      <w:tr w14:paraId="1FF654E1">
        <w:tblPrEx>
          <w:tblCellMar>
            <w:top w:w="0" w:type="dxa"/>
            <w:left w:w="108" w:type="dxa"/>
            <w:bottom w:w="0" w:type="dxa"/>
            <w:right w:w="108" w:type="dxa"/>
          </w:tblCellMar>
        </w:tblPrEx>
        <w:trPr>
          <w:trHeight w:val="45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440EAED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5216CFF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080" w:type="dxa"/>
            <w:tcBorders>
              <w:top w:val="nil"/>
              <w:left w:val="nil"/>
              <w:bottom w:val="single" w:color="000000" w:sz="4" w:space="0"/>
              <w:right w:val="single" w:color="000000" w:sz="4" w:space="0"/>
            </w:tcBorders>
            <w:shd w:val="clear" w:color="auto" w:fill="auto"/>
            <w:vAlign w:val="center"/>
          </w:tcPr>
          <w:p w14:paraId="73FD9AF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演职人员满意度</w:t>
            </w:r>
          </w:p>
        </w:tc>
        <w:tc>
          <w:tcPr>
            <w:tcW w:w="1080" w:type="dxa"/>
            <w:tcBorders>
              <w:top w:val="nil"/>
              <w:left w:val="nil"/>
              <w:bottom w:val="single" w:color="000000" w:sz="4" w:space="0"/>
              <w:right w:val="single" w:color="000000" w:sz="4" w:space="0"/>
            </w:tcBorders>
            <w:shd w:val="clear" w:color="auto" w:fill="auto"/>
            <w:vAlign w:val="center"/>
          </w:tcPr>
          <w:p w14:paraId="2E04846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54CE7FC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95</w:t>
            </w:r>
          </w:p>
        </w:tc>
        <w:tc>
          <w:tcPr>
            <w:tcW w:w="1080" w:type="dxa"/>
            <w:tcBorders>
              <w:top w:val="nil"/>
              <w:left w:val="nil"/>
              <w:bottom w:val="single" w:color="000000" w:sz="4" w:space="0"/>
              <w:right w:val="single" w:color="000000" w:sz="4" w:space="0"/>
            </w:tcBorders>
            <w:shd w:val="clear" w:color="auto" w:fill="auto"/>
            <w:vAlign w:val="center"/>
          </w:tcPr>
          <w:p w14:paraId="0B35AE3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40D2327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tc>
      </w:tr>
      <w:tr w14:paraId="59F4BFDE">
        <w:tblPrEx>
          <w:tblCellMar>
            <w:top w:w="0" w:type="dxa"/>
            <w:left w:w="108" w:type="dxa"/>
            <w:bottom w:w="0" w:type="dxa"/>
            <w:right w:w="108" w:type="dxa"/>
          </w:tblCellMar>
        </w:tblPrEx>
        <w:trPr>
          <w:trHeight w:val="27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64DA956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成本指标</w:t>
            </w:r>
          </w:p>
        </w:tc>
        <w:tc>
          <w:tcPr>
            <w:tcW w:w="1080" w:type="dxa"/>
            <w:tcBorders>
              <w:top w:val="nil"/>
              <w:left w:val="nil"/>
              <w:bottom w:val="single" w:color="000000" w:sz="4" w:space="0"/>
              <w:right w:val="single" w:color="000000" w:sz="4" w:space="0"/>
            </w:tcBorders>
            <w:shd w:val="clear" w:color="auto" w:fill="auto"/>
            <w:vAlign w:val="center"/>
          </w:tcPr>
          <w:p w14:paraId="3851B04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成本指标</w:t>
            </w:r>
          </w:p>
        </w:tc>
        <w:tc>
          <w:tcPr>
            <w:tcW w:w="1080" w:type="dxa"/>
            <w:tcBorders>
              <w:top w:val="nil"/>
              <w:left w:val="nil"/>
              <w:bottom w:val="single" w:color="000000" w:sz="4" w:space="0"/>
              <w:right w:val="single" w:color="000000" w:sz="4" w:space="0"/>
            </w:tcBorders>
            <w:shd w:val="clear" w:color="auto" w:fill="auto"/>
            <w:vAlign w:val="center"/>
          </w:tcPr>
          <w:p w14:paraId="2B12F05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成本控制</w:t>
            </w:r>
          </w:p>
        </w:tc>
        <w:tc>
          <w:tcPr>
            <w:tcW w:w="1080" w:type="dxa"/>
            <w:tcBorders>
              <w:top w:val="nil"/>
              <w:left w:val="nil"/>
              <w:bottom w:val="single" w:color="000000" w:sz="4" w:space="0"/>
              <w:right w:val="single" w:color="000000" w:sz="4" w:space="0"/>
            </w:tcBorders>
            <w:shd w:val="clear" w:color="auto" w:fill="auto"/>
            <w:vAlign w:val="center"/>
          </w:tcPr>
          <w:p w14:paraId="13F8F72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w:t>
            </w:r>
          </w:p>
        </w:tc>
        <w:tc>
          <w:tcPr>
            <w:tcW w:w="1080" w:type="dxa"/>
            <w:tcBorders>
              <w:top w:val="nil"/>
              <w:left w:val="nil"/>
              <w:bottom w:val="single" w:color="000000" w:sz="4" w:space="0"/>
              <w:right w:val="single" w:color="000000" w:sz="4" w:space="0"/>
            </w:tcBorders>
            <w:shd w:val="clear" w:color="auto" w:fill="auto"/>
            <w:vAlign w:val="center"/>
          </w:tcPr>
          <w:p w14:paraId="00F1C48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534040</w:t>
            </w:r>
          </w:p>
        </w:tc>
        <w:tc>
          <w:tcPr>
            <w:tcW w:w="1080" w:type="dxa"/>
            <w:tcBorders>
              <w:top w:val="nil"/>
              <w:left w:val="nil"/>
              <w:bottom w:val="single" w:color="000000" w:sz="4" w:space="0"/>
              <w:right w:val="single" w:color="000000" w:sz="4" w:space="0"/>
            </w:tcBorders>
            <w:shd w:val="clear" w:color="auto" w:fill="auto"/>
            <w:vAlign w:val="center"/>
          </w:tcPr>
          <w:p w14:paraId="2EB77D4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元</w:t>
            </w:r>
          </w:p>
        </w:tc>
        <w:tc>
          <w:tcPr>
            <w:tcW w:w="1080" w:type="dxa"/>
            <w:tcBorders>
              <w:top w:val="nil"/>
              <w:left w:val="nil"/>
              <w:bottom w:val="single" w:color="000000" w:sz="4" w:space="0"/>
              <w:right w:val="single" w:color="000000" w:sz="4" w:space="0"/>
            </w:tcBorders>
            <w:shd w:val="clear" w:color="auto" w:fill="auto"/>
            <w:vAlign w:val="center"/>
          </w:tcPr>
          <w:p w14:paraId="0EA0EB4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tc>
      </w:tr>
    </w:tbl>
    <w:p w14:paraId="5C9B0A4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（一）评价目的。</w:t>
      </w:r>
    </w:p>
    <w:p w14:paraId="6919C1D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通过项目绩效自评提高绩效管理，为项目设立和安排提供重要参考依据，提高预算编制科学性、合理性，优化支出结构，从源头上防控资源配置的低效无效，提高资源配置效率和资金使用效益。</w:t>
      </w:r>
    </w:p>
    <w:p w14:paraId="138CD27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（二）预设问题及评价重点。按照绩效评价指标体系，对资金支出使用全过程及其实施效果进行综合评价和判断。</w:t>
      </w:r>
    </w:p>
    <w:p w14:paraId="25B9727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（三）评价选点。浙江推介会。</w:t>
      </w:r>
    </w:p>
    <w:p w14:paraId="580B07B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（四）评价方法。</w:t>
      </w:r>
    </w:p>
    <w:p w14:paraId="50CBF24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以单位自评法、实地勘察法。</w:t>
      </w:r>
    </w:p>
    <w:p w14:paraId="6CC2D3C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（五）评价组织。财务分管领导、财务人员、相关工作人员 。</w:t>
      </w:r>
    </w:p>
    <w:p w14:paraId="3B59875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三、绩效分析</w:t>
      </w:r>
      <w:r>
        <w:rPr>
          <w:rFonts w:hint="eastAsia" w:ascii="仿宋_GB2312" w:hAnsi="仿宋_GB2312" w:eastAsia="仿宋_GB2312" w:cs="仿宋_GB2312"/>
          <w:kern w:val="0"/>
          <w:position w:val="0"/>
          <w:sz w:val="32"/>
          <w:szCs w:val="32"/>
          <w:lang w:val="zh-CN" w:eastAsia="zh-CN" w:bidi="ar-SA"/>
        </w:rPr>
        <w:tab/>
      </w:r>
    </w:p>
    <w:p w14:paraId="428450F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根据项目预算绩效评价指标体系“通用指标”“专用指标”“个性指标”涉及二、三级指标进行逐项绩效分析并评分。</w:t>
      </w:r>
    </w:p>
    <w:p w14:paraId="71963A0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（一）通用指标绩效分析。</w:t>
      </w:r>
    </w:p>
    <w:p w14:paraId="4F0BC2B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1.项目决策。</w:t>
      </w:r>
    </w:p>
    <w:p w14:paraId="7F57A1B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为了加强财政支出管理，提高资金使用效益，促进资源有效配置。</w:t>
      </w:r>
    </w:p>
    <w:p w14:paraId="0D577F2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2.项目管理。</w:t>
      </w:r>
    </w:p>
    <w:p w14:paraId="52AE8DD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在项目实施过程中，均由县财政集中支付核算中心审核，同时我中心还根据相关财务规定，对项目资金实行专款专用。</w:t>
      </w:r>
    </w:p>
    <w:p w14:paraId="7AA735D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3.项目实施。</w:t>
      </w:r>
    </w:p>
    <w:p w14:paraId="3AB836E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在报账时，经我中心财务负责人、财务分管领导按职权审批，较好地保护了该项目资金的合理使用。</w:t>
      </w:r>
    </w:p>
    <w:p w14:paraId="6FE5346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4.项目结果。</w:t>
      </w:r>
    </w:p>
    <w:p w14:paraId="65665A8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完成2023年浙江-九寨沟两地文旅推介会暨文化交流活动。</w:t>
      </w:r>
    </w:p>
    <w:p w14:paraId="1A3C627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（二）专用指标绩效分析。根据专项预算项目资金支持对象选择所属指标进行绩效分析。支持对象包括产业发展、民生保障、基础设施、行政运转等方面。</w:t>
      </w:r>
    </w:p>
    <w:p w14:paraId="33D91E8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1.产业发展。不涉及。</w:t>
      </w:r>
    </w:p>
    <w:p w14:paraId="7A9844B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2.民生保障。围绕区域均衡性、对象精准性、标准合理性、群众满意度进行绩效分析。</w:t>
      </w:r>
    </w:p>
    <w:p w14:paraId="2F5EBD3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3.基础设施。不涉及。</w:t>
      </w:r>
    </w:p>
    <w:p w14:paraId="2AB6E4F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4.行政运转。完成2023年浙江-九寨沟两地文旅推介会暨文化交流活动。</w:t>
      </w:r>
    </w:p>
    <w:p w14:paraId="028282B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（三）个性指标绩效分析。根据项目个性自行设定部分指标，反映该项指标执行完成情况。</w:t>
      </w:r>
    </w:p>
    <w:p w14:paraId="774D3D8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四、评价结论</w:t>
      </w:r>
    </w:p>
    <w:p w14:paraId="00EFEAF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完成2023年浙江-九寨沟两地文旅推介会暨文化交流活动。</w:t>
      </w:r>
    </w:p>
    <w:p w14:paraId="59EE9925">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五、存在主要问题</w:t>
      </w:r>
    </w:p>
    <w:p w14:paraId="1557834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5756F86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六、改进建议</w:t>
      </w:r>
    </w:p>
    <w:p w14:paraId="4E6A36B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 xml:space="preserve"> 建议增加项目资金使用的灵活性。机动灵活地增加项目资金的使用范围，让项目实施部门有一定的调整空间，保证资金能及时有效的使用，进一步提高其使用效益。</w:t>
      </w:r>
    </w:p>
    <w:p w14:paraId="2F014642">
      <w:pPr>
        <w:pStyle w:val="34"/>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专项预算项目绩效评价报告</w:t>
      </w:r>
    </w:p>
    <w:p w14:paraId="3EE2DF8E">
      <w:pPr>
        <w:pStyle w:val="34"/>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color w:val="auto"/>
          <w:kern w:val="2"/>
          <w:sz w:val="32"/>
          <w:szCs w:val="32"/>
          <w:highlight w:val="none"/>
        </w:rPr>
      </w:pPr>
    </w:p>
    <w:p w14:paraId="4079B56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一、项目概况</w:t>
      </w:r>
    </w:p>
    <w:p w14:paraId="044C32A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（一）设立背景及基本情况。</w:t>
      </w:r>
    </w:p>
    <w:p w14:paraId="6725E6C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根据九寨沟县发展和改革局文件九发改【2019】160号精神，保障九寨沟县全县各应急物资仓库工作顺利开展所必须的设备维护和工作经费。</w:t>
      </w:r>
    </w:p>
    <w:p w14:paraId="572F6742">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default" w:ascii="仿宋_GB2312" w:hAnsi="仿宋_GB2312" w:eastAsia="仿宋_GB2312" w:cs="仿宋_GB2312"/>
          <w:kern w:val="0"/>
          <w:position w:val="0"/>
          <w:sz w:val="32"/>
          <w:szCs w:val="32"/>
          <w:lang w:val="en-US" w:eastAsia="zh-CN" w:bidi="ar-SA"/>
        </w:rPr>
        <w:t>实施目的及支持方向</w:t>
      </w:r>
      <w:r>
        <w:rPr>
          <w:rFonts w:hint="eastAsia" w:ascii="仿宋_GB2312" w:hAnsi="仿宋_GB2312" w:eastAsia="仿宋_GB2312" w:cs="仿宋_GB2312"/>
          <w:kern w:val="0"/>
          <w:position w:val="0"/>
          <w:sz w:val="32"/>
          <w:szCs w:val="32"/>
          <w:lang w:val="en-US" w:eastAsia="zh-CN" w:bidi="ar-SA"/>
        </w:rPr>
        <w:t>。</w:t>
      </w:r>
    </w:p>
    <w:p w14:paraId="1B93EB88">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应急物资储备为组织实施战略和应急储备物资收储、轮换和日常管理等职责，并启用应急物资信息化平台管理。日常全县各储备库的管理、应急物资收储轮换，清理、归类，                                                                                                                                                                                                                                                                                                                                                                                                                                                                                                                                                                                                                                                                                                                                                                                                                                                                                                                                                                                                                                                                                                                                                                                                                                                                                                                                                                                                                                                                                                                                                                                                                                                  各乡镇应急物资储备的配送，检查等必要经费。</w:t>
      </w:r>
    </w:p>
    <w:p w14:paraId="0A414BE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default" w:ascii="仿宋_GB2312" w:hAnsi="仿宋_GB2312" w:eastAsia="仿宋_GB2312" w:cs="仿宋_GB2312"/>
          <w:kern w:val="0"/>
          <w:position w:val="0"/>
          <w:sz w:val="32"/>
          <w:szCs w:val="32"/>
          <w:lang w:val="en-US" w:eastAsia="zh-CN" w:bidi="ar-SA"/>
        </w:rPr>
        <w:t>预算安排及分配管理</w:t>
      </w:r>
      <w:r>
        <w:rPr>
          <w:rFonts w:hint="eastAsia" w:ascii="仿宋_GB2312" w:hAnsi="仿宋_GB2312" w:eastAsia="仿宋_GB2312" w:cs="仿宋_GB2312"/>
          <w:kern w:val="0"/>
          <w:position w:val="0"/>
          <w:sz w:val="32"/>
          <w:szCs w:val="32"/>
          <w:lang w:val="zh-CN" w:eastAsia="zh-CN" w:bidi="ar-SA"/>
        </w:rPr>
        <w:t>。</w:t>
      </w:r>
    </w:p>
    <w:p w14:paraId="02FCFFE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本项目预算安排</w:t>
      </w:r>
      <w:r>
        <w:rPr>
          <w:rFonts w:hint="eastAsia" w:ascii="仿宋_GB2312" w:hAnsi="仿宋_GB2312" w:eastAsia="仿宋_GB2312" w:cs="仿宋_GB2312"/>
          <w:kern w:val="0"/>
          <w:position w:val="0"/>
          <w:sz w:val="32"/>
          <w:szCs w:val="32"/>
          <w:lang w:val="en-US" w:eastAsia="zh-CN" w:bidi="ar-SA"/>
        </w:rPr>
        <w:t>20万元</w:t>
      </w:r>
      <w:r>
        <w:rPr>
          <w:rFonts w:hint="eastAsia" w:ascii="仿宋_GB2312" w:hAnsi="仿宋_GB2312" w:eastAsia="仿宋_GB2312" w:cs="仿宋_GB2312"/>
          <w:kern w:val="0"/>
          <w:position w:val="0"/>
          <w:sz w:val="32"/>
          <w:szCs w:val="32"/>
          <w:lang w:val="zh-CN" w:eastAsia="zh-CN" w:bidi="ar-SA"/>
        </w:rPr>
        <w:t>，项目资金主要用于急物资仓库工作的顺利开展所必须的设备维护和工作经费等。</w:t>
      </w:r>
    </w:p>
    <w:p w14:paraId="7574C41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项目绩效目标设置。</w:t>
      </w:r>
    </w:p>
    <w:p w14:paraId="7B04596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绩效目标和绩效指标全面完整，契合政项目实质，与县发展和改革局的长期规划目标、年度工作目标相一致，产出和效果相关联。</w:t>
      </w:r>
    </w:p>
    <w:p w14:paraId="455F44A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p w14:paraId="22C7BCA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p w14:paraId="19B0AD9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p>
    <w:p w14:paraId="66A8156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应急救灾物资管理经费绩效目标表</w:t>
      </w:r>
    </w:p>
    <w:tbl>
      <w:tblPr>
        <w:tblStyle w:val="15"/>
        <w:tblpPr w:leftFromText="180" w:rightFromText="180" w:vertAnchor="text" w:horzAnchor="page" w:tblpX="1905" w:tblpY="112"/>
        <w:tblW w:w="0" w:type="auto"/>
        <w:tblInd w:w="-4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305"/>
        <w:gridCol w:w="2730"/>
        <w:gridCol w:w="2700"/>
      </w:tblGrid>
      <w:tr w14:paraId="1FEE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2E4FD17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一级指标</w:t>
            </w:r>
          </w:p>
        </w:tc>
        <w:tc>
          <w:tcPr>
            <w:tcW w:w="1305" w:type="dxa"/>
            <w:tcBorders>
              <w:top w:val="single" w:color="auto" w:sz="4" w:space="0"/>
              <w:left w:val="single" w:color="auto" w:sz="4" w:space="0"/>
              <w:bottom w:val="single" w:color="auto" w:sz="4" w:space="0"/>
              <w:right w:val="single" w:color="auto" w:sz="4" w:space="0"/>
            </w:tcBorders>
            <w:noWrap/>
            <w:vAlign w:val="top"/>
          </w:tcPr>
          <w:p w14:paraId="53758B1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二级指标</w:t>
            </w:r>
          </w:p>
        </w:tc>
        <w:tc>
          <w:tcPr>
            <w:tcW w:w="2730" w:type="dxa"/>
            <w:tcBorders>
              <w:top w:val="single" w:color="auto" w:sz="4" w:space="0"/>
              <w:left w:val="single" w:color="auto" w:sz="4" w:space="0"/>
              <w:bottom w:val="single" w:color="auto" w:sz="4" w:space="0"/>
              <w:right w:val="single" w:color="auto" w:sz="4" w:space="0"/>
            </w:tcBorders>
            <w:noWrap/>
            <w:vAlign w:val="top"/>
          </w:tcPr>
          <w:p w14:paraId="5E42625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三级指标</w:t>
            </w:r>
          </w:p>
        </w:tc>
        <w:tc>
          <w:tcPr>
            <w:tcW w:w="2700" w:type="dxa"/>
            <w:tcBorders>
              <w:top w:val="single" w:color="auto" w:sz="4" w:space="0"/>
              <w:left w:val="single" w:color="auto" w:sz="4" w:space="0"/>
              <w:bottom w:val="single" w:color="auto" w:sz="4" w:space="0"/>
              <w:right w:val="single" w:color="auto" w:sz="4" w:space="0"/>
            </w:tcBorders>
            <w:noWrap/>
            <w:vAlign w:val="top"/>
          </w:tcPr>
          <w:p w14:paraId="790E52B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指标值</w:t>
            </w:r>
          </w:p>
        </w:tc>
      </w:tr>
      <w:tr w14:paraId="2E79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6648CB7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产出指标</w:t>
            </w:r>
          </w:p>
        </w:tc>
        <w:tc>
          <w:tcPr>
            <w:tcW w:w="1305" w:type="dxa"/>
            <w:tcBorders>
              <w:top w:val="single" w:color="auto" w:sz="4" w:space="0"/>
              <w:left w:val="single" w:color="auto" w:sz="4" w:space="0"/>
              <w:bottom w:val="single" w:color="auto" w:sz="4" w:space="0"/>
              <w:right w:val="single" w:color="auto" w:sz="4" w:space="0"/>
            </w:tcBorders>
            <w:noWrap/>
            <w:vAlign w:val="top"/>
          </w:tcPr>
          <w:p w14:paraId="13B86CE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时效指标</w:t>
            </w:r>
          </w:p>
        </w:tc>
        <w:tc>
          <w:tcPr>
            <w:tcW w:w="2730" w:type="dxa"/>
            <w:tcBorders>
              <w:top w:val="single" w:color="auto" w:sz="4" w:space="0"/>
              <w:left w:val="single" w:color="auto" w:sz="4" w:space="0"/>
              <w:bottom w:val="single" w:color="auto" w:sz="4" w:space="0"/>
              <w:right w:val="single" w:color="auto" w:sz="4" w:space="0"/>
            </w:tcBorders>
            <w:noWrap/>
            <w:vAlign w:val="top"/>
          </w:tcPr>
          <w:p w14:paraId="7B00A88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完成及时率</w:t>
            </w:r>
          </w:p>
        </w:tc>
        <w:tc>
          <w:tcPr>
            <w:tcW w:w="2700" w:type="dxa"/>
            <w:tcBorders>
              <w:top w:val="single" w:color="auto" w:sz="4" w:space="0"/>
              <w:left w:val="single" w:color="auto" w:sz="4" w:space="0"/>
              <w:bottom w:val="single" w:color="auto" w:sz="4" w:space="0"/>
              <w:right w:val="single" w:color="auto" w:sz="4" w:space="0"/>
            </w:tcBorders>
            <w:noWrap/>
            <w:vAlign w:val="top"/>
          </w:tcPr>
          <w:p w14:paraId="5E5D3D4B">
            <w:pPr>
              <w:tabs>
                <w:tab w:val="left" w:pos="1911"/>
              </w:tabs>
              <w:ind w:firstLine="640"/>
              <w:jc w:val="left"/>
              <w:rPr>
                <w:rFonts w:hint="default"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100%</w:t>
            </w:r>
          </w:p>
        </w:tc>
      </w:tr>
      <w:tr w14:paraId="23AD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56351C3E">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效益指标</w:t>
            </w:r>
          </w:p>
        </w:tc>
        <w:tc>
          <w:tcPr>
            <w:tcW w:w="1305" w:type="dxa"/>
            <w:tcBorders>
              <w:top w:val="single" w:color="auto" w:sz="4" w:space="0"/>
              <w:left w:val="single" w:color="auto" w:sz="4" w:space="0"/>
              <w:bottom w:val="single" w:color="auto" w:sz="4" w:space="0"/>
              <w:right w:val="single" w:color="auto" w:sz="4" w:space="0"/>
            </w:tcBorders>
            <w:noWrap/>
            <w:vAlign w:val="top"/>
          </w:tcPr>
          <w:p w14:paraId="7E25AA49">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社会效益指标</w:t>
            </w:r>
          </w:p>
        </w:tc>
        <w:tc>
          <w:tcPr>
            <w:tcW w:w="2730" w:type="dxa"/>
            <w:tcBorders>
              <w:top w:val="single" w:color="auto" w:sz="4" w:space="0"/>
              <w:left w:val="single" w:color="auto" w:sz="4" w:space="0"/>
              <w:bottom w:val="single" w:color="auto" w:sz="4" w:space="0"/>
              <w:right w:val="single" w:color="auto" w:sz="4" w:space="0"/>
            </w:tcBorders>
            <w:noWrap/>
            <w:vAlign w:val="top"/>
          </w:tcPr>
          <w:p w14:paraId="7C08B49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应对疫情和重大突发事件能力</w:t>
            </w:r>
          </w:p>
        </w:tc>
        <w:tc>
          <w:tcPr>
            <w:tcW w:w="2700" w:type="dxa"/>
            <w:tcBorders>
              <w:top w:val="single" w:color="auto" w:sz="4" w:space="0"/>
              <w:left w:val="single" w:color="auto" w:sz="4" w:space="0"/>
              <w:bottom w:val="single" w:color="auto" w:sz="4" w:space="0"/>
              <w:right w:val="single" w:color="auto" w:sz="4" w:space="0"/>
            </w:tcBorders>
            <w:noWrap/>
            <w:vAlign w:val="center"/>
          </w:tcPr>
          <w:p w14:paraId="63F1A854">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default" w:ascii="仿宋_GB2312" w:hAnsi="仿宋_GB2312" w:eastAsia="仿宋_GB2312" w:cs="仿宋_GB2312"/>
                <w:kern w:val="0"/>
                <w:position w:val="0"/>
                <w:sz w:val="32"/>
                <w:szCs w:val="32"/>
                <w:lang w:val="en-US" w:eastAsia="zh-CN" w:bidi="ar-SA"/>
              </w:rPr>
              <w:t>显著提高</w:t>
            </w:r>
          </w:p>
        </w:tc>
      </w:tr>
      <w:tr w14:paraId="2C1A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3639812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满意度指标</w:t>
            </w:r>
          </w:p>
        </w:tc>
        <w:tc>
          <w:tcPr>
            <w:tcW w:w="1305" w:type="dxa"/>
            <w:tcBorders>
              <w:top w:val="single" w:color="auto" w:sz="4" w:space="0"/>
              <w:left w:val="single" w:color="auto" w:sz="4" w:space="0"/>
              <w:bottom w:val="single" w:color="auto" w:sz="4" w:space="0"/>
              <w:right w:val="single" w:color="auto" w:sz="4" w:space="0"/>
            </w:tcBorders>
            <w:noWrap/>
            <w:vAlign w:val="top"/>
          </w:tcPr>
          <w:p w14:paraId="77053363">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服务对象满意度</w:t>
            </w:r>
          </w:p>
        </w:tc>
        <w:tc>
          <w:tcPr>
            <w:tcW w:w="2730" w:type="dxa"/>
            <w:tcBorders>
              <w:top w:val="single" w:color="auto" w:sz="4" w:space="0"/>
              <w:left w:val="single" w:color="auto" w:sz="4" w:space="0"/>
              <w:bottom w:val="single" w:color="auto" w:sz="4" w:space="0"/>
              <w:right w:val="single" w:color="auto" w:sz="4" w:space="0"/>
            </w:tcBorders>
            <w:noWrap/>
            <w:vAlign w:val="top"/>
          </w:tcPr>
          <w:p w14:paraId="763AF07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公众及有关部门满意度率</w:t>
            </w:r>
          </w:p>
        </w:tc>
        <w:tc>
          <w:tcPr>
            <w:tcW w:w="2700" w:type="dxa"/>
            <w:tcBorders>
              <w:top w:val="single" w:color="auto" w:sz="4" w:space="0"/>
              <w:left w:val="single" w:color="auto" w:sz="4" w:space="0"/>
              <w:bottom w:val="single" w:color="auto" w:sz="4" w:space="0"/>
              <w:right w:val="single" w:color="auto" w:sz="4" w:space="0"/>
            </w:tcBorders>
            <w:noWrap/>
            <w:vAlign w:val="top"/>
          </w:tcPr>
          <w:p w14:paraId="37FA2D50">
            <w:pPr>
              <w:tabs>
                <w:tab w:val="left" w:pos="1911"/>
              </w:tabs>
              <w:ind w:firstLine="640"/>
              <w:jc w:val="left"/>
              <w:rPr>
                <w:rFonts w:hint="default"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100%</w:t>
            </w:r>
          </w:p>
        </w:tc>
      </w:tr>
    </w:tbl>
    <w:p w14:paraId="29DF6A6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二、评价实施</w:t>
      </w:r>
    </w:p>
    <w:p w14:paraId="188A517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（一）评价目的。</w:t>
      </w:r>
    </w:p>
    <w:p w14:paraId="1A26A5E4">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完成202</w:t>
      </w:r>
      <w:r>
        <w:rPr>
          <w:rFonts w:hint="eastAsia" w:ascii="仿宋_GB2312" w:hAnsi="仿宋_GB2312" w:eastAsia="仿宋_GB2312" w:cs="仿宋_GB2312"/>
          <w:kern w:val="0"/>
          <w:position w:val="0"/>
          <w:sz w:val="32"/>
          <w:szCs w:val="32"/>
          <w:lang w:val="en-US" w:eastAsia="zh-CN" w:bidi="ar-SA"/>
        </w:rPr>
        <w:t>3</w:t>
      </w:r>
      <w:r>
        <w:rPr>
          <w:rFonts w:hint="eastAsia" w:ascii="仿宋_GB2312" w:hAnsi="仿宋_GB2312" w:eastAsia="仿宋_GB2312" w:cs="仿宋_GB2312"/>
          <w:kern w:val="0"/>
          <w:position w:val="0"/>
          <w:sz w:val="32"/>
          <w:szCs w:val="32"/>
          <w:lang w:val="zh-CN" w:eastAsia="zh-CN" w:bidi="ar-SA"/>
        </w:rPr>
        <w:t>年度应急救灾物资储备和管理专项工作，实现应急管理职能，推动政策落实。</w:t>
      </w:r>
    </w:p>
    <w:p w14:paraId="5101F2F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（二）预设问题及评价重点。按照绩效评价指标体系，对资金支出使用全过程及其实施效果进行综合评价和判断。</w:t>
      </w:r>
    </w:p>
    <w:p w14:paraId="2F350D1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（三）评价选点。项目绩效自评所抽样点位按安乐应急救灾物资储备库、涉及物资领用乡镇。</w:t>
      </w:r>
    </w:p>
    <w:p w14:paraId="66938EC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（四）评价方法。</w:t>
      </w:r>
    </w:p>
    <w:p w14:paraId="56D9313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以单位自评法、实地勘察法应急救灾物资管理工作得到肯定和认同。</w:t>
      </w:r>
    </w:p>
    <w:p w14:paraId="210F360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（五）评价组织。财务分管领导、财务人员、应急救灾物资储备库工作人员。</w:t>
      </w:r>
    </w:p>
    <w:p w14:paraId="2185974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三、绩效分析</w:t>
      </w:r>
      <w:r>
        <w:rPr>
          <w:rFonts w:hint="eastAsia" w:ascii="仿宋_GB2312" w:hAnsi="仿宋_GB2312" w:eastAsia="仿宋_GB2312" w:cs="仿宋_GB2312"/>
          <w:kern w:val="0"/>
          <w:position w:val="0"/>
          <w:sz w:val="32"/>
          <w:szCs w:val="32"/>
          <w:lang w:val="zh-CN" w:eastAsia="zh-CN" w:bidi="ar-SA"/>
        </w:rPr>
        <w:tab/>
      </w:r>
    </w:p>
    <w:p w14:paraId="6B9E2EDE">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default" w:ascii="仿宋_GB2312" w:hAnsi="仿宋_GB2312" w:eastAsia="仿宋_GB2312" w:cs="仿宋_GB2312"/>
          <w:kern w:val="0"/>
          <w:position w:val="0"/>
          <w:sz w:val="32"/>
          <w:szCs w:val="32"/>
          <w:lang w:val="zh-CN" w:eastAsia="zh-CN" w:bidi="ar-SA"/>
        </w:rPr>
        <w:t>根据</w:t>
      </w:r>
      <w:r>
        <w:rPr>
          <w:rFonts w:hint="eastAsia" w:ascii="仿宋_GB2312" w:hAnsi="仿宋_GB2312" w:eastAsia="仿宋_GB2312" w:cs="仿宋_GB2312"/>
          <w:kern w:val="0"/>
          <w:position w:val="0"/>
          <w:sz w:val="32"/>
          <w:szCs w:val="32"/>
          <w:lang w:val="zh-CN" w:eastAsia="zh-CN" w:bidi="ar-SA"/>
        </w:rPr>
        <w:t>项目</w:t>
      </w:r>
      <w:r>
        <w:rPr>
          <w:rFonts w:hint="default" w:ascii="仿宋_GB2312" w:hAnsi="仿宋_GB2312" w:eastAsia="仿宋_GB2312" w:cs="仿宋_GB2312"/>
          <w:kern w:val="0"/>
          <w:position w:val="0"/>
          <w:sz w:val="32"/>
          <w:szCs w:val="32"/>
          <w:lang w:val="zh-CN" w:eastAsia="zh-CN" w:bidi="ar-SA"/>
        </w:rPr>
        <w:t>预算绩效评价指标体系“</w:t>
      </w:r>
      <w:r>
        <w:rPr>
          <w:rFonts w:hint="eastAsia" w:ascii="仿宋_GB2312" w:hAnsi="仿宋_GB2312" w:eastAsia="仿宋_GB2312" w:cs="仿宋_GB2312"/>
          <w:kern w:val="0"/>
          <w:position w:val="0"/>
          <w:sz w:val="32"/>
          <w:szCs w:val="32"/>
          <w:lang w:val="zh-CN" w:eastAsia="zh-CN" w:bidi="ar-SA"/>
        </w:rPr>
        <w:t>通用指标</w:t>
      </w:r>
      <w:r>
        <w:rPr>
          <w:rFonts w:hint="default" w:ascii="仿宋_GB2312" w:hAnsi="仿宋_GB2312" w:eastAsia="仿宋_GB2312" w:cs="仿宋_GB2312"/>
          <w:kern w:val="0"/>
          <w:position w:val="0"/>
          <w:sz w:val="32"/>
          <w:szCs w:val="32"/>
          <w:lang w:val="zh-CN" w:eastAsia="zh-CN" w:bidi="ar-SA"/>
        </w:rPr>
        <w:t>”</w:t>
      </w:r>
      <w:r>
        <w:rPr>
          <w:rFonts w:hint="eastAsia" w:ascii="仿宋_GB2312" w:hAnsi="仿宋_GB2312" w:eastAsia="仿宋_GB2312" w:cs="仿宋_GB2312"/>
          <w:kern w:val="0"/>
          <w:position w:val="0"/>
          <w:sz w:val="32"/>
          <w:szCs w:val="32"/>
          <w:lang w:val="zh-CN" w:eastAsia="zh-CN" w:bidi="ar-SA"/>
        </w:rPr>
        <w:t>“专用指标”“个性指标”</w:t>
      </w:r>
      <w:r>
        <w:rPr>
          <w:rFonts w:hint="default" w:ascii="仿宋_GB2312" w:hAnsi="仿宋_GB2312" w:eastAsia="仿宋_GB2312" w:cs="仿宋_GB2312"/>
          <w:kern w:val="0"/>
          <w:position w:val="0"/>
          <w:sz w:val="32"/>
          <w:szCs w:val="32"/>
          <w:lang w:val="zh-CN" w:eastAsia="zh-CN" w:bidi="ar-SA"/>
        </w:rPr>
        <w:t>涉及</w:t>
      </w:r>
      <w:r>
        <w:rPr>
          <w:rFonts w:hint="eastAsia" w:ascii="仿宋_GB2312" w:hAnsi="仿宋_GB2312" w:eastAsia="仿宋_GB2312" w:cs="仿宋_GB2312"/>
          <w:kern w:val="0"/>
          <w:position w:val="0"/>
          <w:sz w:val="32"/>
          <w:szCs w:val="32"/>
          <w:lang w:val="zh-CN" w:eastAsia="zh-CN" w:bidi="ar-SA"/>
        </w:rPr>
        <w:t>二、三级</w:t>
      </w:r>
      <w:r>
        <w:rPr>
          <w:rFonts w:hint="default" w:ascii="仿宋_GB2312" w:hAnsi="仿宋_GB2312" w:eastAsia="仿宋_GB2312" w:cs="仿宋_GB2312"/>
          <w:kern w:val="0"/>
          <w:position w:val="0"/>
          <w:sz w:val="32"/>
          <w:szCs w:val="32"/>
          <w:lang w:val="zh-CN" w:eastAsia="zh-CN" w:bidi="ar-SA"/>
        </w:rPr>
        <w:t>指标进行</w:t>
      </w:r>
      <w:r>
        <w:rPr>
          <w:rFonts w:hint="eastAsia" w:ascii="仿宋_GB2312" w:hAnsi="仿宋_GB2312" w:eastAsia="仿宋_GB2312" w:cs="仿宋_GB2312"/>
          <w:kern w:val="0"/>
          <w:position w:val="0"/>
          <w:sz w:val="32"/>
          <w:szCs w:val="32"/>
          <w:lang w:val="zh-CN" w:eastAsia="zh-CN" w:bidi="ar-SA"/>
        </w:rPr>
        <w:t>逐项</w:t>
      </w:r>
      <w:r>
        <w:rPr>
          <w:rFonts w:hint="default" w:ascii="仿宋_GB2312" w:hAnsi="仿宋_GB2312" w:eastAsia="仿宋_GB2312" w:cs="仿宋_GB2312"/>
          <w:kern w:val="0"/>
          <w:position w:val="0"/>
          <w:sz w:val="32"/>
          <w:szCs w:val="32"/>
          <w:lang w:val="zh-CN" w:eastAsia="zh-CN" w:bidi="ar-SA"/>
        </w:rPr>
        <w:t>绩效分析</w:t>
      </w:r>
      <w:r>
        <w:rPr>
          <w:rFonts w:hint="eastAsia" w:ascii="仿宋_GB2312" w:hAnsi="仿宋_GB2312" w:eastAsia="仿宋_GB2312" w:cs="仿宋_GB2312"/>
          <w:kern w:val="0"/>
          <w:position w:val="0"/>
          <w:sz w:val="32"/>
          <w:szCs w:val="32"/>
          <w:lang w:val="zh-CN" w:eastAsia="zh-CN" w:bidi="ar-SA"/>
        </w:rPr>
        <w:t>并评分</w:t>
      </w:r>
      <w:r>
        <w:rPr>
          <w:rFonts w:hint="eastAsia" w:ascii="仿宋_GB2312" w:hAnsi="仿宋_GB2312" w:eastAsia="仿宋_GB2312" w:cs="仿宋_GB2312"/>
          <w:kern w:val="0"/>
          <w:position w:val="0"/>
          <w:sz w:val="32"/>
          <w:szCs w:val="32"/>
          <w:lang w:val="en-US" w:eastAsia="zh-CN" w:bidi="ar-SA"/>
        </w:rPr>
        <w:t>。</w:t>
      </w:r>
    </w:p>
    <w:p w14:paraId="4E1F8DDD">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（一）</w:t>
      </w:r>
      <w:r>
        <w:rPr>
          <w:rFonts w:hint="eastAsia" w:ascii="仿宋_GB2312" w:hAnsi="仿宋_GB2312" w:eastAsia="仿宋_GB2312" w:cs="仿宋_GB2312"/>
          <w:kern w:val="0"/>
          <w:position w:val="0"/>
          <w:sz w:val="32"/>
          <w:szCs w:val="32"/>
          <w:lang w:val="en-US" w:eastAsia="zh-CN" w:bidi="ar-SA"/>
        </w:rPr>
        <w:t>通用指标</w:t>
      </w:r>
      <w:r>
        <w:rPr>
          <w:rFonts w:hint="default" w:ascii="仿宋_GB2312" w:hAnsi="仿宋_GB2312" w:eastAsia="仿宋_GB2312" w:cs="仿宋_GB2312"/>
          <w:kern w:val="0"/>
          <w:position w:val="0"/>
          <w:sz w:val="32"/>
          <w:szCs w:val="32"/>
          <w:lang w:val="zh-CN" w:eastAsia="zh-CN" w:bidi="ar-SA"/>
        </w:rPr>
        <w:t>绩效分析。</w:t>
      </w:r>
    </w:p>
    <w:p w14:paraId="61628BA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1.</w:t>
      </w:r>
      <w:r>
        <w:rPr>
          <w:rFonts w:hint="eastAsia" w:ascii="仿宋_GB2312" w:hAnsi="仿宋_GB2312" w:eastAsia="仿宋_GB2312" w:cs="仿宋_GB2312"/>
          <w:kern w:val="0"/>
          <w:position w:val="0"/>
          <w:sz w:val="32"/>
          <w:szCs w:val="32"/>
          <w:lang w:val="zh-CN" w:eastAsia="zh-CN" w:bidi="ar-SA"/>
        </w:rPr>
        <w:t>项目决策。</w:t>
      </w:r>
    </w:p>
    <w:p w14:paraId="76F6FBC2">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为了加强财政支出管理，提高资金使用效益，促进资源有效配置。</w:t>
      </w:r>
    </w:p>
    <w:p w14:paraId="663F0F61">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2.</w:t>
      </w:r>
      <w:r>
        <w:rPr>
          <w:rFonts w:hint="eastAsia" w:ascii="仿宋_GB2312" w:hAnsi="仿宋_GB2312" w:eastAsia="仿宋_GB2312" w:cs="仿宋_GB2312"/>
          <w:kern w:val="0"/>
          <w:position w:val="0"/>
          <w:sz w:val="32"/>
          <w:szCs w:val="32"/>
          <w:lang w:val="zh-CN" w:eastAsia="zh-CN" w:bidi="ar-SA"/>
        </w:rPr>
        <w:t>项目管理。</w:t>
      </w:r>
    </w:p>
    <w:p w14:paraId="685F7ED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在项目实施过程中，均由县财政集中支付核算中心审核，同时我中心还根据相关财务规定，对项目资金实行专款专用。</w:t>
      </w:r>
    </w:p>
    <w:p w14:paraId="4969E836">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3.项目实施。</w:t>
      </w:r>
    </w:p>
    <w:p w14:paraId="4206D6BD">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在报账时，经我中心财务负责人、财务分管领导按职权审批后支付，较好地保护了该项目资金的合理使用，为完成项目任务提供了经费保障。</w:t>
      </w:r>
    </w:p>
    <w:p w14:paraId="7896F00C">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4.项目结果。</w:t>
      </w:r>
    </w:p>
    <w:p w14:paraId="6D64229F">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完成2023年度应急救灾物资储备和管理专项工作，实现应急管理职能，推动政策落实。</w:t>
      </w:r>
    </w:p>
    <w:p w14:paraId="398C9106">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（二）</w:t>
      </w:r>
      <w:r>
        <w:rPr>
          <w:rFonts w:hint="eastAsia" w:ascii="仿宋_GB2312" w:hAnsi="仿宋_GB2312" w:eastAsia="仿宋_GB2312" w:cs="仿宋_GB2312"/>
          <w:kern w:val="0"/>
          <w:position w:val="0"/>
          <w:sz w:val="32"/>
          <w:szCs w:val="32"/>
          <w:lang w:val="en-US" w:eastAsia="zh-CN" w:bidi="ar-SA"/>
        </w:rPr>
        <w:t>专用指标</w:t>
      </w:r>
      <w:r>
        <w:rPr>
          <w:rFonts w:hint="default" w:ascii="仿宋_GB2312" w:hAnsi="仿宋_GB2312" w:eastAsia="仿宋_GB2312" w:cs="仿宋_GB2312"/>
          <w:kern w:val="0"/>
          <w:position w:val="0"/>
          <w:sz w:val="32"/>
          <w:szCs w:val="32"/>
          <w:lang w:val="zh-CN" w:eastAsia="zh-CN" w:bidi="ar-SA"/>
        </w:rPr>
        <w:t>绩效分析。</w:t>
      </w:r>
      <w:r>
        <w:rPr>
          <w:rFonts w:hint="eastAsia" w:ascii="仿宋_GB2312" w:hAnsi="仿宋_GB2312" w:eastAsia="仿宋_GB2312" w:cs="仿宋_GB2312"/>
          <w:kern w:val="0"/>
          <w:position w:val="0"/>
          <w:sz w:val="32"/>
          <w:szCs w:val="32"/>
          <w:lang w:val="zh-CN" w:eastAsia="zh-CN" w:bidi="ar-SA"/>
        </w:rPr>
        <w:t>根据</w:t>
      </w:r>
      <w:r>
        <w:rPr>
          <w:rFonts w:hint="eastAsia" w:ascii="仿宋_GB2312" w:hAnsi="仿宋_GB2312" w:eastAsia="仿宋_GB2312" w:cs="仿宋_GB2312"/>
          <w:kern w:val="0"/>
          <w:position w:val="0"/>
          <w:sz w:val="32"/>
          <w:szCs w:val="32"/>
          <w:lang w:val="en-US" w:eastAsia="zh-CN" w:bidi="ar-SA"/>
        </w:rPr>
        <w:t>专项预算项目资金支持对象选择所属指标进行绩效分析。支持对象</w:t>
      </w:r>
      <w:r>
        <w:rPr>
          <w:rFonts w:hint="eastAsia" w:ascii="仿宋_GB2312" w:hAnsi="仿宋_GB2312" w:eastAsia="仿宋_GB2312" w:cs="仿宋_GB2312"/>
          <w:kern w:val="0"/>
          <w:position w:val="0"/>
          <w:sz w:val="32"/>
          <w:szCs w:val="32"/>
          <w:lang w:val="zh-CN" w:eastAsia="zh-CN" w:bidi="ar-SA"/>
        </w:rPr>
        <w:t>包括产业发展、民生保障、基础设施、行政运转等方面。</w:t>
      </w:r>
    </w:p>
    <w:p w14:paraId="6268DC37">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1.产业发展。</w:t>
      </w:r>
      <w:r>
        <w:rPr>
          <w:rFonts w:hint="eastAsia" w:ascii="仿宋_GB2312" w:hAnsi="仿宋_GB2312" w:eastAsia="仿宋_GB2312" w:cs="仿宋_GB2312"/>
          <w:kern w:val="0"/>
          <w:position w:val="0"/>
          <w:sz w:val="32"/>
          <w:szCs w:val="32"/>
          <w:lang w:val="zh-CN" w:eastAsia="zh-CN" w:bidi="ar-SA"/>
        </w:rPr>
        <w:t>不涉及。</w:t>
      </w:r>
    </w:p>
    <w:p w14:paraId="1E6F021C">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2.</w:t>
      </w:r>
      <w:r>
        <w:rPr>
          <w:rFonts w:hint="eastAsia" w:ascii="仿宋_GB2312" w:hAnsi="仿宋_GB2312" w:eastAsia="仿宋_GB2312" w:cs="仿宋_GB2312"/>
          <w:kern w:val="0"/>
          <w:position w:val="0"/>
          <w:sz w:val="32"/>
          <w:szCs w:val="32"/>
          <w:lang w:val="zh-CN" w:eastAsia="zh-CN" w:bidi="ar-SA"/>
        </w:rPr>
        <w:t>民生保障。围绕区域均衡性、对象精准性、标准合理性、群众满意度进行绩效分析。</w:t>
      </w:r>
    </w:p>
    <w:p w14:paraId="200176DA">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en-US" w:eastAsia="zh-CN" w:bidi="ar-SA"/>
        </w:rPr>
        <w:t>3.基础设施。</w:t>
      </w:r>
      <w:r>
        <w:rPr>
          <w:rFonts w:hint="eastAsia" w:ascii="仿宋_GB2312" w:hAnsi="仿宋_GB2312" w:eastAsia="仿宋_GB2312" w:cs="仿宋_GB2312"/>
          <w:kern w:val="0"/>
          <w:position w:val="0"/>
          <w:sz w:val="32"/>
          <w:szCs w:val="32"/>
          <w:lang w:val="zh-CN" w:eastAsia="zh-CN" w:bidi="ar-SA"/>
        </w:rPr>
        <w:t>不涉及。</w:t>
      </w:r>
    </w:p>
    <w:p w14:paraId="7E9B035C">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4.</w:t>
      </w:r>
      <w:r>
        <w:rPr>
          <w:rFonts w:hint="eastAsia" w:ascii="仿宋_GB2312" w:hAnsi="仿宋_GB2312" w:eastAsia="仿宋_GB2312" w:cs="仿宋_GB2312"/>
          <w:kern w:val="0"/>
          <w:position w:val="0"/>
          <w:sz w:val="32"/>
          <w:szCs w:val="32"/>
          <w:lang w:val="zh-CN" w:eastAsia="zh-CN" w:bidi="ar-SA"/>
        </w:rPr>
        <w:t>行政运转。</w:t>
      </w:r>
      <w:r>
        <w:rPr>
          <w:rFonts w:hint="eastAsia" w:ascii="仿宋_GB2312" w:hAnsi="仿宋_GB2312" w:eastAsia="仿宋_GB2312" w:cs="仿宋_GB2312"/>
          <w:kern w:val="0"/>
          <w:position w:val="0"/>
          <w:sz w:val="32"/>
          <w:szCs w:val="32"/>
          <w:lang w:val="en-US" w:eastAsia="zh-CN" w:bidi="ar-SA"/>
        </w:rPr>
        <w:t>实现应急管理职能，推动政策落实。</w:t>
      </w:r>
    </w:p>
    <w:p w14:paraId="2395A00F">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（三）</w:t>
      </w:r>
      <w:r>
        <w:rPr>
          <w:rFonts w:hint="eastAsia" w:ascii="仿宋_GB2312" w:hAnsi="仿宋_GB2312" w:eastAsia="仿宋_GB2312" w:cs="仿宋_GB2312"/>
          <w:kern w:val="0"/>
          <w:position w:val="0"/>
          <w:sz w:val="32"/>
          <w:szCs w:val="32"/>
          <w:lang w:val="en-US" w:eastAsia="zh-CN" w:bidi="ar-SA"/>
        </w:rPr>
        <w:t>个性指标</w:t>
      </w:r>
      <w:r>
        <w:rPr>
          <w:rFonts w:hint="default" w:ascii="仿宋_GB2312" w:hAnsi="仿宋_GB2312" w:eastAsia="仿宋_GB2312" w:cs="仿宋_GB2312"/>
          <w:kern w:val="0"/>
          <w:position w:val="0"/>
          <w:sz w:val="32"/>
          <w:szCs w:val="32"/>
          <w:lang w:val="zh-CN" w:eastAsia="zh-CN" w:bidi="ar-SA"/>
        </w:rPr>
        <w:t>绩效分析。</w:t>
      </w:r>
      <w:r>
        <w:rPr>
          <w:rFonts w:hint="eastAsia" w:ascii="仿宋_GB2312" w:hAnsi="仿宋_GB2312" w:eastAsia="仿宋_GB2312" w:cs="仿宋_GB2312"/>
          <w:kern w:val="0"/>
          <w:position w:val="0"/>
          <w:sz w:val="32"/>
          <w:szCs w:val="32"/>
          <w:lang w:val="zh-CN" w:eastAsia="zh-CN" w:bidi="ar-SA"/>
        </w:rPr>
        <w:t>根据项目个性自行设定部分指标，反映该项指标执行完成情况。</w:t>
      </w:r>
    </w:p>
    <w:p w14:paraId="67ABC75C">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四、评价结论</w:t>
      </w:r>
    </w:p>
    <w:p w14:paraId="3AFF4A82">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应急救灾物资储备库的管理、应急物资收储轮换，清理、归类，实现应急管理职能，推动政策落实。且实际运行规范有效，达到了预期的绩效目标。</w:t>
      </w:r>
    </w:p>
    <w:p w14:paraId="6034213B">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五、存在主要问题</w:t>
      </w:r>
    </w:p>
    <w:p w14:paraId="22F1CEF9">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397C46D0">
      <w:pPr>
        <w:tabs>
          <w:tab w:val="left" w:pos="1911"/>
        </w:tabs>
        <w:ind w:firstLine="640"/>
        <w:jc w:val="left"/>
        <w:rPr>
          <w:rFonts w:hint="eastAsia" w:ascii="仿宋_GB2312" w:hAnsi="仿宋_GB2312" w:eastAsia="仿宋_GB2312" w:cs="仿宋_GB2312"/>
          <w:kern w:val="0"/>
          <w:position w:val="0"/>
          <w:sz w:val="32"/>
          <w:szCs w:val="32"/>
          <w:lang w:val="zh-CN" w:eastAsia="zh-CN" w:bidi="ar-SA"/>
        </w:rPr>
      </w:pPr>
      <w:r>
        <w:rPr>
          <w:rFonts w:hint="eastAsia" w:ascii="仿宋_GB2312" w:hAnsi="仿宋_GB2312" w:eastAsia="仿宋_GB2312" w:cs="仿宋_GB2312"/>
          <w:kern w:val="0"/>
          <w:position w:val="0"/>
          <w:sz w:val="32"/>
          <w:szCs w:val="32"/>
          <w:lang w:val="zh-CN" w:eastAsia="zh-CN" w:bidi="ar-SA"/>
        </w:rPr>
        <w:t>六、改进建议</w:t>
      </w:r>
    </w:p>
    <w:p w14:paraId="4666E50E">
      <w:pPr>
        <w:tabs>
          <w:tab w:val="left" w:pos="1911"/>
        </w:tabs>
        <w:ind w:firstLine="64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zh-CN" w:eastAsia="zh-CN" w:bidi="ar-SA"/>
        </w:rPr>
        <w:t xml:space="preserve"> </w:t>
      </w:r>
      <w:r>
        <w:rPr>
          <w:rFonts w:hint="eastAsia" w:ascii="仿宋_GB2312" w:hAnsi="仿宋_GB2312" w:eastAsia="仿宋_GB2312" w:cs="仿宋_GB2312"/>
          <w:kern w:val="0"/>
          <w:position w:val="0"/>
          <w:sz w:val="32"/>
          <w:szCs w:val="32"/>
          <w:lang w:val="en-US" w:eastAsia="zh-CN" w:bidi="ar-SA"/>
        </w:rPr>
        <w:t>建议增加项目资金使用的灵活性。机动灵活地增加项目资金的使用范围，让项目实施部门有一定的调整空间，保证资金能及时有效的使用，进一步提高其使用效益。</w:t>
      </w:r>
    </w:p>
    <w:p w14:paraId="575ACAC6">
      <w:pPr>
        <w:pStyle w:val="34"/>
        <w:keepNext w:val="0"/>
        <w:keepLines w:val="0"/>
        <w:pageBreakBefore w:val="0"/>
        <w:widowControl w:val="0"/>
        <w:kinsoku/>
        <w:wordWrap/>
        <w:overflowPunct/>
        <w:topLinePunct w:val="0"/>
        <w:autoSpaceDE/>
        <w:autoSpaceDN/>
        <w:bidi w:val="0"/>
        <w:spacing w:line="578" w:lineRule="exact"/>
        <w:ind w:left="0" w:leftChars="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50BBF029">
      <w:pPr>
        <w:pStyle w:val="34"/>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专项预算项目绩效评价报告</w:t>
      </w:r>
    </w:p>
    <w:p w14:paraId="390147A5">
      <w:pPr>
        <w:pStyle w:val="34"/>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color w:val="auto"/>
          <w:kern w:val="2"/>
          <w:sz w:val="32"/>
          <w:szCs w:val="32"/>
          <w:highlight w:val="none"/>
        </w:rPr>
      </w:pPr>
    </w:p>
    <w:p w14:paraId="74B80297">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rPr>
          <w:rFonts w:ascii="黑体" w:hAnsi="宋体" w:eastAsia="黑体"/>
          <w:highlight w:val="none"/>
          <w:lang w:val="zh-CN"/>
        </w:rPr>
      </w:pPr>
      <w:r>
        <w:rPr>
          <w:rFonts w:hint="eastAsia" w:ascii="黑体" w:hAnsi="宋体" w:eastAsia="黑体"/>
          <w:highlight w:val="none"/>
        </w:rPr>
        <w:t>一、</w:t>
      </w:r>
      <w:r>
        <w:rPr>
          <w:rFonts w:hint="eastAsia" w:ascii="黑体" w:hAnsi="宋体" w:eastAsia="黑体"/>
          <w:highlight w:val="none"/>
          <w:lang w:val="zh-CN"/>
        </w:rPr>
        <w:t>项目概况</w:t>
      </w:r>
    </w:p>
    <w:p w14:paraId="18BFD80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（一）设立背景及基本情况。</w:t>
      </w:r>
    </w:p>
    <w:p w14:paraId="399BA3AB">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hint="eastAsia" w:ascii="仿宋_GB2312" w:cs="仿宋_GB2312"/>
          <w:color w:val="000000"/>
          <w:sz w:val="32"/>
          <w:szCs w:val="32"/>
          <w:lang w:val="en-US" w:eastAsia="zh-CN"/>
        </w:rPr>
      </w:pPr>
      <w:r>
        <w:rPr>
          <w:rFonts w:hint="eastAsia" w:ascii="仿宋_GB2312" w:eastAsia="仿宋_GB2312" w:cs="仿宋_GB2312"/>
          <w:color w:val="000000"/>
          <w:sz w:val="32"/>
          <w:szCs w:val="32"/>
        </w:rPr>
        <w:t>按照《粮食流通管理条例》《四川省粮食安全保障条例》《九寨沟县县级储备粮轮换管理暂行办法》规定及州粮安考核办文件精神，县级储备粮轮换相关费用纳入同级财政预算。</w:t>
      </w:r>
      <w:r>
        <w:rPr>
          <w:rFonts w:hint="eastAsia" w:ascii="仿宋_GB2312" w:cs="仿宋_GB2312"/>
          <w:color w:val="000000"/>
          <w:sz w:val="32"/>
          <w:szCs w:val="32"/>
          <w:lang w:val="en-US" w:eastAsia="zh-CN"/>
        </w:rPr>
        <w:t xml:space="preserve">     </w:t>
      </w:r>
    </w:p>
    <w:p w14:paraId="4174E598">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3" w:firstLineChars="200"/>
        <w:textAlignment w:val="auto"/>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b/>
          <w:color w:val="auto"/>
          <w:sz w:val="32"/>
          <w:szCs w:val="32"/>
          <w:highlight w:val="none"/>
          <w:u w:val="none"/>
          <w:lang w:val="en-US" w:eastAsia="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p>
    <w:p w14:paraId="47D856B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eastAsia="仿宋_GB2312"/>
          <w:sz w:val="32"/>
          <w:szCs w:val="32"/>
        </w:rPr>
      </w:pPr>
      <w:r>
        <w:rPr>
          <w:rFonts w:hint="eastAsia" w:ascii="仿宋_GB2312" w:eastAsia="仿宋_GB2312"/>
          <w:sz w:val="32"/>
          <w:szCs w:val="32"/>
        </w:rPr>
        <w:t>为深入学习贯彻习近平总书记关于国家粮食安全系列重要讲话和指示批示精神，认真落实党中央国务院、省委省政府、州委州政府重大决策部署，切实做好粮食安全党政同责工作，保障全县粮食安全。</w:t>
      </w:r>
    </w:p>
    <w:p w14:paraId="1B598CA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eastAsia="仿宋_GB2312"/>
          <w:sz w:val="32"/>
          <w:szCs w:val="32"/>
        </w:rPr>
      </w:pPr>
      <w:r>
        <w:rPr>
          <w:rFonts w:hint="eastAsia" w:ascii="仿宋_GB2312" w:eastAsia="仿宋_GB2312"/>
          <w:sz w:val="32"/>
          <w:szCs w:val="32"/>
        </w:rPr>
        <w:t>县级储备粮为保障军粮及救灾救济等政策性粮食和学生口粮的供应工作等必要经费。</w:t>
      </w:r>
    </w:p>
    <w:p w14:paraId="2DECA53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en-US" w:eastAsia="zh-CN"/>
        </w:rPr>
        <w:t>(二)</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p>
    <w:p w14:paraId="76D26B3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cs="仿宋_GB2312"/>
          <w:sz w:val="32"/>
          <w:szCs w:val="32"/>
        </w:rPr>
        <w:t>该项目预算</w:t>
      </w:r>
      <w:r>
        <w:rPr>
          <w:rFonts w:hint="eastAsia" w:ascii="仿宋_GB2312" w:hAnsi="仿宋_GB2312" w:cs="仿宋_GB2312"/>
          <w:sz w:val="32"/>
          <w:szCs w:val="32"/>
          <w:lang w:eastAsia="zh-CN"/>
        </w:rPr>
        <w:t>资金安排</w:t>
      </w:r>
      <w:r>
        <w:rPr>
          <w:rFonts w:hint="eastAsia" w:ascii="仿宋_GB2312" w:hAnsi="仿宋_GB2312" w:cs="仿宋_GB2312"/>
          <w:sz w:val="32"/>
          <w:szCs w:val="32"/>
          <w:lang w:val="en-US" w:eastAsia="zh-CN"/>
        </w:rPr>
        <w:t>39.9</w:t>
      </w:r>
      <w:r>
        <w:rPr>
          <w:rFonts w:hint="eastAsia" w:ascii="仿宋_GB2312" w:hAnsi="仿宋_GB2312" w:cs="仿宋_GB2312"/>
          <w:sz w:val="32"/>
          <w:szCs w:val="32"/>
        </w:rPr>
        <w:t>万元，</w:t>
      </w:r>
      <w:r>
        <w:rPr>
          <w:rFonts w:hint="eastAsia" w:ascii="仿宋_GB2312" w:hAnsi="仿宋_GB2312" w:cs="仿宋_GB2312"/>
          <w:sz w:val="32"/>
          <w:szCs w:val="32"/>
          <w:lang w:eastAsia="zh-CN"/>
        </w:rPr>
        <w:t>主要用于</w:t>
      </w:r>
      <w:r>
        <w:rPr>
          <w:rFonts w:hint="eastAsia" w:ascii="仿宋_GB2312" w:hAnsi="仿宋_GB2312" w:eastAsia="仿宋_GB2312" w:cs="仿宋_GB2312"/>
          <w:kern w:val="0"/>
          <w:position w:val="0"/>
          <w:sz w:val="32"/>
          <w:szCs w:val="32"/>
          <w:lang w:val="en-US" w:eastAsia="zh-CN" w:bidi="ar-SA"/>
        </w:rPr>
        <w:t>280吨大米轮换价差38.5万元，30吨菜油轮换价差1.398万元。</w:t>
      </w:r>
    </w:p>
    <w:p w14:paraId="09A714C0">
      <w:pPr>
        <w:keepNext w:val="0"/>
        <w:keepLines w:val="0"/>
        <w:pageBreakBefore w:val="0"/>
        <w:numPr>
          <w:ilvl w:val="0"/>
          <w:numId w:val="9"/>
        </w:numPr>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项目绩效目标设置。</w:t>
      </w:r>
    </w:p>
    <w:p w14:paraId="14931831">
      <w:pPr>
        <w:pStyle w:val="35"/>
        <w:spacing w:line="560" w:lineRule="exact"/>
        <w:ind w:firstLine="640"/>
        <w:rPr>
          <w:rFonts w:hint="eastAsia" w:ascii="仿宋_GB2312"/>
        </w:rPr>
      </w:pPr>
      <w:r>
        <w:rPr>
          <w:rFonts w:hint="eastAsia" w:ascii="仿宋_GB2312"/>
        </w:rPr>
        <w:t>绩效目标和绩效指标全面完整，契合项目实质，与县发展和改革局的长期规划目标、年度工作目标相一致，产出和效果关联。</w:t>
      </w:r>
    </w:p>
    <w:p w14:paraId="60A88E8E">
      <w:pPr>
        <w:pStyle w:val="35"/>
        <w:spacing w:line="560" w:lineRule="exact"/>
        <w:ind w:firstLine="518" w:firstLineChars="162"/>
        <w:rPr>
          <w:rFonts w:hint="eastAsia" w:ascii="仿宋_GB2312"/>
        </w:rPr>
      </w:pPr>
      <w:r>
        <w:rPr>
          <w:rFonts w:hint="eastAsia" w:ascii="仿宋_GB2312"/>
        </w:rPr>
        <w:t>九寨沟县2</w:t>
      </w:r>
      <w:r>
        <w:rPr>
          <w:rFonts w:ascii="仿宋_GB2312"/>
        </w:rPr>
        <w:t>023年县级储备粮油轮换价差</w:t>
      </w:r>
      <w:r>
        <w:rPr>
          <w:rFonts w:hint="eastAsia" w:ascii="仿宋_GB2312"/>
        </w:rPr>
        <w:t>绩效目标表</w:t>
      </w:r>
    </w:p>
    <w:tbl>
      <w:tblPr>
        <w:tblStyle w:val="15"/>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305"/>
        <w:gridCol w:w="2730"/>
        <w:gridCol w:w="2700"/>
      </w:tblGrid>
      <w:tr w14:paraId="303C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1AC79A22">
            <w:pPr>
              <w:pStyle w:val="35"/>
              <w:spacing w:line="560" w:lineRule="exact"/>
              <w:ind w:firstLine="0" w:firstLineChars="0"/>
              <w:jc w:val="center"/>
              <w:rPr>
                <w:rFonts w:hint="eastAsia" w:ascii="仿宋_GB2312"/>
                <w:sz w:val="21"/>
                <w:szCs w:val="21"/>
              </w:rPr>
            </w:pPr>
            <w:r>
              <w:rPr>
                <w:rFonts w:hint="eastAsia" w:ascii="仿宋_GB2312"/>
                <w:sz w:val="21"/>
                <w:szCs w:val="21"/>
              </w:rPr>
              <w:t>一级指标</w:t>
            </w:r>
          </w:p>
        </w:tc>
        <w:tc>
          <w:tcPr>
            <w:tcW w:w="1305" w:type="dxa"/>
            <w:tcBorders>
              <w:top w:val="single" w:color="auto" w:sz="4" w:space="0"/>
              <w:left w:val="single" w:color="auto" w:sz="4" w:space="0"/>
              <w:bottom w:val="single" w:color="auto" w:sz="4" w:space="0"/>
              <w:right w:val="single" w:color="auto" w:sz="4" w:space="0"/>
            </w:tcBorders>
            <w:noWrap/>
            <w:vAlign w:val="top"/>
          </w:tcPr>
          <w:p w14:paraId="0328B06F">
            <w:pPr>
              <w:pStyle w:val="35"/>
              <w:spacing w:line="560" w:lineRule="exact"/>
              <w:ind w:firstLine="0" w:firstLineChars="0"/>
              <w:jc w:val="center"/>
              <w:rPr>
                <w:rFonts w:hint="eastAsia" w:ascii="仿宋_GB2312"/>
                <w:sz w:val="21"/>
                <w:szCs w:val="21"/>
              </w:rPr>
            </w:pPr>
            <w:r>
              <w:rPr>
                <w:rFonts w:hint="eastAsia" w:ascii="仿宋_GB2312"/>
                <w:sz w:val="21"/>
                <w:szCs w:val="21"/>
              </w:rPr>
              <w:t>二级指标</w:t>
            </w:r>
          </w:p>
        </w:tc>
        <w:tc>
          <w:tcPr>
            <w:tcW w:w="2730" w:type="dxa"/>
            <w:tcBorders>
              <w:top w:val="single" w:color="auto" w:sz="4" w:space="0"/>
              <w:left w:val="single" w:color="auto" w:sz="4" w:space="0"/>
              <w:bottom w:val="single" w:color="auto" w:sz="4" w:space="0"/>
              <w:right w:val="single" w:color="auto" w:sz="4" w:space="0"/>
            </w:tcBorders>
            <w:noWrap/>
            <w:vAlign w:val="top"/>
          </w:tcPr>
          <w:p w14:paraId="53AD6E08">
            <w:pPr>
              <w:pStyle w:val="35"/>
              <w:spacing w:line="560" w:lineRule="exact"/>
              <w:ind w:firstLine="0" w:firstLineChars="0"/>
              <w:jc w:val="center"/>
              <w:rPr>
                <w:rFonts w:hint="eastAsia" w:ascii="仿宋_GB2312"/>
                <w:sz w:val="21"/>
                <w:szCs w:val="21"/>
              </w:rPr>
            </w:pPr>
            <w:r>
              <w:rPr>
                <w:rFonts w:hint="eastAsia" w:ascii="仿宋_GB2312"/>
                <w:sz w:val="21"/>
                <w:szCs w:val="21"/>
              </w:rPr>
              <w:t>三级指标</w:t>
            </w:r>
          </w:p>
        </w:tc>
        <w:tc>
          <w:tcPr>
            <w:tcW w:w="2700" w:type="dxa"/>
            <w:tcBorders>
              <w:top w:val="single" w:color="auto" w:sz="4" w:space="0"/>
              <w:left w:val="single" w:color="auto" w:sz="4" w:space="0"/>
              <w:bottom w:val="single" w:color="auto" w:sz="4" w:space="0"/>
              <w:right w:val="single" w:color="auto" w:sz="4" w:space="0"/>
            </w:tcBorders>
            <w:noWrap/>
            <w:vAlign w:val="top"/>
          </w:tcPr>
          <w:p w14:paraId="14924A44">
            <w:pPr>
              <w:pStyle w:val="35"/>
              <w:spacing w:line="560" w:lineRule="exact"/>
              <w:ind w:firstLine="0" w:firstLineChars="0"/>
              <w:jc w:val="center"/>
              <w:rPr>
                <w:rFonts w:hint="eastAsia" w:ascii="仿宋_GB2312"/>
                <w:sz w:val="21"/>
                <w:szCs w:val="21"/>
              </w:rPr>
            </w:pPr>
            <w:r>
              <w:rPr>
                <w:rFonts w:hint="eastAsia" w:ascii="仿宋_GB2312"/>
                <w:sz w:val="21"/>
                <w:szCs w:val="21"/>
              </w:rPr>
              <w:t>指标值</w:t>
            </w:r>
          </w:p>
        </w:tc>
      </w:tr>
      <w:tr w14:paraId="2A8C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17CB831B">
            <w:pPr>
              <w:pStyle w:val="35"/>
              <w:spacing w:line="560" w:lineRule="exact"/>
              <w:ind w:firstLine="0" w:firstLineChars="0"/>
              <w:jc w:val="center"/>
              <w:rPr>
                <w:rFonts w:hint="eastAsia" w:ascii="方正黑体_GBK" w:eastAsia="方正黑体_GBK"/>
                <w:sz w:val="21"/>
                <w:szCs w:val="21"/>
              </w:rPr>
            </w:pPr>
            <w:r>
              <w:rPr>
                <w:rFonts w:hint="eastAsia" w:ascii="仿宋_GB2312"/>
                <w:sz w:val="21"/>
                <w:szCs w:val="21"/>
              </w:rPr>
              <w:t>产出指标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055F39C7">
            <w:pPr>
              <w:widowControl/>
              <w:jc w:val="center"/>
              <w:textAlignment w:val="center"/>
              <w:rPr>
                <w:rFonts w:hint="eastAsia" w:ascii="仿宋_GB2312" w:eastAsia="仿宋_GB2312"/>
                <w:sz w:val="21"/>
                <w:szCs w:val="21"/>
              </w:rPr>
            </w:pPr>
            <w:r>
              <w:rPr>
                <w:rFonts w:ascii="仿宋_GB2312" w:eastAsia="仿宋_GB2312"/>
                <w:sz w:val="21"/>
                <w:szCs w:val="21"/>
              </w:rPr>
              <w:t>数量指标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75CE0FC9">
            <w:pPr>
              <w:widowControl/>
              <w:jc w:val="left"/>
              <w:textAlignment w:val="center"/>
              <w:rPr>
                <w:rFonts w:hint="eastAsia" w:ascii="仿宋_GB2312" w:eastAsia="仿宋_GB2312"/>
                <w:sz w:val="21"/>
                <w:szCs w:val="21"/>
              </w:rPr>
            </w:pPr>
            <w:r>
              <w:rPr>
                <w:rFonts w:hint="eastAsia" w:ascii="仿宋_GB2312" w:eastAsia="仿宋_GB2312"/>
                <w:sz w:val="21"/>
                <w:szCs w:val="21"/>
              </w:rPr>
              <w:t>2</w:t>
            </w:r>
            <w:r>
              <w:rPr>
                <w:rFonts w:ascii="仿宋_GB2312" w:eastAsia="仿宋_GB2312"/>
                <w:sz w:val="21"/>
                <w:szCs w:val="21"/>
              </w:rPr>
              <w:t>80吨大米、</w:t>
            </w:r>
            <w:r>
              <w:rPr>
                <w:rFonts w:hint="eastAsia" w:ascii="仿宋_GB2312" w:eastAsia="仿宋_GB2312"/>
                <w:sz w:val="21"/>
                <w:szCs w:val="21"/>
              </w:rPr>
              <w:t>3</w:t>
            </w:r>
            <w:r>
              <w:rPr>
                <w:rFonts w:ascii="仿宋_GB2312" w:eastAsia="仿宋_GB2312"/>
                <w:sz w:val="21"/>
                <w:szCs w:val="21"/>
              </w:rPr>
              <w:t>0吨菜油轮换价差</w:t>
            </w:r>
          </w:p>
        </w:tc>
        <w:tc>
          <w:tcPr>
            <w:tcW w:w="2700" w:type="dxa"/>
            <w:tcBorders>
              <w:top w:val="single" w:color="auto" w:sz="4" w:space="0"/>
              <w:left w:val="single" w:color="auto" w:sz="4" w:space="0"/>
              <w:bottom w:val="single" w:color="auto" w:sz="4" w:space="0"/>
              <w:right w:val="single" w:color="auto" w:sz="4" w:space="0"/>
            </w:tcBorders>
            <w:noWrap/>
            <w:vAlign w:val="center"/>
          </w:tcPr>
          <w:p w14:paraId="0E2F9D53">
            <w:pPr>
              <w:widowControl/>
              <w:jc w:val="left"/>
              <w:textAlignment w:val="center"/>
              <w:rPr>
                <w:rFonts w:hint="eastAsia" w:ascii="仿宋_GB2312" w:eastAsia="仿宋_GB2312"/>
                <w:sz w:val="21"/>
                <w:szCs w:val="21"/>
              </w:rPr>
            </w:pPr>
            <w:r>
              <w:rPr>
                <w:rFonts w:hint="eastAsia" w:ascii="仿宋_GB2312" w:eastAsia="仿宋_GB2312"/>
                <w:sz w:val="21"/>
                <w:szCs w:val="21"/>
              </w:rPr>
              <w:t>2</w:t>
            </w:r>
            <w:r>
              <w:rPr>
                <w:rFonts w:ascii="仿宋_GB2312" w:eastAsia="仿宋_GB2312"/>
                <w:sz w:val="21"/>
                <w:szCs w:val="21"/>
              </w:rPr>
              <w:t>80吨大米轮换价差</w:t>
            </w:r>
            <w:r>
              <w:rPr>
                <w:rFonts w:hint="eastAsia" w:ascii="仿宋_GB2312" w:eastAsia="仿宋_GB2312"/>
                <w:sz w:val="21"/>
                <w:szCs w:val="21"/>
              </w:rPr>
              <w:t>3</w:t>
            </w:r>
            <w:r>
              <w:rPr>
                <w:rFonts w:ascii="仿宋_GB2312" w:eastAsia="仿宋_GB2312"/>
                <w:sz w:val="21"/>
                <w:szCs w:val="21"/>
              </w:rPr>
              <w:t>8.5万元，</w:t>
            </w:r>
            <w:r>
              <w:rPr>
                <w:rFonts w:hint="eastAsia" w:ascii="仿宋_GB2312" w:eastAsia="仿宋_GB2312"/>
                <w:sz w:val="21"/>
                <w:szCs w:val="21"/>
              </w:rPr>
              <w:t>3</w:t>
            </w:r>
            <w:r>
              <w:rPr>
                <w:rFonts w:ascii="仿宋_GB2312" w:eastAsia="仿宋_GB2312"/>
                <w:sz w:val="21"/>
                <w:szCs w:val="21"/>
              </w:rPr>
              <w:t>0吨菜油轮换价差</w:t>
            </w:r>
            <w:r>
              <w:rPr>
                <w:rFonts w:hint="eastAsia" w:ascii="仿宋_GB2312" w:eastAsia="仿宋_GB2312"/>
                <w:sz w:val="21"/>
                <w:szCs w:val="21"/>
              </w:rPr>
              <w:t>1</w:t>
            </w:r>
            <w:r>
              <w:rPr>
                <w:rFonts w:ascii="仿宋_GB2312" w:eastAsia="仿宋_GB2312"/>
                <w:sz w:val="21"/>
                <w:szCs w:val="21"/>
              </w:rPr>
              <w:t>.398万元</w:t>
            </w:r>
          </w:p>
        </w:tc>
      </w:tr>
      <w:tr w14:paraId="222F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2615263D">
            <w:pPr>
              <w:pStyle w:val="35"/>
              <w:spacing w:line="560" w:lineRule="exact"/>
              <w:ind w:firstLine="0" w:firstLineChars="0"/>
              <w:jc w:val="center"/>
              <w:rPr>
                <w:rFonts w:hint="eastAsia" w:ascii="仿宋_GB2312"/>
                <w:sz w:val="21"/>
                <w:szCs w:val="21"/>
              </w:rPr>
            </w:pPr>
            <w:r>
              <w:rPr>
                <w:rFonts w:hint="eastAsia" w:ascii="仿宋_GB2312"/>
                <w:sz w:val="21"/>
                <w:szCs w:val="21"/>
              </w:rPr>
              <w:t>产出指标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75E878A9">
            <w:pPr>
              <w:widowControl/>
              <w:jc w:val="center"/>
              <w:textAlignment w:val="center"/>
              <w:rPr>
                <w:rFonts w:hint="eastAsia" w:ascii="仿宋_GB2312" w:eastAsia="仿宋_GB2312"/>
                <w:sz w:val="21"/>
                <w:szCs w:val="21"/>
              </w:rPr>
            </w:pPr>
            <w:r>
              <w:rPr>
                <w:rFonts w:ascii="仿宋_GB2312" w:eastAsia="仿宋_GB2312"/>
                <w:sz w:val="21"/>
                <w:szCs w:val="21"/>
              </w:rPr>
              <w:t>时效指标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30CD2146">
            <w:pPr>
              <w:widowControl/>
              <w:jc w:val="center"/>
              <w:textAlignment w:val="center"/>
              <w:rPr>
                <w:rFonts w:hint="eastAsia" w:ascii="仿宋_GB2312" w:eastAsia="仿宋_GB2312"/>
                <w:sz w:val="21"/>
                <w:szCs w:val="21"/>
              </w:rPr>
            </w:pPr>
            <w:r>
              <w:rPr>
                <w:rFonts w:ascii="仿宋_GB2312" w:eastAsia="仿宋_GB2312"/>
                <w:sz w:val="21"/>
                <w:szCs w:val="21"/>
              </w:rPr>
              <w:t>完成时效</w:t>
            </w:r>
          </w:p>
        </w:tc>
        <w:tc>
          <w:tcPr>
            <w:tcW w:w="2700" w:type="dxa"/>
            <w:tcBorders>
              <w:top w:val="single" w:color="auto" w:sz="4" w:space="0"/>
              <w:left w:val="single" w:color="auto" w:sz="4" w:space="0"/>
              <w:bottom w:val="single" w:color="auto" w:sz="4" w:space="0"/>
              <w:right w:val="single" w:color="auto" w:sz="4" w:space="0"/>
            </w:tcBorders>
            <w:noWrap/>
            <w:vAlign w:val="center"/>
          </w:tcPr>
          <w:p w14:paraId="65E29FD8">
            <w:pPr>
              <w:widowControl/>
              <w:jc w:val="center"/>
              <w:textAlignment w:val="center"/>
              <w:rPr>
                <w:rFonts w:hint="eastAsia" w:ascii="仿宋_GB2312" w:eastAsia="仿宋_GB2312"/>
                <w:sz w:val="21"/>
                <w:szCs w:val="21"/>
              </w:rPr>
            </w:pPr>
            <w:r>
              <w:rPr>
                <w:rFonts w:hint="eastAsia" w:ascii="仿宋_GB2312" w:eastAsia="仿宋_GB2312"/>
                <w:sz w:val="21"/>
                <w:szCs w:val="21"/>
              </w:rPr>
              <w:t>大米轮换完成时间2</w:t>
            </w:r>
            <w:r>
              <w:rPr>
                <w:rFonts w:ascii="仿宋_GB2312" w:eastAsia="仿宋_GB2312"/>
                <w:sz w:val="21"/>
                <w:szCs w:val="21"/>
              </w:rPr>
              <w:t>023年</w:t>
            </w:r>
            <w:r>
              <w:rPr>
                <w:rFonts w:hint="eastAsia" w:ascii="仿宋_GB2312" w:eastAsia="仿宋_GB2312"/>
                <w:sz w:val="21"/>
                <w:szCs w:val="21"/>
              </w:rPr>
              <w:t>2月，菜油完成轮换时间2</w:t>
            </w:r>
            <w:r>
              <w:rPr>
                <w:rFonts w:ascii="仿宋_GB2312" w:eastAsia="仿宋_GB2312"/>
                <w:sz w:val="21"/>
                <w:szCs w:val="21"/>
              </w:rPr>
              <w:t>023年</w:t>
            </w:r>
            <w:r>
              <w:rPr>
                <w:rFonts w:hint="eastAsia" w:ascii="仿宋_GB2312" w:eastAsia="仿宋_GB2312"/>
                <w:sz w:val="21"/>
                <w:szCs w:val="21"/>
              </w:rPr>
              <w:t>3月</w:t>
            </w:r>
          </w:p>
        </w:tc>
      </w:tr>
      <w:tr w14:paraId="60A9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64713E25">
            <w:pPr>
              <w:pStyle w:val="35"/>
              <w:spacing w:line="560" w:lineRule="exact"/>
              <w:ind w:firstLine="0" w:firstLineChars="0"/>
              <w:jc w:val="center"/>
              <w:rPr>
                <w:rFonts w:hint="eastAsia" w:ascii="仿宋_GB2312"/>
                <w:sz w:val="21"/>
                <w:szCs w:val="21"/>
              </w:rPr>
            </w:pPr>
            <w:r>
              <w:rPr>
                <w:rFonts w:hint="eastAsia" w:ascii="仿宋_GB2312"/>
                <w:sz w:val="21"/>
                <w:szCs w:val="21"/>
              </w:rPr>
              <w:t>成本指标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56820D83">
            <w:pPr>
              <w:widowControl/>
              <w:jc w:val="center"/>
              <w:textAlignment w:val="center"/>
              <w:rPr>
                <w:rFonts w:hint="eastAsia" w:ascii="仿宋_GB2312" w:eastAsia="仿宋_GB2312"/>
                <w:sz w:val="21"/>
                <w:szCs w:val="21"/>
              </w:rPr>
            </w:pPr>
            <w:r>
              <w:rPr>
                <w:rFonts w:hint="eastAsia" w:ascii="仿宋_GB2312" w:eastAsia="仿宋_GB2312"/>
                <w:sz w:val="21"/>
                <w:szCs w:val="21"/>
              </w:rPr>
              <w:t>成本指标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2B919C8C">
            <w:pPr>
              <w:widowControl/>
              <w:jc w:val="left"/>
              <w:textAlignment w:val="center"/>
              <w:rPr>
                <w:rFonts w:ascii="仿宋_GB2312" w:eastAsia="仿宋_GB2312"/>
                <w:sz w:val="21"/>
                <w:szCs w:val="21"/>
              </w:rPr>
            </w:pPr>
            <w:r>
              <w:rPr>
                <w:rFonts w:hint="eastAsia" w:ascii="仿宋_GB2312" w:eastAsia="仿宋_GB2312"/>
                <w:sz w:val="21"/>
                <w:szCs w:val="21"/>
              </w:rPr>
              <w:t>完成成本严格控制</w:t>
            </w:r>
            <w:r>
              <w:rPr>
                <w:rFonts w:ascii="仿宋_GB2312" w:eastAsia="仿宋_GB2312"/>
                <w:sz w:val="21"/>
                <w:szCs w:val="21"/>
              </w:rPr>
              <w:t>39.898</w:t>
            </w:r>
            <w:r>
              <w:rPr>
                <w:rFonts w:hint="eastAsia" w:ascii="仿宋_GB2312" w:eastAsia="仿宋_GB2312"/>
                <w:sz w:val="21"/>
                <w:szCs w:val="21"/>
              </w:rPr>
              <w:t>万元以内</w:t>
            </w:r>
          </w:p>
        </w:tc>
        <w:tc>
          <w:tcPr>
            <w:tcW w:w="2700" w:type="dxa"/>
            <w:tcBorders>
              <w:top w:val="single" w:color="auto" w:sz="4" w:space="0"/>
              <w:left w:val="single" w:color="auto" w:sz="4" w:space="0"/>
              <w:bottom w:val="single" w:color="auto" w:sz="4" w:space="0"/>
              <w:right w:val="single" w:color="auto" w:sz="4" w:space="0"/>
            </w:tcBorders>
            <w:noWrap/>
            <w:vAlign w:val="top"/>
          </w:tcPr>
          <w:p w14:paraId="36BDEBDE">
            <w:pPr>
              <w:pStyle w:val="35"/>
              <w:spacing w:line="560" w:lineRule="exact"/>
              <w:ind w:firstLine="0" w:firstLineChars="0"/>
              <w:jc w:val="center"/>
              <w:rPr>
                <w:rFonts w:ascii="方正黑体_GBK" w:eastAsia="方正黑体_GBK"/>
                <w:sz w:val="21"/>
                <w:szCs w:val="21"/>
              </w:rPr>
            </w:pPr>
            <w:r>
              <w:rPr>
                <w:rFonts w:ascii="仿宋_GB2312"/>
                <w:sz w:val="21"/>
                <w:szCs w:val="21"/>
              </w:rPr>
              <w:t>39.898</w:t>
            </w:r>
            <w:r>
              <w:rPr>
                <w:rFonts w:hint="eastAsia" w:ascii="仿宋_GB2312"/>
                <w:sz w:val="21"/>
                <w:szCs w:val="21"/>
              </w:rPr>
              <w:t>万</w:t>
            </w:r>
          </w:p>
        </w:tc>
      </w:tr>
      <w:tr w14:paraId="6747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36FE9087">
            <w:pPr>
              <w:pStyle w:val="35"/>
              <w:spacing w:line="560" w:lineRule="exact"/>
              <w:ind w:firstLine="0" w:firstLineChars="0"/>
              <w:jc w:val="center"/>
              <w:rPr>
                <w:rFonts w:hint="eastAsia" w:ascii="仿宋_GB2312"/>
                <w:sz w:val="21"/>
                <w:szCs w:val="21"/>
              </w:rPr>
            </w:pPr>
            <w:r>
              <w:rPr>
                <w:rFonts w:hint="eastAsia" w:ascii="仿宋_GB2312"/>
                <w:sz w:val="21"/>
                <w:szCs w:val="21"/>
              </w:rPr>
              <w:t>效益指标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77A318BE">
            <w:pPr>
              <w:widowControl/>
              <w:jc w:val="center"/>
              <w:textAlignment w:val="center"/>
              <w:rPr>
                <w:rFonts w:hint="eastAsia" w:ascii="仿宋_GB2312" w:eastAsia="仿宋_GB2312"/>
                <w:sz w:val="21"/>
                <w:szCs w:val="21"/>
              </w:rPr>
            </w:pPr>
            <w:r>
              <w:rPr>
                <w:rFonts w:ascii="仿宋_GB2312" w:eastAsia="仿宋_GB2312"/>
                <w:sz w:val="21"/>
                <w:szCs w:val="21"/>
              </w:rPr>
              <w:t>社会效益指标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08F6A8EC">
            <w:pPr>
              <w:widowControl/>
              <w:jc w:val="left"/>
              <w:textAlignment w:val="center"/>
              <w:rPr>
                <w:rFonts w:hint="eastAsia" w:ascii="仿宋_GB2312" w:eastAsia="仿宋_GB2312"/>
                <w:sz w:val="21"/>
                <w:szCs w:val="21"/>
              </w:rPr>
            </w:pPr>
            <w:r>
              <w:rPr>
                <w:rFonts w:ascii="仿宋_GB2312" w:eastAsia="仿宋_GB2312"/>
                <w:sz w:val="21"/>
                <w:szCs w:val="21"/>
              </w:rPr>
              <w:t>维护粮食生产者经营者和消费者合法权益</w:t>
            </w:r>
          </w:p>
        </w:tc>
        <w:tc>
          <w:tcPr>
            <w:tcW w:w="2700" w:type="dxa"/>
            <w:tcBorders>
              <w:top w:val="single" w:color="auto" w:sz="4" w:space="0"/>
              <w:left w:val="single" w:color="auto" w:sz="4" w:space="0"/>
              <w:bottom w:val="single" w:color="auto" w:sz="4" w:space="0"/>
              <w:right w:val="single" w:color="auto" w:sz="4" w:space="0"/>
            </w:tcBorders>
            <w:noWrap/>
            <w:vAlign w:val="top"/>
          </w:tcPr>
          <w:p w14:paraId="2961190D">
            <w:pPr>
              <w:pStyle w:val="35"/>
              <w:spacing w:line="560" w:lineRule="exact"/>
              <w:ind w:firstLine="0" w:firstLineChars="0"/>
              <w:jc w:val="center"/>
              <w:rPr>
                <w:rFonts w:hint="eastAsia" w:ascii="方正黑体_GBK" w:eastAsia="方正黑体_GBK"/>
                <w:sz w:val="21"/>
                <w:szCs w:val="21"/>
              </w:rPr>
            </w:pPr>
            <w:r>
              <w:rPr>
                <w:rFonts w:hint="eastAsia" w:ascii="仿宋_GB2312"/>
                <w:sz w:val="21"/>
                <w:szCs w:val="21"/>
              </w:rPr>
              <w:t>100%</w:t>
            </w:r>
          </w:p>
        </w:tc>
      </w:tr>
      <w:tr w14:paraId="359C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center"/>
          </w:tcPr>
          <w:p w14:paraId="693401B4">
            <w:pPr>
              <w:widowControl/>
              <w:jc w:val="center"/>
              <w:textAlignment w:val="center"/>
              <w:rPr>
                <w:rFonts w:ascii="仿宋_GB2312" w:eastAsia="仿宋_GB2312"/>
                <w:sz w:val="21"/>
                <w:szCs w:val="21"/>
              </w:rPr>
            </w:pPr>
            <w:r>
              <w:rPr>
                <w:rFonts w:ascii="仿宋_GB2312" w:eastAsia="仿宋_GB2312"/>
                <w:sz w:val="21"/>
                <w:szCs w:val="21"/>
              </w:rPr>
              <w:t>满意度指标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7821C8F3">
            <w:pPr>
              <w:widowControl/>
              <w:jc w:val="center"/>
              <w:textAlignment w:val="center"/>
              <w:rPr>
                <w:rFonts w:ascii="仿宋_GB2312" w:eastAsia="仿宋_GB2312"/>
                <w:sz w:val="21"/>
                <w:szCs w:val="21"/>
              </w:rPr>
            </w:pPr>
            <w:r>
              <w:rPr>
                <w:rFonts w:ascii="仿宋_GB2312" w:eastAsia="仿宋_GB2312"/>
                <w:sz w:val="21"/>
                <w:szCs w:val="21"/>
              </w:rPr>
              <w:t>服务对象满意度</w:t>
            </w:r>
          </w:p>
        </w:tc>
        <w:tc>
          <w:tcPr>
            <w:tcW w:w="2730" w:type="dxa"/>
            <w:tcBorders>
              <w:top w:val="single" w:color="auto" w:sz="4" w:space="0"/>
              <w:left w:val="single" w:color="auto" w:sz="4" w:space="0"/>
              <w:bottom w:val="single" w:color="auto" w:sz="4" w:space="0"/>
              <w:right w:val="single" w:color="auto" w:sz="4" w:space="0"/>
            </w:tcBorders>
            <w:noWrap/>
            <w:vAlign w:val="center"/>
          </w:tcPr>
          <w:p w14:paraId="0ACC8016">
            <w:pPr>
              <w:widowControl/>
              <w:jc w:val="center"/>
              <w:textAlignment w:val="center"/>
              <w:rPr>
                <w:rFonts w:ascii="仿宋_GB2312" w:eastAsia="仿宋_GB2312"/>
                <w:sz w:val="21"/>
                <w:szCs w:val="21"/>
              </w:rPr>
            </w:pPr>
            <w:r>
              <w:rPr>
                <w:rFonts w:ascii="仿宋_GB2312" w:eastAsia="仿宋_GB2312"/>
                <w:sz w:val="21"/>
                <w:szCs w:val="21"/>
              </w:rPr>
              <w:t>公众及有关部门满意度率</w:t>
            </w:r>
          </w:p>
        </w:tc>
        <w:tc>
          <w:tcPr>
            <w:tcW w:w="2700" w:type="dxa"/>
            <w:tcBorders>
              <w:top w:val="single" w:color="auto" w:sz="4" w:space="0"/>
              <w:left w:val="single" w:color="auto" w:sz="4" w:space="0"/>
              <w:bottom w:val="single" w:color="auto" w:sz="4" w:space="0"/>
              <w:right w:val="single" w:color="auto" w:sz="4" w:space="0"/>
            </w:tcBorders>
            <w:noWrap/>
            <w:vAlign w:val="top"/>
          </w:tcPr>
          <w:p w14:paraId="2B3D82A5">
            <w:pPr>
              <w:pStyle w:val="35"/>
              <w:spacing w:line="560" w:lineRule="exact"/>
              <w:ind w:firstLine="0" w:firstLineChars="0"/>
              <w:jc w:val="center"/>
              <w:rPr>
                <w:rFonts w:hint="eastAsia" w:ascii="方正黑体_GBK" w:eastAsia="方正黑体_GBK"/>
                <w:sz w:val="21"/>
                <w:szCs w:val="21"/>
              </w:rPr>
            </w:pPr>
            <w:r>
              <w:rPr>
                <w:rFonts w:hint="eastAsia" w:ascii="仿宋_GB2312"/>
                <w:sz w:val="21"/>
                <w:szCs w:val="21"/>
              </w:rPr>
              <w:t>100%</w:t>
            </w:r>
          </w:p>
        </w:tc>
      </w:tr>
    </w:tbl>
    <w:p w14:paraId="3BCFD246">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outlineLvl w:val="9"/>
        <w:rPr>
          <w:rFonts w:hint="eastAsia" w:ascii="黑体" w:hAnsi="宋体" w:eastAsia="黑体"/>
          <w:highlight w:val="none"/>
          <w:lang w:eastAsia="zh-CN"/>
        </w:rPr>
      </w:pPr>
      <w:r>
        <w:rPr>
          <w:rFonts w:hint="eastAsia" w:ascii="黑体" w:hAnsi="宋体" w:eastAsia="黑体"/>
          <w:highlight w:val="none"/>
        </w:rPr>
        <w:t>二、</w:t>
      </w:r>
      <w:r>
        <w:rPr>
          <w:rFonts w:hint="eastAsia" w:ascii="黑体" w:hAnsi="宋体" w:eastAsia="黑体"/>
          <w:highlight w:val="none"/>
          <w:lang w:eastAsia="zh-CN"/>
        </w:rPr>
        <w:t>评价实施</w:t>
      </w:r>
    </w:p>
    <w:p w14:paraId="04519BE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（一）评价目的。</w:t>
      </w:r>
    </w:p>
    <w:p w14:paraId="5937B5B2">
      <w:pPr>
        <w:adjustRightInd w:val="0"/>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通过对县级储备粮管理，确保我县县级储备粮数据真实，质量良好，储备安全，调得动、用得上，确保我县用粮安全。</w:t>
      </w:r>
    </w:p>
    <w:p w14:paraId="665E87C0">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Times New Roman" w:eastAsia="仿宋_GB2312" w:cs="Times New Roman"/>
          <w:kern w:val="2"/>
          <w:sz w:val="32"/>
          <w:szCs w:val="32"/>
          <w:lang w:val="en-US" w:eastAsia="zh-CN" w:bidi="ar-SA"/>
        </w:rPr>
        <w:t>按照绩效评价指标体系，对资金支出使用全过程及其实施效果进行综合评价和判断。</w:t>
      </w:r>
    </w:p>
    <w:p w14:paraId="30CB8B08">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cs="Times New Roman"/>
          <w:szCs w:val="32"/>
          <w:lang w:val="zh-CN" w:eastAsia="zh-CN"/>
        </w:rPr>
      </w:pPr>
      <w:r>
        <w:rPr>
          <w:rFonts w:hint="eastAsia" w:ascii="楷体_GB2312" w:hAnsi="宋体" w:eastAsia="楷体_GB2312"/>
          <w:b/>
          <w:color w:val="auto"/>
          <w:sz w:val="32"/>
          <w:szCs w:val="32"/>
          <w:highlight w:val="none"/>
          <w:u w:val="none"/>
          <w:lang w:val="zh-CN"/>
        </w:rPr>
        <w:t>（三）评价选点。</w:t>
      </w:r>
      <w:r>
        <w:rPr>
          <w:rFonts w:hint="eastAsia" w:ascii="仿宋_GB2312" w:hAnsi="Times New Roman" w:eastAsia="仿宋_GB2312" w:cs="Times New Roman"/>
          <w:kern w:val="2"/>
          <w:sz w:val="32"/>
          <w:szCs w:val="32"/>
          <w:lang w:val="zh-CN" w:eastAsia="zh-CN" w:bidi="ar-SA"/>
        </w:rPr>
        <w:t>项目绩效自评所抽样点位安乐、勿角粮食储备库</w:t>
      </w:r>
      <w:r>
        <w:rPr>
          <w:rFonts w:hint="eastAsia" w:cs="Times New Roman"/>
          <w:szCs w:val="32"/>
          <w:lang w:val="zh-CN" w:eastAsia="zh-CN"/>
        </w:rPr>
        <w:t>。</w:t>
      </w:r>
    </w:p>
    <w:p w14:paraId="09DBA54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（四）评价方法。</w:t>
      </w:r>
    </w:p>
    <w:p w14:paraId="24E8A75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Times New Roman"/>
          <w:szCs w:val="32"/>
        </w:rPr>
      </w:pPr>
      <w:r>
        <w:rPr>
          <w:rFonts w:hint="eastAsia" w:ascii="仿宋_GB2312" w:hAnsi="Times New Roman" w:eastAsia="仿宋_GB2312" w:cs="Times New Roman"/>
          <w:kern w:val="2"/>
          <w:sz w:val="32"/>
          <w:szCs w:val="32"/>
          <w:lang w:val="en-US" w:eastAsia="zh-CN" w:bidi="ar-SA"/>
        </w:rPr>
        <w:t>以单位自评法、实地勘察法粮食管理工作得到肯定和认同。</w:t>
      </w:r>
    </w:p>
    <w:p w14:paraId="50F9CD9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Times New Roman"/>
          <w:bCs/>
          <w:lang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Times New Roman" w:eastAsia="仿宋_GB2312" w:cs="Times New Roman"/>
          <w:kern w:val="2"/>
          <w:sz w:val="32"/>
          <w:szCs w:val="32"/>
          <w:lang w:val="zh-CN" w:eastAsia="zh-CN" w:bidi="ar-SA"/>
        </w:rPr>
        <w:t>财</w:t>
      </w:r>
      <w:r>
        <w:rPr>
          <w:rFonts w:hint="eastAsia" w:ascii="仿宋_GB2312" w:hAnsi="Times New Roman" w:eastAsia="仿宋_GB2312" w:cs="Times New Roman"/>
          <w:kern w:val="2"/>
          <w:sz w:val="32"/>
          <w:szCs w:val="32"/>
          <w:lang w:val="zh-CN" w:eastAsia="zh-CN" w:bidi="ar-SA"/>
        </w:rPr>
        <w:t>务分管领导、财务人员、粮油収储公司工作人员。</w:t>
      </w:r>
    </w:p>
    <w:p w14:paraId="0FFBA658">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14:paraId="34F879C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zh-CN" w:eastAsia="zh-CN" w:bidi="ar-SA"/>
        </w:rPr>
        <w:t>根据</w:t>
      </w:r>
      <w:r>
        <w:rPr>
          <w:rFonts w:hint="eastAsia" w:ascii="仿宋_GB2312" w:hAnsi="Times New Roman" w:eastAsia="仿宋_GB2312" w:cs="Times New Roman"/>
          <w:kern w:val="2"/>
          <w:sz w:val="32"/>
          <w:szCs w:val="32"/>
          <w:lang w:val="zh-CN" w:eastAsia="zh-CN" w:bidi="ar-SA"/>
        </w:rPr>
        <w:t>项目</w:t>
      </w:r>
      <w:r>
        <w:rPr>
          <w:rFonts w:hint="default" w:ascii="仿宋_GB2312" w:hAnsi="Times New Roman" w:eastAsia="仿宋_GB2312" w:cs="Times New Roman"/>
          <w:kern w:val="2"/>
          <w:sz w:val="32"/>
          <w:szCs w:val="32"/>
          <w:lang w:val="zh-CN" w:eastAsia="zh-CN" w:bidi="ar-SA"/>
        </w:rPr>
        <w:t>预算绩效评价指标体系“</w:t>
      </w:r>
      <w:r>
        <w:rPr>
          <w:rFonts w:hint="eastAsia" w:ascii="仿宋_GB2312" w:hAnsi="Times New Roman" w:eastAsia="仿宋_GB2312" w:cs="Times New Roman"/>
          <w:kern w:val="2"/>
          <w:sz w:val="32"/>
          <w:szCs w:val="32"/>
          <w:lang w:val="zh-CN" w:eastAsia="zh-CN" w:bidi="ar-SA"/>
        </w:rPr>
        <w:t>通用指标</w:t>
      </w:r>
      <w:r>
        <w:rPr>
          <w:rFonts w:hint="default" w:ascii="仿宋_GB2312" w:hAnsi="Times New Roman" w:eastAsia="仿宋_GB2312" w:cs="Times New Roman"/>
          <w:kern w:val="2"/>
          <w:sz w:val="32"/>
          <w:szCs w:val="32"/>
          <w:lang w:val="zh-CN" w:eastAsia="zh-CN" w:bidi="ar-SA"/>
        </w:rPr>
        <w:t>”</w:t>
      </w:r>
      <w:r>
        <w:rPr>
          <w:rFonts w:hint="eastAsia" w:ascii="仿宋_GB2312" w:hAnsi="Times New Roman" w:eastAsia="仿宋_GB2312" w:cs="Times New Roman"/>
          <w:kern w:val="2"/>
          <w:sz w:val="32"/>
          <w:szCs w:val="32"/>
          <w:lang w:val="zh-CN" w:eastAsia="zh-CN" w:bidi="ar-SA"/>
        </w:rPr>
        <w:t>“专用指标”“个性指标”</w:t>
      </w:r>
      <w:r>
        <w:rPr>
          <w:rFonts w:hint="default" w:ascii="仿宋_GB2312" w:hAnsi="Times New Roman" w:eastAsia="仿宋_GB2312" w:cs="Times New Roman"/>
          <w:kern w:val="2"/>
          <w:sz w:val="32"/>
          <w:szCs w:val="32"/>
          <w:lang w:val="zh-CN" w:eastAsia="zh-CN" w:bidi="ar-SA"/>
        </w:rPr>
        <w:t>涉及</w:t>
      </w:r>
      <w:r>
        <w:rPr>
          <w:rFonts w:hint="eastAsia" w:ascii="仿宋_GB2312" w:hAnsi="Times New Roman" w:eastAsia="仿宋_GB2312" w:cs="Times New Roman"/>
          <w:kern w:val="2"/>
          <w:sz w:val="32"/>
          <w:szCs w:val="32"/>
          <w:lang w:val="zh-CN" w:eastAsia="zh-CN" w:bidi="ar-SA"/>
        </w:rPr>
        <w:t>二、三级</w:t>
      </w:r>
      <w:r>
        <w:rPr>
          <w:rFonts w:hint="default" w:ascii="仿宋_GB2312" w:hAnsi="Times New Roman" w:eastAsia="仿宋_GB2312" w:cs="Times New Roman"/>
          <w:kern w:val="2"/>
          <w:sz w:val="32"/>
          <w:szCs w:val="32"/>
          <w:lang w:val="zh-CN" w:eastAsia="zh-CN" w:bidi="ar-SA"/>
        </w:rPr>
        <w:t>指标进行</w:t>
      </w:r>
      <w:r>
        <w:rPr>
          <w:rFonts w:hint="eastAsia" w:ascii="仿宋_GB2312" w:hAnsi="Times New Roman" w:eastAsia="仿宋_GB2312" w:cs="Times New Roman"/>
          <w:kern w:val="2"/>
          <w:sz w:val="32"/>
          <w:szCs w:val="32"/>
          <w:lang w:val="zh-CN" w:eastAsia="zh-CN" w:bidi="ar-SA"/>
        </w:rPr>
        <w:t>逐项</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并评分</w:t>
      </w:r>
      <w:r>
        <w:rPr>
          <w:rFonts w:hint="eastAsia" w:ascii="仿宋_GB2312" w:hAnsi="Times New Roman" w:eastAsia="仿宋_GB2312" w:cs="Times New Roman"/>
          <w:kern w:val="2"/>
          <w:sz w:val="32"/>
          <w:szCs w:val="32"/>
          <w:lang w:val="en-US" w:eastAsia="zh-CN" w:bidi="ar-SA"/>
        </w:rPr>
        <w:t>。</w:t>
      </w:r>
    </w:p>
    <w:p w14:paraId="16EB290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（一）</w:t>
      </w:r>
      <w:r>
        <w:rPr>
          <w:rFonts w:hint="eastAsia" w:ascii="仿宋_GB2312" w:hAnsi="Times New Roman" w:eastAsia="仿宋_GB2312" w:cs="Times New Roman"/>
          <w:kern w:val="2"/>
          <w:sz w:val="32"/>
          <w:szCs w:val="32"/>
          <w:lang w:val="en-US" w:eastAsia="zh-CN" w:bidi="ar-SA"/>
        </w:rPr>
        <w:t>通用指标</w:t>
      </w:r>
      <w:r>
        <w:rPr>
          <w:rFonts w:hint="default" w:ascii="仿宋_GB2312" w:hAnsi="Times New Roman" w:eastAsia="仿宋_GB2312" w:cs="Times New Roman"/>
          <w:kern w:val="2"/>
          <w:sz w:val="32"/>
          <w:szCs w:val="32"/>
          <w:lang w:val="zh-CN" w:eastAsia="zh-CN" w:bidi="ar-SA"/>
        </w:rPr>
        <w:t>绩效分析。</w:t>
      </w:r>
    </w:p>
    <w:p w14:paraId="7828027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zh-CN" w:eastAsia="zh-CN" w:bidi="ar-SA"/>
        </w:rPr>
        <w:t>项目决策。</w:t>
      </w:r>
    </w:p>
    <w:p w14:paraId="388FA20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为了加强财政支出管理，提高资金使用效益，促进资源有效配置。</w:t>
      </w:r>
    </w:p>
    <w:p w14:paraId="2ADF798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zh-CN" w:eastAsia="zh-CN" w:bidi="ar-SA"/>
        </w:rPr>
        <w:t>项目管理。</w:t>
      </w:r>
    </w:p>
    <w:p w14:paraId="2AC115E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在项目实施过程中，均由县财政集中支付核算中心审核，同时我中心还根据相关财务规定，对项目资金实行专款专用。</w:t>
      </w:r>
    </w:p>
    <w:p w14:paraId="349B778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3.项目实施。</w:t>
      </w:r>
    </w:p>
    <w:p w14:paraId="7A422FB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在报账时，经我中心财务负责人、财务分管领导按职权审批后转入县粮食风险基金专户，再由专户拨付粮食承储企业，较好地保护了该项目资金的合理使用。</w:t>
      </w:r>
    </w:p>
    <w:p w14:paraId="5D3E676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4.项目结果。</w:t>
      </w:r>
    </w:p>
    <w:p w14:paraId="5BAA825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通过对县级储备粮管理，确保我县县级储备粮数据真实，质量良好，储备安全，调得动、用得上，确保我县用粮安全。</w:t>
      </w:r>
    </w:p>
    <w:p w14:paraId="67F3E3A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（二）</w:t>
      </w:r>
      <w:r>
        <w:rPr>
          <w:rFonts w:hint="eastAsia" w:ascii="仿宋_GB2312" w:hAnsi="Times New Roman" w:eastAsia="仿宋_GB2312" w:cs="Times New Roman"/>
          <w:kern w:val="2"/>
          <w:sz w:val="32"/>
          <w:szCs w:val="32"/>
          <w:lang w:val="en-US" w:eastAsia="zh-CN" w:bidi="ar-SA"/>
        </w:rPr>
        <w:t>专用指标</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根据</w:t>
      </w:r>
      <w:r>
        <w:rPr>
          <w:rFonts w:hint="eastAsia" w:ascii="仿宋_GB2312" w:hAnsi="Times New Roman" w:eastAsia="仿宋_GB2312" w:cs="Times New Roman"/>
          <w:kern w:val="2"/>
          <w:sz w:val="32"/>
          <w:szCs w:val="32"/>
          <w:lang w:val="en-US" w:eastAsia="zh-CN" w:bidi="ar-SA"/>
        </w:rPr>
        <w:t>专项预算项目资金支持对象选择所属指标进行绩效分析。支持对象</w:t>
      </w:r>
      <w:r>
        <w:rPr>
          <w:rFonts w:hint="eastAsia" w:ascii="仿宋_GB2312" w:hAnsi="Times New Roman" w:eastAsia="仿宋_GB2312" w:cs="Times New Roman"/>
          <w:kern w:val="2"/>
          <w:sz w:val="32"/>
          <w:szCs w:val="32"/>
          <w:lang w:val="zh-CN" w:eastAsia="zh-CN" w:bidi="ar-SA"/>
        </w:rPr>
        <w:t>包括产业发展、民生保障、基础设施、行政运转等方面。</w:t>
      </w:r>
    </w:p>
    <w:p w14:paraId="3A466E8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1.产业发展。</w:t>
      </w:r>
      <w:r>
        <w:rPr>
          <w:rFonts w:hint="eastAsia" w:ascii="仿宋_GB2312" w:hAnsi="Times New Roman" w:eastAsia="仿宋_GB2312" w:cs="Times New Roman"/>
          <w:kern w:val="2"/>
          <w:sz w:val="32"/>
          <w:szCs w:val="32"/>
          <w:lang w:val="zh-CN" w:eastAsia="zh-CN" w:bidi="ar-SA"/>
        </w:rPr>
        <w:t>不涉及。</w:t>
      </w:r>
    </w:p>
    <w:p w14:paraId="6396233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zh-CN" w:eastAsia="zh-CN" w:bidi="ar-SA"/>
        </w:rPr>
        <w:t>民生保障。围绕区域均衡性、对象精准性、标准合理性、群众满意度进行绩效分析。</w:t>
      </w:r>
    </w:p>
    <w:p w14:paraId="0219A46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3.基础设施。</w:t>
      </w:r>
      <w:r>
        <w:rPr>
          <w:rFonts w:hint="eastAsia" w:ascii="仿宋_GB2312" w:hAnsi="Times New Roman" w:eastAsia="仿宋_GB2312" w:cs="Times New Roman"/>
          <w:kern w:val="2"/>
          <w:sz w:val="32"/>
          <w:szCs w:val="32"/>
          <w:lang w:val="zh-CN" w:eastAsia="zh-CN" w:bidi="ar-SA"/>
        </w:rPr>
        <w:t>不涉及。</w:t>
      </w:r>
    </w:p>
    <w:p w14:paraId="214BC76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zh-CN" w:eastAsia="zh-CN" w:bidi="ar-SA"/>
        </w:rPr>
        <w:t>行政运转。通过对县级储备粮管理，确保我县县级储备粮数据真实，质量良好，储备安全，调得动、用得上，确保我县用粮安全。</w:t>
      </w:r>
    </w:p>
    <w:p w14:paraId="5B9C8B3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p>
    <w:p w14:paraId="37813A3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p>
    <w:p w14:paraId="6130559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（三）</w:t>
      </w:r>
      <w:r>
        <w:rPr>
          <w:rFonts w:hint="eastAsia" w:ascii="仿宋_GB2312" w:hAnsi="Times New Roman" w:eastAsia="仿宋_GB2312" w:cs="Times New Roman"/>
          <w:kern w:val="2"/>
          <w:sz w:val="32"/>
          <w:szCs w:val="32"/>
          <w:lang w:val="en-US" w:eastAsia="zh-CN" w:bidi="ar-SA"/>
        </w:rPr>
        <w:t>个性指标</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根据项目个性自行设定部分指标，反映该项指标执行完成情况。</w:t>
      </w:r>
    </w:p>
    <w:p w14:paraId="2A13905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四、评价结论</w:t>
      </w:r>
    </w:p>
    <w:p w14:paraId="67166E7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通过对县级粮食工作管理，能更好落实党中央国务院、省委省政府、州委州政府重大决策部署，切实做好粮食安全党政同责工作，保障全县粮食安全。</w:t>
      </w:r>
      <w:r>
        <w:rPr>
          <w:rFonts w:hint="eastAsia" w:ascii="仿宋_GB2312" w:hAnsi="Times New Roman" w:eastAsia="仿宋_GB2312" w:cs="Times New Roman"/>
          <w:kern w:val="2"/>
          <w:sz w:val="32"/>
          <w:szCs w:val="32"/>
          <w:lang w:val="en-US" w:eastAsia="zh-CN" w:bidi="ar-SA"/>
        </w:rPr>
        <w:t>且实际运行规范有效，达到了预期的绩效目标。</w:t>
      </w:r>
    </w:p>
    <w:p w14:paraId="0C0CEA5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五、存在主要问题</w:t>
      </w:r>
    </w:p>
    <w:p w14:paraId="46E9785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5A4B2D6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六、改进建议</w:t>
      </w:r>
    </w:p>
    <w:p w14:paraId="701D3DB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 xml:space="preserve"> </w:t>
      </w:r>
      <w:r>
        <w:rPr>
          <w:rFonts w:hint="eastAsia" w:ascii="仿宋_GB2312" w:hAnsi="Times New Roman" w:eastAsia="仿宋_GB2312" w:cs="Times New Roman"/>
          <w:kern w:val="2"/>
          <w:sz w:val="32"/>
          <w:szCs w:val="32"/>
          <w:lang w:val="en-US" w:eastAsia="zh-CN" w:bidi="ar-SA"/>
        </w:rPr>
        <w:t>建议增加项目资金使用的灵活性。机动灵活地增加项目资金的使用范围，让项目实施部门有一定的调整空间，保证资金能及时有效的使用，进一步提高其使用效益。</w:t>
      </w:r>
    </w:p>
    <w:p w14:paraId="5CE1A258">
      <w:pPr>
        <w:pStyle w:val="34"/>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专项预算项目绩效评价报告</w:t>
      </w:r>
    </w:p>
    <w:p w14:paraId="56C43BE1">
      <w:pPr>
        <w:pStyle w:val="34"/>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color w:val="auto"/>
          <w:kern w:val="2"/>
          <w:sz w:val="32"/>
          <w:szCs w:val="32"/>
          <w:highlight w:val="none"/>
        </w:rPr>
      </w:pPr>
    </w:p>
    <w:p w14:paraId="089FCBB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一、</w:t>
      </w:r>
      <w:r>
        <w:rPr>
          <w:rFonts w:hint="eastAsia" w:ascii="仿宋_GB2312" w:hAnsi="Times New Roman" w:eastAsia="仿宋_GB2312" w:cs="Times New Roman"/>
          <w:kern w:val="2"/>
          <w:sz w:val="32"/>
          <w:szCs w:val="32"/>
          <w:lang w:val="zh-CN" w:eastAsia="zh-CN" w:bidi="ar-SA"/>
        </w:rPr>
        <w:t>项目概况</w:t>
      </w:r>
    </w:p>
    <w:p w14:paraId="0549610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（一）设立背景及基本情况。</w:t>
      </w:r>
    </w:p>
    <w:p w14:paraId="395A1B5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本项目的主要内容是组织贯彻执行国家、省、州有关国家粮食流通方针、政策和法律法规，按照县政府确定的县级储备规模费用标准，对2023年7-12月、2024年1-6月县级粮食储备承储企业县级储备粮的保管费、贷款利息予以补贴。</w:t>
      </w:r>
      <w:r>
        <w:rPr>
          <w:rFonts w:hint="eastAsia" w:ascii="仿宋_GB2312" w:hAnsi="Times New Roman" w:eastAsia="仿宋_GB2312" w:cs="Times New Roman"/>
          <w:kern w:val="2"/>
          <w:sz w:val="32"/>
          <w:szCs w:val="32"/>
          <w:lang w:val="en-US" w:eastAsia="zh-CN" w:bidi="ar-SA"/>
        </w:rPr>
        <w:t xml:space="preserve">   </w:t>
      </w:r>
    </w:p>
    <w:p w14:paraId="1599DDF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w:t>
      </w:r>
      <w:r>
        <w:rPr>
          <w:rFonts w:hint="default" w:ascii="仿宋_GB2312" w:hAnsi="Times New Roman" w:eastAsia="仿宋_GB2312" w:cs="Times New Roman"/>
          <w:kern w:val="2"/>
          <w:sz w:val="32"/>
          <w:szCs w:val="32"/>
          <w:lang w:val="en-US" w:eastAsia="zh-CN" w:bidi="ar-SA"/>
        </w:rPr>
        <w:t>实施目的及支持方向</w:t>
      </w:r>
      <w:r>
        <w:rPr>
          <w:rFonts w:hint="eastAsia" w:ascii="仿宋_GB2312" w:hAnsi="Times New Roman" w:eastAsia="仿宋_GB2312" w:cs="Times New Roman"/>
          <w:kern w:val="2"/>
          <w:sz w:val="32"/>
          <w:szCs w:val="32"/>
          <w:lang w:val="en-US" w:eastAsia="zh-CN" w:bidi="ar-SA"/>
        </w:rPr>
        <w:t>。</w:t>
      </w:r>
    </w:p>
    <w:p w14:paraId="5E4BFE8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该项目属于专项业务费、社会发展性项目，主要致力于保障我县用粮安全。按照《九寨沟县财政局关于将县级储备粮费用纳入预算的通知》（九财〔2007〕218号）、《九寨沟县县级储备粮管理办法》、《九寨沟县县级储备粮轮换管理办法》规定，结合我单位工作职责,负省、州、县地方储备粮的库存数量、质量和安全，组织实施储备粮的保管、轮换。县级储备粮食的储备保管费用每市斤每年原粮0.15元，县级储备成品油按每年每吨900元包干使用。贷款利息由县财政按银行同期实际发生金额拨付，储备粮油轮换新陈价差由县财政承担，纳入县级财政预算。</w:t>
      </w:r>
    </w:p>
    <w:p w14:paraId="3F79671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default" w:ascii="仿宋_GB2312" w:hAnsi="Times New Roman" w:eastAsia="仿宋_GB2312" w:cs="Times New Roman"/>
          <w:kern w:val="2"/>
          <w:sz w:val="32"/>
          <w:szCs w:val="32"/>
          <w:lang w:val="en-US" w:eastAsia="zh-CN" w:bidi="ar-SA"/>
        </w:rPr>
        <w:t>预算安排及分配管理</w:t>
      </w:r>
      <w:r>
        <w:rPr>
          <w:rFonts w:hint="eastAsia" w:ascii="仿宋_GB2312" w:hAnsi="Times New Roman" w:eastAsia="仿宋_GB2312" w:cs="Times New Roman"/>
          <w:kern w:val="2"/>
          <w:sz w:val="32"/>
          <w:szCs w:val="32"/>
          <w:lang w:val="zh-CN" w:eastAsia="zh-CN" w:bidi="ar-SA"/>
        </w:rPr>
        <w:t>。</w:t>
      </w:r>
    </w:p>
    <w:p w14:paraId="1FE0EC5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该项目预算资金安排96.8万元，年7-12月、2024年1-6月县级储备粮油保管费74.49万元，贷款利息25.04万元（贷款利息以农发行当年公布利率为准，按银行实际发生利率结付）</w:t>
      </w:r>
    </w:p>
    <w:p w14:paraId="2CFD368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项目绩效目标设置。</w:t>
      </w:r>
    </w:p>
    <w:p w14:paraId="5A75E4E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绩效目标和绩效指标全面完整，契合项目实质，与县发展和改革局的长期规划目标、年度工作目标相一致，产出和效果关联。</w:t>
      </w:r>
    </w:p>
    <w:p w14:paraId="2B5BF6C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九寨沟县县级储备粮食费用项目绩效目标表</w:t>
      </w:r>
    </w:p>
    <w:tbl>
      <w:tblPr>
        <w:tblStyle w:val="15"/>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305"/>
        <w:gridCol w:w="2730"/>
        <w:gridCol w:w="2700"/>
      </w:tblGrid>
      <w:tr w14:paraId="554E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4AEC3C2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一级指标</w:t>
            </w:r>
          </w:p>
        </w:tc>
        <w:tc>
          <w:tcPr>
            <w:tcW w:w="1305" w:type="dxa"/>
            <w:tcBorders>
              <w:top w:val="single" w:color="auto" w:sz="4" w:space="0"/>
              <w:left w:val="single" w:color="auto" w:sz="4" w:space="0"/>
              <w:bottom w:val="single" w:color="auto" w:sz="4" w:space="0"/>
              <w:right w:val="single" w:color="auto" w:sz="4" w:space="0"/>
            </w:tcBorders>
            <w:noWrap/>
            <w:vAlign w:val="top"/>
          </w:tcPr>
          <w:p w14:paraId="3D3A117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二级指标</w:t>
            </w:r>
          </w:p>
        </w:tc>
        <w:tc>
          <w:tcPr>
            <w:tcW w:w="2730" w:type="dxa"/>
            <w:tcBorders>
              <w:top w:val="single" w:color="auto" w:sz="4" w:space="0"/>
              <w:left w:val="single" w:color="auto" w:sz="4" w:space="0"/>
              <w:bottom w:val="single" w:color="auto" w:sz="4" w:space="0"/>
              <w:right w:val="single" w:color="auto" w:sz="4" w:space="0"/>
            </w:tcBorders>
            <w:noWrap/>
            <w:vAlign w:val="top"/>
          </w:tcPr>
          <w:p w14:paraId="130A8DF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三级指标</w:t>
            </w:r>
          </w:p>
        </w:tc>
        <w:tc>
          <w:tcPr>
            <w:tcW w:w="2700" w:type="dxa"/>
            <w:tcBorders>
              <w:top w:val="single" w:color="auto" w:sz="4" w:space="0"/>
              <w:left w:val="single" w:color="auto" w:sz="4" w:space="0"/>
              <w:bottom w:val="single" w:color="auto" w:sz="4" w:space="0"/>
              <w:right w:val="single" w:color="auto" w:sz="4" w:space="0"/>
            </w:tcBorders>
            <w:noWrap/>
            <w:vAlign w:val="top"/>
          </w:tcPr>
          <w:p w14:paraId="7977426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指标值</w:t>
            </w:r>
          </w:p>
        </w:tc>
      </w:tr>
      <w:tr w14:paraId="715F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324FC6E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产出指标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6A4FC57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数量指标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19E3881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1311吨大米、50吨菜油、425吨小麦保管费用及利息</w:t>
            </w:r>
          </w:p>
        </w:tc>
        <w:tc>
          <w:tcPr>
            <w:tcW w:w="2700" w:type="dxa"/>
            <w:tcBorders>
              <w:top w:val="single" w:color="auto" w:sz="4" w:space="0"/>
              <w:left w:val="single" w:color="auto" w:sz="4" w:space="0"/>
              <w:bottom w:val="single" w:color="auto" w:sz="4" w:space="0"/>
              <w:right w:val="single" w:color="auto" w:sz="4" w:space="0"/>
            </w:tcBorders>
            <w:noWrap/>
            <w:vAlign w:val="center"/>
          </w:tcPr>
          <w:p w14:paraId="0E7A813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县级储备粮食的储备保管费用每市斤每年原粮0.15元，县级储备成品油按每年每吨900元包干使用。贷款利息由县财政按银行同期实际发生金额拨付</w:t>
            </w:r>
          </w:p>
        </w:tc>
      </w:tr>
      <w:tr w14:paraId="423C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785A973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产出指标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6F50E1A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时效指标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3CA3D8D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完成时效</w:t>
            </w:r>
          </w:p>
        </w:tc>
        <w:tc>
          <w:tcPr>
            <w:tcW w:w="2700" w:type="dxa"/>
            <w:tcBorders>
              <w:top w:val="single" w:color="auto" w:sz="4" w:space="0"/>
              <w:left w:val="single" w:color="auto" w:sz="4" w:space="0"/>
              <w:bottom w:val="single" w:color="auto" w:sz="4" w:space="0"/>
              <w:right w:val="single" w:color="auto" w:sz="4" w:space="0"/>
            </w:tcBorders>
            <w:noWrap/>
            <w:vAlign w:val="center"/>
          </w:tcPr>
          <w:p w14:paraId="1BBB822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1年</w:t>
            </w:r>
          </w:p>
        </w:tc>
      </w:tr>
      <w:tr w14:paraId="42F7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2F40B48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成本指标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46F34ED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成本指标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5608A26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完成成本严格控制96.8万元以内</w:t>
            </w:r>
          </w:p>
        </w:tc>
        <w:tc>
          <w:tcPr>
            <w:tcW w:w="2700" w:type="dxa"/>
            <w:tcBorders>
              <w:top w:val="single" w:color="auto" w:sz="4" w:space="0"/>
              <w:left w:val="single" w:color="auto" w:sz="4" w:space="0"/>
              <w:bottom w:val="single" w:color="auto" w:sz="4" w:space="0"/>
              <w:right w:val="single" w:color="auto" w:sz="4" w:space="0"/>
            </w:tcBorders>
            <w:noWrap/>
            <w:vAlign w:val="top"/>
          </w:tcPr>
          <w:p w14:paraId="2F9A9D5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99.53万</w:t>
            </w:r>
          </w:p>
        </w:tc>
      </w:tr>
      <w:tr w14:paraId="3D34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6102E5F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效益指标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7A373B2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社会效益指标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70B533A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维护粮食生产者经营者和消费者合法权益</w:t>
            </w:r>
          </w:p>
        </w:tc>
        <w:tc>
          <w:tcPr>
            <w:tcW w:w="2700" w:type="dxa"/>
            <w:tcBorders>
              <w:top w:val="single" w:color="auto" w:sz="4" w:space="0"/>
              <w:left w:val="single" w:color="auto" w:sz="4" w:space="0"/>
              <w:bottom w:val="single" w:color="auto" w:sz="4" w:space="0"/>
              <w:right w:val="single" w:color="auto" w:sz="4" w:space="0"/>
            </w:tcBorders>
            <w:noWrap/>
            <w:vAlign w:val="top"/>
          </w:tcPr>
          <w:p w14:paraId="0D5C18E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100%</w:t>
            </w:r>
          </w:p>
        </w:tc>
      </w:tr>
      <w:tr w14:paraId="22BD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center"/>
          </w:tcPr>
          <w:p w14:paraId="7B608F2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满意度指标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013F18A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服务对象满意度</w:t>
            </w:r>
          </w:p>
        </w:tc>
        <w:tc>
          <w:tcPr>
            <w:tcW w:w="2730" w:type="dxa"/>
            <w:tcBorders>
              <w:top w:val="single" w:color="auto" w:sz="4" w:space="0"/>
              <w:left w:val="single" w:color="auto" w:sz="4" w:space="0"/>
              <w:bottom w:val="single" w:color="auto" w:sz="4" w:space="0"/>
              <w:right w:val="single" w:color="auto" w:sz="4" w:space="0"/>
            </w:tcBorders>
            <w:noWrap/>
            <w:vAlign w:val="center"/>
          </w:tcPr>
          <w:p w14:paraId="435DB8F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公众及有关部门满意度率</w:t>
            </w:r>
          </w:p>
        </w:tc>
        <w:tc>
          <w:tcPr>
            <w:tcW w:w="2700" w:type="dxa"/>
            <w:tcBorders>
              <w:top w:val="single" w:color="auto" w:sz="4" w:space="0"/>
              <w:left w:val="single" w:color="auto" w:sz="4" w:space="0"/>
              <w:bottom w:val="single" w:color="auto" w:sz="4" w:space="0"/>
              <w:right w:val="single" w:color="auto" w:sz="4" w:space="0"/>
            </w:tcBorders>
            <w:noWrap/>
            <w:vAlign w:val="top"/>
          </w:tcPr>
          <w:p w14:paraId="443D447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100%</w:t>
            </w:r>
          </w:p>
        </w:tc>
      </w:tr>
    </w:tbl>
    <w:p w14:paraId="089E9CE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二、评价实施</w:t>
      </w:r>
    </w:p>
    <w:p w14:paraId="09225C6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（一）评价目的。</w:t>
      </w:r>
    </w:p>
    <w:p w14:paraId="40E6118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通过对县级储备粮管理，确保我县县级储备粮数据真实，质量良好，储备安全，调得动、用得上，确保我县用粮安全。</w:t>
      </w:r>
    </w:p>
    <w:p w14:paraId="56BD1DA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（二）预设问题及评价重点。</w:t>
      </w:r>
      <w:r>
        <w:rPr>
          <w:rFonts w:hint="eastAsia" w:ascii="仿宋_GB2312" w:hAnsi="Times New Roman" w:eastAsia="仿宋_GB2312" w:cs="Times New Roman"/>
          <w:kern w:val="2"/>
          <w:sz w:val="32"/>
          <w:szCs w:val="32"/>
          <w:lang w:val="en-US" w:eastAsia="zh-CN" w:bidi="ar-SA"/>
        </w:rPr>
        <w:t>按照绩效评价指标体系，对资金支出使用全过程及其实施效果进行综合评价和判断。</w:t>
      </w:r>
    </w:p>
    <w:p w14:paraId="7ECD719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（三）评价选点。项目绩效自评所抽样点位安乐、勿角粮食储备库。</w:t>
      </w:r>
    </w:p>
    <w:p w14:paraId="438DD0B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（四）评价方法。</w:t>
      </w:r>
    </w:p>
    <w:p w14:paraId="1FE27B7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以单位自评法、实地勘察法县级储备粮食费用兑现工作得到肯定和认同。</w:t>
      </w:r>
    </w:p>
    <w:p w14:paraId="0A96A67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（五）评价组织。财务分管领导、财务人员、粮油収储公司工作人员。</w:t>
      </w:r>
    </w:p>
    <w:p w14:paraId="2C2C23B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p>
    <w:p w14:paraId="4F2DA08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三、绩效分析</w:t>
      </w:r>
      <w:r>
        <w:rPr>
          <w:rFonts w:hint="eastAsia" w:ascii="仿宋_GB2312" w:hAnsi="Times New Roman" w:eastAsia="仿宋_GB2312" w:cs="Times New Roman"/>
          <w:kern w:val="2"/>
          <w:sz w:val="32"/>
          <w:szCs w:val="32"/>
          <w:lang w:val="zh-CN" w:eastAsia="zh-CN" w:bidi="ar-SA"/>
        </w:rPr>
        <w:tab/>
      </w:r>
    </w:p>
    <w:p w14:paraId="0A62E21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zh-CN" w:eastAsia="zh-CN" w:bidi="ar-SA"/>
        </w:rPr>
        <w:t>根据</w:t>
      </w:r>
      <w:r>
        <w:rPr>
          <w:rFonts w:hint="eastAsia" w:ascii="仿宋_GB2312" w:hAnsi="Times New Roman" w:eastAsia="仿宋_GB2312" w:cs="Times New Roman"/>
          <w:kern w:val="2"/>
          <w:sz w:val="32"/>
          <w:szCs w:val="32"/>
          <w:lang w:val="zh-CN" w:eastAsia="zh-CN" w:bidi="ar-SA"/>
        </w:rPr>
        <w:t>项目</w:t>
      </w:r>
      <w:r>
        <w:rPr>
          <w:rFonts w:hint="default" w:ascii="仿宋_GB2312" w:hAnsi="Times New Roman" w:eastAsia="仿宋_GB2312" w:cs="Times New Roman"/>
          <w:kern w:val="2"/>
          <w:sz w:val="32"/>
          <w:szCs w:val="32"/>
          <w:lang w:val="zh-CN" w:eastAsia="zh-CN" w:bidi="ar-SA"/>
        </w:rPr>
        <w:t>预算绩效评价指标体系“</w:t>
      </w:r>
      <w:r>
        <w:rPr>
          <w:rFonts w:hint="eastAsia" w:ascii="仿宋_GB2312" w:hAnsi="Times New Roman" w:eastAsia="仿宋_GB2312" w:cs="Times New Roman"/>
          <w:kern w:val="2"/>
          <w:sz w:val="32"/>
          <w:szCs w:val="32"/>
          <w:lang w:val="zh-CN" w:eastAsia="zh-CN" w:bidi="ar-SA"/>
        </w:rPr>
        <w:t>通用指标</w:t>
      </w:r>
      <w:r>
        <w:rPr>
          <w:rFonts w:hint="default" w:ascii="仿宋_GB2312" w:hAnsi="Times New Roman" w:eastAsia="仿宋_GB2312" w:cs="Times New Roman"/>
          <w:kern w:val="2"/>
          <w:sz w:val="32"/>
          <w:szCs w:val="32"/>
          <w:lang w:val="zh-CN" w:eastAsia="zh-CN" w:bidi="ar-SA"/>
        </w:rPr>
        <w:t>”</w:t>
      </w:r>
      <w:r>
        <w:rPr>
          <w:rFonts w:hint="eastAsia" w:ascii="仿宋_GB2312" w:hAnsi="Times New Roman" w:eastAsia="仿宋_GB2312" w:cs="Times New Roman"/>
          <w:kern w:val="2"/>
          <w:sz w:val="32"/>
          <w:szCs w:val="32"/>
          <w:lang w:val="zh-CN" w:eastAsia="zh-CN" w:bidi="ar-SA"/>
        </w:rPr>
        <w:t>“专用指标”“个性指标”</w:t>
      </w:r>
      <w:r>
        <w:rPr>
          <w:rFonts w:hint="default" w:ascii="仿宋_GB2312" w:hAnsi="Times New Roman" w:eastAsia="仿宋_GB2312" w:cs="Times New Roman"/>
          <w:kern w:val="2"/>
          <w:sz w:val="32"/>
          <w:szCs w:val="32"/>
          <w:lang w:val="zh-CN" w:eastAsia="zh-CN" w:bidi="ar-SA"/>
        </w:rPr>
        <w:t>涉及</w:t>
      </w:r>
      <w:r>
        <w:rPr>
          <w:rFonts w:hint="eastAsia" w:ascii="仿宋_GB2312" w:hAnsi="Times New Roman" w:eastAsia="仿宋_GB2312" w:cs="Times New Roman"/>
          <w:kern w:val="2"/>
          <w:sz w:val="32"/>
          <w:szCs w:val="32"/>
          <w:lang w:val="zh-CN" w:eastAsia="zh-CN" w:bidi="ar-SA"/>
        </w:rPr>
        <w:t>二、三级</w:t>
      </w:r>
      <w:r>
        <w:rPr>
          <w:rFonts w:hint="default" w:ascii="仿宋_GB2312" w:hAnsi="Times New Roman" w:eastAsia="仿宋_GB2312" w:cs="Times New Roman"/>
          <w:kern w:val="2"/>
          <w:sz w:val="32"/>
          <w:szCs w:val="32"/>
          <w:lang w:val="zh-CN" w:eastAsia="zh-CN" w:bidi="ar-SA"/>
        </w:rPr>
        <w:t>指标进行</w:t>
      </w:r>
      <w:r>
        <w:rPr>
          <w:rFonts w:hint="eastAsia" w:ascii="仿宋_GB2312" w:hAnsi="Times New Roman" w:eastAsia="仿宋_GB2312" w:cs="Times New Roman"/>
          <w:kern w:val="2"/>
          <w:sz w:val="32"/>
          <w:szCs w:val="32"/>
          <w:lang w:val="zh-CN" w:eastAsia="zh-CN" w:bidi="ar-SA"/>
        </w:rPr>
        <w:t>逐项</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并评分</w:t>
      </w:r>
      <w:r>
        <w:rPr>
          <w:rFonts w:hint="eastAsia" w:ascii="仿宋_GB2312" w:hAnsi="Times New Roman" w:eastAsia="仿宋_GB2312" w:cs="Times New Roman"/>
          <w:kern w:val="2"/>
          <w:sz w:val="32"/>
          <w:szCs w:val="32"/>
          <w:lang w:val="en-US" w:eastAsia="zh-CN" w:bidi="ar-SA"/>
        </w:rPr>
        <w:t>。</w:t>
      </w:r>
    </w:p>
    <w:p w14:paraId="544075E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（一）</w:t>
      </w:r>
      <w:r>
        <w:rPr>
          <w:rFonts w:hint="eastAsia" w:ascii="仿宋_GB2312" w:hAnsi="Times New Roman" w:eastAsia="仿宋_GB2312" w:cs="Times New Roman"/>
          <w:kern w:val="2"/>
          <w:sz w:val="32"/>
          <w:szCs w:val="32"/>
          <w:lang w:val="en-US" w:eastAsia="zh-CN" w:bidi="ar-SA"/>
        </w:rPr>
        <w:t>通用指标</w:t>
      </w:r>
      <w:r>
        <w:rPr>
          <w:rFonts w:hint="default" w:ascii="仿宋_GB2312" w:hAnsi="Times New Roman" w:eastAsia="仿宋_GB2312" w:cs="Times New Roman"/>
          <w:kern w:val="2"/>
          <w:sz w:val="32"/>
          <w:szCs w:val="32"/>
          <w:lang w:val="zh-CN" w:eastAsia="zh-CN" w:bidi="ar-SA"/>
        </w:rPr>
        <w:t>绩效分析。</w:t>
      </w:r>
    </w:p>
    <w:p w14:paraId="7B14975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1.项目决策。</w:t>
      </w:r>
    </w:p>
    <w:p w14:paraId="422C6DC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为了加强财政支出管理，提高资金使用效益，促进资源有效配置。</w:t>
      </w:r>
    </w:p>
    <w:p w14:paraId="34B8FA5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2.项目管理。</w:t>
      </w:r>
    </w:p>
    <w:p w14:paraId="16B9525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在项目实施过程中，均由县财政集中支付核算中心审核，同时我中心还根据相关财务规定，对项目资金实行专款专用。</w:t>
      </w:r>
    </w:p>
    <w:p w14:paraId="2D4B39C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3.项目实施。</w:t>
      </w:r>
    </w:p>
    <w:p w14:paraId="1D96088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在报账时，经我中心财务负责人、财务分管领导按职权审批后转入县级粮食风险基金专户，由专户拨付承储企业，较好地保护了该项目资金的合理使用。</w:t>
      </w:r>
    </w:p>
    <w:p w14:paraId="32FEA8E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4.项目结果。</w:t>
      </w:r>
    </w:p>
    <w:p w14:paraId="59447A7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通过对县级储备粮管理，确保我县县级储备粮数据真实，质量良好，储备安全，调得动、用得上，确保我县用粮安全。</w:t>
      </w:r>
    </w:p>
    <w:p w14:paraId="5B8F5E0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（二）</w:t>
      </w:r>
      <w:r>
        <w:rPr>
          <w:rFonts w:hint="eastAsia" w:ascii="仿宋_GB2312" w:hAnsi="Times New Roman" w:eastAsia="仿宋_GB2312" w:cs="Times New Roman"/>
          <w:kern w:val="2"/>
          <w:sz w:val="32"/>
          <w:szCs w:val="32"/>
          <w:lang w:val="en-US" w:eastAsia="zh-CN" w:bidi="ar-SA"/>
        </w:rPr>
        <w:t>专用指标</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根据</w:t>
      </w:r>
      <w:r>
        <w:rPr>
          <w:rFonts w:hint="eastAsia" w:ascii="仿宋_GB2312" w:hAnsi="Times New Roman" w:eastAsia="仿宋_GB2312" w:cs="Times New Roman"/>
          <w:kern w:val="2"/>
          <w:sz w:val="32"/>
          <w:szCs w:val="32"/>
          <w:lang w:val="en-US" w:eastAsia="zh-CN" w:bidi="ar-SA"/>
        </w:rPr>
        <w:t>专项预算项目资金支持对象选择所属指标进行绩效分析。支持对象</w:t>
      </w:r>
      <w:r>
        <w:rPr>
          <w:rFonts w:hint="eastAsia" w:ascii="仿宋_GB2312" w:hAnsi="Times New Roman" w:eastAsia="仿宋_GB2312" w:cs="Times New Roman"/>
          <w:kern w:val="2"/>
          <w:sz w:val="32"/>
          <w:szCs w:val="32"/>
          <w:lang w:val="zh-CN" w:eastAsia="zh-CN" w:bidi="ar-SA"/>
        </w:rPr>
        <w:t>包括产业发展、民生保障、基础设施、行政运转等方面。</w:t>
      </w:r>
    </w:p>
    <w:p w14:paraId="379B688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1.产业发展。不涉及。</w:t>
      </w:r>
    </w:p>
    <w:p w14:paraId="1AF6A62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zh-CN" w:eastAsia="zh-CN" w:bidi="ar-SA"/>
        </w:rPr>
        <w:t>民生保障。</w:t>
      </w:r>
      <w:r>
        <w:rPr>
          <w:rFonts w:hint="eastAsia" w:ascii="仿宋_GB2312" w:hAnsi="Times New Roman" w:eastAsia="仿宋_GB2312" w:cs="Times New Roman"/>
          <w:kern w:val="2"/>
          <w:sz w:val="32"/>
          <w:szCs w:val="32"/>
          <w:lang w:val="en-US" w:eastAsia="zh-CN" w:bidi="ar-SA"/>
        </w:rPr>
        <w:t>围绕区域均衡性、对象精准性、标准合理性、群众满意度进行绩效分析。</w:t>
      </w:r>
    </w:p>
    <w:p w14:paraId="00EFFE8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3.基础设施。不涉及。</w:t>
      </w:r>
    </w:p>
    <w:p w14:paraId="30711E4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zh-CN" w:eastAsia="zh-CN" w:bidi="ar-SA"/>
        </w:rPr>
        <w:t>行政运转。</w:t>
      </w:r>
      <w:r>
        <w:rPr>
          <w:rFonts w:hint="eastAsia" w:ascii="仿宋_GB2312" w:hAnsi="Times New Roman" w:eastAsia="仿宋_GB2312" w:cs="Times New Roman"/>
          <w:kern w:val="2"/>
          <w:sz w:val="32"/>
          <w:szCs w:val="32"/>
          <w:lang w:val="en-US" w:eastAsia="zh-CN" w:bidi="ar-SA"/>
        </w:rPr>
        <w:t>通过对县级储备粮管理，确保我县县级储备粮数据真实，质量良好，储备安全，调得动、用得上，确保我县用粮安全。</w:t>
      </w:r>
    </w:p>
    <w:p w14:paraId="2D80454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（三）</w:t>
      </w:r>
      <w:r>
        <w:rPr>
          <w:rFonts w:hint="eastAsia" w:ascii="仿宋_GB2312" w:hAnsi="Times New Roman" w:eastAsia="仿宋_GB2312" w:cs="Times New Roman"/>
          <w:kern w:val="2"/>
          <w:sz w:val="32"/>
          <w:szCs w:val="32"/>
          <w:lang w:val="en-US" w:eastAsia="zh-CN" w:bidi="ar-SA"/>
        </w:rPr>
        <w:t>个性指标</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根据项目个性自行设定部分指标，反映该项指标执行完成情况。</w:t>
      </w:r>
    </w:p>
    <w:p w14:paraId="3CFF056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四、评价结论</w:t>
      </w:r>
    </w:p>
    <w:p w14:paraId="15F7599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通过对县级储备粮管理，确保我县县级储备粮数据真实，质量良好，储备安全，调得动、用得上，确保我县用粮安全。</w:t>
      </w:r>
    </w:p>
    <w:p w14:paraId="618D0BA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且实际运行规范有效，达到了预期的绩效目标。</w:t>
      </w:r>
    </w:p>
    <w:p w14:paraId="1D3B413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五、存在主要问题</w:t>
      </w:r>
    </w:p>
    <w:p w14:paraId="647C575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5C4C11F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六、改进建议</w:t>
      </w:r>
    </w:p>
    <w:p w14:paraId="4170179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 xml:space="preserve"> </w:t>
      </w:r>
      <w:r>
        <w:rPr>
          <w:rFonts w:hint="eastAsia" w:ascii="仿宋_GB2312" w:hAnsi="Times New Roman" w:eastAsia="仿宋_GB2312" w:cs="Times New Roman"/>
          <w:kern w:val="2"/>
          <w:sz w:val="32"/>
          <w:szCs w:val="32"/>
          <w:lang w:val="en-US" w:eastAsia="zh-CN" w:bidi="ar-SA"/>
        </w:rPr>
        <w:t xml:space="preserve">   建议增加项目资金使用的灵活性。机动灵活地增加项目资金的使用范围，让项目实施部门有一定的调整空间，保证资金能及时有效的使用，进一步提高其使用效益。</w:t>
      </w:r>
    </w:p>
    <w:p w14:paraId="1DC290D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专项预算项目绩效评价报告</w:t>
      </w:r>
    </w:p>
    <w:p w14:paraId="34DC981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p>
    <w:p w14:paraId="303D866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一、</w:t>
      </w:r>
      <w:r>
        <w:rPr>
          <w:rFonts w:hint="eastAsia" w:ascii="仿宋_GB2312" w:hAnsi="Times New Roman" w:eastAsia="仿宋_GB2312" w:cs="Times New Roman"/>
          <w:kern w:val="2"/>
          <w:sz w:val="32"/>
          <w:szCs w:val="32"/>
          <w:lang w:val="zh-CN" w:eastAsia="zh-CN" w:bidi="ar-SA"/>
        </w:rPr>
        <w:t>项目概况</w:t>
      </w:r>
    </w:p>
    <w:p w14:paraId="102C132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（一）设立背景及基本情况。</w:t>
      </w:r>
    </w:p>
    <w:p w14:paraId="3EFBE42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根据国家、省、州安排部署，按照《四川省地方储备粮监管信息化提档升级办公室关于印发&lt;“天府粮仓”数字化平台（一期）-四川省地方政府储备粮监管信息化提档升级建设方案&gt;的通知》（川粮函件〔2023〕24号）文件精神，州发改委组织集中开展方案编制工作，我县编制的《九寨沟县粮食和物资储备中心2023年粮食购销监管领域信息化提档升级建设实施方案》通过审核，对我县安乐粮库、勿角粮库涉及11个廒间，有效仓容0.18万吨进行信息化提档升级。 </w:t>
      </w:r>
    </w:p>
    <w:p w14:paraId="0FE3A8B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w:t>
      </w:r>
      <w:r>
        <w:rPr>
          <w:rFonts w:hint="default" w:ascii="仿宋_GB2312" w:hAnsi="Times New Roman" w:eastAsia="仿宋_GB2312" w:cs="Times New Roman"/>
          <w:kern w:val="2"/>
          <w:sz w:val="32"/>
          <w:szCs w:val="32"/>
          <w:lang w:val="en-US" w:eastAsia="zh-CN" w:bidi="ar-SA"/>
        </w:rPr>
        <w:t>实施目的及支持方向</w:t>
      </w:r>
      <w:r>
        <w:rPr>
          <w:rFonts w:hint="eastAsia" w:ascii="仿宋_GB2312" w:hAnsi="Times New Roman" w:eastAsia="仿宋_GB2312" w:cs="Times New Roman"/>
          <w:kern w:val="2"/>
          <w:sz w:val="32"/>
          <w:szCs w:val="32"/>
          <w:lang w:val="en-US" w:eastAsia="zh-CN" w:bidi="ar-SA"/>
        </w:rPr>
        <w:t>。</w:t>
      </w:r>
    </w:p>
    <w:p w14:paraId="017396E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为深入学习贯彻习近平总书记关于国家粮食安全系列重要讲话和指示批示精神，认真落实党中央国务院、省委省政府、州委州政府重大决策部署，切实做好粮食安全党政同责工作，保障全县粮食安全。</w:t>
      </w:r>
    </w:p>
    <w:p w14:paraId="765554B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default" w:ascii="仿宋_GB2312" w:hAnsi="Times New Roman" w:eastAsia="仿宋_GB2312" w:cs="Times New Roman"/>
          <w:kern w:val="2"/>
          <w:sz w:val="32"/>
          <w:szCs w:val="32"/>
          <w:lang w:val="en-US" w:eastAsia="zh-CN" w:bidi="ar-SA"/>
        </w:rPr>
        <w:t>预算安排及分配管理</w:t>
      </w:r>
      <w:r>
        <w:rPr>
          <w:rFonts w:hint="eastAsia" w:ascii="仿宋_GB2312" w:hAnsi="Times New Roman" w:eastAsia="仿宋_GB2312" w:cs="Times New Roman"/>
          <w:kern w:val="2"/>
          <w:sz w:val="32"/>
          <w:szCs w:val="32"/>
          <w:lang w:val="zh-CN" w:eastAsia="zh-CN" w:bidi="ar-SA"/>
        </w:rPr>
        <w:t>。</w:t>
      </w:r>
    </w:p>
    <w:p w14:paraId="086A672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该项目预算资金安排14.7万元，主要用于粮油监管信息化系统提档升级.</w:t>
      </w:r>
    </w:p>
    <w:p w14:paraId="5C6E871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项目绩效目标设置。</w:t>
      </w:r>
    </w:p>
    <w:p w14:paraId="041880E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绩效目标和绩效指标全面完整，契合项目实质，与县发展和改革局的长期规划目标、年度工作目标相一致，产出和效果关联。</w:t>
      </w:r>
    </w:p>
    <w:p w14:paraId="7FC1EEB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九寨沟县2023年粮食购销领域监管信息化提档升级建设项目绩效目标表</w:t>
      </w:r>
    </w:p>
    <w:tbl>
      <w:tblPr>
        <w:tblStyle w:val="15"/>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305"/>
        <w:gridCol w:w="2730"/>
        <w:gridCol w:w="2700"/>
      </w:tblGrid>
      <w:tr w14:paraId="2F77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5108DC8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一级指标</w:t>
            </w:r>
          </w:p>
        </w:tc>
        <w:tc>
          <w:tcPr>
            <w:tcW w:w="1305" w:type="dxa"/>
            <w:tcBorders>
              <w:top w:val="single" w:color="auto" w:sz="4" w:space="0"/>
              <w:left w:val="single" w:color="auto" w:sz="4" w:space="0"/>
              <w:bottom w:val="single" w:color="auto" w:sz="4" w:space="0"/>
              <w:right w:val="single" w:color="auto" w:sz="4" w:space="0"/>
            </w:tcBorders>
            <w:noWrap/>
            <w:vAlign w:val="top"/>
          </w:tcPr>
          <w:p w14:paraId="21DC12B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二级指标</w:t>
            </w:r>
          </w:p>
        </w:tc>
        <w:tc>
          <w:tcPr>
            <w:tcW w:w="2730" w:type="dxa"/>
            <w:tcBorders>
              <w:top w:val="single" w:color="auto" w:sz="4" w:space="0"/>
              <w:left w:val="single" w:color="auto" w:sz="4" w:space="0"/>
              <w:bottom w:val="single" w:color="auto" w:sz="4" w:space="0"/>
              <w:right w:val="single" w:color="auto" w:sz="4" w:space="0"/>
            </w:tcBorders>
            <w:noWrap/>
            <w:vAlign w:val="top"/>
          </w:tcPr>
          <w:p w14:paraId="7845D1B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三级指标</w:t>
            </w:r>
          </w:p>
        </w:tc>
        <w:tc>
          <w:tcPr>
            <w:tcW w:w="2700" w:type="dxa"/>
            <w:tcBorders>
              <w:top w:val="single" w:color="auto" w:sz="4" w:space="0"/>
              <w:left w:val="single" w:color="auto" w:sz="4" w:space="0"/>
              <w:bottom w:val="single" w:color="auto" w:sz="4" w:space="0"/>
              <w:right w:val="single" w:color="auto" w:sz="4" w:space="0"/>
            </w:tcBorders>
            <w:noWrap/>
            <w:vAlign w:val="top"/>
          </w:tcPr>
          <w:p w14:paraId="0F9B6BE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指标值</w:t>
            </w:r>
          </w:p>
        </w:tc>
      </w:tr>
      <w:tr w14:paraId="7CF4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4490AEC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产出指标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68F289D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数量指标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0E08DFD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完成监管信息化系统提档升级</w:t>
            </w:r>
          </w:p>
        </w:tc>
        <w:tc>
          <w:tcPr>
            <w:tcW w:w="2700" w:type="dxa"/>
            <w:tcBorders>
              <w:top w:val="single" w:color="auto" w:sz="4" w:space="0"/>
              <w:left w:val="single" w:color="auto" w:sz="4" w:space="0"/>
              <w:bottom w:val="single" w:color="auto" w:sz="4" w:space="0"/>
              <w:right w:val="single" w:color="auto" w:sz="4" w:space="0"/>
            </w:tcBorders>
            <w:noWrap/>
            <w:vAlign w:val="center"/>
          </w:tcPr>
          <w:p w14:paraId="4A087F8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2个粮库</w:t>
            </w:r>
          </w:p>
        </w:tc>
      </w:tr>
      <w:tr w14:paraId="3465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7FBD731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产出指标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6DFE1F9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时效指标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6B58424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完成时效</w:t>
            </w:r>
          </w:p>
        </w:tc>
        <w:tc>
          <w:tcPr>
            <w:tcW w:w="2700" w:type="dxa"/>
            <w:tcBorders>
              <w:top w:val="single" w:color="auto" w:sz="4" w:space="0"/>
              <w:left w:val="single" w:color="auto" w:sz="4" w:space="0"/>
              <w:bottom w:val="single" w:color="auto" w:sz="4" w:space="0"/>
              <w:right w:val="single" w:color="auto" w:sz="4" w:space="0"/>
            </w:tcBorders>
            <w:noWrap/>
            <w:vAlign w:val="center"/>
          </w:tcPr>
          <w:p w14:paraId="7355BD8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1年</w:t>
            </w:r>
          </w:p>
        </w:tc>
      </w:tr>
      <w:tr w14:paraId="0AB3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49C8039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效益指标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4C075A1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社会效益指标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18D3D05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提升政府储备粮食预警预报、实时监测、事件处置等能力，全面提升监管力度。</w:t>
            </w:r>
          </w:p>
        </w:tc>
        <w:tc>
          <w:tcPr>
            <w:tcW w:w="2700" w:type="dxa"/>
            <w:tcBorders>
              <w:top w:val="single" w:color="auto" w:sz="4" w:space="0"/>
              <w:left w:val="single" w:color="auto" w:sz="4" w:space="0"/>
              <w:bottom w:val="single" w:color="auto" w:sz="4" w:space="0"/>
              <w:right w:val="single" w:color="auto" w:sz="4" w:space="0"/>
            </w:tcBorders>
            <w:noWrap/>
            <w:vAlign w:val="top"/>
          </w:tcPr>
          <w:p w14:paraId="50694B2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100%</w:t>
            </w:r>
          </w:p>
        </w:tc>
      </w:tr>
      <w:tr w14:paraId="3878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center"/>
          </w:tcPr>
          <w:p w14:paraId="02EFBAA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成本指标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60A0842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成本指标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382810A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完成成本严格控制49.3091万元以内</w:t>
            </w:r>
          </w:p>
        </w:tc>
        <w:tc>
          <w:tcPr>
            <w:tcW w:w="2700" w:type="dxa"/>
            <w:tcBorders>
              <w:top w:val="single" w:color="auto" w:sz="4" w:space="0"/>
              <w:left w:val="single" w:color="auto" w:sz="4" w:space="0"/>
              <w:bottom w:val="single" w:color="auto" w:sz="4" w:space="0"/>
              <w:right w:val="single" w:color="auto" w:sz="4" w:space="0"/>
            </w:tcBorders>
            <w:noWrap/>
            <w:vAlign w:val="top"/>
          </w:tcPr>
          <w:p w14:paraId="59FF875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49.3091万元</w:t>
            </w:r>
          </w:p>
        </w:tc>
      </w:tr>
      <w:tr w14:paraId="1053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center"/>
          </w:tcPr>
          <w:p w14:paraId="0D68CD1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满意度指标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734F09B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服务对象满意度</w:t>
            </w:r>
          </w:p>
        </w:tc>
        <w:tc>
          <w:tcPr>
            <w:tcW w:w="2730" w:type="dxa"/>
            <w:tcBorders>
              <w:top w:val="single" w:color="auto" w:sz="4" w:space="0"/>
              <w:left w:val="single" w:color="auto" w:sz="4" w:space="0"/>
              <w:bottom w:val="single" w:color="auto" w:sz="4" w:space="0"/>
              <w:right w:val="single" w:color="auto" w:sz="4" w:space="0"/>
            </w:tcBorders>
            <w:noWrap/>
            <w:vAlign w:val="center"/>
          </w:tcPr>
          <w:p w14:paraId="3B99295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公众及有关部门满意度率</w:t>
            </w:r>
          </w:p>
        </w:tc>
        <w:tc>
          <w:tcPr>
            <w:tcW w:w="2700" w:type="dxa"/>
            <w:tcBorders>
              <w:top w:val="single" w:color="auto" w:sz="4" w:space="0"/>
              <w:left w:val="single" w:color="auto" w:sz="4" w:space="0"/>
              <w:bottom w:val="single" w:color="auto" w:sz="4" w:space="0"/>
              <w:right w:val="single" w:color="auto" w:sz="4" w:space="0"/>
            </w:tcBorders>
            <w:noWrap/>
            <w:vAlign w:val="top"/>
          </w:tcPr>
          <w:p w14:paraId="1E0AEAE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100%</w:t>
            </w:r>
          </w:p>
        </w:tc>
      </w:tr>
    </w:tbl>
    <w:p w14:paraId="7B29D4D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二、评价实施</w:t>
      </w:r>
    </w:p>
    <w:p w14:paraId="0B5C17A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（一）评价目的。</w:t>
      </w:r>
    </w:p>
    <w:p w14:paraId="08FCF61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认真贯彻落实习近平总书记关于国家粮食安全系列重要讲话和指示批示精神，深刻领会“监管信息化建设是保障粮食安全的重要支撑”，持续深化粮食购销领域专项整治工作。</w:t>
      </w:r>
    </w:p>
    <w:p w14:paraId="2C6811F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（二）预设问题及评价重点。</w:t>
      </w:r>
      <w:r>
        <w:rPr>
          <w:rFonts w:hint="eastAsia" w:ascii="仿宋_GB2312" w:hAnsi="Times New Roman" w:eastAsia="仿宋_GB2312" w:cs="Times New Roman"/>
          <w:kern w:val="2"/>
          <w:sz w:val="32"/>
          <w:szCs w:val="32"/>
          <w:lang w:val="en-US" w:eastAsia="zh-CN" w:bidi="ar-SA"/>
        </w:rPr>
        <w:t>按照绩效评价指标体系，对资金支出使用全过程及其实施效果进行综合评价和判断。</w:t>
      </w:r>
    </w:p>
    <w:p w14:paraId="159D108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（三）评价选点。项目绩效自评所抽样点位安乐、勿角粮食储备库。</w:t>
      </w:r>
    </w:p>
    <w:p w14:paraId="58A6121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（四）评价方法。</w:t>
      </w:r>
    </w:p>
    <w:p w14:paraId="678C203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以单位自评法、实地勘察法粮食管理工作得到肯定和认同。</w:t>
      </w:r>
    </w:p>
    <w:p w14:paraId="4DC39DB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（五）评价组织。财务分管领导、财务人员、粮油収储公司工作人员。</w:t>
      </w:r>
    </w:p>
    <w:p w14:paraId="5B2D875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p>
    <w:p w14:paraId="107E1AF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三、绩效分析</w:t>
      </w:r>
      <w:r>
        <w:rPr>
          <w:rFonts w:hint="eastAsia" w:ascii="仿宋_GB2312" w:hAnsi="Times New Roman" w:eastAsia="仿宋_GB2312" w:cs="Times New Roman"/>
          <w:kern w:val="2"/>
          <w:sz w:val="32"/>
          <w:szCs w:val="32"/>
          <w:lang w:val="zh-CN" w:eastAsia="zh-CN" w:bidi="ar-SA"/>
        </w:rPr>
        <w:tab/>
      </w:r>
    </w:p>
    <w:p w14:paraId="4849ED2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zh-CN" w:eastAsia="zh-CN" w:bidi="ar-SA"/>
        </w:rPr>
        <w:t>根据</w:t>
      </w:r>
      <w:r>
        <w:rPr>
          <w:rFonts w:hint="eastAsia" w:ascii="仿宋_GB2312" w:hAnsi="Times New Roman" w:eastAsia="仿宋_GB2312" w:cs="Times New Roman"/>
          <w:kern w:val="2"/>
          <w:sz w:val="32"/>
          <w:szCs w:val="32"/>
          <w:lang w:val="zh-CN" w:eastAsia="zh-CN" w:bidi="ar-SA"/>
        </w:rPr>
        <w:t>项目</w:t>
      </w:r>
      <w:r>
        <w:rPr>
          <w:rFonts w:hint="default" w:ascii="仿宋_GB2312" w:hAnsi="Times New Roman" w:eastAsia="仿宋_GB2312" w:cs="Times New Roman"/>
          <w:kern w:val="2"/>
          <w:sz w:val="32"/>
          <w:szCs w:val="32"/>
          <w:lang w:val="zh-CN" w:eastAsia="zh-CN" w:bidi="ar-SA"/>
        </w:rPr>
        <w:t>预算绩效评价指标体系“</w:t>
      </w:r>
      <w:r>
        <w:rPr>
          <w:rFonts w:hint="eastAsia" w:ascii="仿宋_GB2312" w:hAnsi="Times New Roman" w:eastAsia="仿宋_GB2312" w:cs="Times New Roman"/>
          <w:kern w:val="2"/>
          <w:sz w:val="32"/>
          <w:szCs w:val="32"/>
          <w:lang w:val="zh-CN" w:eastAsia="zh-CN" w:bidi="ar-SA"/>
        </w:rPr>
        <w:t>通用指标</w:t>
      </w:r>
      <w:r>
        <w:rPr>
          <w:rFonts w:hint="default" w:ascii="仿宋_GB2312" w:hAnsi="Times New Roman" w:eastAsia="仿宋_GB2312" w:cs="Times New Roman"/>
          <w:kern w:val="2"/>
          <w:sz w:val="32"/>
          <w:szCs w:val="32"/>
          <w:lang w:val="zh-CN" w:eastAsia="zh-CN" w:bidi="ar-SA"/>
        </w:rPr>
        <w:t>”</w:t>
      </w:r>
      <w:r>
        <w:rPr>
          <w:rFonts w:hint="eastAsia" w:ascii="仿宋_GB2312" w:hAnsi="Times New Roman" w:eastAsia="仿宋_GB2312" w:cs="Times New Roman"/>
          <w:kern w:val="2"/>
          <w:sz w:val="32"/>
          <w:szCs w:val="32"/>
          <w:lang w:val="zh-CN" w:eastAsia="zh-CN" w:bidi="ar-SA"/>
        </w:rPr>
        <w:t>“专用指标”“个性指标”</w:t>
      </w:r>
      <w:r>
        <w:rPr>
          <w:rFonts w:hint="default" w:ascii="仿宋_GB2312" w:hAnsi="Times New Roman" w:eastAsia="仿宋_GB2312" w:cs="Times New Roman"/>
          <w:kern w:val="2"/>
          <w:sz w:val="32"/>
          <w:szCs w:val="32"/>
          <w:lang w:val="zh-CN" w:eastAsia="zh-CN" w:bidi="ar-SA"/>
        </w:rPr>
        <w:t>涉及</w:t>
      </w:r>
      <w:r>
        <w:rPr>
          <w:rFonts w:hint="eastAsia" w:ascii="仿宋_GB2312" w:hAnsi="Times New Roman" w:eastAsia="仿宋_GB2312" w:cs="Times New Roman"/>
          <w:kern w:val="2"/>
          <w:sz w:val="32"/>
          <w:szCs w:val="32"/>
          <w:lang w:val="zh-CN" w:eastAsia="zh-CN" w:bidi="ar-SA"/>
        </w:rPr>
        <w:t>二、三级</w:t>
      </w:r>
      <w:r>
        <w:rPr>
          <w:rFonts w:hint="default" w:ascii="仿宋_GB2312" w:hAnsi="Times New Roman" w:eastAsia="仿宋_GB2312" w:cs="Times New Roman"/>
          <w:kern w:val="2"/>
          <w:sz w:val="32"/>
          <w:szCs w:val="32"/>
          <w:lang w:val="zh-CN" w:eastAsia="zh-CN" w:bidi="ar-SA"/>
        </w:rPr>
        <w:t>指标进行</w:t>
      </w:r>
      <w:r>
        <w:rPr>
          <w:rFonts w:hint="eastAsia" w:ascii="仿宋_GB2312" w:hAnsi="Times New Roman" w:eastAsia="仿宋_GB2312" w:cs="Times New Roman"/>
          <w:kern w:val="2"/>
          <w:sz w:val="32"/>
          <w:szCs w:val="32"/>
          <w:lang w:val="zh-CN" w:eastAsia="zh-CN" w:bidi="ar-SA"/>
        </w:rPr>
        <w:t>逐项</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并评分</w:t>
      </w:r>
      <w:r>
        <w:rPr>
          <w:rFonts w:hint="eastAsia" w:ascii="仿宋_GB2312" w:hAnsi="Times New Roman" w:eastAsia="仿宋_GB2312" w:cs="Times New Roman"/>
          <w:kern w:val="2"/>
          <w:sz w:val="32"/>
          <w:szCs w:val="32"/>
          <w:lang w:val="en-US" w:eastAsia="zh-CN" w:bidi="ar-SA"/>
        </w:rPr>
        <w:t>。</w:t>
      </w:r>
    </w:p>
    <w:p w14:paraId="447211E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（一）</w:t>
      </w:r>
      <w:r>
        <w:rPr>
          <w:rFonts w:hint="eastAsia" w:ascii="仿宋_GB2312" w:hAnsi="Times New Roman" w:eastAsia="仿宋_GB2312" w:cs="Times New Roman"/>
          <w:kern w:val="2"/>
          <w:sz w:val="32"/>
          <w:szCs w:val="32"/>
          <w:lang w:val="en-US" w:eastAsia="zh-CN" w:bidi="ar-SA"/>
        </w:rPr>
        <w:t>通用指标</w:t>
      </w:r>
      <w:r>
        <w:rPr>
          <w:rFonts w:hint="default" w:ascii="仿宋_GB2312" w:hAnsi="Times New Roman" w:eastAsia="仿宋_GB2312" w:cs="Times New Roman"/>
          <w:kern w:val="2"/>
          <w:sz w:val="32"/>
          <w:szCs w:val="32"/>
          <w:lang w:val="zh-CN" w:eastAsia="zh-CN" w:bidi="ar-SA"/>
        </w:rPr>
        <w:t>绩效分析。</w:t>
      </w:r>
    </w:p>
    <w:p w14:paraId="4D9ED9D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1.项目决策。</w:t>
      </w:r>
    </w:p>
    <w:p w14:paraId="7CF9DB0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为了加强财政支出管理，提高资金使用效益，促进资源有效配置。</w:t>
      </w:r>
    </w:p>
    <w:p w14:paraId="2032064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2.项目管理。</w:t>
      </w:r>
    </w:p>
    <w:p w14:paraId="2100C23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在项目实施过程中，均由县财政集中支付核算中心审核，同时我中心还根据相关财务规定，对项目资金实行专款专用。</w:t>
      </w:r>
    </w:p>
    <w:p w14:paraId="3AAA772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3.项目实施。</w:t>
      </w:r>
    </w:p>
    <w:p w14:paraId="40535DD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在报账时，经我中心财务负责人、财务分管领导按职权审批后支付，较好地保护了该项目资金的合理使用。</w:t>
      </w:r>
    </w:p>
    <w:p w14:paraId="73AD90C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4.项目结果。</w:t>
      </w:r>
    </w:p>
    <w:p w14:paraId="7111FBF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认真贯彻落实习近平总书记关于国家粮食安全系列重要讲话和指示批示精神，深刻领会“监管信息化建设是保障粮食安全的重要支撑”，持续深化粮食购销领域专项整治工作。</w:t>
      </w:r>
    </w:p>
    <w:p w14:paraId="65828B3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（二）</w:t>
      </w:r>
      <w:r>
        <w:rPr>
          <w:rFonts w:hint="eastAsia" w:ascii="仿宋_GB2312" w:hAnsi="Times New Roman" w:eastAsia="仿宋_GB2312" w:cs="Times New Roman"/>
          <w:kern w:val="2"/>
          <w:sz w:val="32"/>
          <w:szCs w:val="32"/>
          <w:lang w:val="en-US" w:eastAsia="zh-CN" w:bidi="ar-SA"/>
        </w:rPr>
        <w:t>专用指标</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根据</w:t>
      </w:r>
      <w:r>
        <w:rPr>
          <w:rFonts w:hint="eastAsia" w:ascii="仿宋_GB2312" w:hAnsi="Times New Roman" w:eastAsia="仿宋_GB2312" w:cs="Times New Roman"/>
          <w:kern w:val="2"/>
          <w:sz w:val="32"/>
          <w:szCs w:val="32"/>
          <w:lang w:val="en-US" w:eastAsia="zh-CN" w:bidi="ar-SA"/>
        </w:rPr>
        <w:t>专项预算项目资金支持对象选择所属指标进行绩效分析。支持对象</w:t>
      </w:r>
      <w:r>
        <w:rPr>
          <w:rFonts w:hint="eastAsia" w:ascii="仿宋_GB2312" w:hAnsi="Times New Roman" w:eastAsia="仿宋_GB2312" w:cs="Times New Roman"/>
          <w:kern w:val="2"/>
          <w:sz w:val="32"/>
          <w:szCs w:val="32"/>
          <w:lang w:val="zh-CN" w:eastAsia="zh-CN" w:bidi="ar-SA"/>
        </w:rPr>
        <w:t>包括产业发展、民生保障、基础设施、行政运转等方面。</w:t>
      </w:r>
    </w:p>
    <w:p w14:paraId="45E08AF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1.产业发展。不涉及。</w:t>
      </w:r>
    </w:p>
    <w:p w14:paraId="0A65DF5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zh-CN" w:eastAsia="zh-CN" w:bidi="ar-SA"/>
        </w:rPr>
        <w:t>民生保障。</w:t>
      </w:r>
      <w:r>
        <w:rPr>
          <w:rFonts w:hint="eastAsia" w:ascii="仿宋_GB2312" w:hAnsi="Times New Roman" w:eastAsia="仿宋_GB2312" w:cs="Times New Roman"/>
          <w:kern w:val="2"/>
          <w:sz w:val="32"/>
          <w:szCs w:val="32"/>
          <w:lang w:val="en-US" w:eastAsia="zh-CN" w:bidi="ar-SA"/>
        </w:rPr>
        <w:t>围绕区域均衡性、对象精准性、标准合理性、群众满意度进行绩效分析。</w:t>
      </w:r>
    </w:p>
    <w:p w14:paraId="45A4F8B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3.基础设施。不涉及。</w:t>
      </w:r>
    </w:p>
    <w:p w14:paraId="5FB235A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zh-CN" w:eastAsia="zh-CN" w:bidi="ar-SA"/>
        </w:rPr>
        <w:t>行政运转。</w:t>
      </w:r>
      <w:r>
        <w:rPr>
          <w:rFonts w:hint="eastAsia" w:ascii="仿宋_GB2312" w:hAnsi="Times New Roman" w:eastAsia="仿宋_GB2312" w:cs="Times New Roman"/>
          <w:kern w:val="2"/>
          <w:sz w:val="32"/>
          <w:szCs w:val="32"/>
          <w:lang w:val="en-US" w:eastAsia="zh-CN" w:bidi="ar-SA"/>
        </w:rPr>
        <w:t>认真贯彻落实习近平总书记关于国家粮食安全系列重要讲话和指示批示精神，深刻领会“监管信息化建设是保障粮食安全的重要支撑”，持续深化粮食购销领域专项整治工作。</w:t>
      </w:r>
    </w:p>
    <w:p w14:paraId="5123CCB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（三）</w:t>
      </w:r>
      <w:r>
        <w:rPr>
          <w:rFonts w:hint="eastAsia" w:ascii="仿宋_GB2312" w:hAnsi="Times New Roman" w:eastAsia="仿宋_GB2312" w:cs="Times New Roman"/>
          <w:kern w:val="2"/>
          <w:sz w:val="32"/>
          <w:szCs w:val="32"/>
          <w:lang w:val="en-US" w:eastAsia="zh-CN" w:bidi="ar-SA"/>
        </w:rPr>
        <w:t>个性指标</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根据项目个性自行设定部分指标，反映该项指标执行完成情况。</w:t>
      </w:r>
    </w:p>
    <w:p w14:paraId="7B9073F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四、评价结论</w:t>
      </w:r>
    </w:p>
    <w:p w14:paraId="6268BCD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认真贯彻落实习近平总书记关于国家粮食安全系列重要讲话和指示批示精神，深刻领会“监管信息化建设是保障粮食安全的重要支撑”，持续深化粮食购销领域专项整治工作。</w:t>
      </w:r>
    </w:p>
    <w:p w14:paraId="7F71102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五、存在主要问题</w:t>
      </w:r>
    </w:p>
    <w:p w14:paraId="50D1114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2954C7B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六、改进建议</w:t>
      </w:r>
    </w:p>
    <w:p w14:paraId="728B20E2">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仿宋_GB2312" w:hAnsi="Times New Roman" w:eastAsia="仿宋_GB2312" w:cs="Times New Roman"/>
          <w:kern w:val="2"/>
          <w:sz w:val="32"/>
          <w:szCs w:val="32"/>
          <w:lang w:val="en-US" w:eastAsia="zh-CN" w:bidi="ar-SA"/>
        </w:rPr>
        <w:t xml:space="preserve"> 建议增加项目资金使用的灵活性。机动灵活地增加项目资金的使用范围，让项目实施部门有一定的调整空间，保证资金能及时有效的使用，进一步提高其使用效益</w:t>
      </w:r>
    </w:p>
    <w:p w14:paraId="48260E2D">
      <w:pPr>
        <w:pStyle w:val="34"/>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专项预算项目绩效评价报告</w:t>
      </w:r>
    </w:p>
    <w:p w14:paraId="1B28CA35">
      <w:pPr>
        <w:pStyle w:val="34"/>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color w:val="auto"/>
          <w:kern w:val="2"/>
          <w:sz w:val="32"/>
          <w:szCs w:val="32"/>
          <w:highlight w:val="none"/>
        </w:rPr>
      </w:pPr>
    </w:p>
    <w:p w14:paraId="48DF79C5">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一、</w:t>
      </w:r>
      <w:r>
        <w:rPr>
          <w:rFonts w:hint="eastAsia" w:ascii="仿宋_GB2312" w:hAnsi="Times New Roman" w:eastAsia="仿宋_GB2312" w:cs="Times New Roman"/>
          <w:kern w:val="2"/>
          <w:sz w:val="32"/>
          <w:szCs w:val="32"/>
          <w:lang w:val="zh-CN" w:eastAsia="zh-CN" w:bidi="ar-SA"/>
        </w:rPr>
        <w:t>项目概况</w:t>
      </w:r>
    </w:p>
    <w:p w14:paraId="04E52622">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（一）设立背景及基本情况。</w:t>
      </w:r>
    </w:p>
    <w:p w14:paraId="5927CD28">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按照《粮食流通管理条例》《四川省粮食安全保障条例》规定及州粮安考核办文件精神，要求配备与工作相适应的行政执法人员、充实执法力量，保障执法经列入同级财政预算。 </w:t>
      </w:r>
    </w:p>
    <w:p w14:paraId="7CDE6E89">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w:t>
      </w:r>
      <w:r>
        <w:rPr>
          <w:rFonts w:hint="default" w:ascii="仿宋_GB2312" w:hAnsi="Times New Roman" w:eastAsia="仿宋_GB2312" w:cs="Times New Roman"/>
          <w:kern w:val="2"/>
          <w:sz w:val="32"/>
          <w:szCs w:val="32"/>
          <w:lang w:val="en-US" w:eastAsia="zh-CN" w:bidi="ar-SA"/>
        </w:rPr>
        <w:t>实施目的及支持方向</w:t>
      </w:r>
      <w:r>
        <w:rPr>
          <w:rFonts w:hint="eastAsia" w:ascii="仿宋_GB2312" w:hAnsi="Times New Roman" w:eastAsia="仿宋_GB2312" w:cs="Times New Roman"/>
          <w:kern w:val="2"/>
          <w:sz w:val="32"/>
          <w:szCs w:val="32"/>
          <w:lang w:val="en-US" w:eastAsia="zh-CN" w:bidi="ar-SA"/>
        </w:rPr>
        <w:t>。</w:t>
      </w:r>
    </w:p>
    <w:p w14:paraId="3B0CE892">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为深入学习贯彻习近平总书记关于国家粮食安全系列重要讲话和指示批示精神，认真落实党中央国务院、省委省政府、州委州政府重大决策部署，切实做好粮食安全党政同责工作，保障全县粮食安全。</w:t>
      </w:r>
    </w:p>
    <w:p w14:paraId="09CB63D5">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default" w:ascii="仿宋_GB2312" w:hAnsi="Times New Roman" w:eastAsia="仿宋_GB2312" w:cs="Times New Roman"/>
          <w:kern w:val="2"/>
          <w:sz w:val="32"/>
          <w:szCs w:val="32"/>
          <w:lang w:val="en-US" w:eastAsia="zh-CN" w:bidi="ar-SA"/>
        </w:rPr>
        <w:t>预算安排及分配管理</w:t>
      </w:r>
      <w:r>
        <w:rPr>
          <w:rFonts w:hint="eastAsia" w:ascii="仿宋_GB2312" w:hAnsi="Times New Roman" w:eastAsia="仿宋_GB2312" w:cs="Times New Roman"/>
          <w:kern w:val="2"/>
          <w:sz w:val="32"/>
          <w:szCs w:val="32"/>
          <w:lang w:val="zh-CN" w:eastAsia="zh-CN" w:bidi="ar-SA"/>
        </w:rPr>
        <w:t>。</w:t>
      </w:r>
    </w:p>
    <w:p w14:paraId="4B2094BE">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该项目预算资金安排7万元，主要用于粮油供需平衡调查、粮食质量数量执法检查、粮食出入库验收和抽样送检；粮食业务培训；粮食安全宣传及应急演练。</w:t>
      </w:r>
    </w:p>
    <w:p w14:paraId="501E2B98">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项目绩效目标设置。</w:t>
      </w:r>
    </w:p>
    <w:p w14:paraId="34EC7DDF">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绩效目标和绩效指标全面完整，契合项目实质，与县发展和改革局的长期规划目标、年度工作目标相一致，产出和效果关联。</w:t>
      </w:r>
    </w:p>
    <w:p w14:paraId="3A3F4087">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九寨沟县粮食工作经费绩效目标表</w:t>
      </w:r>
    </w:p>
    <w:tbl>
      <w:tblPr>
        <w:tblStyle w:val="15"/>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305"/>
        <w:gridCol w:w="2730"/>
        <w:gridCol w:w="2700"/>
      </w:tblGrid>
      <w:tr w14:paraId="3125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31149C94">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一级指标</w:t>
            </w:r>
          </w:p>
        </w:tc>
        <w:tc>
          <w:tcPr>
            <w:tcW w:w="1305" w:type="dxa"/>
            <w:tcBorders>
              <w:top w:val="single" w:color="auto" w:sz="4" w:space="0"/>
              <w:left w:val="single" w:color="auto" w:sz="4" w:space="0"/>
              <w:bottom w:val="single" w:color="auto" w:sz="4" w:space="0"/>
              <w:right w:val="single" w:color="auto" w:sz="4" w:space="0"/>
            </w:tcBorders>
            <w:noWrap/>
            <w:vAlign w:val="top"/>
          </w:tcPr>
          <w:p w14:paraId="0BECD125">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二级指标</w:t>
            </w:r>
          </w:p>
        </w:tc>
        <w:tc>
          <w:tcPr>
            <w:tcW w:w="2730" w:type="dxa"/>
            <w:tcBorders>
              <w:top w:val="single" w:color="auto" w:sz="4" w:space="0"/>
              <w:left w:val="single" w:color="auto" w:sz="4" w:space="0"/>
              <w:bottom w:val="single" w:color="auto" w:sz="4" w:space="0"/>
              <w:right w:val="single" w:color="auto" w:sz="4" w:space="0"/>
            </w:tcBorders>
            <w:noWrap/>
            <w:vAlign w:val="top"/>
          </w:tcPr>
          <w:p w14:paraId="669393A0">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三级指标</w:t>
            </w:r>
          </w:p>
        </w:tc>
        <w:tc>
          <w:tcPr>
            <w:tcW w:w="2700" w:type="dxa"/>
            <w:tcBorders>
              <w:top w:val="single" w:color="auto" w:sz="4" w:space="0"/>
              <w:left w:val="single" w:color="auto" w:sz="4" w:space="0"/>
              <w:bottom w:val="single" w:color="auto" w:sz="4" w:space="0"/>
              <w:right w:val="single" w:color="auto" w:sz="4" w:space="0"/>
            </w:tcBorders>
            <w:noWrap/>
            <w:vAlign w:val="top"/>
          </w:tcPr>
          <w:p w14:paraId="4CAEE297">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指标值</w:t>
            </w:r>
          </w:p>
        </w:tc>
      </w:tr>
      <w:tr w14:paraId="2647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0783A88F">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p>
          <w:p w14:paraId="268741D0">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产出指标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59C3D007">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数量指标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7F47B10D">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粮油供需平衡调查、粮食质量数量执法检查、粮食出入库验收和抽样送检；粮食业务培训；粮食安全宣传及应急演练。</w:t>
            </w:r>
          </w:p>
        </w:tc>
        <w:tc>
          <w:tcPr>
            <w:tcW w:w="2700" w:type="dxa"/>
            <w:tcBorders>
              <w:top w:val="single" w:color="auto" w:sz="4" w:space="0"/>
              <w:left w:val="single" w:color="auto" w:sz="4" w:space="0"/>
              <w:bottom w:val="single" w:color="auto" w:sz="4" w:space="0"/>
              <w:right w:val="single" w:color="auto" w:sz="4" w:space="0"/>
            </w:tcBorders>
            <w:noWrap/>
            <w:vAlign w:val="center"/>
          </w:tcPr>
          <w:p w14:paraId="08DA8784">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根据粮油轮换时间及业务需要开展</w:t>
            </w:r>
          </w:p>
        </w:tc>
      </w:tr>
      <w:tr w14:paraId="6C3E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0190964D">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产出指标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260C9A1D">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时效指标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58E3DF21">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完成时效</w:t>
            </w:r>
          </w:p>
        </w:tc>
        <w:tc>
          <w:tcPr>
            <w:tcW w:w="2700" w:type="dxa"/>
            <w:tcBorders>
              <w:top w:val="single" w:color="auto" w:sz="4" w:space="0"/>
              <w:left w:val="single" w:color="auto" w:sz="4" w:space="0"/>
              <w:bottom w:val="single" w:color="auto" w:sz="4" w:space="0"/>
              <w:right w:val="single" w:color="auto" w:sz="4" w:space="0"/>
            </w:tcBorders>
            <w:noWrap/>
            <w:vAlign w:val="center"/>
          </w:tcPr>
          <w:p w14:paraId="58F74F2A">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1年</w:t>
            </w:r>
          </w:p>
        </w:tc>
      </w:tr>
      <w:tr w14:paraId="7427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5C75E14C">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成本指标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6F32D411">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成本指标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5F370B5C">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完成成本严格控制在7万元以内</w:t>
            </w:r>
          </w:p>
        </w:tc>
        <w:tc>
          <w:tcPr>
            <w:tcW w:w="2700" w:type="dxa"/>
            <w:tcBorders>
              <w:top w:val="single" w:color="auto" w:sz="4" w:space="0"/>
              <w:left w:val="single" w:color="auto" w:sz="4" w:space="0"/>
              <w:bottom w:val="single" w:color="auto" w:sz="4" w:space="0"/>
              <w:right w:val="single" w:color="auto" w:sz="4" w:space="0"/>
            </w:tcBorders>
            <w:noWrap/>
            <w:vAlign w:val="top"/>
          </w:tcPr>
          <w:p w14:paraId="5086BB57">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7万</w:t>
            </w:r>
          </w:p>
        </w:tc>
      </w:tr>
      <w:tr w14:paraId="30DF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top"/>
          </w:tcPr>
          <w:p w14:paraId="03335C6F">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效益指标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1BD1FDB1">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社会效益指标</w:t>
            </w:r>
          </w:p>
        </w:tc>
        <w:tc>
          <w:tcPr>
            <w:tcW w:w="2730" w:type="dxa"/>
            <w:tcBorders>
              <w:top w:val="single" w:color="auto" w:sz="4" w:space="0"/>
              <w:left w:val="single" w:color="auto" w:sz="4" w:space="0"/>
              <w:bottom w:val="single" w:color="auto" w:sz="4" w:space="0"/>
              <w:right w:val="single" w:color="auto" w:sz="4" w:space="0"/>
            </w:tcBorders>
            <w:noWrap/>
            <w:vAlign w:val="center"/>
          </w:tcPr>
          <w:p w14:paraId="40F6CBE6">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维护粮食生产者经营者和消费者合法权益</w:t>
            </w:r>
          </w:p>
        </w:tc>
        <w:tc>
          <w:tcPr>
            <w:tcW w:w="2700" w:type="dxa"/>
            <w:tcBorders>
              <w:top w:val="single" w:color="auto" w:sz="4" w:space="0"/>
              <w:left w:val="single" w:color="auto" w:sz="4" w:space="0"/>
              <w:bottom w:val="single" w:color="auto" w:sz="4" w:space="0"/>
              <w:right w:val="single" w:color="auto" w:sz="4" w:space="0"/>
            </w:tcBorders>
            <w:noWrap/>
            <w:vAlign w:val="top"/>
          </w:tcPr>
          <w:p w14:paraId="73FEE435">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100%</w:t>
            </w:r>
          </w:p>
        </w:tc>
      </w:tr>
      <w:tr w14:paraId="6880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left w:val="single" w:color="auto" w:sz="4" w:space="0"/>
              <w:bottom w:val="single" w:color="auto" w:sz="4" w:space="0"/>
              <w:right w:val="single" w:color="auto" w:sz="4" w:space="0"/>
            </w:tcBorders>
            <w:noWrap/>
            <w:vAlign w:val="center"/>
          </w:tcPr>
          <w:p w14:paraId="771CCD08">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满意度指标</w:t>
            </w:r>
          </w:p>
        </w:tc>
        <w:tc>
          <w:tcPr>
            <w:tcW w:w="1305" w:type="dxa"/>
            <w:tcBorders>
              <w:top w:val="single" w:color="auto" w:sz="4" w:space="0"/>
              <w:left w:val="single" w:color="auto" w:sz="4" w:space="0"/>
              <w:bottom w:val="single" w:color="auto" w:sz="4" w:space="0"/>
              <w:right w:val="single" w:color="auto" w:sz="4" w:space="0"/>
            </w:tcBorders>
            <w:noWrap/>
            <w:vAlign w:val="center"/>
          </w:tcPr>
          <w:p w14:paraId="6073B72D">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服务对象满意度</w:t>
            </w:r>
          </w:p>
        </w:tc>
        <w:tc>
          <w:tcPr>
            <w:tcW w:w="2730" w:type="dxa"/>
            <w:tcBorders>
              <w:top w:val="single" w:color="auto" w:sz="4" w:space="0"/>
              <w:left w:val="single" w:color="auto" w:sz="4" w:space="0"/>
              <w:bottom w:val="single" w:color="auto" w:sz="4" w:space="0"/>
              <w:right w:val="single" w:color="auto" w:sz="4" w:space="0"/>
            </w:tcBorders>
            <w:noWrap/>
            <w:vAlign w:val="center"/>
          </w:tcPr>
          <w:p w14:paraId="4C3C6901">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公众及有关部门满意度率</w:t>
            </w:r>
          </w:p>
        </w:tc>
        <w:tc>
          <w:tcPr>
            <w:tcW w:w="2700" w:type="dxa"/>
            <w:tcBorders>
              <w:top w:val="single" w:color="auto" w:sz="4" w:space="0"/>
              <w:left w:val="single" w:color="auto" w:sz="4" w:space="0"/>
              <w:bottom w:val="single" w:color="auto" w:sz="4" w:space="0"/>
              <w:right w:val="single" w:color="auto" w:sz="4" w:space="0"/>
            </w:tcBorders>
            <w:noWrap/>
            <w:vAlign w:val="top"/>
          </w:tcPr>
          <w:p w14:paraId="73C17AE7">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100%</w:t>
            </w:r>
          </w:p>
        </w:tc>
      </w:tr>
    </w:tbl>
    <w:p w14:paraId="0110ACEF">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二、评价实施</w:t>
      </w:r>
    </w:p>
    <w:p w14:paraId="7D07196F">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（一）评价目的。</w:t>
      </w:r>
    </w:p>
    <w:p w14:paraId="059D36DA">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该项目实施对维护粮食流通秩序、维护粮食生产者经营者和消费者的合法权益以及保证国家粮食安全具有重大意义，是非常必要的。</w:t>
      </w:r>
    </w:p>
    <w:p w14:paraId="698477B3">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（二）预设问题及评价重点。</w:t>
      </w:r>
      <w:r>
        <w:rPr>
          <w:rFonts w:hint="eastAsia" w:ascii="仿宋_GB2312" w:hAnsi="Times New Roman" w:eastAsia="仿宋_GB2312" w:cs="Times New Roman"/>
          <w:kern w:val="2"/>
          <w:sz w:val="32"/>
          <w:szCs w:val="32"/>
          <w:lang w:val="en-US" w:eastAsia="zh-CN" w:bidi="ar-SA"/>
        </w:rPr>
        <w:t>按照绩效评价指标体系，对资金支出使用全过程及其实施效果进行综合评价和判断。</w:t>
      </w:r>
    </w:p>
    <w:p w14:paraId="625CB503">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（三）评价选点。项目绩效自评所抽样点位安乐、勿角粮食储备库。</w:t>
      </w:r>
    </w:p>
    <w:p w14:paraId="4135E67C">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（四）评价方法。</w:t>
      </w:r>
    </w:p>
    <w:p w14:paraId="757B9C94">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以单位自评法、实地勘察法粮食管理工作得到肯定和认同。</w:t>
      </w:r>
    </w:p>
    <w:p w14:paraId="3FDB63B8">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（五）评价组织。财务分管领导、财务人员、粮油収储公司工作人员。</w:t>
      </w:r>
    </w:p>
    <w:p w14:paraId="59F0BFE1">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p>
    <w:p w14:paraId="54A992D3">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en-US" w:eastAsia="zh-CN" w:bidi="ar-SA"/>
        </w:rPr>
        <w:t>三、绩效分析</w:t>
      </w:r>
      <w:r>
        <w:rPr>
          <w:rFonts w:hint="eastAsia" w:ascii="仿宋_GB2312" w:hAnsi="Times New Roman" w:eastAsia="仿宋_GB2312" w:cs="Times New Roman"/>
          <w:kern w:val="2"/>
          <w:sz w:val="32"/>
          <w:szCs w:val="32"/>
          <w:lang w:val="zh-CN" w:eastAsia="zh-CN" w:bidi="ar-SA"/>
        </w:rPr>
        <w:tab/>
      </w:r>
    </w:p>
    <w:p w14:paraId="210DB258">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zh-CN" w:eastAsia="zh-CN" w:bidi="ar-SA"/>
        </w:rPr>
        <w:t>根据</w:t>
      </w:r>
      <w:r>
        <w:rPr>
          <w:rFonts w:hint="eastAsia" w:ascii="仿宋_GB2312" w:hAnsi="Times New Roman" w:eastAsia="仿宋_GB2312" w:cs="Times New Roman"/>
          <w:kern w:val="2"/>
          <w:sz w:val="32"/>
          <w:szCs w:val="32"/>
          <w:lang w:val="zh-CN" w:eastAsia="zh-CN" w:bidi="ar-SA"/>
        </w:rPr>
        <w:t>项目</w:t>
      </w:r>
      <w:r>
        <w:rPr>
          <w:rFonts w:hint="default" w:ascii="仿宋_GB2312" w:hAnsi="Times New Roman" w:eastAsia="仿宋_GB2312" w:cs="Times New Roman"/>
          <w:kern w:val="2"/>
          <w:sz w:val="32"/>
          <w:szCs w:val="32"/>
          <w:lang w:val="zh-CN" w:eastAsia="zh-CN" w:bidi="ar-SA"/>
        </w:rPr>
        <w:t>预算绩效评价指标体系“</w:t>
      </w:r>
      <w:r>
        <w:rPr>
          <w:rFonts w:hint="eastAsia" w:ascii="仿宋_GB2312" w:hAnsi="Times New Roman" w:eastAsia="仿宋_GB2312" w:cs="Times New Roman"/>
          <w:kern w:val="2"/>
          <w:sz w:val="32"/>
          <w:szCs w:val="32"/>
          <w:lang w:val="zh-CN" w:eastAsia="zh-CN" w:bidi="ar-SA"/>
        </w:rPr>
        <w:t>通用指标</w:t>
      </w:r>
      <w:r>
        <w:rPr>
          <w:rFonts w:hint="default" w:ascii="仿宋_GB2312" w:hAnsi="Times New Roman" w:eastAsia="仿宋_GB2312" w:cs="Times New Roman"/>
          <w:kern w:val="2"/>
          <w:sz w:val="32"/>
          <w:szCs w:val="32"/>
          <w:lang w:val="zh-CN" w:eastAsia="zh-CN" w:bidi="ar-SA"/>
        </w:rPr>
        <w:t>”</w:t>
      </w:r>
      <w:r>
        <w:rPr>
          <w:rFonts w:hint="eastAsia" w:ascii="仿宋_GB2312" w:hAnsi="Times New Roman" w:eastAsia="仿宋_GB2312" w:cs="Times New Roman"/>
          <w:kern w:val="2"/>
          <w:sz w:val="32"/>
          <w:szCs w:val="32"/>
          <w:lang w:val="zh-CN" w:eastAsia="zh-CN" w:bidi="ar-SA"/>
        </w:rPr>
        <w:t>“专用指标”“个性指标”</w:t>
      </w:r>
      <w:r>
        <w:rPr>
          <w:rFonts w:hint="default" w:ascii="仿宋_GB2312" w:hAnsi="Times New Roman" w:eastAsia="仿宋_GB2312" w:cs="Times New Roman"/>
          <w:kern w:val="2"/>
          <w:sz w:val="32"/>
          <w:szCs w:val="32"/>
          <w:lang w:val="zh-CN" w:eastAsia="zh-CN" w:bidi="ar-SA"/>
        </w:rPr>
        <w:t>涉及</w:t>
      </w:r>
      <w:r>
        <w:rPr>
          <w:rFonts w:hint="eastAsia" w:ascii="仿宋_GB2312" w:hAnsi="Times New Roman" w:eastAsia="仿宋_GB2312" w:cs="Times New Roman"/>
          <w:kern w:val="2"/>
          <w:sz w:val="32"/>
          <w:szCs w:val="32"/>
          <w:lang w:val="zh-CN" w:eastAsia="zh-CN" w:bidi="ar-SA"/>
        </w:rPr>
        <w:t>二、三级</w:t>
      </w:r>
      <w:r>
        <w:rPr>
          <w:rFonts w:hint="default" w:ascii="仿宋_GB2312" w:hAnsi="Times New Roman" w:eastAsia="仿宋_GB2312" w:cs="Times New Roman"/>
          <w:kern w:val="2"/>
          <w:sz w:val="32"/>
          <w:szCs w:val="32"/>
          <w:lang w:val="zh-CN" w:eastAsia="zh-CN" w:bidi="ar-SA"/>
        </w:rPr>
        <w:t>指标进行</w:t>
      </w:r>
      <w:r>
        <w:rPr>
          <w:rFonts w:hint="eastAsia" w:ascii="仿宋_GB2312" w:hAnsi="Times New Roman" w:eastAsia="仿宋_GB2312" w:cs="Times New Roman"/>
          <w:kern w:val="2"/>
          <w:sz w:val="32"/>
          <w:szCs w:val="32"/>
          <w:lang w:val="zh-CN" w:eastAsia="zh-CN" w:bidi="ar-SA"/>
        </w:rPr>
        <w:t>逐项</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并评分</w:t>
      </w:r>
      <w:r>
        <w:rPr>
          <w:rFonts w:hint="eastAsia" w:ascii="仿宋_GB2312" w:hAnsi="Times New Roman" w:eastAsia="仿宋_GB2312" w:cs="Times New Roman"/>
          <w:kern w:val="2"/>
          <w:sz w:val="32"/>
          <w:szCs w:val="32"/>
          <w:lang w:val="en-US" w:eastAsia="zh-CN" w:bidi="ar-SA"/>
        </w:rPr>
        <w:t>。</w:t>
      </w:r>
    </w:p>
    <w:p w14:paraId="5F7626C8">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（一）</w:t>
      </w:r>
      <w:r>
        <w:rPr>
          <w:rFonts w:hint="eastAsia" w:ascii="仿宋_GB2312" w:hAnsi="Times New Roman" w:eastAsia="仿宋_GB2312" w:cs="Times New Roman"/>
          <w:kern w:val="2"/>
          <w:sz w:val="32"/>
          <w:szCs w:val="32"/>
          <w:lang w:val="en-US" w:eastAsia="zh-CN" w:bidi="ar-SA"/>
        </w:rPr>
        <w:t>通用指标</w:t>
      </w:r>
      <w:r>
        <w:rPr>
          <w:rFonts w:hint="default" w:ascii="仿宋_GB2312" w:hAnsi="Times New Roman" w:eastAsia="仿宋_GB2312" w:cs="Times New Roman"/>
          <w:kern w:val="2"/>
          <w:sz w:val="32"/>
          <w:szCs w:val="32"/>
          <w:lang w:val="zh-CN" w:eastAsia="zh-CN" w:bidi="ar-SA"/>
        </w:rPr>
        <w:t>绩效分析。</w:t>
      </w:r>
    </w:p>
    <w:p w14:paraId="74717159">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1.项目决策。</w:t>
      </w:r>
    </w:p>
    <w:p w14:paraId="63142FB6">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为了加强财政支出管理，提高资金使用效益，促进资源有效配置。</w:t>
      </w:r>
    </w:p>
    <w:p w14:paraId="2879E8C7">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2.项目管理。</w:t>
      </w:r>
    </w:p>
    <w:p w14:paraId="3007668C">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在项目实施过程中，均由县财政集中支付核算中心审核，同时我中心还根据相关财务规定，对项目资金实行专款专用。</w:t>
      </w:r>
    </w:p>
    <w:p w14:paraId="179F92D9">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3.项目实施。</w:t>
      </w:r>
    </w:p>
    <w:p w14:paraId="09763ED4">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在报账时，经我中心财务负责人、财务分管领导按职权审批后支付，较好地保护了该项目资金的合理使用。</w:t>
      </w:r>
    </w:p>
    <w:p w14:paraId="2EB74EEC">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4.项目结果。</w:t>
      </w:r>
    </w:p>
    <w:p w14:paraId="1F1E31DD">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通过对县级粮食工作管理，能更好落实党中央国务院、省委省政府、州委州政府重大决策部署，切实做好粮食安全党政同责工作，保障全县粮食安全。</w:t>
      </w:r>
    </w:p>
    <w:p w14:paraId="54BC323F">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（二）</w:t>
      </w:r>
      <w:r>
        <w:rPr>
          <w:rFonts w:hint="eastAsia" w:ascii="仿宋_GB2312" w:hAnsi="Times New Roman" w:eastAsia="仿宋_GB2312" w:cs="Times New Roman"/>
          <w:kern w:val="2"/>
          <w:sz w:val="32"/>
          <w:szCs w:val="32"/>
          <w:lang w:val="en-US" w:eastAsia="zh-CN" w:bidi="ar-SA"/>
        </w:rPr>
        <w:t>专用指标</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根据</w:t>
      </w:r>
      <w:r>
        <w:rPr>
          <w:rFonts w:hint="eastAsia" w:ascii="仿宋_GB2312" w:hAnsi="Times New Roman" w:eastAsia="仿宋_GB2312" w:cs="Times New Roman"/>
          <w:kern w:val="2"/>
          <w:sz w:val="32"/>
          <w:szCs w:val="32"/>
          <w:lang w:val="en-US" w:eastAsia="zh-CN" w:bidi="ar-SA"/>
        </w:rPr>
        <w:t>专项预算项目资金支持对象选择所属指标进行绩效分析。支持对象</w:t>
      </w:r>
      <w:r>
        <w:rPr>
          <w:rFonts w:hint="eastAsia" w:ascii="仿宋_GB2312" w:hAnsi="Times New Roman" w:eastAsia="仿宋_GB2312" w:cs="Times New Roman"/>
          <w:kern w:val="2"/>
          <w:sz w:val="32"/>
          <w:szCs w:val="32"/>
          <w:lang w:val="zh-CN" w:eastAsia="zh-CN" w:bidi="ar-SA"/>
        </w:rPr>
        <w:t>包括产业发展、民生保障、基础设施、行政运转等方面。</w:t>
      </w:r>
    </w:p>
    <w:p w14:paraId="0166895D">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1.产业发展。不涉及。</w:t>
      </w:r>
    </w:p>
    <w:p w14:paraId="375B2652">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zh-CN" w:eastAsia="zh-CN" w:bidi="ar-SA"/>
        </w:rPr>
        <w:t>民生保障。</w:t>
      </w:r>
      <w:r>
        <w:rPr>
          <w:rFonts w:hint="eastAsia" w:ascii="仿宋_GB2312" w:hAnsi="Times New Roman" w:eastAsia="仿宋_GB2312" w:cs="Times New Roman"/>
          <w:kern w:val="2"/>
          <w:sz w:val="32"/>
          <w:szCs w:val="32"/>
          <w:lang w:val="en-US" w:eastAsia="zh-CN" w:bidi="ar-SA"/>
        </w:rPr>
        <w:t>围绕区域均衡性、对象精准性、标准合理性、群众满意度进行绩效分析。</w:t>
      </w:r>
    </w:p>
    <w:p w14:paraId="7B0463CC">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3.基础设施。不涉及。</w:t>
      </w:r>
    </w:p>
    <w:p w14:paraId="399C5916">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zh-CN" w:eastAsia="zh-CN" w:bidi="ar-SA"/>
        </w:rPr>
        <w:t>行政运转。</w:t>
      </w:r>
      <w:r>
        <w:rPr>
          <w:rFonts w:hint="eastAsia" w:ascii="仿宋_GB2312" w:hAnsi="Times New Roman" w:eastAsia="仿宋_GB2312" w:cs="Times New Roman"/>
          <w:kern w:val="2"/>
          <w:sz w:val="32"/>
          <w:szCs w:val="32"/>
          <w:lang w:val="en-US" w:eastAsia="zh-CN" w:bidi="ar-SA"/>
        </w:rPr>
        <w:t>通过对县级粮食工作管理，能更好落实党中央国务院、省委省政府、州委州政府重大决策部署，切实做好粮食安全党政同责工作，保障全县粮食安全。</w:t>
      </w:r>
    </w:p>
    <w:p w14:paraId="2CEEED14">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p>
    <w:p w14:paraId="2F4545E9">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（三）</w:t>
      </w:r>
      <w:r>
        <w:rPr>
          <w:rFonts w:hint="eastAsia" w:ascii="仿宋_GB2312" w:hAnsi="Times New Roman" w:eastAsia="仿宋_GB2312" w:cs="Times New Roman"/>
          <w:kern w:val="2"/>
          <w:sz w:val="32"/>
          <w:szCs w:val="32"/>
          <w:lang w:val="en-US" w:eastAsia="zh-CN" w:bidi="ar-SA"/>
        </w:rPr>
        <w:t>个性指标</w:t>
      </w:r>
      <w:r>
        <w:rPr>
          <w:rFonts w:hint="default" w:ascii="仿宋_GB2312" w:hAnsi="Times New Roman" w:eastAsia="仿宋_GB2312" w:cs="Times New Roman"/>
          <w:kern w:val="2"/>
          <w:sz w:val="32"/>
          <w:szCs w:val="32"/>
          <w:lang w:val="zh-CN" w:eastAsia="zh-CN" w:bidi="ar-SA"/>
        </w:rPr>
        <w:t>绩效分析。</w:t>
      </w:r>
      <w:r>
        <w:rPr>
          <w:rFonts w:hint="eastAsia" w:ascii="仿宋_GB2312" w:hAnsi="Times New Roman" w:eastAsia="仿宋_GB2312" w:cs="Times New Roman"/>
          <w:kern w:val="2"/>
          <w:sz w:val="32"/>
          <w:szCs w:val="32"/>
          <w:lang w:val="zh-CN" w:eastAsia="zh-CN" w:bidi="ar-SA"/>
        </w:rPr>
        <w:t>根据项目个性自行设定部分指标，反映该项指标执行完成情况。</w:t>
      </w:r>
    </w:p>
    <w:p w14:paraId="73A2E84D">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四、评价结论</w:t>
      </w:r>
    </w:p>
    <w:p w14:paraId="541E0FB6">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通过对县级粮食工作管理，能更好落实党中央国务院、省委省政府、州委州政府重大决策部署，切实做好粮食安全党政同责工作，保障全县粮食安全。且实际运行规范有效，达到了预期的绩效目标。</w:t>
      </w:r>
    </w:p>
    <w:p w14:paraId="3C70E340">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五、存在主要问题</w:t>
      </w:r>
    </w:p>
    <w:p w14:paraId="435304A7">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预算绩效管理体系需要逐渐健全。从成立预算绩效管理领导小组到组织实施绩效评价，工作开展取得明显成效，但从绩效建立、绩效监控和绩效运行等管理现状看，距离完整的预算绩效管理体系还有一定的差距。</w:t>
      </w:r>
    </w:p>
    <w:p w14:paraId="279A97D2">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六、改进建议</w:t>
      </w:r>
    </w:p>
    <w:p w14:paraId="0691BECE">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zh-CN" w:eastAsia="zh-CN" w:bidi="ar-SA"/>
        </w:rPr>
        <w:t xml:space="preserve"> </w:t>
      </w:r>
      <w:r>
        <w:rPr>
          <w:rFonts w:hint="eastAsia" w:ascii="仿宋_GB2312" w:hAnsi="Times New Roman" w:eastAsia="仿宋_GB2312" w:cs="Times New Roman"/>
          <w:kern w:val="2"/>
          <w:sz w:val="32"/>
          <w:szCs w:val="32"/>
          <w:lang w:val="en-US" w:eastAsia="zh-CN" w:bidi="ar-SA"/>
        </w:rPr>
        <w:t xml:space="preserve"> 建议增加项目资金使用的灵活性。机动灵活地增加项目资金的使用范围，让项目实施部门有一定的调整空间，保证资金能及时有效的使用，进一步提高其使用效益。</w:t>
      </w:r>
    </w:p>
    <w:p w14:paraId="45B2C684">
      <w:pPr>
        <w:pStyle w:val="8"/>
        <w:rPr>
          <w:lang w:val="zh-CN"/>
        </w:rPr>
      </w:pPr>
    </w:p>
    <w:p w14:paraId="46F5A007">
      <w:pPr>
        <w:pStyle w:val="3"/>
        <w:jc w:val="center"/>
        <w:rPr>
          <w:rFonts w:ascii="黑体" w:hAnsi="黑体" w:eastAsia="黑体"/>
        </w:rPr>
      </w:pPr>
      <w:r>
        <w:rPr>
          <w:rFonts w:hint="eastAsia" w:ascii="黑体" w:hAnsi="黑体" w:eastAsia="黑体"/>
        </w:rPr>
        <w:t>第五部分 附表</w:t>
      </w:r>
    </w:p>
    <w:p w14:paraId="3AF836A4">
      <w:pPr>
        <w:rPr>
          <w:rFonts w:ascii="仿宋" w:hAnsi="仿宋" w:eastAsia="仿宋"/>
          <w:sz w:val="32"/>
          <w:szCs w:val="32"/>
        </w:rPr>
      </w:pPr>
      <w:r>
        <w:rPr>
          <w:rFonts w:hint="eastAsia" w:ascii="仿宋" w:hAnsi="仿宋" w:eastAsia="仿宋"/>
          <w:sz w:val="32"/>
          <w:szCs w:val="32"/>
        </w:rPr>
        <w:t>一、收入支出决算总表</w:t>
      </w:r>
    </w:p>
    <w:p w14:paraId="7482A13E">
      <w:pPr>
        <w:rPr>
          <w:rFonts w:ascii="仿宋" w:hAnsi="仿宋" w:eastAsia="仿宋"/>
          <w:sz w:val="32"/>
          <w:szCs w:val="32"/>
        </w:rPr>
      </w:pPr>
      <w:r>
        <w:rPr>
          <w:rFonts w:hint="eastAsia" w:ascii="仿宋" w:hAnsi="仿宋" w:eastAsia="仿宋"/>
          <w:sz w:val="32"/>
          <w:szCs w:val="32"/>
        </w:rPr>
        <w:t>二、收入决算表</w:t>
      </w:r>
    </w:p>
    <w:p w14:paraId="0047F76D">
      <w:pPr>
        <w:rPr>
          <w:rFonts w:ascii="仿宋" w:hAnsi="仿宋" w:eastAsia="仿宋"/>
          <w:sz w:val="32"/>
          <w:szCs w:val="32"/>
        </w:rPr>
      </w:pPr>
      <w:r>
        <w:rPr>
          <w:rFonts w:hint="eastAsia" w:ascii="仿宋" w:hAnsi="仿宋" w:eastAsia="仿宋"/>
          <w:sz w:val="32"/>
          <w:szCs w:val="32"/>
        </w:rPr>
        <w:t>三、支出决算表</w:t>
      </w:r>
    </w:p>
    <w:p w14:paraId="4A60E680">
      <w:pPr>
        <w:rPr>
          <w:rFonts w:ascii="仿宋" w:hAnsi="仿宋" w:eastAsia="仿宋"/>
          <w:sz w:val="32"/>
          <w:szCs w:val="32"/>
        </w:rPr>
      </w:pPr>
      <w:r>
        <w:rPr>
          <w:rFonts w:hint="eastAsia" w:ascii="仿宋" w:hAnsi="仿宋" w:eastAsia="仿宋"/>
          <w:sz w:val="32"/>
          <w:szCs w:val="32"/>
        </w:rPr>
        <w:t>四、财政拨款收入支出决算总表</w:t>
      </w:r>
    </w:p>
    <w:p w14:paraId="04BAC9C4">
      <w:pPr>
        <w:rPr>
          <w:rFonts w:ascii="仿宋" w:hAnsi="仿宋" w:eastAsia="仿宋"/>
          <w:sz w:val="32"/>
          <w:szCs w:val="32"/>
        </w:rPr>
      </w:pPr>
      <w:r>
        <w:rPr>
          <w:rFonts w:hint="eastAsia" w:ascii="仿宋" w:hAnsi="仿宋" w:eastAsia="仿宋"/>
          <w:sz w:val="32"/>
          <w:szCs w:val="32"/>
        </w:rPr>
        <w:t>五、财政拨款支出决算明细表</w:t>
      </w:r>
    </w:p>
    <w:p w14:paraId="675F0B84">
      <w:pPr>
        <w:rPr>
          <w:rFonts w:ascii="仿宋" w:hAnsi="仿宋" w:eastAsia="仿宋"/>
          <w:sz w:val="32"/>
          <w:szCs w:val="32"/>
        </w:rPr>
      </w:pPr>
      <w:r>
        <w:rPr>
          <w:rFonts w:hint="eastAsia" w:ascii="仿宋" w:hAnsi="仿宋" w:eastAsia="仿宋"/>
          <w:sz w:val="32"/>
          <w:szCs w:val="32"/>
        </w:rPr>
        <w:t>六、一般公共预算财政拨款支出决算表</w:t>
      </w:r>
    </w:p>
    <w:p w14:paraId="4420549C">
      <w:pPr>
        <w:rPr>
          <w:rFonts w:ascii="仿宋" w:hAnsi="仿宋" w:eastAsia="仿宋"/>
          <w:sz w:val="32"/>
          <w:szCs w:val="32"/>
        </w:rPr>
      </w:pPr>
      <w:r>
        <w:rPr>
          <w:rFonts w:hint="eastAsia" w:ascii="仿宋" w:hAnsi="仿宋" w:eastAsia="仿宋"/>
          <w:sz w:val="32"/>
          <w:szCs w:val="32"/>
        </w:rPr>
        <w:t>七、一般公共预算财政拨款支出决算明细表</w:t>
      </w:r>
    </w:p>
    <w:p w14:paraId="4C57F67B">
      <w:pPr>
        <w:rPr>
          <w:rFonts w:ascii="仿宋" w:hAnsi="仿宋" w:eastAsia="仿宋"/>
          <w:sz w:val="32"/>
          <w:szCs w:val="32"/>
        </w:rPr>
      </w:pPr>
      <w:r>
        <w:rPr>
          <w:rFonts w:hint="eastAsia" w:ascii="仿宋" w:hAnsi="仿宋" w:eastAsia="仿宋"/>
          <w:sz w:val="32"/>
          <w:szCs w:val="32"/>
        </w:rPr>
        <w:t>八、一般公共预算财政拨款基本支出决算表</w:t>
      </w:r>
    </w:p>
    <w:p w14:paraId="237A7155">
      <w:pPr>
        <w:rPr>
          <w:rFonts w:ascii="仿宋" w:hAnsi="仿宋" w:eastAsia="仿宋"/>
          <w:sz w:val="32"/>
          <w:szCs w:val="32"/>
        </w:rPr>
      </w:pPr>
      <w:r>
        <w:rPr>
          <w:rFonts w:hint="eastAsia" w:ascii="仿宋" w:hAnsi="仿宋" w:eastAsia="仿宋"/>
          <w:sz w:val="32"/>
          <w:szCs w:val="32"/>
        </w:rPr>
        <w:t>九、一般公共预算财政拨款项目支出决算表</w:t>
      </w:r>
    </w:p>
    <w:p w14:paraId="09B9127C">
      <w:pPr>
        <w:rPr>
          <w:rFonts w:ascii="仿宋" w:hAnsi="仿宋" w:eastAsia="仿宋"/>
          <w:sz w:val="32"/>
          <w:szCs w:val="32"/>
        </w:rPr>
      </w:pPr>
      <w:r>
        <w:rPr>
          <w:rFonts w:hint="eastAsia" w:ascii="仿宋" w:hAnsi="仿宋" w:eastAsia="仿宋"/>
          <w:sz w:val="32"/>
          <w:szCs w:val="32"/>
        </w:rPr>
        <w:t>十、政府性基金预算财政拨款收入支出决算表</w:t>
      </w:r>
    </w:p>
    <w:p w14:paraId="0531689C">
      <w:pPr>
        <w:rPr>
          <w:rFonts w:ascii="仿宋" w:hAnsi="仿宋" w:eastAsia="仿宋"/>
          <w:sz w:val="32"/>
          <w:szCs w:val="32"/>
        </w:rPr>
      </w:pPr>
      <w:r>
        <w:rPr>
          <w:rFonts w:hint="eastAsia" w:ascii="仿宋" w:hAnsi="仿宋" w:eastAsia="仿宋"/>
          <w:sz w:val="32"/>
          <w:szCs w:val="32"/>
        </w:rPr>
        <w:t>十一、国有资本经营预算财政拨款收入支出决算表</w:t>
      </w:r>
    </w:p>
    <w:p w14:paraId="152CBBE1">
      <w:pPr>
        <w:rPr>
          <w:rFonts w:ascii="仿宋" w:hAnsi="仿宋" w:eastAsia="仿宋"/>
          <w:sz w:val="32"/>
          <w:szCs w:val="32"/>
        </w:rPr>
      </w:pPr>
      <w:r>
        <w:rPr>
          <w:rFonts w:hint="eastAsia" w:ascii="仿宋" w:hAnsi="仿宋" w:eastAsia="仿宋"/>
          <w:sz w:val="32"/>
          <w:szCs w:val="32"/>
        </w:rPr>
        <w:t>十二、国有资本经营预算财政拨款支出决算表</w:t>
      </w:r>
    </w:p>
    <w:p w14:paraId="7DE5D19E">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4778"/>
    </w:sdtPr>
    <w:sdtContent>
      <w:p w14:paraId="20C96DA3">
        <w:pPr>
          <w:pStyle w:val="11"/>
          <w:jc w:val="center"/>
        </w:pPr>
        <w:r>
          <w:fldChar w:fldCharType="begin"/>
        </w:r>
        <w:r>
          <w:instrText xml:space="preserve">PAGE   \* MERGEFORMAT</w:instrText>
        </w:r>
        <w:r>
          <w:fldChar w:fldCharType="separate"/>
        </w:r>
        <w:r>
          <w:rPr>
            <w:lang w:val="zh-CN"/>
          </w:rPr>
          <w:t>16</w:t>
        </w:r>
        <w:r>
          <w:fldChar w:fldCharType="end"/>
        </w:r>
      </w:p>
    </w:sdtContent>
  </w:sdt>
  <w:p w14:paraId="036195F1">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0EB96BB">
        <w:pPr>
          <w:pStyle w:val="11"/>
          <w:jc w:val="center"/>
        </w:pPr>
        <w:r>
          <w:fldChar w:fldCharType="begin"/>
        </w:r>
        <w:r>
          <w:instrText xml:space="preserve">PAGE   \* MERGEFORMAT</w:instrText>
        </w:r>
        <w:r>
          <w:fldChar w:fldCharType="separate"/>
        </w:r>
        <w:r>
          <w:rPr>
            <w:lang w:val="zh-CN"/>
          </w:rPr>
          <w:t>2</w:t>
        </w:r>
        <w:r>
          <w:fldChar w:fldCharType="end"/>
        </w:r>
      </w:p>
    </w:sdtContent>
  </w:sdt>
  <w:p w14:paraId="3F432D4A">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9B947">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D466">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7EEAB"/>
    <w:multiLevelType w:val="singleLevel"/>
    <w:tmpl w:val="8AB7EEAB"/>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0CBB7A89"/>
    <w:multiLevelType w:val="singleLevel"/>
    <w:tmpl w:val="0CBB7A89"/>
    <w:lvl w:ilvl="0" w:tentative="0">
      <w:start w:val="9"/>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51B381B4"/>
    <w:multiLevelType w:val="singleLevel"/>
    <w:tmpl w:val="51B381B4"/>
    <w:lvl w:ilvl="0" w:tentative="0">
      <w:start w:val="1"/>
      <w:numFmt w:val="decimal"/>
      <w:lvlText w:val="%1."/>
      <w:lvlJc w:val="left"/>
      <w:pPr>
        <w:tabs>
          <w:tab w:val="left" w:pos="312"/>
        </w:tabs>
      </w:pPr>
    </w:lvl>
  </w:abstractNum>
  <w:abstractNum w:abstractNumId="5">
    <w:nsid w:val="5353463D"/>
    <w:multiLevelType w:val="singleLevel"/>
    <w:tmpl w:val="5353463D"/>
    <w:lvl w:ilvl="0" w:tentative="0">
      <w:start w:val="2"/>
      <w:numFmt w:val="chineseCounting"/>
      <w:suff w:val="nothing"/>
      <w:lvlText w:val="（%1）"/>
      <w:lvlJc w:val="left"/>
      <w:rPr>
        <w:rFonts w:hint="eastAsia"/>
      </w:rPr>
    </w:lvl>
  </w:abstractNum>
  <w:abstractNum w:abstractNumId="6">
    <w:nsid w:val="58EE548E"/>
    <w:multiLevelType w:val="singleLevel"/>
    <w:tmpl w:val="58EE548E"/>
    <w:lvl w:ilvl="0" w:tentative="0">
      <w:start w:val="2"/>
      <w:numFmt w:val="chineseCounting"/>
      <w:suff w:val="nothing"/>
      <w:lvlText w:val="（%1）"/>
      <w:lvlJc w:val="left"/>
      <w:rPr>
        <w:rFonts w:hint="eastAsia"/>
      </w:rPr>
    </w:lvl>
  </w:abstractNum>
  <w:abstractNum w:abstractNumId="7">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8">
    <w:nsid w:val="6A969C8D"/>
    <w:multiLevelType w:val="singleLevel"/>
    <w:tmpl w:val="6A969C8D"/>
    <w:lvl w:ilvl="0" w:tentative="0">
      <w:start w:val="1"/>
      <w:numFmt w:val="decimal"/>
      <w:lvlText w:val="%1."/>
      <w:lvlJc w:val="left"/>
      <w:pPr>
        <w:tabs>
          <w:tab w:val="left" w:pos="312"/>
        </w:tabs>
      </w:pPr>
    </w:lvl>
  </w:abstractNum>
  <w:num w:numId="1">
    <w:abstractNumId w:val="2"/>
  </w:num>
  <w:num w:numId="2">
    <w:abstractNumId w:val="0"/>
  </w:num>
  <w:num w:numId="3">
    <w:abstractNumId w:val="7"/>
  </w:num>
  <w:num w:numId="4">
    <w:abstractNumId w:val="3"/>
  </w:num>
  <w:num w:numId="5">
    <w:abstractNumId w:val="4"/>
  </w:num>
  <w:num w:numId="6">
    <w:abstractNumId w:val="1"/>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UyMDQxZTNlNTI5ZWUyM2RhYTZkODlhNjNiMWNjZTI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0D6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E31A8"/>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8C92414"/>
    <w:rsid w:val="0A2032A3"/>
    <w:rsid w:val="0D35B1ED"/>
    <w:rsid w:val="0E7ED1F5"/>
    <w:rsid w:val="0F98263C"/>
    <w:rsid w:val="101860EC"/>
    <w:rsid w:val="109D121A"/>
    <w:rsid w:val="10C055FF"/>
    <w:rsid w:val="118107EC"/>
    <w:rsid w:val="11C2616D"/>
    <w:rsid w:val="13D50BC4"/>
    <w:rsid w:val="13F5616D"/>
    <w:rsid w:val="16BB723D"/>
    <w:rsid w:val="17F9714D"/>
    <w:rsid w:val="18B54B84"/>
    <w:rsid w:val="1918F934"/>
    <w:rsid w:val="1BE8440E"/>
    <w:rsid w:val="1D155CEE"/>
    <w:rsid w:val="1DFBC4B3"/>
    <w:rsid w:val="1E740ACF"/>
    <w:rsid w:val="1F19C781"/>
    <w:rsid w:val="1F33FCE5"/>
    <w:rsid w:val="1F7F7398"/>
    <w:rsid w:val="1FD2DB6F"/>
    <w:rsid w:val="1FF35744"/>
    <w:rsid w:val="1FF6BC77"/>
    <w:rsid w:val="1FF9236D"/>
    <w:rsid w:val="2333840E"/>
    <w:rsid w:val="23860B96"/>
    <w:rsid w:val="240371BF"/>
    <w:rsid w:val="257C638F"/>
    <w:rsid w:val="26781F95"/>
    <w:rsid w:val="28691C2D"/>
    <w:rsid w:val="29FD04D3"/>
    <w:rsid w:val="2BFF7BC6"/>
    <w:rsid w:val="2C8A61B5"/>
    <w:rsid w:val="2CD59C95"/>
    <w:rsid w:val="2DF04E50"/>
    <w:rsid w:val="2EFD05E5"/>
    <w:rsid w:val="2F040D46"/>
    <w:rsid w:val="2F4F95CE"/>
    <w:rsid w:val="2FACAFDD"/>
    <w:rsid w:val="2FAE5751"/>
    <w:rsid w:val="2FB1A395"/>
    <w:rsid w:val="2FCF0B76"/>
    <w:rsid w:val="2FD9A7D8"/>
    <w:rsid w:val="319F7F4E"/>
    <w:rsid w:val="32A36BD3"/>
    <w:rsid w:val="3304709D"/>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1CB242A"/>
    <w:rsid w:val="44E268DA"/>
    <w:rsid w:val="457F4F6B"/>
    <w:rsid w:val="46E07BB1"/>
    <w:rsid w:val="4737FB58"/>
    <w:rsid w:val="47ECCB02"/>
    <w:rsid w:val="47FA6A3F"/>
    <w:rsid w:val="49D7AE48"/>
    <w:rsid w:val="4A3F6C7E"/>
    <w:rsid w:val="4A627F82"/>
    <w:rsid w:val="4AD945C7"/>
    <w:rsid w:val="4B0E749A"/>
    <w:rsid w:val="4B4F25DA"/>
    <w:rsid w:val="4BBB4781"/>
    <w:rsid w:val="4BD709A5"/>
    <w:rsid w:val="4BDD9BFF"/>
    <w:rsid w:val="4BE068DB"/>
    <w:rsid w:val="4D577224"/>
    <w:rsid w:val="4DBF1CEB"/>
    <w:rsid w:val="4DBF6A6B"/>
    <w:rsid w:val="4DF6A672"/>
    <w:rsid w:val="4E3649AA"/>
    <w:rsid w:val="4EAB630A"/>
    <w:rsid w:val="4ECE2238"/>
    <w:rsid w:val="4F7EA413"/>
    <w:rsid w:val="4FAB812F"/>
    <w:rsid w:val="4FE9BD67"/>
    <w:rsid w:val="4FEE4C07"/>
    <w:rsid w:val="4FFB052F"/>
    <w:rsid w:val="534810BB"/>
    <w:rsid w:val="537E6D0A"/>
    <w:rsid w:val="53AB6B88"/>
    <w:rsid w:val="53F74C96"/>
    <w:rsid w:val="5583522D"/>
    <w:rsid w:val="57BD3DD4"/>
    <w:rsid w:val="57F9CD1E"/>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A8056B"/>
    <w:rsid w:val="5FBF9FF3"/>
    <w:rsid w:val="5FCD4E2C"/>
    <w:rsid w:val="5FEF394A"/>
    <w:rsid w:val="5FF67715"/>
    <w:rsid w:val="61CA71D5"/>
    <w:rsid w:val="627EE9EA"/>
    <w:rsid w:val="63B23AA5"/>
    <w:rsid w:val="647F5392"/>
    <w:rsid w:val="64E322C4"/>
    <w:rsid w:val="65FB93B9"/>
    <w:rsid w:val="6633C463"/>
    <w:rsid w:val="67D55B77"/>
    <w:rsid w:val="67EE7F84"/>
    <w:rsid w:val="686F5F53"/>
    <w:rsid w:val="6AFFCEAF"/>
    <w:rsid w:val="6B96E9E6"/>
    <w:rsid w:val="6BBA5475"/>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871049"/>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tabs>
        <w:tab w:val="right" w:leader="dot" w:pos="8296"/>
      </w:tabs>
      <w:ind w:left="420" w:leftChars="200"/>
    </w:p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Normal (Web)"/>
    <w:basedOn w:val="1"/>
    <w:semiHidden/>
    <w:unhideWhenUsed/>
    <w:qFormat/>
    <w:uiPriority w:val="99"/>
    <w:pPr>
      <w:spacing w:before="100" w:beforeAutospacing="1" w:after="100" w:afterAutospacing="1"/>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NormalIndent"/>
    <w:qFormat/>
    <w:uiPriority w:val="0"/>
    <w:pPr>
      <w:widowControl w:val="0"/>
      <w:ind w:firstLine="200" w:firstLineChars="20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overlay val="0"/>
      <c:spPr>
        <a:noFill/>
        <a:ln>
          <a:noFill/>
        </a:ln>
        <a:effectLst/>
      </c:spPr>
    </c:title>
    <c:autoTitleDeleted val="0"/>
    <c:plotArea>
      <c:layout>
        <c:manualLayout>
          <c:layoutTarget val="inner"/>
          <c:xMode val="edge"/>
          <c:yMode val="edge"/>
          <c:x val="0.0660049019607843"/>
          <c:y val="0.193774319066148"/>
          <c:w val="0.90703431372549"/>
          <c:h val="0.559377431906615"/>
        </c:manualLayout>
      </c:layout>
      <c:barChart>
        <c:barDir val="col"/>
        <c:grouping val="clustered"/>
        <c:varyColors val="0"/>
        <c:ser>
          <c:idx val="0"/>
          <c:order val="0"/>
          <c:tx>
            <c:strRef>
              <c:f>Sheet1!$B$1</c:f>
              <c:strCache>
                <c:ptCount val="1"/>
                <c:pt idx="0">
                  <c:v>收入总计</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1597.91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00337224383916991"/>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1063.55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manualLayout>
                      <c:w val="0.148651960784314"/>
                      <c:h val="0.0783398184176394"/>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1597.91</c:v>
                </c:pt>
                <c:pt idx="1">
                  <c:v>1063.55</c:v>
                </c:pt>
              </c:numCache>
            </c:numRef>
          </c:val>
        </c:ser>
        <c:ser>
          <c:idx val="1"/>
          <c:order val="1"/>
          <c:tx>
            <c:strRef>
              <c:f>Sheet1!$C$1</c:f>
              <c:strCache>
                <c:ptCount val="1"/>
                <c:pt idx="0">
                  <c:v>支出总计</c:v>
                </c:pt>
              </c:strCache>
            </c:strRef>
          </c:tx>
          <c:spPr>
            <a:solidFill>
              <a:schemeClr val="accent2"/>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1597.91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1063.55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Sheet1!$C$2:$C$3</c:f>
              <c:numCache>
                <c:formatCode>General</c:formatCode>
                <c:ptCount val="2"/>
                <c:pt idx="0">
                  <c:v>1597.91</c:v>
                </c:pt>
                <c:pt idx="1">
                  <c:v>1063.55</c:v>
                </c:pt>
              </c:numCache>
            </c:numRef>
          </c:val>
        </c:ser>
        <c:dLbls>
          <c:showLegendKey val="0"/>
          <c:showVal val="1"/>
          <c:showCatName val="0"/>
          <c:showSerName val="0"/>
          <c:showPercent val="0"/>
          <c:showBubbleSize val="0"/>
        </c:dLbls>
        <c:gapWidth val="246"/>
        <c:overlap val="-28"/>
        <c:axId val="-589057568"/>
        <c:axId val="-589053760"/>
      </c:barChart>
      <c:catAx>
        <c:axId val="-58905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53760"/>
        <c:crosses val="autoZero"/>
        <c:auto val="1"/>
        <c:lblAlgn val="ctr"/>
        <c:lblOffset val="100"/>
        <c:noMultiLvlLbl val="0"/>
      </c:catAx>
      <c:valAx>
        <c:axId val="-58905376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575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endParaRPr lang="zh-CN"/>
          </a:p>
        </c:rich>
      </c:tx>
      <c:layout/>
      <c:overlay val="0"/>
      <c:spPr>
        <a:noFill/>
        <a:ln>
          <a:noFill/>
        </a:ln>
        <a:effectLst/>
      </c:spPr>
    </c:title>
    <c:autoTitleDeleted val="0"/>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0.00%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占比情况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1"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40.17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0.5818</c:v>
                </c:pt>
                <c:pt idx="1">
                  <c:v>0.4181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overlay val="0"/>
      <c:spPr>
        <a:noFill/>
        <a:ln>
          <a:noFill/>
        </a:ln>
        <a:effectLst/>
      </c:spPr>
    </c:title>
    <c:autoTitleDeleted val="0"/>
    <c:plotArea>
      <c:layout>
        <c:manualLayout>
          <c:layoutTarget val="inner"/>
          <c:xMode val="edge"/>
          <c:yMode val="edge"/>
          <c:x val="0.0660049019607843"/>
          <c:y val="0.193774319066148"/>
          <c:w val="0.90703431372549"/>
          <c:h val="0.559377431906615"/>
        </c:manualLayout>
      </c:layout>
      <c:barChart>
        <c:barDir val="col"/>
        <c:grouping val="clustered"/>
        <c:varyColors val="0"/>
        <c:ser>
          <c:idx val="0"/>
          <c:order val="0"/>
          <c:tx>
            <c:strRef>
              <c:f>Sheet1!$B$1</c:f>
              <c:strCache>
                <c:ptCount val="1"/>
                <c:pt idx="0">
                  <c:v>收入总计</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1597.91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00337224383916991"/>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1063.55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manualLayout>
                      <c:w val="0.148651960784314"/>
                      <c:h val="0.0783398184176394"/>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1597.91</c:v>
                </c:pt>
                <c:pt idx="1">
                  <c:v>1063.55</c:v>
                </c:pt>
              </c:numCache>
            </c:numRef>
          </c:val>
        </c:ser>
        <c:ser>
          <c:idx val="1"/>
          <c:order val="1"/>
          <c:tx>
            <c:strRef>
              <c:f>Sheet1!$C$1</c:f>
              <c:strCache>
                <c:ptCount val="1"/>
                <c:pt idx="0">
                  <c:v>支出总计</c:v>
                </c:pt>
              </c:strCache>
            </c:strRef>
          </c:tx>
          <c:spPr>
            <a:solidFill>
              <a:schemeClr val="accent2"/>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1597.91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1063.55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Sheet1!$C$2:$C$3</c:f>
              <c:numCache>
                <c:formatCode>General</c:formatCode>
                <c:ptCount val="2"/>
                <c:pt idx="0">
                  <c:v>1597.91</c:v>
                </c:pt>
                <c:pt idx="1">
                  <c:v>1063.55</c:v>
                </c:pt>
              </c:numCache>
            </c:numRef>
          </c:val>
        </c:ser>
        <c:dLbls>
          <c:showLegendKey val="0"/>
          <c:showVal val="1"/>
          <c:showCatName val="0"/>
          <c:showSerName val="0"/>
          <c:showPercent val="0"/>
          <c:showBubbleSize val="0"/>
        </c:dLbls>
        <c:gapWidth val="246"/>
        <c:overlap val="-28"/>
        <c:axId val="-589057568"/>
        <c:axId val="-589053760"/>
      </c:barChart>
      <c:catAx>
        <c:axId val="-58905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53760"/>
        <c:crosses val="autoZero"/>
        <c:auto val="1"/>
        <c:lblAlgn val="ctr"/>
        <c:lblOffset val="100"/>
        <c:noMultiLvlLbl val="0"/>
      </c:catAx>
      <c:valAx>
        <c:axId val="-58905376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575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a:t>
            </a:r>
            <a:endParaRPr lang="zh-CN" altLang="en-US"/>
          </a:p>
        </c:rich>
      </c:tx>
      <c:layout>
        <c:manualLayout>
          <c:xMode val="edge"/>
          <c:yMode val="edge"/>
          <c:x val="0.235990338164251"/>
          <c:y val="0.0286885245901639"/>
        </c:manualLayout>
      </c:layout>
      <c:overlay val="0"/>
      <c:spPr>
        <a:noFill/>
        <a:ln>
          <a:noFill/>
        </a:ln>
        <a:effectLst/>
      </c:spPr>
    </c:title>
    <c:autoTitleDeleted val="0"/>
    <c:plotArea>
      <c:layout>
        <c:manualLayout>
          <c:layoutTarget val="inner"/>
          <c:xMode val="edge"/>
          <c:yMode val="edge"/>
          <c:x val="0.0743613216572228"/>
          <c:y val="0.191065788907534"/>
          <c:w val="0.903208771800721"/>
          <c:h val="0.54212426315563"/>
        </c:manualLayout>
      </c:layout>
      <c:barChart>
        <c:barDir val="col"/>
        <c:grouping val="clustered"/>
        <c:varyColors val="0"/>
        <c:ser>
          <c:idx val="1"/>
          <c:order val="0"/>
          <c:tx>
            <c:strRef>
              <c:f>Sheet1!$B$1</c:f>
              <c:strCache>
                <c:ptCount val="1"/>
                <c:pt idx="0">
                  <c:v>一般公共预算财政拨款支出</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1597.91</c:v>
                </c:pt>
                <c:pt idx="1">
                  <c:v>1063.55</c:v>
                </c:pt>
              </c:numCache>
            </c:numRef>
          </c:val>
        </c:ser>
        <c:dLbls>
          <c:showLegendKey val="0"/>
          <c:showVal val="1"/>
          <c:showCatName val="0"/>
          <c:showSerName val="0"/>
          <c:showPercent val="0"/>
          <c:showBubbleSize val="0"/>
        </c:dLbls>
        <c:gapWidth val="150"/>
        <c:axId val="-750442528"/>
        <c:axId val="-750433280"/>
      </c:barChart>
      <c:catAx>
        <c:axId val="-750442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0433280"/>
        <c:crosses val="autoZero"/>
        <c:auto val="1"/>
        <c:lblAlgn val="ctr"/>
        <c:lblOffset val="100"/>
        <c:noMultiLvlLbl val="0"/>
      </c:catAx>
      <c:valAx>
        <c:axId val="-75043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04425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一般公共预算财政拨款支出决算情况结构</a:t>
            </a:r>
            <a:endParaRPr lang="zh-CN" altLang="en-US"/>
          </a:p>
        </c:rich>
      </c:tx>
      <c:layout/>
      <c:overlay val="0"/>
      <c:spPr>
        <a:noFill/>
        <a:ln>
          <a:noFill/>
        </a:ln>
        <a:effectLst/>
      </c:spPr>
    </c:title>
    <c:autoTitleDeleted val="0"/>
    <c:plotArea>
      <c:layout>
        <c:manualLayout>
          <c:layoutTarget val="inner"/>
          <c:xMode val="edge"/>
          <c:yMode val="edge"/>
          <c:x val="0.0391389432485323"/>
          <c:y val="0.167669181212488"/>
          <c:w val="0.942596216568819"/>
          <c:h val="0.603601857460125"/>
        </c:manualLayout>
      </c:layout>
      <c:pieChart>
        <c:varyColors val="1"/>
        <c:ser>
          <c:idx val="0"/>
          <c:order val="0"/>
          <c:tx>
            <c:strRef>
              <c:f>Sheet1!$B$1</c:f>
              <c:strCache>
                <c:ptCount val="1"/>
                <c:pt idx="0">
                  <c:v>2021年一般预算财政拨款支出决算情况</c:v>
                </c:pt>
              </c:strCache>
            </c:strRef>
          </c:tx>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dPt>
          <c:dPt>
            <c:idx val="6"/>
            <c:bubble3D val="0"/>
          </c:dPt>
          <c:dLbls>
            <c:dLbl>
              <c:idx val="1"/>
              <c:layout>
                <c:manualLayout>
                  <c:x val="-0.0263722427749548"/>
                  <c:y val="-0.154979507641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977097698253897"/>
                  <c:y val="-0.089847108272305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44724481517876"/>
                  <c:y val="-0.10512494291348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71041663667727"/>
                  <c:y val="-0.1148023670565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Sheet1!$A$2:$A$8</c:f>
              <c:strCache>
                <c:ptCount val="7"/>
                <c:pt idx="0">
                  <c:v>一般公共服务支出</c:v>
                </c:pt>
                <c:pt idx="1">
                  <c:v>社会保障和就业（类）支出</c:v>
                </c:pt>
                <c:pt idx="2">
                  <c:v>卫生健康支出</c:v>
                </c:pt>
                <c:pt idx="3">
                  <c:v>农林水支出</c:v>
                </c:pt>
                <c:pt idx="4">
                  <c:v>住房保障支出</c:v>
                </c:pt>
                <c:pt idx="5">
                  <c:v>粮油物资储备支出</c:v>
                </c:pt>
                <c:pt idx="6">
                  <c:v>节能环保支出</c:v>
                </c:pt>
              </c:strCache>
            </c:strRef>
          </c:cat>
          <c:val>
            <c:numRef>
              <c:f>Sheet1!$B$2:$B$8</c:f>
              <c:numCache>
                <c:formatCode>0.00%</c:formatCode>
                <c:ptCount val="7"/>
                <c:pt idx="0">
                  <c:v>0.3531</c:v>
                </c:pt>
                <c:pt idx="1">
                  <c:v>0.065</c:v>
                </c:pt>
                <c:pt idx="2">
                  <c:v>0.0766</c:v>
                </c:pt>
                <c:pt idx="3">
                  <c:v>0.1571</c:v>
                </c:pt>
                <c:pt idx="4">
                  <c:v>0.0329</c:v>
                </c:pt>
                <c:pt idx="5">
                  <c:v>0.2677</c:v>
                </c:pt>
                <c:pt idx="6">
                  <c:v>0.0476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619744058500914"/>
          <c:y val="0.80206718346253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“三公”经费财政拨款支出结构</a:t>
            </a:r>
            <a:endParaRPr lang="zh-CN" altLang="en-US"/>
          </a:p>
        </c:rich>
      </c:tx>
      <c:layout>
        <c:manualLayout>
          <c:xMode val="edge"/>
          <c:yMode val="edge"/>
          <c:x val="0.201709401709402"/>
          <c:y val="0.0266666666666667"/>
        </c:manualLayout>
      </c:layout>
      <c:overlay val="0"/>
      <c:spPr>
        <a:noFill/>
        <a:ln>
          <a:noFill/>
        </a:ln>
        <a:effectLst/>
      </c:spPr>
    </c:title>
    <c:autoTitleDeleted val="0"/>
    <c:plotArea>
      <c:layout>
        <c:manualLayout>
          <c:layoutTarget val="inner"/>
          <c:xMode val="edge"/>
          <c:yMode val="edge"/>
          <c:x val="0.0391389432485323"/>
          <c:y val="0.167669181212488"/>
          <c:w val="0.942596216568819"/>
          <c:h val="0.603601857460125"/>
        </c:manualLayout>
      </c:layout>
      <c:pieChart>
        <c:varyColors val="1"/>
        <c:ser>
          <c:idx val="0"/>
          <c:order val="0"/>
          <c:tx>
            <c:strRef>
              <c:f>Sheet1!$B$1</c:f>
              <c:strCache>
                <c:ptCount val="1"/>
                <c:pt idx="0">
                  <c:v>2023年一般预算财政拨款支出决算情况</c:v>
                </c:pt>
              </c:strCache>
            </c:strRef>
          </c:tx>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dPt>
          <c:dLbls>
            <c:dLbl>
              <c:idx val="0"/>
              <c:layout>
                <c:manualLayout>
                  <c:x val="0.00601544094008359"/>
                  <c:y val="-0.26352917423783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4.68</a:t>
                    </a:r>
                    <a:r>
                      <a:t>%</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公务接待费</c:v>
                </c:pt>
                <c:pt idx="1">
                  <c:v>公务用车运行维护费</c:v>
                </c:pt>
              </c:strCache>
            </c:strRef>
          </c:cat>
          <c:val>
            <c:numRef>
              <c:f>Sheet1!$B$2:$B$3</c:f>
              <c:numCache>
                <c:formatCode>0%</c:formatCode>
                <c:ptCount val="2"/>
                <c:pt idx="0">
                  <c:v>0.0468</c:v>
                </c:pt>
                <c:pt idx="1" c:formatCode="General">
                  <c:v>95.31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Company>四川省财政厅</Company>
  <Pages>94</Pages>
  <Words>7812</Words>
  <Characters>8340</Characters>
  <Lines>7</Lines>
  <Paragraphs>17</Paragraphs>
  <TotalTime>7</TotalTime>
  <ScaleCrop>false</ScaleCrop>
  <LinksUpToDate>false</LinksUpToDate>
  <CharactersWithSpaces>8393</CharactersWithSpaces>
  <Application>WPS Office_12.1.0.18276_F1E327BC-269C-435d-A152-05C5408002CA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2024-10-14T02:33:00Z</dcterms:created>
  <dc:creator>曹颖</dc:creator>
  <cp:lastModifiedBy>刘月德</cp:lastModifiedBy>
  <cp:lastPrinted>2023-08-03T10:35:00Z</cp:lastPrinted>
  <dcterms:modified xsi:type="dcterms:W3CDTF">2024-10-15T08:41:10Z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0409F0E993FF4CBABA568939BD7404D5_12</vt:lpwstr>
  </property>
</Properties>
</file>