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00" w:beforeAutospacing="1" w:after="100" w:afterAutospacing="1" w:line="560" w:lineRule="atLeast"/>
        <w:jc w:val="center"/>
        <w:rPr>
          <w:rFonts w:ascii="仿宋" w:hAnsi="仿宋" w:eastAsia="仿宋" w:cs="仿宋"/>
          <w:b/>
          <w:bCs/>
          <w:color w:val="333333"/>
          <w:kern w:val="0"/>
          <w:sz w:val="44"/>
          <w:szCs w:val="44"/>
          <w:shd w:val="clear" w:color="auto" w:fill="FBFBFB"/>
        </w:rPr>
      </w:pPr>
      <w:r>
        <w:rPr>
          <w:rFonts w:hint="eastAsia" w:ascii="仿宋" w:hAnsi="仿宋" w:eastAsia="仿宋" w:cs="仿宋"/>
          <w:b/>
          <w:bCs/>
          <w:color w:val="333333"/>
          <w:kern w:val="0"/>
          <w:sz w:val="44"/>
          <w:szCs w:val="44"/>
          <w:shd w:val="clear" w:color="auto" w:fill="FBFBFB"/>
        </w:rPr>
        <w:t>九寨沟县国有资产管理中心</w:t>
      </w:r>
    </w:p>
    <w:p>
      <w:pPr>
        <w:widowControl/>
        <w:shd w:val="clear" w:color="auto" w:fill="FFFFFF"/>
        <w:spacing w:before="100" w:beforeAutospacing="1" w:after="100" w:afterAutospacing="1" w:line="560" w:lineRule="atLeast"/>
        <w:jc w:val="center"/>
        <w:rPr>
          <w:rFonts w:ascii="仿宋" w:hAnsi="仿宋" w:eastAsia="仿宋" w:cs="仿宋"/>
          <w:color w:val="333333"/>
          <w:kern w:val="0"/>
          <w:sz w:val="24"/>
          <w:szCs w:val="24"/>
        </w:rPr>
      </w:pPr>
      <w:r>
        <w:rPr>
          <w:rFonts w:hint="eastAsia" w:ascii="仿宋" w:hAnsi="仿宋" w:eastAsia="仿宋" w:cs="仿宋"/>
          <w:b/>
          <w:bCs/>
          <w:color w:val="333333"/>
          <w:kern w:val="0"/>
          <w:sz w:val="44"/>
          <w:szCs w:val="44"/>
          <w:shd w:val="clear" w:color="auto" w:fill="FBFBFB"/>
        </w:rPr>
        <w:t>关于2020年部门预算编制情况说明</w:t>
      </w:r>
    </w:p>
    <w:p>
      <w:pPr>
        <w:widowControl/>
        <w:shd w:val="clear" w:color="auto" w:fill="FFFFFF"/>
        <w:spacing w:before="100" w:beforeAutospacing="1" w:after="100" w:afterAutospacing="1" w:line="480" w:lineRule="auto"/>
        <w:jc w:val="left"/>
        <w:rPr>
          <w:rFonts w:ascii="仿宋" w:hAnsi="仿宋" w:eastAsia="仿宋" w:cs="仿宋"/>
          <w:color w:val="333333"/>
          <w:kern w:val="0"/>
          <w:sz w:val="24"/>
          <w:szCs w:val="24"/>
        </w:rPr>
      </w:pPr>
      <w:r>
        <w:rPr>
          <w:rFonts w:hint="eastAsia" w:ascii="仿宋" w:hAnsi="仿宋" w:eastAsia="仿宋" w:cs="仿宋"/>
          <w:color w:val="333333"/>
          <w:kern w:val="0"/>
          <w:sz w:val="24"/>
          <w:szCs w:val="24"/>
        </w:rPr>
        <w:t> </w:t>
      </w:r>
    </w:p>
    <w:p>
      <w:pPr>
        <w:widowControl/>
        <w:shd w:val="clear" w:color="auto" w:fill="FFFFFF"/>
        <w:spacing w:before="100" w:beforeAutospacing="1" w:after="100" w:afterAutospacing="1" w:line="480" w:lineRule="auto"/>
        <w:jc w:val="left"/>
        <w:rPr>
          <w:rFonts w:ascii="仿宋" w:hAnsi="仿宋" w:eastAsia="仿宋" w:cs="仿宋"/>
          <w:color w:val="333333"/>
          <w:kern w:val="0"/>
          <w:sz w:val="24"/>
          <w:szCs w:val="24"/>
        </w:rPr>
      </w:pPr>
      <w:r>
        <w:rPr>
          <w:rFonts w:hint="eastAsia" w:ascii="仿宋" w:hAnsi="仿宋" w:eastAsia="仿宋" w:cs="仿宋"/>
          <w:color w:val="333333"/>
          <w:kern w:val="0"/>
          <w:sz w:val="30"/>
          <w:szCs w:val="30"/>
          <w:shd w:val="clear" w:color="auto" w:fill="FFFFFF"/>
        </w:rPr>
        <w:t>　</w:t>
      </w:r>
      <w:r>
        <w:rPr>
          <w:rFonts w:hint="eastAsia" w:ascii="仿宋" w:hAnsi="仿宋" w:eastAsia="仿宋" w:cs="仿宋"/>
          <w:color w:val="333333"/>
          <w:kern w:val="0"/>
          <w:sz w:val="32"/>
          <w:szCs w:val="32"/>
          <w:shd w:val="clear" w:color="auto" w:fill="FFFFFF"/>
        </w:rPr>
        <w:t>　一、基本职能及主要工作</w:t>
      </w:r>
    </w:p>
    <w:p>
      <w:pPr>
        <w:widowControl/>
        <w:shd w:val="clear" w:color="auto" w:fill="FFFFFF"/>
        <w:spacing w:before="100" w:beforeAutospacing="1" w:after="100" w:afterAutospacing="1" w:line="480" w:lineRule="auto"/>
        <w:ind w:firstLine="600"/>
        <w:jc w:val="left"/>
        <w:rPr>
          <w:rFonts w:ascii="仿宋" w:hAnsi="仿宋" w:eastAsia="仿宋" w:cs="仿宋"/>
          <w:color w:val="333333"/>
          <w:kern w:val="0"/>
          <w:sz w:val="24"/>
          <w:szCs w:val="24"/>
        </w:rPr>
      </w:pPr>
      <w:r>
        <w:rPr>
          <w:rFonts w:hint="eastAsia" w:ascii="仿宋" w:hAnsi="仿宋" w:eastAsia="仿宋" w:cs="仿宋"/>
          <w:color w:val="000000"/>
          <w:kern w:val="0"/>
          <w:sz w:val="32"/>
          <w:szCs w:val="32"/>
          <w:shd w:val="clear" w:color="auto" w:fill="FBFBFB"/>
        </w:rPr>
        <w:t>（一）主要职能。</w:t>
      </w:r>
    </w:p>
    <w:p>
      <w:pPr>
        <w:widowControl/>
        <w:shd w:val="clear" w:color="auto" w:fill="FFFFFF"/>
        <w:spacing w:before="100" w:beforeAutospacing="1" w:after="100" w:afterAutospacing="1" w:line="480" w:lineRule="auto"/>
        <w:ind w:firstLine="600"/>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BFBFB"/>
        </w:rPr>
        <w:t>1、根据县人民政府授权，依照《中华人民共和国企业国有资产法》《企业国有资产监督管理暂行条例》《中华人民共和国公司法》和《阿坝州企业国有资产监督管理暂行办法》等法律法规，履行出资人职责，加强现属国有及控股（参股）企业的国有资产监管。</w:t>
      </w:r>
    </w:p>
    <w:p>
      <w:pPr>
        <w:widowControl/>
        <w:shd w:val="clear" w:color="auto" w:fill="FFFFFF"/>
        <w:spacing w:before="100" w:beforeAutospacing="1" w:after="100" w:afterAutospacing="1" w:line="480" w:lineRule="auto"/>
        <w:ind w:firstLine="600"/>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BFBFB"/>
        </w:rPr>
        <w:t>2、代表县人民政府向所监管的国有及控股（参股）企业派出监事会，并负责监事会的日常管理工作。</w:t>
      </w:r>
    </w:p>
    <w:p>
      <w:pPr>
        <w:widowControl/>
        <w:shd w:val="clear" w:color="auto" w:fill="FFFFFF"/>
        <w:spacing w:before="100" w:beforeAutospacing="1" w:after="100" w:afterAutospacing="1" w:line="480" w:lineRule="auto"/>
        <w:ind w:firstLine="600"/>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BFBFB"/>
        </w:rPr>
        <w:t>3、指导国有及控股（参股）企业完成改革和重组，建立健全现代企业制度，完善公司法人治理结构，推动国有经济布局和结构的战略性调整。</w:t>
      </w:r>
    </w:p>
    <w:p>
      <w:pPr>
        <w:widowControl/>
        <w:shd w:val="clear" w:color="auto" w:fill="FFFFFF"/>
        <w:spacing w:before="100" w:beforeAutospacing="1" w:after="100" w:afterAutospacing="1" w:line="480" w:lineRule="auto"/>
        <w:ind w:firstLine="600"/>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BFBFB"/>
        </w:rPr>
        <w:t>4、按照法定程序对所监管的国有及控股（参股）企业负责人进行考核、任免，并根据其经营业绩进行奖惩，建立符合社会主义市场经济体制和现代企业制度要求的选人、用人机制，完善经营者激励和约束机制。</w:t>
      </w:r>
    </w:p>
    <w:p>
      <w:pPr>
        <w:widowControl/>
        <w:shd w:val="clear" w:color="auto" w:fill="FFFFFF"/>
        <w:spacing w:before="100" w:beforeAutospacing="1" w:after="100" w:afterAutospacing="1" w:line="480" w:lineRule="auto"/>
        <w:ind w:firstLine="600"/>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BFBFB"/>
        </w:rPr>
        <w:t>5、负责国有企业资产保值增值监督管理，建立完善县级国有资产保值增值指标体系，制定考核标准；通过统计、稽核等方式对所监管企业国有资产运行请况进行监管，确保国有资产保值增值；负责所监管国有及控股（参股）企业工资分配管理，制定所监管企业负责人收入分配政策，并组织实施。</w:t>
      </w:r>
    </w:p>
    <w:p>
      <w:pPr>
        <w:widowControl/>
        <w:shd w:val="clear" w:color="auto" w:fill="FFFFFF"/>
        <w:spacing w:before="100" w:beforeAutospacing="1" w:after="100" w:afterAutospacing="1" w:line="480" w:lineRule="auto"/>
        <w:ind w:firstLine="600"/>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BFBFB"/>
        </w:rPr>
        <w:t>6、参与制定国有资本经营预算有关管理制度；提出所监管企业年度国有资本经营预算计划；组织和监督所监管企业国有资本经营预算执行请况；审查所监管县级国有独资、控股（参股）企业的年度国有资本经营决算报告；负责组织所监管企业上缴国有资本金收益。</w:t>
      </w:r>
    </w:p>
    <w:p>
      <w:pPr>
        <w:widowControl/>
        <w:shd w:val="clear" w:color="auto" w:fill="FFFFFF"/>
        <w:spacing w:before="100" w:beforeAutospacing="1" w:after="100" w:afterAutospacing="1" w:line="480" w:lineRule="auto"/>
        <w:ind w:firstLine="600"/>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BFBFB"/>
        </w:rPr>
        <w:t>7、根据县人民政府授权，负责现属国有及控股（参股）企业负责人的任免和管理。</w:t>
      </w:r>
    </w:p>
    <w:p>
      <w:pPr>
        <w:widowControl/>
        <w:shd w:val="clear" w:color="auto" w:fill="FFFFFF"/>
        <w:spacing w:before="100" w:beforeAutospacing="1" w:after="100" w:afterAutospacing="1" w:line="480" w:lineRule="auto"/>
        <w:ind w:firstLine="600"/>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BFBFB"/>
        </w:rPr>
        <w:t>8、制定县级国有资产管理办法和制度，并对县级国有资产管理进行指导和监督。</w:t>
      </w:r>
    </w:p>
    <w:p>
      <w:pPr>
        <w:ind w:firstLine="640" w:firstLineChars="200"/>
        <w:jc w:val="left"/>
        <w:rPr>
          <w:rFonts w:ascii="仿宋" w:hAnsi="仿宋" w:eastAsia="仿宋" w:cs="仿宋"/>
          <w:sz w:val="30"/>
          <w:szCs w:val="30"/>
        </w:rPr>
      </w:pPr>
      <w:r>
        <w:rPr>
          <w:rFonts w:hint="eastAsia" w:ascii="仿宋" w:hAnsi="仿宋" w:eastAsia="仿宋" w:cs="仿宋"/>
          <w:color w:val="333333"/>
          <w:kern w:val="0"/>
          <w:sz w:val="32"/>
          <w:szCs w:val="32"/>
          <w:shd w:val="clear" w:color="auto" w:fill="FBFBFB"/>
        </w:rPr>
        <w:t>9、承办县委、县人民政府交办的其他事项。</w:t>
      </w:r>
      <w:r>
        <w:rPr>
          <w:rFonts w:hint="eastAsia" w:ascii="仿宋" w:hAnsi="仿宋" w:eastAsia="仿宋" w:cs="仿宋"/>
          <w:color w:val="333333"/>
          <w:kern w:val="0"/>
          <w:sz w:val="32"/>
          <w:szCs w:val="32"/>
          <w:shd w:val="clear" w:color="auto" w:fill="FBFBFB"/>
        </w:rPr>
        <w:br w:type="textWrapping"/>
      </w:r>
      <w:r>
        <w:rPr>
          <w:rFonts w:hint="eastAsia" w:ascii="仿宋" w:hAnsi="仿宋" w:eastAsia="仿宋" w:cs="仿宋"/>
          <w:color w:val="333333"/>
          <w:kern w:val="0"/>
          <w:sz w:val="32"/>
          <w:szCs w:val="32"/>
          <w:shd w:val="clear" w:color="auto" w:fill="FBFBFB"/>
        </w:rPr>
        <w:t>　</w:t>
      </w:r>
      <w:r>
        <w:rPr>
          <w:rFonts w:hint="eastAsia" w:ascii="仿宋" w:hAnsi="仿宋" w:eastAsia="仿宋" w:cs="仿宋"/>
          <w:color w:val="333333"/>
          <w:kern w:val="0"/>
          <w:sz w:val="24"/>
          <w:szCs w:val="24"/>
        </w:rPr>
        <w:t> </w:t>
      </w:r>
      <w:r>
        <w:rPr>
          <w:rFonts w:hint="eastAsia" w:ascii="仿宋" w:hAnsi="仿宋" w:eastAsia="仿宋" w:cs="仿宋"/>
          <w:sz w:val="30"/>
          <w:szCs w:val="30"/>
        </w:rPr>
        <w:t>（二）主要工作任务</w:t>
      </w:r>
    </w:p>
    <w:p>
      <w:pPr>
        <w:spacing w:line="25" w:lineRule="atLeast"/>
        <w:ind w:firstLine="600" w:firstLineChars="200"/>
        <w:jc w:val="left"/>
        <w:rPr>
          <w:rFonts w:ascii="仿宋" w:hAnsi="仿宋" w:eastAsia="仿宋" w:cs="仿宋"/>
          <w:color w:val="000000"/>
          <w:sz w:val="30"/>
          <w:szCs w:val="30"/>
        </w:rPr>
      </w:pPr>
      <w:r>
        <w:rPr>
          <w:rFonts w:hint="eastAsia" w:ascii="仿宋" w:hAnsi="仿宋" w:eastAsia="仿宋" w:cs="仿宋"/>
          <w:sz w:val="30"/>
          <w:szCs w:val="30"/>
        </w:rPr>
        <w:t>2020年主要工作任务是：</w:t>
      </w:r>
    </w:p>
    <w:p>
      <w:pPr>
        <w:pBdr>
          <w:bottom w:val="single" w:color="FFFFFF" w:sz="4" w:space="25"/>
        </w:pBdr>
        <w:tabs>
          <w:tab w:val="left" w:pos="1440"/>
        </w:tabs>
        <w:adjustRightInd w:val="0"/>
        <w:snapToGrid w:val="0"/>
        <w:spacing w:line="560" w:lineRule="exact"/>
        <w:ind w:firstLine="602" w:firstLineChars="200"/>
        <w:rPr>
          <w:rFonts w:ascii="仿宋" w:hAnsi="仿宋" w:eastAsia="仿宋" w:cs="仿宋"/>
          <w:sz w:val="30"/>
          <w:szCs w:val="30"/>
        </w:rPr>
      </w:pPr>
      <w:r>
        <w:rPr>
          <w:rFonts w:hint="eastAsia" w:ascii="仿宋" w:hAnsi="仿宋" w:eastAsia="仿宋" w:cs="仿宋"/>
          <w:b/>
          <w:bCs/>
          <w:sz w:val="30"/>
          <w:szCs w:val="30"/>
        </w:rPr>
        <w:t>一是</w:t>
      </w:r>
      <w:r>
        <w:rPr>
          <w:rFonts w:hint="eastAsia" w:ascii="仿宋" w:hAnsi="仿宋" w:eastAsia="仿宋" w:cs="仿宋"/>
          <w:sz w:val="30"/>
          <w:szCs w:val="30"/>
        </w:rPr>
        <w:t>根据县政府授权，依法依规履行出资人职责，监管县属国有及控股（参股）企业的国有资产，加强国有资产的监督工作。</w:t>
      </w:r>
    </w:p>
    <w:p>
      <w:pPr>
        <w:pBdr>
          <w:bottom w:val="single" w:color="FFFFFF" w:sz="4" w:space="25"/>
        </w:pBdr>
        <w:tabs>
          <w:tab w:val="left" w:pos="1440"/>
        </w:tabs>
        <w:adjustRightInd w:val="0"/>
        <w:snapToGrid w:val="0"/>
        <w:spacing w:line="560" w:lineRule="exact"/>
        <w:rPr>
          <w:rFonts w:ascii="仿宋" w:hAnsi="仿宋" w:eastAsia="仿宋" w:cs="仿宋"/>
          <w:sz w:val="30"/>
          <w:szCs w:val="30"/>
        </w:rPr>
      </w:pPr>
      <w:r>
        <w:rPr>
          <w:rFonts w:hint="eastAsia" w:ascii="仿宋" w:hAnsi="仿宋" w:eastAsia="仿宋" w:cs="仿宋"/>
          <w:b/>
          <w:bCs/>
          <w:sz w:val="30"/>
          <w:szCs w:val="30"/>
        </w:rPr>
        <w:t>二是</w:t>
      </w:r>
      <w:r>
        <w:rPr>
          <w:rFonts w:hint="eastAsia" w:ascii="仿宋" w:hAnsi="仿宋" w:eastAsia="仿宋" w:cs="仿宋"/>
          <w:sz w:val="30"/>
          <w:szCs w:val="30"/>
        </w:rPr>
        <w:t>做实资产，拓宽融资渠道。清产核资，摸清家底，加快土地确权工作，做实现有资产，壮大资本。加强与金融机构的业务交流和合作，积极推动平台公司信用增信，夯实平台公司融资基础，搭建资本杠杆通道。</w:t>
      </w:r>
    </w:p>
    <w:p>
      <w:pPr>
        <w:pBdr>
          <w:bottom w:val="single" w:color="FFFFFF" w:sz="4" w:space="25"/>
        </w:pBdr>
        <w:tabs>
          <w:tab w:val="left" w:pos="1440"/>
        </w:tabs>
        <w:adjustRightInd w:val="0"/>
        <w:snapToGrid w:val="0"/>
        <w:spacing w:line="560" w:lineRule="exact"/>
        <w:rPr>
          <w:rFonts w:ascii="仿宋" w:hAnsi="仿宋" w:eastAsia="仿宋" w:cs="仿宋"/>
          <w:color w:val="000000"/>
          <w:sz w:val="30"/>
          <w:szCs w:val="30"/>
          <w:shd w:val="clear" w:color="auto" w:fill="FFFFFF"/>
        </w:rPr>
      </w:pPr>
      <w:r>
        <w:rPr>
          <w:rFonts w:hint="eastAsia" w:ascii="仿宋" w:hAnsi="仿宋" w:eastAsia="仿宋" w:cs="仿宋"/>
          <w:b/>
          <w:bCs/>
          <w:sz w:val="30"/>
          <w:szCs w:val="30"/>
        </w:rPr>
        <w:t>三是</w:t>
      </w:r>
      <w:r>
        <w:rPr>
          <w:rFonts w:hint="eastAsia" w:ascii="仿宋" w:hAnsi="仿宋" w:eastAsia="仿宋" w:cs="仿宋"/>
          <w:sz w:val="30"/>
          <w:szCs w:val="30"/>
        </w:rPr>
        <w:t>加强干部人才队伍建设，营造企业发展良好环境。抓好县属企业领导班子和人才队伍建设，积极探索企业领导班子管理新模式。</w:t>
      </w:r>
    </w:p>
    <w:p>
      <w:pPr>
        <w:pBdr>
          <w:bottom w:val="single" w:color="FFFFFF" w:sz="4" w:space="25"/>
        </w:pBdr>
        <w:tabs>
          <w:tab w:val="left" w:pos="1440"/>
        </w:tabs>
        <w:adjustRightInd w:val="0"/>
        <w:snapToGrid w:val="0"/>
        <w:spacing w:line="560" w:lineRule="exact"/>
        <w:ind w:firstLine="602" w:firstLineChars="200"/>
        <w:rPr>
          <w:rFonts w:ascii="仿宋" w:hAnsi="仿宋" w:eastAsia="仿宋" w:cs="仿宋"/>
          <w:color w:val="000000"/>
          <w:sz w:val="30"/>
          <w:szCs w:val="30"/>
        </w:rPr>
      </w:pPr>
      <w:r>
        <w:rPr>
          <w:rFonts w:hint="eastAsia" w:ascii="仿宋" w:hAnsi="仿宋" w:eastAsia="仿宋" w:cs="仿宋"/>
          <w:b/>
          <w:bCs/>
          <w:sz w:val="30"/>
          <w:szCs w:val="30"/>
        </w:rPr>
        <w:t>四是</w:t>
      </w:r>
      <w:r>
        <w:rPr>
          <w:rFonts w:hint="eastAsia" w:ascii="仿宋" w:hAnsi="仿宋" w:eastAsia="仿宋" w:cs="仿宋"/>
          <w:color w:val="000000"/>
          <w:sz w:val="30"/>
          <w:szCs w:val="30"/>
        </w:rPr>
        <w:t>按照县委、县人民政府工作部署，</w:t>
      </w:r>
      <w:r>
        <w:rPr>
          <w:rFonts w:hint="eastAsia" w:ascii="仿宋" w:hAnsi="仿宋" w:eastAsia="仿宋" w:cs="仿宋"/>
          <w:sz w:val="30"/>
          <w:szCs w:val="30"/>
        </w:rPr>
        <w:t>紧紧围绕我县“四个全域·四个九寨”战略思想，加快推进“四个年”建设，</w:t>
      </w:r>
      <w:r>
        <w:rPr>
          <w:rFonts w:hint="eastAsia" w:ascii="仿宋" w:hAnsi="仿宋" w:eastAsia="仿宋" w:cs="仿宋"/>
          <w:color w:val="000000"/>
          <w:sz w:val="30"/>
          <w:szCs w:val="30"/>
        </w:rPr>
        <w:t>进一步推进灾后恢复重建工作、脱贫攻坚、宜居县城工作等中心工作。</w:t>
      </w:r>
    </w:p>
    <w:p>
      <w:pPr>
        <w:pBdr>
          <w:bottom w:val="single" w:color="FFFFFF" w:sz="4" w:space="25"/>
        </w:pBdr>
        <w:tabs>
          <w:tab w:val="left" w:pos="1440"/>
        </w:tabs>
        <w:adjustRightInd w:val="0"/>
        <w:snapToGrid w:val="0"/>
        <w:spacing w:line="560" w:lineRule="exact"/>
        <w:ind w:firstLine="602" w:firstLineChars="200"/>
        <w:rPr>
          <w:rFonts w:ascii="仿宋" w:hAnsi="仿宋" w:eastAsia="仿宋" w:cs="仿宋"/>
          <w:sz w:val="30"/>
          <w:szCs w:val="30"/>
        </w:rPr>
      </w:pPr>
      <w:r>
        <w:rPr>
          <w:rFonts w:hint="eastAsia" w:ascii="仿宋" w:hAnsi="仿宋" w:eastAsia="仿宋" w:cs="仿宋"/>
          <w:b/>
          <w:sz w:val="30"/>
          <w:szCs w:val="30"/>
        </w:rPr>
        <w:t>五是</w:t>
      </w:r>
      <w:r>
        <w:rPr>
          <w:rFonts w:hint="eastAsia" w:ascii="仿宋" w:hAnsi="仿宋" w:eastAsia="仿宋" w:cs="仿宋"/>
          <w:sz w:val="30"/>
          <w:szCs w:val="30"/>
        </w:rPr>
        <w:t>积极化解历史遗留问题，全力化解群众来信来访问题，有效促进国有企业可持续发展，维护社会稳定。</w:t>
      </w:r>
    </w:p>
    <w:p>
      <w:pPr>
        <w:numPr>
          <w:ilvl w:val="0"/>
          <w:numId w:val="1"/>
        </w:numPr>
        <w:pBdr>
          <w:bottom w:val="single" w:color="FFFFFF" w:sz="4" w:space="25"/>
        </w:pBdr>
        <w:tabs>
          <w:tab w:val="left" w:pos="1440"/>
        </w:tabs>
        <w:adjustRightInd w:val="0"/>
        <w:snapToGrid w:val="0"/>
        <w:spacing w:line="560" w:lineRule="exact"/>
        <w:ind w:firstLine="640" w:firstLineChars="200"/>
        <w:rPr>
          <w:rFonts w:ascii="仿宋" w:hAnsi="仿宋" w:eastAsia="仿宋" w:cs="仿宋"/>
          <w:color w:val="333333"/>
          <w:kern w:val="0"/>
          <w:sz w:val="32"/>
          <w:szCs w:val="32"/>
          <w:shd w:val="clear" w:color="auto" w:fill="FFFFFF"/>
        </w:rPr>
      </w:pPr>
      <w:r>
        <w:rPr>
          <w:rFonts w:hint="eastAsia" w:ascii="仿宋" w:hAnsi="仿宋" w:eastAsia="仿宋" w:cs="仿宋"/>
          <w:color w:val="333333"/>
          <w:kern w:val="0"/>
          <w:sz w:val="32"/>
          <w:szCs w:val="32"/>
          <w:shd w:val="clear" w:color="auto" w:fill="FFFFFF"/>
        </w:rPr>
        <w:t>部门预算单位构成</w:t>
      </w:r>
    </w:p>
    <w:p>
      <w:pPr>
        <w:pBdr>
          <w:bottom w:val="single" w:color="FFFFFF" w:sz="4" w:space="25"/>
        </w:pBdr>
        <w:tabs>
          <w:tab w:val="left" w:pos="1440"/>
        </w:tabs>
        <w:adjustRightInd w:val="0"/>
        <w:snapToGrid w:val="0"/>
        <w:spacing w:line="560" w:lineRule="exact"/>
        <w:ind w:firstLine="640" w:firstLineChars="200"/>
        <w:rPr>
          <w:rFonts w:ascii="仿宋" w:hAnsi="仿宋" w:eastAsia="仿宋" w:cs="仿宋"/>
          <w:color w:val="333333"/>
          <w:kern w:val="0"/>
          <w:sz w:val="32"/>
          <w:szCs w:val="32"/>
          <w:shd w:val="clear" w:color="auto" w:fill="FBFBFB"/>
        </w:rPr>
      </w:pPr>
      <w:r>
        <w:rPr>
          <w:rFonts w:hint="eastAsia" w:ascii="仿宋" w:hAnsi="仿宋" w:eastAsia="仿宋" w:cs="仿宋"/>
          <w:color w:val="333333"/>
          <w:kern w:val="0"/>
          <w:sz w:val="32"/>
          <w:szCs w:val="32"/>
          <w:shd w:val="clear" w:color="auto" w:fill="FBFBFB"/>
        </w:rPr>
        <w:t>九寨沟县国有资产管理中心下属二级决算单位0个，其中行政单位0个，参照公务员法管理的事业单位0个，其他事业单位 1个, 我中心作为九寨沟县人民政府直属财政全额拨款公益一类正科级事业单位，下设综合办公室、产权管理股和统计与绩效考核股三个内部机构，设有事业编制8名。我公司现有事业编制人数8名，工勤人数0名，临时工2名。</w:t>
      </w:r>
    </w:p>
    <w:p>
      <w:pPr>
        <w:pBdr>
          <w:bottom w:val="single" w:color="FFFFFF" w:sz="4" w:space="25"/>
        </w:pBdr>
        <w:tabs>
          <w:tab w:val="left" w:pos="1440"/>
        </w:tabs>
        <w:adjustRightInd w:val="0"/>
        <w:snapToGrid w:val="0"/>
        <w:spacing w:line="560" w:lineRule="exact"/>
        <w:ind w:firstLine="640" w:firstLineChars="200"/>
        <w:rPr>
          <w:rFonts w:ascii="仿宋" w:hAnsi="仿宋" w:eastAsia="仿宋" w:cs="仿宋"/>
          <w:color w:val="333333"/>
          <w:kern w:val="0"/>
          <w:sz w:val="32"/>
          <w:szCs w:val="32"/>
          <w:shd w:val="clear" w:color="auto" w:fill="FBFBFB"/>
        </w:rPr>
      </w:pPr>
    </w:p>
    <w:p>
      <w:pPr>
        <w:pBdr>
          <w:bottom w:val="single" w:color="FFFFFF" w:sz="4" w:space="25"/>
        </w:pBdr>
        <w:tabs>
          <w:tab w:val="left" w:pos="1440"/>
        </w:tabs>
        <w:adjustRightInd w:val="0"/>
        <w:snapToGrid w:val="0"/>
        <w:spacing w:line="560" w:lineRule="exact"/>
        <w:ind w:firstLine="640" w:firstLineChars="200"/>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三、收支预算情况说明</w:t>
      </w:r>
    </w:p>
    <w:p>
      <w:pPr>
        <w:widowControl/>
        <w:shd w:val="clear" w:color="auto" w:fill="FFFFFF"/>
        <w:spacing w:before="100" w:beforeAutospacing="1" w:after="100" w:afterAutospacing="1" w:line="480" w:lineRule="auto"/>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　　按照综合预算的原则，我中心所有收入和支出均纳入部门预算管理。收入包括：一般公共预算拨款收入、上年结转；支出包括：一般公共服务支出、社会保障和就业支出、医疗卫生与计划生育支出、住房保障支出。国资中心2020年收支总预算667.06万元。</w:t>
      </w:r>
    </w:p>
    <w:p>
      <w:pPr>
        <w:widowControl/>
        <w:shd w:val="clear" w:color="auto" w:fill="FFFFFF"/>
        <w:spacing w:before="100" w:beforeAutospacing="1" w:after="100" w:afterAutospacing="1" w:line="480" w:lineRule="auto"/>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　　（一）收入预算情况</w:t>
      </w:r>
    </w:p>
    <w:p>
      <w:pPr>
        <w:widowControl/>
        <w:shd w:val="clear" w:color="auto" w:fill="FFFFFF"/>
        <w:spacing w:before="100" w:beforeAutospacing="1" w:after="100" w:afterAutospacing="1" w:line="480" w:lineRule="auto"/>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　　国资中心2020年收入预算667.06万元，其中：上年结转0万元，占0%；一般公共预算拨款收入407.06万元，占61.02%。政府性基金预算拨款收入260.00万元，占38.98%</w:t>
      </w:r>
    </w:p>
    <w:p>
      <w:pPr>
        <w:widowControl/>
        <w:shd w:val="clear" w:color="auto" w:fill="FFFFFF"/>
        <w:spacing w:before="100" w:beforeAutospacing="1" w:after="100" w:afterAutospacing="1" w:line="480" w:lineRule="auto"/>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　　（二）支出预算情况</w:t>
      </w:r>
    </w:p>
    <w:p>
      <w:pPr>
        <w:widowControl/>
        <w:shd w:val="clear" w:color="auto" w:fill="FFFFFF"/>
        <w:spacing w:before="100" w:beforeAutospacing="1" w:after="100" w:afterAutospacing="1" w:line="480" w:lineRule="auto"/>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　　国资中心2020年支出预算667.06万元，其中：基本支出101.06万元，占15.15%；项目支出566万元，占84.85%。</w:t>
      </w:r>
    </w:p>
    <w:p>
      <w:pPr>
        <w:widowControl/>
        <w:shd w:val="clear" w:color="auto" w:fill="FFFFFF"/>
        <w:spacing w:before="100" w:beforeAutospacing="1" w:after="100" w:afterAutospacing="1" w:line="480" w:lineRule="auto"/>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　　四、财政拨款收支预算情况说明</w:t>
      </w:r>
    </w:p>
    <w:p>
      <w:pPr>
        <w:widowControl/>
        <w:shd w:val="clear" w:color="auto" w:fill="FFFFFF"/>
        <w:spacing w:before="100" w:beforeAutospacing="1" w:after="100" w:afterAutospacing="1" w:line="480" w:lineRule="auto"/>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　 国资中心2020年财政拨款收支总预算667.06万元。收入包括：本年一般公共预算拨款收入</w:t>
      </w:r>
      <w:r>
        <w:rPr>
          <w:rFonts w:hint="eastAsia" w:ascii="仿宋" w:hAnsi="仿宋" w:eastAsia="仿宋" w:cs="仿宋"/>
          <w:kern w:val="0"/>
          <w:sz w:val="32"/>
          <w:szCs w:val="32"/>
          <w:shd w:val="clear" w:color="auto" w:fill="FFFFFF"/>
        </w:rPr>
        <w:t>407.06</w:t>
      </w:r>
      <w:r>
        <w:rPr>
          <w:rFonts w:hint="eastAsia" w:ascii="仿宋" w:hAnsi="仿宋" w:eastAsia="仿宋" w:cs="仿宋"/>
          <w:color w:val="333333"/>
          <w:kern w:val="0"/>
          <w:sz w:val="32"/>
          <w:szCs w:val="32"/>
          <w:shd w:val="clear" w:color="auto" w:fill="FFFFFF"/>
        </w:rPr>
        <w:t>万元、上年结转一般公共预算拨款收入0万元；支出包括：社会保障和就业支出11.71万元，医疗卫生与计划生育支出7.05万元，资源勘探信息等支出71.71万元，住房保障支出10.59万元，城乡社区支出306.00万元。政府性基金预算拨款收入260.00万元，上年结转政府性基金预算拨款收入0万元；支出包括城乡社区支出260.00万元。</w:t>
      </w:r>
    </w:p>
    <w:p>
      <w:pPr>
        <w:widowControl/>
        <w:shd w:val="clear" w:color="auto" w:fill="FFFFFF"/>
        <w:spacing w:before="100" w:beforeAutospacing="1" w:after="100" w:afterAutospacing="1" w:line="480" w:lineRule="auto"/>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　　五、一般公共预算当年拨款情况说明</w:t>
      </w:r>
    </w:p>
    <w:p>
      <w:pPr>
        <w:widowControl/>
        <w:shd w:val="clear" w:color="auto" w:fill="FFFFFF"/>
        <w:spacing w:before="100" w:beforeAutospacing="1" w:after="100" w:afterAutospacing="1" w:line="480" w:lineRule="auto"/>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　　（一）一般公共预算当年拨款规模变化情况</w:t>
      </w:r>
    </w:p>
    <w:p>
      <w:pPr>
        <w:widowControl/>
        <w:shd w:val="clear" w:color="auto" w:fill="FFFFFF"/>
        <w:spacing w:before="100" w:beforeAutospacing="1" w:after="100" w:afterAutospacing="1" w:line="480" w:lineRule="auto"/>
        <w:ind w:firstLine="640"/>
        <w:jc w:val="left"/>
        <w:rPr>
          <w:rFonts w:ascii="仿宋" w:hAnsi="仿宋" w:eastAsia="仿宋" w:cs="仿宋"/>
          <w:color w:val="333333"/>
          <w:kern w:val="0"/>
          <w:sz w:val="32"/>
          <w:szCs w:val="32"/>
          <w:shd w:val="clear" w:color="auto" w:fill="FFFFFF"/>
        </w:rPr>
      </w:pPr>
      <w:r>
        <w:rPr>
          <w:rFonts w:hint="eastAsia" w:ascii="仿宋" w:hAnsi="仿宋" w:eastAsia="仿宋" w:cs="仿宋"/>
          <w:color w:val="333333"/>
          <w:kern w:val="0"/>
          <w:sz w:val="32"/>
          <w:szCs w:val="32"/>
          <w:shd w:val="clear" w:color="auto" w:fill="FFFFFF"/>
        </w:rPr>
        <w:t>国资中心2020年一般公共预算当年拨款407.06万元，比2019年预算数增加288.41万元。主要是增加了城乡社区支出用于</w:t>
      </w:r>
      <w:r>
        <w:rPr>
          <w:rFonts w:hint="eastAsia" w:ascii="仿宋" w:hAnsi="仿宋" w:eastAsia="仿宋" w:cs="仿宋"/>
          <w:sz w:val="30"/>
          <w:szCs w:val="30"/>
        </w:rPr>
        <w:t>漳扎镇环卫经费支</w:t>
      </w:r>
      <w:r>
        <w:rPr>
          <w:rFonts w:hint="eastAsia" w:ascii="仿宋" w:hAnsi="仿宋" w:eastAsia="仿宋" w:cs="仿宋"/>
          <w:color w:val="333333"/>
          <w:kern w:val="0"/>
          <w:sz w:val="32"/>
          <w:szCs w:val="32"/>
          <w:shd w:val="clear" w:color="auto" w:fill="FFFFFF"/>
        </w:rPr>
        <w:t>。　　</w:t>
      </w:r>
    </w:p>
    <w:p>
      <w:pPr>
        <w:widowControl/>
        <w:shd w:val="clear" w:color="auto" w:fill="FFFFFF"/>
        <w:spacing w:before="100" w:beforeAutospacing="1" w:after="100" w:afterAutospacing="1" w:line="480" w:lineRule="auto"/>
        <w:ind w:firstLine="640"/>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（二）一般公共预算当年拨款结构情况</w:t>
      </w:r>
    </w:p>
    <w:p>
      <w:pPr>
        <w:widowControl/>
        <w:shd w:val="clear" w:color="auto" w:fill="FFFFFF"/>
        <w:spacing w:before="100" w:beforeAutospacing="1" w:after="100" w:afterAutospacing="1" w:line="480" w:lineRule="auto"/>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　　社会保障和就业支出11.71万元，占2.88%；医疗卫生与计划生育支出7.05万元，占1.74%；其他国有资产监管支出71.71万元，占17.63%；住房保障支出10.59万元，占2.61%；城乡社区支出306.00万元，占75.14%</w:t>
      </w:r>
    </w:p>
    <w:p>
      <w:pPr>
        <w:widowControl/>
        <w:shd w:val="clear" w:color="auto" w:fill="FFFFFF"/>
        <w:spacing w:before="100" w:beforeAutospacing="1" w:after="100" w:afterAutospacing="1" w:line="480" w:lineRule="auto"/>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　　（三）一般公共预算当年拨款具体使用情况</w:t>
      </w:r>
    </w:p>
    <w:p>
      <w:pPr>
        <w:widowControl/>
        <w:shd w:val="clear" w:color="auto" w:fill="FFFFFF"/>
        <w:spacing w:before="100" w:beforeAutospacing="1" w:after="100" w:afterAutospacing="1" w:line="480" w:lineRule="auto"/>
        <w:ind w:firstLine="640"/>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1、其他国有资产监管支出2150799 :2020年预算数为71.71万元，主要用于：单位正常运转的基本支出，包括基本工资、津贴补贴等人员经费以及办公费、印刷费、等日常公用经费。</w:t>
      </w:r>
    </w:p>
    <w:p>
      <w:pPr>
        <w:widowControl/>
        <w:shd w:val="clear" w:color="auto" w:fill="FFFFFF"/>
        <w:spacing w:before="100" w:beforeAutospacing="1" w:after="100" w:afterAutospacing="1" w:line="480" w:lineRule="auto"/>
        <w:ind w:firstLine="640"/>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2、机关事业单位基本养老保险缴费支出2080505:2020年预算数为11.71万元，主要用于：实施养老保险制度后，部门按规定由单位缴纳的基本养老保险费支出。</w:t>
      </w:r>
    </w:p>
    <w:p>
      <w:pPr>
        <w:widowControl/>
        <w:shd w:val="clear" w:color="auto" w:fill="FFFFFF"/>
        <w:spacing w:before="100" w:beforeAutospacing="1" w:after="100" w:afterAutospacing="1" w:line="480" w:lineRule="auto"/>
        <w:ind w:firstLine="640"/>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 xml:space="preserve">3、事业单位医疗2101102:2020年预算数为7.05万元，主要用于：用于事业单位职工医疗保险支出。 </w:t>
      </w:r>
    </w:p>
    <w:p>
      <w:pPr>
        <w:widowControl/>
        <w:shd w:val="clear" w:color="auto" w:fill="FFFFFF"/>
        <w:spacing w:before="100" w:beforeAutospacing="1" w:after="100" w:afterAutospacing="1" w:line="480" w:lineRule="auto"/>
        <w:ind w:firstLine="640"/>
        <w:jc w:val="left"/>
        <w:rPr>
          <w:rFonts w:ascii="仿宋" w:hAnsi="仿宋" w:eastAsia="仿宋" w:cs="仿宋"/>
          <w:color w:val="333333"/>
          <w:kern w:val="0"/>
          <w:sz w:val="32"/>
          <w:szCs w:val="32"/>
          <w:shd w:val="clear" w:color="auto" w:fill="FFFFFF"/>
        </w:rPr>
      </w:pPr>
      <w:r>
        <w:rPr>
          <w:rFonts w:hint="eastAsia" w:ascii="仿宋" w:hAnsi="仿宋" w:eastAsia="仿宋" w:cs="仿宋"/>
          <w:color w:val="333333"/>
          <w:kern w:val="0"/>
          <w:sz w:val="32"/>
          <w:szCs w:val="32"/>
          <w:shd w:val="clear" w:color="auto" w:fill="FFFFFF"/>
        </w:rPr>
        <w:t xml:space="preserve">4.住房保障住房改革支出住房公积金2210201:2020年预算数为10.59万元，主要用于：部门按人力资源和社会保障部、财政部规定的基本工资和津贴补贴以及规定比例为职工缴纳的住房公积金支出。 </w:t>
      </w:r>
    </w:p>
    <w:p>
      <w:pPr>
        <w:widowControl/>
        <w:shd w:val="clear" w:color="auto" w:fill="FFFFFF"/>
        <w:spacing w:before="100" w:beforeAutospacing="1" w:after="100" w:afterAutospacing="1" w:line="480" w:lineRule="auto"/>
        <w:ind w:firstLine="640"/>
        <w:jc w:val="left"/>
        <w:rPr>
          <w:rFonts w:ascii="仿宋" w:hAnsi="仿宋" w:eastAsia="仿宋" w:cs="仿宋"/>
          <w:color w:val="333333"/>
          <w:kern w:val="0"/>
          <w:sz w:val="32"/>
          <w:szCs w:val="32"/>
          <w:shd w:val="clear" w:color="auto" w:fill="FFFFFF"/>
        </w:rPr>
      </w:pPr>
      <w:r>
        <w:rPr>
          <w:rFonts w:hint="eastAsia" w:ascii="仿宋" w:hAnsi="仿宋" w:eastAsia="仿宋" w:cs="仿宋"/>
          <w:color w:val="333333"/>
          <w:kern w:val="0"/>
          <w:sz w:val="32"/>
          <w:szCs w:val="32"/>
          <w:shd w:val="clear" w:color="auto" w:fill="FFFFFF"/>
        </w:rPr>
        <w:t>5.城乡社区环境支出2120501:2020年的预算数为306.00万元:</w:t>
      </w:r>
      <w:r>
        <w:rPr>
          <w:rFonts w:hint="eastAsia" w:ascii="仿宋" w:hAnsi="仿宋" w:eastAsia="仿宋" w:cs="仿宋"/>
          <w:color w:val="000000" w:themeColor="text1"/>
          <w:kern w:val="0"/>
          <w:sz w:val="32"/>
          <w:szCs w:val="32"/>
          <w:shd w:val="clear" w:color="auto" w:fill="FFFFFF"/>
        </w:rPr>
        <w:t xml:space="preserve">主要用于城乡社区道路清扫、垃圾清运与处理、公厕建设与维护、园林绿化等反面的支出。   </w:t>
      </w:r>
      <w:r>
        <w:rPr>
          <w:rFonts w:hint="eastAsia" w:ascii="仿宋" w:hAnsi="仿宋" w:eastAsia="仿宋" w:cs="仿宋"/>
          <w:color w:val="333333"/>
          <w:kern w:val="0"/>
          <w:sz w:val="32"/>
          <w:szCs w:val="32"/>
          <w:shd w:val="clear" w:color="auto" w:fill="FFFFFF"/>
        </w:rPr>
        <w:t>　</w:t>
      </w:r>
    </w:p>
    <w:p>
      <w:pPr>
        <w:widowControl/>
        <w:shd w:val="clear" w:color="auto" w:fill="FFFFFF"/>
        <w:spacing w:before="100" w:beforeAutospacing="1" w:after="100" w:afterAutospacing="1" w:line="480" w:lineRule="auto"/>
        <w:ind w:firstLine="640"/>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六、一般公共预算基本支出情况说明</w:t>
      </w:r>
    </w:p>
    <w:p>
      <w:pPr>
        <w:widowControl/>
        <w:shd w:val="clear" w:color="auto" w:fill="FFFFFF"/>
        <w:spacing w:before="100" w:beforeAutospacing="1" w:after="100" w:afterAutospacing="1" w:line="480" w:lineRule="auto"/>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　　国资中心2019年其他国有支出监管支出预算基本支出101.06万元，其中：</w:t>
      </w:r>
    </w:p>
    <w:p>
      <w:pPr>
        <w:widowControl/>
        <w:shd w:val="clear" w:color="auto" w:fill="FFFFFF"/>
        <w:spacing w:before="100" w:beforeAutospacing="1" w:after="100" w:afterAutospacing="1" w:line="480" w:lineRule="auto"/>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　　人员经费92.78万元，主要包括：基本工资、津贴补贴、奖金、社会保险缴费、绩效工资、机关事业单位基本养老保险缴费、职业年金缴费、其他工资福利支出、离休费、住房公积金、其他对个人和家庭的补助支出。</w:t>
      </w:r>
    </w:p>
    <w:p>
      <w:pPr>
        <w:widowControl/>
        <w:shd w:val="clear" w:color="auto" w:fill="FFFFFF"/>
        <w:spacing w:before="100" w:beforeAutospacing="1" w:after="100" w:afterAutospacing="1" w:line="480" w:lineRule="auto"/>
        <w:ind w:firstLine="640"/>
        <w:jc w:val="left"/>
        <w:rPr>
          <w:rFonts w:ascii="仿宋" w:hAnsi="仿宋" w:eastAsia="仿宋" w:cs="仿宋"/>
          <w:color w:val="333333"/>
          <w:kern w:val="0"/>
          <w:sz w:val="32"/>
          <w:szCs w:val="32"/>
          <w:shd w:val="clear" w:color="auto" w:fill="FFFFFF"/>
        </w:rPr>
      </w:pPr>
      <w:r>
        <w:rPr>
          <w:rFonts w:hint="eastAsia" w:ascii="仿宋" w:hAnsi="仿宋" w:eastAsia="仿宋" w:cs="仿宋"/>
          <w:color w:val="333333"/>
          <w:kern w:val="0"/>
          <w:sz w:val="32"/>
          <w:szCs w:val="32"/>
          <w:shd w:val="clear" w:color="auto" w:fill="FFFFFF"/>
        </w:rPr>
        <w:t>公用经费8.28万元，主要包括：办公费、印刷费、手续费、水费、电费、邮电费、差旅费、、会议费、培训费、劳务费、工会经费、福利费、其他商品和服务支出。</w:t>
      </w:r>
    </w:p>
    <w:p>
      <w:pPr>
        <w:widowControl/>
        <w:numPr>
          <w:ilvl w:val="0"/>
          <w:numId w:val="2"/>
        </w:numPr>
        <w:shd w:val="clear" w:color="auto" w:fill="FFFFFF"/>
        <w:spacing w:before="100" w:beforeAutospacing="1" w:after="100" w:afterAutospacing="1" w:line="480" w:lineRule="auto"/>
        <w:ind w:firstLine="640"/>
        <w:jc w:val="left"/>
        <w:rPr>
          <w:rFonts w:ascii="仿宋" w:hAnsi="仿宋" w:eastAsia="仿宋" w:cs="仿宋"/>
          <w:color w:val="333333"/>
          <w:kern w:val="0"/>
          <w:sz w:val="32"/>
          <w:szCs w:val="32"/>
          <w:shd w:val="clear" w:color="auto" w:fill="FFFFFF"/>
        </w:rPr>
      </w:pPr>
      <w:r>
        <w:rPr>
          <w:rFonts w:hint="eastAsia" w:ascii="仿宋" w:hAnsi="仿宋" w:eastAsia="仿宋" w:cs="仿宋"/>
          <w:color w:val="333333"/>
          <w:kern w:val="0"/>
          <w:sz w:val="32"/>
          <w:szCs w:val="32"/>
          <w:shd w:val="clear" w:color="auto" w:fill="FFFFFF"/>
        </w:rPr>
        <w:t>一般公共预算项目支出情况说明</w:t>
      </w:r>
    </w:p>
    <w:p>
      <w:pPr>
        <w:widowControl/>
        <w:shd w:val="clear" w:color="auto" w:fill="FFFFFF"/>
        <w:spacing w:before="100" w:beforeAutospacing="1" w:after="100" w:afterAutospacing="1" w:line="480" w:lineRule="auto"/>
        <w:ind w:firstLine="640" w:firstLineChars="200"/>
        <w:jc w:val="left"/>
        <w:rPr>
          <w:rFonts w:ascii="仿宋" w:hAnsi="仿宋" w:eastAsia="仿宋" w:cs="仿宋"/>
          <w:color w:val="333333"/>
          <w:kern w:val="0"/>
          <w:sz w:val="32"/>
          <w:szCs w:val="32"/>
          <w:shd w:val="clear" w:color="auto" w:fill="FFFFFF"/>
        </w:rPr>
      </w:pPr>
      <w:r>
        <w:rPr>
          <w:rFonts w:hint="eastAsia" w:ascii="仿宋" w:hAnsi="仿宋" w:eastAsia="仿宋" w:cs="仿宋"/>
          <w:color w:val="333333"/>
          <w:kern w:val="0"/>
          <w:sz w:val="32"/>
          <w:szCs w:val="32"/>
          <w:shd w:val="clear" w:color="auto" w:fill="FFFFFF"/>
        </w:rPr>
        <w:t>国资中心2019年其城乡社区环境支出预算项目支出306.00万元，</w:t>
      </w:r>
      <w:r>
        <w:rPr>
          <w:rFonts w:hint="eastAsia" w:ascii="仿宋" w:hAnsi="仿宋" w:eastAsia="仿宋" w:cs="仿宋"/>
          <w:color w:val="000000" w:themeColor="text1"/>
          <w:kern w:val="0"/>
          <w:sz w:val="32"/>
          <w:szCs w:val="32"/>
          <w:shd w:val="clear" w:color="auto" w:fill="FFFFFF"/>
        </w:rPr>
        <w:t xml:space="preserve">主要用于城乡社区道路清扫、垃圾清运与处理、公厕建设与维护、园林绿化等反面的支出。  </w:t>
      </w:r>
    </w:p>
    <w:p>
      <w:pPr>
        <w:widowControl/>
        <w:shd w:val="clear" w:color="auto" w:fill="FFFFFF"/>
        <w:spacing w:before="100" w:beforeAutospacing="1" w:after="100" w:afterAutospacing="1" w:line="480" w:lineRule="auto"/>
        <w:ind w:firstLine="640" w:firstLineChars="200"/>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八、“三公”经费财政拨款预算安排情况说明</w:t>
      </w:r>
    </w:p>
    <w:p>
      <w:pPr>
        <w:widowControl/>
        <w:shd w:val="clear" w:color="auto" w:fill="FFFFFF"/>
        <w:spacing w:before="100" w:beforeAutospacing="1" w:after="100" w:afterAutospacing="1" w:line="480" w:lineRule="auto"/>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　　2020年“三公”经费财政拨款预算数2.66万元，其中：因公出国（境）经费0万元，公务接待费0.16万元，公务用车购置及运行维护费2.5万元。</w:t>
      </w:r>
    </w:p>
    <w:p>
      <w:pPr>
        <w:widowControl/>
        <w:shd w:val="clear" w:color="auto" w:fill="FFFFFF"/>
        <w:spacing w:before="100" w:beforeAutospacing="1" w:after="100" w:afterAutospacing="1" w:line="480" w:lineRule="auto"/>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　　（一）因公出国（境）经费较2019年预算增长0%。</w:t>
      </w:r>
    </w:p>
    <w:p>
      <w:pPr>
        <w:widowControl/>
        <w:shd w:val="clear" w:color="auto" w:fill="FFFFFF"/>
        <w:spacing w:before="100" w:beforeAutospacing="1" w:after="100" w:afterAutospacing="1" w:line="480" w:lineRule="auto"/>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　　（二）公务接待费较2019年预算增加0.16万元。</w:t>
      </w:r>
    </w:p>
    <w:p>
      <w:pPr>
        <w:widowControl/>
        <w:shd w:val="clear" w:color="auto" w:fill="FFFFFF"/>
        <w:spacing w:before="100" w:beforeAutospacing="1" w:after="100" w:afterAutospacing="1" w:line="480" w:lineRule="auto"/>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　　（三）公务用车购置及运行维护费2019年预算无增减少。单位现有公务用车0辆，其中：轿车0辆、越野车0辆、多功能乘用车0辆。</w:t>
      </w:r>
    </w:p>
    <w:p>
      <w:pPr>
        <w:widowControl/>
        <w:shd w:val="clear" w:color="auto" w:fill="FFFFFF"/>
        <w:spacing w:before="100" w:beforeAutospacing="1" w:after="100" w:afterAutospacing="1" w:line="480" w:lineRule="auto"/>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　　2020年未安排公务用车购置费。</w:t>
      </w:r>
    </w:p>
    <w:p>
      <w:pPr>
        <w:widowControl/>
        <w:shd w:val="clear" w:color="auto" w:fill="FFFFFF"/>
        <w:spacing w:before="100" w:beforeAutospacing="1" w:after="100" w:afterAutospacing="1" w:line="480" w:lineRule="auto"/>
        <w:ind w:firstLine="640"/>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2020年安排公务用车运行维护费2.50万元。</w:t>
      </w:r>
    </w:p>
    <w:p>
      <w:pPr>
        <w:widowControl/>
        <w:shd w:val="clear" w:color="auto" w:fill="FFFFFF"/>
        <w:spacing w:before="100" w:beforeAutospacing="1" w:after="100" w:afterAutospacing="1" w:line="480" w:lineRule="auto"/>
        <w:ind w:firstLine="640"/>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九、政府性基金预算支出情况说明</w:t>
      </w:r>
    </w:p>
    <w:p>
      <w:pPr>
        <w:widowControl/>
        <w:shd w:val="clear" w:color="auto" w:fill="FFFFFF"/>
        <w:spacing w:before="100" w:beforeAutospacing="1" w:after="100" w:afterAutospacing="1" w:line="480" w:lineRule="auto"/>
        <w:ind w:firstLine="640"/>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2020年国资中心使用政府性基金预算拨款安排的支出为260.00万元，</w:t>
      </w:r>
      <w:r>
        <w:rPr>
          <w:rFonts w:hint="eastAsia" w:ascii="仿宋" w:hAnsi="仿宋" w:eastAsia="仿宋" w:cs="仿宋"/>
          <w:color w:val="000000" w:themeColor="text1"/>
          <w:kern w:val="0"/>
          <w:sz w:val="32"/>
          <w:szCs w:val="32"/>
          <w:shd w:val="clear" w:color="auto" w:fill="FFFFFF"/>
        </w:rPr>
        <w:t>主要用于城乡社区道路清扫、垃圾清运与处理、公厕建设与维护、园林绿化等反面的支出</w:t>
      </w:r>
    </w:p>
    <w:p>
      <w:pPr>
        <w:widowControl/>
        <w:shd w:val="clear" w:color="auto" w:fill="FFFFFF"/>
        <w:spacing w:before="100" w:beforeAutospacing="1" w:after="100" w:afterAutospacing="1" w:line="480" w:lineRule="auto"/>
        <w:jc w:val="left"/>
        <w:rPr>
          <w:rFonts w:ascii="仿宋" w:hAnsi="仿宋" w:eastAsia="仿宋" w:cs="仿宋"/>
          <w:b/>
          <w:bCs/>
          <w:color w:val="333333"/>
          <w:kern w:val="0"/>
          <w:sz w:val="24"/>
          <w:szCs w:val="24"/>
        </w:rPr>
      </w:pPr>
      <w:r>
        <w:rPr>
          <w:rFonts w:hint="eastAsia" w:ascii="仿宋" w:hAnsi="仿宋" w:eastAsia="仿宋" w:cs="仿宋"/>
          <w:b/>
          <w:bCs/>
          <w:color w:val="333333"/>
          <w:kern w:val="0"/>
          <w:sz w:val="32"/>
          <w:szCs w:val="32"/>
          <w:shd w:val="clear" w:color="auto" w:fill="FFFFFF"/>
        </w:rPr>
        <w:t>十、其他重要事项的情况说明</w:t>
      </w:r>
    </w:p>
    <w:p>
      <w:pPr>
        <w:widowControl/>
        <w:shd w:val="clear" w:color="auto" w:fill="FFFFFF"/>
        <w:spacing w:before="100" w:beforeAutospacing="1" w:after="100" w:afterAutospacing="1" w:line="480" w:lineRule="auto"/>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　　（一）机关运行经费</w:t>
      </w:r>
    </w:p>
    <w:p>
      <w:pPr>
        <w:widowControl/>
        <w:shd w:val="clear" w:color="auto" w:fill="FFFFFF"/>
        <w:spacing w:before="100" w:beforeAutospacing="1" w:after="100" w:afterAutospacing="1" w:line="480" w:lineRule="auto"/>
        <w:ind w:left="320" w:hanging="320" w:hangingChars="100"/>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　　2020年，国资中心公用经费财政拨款预算为101.06万元，比2019年预算减少8.50万元，减少</w:t>
      </w:r>
      <w:r>
        <w:rPr>
          <w:rFonts w:hint="eastAsia" w:ascii="仿宋" w:hAnsi="仿宋" w:eastAsia="仿宋" w:cs="仿宋"/>
          <w:kern w:val="0"/>
          <w:sz w:val="32"/>
          <w:szCs w:val="32"/>
          <w:shd w:val="clear" w:color="auto" w:fill="FFFFFF"/>
        </w:rPr>
        <w:t>7.17%。</w:t>
      </w:r>
    </w:p>
    <w:p>
      <w:pPr>
        <w:widowControl/>
        <w:shd w:val="clear" w:color="auto" w:fill="FFFFFF"/>
        <w:spacing w:before="100" w:beforeAutospacing="1" w:after="100" w:afterAutospacing="1" w:line="480" w:lineRule="auto"/>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　　（二）政府采购情况</w:t>
      </w:r>
    </w:p>
    <w:p>
      <w:pPr>
        <w:widowControl/>
        <w:shd w:val="clear" w:color="auto" w:fill="FFFFFF"/>
        <w:spacing w:before="100" w:beforeAutospacing="1" w:after="100" w:afterAutospacing="1" w:line="480" w:lineRule="auto"/>
        <w:ind w:firstLine="640"/>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2020年，国资中心安排政府采购预算0万元。</w:t>
      </w:r>
    </w:p>
    <w:p>
      <w:pPr>
        <w:widowControl/>
        <w:shd w:val="clear" w:color="auto" w:fill="FFFFFF"/>
        <w:spacing w:before="100" w:beforeAutospacing="1" w:after="100" w:afterAutospacing="1" w:line="480" w:lineRule="auto"/>
        <w:ind w:firstLine="640"/>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（三）国有资产占有使用情况</w:t>
      </w:r>
    </w:p>
    <w:p>
      <w:pPr>
        <w:widowControl/>
        <w:shd w:val="clear" w:color="auto" w:fill="FFFFFF"/>
        <w:spacing w:before="100" w:beforeAutospacing="1" w:after="100" w:afterAutospacing="1" w:line="480" w:lineRule="auto"/>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 xml:space="preserve">　　截至2019年底，国资中心所属各预算单位共有车辆0辆。 </w:t>
      </w:r>
    </w:p>
    <w:p>
      <w:pPr>
        <w:widowControl/>
        <w:shd w:val="clear" w:color="auto" w:fill="FFFFFF"/>
        <w:spacing w:before="100" w:beforeAutospacing="1" w:after="100" w:afterAutospacing="1" w:line="480" w:lineRule="auto"/>
        <w:jc w:val="left"/>
        <w:rPr>
          <w:rFonts w:hint="eastAsia" w:ascii="仿宋" w:hAnsi="仿宋" w:eastAsia="仿宋" w:cs="仿宋"/>
          <w:color w:val="333333"/>
          <w:kern w:val="0"/>
          <w:sz w:val="32"/>
          <w:szCs w:val="32"/>
          <w:shd w:val="clear" w:color="auto" w:fill="FFFFFF"/>
        </w:rPr>
      </w:pPr>
      <w:r>
        <w:rPr>
          <w:rFonts w:hint="eastAsia" w:ascii="仿宋" w:hAnsi="仿宋" w:eastAsia="仿宋" w:cs="仿宋"/>
          <w:color w:val="333333"/>
          <w:kern w:val="0"/>
          <w:sz w:val="32"/>
          <w:szCs w:val="32"/>
          <w:shd w:val="clear" w:color="auto" w:fill="FFFFFF"/>
        </w:rPr>
        <w:t>　　2020年部门预算未安排购置车辆及单位价值200万元以上大型设备。</w:t>
      </w:r>
    </w:p>
    <w:p>
      <w:pPr>
        <w:widowControl/>
        <w:shd w:val="clear" w:color="auto" w:fill="FFFFFF"/>
        <w:spacing w:before="100" w:beforeAutospacing="1" w:after="100" w:afterAutospacing="1" w:line="480" w:lineRule="auto"/>
        <w:jc w:val="left"/>
        <w:rPr>
          <w:rFonts w:ascii="仿宋" w:hAnsi="仿宋" w:eastAsia="仿宋" w:cs="仿宋"/>
          <w:color w:val="333333"/>
          <w:kern w:val="0"/>
          <w:sz w:val="32"/>
          <w:szCs w:val="32"/>
          <w:shd w:val="clear" w:color="auto" w:fill="FFFFFF"/>
        </w:rPr>
      </w:pPr>
      <w:r>
        <w:rPr>
          <w:rFonts w:hint="eastAsia" w:ascii="仿宋" w:hAnsi="仿宋" w:eastAsia="仿宋" w:cs="仿宋"/>
          <w:color w:val="333333"/>
          <w:kern w:val="0"/>
          <w:sz w:val="32"/>
          <w:szCs w:val="32"/>
          <w:shd w:val="clear" w:color="auto" w:fill="FFFFFF"/>
        </w:rPr>
        <w:t xml:space="preserve">    (四)绩效目标情况</w:t>
      </w:r>
    </w:p>
    <w:p>
      <w:pPr>
        <w:widowControl/>
        <w:shd w:val="clear" w:color="auto" w:fill="FFFFFF"/>
        <w:spacing w:before="100" w:beforeAutospacing="1" w:after="100" w:afterAutospacing="1" w:line="480" w:lineRule="auto"/>
        <w:ind w:firstLine="640"/>
        <w:jc w:val="left"/>
        <w:rPr>
          <w:rFonts w:ascii="仿宋" w:hAnsi="仿宋" w:eastAsia="仿宋" w:cs="仿宋"/>
          <w:color w:val="333333"/>
          <w:kern w:val="0"/>
          <w:sz w:val="32"/>
          <w:szCs w:val="32"/>
          <w:shd w:val="clear" w:color="auto" w:fill="FFFFFF"/>
        </w:rPr>
      </w:pPr>
      <w:r>
        <w:rPr>
          <w:rFonts w:hint="eastAsia" w:ascii="仿宋" w:hAnsi="仿宋" w:eastAsia="仿宋" w:cs="仿宋"/>
          <w:sz w:val="32"/>
          <w:szCs w:val="32"/>
          <w:shd w:val="clear" w:color="auto" w:fill="FFFFFF"/>
        </w:rPr>
        <w:t>绩效目标是预算编制的前提和基础，</w:t>
      </w:r>
      <w:r>
        <w:rPr>
          <w:rFonts w:hint="eastAsia" w:ascii="仿宋" w:hAnsi="仿宋" w:eastAsia="仿宋" w:cs="仿宋"/>
          <w:color w:val="333333"/>
          <w:kern w:val="0"/>
          <w:sz w:val="32"/>
          <w:szCs w:val="32"/>
          <w:shd w:val="clear" w:color="auto" w:fill="FFFFFF"/>
        </w:rPr>
        <w:t>2020年国资中心通用项目和专用项目均按要求实行绩效目标管理，涉及一般公共预算当年拨款407.06万元，政府性基金预算拨款数260.00万元。年度总体目标任务是：完成脱贫</w:t>
      </w:r>
      <w:bookmarkStart w:id="0" w:name="_GoBack"/>
      <w:bookmarkEnd w:id="0"/>
      <w:r>
        <w:rPr>
          <w:rFonts w:hint="eastAsia" w:ascii="仿宋" w:hAnsi="仿宋" w:eastAsia="仿宋" w:cs="仿宋"/>
          <w:color w:val="333333"/>
          <w:kern w:val="0"/>
          <w:sz w:val="32"/>
          <w:szCs w:val="32"/>
          <w:shd w:val="clear" w:color="auto" w:fill="FFFFFF"/>
        </w:rPr>
        <w:t>攻坚工作，化解信访件解决历史遗留问题。</w:t>
      </w:r>
    </w:p>
    <w:p>
      <w:pPr>
        <w:widowControl/>
        <w:shd w:val="clear" w:color="auto" w:fill="FFFFFF"/>
        <w:spacing w:before="100" w:beforeAutospacing="1" w:after="100" w:afterAutospacing="1" w:line="480" w:lineRule="auto"/>
        <w:ind w:firstLine="640"/>
        <w:jc w:val="left"/>
        <w:rPr>
          <w:rFonts w:ascii="仿宋" w:hAnsi="仿宋" w:eastAsia="仿宋" w:cs="仿宋"/>
          <w:sz w:val="32"/>
          <w:szCs w:val="32"/>
        </w:rPr>
      </w:pPr>
      <w:r>
        <w:rPr>
          <w:rFonts w:hint="eastAsia" w:ascii="仿宋" w:hAnsi="仿宋" w:eastAsia="仿宋" w:cs="仿宋"/>
          <w:sz w:val="32"/>
          <w:szCs w:val="32"/>
        </w:rPr>
        <w:t>1、数量指标：完成脱贫攻坚走访200余人次，化解信访件解决历史遗留问题5件。</w:t>
      </w:r>
    </w:p>
    <w:p>
      <w:pPr>
        <w:widowControl/>
        <w:spacing w:line="56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2、质量指标：完成脱贫攻坚走访，提升群众满意度；化解信访件解决历史遗留问题解决信访件。</w:t>
      </w:r>
    </w:p>
    <w:p>
      <w:pPr>
        <w:widowControl/>
        <w:spacing w:line="56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3、时效指标：项目按期完成率100%。</w:t>
      </w:r>
    </w:p>
    <w:p>
      <w:pPr>
        <w:widowControl/>
        <w:spacing w:line="56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4、成本指标：2020年12月底完成脱贫攻坚走访工作，阶段性完成化解信访件解决历史遗留问题。</w:t>
      </w:r>
    </w:p>
    <w:p>
      <w:pPr>
        <w:widowControl/>
        <w:spacing w:line="56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5、社会效益指标：完成脱贫攻坚走访提高群众满意度，解决历史遗留问题完成信访件。</w:t>
      </w:r>
    </w:p>
    <w:p>
      <w:pPr>
        <w:widowControl/>
        <w:spacing w:line="56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6、满意度指标：脱贫攻坚群众满意度100%，解决历史遗留问题完成信访件达到满意度100%。</w:t>
      </w:r>
    </w:p>
    <w:p>
      <w:pPr>
        <w:widowControl/>
        <w:shd w:val="clear" w:color="auto" w:fill="FFFFFF"/>
        <w:spacing w:before="100" w:beforeAutospacing="1" w:after="100" w:afterAutospacing="1" w:line="480" w:lineRule="auto"/>
        <w:ind w:firstLine="642" w:firstLineChars="200"/>
        <w:jc w:val="left"/>
        <w:rPr>
          <w:rFonts w:ascii="仿宋" w:hAnsi="仿宋" w:eastAsia="仿宋" w:cs="仿宋"/>
          <w:b/>
          <w:bCs/>
          <w:color w:val="333333"/>
          <w:kern w:val="0"/>
          <w:sz w:val="24"/>
          <w:szCs w:val="24"/>
        </w:rPr>
      </w:pPr>
      <w:r>
        <w:rPr>
          <w:rFonts w:hint="eastAsia" w:ascii="仿宋" w:hAnsi="仿宋" w:eastAsia="仿宋" w:cs="仿宋"/>
          <w:b/>
          <w:bCs/>
          <w:color w:val="333333"/>
          <w:kern w:val="0"/>
          <w:sz w:val="32"/>
          <w:szCs w:val="32"/>
          <w:shd w:val="clear" w:color="auto" w:fill="FFFFFF"/>
        </w:rPr>
        <w:t>十一、名词解释</w:t>
      </w:r>
    </w:p>
    <w:p>
      <w:pPr>
        <w:widowControl/>
        <w:shd w:val="clear" w:color="auto" w:fill="FFFFFF"/>
        <w:spacing w:before="100" w:beforeAutospacing="1" w:after="100" w:afterAutospacing="1" w:line="480" w:lineRule="auto"/>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　 1、一般公共预算拨款收入：指县级财政当年拨付的资金。</w:t>
      </w:r>
    </w:p>
    <w:p>
      <w:pPr>
        <w:widowControl/>
        <w:shd w:val="clear" w:color="auto" w:fill="FFFFFF"/>
        <w:spacing w:before="100" w:beforeAutospacing="1" w:after="100" w:afterAutospacing="1" w:line="480" w:lineRule="auto"/>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　　2、其他国有资产监管支出：指反映上述项目以外其他用于国有资产监管方面的支出。　　　　</w:t>
      </w:r>
    </w:p>
    <w:p>
      <w:pPr>
        <w:widowControl/>
        <w:shd w:val="clear" w:color="auto" w:fill="FFFFFF"/>
        <w:spacing w:before="100" w:beforeAutospacing="1" w:after="100" w:afterAutospacing="1" w:line="480" w:lineRule="auto"/>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　　3、社会保障和就业（类）行政事业单位离退休（款）事业单位离退休（项）：指单位离退休人员的支出。</w:t>
      </w:r>
    </w:p>
    <w:p>
      <w:pPr>
        <w:widowControl/>
        <w:shd w:val="clear" w:color="auto" w:fill="FFFFFF"/>
        <w:spacing w:before="100" w:beforeAutospacing="1" w:after="100" w:afterAutospacing="1" w:line="480" w:lineRule="auto"/>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　  4、社会保障和就业（类）行政事业单位离退休（款）机关事业单位基本养老保险缴费支出（项）：指部门实施养老保险制度由单位缴纳的养老保险费的支出。</w:t>
      </w:r>
    </w:p>
    <w:p>
      <w:pPr>
        <w:widowControl/>
        <w:shd w:val="clear" w:color="auto" w:fill="FFFFFF"/>
        <w:spacing w:before="100" w:beforeAutospacing="1" w:after="100" w:afterAutospacing="1" w:line="480" w:lineRule="auto"/>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　　5、社会保障和就业（类）行政事业单位离退休（款）机关事业单位职业年金缴费支出（项）：指部门实施养老保险制度由单位缴纳的职业年金的支出。</w:t>
      </w:r>
    </w:p>
    <w:p>
      <w:pPr>
        <w:widowControl/>
        <w:shd w:val="clear" w:color="auto" w:fill="FFFFFF"/>
        <w:spacing w:before="100" w:beforeAutospacing="1" w:after="100" w:afterAutospacing="1" w:line="480" w:lineRule="auto"/>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　　6、社会保障和就业（类）其他社会保障和就业（款）其他社会保障和就业支出（项）：指除上述项目外，其他用于行政事业单位离退休方面的支出。</w:t>
      </w:r>
    </w:p>
    <w:p>
      <w:pPr>
        <w:widowControl/>
        <w:shd w:val="clear" w:color="auto" w:fill="FFFFFF"/>
        <w:spacing w:before="100" w:beforeAutospacing="1" w:after="100" w:afterAutospacing="1" w:line="480" w:lineRule="auto"/>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　　7、医疗卫生与计划生育（类）行政事业单位医疗（款）事业单位医疗（项）：指事业单位用于缴纳单位基本医疗保险支出。</w:t>
      </w:r>
    </w:p>
    <w:p>
      <w:pPr>
        <w:widowControl/>
        <w:shd w:val="clear" w:color="auto" w:fill="FFFFFF"/>
        <w:spacing w:before="100" w:beforeAutospacing="1" w:after="100" w:afterAutospacing="1" w:line="480" w:lineRule="auto"/>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　  8、住房保障（类）住房改革支出（款）住房公积金（项）：指按照《住房公积金管理条例》的规定，由单位及其在职职工缴存的长期住房储金。</w:t>
      </w:r>
    </w:p>
    <w:p>
      <w:pPr>
        <w:widowControl/>
        <w:shd w:val="clear" w:color="auto" w:fill="FFFFFF"/>
        <w:spacing w:before="100" w:beforeAutospacing="1" w:after="100" w:afterAutospacing="1" w:line="480" w:lineRule="auto"/>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　　9、基本支出：指为保证机构正常运转，完成日常工作任务而发生的人员支出和公用支出。</w:t>
      </w:r>
    </w:p>
    <w:p>
      <w:pPr>
        <w:widowControl/>
        <w:shd w:val="clear" w:color="auto" w:fill="FFFFFF"/>
        <w:spacing w:before="100" w:beforeAutospacing="1" w:after="100" w:afterAutospacing="1" w:line="480" w:lineRule="auto"/>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　　10、项目支出：指在基本支出之外为完成特定行政任务和事业发展目标所发生的支出。</w:t>
      </w:r>
    </w:p>
    <w:p>
      <w:pPr>
        <w:widowControl/>
        <w:shd w:val="clear" w:color="auto" w:fill="FFFFFF"/>
        <w:spacing w:before="100" w:beforeAutospacing="1" w:after="100" w:afterAutospacing="1" w:line="480" w:lineRule="auto"/>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　　11、“三公”经费：纳入部门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widowControl/>
        <w:shd w:val="clear" w:color="auto" w:fill="FFFFFF"/>
        <w:spacing w:before="100" w:beforeAutospacing="1" w:after="100" w:afterAutospacing="1" w:line="480" w:lineRule="auto"/>
        <w:ind w:firstLine="660"/>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12、机关运行经费：为保障行政单位（包含参照公务员法管理的事业单位）运行用于购买货物和服务的各项资金。包括办公及印刷费、邮电费、差旅费、会议费一般设备购置费等费用开支。</w:t>
      </w:r>
    </w:p>
    <w:p>
      <w:pPr>
        <w:widowControl/>
        <w:shd w:val="clear" w:color="auto" w:fill="FFFFFF"/>
        <w:spacing w:before="100" w:beforeAutospacing="1" w:after="100" w:afterAutospacing="1" w:line="480" w:lineRule="auto"/>
        <w:ind w:firstLine="660"/>
        <w:jc w:val="left"/>
        <w:rPr>
          <w:rFonts w:ascii="仿宋" w:hAnsi="仿宋" w:eastAsia="仿宋" w:cs="仿宋"/>
          <w:color w:val="333333"/>
          <w:kern w:val="0"/>
          <w:sz w:val="24"/>
          <w:szCs w:val="24"/>
        </w:rPr>
      </w:pPr>
      <w:r>
        <w:rPr>
          <w:rFonts w:hint="eastAsia" w:ascii="仿宋" w:hAnsi="仿宋" w:eastAsia="仿宋" w:cs="仿宋"/>
          <w:color w:val="333333"/>
          <w:kern w:val="0"/>
          <w:sz w:val="24"/>
          <w:szCs w:val="24"/>
        </w:rPr>
        <w:t> </w:t>
      </w:r>
    </w:p>
    <w:p>
      <w:pPr>
        <w:widowControl/>
        <w:shd w:val="clear" w:color="auto" w:fill="FFFFFF"/>
        <w:spacing w:before="100" w:beforeAutospacing="1" w:after="100" w:afterAutospacing="1" w:line="480" w:lineRule="auto"/>
        <w:ind w:firstLine="660"/>
        <w:jc w:val="left"/>
        <w:rPr>
          <w:rFonts w:ascii="仿宋" w:hAnsi="仿宋" w:eastAsia="仿宋" w:cs="仿宋"/>
          <w:color w:val="333333"/>
          <w:kern w:val="0"/>
          <w:sz w:val="24"/>
          <w:szCs w:val="24"/>
        </w:rPr>
      </w:pPr>
      <w:r>
        <w:rPr>
          <w:rFonts w:hint="eastAsia" w:ascii="仿宋" w:hAnsi="仿宋" w:eastAsia="仿宋" w:cs="仿宋"/>
          <w:color w:val="333333"/>
          <w:kern w:val="0"/>
          <w:sz w:val="32"/>
          <w:szCs w:val="32"/>
          <w:shd w:val="clear" w:color="auto" w:fill="FFFFFF"/>
        </w:rPr>
        <w:t>附件：2020年部门预算公开表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441C04"/>
    <w:multiLevelType w:val="singleLevel"/>
    <w:tmpl w:val="9D441C04"/>
    <w:lvl w:ilvl="0" w:tentative="0">
      <w:start w:val="2"/>
      <w:numFmt w:val="chineseCounting"/>
      <w:suff w:val="nothing"/>
      <w:lvlText w:val="%1、"/>
      <w:lvlJc w:val="left"/>
      <w:rPr>
        <w:rFonts w:hint="eastAsia"/>
      </w:rPr>
    </w:lvl>
  </w:abstractNum>
  <w:abstractNum w:abstractNumId="1">
    <w:nsid w:val="4042A3A5"/>
    <w:multiLevelType w:val="singleLevel"/>
    <w:tmpl w:val="4042A3A5"/>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B5334"/>
    <w:rsid w:val="00020AE4"/>
    <w:rsid w:val="0059595B"/>
    <w:rsid w:val="0060498F"/>
    <w:rsid w:val="0099605A"/>
    <w:rsid w:val="00BB5334"/>
    <w:rsid w:val="12E81D4C"/>
    <w:rsid w:val="235A465B"/>
    <w:rsid w:val="491B0C29"/>
    <w:rsid w:val="52DA25E2"/>
    <w:rsid w:val="578732F3"/>
    <w:rsid w:val="57B07868"/>
    <w:rsid w:val="622032B4"/>
    <w:rsid w:val="654B4E66"/>
    <w:rsid w:val="6A4074CF"/>
    <w:rsid w:val="6C6F0A41"/>
    <w:rsid w:val="F7F3EC7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heme="minorHAnsi" w:hAnsiTheme="minorHAnsi" w:eastAsiaTheme="minorEastAsia" w:cstheme="minorBidi"/>
      <w:kern w:val="2"/>
      <w:sz w:val="18"/>
      <w:szCs w:val="18"/>
    </w:rPr>
  </w:style>
  <w:style w:type="character" w:customStyle="1" w:styleId="7">
    <w:name w:val="页脚 Char"/>
    <w:basedOn w:val="5"/>
    <w:link w:val="2"/>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Pages>
  <Words>687</Words>
  <Characters>3919</Characters>
  <Lines>32</Lines>
  <Paragraphs>9</Paragraphs>
  <TotalTime>11</TotalTime>
  <ScaleCrop>false</ScaleCrop>
  <LinksUpToDate>false</LinksUpToDate>
  <CharactersWithSpaces>4597</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2020-03-01T14:53:00Z</dcterms:created>
  <dc:creator>PC</dc:creator>
  <cp:lastModifiedBy>user</cp:lastModifiedBy>
  <dcterms:modified xsi:type="dcterms:W3CDTF">2022-04-27T15:29:49Z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ies>
</file>