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center"/>
        <w:rPr>
          <w:rFonts w:ascii="仿宋" w:hAnsi="仿宋" w:eastAsia="仿宋" w:cs="仿宋"/>
          <w:i w:val="0"/>
          <w:iCs w:val="0"/>
          <w:caps w:val="0"/>
          <w:color w:val="000000"/>
          <w:spacing w:val="0"/>
          <w:kern w:val="0"/>
          <w:sz w:val="72"/>
          <w:szCs w:val="72"/>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center"/>
        <w:rPr>
          <w:rFonts w:ascii="仿宋" w:hAnsi="仿宋" w:eastAsia="仿宋" w:cs="仿宋"/>
          <w:i w:val="0"/>
          <w:iCs w:val="0"/>
          <w:caps w:val="0"/>
          <w:color w:val="000000"/>
          <w:spacing w:val="0"/>
          <w:kern w:val="0"/>
          <w:sz w:val="72"/>
          <w:szCs w:val="72"/>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center"/>
        <w:rPr>
          <w:rFonts w:ascii="仿宋" w:hAnsi="仿宋" w:eastAsia="仿宋" w:cs="仿宋"/>
          <w:i w:val="0"/>
          <w:iCs w:val="0"/>
          <w:caps w:val="0"/>
          <w:color w:val="000000"/>
          <w:spacing w:val="0"/>
          <w:kern w:val="0"/>
          <w:sz w:val="72"/>
          <w:szCs w:val="72"/>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center"/>
        <w:rPr>
          <w:rFonts w:ascii="仿宋" w:hAnsi="仿宋" w:eastAsia="仿宋" w:cs="仿宋"/>
          <w:i w:val="0"/>
          <w:iCs w:val="0"/>
          <w:caps w:val="0"/>
          <w:color w:val="000000"/>
          <w:spacing w:val="0"/>
          <w:kern w:val="0"/>
          <w:sz w:val="72"/>
          <w:szCs w:val="72"/>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center"/>
        <w:rPr>
          <w:rFonts w:hint="eastAsia" w:ascii="宋体" w:hAnsi="宋体" w:eastAsia="宋体" w:cs="宋体"/>
          <w:i w:val="0"/>
          <w:iCs w:val="0"/>
          <w:caps w:val="0"/>
          <w:color w:val="000000"/>
          <w:spacing w:val="0"/>
          <w:sz w:val="18"/>
          <w:szCs w:val="18"/>
        </w:rPr>
      </w:pPr>
      <w:r>
        <w:rPr>
          <w:rFonts w:ascii="仿宋" w:hAnsi="仿宋" w:eastAsia="仿宋" w:cs="仿宋"/>
          <w:i w:val="0"/>
          <w:iCs w:val="0"/>
          <w:caps w:val="0"/>
          <w:color w:val="000000"/>
          <w:spacing w:val="0"/>
          <w:kern w:val="0"/>
          <w:sz w:val="72"/>
          <w:szCs w:val="72"/>
          <w:lang w:val="en-US" w:eastAsia="zh-CN" w:bidi="ar"/>
        </w:rPr>
        <w:t>20</w:t>
      </w:r>
      <w:r>
        <w:rPr>
          <w:rFonts w:hint="eastAsia" w:ascii="仿宋" w:hAnsi="仿宋" w:eastAsia="仿宋" w:cs="仿宋"/>
          <w:i w:val="0"/>
          <w:iCs w:val="0"/>
          <w:caps w:val="0"/>
          <w:color w:val="000000"/>
          <w:spacing w:val="0"/>
          <w:kern w:val="0"/>
          <w:sz w:val="72"/>
          <w:szCs w:val="72"/>
          <w:lang w:val="en-US" w:eastAsia="zh-CN" w:bidi="ar"/>
        </w:rPr>
        <w:t>21年度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center"/>
        <w:rPr>
          <w:rFonts w:hint="eastAsia" w:ascii="宋体" w:hAnsi="宋体" w:eastAsia="宋体" w:cs="宋体"/>
          <w:i w:val="0"/>
          <w:iCs w:val="0"/>
          <w:caps w:val="0"/>
          <w:color w:val="000000"/>
          <w:spacing w:val="0"/>
          <w:sz w:val="18"/>
          <w:szCs w:val="18"/>
        </w:rPr>
      </w:pPr>
      <w:bookmarkStart w:id="0" w:name="_Toc15377194"/>
      <w:bookmarkEnd w:id="0"/>
      <w:bookmarkStart w:id="1" w:name="_Toc15396476"/>
      <w:bookmarkEnd w:id="1"/>
      <w:bookmarkStart w:id="2" w:name="_Toc15377426"/>
      <w:bookmarkEnd w:id="2"/>
      <w:bookmarkStart w:id="3" w:name="_Toc15396598"/>
      <w:bookmarkEnd w:id="3"/>
      <w:bookmarkStart w:id="4" w:name="_Toc15378442"/>
      <w:r>
        <w:rPr>
          <w:rFonts w:hint="eastAsia" w:ascii="仿宋" w:hAnsi="仿宋" w:eastAsia="仿宋" w:cs="仿宋"/>
          <w:i w:val="0"/>
          <w:iCs w:val="0"/>
          <w:caps w:val="0"/>
          <w:color w:val="000000"/>
          <w:spacing w:val="0"/>
          <w:kern w:val="0"/>
          <w:sz w:val="72"/>
          <w:szCs w:val="72"/>
          <w:lang w:val="en-US" w:eastAsia="zh-CN" w:bidi="ar"/>
        </w:rPr>
        <w:t>四川省</w:t>
      </w:r>
      <w:bookmarkEnd w:id="4"/>
      <w:bookmarkStart w:id="5" w:name="_Toc15306268"/>
      <w:r>
        <w:rPr>
          <w:rFonts w:hint="eastAsia" w:ascii="仿宋" w:hAnsi="仿宋" w:eastAsia="仿宋" w:cs="仿宋"/>
          <w:i w:val="0"/>
          <w:iCs w:val="0"/>
          <w:caps w:val="0"/>
          <w:color w:val="000000"/>
          <w:spacing w:val="0"/>
          <w:kern w:val="0"/>
          <w:sz w:val="72"/>
          <w:szCs w:val="72"/>
          <w:lang w:val="en-US" w:eastAsia="zh-CN" w:bidi="ar"/>
        </w:rPr>
        <w:t>九寨沟县国有资产管理中心部门决算</w:t>
      </w:r>
      <w:bookmarkEnd w:id="5"/>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i w:val="0"/>
          <w:iCs w:val="0"/>
          <w:caps w:val="0"/>
          <w:color w:val="000000"/>
          <w:spacing w:val="0"/>
          <w:sz w:val="18"/>
          <w:szCs w:val="18"/>
        </w:rPr>
      </w:pPr>
      <w:r>
        <w:rPr>
          <w:rFonts w:ascii="方正小标宋简体" w:hAnsi="方正小标宋简体" w:eastAsia="方正小标宋简体" w:cs="方正小标宋简体"/>
          <w:i w:val="0"/>
          <w:iCs w:val="0"/>
          <w:caps w:val="0"/>
          <w:color w:val="000000"/>
          <w:spacing w:val="0"/>
          <w:kern w:val="0"/>
          <w:sz w:val="36"/>
          <w:szCs w:val="36"/>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18"/>
          <w:szCs w:val="18"/>
        </w:rPr>
      </w:pPr>
      <w:r>
        <w:rPr>
          <w:rFonts w:hint="eastAsia" w:ascii="方正小标宋简体" w:hAnsi="方正小标宋简体" w:eastAsia="方正小标宋简体" w:cs="方正小标宋简体"/>
          <w:i w:val="0"/>
          <w:iCs w:val="0"/>
          <w:caps w:val="0"/>
          <w:color w:val="000000"/>
          <w:spacing w:val="0"/>
          <w:kern w:val="0"/>
          <w:sz w:val="36"/>
          <w:szCs w:val="36"/>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18"/>
          <w:szCs w:val="18"/>
        </w:rPr>
      </w:pPr>
      <w:r>
        <w:rPr>
          <w:rFonts w:hint="eastAsia" w:ascii="方正小标宋简体" w:hAnsi="方正小标宋简体" w:eastAsia="方正小标宋简体" w:cs="方正小标宋简体"/>
          <w:i w:val="0"/>
          <w:iCs w:val="0"/>
          <w:caps w:val="0"/>
          <w:color w:val="000000"/>
          <w:spacing w:val="0"/>
          <w:kern w:val="0"/>
          <w:sz w:val="36"/>
          <w:szCs w:val="36"/>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18"/>
          <w:szCs w:val="18"/>
        </w:rPr>
      </w:pPr>
      <w:r>
        <w:rPr>
          <w:rFonts w:hint="eastAsia" w:ascii="方正小标宋简体" w:hAnsi="方正小标宋简体" w:eastAsia="方正小标宋简体" w:cs="方正小标宋简体"/>
          <w:i w:val="0"/>
          <w:iCs w:val="0"/>
          <w:caps w:val="0"/>
          <w:color w:val="000000"/>
          <w:spacing w:val="0"/>
          <w:kern w:val="0"/>
          <w:sz w:val="36"/>
          <w:szCs w:val="36"/>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18"/>
          <w:szCs w:val="18"/>
        </w:rPr>
      </w:pPr>
      <w:r>
        <w:rPr>
          <w:rFonts w:hint="eastAsia" w:ascii="方正小标宋简体" w:hAnsi="方正小标宋简体" w:eastAsia="方正小标宋简体" w:cs="方正小标宋简体"/>
          <w:i w:val="0"/>
          <w:iCs w:val="0"/>
          <w:caps w:val="0"/>
          <w:color w:val="000000"/>
          <w:spacing w:val="0"/>
          <w:kern w:val="0"/>
          <w:sz w:val="36"/>
          <w:szCs w:val="36"/>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18"/>
          <w:szCs w:val="18"/>
        </w:rPr>
      </w:pPr>
      <w:r>
        <w:rPr>
          <w:rFonts w:hint="eastAsia" w:ascii="方正小标宋简体" w:hAnsi="方正小标宋简体" w:eastAsia="方正小标宋简体" w:cs="方正小标宋简体"/>
          <w:i w:val="0"/>
          <w:iCs w:val="0"/>
          <w:caps w:val="0"/>
          <w:color w:val="000000"/>
          <w:spacing w:val="0"/>
          <w:kern w:val="0"/>
          <w:sz w:val="36"/>
          <w:szCs w:val="36"/>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18"/>
          <w:szCs w:val="18"/>
        </w:rPr>
      </w:pPr>
      <w:r>
        <w:rPr>
          <w:rFonts w:hint="eastAsia" w:ascii="方正小标宋简体" w:hAnsi="方正小标宋简体" w:eastAsia="方正小标宋简体" w:cs="方正小标宋简体"/>
          <w:i w:val="0"/>
          <w:iCs w:val="0"/>
          <w:caps w:val="0"/>
          <w:color w:val="000000"/>
          <w:spacing w:val="0"/>
          <w:kern w:val="0"/>
          <w:sz w:val="36"/>
          <w:szCs w:val="36"/>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18"/>
          <w:szCs w:val="18"/>
        </w:rPr>
      </w:pPr>
      <w:r>
        <w:rPr>
          <w:rFonts w:hint="eastAsia" w:ascii="方正小标宋简体" w:hAnsi="方正小标宋简体" w:eastAsia="方正小标宋简体" w:cs="方正小标宋简体"/>
          <w:i w:val="0"/>
          <w:iCs w:val="0"/>
          <w:caps w:val="0"/>
          <w:color w:val="000000"/>
          <w:spacing w:val="0"/>
          <w:kern w:val="0"/>
          <w:sz w:val="36"/>
          <w:szCs w:val="36"/>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小标宋简体" w:hAnsi="方正小标宋简体" w:eastAsia="方正小标宋简体" w:cs="方正小标宋简体"/>
          <w:i w:val="0"/>
          <w:iCs w:val="0"/>
          <w:caps w:val="0"/>
          <w:color w:val="000000"/>
          <w:spacing w:val="0"/>
          <w:kern w:val="0"/>
          <w:sz w:val="36"/>
          <w:szCs w:val="36"/>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小标宋简体" w:hAnsi="方正小标宋简体" w:eastAsia="方正小标宋简体" w:cs="方正小标宋简体"/>
          <w:i w:val="0"/>
          <w:iCs w:val="0"/>
          <w:caps w:val="0"/>
          <w:color w:val="000000"/>
          <w:spacing w:val="0"/>
          <w:kern w:val="0"/>
          <w:sz w:val="36"/>
          <w:szCs w:val="36"/>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小标宋简体" w:hAnsi="方正小标宋简体" w:eastAsia="方正小标宋简体" w:cs="方正小标宋简体"/>
          <w:i w:val="0"/>
          <w:iCs w:val="0"/>
          <w:caps w:val="0"/>
          <w:color w:val="000000"/>
          <w:spacing w:val="0"/>
          <w:kern w:val="0"/>
          <w:sz w:val="36"/>
          <w:szCs w:val="36"/>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i w:val="0"/>
          <w:iCs w:val="0"/>
          <w:caps w:val="0"/>
          <w:smallCaps/>
          <w:color w:val="000000"/>
          <w:spacing w:val="0"/>
          <w:sz w:val="32"/>
          <w:szCs w:val="32"/>
        </w:rPr>
      </w:pPr>
      <w:r>
        <w:rPr>
          <w:rFonts w:hint="eastAsia" w:ascii="方正小标宋简体" w:hAnsi="方正小标宋简体" w:eastAsia="方正小标宋简体" w:cs="方正小标宋简体"/>
          <w:i w:val="0"/>
          <w:iCs w:val="0"/>
          <w:caps w:val="0"/>
          <w:color w:val="000000"/>
          <w:spacing w:val="0"/>
          <w:kern w:val="0"/>
          <w:sz w:val="36"/>
          <w:szCs w:val="36"/>
          <w:lang w:val="en-US" w:eastAsia="zh-CN" w:bidi="ar"/>
        </w:rPr>
        <w:br w:type="textWrapping"/>
      </w:r>
      <w:bookmarkStart w:id="153" w:name="_GoBack"/>
      <w:r>
        <w:rPr>
          <w:rFonts w:hint="eastAsia" w:ascii="仿宋" w:hAnsi="仿宋" w:eastAsia="仿宋" w:cs="仿宋"/>
          <w:i w:val="0"/>
          <w:iCs w:val="0"/>
          <w:caps w:val="0"/>
          <w:smallCaps/>
          <w:color w:val="000000"/>
          <w:spacing w:val="0"/>
          <w:sz w:val="32"/>
          <w:szCs w:val="32"/>
          <w:lang w:val="en-US" w:eastAsia="zh-CN"/>
        </w:rPr>
        <w:t>目录</w:t>
      </w:r>
      <w:bookmarkEnd w:id="153"/>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第一部分 部门概况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一、基本职能及主要工作</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（一）主要职能。</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 xml:space="preserve">（二）2020年重点工作完成情况。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二、机构设置</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1</w:t>
      </w:r>
      <w:r>
        <w:rPr>
          <w:rFonts w:hint="eastAsia" w:ascii="仿宋" w:hAnsi="仿宋" w:eastAsia="仿宋" w:cs="仿宋"/>
          <w:i w:val="0"/>
          <w:iCs w:val="0"/>
          <w:caps w:val="0"/>
          <w:smallCaps/>
          <w:color w:val="000000"/>
          <w:spacing w:val="0"/>
          <w:sz w:val="32"/>
          <w:szCs w:val="32"/>
          <w:lang w:eastAsia="zh-CN"/>
        </w:rPr>
        <w:t>、</w:t>
      </w:r>
      <w:r>
        <w:rPr>
          <w:rFonts w:hint="eastAsia" w:ascii="仿宋" w:hAnsi="仿宋" w:eastAsia="仿宋" w:cs="仿宋"/>
          <w:i w:val="0"/>
          <w:iCs w:val="0"/>
          <w:caps w:val="0"/>
          <w:smallCaps/>
          <w:color w:val="000000"/>
          <w:spacing w:val="0"/>
          <w:sz w:val="32"/>
          <w:szCs w:val="32"/>
        </w:rPr>
        <w:t>综合办公室</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lang w:val="en-US" w:eastAsia="zh-CN"/>
        </w:rPr>
        <w:t>2、</w:t>
      </w:r>
      <w:r>
        <w:rPr>
          <w:rFonts w:hint="eastAsia" w:ascii="仿宋" w:hAnsi="仿宋" w:eastAsia="仿宋" w:cs="仿宋"/>
          <w:i w:val="0"/>
          <w:iCs w:val="0"/>
          <w:caps w:val="0"/>
          <w:smallCaps/>
          <w:color w:val="000000"/>
          <w:spacing w:val="0"/>
          <w:sz w:val="32"/>
          <w:szCs w:val="32"/>
        </w:rPr>
        <w:t>产权管理股</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 xml:space="preserve">3、统计与绩效考核股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第二部分 202</w:t>
      </w:r>
      <w:r>
        <w:rPr>
          <w:rFonts w:hint="eastAsia" w:ascii="仿宋" w:hAnsi="仿宋" w:eastAsia="仿宋" w:cs="仿宋"/>
          <w:i w:val="0"/>
          <w:iCs w:val="0"/>
          <w:caps w:val="0"/>
          <w:smallCaps/>
          <w:color w:val="000000"/>
          <w:spacing w:val="0"/>
          <w:sz w:val="32"/>
          <w:szCs w:val="32"/>
          <w:lang w:val="en-US" w:eastAsia="zh-CN"/>
        </w:rPr>
        <w:t>1</w:t>
      </w:r>
      <w:r>
        <w:rPr>
          <w:rFonts w:hint="eastAsia" w:ascii="仿宋" w:hAnsi="仿宋" w:eastAsia="仿宋" w:cs="仿宋"/>
          <w:i w:val="0"/>
          <w:iCs w:val="0"/>
          <w:caps w:val="0"/>
          <w:smallCaps/>
          <w:color w:val="000000"/>
          <w:spacing w:val="0"/>
          <w:sz w:val="32"/>
          <w:szCs w:val="32"/>
        </w:rPr>
        <w:t>年度部门决算情况说明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一、 收入支出决算总体情况说明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二、 收入决算情况说明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三、 支出决算情况说明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四、财政拨款收入支出决算总体情况说明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五、一般公共预算财政拨款支出决算情况说明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（一）一般公共预算财政拨款支出决算总体情况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（二）一般公共预算财政拨款支出决算结构情况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（三）一般公共预算财政拨款支出决算具体情况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六、一般公共预算财政拨款基本支出决算情况说明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七、“三公”经费财政拨款支出决算情况说明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（一）“三公”经费财政拨款支出决算总体情况说明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（二）“三公”经费财政拨款支出决算具体情况说明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八、政府性基金预算支出决算情况说明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九、 国有资本经营预算支出决算情况说明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十、其他重要事项的情况说明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（一）机关运行经费支出情况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（二）政府采购支出情况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（三）国有资产占有使用情况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（四）预算绩效管理情况。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 xml:space="preserve">第三部分 名词解释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第四部分 附件</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附件</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lang w:eastAsia="zh-CN"/>
        </w:rPr>
        <w:t>国资中心</w:t>
      </w:r>
      <w:r>
        <w:rPr>
          <w:rFonts w:hint="eastAsia" w:ascii="仿宋" w:hAnsi="仿宋" w:eastAsia="仿宋" w:cs="仿宋"/>
          <w:i w:val="0"/>
          <w:iCs w:val="0"/>
          <w:caps w:val="0"/>
          <w:smallCaps/>
          <w:color w:val="000000"/>
          <w:spacing w:val="0"/>
          <w:sz w:val="32"/>
          <w:szCs w:val="32"/>
        </w:rPr>
        <w:t>202</w:t>
      </w:r>
      <w:r>
        <w:rPr>
          <w:rFonts w:hint="eastAsia" w:ascii="仿宋" w:hAnsi="仿宋" w:eastAsia="仿宋" w:cs="仿宋"/>
          <w:i w:val="0"/>
          <w:iCs w:val="0"/>
          <w:caps w:val="0"/>
          <w:smallCaps/>
          <w:color w:val="000000"/>
          <w:spacing w:val="0"/>
          <w:sz w:val="32"/>
          <w:szCs w:val="32"/>
          <w:lang w:val="en-US" w:eastAsia="zh-CN"/>
        </w:rPr>
        <w:t>1</w:t>
      </w:r>
      <w:r>
        <w:rPr>
          <w:rFonts w:hint="eastAsia" w:ascii="仿宋" w:hAnsi="仿宋" w:eastAsia="仿宋" w:cs="仿宋"/>
          <w:i w:val="0"/>
          <w:iCs w:val="0"/>
          <w:caps w:val="0"/>
          <w:smallCaps/>
          <w:color w:val="000000"/>
          <w:spacing w:val="0"/>
          <w:sz w:val="32"/>
          <w:szCs w:val="32"/>
        </w:rPr>
        <w:t xml:space="preserve">年部门整体支出绩效评价报告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 xml:space="preserve">附件2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项目202</w:t>
      </w:r>
      <w:r>
        <w:rPr>
          <w:rFonts w:hint="eastAsia" w:ascii="仿宋" w:hAnsi="仿宋" w:eastAsia="仿宋" w:cs="仿宋"/>
          <w:i w:val="0"/>
          <w:iCs w:val="0"/>
          <w:caps w:val="0"/>
          <w:smallCaps/>
          <w:color w:val="000000"/>
          <w:spacing w:val="0"/>
          <w:sz w:val="32"/>
          <w:szCs w:val="32"/>
          <w:lang w:val="en-US" w:eastAsia="zh-CN"/>
        </w:rPr>
        <w:t>1</w:t>
      </w:r>
      <w:r>
        <w:rPr>
          <w:rFonts w:hint="eastAsia" w:ascii="仿宋" w:hAnsi="仿宋" w:eastAsia="仿宋" w:cs="仿宋"/>
          <w:i w:val="0"/>
          <w:iCs w:val="0"/>
          <w:caps w:val="0"/>
          <w:smallCaps/>
          <w:color w:val="000000"/>
          <w:spacing w:val="0"/>
          <w:sz w:val="32"/>
          <w:szCs w:val="32"/>
        </w:rPr>
        <w:t xml:space="preserve">年绩效评价报告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 w:hAnsi="仿宋" w:eastAsia="仿宋" w:cs="仿宋"/>
          <w:i w:val="0"/>
          <w:iCs w:val="0"/>
          <w:caps w:val="0"/>
          <w:smallCaps/>
          <w:color w:val="000000"/>
          <w:spacing w:val="0"/>
          <w:sz w:val="32"/>
          <w:szCs w:val="32"/>
        </w:rPr>
      </w:pPr>
      <w:r>
        <w:rPr>
          <w:rFonts w:hint="eastAsia" w:ascii="仿宋" w:hAnsi="仿宋" w:eastAsia="仿宋" w:cs="仿宋"/>
          <w:i w:val="0"/>
          <w:iCs w:val="0"/>
          <w:caps w:val="0"/>
          <w:smallCaps/>
          <w:color w:val="000000"/>
          <w:spacing w:val="0"/>
          <w:sz w:val="32"/>
          <w:szCs w:val="32"/>
        </w:rPr>
        <w:t>第五部分 附表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smallCaps/>
          <w:color w:val="000000"/>
          <w:spacing w:val="0"/>
          <w:sz w:val="32"/>
          <w:szCs w:val="32"/>
        </w:rPr>
        <w:t>一、收入支出决算总表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smallCaps/>
          <w:color w:val="000000"/>
          <w:spacing w:val="0"/>
          <w:sz w:val="32"/>
          <w:szCs w:val="32"/>
        </w:rPr>
        <w:t>二、收入决算表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smallCaps/>
          <w:color w:val="000000"/>
          <w:spacing w:val="0"/>
          <w:sz w:val="32"/>
          <w:szCs w:val="32"/>
        </w:rPr>
        <w:t>三、支出决算表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smallCaps/>
          <w:color w:val="000000"/>
          <w:spacing w:val="0"/>
          <w:sz w:val="32"/>
          <w:szCs w:val="32"/>
        </w:rPr>
        <w:t>四、财政拨款收入支出决算总表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smallCaps/>
          <w:color w:val="000000"/>
          <w:spacing w:val="0"/>
          <w:sz w:val="32"/>
          <w:szCs w:val="32"/>
        </w:rPr>
        <w:t>五、财政拨款支出决算明细表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smallCaps/>
          <w:color w:val="000000"/>
          <w:spacing w:val="0"/>
          <w:sz w:val="32"/>
          <w:szCs w:val="32"/>
        </w:rPr>
        <w:t>六、一般公共预算财政拨款支出决算表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smallCaps/>
          <w:color w:val="000000"/>
          <w:spacing w:val="0"/>
          <w:sz w:val="32"/>
          <w:szCs w:val="32"/>
        </w:rPr>
        <w:t>七、一般公共预算财政拨款支出决算明细表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smallCaps/>
          <w:color w:val="000000"/>
          <w:spacing w:val="0"/>
          <w:sz w:val="32"/>
          <w:szCs w:val="32"/>
        </w:rPr>
        <w:t>八、一般公共预算财政拨款基本支出决算表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smallCaps/>
          <w:color w:val="000000"/>
          <w:spacing w:val="0"/>
          <w:sz w:val="32"/>
          <w:szCs w:val="32"/>
        </w:rPr>
        <w:t>九、一般公共预算财政拨款项目支出决算表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smallCaps/>
          <w:color w:val="000000"/>
          <w:spacing w:val="0"/>
          <w:sz w:val="32"/>
          <w:szCs w:val="32"/>
        </w:rPr>
        <w:t>十、一般公共预算财政拨款“三公”经费支出决算表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smallCaps/>
          <w:color w:val="000000"/>
          <w:spacing w:val="0"/>
          <w:sz w:val="32"/>
          <w:szCs w:val="32"/>
        </w:rPr>
        <w:t>十一、政府性基金预算财政拨款收入支出决算表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smallCaps/>
          <w:color w:val="000000"/>
          <w:spacing w:val="0"/>
          <w:sz w:val="32"/>
          <w:szCs w:val="32"/>
        </w:rPr>
        <w:t>十二、政府性基金预算财政拨款“三公”经费支出决算表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smallCaps/>
          <w:color w:val="000000"/>
          <w:spacing w:val="0"/>
          <w:sz w:val="32"/>
          <w:szCs w:val="32"/>
        </w:rPr>
        <w:t>十三、国有资本经营预算财政拨款支出决算表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smallCaps/>
          <w:color w:val="000000"/>
          <w:spacing w:val="0"/>
          <w:sz w:val="32"/>
          <w:szCs w:val="32"/>
        </w:rPr>
        <w:t>十四、国有资本经营预算财政拨款支出决算表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18"/>
          <w:szCs w:val="18"/>
        </w:rPr>
      </w:pPr>
      <w:r>
        <w:rPr>
          <w:rFonts w:hint="default" w:ascii="Times New Roman" w:hAnsi="Times New Roman" w:eastAsia="宋体" w:cs="Times New Roman"/>
          <w:i w:val="0"/>
          <w:iCs w:val="0"/>
          <w:caps w:val="0"/>
          <w:color w:val="000000"/>
          <w:spacing w:val="0"/>
          <w:kern w:val="0"/>
          <w:sz w:val="32"/>
          <w:szCs w:val="32"/>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firstLine="132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FF0000"/>
          <w:spacing w:val="0"/>
          <w:kern w:val="0"/>
          <w:sz w:val="32"/>
          <w:szCs w:val="32"/>
          <w:lang w:val="en-US" w:eastAsia="zh-CN" w:bidi="ar"/>
        </w:rPr>
        <w:t>(注：请部门根据实际注明页码)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firstLine="0"/>
        <w:jc w:val="left"/>
        <w:rPr>
          <w:rFonts w:hint="eastAsia" w:ascii="宋体" w:hAnsi="宋体" w:eastAsia="宋体" w:cs="宋体"/>
          <w:i w:val="0"/>
          <w:iCs w:val="0"/>
          <w:caps w:val="0"/>
          <w:color w:val="000000"/>
          <w:spacing w:val="0"/>
          <w:sz w:val="18"/>
          <w:szCs w:val="18"/>
        </w:rPr>
      </w:pPr>
      <w:bookmarkStart w:id="6" w:name="_Toc15396599"/>
      <w:bookmarkEnd w:id="6"/>
      <w:bookmarkStart w:id="7" w:name="_Toc15377196"/>
      <w:r>
        <w:rPr>
          <w:rFonts w:hint="eastAsia" w:ascii="仿宋" w:hAnsi="仿宋" w:eastAsia="仿宋" w:cs="仿宋"/>
          <w:b/>
          <w:bCs/>
          <w:i w:val="0"/>
          <w:iCs w:val="0"/>
          <w:caps w:val="0"/>
          <w:color w:val="000000"/>
          <w:spacing w:val="0"/>
          <w:kern w:val="0"/>
          <w:sz w:val="24"/>
          <w:szCs w:val="24"/>
          <w:bdr w:val="dotted" w:color="0000FF" w:sz="6" w:space="0"/>
          <w:lang w:val="en-US" w:eastAsia="zh-CN" w:bidi="ar"/>
        </w:rPr>
        <w:br w:type="textWrapping"/>
      </w:r>
      <w:bookmarkEnd w:id="7"/>
    </w:p>
    <w:p>
      <w:pPr>
        <w:pStyle w:val="4"/>
        <w:keepNext w:val="0"/>
        <w:keepLines w:val="0"/>
        <w:widowControl/>
        <w:suppressLineNumbers w:val="0"/>
        <w:ind w:left="0" w:firstLine="0"/>
        <w:jc w:val="center"/>
        <w:rPr>
          <w:rFonts w:hint="eastAsia" w:ascii="宋体" w:hAnsi="宋体" w:eastAsia="宋体" w:cs="宋体"/>
          <w:i w:val="0"/>
          <w:iCs w:val="0"/>
          <w:caps w:val="0"/>
          <w:color w:val="000000"/>
          <w:spacing w:val="0"/>
        </w:rPr>
      </w:pPr>
      <w:bookmarkStart w:id="8" w:name="_Toc79163601"/>
      <w:bookmarkEnd w:id="8"/>
      <w:bookmarkStart w:id="9" w:name="_Toc79163851"/>
      <w:r>
        <w:rPr>
          <w:rFonts w:hint="eastAsia" w:ascii="黑体" w:hAnsi="宋体" w:eastAsia="黑体" w:cs="黑体"/>
          <w:i w:val="0"/>
          <w:iCs w:val="0"/>
          <w:caps w:val="0"/>
          <w:color w:val="000000"/>
          <w:spacing w:val="0"/>
          <w:sz w:val="44"/>
          <w:szCs w:val="44"/>
        </w:rPr>
        <w:t>第一部分</w:t>
      </w:r>
      <w:bookmarkEnd w:id="9"/>
      <w:r>
        <w:rPr>
          <w:rFonts w:hint="eastAsia" w:ascii="黑体" w:hAnsi="宋体" w:eastAsia="黑体" w:cs="黑体"/>
          <w:i w:val="0"/>
          <w:iCs w:val="0"/>
          <w:caps w:val="0"/>
          <w:color w:val="000000"/>
          <w:spacing w:val="0"/>
          <w:sz w:val="44"/>
          <w:szCs w:val="44"/>
        </w:rPr>
        <w:t> </w:t>
      </w:r>
      <w:r>
        <w:rPr>
          <w:rFonts w:hint="eastAsia" w:ascii="黑体" w:hAnsi="宋体" w:eastAsia="黑体" w:cs="黑体"/>
          <w:b w:val="0"/>
          <w:bCs w:val="0"/>
          <w:i w:val="0"/>
          <w:iCs w:val="0"/>
          <w:caps w:val="0"/>
          <w:color w:val="000000"/>
          <w:spacing w:val="0"/>
          <w:sz w:val="44"/>
          <w:szCs w:val="44"/>
        </w:rPr>
        <w:t>部门概况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 </w:t>
      </w:r>
    </w:p>
    <w:p>
      <w:pPr>
        <w:pStyle w:val="5"/>
        <w:keepNext w:val="0"/>
        <w:keepLines w:val="0"/>
        <w:widowControl/>
        <w:suppressLineNumbers w:val="0"/>
        <w:ind w:left="0" w:firstLine="0"/>
        <w:rPr>
          <w:rFonts w:hint="eastAsia" w:ascii="宋体" w:hAnsi="宋体" w:eastAsia="宋体" w:cs="宋体"/>
          <w:i w:val="0"/>
          <w:iCs w:val="0"/>
          <w:caps w:val="0"/>
          <w:color w:val="000000"/>
          <w:spacing w:val="0"/>
        </w:rPr>
      </w:pPr>
      <w:bookmarkStart w:id="10" w:name="_Toc79163602"/>
      <w:bookmarkEnd w:id="10"/>
      <w:bookmarkStart w:id="11" w:name="_Toc15396600"/>
      <w:bookmarkEnd w:id="11"/>
      <w:bookmarkStart w:id="12" w:name="_Toc15377197"/>
      <w:bookmarkEnd w:id="12"/>
      <w:bookmarkStart w:id="13" w:name="_Toc79163852"/>
      <w:r>
        <w:rPr>
          <w:rFonts w:hint="eastAsia" w:ascii="黑体" w:hAnsi="宋体" w:eastAsia="黑体" w:cs="黑体"/>
          <w:i w:val="0"/>
          <w:iCs w:val="0"/>
          <w:caps w:val="0"/>
          <w:color w:val="000000"/>
          <w:spacing w:val="0"/>
          <w:sz w:val="32"/>
          <w:szCs w:val="32"/>
        </w:rPr>
        <w:t>一、基</w:t>
      </w:r>
      <w:bookmarkEnd w:id="13"/>
      <w:r>
        <w:rPr>
          <w:rFonts w:hint="eastAsia" w:ascii="黑体" w:hAnsi="宋体" w:eastAsia="黑体" w:cs="黑体"/>
          <w:b w:val="0"/>
          <w:bCs w:val="0"/>
          <w:i w:val="0"/>
          <w:iCs w:val="0"/>
          <w:caps w:val="0"/>
          <w:color w:val="000000"/>
          <w:spacing w:val="0"/>
          <w:sz w:val="32"/>
          <w:szCs w:val="32"/>
        </w:rPr>
        <w:t>本职能及主要工作</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93" w:beforeAutospacing="0" w:after="0" w:afterAutospacing="0" w:line="600" w:lineRule="atLeast"/>
        <w:ind w:left="0" w:right="0" w:firstLine="0"/>
        <w:rPr>
          <w:rFonts w:hint="eastAsia" w:ascii="宋体" w:hAnsi="宋体" w:eastAsia="宋体" w:cs="宋体"/>
          <w:i w:val="0"/>
          <w:iCs w:val="0"/>
          <w:caps w:val="0"/>
          <w:color w:val="000000"/>
          <w:spacing w:val="0"/>
          <w:sz w:val="18"/>
          <w:szCs w:val="18"/>
        </w:rPr>
      </w:pPr>
      <w:bookmarkStart w:id="14" w:name="_Toc79163603"/>
      <w:bookmarkEnd w:id="14"/>
      <w:bookmarkStart w:id="15" w:name="_Toc79163853"/>
      <w:bookmarkEnd w:id="15"/>
      <w:bookmarkStart w:id="16" w:name="_Toc15378445"/>
      <w:bookmarkEnd w:id="16"/>
      <w:bookmarkStart w:id="17" w:name="_Toc15377198"/>
      <w:r>
        <w:rPr>
          <w:rFonts w:hint="eastAsia" w:ascii="仿宋" w:hAnsi="仿宋" w:eastAsia="仿宋" w:cs="仿宋"/>
          <w:i w:val="0"/>
          <w:iCs w:val="0"/>
          <w:caps w:val="0"/>
          <w:color w:val="000000"/>
          <w:spacing w:val="0"/>
          <w:sz w:val="32"/>
          <w:szCs w:val="32"/>
          <w:bdr w:val="dotted" w:color="0000FF" w:sz="6" w:space="0"/>
        </w:rPr>
        <w:t>   </w:t>
      </w:r>
      <w:bookmarkEnd w:id="17"/>
      <w:r>
        <w:rPr>
          <w:rFonts w:hint="eastAsia" w:ascii="仿宋" w:hAnsi="仿宋" w:eastAsia="仿宋" w:cs="仿宋"/>
          <w:i w:val="0"/>
          <w:iCs w:val="0"/>
          <w:caps w:val="0"/>
          <w:color w:val="000000"/>
          <w:spacing w:val="0"/>
          <w:sz w:val="32"/>
          <w:szCs w:val="32"/>
        </w:rPr>
        <w:t>（一）主要职能。</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bookmarkStart w:id="18" w:name="_Toc15378446"/>
      <w:bookmarkEnd w:id="18"/>
      <w:bookmarkStart w:id="19" w:name="_Toc15377199"/>
      <w:bookmarkEnd w:id="19"/>
      <w:bookmarkStart w:id="20" w:name="_Toc79163604"/>
      <w:bookmarkEnd w:id="20"/>
      <w:bookmarkStart w:id="21" w:name="_Toc79163854"/>
      <w:r>
        <w:rPr>
          <w:rFonts w:hint="eastAsia" w:ascii="仿宋" w:hAnsi="仿宋" w:eastAsia="仿宋" w:cs="仿宋"/>
          <w:b w:val="0"/>
          <w:bCs w:val="0"/>
          <w:i w:val="0"/>
          <w:iCs w:val="0"/>
          <w:caps w:val="0"/>
          <w:color w:val="000000"/>
          <w:spacing w:val="0"/>
          <w:kern w:val="0"/>
          <w:sz w:val="32"/>
          <w:szCs w:val="32"/>
          <w:lang w:val="en-US" w:eastAsia="zh-CN" w:bidi="ar"/>
        </w:rPr>
        <w:t>按照《中共阿坝州委机构编制委员会办公室关于设立九寨沟县国有资产管理中心的批复》</w:t>
      </w:r>
      <w:r>
        <w:rPr>
          <w:rFonts w:hint="eastAsia" w:ascii="仿宋" w:hAnsi="仿宋" w:eastAsia="仿宋" w:cs="仿宋"/>
          <w:b w:val="0"/>
          <w:bCs w:val="0"/>
          <w:i w:val="0"/>
          <w:iCs w:val="0"/>
          <w:caps w:val="0"/>
          <w:color w:val="000000"/>
          <w:spacing w:val="0"/>
          <w:kern w:val="0"/>
          <w:sz w:val="32"/>
          <w:szCs w:val="32"/>
          <w:bdr w:val="dotted" w:color="0000FF" w:sz="6" w:space="0"/>
          <w:lang w:val="en-US" w:eastAsia="zh-CN" w:bidi="ar"/>
        </w:rPr>
        <w:t>(阿编办(2017)122号)要求，结合九寨沟县实际，设立九寨沟县国有资产管理中心，作为九寨沟县人民政府直属财政全额拨款公益一类正科级事业单位。</w:t>
      </w:r>
      <w:bookmarkEnd w:id="21"/>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1、根据县人民政府授权，依照《中华人民共和国企业国有资产法》《企业国有资产监督管理暂行条例》《中华    人民共和国公司法》和《阿坝州企业国有资产监督管理暂行办法》等法律法规，履行出资人职责，加强县属国有及控股(参股)企业的国有资产监管。</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2、代表县人民政府向所监管的国有及控股(参股)企业派出监事会，并负责监事会的日常管理工作。</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3、指导国有及控股(参股)企业完成改革和重组，建立</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健全现代企业制度，完善公司法人治理结构，推动国有经济布局和结构的战略性调整。</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4、按照法定程序对所监管的国有及控股(参股)企业负责人进行考核、任免，并根据其经营业绩进行奖惩，建立符合社会主义市场经济体制和现代企业制度要求的选人、用人机制，完善经营者激励和约束机制。</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5、负责国有企业资产保值增值监督管理，建立完善县级国有资产保值增值指标体系，制定考核标准;通过统计、稽核等方式对所监管企业国有资产运行情况进行监管，确保国有资产保值增值;负责所监管国有及控股(参股)企业工资分配管理，制定所监管企业负责人收入分配政策，并组织实施。</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6、参与制定国有资本经营预算有关管理制度;提出所监管企业年度国有资本经营预算计划;组织和监督所监管企业国有资本经营预算执行情况;审查所监管县级国有独资、控股(参股)企业的年度国有资本经营决算报告;负责组织所监管企业上缴国有资本金收益。</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7、根据县人民政府授权，负责县属国有及控股(参股)企业负责人的任免和管理。</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8、制定县级国有资产管理办法和制度，并对县级国有资产管理进行指导和监督。</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9、承办县委、县人民政府交办的其他事项。</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93" w:beforeAutospacing="0" w:after="0" w:afterAutospacing="0" w:line="600" w:lineRule="atLeast"/>
        <w:ind w:left="0" w:right="0" w:firstLine="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sz w:val="32"/>
          <w:szCs w:val="32"/>
        </w:rPr>
        <w:t>   （二）202</w:t>
      </w:r>
      <w:r>
        <w:rPr>
          <w:rFonts w:hint="eastAsia" w:ascii="仿宋" w:hAnsi="仿宋" w:eastAsia="仿宋" w:cs="仿宋"/>
          <w:i w:val="0"/>
          <w:iCs w:val="0"/>
          <w:caps w:val="0"/>
          <w:color w:val="000000"/>
          <w:spacing w:val="0"/>
          <w:sz w:val="32"/>
          <w:szCs w:val="32"/>
          <w:lang w:val="en-US" w:eastAsia="zh-CN"/>
        </w:rPr>
        <w:t>1</w:t>
      </w:r>
      <w:r>
        <w:rPr>
          <w:rFonts w:hint="eastAsia" w:ascii="仿宋" w:hAnsi="仿宋" w:eastAsia="仿宋" w:cs="仿宋"/>
          <w:i w:val="0"/>
          <w:iCs w:val="0"/>
          <w:caps w:val="0"/>
          <w:color w:val="000000"/>
          <w:spacing w:val="0"/>
          <w:sz w:val="32"/>
          <w:szCs w:val="32"/>
        </w:rPr>
        <w:t>年重点工作完成情况。</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（1）.总体运营情况</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1.国有企业运营指标逐步增长。截止2021年12月底，我县县属国有企业资产总额为32.11亿元，同比增长3.08%，其中货币资金5.67亿元，应收账款0.66亿元，预付账款0.82亿元，其他应收款0.66亿元，存货0.06亿元，其他流动资产0.13亿元，长期股权投资4.70亿元，固定资产净值1.97亿元，无形资产6.73亿元，在建工程10.67亿元，长期待摊费用0.04亿元；负债总额为21.35亿元，同比增长31.40%，其中短期借款0.04亿元，应付账款1.37亿元，预收账款3.32亿元、应付职工薪酬0.09亿元，应交税费-0.32亿元，其他应付款1.43亿元，其他流动付债0.04亿元，长期借款15.25亿元其他非流动付债0.04亿元，递延收益0.07亿元，长期应付款0.02亿元；所有者权益为10.76亿元，同比增长-27.79%,其中实收资本2.4亿元，资本公积9.83亿元，未分配利润-2.42亿元，盈余公积0.01亿元，少数股东权益0.94亿元；资产负债率为66.50% ；营业总收入为0.37亿元。</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仿宋" w:hAnsi="仿宋" w:eastAsia="仿宋" w:cs="仿宋"/>
          <w:b w:val="0"/>
          <w:bCs w:val="0"/>
          <w:i w:val="0"/>
          <w:iCs w:val="0"/>
          <w:caps w:val="0"/>
          <w:color w:val="000000"/>
          <w:spacing w:val="0"/>
          <w:kern w:val="0"/>
          <w:sz w:val="32"/>
          <w:szCs w:val="32"/>
          <w:lang w:val="en-US" w:eastAsia="zh-CN" w:bidi="ar"/>
        </w:rPr>
      </w:pPr>
      <w:r>
        <w:rPr>
          <w:rFonts w:hint="eastAsia" w:ascii="仿宋" w:hAnsi="仿宋" w:eastAsia="仿宋" w:cs="仿宋"/>
          <w:b w:val="0"/>
          <w:bCs w:val="0"/>
          <w:i w:val="0"/>
          <w:iCs w:val="0"/>
          <w:caps w:val="0"/>
          <w:color w:val="000000"/>
          <w:spacing w:val="0"/>
          <w:kern w:val="0"/>
          <w:sz w:val="32"/>
          <w:szCs w:val="32"/>
          <w:lang w:val="en-US" w:eastAsia="zh-CN" w:bidi="ar"/>
        </w:rPr>
        <w:t>2.国有企业深化改革取得实效。按照深化国有企业改革工作目标，在明确企业功能定位的基础上，按照一业为主、相关有限多元原则，通过合并、划转等多种方式，对部分县属国有企业实行重组整合，目前已完成了县交投公司与县国瑞公司的整合重组工作。同时，按照中央、省、州要求，不断推进退休人员社会化管理工作，确保我县内265名企业退休人员平稳有序过渡到乡镇（社区），截至目前已与大九旅、电信公司等企业签订了整体移交协议。</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仿宋" w:hAnsi="仿宋" w:eastAsia="仿宋" w:cs="仿宋"/>
          <w:b w:val="0"/>
          <w:bCs w:val="0"/>
          <w:sz w:val="32"/>
          <w:szCs w:val="32"/>
          <w:lang w:val="en-US" w:eastAsia="zh-CN"/>
        </w:rPr>
      </w:pPr>
      <w:r>
        <w:rPr>
          <w:rFonts w:hint="eastAsia" w:ascii="仿宋" w:hAnsi="仿宋" w:eastAsia="仿宋" w:cs="仿宋"/>
          <w:b w:val="0"/>
          <w:bCs w:val="0"/>
          <w:i w:val="0"/>
          <w:iCs w:val="0"/>
          <w:caps w:val="0"/>
          <w:color w:val="000000"/>
          <w:spacing w:val="0"/>
          <w:kern w:val="0"/>
          <w:sz w:val="32"/>
          <w:szCs w:val="32"/>
          <w:lang w:val="en-US" w:eastAsia="zh-CN" w:bidi="ar"/>
        </w:rPr>
        <w:t>3.</w:t>
      </w:r>
      <w:r>
        <w:rPr>
          <w:rFonts w:hint="eastAsia" w:ascii="仿宋" w:hAnsi="仿宋" w:eastAsia="仿宋" w:cs="仿宋"/>
          <w:b w:val="0"/>
          <w:bCs w:val="0"/>
          <w:sz w:val="32"/>
          <w:szCs w:val="32"/>
          <w:lang w:val="en-US" w:eastAsia="zh-CN"/>
        </w:rPr>
        <w:t>推进资源优化配置，助力县域经济发展。按照县委、县政府工作部署，今年4月，我中心开始筹备县属集团公司，并于5月15日正式挂牌成立九寨沟县新九寨国投集团有限公司，并采取“3+1+1”模式，通过划转、变更、整合等方式，设立农业投资发展、产业投资、公共建设、城市经营、文化旅游5家全资子公司，形成以国投集团公司为主体、子公司为支撑的集团化运作框架，为县域经济发展注入强劲动力。一是国有资产分布更为完善。坚持科学、高效发展的原则，全力推动国有企业资产优化配置。目前，县属国有企业共计16家，其中一级公司1家、二级公司5家、三级公司10家，拥有长期股权投资公司23家、省内外“飞地”园区3家，经营范围涵盖全县经济社会发展各个方面。二是国有资产规模不断壮大。坚定做大做强、对标省州的国企发展目标，不断扩大国企规模，不断提升发展质量。截止9月底，我县县属国有企业资产总额为30.34亿元，同比增长6.27%；负债总额为19.35亿元，同比增长37.43%；所有者权益为10.99亿元，同比增长-24.05%；资产负债率为63.78%。三是国企融资能力加速提升。时刻关注民生发展，兼顾质量品牌和社会效应，不断筑牢国企信誉度，主推融资能力不断提升。截至2021年9月底，计划投融资获得资金约31.5亿元，实际到账资金约20.9亿元，主要投向基础设施、民生工程、产业提升等建设领域，市场信赖程度较高。</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坚持党的核心引领，不断加强党建工作。一是扎实推进国有企业党的建设。坚持把党的领导与国投集团公司组建同步部署、把党的组织与国投集团公司架构同步设置、把党的建设与企业治理同步实施、把党的工作与企业运营同步推进，初步形成了与企业发展相适应的党建工作机制。二是扎实推进国企党委领导班子建设。按照党管干部的原则，协助县委组织部完成国有企业董事长、总经理等任命工作，推进国投集团公司董事长兼任党委书记，专设1名抓党建的专职副书记、1名纪委书记，目前国投集团公司班子内党员人数占100%，确保党委把方向、管大局、保落实的政治责任，在章程上明确、制度上体现、程序上履行。</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仿宋" w:hAnsi="仿宋" w:eastAsia="仿宋" w:cs="仿宋"/>
          <w:b w:val="0"/>
          <w:bCs w:val="0"/>
          <w:i w:val="0"/>
          <w:iCs w:val="0"/>
          <w:caps w:val="0"/>
          <w:color w:val="FF0000"/>
          <w:spacing w:val="0"/>
          <w:kern w:val="0"/>
          <w:sz w:val="32"/>
          <w:szCs w:val="32"/>
          <w:lang w:val="en-US" w:eastAsia="zh-CN" w:bidi="ar"/>
        </w:rPr>
      </w:pPr>
      <w:r>
        <w:rPr>
          <w:rFonts w:hint="eastAsia" w:ascii="仿宋" w:hAnsi="仿宋" w:eastAsia="仿宋" w:cs="仿宋"/>
          <w:b w:val="0"/>
          <w:bCs w:val="0"/>
          <w:sz w:val="32"/>
          <w:szCs w:val="32"/>
          <w:lang w:val="en-US" w:eastAsia="zh-CN"/>
        </w:rPr>
        <w:t>5.加强国资监管力度，不断提升治理能力。一是建立健全各项监督管理体系。健全人事管理体系，今年以来，会同县委组织部完成对新九寨集团公司二级公司管理层领导进行审核任命工作，共引进7名懂经营、懂管理的同志充实到我县县属国有企业管理层任（挂）职，同时按照人事管理有关要求，分层分级建立县属国有企业人事档案库，进行统一管理和人才储备。加强财务监管力度，指导集团公司对二级子公司财务进行统一管理调度，建立集团公司财务系统，将原财务会计核算的重心向财务管理转移，全面掌握各县属国有企业的财务状况和资金动向。全面开展国有资产清理，分步有序注入国投集团公司及其子公司，对各子公司重大对外投资、融资、项目建设等各个领域，进行实时监督管理。二是强化监督考核。起草《九寨沟县县属国有企业国有资本保值增值结果确认暂行办法》《九寨沟县县属国有企业投资管理暂行办法》等管理办法，明确净资产收益率、利润增长率、投资回报率等指标作为衡量企业国有资本保值增值的参考。邀请第三方机构制定2021年各县属国有企业目标考核指标体系，指导国投集团公司进行规章制度的建立，并对现有国有企业系列管理制度进行修改完善，建立符合现在九寨沟县发展实际的企业制度。全面推进《九寨沟县属国有企业2020年度绩效考核结果报告书》考核结果运用，指导各企业强化目标导向、结果导向、问题导向，找准定位、对表补短，全面提升。三是强化职责使命，体现国企担当。严格按照县委、县政府生态环境突出问题整改工作精神，要求各县属国有企业针对在建项目在生态文明、环境保护、安全生产情况中存在的问题自查自纠，全面梳理问题源头，找出原因，制定措施。对不符合标准的砂石料场点位按照时间节点坚决进行拆除；对需保留的砂石料场点位，严格按照环保、水保专家意见整改到位；面对生态环境治理，不仅是我县国有企业的担当，更是职责和使命。</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（2）国有资本运行管理的主要做法</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1.管理制度进一步完善，管理体系逐步形成。在坚持分类分级管理基础上，已制定完成了10余套国有企业管理制度，建立完善了与我县国有企业实际相符合的现代企业制度，持续深入推进我县国资国企改革工作。按照现代企业管理制度，优化国有企业内部组织架构。明确各国有企业主要职责、内设机构和岗位设置，建立健全各国有企业内部管理制度，完善行政人事管理、财务管理、项目管理、会议制度等8类37项制度，同时加强内部审计工作，强化内部监督，进一步规范国有企业管理，提升国有企业内控水平。并与各县属国有企业签订了年度目标责任书。</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仿宋" w:hAnsi="仿宋" w:eastAsia="仿宋" w:cs="仿宋"/>
          <w:b w:val="0"/>
          <w:bCs w:val="0"/>
          <w:i w:val="0"/>
          <w:iCs w:val="0"/>
          <w:caps w:val="0"/>
          <w:color w:val="000000"/>
          <w:spacing w:val="0"/>
          <w:kern w:val="0"/>
          <w:sz w:val="32"/>
          <w:szCs w:val="32"/>
          <w:lang w:val="en-US" w:eastAsia="zh-CN" w:bidi="ar"/>
        </w:rPr>
      </w:pPr>
      <w:r>
        <w:rPr>
          <w:rFonts w:hint="eastAsia" w:ascii="仿宋" w:hAnsi="仿宋" w:eastAsia="仿宋" w:cs="仿宋"/>
          <w:b w:val="0"/>
          <w:bCs w:val="0"/>
          <w:i w:val="0"/>
          <w:iCs w:val="0"/>
          <w:caps w:val="0"/>
          <w:color w:val="000000"/>
          <w:spacing w:val="0"/>
          <w:kern w:val="0"/>
          <w:sz w:val="32"/>
          <w:szCs w:val="32"/>
          <w:lang w:val="en-US" w:eastAsia="zh-CN" w:bidi="ar"/>
        </w:rPr>
        <w:t>2.以市场导向为主，进一步提高企业应对市场风险的能力。坚持市场导向，以资本的有序流动带动企业转型升级，激发活力，占据主动。使国有企业真正成为能够自主经营、自负盈亏、自担风险、自我约束、自我发展的独立市场主体。在加大稳增长工作力度、增强发展能力的同时，强化风险管控，确保企业稳定可持续发展。</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仿宋" w:hAnsi="仿宋" w:eastAsia="仿宋" w:cs="仿宋"/>
          <w:i w:val="0"/>
          <w:iCs w:val="0"/>
          <w:caps w:val="0"/>
          <w:color w:val="000000"/>
          <w:spacing w:val="0"/>
          <w:sz w:val="32"/>
          <w:szCs w:val="32"/>
        </w:rPr>
      </w:pPr>
      <w:r>
        <w:rPr>
          <w:rFonts w:hint="eastAsia" w:ascii="仿宋" w:hAnsi="仿宋" w:eastAsia="仿宋" w:cs="仿宋"/>
          <w:b w:val="0"/>
          <w:bCs w:val="0"/>
          <w:i w:val="0"/>
          <w:iCs w:val="0"/>
          <w:caps w:val="0"/>
          <w:color w:val="000000"/>
          <w:spacing w:val="0"/>
          <w:kern w:val="0"/>
          <w:sz w:val="32"/>
          <w:szCs w:val="32"/>
          <w:lang w:val="en-US" w:eastAsia="zh-CN" w:bidi="ar"/>
        </w:rPr>
        <w:t>3.</w:t>
      </w:r>
      <w:r>
        <w:rPr>
          <w:rFonts w:hint="eastAsia" w:ascii="仿宋" w:hAnsi="仿宋" w:eastAsia="仿宋" w:cs="仿宋"/>
          <w:b w:val="0"/>
          <w:bCs w:val="0"/>
          <w:i w:val="0"/>
          <w:iCs w:val="0"/>
          <w:caps w:val="0"/>
          <w:color w:val="000000"/>
          <w:spacing w:val="0"/>
          <w:sz w:val="32"/>
          <w:szCs w:val="32"/>
        </w:rPr>
        <w:t>强化主体责任，进一步加强各企业的政治担当和社会责任意识。把履行社会责任与促进企业改革发展相结合，疫情期间各县属国有企业严格落实企业防控责任，把履行社会责任作为建立现代企业制度的重要内容。鼓励引导企业依法经营、诚实守信，模范遵守法律法规、社会公德和商业道德，维护投资者和债权人权益，保护知识产权。不断提高持续盈利能力，提升产品质量和服务水平。参与社会公益事业，在重大自然灾害和突发事件情况下积极提供支持援助。</w:t>
      </w:r>
      <w:r>
        <w:rPr>
          <w:rFonts w:hint="eastAsia" w:ascii="仿宋" w:hAnsi="仿宋" w:eastAsia="仿宋" w:cs="仿宋"/>
          <w:i w:val="0"/>
          <w:iCs w:val="0"/>
          <w:caps w:val="0"/>
          <w:color w:val="000000"/>
          <w:spacing w:val="0"/>
          <w:sz w:val="32"/>
          <w:szCs w:val="32"/>
        </w:rPr>
        <w:t> </w:t>
      </w:r>
      <w:bookmarkStart w:id="22" w:name="_Toc79163605"/>
      <w:bookmarkEnd w:id="22"/>
      <w:bookmarkStart w:id="23" w:name="_Toc15396601"/>
      <w:bookmarkEnd w:id="23"/>
      <w:bookmarkStart w:id="24" w:name="_Toc79163855"/>
      <w:bookmarkEnd w:id="24"/>
      <w:bookmarkStart w:id="25" w:name="_Toc15377200"/>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黑体" w:hAnsi="宋体" w:eastAsia="黑体" w:cs="黑体"/>
          <w:b w:val="0"/>
          <w:bCs w:val="0"/>
          <w:i w:val="0"/>
          <w:iCs w:val="0"/>
          <w:caps w:val="0"/>
          <w:color w:val="000000"/>
          <w:spacing w:val="0"/>
          <w:sz w:val="32"/>
          <w:szCs w:val="32"/>
        </w:rPr>
      </w:pPr>
      <w:r>
        <w:rPr>
          <w:rFonts w:hint="eastAsia" w:ascii="黑体" w:hAnsi="宋体" w:eastAsia="黑体" w:cs="黑体"/>
          <w:i w:val="0"/>
          <w:iCs w:val="0"/>
          <w:caps w:val="0"/>
          <w:color w:val="000000"/>
          <w:spacing w:val="0"/>
          <w:sz w:val="32"/>
          <w:szCs w:val="32"/>
        </w:rPr>
        <w:t>二、</w:t>
      </w:r>
      <w:bookmarkEnd w:id="25"/>
      <w:r>
        <w:rPr>
          <w:rFonts w:hint="eastAsia" w:ascii="黑体" w:hAnsi="宋体" w:eastAsia="黑体" w:cs="黑体"/>
          <w:i w:val="0"/>
          <w:iCs w:val="0"/>
          <w:caps w:val="0"/>
          <w:color w:val="000000"/>
          <w:spacing w:val="0"/>
          <w:sz w:val="32"/>
          <w:szCs w:val="32"/>
        </w:rPr>
        <w:t>机</w:t>
      </w:r>
      <w:r>
        <w:rPr>
          <w:rFonts w:hint="eastAsia" w:ascii="黑体" w:hAnsi="宋体" w:eastAsia="黑体" w:cs="黑体"/>
          <w:b w:val="0"/>
          <w:bCs w:val="0"/>
          <w:i w:val="0"/>
          <w:iCs w:val="0"/>
          <w:caps w:val="0"/>
          <w:color w:val="000000"/>
          <w:spacing w:val="0"/>
          <w:sz w:val="32"/>
          <w:szCs w:val="32"/>
        </w:rPr>
        <w:t>构设置</w:t>
      </w:r>
      <w:bookmarkStart w:id="26" w:name="_Toc79163856"/>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sz w:val="28"/>
          <w:szCs w:val="28"/>
        </w:rPr>
        <w:t>我中心</w:t>
      </w:r>
      <w:bookmarkEnd w:id="26"/>
      <w:r>
        <w:rPr>
          <w:rFonts w:hint="eastAsia" w:ascii="仿宋" w:hAnsi="仿宋" w:eastAsia="仿宋" w:cs="仿宋"/>
          <w:i w:val="0"/>
          <w:iCs w:val="0"/>
          <w:caps w:val="0"/>
          <w:color w:val="000000"/>
          <w:spacing w:val="0"/>
          <w:sz w:val="28"/>
          <w:szCs w:val="28"/>
        </w:rPr>
        <w:t>事业编制8名，内设3个股室（办公室、产权部、绩效考核部）。</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1、综合办公室</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处理中心运转的日常工作;负责中心综合协调、文电、会议、机要、保密、档案、财务、安全生产和信息化等工作:承担重要文件和主任办公会议决定事项的督办工作;指导所监管企业开展信访维稳工作;负责中心干部、人事及机构编制管理和所监管企业的人事、档案管理等工作。</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2、产权管理股</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依照《中华人民共和国企业国有资产法》《企业国有资产监督管理暂行条例》《中华人民共和国公司法》《阿坝州企业国有资产监督管理暂行办法》等法律法规，研究提出县域内国有资产产权管理的建议，拟定国有资产产权界定、登记、划转、处置及产权纠纷等方面的规章制度和管理办法，并组织实施;承担国有资产评估项目的核准和备案工作;审核所监管企业资本金变动、股权转让及发债方案;监督、规范国有产权交易，参与重大投资决策，履行出资人职责;拟定国有企业清产核资的政策及制度、方法，组织所监管企业完成清产核资工作;按照国家有关规定，负责所监管企业资产损失和债权损失核销工作;负责组织所监管企业上缴国有资本收益。</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3、统计与绩效考核股</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负责所监管企业国有资产和财务等统计工作;负责编报国有资本经营预算建议草案;负责所监管企业国有资本收益收缴工作;负责审核报批国有独资企业年度预(决)算草案;负责所监管企业收支决算的审核汇总工作;指导、规范所监管企业财务制度、会计核算制度建设;负责所监管企业清产核资和资产损失核销工作;负责拟订和完善所监管企业经营业绩考核制度及薪酬制度，经报批后组织实施;牵头组织实施所监管企业的年度目标考核工作;负责企业财务的监督检查工作;负责组织实施国有企业年度审计和专项审计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18"/>
          <w:szCs w:val="18"/>
        </w:rPr>
      </w:pPr>
    </w:p>
    <w:p>
      <w:pPr>
        <w:pStyle w:val="4"/>
        <w:keepNext w:val="0"/>
        <w:keepLines w:val="0"/>
        <w:widowControl/>
        <w:suppressLineNumbers w:val="0"/>
        <w:ind w:left="0" w:right="440" w:firstLine="0"/>
        <w:jc w:val="right"/>
        <w:rPr>
          <w:rFonts w:hint="eastAsia" w:ascii="宋体" w:hAnsi="宋体" w:eastAsia="宋体" w:cs="宋体"/>
          <w:i w:val="0"/>
          <w:iCs w:val="0"/>
          <w:caps w:val="0"/>
          <w:color w:val="000000"/>
          <w:spacing w:val="0"/>
        </w:rPr>
      </w:pPr>
      <w:bookmarkStart w:id="27" w:name="_Toc15396602"/>
      <w:bookmarkEnd w:id="27"/>
      <w:bookmarkStart w:id="28" w:name="_Toc79163859"/>
      <w:bookmarkEnd w:id="28"/>
      <w:bookmarkStart w:id="29" w:name="_Toc15377204"/>
      <w:bookmarkEnd w:id="29"/>
      <w:bookmarkStart w:id="30" w:name="_Toc79163609"/>
      <w:r>
        <w:rPr>
          <w:rFonts w:hint="eastAsia" w:ascii="黑体" w:hAnsi="宋体" w:eastAsia="黑体" w:cs="黑体"/>
          <w:i w:val="0"/>
          <w:iCs w:val="0"/>
          <w:caps w:val="0"/>
          <w:color w:val="000000"/>
          <w:spacing w:val="0"/>
          <w:sz w:val="44"/>
          <w:szCs w:val="44"/>
        </w:rPr>
        <w:t>第二部分</w:t>
      </w:r>
      <w:bookmarkEnd w:id="30"/>
      <w:r>
        <w:rPr>
          <w:rFonts w:hint="eastAsia" w:ascii="黑体" w:hAnsi="宋体" w:eastAsia="黑体" w:cs="黑体"/>
          <w:b/>
          <w:bCs/>
          <w:i w:val="0"/>
          <w:iCs w:val="0"/>
          <w:caps w:val="0"/>
          <w:color w:val="000000"/>
          <w:spacing w:val="0"/>
          <w:sz w:val="44"/>
          <w:szCs w:val="44"/>
        </w:rPr>
        <w:t> </w:t>
      </w:r>
      <w:r>
        <w:rPr>
          <w:rFonts w:hint="eastAsia" w:ascii="黑体" w:hAnsi="宋体" w:eastAsia="黑体" w:cs="黑体"/>
          <w:b w:val="0"/>
          <w:bCs w:val="0"/>
          <w:i w:val="0"/>
          <w:iCs w:val="0"/>
          <w:caps w:val="0"/>
          <w:color w:val="000000"/>
          <w:spacing w:val="0"/>
          <w:sz w:val="44"/>
          <w:szCs w:val="44"/>
        </w:rPr>
        <w:t>202</w:t>
      </w:r>
      <w:r>
        <w:rPr>
          <w:rFonts w:hint="eastAsia" w:ascii="黑体" w:eastAsia="黑体" w:cs="黑体"/>
          <w:b w:val="0"/>
          <w:bCs w:val="0"/>
          <w:i w:val="0"/>
          <w:iCs w:val="0"/>
          <w:caps w:val="0"/>
          <w:color w:val="000000"/>
          <w:spacing w:val="0"/>
          <w:sz w:val="44"/>
          <w:szCs w:val="44"/>
          <w:lang w:val="en-US" w:eastAsia="zh-CN"/>
        </w:rPr>
        <w:t>1</w:t>
      </w:r>
      <w:r>
        <w:rPr>
          <w:rFonts w:hint="eastAsia" w:ascii="黑体" w:hAnsi="宋体" w:eastAsia="黑体" w:cs="黑体"/>
          <w:b w:val="0"/>
          <w:bCs w:val="0"/>
          <w:i w:val="0"/>
          <w:iCs w:val="0"/>
          <w:caps w:val="0"/>
          <w:color w:val="000000"/>
          <w:spacing w:val="0"/>
          <w:sz w:val="44"/>
          <w:szCs w:val="44"/>
        </w:rPr>
        <w:t>年度部门决算情况说明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18"/>
          <w:szCs w:val="18"/>
        </w:rPr>
      </w:pPr>
      <w:r>
        <w:rPr>
          <w:rFonts w:hint="default" w:ascii="Times New Roman" w:hAnsi="Times New Roman" w:eastAsia="宋体" w:cs="Times New Roman"/>
          <w:i w:val="0"/>
          <w:iCs w:val="0"/>
          <w:caps w:val="0"/>
          <w:color w:val="000000"/>
          <w:spacing w:val="0"/>
          <w:kern w:val="0"/>
          <w:sz w:val="21"/>
          <w:szCs w:val="21"/>
          <w:lang w:val="en-US" w:eastAsia="zh-CN" w:bidi="ar"/>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1360" w:right="0" w:hanging="720"/>
        <w:rPr>
          <w:rFonts w:hint="eastAsia" w:ascii="宋体" w:hAnsi="宋体" w:eastAsia="宋体" w:cs="宋体"/>
          <w:i w:val="0"/>
          <w:iCs w:val="0"/>
          <w:caps w:val="0"/>
          <w:color w:val="000000" w:themeColor="text1"/>
          <w:spacing w:val="0"/>
          <w:sz w:val="18"/>
          <w:szCs w:val="18"/>
          <w14:textFill>
            <w14:solidFill>
              <w14:schemeClr w14:val="tx1"/>
            </w14:solidFill>
          </w14:textFill>
        </w:rPr>
      </w:pPr>
      <w:bookmarkStart w:id="31" w:name="_Toc79163860"/>
      <w:bookmarkEnd w:id="31"/>
      <w:r>
        <w:rPr>
          <w:rFonts w:hint="eastAsia" w:ascii="黑体" w:hAnsi="宋体" w:eastAsia="黑体" w:cs="黑体"/>
          <w:i w:val="0"/>
          <w:iCs w:val="0"/>
          <w:caps w:val="0"/>
          <w:color w:val="000000" w:themeColor="text1"/>
          <w:spacing w:val="0"/>
          <w:sz w:val="32"/>
          <w:szCs w:val="32"/>
          <w14:textFill>
            <w14:solidFill>
              <w14:schemeClr w14:val="tx1"/>
            </w14:solidFill>
          </w14:textFill>
        </w:rPr>
        <w:t>一、 </w:t>
      </w:r>
      <w:bookmarkStart w:id="32" w:name="_Toc15396603"/>
      <w:bookmarkEnd w:id="32"/>
      <w:bookmarkStart w:id="33" w:name="_Toc79163610"/>
      <w:bookmarkEnd w:id="33"/>
      <w:bookmarkStart w:id="34" w:name="_Toc15377205"/>
      <w:r>
        <w:rPr>
          <w:rFonts w:hint="eastAsia" w:ascii="黑体" w:hAnsi="宋体" w:eastAsia="黑体" w:cs="黑体"/>
          <w:i w:val="0"/>
          <w:iCs w:val="0"/>
          <w:caps w:val="0"/>
          <w:color w:val="000000" w:themeColor="text1"/>
          <w:spacing w:val="0"/>
          <w:sz w:val="32"/>
          <w:szCs w:val="32"/>
          <w14:textFill>
            <w14:solidFill>
              <w14:schemeClr w14:val="tx1"/>
            </w14:solidFill>
          </w14:textFill>
        </w:rPr>
        <w:t>收</w:t>
      </w:r>
      <w:bookmarkEnd w:id="34"/>
      <w:r>
        <w:rPr>
          <w:rFonts w:hint="eastAsia" w:ascii="黑体" w:hAnsi="宋体" w:eastAsia="黑体" w:cs="黑体"/>
          <w:i w:val="0"/>
          <w:iCs w:val="0"/>
          <w:caps w:val="0"/>
          <w:color w:val="000000" w:themeColor="text1"/>
          <w:spacing w:val="0"/>
          <w:sz w:val="32"/>
          <w:szCs w:val="32"/>
          <w14:textFill>
            <w14:solidFill>
              <w14:schemeClr w14:val="tx1"/>
            </w14:solidFill>
          </w14:textFill>
        </w:rPr>
        <w:t>入支出决算总体情况说明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themeColor="text1"/>
          <w:spacing w:val="0"/>
          <w:sz w:val="18"/>
          <w:szCs w:val="18"/>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lang w:val="en-US" w:eastAsia="zh-CN" w:bidi="ar"/>
          <w14:textFill>
            <w14:solidFill>
              <w14:schemeClr w14:val="tx1"/>
            </w14:solidFill>
          </w14:textFill>
        </w:rPr>
        <w:t>2021年度收入和计37121.11万元、支出合计40881.52万元。与2020年相比收入23417.39万元，增加13703.72万元增加58.52 %，与2020年相比支出25583.95万元，增加15297.57万元，增加59.79 %。主要变动原因是项目支出减少。</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1360" w:right="0" w:hanging="720"/>
        <w:rPr>
          <w:rFonts w:hint="eastAsia" w:ascii="宋体" w:hAnsi="宋体" w:eastAsia="宋体" w:cs="宋体"/>
          <w:i w:val="0"/>
          <w:iCs w:val="0"/>
          <w:caps w:val="0"/>
          <w:color w:val="000000"/>
          <w:spacing w:val="0"/>
          <w:sz w:val="18"/>
          <w:szCs w:val="18"/>
        </w:rPr>
      </w:pPr>
      <w:bookmarkStart w:id="35" w:name="_Toc15396604"/>
      <w:bookmarkEnd w:id="35"/>
      <w:r>
        <w:rPr>
          <w:rFonts w:hint="eastAsia" w:ascii="黑体" w:hAnsi="宋体" w:eastAsia="黑体" w:cs="黑体"/>
          <w:i w:val="0"/>
          <w:iCs w:val="0"/>
          <w:caps w:val="0"/>
          <w:color w:val="000000"/>
          <w:spacing w:val="0"/>
          <w:sz w:val="32"/>
          <w:szCs w:val="32"/>
        </w:rPr>
        <w:t>二、 </w:t>
      </w:r>
      <w:bookmarkStart w:id="36" w:name="_Toc79163611"/>
      <w:bookmarkEnd w:id="36"/>
      <w:bookmarkStart w:id="37" w:name="_Toc15377206"/>
      <w:bookmarkEnd w:id="37"/>
      <w:bookmarkStart w:id="38" w:name="_Toc79163861"/>
      <w:r>
        <w:rPr>
          <w:rFonts w:hint="eastAsia" w:ascii="黑体" w:hAnsi="宋体" w:eastAsia="黑体" w:cs="黑体"/>
          <w:i w:val="0"/>
          <w:iCs w:val="0"/>
          <w:caps w:val="0"/>
          <w:color w:val="000000"/>
          <w:spacing w:val="0"/>
          <w:sz w:val="32"/>
          <w:szCs w:val="32"/>
        </w:rPr>
        <w:t>收</w:t>
      </w:r>
      <w:bookmarkEnd w:id="38"/>
      <w:r>
        <w:rPr>
          <w:rFonts w:hint="eastAsia" w:ascii="黑体" w:hAnsi="宋体" w:eastAsia="黑体" w:cs="黑体"/>
          <w:i w:val="0"/>
          <w:iCs w:val="0"/>
          <w:caps w:val="0"/>
          <w:color w:val="000000"/>
          <w:spacing w:val="0"/>
          <w:sz w:val="32"/>
          <w:szCs w:val="32"/>
        </w:rPr>
        <w:t>入决算情况说明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32"/>
          <w:szCs w:val="32"/>
          <w:lang w:val="en-US" w:eastAsia="zh-CN" w:bidi="ar"/>
        </w:rPr>
        <w:t>2021年本年收入合计</w:t>
      </w:r>
      <w:r>
        <w:rPr>
          <w:rFonts w:hint="eastAsia" w:ascii="仿宋" w:hAnsi="仿宋" w:eastAsia="仿宋" w:cs="仿宋"/>
          <w:i w:val="0"/>
          <w:iCs w:val="0"/>
          <w:caps w:val="0"/>
          <w:color w:val="000000" w:themeColor="text1"/>
          <w:spacing w:val="0"/>
          <w:kern w:val="0"/>
          <w:sz w:val="32"/>
          <w:szCs w:val="32"/>
          <w:lang w:val="en-US" w:eastAsia="zh-CN" w:bidi="ar"/>
          <w14:textFill>
            <w14:solidFill>
              <w14:schemeClr w14:val="tx1"/>
            </w14:solidFill>
          </w14:textFill>
        </w:rPr>
        <w:t>37121.11</w:t>
      </w:r>
      <w:r>
        <w:rPr>
          <w:rFonts w:hint="eastAsia" w:ascii="仿宋" w:hAnsi="仿宋" w:eastAsia="仿宋" w:cs="仿宋"/>
          <w:i w:val="0"/>
          <w:iCs w:val="0"/>
          <w:caps w:val="0"/>
          <w:color w:val="000000"/>
          <w:spacing w:val="0"/>
          <w:kern w:val="0"/>
          <w:sz w:val="32"/>
          <w:szCs w:val="32"/>
          <w:lang w:val="en-US" w:eastAsia="zh-CN" w:bidi="ar"/>
        </w:rPr>
        <w:t>万元，其中：一般公共预算财政拨款收入1221.11万元，占3.29%；政府性基金预算财政拨款收入35900万元，占96.71%；上级补助收入0万元，占0%；事业收入0万元，占0%；经营收入0万元，占0%；附属单位上缴收入0万元，占0%；其他收入0万元，占0%。</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1360" w:right="0" w:hanging="720"/>
        <w:rPr>
          <w:rFonts w:hint="eastAsia" w:ascii="宋体" w:hAnsi="宋体" w:eastAsia="宋体" w:cs="宋体"/>
          <w:i w:val="0"/>
          <w:iCs w:val="0"/>
          <w:caps w:val="0"/>
          <w:color w:val="000000"/>
          <w:spacing w:val="0"/>
          <w:sz w:val="18"/>
          <w:szCs w:val="18"/>
        </w:rPr>
      </w:pPr>
      <w:bookmarkStart w:id="39" w:name="_Toc79163612"/>
      <w:bookmarkEnd w:id="39"/>
      <w:r>
        <w:rPr>
          <w:rFonts w:hint="eastAsia" w:ascii="黑体" w:hAnsi="宋体" w:eastAsia="黑体" w:cs="黑体"/>
          <w:i w:val="0"/>
          <w:iCs w:val="0"/>
          <w:caps w:val="0"/>
          <w:color w:val="000000"/>
          <w:spacing w:val="0"/>
          <w:sz w:val="32"/>
          <w:szCs w:val="32"/>
        </w:rPr>
        <w:t>三、 </w:t>
      </w:r>
      <w:bookmarkStart w:id="40" w:name="_Toc15396605"/>
      <w:bookmarkEnd w:id="40"/>
      <w:bookmarkStart w:id="41" w:name="_Toc15377207"/>
      <w:bookmarkEnd w:id="41"/>
      <w:bookmarkStart w:id="42" w:name="_Toc79163862"/>
      <w:r>
        <w:rPr>
          <w:rFonts w:hint="eastAsia" w:ascii="黑体" w:hAnsi="宋体" w:eastAsia="黑体" w:cs="黑体"/>
          <w:i w:val="0"/>
          <w:iCs w:val="0"/>
          <w:caps w:val="0"/>
          <w:color w:val="000000"/>
          <w:spacing w:val="0"/>
          <w:sz w:val="32"/>
          <w:szCs w:val="32"/>
        </w:rPr>
        <w:t>支</w:t>
      </w:r>
      <w:bookmarkEnd w:id="42"/>
      <w:r>
        <w:rPr>
          <w:rFonts w:hint="eastAsia" w:ascii="黑体" w:hAnsi="宋体" w:eastAsia="黑体" w:cs="黑体"/>
          <w:i w:val="0"/>
          <w:iCs w:val="0"/>
          <w:caps w:val="0"/>
          <w:color w:val="000000"/>
          <w:spacing w:val="0"/>
          <w:sz w:val="32"/>
          <w:szCs w:val="32"/>
        </w:rPr>
        <w:t>出决算情况说明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ascii="仿宋_GB2312" w:hAnsi="宋体" w:eastAsia="仿宋_GB2312" w:cs="仿宋_GB2312"/>
          <w:i w:val="0"/>
          <w:iCs w:val="0"/>
          <w:caps w:val="0"/>
          <w:color w:val="000000"/>
          <w:spacing w:val="0"/>
          <w:kern w:val="0"/>
          <w:sz w:val="32"/>
          <w:szCs w:val="32"/>
          <w:lang w:val="en-US" w:eastAsia="zh-CN" w:bidi="ar"/>
        </w:rPr>
        <w:t>202</w:t>
      </w:r>
      <w:r>
        <w:rPr>
          <w:rFonts w:hint="eastAsia" w:ascii="仿宋_GB2312" w:hAnsi="宋体" w:eastAsia="仿宋_GB2312" w:cs="仿宋_GB2312"/>
          <w:i w:val="0"/>
          <w:iCs w:val="0"/>
          <w:caps w:val="0"/>
          <w:color w:val="000000"/>
          <w:spacing w:val="0"/>
          <w:kern w:val="0"/>
          <w:sz w:val="32"/>
          <w:szCs w:val="32"/>
          <w:lang w:val="en-US" w:eastAsia="zh-CN" w:bidi="ar"/>
        </w:rPr>
        <w:t>1年本年支出合计</w:t>
      </w:r>
      <w:r>
        <w:rPr>
          <w:rFonts w:hint="eastAsia" w:ascii="仿宋" w:hAnsi="仿宋" w:eastAsia="仿宋" w:cs="仿宋"/>
          <w:i w:val="0"/>
          <w:iCs w:val="0"/>
          <w:caps w:val="0"/>
          <w:color w:val="000000" w:themeColor="text1"/>
          <w:spacing w:val="0"/>
          <w:kern w:val="0"/>
          <w:sz w:val="32"/>
          <w:szCs w:val="32"/>
          <w:lang w:val="en-US" w:eastAsia="zh-CN" w:bidi="ar"/>
          <w14:textFill>
            <w14:solidFill>
              <w14:schemeClr w14:val="tx1"/>
            </w14:solidFill>
          </w14:textFill>
        </w:rPr>
        <w:t>40881.52</w:t>
      </w:r>
      <w:r>
        <w:rPr>
          <w:rFonts w:hint="eastAsia" w:ascii="仿宋_GB2312" w:hAnsi="宋体" w:eastAsia="仿宋_GB2312" w:cs="仿宋_GB2312"/>
          <w:i w:val="0"/>
          <w:iCs w:val="0"/>
          <w:caps w:val="0"/>
          <w:color w:val="000000"/>
          <w:spacing w:val="0"/>
          <w:kern w:val="0"/>
          <w:sz w:val="32"/>
          <w:szCs w:val="32"/>
          <w:lang w:val="en-US" w:eastAsia="zh-CN" w:bidi="ar"/>
        </w:rPr>
        <w:t>万元，其中：基本支出4981.52万元，占12.19%；项目支出35900万元，占87.81%；上缴上级支出0万元，占0%；经营支出0万元，占0%；对附属单位补助支出0万元，占0%。</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bookmarkStart w:id="43" w:name="_Toc79163863"/>
      <w:bookmarkEnd w:id="43"/>
      <w:bookmarkStart w:id="44" w:name="_Toc15396606"/>
      <w:bookmarkEnd w:id="44"/>
      <w:bookmarkStart w:id="45" w:name="_Toc79163613"/>
      <w:bookmarkEnd w:id="45"/>
      <w:bookmarkStart w:id="46" w:name="_Toc15377208"/>
      <w:r>
        <w:rPr>
          <w:rFonts w:hint="eastAsia" w:ascii="黑体" w:hAnsi="宋体" w:eastAsia="黑体" w:cs="黑体"/>
          <w:i w:val="0"/>
          <w:iCs w:val="0"/>
          <w:caps w:val="0"/>
          <w:color w:val="000000"/>
          <w:spacing w:val="0"/>
          <w:kern w:val="0"/>
          <w:sz w:val="32"/>
          <w:szCs w:val="32"/>
          <w:lang w:val="en-US" w:eastAsia="zh-CN" w:bidi="ar"/>
        </w:rPr>
        <w:t>四、财</w:t>
      </w:r>
      <w:bookmarkEnd w:id="46"/>
      <w:r>
        <w:rPr>
          <w:rFonts w:hint="eastAsia" w:ascii="黑体" w:hAnsi="宋体" w:eastAsia="黑体" w:cs="黑体"/>
          <w:i w:val="0"/>
          <w:iCs w:val="0"/>
          <w:caps w:val="0"/>
          <w:color w:val="000000"/>
          <w:spacing w:val="0"/>
          <w:kern w:val="0"/>
          <w:sz w:val="32"/>
          <w:szCs w:val="32"/>
          <w:lang w:val="en-US" w:eastAsia="zh-CN" w:bidi="ar"/>
        </w:rPr>
        <w:t>政拨款收入支出决算总体情况说明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32"/>
          <w:szCs w:val="32"/>
          <w:lang w:val="en-US" w:eastAsia="zh-CN" w:bidi="ar"/>
        </w:rPr>
        <w:t>2021年度收入和计</w:t>
      </w:r>
      <w:r>
        <w:rPr>
          <w:rFonts w:hint="eastAsia" w:ascii="仿宋" w:hAnsi="仿宋" w:eastAsia="仿宋" w:cs="仿宋"/>
          <w:i w:val="0"/>
          <w:iCs w:val="0"/>
          <w:caps w:val="0"/>
          <w:color w:val="000000" w:themeColor="text1"/>
          <w:spacing w:val="0"/>
          <w:kern w:val="0"/>
          <w:sz w:val="32"/>
          <w:szCs w:val="32"/>
          <w:lang w:val="en-US" w:eastAsia="zh-CN" w:bidi="ar"/>
          <w14:textFill>
            <w14:solidFill>
              <w14:schemeClr w14:val="tx1"/>
            </w14:solidFill>
          </w14:textFill>
        </w:rPr>
        <w:t>37121.11</w:t>
      </w:r>
      <w:r>
        <w:rPr>
          <w:rFonts w:hint="eastAsia" w:ascii="仿宋" w:hAnsi="仿宋" w:eastAsia="仿宋" w:cs="仿宋"/>
          <w:i w:val="0"/>
          <w:iCs w:val="0"/>
          <w:caps w:val="0"/>
          <w:color w:val="000000"/>
          <w:spacing w:val="0"/>
          <w:kern w:val="0"/>
          <w:sz w:val="32"/>
          <w:szCs w:val="32"/>
          <w:lang w:val="en-US" w:eastAsia="zh-CN" w:bidi="ar"/>
        </w:rPr>
        <w:t>万元、支出合计</w:t>
      </w:r>
      <w:r>
        <w:rPr>
          <w:rFonts w:hint="eastAsia" w:ascii="仿宋" w:hAnsi="仿宋" w:eastAsia="仿宋" w:cs="仿宋"/>
          <w:i w:val="0"/>
          <w:iCs w:val="0"/>
          <w:caps w:val="0"/>
          <w:color w:val="000000" w:themeColor="text1"/>
          <w:spacing w:val="0"/>
          <w:kern w:val="0"/>
          <w:sz w:val="32"/>
          <w:szCs w:val="32"/>
          <w:lang w:val="en-US" w:eastAsia="zh-CN" w:bidi="ar"/>
          <w14:textFill>
            <w14:solidFill>
              <w14:schemeClr w14:val="tx1"/>
            </w14:solidFill>
          </w14:textFill>
        </w:rPr>
        <w:t>40881.52</w:t>
      </w:r>
      <w:r>
        <w:rPr>
          <w:rFonts w:hint="eastAsia" w:ascii="仿宋" w:hAnsi="仿宋" w:eastAsia="仿宋" w:cs="仿宋"/>
          <w:i w:val="0"/>
          <w:iCs w:val="0"/>
          <w:caps w:val="0"/>
          <w:color w:val="000000"/>
          <w:spacing w:val="0"/>
          <w:kern w:val="0"/>
          <w:sz w:val="32"/>
          <w:szCs w:val="32"/>
          <w:lang w:val="en-US" w:eastAsia="zh-CN" w:bidi="ar"/>
        </w:rPr>
        <w:t>万元。与2020年相比收入23417.39万元，增加</w:t>
      </w:r>
      <w:r>
        <w:rPr>
          <w:rFonts w:hint="eastAsia" w:ascii="仿宋" w:hAnsi="仿宋" w:eastAsia="仿宋" w:cs="仿宋"/>
          <w:i w:val="0"/>
          <w:iCs w:val="0"/>
          <w:caps w:val="0"/>
          <w:color w:val="000000" w:themeColor="text1"/>
          <w:spacing w:val="0"/>
          <w:kern w:val="0"/>
          <w:sz w:val="32"/>
          <w:szCs w:val="32"/>
          <w:lang w:val="en-US" w:eastAsia="zh-CN" w:bidi="ar"/>
          <w14:textFill>
            <w14:solidFill>
              <w14:schemeClr w14:val="tx1"/>
            </w14:solidFill>
          </w14:textFill>
        </w:rPr>
        <w:t>13703.72</w:t>
      </w:r>
      <w:r>
        <w:rPr>
          <w:rFonts w:hint="eastAsia" w:ascii="仿宋" w:hAnsi="仿宋" w:eastAsia="仿宋" w:cs="仿宋"/>
          <w:i w:val="0"/>
          <w:iCs w:val="0"/>
          <w:caps w:val="0"/>
          <w:color w:val="000000"/>
          <w:spacing w:val="0"/>
          <w:kern w:val="0"/>
          <w:sz w:val="32"/>
          <w:szCs w:val="32"/>
          <w:lang w:val="en-US" w:eastAsia="zh-CN" w:bidi="ar"/>
        </w:rPr>
        <w:t>万元</w:t>
      </w:r>
      <w:r>
        <w:rPr>
          <w:rFonts w:hint="eastAsia" w:ascii="仿宋" w:hAnsi="仿宋" w:eastAsia="仿宋" w:cs="仿宋"/>
          <w:i w:val="0"/>
          <w:iCs w:val="0"/>
          <w:caps w:val="0"/>
          <w:color w:val="000000" w:themeColor="text1"/>
          <w:spacing w:val="0"/>
          <w:kern w:val="0"/>
          <w:sz w:val="32"/>
          <w:szCs w:val="32"/>
          <w:lang w:val="en-US" w:eastAsia="zh-CN" w:bidi="ar"/>
          <w14:textFill>
            <w14:solidFill>
              <w14:schemeClr w14:val="tx1"/>
            </w14:solidFill>
          </w14:textFill>
        </w:rPr>
        <w:t>增加58.52 %</w:t>
      </w:r>
      <w:r>
        <w:rPr>
          <w:rFonts w:hint="eastAsia" w:ascii="仿宋" w:hAnsi="仿宋" w:eastAsia="仿宋" w:cs="仿宋"/>
          <w:i w:val="0"/>
          <w:iCs w:val="0"/>
          <w:caps w:val="0"/>
          <w:color w:val="000000"/>
          <w:spacing w:val="0"/>
          <w:kern w:val="0"/>
          <w:sz w:val="32"/>
          <w:szCs w:val="32"/>
          <w:lang w:val="en-US" w:eastAsia="zh-CN" w:bidi="ar"/>
        </w:rPr>
        <w:t>，与2020年相比支出25583.95万元，</w:t>
      </w:r>
      <w:r>
        <w:rPr>
          <w:rFonts w:hint="eastAsia" w:ascii="仿宋" w:hAnsi="仿宋" w:eastAsia="仿宋" w:cs="仿宋"/>
          <w:i w:val="0"/>
          <w:iCs w:val="0"/>
          <w:caps w:val="0"/>
          <w:color w:val="000000" w:themeColor="text1"/>
          <w:spacing w:val="0"/>
          <w:kern w:val="0"/>
          <w:sz w:val="32"/>
          <w:szCs w:val="32"/>
          <w:lang w:val="en-US" w:eastAsia="zh-CN" w:bidi="ar"/>
          <w14:textFill>
            <w14:solidFill>
              <w14:schemeClr w14:val="tx1"/>
            </w14:solidFill>
          </w14:textFill>
        </w:rPr>
        <w:t>增加13703.72</w:t>
      </w:r>
      <w:r>
        <w:rPr>
          <w:rFonts w:hint="eastAsia" w:ascii="仿宋" w:hAnsi="仿宋" w:eastAsia="仿宋" w:cs="仿宋"/>
          <w:i w:val="0"/>
          <w:iCs w:val="0"/>
          <w:caps w:val="0"/>
          <w:color w:val="000000"/>
          <w:spacing w:val="0"/>
          <w:kern w:val="0"/>
          <w:sz w:val="32"/>
          <w:szCs w:val="32"/>
          <w:lang w:val="en-US" w:eastAsia="zh-CN" w:bidi="ar"/>
        </w:rPr>
        <w:t>万元，</w:t>
      </w:r>
      <w:r>
        <w:rPr>
          <w:rFonts w:hint="eastAsia" w:ascii="仿宋" w:hAnsi="仿宋" w:eastAsia="仿宋" w:cs="仿宋"/>
          <w:i w:val="0"/>
          <w:iCs w:val="0"/>
          <w:caps w:val="0"/>
          <w:color w:val="000000" w:themeColor="text1"/>
          <w:spacing w:val="0"/>
          <w:kern w:val="0"/>
          <w:sz w:val="32"/>
          <w:szCs w:val="32"/>
          <w:lang w:val="en-US" w:eastAsia="zh-CN" w:bidi="ar"/>
          <w14:textFill>
            <w14:solidFill>
              <w14:schemeClr w14:val="tx1"/>
            </w14:solidFill>
          </w14:textFill>
        </w:rPr>
        <w:t>增加59.79 %</w:t>
      </w:r>
      <w:r>
        <w:rPr>
          <w:rFonts w:hint="eastAsia" w:ascii="仿宋" w:hAnsi="仿宋" w:eastAsia="仿宋" w:cs="仿宋"/>
          <w:i w:val="0"/>
          <w:iCs w:val="0"/>
          <w:caps w:val="0"/>
          <w:color w:val="000000"/>
          <w:spacing w:val="0"/>
          <w:kern w:val="0"/>
          <w:sz w:val="32"/>
          <w:szCs w:val="32"/>
          <w:lang w:val="en-US" w:eastAsia="zh-CN" w:bidi="ar"/>
        </w:rPr>
        <w:t>。主要变动原因是项目支出</w:t>
      </w:r>
      <w:r>
        <w:rPr>
          <w:rFonts w:hint="eastAsia" w:ascii="仿宋" w:hAnsi="仿宋" w:eastAsia="仿宋" w:cs="仿宋"/>
          <w:i w:val="0"/>
          <w:iCs w:val="0"/>
          <w:caps w:val="0"/>
          <w:color w:val="000000" w:themeColor="text1"/>
          <w:spacing w:val="0"/>
          <w:kern w:val="0"/>
          <w:sz w:val="32"/>
          <w:szCs w:val="32"/>
          <w:lang w:val="en-US" w:eastAsia="zh-CN" w:bidi="ar"/>
          <w14:textFill>
            <w14:solidFill>
              <w14:schemeClr w14:val="tx1"/>
            </w14:solidFill>
          </w14:textFill>
        </w:rPr>
        <w:t>增加</w:t>
      </w:r>
      <w:r>
        <w:rPr>
          <w:rFonts w:hint="eastAsia" w:ascii="仿宋" w:hAnsi="仿宋" w:eastAsia="仿宋" w:cs="仿宋"/>
          <w:i w:val="0"/>
          <w:iCs w:val="0"/>
          <w:caps w:val="0"/>
          <w:color w:val="000000"/>
          <w:spacing w:val="0"/>
          <w:kern w:val="0"/>
          <w:sz w:val="32"/>
          <w:szCs w:val="32"/>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bookmarkStart w:id="47" w:name="_Toc15377209"/>
      <w:bookmarkEnd w:id="47"/>
      <w:bookmarkStart w:id="48" w:name="_Toc79163864"/>
      <w:bookmarkEnd w:id="48"/>
      <w:bookmarkStart w:id="49" w:name="_Toc79163614"/>
      <w:bookmarkEnd w:id="49"/>
      <w:bookmarkStart w:id="50" w:name="_Toc15396607"/>
      <w:r>
        <w:rPr>
          <w:rFonts w:hint="eastAsia" w:ascii="黑体" w:hAnsi="宋体" w:eastAsia="黑体" w:cs="黑体"/>
          <w:i w:val="0"/>
          <w:iCs w:val="0"/>
          <w:caps w:val="0"/>
          <w:color w:val="000000"/>
          <w:spacing w:val="0"/>
          <w:kern w:val="0"/>
          <w:sz w:val="32"/>
          <w:szCs w:val="32"/>
          <w:lang w:val="en-US" w:eastAsia="zh-CN" w:bidi="ar"/>
        </w:rPr>
        <w:t>五、</w:t>
      </w:r>
      <w:bookmarkEnd w:id="50"/>
      <w:r>
        <w:rPr>
          <w:rFonts w:hint="eastAsia" w:ascii="黑体" w:hAnsi="宋体" w:eastAsia="黑体" w:cs="黑体"/>
          <w:b/>
          <w:bCs/>
          <w:i w:val="0"/>
          <w:iCs w:val="0"/>
          <w:caps w:val="0"/>
          <w:color w:val="000000"/>
          <w:spacing w:val="0"/>
          <w:kern w:val="0"/>
          <w:sz w:val="32"/>
          <w:szCs w:val="32"/>
          <w:lang w:val="en-US" w:eastAsia="zh-CN" w:bidi="ar"/>
        </w:rPr>
        <w:t>一</w:t>
      </w:r>
      <w:r>
        <w:rPr>
          <w:rFonts w:hint="eastAsia" w:ascii="黑体" w:hAnsi="宋体" w:eastAsia="黑体" w:cs="黑体"/>
          <w:i w:val="0"/>
          <w:iCs w:val="0"/>
          <w:caps w:val="0"/>
          <w:color w:val="000000"/>
          <w:spacing w:val="0"/>
          <w:kern w:val="0"/>
          <w:sz w:val="32"/>
          <w:szCs w:val="32"/>
          <w:lang w:val="en-US" w:eastAsia="zh-CN" w:bidi="ar"/>
        </w:rPr>
        <w:t>般公共预算财政拨款支出决算情况说明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left"/>
        <w:rPr>
          <w:rFonts w:hint="eastAsia" w:ascii="宋体" w:hAnsi="宋体" w:eastAsia="宋体" w:cs="宋体"/>
          <w:i w:val="0"/>
          <w:iCs w:val="0"/>
          <w:caps w:val="0"/>
          <w:color w:val="000000"/>
          <w:spacing w:val="0"/>
          <w:sz w:val="18"/>
          <w:szCs w:val="18"/>
        </w:rPr>
      </w:pPr>
      <w:bookmarkStart w:id="51" w:name="_Toc79163615"/>
      <w:bookmarkEnd w:id="51"/>
      <w:bookmarkStart w:id="52" w:name="_Toc15377210"/>
      <w:bookmarkEnd w:id="52"/>
      <w:bookmarkStart w:id="53" w:name="_Toc79163865"/>
      <w:r>
        <w:rPr>
          <w:rFonts w:hint="eastAsia" w:ascii="仿宋" w:hAnsi="仿宋" w:eastAsia="仿宋" w:cs="仿宋"/>
          <w:b/>
          <w:bCs/>
          <w:i w:val="0"/>
          <w:iCs w:val="0"/>
          <w:caps w:val="0"/>
          <w:color w:val="000000"/>
          <w:spacing w:val="0"/>
          <w:kern w:val="0"/>
          <w:sz w:val="32"/>
          <w:szCs w:val="32"/>
          <w:lang w:val="en-US" w:eastAsia="zh-CN" w:bidi="ar"/>
        </w:rPr>
        <w:t>（一）一般公共预算财政拨款支出决算总体情况</w:t>
      </w:r>
      <w:bookmarkEnd w:id="53"/>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32"/>
          <w:szCs w:val="32"/>
          <w:lang w:val="en-US" w:eastAsia="zh-CN" w:bidi="ar"/>
        </w:rPr>
        <w:t>2021年一般公共预算财政拨款支出4981.52万元，占本年支出合计的12.19%。2020年为8182.78万元，与2020年相比，一般公共预算财政拨款减少3201.26万元，下降39.12%。主要变动原因是政府性基金预算资金支出减少。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left"/>
        <w:rPr>
          <w:rFonts w:hint="eastAsia" w:ascii="宋体" w:hAnsi="宋体" w:eastAsia="宋体" w:cs="宋体"/>
          <w:i w:val="0"/>
          <w:iCs w:val="0"/>
          <w:caps w:val="0"/>
          <w:color w:val="000000"/>
          <w:spacing w:val="0"/>
          <w:sz w:val="18"/>
          <w:szCs w:val="18"/>
        </w:rPr>
      </w:pPr>
      <w:bookmarkStart w:id="54" w:name="_Toc79163616"/>
      <w:bookmarkEnd w:id="54"/>
      <w:bookmarkStart w:id="55" w:name="_Toc15377211"/>
      <w:bookmarkEnd w:id="55"/>
      <w:bookmarkStart w:id="56" w:name="_Toc79163866"/>
      <w:r>
        <w:rPr>
          <w:rFonts w:hint="eastAsia" w:ascii="仿宋" w:hAnsi="仿宋" w:eastAsia="仿宋" w:cs="仿宋"/>
          <w:b/>
          <w:bCs/>
          <w:i w:val="0"/>
          <w:iCs w:val="0"/>
          <w:caps w:val="0"/>
          <w:color w:val="000000"/>
          <w:spacing w:val="0"/>
          <w:kern w:val="0"/>
          <w:sz w:val="32"/>
          <w:szCs w:val="32"/>
          <w:bdr w:val="dotted" w:color="0000FF" w:sz="6" w:space="0"/>
          <w:lang w:val="en-US" w:eastAsia="zh-CN" w:bidi="ar"/>
        </w:rPr>
        <w:t>  </w:t>
      </w:r>
      <w:bookmarkEnd w:id="56"/>
      <w:r>
        <w:rPr>
          <w:rFonts w:hint="eastAsia" w:ascii="仿宋" w:hAnsi="仿宋" w:eastAsia="仿宋" w:cs="仿宋"/>
          <w:b/>
          <w:bCs/>
          <w:i w:val="0"/>
          <w:iCs w:val="0"/>
          <w:caps w:val="0"/>
          <w:color w:val="000000"/>
          <w:spacing w:val="0"/>
          <w:kern w:val="0"/>
          <w:sz w:val="32"/>
          <w:szCs w:val="32"/>
          <w:lang w:val="en-US" w:eastAsia="zh-CN" w:bidi="ar"/>
        </w:rPr>
        <w:t>（二）一般公共预算财政拨款支出决算结构情况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32"/>
          <w:szCs w:val="32"/>
          <w:lang w:val="en-US" w:eastAsia="zh-CN" w:bidi="ar"/>
        </w:rPr>
        <w:t>2021年一般公共预算财政拨款支出4981.52万元，主要用于以下方面: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 w:hAnsi="仿宋" w:eastAsia="仿宋" w:cs="仿宋"/>
          <w:b/>
          <w:bCs/>
          <w:i w:val="0"/>
          <w:iCs w:val="0"/>
          <w:caps w:val="0"/>
          <w:color w:val="000000"/>
          <w:spacing w:val="0"/>
          <w:kern w:val="0"/>
          <w:sz w:val="32"/>
          <w:szCs w:val="32"/>
          <w:lang w:val="en-US" w:eastAsia="zh-CN" w:bidi="ar"/>
        </w:rPr>
        <w:t>1.文化旅游体育与传媒（207）支出200万元，占4.01%</w:t>
      </w:r>
      <w:r>
        <w:rPr>
          <w:rFonts w:hint="eastAsia" w:ascii="仿宋" w:hAnsi="仿宋" w:eastAsia="仿宋" w:cs="仿宋"/>
          <w:i w:val="0"/>
          <w:iCs w:val="0"/>
          <w:caps w:val="0"/>
          <w:color w:val="000000"/>
          <w:spacing w:val="0"/>
          <w:kern w:val="0"/>
          <w:sz w:val="32"/>
          <w:szCs w:val="32"/>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32"/>
          <w:szCs w:val="32"/>
          <w:lang w:val="en-US" w:eastAsia="zh-CN" w:bidi="ar"/>
        </w:rPr>
        <w:t>2.</w:t>
      </w:r>
      <w:r>
        <w:rPr>
          <w:rFonts w:hint="eastAsia" w:ascii="仿宋" w:hAnsi="仿宋" w:eastAsia="仿宋" w:cs="仿宋"/>
          <w:b/>
          <w:bCs/>
          <w:i w:val="0"/>
          <w:iCs w:val="0"/>
          <w:caps w:val="0"/>
          <w:color w:val="000000"/>
          <w:spacing w:val="0"/>
          <w:kern w:val="0"/>
          <w:sz w:val="32"/>
          <w:szCs w:val="32"/>
          <w:lang w:val="en-US" w:eastAsia="zh-CN" w:bidi="ar"/>
        </w:rPr>
        <w:t>社会保障和就业（208）</w:t>
      </w:r>
      <w:r>
        <w:rPr>
          <w:rFonts w:hint="eastAsia" w:ascii="仿宋" w:hAnsi="仿宋" w:eastAsia="仿宋" w:cs="仿宋"/>
          <w:i w:val="0"/>
          <w:iCs w:val="0"/>
          <w:caps w:val="0"/>
          <w:color w:val="000000"/>
          <w:spacing w:val="0"/>
          <w:kern w:val="0"/>
          <w:sz w:val="32"/>
          <w:szCs w:val="32"/>
          <w:lang w:val="en-US" w:eastAsia="zh-CN" w:bidi="ar"/>
        </w:rPr>
        <w:t>支出12.68万元，占0.25%；</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 w:hAnsi="仿宋" w:eastAsia="仿宋" w:cs="仿宋"/>
          <w:b/>
          <w:bCs/>
          <w:i w:val="0"/>
          <w:iCs w:val="0"/>
          <w:caps w:val="0"/>
          <w:color w:val="000000"/>
          <w:spacing w:val="0"/>
          <w:kern w:val="0"/>
          <w:sz w:val="32"/>
          <w:szCs w:val="32"/>
          <w:lang w:val="en-US" w:eastAsia="zh-CN" w:bidi="ar"/>
        </w:rPr>
        <w:t>3.卫生健康支出（210）</w:t>
      </w:r>
      <w:r>
        <w:rPr>
          <w:rFonts w:hint="eastAsia" w:ascii="仿宋" w:hAnsi="仿宋" w:eastAsia="仿宋" w:cs="仿宋"/>
          <w:i w:val="0"/>
          <w:iCs w:val="0"/>
          <w:caps w:val="0"/>
          <w:color w:val="000000"/>
          <w:spacing w:val="0"/>
          <w:kern w:val="0"/>
          <w:sz w:val="32"/>
          <w:szCs w:val="32"/>
          <w:lang w:val="en-US" w:eastAsia="zh-CN" w:bidi="ar"/>
        </w:rPr>
        <w:t>6.95万元，占0.14%；</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left"/>
        <w:rPr>
          <w:rFonts w:hint="eastAsia" w:ascii="宋体" w:hAnsi="宋体" w:eastAsia="宋体" w:cs="宋体"/>
          <w:i w:val="0"/>
          <w:iCs w:val="0"/>
          <w:caps w:val="0"/>
          <w:color w:val="000000"/>
          <w:spacing w:val="0"/>
          <w:sz w:val="18"/>
          <w:szCs w:val="18"/>
        </w:rPr>
      </w:pPr>
      <w:r>
        <w:rPr>
          <w:rFonts w:hint="eastAsia" w:ascii="仿宋" w:hAnsi="仿宋" w:eastAsia="仿宋" w:cs="仿宋"/>
          <w:b/>
          <w:bCs/>
          <w:i w:val="0"/>
          <w:iCs w:val="0"/>
          <w:caps w:val="0"/>
          <w:color w:val="000000"/>
          <w:spacing w:val="0"/>
          <w:kern w:val="0"/>
          <w:sz w:val="32"/>
          <w:szCs w:val="32"/>
          <w:lang w:val="en-US" w:eastAsia="zh-CN" w:bidi="ar"/>
        </w:rPr>
        <w:t>   4.城乡社区（212）</w:t>
      </w:r>
      <w:r>
        <w:rPr>
          <w:rFonts w:hint="eastAsia" w:ascii="仿宋" w:hAnsi="仿宋" w:eastAsia="仿宋" w:cs="仿宋"/>
          <w:i w:val="0"/>
          <w:iCs w:val="0"/>
          <w:caps w:val="0"/>
          <w:color w:val="000000"/>
          <w:spacing w:val="0"/>
          <w:kern w:val="0"/>
          <w:sz w:val="32"/>
          <w:szCs w:val="32"/>
          <w:lang w:val="en-US" w:eastAsia="zh-CN" w:bidi="ar"/>
        </w:rPr>
        <w:t>支出617.2万元占12.39%。</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 w:hAnsi="仿宋" w:eastAsia="仿宋" w:cs="仿宋"/>
          <w:b/>
          <w:bCs/>
          <w:i w:val="0"/>
          <w:iCs w:val="0"/>
          <w:caps w:val="0"/>
          <w:color w:val="000000"/>
          <w:spacing w:val="0"/>
          <w:kern w:val="0"/>
          <w:sz w:val="32"/>
          <w:szCs w:val="32"/>
          <w:lang w:val="en-US" w:eastAsia="zh-CN" w:bidi="ar"/>
        </w:rPr>
        <w:t>5.农林水支出（213）</w:t>
      </w:r>
      <w:r>
        <w:rPr>
          <w:rFonts w:hint="eastAsia" w:ascii="仿宋" w:hAnsi="仿宋" w:eastAsia="仿宋" w:cs="仿宋"/>
          <w:i w:val="0"/>
          <w:iCs w:val="0"/>
          <w:caps w:val="0"/>
          <w:color w:val="000000"/>
          <w:spacing w:val="0"/>
          <w:kern w:val="0"/>
          <w:sz w:val="32"/>
          <w:szCs w:val="32"/>
          <w:lang w:val="en-US" w:eastAsia="zh-CN" w:bidi="ar"/>
        </w:rPr>
        <w:t>支出决算为3670.19万元，占73.68%。</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 w:hAnsi="仿宋" w:eastAsia="仿宋" w:cs="仿宋"/>
          <w:b/>
          <w:bCs/>
          <w:i w:val="0"/>
          <w:iCs w:val="0"/>
          <w:caps w:val="0"/>
          <w:color w:val="000000"/>
          <w:spacing w:val="0"/>
          <w:kern w:val="0"/>
          <w:sz w:val="32"/>
          <w:szCs w:val="32"/>
          <w:lang w:val="en-US" w:eastAsia="zh-CN" w:bidi="ar"/>
        </w:rPr>
        <w:t>6.资源勘探信息（215）</w:t>
      </w:r>
      <w:r>
        <w:rPr>
          <w:rFonts w:hint="eastAsia" w:ascii="仿宋" w:hAnsi="仿宋" w:eastAsia="仿宋" w:cs="仿宋"/>
          <w:i w:val="0"/>
          <w:iCs w:val="0"/>
          <w:caps w:val="0"/>
          <w:color w:val="000000"/>
          <w:spacing w:val="0"/>
          <w:kern w:val="0"/>
          <w:sz w:val="32"/>
          <w:szCs w:val="32"/>
          <w:lang w:val="en-US" w:eastAsia="zh-CN" w:bidi="ar"/>
        </w:rPr>
        <w:t>支出决算为375.8万元，占7.54%。</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 w:hAnsi="仿宋" w:eastAsia="仿宋" w:cs="仿宋"/>
          <w:b/>
          <w:bCs/>
          <w:i w:val="0"/>
          <w:iCs w:val="0"/>
          <w:caps w:val="0"/>
          <w:color w:val="000000"/>
          <w:spacing w:val="0"/>
          <w:kern w:val="0"/>
          <w:sz w:val="32"/>
          <w:szCs w:val="32"/>
          <w:lang w:val="en-US" w:eastAsia="zh-CN" w:bidi="ar"/>
        </w:rPr>
        <w:t>7.其他支出（229）</w:t>
      </w:r>
      <w:r>
        <w:rPr>
          <w:rFonts w:hint="eastAsia" w:ascii="仿宋" w:hAnsi="仿宋" w:eastAsia="仿宋" w:cs="仿宋"/>
          <w:i w:val="0"/>
          <w:iCs w:val="0"/>
          <w:caps w:val="0"/>
          <w:color w:val="000000"/>
          <w:spacing w:val="0"/>
          <w:kern w:val="0"/>
          <w:sz w:val="32"/>
          <w:szCs w:val="32"/>
          <w:lang w:val="en-US" w:eastAsia="zh-CN" w:bidi="ar"/>
        </w:rPr>
        <w:t>决算为84.83万元，占1.70%</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 w:hAnsi="仿宋" w:eastAsia="仿宋" w:cs="仿宋"/>
          <w:b/>
          <w:bCs/>
          <w:i w:val="0"/>
          <w:iCs w:val="0"/>
          <w:caps w:val="0"/>
          <w:color w:val="000000"/>
          <w:spacing w:val="0"/>
          <w:kern w:val="0"/>
          <w:sz w:val="32"/>
          <w:szCs w:val="32"/>
          <w:lang w:val="en-US" w:eastAsia="zh-CN" w:bidi="ar"/>
        </w:rPr>
        <w:t>8.住房保障（221）</w:t>
      </w:r>
      <w:r>
        <w:rPr>
          <w:rFonts w:hint="eastAsia" w:ascii="仿宋" w:hAnsi="仿宋" w:eastAsia="仿宋" w:cs="仿宋"/>
          <w:i w:val="0"/>
          <w:iCs w:val="0"/>
          <w:caps w:val="0"/>
          <w:color w:val="000000"/>
          <w:spacing w:val="0"/>
          <w:kern w:val="0"/>
          <w:sz w:val="32"/>
          <w:szCs w:val="32"/>
          <w:lang w:val="en-US" w:eastAsia="zh-CN" w:bidi="ar"/>
        </w:rPr>
        <w:t>支出8.76万元，占0.18%。</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18"/>
          <w:szCs w:val="18"/>
        </w:rPr>
      </w:pPr>
      <w:r>
        <w:rPr>
          <w:rFonts w:hint="default" w:ascii="Times New Roman" w:hAnsi="Times New Roman" w:eastAsia="宋体" w:cs="Times New Roman"/>
          <w:i w:val="0"/>
          <w:iCs w:val="0"/>
          <w:caps w:val="0"/>
          <w:color w:val="000000"/>
          <w:spacing w:val="0"/>
          <w:sz w:val="28"/>
          <w:szCs w:val="28"/>
        </w:rPr>
        <w:t> </w:t>
      </w:r>
      <w:r>
        <w:rPr>
          <w:rFonts w:hint="eastAsia" w:ascii="Times New Roman" w:hAnsi="Times New Roman" w:eastAsia="宋体" w:cs="Times New Roman"/>
          <w:i w:val="0"/>
          <w:iCs w:val="0"/>
          <w:caps w:val="0"/>
          <w:color w:val="000000"/>
          <w:spacing w:val="0"/>
          <w:sz w:val="28"/>
          <w:szCs w:val="28"/>
          <w:lang w:val="en-US" w:eastAsia="zh-CN"/>
        </w:rPr>
        <w:t xml:space="preserve">   9.节能环保支出</w:t>
      </w:r>
      <w:r>
        <w:rPr>
          <w:rFonts w:hint="eastAsia" w:ascii="仿宋" w:hAnsi="仿宋" w:eastAsia="仿宋" w:cs="仿宋"/>
          <w:i w:val="0"/>
          <w:iCs w:val="0"/>
          <w:caps w:val="0"/>
          <w:color w:val="000000"/>
          <w:spacing w:val="0"/>
          <w:kern w:val="0"/>
          <w:sz w:val="32"/>
          <w:szCs w:val="32"/>
          <w:lang w:val="en-US" w:eastAsia="zh-CN" w:bidi="ar"/>
        </w:rPr>
        <w:t>决算为5.12万元，占0.11%</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left"/>
        <w:rPr>
          <w:rFonts w:hint="eastAsia" w:ascii="仿宋" w:hAnsi="仿宋" w:eastAsia="仿宋" w:cs="仿宋"/>
          <w:b/>
          <w:bCs/>
          <w:i w:val="0"/>
          <w:iCs w:val="0"/>
          <w:caps w:val="0"/>
          <w:color w:val="000000"/>
          <w:spacing w:val="0"/>
          <w:kern w:val="0"/>
          <w:sz w:val="32"/>
          <w:szCs w:val="32"/>
          <w:lang w:val="en-US" w:eastAsia="zh-CN" w:bidi="ar"/>
        </w:rPr>
      </w:pPr>
      <w:bookmarkStart w:id="57" w:name="_Toc15377212"/>
      <w:r>
        <w:rPr>
          <w:rFonts w:hint="eastAsia" w:ascii="仿宋" w:hAnsi="仿宋" w:eastAsia="仿宋" w:cs="仿宋"/>
          <w:b/>
          <w:bCs/>
          <w:i w:val="0"/>
          <w:iCs w:val="0"/>
          <w:caps w:val="0"/>
          <w:color w:val="000000"/>
          <w:spacing w:val="0"/>
          <w:kern w:val="0"/>
          <w:sz w:val="32"/>
          <w:szCs w:val="32"/>
          <w:lang w:val="en-US" w:eastAsia="zh-CN" w:bidi="ar"/>
        </w:rPr>
        <w:t>一般公共预算财政拨款支出决算具体情况</w:t>
      </w:r>
      <w:bookmarkEnd w:id="57"/>
      <w:bookmarkStart w:id="58" w:name="_Toc15377444"/>
      <w:bookmarkEnd w:id="58"/>
      <w:bookmarkStart w:id="59" w:name="_Toc15377213"/>
      <w:bookmarkEnd w:id="59"/>
      <w:bookmarkStart w:id="60" w:name="_Toc15378460"/>
    </w:p>
    <w:bookmarkEnd w:id="60"/>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643" w:leftChars="0" w:right="0" w:rightChars="0"/>
        <w:jc w:val="left"/>
        <w:rPr>
          <w:rFonts w:hint="eastAsia" w:ascii="宋体" w:hAnsi="宋体" w:eastAsia="宋体" w:cs="宋体"/>
          <w:i w:val="0"/>
          <w:iCs w:val="0"/>
          <w:caps w:val="0"/>
          <w:color w:val="000000"/>
          <w:spacing w:val="0"/>
          <w:sz w:val="18"/>
          <w:szCs w:val="18"/>
        </w:rPr>
      </w:pPr>
      <w:r>
        <w:rPr>
          <w:rFonts w:hint="eastAsia" w:ascii="仿宋_GB2312" w:hAnsi="宋体" w:eastAsia="仿宋_GB2312" w:cs="仿宋_GB2312"/>
          <w:b/>
          <w:bCs/>
          <w:i w:val="0"/>
          <w:iCs w:val="0"/>
          <w:caps w:val="0"/>
          <w:color w:val="000000"/>
          <w:spacing w:val="0"/>
          <w:kern w:val="0"/>
          <w:sz w:val="32"/>
          <w:szCs w:val="32"/>
          <w:lang w:val="en-US" w:eastAsia="zh-CN" w:bidi="ar"/>
        </w:rPr>
        <w:t xml:space="preserve"> 2021年一般公共预算支出决算数为</w:t>
      </w:r>
      <w:r>
        <w:rPr>
          <w:rFonts w:hint="eastAsia" w:ascii="仿宋" w:hAnsi="仿宋" w:eastAsia="仿宋" w:cs="仿宋"/>
          <w:i w:val="0"/>
          <w:iCs w:val="0"/>
          <w:caps w:val="0"/>
          <w:color w:val="000000"/>
          <w:spacing w:val="0"/>
          <w:kern w:val="0"/>
          <w:sz w:val="32"/>
          <w:szCs w:val="32"/>
          <w:lang w:val="en-US" w:eastAsia="zh-CN" w:bidi="ar"/>
        </w:rPr>
        <w:t>4981.52万元</w:t>
      </w:r>
      <w:r>
        <w:rPr>
          <w:rFonts w:hint="eastAsia" w:ascii="仿宋_GB2312" w:hAnsi="宋体" w:eastAsia="仿宋_GB2312" w:cs="仿宋_GB2312"/>
          <w:b/>
          <w:bCs/>
          <w:i w:val="0"/>
          <w:iCs w:val="0"/>
          <w:caps w:val="0"/>
          <w:color w:val="000000"/>
          <w:spacing w:val="0"/>
          <w:kern w:val="0"/>
          <w:sz w:val="32"/>
          <w:szCs w:val="32"/>
          <w:lang w:val="en-US" w:eastAsia="zh-CN" w:bidi="ar"/>
        </w:rPr>
        <w:t>，完成预算100%。其中：</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仿宋_GB2312" w:hAnsi="宋体" w:eastAsia="仿宋_GB2312" w:cs="仿宋_GB2312"/>
          <w:b/>
          <w:bCs/>
          <w:i w:val="0"/>
          <w:iCs w:val="0"/>
          <w:caps w:val="0"/>
          <w:color w:val="000000"/>
          <w:spacing w:val="0"/>
          <w:kern w:val="0"/>
          <w:sz w:val="32"/>
          <w:szCs w:val="32"/>
          <w:lang w:val="en-US" w:eastAsia="zh-CN" w:bidi="ar"/>
        </w:rPr>
      </w:pPr>
      <w:r>
        <w:rPr>
          <w:rFonts w:hint="eastAsia" w:ascii="仿宋" w:hAnsi="仿宋" w:eastAsia="仿宋" w:cs="仿宋"/>
          <w:b/>
          <w:bCs/>
          <w:i w:val="0"/>
          <w:iCs w:val="0"/>
          <w:caps w:val="0"/>
          <w:color w:val="000000"/>
          <w:spacing w:val="0"/>
          <w:kern w:val="0"/>
          <w:sz w:val="32"/>
          <w:szCs w:val="32"/>
          <w:lang w:val="en-US" w:eastAsia="zh-CN" w:bidi="ar"/>
        </w:rPr>
        <w:t>   1.文化旅游体育与传媒（207）支出200万元，</w:t>
      </w:r>
      <w:r>
        <w:rPr>
          <w:rFonts w:hint="eastAsia" w:ascii="仿宋_GB2312" w:hAnsi="宋体" w:eastAsia="仿宋_GB2312" w:cs="仿宋_GB2312"/>
          <w:b/>
          <w:bCs/>
          <w:i w:val="0"/>
          <w:iCs w:val="0"/>
          <w:caps w:val="0"/>
          <w:color w:val="000000"/>
          <w:spacing w:val="0"/>
          <w:kern w:val="0"/>
          <w:sz w:val="32"/>
          <w:szCs w:val="32"/>
          <w:lang w:val="en-US" w:eastAsia="zh-CN" w:bidi="ar"/>
        </w:rPr>
        <w:t>完成预算100%</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仿宋_GB2312" w:hAnsi="宋体" w:eastAsia="仿宋_GB2312" w:cs="仿宋_GB2312"/>
          <w:b/>
          <w:bCs/>
          <w:i w:val="0"/>
          <w:iCs w:val="0"/>
          <w:caps w:val="0"/>
          <w:color w:val="000000"/>
          <w:spacing w:val="0"/>
          <w:kern w:val="0"/>
          <w:sz w:val="32"/>
          <w:szCs w:val="32"/>
          <w:lang w:val="en-US" w:eastAsia="zh-CN" w:bidi="ar"/>
        </w:rPr>
      </w:pPr>
      <w:r>
        <w:rPr>
          <w:rFonts w:hint="eastAsia" w:ascii="仿宋" w:hAnsi="仿宋" w:eastAsia="仿宋" w:cs="仿宋"/>
          <w:b/>
          <w:bCs/>
          <w:i w:val="0"/>
          <w:iCs w:val="0"/>
          <w:caps w:val="0"/>
          <w:color w:val="000000"/>
          <w:spacing w:val="0"/>
          <w:kern w:val="0"/>
          <w:sz w:val="32"/>
          <w:szCs w:val="32"/>
          <w:lang w:val="en-US" w:eastAsia="zh-CN" w:bidi="ar"/>
        </w:rPr>
        <w:t>社会保障和就业（208）</w:t>
      </w:r>
      <w:r>
        <w:rPr>
          <w:rFonts w:hint="eastAsia" w:ascii="仿宋" w:hAnsi="仿宋" w:eastAsia="仿宋" w:cs="仿宋"/>
          <w:i w:val="0"/>
          <w:iCs w:val="0"/>
          <w:caps w:val="0"/>
          <w:color w:val="000000"/>
          <w:spacing w:val="0"/>
          <w:kern w:val="0"/>
          <w:sz w:val="32"/>
          <w:szCs w:val="32"/>
          <w:lang w:val="en-US" w:eastAsia="zh-CN" w:bidi="ar"/>
        </w:rPr>
        <w:t>支出12.68万元，</w:t>
      </w:r>
      <w:r>
        <w:rPr>
          <w:rFonts w:hint="eastAsia" w:ascii="仿宋_GB2312" w:hAnsi="宋体" w:eastAsia="仿宋_GB2312" w:cs="仿宋_GB2312"/>
          <w:b/>
          <w:bCs/>
          <w:i w:val="0"/>
          <w:iCs w:val="0"/>
          <w:caps w:val="0"/>
          <w:color w:val="000000"/>
          <w:spacing w:val="0"/>
          <w:kern w:val="0"/>
          <w:sz w:val="32"/>
          <w:szCs w:val="32"/>
          <w:lang w:val="en-US" w:eastAsia="zh-CN" w:bidi="ar"/>
        </w:rPr>
        <w:t>完成预算100%；</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640" w:leftChars="0" w:right="0" w:rightChars="0"/>
        <w:jc w:val="left"/>
        <w:rPr>
          <w:rFonts w:hint="eastAsia" w:ascii="宋体" w:hAnsi="宋体" w:eastAsia="宋体" w:cs="宋体"/>
          <w:i w:val="0"/>
          <w:iCs w:val="0"/>
          <w:caps w:val="0"/>
          <w:color w:val="000000"/>
          <w:spacing w:val="0"/>
          <w:sz w:val="18"/>
          <w:szCs w:val="18"/>
        </w:rPr>
      </w:pPr>
      <w:r>
        <w:rPr>
          <w:rFonts w:hint="eastAsia" w:ascii="仿宋" w:hAnsi="仿宋" w:eastAsia="仿宋" w:cs="仿宋"/>
          <w:b/>
          <w:bCs/>
          <w:i w:val="0"/>
          <w:iCs w:val="0"/>
          <w:caps w:val="0"/>
          <w:color w:val="000000"/>
          <w:spacing w:val="0"/>
          <w:kern w:val="0"/>
          <w:sz w:val="32"/>
          <w:szCs w:val="32"/>
          <w:lang w:val="en-US" w:eastAsia="zh-CN" w:bidi="ar"/>
        </w:rPr>
        <w:t>3.卫生健康支出（210）</w:t>
      </w:r>
      <w:r>
        <w:rPr>
          <w:rFonts w:hint="eastAsia" w:ascii="仿宋" w:hAnsi="仿宋" w:eastAsia="仿宋" w:cs="仿宋"/>
          <w:i w:val="0"/>
          <w:iCs w:val="0"/>
          <w:caps w:val="0"/>
          <w:color w:val="000000"/>
          <w:spacing w:val="0"/>
          <w:kern w:val="0"/>
          <w:sz w:val="32"/>
          <w:szCs w:val="32"/>
          <w:lang w:val="en-US" w:eastAsia="zh-CN" w:bidi="ar"/>
        </w:rPr>
        <w:t>6.95万元，</w:t>
      </w:r>
      <w:r>
        <w:rPr>
          <w:rFonts w:hint="eastAsia" w:ascii="仿宋_GB2312" w:hAnsi="宋体" w:eastAsia="仿宋_GB2312" w:cs="仿宋_GB2312"/>
          <w:b/>
          <w:bCs/>
          <w:i w:val="0"/>
          <w:iCs w:val="0"/>
          <w:caps w:val="0"/>
          <w:color w:val="000000"/>
          <w:spacing w:val="0"/>
          <w:kern w:val="0"/>
          <w:sz w:val="32"/>
          <w:szCs w:val="32"/>
          <w:lang w:val="en-US" w:eastAsia="zh-CN" w:bidi="ar"/>
        </w:rPr>
        <w:t>完成预算100%</w:t>
      </w:r>
      <w:r>
        <w:rPr>
          <w:rFonts w:hint="eastAsia" w:ascii="仿宋" w:hAnsi="仿宋" w:eastAsia="仿宋" w:cs="仿宋"/>
          <w:i w:val="0"/>
          <w:iCs w:val="0"/>
          <w:caps w:val="0"/>
          <w:color w:val="000000"/>
          <w:spacing w:val="0"/>
          <w:kern w:val="0"/>
          <w:sz w:val="32"/>
          <w:szCs w:val="32"/>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left"/>
        <w:rPr>
          <w:rFonts w:hint="eastAsia" w:ascii="宋体" w:hAnsi="宋体" w:eastAsia="宋体" w:cs="宋体"/>
          <w:i w:val="0"/>
          <w:iCs w:val="0"/>
          <w:caps w:val="0"/>
          <w:color w:val="000000"/>
          <w:spacing w:val="0"/>
          <w:sz w:val="18"/>
          <w:szCs w:val="18"/>
        </w:rPr>
      </w:pPr>
      <w:r>
        <w:rPr>
          <w:rFonts w:hint="eastAsia" w:ascii="仿宋" w:hAnsi="仿宋" w:eastAsia="仿宋" w:cs="仿宋"/>
          <w:b/>
          <w:bCs/>
          <w:i w:val="0"/>
          <w:iCs w:val="0"/>
          <w:caps w:val="0"/>
          <w:color w:val="000000"/>
          <w:spacing w:val="0"/>
          <w:kern w:val="0"/>
          <w:sz w:val="32"/>
          <w:szCs w:val="32"/>
          <w:lang w:val="en-US" w:eastAsia="zh-CN" w:bidi="ar"/>
        </w:rPr>
        <w:t>    4.城乡社区（212）</w:t>
      </w:r>
      <w:r>
        <w:rPr>
          <w:rFonts w:hint="eastAsia" w:ascii="仿宋" w:hAnsi="仿宋" w:eastAsia="仿宋" w:cs="仿宋"/>
          <w:i w:val="0"/>
          <w:iCs w:val="0"/>
          <w:caps w:val="0"/>
          <w:color w:val="000000"/>
          <w:spacing w:val="0"/>
          <w:kern w:val="0"/>
          <w:sz w:val="32"/>
          <w:szCs w:val="32"/>
          <w:lang w:val="en-US" w:eastAsia="zh-CN" w:bidi="ar"/>
        </w:rPr>
        <w:t>支出617.2万元，</w:t>
      </w:r>
      <w:r>
        <w:rPr>
          <w:rFonts w:hint="eastAsia" w:ascii="仿宋_GB2312" w:hAnsi="宋体" w:eastAsia="仿宋_GB2312" w:cs="仿宋_GB2312"/>
          <w:b/>
          <w:bCs/>
          <w:i w:val="0"/>
          <w:iCs w:val="0"/>
          <w:caps w:val="0"/>
          <w:color w:val="000000"/>
          <w:spacing w:val="0"/>
          <w:kern w:val="0"/>
          <w:sz w:val="32"/>
          <w:szCs w:val="32"/>
          <w:lang w:val="en-US" w:eastAsia="zh-CN" w:bidi="ar"/>
        </w:rPr>
        <w:t>完成预算100%</w:t>
      </w:r>
      <w:r>
        <w:rPr>
          <w:rFonts w:hint="eastAsia" w:ascii="仿宋" w:hAnsi="仿宋" w:eastAsia="仿宋" w:cs="仿宋"/>
          <w:i w:val="0"/>
          <w:iCs w:val="0"/>
          <w:caps w:val="0"/>
          <w:color w:val="000000"/>
          <w:spacing w:val="0"/>
          <w:kern w:val="0"/>
          <w:sz w:val="32"/>
          <w:szCs w:val="32"/>
          <w:lang w:val="en-US" w:eastAsia="zh-CN" w:bidi="ar"/>
        </w:rPr>
        <w:t>。</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仿宋_GB2312" w:hAnsi="宋体" w:eastAsia="仿宋_GB2312" w:cs="仿宋_GB2312"/>
          <w:b/>
          <w:bCs/>
          <w:i w:val="0"/>
          <w:iCs w:val="0"/>
          <w:caps w:val="0"/>
          <w:color w:val="000000"/>
          <w:spacing w:val="0"/>
          <w:kern w:val="0"/>
          <w:sz w:val="32"/>
          <w:szCs w:val="32"/>
          <w:lang w:val="en-US" w:eastAsia="zh-CN" w:bidi="ar"/>
        </w:rPr>
      </w:pPr>
      <w:r>
        <w:rPr>
          <w:rFonts w:hint="eastAsia" w:ascii="仿宋" w:hAnsi="仿宋" w:eastAsia="仿宋" w:cs="仿宋"/>
          <w:b/>
          <w:bCs/>
          <w:i w:val="0"/>
          <w:iCs w:val="0"/>
          <w:caps w:val="0"/>
          <w:color w:val="000000"/>
          <w:spacing w:val="0"/>
          <w:kern w:val="0"/>
          <w:sz w:val="32"/>
          <w:szCs w:val="32"/>
          <w:lang w:val="en-US" w:eastAsia="zh-CN" w:bidi="ar"/>
        </w:rPr>
        <w:t>农林水支出（213）</w:t>
      </w:r>
      <w:r>
        <w:rPr>
          <w:rFonts w:hint="eastAsia" w:ascii="仿宋" w:hAnsi="仿宋" w:eastAsia="仿宋" w:cs="仿宋"/>
          <w:i w:val="0"/>
          <w:iCs w:val="0"/>
          <w:caps w:val="0"/>
          <w:color w:val="000000"/>
          <w:spacing w:val="0"/>
          <w:kern w:val="0"/>
          <w:sz w:val="32"/>
          <w:szCs w:val="32"/>
          <w:lang w:val="en-US" w:eastAsia="zh-CN" w:bidi="ar"/>
        </w:rPr>
        <w:t>支出决算为3670.19万元，</w:t>
      </w:r>
      <w:r>
        <w:rPr>
          <w:rFonts w:hint="eastAsia" w:ascii="仿宋_GB2312" w:hAnsi="宋体" w:eastAsia="仿宋_GB2312" w:cs="仿宋_GB2312"/>
          <w:b/>
          <w:bCs/>
          <w:i w:val="0"/>
          <w:iCs w:val="0"/>
          <w:caps w:val="0"/>
          <w:color w:val="000000"/>
          <w:spacing w:val="0"/>
          <w:kern w:val="0"/>
          <w:sz w:val="32"/>
          <w:szCs w:val="32"/>
          <w:lang w:val="en-US" w:eastAsia="zh-CN" w:bidi="ar"/>
        </w:rPr>
        <w:t>完成预算100%；</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640" w:leftChars="0" w:right="0" w:rightChars="0"/>
        <w:jc w:val="left"/>
        <w:rPr>
          <w:rFonts w:hint="eastAsia" w:ascii="宋体" w:hAnsi="宋体" w:eastAsia="宋体" w:cs="宋体"/>
          <w:i w:val="0"/>
          <w:iCs w:val="0"/>
          <w:caps w:val="0"/>
          <w:color w:val="000000"/>
          <w:spacing w:val="0"/>
          <w:sz w:val="18"/>
          <w:szCs w:val="18"/>
        </w:rPr>
      </w:pPr>
      <w:r>
        <w:rPr>
          <w:rFonts w:hint="eastAsia" w:ascii="仿宋" w:hAnsi="仿宋" w:eastAsia="仿宋" w:cs="仿宋"/>
          <w:b/>
          <w:bCs/>
          <w:i w:val="0"/>
          <w:iCs w:val="0"/>
          <w:caps w:val="0"/>
          <w:color w:val="000000"/>
          <w:spacing w:val="0"/>
          <w:kern w:val="0"/>
          <w:sz w:val="32"/>
          <w:szCs w:val="32"/>
          <w:lang w:val="en-US" w:eastAsia="zh-CN" w:bidi="ar"/>
        </w:rPr>
        <w:t>6.资源勘探信息（215）</w:t>
      </w:r>
      <w:r>
        <w:rPr>
          <w:rFonts w:hint="eastAsia" w:ascii="仿宋" w:hAnsi="仿宋" w:eastAsia="仿宋" w:cs="仿宋"/>
          <w:i w:val="0"/>
          <w:iCs w:val="0"/>
          <w:caps w:val="0"/>
          <w:color w:val="000000"/>
          <w:spacing w:val="0"/>
          <w:kern w:val="0"/>
          <w:sz w:val="32"/>
          <w:szCs w:val="32"/>
          <w:lang w:val="en-US" w:eastAsia="zh-CN" w:bidi="ar"/>
        </w:rPr>
        <w:t>支出决算为375.8万元，</w:t>
      </w:r>
      <w:r>
        <w:rPr>
          <w:rFonts w:hint="eastAsia" w:ascii="仿宋_GB2312" w:hAnsi="宋体" w:eastAsia="仿宋_GB2312" w:cs="仿宋_GB2312"/>
          <w:b/>
          <w:bCs/>
          <w:i w:val="0"/>
          <w:iCs w:val="0"/>
          <w:caps w:val="0"/>
          <w:color w:val="000000"/>
          <w:spacing w:val="0"/>
          <w:kern w:val="0"/>
          <w:sz w:val="32"/>
          <w:szCs w:val="32"/>
          <w:lang w:val="en-US" w:eastAsia="zh-CN" w:bidi="ar"/>
        </w:rPr>
        <w:t>完成预算100%</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仿宋_GB2312" w:hAnsi="宋体" w:eastAsia="仿宋_GB2312" w:cs="仿宋_GB2312"/>
          <w:b/>
          <w:bCs/>
          <w:i w:val="0"/>
          <w:iCs w:val="0"/>
          <w:caps w:val="0"/>
          <w:color w:val="000000"/>
          <w:spacing w:val="0"/>
          <w:kern w:val="0"/>
          <w:sz w:val="32"/>
          <w:szCs w:val="32"/>
          <w:lang w:val="en-US" w:eastAsia="zh-CN" w:bidi="ar"/>
        </w:rPr>
      </w:pPr>
      <w:r>
        <w:rPr>
          <w:rFonts w:hint="eastAsia" w:ascii="仿宋" w:hAnsi="仿宋" w:eastAsia="仿宋" w:cs="仿宋"/>
          <w:b/>
          <w:bCs/>
          <w:i w:val="0"/>
          <w:iCs w:val="0"/>
          <w:caps w:val="0"/>
          <w:color w:val="000000"/>
          <w:spacing w:val="0"/>
          <w:kern w:val="0"/>
          <w:sz w:val="32"/>
          <w:szCs w:val="32"/>
          <w:lang w:val="en-US" w:eastAsia="zh-CN" w:bidi="ar"/>
        </w:rPr>
        <w:t>7.其他支出（229）</w:t>
      </w:r>
      <w:r>
        <w:rPr>
          <w:rFonts w:hint="eastAsia" w:ascii="仿宋" w:hAnsi="仿宋" w:eastAsia="仿宋" w:cs="仿宋"/>
          <w:i w:val="0"/>
          <w:iCs w:val="0"/>
          <w:caps w:val="0"/>
          <w:color w:val="000000"/>
          <w:spacing w:val="0"/>
          <w:kern w:val="0"/>
          <w:sz w:val="32"/>
          <w:szCs w:val="32"/>
          <w:lang w:val="en-US" w:eastAsia="zh-CN" w:bidi="ar"/>
        </w:rPr>
        <w:t>决算为84.83万元，</w:t>
      </w:r>
      <w:r>
        <w:rPr>
          <w:rFonts w:hint="eastAsia" w:ascii="仿宋_GB2312" w:hAnsi="宋体" w:eastAsia="仿宋_GB2312" w:cs="仿宋_GB2312"/>
          <w:b/>
          <w:bCs/>
          <w:i w:val="0"/>
          <w:iCs w:val="0"/>
          <w:caps w:val="0"/>
          <w:color w:val="000000"/>
          <w:spacing w:val="0"/>
          <w:kern w:val="0"/>
          <w:sz w:val="32"/>
          <w:szCs w:val="32"/>
          <w:lang w:val="en-US" w:eastAsia="zh-CN" w:bidi="ar"/>
        </w:rPr>
        <w:t>完成预算100%</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 w:hAnsi="仿宋" w:eastAsia="仿宋" w:cs="仿宋"/>
          <w:b/>
          <w:bCs/>
          <w:i w:val="0"/>
          <w:iCs w:val="0"/>
          <w:caps w:val="0"/>
          <w:color w:val="000000"/>
          <w:spacing w:val="0"/>
          <w:kern w:val="0"/>
          <w:sz w:val="32"/>
          <w:szCs w:val="32"/>
          <w:lang w:val="en-US" w:eastAsia="zh-CN" w:bidi="ar"/>
        </w:rPr>
        <w:t>8.住房保障（221）</w:t>
      </w:r>
      <w:r>
        <w:rPr>
          <w:rFonts w:hint="eastAsia" w:ascii="仿宋" w:hAnsi="仿宋" w:eastAsia="仿宋" w:cs="仿宋"/>
          <w:i w:val="0"/>
          <w:iCs w:val="0"/>
          <w:caps w:val="0"/>
          <w:color w:val="000000"/>
          <w:spacing w:val="0"/>
          <w:kern w:val="0"/>
          <w:sz w:val="32"/>
          <w:szCs w:val="32"/>
          <w:lang w:val="en-US" w:eastAsia="zh-CN" w:bidi="ar"/>
        </w:rPr>
        <w:t>支出8.76万元，</w:t>
      </w:r>
      <w:r>
        <w:rPr>
          <w:rFonts w:hint="eastAsia" w:ascii="仿宋_GB2312" w:hAnsi="宋体" w:eastAsia="仿宋_GB2312" w:cs="仿宋_GB2312"/>
          <w:b/>
          <w:bCs/>
          <w:i w:val="0"/>
          <w:iCs w:val="0"/>
          <w:caps w:val="0"/>
          <w:color w:val="000000"/>
          <w:spacing w:val="0"/>
          <w:kern w:val="0"/>
          <w:sz w:val="32"/>
          <w:szCs w:val="32"/>
          <w:lang w:val="en-US" w:eastAsia="zh-CN" w:bidi="ar"/>
        </w:rPr>
        <w:t>完成预算100%</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18"/>
          <w:szCs w:val="18"/>
        </w:rPr>
      </w:pPr>
      <w:r>
        <w:rPr>
          <w:rFonts w:hint="default" w:ascii="Times New Roman" w:hAnsi="Times New Roman" w:eastAsia="宋体" w:cs="Times New Roman"/>
          <w:i w:val="0"/>
          <w:iCs w:val="0"/>
          <w:caps w:val="0"/>
          <w:color w:val="000000"/>
          <w:spacing w:val="0"/>
          <w:sz w:val="28"/>
          <w:szCs w:val="28"/>
        </w:rPr>
        <w:t> </w:t>
      </w:r>
      <w:r>
        <w:rPr>
          <w:rFonts w:hint="eastAsia" w:ascii="Times New Roman" w:hAnsi="Times New Roman" w:eastAsia="宋体" w:cs="Times New Roman"/>
          <w:i w:val="0"/>
          <w:iCs w:val="0"/>
          <w:caps w:val="0"/>
          <w:color w:val="000000"/>
          <w:spacing w:val="0"/>
          <w:sz w:val="28"/>
          <w:szCs w:val="28"/>
          <w:lang w:val="en-US" w:eastAsia="zh-CN"/>
        </w:rPr>
        <w:t xml:space="preserve">    9.节能环保支出</w:t>
      </w:r>
      <w:r>
        <w:rPr>
          <w:rFonts w:hint="eastAsia" w:ascii="仿宋" w:hAnsi="仿宋" w:eastAsia="仿宋" w:cs="仿宋"/>
          <w:i w:val="0"/>
          <w:iCs w:val="0"/>
          <w:caps w:val="0"/>
          <w:color w:val="000000"/>
          <w:spacing w:val="0"/>
          <w:kern w:val="0"/>
          <w:sz w:val="32"/>
          <w:szCs w:val="32"/>
          <w:lang w:val="en-US" w:eastAsia="zh-CN" w:bidi="ar"/>
        </w:rPr>
        <w:t>决算为5.12万元，</w:t>
      </w:r>
      <w:r>
        <w:rPr>
          <w:rFonts w:hint="eastAsia" w:ascii="仿宋_GB2312" w:hAnsi="宋体" w:eastAsia="仿宋_GB2312" w:cs="仿宋_GB2312"/>
          <w:b/>
          <w:bCs/>
          <w:i w:val="0"/>
          <w:iCs w:val="0"/>
          <w:caps w:val="0"/>
          <w:color w:val="000000"/>
          <w:spacing w:val="0"/>
          <w:kern w:val="0"/>
          <w:sz w:val="32"/>
          <w:szCs w:val="32"/>
          <w:lang w:val="en-US" w:eastAsia="zh-CN" w:bidi="ar"/>
        </w:rPr>
        <w:t>完成预算100%</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18"/>
          <w:szCs w:val="18"/>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18"/>
          <w:szCs w:val="18"/>
        </w:rPr>
      </w:pPr>
      <w:r>
        <w:rPr>
          <w:rFonts w:hint="default" w:ascii="Times New Roman" w:hAnsi="Times New Roman" w:eastAsia="宋体" w:cs="Times New Roman"/>
          <w:i w:val="0"/>
          <w:iCs w:val="0"/>
          <w:caps w:val="0"/>
          <w:color w:val="000000"/>
          <w:spacing w:val="0"/>
          <w:sz w:val="28"/>
          <w:szCs w:val="28"/>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bookmarkStart w:id="61" w:name="_Toc79163868"/>
      <w:bookmarkEnd w:id="61"/>
      <w:bookmarkStart w:id="62" w:name="_Toc79163618"/>
      <w:bookmarkEnd w:id="62"/>
      <w:bookmarkStart w:id="63" w:name="_Toc15396608"/>
      <w:bookmarkEnd w:id="63"/>
      <w:bookmarkStart w:id="64" w:name="_Toc15377214"/>
      <w:r>
        <w:rPr>
          <w:rFonts w:hint="eastAsia" w:ascii="黑体" w:hAnsi="宋体" w:eastAsia="黑体" w:cs="黑体"/>
          <w:i w:val="0"/>
          <w:iCs w:val="0"/>
          <w:caps w:val="0"/>
          <w:color w:val="000000"/>
          <w:spacing w:val="0"/>
          <w:kern w:val="0"/>
          <w:sz w:val="32"/>
          <w:szCs w:val="32"/>
          <w:lang w:val="en-US" w:eastAsia="zh-CN" w:bidi="ar"/>
        </w:rPr>
        <w:t>六</w:t>
      </w:r>
      <w:bookmarkEnd w:id="64"/>
      <w:r>
        <w:rPr>
          <w:rFonts w:hint="eastAsia" w:ascii="黑体" w:hAnsi="宋体" w:eastAsia="黑体" w:cs="黑体"/>
          <w:b/>
          <w:bCs/>
          <w:i w:val="0"/>
          <w:iCs w:val="0"/>
          <w:caps w:val="0"/>
          <w:color w:val="000000"/>
          <w:spacing w:val="0"/>
          <w:kern w:val="0"/>
          <w:sz w:val="32"/>
          <w:szCs w:val="32"/>
          <w:lang w:val="en-US" w:eastAsia="zh-CN" w:bidi="ar"/>
        </w:rPr>
        <w:t>、一</w:t>
      </w:r>
      <w:r>
        <w:rPr>
          <w:rFonts w:hint="eastAsia" w:ascii="黑体" w:hAnsi="宋体" w:eastAsia="黑体" w:cs="黑体"/>
          <w:i w:val="0"/>
          <w:iCs w:val="0"/>
          <w:caps w:val="0"/>
          <w:color w:val="000000"/>
          <w:spacing w:val="0"/>
          <w:kern w:val="0"/>
          <w:sz w:val="32"/>
          <w:szCs w:val="32"/>
          <w:lang w:val="en-US" w:eastAsia="zh-CN" w:bidi="ar"/>
        </w:rPr>
        <w:t>般公共预算财政拨款基本支出决算情况说明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32"/>
          <w:szCs w:val="32"/>
          <w:lang w:val="en-US" w:eastAsia="zh-CN" w:bidi="ar"/>
        </w:rPr>
        <w:t>2021年一般公共预算财政拨款基本支出404.19万元，其中：</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32"/>
          <w:szCs w:val="32"/>
          <w:lang w:val="en-US" w:eastAsia="zh-CN" w:bidi="ar"/>
        </w:rPr>
        <w:t>人员经费94.54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日常公用经费309.65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r>
        <w:rPr>
          <w:rFonts w:hint="eastAsia" w:ascii="仿宋" w:hAnsi="仿宋" w:eastAsia="仿宋" w:cs="仿宋"/>
          <w:b/>
          <w:bCs/>
          <w:i w:val="0"/>
          <w:iCs w:val="0"/>
          <w:caps w:val="0"/>
          <w:color w:val="FF0000"/>
          <w:spacing w:val="0"/>
          <w:kern w:val="0"/>
          <w:sz w:val="32"/>
          <w:szCs w:val="32"/>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bookmarkStart w:id="65" w:name="_Toc79163619"/>
      <w:bookmarkEnd w:id="65"/>
      <w:bookmarkStart w:id="66" w:name="_Toc79163869"/>
      <w:bookmarkEnd w:id="66"/>
      <w:bookmarkStart w:id="67" w:name="_Toc15396609"/>
      <w:bookmarkEnd w:id="67"/>
      <w:bookmarkStart w:id="68" w:name="_Toc15377215"/>
      <w:r>
        <w:rPr>
          <w:rFonts w:hint="eastAsia" w:ascii="黑体" w:hAnsi="宋体" w:eastAsia="黑体" w:cs="黑体"/>
          <w:i w:val="0"/>
          <w:iCs w:val="0"/>
          <w:caps w:val="0"/>
          <w:color w:val="000000"/>
          <w:spacing w:val="0"/>
          <w:kern w:val="0"/>
          <w:sz w:val="32"/>
          <w:szCs w:val="32"/>
          <w:lang w:val="en-US" w:eastAsia="zh-CN" w:bidi="ar"/>
        </w:rPr>
        <w:t>七、</w:t>
      </w:r>
      <w:bookmarkEnd w:id="68"/>
      <w:r>
        <w:rPr>
          <w:rFonts w:hint="eastAsia" w:ascii="黑体" w:hAnsi="宋体" w:eastAsia="黑体" w:cs="黑体"/>
          <w:b/>
          <w:bCs/>
          <w:i w:val="0"/>
          <w:iCs w:val="0"/>
          <w:caps w:val="0"/>
          <w:color w:val="000000"/>
          <w:spacing w:val="0"/>
          <w:kern w:val="0"/>
          <w:sz w:val="32"/>
          <w:szCs w:val="32"/>
          <w:lang w:val="en-US" w:eastAsia="zh-CN" w:bidi="ar"/>
        </w:rPr>
        <w:t>“</w:t>
      </w:r>
      <w:r>
        <w:rPr>
          <w:rFonts w:hint="eastAsia" w:ascii="黑体" w:hAnsi="宋体" w:eastAsia="黑体" w:cs="黑体"/>
          <w:i w:val="0"/>
          <w:iCs w:val="0"/>
          <w:caps w:val="0"/>
          <w:color w:val="000000"/>
          <w:spacing w:val="0"/>
          <w:kern w:val="0"/>
          <w:sz w:val="32"/>
          <w:szCs w:val="32"/>
          <w:lang w:val="en-US" w:eastAsia="zh-CN" w:bidi="ar"/>
        </w:rPr>
        <w:t>三公”经费财政拨款支出决算情况说明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bookmarkStart w:id="69" w:name="_Toc79163870"/>
      <w:bookmarkEnd w:id="69"/>
      <w:bookmarkStart w:id="70" w:name="_Toc79163620"/>
      <w:bookmarkEnd w:id="70"/>
      <w:bookmarkStart w:id="71" w:name="_Toc15377216"/>
      <w:r>
        <w:rPr>
          <w:rFonts w:hint="eastAsia" w:ascii="仿宋" w:hAnsi="仿宋" w:eastAsia="仿宋" w:cs="仿宋"/>
          <w:b/>
          <w:bCs/>
          <w:i w:val="0"/>
          <w:iCs w:val="0"/>
          <w:caps w:val="0"/>
          <w:color w:val="000000"/>
          <w:spacing w:val="0"/>
          <w:kern w:val="0"/>
          <w:sz w:val="32"/>
          <w:szCs w:val="32"/>
          <w:lang w:val="en-US" w:eastAsia="zh-CN" w:bidi="ar"/>
        </w:rPr>
        <w:t>（一）</w:t>
      </w:r>
      <w:r>
        <w:rPr>
          <w:rFonts w:hint="eastAsia" w:ascii="仿宋" w:hAnsi="仿宋" w:eastAsia="仿宋" w:cs="仿宋"/>
          <w:b/>
          <w:bCs/>
          <w:i w:val="0"/>
          <w:iCs w:val="0"/>
          <w:caps w:val="0"/>
          <w:color w:val="000000"/>
          <w:spacing w:val="0"/>
          <w:kern w:val="0"/>
          <w:sz w:val="32"/>
          <w:szCs w:val="32"/>
          <w:bdr w:val="dotted" w:color="0000FF" w:sz="6" w:space="0"/>
          <w:lang w:val="en-US" w:eastAsia="zh-CN" w:bidi="ar"/>
        </w:rPr>
        <w:t>“三公”经费财政拨款支出决算总体情况说明</w:t>
      </w:r>
      <w:bookmarkEnd w:id="71"/>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32"/>
          <w:szCs w:val="32"/>
          <w:lang w:val="en-US" w:eastAsia="zh-CN" w:bidi="ar"/>
        </w:rPr>
        <w:t>2021年“三公”经费财政拨款支出决算为0万元，完成预算0%，决算数小于预算数（或与预算数持平）的主要原因是……。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bookmarkStart w:id="72" w:name="_Toc15377217"/>
      <w:bookmarkEnd w:id="72"/>
      <w:bookmarkStart w:id="73" w:name="_Toc79163621"/>
      <w:bookmarkEnd w:id="73"/>
      <w:bookmarkStart w:id="74" w:name="_Toc79163871"/>
      <w:r>
        <w:rPr>
          <w:rFonts w:hint="eastAsia" w:ascii="仿宋" w:hAnsi="仿宋" w:eastAsia="仿宋" w:cs="仿宋"/>
          <w:b/>
          <w:bCs/>
          <w:i w:val="0"/>
          <w:iCs w:val="0"/>
          <w:caps w:val="0"/>
          <w:color w:val="000000"/>
          <w:spacing w:val="0"/>
          <w:kern w:val="0"/>
          <w:sz w:val="32"/>
          <w:szCs w:val="32"/>
          <w:lang w:val="en-US" w:eastAsia="zh-CN" w:bidi="ar"/>
        </w:rPr>
        <w:t>（二）</w:t>
      </w:r>
      <w:r>
        <w:rPr>
          <w:rFonts w:hint="eastAsia" w:ascii="仿宋" w:hAnsi="仿宋" w:eastAsia="仿宋" w:cs="仿宋"/>
          <w:b/>
          <w:bCs/>
          <w:i w:val="0"/>
          <w:iCs w:val="0"/>
          <w:caps w:val="0"/>
          <w:color w:val="000000"/>
          <w:spacing w:val="0"/>
          <w:kern w:val="0"/>
          <w:sz w:val="32"/>
          <w:szCs w:val="32"/>
          <w:bdr w:val="dotted" w:color="0000FF" w:sz="6" w:space="0"/>
          <w:lang w:val="en-US" w:eastAsia="zh-CN" w:bidi="ar"/>
        </w:rPr>
        <w:t>“三公”经费财政拨款支出决算具体情况说明</w:t>
      </w:r>
      <w:bookmarkEnd w:id="74"/>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32"/>
          <w:szCs w:val="32"/>
          <w:lang w:val="en-US" w:eastAsia="zh-CN" w:bidi="ar"/>
        </w:rPr>
        <w:t>2021年“三公”经费财政拨款支出决算中，因公出国（境）费支出决算0万元，占0%；公务用车购置及运行维护费支出决算0万元，占0%；公务接待费支出决算0万元，占0%。具体情况如下：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32"/>
          <w:szCs w:val="32"/>
          <w:lang w:val="en-US" w:eastAsia="zh-CN" w:bidi="ar"/>
        </w:rPr>
        <w:t>（图7：“三公”经费财政拨款支出结构）（饼状图）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_GB2312" w:hAnsi="宋体" w:eastAsia="仿宋_GB2312" w:cs="仿宋_GB2312"/>
          <w:b/>
          <w:bCs/>
          <w:i w:val="0"/>
          <w:iCs w:val="0"/>
          <w:caps w:val="0"/>
          <w:color w:val="000000"/>
          <w:spacing w:val="0"/>
          <w:kern w:val="0"/>
          <w:sz w:val="32"/>
          <w:szCs w:val="32"/>
          <w:lang w:val="en-US" w:eastAsia="zh-CN" w:bidi="ar"/>
        </w:rPr>
        <w:t>1.因公出国（境）经费支出</w:t>
      </w:r>
      <w:r>
        <w:rPr>
          <w:rFonts w:hint="eastAsia" w:ascii="仿宋_GB2312" w:hAnsi="宋体" w:eastAsia="仿宋_GB2312" w:cs="仿宋_GB2312"/>
          <w:i w:val="0"/>
          <w:iCs w:val="0"/>
          <w:caps w:val="0"/>
          <w:color w:val="000000"/>
          <w:spacing w:val="0"/>
          <w:kern w:val="0"/>
          <w:sz w:val="32"/>
          <w:szCs w:val="32"/>
          <w:lang w:val="en-US" w:eastAsia="zh-CN" w:bidi="ar"/>
        </w:rPr>
        <w:t>0万元，</w:t>
      </w:r>
      <w:r>
        <w:rPr>
          <w:rFonts w:hint="eastAsia" w:ascii="仿宋" w:hAnsi="仿宋" w:eastAsia="仿宋" w:cs="仿宋"/>
          <w:i w:val="0"/>
          <w:iCs w:val="0"/>
          <w:caps w:val="0"/>
          <w:color w:val="000000"/>
          <w:spacing w:val="0"/>
          <w:kern w:val="0"/>
          <w:sz w:val="32"/>
          <w:szCs w:val="32"/>
          <w:lang w:val="en-US" w:eastAsia="zh-CN" w:bidi="ar"/>
        </w:rPr>
        <w:t>完成预算0%。</w:t>
      </w:r>
      <w:r>
        <w:rPr>
          <w:rFonts w:hint="eastAsia" w:ascii="仿宋_GB2312" w:hAnsi="宋体" w:eastAsia="仿宋_GB2312" w:cs="仿宋_GB2312"/>
          <w:i w:val="0"/>
          <w:iCs w:val="0"/>
          <w:caps w:val="0"/>
          <w:color w:val="000000"/>
          <w:spacing w:val="0"/>
          <w:kern w:val="0"/>
          <w:sz w:val="32"/>
          <w:szCs w:val="32"/>
          <w:lang w:val="en-US" w:eastAsia="zh-CN" w:bidi="ar"/>
        </w:rPr>
        <w:t>全年安排因公出国（境）团组0次，出国（境）0人。因公出国（境）支出决算比2020年增加/减少0万元，增长/下降0%。主要原因是……。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_GB2312" w:hAnsi="宋体" w:eastAsia="仿宋_GB2312" w:cs="仿宋_GB2312"/>
          <w:i w:val="0"/>
          <w:iCs w:val="0"/>
          <w:caps w:val="0"/>
          <w:color w:val="000000"/>
          <w:spacing w:val="0"/>
          <w:kern w:val="0"/>
          <w:sz w:val="32"/>
          <w:szCs w:val="32"/>
          <w:lang w:val="en-US" w:eastAsia="zh-CN" w:bidi="ar"/>
        </w:rPr>
        <w:t>开支内容包括：…（团组名称、出访地点、取得成效）等。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_GB2312" w:hAnsi="宋体" w:eastAsia="仿宋_GB2312" w:cs="仿宋_GB2312"/>
          <w:b/>
          <w:bCs/>
          <w:i w:val="0"/>
          <w:iCs w:val="0"/>
          <w:caps w:val="0"/>
          <w:color w:val="000000"/>
          <w:spacing w:val="0"/>
          <w:kern w:val="0"/>
          <w:sz w:val="32"/>
          <w:szCs w:val="32"/>
          <w:lang w:val="en-US" w:eastAsia="zh-CN" w:bidi="ar"/>
        </w:rPr>
        <w:t>2.公务用车购置及运行维护费支出</w:t>
      </w:r>
      <w:r>
        <w:rPr>
          <w:rFonts w:hint="eastAsia" w:ascii="仿宋_GB2312" w:hAnsi="宋体" w:eastAsia="仿宋_GB2312" w:cs="仿宋_GB2312"/>
          <w:i w:val="0"/>
          <w:iCs w:val="0"/>
          <w:caps w:val="0"/>
          <w:color w:val="000000"/>
          <w:spacing w:val="0"/>
          <w:kern w:val="0"/>
          <w:sz w:val="32"/>
          <w:szCs w:val="32"/>
          <w:lang w:val="en-US" w:eastAsia="zh-CN" w:bidi="ar"/>
        </w:rPr>
        <w:t>0万元,</w:t>
      </w:r>
      <w:r>
        <w:rPr>
          <w:rFonts w:hint="eastAsia" w:ascii="仿宋" w:hAnsi="仿宋" w:eastAsia="仿宋" w:cs="仿宋"/>
          <w:i w:val="0"/>
          <w:iCs w:val="0"/>
          <w:caps w:val="0"/>
          <w:color w:val="000000"/>
          <w:spacing w:val="0"/>
          <w:kern w:val="0"/>
          <w:sz w:val="32"/>
          <w:szCs w:val="32"/>
          <w:lang w:val="en-US" w:eastAsia="zh-CN" w:bidi="ar"/>
        </w:rPr>
        <w:t>完成预算0%。</w:t>
      </w:r>
      <w:r>
        <w:rPr>
          <w:rFonts w:hint="eastAsia" w:ascii="仿宋_GB2312" w:hAnsi="宋体" w:eastAsia="仿宋_GB2312" w:cs="仿宋_GB2312"/>
          <w:i w:val="0"/>
          <w:iCs w:val="0"/>
          <w:caps w:val="0"/>
          <w:color w:val="000000"/>
          <w:spacing w:val="0"/>
          <w:kern w:val="0"/>
          <w:sz w:val="32"/>
          <w:szCs w:val="32"/>
          <w:lang w:val="en-US" w:eastAsia="zh-CN" w:bidi="ar"/>
        </w:rPr>
        <w:t>公务用车购置及运行维护费支出决算比2020年增加/减少0万元，增长/下降0%。主要原因是……。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_GB2312" w:hAnsi="宋体" w:eastAsia="仿宋_GB2312" w:cs="仿宋_GB2312"/>
          <w:i w:val="0"/>
          <w:iCs w:val="0"/>
          <w:caps w:val="0"/>
          <w:color w:val="000000"/>
          <w:spacing w:val="0"/>
          <w:kern w:val="0"/>
          <w:sz w:val="32"/>
          <w:szCs w:val="32"/>
          <w:lang w:val="en-US" w:eastAsia="zh-CN" w:bidi="ar"/>
        </w:rPr>
        <w:t>其中：</w:t>
      </w:r>
      <w:r>
        <w:rPr>
          <w:rFonts w:hint="eastAsia" w:ascii="仿宋_GB2312" w:hAnsi="宋体" w:eastAsia="仿宋_GB2312" w:cs="仿宋_GB2312"/>
          <w:b/>
          <w:bCs/>
          <w:i w:val="0"/>
          <w:iCs w:val="0"/>
          <w:caps w:val="0"/>
          <w:color w:val="000000"/>
          <w:spacing w:val="0"/>
          <w:kern w:val="0"/>
          <w:sz w:val="32"/>
          <w:szCs w:val="32"/>
          <w:lang w:val="en-US" w:eastAsia="zh-CN" w:bidi="ar"/>
        </w:rPr>
        <w:t>公务用车购置支出</w:t>
      </w:r>
      <w:r>
        <w:rPr>
          <w:rFonts w:hint="eastAsia" w:ascii="仿宋_GB2312" w:hAnsi="宋体" w:eastAsia="仿宋_GB2312" w:cs="仿宋_GB2312"/>
          <w:i w:val="0"/>
          <w:iCs w:val="0"/>
          <w:caps w:val="0"/>
          <w:color w:val="000000"/>
          <w:spacing w:val="0"/>
          <w:kern w:val="0"/>
          <w:sz w:val="32"/>
          <w:szCs w:val="32"/>
          <w:lang w:val="en-US" w:eastAsia="zh-CN" w:bidi="ar"/>
        </w:rPr>
        <w:t>0万元。全年按规定更新购置公务用车0辆，其中：轿车0辆、金额0万元，越野车0辆、金额0万元，载客汽车0辆、金额0万元，主要用于…。截至2021年12月底，单位共有公务用车0辆，其中：轿车0辆、越野车0辆、载客汽车0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_GB2312" w:hAnsi="宋体" w:eastAsia="仿宋_GB2312" w:cs="仿宋_GB2312"/>
          <w:b/>
          <w:bCs/>
          <w:i w:val="0"/>
          <w:iCs w:val="0"/>
          <w:caps w:val="0"/>
          <w:color w:val="000000"/>
          <w:spacing w:val="0"/>
          <w:kern w:val="0"/>
          <w:sz w:val="32"/>
          <w:szCs w:val="32"/>
          <w:lang w:val="en-US" w:eastAsia="zh-CN" w:bidi="ar"/>
        </w:rPr>
        <w:t>公务用车运行维护费支出</w:t>
      </w:r>
      <w:r>
        <w:rPr>
          <w:rFonts w:hint="eastAsia" w:ascii="仿宋_GB2312" w:hAnsi="宋体" w:eastAsia="仿宋_GB2312" w:cs="仿宋_GB2312"/>
          <w:i w:val="0"/>
          <w:iCs w:val="0"/>
          <w:caps w:val="0"/>
          <w:color w:val="000000"/>
          <w:spacing w:val="0"/>
          <w:kern w:val="0"/>
          <w:sz w:val="32"/>
          <w:szCs w:val="32"/>
          <w:lang w:val="en-US" w:eastAsia="zh-CN" w:bidi="ar"/>
        </w:rPr>
        <w:t>0万元。主要用于…（具体工作）等所需的公务用车燃料费、维修费、过路过桥费、保险费等支出。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_GB2312" w:hAnsi="宋体" w:eastAsia="仿宋_GB2312" w:cs="仿宋_GB2312"/>
          <w:b/>
          <w:bCs/>
          <w:i w:val="0"/>
          <w:iCs w:val="0"/>
          <w:caps w:val="0"/>
          <w:color w:val="000000"/>
          <w:spacing w:val="0"/>
          <w:kern w:val="0"/>
          <w:sz w:val="32"/>
          <w:szCs w:val="32"/>
          <w:lang w:val="en-US" w:eastAsia="zh-CN" w:bidi="ar"/>
        </w:rPr>
        <w:t>3.公务接待费支出</w:t>
      </w:r>
      <w:r>
        <w:rPr>
          <w:rFonts w:hint="eastAsia" w:ascii="仿宋_GB2312" w:hAnsi="宋体" w:eastAsia="仿宋_GB2312" w:cs="仿宋_GB2312"/>
          <w:i w:val="0"/>
          <w:iCs w:val="0"/>
          <w:caps w:val="0"/>
          <w:color w:val="000000"/>
          <w:spacing w:val="0"/>
          <w:kern w:val="0"/>
          <w:sz w:val="32"/>
          <w:szCs w:val="32"/>
          <w:lang w:val="en-US" w:eastAsia="zh-CN" w:bidi="ar"/>
        </w:rPr>
        <w:t>0万元，</w:t>
      </w:r>
      <w:r>
        <w:rPr>
          <w:rFonts w:hint="eastAsia" w:ascii="仿宋" w:hAnsi="仿宋" w:eastAsia="仿宋" w:cs="仿宋"/>
          <w:i w:val="0"/>
          <w:iCs w:val="0"/>
          <w:caps w:val="0"/>
          <w:color w:val="000000"/>
          <w:spacing w:val="0"/>
          <w:kern w:val="0"/>
          <w:sz w:val="32"/>
          <w:szCs w:val="32"/>
          <w:lang w:val="en-US" w:eastAsia="zh-CN" w:bidi="ar"/>
        </w:rPr>
        <w:t>完成预算0%。</w:t>
      </w:r>
      <w:r>
        <w:rPr>
          <w:rFonts w:hint="eastAsia" w:ascii="仿宋_GB2312" w:hAnsi="宋体" w:eastAsia="仿宋_GB2312" w:cs="仿宋_GB2312"/>
          <w:i w:val="0"/>
          <w:iCs w:val="0"/>
          <w:caps w:val="0"/>
          <w:color w:val="000000"/>
          <w:spacing w:val="0"/>
          <w:kern w:val="0"/>
          <w:sz w:val="32"/>
          <w:szCs w:val="32"/>
          <w:lang w:val="en-US" w:eastAsia="zh-CN" w:bidi="ar"/>
        </w:rPr>
        <w:t>公务接待费支出决算比2020年增加/减少0万元，增长/下降0%。主要原因是……。其中：</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 w:hAnsi="仿宋" w:eastAsia="仿宋" w:cs="仿宋"/>
          <w:b/>
          <w:bCs/>
          <w:i w:val="0"/>
          <w:iCs w:val="0"/>
          <w:caps w:val="0"/>
          <w:color w:val="000000"/>
          <w:spacing w:val="0"/>
          <w:kern w:val="0"/>
          <w:sz w:val="32"/>
          <w:szCs w:val="32"/>
          <w:lang w:val="en-US" w:eastAsia="zh-CN" w:bidi="ar"/>
        </w:rPr>
        <w:t>国内公务接待支出</w:t>
      </w:r>
      <w:r>
        <w:rPr>
          <w:rFonts w:hint="eastAsia" w:ascii="仿宋" w:hAnsi="仿宋" w:eastAsia="仿宋" w:cs="仿宋"/>
          <w:i w:val="0"/>
          <w:iCs w:val="0"/>
          <w:caps w:val="0"/>
          <w:color w:val="000000"/>
          <w:spacing w:val="0"/>
          <w:kern w:val="0"/>
          <w:sz w:val="32"/>
          <w:szCs w:val="32"/>
          <w:lang w:val="en-US" w:eastAsia="zh-CN" w:bidi="ar"/>
        </w:rPr>
        <w:t>0</w:t>
      </w:r>
      <w:r>
        <w:rPr>
          <w:rFonts w:hint="eastAsia" w:ascii="仿宋_GB2312" w:hAnsi="宋体" w:eastAsia="仿宋_GB2312" w:cs="仿宋_GB2312"/>
          <w:i w:val="0"/>
          <w:iCs w:val="0"/>
          <w:caps w:val="0"/>
          <w:color w:val="000000"/>
          <w:spacing w:val="0"/>
          <w:kern w:val="0"/>
          <w:sz w:val="32"/>
          <w:szCs w:val="32"/>
          <w:lang w:val="en-US" w:eastAsia="zh-CN" w:bidi="ar"/>
        </w:rPr>
        <w:t>万元，主要用于……(执行公务、开展业务活动开支的交通费、住宿费、用餐费等)。国内公务接待0批次，0人次（不包括陪同人员），共计支出0万元，具体内容包括：…（接待具体项目、金额）。</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left"/>
        <w:rPr>
          <w:rFonts w:hint="eastAsia" w:ascii="宋体" w:hAnsi="宋体" w:eastAsia="宋体" w:cs="宋体"/>
          <w:i w:val="0"/>
          <w:iCs w:val="0"/>
          <w:caps w:val="0"/>
          <w:color w:val="000000"/>
          <w:spacing w:val="0"/>
          <w:sz w:val="18"/>
          <w:szCs w:val="18"/>
        </w:rPr>
      </w:pPr>
      <w:r>
        <w:rPr>
          <w:rFonts w:hint="eastAsia" w:ascii="仿宋" w:hAnsi="仿宋" w:eastAsia="仿宋" w:cs="仿宋"/>
          <w:b/>
          <w:bCs/>
          <w:i w:val="0"/>
          <w:iCs w:val="0"/>
          <w:caps w:val="0"/>
          <w:color w:val="000000"/>
          <w:spacing w:val="0"/>
          <w:kern w:val="0"/>
          <w:sz w:val="32"/>
          <w:szCs w:val="32"/>
          <w:lang w:val="en-US" w:eastAsia="zh-CN" w:bidi="ar"/>
        </w:rPr>
        <w:t>外事接待支出</w:t>
      </w:r>
      <w:r>
        <w:rPr>
          <w:rFonts w:hint="eastAsia" w:ascii="仿宋" w:hAnsi="仿宋" w:eastAsia="仿宋" w:cs="仿宋"/>
          <w:i w:val="0"/>
          <w:iCs w:val="0"/>
          <w:caps w:val="0"/>
          <w:color w:val="000000"/>
          <w:spacing w:val="0"/>
          <w:kern w:val="0"/>
          <w:sz w:val="32"/>
          <w:szCs w:val="32"/>
          <w:lang w:val="en-US" w:eastAsia="zh-CN" w:bidi="ar"/>
        </w:rPr>
        <w:t>0</w:t>
      </w:r>
      <w:r>
        <w:rPr>
          <w:rFonts w:hint="eastAsia" w:ascii="仿宋_GB2312" w:hAnsi="宋体" w:eastAsia="仿宋_GB2312" w:cs="仿宋_GB2312"/>
          <w:i w:val="0"/>
          <w:iCs w:val="0"/>
          <w:caps w:val="0"/>
          <w:color w:val="000000"/>
          <w:spacing w:val="0"/>
          <w:kern w:val="0"/>
          <w:sz w:val="32"/>
          <w:szCs w:val="32"/>
          <w:lang w:val="en-US" w:eastAsia="zh-CN" w:bidi="ar"/>
        </w:rPr>
        <w:t>万元，外事接待0批次，0人，共计支出0万元，主要用于接待…（具体项目）。主要用于……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_GB2312" w:hAnsi="宋体" w:eastAsia="仿宋_GB2312" w:cs="仿宋_GB2312"/>
          <w:i w:val="0"/>
          <w:iCs w:val="0"/>
          <w:caps w:val="0"/>
          <w:color w:val="000000"/>
          <w:spacing w:val="0"/>
          <w:kern w:val="0"/>
          <w:sz w:val="32"/>
          <w:szCs w:val="32"/>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bookmarkStart w:id="75" w:name="_Toc79163872"/>
      <w:bookmarkEnd w:id="75"/>
      <w:bookmarkStart w:id="76" w:name="_Toc79163622"/>
      <w:bookmarkEnd w:id="76"/>
      <w:bookmarkStart w:id="77" w:name="_Toc15396610"/>
      <w:bookmarkEnd w:id="77"/>
      <w:bookmarkStart w:id="78" w:name="_Toc15377218"/>
      <w:r>
        <w:rPr>
          <w:rFonts w:hint="eastAsia" w:ascii="黑体" w:hAnsi="宋体" w:eastAsia="黑体" w:cs="黑体"/>
          <w:i w:val="0"/>
          <w:iCs w:val="0"/>
          <w:caps w:val="0"/>
          <w:color w:val="000000"/>
          <w:spacing w:val="0"/>
          <w:kern w:val="0"/>
          <w:sz w:val="32"/>
          <w:szCs w:val="32"/>
          <w:lang w:val="en-US" w:eastAsia="zh-CN" w:bidi="ar"/>
        </w:rPr>
        <w:t>八、</w:t>
      </w:r>
      <w:bookmarkEnd w:id="78"/>
      <w:r>
        <w:rPr>
          <w:rFonts w:hint="eastAsia" w:ascii="黑体" w:hAnsi="宋体" w:eastAsia="黑体" w:cs="黑体"/>
          <w:i w:val="0"/>
          <w:iCs w:val="0"/>
          <w:caps w:val="0"/>
          <w:color w:val="000000"/>
          <w:spacing w:val="0"/>
          <w:kern w:val="0"/>
          <w:sz w:val="32"/>
          <w:szCs w:val="32"/>
          <w:lang w:val="en-US" w:eastAsia="zh-CN" w:bidi="ar"/>
        </w:rPr>
        <w:t>政府性基金预算支出决算情况说明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_GB2312" w:hAnsi="宋体" w:eastAsia="仿宋_GB2312" w:cs="仿宋_GB2312"/>
          <w:i w:val="0"/>
          <w:iCs w:val="0"/>
          <w:caps w:val="0"/>
          <w:color w:val="000000"/>
          <w:spacing w:val="0"/>
          <w:kern w:val="0"/>
          <w:sz w:val="32"/>
          <w:szCs w:val="32"/>
          <w:lang w:val="en-US" w:eastAsia="zh-CN" w:bidi="ar"/>
        </w:rPr>
        <w:t>2021年政府性基金预算拨款支出35900万元。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_GB2312" w:hAnsi="宋体" w:eastAsia="仿宋_GB2312" w:cs="仿宋_GB2312"/>
          <w:i w:val="0"/>
          <w:iCs w:val="0"/>
          <w:caps w:val="0"/>
          <w:color w:val="000000"/>
          <w:spacing w:val="0"/>
          <w:kern w:val="0"/>
          <w:sz w:val="32"/>
          <w:szCs w:val="32"/>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bookmarkStart w:id="79" w:name="_Toc15377219"/>
      <w:bookmarkEnd w:id="79"/>
      <w:r>
        <w:rPr>
          <w:rFonts w:hint="eastAsia" w:ascii="黑体" w:hAnsi="宋体" w:eastAsia="黑体" w:cs="黑体"/>
          <w:i w:val="0"/>
          <w:iCs w:val="0"/>
          <w:caps w:val="0"/>
          <w:color w:val="000000"/>
          <w:spacing w:val="0"/>
          <w:kern w:val="0"/>
          <w:sz w:val="32"/>
          <w:szCs w:val="32"/>
          <w:lang w:val="en-US" w:eastAsia="zh-CN" w:bidi="ar"/>
        </w:rPr>
        <w:t>九、</w:t>
      </w:r>
      <w:bookmarkStart w:id="80" w:name="_Toc15396611"/>
      <w:bookmarkEnd w:id="80"/>
      <w:bookmarkStart w:id="81" w:name="_Toc79163623"/>
      <w:bookmarkEnd w:id="81"/>
      <w:bookmarkStart w:id="82" w:name="_Toc79163873"/>
      <w:r>
        <w:rPr>
          <w:rFonts w:hint="eastAsia" w:ascii="黑体" w:hAnsi="宋体" w:eastAsia="黑体" w:cs="黑体"/>
          <w:i w:val="0"/>
          <w:iCs w:val="0"/>
          <w:caps w:val="0"/>
          <w:color w:val="000000"/>
          <w:spacing w:val="0"/>
          <w:kern w:val="0"/>
          <w:sz w:val="32"/>
          <w:szCs w:val="32"/>
          <w:lang w:val="en-US" w:eastAsia="zh-CN" w:bidi="ar"/>
        </w:rPr>
        <w:t>国有资本经营预算支出决算情况说明</w:t>
      </w:r>
      <w:bookmarkEnd w:id="82"/>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_GB2312" w:hAnsi="宋体" w:eastAsia="仿宋_GB2312" w:cs="仿宋_GB2312"/>
          <w:i w:val="0"/>
          <w:iCs w:val="0"/>
          <w:caps w:val="0"/>
          <w:color w:val="000000"/>
          <w:spacing w:val="0"/>
          <w:kern w:val="0"/>
          <w:sz w:val="32"/>
          <w:szCs w:val="32"/>
          <w:lang w:val="en-US" w:eastAsia="zh-CN" w:bidi="ar"/>
        </w:rPr>
        <w:t>2021年国有资本经营预算拨款支出0万元。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0"/>
        <w:jc w:val="center"/>
        <w:rPr>
          <w:rFonts w:hint="eastAsia" w:ascii="宋体" w:hAnsi="宋体" w:eastAsia="宋体" w:cs="宋体"/>
          <w:i w:val="0"/>
          <w:iCs w:val="0"/>
          <w:caps w:val="0"/>
          <w:color w:val="000000"/>
          <w:spacing w:val="0"/>
          <w:sz w:val="18"/>
          <w:szCs w:val="18"/>
        </w:rPr>
      </w:pPr>
      <w:r>
        <w:rPr>
          <w:rFonts w:hint="eastAsia" w:ascii="方正小标宋简体" w:hAnsi="方正小标宋简体" w:eastAsia="方正小标宋简体" w:cs="方正小标宋简体"/>
          <w:i w:val="0"/>
          <w:iCs w:val="0"/>
          <w:caps w:val="0"/>
          <w:color w:val="000000"/>
          <w:spacing w:val="0"/>
          <w:kern w:val="0"/>
          <w:sz w:val="44"/>
          <w:szCs w:val="4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jc w:val="left"/>
        <w:rPr>
          <w:rFonts w:hint="eastAsia" w:ascii="宋体" w:hAnsi="宋体" w:eastAsia="宋体" w:cs="宋体"/>
          <w:i w:val="0"/>
          <w:iCs w:val="0"/>
          <w:caps w:val="0"/>
          <w:color w:val="000000"/>
          <w:spacing w:val="0"/>
          <w:sz w:val="18"/>
          <w:szCs w:val="18"/>
        </w:rPr>
      </w:pPr>
      <w:bookmarkStart w:id="83" w:name="_Toc15396612"/>
      <w:bookmarkEnd w:id="83"/>
      <w:bookmarkStart w:id="84" w:name="_Toc15377221"/>
      <w:bookmarkEnd w:id="84"/>
      <w:bookmarkStart w:id="85" w:name="_Toc79163624"/>
      <w:bookmarkEnd w:id="85"/>
      <w:bookmarkStart w:id="86" w:name="_Toc79163874"/>
      <w:r>
        <w:rPr>
          <w:rFonts w:hint="eastAsia" w:ascii="黑体" w:hAnsi="宋体" w:eastAsia="黑体" w:cs="黑体"/>
          <w:i w:val="0"/>
          <w:iCs w:val="0"/>
          <w:caps w:val="0"/>
          <w:color w:val="000000"/>
          <w:spacing w:val="0"/>
          <w:kern w:val="0"/>
          <w:sz w:val="32"/>
          <w:szCs w:val="32"/>
          <w:lang w:val="en-US" w:eastAsia="zh-CN" w:bidi="ar"/>
        </w:rPr>
        <w:t>十</w:t>
      </w:r>
      <w:bookmarkEnd w:id="86"/>
      <w:r>
        <w:rPr>
          <w:rFonts w:hint="eastAsia" w:ascii="黑体" w:hAnsi="宋体" w:eastAsia="黑体" w:cs="黑体"/>
          <w:b/>
          <w:bCs/>
          <w:i w:val="0"/>
          <w:iCs w:val="0"/>
          <w:caps w:val="0"/>
          <w:color w:val="000000"/>
          <w:spacing w:val="0"/>
          <w:kern w:val="0"/>
          <w:sz w:val="32"/>
          <w:szCs w:val="32"/>
          <w:lang w:val="en-US" w:eastAsia="zh-CN" w:bidi="ar"/>
        </w:rPr>
        <w:t>、</w:t>
      </w:r>
      <w:r>
        <w:rPr>
          <w:rFonts w:hint="eastAsia" w:ascii="黑体" w:hAnsi="宋体" w:eastAsia="黑体" w:cs="黑体"/>
          <w:i w:val="0"/>
          <w:iCs w:val="0"/>
          <w:caps w:val="0"/>
          <w:color w:val="000000"/>
          <w:spacing w:val="0"/>
          <w:kern w:val="0"/>
          <w:sz w:val="32"/>
          <w:szCs w:val="32"/>
          <w:lang w:val="en-US" w:eastAsia="zh-CN" w:bidi="ar"/>
        </w:rPr>
        <w:t>其他重要事项的情况说明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left"/>
        <w:rPr>
          <w:rFonts w:hint="eastAsia" w:ascii="宋体" w:hAnsi="宋体" w:eastAsia="宋体" w:cs="宋体"/>
          <w:i w:val="0"/>
          <w:iCs w:val="0"/>
          <w:caps w:val="0"/>
          <w:color w:val="000000"/>
          <w:spacing w:val="0"/>
          <w:sz w:val="18"/>
          <w:szCs w:val="18"/>
        </w:rPr>
      </w:pPr>
      <w:bookmarkStart w:id="87" w:name="_Toc79163875"/>
      <w:bookmarkEnd w:id="87"/>
      <w:bookmarkStart w:id="88" w:name="_Toc79163625"/>
      <w:bookmarkEnd w:id="88"/>
      <w:bookmarkStart w:id="89" w:name="_Toc15377222"/>
      <w:r>
        <w:rPr>
          <w:rFonts w:hint="eastAsia" w:ascii="仿宋" w:hAnsi="仿宋" w:eastAsia="仿宋" w:cs="仿宋"/>
          <w:b/>
          <w:bCs/>
          <w:i w:val="0"/>
          <w:iCs w:val="0"/>
          <w:caps w:val="0"/>
          <w:color w:val="000000"/>
          <w:spacing w:val="0"/>
          <w:kern w:val="0"/>
          <w:sz w:val="32"/>
          <w:szCs w:val="32"/>
          <w:lang w:val="en-US" w:eastAsia="zh-CN" w:bidi="ar"/>
        </w:rPr>
        <w:t>（一）机关运行经费支出情况</w:t>
      </w:r>
      <w:bookmarkEnd w:id="89"/>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_GB2312" w:hAnsi="宋体" w:eastAsia="仿宋_GB2312" w:cs="仿宋_GB2312"/>
          <w:i w:val="0"/>
          <w:iCs w:val="0"/>
          <w:caps w:val="0"/>
          <w:color w:val="000000"/>
          <w:spacing w:val="0"/>
          <w:kern w:val="0"/>
          <w:sz w:val="32"/>
          <w:szCs w:val="32"/>
          <w:lang w:val="en-US" w:eastAsia="zh-CN" w:bidi="ar"/>
        </w:rPr>
        <w:t>2021年，我机关运行经费支出</w:t>
      </w:r>
      <w:r>
        <w:rPr>
          <w:rFonts w:hint="eastAsia" w:ascii="仿宋" w:hAnsi="仿宋" w:eastAsia="仿宋" w:cs="仿宋"/>
          <w:i w:val="0"/>
          <w:iCs w:val="0"/>
          <w:caps w:val="0"/>
          <w:color w:val="000000"/>
          <w:spacing w:val="0"/>
          <w:kern w:val="0"/>
          <w:sz w:val="32"/>
          <w:szCs w:val="32"/>
          <w:lang w:val="en-US" w:eastAsia="zh-CN" w:bidi="ar"/>
        </w:rPr>
        <w:t>404.19</w:t>
      </w:r>
      <w:r>
        <w:rPr>
          <w:rFonts w:hint="eastAsia" w:ascii="仿宋_GB2312" w:hAnsi="宋体" w:eastAsia="仿宋_GB2312" w:cs="仿宋_GB2312"/>
          <w:i w:val="0"/>
          <w:iCs w:val="0"/>
          <w:caps w:val="0"/>
          <w:color w:val="000000"/>
          <w:spacing w:val="0"/>
          <w:kern w:val="0"/>
          <w:sz w:val="32"/>
          <w:szCs w:val="32"/>
          <w:lang w:val="en-US" w:eastAsia="zh-CN" w:bidi="ar"/>
        </w:rPr>
        <w:t>万元，比2020年增加273.13万元，增加208.40%（或与2020年决算数持平）。主要原因是维修费用增加。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left"/>
        <w:rPr>
          <w:rFonts w:hint="eastAsia" w:ascii="宋体" w:hAnsi="宋体" w:eastAsia="宋体" w:cs="宋体"/>
          <w:i w:val="0"/>
          <w:iCs w:val="0"/>
          <w:caps w:val="0"/>
          <w:color w:val="000000"/>
          <w:spacing w:val="0"/>
          <w:sz w:val="18"/>
          <w:szCs w:val="18"/>
        </w:rPr>
      </w:pPr>
      <w:bookmarkStart w:id="90" w:name="_Toc15377223"/>
      <w:bookmarkEnd w:id="90"/>
      <w:bookmarkStart w:id="91" w:name="_Toc79163626"/>
      <w:bookmarkEnd w:id="91"/>
      <w:bookmarkStart w:id="92" w:name="_Toc79163876"/>
      <w:r>
        <w:rPr>
          <w:rFonts w:hint="eastAsia" w:ascii="仿宋" w:hAnsi="仿宋" w:eastAsia="仿宋" w:cs="仿宋"/>
          <w:b/>
          <w:bCs/>
          <w:i w:val="0"/>
          <w:iCs w:val="0"/>
          <w:caps w:val="0"/>
          <w:color w:val="000000"/>
          <w:spacing w:val="0"/>
          <w:kern w:val="0"/>
          <w:sz w:val="32"/>
          <w:szCs w:val="32"/>
          <w:lang w:val="en-US" w:eastAsia="zh-CN" w:bidi="ar"/>
        </w:rPr>
        <w:t>（二）政府采购支出情况</w:t>
      </w:r>
      <w:bookmarkEnd w:id="92"/>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_GB2312" w:hAnsi="宋体" w:eastAsia="仿宋_GB2312" w:cs="仿宋_GB2312"/>
          <w:i w:val="0"/>
          <w:iCs w:val="0"/>
          <w:caps w:val="0"/>
          <w:color w:val="000000"/>
          <w:spacing w:val="0"/>
          <w:kern w:val="0"/>
          <w:sz w:val="32"/>
          <w:szCs w:val="32"/>
          <w:lang w:val="en-US" w:eastAsia="zh-CN" w:bidi="ar"/>
        </w:rPr>
        <w:t>2021年，我中心政府采购支出总额0万元，其中：政府采购货物支出0万元、政府采购工程支出0万元、政府采购服务支出0万元。主要用于…（具体工作）。授予中小企业合同金额0万元，占政府采购支出总额的0%，其中：授予小微企业合同金额0万元，占政府采购支出总额的0%。</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left"/>
        <w:rPr>
          <w:rFonts w:hint="eastAsia" w:ascii="宋体" w:hAnsi="宋体" w:eastAsia="宋体" w:cs="宋体"/>
          <w:i w:val="0"/>
          <w:iCs w:val="0"/>
          <w:caps w:val="0"/>
          <w:color w:val="000000"/>
          <w:spacing w:val="0"/>
          <w:sz w:val="18"/>
          <w:szCs w:val="18"/>
        </w:rPr>
      </w:pPr>
      <w:bookmarkStart w:id="93" w:name="_Toc15377224"/>
      <w:bookmarkEnd w:id="93"/>
      <w:bookmarkStart w:id="94" w:name="_Toc79163877"/>
      <w:bookmarkEnd w:id="94"/>
      <w:bookmarkStart w:id="95" w:name="_Toc79163627"/>
      <w:r>
        <w:rPr>
          <w:rFonts w:hint="eastAsia" w:ascii="仿宋" w:hAnsi="仿宋" w:eastAsia="仿宋" w:cs="仿宋"/>
          <w:b/>
          <w:bCs/>
          <w:i w:val="0"/>
          <w:iCs w:val="0"/>
          <w:caps w:val="0"/>
          <w:color w:val="000000"/>
          <w:spacing w:val="0"/>
          <w:kern w:val="0"/>
          <w:sz w:val="32"/>
          <w:szCs w:val="32"/>
          <w:lang w:val="en-US" w:eastAsia="zh-CN" w:bidi="ar"/>
        </w:rPr>
        <w:t>（三）国有资产占有使用情况</w:t>
      </w:r>
      <w:bookmarkEnd w:id="95"/>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_GB2312" w:hAnsi="宋体" w:eastAsia="仿宋_GB2312" w:cs="仿宋_GB2312"/>
          <w:i w:val="0"/>
          <w:iCs w:val="0"/>
          <w:caps w:val="0"/>
          <w:color w:val="000000"/>
          <w:spacing w:val="0"/>
          <w:kern w:val="0"/>
          <w:sz w:val="32"/>
          <w:szCs w:val="32"/>
          <w:lang w:val="en-US" w:eastAsia="zh-CN" w:bidi="ar"/>
        </w:rPr>
        <w:t>截至2021年12月31日，我中心共有车辆0辆，其中：主要领导干部用车0辆、机要通信用车0辆、应急保障用车0辆、其他用车0辆……其他用车主要是用于……单价50万元以上通用设备0台（套），单价100万元以上专用设备0台（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left"/>
        <w:rPr>
          <w:rFonts w:hint="eastAsia" w:ascii="宋体" w:hAnsi="宋体" w:eastAsia="宋体" w:cs="宋体"/>
          <w:i w:val="0"/>
          <w:iCs w:val="0"/>
          <w:caps w:val="0"/>
          <w:color w:val="000000"/>
          <w:spacing w:val="0"/>
          <w:sz w:val="18"/>
          <w:szCs w:val="18"/>
        </w:rPr>
      </w:pPr>
      <w:bookmarkStart w:id="96" w:name="_Toc79163628"/>
      <w:bookmarkEnd w:id="96"/>
      <w:bookmarkStart w:id="97" w:name="_Toc79163878"/>
      <w:r>
        <w:rPr>
          <w:rFonts w:hint="eastAsia" w:ascii="仿宋" w:hAnsi="仿宋" w:eastAsia="仿宋" w:cs="仿宋"/>
          <w:b/>
          <w:bCs/>
          <w:i w:val="0"/>
          <w:iCs w:val="0"/>
          <w:caps w:val="0"/>
          <w:color w:val="000000"/>
          <w:spacing w:val="0"/>
          <w:kern w:val="0"/>
          <w:sz w:val="32"/>
          <w:szCs w:val="32"/>
          <w:lang w:val="en-US" w:eastAsia="zh-CN" w:bidi="ar"/>
        </w:rPr>
        <w:t>（四）预算绩效管理情况。</w:t>
      </w:r>
      <w:bookmarkEnd w:id="97"/>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_GB2312" w:hAnsi="宋体" w:eastAsia="仿宋_GB2312" w:cs="仿宋_GB2312"/>
          <w:i w:val="0"/>
          <w:iCs w:val="0"/>
          <w:caps w:val="0"/>
          <w:color w:val="000000"/>
          <w:spacing w:val="0"/>
          <w:kern w:val="0"/>
          <w:sz w:val="32"/>
          <w:szCs w:val="32"/>
          <w:lang w:val="en-US" w:eastAsia="zh-CN" w:bidi="ar"/>
        </w:rPr>
        <w:t>我中心按要求对2021年部门整体支出开根据预算绩效管理要求，本部门（单位）在年初预算编制阶段，组织对九寨沟县漳扎镇旅游基础设施改造提升项目（</w:t>
      </w:r>
      <w:r>
        <w:rPr>
          <w:rFonts w:hint="eastAsia" w:ascii="宋体" w:hAnsi="宋体" w:eastAsia="宋体" w:cs="宋体"/>
          <w:i w:val="0"/>
          <w:iCs w:val="0"/>
          <w:caps w:val="0"/>
          <w:color w:val="000000"/>
          <w:spacing w:val="0"/>
          <w:kern w:val="0"/>
          <w:sz w:val="32"/>
          <w:szCs w:val="32"/>
          <w:lang w:val="en-US" w:eastAsia="zh-CN" w:bidi="ar"/>
        </w:rPr>
        <w:t>疫情防控资金</w:t>
      </w:r>
      <w:r>
        <w:rPr>
          <w:rFonts w:hint="default" w:ascii="Times New Roman" w:hAnsi="Times New Roman" w:eastAsia="宋体" w:cs="Times New Roman"/>
          <w:i w:val="0"/>
          <w:iCs w:val="0"/>
          <w:caps w:val="0"/>
          <w:color w:val="000000"/>
          <w:spacing w:val="0"/>
          <w:kern w:val="0"/>
          <w:sz w:val="32"/>
          <w:szCs w:val="32"/>
          <w:lang w:val="en-US" w:eastAsia="zh-CN" w:bidi="ar"/>
        </w:rPr>
        <w:t>)</w:t>
      </w:r>
      <w:r>
        <w:rPr>
          <w:rFonts w:hint="eastAsia" w:ascii="仿宋_GB2312" w:hAnsi="宋体" w:eastAsia="仿宋_GB2312" w:cs="仿宋_GB2312"/>
          <w:i w:val="0"/>
          <w:iCs w:val="0"/>
          <w:caps w:val="0"/>
          <w:color w:val="000000"/>
          <w:spacing w:val="0"/>
          <w:kern w:val="0"/>
          <w:sz w:val="32"/>
          <w:szCs w:val="32"/>
          <w:lang w:val="en-US" w:eastAsia="zh-CN" w:bidi="ar"/>
        </w:rPr>
        <w:t>开展了预算事前绩效评估，对1个项目编制了绩效目标，预算执行过程中，选取1个项目开展绩效监控，年终执行完毕后，对1个项目开展了绩效目标完成情况自评。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left"/>
        <w:rPr>
          <w:rFonts w:hint="eastAsia" w:ascii="宋体" w:hAnsi="宋体" w:eastAsia="宋体" w:cs="宋体"/>
          <w:i w:val="0"/>
          <w:iCs w:val="0"/>
          <w:caps w:val="0"/>
          <w:color w:val="000000"/>
          <w:spacing w:val="0"/>
          <w:sz w:val="18"/>
          <w:szCs w:val="18"/>
        </w:rPr>
      </w:pPr>
      <w:r>
        <w:rPr>
          <w:rFonts w:ascii="楷体_GB2312" w:hAnsi="宋体" w:eastAsia="楷体_GB2312" w:cs="楷体_GB2312"/>
          <w:i w:val="0"/>
          <w:iCs w:val="0"/>
          <w:caps w:val="0"/>
          <w:color w:val="000000"/>
          <w:spacing w:val="0"/>
          <w:kern w:val="0"/>
          <w:sz w:val="32"/>
          <w:szCs w:val="32"/>
          <w:lang w:val="en-US" w:eastAsia="zh-CN" w:bidi="ar"/>
        </w:rPr>
        <w:t>1.</w:t>
      </w:r>
      <w:r>
        <w:rPr>
          <w:rFonts w:hint="eastAsia" w:ascii="楷体_GB2312" w:hAnsi="宋体" w:eastAsia="楷体_GB2312" w:cs="楷体_GB2312"/>
          <w:i w:val="0"/>
          <w:iCs w:val="0"/>
          <w:caps w:val="0"/>
          <w:color w:val="000000"/>
          <w:spacing w:val="0"/>
          <w:kern w:val="0"/>
          <w:sz w:val="32"/>
          <w:szCs w:val="32"/>
          <w:lang w:val="en-US" w:eastAsia="zh-CN" w:bidi="ar"/>
        </w:rPr>
        <w:t>项目绩效目标完成情况。</w:t>
      </w:r>
      <w:r>
        <w:rPr>
          <w:rFonts w:hint="eastAsia" w:ascii="楷体_GB2312" w:hAnsi="宋体" w:eastAsia="楷体_GB2312" w:cs="楷体_GB2312"/>
          <w:i w:val="0"/>
          <w:iCs w:val="0"/>
          <w:caps w:val="0"/>
          <w:color w:val="000000"/>
          <w:spacing w:val="0"/>
          <w:kern w:val="0"/>
          <w:sz w:val="32"/>
          <w:szCs w:val="32"/>
          <w:lang w:val="en-US" w:eastAsia="zh-CN" w:bidi="ar"/>
        </w:rPr>
        <w:br w:type="textWrapping"/>
      </w:r>
      <w:r>
        <w:rPr>
          <w:rFonts w:hint="eastAsia" w:ascii="仿宋_GB2312" w:hAnsi="宋体" w:eastAsia="仿宋_GB2312" w:cs="仿宋_GB2312"/>
          <w:i w:val="0"/>
          <w:iCs w:val="0"/>
          <w:caps w:val="0"/>
          <w:color w:val="000000"/>
          <w:spacing w:val="0"/>
          <w:kern w:val="0"/>
          <w:sz w:val="32"/>
          <w:szCs w:val="32"/>
          <w:lang w:val="en-US" w:eastAsia="zh-CN" w:bidi="ar"/>
        </w:rPr>
        <w:t>    </w:t>
      </w:r>
      <w:r>
        <w:rPr>
          <w:rFonts w:hint="eastAsia" w:ascii="仿宋" w:hAnsi="仿宋" w:eastAsia="仿宋" w:cs="仿宋"/>
          <w:i w:val="0"/>
          <w:iCs w:val="0"/>
          <w:caps w:val="0"/>
          <w:color w:val="000000"/>
          <w:spacing w:val="0"/>
          <w:kern w:val="0"/>
          <w:sz w:val="32"/>
          <w:szCs w:val="32"/>
          <w:lang w:val="en-US" w:eastAsia="zh-CN" w:bidi="ar"/>
        </w:rPr>
        <w:t>根据预算绩效管理要求，我单位在年初预算编制阶段，组织对1个项目开展了预算事前绩效评估，对1个项目编制了绩效目标，预算执行过程中，选取1个项目开展绩效监控，年终执行完毕后，对1个项目开展了绩效目标完成情况梳理填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32"/>
          <w:szCs w:val="32"/>
          <w:lang w:val="en-US" w:eastAsia="zh-CN" w:bidi="ar"/>
        </w:rPr>
        <w:t>本部门按要求对2021年部门整体支出开展绩效自评，从评价情况来看整体绩效情况执行较好。</w:t>
      </w:r>
      <w:r>
        <w:rPr>
          <w:rFonts w:hint="eastAsia" w:ascii="仿宋" w:hAnsi="仿宋" w:eastAsia="仿宋" w:cs="仿宋"/>
          <w:b/>
          <w:bCs/>
          <w:i w:val="0"/>
          <w:iCs w:val="0"/>
          <w:caps w:val="0"/>
          <w:color w:val="000000"/>
          <w:spacing w:val="0"/>
          <w:kern w:val="0"/>
          <w:sz w:val="32"/>
          <w:szCs w:val="32"/>
          <w:lang w:val="en-US" w:eastAsia="zh-CN" w:bidi="ar"/>
        </w:rPr>
        <w:br w:type="textWrapping"/>
      </w:r>
      <w:r>
        <w:rPr>
          <w:rFonts w:hint="eastAsia" w:ascii="仿宋" w:hAnsi="仿宋" w:eastAsia="仿宋" w:cs="仿宋"/>
          <w:b/>
          <w:bCs/>
          <w:i w:val="0"/>
          <w:iCs w:val="0"/>
          <w:caps w:val="0"/>
          <w:color w:val="000000"/>
          <w:spacing w:val="0"/>
          <w:kern w:val="0"/>
          <w:sz w:val="32"/>
          <w:szCs w:val="32"/>
          <w:lang w:val="en-US" w:eastAsia="zh-CN" w:bidi="ar"/>
        </w:rPr>
        <w:t>   </w:t>
      </w:r>
      <w:r>
        <w:rPr>
          <w:rFonts w:hint="eastAsia" w:ascii="仿宋_GB2312" w:hAnsi="宋体" w:eastAsia="仿宋_GB2312" w:cs="仿宋_GB2312"/>
          <w:i w:val="0"/>
          <w:iCs w:val="0"/>
          <w:caps w:val="0"/>
          <w:color w:val="000000"/>
          <w:spacing w:val="0"/>
          <w:kern w:val="0"/>
          <w:sz w:val="32"/>
          <w:szCs w:val="32"/>
          <w:lang w:val="en-US" w:eastAsia="zh-CN" w:bidi="ar"/>
        </w:rPr>
        <w:t>（1）九寨沟县漳扎镇旅游基础设施改造提升项目</w:t>
      </w:r>
      <w:r>
        <w:rPr>
          <w:rFonts w:hint="eastAsia" w:ascii="宋体" w:hAnsi="宋体" w:eastAsia="宋体" w:cs="宋体"/>
          <w:i w:val="0"/>
          <w:iCs w:val="0"/>
          <w:caps w:val="0"/>
          <w:color w:val="000000"/>
          <w:spacing w:val="0"/>
          <w:kern w:val="0"/>
          <w:sz w:val="32"/>
          <w:szCs w:val="32"/>
          <w:lang w:val="en-US" w:eastAsia="zh-CN" w:bidi="ar"/>
        </w:rPr>
        <w:t>疫情防控资金</w:t>
      </w:r>
      <w:r>
        <w:rPr>
          <w:rFonts w:hint="eastAsia" w:ascii="仿宋_GB2312" w:hAnsi="宋体" w:eastAsia="仿宋_GB2312" w:cs="仿宋_GB2312"/>
          <w:i w:val="0"/>
          <w:iCs w:val="0"/>
          <w:caps w:val="0"/>
          <w:color w:val="000000"/>
          <w:spacing w:val="0"/>
          <w:kern w:val="0"/>
          <w:sz w:val="32"/>
          <w:szCs w:val="32"/>
          <w:lang w:val="en-US" w:eastAsia="zh-CN" w:bidi="ar"/>
        </w:rPr>
        <w:t>项目绩效目标完成情况综述。项目全年预算数100万元，执行数为100万元，完成预算的100%。通过项目实施，</w:t>
      </w:r>
      <w:r>
        <w:rPr>
          <w:rFonts w:hint="eastAsia" w:ascii="仿宋" w:hAnsi="仿宋" w:eastAsia="仿宋" w:cs="仿宋"/>
          <w:i w:val="0"/>
          <w:iCs w:val="0"/>
          <w:caps w:val="0"/>
          <w:color w:val="000000"/>
          <w:spacing w:val="0"/>
          <w:kern w:val="0"/>
          <w:sz w:val="30"/>
          <w:szCs w:val="30"/>
          <w:lang w:val="en-US" w:eastAsia="zh-CN" w:bidi="ar"/>
        </w:rPr>
        <w:t>目前已进行部分防疫物资采购及防控措的实施，保证项目建设的顺利推进，此项目已于2020年3月9日正式复工;项目有效性分析秉持着该项目资金为疫情防控专项补助金原则，尽最大可能发挥资金作用，完成项目建设</w:t>
      </w:r>
      <w:r>
        <w:rPr>
          <w:rFonts w:hint="eastAsia" w:ascii="仿宋_GB2312" w:hAnsi="宋体" w:eastAsia="仿宋_GB2312" w:cs="仿宋_GB2312"/>
          <w:i w:val="0"/>
          <w:iCs w:val="0"/>
          <w:caps w:val="0"/>
          <w:color w:val="000000"/>
          <w:spacing w:val="0"/>
          <w:kern w:val="0"/>
          <w:sz w:val="32"/>
          <w:szCs w:val="32"/>
          <w:lang w:val="en-US" w:eastAsia="zh-CN" w:bidi="ar"/>
        </w:rPr>
        <w:t>，发现的主要问题：</w:t>
      </w:r>
      <w:r>
        <w:rPr>
          <w:rFonts w:hint="eastAsia" w:ascii="仿宋" w:hAnsi="仿宋" w:eastAsia="仿宋" w:cs="仿宋"/>
          <w:i w:val="0"/>
          <w:iCs w:val="0"/>
          <w:caps w:val="0"/>
          <w:color w:val="000000"/>
          <w:spacing w:val="0"/>
          <w:kern w:val="0"/>
          <w:sz w:val="30"/>
          <w:szCs w:val="30"/>
          <w:lang w:val="en-US" w:eastAsia="zh-CN" w:bidi="ar"/>
        </w:rPr>
        <w:t>疫情初期由于未及时采购防疫物资，导致防疫物资缺乏，无法及时复工复产。</w:t>
      </w:r>
      <w:r>
        <w:rPr>
          <w:rFonts w:hint="eastAsia" w:ascii="仿宋_GB2312" w:hAnsi="宋体" w:eastAsia="仿宋_GB2312" w:cs="仿宋_GB2312"/>
          <w:i w:val="0"/>
          <w:iCs w:val="0"/>
          <w:caps w:val="0"/>
          <w:color w:val="000000"/>
          <w:spacing w:val="0"/>
          <w:kern w:val="0"/>
          <w:sz w:val="32"/>
          <w:szCs w:val="32"/>
          <w:lang w:val="en-US" w:eastAsia="zh-CN" w:bidi="ar"/>
        </w:rPr>
        <w:t>下一步改进措施：</w:t>
      </w:r>
      <w:r>
        <w:rPr>
          <w:rFonts w:hint="eastAsia" w:ascii="仿宋" w:hAnsi="仿宋" w:eastAsia="仿宋" w:cs="仿宋"/>
          <w:i w:val="0"/>
          <w:iCs w:val="0"/>
          <w:caps w:val="0"/>
          <w:color w:val="000000"/>
          <w:spacing w:val="0"/>
          <w:kern w:val="0"/>
          <w:sz w:val="30"/>
          <w:szCs w:val="30"/>
          <w:lang w:val="en-US" w:eastAsia="zh-CN" w:bidi="ar"/>
        </w:rPr>
        <w:t>将疫情防控这类紧急事件的应对措施在项目管理中常态化，在项目中成立应急预案组，随时准备应对突发紧急事件。</w:t>
      </w:r>
    </w:p>
    <w:tbl>
      <w:tblPr>
        <w:tblStyle w:val="8"/>
        <w:tblW w:w="9060" w:type="dxa"/>
        <w:tblInd w:w="0" w:type="dxa"/>
        <w:tblLayout w:type="fixed"/>
        <w:tblCellMar>
          <w:top w:w="0" w:type="dxa"/>
          <w:left w:w="108" w:type="dxa"/>
          <w:bottom w:w="0" w:type="dxa"/>
          <w:right w:w="108" w:type="dxa"/>
        </w:tblCellMar>
      </w:tblPr>
      <w:tblGrid>
        <w:gridCol w:w="970"/>
        <w:gridCol w:w="678"/>
        <w:gridCol w:w="558"/>
        <w:gridCol w:w="558"/>
        <w:gridCol w:w="500"/>
        <w:gridCol w:w="599"/>
        <w:gridCol w:w="148"/>
        <w:gridCol w:w="410"/>
        <w:gridCol w:w="160"/>
        <w:gridCol w:w="330"/>
        <w:gridCol w:w="339"/>
        <w:gridCol w:w="400"/>
        <w:gridCol w:w="524"/>
        <w:gridCol w:w="425"/>
        <w:gridCol w:w="441"/>
        <w:gridCol w:w="500"/>
        <w:gridCol w:w="479"/>
        <w:gridCol w:w="524"/>
        <w:gridCol w:w="517"/>
      </w:tblGrid>
      <w:tr>
        <w:tblPrEx>
          <w:tblCellMar>
            <w:top w:w="0" w:type="dxa"/>
            <w:left w:w="108" w:type="dxa"/>
            <w:bottom w:w="0" w:type="dxa"/>
            <w:right w:w="108" w:type="dxa"/>
          </w:tblCellMar>
        </w:tblPrEx>
        <w:trPr>
          <w:trHeight w:val="610" w:hRule="atLeast"/>
        </w:trPr>
        <w:tc>
          <w:tcPr>
            <w:tcW w:w="9060" w:type="dxa"/>
            <w:gridSpan w:val="19"/>
            <w:tcBorders>
              <w:top w:val="nil"/>
              <w:left w:val="nil"/>
              <w:bottom w:val="nil"/>
              <w:right w:val="nil"/>
            </w:tcBorders>
            <w:vAlign w:val="center"/>
          </w:tcPr>
          <w:p>
            <w:pPr>
              <w:jc w:val="center"/>
              <w:rPr>
                <w:rFonts w:ascii="宋体" w:cs="Arial"/>
                <w:b/>
                <w:bCs/>
                <w:sz w:val="32"/>
                <w:szCs w:val="32"/>
              </w:rPr>
            </w:pPr>
            <w:r>
              <w:rPr>
                <w:rFonts w:hint="eastAsia" w:ascii="宋体" w:hAnsi="宋体" w:eastAsia="宋体" w:cs="宋体"/>
                <w:b/>
                <w:bCs/>
                <w:caps w:val="0"/>
                <w:color w:val="000000"/>
                <w:spacing w:val="0"/>
                <w:kern w:val="0"/>
                <w:sz w:val="36"/>
                <w:szCs w:val="36"/>
                <w:lang w:val="en-US" w:eastAsia="zh-CN" w:bidi="ar"/>
              </w:rPr>
              <w:t>项目绩效目标完成情况表</w:t>
            </w:r>
            <w:r>
              <w:rPr>
                <w:rFonts w:hint="eastAsia" w:ascii="宋体" w:hAnsi="宋体" w:eastAsia="宋体" w:cs="宋体"/>
                <w:b/>
                <w:bCs/>
                <w:caps w:val="0"/>
                <w:color w:val="000000"/>
                <w:spacing w:val="0"/>
                <w:kern w:val="0"/>
                <w:sz w:val="36"/>
                <w:szCs w:val="36"/>
                <w:lang w:val="en-US" w:eastAsia="zh-CN" w:bidi="ar"/>
              </w:rPr>
              <w:br w:type="textWrapping"/>
            </w:r>
            <w:r>
              <w:rPr>
                <w:rFonts w:hint="eastAsia" w:ascii="宋体" w:hAnsi="宋体" w:eastAsia="宋体" w:cs="宋体"/>
                <w:caps w:val="0"/>
                <w:color w:val="000000"/>
                <w:spacing w:val="0"/>
                <w:kern w:val="0"/>
                <w:sz w:val="36"/>
                <w:szCs w:val="36"/>
                <w:lang w:val="en-US" w:eastAsia="zh-CN" w:bidi="ar"/>
              </w:rPr>
              <w:t>(2021年度)</w:t>
            </w:r>
          </w:p>
        </w:tc>
      </w:tr>
      <w:tr>
        <w:tblPrEx>
          <w:tblCellMar>
            <w:top w:w="0" w:type="dxa"/>
            <w:left w:w="108" w:type="dxa"/>
            <w:bottom w:w="0" w:type="dxa"/>
            <w:right w:w="108" w:type="dxa"/>
          </w:tblCellMar>
        </w:tblPrEx>
        <w:trPr>
          <w:trHeight w:val="390" w:hRule="atLeast"/>
        </w:trPr>
        <w:tc>
          <w:tcPr>
            <w:tcW w:w="2206"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宋体" w:cs="Arial"/>
                <w:b/>
                <w:bCs/>
                <w:sz w:val="24"/>
                <w:szCs w:val="24"/>
              </w:rPr>
            </w:pPr>
            <w:r>
              <w:rPr>
                <w:rFonts w:hint="eastAsia" w:ascii="宋体" w:cs="Arial"/>
                <w:b/>
                <w:bCs/>
                <w:sz w:val="24"/>
                <w:szCs w:val="24"/>
              </w:rPr>
              <w:t>项目名称</w:t>
            </w:r>
          </w:p>
        </w:tc>
        <w:tc>
          <w:tcPr>
            <w:tcW w:w="6854" w:type="dxa"/>
            <w:gridSpan w:val="16"/>
            <w:tcBorders>
              <w:top w:val="single" w:color="auto" w:sz="6" w:space="0"/>
              <w:left w:val="nil"/>
              <w:bottom w:val="single" w:color="auto" w:sz="6" w:space="0"/>
              <w:right w:val="single" w:color="auto" w:sz="6" w:space="0"/>
            </w:tcBorders>
            <w:vAlign w:val="center"/>
          </w:tcPr>
          <w:p>
            <w:pPr>
              <w:jc w:val="center"/>
              <w:rPr>
                <w:rFonts w:hint="eastAsia" w:ascii="宋体" w:eastAsia="宋体" w:cs="Arial"/>
                <w:sz w:val="24"/>
                <w:szCs w:val="24"/>
                <w:lang w:eastAsia="zh-CN"/>
              </w:rPr>
            </w:pPr>
            <w:r>
              <w:rPr>
                <w:rFonts w:hint="eastAsia" w:ascii="宋体"/>
                <w:lang w:val="en-US" w:eastAsia="zh-CN"/>
              </w:rPr>
              <w:t>漳扎镇垃圾收运设施设备采购项目</w:t>
            </w:r>
          </w:p>
        </w:tc>
      </w:tr>
      <w:tr>
        <w:tblPrEx>
          <w:tblCellMar>
            <w:top w:w="0" w:type="dxa"/>
            <w:left w:w="108" w:type="dxa"/>
            <w:bottom w:w="0" w:type="dxa"/>
            <w:right w:w="108" w:type="dxa"/>
          </w:tblCellMar>
        </w:tblPrEx>
        <w:trPr>
          <w:trHeight w:val="390" w:hRule="atLeast"/>
        </w:trPr>
        <w:tc>
          <w:tcPr>
            <w:tcW w:w="2206"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宋体" w:cs="Arial"/>
                <w:b/>
                <w:bCs/>
                <w:sz w:val="24"/>
                <w:szCs w:val="24"/>
              </w:rPr>
            </w:pPr>
            <w:r>
              <w:rPr>
                <w:rFonts w:hint="eastAsia" w:ascii="宋体" w:cs="Arial"/>
                <w:b/>
                <w:bCs/>
                <w:sz w:val="24"/>
                <w:szCs w:val="24"/>
              </w:rPr>
              <w:t>主管部门代码</w:t>
            </w:r>
          </w:p>
        </w:tc>
        <w:tc>
          <w:tcPr>
            <w:tcW w:w="2215" w:type="dxa"/>
            <w:gridSpan w:val="5"/>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r>
              <w:rPr>
                <w:rFonts w:hint="eastAsia" w:ascii="宋体" w:cs="Arial"/>
                <w:sz w:val="24"/>
                <w:szCs w:val="24"/>
              </w:rPr>
              <w:t>170101</w:t>
            </w:r>
          </w:p>
        </w:tc>
        <w:tc>
          <w:tcPr>
            <w:tcW w:w="829" w:type="dxa"/>
            <w:gridSpan w:val="3"/>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r>
              <w:rPr>
                <w:rFonts w:hint="eastAsia" w:ascii="宋体" w:cs="Arial"/>
                <w:sz w:val="24"/>
                <w:szCs w:val="24"/>
              </w:rPr>
              <w:t>实施单位</w:t>
            </w:r>
          </w:p>
        </w:tc>
        <w:tc>
          <w:tcPr>
            <w:tcW w:w="3810" w:type="dxa"/>
            <w:gridSpan w:val="8"/>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r>
              <w:rPr>
                <w:rFonts w:hint="eastAsia" w:ascii="宋体" w:cs="Arial"/>
                <w:sz w:val="24"/>
                <w:szCs w:val="24"/>
              </w:rPr>
              <w:t>城市经营公司</w:t>
            </w:r>
          </w:p>
        </w:tc>
      </w:tr>
      <w:tr>
        <w:tblPrEx>
          <w:tblCellMar>
            <w:top w:w="0" w:type="dxa"/>
            <w:left w:w="108" w:type="dxa"/>
            <w:bottom w:w="0" w:type="dxa"/>
            <w:right w:w="108" w:type="dxa"/>
          </w:tblCellMar>
        </w:tblPrEx>
        <w:trPr>
          <w:trHeight w:val="450" w:hRule="atLeast"/>
        </w:trPr>
        <w:tc>
          <w:tcPr>
            <w:tcW w:w="2206" w:type="dxa"/>
            <w:gridSpan w:val="3"/>
            <w:vMerge w:val="restart"/>
            <w:tcBorders>
              <w:top w:val="nil"/>
              <w:left w:val="single" w:color="auto" w:sz="6" w:space="0"/>
              <w:bottom w:val="single" w:color="auto" w:sz="6" w:space="0"/>
              <w:right w:val="single" w:color="auto" w:sz="6" w:space="0"/>
            </w:tcBorders>
            <w:vAlign w:val="center"/>
          </w:tcPr>
          <w:p>
            <w:pPr>
              <w:jc w:val="center"/>
              <w:rPr>
                <w:rFonts w:ascii="宋体" w:cs="Arial"/>
                <w:sz w:val="24"/>
                <w:szCs w:val="24"/>
              </w:rPr>
            </w:pPr>
            <w:r>
              <w:rPr>
                <w:rFonts w:hint="eastAsia" w:ascii="宋体" w:cs="Arial"/>
                <w:sz w:val="24"/>
                <w:szCs w:val="24"/>
              </w:rPr>
              <w:t>项目资金（万元）</w:t>
            </w:r>
          </w:p>
        </w:tc>
        <w:tc>
          <w:tcPr>
            <w:tcW w:w="3044" w:type="dxa"/>
            <w:gridSpan w:val="8"/>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p>
        </w:tc>
        <w:tc>
          <w:tcPr>
            <w:tcW w:w="1349" w:type="dxa"/>
            <w:gridSpan w:val="3"/>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r>
              <w:rPr>
                <w:rFonts w:hint="eastAsia" w:ascii="宋体" w:cs="Arial"/>
                <w:sz w:val="24"/>
                <w:szCs w:val="24"/>
              </w:rPr>
              <w:t>年初预算</w:t>
            </w:r>
          </w:p>
        </w:tc>
        <w:tc>
          <w:tcPr>
            <w:tcW w:w="1420" w:type="dxa"/>
            <w:gridSpan w:val="3"/>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r>
              <w:rPr>
                <w:rFonts w:hint="eastAsia" w:ascii="宋体" w:cs="Arial"/>
                <w:sz w:val="24"/>
                <w:szCs w:val="24"/>
              </w:rPr>
              <w:t>1-8月执行数</w:t>
            </w:r>
          </w:p>
        </w:tc>
        <w:tc>
          <w:tcPr>
            <w:tcW w:w="1041" w:type="dxa"/>
            <w:gridSpan w:val="2"/>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r>
              <w:rPr>
                <w:rFonts w:hint="eastAsia" w:ascii="宋体" w:cs="Arial"/>
                <w:sz w:val="24"/>
                <w:szCs w:val="24"/>
              </w:rPr>
              <w:t>全年预计执行数</w:t>
            </w:r>
          </w:p>
        </w:tc>
      </w:tr>
      <w:tr>
        <w:tblPrEx>
          <w:tblCellMar>
            <w:top w:w="0" w:type="dxa"/>
            <w:left w:w="108" w:type="dxa"/>
            <w:bottom w:w="0" w:type="dxa"/>
            <w:right w:w="108" w:type="dxa"/>
          </w:tblCellMar>
        </w:tblPrEx>
        <w:trPr>
          <w:trHeight w:val="340" w:hRule="atLeast"/>
        </w:trPr>
        <w:tc>
          <w:tcPr>
            <w:tcW w:w="2206" w:type="dxa"/>
            <w:gridSpan w:val="3"/>
            <w:vMerge w:val="continue"/>
            <w:tcBorders>
              <w:top w:val="nil"/>
              <w:left w:val="single" w:color="auto" w:sz="6" w:space="0"/>
              <w:bottom w:val="single" w:color="auto" w:sz="6" w:space="0"/>
              <w:right w:val="single" w:color="auto" w:sz="6" w:space="0"/>
            </w:tcBorders>
            <w:vAlign w:val="center"/>
          </w:tcPr>
          <w:p>
            <w:pPr>
              <w:widowControl/>
              <w:jc w:val="left"/>
              <w:rPr>
                <w:rFonts w:ascii="宋体" w:cs="Arial"/>
                <w:sz w:val="24"/>
                <w:szCs w:val="24"/>
              </w:rPr>
            </w:pPr>
          </w:p>
        </w:tc>
        <w:tc>
          <w:tcPr>
            <w:tcW w:w="3044" w:type="dxa"/>
            <w:gridSpan w:val="8"/>
            <w:tcBorders>
              <w:top w:val="single" w:color="auto" w:sz="6" w:space="0"/>
              <w:left w:val="nil"/>
              <w:bottom w:val="single" w:color="auto" w:sz="6" w:space="0"/>
              <w:right w:val="single" w:color="auto" w:sz="6" w:space="0"/>
            </w:tcBorders>
            <w:vAlign w:val="center"/>
          </w:tcPr>
          <w:p>
            <w:pPr>
              <w:rPr>
                <w:rFonts w:ascii="宋体" w:cs="Arial"/>
                <w:sz w:val="24"/>
                <w:szCs w:val="24"/>
              </w:rPr>
            </w:pPr>
            <w:r>
              <w:rPr>
                <w:rFonts w:hint="eastAsia" w:ascii="宋体" w:cs="Arial"/>
                <w:sz w:val="24"/>
                <w:szCs w:val="24"/>
              </w:rPr>
              <w:t>年度资金总额：</w:t>
            </w:r>
          </w:p>
        </w:tc>
        <w:tc>
          <w:tcPr>
            <w:tcW w:w="1349" w:type="dxa"/>
            <w:gridSpan w:val="3"/>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r>
              <w:rPr>
                <w:rFonts w:hint="eastAsia" w:ascii="宋体" w:cs="Arial"/>
                <w:sz w:val="24"/>
                <w:szCs w:val="24"/>
              </w:rPr>
              <w:t>455</w:t>
            </w:r>
          </w:p>
        </w:tc>
        <w:tc>
          <w:tcPr>
            <w:tcW w:w="1420" w:type="dxa"/>
            <w:gridSpan w:val="3"/>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r>
              <w:rPr>
                <w:rFonts w:hint="eastAsia" w:ascii="宋体" w:cs="Arial"/>
                <w:sz w:val="24"/>
                <w:szCs w:val="24"/>
              </w:rPr>
              <w:t>418.3</w:t>
            </w:r>
          </w:p>
        </w:tc>
        <w:tc>
          <w:tcPr>
            <w:tcW w:w="1041" w:type="dxa"/>
            <w:gridSpan w:val="2"/>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p>
        </w:tc>
      </w:tr>
      <w:tr>
        <w:tblPrEx>
          <w:tblCellMar>
            <w:top w:w="0" w:type="dxa"/>
            <w:left w:w="108" w:type="dxa"/>
            <w:bottom w:w="0" w:type="dxa"/>
            <w:right w:w="108" w:type="dxa"/>
          </w:tblCellMar>
        </w:tblPrEx>
        <w:trPr>
          <w:trHeight w:val="340" w:hRule="atLeast"/>
        </w:trPr>
        <w:tc>
          <w:tcPr>
            <w:tcW w:w="2206" w:type="dxa"/>
            <w:gridSpan w:val="3"/>
            <w:vMerge w:val="continue"/>
            <w:tcBorders>
              <w:top w:val="nil"/>
              <w:left w:val="single" w:color="auto" w:sz="6" w:space="0"/>
              <w:bottom w:val="single" w:color="auto" w:sz="6" w:space="0"/>
              <w:right w:val="single" w:color="auto" w:sz="6" w:space="0"/>
            </w:tcBorders>
            <w:vAlign w:val="center"/>
          </w:tcPr>
          <w:p>
            <w:pPr>
              <w:widowControl/>
              <w:jc w:val="left"/>
              <w:rPr>
                <w:rFonts w:ascii="宋体" w:cs="Arial"/>
                <w:sz w:val="24"/>
                <w:szCs w:val="24"/>
              </w:rPr>
            </w:pPr>
          </w:p>
        </w:tc>
        <w:tc>
          <w:tcPr>
            <w:tcW w:w="3044" w:type="dxa"/>
            <w:gridSpan w:val="8"/>
            <w:tcBorders>
              <w:top w:val="single" w:color="auto" w:sz="6" w:space="0"/>
              <w:left w:val="nil"/>
              <w:bottom w:val="single" w:color="auto" w:sz="6" w:space="0"/>
              <w:right w:val="single" w:color="auto" w:sz="6" w:space="0"/>
            </w:tcBorders>
            <w:vAlign w:val="center"/>
          </w:tcPr>
          <w:p>
            <w:pPr>
              <w:rPr>
                <w:rFonts w:ascii="宋体" w:cs="Arial"/>
                <w:sz w:val="24"/>
                <w:szCs w:val="24"/>
              </w:rPr>
            </w:pPr>
            <w:r>
              <w:rPr>
                <w:rFonts w:hint="eastAsia" w:ascii="宋体" w:cs="Arial"/>
                <w:sz w:val="24"/>
                <w:szCs w:val="24"/>
              </w:rPr>
              <w:t xml:space="preserve">    其中：财政拨款</w:t>
            </w:r>
          </w:p>
        </w:tc>
        <w:tc>
          <w:tcPr>
            <w:tcW w:w="1349" w:type="dxa"/>
            <w:gridSpan w:val="3"/>
            <w:tcBorders>
              <w:top w:val="single" w:color="auto" w:sz="6" w:space="0"/>
              <w:left w:val="nil"/>
              <w:bottom w:val="single" w:color="auto" w:sz="6" w:space="0"/>
              <w:right w:val="single" w:color="auto" w:sz="6" w:space="0"/>
            </w:tcBorders>
            <w:vAlign w:val="center"/>
          </w:tcPr>
          <w:p>
            <w:pPr>
              <w:jc w:val="center"/>
              <w:rPr>
                <w:rFonts w:hint="eastAsia" w:ascii="宋体" w:cs="Arial" w:eastAsiaTheme="minorEastAsia"/>
                <w:sz w:val="24"/>
                <w:szCs w:val="24"/>
                <w:lang w:eastAsia="zh-CN"/>
              </w:rPr>
            </w:pPr>
            <w:r>
              <w:rPr>
                <w:rFonts w:hint="eastAsia" w:ascii="宋体" w:cs="Arial"/>
                <w:sz w:val="24"/>
                <w:szCs w:val="24"/>
                <w:lang w:val="en-US" w:eastAsia="zh-CN"/>
              </w:rPr>
              <w:t>455</w:t>
            </w:r>
          </w:p>
        </w:tc>
        <w:tc>
          <w:tcPr>
            <w:tcW w:w="1420" w:type="dxa"/>
            <w:gridSpan w:val="3"/>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r>
              <w:rPr>
                <w:rFonts w:hint="eastAsia" w:ascii="宋体" w:cs="Arial"/>
                <w:sz w:val="24"/>
                <w:szCs w:val="24"/>
              </w:rPr>
              <w:t>418.3</w:t>
            </w:r>
          </w:p>
        </w:tc>
        <w:tc>
          <w:tcPr>
            <w:tcW w:w="1041" w:type="dxa"/>
            <w:gridSpan w:val="2"/>
            <w:tcBorders>
              <w:top w:val="single" w:color="auto" w:sz="6" w:space="0"/>
              <w:left w:val="nil"/>
              <w:bottom w:val="single" w:color="auto" w:sz="6" w:space="0"/>
              <w:right w:val="single" w:color="auto" w:sz="6" w:space="0"/>
            </w:tcBorders>
            <w:vAlign w:val="center"/>
          </w:tcPr>
          <w:p>
            <w:pPr>
              <w:jc w:val="center"/>
              <w:rPr>
                <w:rFonts w:hint="eastAsia" w:ascii="宋体" w:cs="Arial" w:eastAsiaTheme="minorEastAsia"/>
                <w:sz w:val="24"/>
                <w:szCs w:val="24"/>
                <w:lang w:val="en-US" w:eastAsia="zh-CN"/>
              </w:rPr>
            </w:pPr>
            <w:r>
              <w:rPr>
                <w:rFonts w:hint="eastAsia" w:ascii="宋体" w:cs="Arial"/>
                <w:sz w:val="24"/>
                <w:szCs w:val="24"/>
                <w:lang w:val="en-US" w:eastAsia="zh-CN"/>
              </w:rPr>
              <w:t>455</w:t>
            </w:r>
          </w:p>
        </w:tc>
      </w:tr>
      <w:tr>
        <w:tblPrEx>
          <w:tblCellMar>
            <w:top w:w="0" w:type="dxa"/>
            <w:left w:w="108" w:type="dxa"/>
            <w:bottom w:w="0" w:type="dxa"/>
            <w:right w:w="108" w:type="dxa"/>
          </w:tblCellMar>
        </w:tblPrEx>
        <w:trPr>
          <w:trHeight w:val="340" w:hRule="atLeast"/>
        </w:trPr>
        <w:tc>
          <w:tcPr>
            <w:tcW w:w="2206" w:type="dxa"/>
            <w:gridSpan w:val="3"/>
            <w:vMerge w:val="continue"/>
            <w:tcBorders>
              <w:top w:val="nil"/>
              <w:left w:val="single" w:color="auto" w:sz="6" w:space="0"/>
              <w:bottom w:val="single" w:color="auto" w:sz="6" w:space="0"/>
              <w:right w:val="single" w:color="auto" w:sz="6" w:space="0"/>
            </w:tcBorders>
            <w:vAlign w:val="center"/>
          </w:tcPr>
          <w:p>
            <w:pPr>
              <w:widowControl/>
              <w:jc w:val="left"/>
              <w:rPr>
                <w:rFonts w:ascii="宋体" w:cs="Arial"/>
                <w:sz w:val="24"/>
                <w:szCs w:val="24"/>
              </w:rPr>
            </w:pPr>
          </w:p>
        </w:tc>
        <w:tc>
          <w:tcPr>
            <w:tcW w:w="3044" w:type="dxa"/>
            <w:gridSpan w:val="8"/>
            <w:tcBorders>
              <w:top w:val="single" w:color="auto" w:sz="6" w:space="0"/>
              <w:left w:val="nil"/>
              <w:bottom w:val="single" w:color="auto" w:sz="6" w:space="0"/>
              <w:right w:val="single" w:color="auto" w:sz="6" w:space="0"/>
            </w:tcBorders>
            <w:vAlign w:val="center"/>
          </w:tcPr>
          <w:p>
            <w:pPr>
              <w:rPr>
                <w:rFonts w:ascii="宋体" w:cs="Arial"/>
                <w:sz w:val="24"/>
                <w:szCs w:val="24"/>
              </w:rPr>
            </w:pPr>
            <w:r>
              <w:rPr>
                <w:rFonts w:hint="eastAsia" w:ascii="宋体" w:cs="Arial"/>
                <w:sz w:val="24"/>
                <w:szCs w:val="24"/>
              </w:rPr>
              <w:t xml:space="preserve">          其他资金</w:t>
            </w:r>
          </w:p>
        </w:tc>
        <w:tc>
          <w:tcPr>
            <w:tcW w:w="1349" w:type="dxa"/>
            <w:gridSpan w:val="3"/>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p>
        </w:tc>
        <w:tc>
          <w:tcPr>
            <w:tcW w:w="1420" w:type="dxa"/>
            <w:gridSpan w:val="3"/>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p>
        </w:tc>
        <w:tc>
          <w:tcPr>
            <w:tcW w:w="1041" w:type="dxa"/>
            <w:gridSpan w:val="2"/>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p>
        </w:tc>
      </w:tr>
      <w:tr>
        <w:tblPrEx>
          <w:tblCellMar>
            <w:top w:w="0" w:type="dxa"/>
            <w:left w:w="108" w:type="dxa"/>
            <w:bottom w:w="0" w:type="dxa"/>
            <w:right w:w="108" w:type="dxa"/>
          </w:tblCellMar>
        </w:tblPrEx>
        <w:trPr>
          <w:trHeight w:val="440" w:hRule="atLeast"/>
        </w:trPr>
        <w:tc>
          <w:tcPr>
            <w:tcW w:w="970" w:type="dxa"/>
            <w:tcBorders>
              <w:top w:val="single" w:color="auto" w:sz="6" w:space="0"/>
              <w:left w:val="single" w:color="auto" w:sz="6" w:space="0"/>
              <w:bottom w:val="single" w:color="auto" w:sz="6" w:space="0"/>
              <w:right w:val="single" w:color="auto" w:sz="6" w:space="0"/>
            </w:tcBorders>
            <w:vAlign w:val="center"/>
          </w:tcPr>
          <w:p>
            <w:pPr>
              <w:rPr>
                <w:rFonts w:ascii="宋体" w:cs="Arial"/>
                <w:sz w:val="24"/>
                <w:szCs w:val="24"/>
              </w:rPr>
            </w:pPr>
            <w:r>
              <w:rPr>
                <w:rFonts w:hint="eastAsia" w:ascii="宋体" w:cs="Arial"/>
                <w:sz w:val="24"/>
                <w:szCs w:val="24"/>
              </w:rPr>
              <w:t>预算调整建议</w:t>
            </w:r>
          </w:p>
        </w:tc>
        <w:tc>
          <w:tcPr>
            <w:tcW w:w="8090" w:type="dxa"/>
            <w:gridSpan w:val="18"/>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p>
        </w:tc>
      </w:tr>
      <w:tr>
        <w:tblPrEx>
          <w:tblCellMar>
            <w:top w:w="0" w:type="dxa"/>
            <w:left w:w="108" w:type="dxa"/>
            <w:bottom w:w="0" w:type="dxa"/>
            <w:right w:w="108" w:type="dxa"/>
          </w:tblCellMar>
        </w:tblPrEx>
        <w:trPr>
          <w:trHeight w:val="440" w:hRule="atLeast"/>
        </w:trPr>
        <w:tc>
          <w:tcPr>
            <w:tcW w:w="970" w:type="dxa"/>
            <w:tcBorders>
              <w:top w:val="single" w:color="auto" w:sz="6" w:space="0"/>
              <w:left w:val="single" w:color="auto" w:sz="6" w:space="0"/>
              <w:bottom w:val="single" w:color="auto" w:sz="6" w:space="0"/>
              <w:right w:val="single" w:color="auto" w:sz="6" w:space="0"/>
            </w:tcBorders>
            <w:vAlign w:val="center"/>
          </w:tcPr>
          <w:p>
            <w:pPr>
              <w:rPr>
                <w:rFonts w:ascii="宋体" w:cs="Arial"/>
                <w:sz w:val="24"/>
                <w:szCs w:val="24"/>
              </w:rPr>
            </w:pPr>
            <w:r>
              <w:rPr>
                <w:rFonts w:hint="eastAsia" w:ascii="宋体" w:cs="Arial"/>
                <w:sz w:val="24"/>
                <w:szCs w:val="24"/>
              </w:rPr>
              <w:t>年度总体目标</w:t>
            </w:r>
          </w:p>
        </w:tc>
        <w:tc>
          <w:tcPr>
            <w:tcW w:w="8090" w:type="dxa"/>
            <w:gridSpan w:val="18"/>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p>
        </w:tc>
      </w:tr>
      <w:tr>
        <w:tblPrEx>
          <w:tblCellMar>
            <w:top w:w="0" w:type="dxa"/>
            <w:left w:w="108" w:type="dxa"/>
            <w:bottom w:w="0" w:type="dxa"/>
            <w:right w:w="108" w:type="dxa"/>
          </w:tblCellMar>
        </w:tblPrEx>
        <w:trPr>
          <w:trHeight w:val="360" w:hRule="atLeast"/>
        </w:trPr>
        <w:tc>
          <w:tcPr>
            <w:tcW w:w="970" w:type="dxa"/>
            <w:vMerge w:val="restart"/>
            <w:tcBorders>
              <w:top w:val="nil"/>
              <w:left w:val="single" w:color="auto" w:sz="6" w:space="0"/>
              <w:bottom w:val="single" w:color="auto" w:sz="6" w:space="0"/>
              <w:right w:val="single" w:color="auto" w:sz="6" w:space="0"/>
            </w:tcBorders>
            <w:vAlign w:val="center"/>
          </w:tcPr>
          <w:p>
            <w:pPr>
              <w:jc w:val="center"/>
              <w:rPr>
                <w:rFonts w:ascii="宋体" w:cs="Arial"/>
                <w:sz w:val="24"/>
                <w:szCs w:val="24"/>
              </w:rPr>
            </w:pPr>
            <w:r>
              <w:rPr>
                <w:rFonts w:hint="eastAsia" w:ascii="宋体" w:cs="Arial"/>
                <w:sz w:val="24"/>
                <w:szCs w:val="24"/>
              </w:rPr>
              <w:t>绩效指标</w:t>
            </w:r>
          </w:p>
        </w:tc>
        <w:tc>
          <w:tcPr>
            <w:tcW w:w="678" w:type="dxa"/>
            <w:vMerge w:val="restart"/>
            <w:tcBorders>
              <w:top w:val="nil"/>
              <w:left w:val="nil"/>
              <w:bottom w:val="single" w:color="auto" w:sz="6" w:space="0"/>
              <w:right w:val="single" w:color="auto" w:sz="6" w:space="0"/>
            </w:tcBorders>
            <w:vAlign w:val="center"/>
          </w:tcPr>
          <w:p>
            <w:pPr>
              <w:jc w:val="center"/>
              <w:rPr>
                <w:rFonts w:ascii="宋体" w:cs="Arial"/>
                <w:sz w:val="24"/>
                <w:szCs w:val="24"/>
              </w:rPr>
            </w:pPr>
            <w:r>
              <w:rPr>
                <w:rFonts w:hint="eastAsia" w:ascii="宋体" w:cs="Arial"/>
                <w:sz w:val="24"/>
                <w:szCs w:val="24"/>
              </w:rPr>
              <w:t>一级指标</w:t>
            </w:r>
          </w:p>
        </w:tc>
        <w:tc>
          <w:tcPr>
            <w:tcW w:w="558" w:type="dxa"/>
            <w:vMerge w:val="restart"/>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r>
              <w:rPr>
                <w:rFonts w:hint="eastAsia" w:ascii="宋体" w:cs="Arial"/>
                <w:sz w:val="24"/>
                <w:szCs w:val="24"/>
              </w:rPr>
              <w:t>二级指标</w:t>
            </w:r>
          </w:p>
        </w:tc>
        <w:tc>
          <w:tcPr>
            <w:tcW w:w="558" w:type="dxa"/>
            <w:vMerge w:val="restart"/>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r>
              <w:rPr>
                <w:rFonts w:hint="eastAsia" w:ascii="宋体" w:cs="Arial"/>
                <w:sz w:val="24"/>
                <w:szCs w:val="24"/>
              </w:rPr>
              <w:t>三级指标</w:t>
            </w:r>
          </w:p>
        </w:tc>
        <w:tc>
          <w:tcPr>
            <w:tcW w:w="500" w:type="dxa"/>
            <w:vMerge w:val="restart"/>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r>
              <w:rPr>
                <w:rFonts w:hint="eastAsia" w:ascii="宋体" w:cs="Arial"/>
                <w:sz w:val="24"/>
                <w:szCs w:val="24"/>
              </w:rPr>
              <w:t>年度指标值</w:t>
            </w:r>
          </w:p>
        </w:tc>
        <w:tc>
          <w:tcPr>
            <w:tcW w:w="747" w:type="dxa"/>
            <w:gridSpan w:val="2"/>
            <w:vMerge w:val="restart"/>
            <w:tcBorders>
              <w:top w:val="single" w:color="auto" w:sz="6" w:space="0"/>
              <w:left w:val="nil"/>
              <w:bottom w:val="single" w:color="auto" w:sz="6" w:space="0"/>
              <w:right w:val="single" w:color="auto" w:sz="6" w:space="0"/>
            </w:tcBorders>
            <w:vAlign w:val="center"/>
          </w:tcPr>
          <w:p>
            <w:pPr>
              <w:jc w:val="center"/>
            </w:pPr>
            <w:r>
              <w:rPr>
                <w:rFonts w:hint="eastAsia" w:ascii="宋体"/>
                <w:sz w:val="24"/>
                <w:szCs w:val="24"/>
              </w:rPr>
              <w:t>1-8月实现情况</w:t>
            </w:r>
          </w:p>
        </w:tc>
        <w:tc>
          <w:tcPr>
            <w:tcW w:w="570" w:type="dxa"/>
            <w:gridSpan w:val="2"/>
            <w:vMerge w:val="restart"/>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r>
              <w:rPr>
                <w:rFonts w:hint="eastAsia" w:ascii="宋体" w:cs="Arial"/>
                <w:sz w:val="24"/>
                <w:szCs w:val="24"/>
              </w:rPr>
              <w:t>全年预计完成情况</w:t>
            </w:r>
          </w:p>
        </w:tc>
        <w:tc>
          <w:tcPr>
            <w:tcW w:w="2459" w:type="dxa"/>
            <w:gridSpan w:val="6"/>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r>
              <w:rPr>
                <w:rFonts w:hint="eastAsia" w:ascii="宋体" w:cs="Arial"/>
                <w:sz w:val="24"/>
                <w:szCs w:val="24"/>
              </w:rPr>
              <w:t>偏差原因</w:t>
            </w:r>
          </w:p>
        </w:tc>
        <w:tc>
          <w:tcPr>
            <w:tcW w:w="1503" w:type="dxa"/>
            <w:gridSpan w:val="3"/>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r>
              <w:rPr>
                <w:rFonts w:hint="eastAsia" w:ascii="宋体" w:cs="Arial"/>
                <w:sz w:val="24"/>
                <w:szCs w:val="24"/>
              </w:rPr>
              <w:t>完成目标可能性</w:t>
            </w:r>
          </w:p>
        </w:tc>
        <w:tc>
          <w:tcPr>
            <w:tcW w:w="517" w:type="dxa"/>
            <w:vMerge w:val="restart"/>
            <w:tcBorders>
              <w:top w:val="single" w:color="auto" w:sz="6" w:space="0"/>
              <w:left w:val="nil"/>
              <w:bottom w:val="nil"/>
              <w:right w:val="single" w:color="auto" w:sz="6" w:space="0"/>
            </w:tcBorders>
            <w:vAlign w:val="center"/>
          </w:tcPr>
          <w:p>
            <w:pPr>
              <w:jc w:val="center"/>
              <w:rPr>
                <w:rFonts w:ascii="宋体" w:cs="Arial"/>
                <w:sz w:val="24"/>
                <w:szCs w:val="24"/>
              </w:rPr>
            </w:pPr>
            <w:r>
              <w:rPr>
                <w:rFonts w:hint="eastAsia" w:ascii="宋体" w:cs="Arial"/>
                <w:sz w:val="24"/>
                <w:szCs w:val="24"/>
              </w:rPr>
              <w:t>备注</w:t>
            </w:r>
          </w:p>
        </w:tc>
      </w:tr>
      <w:tr>
        <w:tblPrEx>
          <w:tblCellMar>
            <w:top w:w="0" w:type="dxa"/>
            <w:left w:w="108" w:type="dxa"/>
            <w:bottom w:w="0" w:type="dxa"/>
            <w:right w:w="108" w:type="dxa"/>
          </w:tblCellMar>
        </w:tblPrEx>
        <w:trPr>
          <w:trHeight w:val="1094" w:hRule="atLeast"/>
        </w:trPr>
        <w:tc>
          <w:tcPr>
            <w:tcW w:w="970" w:type="dxa"/>
            <w:vMerge w:val="continue"/>
            <w:tcBorders>
              <w:top w:val="nil"/>
              <w:left w:val="single" w:color="auto" w:sz="6" w:space="0"/>
              <w:bottom w:val="single" w:color="auto" w:sz="6" w:space="0"/>
              <w:right w:val="single" w:color="auto" w:sz="6" w:space="0"/>
            </w:tcBorders>
            <w:vAlign w:val="center"/>
          </w:tcPr>
          <w:p>
            <w:pPr>
              <w:widowControl/>
              <w:jc w:val="left"/>
              <w:rPr>
                <w:rFonts w:ascii="宋体" w:cs="Arial"/>
                <w:sz w:val="24"/>
                <w:szCs w:val="24"/>
              </w:rPr>
            </w:pPr>
          </w:p>
        </w:tc>
        <w:tc>
          <w:tcPr>
            <w:tcW w:w="678" w:type="dxa"/>
            <w:vMerge w:val="continue"/>
            <w:tcBorders>
              <w:top w:val="nil"/>
              <w:left w:val="nil"/>
              <w:bottom w:val="single" w:color="auto" w:sz="6" w:space="0"/>
              <w:right w:val="single" w:color="auto" w:sz="6" w:space="0"/>
            </w:tcBorders>
            <w:vAlign w:val="center"/>
          </w:tcPr>
          <w:p>
            <w:pPr>
              <w:widowControl/>
              <w:jc w:val="left"/>
              <w:rPr>
                <w:rFonts w:ascii="宋体" w:cs="Arial"/>
                <w:sz w:val="24"/>
                <w:szCs w:val="24"/>
              </w:rPr>
            </w:pPr>
          </w:p>
        </w:tc>
        <w:tc>
          <w:tcPr>
            <w:tcW w:w="558" w:type="dxa"/>
            <w:vMerge w:val="continue"/>
            <w:tcBorders>
              <w:top w:val="single" w:color="auto" w:sz="6" w:space="0"/>
              <w:left w:val="nil"/>
              <w:bottom w:val="single" w:color="auto" w:sz="6" w:space="0"/>
              <w:right w:val="single" w:color="auto" w:sz="6" w:space="0"/>
            </w:tcBorders>
            <w:vAlign w:val="center"/>
          </w:tcPr>
          <w:p>
            <w:pPr>
              <w:widowControl/>
              <w:jc w:val="left"/>
              <w:rPr>
                <w:rFonts w:ascii="宋体" w:cs="Arial"/>
                <w:sz w:val="24"/>
                <w:szCs w:val="24"/>
              </w:rPr>
            </w:pPr>
          </w:p>
        </w:tc>
        <w:tc>
          <w:tcPr>
            <w:tcW w:w="558" w:type="dxa"/>
            <w:vMerge w:val="continue"/>
            <w:tcBorders>
              <w:top w:val="single" w:color="auto" w:sz="6" w:space="0"/>
              <w:left w:val="nil"/>
              <w:bottom w:val="single" w:color="auto" w:sz="6" w:space="0"/>
              <w:right w:val="single" w:color="auto" w:sz="6" w:space="0"/>
            </w:tcBorders>
            <w:vAlign w:val="center"/>
          </w:tcPr>
          <w:p>
            <w:pPr>
              <w:widowControl/>
              <w:jc w:val="left"/>
              <w:rPr>
                <w:rFonts w:ascii="宋体" w:cs="Arial"/>
                <w:sz w:val="24"/>
                <w:szCs w:val="24"/>
              </w:rPr>
            </w:pPr>
          </w:p>
        </w:tc>
        <w:tc>
          <w:tcPr>
            <w:tcW w:w="500" w:type="dxa"/>
            <w:vMerge w:val="continue"/>
            <w:tcBorders>
              <w:top w:val="single" w:color="auto" w:sz="6" w:space="0"/>
              <w:left w:val="nil"/>
              <w:bottom w:val="single" w:color="auto" w:sz="6" w:space="0"/>
              <w:right w:val="single" w:color="auto" w:sz="6" w:space="0"/>
            </w:tcBorders>
            <w:vAlign w:val="center"/>
          </w:tcPr>
          <w:p>
            <w:pPr>
              <w:widowControl/>
              <w:jc w:val="left"/>
              <w:rPr>
                <w:rFonts w:ascii="宋体" w:cs="Arial"/>
                <w:sz w:val="24"/>
                <w:szCs w:val="24"/>
              </w:rPr>
            </w:pPr>
          </w:p>
        </w:tc>
        <w:tc>
          <w:tcPr>
            <w:tcW w:w="747" w:type="dxa"/>
            <w:gridSpan w:val="2"/>
            <w:vMerge w:val="continue"/>
            <w:tcBorders>
              <w:top w:val="single" w:color="auto" w:sz="6" w:space="0"/>
              <w:left w:val="nil"/>
              <w:bottom w:val="single" w:color="auto" w:sz="6" w:space="0"/>
              <w:right w:val="single" w:color="auto" w:sz="6" w:space="0"/>
            </w:tcBorders>
            <w:vAlign w:val="center"/>
          </w:tcPr>
          <w:p>
            <w:pPr>
              <w:widowControl/>
              <w:jc w:val="left"/>
            </w:pPr>
          </w:p>
        </w:tc>
        <w:tc>
          <w:tcPr>
            <w:tcW w:w="570" w:type="dxa"/>
            <w:gridSpan w:val="2"/>
            <w:vMerge w:val="continue"/>
            <w:tcBorders>
              <w:top w:val="single" w:color="auto" w:sz="6" w:space="0"/>
              <w:left w:val="nil"/>
              <w:bottom w:val="single" w:color="auto" w:sz="6" w:space="0"/>
              <w:right w:val="single" w:color="auto" w:sz="6" w:space="0"/>
            </w:tcBorders>
            <w:vAlign w:val="center"/>
          </w:tcPr>
          <w:p>
            <w:pPr>
              <w:widowControl/>
              <w:jc w:val="left"/>
              <w:rPr>
                <w:rFonts w:ascii="宋体" w:cs="Arial"/>
                <w:sz w:val="24"/>
                <w:szCs w:val="24"/>
              </w:rPr>
            </w:pPr>
          </w:p>
        </w:tc>
        <w:tc>
          <w:tcPr>
            <w:tcW w:w="330" w:type="dxa"/>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r>
              <w:rPr>
                <w:rFonts w:hint="eastAsia" w:ascii="宋体" w:cs="Arial"/>
                <w:sz w:val="24"/>
                <w:szCs w:val="24"/>
              </w:rPr>
              <w:t>经费保障</w:t>
            </w:r>
          </w:p>
        </w:tc>
        <w:tc>
          <w:tcPr>
            <w:tcW w:w="339" w:type="dxa"/>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r>
              <w:rPr>
                <w:rFonts w:hint="eastAsia" w:ascii="宋体" w:cs="Arial"/>
                <w:sz w:val="24"/>
                <w:szCs w:val="24"/>
              </w:rPr>
              <w:t>制度保障</w:t>
            </w:r>
          </w:p>
        </w:tc>
        <w:tc>
          <w:tcPr>
            <w:tcW w:w="400" w:type="dxa"/>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r>
              <w:rPr>
                <w:rFonts w:hint="eastAsia" w:ascii="宋体" w:cs="Arial"/>
                <w:sz w:val="24"/>
                <w:szCs w:val="24"/>
              </w:rPr>
              <w:t>人员保障</w:t>
            </w:r>
          </w:p>
        </w:tc>
        <w:tc>
          <w:tcPr>
            <w:tcW w:w="524" w:type="dxa"/>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r>
              <w:rPr>
                <w:rFonts w:hint="eastAsia" w:ascii="宋体" w:cs="Arial"/>
                <w:sz w:val="24"/>
                <w:szCs w:val="24"/>
              </w:rPr>
              <w:t>硬件条件保障</w:t>
            </w:r>
          </w:p>
        </w:tc>
        <w:tc>
          <w:tcPr>
            <w:tcW w:w="425" w:type="dxa"/>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r>
              <w:rPr>
                <w:rFonts w:hint="eastAsia" w:ascii="宋体" w:cs="Arial"/>
                <w:sz w:val="24"/>
                <w:szCs w:val="24"/>
              </w:rPr>
              <w:t>其他</w:t>
            </w:r>
          </w:p>
        </w:tc>
        <w:tc>
          <w:tcPr>
            <w:tcW w:w="441" w:type="dxa"/>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r>
              <w:rPr>
                <w:rFonts w:hint="eastAsia" w:ascii="宋体" w:cs="Arial"/>
                <w:sz w:val="24"/>
                <w:szCs w:val="24"/>
              </w:rPr>
              <w:t>原因说明</w:t>
            </w:r>
          </w:p>
        </w:tc>
        <w:tc>
          <w:tcPr>
            <w:tcW w:w="500" w:type="dxa"/>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r>
              <w:rPr>
                <w:rFonts w:hint="eastAsia" w:ascii="宋体" w:cs="Arial"/>
                <w:sz w:val="24"/>
                <w:szCs w:val="24"/>
              </w:rPr>
              <w:t>确定能</w:t>
            </w:r>
          </w:p>
        </w:tc>
        <w:tc>
          <w:tcPr>
            <w:tcW w:w="479" w:type="dxa"/>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r>
              <w:rPr>
                <w:rFonts w:hint="eastAsia" w:ascii="宋体" w:cs="Arial"/>
                <w:sz w:val="24"/>
                <w:szCs w:val="24"/>
              </w:rPr>
              <w:t>有可能</w:t>
            </w:r>
          </w:p>
        </w:tc>
        <w:tc>
          <w:tcPr>
            <w:tcW w:w="524" w:type="dxa"/>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r>
              <w:rPr>
                <w:rFonts w:hint="eastAsia" w:ascii="宋体" w:cs="Arial"/>
                <w:sz w:val="24"/>
                <w:szCs w:val="24"/>
              </w:rPr>
              <w:t>完全不可能</w:t>
            </w:r>
          </w:p>
        </w:tc>
        <w:tc>
          <w:tcPr>
            <w:tcW w:w="517" w:type="dxa"/>
            <w:vMerge w:val="continue"/>
            <w:tcBorders>
              <w:top w:val="single" w:color="auto" w:sz="6" w:space="0"/>
              <w:left w:val="nil"/>
              <w:bottom w:val="nil"/>
              <w:right w:val="single" w:color="auto" w:sz="6" w:space="0"/>
            </w:tcBorders>
            <w:vAlign w:val="center"/>
          </w:tcPr>
          <w:p>
            <w:pPr>
              <w:widowControl/>
              <w:jc w:val="left"/>
              <w:rPr>
                <w:rFonts w:ascii="宋体" w:cs="Arial"/>
                <w:sz w:val="24"/>
                <w:szCs w:val="24"/>
              </w:rPr>
            </w:pPr>
          </w:p>
        </w:tc>
      </w:tr>
      <w:tr>
        <w:tblPrEx>
          <w:tblCellMar>
            <w:top w:w="0" w:type="dxa"/>
            <w:left w:w="108" w:type="dxa"/>
            <w:bottom w:w="0" w:type="dxa"/>
            <w:right w:w="108" w:type="dxa"/>
          </w:tblCellMar>
        </w:tblPrEx>
        <w:trPr>
          <w:trHeight w:val="320" w:hRule="atLeast"/>
        </w:trPr>
        <w:tc>
          <w:tcPr>
            <w:tcW w:w="970" w:type="dxa"/>
            <w:vMerge w:val="continue"/>
            <w:tcBorders>
              <w:top w:val="nil"/>
              <w:left w:val="single" w:color="auto" w:sz="6" w:space="0"/>
              <w:bottom w:val="single" w:color="auto" w:sz="6" w:space="0"/>
              <w:right w:val="single" w:color="auto" w:sz="6" w:space="0"/>
            </w:tcBorders>
            <w:vAlign w:val="center"/>
          </w:tcPr>
          <w:p>
            <w:pPr>
              <w:widowControl/>
              <w:jc w:val="left"/>
              <w:rPr>
                <w:rFonts w:ascii="宋体" w:cs="Arial"/>
                <w:sz w:val="24"/>
                <w:szCs w:val="24"/>
              </w:rPr>
            </w:pPr>
          </w:p>
        </w:tc>
        <w:tc>
          <w:tcPr>
            <w:tcW w:w="678" w:type="dxa"/>
            <w:vMerge w:val="restart"/>
            <w:tcBorders>
              <w:top w:val="nil"/>
              <w:left w:val="nil"/>
              <w:bottom w:val="nil"/>
              <w:right w:val="single" w:color="auto" w:sz="6" w:space="0"/>
            </w:tcBorders>
            <w:vAlign w:val="center"/>
          </w:tcPr>
          <w:p>
            <w:pPr>
              <w:jc w:val="center"/>
              <w:rPr>
                <w:rFonts w:ascii="宋体" w:cs="Arial"/>
                <w:sz w:val="24"/>
                <w:szCs w:val="24"/>
              </w:rPr>
            </w:pPr>
            <w:r>
              <w:rPr>
                <w:rFonts w:hint="eastAsia" w:ascii="宋体" w:cs="Arial"/>
                <w:sz w:val="24"/>
                <w:szCs w:val="24"/>
              </w:rPr>
              <w:t>完成指标</w:t>
            </w:r>
          </w:p>
        </w:tc>
        <w:tc>
          <w:tcPr>
            <w:tcW w:w="558" w:type="dxa"/>
            <w:vMerge w:val="restart"/>
            <w:tcBorders>
              <w:top w:val="single" w:color="auto" w:sz="6" w:space="0"/>
              <w:left w:val="nil"/>
              <w:right w:val="single" w:color="auto" w:sz="6" w:space="0"/>
            </w:tcBorders>
            <w:vAlign w:val="center"/>
          </w:tcPr>
          <w:p>
            <w:pPr>
              <w:rPr>
                <w:rFonts w:ascii="宋体" w:cs="Arial"/>
                <w:sz w:val="24"/>
                <w:szCs w:val="24"/>
              </w:rPr>
            </w:pPr>
            <w:r>
              <w:rPr>
                <w:rFonts w:hint="eastAsia" w:ascii="宋体" w:cs="Arial"/>
                <w:sz w:val="24"/>
                <w:szCs w:val="24"/>
              </w:rPr>
              <w:t>数量指 标</w:t>
            </w:r>
          </w:p>
        </w:tc>
        <w:tc>
          <w:tcPr>
            <w:tcW w:w="558" w:type="dxa"/>
            <w:tcBorders>
              <w:top w:val="single" w:color="auto" w:sz="6" w:space="0"/>
              <w:left w:val="nil"/>
              <w:bottom w:val="single" w:color="auto" w:sz="6" w:space="0"/>
              <w:right w:val="single" w:color="auto" w:sz="6" w:space="0"/>
            </w:tcBorders>
            <w:vAlign w:val="center"/>
          </w:tcPr>
          <w:p>
            <w:pPr>
              <w:jc w:val="center"/>
              <w:rPr>
                <w:rFonts w:ascii="宋体" w:cs="Arial"/>
                <w:sz w:val="24"/>
                <w:szCs w:val="24"/>
              </w:rPr>
            </w:pPr>
            <w:r>
              <w:rPr>
                <w:rFonts w:hint="eastAsia" w:asciiTheme="majorEastAsia" w:hAnsiTheme="majorEastAsia" w:eastAsiaTheme="majorEastAsia" w:cstheme="minorEastAsia"/>
                <w:color w:val="000000"/>
                <w:szCs w:val="21"/>
              </w:rPr>
              <w:t>8吨餐厨垃圾车</w:t>
            </w:r>
          </w:p>
        </w:tc>
        <w:tc>
          <w:tcPr>
            <w:tcW w:w="500" w:type="dxa"/>
            <w:tcBorders>
              <w:top w:val="single" w:color="auto" w:sz="6" w:space="0"/>
              <w:left w:val="nil"/>
              <w:bottom w:val="single" w:color="auto" w:sz="6" w:space="0"/>
              <w:right w:val="single" w:color="auto" w:sz="6" w:space="0"/>
            </w:tcBorders>
            <w:vAlign w:val="center"/>
          </w:tcPr>
          <w:p>
            <w:pPr>
              <w:rPr>
                <w:rFonts w:hint="eastAsia" w:ascii="宋体" w:eastAsia="宋体"/>
                <w:sz w:val="24"/>
                <w:szCs w:val="24"/>
                <w:lang w:val="en-US" w:eastAsia="zh-CN"/>
              </w:rPr>
            </w:pPr>
            <w:r>
              <w:rPr>
                <w:rFonts w:hint="eastAsia" w:ascii="宋体"/>
                <w:sz w:val="24"/>
                <w:szCs w:val="24"/>
                <w:lang w:val="en-US" w:eastAsia="zh-CN"/>
              </w:rPr>
              <w:t>4辆</w:t>
            </w:r>
          </w:p>
        </w:tc>
        <w:tc>
          <w:tcPr>
            <w:tcW w:w="747" w:type="dxa"/>
            <w:gridSpan w:val="2"/>
            <w:tcBorders>
              <w:top w:val="single" w:color="auto" w:sz="6" w:space="0"/>
              <w:left w:val="nil"/>
              <w:bottom w:val="single" w:color="auto" w:sz="6" w:space="0"/>
              <w:right w:val="single" w:color="auto" w:sz="6" w:space="0"/>
            </w:tcBorders>
            <w:vAlign w:val="center"/>
          </w:tcPr>
          <w:p>
            <w:pPr>
              <w:rPr>
                <w:rFonts w:hint="eastAsia" w:ascii="宋体" w:eastAsia="宋体"/>
                <w:sz w:val="24"/>
                <w:szCs w:val="24"/>
                <w:lang w:val="en-US" w:eastAsia="zh-CN"/>
              </w:rPr>
            </w:pPr>
            <w:r>
              <w:rPr>
                <w:rFonts w:hint="eastAsia" w:ascii="宋体"/>
                <w:sz w:val="24"/>
                <w:szCs w:val="24"/>
                <w:lang w:val="en-US" w:eastAsia="zh-CN"/>
              </w:rPr>
              <w:t>100％</w:t>
            </w:r>
          </w:p>
        </w:tc>
        <w:tc>
          <w:tcPr>
            <w:tcW w:w="570"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33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33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0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25"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41"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00" w:type="dxa"/>
            <w:tcBorders>
              <w:top w:val="single" w:color="auto" w:sz="6" w:space="0"/>
              <w:left w:val="nil"/>
              <w:bottom w:val="single" w:color="auto" w:sz="6" w:space="0"/>
              <w:right w:val="single" w:color="auto" w:sz="6" w:space="0"/>
            </w:tcBorders>
            <w:vAlign w:val="center"/>
          </w:tcPr>
          <w:p>
            <w:pPr>
              <w:rPr>
                <w:rFonts w:hint="eastAsia" w:ascii="宋体" w:eastAsia="宋体"/>
                <w:sz w:val="24"/>
                <w:szCs w:val="24"/>
                <w:lang w:val="en-US" w:eastAsia="zh-CN"/>
              </w:rPr>
            </w:pPr>
            <w:r>
              <w:rPr>
                <w:rFonts w:hint="eastAsia" w:ascii="宋体"/>
                <w:sz w:val="24"/>
                <w:szCs w:val="24"/>
                <w:lang w:val="en-US" w:eastAsia="zh-CN"/>
              </w:rPr>
              <w:t>√</w:t>
            </w:r>
          </w:p>
        </w:tc>
        <w:tc>
          <w:tcPr>
            <w:tcW w:w="47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17" w:type="dxa"/>
            <w:tcBorders>
              <w:top w:val="single" w:color="auto" w:sz="6" w:space="0"/>
              <w:left w:val="nil"/>
              <w:bottom w:val="single" w:color="auto" w:sz="6" w:space="0"/>
              <w:right w:val="single" w:color="auto" w:sz="6" w:space="0"/>
            </w:tcBorders>
            <w:vAlign w:val="center"/>
          </w:tcPr>
          <w:p>
            <w:pPr>
              <w:rPr>
                <w:rFonts w:ascii="宋体"/>
                <w:sz w:val="24"/>
                <w:szCs w:val="24"/>
              </w:rPr>
            </w:pPr>
          </w:p>
        </w:tc>
      </w:tr>
      <w:tr>
        <w:tblPrEx>
          <w:tblCellMar>
            <w:top w:w="0" w:type="dxa"/>
            <w:left w:w="108" w:type="dxa"/>
            <w:bottom w:w="0" w:type="dxa"/>
            <w:right w:w="108" w:type="dxa"/>
          </w:tblCellMar>
        </w:tblPrEx>
        <w:trPr>
          <w:trHeight w:val="320" w:hRule="atLeast"/>
        </w:trPr>
        <w:tc>
          <w:tcPr>
            <w:tcW w:w="970" w:type="dxa"/>
            <w:vMerge w:val="continue"/>
            <w:tcBorders>
              <w:top w:val="nil"/>
              <w:left w:val="single" w:color="auto" w:sz="6" w:space="0"/>
              <w:bottom w:val="single" w:color="auto" w:sz="6" w:space="0"/>
              <w:right w:val="single" w:color="auto" w:sz="6" w:space="0"/>
            </w:tcBorders>
            <w:vAlign w:val="center"/>
          </w:tcPr>
          <w:p>
            <w:pPr>
              <w:widowControl/>
              <w:jc w:val="left"/>
              <w:rPr>
                <w:rFonts w:ascii="宋体" w:cs="Arial"/>
                <w:sz w:val="24"/>
                <w:szCs w:val="24"/>
              </w:rPr>
            </w:pPr>
          </w:p>
        </w:tc>
        <w:tc>
          <w:tcPr>
            <w:tcW w:w="678" w:type="dxa"/>
            <w:vMerge w:val="continue"/>
            <w:tcBorders>
              <w:top w:val="nil"/>
              <w:left w:val="nil"/>
              <w:bottom w:val="nil"/>
              <w:right w:val="single" w:color="auto" w:sz="6" w:space="0"/>
            </w:tcBorders>
            <w:vAlign w:val="center"/>
          </w:tcPr>
          <w:p>
            <w:pPr>
              <w:widowControl/>
              <w:jc w:val="left"/>
              <w:rPr>
                <w:rFonts w:ascii="宋体" w:cs="Arial"/>
                <w:sz w:val="24"/>
                <w:szCs w:val="24"/>
              </w:rPr>
            </w:pPr>
          </w:p>
        </w:tc>
        <w:tc>
          <w:tcPr>
            <w:tcW w:w="558" w:type="dxa"/>
            <w:vMerge w:val="continue"/>
            <w:tcBorders>
              <w:left w:val="nil"/>
              <w:right w:val="single" w:color="auto" w:sz="6" w:space="0"/>
            </w:tcBorders>
            <w:vAlign w:val="center"/>
          </w:tcPr>
          <w:p>
            <w:pPr>
              <w:rPr>
                <w:rFonts w:ascii="宋体" w:cs="Arial"/>
                <w:sz w:val="24"/>
                <w:szCs w:val="24"/>
              </w:rPr>
            </w:pPr>
          </w:p>
        </w:tc>
        <w:tc>
          <w:tcPr>
            <w:tcW w:w="558" w:type="dxa"/>
            <w:tcBorders>
              <w:top w:val="single" w:color="auto" w:sz="6" w:space="0"/>
              <w:left w:val="nil"/>
              <w:bottom w:val="single" w:color="auto" w:sz="6" w:space="0"/>
              <w:right w:val="single" w:color="auto" w:sz="6" w:space="0"/>
            </w:tcBorders>
            <w:vAlign w:val="top"/>
          </w:tcPr>
          <w:p>
            <w:pPr>
              <w:pStyle w:val="6"/>
              <w:jc w:val="center"/>
              <w:rPr>
                <w:rFonts w:ascii="宋体" w:cs="Arial"/>
                <w:sz w:val="24"/>
                <w:szCs w:val="24"/>
              </w:rPr>
            </w:pPr>
            <w:r>
              <w:rPr>
                <w:rFonts w:hint="eastAsia" w:asciiTheme="majorEastAsia" w:hAnsiTheme="majorEastAsia" w:eastAsiaTheme="majorEastAsia" w:cstheme="minorEastAsia"/>
                <w:color w:val="000000"/>
                <w:szCs w:val="21"/>
              </w:rPr>
              <w:t>8吨压缩式垃圾车</w:t>
            </w:r>
          </w:p>
        </w:tc>
        <w:tc>
          <w:tcPr>
            <w:tcW w:w="500" w:type="dxa"/>
            <w:tcBorders>
              <w:top w:val="single" w:color="auto" w:sz="6" w:space="0"/>
              <w:left w:val="nil"/>
              <w:bottom w:val="single" w:color="auto" w:sz="6" w:space="0"/>
              <w:right w:val="single" w:color="auto" w:sz="6" w:space="0"/>
            </w:tcBorders>
            <w:vAlign w:val="top"/>
          </w:tcPr>
          <w:p>
            <w:pPr>
              <w:pStyle w:val="6"/>
              <w:jc w:val="center"/>
              <w:rPr>
                <w:rFonts w:ascii="宋体"/>
                <w:sz w:val="24"/>
                <w:szCs w:val="24"/>
              </w:rPr>
            </w:pPr>
            <w:r>
              <w:rPr>
                <w:rFonts w:hint="eastAsia" w:asciiTheme="majorEastAsia" w:hAnsiTheme="majorEastAsia" w:eastAsiaTheme="majorEastAsia"/>
              </w:rPr>
              <w:t>4</w:t>
            </w:r>
            <w:r>
              <w:rPr>
                <w:rFonts w:hint="eastAsia" w:asciiTheme="majorEastAsia" w:hAnsiTheme="majorEastAsia" w:eastAsiaTheme="majorEastAsia"/>
                <w:lang w:val="en-US" w:eastAsia="zh-CN"/>
              </w:rPr>
              <w:t>辆</w:t>
            </w:r>
          </w:p>
        </w:tc>
        <w:tc>
          <w:tcPr>
            <w:tcW w:w="747"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570"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33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33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0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25"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41"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00"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w:t>
            </w:r>
          </w:p>
        </w:tc>
        <w:tc>
          <w:tcPr>
            <w:tcW w:w="47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17" w:type="dxa"/>
            <w:tcBorders>
              <w:top w:val="single" w:color="auto" w:sz="6" w:space="0"/>
              <w:left w:val="nil"/>
              <w:bottom w:val="single" w:color="auto" w:sz="6" w:space="0"/>
              <w:right w:val="single" w:color="auto" w:sz="6" w:space="0"/>
            </w:tcBorders>
            <w:vAlign w:val="center"/>
          </w:tcPr>
          <w:p>
            <w:pPr>
              <w:rPr>
                <w:rFonts w:ascii="宋体"/>
                <w:sz w:val="24"/>
                <w:szCs w:val="24"/>
              </w:rPr>
            </w:pPr>
          </w:p>
        </w:tc>
      </w:tr>
      <w:tr>
        <w:tblPrEx>
          <w:tblCellMar>
            <w:top w:w="0" w:type="dxa"/>
            <w:left w:w="108" w:type="dxa"/>
            <w:bottom w:w="0" w:type="dxa"/>
            <w:right w:w="108" w:type="dxa"/>
          </w:tblCellMar>
        </w:tblPrEx>
        <w:trPr>
          <w:trHeight w:val="320" w:hRule="atLeast"/>
        </w:trPr>
        <w:tc>
          <w:tcPr>
            <w:tcW w:w="970" w:type="dxa"/>
            <w:vMerge w:val="continue"/>
            <w:tcBorders>
              <w:top w:val="nil"/>
              <w:left w:val="single" w:color="auto" w:sz="6" w:space="0"/>
              <w:bottom w:val="single" w:color="auto" w:sz="6" w:space="0"/>
              <w:right w:val="single" w:color="auto" w:sz="6" w:space="0"/>
            </w:tcBorders>
            <w:vAlign w:val="center"/>
          </w:tcPr>
          <w:p>
            <w:pPr>
              <w:widowControl/>
              <w:jc w:val="left"/>
              <w:rPr>
                <w:rFonts w:ascii="宋体" w:cs="Arial"/>
                <w:sz w:val="24"/>
                <w:szCs w:val="24"/>
              </w:rPr>
            </w:pPr>
          </w:p>
        </w:tc>
        <w:tc>
          <w:tcPr>
            <w:tcW w:w="678" w:type="dxa"/>
            <w:vMerge w:val="continue"/>
            <w:tcBorders>
              <w:top w:val="nil"/>
              <w:left w:val="nil"/>
              <w:bottom w:val="nil"/>
              <w:right w:val="single" w:color="auto" w:sz="6" w:space="0"/>
            </w:tcBorders>
            <w:vAlign w:val="center"/>
          </w:tcPr>
          <w:p>
            <w:pPr>
              <w:widowControl/>
              <w:jc w:val="left"/>
              <w:rPr>
                <w:rFonts w:ascii="宋体" w:cs="Arial"/>
                <w:sz w:val="24"/>
                <w:szCs w:val="24"/>
              </w:rPr>
            </w:pPr>
          </w:p>
        </w:tc>
        <w:tc>
          <w:tcPr>
            <w:tcW w:w="558" w:type="dxa"/>
            <w:vMerge w:val="continue"/>
            <w:tcBorders>
              <w:left w:val="nil"/>
              <w:bottom w:val="single" w:color="auto" w:sz="6" w:space="0"/>
              <w:right w:val="single" w:color="auto" w:sz="6" w:space="0"/>
            </w:tcBorders>
            <w:vAlign w:val="center"/>
          </w:tcPr>
          <w:p>
            <w:pPr>
              <w:rPr>
                <w:rFonts w:ascii="宋体" w:cs="Arial"/>
                <w:sz w:val="24"/>
                <w:szCs w:val="24"/>
              </w:rPr>
            </w:pPr>
          </w:p>
        </w:tc>
        <w:tc>
          <w:tcPr>
            <w:tcW w:w="558" w:type="dxa"/>
            <w:tcBorders>
              <w:top w:val="single" w:color="auto" w:sz="6" w:space="0"/>
              <w:left w:val="nil"/>
              <w:bottom w:val="single" w:color="auto" w:sz="6" w:space="0"/>
              <w:right w:val="single" w:color="auto" w:sz="6" w:space="0"/>
            </w:tcBorders>
            <w:vAlign w:val="top"/>
          </w:tcPr>
          <w:p>
            <w:pPr>
              <w:pStyle w:val="6"/>
              <w:jc w:val="center"/>
              <w:rPr>
                <w:rFonts w:ascii="宋体" w:cs="Arial"/>
                <w:sz w:val="24"/>
                <w:szCs w:val="24"/>
              </w:rPr>
            </w:pPr>
            <w:r>
              <w:rPr>
                <w:rFonts w:hint="eastAsia" w:asciiTheme="majorEastAsia" w:hAnsiTheme="majorEastAsia" w:eastAsiaTheme="majorEastAsia" w:cstheme="minorEastAsia"/>
                <w:color w:val="000000"/>
                <w:szCs w:val="21"/>
              </w:rPr>
              <w:t>自卸式垃圾车</w:t>
            </w:r>
          </w:p>
        </w:tc>
        <w:tc>
          <w:tcPr>
            <w:tcW w:w="500" w:type="dxa"/>
            <w:tcBorders>
              <w:top w:val="single" w:color="auto" w:sz="6" w:space="0"/>
              <w:left w:val="nil"/>
              <w:bottom w:val="single" w:color="auto" w:sz="6" w:space="0"/>
              <w:right w:val="single" w:color="auto" w:sz="6" w:space="0"/>
            </w:tcBorders>
            <w:vAlign w:val="top"/>
          </w:tcPr>
          <w:p>
            <w:pPr>
              <w:pStyle w:val="6"/>
              <w:jc w:val="center"/>
              <w:rPr>
                <w:rFonts w:ascii="宋体"/>
                <w:sz w:val="24"/>
                <w:szCs w:val="24"/>
              </w:rPr>
            </w:pPr>
            <w:r>
              <w:rPr>
                <w:rFonts w:hint="eastAsia" w:asciiTheme="majorEastAsia" w:hAnsiTheme="majorEastAsia" w:eastAsiaTheme="majorEastAsia" w:cstheme="minorEastAsia"/>
                <w:color w:val="000000"/>
                <w:szCs w:val="21"/>
              </w:rPr>
              <w:t>2</w:t>
            </w:r>
            <w:r>
              <w:rPr>
                <w:rFonts w:hint="eastAsia" w:asciiTheme="majorEastAsia" w:hAnsiTheme="majorEastAsia" w:eastAsiaTheme="majorEastAsia"/>
                <w:lang w:val="en-US" w:eastAsia="zh-CN"/>
              </w:rPr>
              <w:t>辆</w:t>
            </w:r>
          </w:p>
        </w:tc>
        <w:tc>
          <w:tcPr>
            <w:tcW w:w="747"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570"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33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33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0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25"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41"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00"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w:t>
            </w:r>
          </w:p>
        </w:tc>
        <w:tc>
          <w:tcPr>
            <w:tcW w:w="47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17" w:type="dxa"/>
            <w:tcBorders>
              <w:top w:val="single" w:color="auto" w:sz="6" w:space="0"/>
              <w:left w:val="nil"/>
              <w:bottom w:val="single" w:color="auto" w:sz="6" w:space="0"/>
              <w:right w:val="single" w:color="auto" w:sz="6" w:space="0"/>
            </w:tcBorders>
            <w:vAlign w:val="center"/>
          </w:tcPr>
          <w:p>
            <w:pPr>
              <w:rPr>
                <w:rFonts w:ascii="宋体"/>
                <w:sz w:val="24"/>
                <w:szCs w:val="24"/>
              </w:rPr>
            </w:pPr>
          </w:p>
        </w:tc>
      </w:tr>
      <w:tr>
        <w:tblPrEx>
          <w:tblCellMar>
            <w:top w:w="0" w:type="dxa"/>
            <w:left w:w="108" w:type="dxa"/>
            <w:bottom w:w="0" w:type="dxa"/>
            <w:right w:w="108" w:type="dxa"/>
          </w:tblCellMar>
        </w:tblPrEx>
        <w:trPr>
          <w:trHeight w:val="320" w:hRule="atLeast"/>
        </w:trPr>
        <w:tc>
          <w:tcPr>
            <w:tcW w:w="970" w:type="dxa"/>
            <w:vMerge w:val="continue"/>
            <w:tcBorders>
              <w:top w:val="nil"/>
              <w:left w:val="single" w:color="auto" w:sz="6" w:space="0"/>
              <w:bottom w:val="single" w:color="auto" w:sz="6" w:space="0"/>
              <w:right w:val="single" w:color="auto" w:sz="6" w:space="0"/>
            </w:tcBorders>
            <w:vAlign w:val="center"/>
          </w:tcPr>
          <w:p>
            <w:pPr>
              <w:widowControl/>
              <w:jc w:val="left"/>
              <w:rPr>
                <w:rFonts w:ascii="宋体" w:cs="Arial"/>
                <w:sz w:val="24"/>
                <w:szCs w:val="24"/>
              </w:rPr>
            </w:pPr>
          </w:p>
        </w:tc>
        <w:tc>
          <w:tcPr>
            <w:tcW w:w="678" w:type="dxa"/>
            <w:vMerge w:val="continue"/>
            <w:tcBorders>
              <w:top w:val="nil"/>
              <w:left w:val="nil"/>
              <w:bottom w:val="nil"/>
              <w:right w:val="single" w:color="auto" w:sz="6" w:space="0"/>
            </w:tcBorders>
            <w:vAlign w:val="center"/>
          </w:tcPr>
          <w:p>
            <w:pPr>
              <w:widowControl/>
              <w:jc w:val="left"/>
              <w:rPr>
                <w:rFonts w:ascii="宋体" w:cs="Arial"/>
                <w:sz w:val="24"/>
                <w:szCs w:val="24"/>
              </w:rPr>
            </w:pPr>
          </w:p>
        </w:tc>
        <w:tc>
          <w:tcPr>
            <w:tcW w:w="558" w:type="dxa"/>
            <w:vMerge w:val="restart"/>
            <w:tcBorders>
              <w:top w:val="single" w:color="auto" w:sz="6" w:space="0"/>
              <w:left w:val="nil"/>
              <w:right w:val="single" w:color="auto" w:sz="6" w:space="0"/>
            </w:tcBorders>
            <w:vAlign w:val="center"/>
          </w:tcPr>
          <w:p>
            <w:pPr>
              <w:rPr>
                <w:rFonts w:hint="eastAsia" w:ascii="宋体" w:cs="Arial"/>
                <w:sz w:val="24"/>
                <w:szCs w:val="24"/>
              </w:rPr>
            </w:pPr>
            <w:r>
              <w:rPr>
                <w:rFonts w:hint="eastAsia" w:ascii="宋体" w:cs="Arial"/>
                <w:sz w:val="24"/>
                <w:szCs w:val="24"/>
              </w:rPr>
              <w:t>数量指 标</w:t>
            </w:r>
          </w:p>
        </w:tc>
        <w:tc>
          <w:tcPr>
            <w:tcW w:w="558" w:type="dxa"/>
            <w:tcBorders>
              <w:top w:val="single" w:color="auto" w:sz="6" w:space="0"/>
              <w:left w:val="nil"/>
              <w:bottom w:val="single" w:color="auto" w:sz="6" w:space="0"/>
              <w:right w:val="single" w:color="auto" w:sz="6" w:space="0"/>
            </w:tcBorders>
            <w:vAlign w:val="top"/>
          </w:tcPr>
          <w:p>
            <w:pPr>
              <w:pStyle w:val="6"/>
              <w:jc w:val="center"/>
              <w:rPr>
                <w:rFonts w:hint="eastAsia" w:ascii="宋体" w:cs="Arial"/>
                <w:sz w:val="24"/>
                <w:szCs w:val="24"/>
              </w:rPr>
            </w:pPr>
            <w:r>
              <w:rPr>
                <w:rFonts w:hint="eastAsia" w:asciiTheme="majorEastAsia" w:hAnsiTheme="majorEastAsia" w:eastAsiaTheme="majorEastAsia" w:cstheme="minorEastAsia"/>
                <w:color w:val="000000"/>
                <w:szCs w:val="21"/>
              </w:rPr>
              <w:t>双排座垃圾转运车</w:t>
            </w:r>
          </w:p>
        </w:tc>
        <w:tc>
          <w:tcPr>
            <w:tcW w:w="500" w:type="dxa"/>
            <w:tcBorders>
              <w:top w:val="single" w:color="auto" w:sz="6" w:space="0"/>
              <w:left w:val="nil"/>
              <w:bottom w:val="single" w:color="auto" w:sz="6" w:space="0"/>
              <w:right w:val="single" w:color="auto" w:sz="6" w:space="0"/>
            </w:tcBorders>
            <w:vAlign w:val="top"/>
          </w:tcPr>
          <w:p>
            <w:pPr>
              <w:pStyle w:val="6"/>
              <w:jc w:val="center"/>
              <w:rPr>
                <w:rFonts w:ascii="宋体"/>
                <w:sz w:val="24"/>
                <w:szCs w:val="24"/>
              </w:rPr>
            </w:pPr>
            <w:r>
              <w:rPr>
                <w:rFonts w:hint="eastAsia" w:asciiTheme="majorEastAsia" w:hAnsiTheme="majorEastAsia" w:eastAsiaTheme="majorEastAsia"/>
              </w:rPr>
              <w:t>4辆</w:t>
            </w:r>
          </w:p>
        </w:tc>
        <w:tc>
          <w:tcPr>
            <w:tcW w:w="599"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558"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490"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p>
        </w:tc>
        <w:tc>
          <w:tcPr>
            <w:tcW w:w="33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0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25"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41"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00"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w:t>
            </w:r>
          </w:p>
        </w:tc>
        <w:tc>
          <w:tcPr>
            <w:tcW w:w="47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17" w:type="dxa"/>
            <w:tcBorders>
              <w:top w:val="single" w:color="auto" w:sz="6" w:space="0"/>
              <w:left w:val="nil"/>
              <w:bottom w:val="single" w:color="auto" w:sz="6" w:space="0"/>
              <w:right w:val="single" w:color="auto" w:sz="6" w:space="0"/>
            </w:tcBorders>
            <w:vAlign w:val="center"/>
          </w:tcPr>
          <w:p>
            <w:pPr>
              <w:rPr>
                <w:rFonts w:ascii="宋体"/>
                <w:sz w:val="24"/>
                <w:szCs w:val="24"/>
              </w:rPr>
            </w:pPr>
          </w:p>
        </w:tc>
      </w:tr>
      <w:tr>
        <w:tblPrEx>
          <w:tblCellMar>
            <w:top w:w="0" w:type="dxa"/>
            <w:left w:w="108" w:type="dxa"/>
            <w:bottom w:w="0" w:type="dxa"/>
            <w:right w:w="108" w:type="dxa"/>
          </w:tblCellMar>
        </w:tblPrEx>
        <w:trPr>
          <w:trHeight w:val="320" w:hRule="atLeast"/>
        </w:trPr>
        <w:tc>
          <w:tcPr>
            <w:tcW w:w="970" w:type="dxa"/>
            <w:vMerge w:val="continue"/>
            <w:tcBorders>
              <w:top w:val="nil"/>
              <w:left w:val="single" w:color="auto" w:sz="6" w:space="0"/>
              <w:bottom w:val="single" w:color="auto" w:sz="6" w:space="0"/>
              <w:right w:val="single" w:color="auto" w:sz="6" w:space="0"/>
            </w:tcBorders>
            <w:vAlign w:val="center"/>
          </w:tcPr>
          <w:p>
            <w:pPr>
              <w:widowControl/>
              <w:jc w:val="left"/>
              <w:rPr>
                <w:rFonts w:ascii="宋体" w:cs="Arial"/>
                <w:sz w:val="24"/>
                <w:szCs w:val="24"/>
              </w:rPr>
            </w:pPr>
          </w:p>
        </w:tc>
        <w:tc>
          <w:tcPr>
            <w:tcW w:w="678" w:type="dxa"/>
            <w:vMerge w:val="continue"/>
            <w:tcBorders>
              <w:top w:val="nil"/>
              <w:left w:val="nil"/>
              <w:bottom w:val="nil"/>
              <w:right w:val="single" w:color="auto" w:sz="6" w:space="0"/>
            </w:tcBorders>
            <w:vAlign w:val="center"/>
          </w:tcPr>
          <w:p>
            <w:pPr>
              <w:widowControl/>
              <w:jc w:val="left"/>
              <w:rPr>
                <w:rFonts w:ascii="宋体" w:cs="Arial"/>
                <w:sz w:val="24"/>
                <w:szCs w:val="24"/>
              </w:rPr>
            </w:pPr>
          </w:p>
        </w:tc>
        <w:tc>
          <w:tcPr>
            <w:tcW w:w="558" w:type="dxa"/>
            <w:vMerge w:val="continue"/>
            <w:tcBorders>
              <w:left w:val="nil"/>
              <w:right w:val="single" w:color="auto" w:sz="6" w:space="0"/>
            </w:tcBorders>
            <w:vAlign w:val="center"/>
          </w:tcPr>
          <w:p>
            <w:pPr>
              <w:rPr>
                <w:rFonts w:hint="eastAsia" w:ascii="宋体" w:cs="Arial"/>
                <w:sz w:val="24"/>
                <w:szCs w:val="24"/>
              </w:rPr>
            </w:pPr>
          </w:p>
        </w:tc>
        <w:tc>
          <w:tcPr>
            <w:tcW w:w="558" w:type="dxa"/>
            <w:tcBorders>
              <w:top w:val="single" w:color="auto" w:sz="6" w:space="0"/>
              <w:left w:val="nil"/>
              <w:bottom w:val="single" w:color="auto" w:sz="6" w:space="0"/>
              <w:right w:val="single" w:color="auto" w:sz="6" w:space="0"/>
            </w:tcBorders>
            <w:vAlign w:val="top"/>
          </w:tcPr>
          <w:p>
            <w:pPr>
              <w:pStyle w:val="6"/>
              <w:jc w:val="center"/>
              <w:rPr>
                <w:rFonts w:hint="eastAsia" w:ascii="宋体" w:cs="Arial"/>
                <w:sz w:val="24"/>
                <w:szCs w:val="24"/>
              </w:rPr>
            </w:pPr>
            <w:r>
              <w:rPr>
                <w:rFonts w:hint="eastAsia" w:asciiTheme="majorEastAsia" w:hAnsiTheme="majorEastAsia" w:eastAsiaTheme="majorEastAsia" w:cstheme="minorEastAsia"/>
                <w:color w:val="000000"/>
                <w:szCs w:val="21"/>
              </w:rPr>
              <w:t>20吨洒水车</w:t>
            </w:r>
          </w:p>
        </w:tc>
        <w:tc>
          <w:tcPr>
            <w:tcW w:w="500" w:type="dxa"/>
            <w:tcBorders>
              <w:top w:val="single" w:color="auto" w:sz="6" w:space="0"/>
              <w:left w:val="nil"/>
              <w:bottom w:val="single" w:color="auto" w:sz="6" w:space="0"/>
              <w:right w:val="single" w:color="auto" w:sz="6" w:space="0"/>
            </w:tcBorders>
            <w:vAlign w:val="top"/>
          </w:tcPr>
          <w:p>
            <w:pPr>
              <w:pStyle w:val="6"/>
              <w:jc w:val="center"/>
              <w:rPr>
                <w:rFonts w:ascii="宋体"/>
                <w:sz w:val="24"/>
                <w:szCs w:val="24"/>
              </w:rPr>
            </w:pPr>
            <w:r>
              <w:rPr>
                <w:rFonts w:hint="eastAsia" w:asciiTheme="majorEastAsia" w:hAnsiTheme="majorEastAsia" w:eastAsiaTheme="majorEastAsia"/>
              </w:rPr>
              <w:t>1辆</w:t>
            </w:r>
          </w:p>
        </w:tc>
        <w:tc>
          <w:tcPr>
            <w:tcW w:w="599"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558"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490"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p>
        </w:tc>
        <w:tc>
          <w:tcPr>
            <w:tcW w:w="33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0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25"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41"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00"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w:t>
            </w:r>
          </w:p>
        </w:tc>
        <w:tc>
          <w:tcPr>
            <w:tcW w:w="47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17" w:type="dxa"/>
            <w:tcBorders>
              <w:top w:val="single" w:color="auto" w:sz="6" w:space="0"/>
              <w:left w:val="nil"/>
              <w:bottom w:val="single" w:color="auto" w:sz="6" w:space="0"/>
              <w:right w:val="single" w:color="auto" w:sz="6" w:space="0"/>
            </w:tcBorders>
            <w:vAlign w:val="center"/>
          </w:tcPr>
          <w:p>
            <w:pPr>
              <w:rPr>
                <w:rFonts w:ascii="宋体"/>
                <w:sz w:val="24"/>
                <w:szCs w:val="24"/>
              </w:rPr>
            </w:pPr>
          </w:p>
        </w:tc>
      </w:tr>
      <w:tr>
        <w:tblPrEx>
          <w:tblCellMar>
            <w:top w:w="0" w:type="dxa"/>
            <w:left w:w="108" w:type="dxa"/>
            <w:bottom w:w="0" w:type="dxa"/>
            <w:right w:w="108" w:type="dxa"/>
          </w:tblCellMar>
        </w:tblPrEx>
        <w:trPr>
          <w:trHeight w:val="320" w:hRule="atLeast"/>
        </w:trPr>
        <w:tc>
          <w:tcPr>
            <w:tcW w:w="970" w:type="dxa"/>
            <w:vMerge w:val="continue"/>
            <w:tcBorders>
              <w:top w:val="nil"/>
              <w:left w:val="single" w:color="auto" w:sz="6" w:space="0"/>
              <w:bottom w:val="single" w:color="auto" w:sz="6" w:space="0"/>
              <w:right w:val="single" w:color="auto" w:sz="6" w:space="0"/>
            </w:tcBorders>
            <w:vAlign w:val="center"/>
          </w:tcPr>
          <w:p>
            <w:pPr>
              <w:widowControl/>
              <w:jc w:val="left"/>
              <w:rPr>
                <w:rFonts w:ascii="宋体" w:cs="Arial"/>
                <w:sz w:val="24"/>
                <w:szCs w:val="24"/>
              </w:rPr>
            </w:pPr>
          </w:p>
        </w:tc>
        <w:tc>
          <w:tcPr>
            <w:tcW w:w="678" w:type="dxa"/>
            <w:vMerge w:val="continue"/>
            <w:tcBorders>
              <w:top w:val="nil"/>
              <w:left w:val="nil"/>
              <w:bottom w:val="nil"/>
              <w:right w:val="single" w:color="auto" w:sz="6" w:space="0"/>
            </w:tcBorders>
            <w:vAlign w:val="center"/>
          </w:tcPr>
          <w:p>
            <w:pPr>
              <w:widowControl/>
              <w:jc w:val="left"/>
              <w:rPr>
                <w:rFonts w:ascii="宋体" w:cs="Arial"/>
                <w:sz w:val="24"/>
                <w:szCs w:val="24"/>
              </w:rPr>
            </w:pPr>
          </w:p>
        </w:tc>
        <w:tc>
          <w:tcPr>
            <w:tcW w:w="558" w:type="dxa"/>
            <w:vMerge w:val="continue"/>
            <w:tcBorders>
              <w:left w:val="nil"/>
              <w:right w:val="single" w:color="auto" w:sz="6" w:space="0"/>
            </w:tcBorders>
            <w:vAlign w:val="center"/>
          </w:tcPr>
          <w:p>
            <w:pPr>
              <w:rPr>
                <w:rFonts w:hint="eastAsia" w:ascii="宋体" w:cs="Arial"/>
                <w:sz w:val="24"/>
                <w:szCs w:val="24"/>
              </w:rPr>
            </w:pPr>
          </w:p>
        </w:tc>
        <w:tc>
          <w:tcPr>
            <w:tcW w:w="558" w:type="dxa"/>
            <w:tcBorders>
              <w:top w:val="single" w:color="auto" w:sz="6" w:space="0"/>
              <w:left w:val="nil"/>
              <w:bottom w:val="single" w:color="auto" w:sz="6" w:space="0"/>
              <w:right w:val="single" w:color="auto" w:sz="6" w:space="0"/>
            </w:tcBorders>
            <w:vAlign w:val="top"/>
          </w:tcPr>
          <w:p>
            <w:pPr>
              <w:pStyle w:val="6"/>
              <w:jc w:val="center"/>
              <w:rPr>
                <w:rFonts w:hint="eastAsia" w:ascii="宋体" w:cs="Arial"/>
                <w:sz w:val="24"/>
                <w:szCs w:val="24"/>
              </w:rPr>
            </w:pPr>
            <w:r>
              <w:rPr>
                <w:rFonts w:hint="eastAsia" w:asciiTheme="majorEastAsia" w:hAnsiTheme="majorEastAsia" w:eastAsiaTheme="majorEastAsia" w:cstheme="minorEastAsia"/>
                <w:color w:val="000000"/>
                <w:szCs w:val="21"/>
              </w:rPr>
              <w:t>8吨洒水车</w:t>
            </w:r>
          </w:p>
        </w:tc>
        <w:tc>
          <w:tcPr>
            <w:tcW w:w="500" w:type="dxa"/>
            <w:tcBorders>
              <w:top w:val="single" w:color="auto" w:sz="6" w:space="0"/>
              <w:left w:val="nil"/>
              <w:bottom w:val="single" w:color="auto" w:sz="6" w:space="0"/>
              <w:right w:val="single" w:color="auto" w:sz="6" w:space="0"/>
            </w:tcBorders>
            <w:vAlign w:val="top"/>
          </w:tcPr>
          <w:p>
            <w:pPr>
              <w:pStyle w:val="6"/>
              <w:jc w:val="center"/>
              <w:rPr>
                <w:rFonts w:ascii="宋体"/>
                <w:sz w:val="24"/>
                <w:szCs w:val="24"/>
              </w:rPr>
            </w:pPr>
            <w:r>
              <w:rPr>
                <w:rFonts w:hint="eastAsia" w:asciiTheme="majorEastAsia" w:hAnsiTheme="majorEastAsia" w:eastAsiaTheme="majorEastAsia"/>
              </w:rPr>
              <w:t>1辆</w:t>
            </w:r>
          </w:p>
        </w:tc>
        <w:tc>
          <w:tcPr>
            <w:tcW w:w="599"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558"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490"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p>
        </w:tc>
        <w:tc>
          <w:tcPr>
            <w:tcW w:w="33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0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25"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41"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00"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w:t>
            </w:r>
          </w:p>
        </w:tc>
        <w:tc>
          <w:tcPr>
            <w:tcW w:w="47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17" w:type="dxa"/>
            <w:tcBorders>
              <w:top w:val="single" w:color="auto" w:sz="6" w:space="0"/>
              <w:left w:val="nil"/>
              <w:bottom w:val="single" w:color="auto" w:sz="6" w:space="0"/>
              <w:right w:val="single" w:color="auto" w:sz="6" w:space="0"/>
            </w:tcBorders>
            <w:vAlign w:val="center"/>
          </w:tcPr>
          <w:p>
            <w:pPr>
              <w:rPr>
                <w:rFonts w:ascii="宋体"/>
                <w:sz w:val="24"/>
                <w:szCs w:val="24"/>
              </w:rPr>
            </w:pPr>
          </w:p>
        </w:tc>
      </w:tr>
      <w:tr>
        <w:tblPrEx>
          <w:tblCellMar>
            <w:top w:w="0" w:type="dxa"/>
            <w:left w:w="108" w:type="dxa"/>
            <w:bottom w:w="0" w:type="dxa"/>
            <w:right w:w="108" w:type="dxa"/>
          </w:tblCellMar>
        </w:tblPrEx>
        <w:trPr>
          <w:trHeight w:val="320" w:hRule="atLeast"/>
        </w:trPr>
        <w:tc>
          <w:tcPr>
            <w:tcW w:w="970" w:type="dxa"/>
            <w:vMerge w:val="continue"/>
            <w:tcBorders>
              <w:top w:val="nil"/>
              <w:left w:val="single" w:color="auto" w:sz="6" w:space="0"/>
              <w:bottom w:val="single" w:color="auto" w:sz="6" w:space="0"/>
              <w:right w:val="single" w:color="auto" w:sz="6" w:space="0"/>
            </w:tcBorders>
            <w:vAlign w:val="center"/>
          </w:tcPr>
          <w:p>
            <w:pPr>
              <w:widowControl/>
              <w:jc w:val="left"/>
              <w:rPr>
                <w:rFonts w:ascii="宋体" w:cs="Arial"/>
                <w:sz w:val="24"/>
                <w:szCs w:val="24"/>
              </w:rPr>
            </w:pPr>
          </w:p>
        </w:tc>
        <w:tc>
          <w:tcPr>
            <w:tcW w:w="678" w:type="dxa"/>
            <w:vMerge w:val="continue"/>
            <w:tcBorders>
              <w:top w:val="nil"/>
              <w:left w:val="nil"/>
              <w:bottom w:val="nil"/>
              <w:right w:val="single" w:color="auto" w:sz="6" w:space="0"/>
            </w:tcBorders>
            <w:vAlign w:val="center"/>
          </w:tcPr>
          <w:p>
            <w:pPr>
              <w:widowControl/>
              <w:jc w:val="left"/>
              <w:rPr>
                <w:rFonts w:ascii="宋体" w:cs="Arial"/>
                <w:sz w:val="24"/>
                <w:szCs w:val="24"/>
              </w:rPr>
            </w:pPr>
          </w:p>
        </w:tc>
        <w:tc>
          <w:tcPr>
            <w:tcW w:w="558" w:type="dxa"/>
            <w:vMerge w:val="continue"/>
            <w:tcBorders>
              <w:left w:val="nil"/>
              <w:right w:val="single" w:color="auto" w:sz="6" w:space="0"/>
            </w:tcBorders>
            <w:vAlign w:val="center"/>
          </w:tcPr>
          <w:p>
            <w:pPr>
              <w:rPr>
                <w:rFonts w:hint="eastAsia" w:ascii="宋体" w:cs="Arial"/>
                <w:sz w:val="24"/>
                <w:szCs w:val="24"/>
              </w:rPr>
            </w:pPr>
          </w:p>
        </w:tc>
        <w:tc>
          <w:tcPr>
            <w:tcW w:w="558" w:type="dxa"/>
            <w:tcBorders>
              <w:top w:val="single" w:color="auto" w:sz="6" w:space="0"/>
              <w:left w:val="nil"/>
              <w:bottom w:val="single" w:color="auto" w:sz="6" w:space="0"/>
              <w:right w:val="single" w:color="auto" w:sz="6" w:space="0"/>
            </w:tcBorders>
            <w:vAlign w:val="top"/>
          </w:tcPr>
          <w:p>
            <w:pPr>
              <w:pStyle w:val="6"/>
              <w:jc w:val="center"/>
              <w:rPr>
                <w:rFonts w:hint="eastAsia" w:ascii="宋体" w:cs="Arial"/>
                <w:sz w:val="24"/>
                <w:szCs w:val="24"/>
              </w:rPr>
            </w:pPr>
            <w:r>
              <w:rPr>
                <w:rFonts w:hint="eastAsia" w:asciiTheme="majorEastAsia" w:hAnsiTheme="majorEastAsia" w:eastAsiaTheme="majorEastAsia" w:cstheme="minorEastAsia"/>
                <w:color w:val="000000"/>
                <w:szCs w:val="21"/>
              </w:rPr>
              <w:t>8吨洗扫车</w:t>
            </w:r>
          </w:p>
        </w:tc>
        <w:tc>
          <w:tcPr>
            <w:tcW w:w="500" w:type="dxa"/>
            <w:tcBorders>
              <w:top w:val="single" w:color="auto" w:sz="6" w:space="0"/>
              <w:left w:val="nil"/>
              <w:bottom w:val="single" w:color="auto" w:sz="6" w:space="0"/>
              <w:right w:val="single" w:color="auto" w:sz="6" w:space="0"/>
            </w:tcBorders>
            <w:vAlign w:val="top"/>
          </w:tcPr>
          <w:p>
            <w:pPr>
              <w:pStyle w:val="6"/>
              <w:jc w:val="center"/>
              <w:rPr>
                <w:rFonts w:ascii="宋体"/>
                <w:sz w:val="24"/>
                <w:szCs w:val="24"/>
              </w:rPr>
            </w:pPr>
            <w:r>
              <w:rPr>
                <w:rFonts w:hint="eastAsia" w:asciiTheme="majorEastAsia" w:hAnsiTheme="majorEastAsia" w:eastAsiaTheme="majorEastAsia"/>
              </w:rPr>
              <w:t>1辆</w:t>
            </w:r>
          </w:p>
        </w:tc>
        <w:tc>
          <w:tcPr>
            <w:tcW w:w="599"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558"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490"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p>
        </w:tc>
        <w:tc>
          <w:tcPr>
            <w:tcW w:w="33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0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25"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41"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00"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w:t>
            </w:r>
          </w:p>
        </w:tc>
        <w:tc>
          <w:tcPr>
            <w:tcW w:w="47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17" w:type="dxa"/>
            <w:tcBorders>
              <w:top w:val="single" w:color="auto" w:sz="6" w:space="0"/>
              <w:left w:val="nil"/>
              <w:bottom w:val="single" w:color="auto" w:sz="6" w:space="0"/>
              <w:right w:val="single" w:color="auto" w:sz="6" w:space="0"/>
            </w:tcBorders>
            <w:vAlign w:val="center"/>
          </w:tcPr>
          <w:p>
            <w:pPr>
              <w:rPr>
                <w:rFonts w:ascii="宋体"/>
                <w:sz w:val="24"/>
                <w:szCs w:val="24"/>
              </w:rPr>
            </w:pPr>
          </w:p>
        </w:tc>
      </w:tr>
      <w:tr>
        <w:tblPrEx>
          <w:tblCellMar>
            <w:top w:w="0" w:type="dxa"/>
            <w:left w:w="108" w:type="dxa"/>
            <w:bottom w:w="0" w:type="dxa"/>
            <w:right w:w="108" w:type="dxa"/>
          </w:tblCellMar>
        </w:tblPrEx>
        <w:trPr>
          <w:trHeight w:val="320" w:hRule="atLeast"/>
        </w:trPr>
        <w:tc>
          <w:tcPr>
            <w:tcW w:w="970" w:type="dxa"/>
            <w:vMerge w:val="continue"/>
            <w:tcBorders>
              <w:top w:val="nil"/>
              <w:left w:val="single" w:color="auto" w:sz="6" w:space="0"/>
              <w:bottom w:val="single" w:color="auto" w:sz="6" w:space="0"/>
              <w:right w:val="single" w:color="auto" w:sz="6" w:space="0"/>
            </w:tcBorders>
            <w:vAlign w:val="center"/>
          </w:tcPr>
          <w:p>
            <w:pPr>
              <w:widowControl/>
              <w:jc w:val="left"/>
              <w:rPr>
                <w:rFonts w:ascii="宋体" w:cs="Arial"/>
                <w:sz w:val="24"/>
                <w:szCs w:val="24"/>
              </w:rPr>
            </w:pPr>
          </w:p>
        </w:tc>
        <w:tc>
          <w:tcPr>
            <w:tcW w:w="678" w:type="dxa"/>
            <w:vMerge w:val="continue"/>
            <w:tcBorders>
              <w:top w:val="nil"/>
              <w:left w:val="nil"/>
              <w:bottom w:val="nil"/>
              <w:right w:val="single" w:color="auto" w:sz="6" w:space="0"/>
            </w:tcBorders>
            <w:vAlign w:val="center"/>
          </w:tcPr>
          <w:p>
            <w:pPr>
              <w:widowControl/>
              <w:jc w:val="left"/>
              <w:rPr>
                <w:rFonts w:ascii="宋体" w:cs="Arial"/>
                <w:sz w:val="24"/>
                <w:szCs w:val="24"/>
              </w:rPr>
            </w:pPr>
          </w:p>
        </w:tc>
        <w:tc>
          <w:tcPr>
            <w:tcW w:w="558" w:type="dxa"/>
            <w:vMerge w:val="continue"/>
            <w:tcBorders>
              <w:left w:val="nil"/>
              <w:right w:val="single" w:color="auto" w:sz="6" w:space="0"/>
            </w:tcBorders>
            <w:vAlign w:val="center"/>
          </w:tcPr>
          <w:p>
            <w:pPr>
              <w:rPr>
                <w:rFonts w:hint="eastAsia" w:ascii="宋体" w:cs="Arial"/>
                <w:sz w:val="24"/>
                <w:szCs w:val="24"/>
              </w:rPr>
            </w:pPr>
          </w:p>
        </w:tc>
        <w:tc>
          <w:tcPr>
            <w:tcW w:w="558" w:type="dxa"/>
            <w:tcBorders>
              <w:top w:val="single" w:color="auto" w:sz="6" w:space="0"/>
              <w:left w:val="nil"/>
              <w:bottom w:val="single" w:color="auto" w:sz="6" w:space="0"/>
              <w:right w:val="single" w:color="auto" w:sz="6" w:space="0"/>
            </w:tcBorders>
            <w:vAlign w:val="top"/>
          </w:tcPr>
          <w:p>
            <w:pPr>
              <w:pStyle w:val="6"/>
              <w:jc w:val="center"/>
              <w:rPr>
                <w:rFonts w:hint="eastAsia" w:ascii="宋体" w:cs="Arial"/>
                <w:sz w:val="24"/>
                <w:szCs w:val="24"/>
              </w:rPr>
            </w:pPr>
            <w:r>
              <w:rPr>
                <w:rFonts w:hint="eastAsia" w:asciiTheme="majorEastAsia" w:hAnsiTheme="majorEastAsia" w:eastAsiaTheme="majorEastAsia" w:cstheme="minorEastAsia"/>
                <w:color w:val="000000"/>
                <w:szCs w:val="21"/>
              </w:rPr>
              <w:t>吸污车</w:t>
            </w:r>
          </w:p>
        </w:tc>
        <w:tc>
          <w:tcPr>
            <w:tcW w:w="500" w:type="dxa"/>
            <w:tcBorders>
              <w:top w:val="single" w:color="auto" w:sz="6" w:space="0"/>
              <w:left w:val="nil"/>
              <w:bottom w:val="single" w:color="auto" w:sz="6" w:space="0"/>
              <w:right w:val="single" w:color="auto" w:sz="6" w:space="0"/>
            </w:tcBorders>
            <w:vAlign w:val="top"/>
          </w:tcPr>
          <w:p>
            <w:pPr>
              <w:pStyle w:val="6"/>
              <w:jc w:val="center"/>
              <w:rPr>
                <w:rFonts w:ascii="宋体"/>
                <w:sz w:val="24"/>
                <w:szCs w:val="24"/>
              </w:rPr>
            </w:pPr>
            <w:r>
              <w:rPr>
                <w:rFonts w:hint="eastAsia" w:cs="Times New Roman" w:asciiTheme="majorEastAsia" w:hAnsiTheme="majorEastAsia" w:eastAsiaTheme="majorEastAsia"/>
                <w:kern w:val="2"/>
                <w:sz w:val="21"/>
                <w:szCs w:val="24"/>
                <w:lang w:val="en-US" w:eastAsia="zh-CN" w:bidi="ar-SA"/>
              </w:rPr>
              <w:t>1</w:t>
            </w:r>
            <w:r>
              <w:rPr>
                <w:rFonts w:hint="eastAsia" w:asciiTheme="majorEastAsia" w:hAnsiTheme="majorEastAsia" w:eastAsiaTheme="majorEastAsia"/>
              </w:rPr>
              <w:t>辆</w:t>
            </w:r>
          </w:p>
        </w:tc>
        <w:tc>
          <w:tcPr>
            <w:tcW w:w="599"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558"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490"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p>
        </w:tc>
        <w:tc>
          <w:tcPr>
            <w:tcW w:w="33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0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25"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41"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00"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w:t>
            </w:r>
          </w:p>
        </w:tc>
        <w:tc>
          <w:tcPr>
            <w:tcW w:w="47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17" w:type="dxa"/>
            <w:tcBorders>
              <w:top w:val="single" w:color="auto" w:sz="6" w:space="0"/>
              <w:left w:val="nil"/>
              <w:bottom w:val="single" w:color="auto" w:sz="6" w:space="0"/>
              <w:right w:val="single" w:color="auto" w:sz="6" w:space="0"/>
            </w:tcBorders>
            <w:vAlign w:val="center"/>
          </w:tcPr>
          <w:p>
            <w:pPr>
              <w:rPr>
                <w:rFonts w:ascii="宋体"/>
                <w:sz w:val="24"/>
                <w:szCs w:val="24"/>
              </w:rPr>
            </w:pPr>
          </w:p>
        </w:tc>
      </w:tr>
      <w:tr>
        <w:tblPrEx>
          <w:tblCellMar>
            <w:top w:w="0" w:type="dxa"/>
            <w:left w:w="108" w:type="dxa"/>
            <w:bottom w:w="0" w:type="dxa"/>
            <w:right w:w="108" w:type="dxa"/>
          </w:tblCellMar>
        </w:tblPrEx>
        <w:trPr>
          <w:trHeight w:val="320" w:hRule="atLeast"/>
        </w:trPr>
        <w:tc>
          <w:tcPr>
            <w:tcW w:w="970" w:type="dxa"/>
            <w:vMerge w:val="continue"/>
            <w:tcBorders>
              <w:top w:val="nil"/>
              <w:left w:val="single" w:color="auto" w:sz="6" w:space="0"/>
              <w:bottom w:val="single" w:color="auto" w:sz="6" w:space="0"/>
              <w:right w:val="single" w:color="auto" w:sz="6" w:space="0"/>
            </w:tcBorders>
            <w:vAlign w:val="center"/>
          </w:tcPr>
          <w:p>
            <w:pPr>
              <w:widowControl/>
              <w:jc w:val="left"/>
              <w:rPr>
                <w:rFonts w:ascii="宋体" w:cs="Arial"/>
                <w:sz w:val="24"/>
                <w:szCs w:val="24"/>
              </w:rPr>
            </w:pPr>
          </w:p>
        </w:tc>
        <w:tc>
          <w:tcPr>
            <w:tcW w:w="678" w:type="dxa"/>
            <w:vMerge w:val="continue"/>
            <w:tcBorders>
              <w:top w:val="nil"/>
              <w:left w:val="nil"/>
              <w:bottom w:val="nil"/>
              <w:right w:val="single" w:color="auto" w:sz="6" w:space="0"/>
            </w:tcBorders>
            <w:vAlign w:val="center"/>
          </w:tcPr>
          <w:p>
            <w:pPr>
              <w:widowControl/>
              <w:jc w:val="left"/>
              <w:rPr>
                <w:rFonts w:ascii="宋体" w:cs="Arial"/>
                <w:sz w:val="24"/>
                <w:szCs w:val="24"/>
              </w:rPr>
            </w:pPr>
          </w:p>
        </w:tc>
        <w:tc>
          <w:tcPr>
            <w:tcW w:w="558" w:type="dxa"/>
            <w:vMerge w:val="continue"/>
            <w:tcBorders>
              <w:left w:val="nil"/>
              <w:right w:val="single" w:color="auto" w:sz="6" w:space="0"/>
            </w:tcBorders>
            <w:vAlign w:val="center"/>
          </w:tcPr>
          <w:p>
            <w:pPr>
              <w:rPr>
                <w:rFonts w:hint="eastAsia" w:ascii="宋体" w:cs="Arial"/>
                <w:sz w:val="24"/>
                <w:szCs w:val="24"/>
              </w:rPr>
            </w:pPr>
          </w:p>
        </w:tc>
        <w:tc>
          <w:tcPr>
            <w:tcW w:w="558" w:type="dxa"/>
            <w:tcBorders>
              <w:top w:val="single" w:color="auto" w:sz="6" w:space="0"/>
              <w:left w:val="nil"/>
              <w:bottom w:val="single" w:color="auto" w:sz="6" w:space="0"/>
              <w:right w:val="single" w:color="auto" w:sz="6" w:space="0"/>
            </w:tcBorders>
            <w:vAlign w:val="top"/>
          </w:tcPr>
          <w:p>
            <w:pPr>
              <w:pStyle w:val="6"/>
              <w:jc w:val="center"/>
              <w:rPr>
                <w:rFonts w:hint="eastAsia" w:ascii="宋体" w:cs="Arial"/>
                <w:sz w:val="24"/>
                <w:szCs w:val="24"/>
              </w:rPr>
            </w:pPr>
            <w:r>
              <w:rPr>
                <w:rFonts w:hint="eastAsia" w:asciiTheme="majorEastAsia" w:hAnsiTheme="majorEastAsia" w:eastAsiaTheme="majorEastAsia" w:cstheme="minorEastAsia"/>
                <w:color w:val="000000"/>
                <w:szCs w:val="21"/>
              </w:rPr>
              <w:t>皮卡</w:t>
            </w:r>
          </w:p>
        </w:tc>
        <w:tc>
          <w:tcPr>
            <w:tcW w:w="500" w:type="dxa"/>
            <w:tcBorders>
              <w:top w:val="single" w:color="auto" w:sz="6" w:space="0"/>
              <w:left w:val="nil"/>
              <w:bottom w:val="single" w:color="auto" w:sz="6" w:space="0"/>
              <w:right w:val="single" w:color="auto" w:sz="6" w:space="0"/>
            </w:tcBorders>
            <w:vAlign w:val="top"/>
          </w:tcPr>
          <w:p>
            <w:pPr>
              <w:pStyle w:val="6"/>
              <w:jc w:val="center"/>
              <w:rPr>
                <w:rFonts w:ascii="宋体"/>
                <w:sz w:val="24"/>
                <w:szCs w:val="24"/>
              </w:rPr>
            </w:pPr>
            <w:r>
              <w:rPr>
                <w:rFonts w:hint="eastAsia" w:asciiTheme="majorEastAsia" w:hAnsiTheme="majorEastAsia" w:eastAsiaTheme="majorEastAsia"/>
              </w:rPr>
              <w:t>3辆</w:t>
            </w:r>
          </w:p>
        </w:tc>
        <w:tc>
          <w:tcPr>
            <w:tcW w:w="599"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558"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490"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p>
        </w:tc>
        <w:tc>
          <w:tcPr>
            <w:tcW w:w="33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0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25"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41"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00"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w:t>
            </w:r>
          </w:p>
        </w:tc>
        <w:tc>
          <w:tcPr>
            <w:tcW w:w="47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17" w:type="dxa"/>
            <w:tcBorders>
              <w:top w:val="single" w:color="auto" w:sz="6" w:space="0"/>
              <w:left w:val="nil"/>
              <w:bottom w:val="single" w:color="auto" w:sz="6" w:space="0"/>
              <w:right w:val="single" w:color="auto" w:sz="6" w:space="0"/>
            </w:tcBorders>
            <w:vAlign w:val="center"/>
          </w:tcPr>
          <w:p>
            <w:pPr>
              <w:rPr>
                <w:rFonts w:ascii="宋体"/>
                <w:sz w:val="24"/>
                <w:szCs w:val="24"/>
              </w:rPr>
            </w:pPr>
          </w:p>
        </w:tc>
      </w:tr>
      <w:tr>
        <w:tblPrEx>
          <w:tblCellMar>
            <w:top w:w="0" w:type="dxa"/>
            <w:left w:w="108" w:type="dxa"/>
            <w:bottom w:w="0" w:type="dxa"/>
            <w:right w:w="108" w:type="dxa"/>
          </w:tblCellMar>
        </w:tblPrEx>
        <w:trPr>
          <w:trHeight w:val="320" w:hRule="atLeast"/>
        </w:trPr>
        <w:tc>
          <w:tcPr>
            <w:tcW w:w="970" w:type="dxa"/>
            <w:vMerge w:val="continue"/>
            <w:tcBorders>
              <w:top w:val="nil"/>
              <w:left w:val="single" w:color="auto" w:sz="6" w:space="0"/>
              <w:bottom w:val="single" w:color="auto" w:sz="6" w:space="0"/>
              <w:right w:val="single" w:color="auto" w:sz="6" w:space="0"/>
            </w:tcBorders>
            <w:vAlign w:val="center"/>
          </w:tcPr>
          <w:p>
            <w:pPr>
              <w:widowControl/>
              <w:jc w:val="left"/>
              <w:rPr>
                <w:rFonts w:ascii="宋体" w:cs="Arial"/>
                <w:sz w:val="24"/>
                <w:szCs w:val="24"/>
              </w:rPr>
            </w:pPr>
          </w:p>
        </w:tc>
        <w:tc>
          <w:tcPr>
            <w:tcW w:w="678" w:type="dxa"/>
            <w:vMerge w:val="continue"/>
            <w:tcBorders>
              <w:top w:val="nil"/>
              <w:left w:val="nil"/>
              <w:bottom w:val="nil"/>
              <w:right w:val="single" w:color="auto" w:sz="6" w:space="0"/>
            </w:tcBorders>
            <w:vAlign w:val="center"/>
          </w:tcPr>
          <w:p>
            <w:pPr>
              <w:widowControl/>
              <w:jc w:val="left"/>
              <w:rPr>
                <w:rFonts w:ascii="宋体" w:cs="Arial"/>
                <w:sz w:val="24"/>
                <w:szCs w:val="24"/>
              </w:rPr>
            </w:pPr>
          </w:p>
        </w:tc>
        <w:tc>
          <w:tcPr>
            <w:tcW w:w="558" w:type="dxa"/>
            <w:vMerge w:val="continue"/>
            <w:tcBorders>
              <w:left w:val="nil"/>
              <w:right w:val="single" w:color="auto" w:sz="6" w:space="0"/>
            </w:tcBorders>
            <w:vAlign w:val="center"/>
          </w:tcPr>
          <w:p>
            <w:pPr>
              <w:rPr>
                <w:rFonts w:hint="eastAsia" w:ascii="宋体" w:cs="Arial"/>
                <w:sz w:val="24"/>
                <w:szCs w:val="24"/>
              </w:rPr>
            </w:pPr>
          </w:p>
        </w:tc>
        <w:tc>
          <w:tcPr>
            <w:tcW w:w="558" w:type="dxa"/>
            <w:tcBorders>
              <w:top w:val="single" w:color="auto" w:sz="6" w:space="0"/>
              <w:left w:val="nil"/>
              <w:bottom w:val="single" w:color="auto" w:sz="6" w:space="0"/>
              <w:right w:val="single" w:color="auto" w:sz="6" w:space="0"/>
            </w:tcBorders>
            <w:vAlign w:val="top"/>
          </w:tcPr>
          <w:p>
            <w:pPr>
              <w:pStyle w:val="6"/>
              <w:jc w:val="center"/>
              <w:rPr>
                <w:rFonts w:hint="eastAsia" w:ascii="宋体" w:cs="Arial"/>
                <w:sz w:val="24"/>
                <w:szCs w:val="24"/>
              </w:rPr>
            </w:pPr>
            <w:r>
              <w:rPr>
                <w:rFonts w:hint="eastAsia" w:asciiTheme="majorEastAsia" w:hAnsiTheme="majorEastAsia" w:eastAsiaTheme="majorEastAsia" w:cstheme="minorEastAsia"/>
                <w:color w:val="000000"/>
                <w:szCs w:val="21"/>
              </w:rPr>
              <w:t>17米高空做业车</w:t>
            </w:r>
          </w:p>
        </w:tc>
        <w:tc>
          <w:tcPr>
            <w:tcW w:w="500" w:type="dxa"/>
            <w:tcBorders>
              <w:top w:val="single" w:color="auto" w:sz="6" w:space="0"/>
              <w:left w:val="nil"/>
              <w:bottom w:val="single" w:color="auto" w:sz="6" w:space="0"/>
              <w:right w:val="single" w:color="auto" w:sz="6" w:space="0"/>
            </w:tcBorders>
            <w:vAlign w:val="top"/>
          </w:tcPr>
          <w:p>
            <w:pPr>
              <w:pStyle w:val="6"/>
              <w:jc w:val="center"/>
              <w:rPr>
                <w:rFonts w:ascii="宋体"/>
                <w:sz w:val="24"/>
                <w:szCs w:val="24"/>
              </w:rPr>
            </w:pPr>
            <w:r>
              <w:rPr>
                <w:rFonts w:hint="eastAsia" w:asciiTheme="majorEastAsia" w:hAnsiTheme="majorEastAsia" w:eastAsiaTheme="majorEastAsia"/>
              </w:rPr>
              <w:t>1辆</w:t>
            </w:r>
          </w:p>
        </w:tc>
        <w:tc>
          <w:tcPr>
            <w:tcW w:w="599"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558"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490"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p>
        </w:tc>
        <w:tc>
          <w:tcPr>
            <w:tcW w:w="33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0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25"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41"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00"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w:t>
            </w:r>
          </w:p>
        </w:tc>
        <w:tc>
          <w:tcPr>
            <w:tcW w:w="47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17" w:type="dxa"/>
            <w:tcBorders>
              <w:top w:val="single" w:color="auto" w:sz="6" w:space="0"/>
              <w:left w:val="nil"/>
              <w:bottom w:val="single" w:color="auto" w:sz="6" w:space="0"/>
              <w:right w:val="single" w:color="auto" w:sz="6" w:space="0"/>
            </w:tcBorders>
            <w:vAlign w:val="center"/>
          </w:tcPr>
          <w:p>
            <w:pPr>
              <w:rPr>
                <w:rFonts w:ascii="宋体"/>
                <w:sz w:val="24"/>
                <w:szCs w:val="24"/>
              </w:rPr>
            </w:pPr>
          </w:p>
        </w:tc>
      </w:tr>
      <w:tr>
        <w:tblPrEx>
          <w:tblCellMar>
            <w:top w:w="0" w:type="dxa"/>
            <w:left w:w="108" w:type="dxa"/>
            <w:bottom w:w="0" w:type="dxa"/>
            <w:right w:w="108" w:type="dxa"/>
          </w:tblCellMar>
        </w:tblPrEx>
        <w:trPr>
          <w:trHeight w:val="320" w:hRule="atLeast"/>
        </w:trPr>
        <w:tc>
          <w:tcPr>
            <w:tcW w:w="970" w:type="dxa"/>
            <w:vMerge w:val="continue"/>
            <w:tcBorders>
              <w:top w:val="nil"/>
              <w:left w:val="single" w:color="auto" w:sz="6" w:space="0"/>
              <w:bottom w:val="single" w:color="auto" w:sz="6" w:space="0"/>
              <w:right w:val="single" w:color="auto" w:sz="6" w:space="0"/>
            </w:tcBorders>
            <w:vAlign w:val="center"/>
          </w:tcPr>
          <w:p>
            <w:pPr>
              <w:widowControl/>
              <w:jc w:val="left"/>
              <w:rPr>
                <w:rFonts w:ascii="宋体" w:cs="Arial"/>
                <w:sz w:val="24"/>
                <w:szCs w:val="24"/>
              </w:rPr>
            </w:pPr>
          </w:p>
        </w:tc>
        <w:tc>
          <w:tcPr>
            <w:tcW w:w="678" w:type="dxa"/>
            <w:vMerge w:val="continue"/>
            <w:tcBorders>
              <w:top w:val="nil"/>
              <w:left w:val="nil"/>
              <w:bottom w:val="nil"/>
              <w:right w:val="single" w:color="auto" w:sz="6" w:space="0"/>
            </w:tcBorders>
            <w:vAlign w:val="center"/>
          </w:tcPr>
          <w:p>
            <w:pPr>
              <w:widowControl/>
              <w:jc w:val="left"/>
              <w:rPr>
                <w:rFonts w:ascii="宋体" w:cs="Arial"/>
                <w:sz w:val="24"/>
                <w:szCs w:val="24"/>
              </w:rPr>
            </w:pPr>
          </w:p>
        </w:tc>
        <w:tc>
          <w:tcPr>
            <w:tcW w:w="558" w:type="dxa"/>
            <w:vMerge w:val="continue"/>
            <w:tcBorders>
              <w:left w:val="nil"/>
              <w:bottom w:val="single" w:color="auto" w:sz="6" w:space="0"/>
              <w:right w:val="single" w:color="auto" w:sz="6" w:space="0"/>
            </w:tcBorders>
            <w:vAlign w:val="center"/>
          </w:tcPr>
          <w:p>
            <w:pPr>
              <w:rPr>
                <w:rFonts w:hint="eastAsia" w:ascii="宋体" w:cs="Arial"/>
                <w:sz w:val="24"/>
                <w:szCs w:val="24"/>
              </w:rPr>
            </w:pPr>
          </w:p>
        </w:tc>
        <w:tc>
          <w:tcPr>
            <w:tcW w:w="558" w:type="dxa"/>
            <w:tcBorders>
              <w:top w:val="single" w:color="auto" w:sz="6" w:space="0"/>
              <w:left w:val="nil"/>
              <w:bottom w:val="single" w:color="auto" w:sz="6" w:space="0"/>
              <w:right w:val="single" w:color="auto" w:sz="6" w:space="0"/>
            </w:tcBorders>
            <w:vAlign w:val="top"/>
          </w:tcPr>
          <w:p>
            <w:pPr>
              <w:pStyle w:val="6"/>
              <w:jc w:val="center"/>
              <w:rPr>
                <w:rFonts w:hint="eastAsia" w:ascii="宋体" w:cs="Arial"/>
                <w:sz w:val="24"/>
                <w:szCs w:val="24"/>
              </w:rPr>
            </w:pPr>
            <w:r>
              <w:rPr>
                <w:rFonts w:hint="eastAsia" w:asciiTheme="majorEastAsia" w:hAnsiTheme="majorEastAsia" w:eastAsiaTheme="majorEastAsia" w:cstheme="minorEastAsia"/>
                <w:color w:val="000000"/>
                <w:szCs w:val="21"/>
              </w:rPr>
              <w:t>电动扫地车</w:t>
            </w:r>
          </w:p>
        </w:tc>
        <w:tc>
          <w:tcPr>
            <w:tcW w:w="500" w:type="dxa"/>
            <w:tcBorders>
              <w:top w:val="single" w:color="auto" w:sz="6" w:space="0"/>
              <w:left w:val="nil"/>
              <w:bottom w:val="single" w:color="auto" w:sz="6" w:space="0"/>
              <w:right w:val="single" w:color="auto" w:sz="6" w:space="0"/>
            </w:tcBorders>
            <w:vAlign w:val="top"/>
          </w:tcPr>
          <w:p>
            <w:pPr>
              <w:pStyle w:val="6"/>
              <w:jc w:val="center"/>
              <w:rPr>
                <w:rFonts w:ascii="宋体"/>
                <w:sz w:val="24"/>
                <w:szCs w:val="24"/>
              </w:rPr>
            </w:pPr>
            <w:r>
              <w:rPr>
                <w:rFonts w:hint="eastAsia" w:asciiTheme="majorEastAsia" w:hAnsiTheme="majorEastAsia" w:eastAsiaTheme="majorEastAsia"/>
              </w:rPr>
              <w:t>2辆</w:t>
            </w:r>
          </w:p>
        </w:tc>
        <w:tc>
          <w:tcPr>
            <w:tcW w:w="599"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558"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490"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p>
        </w:tc>
        <w:tc>
          <w:tcPr>
            <w:tcW w:w="33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0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25"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41"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00"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w:t>
            </w:r>
          </w:p>
        </w:tc>
        <w:tc>
          <w:tcPr>
            <w:tcW w:w="47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17" w:type="dxa"/>
            <w:tcBorders>
              <w:top w:val="single" w:color="auto" w:sz="6" w:space="0"/>
              <w:left w:val="nil"/>
              <w:bottom w:val="single" w:color="auto" w:sz="6" w:space="0"/>
              <w:right w:val="single" w:color="auto" w:sz="6" w:space="0"/>
            </w:tcBorders>
            <w:vAlign w:val="center"/>
          </w:tcPr>
          <w:p>
            <w:pPr>
              <w:rPr>
                <w:rFonts w:ascii="宋体"/>
                <w:sz w:val="24"/>
                <w:szCs w:val="24"/>
              </w:rPr>
            </w:pPr>
          </w:p>
        </w:tc>
      </w:tr>
      <w:tr>
        <w:tblPrEx>
          <w:tblCellMar>
            <w:top w:w="0" w:type="dxa"/>
            <w:left w:w="108" w:type="dxa"/>
            <w:bottom w:w="0" w:type="dxa"/>
            <w:right w:w="108" w:type="dxa"/>
          </w:tblCellMar>
        </w:tblPrEx>
        <w:trPr>
          <w:trHeight w:val="320" w:hRule="atLeast"/>
        </w:trPr>
        <w:tc>
          <w:tcPr>
            <w:tcW w:w="970" w:type="dxa"/>
            <w:vMerge w:val="continue"/>
            <w:tcBorders>
              <w:top w:val="nil"/>
              <w:left w:val="single" w:color="auto" w:sz="6" w:space="0"/>
              <w:bottom w:val="single" w:color="auto" w:sz="6" w:space="0"/>
              <w:right w:val="single" w:color="auto" w:sz="6" w:space="0"/>
            </w:tcBorders>
            <w:vAlign w:val="center"/>
          </w:tcPr>
          <w:p>
            <w:pPr>
              <w:widowControl/>
              <w:jc w:val="left"/>
              <w:rPr>
                <w:rFonts w:ascii="宋体" w:cs="Arial"/>
                <w:sz w:val="24"/>
                <w:szCs w:val="24"/>
              </w:rPr>
            </w:pPr>
          </w:p>
        </w:tc>
        <w:tc>
          <w:tcPr>
            <w:tcW w:w="678" w:type="dxa"/>
            <w:vMerge w:val="continue"/>
            <w:tcBorders>
              <w:top w:val="nil"/>
              <w:left w:val="nil"/>
              <w:bottom w:val="nil"/>
              <w:right w:val="single" w:color="auto" w:sz="6" w:space="0"/>
            </w:tcBorders>
            <w:vAlign w:val="center"/>
          </w:tcPr>
          <w:p>
            <w:pPr>
              <w:widowControl/>
              <w:jc w:val="left"/>
              <w:rPr>
                <w:rFonts w:ascii="宋体" w:cs="Arial"/>
                <w:sz w:val="24"/>
                <w:szCs w:val="24"/>
              </w:rPr>
            </w:pPr>
          </w:p>
        </w:tc>
        <w:tc>
          <w:tcPr>
            <w:tcW w:w="558" w:type="dxa"/>
            <w:vMerge w:val="restart"/>
            <w:tcBorders>
              <w:top w:val="single" w:color="auto" w:sz="6" w:space="0"/>
              <w:left w:val="nil"/>
              <w:right w:val="single" w:color="auto" w:sz="6" w:space="0"/>
            </w:tcBorders>
            <w:vAlign w:val="center"/>
          </w:tcPr>
          <w:p>
            <w:pPr>
              <w:rPr>
                <w:rFonts w:hint="eastAsia" w:ascii="宋体" w:cs="Arial"/>
                <w:sz w:val="24"/>
                <w:szCs w:val="24"/>
              </w:rPr>
            </w:pPr>
          </w:p>
          <w:p>
            <w:pPr>
              <w:rPr>
                <w:rFonts w:hint="eastAsia" w:ascii="宋体" w:cs="Arial"/>
                <w:sz w:val="24"/>
                <w:szCs w:val="24"/>
              </w:rPr>
            </w:pPr>
          </w:p>
          <w:p>
            <w:pPr>
              <w:rPr>
                <w:rFonts w:hint="eastAsia" w:ascii="宋体" w:cs="Arial"/>
                <w:sz w:val="24"/>
                <w:szCs w:val="24"/>
              </w:rPr>
            </w:pPr>
          </w:p>
          <w:p>
            <w:pPr>
              <w:rPr>
                <w:rFonts w:hint="eastAsia" w:ascii="宋体" w:cs="Arial"/>
                <w:sz w:val="24"/>
                <w:szCs w:val="24"/>
              </w:rPr>
            </w:pPr>
          </w:p>
          <w:p>
            <w:pPr>
              <w:rPr>
                <w:rFonts w:hint="eastAsia" w:ascii="宋体" w:cs="Arial"/>
                <w:sz w:val="24"/>
                <w:szCs w:val="24"/>
              </w:rPr>
            </w:pPr>
          </w:p>
          <w:p>
            <w:pPr>
              <w:rPr>
                <w:rFonts w:hint="eastAsia" w:ascii="宋体" w:cs="Arial"/>
                <w:sz w:val="24"/>
                <w:szCs w:val="24"/>
              </w:rPr>
            </w:pPr>
          </w:p>
          <w:p>
            <w:pPr>
              <w:rPr>
                <w:rFonts w:hint="eastAsia" w:ascii="宋体" w:cs="Arial"/>
                <w:sz w:val="24"/>
                <w:szCs w:val="24"/>
              </w:rPr>
            </w:pPr>
          </w:p>
          <w:p>
            <w:pPr>
              <w:rPr>
                <w:rFonts w:hint="eastAsia" w:ascii="宋体" w:cs="Arial"/>
                <w:sz w:val="24"/>
                <w:szCs w:val="24"/>
              </w:rPr>
            </w:pPr>
          </w:p>
          <w:p>
            <w:pPr>
              <w:rPr>
                <w:rFonts w:hint="eastAsia" w:ascii="宋体" w:cs="Arial"/>
                <w:sz w:val="24"/>
                <w:szCs w:val="24"/>
              </w:rPr>
            </w:pPr>
          </w:p>
          <w:p>
            <w:pPr>
              <w:rPr>
                <w:rFonts w:hint="eastAsia" w:ascii="宋体" w:cs="Arial"/>
                <w:sz w:val="24"/>
                <w:szCs w:val="24"/>
              </w:rPr>
            </w:pPr>
          </w:p>
          <w:p>
            <w:pPr>
              <w:rPr>
                <w:rFonts w:hint="eastAsia" w:ascii="宋体" w:cs="Arial"/>
                <w:sz w:val="24"/>
                <w:szCs w:val="24"/>
              </w:rPr>
            </w:pPr>
          </w:p>
          <w:p>
            <w:pPr>
              <w:rPr>
                <w:rFonts w:hint="eastAsia" w:ascii="宋体" w:cs="Arial"/>
                <w:sz w:val="24"/>
                <w:szCs w:val="24"/>
              </w:rPr>
            </w:pPr>
          </w:p>
          <w:p>
            <w:pPr>
              <w:rPr>
                <w:rFonts w:hint="eastAsia" w:ascii="宋体" w:cs="Arial"/>
                <w:sz w:val="24"/>
                <w:szCs w:val="24"/>
              </w:rPr>
            </w:pPr>
          </w:p>
          <w:p>
            <w:pPr>
              <w:rPr>
                <w:rFonts w:hint="eastAsia" w:ascii="宋体" w:cs="Arial"/>
                <w:sz w:val="24"/>
                <w:szCs w:val="24"/>
              </w:rPr>
            </w:pPr>
            <w:r>
              <w:rPr>
                <w:rFonts w:hint="eastAsia" w:ascii="宋体" w:cs="Arial"/>
                <w:sz w:val="24"/>
                <w:szCs w:val="24"/>
              </w:rPr>
              <w:t>数量指 标</w:t>
            </w:r>
          </w:p>
        </w:tc>
        <w:tc>
          <w:tcPr>
            <w:tcW w:w="558" w:type="dxa"/>
            <w:tcBorders>
              <w:top w:val="single" w:color="auto" w:sz="6" w:space="0"/>
              <w:left w:val="nil"/>
              <w:bottom w:val="single" w:color="auto" w:sz="6" w:space="0"/>
              <w:right w:val="single" w:color="auto" w:sz="6" w:space="0"/>
            </w:tcBorders>
            <w:vAlign w:val="top"/>
          </w:tcPr>
          <w:p>
            <w:pPr>
              <w:pStyle w:val="6"/>
              <w:jc w:val="center"/>
              <w:rPr>
                <w:rFonts w:hint="eastAsia" w:ascii="宋体" w:cs="Arial"/>
                <w:sz w:val="24"/>
                <w:szCs w:val="24"/>
              </w:rPr>
            </w:pPr>
            <w:r>
              <w:rPr>
                <w:rFonts w:hint="eastAsia" w:asciiTheme="majorEastAsia" w:hAnsiTheme="majorEastAsia" w:eastAsiaTheme="majorEastAsia" w:cstheme="minorEastAsia"/>
                <w:color w:val="000000"/>
                <w:szCs w:val="21"/>
                <w:lang w:val="en-US" w:eastAsia="zh-CN"/>
              </w:rPr>
              <w:t xml:space="preserve"> </w:t>
            </w:r>
            <w:r>
              <w:rPr>
                <w:rFonts w:hint="eastAsia" w:asciiTheme="majorEastAsia" w:hAnsiTheme="majorEastAsia" w:eastAsiaTheme="majorEastAsia" w:cstheme="minorEastAsia"/>
                <w:color w:val="000000"/>
                <w:szCs w:val="21"/>
              </w:rPr>
              <w:t>240L餐厨垃圾桶</w:t>
            </w:r>
          </w:p>
        </w:tc>
        <w:tc>
          <w:tcPr>
            <w:tcW w:w="500" w:type="dxa"/>
            <w:tcBorders>
              <w:top w:val="single" w:color="auto" w:sz="6" w:space="0"/>
              <w:left w:val="nil"/>
              <w:bottom w:val="single" w:color="auto" w:sz="6" w:space="0"/>
              <w:right w:val="single" w:color="auto" w:sz="6" w:space="0"/>
            </w:tcBorders>
            <w:vAlign w:val="top"/>
          </w:tcPr>
          <w:p>
            <w:pPr>
              <w:pStyle w:val="6"/>
              <w:jc w:val="center"/>
              <w:rPr>
                <w:rFonts w:ascii="宋体"/>
                <w:sz w:val="24"/>
                <w:szCs w:val="24"/>
                <w:lang w:val="en-US"/>
              </w:rPr>
            </w:pPr>
            <w:r>
              <w:rPr>
                <w:rFonts w:hint="eastAsia" w:asciiTheme="majorEastAsia" w:hAnsiTheme="majorEastAsia" w:eastAsiaTheme="majorEastAsia"/>
                <w:lang w:val="en-US" w:eastAsia="zh-CN"/>
              </w:rPr>
              <w:t xml:space="preserve"> 500个</w:t>
            </w:r>
          </w:p>
        </w:tc>
        <w:tc>
          <w:tcPr>
            <w:tcW w:w="599" w:type="dxa"/>
            <w:tcBorders>
              <w:top w:val="single" w:color="auto" w:sz="6" w:space="0"/>
              <w:left w:val="nil"/>
              <w:bottom w:val="single" w:color="auto" w:sz="6" w:space="0"/>
              <w:right w:val="single" w:color="auto" w:sz="6" w:space="0"/>
            </w:tcBorders>
            <w:vAlign w:val="center"/>
          </w:tcPr>
          <w:p>
            <w:pPr>
              <w:rPr>
                <w:rFonts w:hint="eastAsia" w:ascii="宋体"/>
                <w:sz w:val="24"/>
                <w:szCs w:val="24"/>
                <w:lang w:val="en-US" w:eastAsia="zh-CN"/>
              </w:rPr>
            </w:pPr>
          </w:p>
          <w:p>
            <w:pPr>
              <w:rPr>
                <w:rFonts w:ascii="宋体"/>
                <w:sz w:val="24"/>
                <w:szCs w:val="24"/>
              </w:rPr>
            </w:pPr>
            <w:r>
              <w:rPr>
                <w:rFonts w:hint="eastAsia" w:ascii="宋体"/>
                <w:sz w:val="24"/>
                <w:szCs w:val="24"/>
                <w:lang w:val="en-US" w:eastAsia="zh-CN"/>
              </w:rPr>
              <w:t>100％</w:t>
            </w:r>
          </w:p>
        </w:tc>
        <w:tc>
          <w:tcPr>
            <w:tcW w:w="558" w:type="dxa"/>
            <w:gridSpan w:val="2"/>
            <w:tcBorders>
              <w:top w:val="single" w:color="auto" w:sz="6" w:space="0"/>
              <w:left w:val="nil"/>
              <w:bottom w:val="single" w:color="auto" w:sz="6" w:space="0"/>
              <w:right w:val="single" w:color="auto" w:sz="6" w:space="0"/>
            </w:tcBorders>
            <w:vAlign w:val="center"/>
          </w:tcPr>
          <w:p>
            <w:pPr>
              <w:rPr>
                <w:rFonts w:hint="eastAsia" w:ascii="宋体"/>
                <w:sz w:val="24"/>
                <w:szCs w:val="24"/>
                <w:lang w:val="en-US" w:eastAsia="zh-CN"/>
              </w:rPr>
            </w:pPr>
          </w:p>
          <w:p>
            <w:pPr>
              <w:rPr>
                <w:rFonts w:ascii="宋体"/>
                <w:sz w:val="24"/>
                <w:szCs w:val="24"/>
              </w:rPr>
            </w:pPr>
            <w:r>
              <w:rPr>
                <w:rFonts w:hint="eastAsia" w:ascii="宋体"/>
                <w:sz w:val="24"/>
                <w:szCs w:val="24"/>
                <w:lang w:val="en-US" w:eastAsia="zh-CN"/>
              </w:rPr>
              <w:t>100％</w:t>
            </w:r>
          </w:p>
        </w:tc>
        <w:tc>
          <w:tcPr>
            <w:tcW w:w="490"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p>
        </w:tc>
        <w:tc>
          <w:tcPr>
            <w:tcW w:w="33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0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25"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41"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00" w:type="dxa"/>
            <w:tcBorders>
              <w:top w:val="single" w:color="auto" w:sz="6" w:space="0"/>
              <w:left w:val="nil"/>
              <w:bottom w:val="single" w:color="auto" w:sz="6" w:space="0"/>
              <w:right w:val="single" w:color="auto" w:sz="6" w:space="0"/>
            </w:tcBorders>
            <w:vAlign w:val="center"/>
          </w:tcPr>
          <w:p>
            <w:pPr>
              <w:rPr>
                <w:rFonts w:hint="eastAsia" w:ascii="宋体"/>
                <w:sz w:val="24"/>
                <w:szCs w:val="24"/>
                <w:lang w:val="en-US" w:eastAsia="zh-CN"/>
              </w:rPr>
            </w:pPr>
          </w:p>
          <w:p>
            <w:pPr>
              <w:rPr>
                <w:rFonts w:hint="eastAsia" w:ascii="宋体"/>
                <w:sz w:val="24"/>
                <w:szCs w:val="24"/>
                <w:lang w:val="en-US" w:eastAsia="zh-CN"/>
              </w:rPr>
            </w:pPr>
          </w:p>
          <w:p>
            <w:pPr>
              <w:rPr>
                <w:rFonts w:hint="eastAsia" w:ascii="宋体"/>
                <w:sz w:val="24"/>
                <w:szCs w:val="24"/>
                <w:lang w:val="en-US" w:eastAsia="zh-CN"/>
              </w:rPr>
            </w:pPr>
          </w:p>
          <w:p>
            <w:pPr>
              <w:rPr>
                <w:rFonts w:ascii="宋体"/>
                <w:sz w:val="24"/>
                <w:szCs w:val="24"/>
              </w:rPr>
            </w:pPr>
            <w:r>
              <w:rPr>
                <w:rFonts w:hint="eastAsia" w:ascii="宋体"/>
                <w:sz w:val="24"/>
                <w:szCs w:val="24"/>
                <w:lang w:val="en-US" w:eastAsia="zh-CN"/>
              </w:rPr>
              <w:t>√</w:t>
            </w:r>
          </w:p>
        </w:tc>
        <w:tc>
          <w:tcPr>
            <w:tcW w:w="47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17" w:type="dxa"/>
            <w:tcBorders>
              <w:top w:val="single" w:color="auto" w:sz="6" w:space="0"/>
              <w:left w:val="nil"/>
              <w:bottom w:val="single" w:color="auto" w:sz="6" w:space="0"/>
              <w:right w:val="single" w:color="auto" w:sz="6" w:space="0"/>
            </w:tcBorders>
            <w:vAlign w:val="center"/>
          </w:tcPr>
          <w:p>
            <w:pPr>
              <w:rPr>
                <w:rFonts w:ascii="宋体"/>
                <w:sz w:val="24"/>
                <w:szCs w:val="24"/>
              </w:rPr>
            </w:pPr>
          </w:p>
        </w:tc>
      </w:tr>
      <w:tr>
        <w:tblPrEx>
          <w:tblCellMar>
            <w:top w:w="0" w:type="dxa"/>
            <w:left w:w="108" w:type="dxa"/>
            <w:bottom w:w="0" w:type="dxa"/>
            <w:right w:w="108" w:type="dxa"/>
          </w:tblCellMar>
        </w:tblPrEx>
        <w:trPr>
          <w:trHeight w:val="320" w:hRule="atLeast"/>
        </w:trPr>
        <w:tc>
          <w:tcPr>
            <w:tcW w:w="970" w:type="dxa"/>
            <w:vMerge w:val="continue"/>
            <w:tcBorders>
              <w:top w:val="nil"/>
              <w:left w:val="single" w:color="auto" w:sz="6" w:space="0"/>
              <w:bottom w:val="single" w:color="auto" w:sz="6" w:space="0"/>
              <w:right w:val="single" w:color="auto" w:sz="6" w:space="0"/>
            </w:tcBorders>
            <w:vAlign w:val="center"/>
          </w:tcPr>
          <w:p>
            <w:pPr>
              <w:widowControl/>
              <w:jc w:val="left"/>
              <w:rPr>
                <w:rFonts w:ascii="宋体" w:cs="Arial"/>
                <w:sz w:val="24"/>
                <w:szCs w:val="24"/>
              </w:rPr>
            </w:pPr>
          </w:p>
        </w:tc>
        <w:tc>
          <w:tcPr>
            <w:tcW w:w="678" w:type="dxa"/>
            <w:vMerge w:val="continue"/>
            <w:tcBorders>
              <w:top w:val="nil"/>
              <w:left w:val="nil"/>
              <w:bottom w:val="nil"/>
              <w:right w:val="single" w:color="auto" w:sz="6" w:space="0"/>
            </w:tcBorders>
            <w:vAlign w:val="center"/>
          </w:tcPr>
          <w:p>
            <w:pPr>
              <w:widowControl/>
              <w:jc w:val="left"/>
              <w:rPr>
                <w:rFonts w:ascii="宋体" w:cs="Arial"/>
                <w:sz w:val="24"/>
                <w:szCs w:val="24"/>
              </w:rPr>
            </w:pPr>
          </w:p>
        </w:tc>
        <w:tc>
          <w:tcPr>
            <w:tcW w:w="558" w:type="dxa"/>
            <w:vMerge w:val="continue"/>
            <w:tcBorders>
              <w:left w:val="nil"/>
              <w:right w:val="single" w:color="auto" w:sz="6" w:space="0"/>
            </w:tcBorders>
            <w:vAlign w:val="center"/>
          </w:tcPr>
          <w:p>
            <w:pPr>
              <w:rPr>
                <w:rFonts w:hint="eastAsia" w:ascii="宋体" w:cs="Arial"/>
                <w:sz w:val="24"/>
                <w:szCs w:val="24"/>
              </w:rPr>
            </w:pPr>
          </w:p>
        </w:tc>
        <w:tc>
          <w:tcPr>
            <w:tcW w:w="558" w:type="dxa"/>
            <w:tcBorders>
              <w:top w:val="single" w:color="auto" w:sz="6" w:space="0"/>
              <w:left w:val="nil"/>
              <w:bottom w:val="single" w:color="auto" w:sz="6" w:space="0"/>
              <w:right w:val="single" w:color="auto" w:sz="6" w:space="0"/>
            </w:tcBorders>
            <w:vAlign w:val="top"/>
          </w:tcPr>
          <w:p>
            <w:pPr>
              <w:pStyle w:val="6"/>
              <w:jc w:val="center"/>
              <w:rPr>
                <w:rFonts w:hint="eastAsia" w:ascii="宋体" w:cs="Arial"/>
                <w:sz w:val="24"/>
                <w:szCs w:val="24"/>
              </w:rPr>
            </w:pPr>
            <w:r>
              <w:rPr>
                <w:rFonts w:hint="eastAsia" w:asciiTheme="majorEastAsia" w:hAnsiTheme="majorEastAsia" w:eastAsiaTheme="majorEastAsia" w:cstheme="minorEastAsia"/>
                <w:color w:val="000000"/>
                <w:szCs w:val="21"/>
              </w:rPr>
              <w:t>分类垃圾桶</w:t>
            </w:r>
          </w:p>
        </w:tc>
        <w:tc>
          <w:tcPr>
            <w:tcW w:w="500" w:type="dxa"/>
            <w:tcBorders>
              <w:top w:val="single" w:color="auto" w:sz="6" w:space="0"/>
              <w:left w:val="nil"/>
              <w:bottom w:val="single" w:color="auto" w:sz="6" w:space="0"/>
              <w:right w:val="single" w:color="auto" w:sz="6" w:space="0"/>
            </w:tcBorders>
            <w:vAlign w:val="top"/>
          </w:tcPr>
          <w:p>
            <w:pPr>
              <w:pStyle w:val="6"/>
              <w:jc w:val="center"/>
              <w:rPr>
                <w:rFonts w:ascii="宋体"/>
                <w:sz w:val="24"/>
                <w:szCs w:val="24"/>
              </w:rPr>
            </w:pPr>
            <w:r>
              <w:rPr>
                <w:rFonts w:hint="eastAsia" w:asciiTheme="majorEastAsia" w:hAnsiTheme="majorEastAsia" w:eastAsiaTheme="majorEastAsia" w:cstheme="minorEastAsia"/>
                <w:color w:val="000000"/>
                <w:szCs w:val="21"/>
                <w:lang w:val="en-US" w:eastAsia="zh-CN"/>
              </w:rPr>
              <w:t>560个</w:t>
            </w:r>
          </w:p>
        </w:tc>
        <w:tc>
          <w:tcPr>
            <w:tcW w:w="599"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558"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490"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p>
        </w:tc>
        <w:tc>
          <w:tcPr>
            <w:tcW w:w="33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0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25"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41"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00"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w:t>
            </w:r>
          </w:p>
        </w:tc>
        <w:tc>
          <w:tcPr>
            <w:tcW w:w="47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17" w:type="dxa"/>
            <w:tcBorders>
              <w:top w:val="single" w:color="auto" w:sz="6" w:space="0"/>
              <w:left w:val="nil"/>
              <w:bottom w:val="single" w:color="auto" w:sz="6" w:space="0"/>
              <w:right w:val="single" w:color="auto" w:sz="6" w:space="0"/>
            </w:tcBorders>
            <w:vAlign w:val="center"/>
          </w:tcPr>
          <w:p>
            <w:pPr>
              <w:rPr>
                <w:rFonts w:ascii="宋体"/>
                <w:sz w:val="24"/>
                <w:szCs w:val="24"/>
              </w:rPr>
            </w:pPr>
          </w:p>
        </w:tc>
      </w:tr>
      <w:tr>
        <w:tblPrEx>
          <w:tblCellMar>
            <w:top w:w="0" w:type="dxa"/>
            <w:left w:w="108" w:type="dxa"/>
            <w:bottom w:w="0" w:type="dxa"/>
            <w:right w:w="108" w:type="dxa"/>
          </w:tblCellMar>
        </w:tblPrEx>
        <w:trPr>
          <w:trHeight w:val="320" w:hRule="atLeast"/>
        </w:trPr>
        <w:tc>
          <w:tcPr>
            <w:tcW w:w="970" w:type="dxa"/>
            <w:vMerge w:val="continue"/>
            <w:tcBorders>
              <w:top w:val="nil"/>
              <w:left w:val="single" w:color="auto" w:sz="6" w:space="0"/>
              <w:bottom w:val="single" w:color="auto" w:sz="6" w:space="0"/>
              <w:right w:val="single" w:color="auto" w:sz="6" w:space="0"/>
            </w:tcBorders>
            <w:vAlign w:val="center"/>
          </w:tcPr>
          <w:p>
            <w:pPr>
              <w:widowControl/>
              <w:jc w:val="left"/>
              <w:rPr>
                <w:rFonts w:ascii="宋体" w:cs="Arial"/>
                <w:sz w:val="24"/>
                <w:szCs w:val="24"/>
              </w:rPr>
            </w:pPr>
          </w:p>
        </w:tc>
        <w:tc>
          <w:tcPr>
            <w:tcW w:w="678" w:type="dxa"/>
            <w:vMerge w:val="continue"/>
            <w:tcBorders>
              <w:top w:val="nil"/>
              <w:left w:val="nil"/>
              <w:bottom w:val="nil"/>
              <w:right w:val="single" w:color="auto" w:sz="6" w:space="0"/>
            </w:tcBorders>
            <w:vAlign w:val="center"/>
          </w:tcPr>
          <w:p>
            <w:pPr>
              <w:widowControl/>
              <w:jc w:val="left"/>
              <w:rPr>
                <w:rFonts w:ascii="宋体" w:cs="Arial"/>
                <w:sz w:val="24"/>
                <w:szCs w:val="24"/>
              </w:rPr>
            </w:pPr>
          </w:p>
        </w:tc>
        <w:tc>
          <w:tcPr>
            <w:tcW w:w="558" w:type="dxa"/>
            <w:vMerge w:val="continue"/>
            <w:tcBorders>
              <w:left w:val="nil"/>
              <w:right w:val="single" w:color="auto" w:sz="6" w:space="0"/>
            </w:tcBorders>
            <w:vAlign w:val="center"/>
          </w:tcPr>
          <w:p>
            <w:pPr>
              <w:rPr>
                <w:rFonts w:hint="eastAsia" w:ascii="宋体" w:cs="Arial"/>
                <w:sz w:val="24"/>
                <w:szCs w:val="24"/>
              </w:rPr>
            </w:pPr>
          </w:p>
        </w:tc>
        <w:tc>
          <w:tcPr>
            <w:tcW w:w="558" w:type="dxa"/>
            <w:tcBorders>
              <w:top w:val="single" w:color="auto" w:sz="6" w:space="0"/>
              <w:left w:val="nil"/>
              <w:bottom w:val="single" w:color="auto" w:sz="6" w:space="0"/>
              <w:right w:val="single" w:color="auto" w:sz="6" w:space="0"/>
            </w:tcBorders>
            <w:vAlign w:val="top"/>
          </w:tcPr>
          <w:p>
            <w:pPr>
              <w:pStyle w:val="6"/>
              <w:jc w:val="center"/>
              <w:rPr>
                <w:rFonts w:hint="eastAsia" w:ascii="宋体" w:cs="Arial"/>
                <w:sz w:val="24"/>
                <w:szCs w:val="24"/>
              </w:rPr>
            </w:pPr>
            <w:r>
              <w:rPr>
                <w:rFonts w:hint="eastAsia" w:asciiTheme="majorEastAsia" w:hAnsiTheme="majorEastAsia" w:eastAsiaTheme="majorEastAsia" w:cstheme="minorEastAsia"/>
                <w:color w:val="000000"/>
                <w:szCs w:val="21"/>
              </w:rPr>
              <w:t>箱式高压冲洗车</w:t>
            </w:r>
          </w:p>
        </w:tc>
        <w:tc>
          <w:tcPr>
            <w:tcW w:w="500" w:type="dxa"/>
            <w:tcBorders>
              <w:top w:val="single" w:color="auto" w:sz="6" w:space="0"/>
              <w:left w:val="nil"/>
              <w:bottom w:val="single" w:color="auto" w:sz="6" w:space="0"/>
              <w:right w:val="single" w:color="auto" w:sz="6" w:space="0"/>
            </w:tcBorders>
            <w:vAlign w:val="top"/>
          </w:tcPr>
          <w:p>
            <w:pPr>
              <w:pStyle w:val="6"/>
              <w:jc w:val="center"/>
              <w:rPr>
                <w:rFonts w:ascii="宋体"/>
                <w:sz w:val="24"/>
                <w:szCs w:val="24"/>
              </w:rPr>
            </w:pPr>
            <w:r>
              <w:rPr>
                <w:rFonts w:hint="eastAsia" w:asciiTheme="majorEastAsia" w:hAnsiTheme="majorEastAsia" w:eastAsiaTheme="majorEastAsia" w:cstheme="minorEastAsia"/>
                <w:color w:val="000000"/>
                <w:szCs w:val="21"/>
              </w:rPr>
              <w:t>2</w:t>
            </w:r>
            <w:r>
              <w:rPr>
                <w:rFonts w:hint="eastAsia" w:asciiTheme="majorEastAsia" w:hAnsiTheme="majorEastAsia" w:eastAsiaTheme="majorEastAsia"/>
                <w:lang w:val="en-US" w:eastAsia="zh-CN"/>
              </w:rPr>
              <w:t>辆</w:t>
            </w:r>
          </w:p>
        </w:tc>
        <w:tc>
          <w:tcPr>
            <w:tcW w:w="599"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558"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490"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p>
        </w:tc>
        <w:tc>
          <w:tcPr>
            <w:tcW w:w="33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0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25"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41"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00"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w:t>
            </w:r>
          </w:p>
        </w:tc>
        <w:tc>
          <w:tcPr>
            <w:tcW w:w="47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17" w:type="dxa"/>
            <w:tcBorders>
              <w:top w:val="single" w:color="auto" w:sz="6" w:space="0"/>
              <w:left w:val="nil"/>
              <w:bottom w:val="single" w:color="auto" w:sz="6" w:space="0"/>
              <w:right w:val="single" w:color="auto" w:sz="6" w:space="0"/>
            </w:tcBorders>
            <w:vAlign w:val="center"/>
          </w:tcPr>
          <w:p>
            <w:pPr>
              <w:rPr>
                <w:rFonts w:ascii="宋体"/>
                <w:sz w:val="24"/>
                <w:szCs w:val="24"/>
              </w:rPr>
            </w:pPr>
          </w:p>
        </w:tc>
      </w:tr>
      <w:tr>
        <w:tblPrEx>
          <w:tblCellMar>
            <w:top w:w="0" w:type="dxa"/>
            <w:left w:w="108" w:type="dxa"/>
            <w:bottom w:w="0" w:type="dxa"/>
            <w:right w:w="108" w:type="dxa"/>
          </w:tblCellMar>
        </w:tblPrEx>
        <w:trPr>
          <w:trHeight w:val="320" w:hRule="atLeast"/>
        </w:trPr>
        <w:tc>
          <w:tcPr>
            <w:tcW w:w="970" w:type="dxa"/>
            <w:vMerge w:val="continue"/>
            <w:tcBorders>
              <w:top w:val="nil"/>
              <w:left w:val="single" w:color="auto" w:sz="6" w:space="0"/>
              <w:bottom w:val="single" w:color="auto" w:sz="6" w:space="0"/>
              <w:right w:val="single" w:color="auto" w:sz="6" w:space="0"/>
            </w:tcBorders>
            <w:vAlign w:val="center"/>
          </w:tcPr>
          <w:p>
            <w:pPr>
              <w:widowControl/>
              <w:jc w:val="left"/>
              <w:rPr>
                <w:rFonts w:ascii="宋体" w:cs="Arial"/>
                <w:sz w:val="24"/>
                <w:szCs w:val="24"/>
              </w:rPr>
            </w:pPr>
          </w:p>
        </w:tc>
        <w:tc>
          <w:tcPr>
            <w:tcW w:w="678" w:type="dxa"/>
            <w:vMerge w:val="continue"/>
            <w:tcBorders>
              <w:top w:val="nil"/>
              <w:left w:val="nil"/>
              <w:bottom w:val="nil"/>
              <w:right w:val="single" w:color="auto" w:sz="6" w:space="0"/>
            </w:tcBorders>
            <w:vAlign w:val="center"/>
          </w:tcPr>
          <w:p>
            <w:pPr>
              <w:widowControl/>
              <w:jc w:val="left"/>
              <w:rPr>
                <w:rFonts w:ascii="宋体" w:cs="Arial"/>
                <w:sz w:val="24"/>
                <w:szCs w:val="24"/>
              </w:rPr>
            </w:pPr>
          </w:p>
        </w:tc>
        <w:tc>
          <w:tcPr>
            <w:tcW w:w="558" w:type="dxa"/>
            <w:vMerge w:val="continue"/>
            <w:tcBorders>
              <w:left w:val="nil"/>
              <w:right w:val="single" w:color="auto" w:sz="6" w:space="0"/>
            </w:tcBorders>
            <w:vAlign w:val="center"/>
          </w:tcPr>
          <w:p>
            <w:pPr>
              <w:rPr>
                <w:rFonts w:hint="eastAsia" w:ascii="宋体" w:cs="Arial"/>
                <w:sz w:val="24"/>
                <w:szCs w:val="24"/>
              </w:rPr>
            </w:pPr>
          </w:p>
        </w:tc>
        <w:tc>
          <w:tcPr>
            <w:tcW w:w="558" w:type="dxa"/>
            <w:tcBorders>
              <w:top w:val="single" w:color="auto" w:sz="6" w:space="0"/>
              <w:left w:val="nil"/>
              <w:bottom w:val="single" w:color="auto" w:sz="6" w:space="0"/>
              <w:right w:val="single" w:color="auto" w:sz="6" w:space="0"/>
            </w:tcBorders>
            <w:vAlign w:val="top"/>
          </w:tcPr>
          <w:p>
            <w:pPr>
              <w:pStyle w:val="6"/>
              <w:jc w:val="center"/>
              <w:rPr>
                <w:rFonts w:hint="eastAsia" w:ascii="宋体" w:cs="Arial"/>
                <w:sz w:val="24"/>
                <w:szCs w:val="24"/>
              </w:rPr>
            </w:pPr>
            <w:r>
              <w:rPr>
                <w:rFonts w:hint="eastAsia" w:asciiTheme="majorEastAsia" w:hAnsiTheme="majorEastAsia" w:eastAsiaTheme="majorEastAsia" w:cstheme="minorEastAsia"/>
                <w:color w:val="000000"/>
                <w:szCs w:val="21"/>
              </w:rPr>
              <w:t>240L可回收垃圾桶</w:t>
            </w:r>
          </w:p>
        </w:tc>
        <w:tc>
          <w:tcPr>
            <w:tcW w:w="500" w:type="dxa"/>
            <w:tcBorders>
              <w:top w:val="single" w:color="auto" w:sz="6" w:space="0"/>
              <w:left w:val="nil"/>
              <w:bottom w:val="single" w:color="auto" w:sz="6" w:space="0"/>
              <w:right w:val="single" w:color="auto" w:sz="6" w:space="0"/>
            </w:tcBorders>
            <w:vAlign w:val="top"/>
          </w:tcPr>
          <w:p>
            <w:pPr>
              <w:pStyle w:val="6"/>
              <w:jc w:val="center"/>
              <w:rPr>
                <w:rFonts w:ascii="宋体"/>
                <w:sz w:val="24"/>
                <w:szCs w:val="24"/>
              </w:rPr>
            </w:pPr>
            <w:r>
              <w:rPr>
                <w:rFonts w:hint="eastAsia" w:asciiTheme="majorEastAsia" w:hAnsiTheme="majorEastAsia" w:eastAsiaTheme="majorEastAsia" w:cstheme="minorEastAsia"/>
                <w:color w:val="000000"/>
                <w:szCs w:val="21"/>
              </w:rPr>
              <w:t>3</w:t>
            </w:r>
            <w:r>
              <w:rPr>
                <w:rFonts w:asciiTheme="majorEastAsia" w:hAnsiTheme="majorEastAsia" w:eastAsiaTheme="majorEastAsia" w:cstheme="minorEastAsia"/>
                <w:color w:val="000000"/>
                <w:szCs w:val="21"/>
              </w:rPr>
              <w:t>8</w:t>
            </w:r>
            <w:r>
              <w:rPr>
                <w:rFonts w:hint="eastAsia" w:asciiTheme="majorEastAsia" w:hAnsiTheme="majorEastAsia" w:eastAsiaTheme="majorEastAsia" w:cstheme="minorEastAsia"/>
                <w:color w:val="000000"/>
                <w:szCs w:val="21"/>
                <w:lang w:val="en-US" w:eastAsia="zh-CN"/>
              </w:rPr>
              <w:t>个</w:t>
            </w:r>
          </w:p>
        </w:tc>
        <w:tc>
          <w:tcPr>
            <w:tcW w:w="599"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558"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490"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p>
        </w:tc>
        <w:tc>
          <w:tcPr>
            <w:tcW w:w="33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0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25"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41"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00"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w:t>
            </w:r>
          </w:p>
        </w:tc>
        <w:tc>
          <w:tcPr>
            <w:tcW w:w="47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17" w:type="dxa"/>
            <w:tcBorders>
              <w:top w:val="single" w:color="auto" w:sz="6" w:space="0"/>
              <w:left w:val="nil"/>
              <w:bottom w:val="single" w:color="auto" w:sz="6" w:space="0"/>
              <w:right w:val="single" w:color="auto" w:sz="6" w:space="0"/>
            </w:tcBorders>
            <w:vAlign w:val="center"/>
          </w:tcPr>
          <w:p>
            <w:pPr>
              <w:rPr>
                <w:rFonts w:ascii="宋体"/>
                <w:sz w:val="24"/>
                <w:szCs w:val="24"/>
              </w:rPr>
            </w:pPr>
          </w:p>
        </w:tc>
      </w:tr>
      <w:tr>
        <w:tblPrEx>
          <w:tblCellMar>
            <w:top w:w="0" w:type="dxa"/>
            <w:left w:w="108" w:type="dxa"/>
            <w:bottom w:w="0" w:type="dxa"/>
            <w:right w:w="108" w:type="dxa"/>
          </w:tblCellMar>
        </w:tblPrEx>
        <w:trPr>
          <w:trHeight w:val="320" w:hRule="atLeast"/>
        </w:trPr>
        <w:tc>
          <w:tcPr>
            <w:tcW w:w="970" w:type="dxa"/>
            <w:vMerge w:val="continue"/>
            <w:tcBorders>
              <w:top w:val="nil"/>
              <w:left w:val="single" w:color="auto" w:sz="6" w:space="0"/>
              <w:bottom w:val="single" w:color="auto" w:sz="6" w:space="0"/>
              <w:right w:val="single" w:color="auto" w:sz="6" w:space="0"/>
            </w:tcBorders>
            <w:vAlign w:val="center"/>
          </w:tcPr>
          <w:p>
            <w:pPr>
              <w:widowControl/>
              <w:jc w:val="left"/>
              <w:rPr>
                <w:rFonts w:ascii="宋体" w:cs="Arial"/>
                <w:sz w:val="24"/>
                <w:szCs w:val="24"/>
              </w:rPr>
            </w:pPr>
          </w:p>
        </w:tc>
        <w:tc>
          <w:tcPr>
            <w:tcW w:w="678" w:type="dxa"/>
            <w:vMerge w:val="continue"/>
            <w:tcBorders>
              <w:top w:val="nil"/>
              <w:left w:val="nil"/>
              <w:bottom w:val="nil"/>
              <w:right w:val="single" w:color="auto" w:sz="6" w:space="0"/>
            </w:tcBorders>
            <w:vAlign w:val="center"/>
          </w:tcPr>
          <w:p>
            <w:pPr>
              <w:widowControl/>
              <w:jc w:val="left"/>
              <w:rPr>
                <w:rFonts w:ascii="宋体" w:cs="Arial"/>
                <w:sz w:val="24"/>
                <w:szCs w:val="24"/>
              </w:rPr>
            </w:pPr>
          </w:p>
        </w:tc>
        <w:tc>
          <w:tcPr>
            <w:tcW w:w="558" w:type="dxa"/>
            <w:vMerge w:val="continue"/>
            <w:tcBorders>
              <w:left w:val="nil"/>
              <w:bottom w:val="single" w:color="auto" w:sz="6" w:space="0"/>
              <w:right w:val="single" w:color="auto" w:sz="6" w:space="0"/>
            </w:tcBorders>
            <w:vAlign w:val="center"/>
          </w:tcPr>
          <w:p>
            <w:pPr>
              <w:rPr>
                <w:rFonts w:hint="eastAsia" w:ascii="宋体" w:cs="Arial"/>
                <w:sz w:val="24"/>
                <w:szCs w:val="24"/>
              </w:rPr>
            </w:pPr>
          </w:p>
        </w:tc>
        <w:tc>
          <w:tcPr>
            <w:tcW w:w="558" w:type="dxa"/>
            <w:tcBorders>
              <w:top w:val="single" w:color="auto" w:sz="6" w:space="0"/>
              <w:left w:val="nil"/>
              <w:bottom w:val="single" w:color="auto" w:sz="6" w:space="0"/>
              <w:right w:val="single" w:color="auto" w:sz="6" w:space="0"/>
            </w:tcBorders>
            <w:vAlign w:val="top"/>
          </w:tcPr>
          <w:p>
            <w:pPr>
              <w:pStyle w:val="6"/>
              <w:jc w:val="center"/>
              <w:rPr>
                <w:rFonts w:hint="eastAsia" w:ascii="宋体" w:cs="Arial"/>
                <w:sz w:val="24"/>
                <w:szCs w:val="24"/>
              </w:rPr>
            </w:pPr>
            <w:r>
              <w:rPr>
                <w:rFonts w:hint="eastAsia" w:asciiTheme="majorEastAsia" w:hAnsiTheme="majorEastAsia" w:eastAsiaTheme="majorEastAsia" w:cstheme="minorEastAsia"/>
                <w:color w:val="000000"/>
                <w:szCs w:val="21"/>
              </w:rPr>
              <w:t>垃圾袋（配套240L垃圾桶）</w:t>
            </w:r>
          </w:p>
        </w:tc>
        <w:tc>
          <w:tcPr>
            <w:tcW w:w="500" w:type="dxa"/>
            <w:tcBorders>
              <w:top w:val="single" w:color="auto" w:sz="6" w:space="0"/>
              <w:left w:val="nil"/>
              <w:bottom w:val="single" w:color="auto" w:sz="6" w:space="0"/>
              <w:right w:val="single" w:color="auto" w:sz="6" w:space="0"/>
            </w:tcBorders>
            <w:vAlign w:val="top"/>
          </w:tcPr>
          <w:p>
            <w:pPr>
              <w:pStyle w:val="6"/>
              <w:jc w:val="center"/>
              <w:rPr>
                <w:rFonts w:ascii="宋体"/>
                <w:sz w:val="24"/>
                <w:szCs w:val="24"/>
              </w:rPr>
            </w:pPr>
            <w:r>
              <w:rPr>
                <w:rFonts w:hint="eastAsia" w:asciiTheme="majorEastAsia" w:hAnsiTheme="majorEastAsia" w:eastAsiaTheme="majorEastAsia"/>
              </w:rPr>
              <w:t>2</w:t>
            </w:r>
            <w:r>
              <w:rPr>
                <w:rFonts w:asciiTheme="majorEastAsia" w:hAnsiTheme="majorEastAsia" w:eastAsiaTheme="majorEastAsia"/>
              </w:rPr>
              <w:t>0000</w:t>
            </w:r>
            <w:r>
              <w:rPr>
                <w:rFonts w:hint="eastAsia" w:asciiTheme="majorEastAsia" w:hAnsiTheme="majorEastAsia" w:eastAsiaTheme="majorEastAsia"/>
                <w:lang w:val="en-US" w:eastAsia="zh-CN"/>
              </w:rPr>
              <w:t>个</w:t>
            </w:r>
          </w:p>
        </w:tc>
        <w:tc>
          <w:tcPr>
            <w:tcW w:w="599"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558"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490"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p>
        </w:tc>
        <w:tc>
          <w:tcPr>
            <w:tcW w:w="33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0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25"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41"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00"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w:t>
            </w:r>
          </w:p>
        </w:tc>
        <w:tc>
          <w:tcPr>
            <w:tcW w:w="47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17" w:type="dxa"/>
            <w:tcBorders>
              <w:top w:val="single" w:color="auto" w:sz="6" w:space="0"/>
              <w:left w:val="nil"/>
              <w:bottom w:val="single" w:color="auto" w:sz="6" w:space="0"/>
              <w:right w:val="single" w:color="auto" w:sz="6" w:space="0"/>
            </w:tcBorders>
            <w:vAlign w:val="center"/>
          </w:tcPr>
          <w:p>
            <w:pPr>
              <w:rPr>
                <w:rFonts w:ascii="宋体"/>
                <w:sz w:val="24"/>
                <w:szCs w:val="24"/>
              </w:rPr>
            </w:pPr>
          </w:p>
        </w:tc>
      </w:tr>
      <w:tr>
        <w:tblPrEx>
          <w:tblCellMar>
            <w:top w:w="0" w:type="dxa"/>
            <w:left w:w="108" w:type="dxa"/>
            <w:bottom w:w="0" w:type="dxa"/>
            <w:right w:w="108" w:type="dxa"/>
          </w:tblCellMar>
        </w:tblPrEx>
        <w:trPr>
          <w:trHeight w:val="320" w:hRule="atLeast"/>
        </w:trPr>
        <w:tc>
          <w:tcPr>
            <w:tcW w:w="970" w:type="dxa"/>
            <w:vMerge w:val="continue"/>
            <w:tcBorders>
              <w:top w:val="nil"/>
              <w:left w:val="single" w:color="auto" w:sz="6" w:space="0"/>
              <w:bottom w:val="single" w:color="auto" w:sz="6" w:space="0"/>
              <w:right w:val="single" w:color="auto" w:sz="6" w:space="0"/>
            </w:tcBorders>
            <w:vAlign w:val="center"/>
          </w:tcPr>
          <w:p>
            <w:pPr>
              <w:widowControl/>
              <w:jc w:val="left"/>
              <w:rPr>
                <w:rFonts w:ascii="宋体" w:cs="Arial"/>
                <w:sz w:val="24"/>
                <w:szCs w:val="24"/>
              </w:rPr>
            </w:pPr>
          </w:p>
        </w:tc>
        <w:tc>
          <w:tcPr>
            <w:tcW w:w="678" w:type="dxa"/>
            <w:vMerge w:val="continue"/>
            <w:tcBorders>
              <w:top w:val="nil"/>
              <w:left w:val="nil"/>
              <w:bottom w:val="nil"/>
              <w:right w:val="single" w:color="auto" w:sz="6" w:space="0"/>
            </w:tcBorders>
            <w:vAlign w:val="center"/>
          </w:tcPr>
          <w:p>
            <w:pPr>
              <w:widowControl/>
              <w:jc w:val="left"/>
              <w:rPr>
                <w:rFonts w:ascii="宋体" w:cs="Arial"/>
                <w:sz w:val="24"/>
                <w:szCs w:val="24"/>
              </w:rPr>
            </w:pPr>
          </w:p>
        </w:tc>
        <w:tc>
          <w:tcPr>
            <w:tcW w:w="558" w:type="dxa"/>
            <w:vMerge w:val="restart"/>
            <w:tcBorders>
              <w:top w:val="single" w:color="auto" w:sz="6" w:space="0"/>
              <w:left w:val="nil"/>
              <w:right w:val="single" w:color="auto" w:sz="6" w:space="0"/>
            </w:tcBorders>
            <w:vAlign w:val="center"/>
          </w:tcPr>
          <w:p>
            <w:pPr>
              <w:rPr>
                <w:rFonts w:hint="eastAsia" w:ascii="宋体" w:cs="Arial"/>
                <w:sz w:val="24"/>
                <w:szCs w:val="24"/>
              </w:rPr>
            </w:pPr>
            <w:r>
              <w:rPr>
                <w:rFonts w:hint="eastAsia" w:ascii="宋体" w:cs="Arial"/>
                <w:sz w:val="24"/>
                <w:szCs w:val="24"/>
              </w:rPr>
              <w:t>质量指 标</w:t>
            </w:r>
          </w:p>
        </w:tc>
        <w:tc>
          <w:tcPr>
            <w:tcW w:w="558" w:type="dxa"/>
            <w:tcBorders>
              <w:top w:val="single" w:color="auto" w:sz="6" w:space="0"/>
              <w:left w:val="nil"/>
              <w:bottom w:val="single" w:color="auto" w:sz="6" w:space="0"/>
              <w:right w:val="single" w:color="auto" w:sz="6" w:space="0"/>
            </w:tcBorders>
            <w:vAlign w:val="center"/>
          </w:tcPr>
          <w:p>
            <w:pPr>
              <w:jc w:val="center"/>
              <w:rPr>
                <w:rFonts w:hint="eastAsia" w:ascii="宋体" w:eastAsia="宋体" w:cs="Arial"/>
                <w:sz w:val="24"/>
                <w:szCs w:val="24"/>
                <w:lang w:val="en-US" w:eastAsia="zh-CN"/>
              </w:rPr>
            </w:pPr>
            <w:r>
              <w:rPr>
                <w:rFonts w:hint="eastAsia" w:ascii="宋体" w:cs="Arial"/>
                <w:sz w:val="24"/>
                <w:szCs w:val="24"/>
                <w:lang w:val="en-US" w:eastAsia="zh-CN"/>
              </w:rPr>
              <w:t>设备发放率</w:t>
            </w:r>
          </w:p>
        </w:tc>
        <w:tc>
          <w:tcPr>
            <w:tcW w:w="500" w:type="dxa"/>
            <w:tcBorders>
              <w:top w:val="single" w:color="auto" w:sz="6" w:space="0"/>
              <w:left w:val="nil"/>
              <w:bottom w:val="single" w:color="auto" w:sz="6" w:space="0"/>
              <w:right w:val="single" w:color="auto" w:sz="6" w:space="0"/>
            </w:tcBorders>
            <w:vAlign w:val="top"/>
          </w:tcPr>
          <w:p>
            <w:pPr>
              <w:pStyle w:val="6"/>
              <w:jc w:val="center"/>
              <w:rPr>
                <w:rFonts w:ascii="宋体"/>
                <w:sz w:val="24"/>
                <w:szCs w:val="24"/>
              </w:rPr>
            </w:pPr>
            <w:r>
              <w:rPr>
                <w:rFonts w:hint="eastAsia" w:ascii="宋体"/>
                <w:sz w:val="24"/>
                <w:szCs w:val="24"/>
                <w:lang w:val="en-US" w:eastAsia="zh-CN"/>
              </w:rPr>
              <w:t>100％</w:t>
            </w:r>
          </w:p>
        </w:tc>
        <w:tc>
          <w:tcPr>
            <w:tcW w:w="599"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558"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490"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p>
        </w:tc>
        <w:tc>
          <w:tcPr>
            <w:tcW w:w="33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0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25"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41"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0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7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17" w:type="dxa"/>
            <w:tcBorders>
              <w:top w:val="single" w:color="auto" w:sz="6" w:space="0"/>
              <w:left w:val="nil"/>
              <w:bottom w:val="single" w:color="auto" w:sz="6" w:space="0"/>
              <w:right w:val="single" w:color="auto" w:sz="6" w:space="0"/>
            </w:tcBorders>
            <w:vAlign w:val="center"/>
          </w:tcPr>
          <w:p>
            <w:pPr>
              <w:rPr>
                <w:rFonts w:ascii="宋体"/>
                <w:sz w:val="24"/>
                <w:szCs w:val="24"/>
              </w:rPr>
            </w:pPr>
          </w:p>
        </w:tc>
      </w:tr>
      <w:tr>
        <w:tblPrEx>
          <w:tblCellMar>
            <w:top w:w="0" w:type="dxa"/>
            <w:left w:w="108" w:type="dxa"/>
            <w:bottom w:w="0" w:type="dxa"/>
            <w:right w:w="108" w:type="dxa"/>
          </w:tblCellMar>
        </w:tblPrEx>
        <w:trPr>
          <w:trHeight w:val="320" w:hRule="atLeast"/>
        </w:trPr>
        <w:tc>
          <w:tcPr>
            <w:tcW w:w="970" w:type="dxa"/>
            <w:vMerge w:val="continue"/>
            <w:tcBorders>
              <w:top w:val="nil"/>
              <w:left w:val="single" w:color="auto" w:sz="6" w:space="0"/>
              <w:bottom w:val="single" w:color="auto" w:sz="6" w:space="0"/>
              <w:right w:val="single" w:color="auto" w:sz="6" w:space="0"/>
            </w:tcBorders>
            <w:vAlign w:val="center"/>
          </w:tcPr>
          <w:p>
            <w:pPr>
              <w:widowControl/>
              <w:jc w:val="left"/>
              <w:rPr>
                <w:rFonts w:ascii="宋体" w:cs="Arial"/>
                <w:sz w:val="24"/>
                <w:szCs w:val="24"/>
              </w:rPr>
            </w:pPr>
          </w:p>
        </w:tc>
        <w:tc>
          <w:tcPr>
            <w:tcW w:w="678" w:type="dxa"/>
            <w:vMerge w:val="continue"/>
            <w:tcBorders>
              <w:top w:val="nil"/>
              <w:left w:val="nil"/>
              <w:bottom w:val="nil"/>
              <w:right w:val="single" w:color="auto" w:sz="6" w:space="0"/>
            </w:tcBorders>
            <w:vAlign w:val="center"/>
          </w:tcPr>
          <w:p>
            <w:pPr>
              <w:widowControl/>
              <w:jc w:val="left"/>
              <w:rPr>
                <w:rFonts w:ascii="宋体" w:cs="Arial"/>
                <w:sz w:val="24"/>
                <w:szCs w:val="24"/>
              </w:rPr>
            </w:pPr>
          </w:p>
        </w:tc>
        <w:tc>
          <w:tcPr>
            <w:tcW w:w="558" w:type="dxa"/>
            <w:vMerge w:val="continue"/>
            <w:tcBorders>
              <w:left w:val="nil"/>
              <w:bottom w:val="single" w:color="auto" w:sz="6" w:space="0"/>
              <w:right w:val="single" w:color="auto" w:sz="6" w:space="0"/>
            </w:tcBorders>
            <w:vAlign w:val="center"/>
          </w:tcPr>
          <w:p>
            <w:pPr>
              <w:rPr>
                <w:rFonts w:hint="eastAsia" w:ascii="宋体" w:cs="Arial"/>
                <w:sz w:val="24"/>
                <w:szCs w:val="24"/>
              </w:rPr>
            </w:pPr>
          </w:p>
        </w:tc>
        <w:tc>
          <w:tcPr>
            <w:tcW w:w="558" w:type="dxa"/>
            <w:tcBorders>
              <w:top w:val="single" w:color="auto" w:sz="6" w:space="0"/>
              <w:left w:val="nil"/>
              <w:bottom w:val="single" w:color="auto" w:sz="6" w:space="0"/>
              <w:right w:val="single" w:color="auto" w:sz="6" w:space="0"/>
            </w:tcBorders>
            <w:vAlign w:val="center"/>
          </w:tcPr>
          <w:p>
            <w:pPr>
              <w:jc w:val="center"/>
              <w:rPr>
                <w:rFonts w:hint="eastAsia" w:ascii="宋体" w:eastAsia="宋体" w:cs="Arial"/>
                <w:sz w:val="24"/>
                <w:szCs w:val="24"/>
                <w:lang w:val="en-US" w:eastAsia="zh-CN"/>
              </w:rPr>
            </w:pPr>
            <w:r>
              <w:rPr>
                <w:rFonts w:hint="eastAsia" w:ascii="宋体" w:cs="Arial"/>
                <w:sz w:val="24"/>
                <w:szCs w:val="24"/>
                <w:lang w:val="en-US" w:eastAsia="zh-CN"/>
              </w:rPr>
              <w:t>验收合格率</w:t>
            </w:r>
          </w:p>
        </w:tc>
        <w:tc>
          <w:tcPr>
            <w:tcW w:w="500" w:type="dxa"/>
            <w:tcBorders>
              <w:top w:val="single" w:color="auto" w:sz="6" w:space="0"/>
              <w:left w:val="nil"/>
              <w:bottom w:val="single" w:color="auto" w:sz="6" w:space="0"/>
              <w:right w:val="single" w:color="auto" w:sz="6" w:space="0"/>
            </w:tcBorders>
            <w:vAlign w:val="top"/>
          </w:tcPr>
          <w:p>
            <w:pPr>
              <w:pStyle w:val="6"/>
              <w:jc w:val="center"/>
              <w:rPr>
                <w:rFonts w:ascii="宋体"/>
                <w:sz w:val="24"/>
                <w:szCs w:val="24"/>
              </w:rPr>
            </w:pPr>
            <w:r>
              <w:rPr>
                <w:rFonts w:hint="eastAsia" w:ascii="宋体"/>
                <w:sz w:val="24"/>
                <w:szCs w:val="24"/>
                <w:lang w:val="en-US" w:eastAsia="zh-CN"/>
              </w:rPr>
              <w:t>100％</w:t>
            </w:r>
          </w:p>
        </w:tc>
        <w:tc>
          <w:tcPr>
            <w:tcW w:w="599"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558"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490"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p>
        </w:tc>
        <w:tc>
          <w:tcPr>
            <w:tcW w:w="33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0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25"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41"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0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7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17" w:type="dxa"/>
            <w:tcBorders>
              <w:top w:val="single" w:color="auto" w:sz="6" w:space="0"/>
              <w:left w:val="nil"/>
              <w:bottom w:val="single" w:color="auto" w:sz="6" w:space="0"/>
              <w:right w:val="single" w:color="auto" w:sz="6" w:space="0"/>
            </w:tcBorders>
            <w:vAlign w:val="center"/>
          </w:tcPr>
          <w:p>
            <w:pPr>
              <w:rPr>
                <w:rFonts w:ascii="宋体"/>
                <w:sz w:val="24"/>
                <w:szCs w:val="24"/>
              </w:rPr>
            </w:pPr>
          </w:p>
        </w:tc>
      </w:tr>
      <w:tr>
        <w:tblPrEx>
          <w:tblCellMar>
            <w:top w:w="0" w:type="dxa"/>
            <w:left w:w="108" w:type="dxa"/>
            <w:bottom w:w="0" w:type="dxa"/>
            <w:right w:w="108" w:type="dxa"/>
          </w:tblCellMar>
        </w:tblPrEx>
        <w:trPr>
          <w:trHeight w:val="320" w:hRule="atLeast"/>
        </w:trPr>
        <w:tc>
          <w:tcPr>
            <w:tcW w:w="970" w:type="dxa"/>
            <w:vMerge w:val="continue"/>
            <w:tcBorders>
              <w:top w:val="nil"/>
              <w:left w:val="single" w:color="auto" w:sz="6" w:space="0"/>
              <w:bottom w:val="single" w:color="auto" w:sz="6" w:space="0"/>
              <w:right w:val="single" w:color="auto" w:sz="6" w:space="0"/>
            </w:tcBorders>
            <w:vAlign w:val="center"/>
          </w:tcPr>
          <w:p>
            <w:pPr>
              <w:widowControl/>
              <w:jc w:val="left"/>
              <w:rPr>
                <w:rFonts w:ascii="宋体" w:cs="Arial"/>
                <w:sz w:val="24"/>
                <w:szCs w:val="24"/>
              </w:rPr>
            </w:pPr>
          </w:p>
        </w:tc>
        <w:tc>
          <w:tcPr>
            <w:tcW w:w="678" w:type="dxa"/>
            <w:vMerge w:val="continue"/>
            <w:tcBorders>
              <w:top w:val="nil"/>
              <w:left w:val="nil"/>
              <w:bottom w:val="nil"/>
              <w:right w:val="single" w:color="auto" w:sz="6" w:space="0"/>
            </w:tcBorders>
            <w:vAlign w:val="center"/>
          </w:tcPr>
          <w:p>
            <w:pPr>
              <w:widowControl/>
              <w:jc w:val="left"/>
              <w:rPr>
                <w:rFonts w:ascii="宋体" w:cs="Arial"/>
                <w:sz w:val="24"/>
                <w:szCs w:val="24"/>
              </w:rPr>
            </w:pPr>
          </w:p>
        </w:tc>
        <w:tc>
          <w:tcPr>
            <w:tcW w:w="558" w:type="dxa"/>
            <w:vMerge w:val="restart"/>
            <w:tcBorders>
              <w:top w:val="single" w:color="auto" w:sz="6" w:space="0"/>
              <w:left w:val="nil"/>
              <w:right w:val="single" w:color="auto" w:sz="6" w:space="0"/>
            </w:tcBorders>
            <w:vAlign w:val="center"/>
          </w:tcPr>
          <w:p>
            <w:pPr>
              <w:rPr>
                <w:rFonts w:hint="eastAsia" w:ascii="宋体" w:cs="Arial"/>
                <w:sz w:val="24"/>
                <w:szCs w:val="24"/>
              </w:rPr>
            </w:pPr>
            <w:r>
              <w:rPr>
                <w:rFonts w:hint="eastAsia" w:ascii="宋体" w:cs="Arial"/>
                <w:sz w:val="24"/>
                <w:szCs w:val="24"/>
              </w:rPr>
              <w:t>实效指 标</w:t>
            </w:r>
          </w:p>
        </w:tc>
        <w:tc>
          <w:tcPr>
            <w:tcW w:w="558" w:type="dxa"/>
            <w:tcBorders>
              <w:top w:val="single" w:color="auto" w:sz="6" w:space="0"/>
              <w:left w:val="nil"/>
              <w:bottom w:val="single" w:color="auto" w:sz="6" w:space="0"/>
              <w:right w:val="single" w:color="auto" w:sz="6" w:space="0"/>
            </w:tcBorders>
            <w:vAlign w:val="center"/>
          </w:tcPr>
          <w:p>
            <w:pPr>
              <w:jc w:val="center"/>
              <w:rPr>
                <w:rFonts w:hint="eastAsia" w:ascii="宋体" w:eastAsia="宋体" w:cs="Arial"/>
                <w:sz w:val="24"/>
                <w:szCs w:val="24"/>
                <w:lang w:val="en-US" w:eastAsia="zh-CN"/>
              </w:rPr>
            </w:pPr>
            <w:r>
              <w:rPr>
                <w:rFonts w:hint="eastAsia" w:ascii="宋体" w:cs="Arial"/>
                <w:sz w:val="24"/>
                <w:szCs w:val="24"/>
                <w:lang w:val="en-US" w:eastAsia="zh-CN"/>
              </w:rPr>
              <w:t>采购及时率</w:t>
            </w:r>
          </w:p>
        </w:tc>
        <w:tc>
          <w:tcPr>
            <w:tcW w:w="500" w:type="dxa"/>
            <w:tcBorders>
              <w:top w:val="single" w:color="auto" w:sz="6" w:space="0"/>
              <w:left w:val="nil"/>
              <w:bottom w:val="single" w:color="auto" w:sz="6" w:space="0"/>
              <w:right w:val="single" w:color="auto" w:sz="6" w:space="0"/>
            </w:tcBorders>
            <w:vAlign w:val="top"/>
          </w:tcPr>
          <w:p>
            <w:pPr>
              <w:pStyle w:val="6"/>
              <w:jc w:val="center"/>
              <w:rPr>
                <w:rFonts w:ascii="宋体"/>
                <w:sz w:val="24"/>
                <w:szCs w:val="24"/>
              </w:rPr>
            </w:pPr>
            <w:r>
              <w:rPr>
                <w:rFonts w:hint="eastAsia" w:ascii="宋体"/>
                <w:sz w:val="24"/>
                <w:szCs w:val="24"/>
                <w:lang w:val="en-US" w:eastAsia="zh-CN"/>
              </w:rPr>
              <w:t>100％</w:t>
            </w:r>
          </w:p>
        </w:tc>
        <w:tc>
          <w:tcPr>
            <w:tcW w:w="599"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558"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490"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p>
        </w:tc>
        <w:tc>
          <w:tcPr>
            <w:tcW w:w="33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0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25"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41"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0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7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17" w:type="dxa"/>
            <w:tcBorders>
              <w:top w:val="single" w:color="auto" w:sz="6" w:space="0"/>
              <w:left w:val="nil"/>
              <w:bottom w:val="single" w:color="auto" w:sz="6" w:space="0"/>
              <w:right w:val="single" w:color="auto" w:sz="6" w:space="0"/>
            </w:tcBorders>
            <w:vAlign w:val="center"/>
          </w:tcPr>
          <w:p>
            <w:pPr>
              <w:rPr>
                <w:rFonts w:ascii="宋体"/>
                <w:sz w:val="24"/>
                <w:szCs w:val="24"/>
              </w:rPr>
            </w:pPr>
          </w:p>
        </w:tc>
      </w:tr>
      <w:tr>
        <w:tblPrEx>
          <w:tblCellMar>
            <w:top w:w="0" w:type="dxa"/>
            <w:left w:w="108" w:type="dxa"/>
            <w:bottom w:w="0" w:type="dxa"/>
            <w:right w:w="108" w:type="dxa"/>
          </w:tblCellMar>
        </w:tblPrEx>
        <w:trPr>
          <w:trHeight w:val="320" w:hRule="atLeast"/>
        </w:trPr>
        <w:tc>
          <w:tcPr>
            <w:tcW w:w="970" w:type="dxa"/>
            <w:vMerge w:val="continue"/>
            <w:tcBorders>
              <w:top w:val="nil"/>
              <w:left w:val="single" w:color="auto" w:sz="6" w:space="0"/>
              <w:bottom w:val="single" w:color="auto" w:sz="6" w:space="0"/>
              <w:right w:val="single" w:color="auto" w:sz="6" w:space="0"/>
            </w:tcBorders>
            <w:vAlign w:val="center"/>
          </w:tcPr>
          <w:p>
            <w:pPr>
              <w:widowControl/>
              <w:jc w:val="left"/>
              <w:rPr>
                <w:rFonts w:ascii="宋体" w:cs="Arial"/>
                <w:sz w:val="24"/>
                <w:szCs w:val="24"/>
              </w:rPr>
            </w:pPr>
          </w:p>
        </w:tc>
        <w:tc>
          <w:tcPr>
            <w:tcW w:w="678" w:type="dxa"/>
            <w:vMerge w:val="continue"/>
            <w:tcBorders>
              <w:top w:val="nil"/>
              <w:left w:val="nil"/>
              <w:bottom w:val="nil"/>
              <w:right w:val="single" w:color="auto" w:sz="6" w:space="0"/>
            </w:tcBorders>
            <w:vAlign w:val="center"/>
          </w:tcPr>
          <w:p>
            <w:pPr>
              <w:widowControl/>
              <w:jc w:val="left"/>
              <w:rPr>
                <w:rFonts w:ascii="宋体" w:cs="Arial"/>
                <w:sz w:val="24"/>
                <w:szCs w:val="24"/>
              </w:rPr>
            </w:pPr>
          </w:p>
        </w:tc>
        <w:tc>
          <w:tcPr>
            <w:tcW w:w="558" w:type="dxa"/>
            <w:vMerge w:val="continue"/>
            <w:tcBorders>
              <w:left w:val="nil"/>
              <w:bottom w:val="single" w:color="auto" w:sz="6" w:space="0"/>
              <w:right w:val="single" w:color="auto" w:sz="6" w:space="0"/>
            </w:tcBorders>
            <w:vAlign w:val="center"/>
          </w:tcPr>
          <w:p>
            <w:pPr>
              <w:rPr>
                <w:rFonts w:hint="eastAsia" w:ascii="宋体" w:cs="Arial"/>
                <w:sz w:val="24"/>
                <w:szCs w:val="24"/>
              </w:rPr>
            </w:pPr>
          </w:p>
        </w:tc>
        <w:tc>
          <w:tcPr>
            <w:tcW w:w="558" w:type="dxa"/>
            <w:tcBorders>
              <w:top w:val="single" w:color="auto" w:sz="6" w:space="0"/>
              <w:left w:val="nil"/>
              <w:bottom w:val="single" w:color="auto" w:sz="6" w:space="0"/>
              <w:right w:val="single" w:color="auto" w:sz="6" w:space="0"/>
            </w:tcBorders>
            <w:vAlign w:val="center"/>
          </w:tcPr>
          <w:p>
            <w:pPr>
              <w:jc w:val="center"/>
              <w:rPr>
                <w:rFonts w:hint="eastAsia" w:ascii="宋体" w:eastAsia="宋体" w:cs="Arial"/>
                <w:sz w:val="24"/>
                <w:szCs w:val="24"/>
                <w:lang w:val="en-US" w:eastAsia="zh-CN"/>
              </w:rPr>
            </w:pPr>
            <w:r>
              <w:rPr>
                <w:rFonts w:hint="eastAsia" w:ascii="宋体" w:cs="Arial"/>
                <w:sz w:val="24"/>
                <w:szCs w:val="24"/>
                <w:lang w:val="en-US" w:eastAsia="zh-CN"/>
              </w:rPr>
              <w:t>发放及时率</w:t>
            </w:r>
          </w:p>
        </w:tc>
        <w:tc>
          <w:tcPr>
            <w:tcW w:w="500" w:type="dxa"/>
            <w:tcBorders>
              <w:top w:val="single" w:color="auto" w:sz="6" w:space="0"/>
              <w:left w:val="nil"/>
              <w:bottom w:val="single" w:color="auto" w:sz="6" w:space="0"/>
              <w:right w:val="single" w:color="auto" w:sz="6" w:space="0"/>
            </w:tcBorders>
            <w:vAlign w:val="top"/>
          </w:tcPr>
          <w:p>
            <w:pPr>
              <w:pStyle w:val="6"/>
              <w:jc w:val="center"/>
              <w:rPr>
                <w:rFonts w:ascii="宋体"/>
                <w:sz w:val="24"/>
                <w:szCs w:val="24"/>
              </w:rPr>
            </w:pPr>
            <w:r>
              <w:rPr>
                <w:rFonts w:hint="eastAsia" w:ascii="宋体"/>
                <w:sz w:val="24"/>
                <w:szCs w:val="24"/>
                <w:lang w:val="en-US" w:eastAsia="zh-CN"/>
              </w:rPr>
              <w:t>100％</w:t>
            </w:r>
          </w:p>
        </w:tc>
        <w:tc>
          <w:tcPr>
            <w:tcW w:w="599" w:type="dxa"/>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558"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100％</w:t>
            </w:r>
          </w:p>
        </w:tc>
        <w:tc>
          <w:tcPr>
            <w:tcW w:w="490"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p>
        </w:tc>
        <w:tc>
          <w:tcPr>
            <w:tcW w:w="33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0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25"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41"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0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7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17" w:type="dxa"/>
            <w:tcBorders>
              <w:top w:val="single" w:color="auto" w:sz="6" w:space="0"/>
              <w:left w:val="nil"/>
              <w:bottom w:val="single" w:color="auto" w:sz="6" w:space="0"/>
              <w:right w:val="single" w:color="auto" w:sz="6" w:space="0"/>
            </w:tcBorders>
            <w:vAlign w:val="center"/>
          </w:tcPr>
          <w:p>
            <w:pPr>
              <w:rPr>
                <w:rFonts w:ascii="宋体"/>
                <w:sz w:val="24"/>
                <w:szCs w:val="24"/>
              </w:rPr>
            </w:pPr>
          </w:p>
        </w:tc>
      </w:tr>
      <w:tr>
        <w:tblPrEx>
          <w:tblCellMar>
            <w:top w:w="0" w:type="dxa"/>
            <w:left w:w="108" w:type="dxa"/>
            <w:bottom w:w="0" w:type="dxa"/>
            <w:right w:w="108" w:type="dxa"/>
          </w:tblCellMar>
        </w:tblPrEx>
        <w:trPr>
          <w:trHeight w:val="320" w:hRule="atLeast"/>
        </w:trPr>
        <w:tc>
          <w:tcPr>
            <w:tcW w:w="970" w:type="dxa"/>
            <w:vMerge w:val="continue"/>
            <w:tcBorders>
              <w:top w:val="nil"/>
              <w:left w:val="single" w:color="auto" w:sz="6" w:space="0"/>
              <w:bottom w:val="single" w:color="auto" w:sz="6" w:space="0"/>
              <w:right w:val="single" w:color="auto" w:sz="6" w:space="0"/>
            </w:tcBorders>
            <w:vAlign w:val="center"/>
          </w:tcPr>
          <w:p>
            <w:pPr>
              <w:widowControl/>
              <w:jc w:val="left"/>
              <w:rPr>
                <w:rFonts w:ascii="宋体" w:cs="Arial"/>
                <w:sz w:val="24"/>
                <w:szCs w:val="24"/>
              </w:rPr>
            </w:pPr>
          </w:p>
        </w:tc>
        <w:tc>
          <w:tcPr>
            <w:tcW w:w="678" w:type="dxa"/>
            <w:vMerge w:val="continue"/>
            <w:tcBorders>
              <w:top w:val="nil"/>
              <w:left w:val="nil"/>
              <w:bottom w:val="nil"/>
              <w:right w:val="single" w:color="auto" w:sz="6" w:space="0"/>
            </w:tcBorders>
            <w:vAlign w:val="center"/>
          </w:tcPr>
          <w:p>
            <w:pPr>
              <w:widowControl/>
              <w:jc w:val="left"/>
              <w:rPr>
                <w:rFonts w:ascii="宋体" w:cs="Arial"/>
                <w:sz w:val="24"/>
                <w:szCs w:val="24"/>
              </w:rPr>
            </w:pPr>
          </w:p>
        </w:tc>
        <w:tc>
          <w:tcPr>
            <w:tcW w:w="558" w:type="dxa"/>
            <w:tcBorders>
              <w:top w:val="single" w:color="auto" w:sz="6" w:space="0"/>
              <w:left w:val="nil"/>
              <w:bottom w:val="single" w:color="auto" w:sz="6" w:space="0"/>
              <w:right w:val="single" w:color="auto" w:sz="6" w:space="0"/>
            </w:tcBorders>
            <w:vAlign w:val="center"/>
          </w:tcPr>
          <w:p>
            <w:pPr>
              <w:rPr>
                <w:rFonts w:hint="eastAsia" w:ascii="宋体" w:cs="Arial"/>
                <w:sz w:val="24"/>
                <w:szCs w:val="24"/>
              </w:rPr>
            </w:pPr>
            <w:r>
              <w:rPr>
                <w:rFonts w:hint="eastAsia" w:ascii="宋体" w:cs="Arial"/>
                <w:sz w:val="24"/>
                <w:szCs w:val="24"/>
              </w:rPr>
              <w:t>成本指 标</w:t>
            </w:r>
          </w:p>
        </w:tc>
        <w:tc>
          <w:tcPr>
            <w:tcW w:w="558" w:type="dxa"/>
            <w:tcBorders>
              <w:top w:val="single" w:color="auto" w:sz="6" w:space="0"/>
              <w:left w:val="nil"/>
              <w:bottom w:val="single" w:color="auto" w:sz="6" w:space="0"/>
              <w:right w:val="single" w:color="auto" w:sz="6" w:space="0"/>
            </w:tcBorders>
            <w:vAlign w:val="center"/>
          </w:tcPr>
          <w:p>
            <w:pPr>
              <w:jc w:val="center"/>
              <w:rPr>
                <w:rFonts w:hint="eastAsia" w:ascii="宋体" w:eastAsia="宋体" w:cs="Arial"/>
                <w:sz w:val="24"/>
                <w:szCs w:val="24"/>
                <w:lang w:val="en-US" w:eastAsia="zh-CN"/>
              </w:rPr>
            </w:pPr>
            <w:r>
              <w:rPr>
                <w:rFonts w:hint="eastAsia" w:ascii="宋体" w:cs="Arial"/>
                <w:sz w:val="24"/>
                <w:szCs w:val="24"/>
                <w:lang w:val="en-US" w:eastAsia="zh-CN"/>
              </w:rPr>
              <w:t>预算安排资金</w:t>
            </w:r>
          </w:p>
        </w:tc>
        <w:tc>
          <w:tcPr>
            <w:tcW w:w="500" w:type="dxa"/>
            <w:tcBorders>
              <w:top w:val="single" w:color="auto" w:sz="6" w:space="0"/>
              <w:left w:val="nil"/>
              <w:bottom w:val="single" w:color="auto" w:sz="6" w:space="0"/>
              <w:right w:val="single" w:color="auto" w:sz="6" w:space="0"/>
            </w:tcBorders>
            <w:vAlign w:val="center"/>
          </w:tcPr>
          <w:p>
            <w:pPr>
              <w:rPr>
                <w:rFonts w:hint="eastAsia" w:ascii="宋体" w:eastAsia="宋体"/>
                <w:sz w:val="24"/>
                <w:szCs w:val="24"/>
                <w:lang w:val="en-US" w:eastAsia="zh-CN"/>
              </w:rPr>
            </w:pPr>
            <w:r>
              <w:rPr>
                <w:rFonts w:hint="eastAsia" w:ascii="宋体"/>
                <w:sz w:val="24"/>
                <w:szCs w:val="24"/>
                <w:lang w:val="en-US" w:eastAsia="zh-CN"/>
              </w:rPr>
              <w:t>455万元</w:t>
            </w:r>
          </w:p>
        </w:tc>
        <w:tc>
          <w:tcPr>
            <w:tcW w:w="599" w:type="dxa"/>
            <w:tcBorders>
              <w:top w:val="single" w:color="auto" w:sz="6" w:space="0"/>
              <w:left w:val="nil"/>
              <w:bottom w:val="single" w:color="auto" w:sz="6" w:space="0"/>
              <w:right w:val="single" w:color="auto" w:sz="6" w:space="0"/>
            </w:tcBorders>
            <w:vAlign w:val="center"/>
          </w:tcPr>
          <w:p>
            <w:pPr>
              <w:rPr>
                <w:rFonts w:hint="eastAsia" w:ascii="宋体" w:eastAsia="宋体"/>
                <w:sz w:val="24"/>
                <w:szCs w:val="24"/>
                <w:lang w:val="en-US" w:eastAsia="zh-CN"/>
              </w:rPr>
            </w:pPr>
            <w:r>
              <w:rPr>
                <w:rFonts w:hint="eastAsia" w:ascii="宋体"/>
                <w:sz w:val="24"/>
                <w:szCs w:val="24"/>
                <w:lang w:val="en-US" w:eastAsia="zh-CN"/>
              </w:rPr>
              <w:t>实际支付418.3万元</w:t>
            </w:r>
          </w:p>
        </w:tc>
        <w:tc>
          <w:tcPr>
            <w:tcW w:w="558"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r>
              <w:rPr>
                <w:rFonts w:hint="eastAsia" w:ascii="宋体"/>
                <w:sz w:val="24"/>
                <w:szCs w:val="24"/>
                <w:lang w:val="en-US" w:eastAsia="zh-CN"/>
              </w:rPr>
              <w:t>92％</w:t>
            </w:r>
          </w:p>
        </w:tc>
        <w:tc>
          <w:tcPr>
            <w:tcW w:w="490" w:type="dxa"/>
            <w:gridSpan w:val="2"/>
            <w:tcBorders>
              <w:top w:val="single" w:color="auto" w:sz="6" w:space="0"/>
              <w:left w:val="nil"/>
              <w:bottom w:val="single" w:color="auto" w:sz="6" w:space="0"/>
              <w:right w:val="single" w:color="auto" w:sz="6" w:space="0"/>
            </w:tcBorders>
            <w:vAlign w:val="center"/>
          </w:tcPr>
          <w:p>
            <w:pPr>
              <w:rPr>
                <w:rFonts w:ascii="宋体"/>
                <w:sz w:val="24"/>
                <w:szCs w:val="24"/>
              </w:rPr>
            </w:pPr>
          </w:p>
        </w:tc>
        <w:tc>
          <w:tcPr>
            <w:tcW w:w="33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0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25"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41"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00"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479"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24" w:type="dxa"/>
            <w:tcBorders>
              <w:top w:val="single" w:color="auto" w:sz="6" w:space="0"/>
              <w:left w:val="nil"/>
              <w:bottom w:val="single" w:color="auto" w:sz="6" w:space="0"/>
              <w:right w:val="single" w:color="auto" w:sz="6" w:space="0"/>
            </w:tcBorders>
            <w:vAlign w:val="center"/>
          </w:tcPr>
          <w:p>
            <w:pPr>
              <w:rPr>
                <w:rFonts w:ascii="宋体"/>
                <w:sz w:val="24"/>
                <w:szCs w:val="24"/>
              </w:rPr>
            </w:pPr>
          </w:p>
        </w:tc>
        <w:tc>
          <w:tcPr>
            <w:tcW w:w="517" w:type="dxa"/>
            <w:tcBorders>
              <w:top w:val="single" w:color="auto" w:sz="6" w:space="0"/>
              <w:left w:val="nil"/>
              <w:bottom w:val="single" w:color="auto" w:sz="6" w:space="0"/>
              <w:right w:val="single" w:color="auto" w:sz="6" w:space="0"/>
            </w:tcBorders>
            <w:vAlign w:val="center"/>
          </w:tcPr>
          <w:p>
            <w:pPr>
              <w:rPr>
                <w:rFonts w:ascii="宋体"/>
                <w:sz w:val="24"/>
                <w:szCs w:val="24"/>
              </w:rPr>
            </w:pP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right="0"/>
        <w:jc w:val="left"/>
        <w:rPr>
          <w:rFonts w:hint="eastAsia" w:ascii="宋体" w:hAnsi="宋体" w:eastAsia="宋体" w:cs="宋体"/>
          <w:i w:val="0"/>
          <w:iCs w:val="0"/>
          <w:caps w:val="0"/>
          <w:color w:val="000000"/>
          <w:spacing w:val="0"/>
          <w:sz w:val="18"/>
          <w:szCs w:val="18"/>
        </w:rPr>
      </w:pPr>
      <w:r>
        <w:rPr>
          <w:rFonts w:hint="eastAsia" w:ascii="仿宋_GB2312" w:hAnsi="宋体" w:eastAsia="仿宋_GB2312" w:cs="仿宋_GB2312"/>
          <w:i w:val="0"/>
          <w:iCs w:val="0"/>
          <w:caps w:val="0"/>
          <w:color w:val="000000"/>
          <w:spacing w:val="0"/>
          <w:kern w:val="0"/>
          <w:sz w:val="32"/>
          <w:szCs w:val="32"/>
          <w:lang w:val="en-US" w:eastAsia="zh-CN" w:bidi="ar"/>
        </w:rPr>
        <w:t xml:space="preserve">  </w:t>
      </w:r>
      <w:r>
        <w:rPr>
          <w:rFonts w:hint="eastAsia" w:ascii="楷体_GB2312" w:hAnsi="宋体" w:eastAsia="楷体_GB2312" w:cs="楷体_GB2312"/>
          <w:i w:val="0"/>
          <w:iCs w:val="0"/>
          <w:caps w:val="0"/>
          <w:color w:val="000000"/>
          <w:spacing w:val="0"/>
          <w:kern w:val="0"/>
          <w:sz w:val="32"/>
          <w:szCs w:val="32"/>
          <w:lang w:val="en-US" w:eastAsia="zh-CN" w:bidi="ar"/>
        </w:rPr>
        <w:t>2.部门绩效评价结果。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left"/>
        <w:rPr>
          <w:rFonts w:hint="eastAsia" w:ascii="宋体" w:hAnsi="宋体" w:eastAsia="宋体" w:cs="宋体"/>
          <w:i w:val="0"/>
          <w:iCs w:val="0"/>
          <w:caps w:val="0"/>
          <w:color w:val="000000"/>
          <w:spacing w:val="0"/>
          <w:sz w:val="18"/>
          <w:szCs w:val="18"/>
        </w:rPr>
      </w:pPr>
      <w:bookmarkStart w:id="98" w:name="_Toc15396613"/>
      <w:bookmarkEnd w:id="98"/>
      <w:bookmarkStart w:id="99" w:name="_Toc15377225"/>
      <w:bookmarkEnd w:id="99"/>
      <w:bookmarkStart w:id="100" w:name="_Toc79163629"/>
      <w:bookmarkEnd w:id="100"/>
      <w:bookmarkStart w:id="101" w:name="_Toc79163879"/>
      <w:r>
        <w:rPr>
          <w:rFonts w:hint="eastAsia" w:ascii="仿宋_GB2312" w:hAnsi="宋体" w:eastAsia="仿宋_GB2312" w:cs="仿宋_GB2312"/>
          <w:i w:val="0"/>
          <w:iCs w:val="0"/>
          <w:caps w:val="0"/>
          <w:color w:val="000000"/>
          <w:spacing w:val="0"/>
          <w:kern w:val="0"/>
          <w:sz w:val="32"/>
          <w:szCs w:val="32"/>
          <w:lang w:val="en-US" w:eastAsia="zh-CN" w:bidi="ar"/>
        </w:rPr>
        <w:t>本部门按要求对</w:t>
      </w:r>
      <w:r>
        <w:rPr>
          <w:rFonts w:hint="eastAsia" w:ascii="仿宋_GB2312" w:hAnsi="宋体" w:eastAsia="仿宋_GB2312" w:cs="仿宋_GB2312"/>
          <w:i w:val="0"/>
          <w:iCs w:val="0"/>
          <w:caps w:val="0"/>
          <w:color w:val="000000"/>
          <w:spacing w:val="0"/>
          <w:kern w:val="0"/>
          <w:sz w:val="32"/>
          <w:szCs w:val="32"/>
          <w:bdr w:val="dotted" w:color="0000FF" w:sz="6" w:space="0"/>
          <w:lang w:val="en-US" w:eastAsia="zh-CN" w:bidi="ar"/>
        </w:rPr>
        <w:t>2019年部门整体支出绩效评价情况开展自评，《</w:t>
      </w:r>
      <w:bookmarkEnd w:id="101"/>
      <w:r>
        <w:rPr>
          <w:rFonts w:hint="eastAsia" w:ascii="仿宋_GB2312" w:hAnsi="宋体" w:eastAsia="仿宋_GB2312" w:cs="仿宋_GB2312"/>
          <w:i w:val="0"/>
          <w:iCs w:val="0"/>
          <w:caps w:val="0"/>
          <w:color w:val="000000"/>
          <w:spacing w:val="0"/>
          <w:kern w:val="0"/>
          <w:sz w:val="32"/>
          <w:szCs w:val="32"/>
          <w:lang w:val="en-US" w:eastAsia="zh-CN" w:bidi="ar"/>
        </w:rPr>
        <w:t>九寨沟县国有资产管理中心2019年部门整体支出绩效评价报告》。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_GB2312" w:hAnsi="宋体" w:eastAsia="仿宋_GB2312" w:cs="仿宋_GB2312"/>
          <w:i w:val="0"/>
          <w:iCs w:val="0"/>
          <w:caps w:val="0"/>
          <w:color w:val="000000"/>
          <w:spacing w:val="0"/>
          <w:kern w:val="0"/>
          <w:sz w:val="32"/>
          <w:szCs w:val="32"/>
          <w:lang w:val="en-US" w:eastAsia="zh-CN" w:bidi="ar"/>
        </w:rPr>
        <w:t>本部门自行组织对漳扎镇旅游基础设施改造提升项目（</w:t>
      </w:r>
      <w:r>
        <w:rPr>
          <w:rFonts w:hint="eastAsia" w:ascii="宋体" w:hAnsi="宋体" w:eastAsia="宋体" w:cs="宋体"/>
          <w:i w:val="0"/>
          <w:iCs w:val="0"/>
          <w:caps w:val="0"/>
          <w:color w:val="000000"/>
          <w:spacing w:val="0"/>
          <w:kern w:val="0"/>
          <w:sz w:val="32"/>
          <w:szCs w:val="32"/>
          <w:lang w:val="en-US" w:eastAsia="zh-CN" w:bidi="ar"/>
        </w:rPr>
        <w:t>疫情防控资金</w:t>
      </w:r>
      <w:r>
        <w:rPr>
          <w:rFonts w:hint="eastAsia" w:ascii="仿宋_GB2312" w:hAnsi="宋体" w:eastAsia="仿宋_GB2312" w:cs="仿宋_GB2312"/>
          <w:i w:val="0"/>
          <w:iCs w:val="0"/>
          <w:caps w:val="0"/>
          <w:color w:val="000000"/>
          <w:spacing w:val="0"/>
          <w:kern w:val="0"/>
          <w:sz w:val="32"/>
          <w:szCs w:val="32"/>
          <w:lang w:val="en-US" w:eastAsia="zh-CN" w:bidi="ar"/>
        </w:rPr>
        <w:t>）项目。见附件（附件2）。（非涉密部门均需公开部门整体支出评价报告，部门自行组织的绩效评价情况根据部门实际公开，若未组织项目绩效评价，则只需说明部门整体支出绩效评价情况）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0"/>
        <w:jc w:val="left"/>
        <w:rPr>
          <w:rFonts w:hint="eastAsia" w:ascii="宋体" w:hAnsi="宋体" w:eastAsia="宋体" w:cs="宋体"/>
          <w:i w:val="0"/>
          <w:iCs w:val="0"/>
          <w:caps w:val="0"/>
          <w:color w:val="000000"/>
          <w:spacing w:val="0"/>
          <w:sz w:val="18"/>
          <w:szCs w:val="18"/>
        </w:rPr>
      </w:pPr>
      <w:r>
        <w:rPr>
          <w:rFonts w:hint="eastAsia" w:ascii="仿宋_GB2312" w:hAnsi="宋体" w:eastAsia="仿宋_GB2312" w:cs="仿宋_GB2312"/>
          <w:b/>
          <w:bCs/>
          <w:i w:val="0"/>
          <w:iCs w:val="0"/>
          <w:caps w:val="0"/>
          <w:color w:val="000000"/>
          <w:spacing w:val="0"/>
          <w:kern w:val="0"/>
          <w:sz w:val="32"/>
          <w:szCs w:val="32"/>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60"/>
        <w:jc w:val="center"/>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44"/>
          <w:szCs w:val="44"/>
          <w:lang w:val="en-US" w:eastAsia="zh-CN" w:bidi="ar"/>
        </w:rPr>
        <w:t>第三部分 名词解释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left"/>
        <w:rPr>
          <w:rFonts w:hint="eastAsia" w:ascii="宋体" w:hAnsi="宋体" w:eastAsia="宋体" w:cs="宋体"/>
          <w:i w:val="0"/>
          <w:iCs w:val="0"/>
          <w:caps w:val="0"/>
          <w:color w:val="000000"/>
          <w:spacing w:val="0"/>
          <w:sz w:val="18"/>
          <w:szCs w:val="18"/>
        </w:rPr>
      </w:pPr>
      <w:r>
        <w:rPr>
          <w:rFonts w:hint="eastAsia" w:ascii="宋体" w:hAnsi="宋体" w:eastAsia="宋体" w:cs="宋体"/>
          <w:b/>
          <w:bCs/>
          <w:i w:val="0"/>
          <w:iCs w:val="0"/>
          <w:caps w:val="0"/>
          <w:color w:val="000000"/>
          <w:spacing w:val="0"/>
          <w:kern w:val="0"/>
          <w:sz w:val="44"/>
          <w:szCs w:val="44"/>
          <w:lang w:val="en-US" w:eastAsia="zh-CN" w:bidi="ar"/>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sz w:val="32"/>
          <w:szCs w:val="32"/>
        </w:rPr>
        <w:t>1.财政拨款收入：指单位从同级财政部门取得的财政预算资金。</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sz w:val="32"/>
          <w:szCs w:val="32"/>
        </w:rPr>
        <w:t>2.事业收入：指事业单位开展专业业务活动及辅助活动取得的收入。</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sz w:val="32"/>
          <w:szCs w:val="32"/>
        </w:rPr>
        <w:t>3.经营收入：指事业单位在专业业务活动及其辅助活动之外开展非独立核算经营活动取得的收入。</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sz w:val="32"/>
          <w:szCs w:val="32"/>
        </w:rPr>
        <w:t>4.其他收入：指单位取得的除上述收入以外的各项收入。</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sz w:val="32"/>
          <w:szCs w:val="32"/>
        </w:rPr>
        <w:t>6.年初结转和结余：指以前年度尚未完成、结转到本年按有关规定继续使用的资金。</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sz w:val="32"/>
          <w:szCs w:val="32"/>
        </w:rPr>
        <w:t>7.结余分配：指事业单位按照事业单位会计制度的规定从非财政补助结余中分配的事业基金和职工福利基金等。</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sz w:val="32"/>
          <w:szCs w:val="32"/>
        </w:rPr>
        <w:t>8、年末结转和结余：指单位按有关规定结转到下年或以后年度继续使用的资金。</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4E4342"/>
          <w:spacing w:val="0"/>
          <w:sz w:val="28"/>
          <w:szCs w:val="28"/>
        </w:rPr>
        <w:t>9. </w:t>
      </w:r>
      <w:r>
        <w:rPr>
          <w:rFonts w:hint="eastAsia" w:ascii="仿宋" w:hAnsi="仿宋" w:eastAsia="仿宋" w:cs="仿宋"/>
          <w:i w:val="0"/>
          <w:iCs w:val="0"/>
          <w:caps w:val="0"/>
          <w:color w:val="000000"/>
          <w:spacing w:val="0"/>
          <w:sz w:val="32"/>
          <w:szCs w:val="32"/>
        </w:rPr>
        <w:t>社会保障和就业（208）行政事业单位（05）机关事业单位基本养老保险缴费支出（05)</w:t>
      </w:r>
      <w:r>
        <w:rPr>
          <w:rFonts w:hint="eastAsia" w:ascii="仿宋" w:hAnsi="仿宋" w:eastAsia="仿宋" w:cs="仿宋"/>
          <w:i w:val="0"/>
          <w:iCs w:val="0"/>
          <w:caps w:val="0"/>
          <w:color w:val="4E4342"/>
          <w:spacing w:val="0"/>
          <w:sz w:val="28"/>
          <w:szCs w:val="28"/>
        </w:rPr>
        <w:t>指：反应机关事业单位实施养老保险制度由单位缴纳的基本养老保险费支出。</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4E4342"/>
          <w:spacing w:val="0"/>
          <w:sz w:val="28"/>
          <w:szCs w:val="28"/>
        </w:rPr>
        <w:t> 10.</w:t>
      </w:r>
      <w:r>
        <w:rPr>
          <w:rFonts w:hint="eastAsia" w:ascii="仿宋" w:hAnsi="仿宋" w:eastAsia="仿宋" w:cs="仿宋"/>
          <w:i w:val="0"/>
          <w:iCs w:val="0"/>
          <w:caps w:val="0"/>
          <w:color w:val="000000"/>
          <w:spacing w:val="0"/>
          <w:sz w:val="32"/>
          <w:szCs w:val="32"/>
        </w:rPr>
        <w:t>社会保障和就业（208）抚恤（08）死亡抚恤（01）指:反映按规定用于烈士和牺牲、病故人员家属的一次性和定期抚恤金以及丧葬补助费。</w:t>
      </w:r>
      <w:r>
        <w:rPr>
          <w:rFonts w:hint="eastAsia" w:ascii="仿宋" w:hAnsi="仿宋" w:eastAsia="仿宋" w:cs="仿宋"/>
          <w:i w:val="0"/>
          <w:iCs w:val="0"/>
          <w:caps w:val="0"/>
          <w:color w:val="4E4342"/>
          <w:spacing w:val="0"/>
          <w:sz w:val="28"/>
          <w:szCs w:val="28"/>
        </w:rPr>
        <w:br w:type="textWrapping"/>
      </w:r>
      <w:r>
        <w:rPr>
          <w:rFonts w:hint="eastAsia" w:ascii="仿宋" w:hAnsi="仿宋" w:eastAsia="仿宋" w:cs="仿宋"/>
          <w:i w:val="0"/>
          <w:iCs w:val="0"/>
          <w:caps w:val="0"/>
          <w:color w:val="4E4342"/>
          <w:spacing w:val="0"/>
          <w:sz w:val="28"/>
          <w:szCs w:val="28"/>
        </w:rPr>
        <w:t>     11、</w:t>
      </w:r>
      <w:r>
        <w:rPr>
          <w:rFonts w:hint="eastAsia" w:ascii="仿宋" w:hAnsi="仿宋" w:eastAsia="仿宋" w:cs="仿宋"/>
          <w:i w:val="0"/>
          <w:iCs w:val="0"/>
          <w:caps w:val="0"/>
          <w:color w:val="000000"/>
          <w:spacing w:val="0"/>
          <w:sz w:val="32"/>
          <w:szCs w:val="32"/>
        </w:rPr>
        <w:t>医疗卫生与计划生育（210）行政事业单位医疗（11）事业单位医疗（02）</w:t>
      </w:r>
      <w:r>
        <w:rPr>
          <w:rFonts w:hint="eastAsia" w:ascii="仿宋" w:hAnsi="仿宋" w:eastAsia="仿宋" w:cs="仿宋"/>
          <w:i w:val="0"/>
          <w:iCs w:val="0"/>
          <w:caps w:val="0"/>
          <w:color w:val="4E4342"/>
          <w:spacing w:val="0"/>
          <w:sz w:val="28"/>
          <w:szCs w:val="28"/>
        </w:rPr>
        <w:t>指：反映财政部门集中安排的事业基本医疗保险缴费，未参加医疗保险的事业单位的公费医疗经费，按国家规定享受离休人员待遇的医疗经费。</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4E4342"/>
          <w:spacing w:val="0"/>
          <w:sz w:val="28"/>
          <w:szCs w:val="28"/>
        </w:rPr>
        <w:t> 12.</w:t>
      </w:r>
      <w:r>
        <w:rPr>
          <w:rFonts w:hint="eastAsia" w:ascii="仿宋" w:hAnsi="仿宋" w:eastAsia="仿宋" w:cs="仿宋"/>
          <w:i w:val="0"/>
          <w:iCs w:val="0"/>
          <w:caps w:val="0"/>
          <w:color w:val="000000"/>
          <w:spacing w:val="0"/>
          <w:sz w:val="32"/>
          <w:szCs w:val="32"/>
        </w:rPr>
        <w:t>医疗卫生与计划生育（210）行政事业单位医疗（11）公务员医疗补助（03）指：反映财政部门集中安排的公务员医疗补助经费。</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sz w:val="32"/>
          <w:szCs w:val="32"/>
        </w:rPr>
        <w:t>13.医疗卫生与计划生育（210）行政事业单位医疗（11）其他行政事业单位医疗支出（99）指：反映上述项目以为的其他用于行政事业单位医疗方面的支出。</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4E4342"/>
          <w:spacing w:val="0"/>
          <w:sz w:val="28"/>
          <w:szCs w:val="28"/>
        </w:rPr>
        <w:t> 14.、</w:t>
      </w:r>
      <w:r>
        <w:rPr>
          <w:rFonts w:hint="eastAsia" w:ascii="仿宋" w:hAnsi="仿宋" w:eastAsia="仿宋" w:cs="仿宋"/>
          <w:i w:val="0"/>
          <w:iCs w:val="0"/>
          <w:caps w:val="0"/>
          <w:color w:val="000000"/>
          <w:spacing w:val="0"/>
          <w:sz w:val="32"/>
          <w:szCs w:val="32"/>
        </w:rPr>
        <w:t>城乡社区（212）城乡社区公共设施（03）小城镇基础设施建设（03）</w:t>
      </w:r>
      <w:r>
        <w:rPr>
          <w:rFonts w:hint="eastAsia" w:ascii="仿宋" w:hAnsi="仿宋" w:eastAsia="仿宋" w:cs="仿宋"/>
          <w:i w:val="0"/>
          <w:iCs w:val="0"/>
          <w:caps w:val="0"/>
          <w:color w:val="4E4342"/>
          <w:spacing w:val="0"/>
          <w:sz w:val="28"/>
          <w:szCs w:val="28"/>
        </w:rPr>
        <w:t>指：反应用于小城镇路、气、水、电等基本建设方面的支出。</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sz w:val="32"/>
          <w:szCs w:val="32"/>
        </w:rPr>
        <w:t>15.农林水（213）水利（03）防汛（14）指：反映防汛业务支出。</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sz w:val="32"/>
          <w:szCs w:val="32"/>
        </w:rPr>
        <w:t>16.农林水（213）扶贫（05）其他扶贫支出（99）</w:t>
      </w:r>
      <w:r>
        <w:rPr>
          <w:rFonts w:hint="eastAsia" w:ascii="仿宋" w:hAnsi="仿宋" w:eastAsia="仿宋" w:cs="仿宋"/>
          <w:i w:val="0"/>
          <w:iCs w:val="0"/>
          <w:caps w:val="0"/>
          <w:color w:val="4E4342"/>
          <w:spacing w:val="0"/>
          <w:sz w:val="28"/>
          <w:szCs w:val="28"/>
        </w:rPr>
        <w:t>指：反应上述项目以外其他用于扶贫方面的支出。</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sz w:val="32"/>
          <w:szCs w:val="32"/>
        </w:rPr>
        <w:t>17.资源勘探信息（215）国有资产监管（07）其他国有资产监管支出（99）</w:t>
      </w:r>
      <w:r>
        <w:rPr>
          <w:rFonts w:hint="eastAsia" w:ascii="仿宋" w:hAnsi="仿宋" w:eastAsia="仿宋" w:cs="仿宋"/>
          <w:i w:val="0"/>
          <w:iCs w:val="0"/>
          <w:caps w:val="0"/>
          <w:color w:val="4E4342"/>
          <w:spacing w:val="0"/>
          <w:sz w:val="28"/>
          <w:szCs w:val="28"/>
        </w:rPr>
        <w:t>指：反应上述项目以外其他用于国有资产监管方面的支出；资源勘探信息等支出 2159999 指：反应上述项目以外其他用于资源勘探信息方面的支出。</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sz w:val="32"/>
          <w:szCs w:val="32"/>
        </w:rPr>
        <w:t>18.资源勘探信息（215）安全生产监管（06）其他安全生产监管支出（99）指：反映除上述项目以外其他用于安全生产监管方面的支出。</w:t>
      </w:r>
      <w:r>
        <w:rPr>
          <w:rFonts w:hint="eastAsia" w:ascii="仿宋" w:hAnsi="仿宋" w:eastAsia="仿宋" w:cs="仿宋"/>
          <w:i w:val="0"/>
          <w:iCs w:val="0"/>
          <w:caps w:val="0"/>
          <w:color w:val="4E4342"/>
          <w:spacing w:val="0"/>
          <w:sz w:val="28"/>
          <w:szCs w:val="28"/>
        </w:rPr>
        <w:br w:type="textWrapping"/>
      </w:r>
      <w:r>
        <w:rPr>
          <w:rFonts w:hint="eastAsia" w:ascii="仿宋" w:hAnsi="仿宋" w:eastAsia="仿宋" w:cs="仿宋"/>
          <w:i w:val="0"/>
          <w:iCs w:val="0"/>
          <w:caps w:val="0"/>
          <w:color w:val="4E4342"/>
          <w:spacing w:val="0"/>
          <w:sz w:val="28"/>
          <w:szCs w:val="28"/>
        </w:rPr>
        <w:t>    19、</w:t>
      </w:r>
      <w:r>
        <w:rPr>
          <w:rFonts w:hint="eastAsia" w:ascii="仿宋" w:hAnsi="仿宋" w:eastAsia="仿宋" w:cs="仿宋"/>
          <w:i w:val="0"/>
          <w:iCs w:val="0"/>
          <w:caps w:val="0"/>
          <w:color w:val="000000"/>
          <w:spacing w:val="0"/>
          <w:sz w:val="32"/>
          <w:szCs w:val="32"/>
        </w:rPr>
        <w:t>住房保障（221）住房改革（02）公积金（01）</w:t>
      </w:r>
      <w:r>
        <w:rPr>
          <w:rFonts w:hint="eastAsia" w:ascii="仿宋" w:hAnsi="仿宋" w:eastAsia="仿宋" w:cs="仿宋"/>
          <w:i w:val="0"/>
          <w:iCs w:val="0"/>
          <w:caps w:val="0"/>
          <w:color w:val="4E4342"/>
          <w:spacing w:val="0"/>
          <w:sz w:val="28"/>
          <w:szCs w:val="28"/>
        </w:rPr>
        <w:t>指：反映行政事业单位按人力资源和社会保障部、财政部规定的基本工资和津贴补贴以及规定比例为职工缴纳的住房公积金。 </w:t>
      </w:r>
      <w:r>
        <w:rPr>
          <w:rFonts w:hint="eastAsia" w:ascii="仿宋" w:hAnsi="仿宋" w:eastAsia="仿宋" w:cs="仿宋"/>
          <w:i w:val="0"/>
          <w:iCs w:val="0"/>
          <w:caps w:val="0"/>
          <w:color w:val="4E4342"/>
          <w:spacing w:val="0"/>
          <w:sz w:val="28"/>
          <w:szCs w:val="28"/>
        </w:rPr>
        <w:br w:type="textWrapping"/>
      </w:r>
      <w:r>
        <w:rPr>
          <w:rFonts w:hint="eastAsia" w:ascii="仿宋" w:hAnsi="仿宋" w:eastAsia="仿宋" w:cs="仿宋"/>
          <w:i w:val="0"/>
          <w:iCs w:val="0"/>
          <w:caps w:val="0"/>
          <w:color w:val="4E4342"/>
          <w:spacing w:val="0"/>
          <w:sz w:val="28"/>
          <w:szCs w:val="28"/>
        </w:rPr>
        <w:t>     20、</w:t>
      </w:r>
      <w:r>
        <w:rPr>
          <w:rFonts w:hint="eastAsia" w:ascii="仿宋" w:hAnsi="仿宋" w:eastAsia="仿宋" w:cs="仿宋"/>
          <w:i w:val="0"/>
          <w:iCs w:val="0"/>
          <w:caps w:val="0"/>
          <w:color w:val="000000"/>
          <w:spacing w:val="0"/>
          <w:sz w:val="32"/>
          <w:szCs w:val="32"/>
        </w:rPr>
        <w:t>其他支出（229）其他支出（99）其他支出（01）</w:t>
      </w:r>
      <w:r>
        <w:rPr>
          <w:rFonts w:hint="eastAsia" w:ascii="仿宋" w:hAnsi="仿宋" w:eastAsia="仿宋" w:cs="仿宋"/>
          <w:i w:val="0"/>
          <w:iCs w:val="0"/>
          <w:caps w:val="0"/>
          <w:color w:val="4E4342"/>
          <w:spacing w:val="0"/>
          <w:sz w:val="28"/>
          <w:szCs w:val="28"/>
        </w:rPr>
        <w:t>指：反映其他不能划分到具体功能科目中的支出项目。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28"/>
          <w:szCs w:val="28"/>
          <w:lang w:val="en-US" w:eastAsia="zh-CN" w:bidi="ar"/>
        </w:rPr>
        <w:t>21.基本支出：指为保障机构正常运转、完成日常工作任务而发生的人员支出和公用支出。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28"/>
          <w:szCs w:val="28"/>
          <w:lang w:val="en-US" w:eastAsia="zh-CN" w:bidi="ar"/>
        </w:rPr>
        <w:t>22.项目支出：指在基本支出之外为完成特定行政任务和事业发展目标所发生的支出。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28"/>
          <w:szCs w:val="28"/>
          <w:lang w:val="en-US" w:eastAsia="zh-CN" w:bidi="ar"/>
        </w:rPr>
        <w:t>23.经营支出：指事业单位在专业业务活动及其辅助活动之外开展非独立核算经营活动发生的支出。</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sz w:val="28"/>
          <w:szCs w:val="28"/>
        </w:rPr>
        <w:t>24.“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sz w:val="28"/>
          <w:szCs w:val="28"/>
        </w:rPr>
        <w:t>25.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宋体" w:hAnsi="宋体" w:eastAsia="宋体" w:cs="宋体"/>
          <w:i w:val="0"/>
          <w:iCs w:val="0"/>
          <w:caps w:val="0"/>
          <w:color w:val="000000"/>
          <w:spacing w:val="0"/>
          <w:sz w:val="18"/>
          <w:szCs w:val="18"/>
        </w:rPr>
      </w:pPr>
      <w:bookmarkStart w:id="102" w:name="_Toc15396614"/>
      <w:bookmarkEnd w:id="102"/>
      <w:bookmarkStart w:id="103" w:name="_Toc79163630"/>
      <w:bookmarkEnd w:id="103"/>
      <w:bookmarkStart w:id="104" w:name="_Toc79163880"/>
      <w:bookmarkEnd w:id="104"/>
      <w:bookmarkStart w:id="105" w:name="_Toc15377226"/>
      <w:r>
        <w:rPr>
          <w:rFonts w:hint="eastAsia" w:ascii="黑体" w:hAnsi="宋体" w:eastAsia="黑体" w:cs="黑体"/>
          <w:i w:val="0"/>
          <w:iCs w:val="0"/>
          <w:caps w:val="0"/>
          <w:color w:val="000000"/>
          <w:spacing w:val="0"/>
          <w:kern w:val="0"/>
          <w:sz w:val="44"/>
          <w:szCs w:val="44"/>
          <w:bdr w:val="dotted" w:color="0000FF" w:sz="6" w:space="0"/>
          <w:lang w:val="en-US" w:eastAsia="zh-CN" w:bidi="ar"/>
        </w:rPr>
        <w:t>             </w:t>
      </w:r>
      <w:bookmarkEnd w:id="105"/>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44"/>
          <w:szCs w:val="4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44"/>
          <w:szCs w:val="44"/>
          <w:lang w:val="en-US" w:eastAsia="zh-CN" w:bidi="ar"/>
        </w:rPr>
        <w:t>              第四部分 附件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left"/>
        <w:rPr>
          <w:rFonts w:hint="eastAsia" w:ascii="宋体" w:hAnsi="宋体" w:eastAsia="宋体" w:cs="宋体"/>
          <w:i w:val="0"/>
          <w:iCs w:val="0"/>
          <w:caps w:val="0"/>
          <w:color w:val="000000"/>
          <w:spacing w:val="0"/>
          <w:sz w:val="18"/>
          <w:szCs w:val="18"/>
        </w:rPr>
      </w:pPr>
      <w:bookmarkStart w:id="106" w:name="_Toc79163631"/>
      <w:bookmarkEnd w:id="106"/>
      <w:bookmarkStart w:id="107" w:name="_Toc79163881"/>
      <w:r>
        <w:rPr>
          <w:rFonts w:hint="eastAsia" w:ascii="黑体" w:hAnsi="宋体" w:eastAsia="黑体" w:cs="黑体"/>
          <w:i w:val="0"/>
          <w:iCs w:val="0"/>
          <w:caps w:val="0"/>
          <w:color w:val="000000"/>
          <w:spacing w:val="0"/>
          <w:kern w:val="0"/>
          <w:sz w:val="32"/>
          <w:szCs w:val="32"/>
          <w:lang w:val="en-US" w:eastAsia="zh-CN" w:bidi="ar"/>
        </w:rPr>
        <w:t>附件</w:t>
      </w:r>
      <w:bookmarkEnd w:id="107"/>
      <w:r>
        <w:rPr>
          <w:rFonts w:hint="eastAsia" w:ascii="黑体" w:hAnsi="宋体" w:eastAsia="黑体" w:cs="黑体"/>
          <w:i w:val="0"/>
          <w:iCs w:val="0"/>
          <w:caps w:val="0"/>
          <w:color w:val="000000"/>
          <w:spacing w:val="0"/>
          <w:kern w:val="0"/>
          <w:sz w:val="32"/>
          <w:szCs w:val="32"/>
          <w:lang w:val="en-US" w:eastAsia="zh-CN" w:bidi="ar"/>
        </w:rPr>
        <w:t>1</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0"/>
        <w:jc w:val="center"/>
        <w:rPr>
          <w:rFonts w:hint="eastAsia" w:ascii="宋体" w:hAnsi="宋体" w:eastAsia="宋体" w:cs="宋体"/>
          <w:i w:val="0"/>
          <w:iCs w:val="0"/>
          <w:caps w:val="0"/>
          <w:color w:val="000000"/>
          <w:spacing w:val="0"/>
          <w:sz w:val="18"/>
          <w:szCs w:val="18"/>
        </w:rPr>
      </w:pPr>
      <w:r>
        <w:rPr>
          <w:rFonts w:hint="eastAsia" w:ascii="方正小标宋简体" w:hAnsi="方正小标宋简体" w:eastAsia="方正小标宋简体" w:cs="方正小标宋简体"/>
          <w:i w:val="0"/>
          <w:iCs w:val="0"/>
          <w:caps w:val="0"/>
          <w:color w:val="000000"/>
          <w:spacing w:val="0"/>
          <w:kern w:val="0"/>
          <w:sz w:val="44"/>
          <w:szCs w:val="4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宋体" w:hAnsi="宋体" w:eastAsia="宋体" w:cs="宋体"/>
          <w:i w:val="0"/>
          <w:iCs w:val="0"/>
          <w:caps w:val="0"/>
          <w:color w:val="000000"/>
          <w:spacing w:val="0"/>
          <w:sz w:val="18"/>
          <w:szCs w:val="18"/>
        </w:rPr>
      </w:pPr>
      <w:r>
        <w:rPr>
          <w:rFonts w:hint="eastAsia" w:ascii="仿宋" w:hAnsi="仿宋" w:eastAsia="仿宋" w:cs="仿宋"/>
          <w:b/>
          <w:bCs/>
          <w:i w:val="0"/>
          <w:iCs w:val="0"/>
          <w:caps w:val="0"/>
          <w:color w:val="000000"/>
          <w:spacing w:val="0"/>
          <w:kern w:val="0"/>
          <w:sz w:val="36"/>
          <w:szCs w:val="36"/>
          <w:lang w:val="en-US" w:eastAsia="zh-CN" w:bidi="ar"/>
        </w:rPr>
        <w:t>            九寨沟县国有资产管理中心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i w:val="0"/>
          <w:iCs w:val="0"/>
          <w:caps w:val="0"/>
          <w:color w:val="000000"/>
          <w:spacing w:val="0"/>
          <w:sz w:val="18"/>
          <w:szCs w:val="18"/>
        </w:rPr>
      </w:pPr>
      <w:r>
        <w:rPr>
          <w:rFonts w:hint="eastAsia" w:ascii="仿宋" w:hAnsi="仿宋" w:eastAsia="仿宋" w:cs="仿宋"/>
          <w:b/>
          <w:bCs/>
          <w:i w:val="0"/>
          <w:iCs w:val="0"/>
          <w:caps w:val="0"/>
          <w:color w:val="000000"/>
          <w:spacing w:val="0"/>
          <w:kern w:val="0"/>
          <w:sz w:val="36"/>
          <w:szCs w:val="36"/>
          <w:lang w:val="en-US" w:eastAsia="zh-CN" w:bidi="ar"/>
        </w:rPr>
        <w:t>   2021年部门整体支出绩效报告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2"/>
        <w:jc w:val="left"/>
        <w:rPr>
          <w:rFonts w:hint="eastAsia" w:ascii="宋体" w:hAnsi="宋体" w:eastAsia="宋体" w:cs="宋体"/>
          <w:i w:val="0"/>
          <w:iCs w:val="0"/>
          <w:caps w:val="0"/>
          <w:color w:val="000000"/>
          <w:spacing w:val="0"/>
          <w:sz w:val="18"/>
          <w:szCs w:val="18"/>
        </w:rPr>
      </w:pPr>
      <w:r>
        <w:rPr>
          <w:rFonts w:hint="eastAsia" w:ascii="仿宋" w:hAnsi="仿宋" w:eastAsia="仿宋" w:cs="仿宋"/>
          <w:b/>
          <w:bCs/>
          <w:i w:val="0"/>
          <w:iCs w:val="0"/>
          <w:caps w:val="0"/>
          <w:color w:val="000000"/>
          <w:spacing w:val="0"/>
          <w:kern w:val="0"/>
          <w:sz w:val="30"/>
          <w:szCs w:val="30"/>
          <w:shd w:val="clear" w:fill="FFFFFF"/>
          <w:lang w:val="en-US" w:eastAsia="zh-CN" w:bidi="ar"/>
        </w:rPr>
        <w:t> </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一、部门（单位）概况</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（一）机构组成。</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按照《中共阿坝州委机构编制委员会办公室关于设立九寨沟县国有资产管理中心的批复》(阿编办(2017)122号)要求，结合九寨沟县实际，设立九寨沟县国有资产管理中心，作为九寨沟县人民政府直属财政全额拨款公益一类正科级事业单位。</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（二）机构职能。</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1、根据县人民政府授权，依照《中华人民共和国企业国有资产法》《企业国有资产监督管理暂行条例》《中华    人民共和国公司法》和《阿坝州企业国有资产监督管理暂行办法》等法律法规，履行出资人职责，加强县属国有及控股(参股)企业的国有资产监管。</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2、代表县人民政府向所监管的国有及控股(参股)企业派出监事会，并负责监事会的日常管理工作。</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3、指导国有及控股(参股)企业完成改革和重组，建立</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健全现代企业制度，完善公司法人治理结构，推动国有经济布局和结构的战略性调整。</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4、按照法定程序对所监管的国有及控股(参股)企业负责人进行考核、任免，并根据其经营业绩进行奖惩，建立符合社会主义市场经济体制和现代企业制度要求的选人、用人机制，完善经营者激励和约束机制。</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5、负责国有企业资产保值增值监督管理，建立完善县级国有资产保值增值指标体系，制定考核标准;通过统计、稽核等方式对所监管企业国有资产运行情况进行监管，确保国有资产保值增值;负责所监管国有及控股(参股)企业工资分配管理，制定所监管企业负责人收入分配政策，并组织实施。</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6、参与制定国有资本经营预算有关管理制度;提出所监管企业年度国有资本经营预算计划;组织和监督所监管企业国有资本经营预算执行情况;审查所监管县级国有独资、控股(参股)企业的年度国有资本经营决算报告;负责组织所监管企业上缴国有资本金收益。</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7、根据县人民政府授权，负责县属国有及控股(参股)企业负责人的任免和管理。</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8、制定县级国有资产管理办法和制度，并对县级国有资产管理进行指导和监督。</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9、承办县委、县人民政府交办的其他事项。</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（三）、内设机构</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根据上述职责，县国有资产管理中心下设3个内设机构。</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1、综合办公室</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处理中心运转的日常工作;负责中心综合协调、文电、会议、机要、保密、档案、财务、安全生产和信息化等工作:承担重要文件和主任办公会议决定事项的督办工作;指导所监管企业开展信访维稳工作;负责中心干部、人事及机构编制管理和所监管企业的人事、档案管理等工作。</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2、产权管理股</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依照《中华人民共和国企业国有资产法》《企业国有资产监督管理暂行条例》《中华人民共和国公司法》《阿坝州企业国有资产监督管理暂行办法》等法律法规，研究提出县域内国有资产产权管理的建议，拟定国有资产产权界定、登记、划转、处置及产权纠纷等方面的规章制度和管理办法，并组织实施;承担国有资产评估项目的核准和备案工作;审核所监管企业资本金变动、股权转让及发债方案;监督、规范国有产权交易，参与重大投资决策，履行出资人职责;拟定国有企业清产核资的政策及制度、方法，组织所监管企业完成清产核资工作;按照国家有关规定，负责所监管企业资产损失和债权损失核销工作;负责组织所监管企业上缴国有资本收益。</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3、统计与绩效考核股</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负责所监管企业国有资产和财务等统计工作;负责编报国有资本经营预算建议草案;负责所监管企业国有资本收益收缴工作;负责审核报批国有独资企业年度预(决)算草案;负责所监管企业收支决算的审核汇总工作;指导、规范所监管企业财务制度、会计核算制度建设;负责所监管企业清产核资和资产损失核销工作;负责拟订和完善所监管企业经营业绩考核制度及薪酬制度，经报批后组织实施;牵头组织实施所监管企业的年度目标考核工作;负责企业财务的监督检查工作;负责组织实施国有企业年度审计和专项审计工作。</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（四）、人员概况。</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九寨沟县国有资产管理中心事业编制8名，其中:主任1名(正科级)、副主任2名(副科级)，股级领导职数3名(正股级)。目前现有在编人员7名。</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    二、部门财政资金收支情况</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（一）部门财政资金收入情况。</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我中心截止2021年12月31日止，收入合计</w:t>
      </w:r>
      <w:r>
        <w:rPr>
          <w:rFonts w:hint="eastAsia" w:ascii="仿宋" w:hAnsi="仿宋" w:eastAsia="仿宋" w:cs="仿宋"/>
          <w:i w:val="0"/>
          <w:iCs w:val="0"/>
          <w:caps w:val="0"/>
          <w:color w:val="000000" w:themeColor="text1"/>
          <w:spacing w:val="0"/>
          <w:kern w:val="0"/>
          <w:sz w:val="32"/>
          <w:szCs w:val="32"/>
          <w:lang w:val="en-US" w:eastAsia="zh-CN" w:bidi="ar"/>
          <w14:textFill>
            <w14:solidFill>
              <w14:schemeClr w14:val="tx1"/>
            </w14:solidFill>
          </w14:textFill>
        </w:rPr>
        <w:t>37121.11</w:t>
      </w:r>
      <w:r>
        <w:rPr>
          <w:rFonts w:hint="eastAsia" w:ascii="仿宋" w:hAnsi="仿宋" w:eastAsia="仿宋" w:cs="仿宋"/>
          <w:b w:val="0"/>
          <w:bCs w:val="0"/>
          <w:i w:val="0"/>
          <w:iCs w:val="0"/>
          <w:caps w:val="0"/>
          <w:color w:val="000000"/>
          <w:spacing w:val="0"/>
          <w:kern w:val="0"/>
          <w:sz w:val="32"/>
          <w:szCs w:val="32"/>
          <w:lang w:val="en-US" w:eastAsia="zh-CN" w:bidi="ar"/>
        </w:rPr>
        <w:t>万元。其中位本年度实际收到的一般公共预算财政拨款收入1221.11万元，本年度政府性基金预算财政拨款收入35900万元，</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（二）部门财政资金支出情况。</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    截止2021年12月31日止，财政拨款支出40881.52万元。其中基本支出为404.19万元，项目支出40477.33</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   （三）部门整体预算绩效管理情况</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本单位履职效益情况良好，对各项支出严格按照预算额度进行控制，本年预算配置方面，财政供养人员控制在预算编制以内，编制内在职人员控制率小于100%， “三公经费”控制较好。</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预算管理方面较好，本着厉行节俭、只减不增的原则，严格执行“三公”经费标准和审批制度与程序，公用经费、三公经费都得到了有效控制。</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我单位建立健全了财政收支管理、预算管理、资产管理制度等一系列内部控制制度，制度执行总体有效。</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2020年我中心按照县人民政府工作安排，主要开展的工作情况如下：</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（一）总体运营情况</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仿宋" w:hAnsi="仿宋" w:eastAsia="仿宋" w:cs="仿宋"/>
          <w:b w:val="0"/>
          <w:bCs w:val="0"/>
          <w:i w:val="0"/>
          <w:iCs w:val="0"/>
          <w:caps w:val="0"/>
          <w:color w:val="000000"/>
          <w:spacing w:val="0"/>
          <w:kern w:val="0"/>
          <w:sz w:val="32"/>
          <w:szCs w:val="32"/>
          <w:lang w:val="en-US" w:eastAsia="zh-CN" w:bidi="ar"/>
        </w:rPr>
      </w:pPr>
      <w:r>
        <w:rPr>
          <w:rFonts w:hint="eastAsia" w:ascii="仿宋" w:hAnsi="仿宋" w:eastAsia="仿宋" w:cs="仿宋"/>
          <w:b w:val="0"/>
          <w:bCs w:val="0"/>
          <w:i w:val="0"/>
          <w:iCs w:val="0"/>
          <w:caps w:val="0"/>
          <w:color w:val="000000"/>
          <w:spacing w:val="0"/>
          <w:kern w:val="0"/>
          <w:sz w:val="32"/>
          <w:szCs w:val="32"/>
          <w:lang w:val="en-US" w:eastAsia="zh-CN" w:bidi="ar"/>
        </w:rPr>
        <w:t>1.我县县属国有企业资产总额为32.11亿元，同比增长3.08%，其中货币资金5.67亿元，应收账款0.66亿元，预付账款0.82亿元，其他应收款0.66亿元，存货0.06亿元，其他流动资产0.13亿元，长期股权投资4.70亿元，固定资产净值1.97亿元，无形资产6.73亿元，在建工程10.67亿元，长期待摊费用0.04亿元；负债总额为21.35亿元，同比增长31.40%，其中短期借款0.04亿元，应付账款1.37亿元，预收账款3.32亿元、应付职工薪酬0.09亿元，应交税费-0.32亿元，其他应付款1.43亿元，其他流动付债0.04亿元，长期借款15.25亿元其他非流动付债0.04亿元，递延收益0.07亿元，长期应付款0.02亿元；所有者权益为10.76亿元，同比增长-27.79%,其中实收资本2.4亿元，资本公积9.83亿元，未分配利润-2.42亿元，盈余公积0.01亿元，少数股东权益0.94亿元；资产负债率为66.50% ；营业总收入为0.37亿</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2.国有企业深化改革取得实效。按照深化国有企业改革工作目标，在明确企业功能定位的基础上，按照一业为主、相关有限多元原则，通过合并、划转等多种方式，对部分县属国有企业实行重组整合，目前已完成了县交投公司与县国瑞公司的整合重组工作。同时，按照中央、省、州要求，不断推进退休人员社会化管理工作，确保我县内265名企业退休人员平稳有序过渡到乡镇（社区），截止目前已与大九旅、电信公司等企业签订了整体移交协议。</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（二）国有资本运行管理的主要做法</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1.管理制度进一步完善，管理体系逐步形成。在坚持分类分级管理基础上，已制定完成了10余套国有企业管理制度，建立完善了与我县国有企业实际相符合的现代企业制度，持续深入推进我县国资国企改革工作。按照现代企业管理制度，优化国有企业内部组织架构。明确各国有企业主要职责、内设机构和岗位设置，建立健全各国有企业内部管理制度，完善行政人事管理、财务管理、项目管理、会议制度等8类37项制度，同时加强内部审计工作，强化内部监督，进一步规范国有企业管理，提升国有企业内控水平。并与各县属国有企业签订了年度目标责任书。</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2.以市场导向为主，进一步提高企业应对市场风险的能力。坚持市场导向，以资本的有序流动带动企业转型升级，激发活力，占据主动。使国有企业真正成为能够自主经营、自负盈亏、自担风险、自我约束、自我发展的独立市场主体。在加大稳增长工作力度、增强发展能力的同时，强化风险管控，确保企业稳定可持续发展。</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3.强化主体责任，进一步加强各企业的政治担当和社会责任意识。把履行社会责任与促进企业改革发展相结合，疫情期间各县属国有企业严格落实企业防控责任，把履行社会责任作为建立现代企业制度的重要内容。鼓励引导企业依法经营、诚实守信，模范遵守法律法规、社会公德和商业道德，维护投资者和债权人权益，保护知识产权。不断提高持续盈利能力，提升产品质量和服务水平。参与社会公益事业，在重大自然灾害和突发事件情况下积极提供支持援助。</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    四、评价结论及建议</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（一）评价结论。</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根据部门整体支出绩效评价指标体系，我单位2021年上半年度评分为98分。</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（二）存在问题。</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1、思想认识应提升。当前个别地方对评价工作的重视程度还不够，主要由于评价结果和预算安排尚未密切挂钩，基层对提高预算绩效管理的认识不到位。2、成果应用待加强。绩效评价结果作为预算分配或调整的重要依据目前尚未执行到位。</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（三）改进建议。</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1、加强宣传培训和交流调研工作，修改完善预算绩效评价指标体系，开展预算绩效调研。</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2、建议协调明确相关政策及实施细则，建议协调明确。 </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3、建立健全预算绩效目标管理机制。在编制预算时要同步编制指向明确、细化量化、合理可行的绩效目标。</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4、建立健全预算执行绩效监控机制。按照要求报送相关项目绩效运行分析报告。加强对绩效目标实现情况的跟踪监控，需调整绩效目标的，要根据绩效目标管理的要求和审核流程，随同预算一并调整。</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5、建立健全预算支出绩效评价机制。及时组织本部门及所属单位开展预算绩效自评工作;将预算评审论证拟安排的项目，全部纳入重点项目绩效评价范围，组织开展重点评价，并进一步拓展重点绩效评价领域。</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6、建立健全绩效评价结果反馈应用机制。</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7、建立健全绩效评价定期报告和公开机制。</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 </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 </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                </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 </w:t>
      </w:r>
    </w:p>
    <w:p>
      <w:pPr>
        <w:keepNext w:val="0"/>
        <w:keepLines w:val="0"/>
        <w:widowControl/>
        <w:suppressLineNumbers w:val="0"/>
        <w:pBdr>
          <w:top w:val="none" w:color="auto" w:sz="0" w:space="0"/>
          <w:left w:val="none" w:color="auto" w:sz="0" w:space="0"/>
          <w:bottom w:val="single" w:color="FFFFFF" w:sz="8" w:space="10"/>
          <w:right w:val="none" w:color="auto" w:sz="0" w:space="0"/>
        </w:pBdr>
        <w:spacing w:before="0" w:beforeAutospacing="0" w:after="0" w:afterAutospacing="0" w:line="576" w:lineRule="atLeast"/>
        <w:ind w:left="0" w:right="0" w:firstLine="640"/>
        <w:jc w:val="left"/>
        <w:textAlignment w:val="top"/>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kern w:val="0"/>
          <w:sz w:val="32"/>
          <w:szCs w:val="32"/>
          <w:lang w:val="en-US" w:eastAsia="zh-CN" w:bidi="ar"/>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18"/>
          <w:szCs w:val="18"/>
        </w:rPr>
      </w:pPr>
      <w:r>
        <w:rPr>
          <w:rFonts w:hint="eastAsia" w:ascii="仿宋" w:hAnsi="仿宋" w:eastAsia="仿宋" w:cs="仿宋"/>
          <w:b w:val="0"/>
          <w:bCs w:val="0"/>
          <w:i w:val="0"/>
          <w:iCs w:val="0"/>
          <w:caps w:val="0"/>
          <w:color w:val="000000"/>
          <w:spacing w:val="0"/>
          <w:sz w:val="32"/>
          <w:szCs w:val="32"/>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_GB2312" w:hAnsi="宋体" w:eastAsia="仿宋_GB2312" w:cs="仿宋_GB2312"/>
          <w:i w:val="0"/>
          <w:iCs w:val="0"/>
          <w:caps w:val="0"/>
          <w:color w:val="000000"/>
          <w:spacing w:val="0"/>
          <w:kern w:val="0"/>
          <w:sz w:val="32"/>
          <w:szCs w:val="32"/>
          <w:lang w:val="en-US" w:eastAsia="zh-CN" w:bidi="ar"/>
        </w:rPr>
        <w:t> </w:t>
      </w:r>
    </w:p>
    <w:p>
      <w:pPr>
        <w:pStyle w:val="5"/>
        <w:keepNext w:val="0"/>
        <w:keepLines w:val="0"/>
        <w:widowControl/>
        <w:suppressLineNumbers w:val="0"/>
        <w:ind w:left="0" w:firstLine="0"/>
        <w:rPr>
          <w:rFonts w:hint="eastAsia" w:ascii="宋体" w:hAnsi="宋体" w:eastAsia="宋体" w:cs="宋体"/>
          <w:i w:val="0"/>
          <w:iCs w:val="0"/>
          <w:caps w:val="0"/>
          <w:color w:val="000000"/>
          <w:spacing w:val="0"/>
        </w:rPr>
      </w:pPr>
      <w:bookmarkStart w:id="108" w:name="_Toc15396617"/>
      <w:bookmarkEnd w:id="108"/>
      <w:r>
        <w:rPr>
          <w:rFonts w:hint="eastAsia" w:ascii="仿宋" w:hAnsi="仿宋" w:eastAsia="仿宋" w:cs="仿宋"/>
          <w:b w:val="0"/>
          <w:bCs w:val="0"/>
          <w:i w:val="0"/>
          <w:iCs w:val="0"/>
          <w:caps w:val="0"/>
          <w:color w:val="000000"/>
          <w:spacing w:val="0"/>
          <w:sz w:val="32"/>
          <w:szCs w:val="32"/>
        </w:rPr>
        <w:t>附件2</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sz w:val="28"/>
          <w:szCs w:val="28"/>
        </w:rPr>
        <w:t>                       项目支出绩效自评报告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28"/>
          <w:szCs w:val="28"/>
          <w:lang w:val="en-US" w:eastAsia="zh-CN" w:bidi="ar"/>
        </w:rPr>
        <w:t>   （九寨沟县漳扎镇旅游基础设施改造提升项目疫情防控资金）</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center"/>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sz w:val="28"/>
          <w:szCs w:val="28"/>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2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28"/>
          <w:szCs w:val="28"/>
          <w:lang w:val="en-US" w:eastAsia="zh-CN" w:bidi="ar"/>
        </w:rPr>
        <w:t>一、项目概况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2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28"/>
          <w:szCs w:val="28"/>
          <w:lang w:val="en-US" w:eastAsia="zh-CN" w:bidi="ar"/>
        </w:rPr>
        <w:t>（一）</w:t>
      </w:r>
      <w:r>
        <w:rPr>
          <w:rFonts w:hint="eastAsia" w:ascii="仿宋" w:hAnsi="仿宋" w:eastAsia="仿宋" w:cs="仿宋"/>
          <w:b/>
          <w:bCs/>
          <w:i w:val="0"/>
          <w:iCs w:val="0"/>
          <w:caps w:val="0"/>
          <w:color w:val="000000"/>
          <w:spacing w:val="0"/>
          <w:kern w:val="0"/>
          <w:sz w:val="28"/>
          <w:szCs w:val="28"/>
          <w:lang w:val="en-US" w:eastAsia="zh-CN" w:bidi="ar"/>
        </w:rPr>
        <w:t>项目资金申报及批复情况。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720" w:right="0" w:firstLine="56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28"/>
          <w:szCs w:val="28"/>
          <w:lang w:val="en-US" w:eastAsia="zh-CN" w:bidi="ar"/>
        </w:rPr>
        <w:t>根据九寨沟县发展和改革局《关于转下达2020年省内预算内基本建设投资省重点项目疫情防控专项补助（第二批）的通知》（九发改【2020】65号）要求，我单位已申报九寨沟县漳扎镇旅游基础设施改造提升项目疫情防控资金补助50万元和九寨沟县漳扎镇国际生态旅游魅力小镇水环境综合治理项目疫情防控资金补助50万元。根据《阿州才建【2020】71号》、《九财经建【2020】33号》文件下达九寨沟县漳扎镇旅游基础设施改造提升项目疫情防控资金补助和九寨沟县漳扎镇国际生态旅游魅力小镇水环境综合治理项目疫情防控资金补助100万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2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28"/>
          <w:szCs w:val="28"/>
          <w:lang w:val="en-US" w:eastAsia="zh-CN" w:bidi="ar"/>
        </w:rPr>
        <w:t>（二）</w:t>
      </w:r>
      <w:r>
        <w:rPr>
          <w:rFonts w:hint="eastAsia" w:ascii="仿宋" w:hAnsi="仿宋" w:eastAsia="仿宋" w:cs="仿宋"/>
          <w:b/>
          <w:bCs/>
          <w:i w:val="0"/>
          <w:iCs w:val="0"/>
          <w:caps w:val="0"/>
          <w:color w:val="000000"/>
          <w:spacing w:val="0"/>
          <w:kern w:val="0"/>
          <w:sz w:val="28"/>
          <w:szCs w:val="28"/>
          <w:lang w:val="en-US" w:eastAsia="zh-CN" w:bidi="ar"/>
        </w:rPr>
        <w:t>项目资金申报相符性。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720" w:right="0" w:firstLine="56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28"/>
          <w:szCs w:val="28"/>
          <w:lang w:val="en-US" w:eastAsia="zh-CN" w:bidi="ar"/>
        </w:rPr>
        <w:t>我中心项目申报内容与具体实施内容相符、申报目标合理可行。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2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28"/>
          <w:szCs w:val="28"/>
          <w:lang w:val="en-US" w:eastAsia="zh-CN" w:bidi="ar"/>
        </w:rPr>
        <w:t>二、项目实施及管理情况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20"/>
        <w:jc w:val="left"/>
        <w:rPr>
          <w:rFonts w:hint="eastAsia" w:ascii="宋体" w:hAnsi="宋体" w:eastAsia="宋体" w:cs="宋体"/>
          <w:i w:val="0"/>
          <w:iCs w:val="0"/>
          <w:caps w:val="0"/>
          <w:color w:val="000000"/>
          <w:spacing w:val="0"/>
          <w:sz w:val="18"/>
          <w:szCs w:val="18"/>
        </w:rPr>
      </w:pPr>
      <w:r>
        <w:rPr>
          <w:rFonts w:hint="eastAsia" w:ascii="仿宋" w:hAnsi="仿宋" w:eastAsia="仿宋" w:cs="仿宋"/>
          <w:b/>
          <w:bCs/>
          <w:i w:val="0"/>
          <w:iCs w:val="0"/>
          <w:caps w:val="0"/>
          <w:color w:val="000000"/>
          <w:spacing w:val="0"/>
          <w:kern w:val="0"/>
          <w:sz w:val="28"/>
          <w:szCs w:val="28"/>
          <w:lang w:val="en-US" w:eastAsia="zh-CN" w:bidi="ar"/>
        </w:rPr>
        <w:t>（一）资金计划、到位及使用情况。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2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28"/>
          <w:szCs w:val="28"/>
          <w:lang w:val="en-US" w:eastAsia="zh-CN" w:bidi="ar"/>
        </w:rPr>
        <w:t>1．该项目疫情防控专项补助资金50万元已到达九寨沟县国有资产管理中心，按计划用于防控疫情而采购的防疫物资和采取的疫情防控措施，未出现截留、转移、侵占、挪用专项资金的情形。将严格按照相关专项资金管理办法进行管理及使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2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28"/>
          <w:szCs w:val="28"/>
          <w:lang w:val="en-US" w:eastAsia="zh-CN" w:bidi="ar"/>
        </w:rPr>
        <w:t>2．根据县财政局要求采用报账制，通过九寨沟县国有资产管理中心报销支付。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20"/>
        <w:jc w:val="left"/>
        <w:rPr>
          <w:rFonts w:hint="eastAsia" w:ascii="宋体" w:hAnsi="宋体" w:eastAsia="宋体" w:cs="宋体"/>
          <w:i w:val="0"/>
          <w:iCs w:val="0"/>
          <w:caps w:val="0"/>
          <w:color w:val="000000"/>
          <w:spacing w:val="0"/>
          <w:sz w:val="18"/>
          <w:szCs w:val="18"/>
        </w:rPr>
      </w:pPr>
      <w:r>
        <w:rPr>
          <w:rFonts w:hint="eastAsia" w:ascii="仿宋" w:hAnsi="仿宋" w:eastAsia="仿宋" w:cs="仿宋"/>
          <w:b/>
          <w:bCs/>
          <w:i w:val="0"/>
          <w:iCs w:val="0"/>
          <w:caps w:val="0"/>
          <w:color w:val="000000"/>
          <w:spacing w:val="0"/>
          <w:kern w:val="0"/>
          <w:sz w:val="28"/>
          <w:szCs w:val="28"/>
          <w:lang w:val="en-US" w:eastAsia="zh-CN" w:bidi="ar"/>
        </w:rPr>
        <w:t>（二）项目财务管理情况。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6" w:lineRule="atLeast"/>
        <w:ind w:left="0" w:right="0" w:firstLine="56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28"/>
          <w:szCs w:val="28"/>
          <w:lang w:val="en-US" w:eastAsia="zh-CN" w:bidi="ar"/>
        </w:rPr>
        <w:t>此项目疫情防控资金补助由县国有资产管理中心监管，采用报账制进行相关支付，严格按照上级相关文件的规定和要求，严格执行项目防疫补助资金专储制、报账制、公示制等资金管理制度。及时进行财务处理，规范会计核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20"/>
        <w:jc w:val="left"/>
        <w:rPr>
          <w:rFonts w:hint="eastAsia" w:ascii="宋体" w:hAnsi="宋体" w:eastAsia="宋体" w:cs="宋体"/>
          <w:i w:val="0"/>
          <w:iCs w:val="0"/>
          <w:caps w:val="0"/>
          <w:color w:val="000000"/>
          <w:spacing w:val="0"/>
          <w:sz w:val="18"/>
          <w:szCs w:val="18"/>
        </w:rPr>
      </w:pPr>
      <w:r>
        <w:rPr>
          <w:rFonts w:hint="eastAsia" w:ascii="仿宋" w:hAnsi="仿宋" w:eastAsia="仿宋" w:cs="仿宋"/>
          <w:b/>
          <w:bCs/>
          <w:i w:val="0"/>
          <w:iCs w:val="0"/>
          <w:caps w:val="0"/>
          <w:color w:val="000000"/>
          <w:spacing w:val="0"/>
          <w:kern w:val="0"/>
          <w:sz w:val="28"/>
          <w:szCs w:val="28"/>
          <w:lang w:val="en-US" w:eastAsia="zh-CN" w:bidi="ar"/>
        </w:rPr>
        <w:t>（三）项目组织实施情况。</w:t>
      </w:r>
      <w:r>
        <w:rPr>
          <w:rFonts w:hint="eastAsia" w:ascii="仿宋" w:hAnsi="仿宋" w:eastAsia="仿宋" w:cs="仿宋"/>
          <w:i w:val="0"/>
          <w:iCs w:val="0"/>
          <w:caps w:val="0"/>
          <w:color w:val="000000"/>
          <w:spacing w:val="0"/>
          <w:kern w:val="0"/>
          <w:sz w:val="28"/>
          <w:szCs w:val="28"/>
          <w:lang w:val="en-US" w:eastAsia="zh-CN" w:bidi="ar"/>
        </w:rPr>
        <w:t>（项目部）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28"/>
          <w:szCs w:val="28"/>
          <w:lang w:val="en-US" w:eastAsia="zh-CN" w:bidi="ar"/>
        </w:rPr>
        <w:t>    项目相关支出费用由本单位在县国有资产管理中心报账拨付。资金由县国有资产管理中心进行监管。严格按照上级相关文件的规定和要求，严格执行项目防疫补助资金专储制、报账制、公示制等资金管理制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2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28"/>
          <w:szCs w:val="28"/>
          <w:lang w:val="en-US" w:eastAsia="zh-CN" w:bidi="ar"/>
        </w:rPr>
        <w:t>三、项目绩效情况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20"/>
        <w:jc w:val="left"/>
        <w:rPr>
          <w:rFonts w:hint="eastAsia" w:ascii="宋体" w:hAnsi="宋体" w:eastAsia="宋体" w:cs="宋体"/>
          <w:i w:val="0"/>
          <w:iCs w:val="0"/>
          <w:caps w:val="0"/>
          <w:color w:val="000000"/>
          <w:spacing w:val="0"/>
          <w:sz w:val="18"/>
          <w:szCs w:val="18"/>
        </w:rPr>
      </w:pPr>
      <w:r>
        <w:rPr>
          <w:rFonts w:hint="eastAsia" w:ascii="仿宋" w:hAnsi="仿宋" w:eastAsia="仿宋" w:cs="仿宋"/>
          <w:b/>
          <w:bCs/>
          <w:i w:val="0"/>
          <w:iCs w:val="0"/>
          <w:caps w:val="0"/>
          <w:color w:val="000000"/>
          <w:spacing w:val="0"/>
          <w:kern w:val="0"/>
          <w:sz w:val="28"/>
          <w:szCs w:val="28"/>
          <w:lang w:val="en-US" w:eastAsia="zh-CN" w:bidi="ar"/>
        </w:rPr>
        <w:t>（一）项目完成情况。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28"/>
          <w:szCs w:val="28"/>
          <w:lang w:val="en-US" w:eastAsia="zh-CN" w:bidi="ar"/>
        </w:rPr>
        <w:t>    此项目疫情防控已实施：1.配备开工所需的防疫物资。2设置疫情防控管理人员，建立疫情防控隔离房间。3.上墙疫情宣传牌及标语等。4.落实项目“八大员”。以保证项目的顺利推进。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2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28"/>
          <w:szCs w:val="28"/>
          <w:lang w:val="en-US" w:eastAsia="zh-CN" w:bidi="ar"/>
        </w:rPr>
        <w:t>（二）</w:t>
      </w:r>
      <w:r>
        <w:rPr>
          <w:rFonts w:hint="eastAsia" w:ascii="仿宋" w:hAnsi="仿宋" w:eastAsia="仿宋" w:cs="仿宋"/>
          <w:b/>
          <w:bCs/>
          <w:i w:val="0"/>
          <w:iCs w:val="0"/>
          <w:caps w:val="0"/>
          <w:color w:val="000000"/>
          <w:spacing w:val="0"/>
          <w:kern w:val="0"/>
          <w:sz w:val="28"/>
          <w:szCs w:val="28"/>
          <w:lang w:val="en-US" w:eastAsia="zh-CN" w:bidi="ar"/>
        </w:rPr>
        <w:t>项目效益情况。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28"/>
          <w:szCs w:val="28"/>
          <w:lang w:val="en-US" w:eastAsia="zh-CN" w:bidi="ar"/>
        </w:rPr>
        <w:t>    1.项目经济性分析：该项目总投资预算50万元，其中防疫物资采购预算15万元，防控措施预算35万，目前尚未支付相关费用。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both"/>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28"/>
          <w:szCs w:val="28"/>
          <w:lang w:val="en-US" w:eastAsia="zh-CN" w:bidi="ar"/>
        </w:rPr>
        <w:t>2.项目效率性分析：目前已进行部分防疫物资采购及防控措施的实施，保证项目建设的顺利推进，此项目已于2020年3月9日正式复工。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both"/>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28"/>
          <w:szCs w:val="28"/>
          <w:lang w:val="en-US" w:eastAsia="zh-CN" w:bidi="ar"/>
        </w:rPr>
        <w:t>3.项目有效性分析秉持着该项目资金为疫情防控专项补助金原则，尽最大可能发挥资金作用，完成项目建设。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28"/>
          <w:szCs w:val="28"/>
          <w:lang w:val="en-US" w:eastAsia="zh-CN" w:bidi="ar"/>
        </w:rPr>
        <w:t>4.项目主要绩效情况分析九寨沟县漳扎镇旅游基础设施改造提升项目疫情防控专项补助金创造了良好的经济效益，落实了各项防控措施，推进项目实现复产开工，并尽快形成了实物工程量。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2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28"/>
          <w:szCs w:val="28"/>
          <w:lang w:val="en-US" w:eastAsia="zh-CN" w:bidi="ar"/>
        </w:rPr>
        <w:t>四、问题及建议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20"/>
        <w:jc w:val="left"/>
        <w:rPr>
          <w:rFonts w:hint="eastAsia" w:ascii="宋体" w:hAnsi="宋体" w:eastAsia="宋体" w:cs="宋体"/>
          <w:i w:val="0"/>
          <w:iCs w:val="0"/>
          <w:caps w:val="0"/>
          <w:color w:val="000000"/>
          <w:spacing w:val="0"/>
          <w:sz w:val="18"/>
          <w:szCs w:val="18"/>
        </w:rPr>
      </w:pPr>
      <w:r>
        <w:rPr>
          <w:rFonts w:hint="eastAsia" w:ascii="仿宋" w:hAnsi="仿宋" w:eastAsia="仿宋" w:cs="仿宋"/>
          <w:b/>
          <w:bCs/>
          <w:i w:val="0"/>
          <w:iCs w:val="0"/>
          <w:caps w:val="0"/>
          <w:color w:val="000000"/>
          <w:spacing w:val="0"/>
          <w:kern w:val="0"/>
          <w:sz w:val="28"/>
          <w:szCs w:val="28"/>
          <w:lang w:val="en-US" w:eastAsia="zh-CN" w:bidi="ar"/>
        </w:rPr>
        <w:t>（一）存在的问题。</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6"/>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sz w:val="28"/>
          <w:szCs w:val="28"/>
        </w:rPr>
        <w:t>疫情初期由于未及时采购防疫物资，导致防疫物资缺乏，无法顺利复工复产。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2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28"/>
          <w:szCs w:val="28"/>
          <w:lang w:val="en-US" w:eastAsia="zh-CN" w:bidi="ar"/>
        </w:rPr>
        <w:t>（三）</w:t>
      </w:r>
      <w:r>
        <w:rPr>
          <w:rFonts w:hint="eastAsia" w:ascii="仿宋" w:hAnsi="仿宋" w:eastAsia="仿宋" w:cs="仿宋"/>
          <w:b/>
          <w:bCs/>
          <w:i w:val="0"/>
          <w:iCs w:val="0"/>
          <w:caps w:val="0"/>
          <w:color w:val="000000"/>
          <w:spacing w:val="0"/>
          <w:kern w:val="0"/>
          <w:sz w:val="28"/>
          <w:szCs w:val="28"/>
          <w:lang w:val="en-US" w:eastAsia="zh-CN" w:bidi="ar"/>
        </w:rPr>
        <w:t>相关建议。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18"/>
          <w:szCs w:val="18"/>
        </w:rPr>
      </w:pPr>
      <w:r>
        <w:rPr>
          <w:rFonts w:hint="eastAsia" w:ascii="仿宋" w:hAnsi="仿宋" w:eastAsia="仿宋" w:cs="仿宋"/>
          <w:i w:val="0"/>
          <w:iCs w:val="0"/>
          <w:caps w:val="0"/>
          <w:color w:val="000000"/>
          <w:spacing w:val="0"/>
          <w:kern w:val="0"/>
          <w:sz w:val="28"/>
          <w:szCs w:val="28"/>
          <w:lang w:val="en-US" w:eastAsia="zh-CN" w:bidi="ar"/>
        </w:rPr>
        <w:t>    将疫情防控这类紧急事件的应对措施在项目管理中常态化，在项目中成立应急预案组，随时准备应对突发紧急事件。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left"/>
        <w:rPr>
          <w:rFonts w:hint="eastAsia" w:ascii="宋体" w:hAnsi="宋体" w:eastAsia="宋体" w:cs="宋体"/>
          <w:i w:val="0"/>
          <w:iCs w:val="0"/>
          <w:caps w:val="0"/>
          <w:color w:val="000000"/>
          <w:spacing w:val="0"/>
          <w:sz w:val="18"/>
          <w:szCs w:val="18"/>
        </w:rPr>
      </w:pPr>
      <w:r>
        <w:rPr>
          <w:rFonts w:hint="eastAsia" w:ascii="仿宋_GB2312" w:hAnsi="宋体" w:eastAsia="仿宋_GB2312" w:cs="仿宋_GB2312"/>
          <w:i w:val="0"/>
          <w:iCs w:val="0"/>
          <w:caps w:val="0"/>
          <w:color w:val="000000"/>
          <w:spacing w:val="0"/>
          <w:kern w:val="0"/>
          <w:sz w:val="32"/>
          <w:szCs w:val="32"/>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44"/>
          <w:szCs w:val="4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18"/>
          <w:szCs w:val="18"/>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Fonts w:hint="eastAsia" w:ascii="宋体" w:hAnsi="宋体" w:eastAsia="宋体" w:cs="宋体"/>
          <w:i w:val="0"/>
          <w:iCs w:val="0"/>
          <w:caps w:val="0"/>
          <w:color w:val="000000"/>
          <w:spacing w:val="0"/>
          <w:sz w:val="18"/>
          <w:szCs w:val="18"/>
        </w:rPr>
      </w:pPr>
      <w:bookmarkStart w:id="109" w:name="_Toc79163635"/>
      <w:bookmarkEnd w:id="109"/>
      <w:bookmarkStart w:id="110" w:name="_Toc15396618"/>
      <w:bookmarkEnd w:id="110"/>
      <w:bookmarkStart w:id="111" w:name="_Toc79163885"/>
      <w:r>
        <w:rPr>
          <w:rFonts w:hint="eastAsia" w:ascii="黑体" w:hAnsi="宋体" w:eastAsia="黑体" w:cs="黑体"/>
          <w:i w:val="0"/>
          <w:iCs w:val="0"/>
          <w:caps w:val="0"/>
          <w:color w:val="000000"/>
          <w:spacing w:val="0"/>
          <w:kern w:val="0"/>
          <w:sz w:val="44"/>
          <w:szCs w:val="44"/>
          <w:lang w:val="en-US" w:eastAsia="zh-CN" w:bidi="ar"/>
        </w:rPr>
        <w:t>第</w:t>
      </w:r>
      <w:bookmarkEnd w:id="111"/>
      <w:r>
        <w:rPr>
          <w:rFonts w:hint="eastAsia" w:ascii="黑体" w:hAnsi="宋体" w:eastAsia="黑体" w:cs="黑体"/>
          <w:i w:val="0"/>
          <w:iCs w:val="0"/>
          <w:caps w:val="0"/>
          <w:color w:val="000000"/>
          <w:spacing w:val="0"/>
          <w:kern w:val="0"/>
          <w:sz w:val="44"/>
          <w:szCs w:val="44"/>
          <w:lang w:val="en-US" w:eastAsia="zh-CN" w:bidi="ar"/>
        </w:rPr>
        <w:t>五部分 附表</w:t>
      </w:r>
    </w:p>
    <w:p>
      <w:pPr>
        <w:pStyle w:val="5"/>
        <w:keepNext w:val="0"/>
        <w:keepLines w:val="0"/>
        <w:widowControl/>
        <w:suppressLineNumbers w:val="0"/>
        <w:ind w:left="0" w:firstLine="0"/>
        <w:rPr>
          <w:rFonts w:hint="eastAsia" w:ascii="宋体" w:hAnsi="宋体" w:eastAsia="宋体" w:cs="宋体"/>
          <w:i w:val="0"/>
          <w:iCs w:val="0"/>
          <w:caps w:val="0"/>
          <w:color w:val="000000"/>
          <w:spacing w:val="0"/>
        </w:rPr>
      </w:pPr>
      <w:bookmarkStart w:id="112" w:name="_Toc79163886"/>
      <w:bookmarkEnd w:id="112"/>
      <w:bookmarkStart w:id="113" w:name="_Toc79163636"/>
      <w:bookmarkEnd w:id="113"/>
      <w:bookmarkStart w:id="114" w:name="_Toc15396619"/>
      <w:r>
        <w:rPr>
          <w:rFonts w:hint="eastAsia" w:ascii="仿宋" w:hAnsi="仿宋" w:eastAsia="仿宋" w:cs="仿宋"/>
          <w:i w:val="0"/>
          <w:iCs w:val="0"/>
          <w:caps w:val="0"/>
          <w:color w:val="000000"/>
          <w:spacing w:val="0"/>
          <w:sz w:val="32"/>
          <w:szCs w:val="32"/>
        </w:rPr>
        <w:t>一、收</w:t>
      </w:r>
      <w:bookmarkEnd w:id="114"/>
      <w:r>
        <w:rPr>
          <w:rFonts w:hint="eastAsia" w:ascii="仿宋" w:hAnsi="仿宋" w:eastAsia="仿宋" w:cs="仿宋"/>
          <w:b w:val="0"/>
          <w:bCs w:val="0"/>
          <w:i w:val="0"/>
          <w:iCs w:val="0"/>
          <w:caps w:val="0"/>
          <w:color w:val="000000"/>
          <w:spacing w:val="0"/>
          <w:sz w:val="32"/>
          <w:szCs w:val="32"/>
        </w:rPr>
        <w:t>入支出决算总表</w:t>
      </w:r>
    </w:p>
    <w:p>
      <w:pPr>
        <w:pStyle w:val="5"/>
        <w:keepNext w:val="0"/>
        <w:keepLines w:val="0"/>
        <w:widowControl/>
        <w:suppressLineNumbers w:val="0"/>
        <w:ind w:left="0" w:firstLine="0"/>
        <w:rPr>
          <w:rFonts w:hint="eastAsia" w:ascii="宋体" w:hAnsi="宋体" w:eastAsia="宋体" w:cs="宋体"/>
          <w:i w:val="0"/>
          <w:iCs w:val="0"/>
          <w:caps w:val="0"/>
          <w:color w:val="000000"/>
          <w:spacing w:val="0"/>
        </w:rPr>
      </w:pPr>
      <w:bookmarkStart w:id="115" w:name="_Toc79163887"/>
      <w:bookmarkEnd w:id="115"/>
      <w:bookmarkStart w:id="116" w:name="_Toc79163637"/>
      <w:bookmarkEnd w:id="116"/>
      <w:bookmarkStart w:id="117" w:name="_Toc15396620"/>
      <w:r>
        <w:rPr>
          <w:rFonts w:hint="eastAsia" w:ascii="仿宋" w:hAnsi="仿宋" w:eastAsia="仿宋" w:cs="仿宋"/>
          <w:i w:val="0"/>
          <w:iCs w:val="0"/>
          <w:caps w:val="0"/>
          <w:color w:val="000000"/>
          <w:spacing w:val="0"/>
          <w:sz w:val="32"/>
          <w:szCs w:val="32"/>
        </w:rPr>
        <w:t>二、收</w:t>
      </w:r>
      <w:bookmarkEnd w:id="117"/>
      <w:r>
        <w:rPr>
          <w:rFonts w:hint="eastAsia" w:ascii="仿宋" w:hAnsi="仿宋" w:eastAsia="仿宋" w:cs="仿宋"/>
          <w:b w:val="0"/>
          <w:bCs w:val="0"/>
          <w:i w:val="0"/>
          <w:iCs w:val="0"/>
          <w:caps w:val="0"/>
          <w:color w:val="000000"/>
          <w:spacing w:val="0"/>
          <w:sz w:val="32"/>
          <w:szCs w:val="32"/>
        </w:rPr>
        <w:t>入决算表</w:t>
      </w:r>
    </w:p>
    <w:p>
      <w:pPr>
        <w:pStyle w:val="5"/>
        <w:keepNext w:val="0"/>
        <w:keepLines w:val="0"/>
        <w:widowControl/>
        <w:suppressLineNumbers w:val="0"/>
        <w:ind w:left="0" w:firstLine="0"/>
        <w:rPr>
          <w:rFonts w:hint="eastAsia" w:ascii="宋体" w:hAnsi="宋体" w:eastAsia="宋体" w:cs="宋体"/>
          <w:i w:val="0"/>
          <w:iCs w:val="0"/>
          <w:caps w:val="0"/>
          <w:color w:val="000000"/>
          <w:spacing w:val="0"/>
        </w:rPr>
      </w:pPr>
      <w:bookmarkStart w:id="118" w:name="_Toc15396621"/>
      <w:bookmarkEnd w:id="118"/>
      <w:bookmarkStart w:id="119" w:name="_Toc79163638"/>
      <w:bookmarkEnd w:id="119"/>
      <w:bookmarkStart w:id="120" w:name="_Toc79163888"/>
      <w:r>
        <w:rPr>
          <w:rFonts w:hint="eastAsia" w:ascii="仿宋" w:hAnsi="仿宋" w:eastAsia="仿宋" w:cs="仿宋"/>
          <w:b w:val="0"/>
          <w:bCs w:val="0"/>
          <w:i w:val="0"/>
          <w:iCs w:val="0"/>
          <w:caps w:val="0"/>
          <w:color w:val="000000"/>
          <w:spacing w:val="0"/>
          <w:sz w:val="32"/>
          <w:szCs w:val="32"/>
        </w:rPr>
        <w:t>三、</w:t>
      </w:r>
      <w:bookmarkEnd w:id="120"/>
      <w:r>
        <w:rPr>
          <w:rFonts w:hint="eastAsia" w:ascii="仿宋" w:hAnsi="仿宋" w:eastAsia="仿宋" w:cs="仿宋"/>
          <w:i w:val="0"/>
          <w:iCs w:val="0"/>
          <w:caps w:val="0"/>
          <w:color w:val="000000"/>
          <w:spacing w:val="0"/>
          <w:sz w:val="32"/>
          <w:szCs w:val="32"/>
        </w:rPr>
        <w:t>支</w:t>
      </w:r>
      <w:r>
        <w:rPr>
          <w:rFonts w:hint="eastAsia" w:ascii="仿宋" w:hAnsi="仿宋" w:eastAsia="仿宋" w:cs="仿宋"/>
          <w:b w:val="0"/>
          <w:bCs w:val="0"/>
          <w:i w:val="0"/>
          <w:iCs w:val="0"/>
          <w:caps w:val="0"/>
          <w:color w:val="000000"/>
          <w:spacing w:val="0"/>
          <w:sz w:val="32"/>
          <w:szCs w:val="32"/>
        </w:rPr>
        <w:t>出决算表</w:t>
      </w:r>
    </w:p>
    <w:p>
      <w:pPr>
        <w:pStyle w:val="5"/>
        <w:keepNext w:val="0"/>
        <w:keepLines w:val="0"/>
        <w:widowControl/>
        <w:suppressLineNumbers w:val="0"/>
        <w:ind w:left="0" w:firstLine="0"/>
        <w:rPr>
          <w:rFonts w:hint="eastAsia" w:ascii="宋体" w:hAnsi="宋体" w:eastAsia="宋体" w:cs="宋体"/>
          <w:i w:val="0"/>
          <w:iCs w:val="0"/>
          <w:caps w:val="0"/>
          <w:color w:val="000000"/>
          <w:spacing w:val="0"/>
        </w:rPr>
      </w:pPr>
      <w:bookmarkStart w:id="121" w:name="_Toc79163889"/>
      <w:bookmarkEnd w:id="121"/>
      <w:bookmarkStart w:id="122" w:name="_Toc79163639"/>
      <w:bookmarkEnd w:id="122"/>
      <w:bookmarkStart w:id="123" w:name="_Toc15396622"/>
      <w:r>
        <w:rPr>
          <w:rFonts w:hint="eastAsia" w:ascii="仿宋" w:hAnsi="仿宋" w:eastAsia="仿宋" w:cs="仿宋"/>
          <w:b w:val="0"/>
          <w:bCs w:val="0"/>
          <w:i w:val="0"/>
          <w:iCs w:val="0"/>
          <w:caps w:val="0"/>
          <w:color w:val="000000"/>
          <w:spacing w:val="0"/>
          <w:sz w:val="32"/>
          <w:szCs w:val="32"/>
        </w:rPr>
        <w:t>四、</w:t>
      </w:r>
      <w:bookmarkEnd w:id="123"/>
      <w:r>
        <w:rPr>
          <w:rFonts w:hint="eastAsia" w:ascii="仿宋" w:hAnsi="仿宋" w:eastAsia="仿宋" w:cs="仿宋"/>
          <w:i w:val="0"/>
          <w:iCs w:val="0"/>
          <w:caps w:val="0"/>
          <w:color w:val="000000"/>
          <w:spacing w:val="0"/>
          <w:sz w:val="32"/>
          <w:szCs w:val="32"/>
        </w:rPr>
        <w:t>财</w:t>
      </w:r>
      <w:r>
        <w:rPr>
          <w:rFonts w:hint="eastAsia" w:ascii="仿宋" w:hAnsi="仿宋" w:eastAsia="仿宋" w:cs="仿宋"/>
          <w:b w:val="0"/>
          <w:bCs w:val="0"/>
          <w:i w:val="0"/>
          <w:iCs w:val="0"/>
          <w:caps w:val="0"/>
          <w:color w:val="000000"/>
          <w:spacing w:val="0"/>
          <w:sz w:val="32"/>
          <w:szCs w:val="32"/>
        </w:rPr>
        <w:t>政拨款收入支出决算总表</w:t>
      </w:r>
    </w:p>
    <w:p>
      <w:pPr>
        <w:pStyle w:val="5"/>
        <w:keepNext w:val="0"/>
        <w:keepLines w:val="0"/>
        <w:widowControl/>
        <w:suppressLineNumbers w:val="0"/>
        <w:ind w:left="0" w:firstLine="0"/>
        <w:rPr>
          <w:rFonts w:hint="eastAsia" w:ascii="宋体" w:hAnsi="宋体" w:eastAsia="宋体" w:cs="宋体"/>
          <w:i w:val="0"/>
          <w:iCs w:val="0"/>
          <w:caps w:val="0"/>
          <w:color w:val="000000"/>
          <w:spacing w:val="0"/>
        </w:rPr>
      </w:pPr>
      <w:bookmarkStart w:id="124" w:name="_Toc15396623"/>
      <w:bookmarkEnd w:id="124"/>
      <w:bookmarkStart w:id="125" w:name="_Toc79163640"/>
      <w:bookmarkEnd w:id="125"/>
      <w:bookmarkStart w:id="126" w:name="_Toc79163890"/>
      <w:r>
        <w:rPr>
          <w:rFonts w:hint="eastAsia" w:ascii="仿宋" w:hAnsi="仿宋" w:eastAsia="仿宋" w:cs="仿宋"/>
          <w:b w:val="0"/>
          <w:bCs w:val="0"/>
          <w:i w:val="0"/>
          <w:iCs w:val="0"/>
          <w:caps w:val="0"/>
          <w:color w:val="000000"/>
          <w:spacing w:val="0"/>
          <w:sz w:val="32"/>
          <w:szCs w:val="32"/>
        </w:rPr>
        <w:t>五、</w:t>
      </w:r>
      <w:bookmarkEnd w:id="126"/>
      <w:r>
        <w:rPr>
          <w:rFonts w:hint="eastAsia" w:ascii="仿宋" w:hAnsi="仿宋" w:eastAsia="仿宋" w:cs="仿宋"/>
          <w:i w:val="0"/>
          <w:iCs w:val="0"/>
          <w:caps w:val="0"/>
          <w:color w:val="000000"/>
          <w:spacing w:val="0"/>
          <w:sz w:val="32"/>
          <w:szCs w:val="32"/>
        </w:rPr>
        <w:t>财</w:t>
      </w:r>
      <w:r>
        <w:rPr>
          <w:rFonts w:hint="eastAsia" w:ascii="仿宋" w:hAnsi="仿宋" w:eastAsia="仿宋" w:cs="仿宋"/>
          <w:b w:val="0"/>
          <w:bCs w:val="0"/>
          <w:i w:val="0"/>
          <w:iCs w:val="0"/>
          <w:caps w:val="0"/>
          <w:color w:val="000000"/>
          <w:spacing w:val="0"/>
          <w:sz w:val="32"/>
          <w:szCs w:val="32"/>
        </w:rPr>
        <w:t>政拨款支出决算明细表</w:t>
      </w:r>
      <w:bookmarkStart w:id="127" w:name="_Toc15396624"/>
      <w:bookmarkEnd w:id="127"/>
    </w:p>
    <w:p>
      <w:pPr>
        <w:pStyle w:val="5"/>
        <w:keepNext w:val="0"/>
        <w:keepLines w:val="0"/>
        <w:widowControl/>
        <w:suppressLineNumbers w:val="0"/>
        <w:ind w:left="0" w:firstLine="0"/>
        <w:rPr>
          <w:rFonts w:hint="eastAsia" w:ascii="宋体" w:hAnsi="宋体" w:eastAsia="宋体" w:cs="宋体"/>
          <w:i w:val="0"/>
          <w:iCs w:val="0"/>
          <w:caps w:val="0"/>
          <w:color w:val="000000"/>
          <w:spacing w:val="0"/>
        </w:rPr>
      </w:pPr>
      <w:bookmarkStart w:id="128" w:name="_Toc79163641"/>
      <w:bookmarkEnd w:id="128"/>
      <w:bookmarkStart w:id="129" w:name="_Toc79163891"/>
      <w:r>
        <w:rPr>
          <w:rFonts w:hint="eastAsia" w:ascii="仿宋" w:hAnsi="仿宋" w:eastAsia="仿宋" w:cs="仿宋"/>
          <w:b w:val="0"/>
          <w:bCs w:val="0"/>
          <w:i w:val="0"/>
          <w:iCs w:val="0"/>
          <w:caps w:val="0"/>
          <w:color w:val="000000"/>
          <w:spacing w:val="0"/>
          <w:sz w:val="32"/>
          <w:szCs w:val="32"/>
        </w:rPr>
        <w:t>六、</w:t>
      </w:r>
      <w:bookmarkEnd w:id="129"/>
      <w:r>
        <w:rPr>
          <w:rFonts w:hint="eastAsia" w:ascii="仿宋" w:hAnsi="仿宋" w:eastAsia="仿宋" w:cs="仿宋"/>
          <w:i w:val="0"/>
          <w:iCs w:val="0"/>
          <w:caps w:val="0"/>
          <w:color w:val="000000"/>
          <w:spacing w:val="0"/>
          <w:sz w:val="32"/>
          <w:szCs w:val="32"/>
        </w:rPr>
        <w:t>一</w:t>
      </w:r>
      <w:r>
        <w:rPr>
          <w:rFonts w:hint="eastAsia" w:ascii="仿宋" w:hAnsi="仿宋" w:eastAsia="仿宋" w:cs="仿宋"/>
          <w:b w:val="0"/>
          <w:bCs w:val="0"/>
          <w:i w:val="0"/>
          <w:iCs w:val="0"/>
          <w:caps w:val="0"/>
          <w:color w:val="000000"/>
          <w:spacing w:val="0"/>
          <w:sz w:val="32"/>
          <w:szCs w:val="32"/>
        </w:rPr>
        <w:t>般公共预算财政拨款支出决算表</w:t>
      </w:r>
    </w:p>
    <w:p>
      <w:pPr>
        <w:pStyle w:val="5"/>
        <w:keepNext w:val="0"/>
        <w:keepLines w:val="0"/>
        <w:widowControl/>
        <w:suppressLineNumbers w:val="0"/>
        <w:ind w:left="0" w:firstLine="0"/>
        <w:rPr>
          <w:rFonts w:hint="eastAsia" w:ascii="宋体" w:hAnsi="宋体" w:eastAsia="宋体" w:cs="宋体"/>
          <w:i w:val="0"/>
          <w:iCs w:val="0"/>
          <w:caps w:val="0"/>
          <w:color w:val="000000"/>
          <w:spacing w:val="0"/>
        </w:rPr>
      </w:pPr>
      <w:bookmarkStart w:id="130" w:name="_Toc79163642"/>
      <w:bookmarkEnd w:id="130"/>
      <w:bookmarkStart w:id="131" w:name="_Toc15396625"/>
      <w:bookmarkEnd w:id="131"/>
      <w:bookmarkStart w:id="132" w:name="_Toc79163892"/>
      <w:r>
        <w:rPr>
          <w:rFonts w:hint="eastAsia" w:ascii="仿宋" w:hAnsi="仿宋" w:eastAsia="仿宋" w:cs="仿宋"/>
          <w:b w:val="0"/>
          <w:bCs w:val="0"/>
          <w:i w:val="0"/>
          <w:iCs w:val="0"/>
          <w:caps w:val="0"/>
          <w:color w:val="000000"/>
          <w:spacing w:val="0"/>
          <w:sz w:val="32"/>
          <w:szCs w:val="32"/>
        </w:rPr>
        <w:t>七、</w:t>
      </w:r>
      <w:bookmarkEnd w:id="132"/>
      <w:r>
        <w:rPr>
          <w:rFonts w:hint="eastAsia" w:ascii="仿宋" w:hAnsi="仿宋" w:eastAsia="仿宋" w:cs="仿宋"/>
          <w:i w:val="0"/>
          <w:iCs w:val="0"/>
          <w:caps w:val="0"/>
          <w:color w:val="000000"/>
          <w:spacing w:val="0"/>
          <w:sz w:val="32"/>
          <w:szCs w:val="32"/>
        </w:rPr>
        <w:t>一</w:t>
      </w:r>
      <w:r>
        <w:rPr>
          <w:rFonts w:hint="eastAsia" w:ascii="仿宋" w:hAnsi="仿宋" w:eastAsia="仿宋" w:cs="仿宋"/>
          <w:b w:val="0"/>
          <w:bCs w:val="0"/>
          <w:i w:val="0"/>
          <w:iCs w:val="0"/>
          <w:caps w:val="0"/>
          <w:color w:val="000000"/>
          <w:spacing w:val="0"/>
          <w:sz w:val="32"/>
          <w:szCs w:val="32"/>
        </w:rPr>
        <w:t>般公共预算财政拨款支出决算明细表</w:t>
      </w:r>
    </w:p>
    <w:p>
      <w:pPr>
        <w:pStyle w:val="5"/>
        <w:keepNext w:val="0"/>
        <w:keepLines w:val="0"/>
        <w:widowControl/>
        <w:suppressLineNumbers w:val="0"/>
        <w:ind w:left="0" w:firstLine="0"/>
        <w:rPr>
          <w:rFonts w:hint="eastAsia" w:ascii="宋体" w:hAnsi="宋体" w:eastAsia="宋体" w:cs="宋体"/>
          <w:i w:val="0"/>
          <w:iCs w:val="0"/>
          <w:caps w:val="0"/>
          <w:color w:val="000000"/>
          <w:spacing w:val="0"/>
        </w:rPr>
      </w:pPr>
      <w:bookmarkStart w:id="133" w:name="_Toc79163643"/>
      <w:bookmarkEnd w:id="133"/>
      <w:bookmarkStart w:id="134" w:name="_Toc79163893"/>
      <w:bookmarkEnd w:id="134"/>
      <w:bookmarkStart w:id="135" w:name="_Toc15396626"/>
      <w:r>
        <w:rPr>
          <w:rFonts w:hint="eastAsia" w:ascii="仿宋" w:hAnsi="仿宋" w:eastAsia="仿宋" w:cs="仿宋"/>
          <w:b w:val="0"/>
          <w:bCs w:val="0"/>
          <w:i w:val="0"/>
          <w:iCs w:val="0"/>
          <w:caps w:val="0"/>
          <w:color w:val="000000"/>
          <w:spacing w:val="0"/>
          <w:sz w:val="32"/>
          <w:szCs w:val="32"/>
        </w:rPr>
        <w:t>八、</w:t>
      </w:r>
      <w:bookmarkEnd w:id="135"/>
      <w:r>
        <w:rPr>
          <w:rFonts w:hint="eastAsia" w:ascii="仿宋" w:hAnsi="仿宋" w:eastAsia="仿宋" w:cs="仿宋"/>
          <w:i w:val="0"/>
          <w:iCs w:val="0"/>
          <w:caps w:val="0"/>
          <w:color w:val="000000"/>
          <w:spacing w:val="0"/>
          <w:sz w:val="32"/>
          <w:szCs w:val="32"/>
        </w:rPr>
        <w:t>一</w:t>
      </w:r>
      <w:r>
        <w:rPr>
          <w:rFonts w:hint="eastAsia" w:ascii="仿宋" w:hAnsi="仿宋" w:eastAsia="仿宋" w:cs="仿宋"/>
          <w:b w:val="0"/>
          <w:bCs w:val="0"/>
          <w:i w:val="0"/>
          <w:iCs w:val="0"/>
          <w:caps w:val="0"/>
          <w:color w:val="000000"/>
          <w:spacing w:val="0"/>
          <w:sz w:val="32"/>
          <w:szCs w:val="32"/>
        </w:rPr>
        <w:t>般公共预算财政拨款基本支出决算表</w:t>
      </w:r>
    </w:p>
    <w:p>
      <w:pPr>
        <w:pStyle w:val="5"/>
        <w:keepNext w:val="0"/>
        <w:keepLines w:val="0"/>
        <w:widowControl/>
        <w:suppressLineNumbers w:val="0"/>
        <w:ind w:left="0" w:firstLine="0"/>
        <w:rPr>
          <w:rFonts w:hint="eastAsia" w:ascii="宋体" w:hAnsi="宋体" w:eastAsia="宋体" w:cs="宋体"/>
          <w:i w:val="0"/>
          <w:iCs w:val="0"/>
          <w:caps w:val="0"/>
          <w:color w:val="000000"/>
          <w:spacing w:val="0"/>
        </w:rPr>
      </w:pPr>
      <w:bookmarkStart w:id="136" w:name="_Toc79163644"/>
      <w:bookmarkEnd w:id="136"/>
      <w:bookmarkStart w:id="137" w:name="_Toc79163894"/>
      <w:bookmarkEnd w:id="137"/>
      <w:bookmarkStart w:id="138" w:name="_Toc15396627"/>
      <w:r>
        <w:rPr>
          <w:rFonts w:hint="eastAsia" w:ascii="仿宋" w:hAnsi="仿宋" w:eastAsia="仿宋" w:cs="仿宋"/>
          <w:b w:val="0"/>
          <w:bCs w:val="0"/>
          <w:i w:val="0"/>
          <w:iCs w:val="0"/>
          <w:caps w:val="0"/>
          <w:color w:val="000000"/>
          <w:spacing w:val="0"/>
          <w:sz w:val="32"/>
          <w:szCs w:val="32"/>
        </w:rPr>
        <w:t>九、</w:t>
      </w:r>
      <w:bookmarkEnd w:id="138"/>
      <w:r>
        <w:rPr>
          <w:rFonts w:hint="eastAsia" w:ascii="仿宋" w:hAnsi="仿宋" w:eastAsia="仿宋" w:cs="仿宋"/>
          <w:i w:val="0"/>
          <w:iCs w:val="0"/>
          <w:caps w:val="0"/>
          <w:color w:val="000000"/>
          <w:spacing w:val="0"/>
          <w:sz w:val="32"/>
          <w:szCs w:val="32"/>
        </w:rPr>
        <w:t>一</w:t>
      </w:r>
      <w:r>
        <w:rPr>
          <w:rFonts w:hint="eastAsia" w:ascii="仿宋" w:hAnsi="仿宋" w:eastAsia="仿宋" w:cs="仿宋"/>
          <w:b w:val="0"/>
          <w:bCs w:val="0"/>
          <w:i w:val="0"/>
          <w:iCs w:val="0"/>
          <w:caps w:val="0"/>
          <w:color w:val="000000"/>
          <w:spacing w:val="0"/>
          <w:sz w:val="32"/>
          <w:szCs w:val="32"/>
        </w:rPr>
        <w:t>般公共预算财政拨款项目支出决算表</w:t>
      </w:r>
    </w:p>
    <w:p>
      <w:pPr>
        <w:pStyle w:val="5"/>
        <w:keepNext w:val="0"/>
        <w:keepLines w:val="0"/>
        <w:widowControl/>
        <w:suppressLineNumbers w:val="0"/>
        <w:ind w:left="0" w:firstLine="0"/>
        <w:rPr>
          <w:rFonts w:hint="eastAsia" w:ascii="宋体" w:hAnsi="宋体" w:eastAsia="宋体" w:cs="宋体"/>
          <w:i w:val="0"/>
          <w:iCs w:val="0"/>
          <w:caps w:val="0"/>
          <w:color w:val="000000"/>
          <w:spacing w:val="0"/>
        </w:rPr>
      </w:pPr>
      <w:bookmarkStart w:id="139" w:name="_Toc79163895"/>
      <w:bookmarkEnd w:id="139"/>
      <w:bookmarkStart w:id="140" w:name="_Toc15396628"/>
      <w:bookmarkEnd w:id="140"/>
      <w:bookmarkStart w:id="141" w:name="_Toc79163645"/>
      <w:r>
        <w:rPr>
          <w:rFonts w:hint="eastAsia" w:ascii="仿宋" w:hAnsi="仿宋" w:eastAsia="仿宋" w:cs="仿宋"/>
          <w:b w:val="0"/>
          <w:bCs w:val="0"/>
          <w:i w:val="0"/>
          <w:iCs w:val="0"/>
          <w:caps w:val="0"/>
          <w:color w:val="000000"/>
          <w:spacing w:val="0"/>
          <w:sz w:val="32"/>
          <w:szCs w:val="32"/>
        </w:rPr>
        <w:t>十、</w:t>
      </w:r>
      <w:bookmarkEnd w:id="141"/>
      <w:r>
        <w:rPr>
          <w:rFonts w:hint="eastAsia" w:ascii="仿宋" w:hAnsi="仿宋" w:eastAsia="仿宋" w:cs="仿宋"/>
          <w:i w:val="0"/>
          <w:iCs w:val="0"/>
          <w:caps w:val="0"/>
          <w:color w:val="000000"/>
          <w:spacing w:val="0"/>
          <w:sz w:val="32"/>
          <w:szCs w:val="32"/>
        </w:rPr>
        <w:t>一</w:t>
      </w:r>
      <w:r>
        <w:rPr>
          <w:rFonts w:hint="eastAsia" w:ascii="仿宋" w:hAnsi="仿宋" w:eastAsia="仿宋" w:cs="仿宋"/>
          <w:b w:val="0"/>
          <w:bCs w:val="0"/>
          <w:i w:val="0"/>
          <w:iCs w:val="0"/>
          <w:caps w:val="0"/>
          <w:color w:val="000000"/>
          <w:spacing w:val="0"/>
          <w:sz w:val="32"/>
          <w:szCs w:val="32"/>
        </w:rPr>
        <w:t>般公共预算财政拨款“三公”经费支出决算表</w:t>
      </w:r>
    </w:p>
    <w:p>
      <w:pPr>
        <w:pStyle w:val="5"/>
        <w:keepNext w:val="0"/>
        <w:keepLines w:val="0"/>
        <w:widowControl/>
        <w:suppressLineNumbers w:val="0"/>
        <w:ind w:left="0" w:firstLine="0"/>
        <w:rPr>
          <w:rFonts w:hint="eastAsia" w:ascii="宋体" w:hAnsi="宋体" w:eastAsia="宋体" w:cs="宋体"/>
          <w:i w:val="0"/>
          <w:iCs w:val="0"/>
          <w:caps w:val="0"/>
          <w:color w:val="000000"/>
          <w:spacing w:val="0"/>
        </w:rPr>
      </w:pPr>
      <w:bookmarkStart w:id="142" w:name="_Toc79163646"/>
      <w:bookmarkEnd w:id="142"/>
      <w:bookmarkStart w:id="143" w:name="_Toc15396629"/>
      <w:bookmarkEnd w:id="143"/>
      <w:bookmarkStart w:id="144" w:name="_Toc79163896"/>
      <w:r>
        <w:rPr>
          <w:rFonts w:hint="eastAsia" w:ascii="仿宋" w:hAnsi="仿宋" w:eastAsia="仿宋" w:cs="仿宋"/>
          <w:b w:val="0"/>
          <w:bCs w:val="0"/>
          <w:i w:val="0"/>
          <w:iCs w:val="0"/>
          <w:caps w:val="0"/>
          <w:color w:val="000000"/>
          <w:spacing w:val="0"/>
          <w:sz w:val="32"/>
          <w:szCs w:val="32"/>
        </w:rPr>
        <w:t>十一、</w:t>
      </w:r>
      <w:bookmarkEnd w:id="144"/>
      <w:r>
        <w:rPr>
          <w:rFonts w:hint="eastAsia" w:ascii="仿宋" w:hAnsi="仿宋" w:eastAsia="仿宋" w:cs="仿宋"/>
          <w:i w:val="0"/>
          <w:iCs w:val="0"/>
          <w:caps w:val="0"/>
          <w:color w:val="000000"/>
          <w:spacing w:val="0"/>
          <w:sz w:val="32"/>
          <w:szCs w:val="32"/>
        </w:rPr>
        <w:t>政</w:t>
      </w:r>
      <w:r>
        <w:rPr>
          <w:rFonts w:hint="eastAsia" w:ascii="仿宋" w:hAnsi="仿宋" w:eastAsia="仿宋" w:cs="仿宋"/>
          <w:b w:val="0"/>
          <w:bCs w:val="0"/>
          <w:i w:val="0"/>
          <w:iCs w:val="0"/>
          <w:caps w:val="0"/>
          <w:color w:val="000000"/>
          <w:spacing w:val="0"/>
          <w:sz w:val="32"/>
          <w:szCs w:val="32"/>
        </w:rPr>
        <w:t>府性基金预算财政拨款收入支出决算表</w:t>
      </w:r>
    </w:p>
    <w:p>
      <w:pPr>
        <w:pStyle w:val="5"/>
        <w:keepNext w:val="0"/>
        <w:keepLines w:val="0"/>
        <w:widowControl/>
        <w:suppressLineNumbers w:val="0"/>
        <w:ind w:left="0" w:firstLine="0"/>
        <w:rPr>
          <w:rFonts w:hint="eastAsia" w:ascii="宋体" w:hAnsi="宋体" w:eastAsia="宋体" w:cs="宋体"/>
          <w:i w:val="0"/>
          <w:iCs w:val="0"/>
          <w:caps w:val="0"/>
          <w:color w:val="000000"/>
          <w:spacing w:val="0"/>
        </w:rPr>
      </w:pPr>
      <w:bookmarkStart w:id="145" w:name="_Toc79163647"/>
      <w:bookmarkEnd w:id="145"/>
      <w:bookmarkStart w:id="146" w:name="_Toc15396630"/>
      <w:bookmarkEnd w:id="146"/>
      <w:bookmarkStart w:id="147" w:name="_Toc79163897"/>
      <w:r>
        <w:rPr>
          <w:rFonts w:hint="eastAsia" w:ascii="仿宋" w:hAnsi="仿宋" w:eastAsia="仿宋" w:cs="仿宋"/>
          <w:b w:val="0"/>
          <w:bCs w:val="0"/>
          <w:i w:val="0"/>
          <w:iCs w:val="0"/>
          <w:caps w:val="0"/>
          <w:color w:val="000000"/>
          <w:spacing w:val="0"/>
          <w:sz w:val="32"/>
          <w:szCs w:val="32"/>
        </w:rPr>
        <w:t>十二、</w:t>
      </w:r>
      <w:bookmarkEnd w:id="147"/>
      <w:r>
        <w:rPr>
          <w:rFonts w:hint="eastAsia" w:ascii="仿宋" w:hAnsi="仿宋" w:eastAsia="仿宋" w:cs="仿宋"/>
          <w:i w:val="0"/>
          <w:iCs w:val="0"/>
          <w:caps w:val="0"/>
          <w:color w:val="000000"/>
          <w:spacing w:val="0"/>
          <w:sz w:val="32"/>
          <w:szCs w:val="32"/>
        </w:rPr>
        <w:t>政</w:t>
      </w:r>
      <w:r>
        <w:rPr>
          <w:rFonts w:hint="eastAsia" w:ascii="仿宋" w:hAnsi="仿宋" w:eastAsia="仿宋" w:cs="仿宋"/>
          <w:b w:val="0"/>
          <w:bCs w:val="0"/>
          <w:i w:val="0"/>
          <w:iCs w:val="0"/>
          <w:caps w:val="0"/>
          <w:color w:val="000000"/>
          <w:spacing w:val="0"/>
          <w:sz w:val="32"/>
          <w:szCs w:val="32"/>
        </w:rPr>
        <w:t>府性基金预算财政拨款“三公”经费支出决算表</w:t>
      </w:r>
    </w:p>
    <w:p>
      <w:pPr>
        <w:pStyle w:val="5"/>
        <w:keepNext w:val="0"/>
        <w:keepLines w:val="0"/>
        <w:widowControl/>
        <w:suppressLineNumbers w:val="0"/>
        <w:ind w:left="0" w:firstLine="0"/>
        <w:rPr>
          <w:rFonts w:hint="eastAsia" w:ascii="宋体" w:hAnsi="宋体" w:eastAsia="宋体" w:cs="宋体"/>
          <w:i w:val="0"/>
          <w:iCs w:val="0"/>
          <w:caps w:val="0"/>
          <w:color w:val="000000"/>
          <w:spacing w:val="0"/>
        </w:rPr>
      </w:pPr>
      <w:bookmarkStart w:id="148" w:name="_Toc79163648"/>
      <w:bookmarkEnd w:id="148"/>
      <w:bookmarkStart w:id="149" w:name="_Toc15396631"/>
      <w:bookmarkEnd w:id="149"/>
      <w:bookmarkStart w:id="150" w:name="_Toc79163898"/>
      <w:r>
        <w:rPr>
          <w:rFonts w:hint="eastAsia" w:ascii="仿宋" w:hAnsi="仿宋" w:eastAsia="仿宋" w:cs="仿宋"/>
          <w:b w:val="0"/>
          <w:bCs w:val="0"/>
          <w:i w:val="0"/>
          <w:iCs w:val="0"/>
          <w:caps w:val="0"/>
          <w:color w:val="000000"/>
          <w:spacing w:val="0"/>
          <w:sz w:val="32"/>
          <w:szCs w:val="32"/>
        </w:rPr>
        <w:t>十三、</w:t>
      </w:r>
      <w:bookmarkEnd w:id="150"/>
      <w:r>
        <w:rPr>
          <w:rFonts w:hint="eastAsia" w:ascii="仿宋" w:hAnsi="仿宋" w:eastAsia="仿宋" w:cs="仿宋"/>
          <w:i w:val="0"/>
          <w:iCs w:val="0"/>
          <w:caps w:val="0"/>
          <w:color w:val="000000"/>
          <w:spacing w:val="0"/>
          <w:sz w:val="32"/>
          <w:szCs w:val="32"/>
        </w:rPr>
        <w:t>国</w:t>
      </w:r>
      <w:r>
        <w:rPr>
          <w:rFonts w:hint="eastAsia" w:ascii="仿宋" w:hAnsi="仿宋" w:eastAsia="仿宋" w:cs="仿宋"/>
          <w:b w:val="0"/>
          <w:bCs w:val="0"/>
          <w:i w:val="0"/>
          <w:iCs w:val="0"/>
          <w:caps w:val="0"/>
          <w:color w:val="000000"/>
          <w:spacing w:val="0"/>
          <w:sz w:val="32"/>
          <w:szCs w:val="32"/>
        </w:rPr>
        <w:t>有资本经营预算财政拨款支出决算表</w:t>
      </w:r>
    </w:p>
    <w:p>
      <w:pPr>
        <w:pStyle w:val="5"/>
        <w:keepNext w:val="0"/>
        <w:keepLines w:val="0"/>
        <w:widowControl/>
        <w:suppressLineNumbers w:val="0"/>
        <w:ind w:left="0" w:firstLine="0"/>
        <w:rPr>
          <w:rFonts w:hint="eastAsia" w:ascii="宋体" w:hAnsi="宋体" w:eastAsia="宋体" w:cs="宋体"/>
          <w:i w:val="0"/>
          <w:iCs w:val="0"/>
          <w:caps w:val="0"/>
          <w:color w:val="000000"/>
          <w:spacing w:val="0"/>
        </w:rPr>
      </w:pPr>
      <w:bookmarkStart w:id="151" w:name="_Toc79163899"/>
      <w:bookmarkEnd w:id="151"/>
      <w:bookmarkStart w:id="152" w:name="_Toc79163649"/>
      <w:r>
        <w:rPr>
          <w:rFonts w:hint="eastAsia" w:ascii="仿宋" w:hAnsi="仿宋" w:eastAsia="仿宋" w:cs="仿宋"/>
          <w:b w:val="0"/>
          <w:bCs w:val="0"/>
          <w:i w:val="0"/>
          <w:iCs w:val="0"/>
          <w:caps w:val="0"/>
          <w:color w:val="000000"/>
          <w:spacing w:val="0"/>
          <w:sz w:val="32"/>
          <w:szCs w:val="32"/>
        </w:rPr>
        <w:t>十四、国有资本经营预算财政拨款支出决算表</w:t>
      </w:r>
      <w:bookmarkEnd w:id="152"/>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2D6D34"/>
    <w:multiLevelType w:val="singleLevel"/>
    <w:tmpl w:val="632D6D34"/>
    <w:lvl w:ilvl="0" w:tentative="0">
      <w:start w:val="3"/>
      <w:numFmt w:val="chineseCounting"/>
      <w:suff w:val="nothing"/>
      <w:lvlText w:val="（%1）"/>
      <w:lvlJc w:val="left"/>
    </w:lvl>
  </w:abstractNum>
  <w:abstractNum w:abstractNumId="1">
    <w:nsid w:val="632D6DC5"/>
    <w:multiLevelType w:val="singleLevel"/>
    <w:tmpl w:val="632D6DC5"/>
    <w:lvl w:ilvl="0" w:tentative="0">
      <w:start w:val="2"/>
      <w:numFmt w:val="decimal"/>
      <w:suff w:val="nothing"/>
      <w:lvlText w:val="%1."/>
      <w:lvlJc w:val="left"/>
    </w:lvl>
  </w:abstractNum>
  <w:abstractNum w:abstractNumId="2">
    <w:nsid w:val="632D6DDE"/>
    <w:multiLevelType w:val="singleLevel"/>
    <w:tmpl w:val="632D6DDE"/>
    <w:lvl w:ilvl="0" w:tentative="0">
      <w:start w:val="5"/>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mNDNlODFmNzM0NmZhM2U0MDI5ZDdiM2U0YWU2ZmIifQ=="/>
  </w:docVars>
  <w:rsids>
    <w:rsidRoot w:val="3F317F4E"/>
    <w:rsid w:val="041878F6"/>
    <w:rsid w:val="1A716C7F"/>
    <w:rsid w:val="3F317F4E"/>
    <w:rsid w:val="3FD14303"/>
    <w:rsid w:val="40BE0998"/>
    <w:rsid w:val="5EBD27CE"/>
    <w:rsid w:val="64C27FCD"/>
    <w:rsid w:val="6ABF74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0"/>
      <w:ind w:firstLine="200" w:firstLineChars="200"/>
    </w:pPr>
    <w:rPr>
      <w:rFonts w:ascii="Calibri" w:hAnsi="Calibri" w:eastAsia="仿宋_GB2312"/>
      <w:sz w:val="32"/>
      <w:szCs w:val="24"/>
    </w:rPr>
  </w:style>
  <w:style w:type="paragraph" w:styleId="3">
    <w:name w:val="Body Text Indent"/>
    <w:basedOn w:val="1"/>
    <w:uiPriority w:val="0"/>
    <w:pPr>
      <w:spacing w:after="120"/>
      <w:ind w:left="200" w:leftChars="200"/>
    </w:pPr>
  </w:style>
  <w:style w:type="paragraph" w:styleId="6">
    <w:name w:val="Body Text"/>
    <w:basedOn w:val="1"/>
    <w:qFormat/>
    <w:uiPriority w:val="0"/>
    <w:pPr>
      <w:spacing w:after="120"/>
    </w:pPr>
    <w:rPr>
      <w:szCs w:val="24"/>
    </w:rPr>
  </w:style>
  <w:style w:type="paragraph" w:styleId="7">
    <w:name w:val="Normal (Web)"/>
    <w:basedOn w:val="1"/>
    <w:qFormat/>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40</Pages>
  <Words>15421</Words>
  <Characters>16818</Characters>
  <Lines>0</Lines>
  <Paragraphs>0</Paragraphs>
  <TotalTime>1</TotalTime>
  <ScaleCrop>false</ScaleCrop>
  <LinksUpToDate>false</LinksUpToDate>
  <CharactersWithSpaces>16872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2022-09-23T02:35:00Z</dcterms:created>
  <dc:creator>小妞你的唇膏什么味道的</dc:creator>
  <cp:lastModifiedBy>小妞你的唇膏什么味道的</cp:lastModifiedBy>
  <dcterms:modified xsi:type="dcterms:W3CDTF">2022-09-26T08:18:00Z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2F9BD855CD8F47BAA24364C543009224</vt:lpwstr>
  </property>
</Properties>
</file>