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8195"/>
      <w:bookmarkStart w:id="4" w:name="_Toc15396597"/>
      <w:bookmarkStart w:id="5" w:name="_Toc15377193"/>
      <w:bookmarkStart w:id="6" w:name="_Toc15377425"/>
      <w:bookmarkStart w:id="109" w:name="_GoBack"/>
      <w:bookmarkEnd w:id="109"/>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7" w:name="_Toc5590"/>
      <w:bookmarkStart w:id="8" w:name="_Toc15377194"/>
      <w:bookmarkStart w:id="9" w:name="_Toc15378442"/>
      <w:bookmarkStart w:id="10" w:name="_Toc15396598"/>
      <w:bookmarkStart w:id="11" w:name="_Toc15396476"/>
      <w:bookmarkStart w:id="12" w:name="_Toc15377426"/>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lang w:val="en-US" w:eastAsia="zh-CN"/>
        </w:rPr>
        <w:t>九寨沟县</w:t>
      </w:r>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1449"/>
      <w:r>
        <w:rPr>
          <w:rFonts w:hint="eastAsia" w:ascii="方正小标宋简体" w:hAnsi="宋体" w:eastAsia="方正小标宋简体"/>
          <w:color w:val="000000"/>
          <w:sz w:val="72"/>
          <w:szCs w:val="72"/>
          <w:lang w:val="en-US" w:eastAsia="zh-CN"/>
        </w:rPr>
        <w:t>医疗保障局</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outlineLvl w:val="0"/>
      </w:pPr>
      <w:bookmarkStart w:id="15" w:name="_Toc9930"/>
      <w:r>
        <w:rPr>
          <w:rFonts w:hint="eastAsia"/>
        </w:rPr>
        <w:t>公开时间：2020年</w:t>
      </w:r>
      <w:r>
        <w:rPr>
          <w:rFonts w:hint="eastAsia"/>
          <w:lang w:val="en-US" w:eastAsia="zh-CN"/>
        </w:rPr>
        <w:t>8</w:t>
      </w:r>
      <w:r>
        <w:rPr>
          <w:rFonts w:hint="eastAsia"/>
        </w:rPr>
        <w:t>月</w:t>
      </w:r>
      <w:r>
        <w:t>25</w:t>
      </w:r>
      <w:r>
        <w:rPr>
          <w:rFonts w:hint="eastAsia"/>
        </w:rPr>
        <w:t>日</w:t>
      </w:r>
      <w:bookmarkEnd w:id="15"/>
    </w:p>
    <w:p/>
    <w:p>
      <w:pPr>
        <w:pStyle w:val="10"/>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_Toc14706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_Toc14706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_Toc24580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_Toc24580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_Toc11437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_Toc11437 </w:instrText>
      </w:r>
      <w:r>
        <w:fldChar w:fldCharType="separate"/>
      </w:r>
      <w:r>
        <w:t>9</w:t>
      </w:r>
      <w:r>
        <w:fldChar w:fldCharType="end"/>
      </w:r>
      <w:r>
        <w:fldChar w:fldCharType="end"/>
      </w:r>
    </w:p>
    <w:p>
      <w:pPr>
        <w:pStyle w:val="10"/>
        <w:tabs>
          <w:tab w:val="right" w:leader="dot" w:pos="8306"/>
          <w:tab w:val="clear" w:pos="8296"/>
        </w:tabs>
      </w:pPr>
      <w:r>
        <w:fldChar w:fldCharType="begin"/>
      </w:r>
      <w:r>
        <w:instrText xml:space="preserve"> HYPERLINK \l _Toc9415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_Toc9415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_Toc1193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_Toc1193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_Toc9512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_Toc9512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_Toc31020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_Toc31020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_Toc25188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_Toc25188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_Toc30193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_Toc30193 </w:instrText>
      </w:r>
      <w:r>
        <w:fldChar w:fldCharType="separate"/>
      </w:r>
      <w:r>
        <w:t>11</w:t>
      </w:r>
      <w:r>
        <w:fldChar w:fldCharType="end"/>
      </w:r>
      <w:r>
        <w:fldChar w:fldCharType="end"/>
      </w:r>
    </w:p>
    <w:p>
      <w:pPr>
        <w:pStyle w:val="11"/>
        <w:tabs>
          <w:tab w:val="right" w:leader="dot" w:pos="8306"/>
          <w:tab w:val="clear" w:pos="8296"/>
        </w:tabs>
      </w:pPr>
      <w:r>
        <w:fldChar w:fldCharType="begin"/>
      </w:r>
      <w:r>
        <w:instrText xml:space="preserve"> HYPERLINK \l _Toc27933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_Toc27933 </w:instrText>
      </w:r>
      <w:r>
        <w:fldChar w:fldCharType="separate"/>
      </w:r>
      <w:r>
        <w:t>12</w:t>
      </w:r>
      <w:r>
        <w:fldChar w:fldCharType="end"/>
      </w:r>
      <w:r>
        <w:fldChar w:fldCharType="end"/>
      </w:r>
    </w:p>
    <w:p>
      <w:pPr>
        <w:pStyle w:val="11"/>
        <w:tabs>
          <w:tab w:val="right" w:leader="dot" w:pos="8306"/>
          <w:tab w:val="clear" w:pos="8296"/>
        </w:tabs>
      </w:pPr>
      <w:r>
        <w:fldChar w:fldCharType="begin"/>
      </w:r>
      <w:r>
        <w:instrText xml:space="preserve"> HYPERLINK \l _Toc16211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_Toc16211 </w:instrText>
      </w:r>
      <w:r>
        <w:fldChar w:fldCharType="separate"/>
      </w:r>
      <w:r>
        <w:t>13</w:t>
      </w:r>
      <w:r>
        <w:fldChar w:fldCharType="end"/>
      </w:r>
      <w:r>
        <w:fldChar w:fldCharType="end"/>
      </w:r>
    </w:p>
    <w:p>
      <w:pPr>
        <w:pStyle w:val="11"/>
        <w:tabs>
          <w:tab w:val="right" w:leader="dot" w:pos="8306"/>
          <w:tab w:val="clear" w:pos="8296"/>
        </w:tabs>
      </w:pPr>
      <w:r>
        <w:fldChar w:fldCharType="begin"/>
      </w:r>
      <w:r>
        <w:instrText xml:space="preserve"> HYPERLINK \l _Toc31216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_Toc31216 </w:instrText>
      </w:r>
      <w:r>
        <w:fldChar w:fldCharType="separate"/>
      </w:r>
      <w:r>
        <w:t>14</w:t>
      </w:r>
      <w:r>
        <w:fldChar w:fldCharType="end"/>
      </w:r>
      <w:r>
        <w:fldChar w:fldCharType="end"/>
      </w:r>
    </w:p>
    <w:p>
      <w:pPr>
        <w:pStyle w:val="11"/>
        <w:tabs>
          <w:tab w:val="right" w:leader="dot" w:pos="8306"/>
          <w:tab w:val="clear" w:pos="8296"/>
        </w:tabs>
      </w:pPr>
      <w:r>
        <w:fldChar w:fldCharType="begin"/>
      </w:r>
      <w:r>
        <w:instrText xml:space="preserve"> HYPERLINK \l _Toc27918 </w:instrText>
      </w:r>
      <w:r>
        <w:fldChar w:fldCharType="separate"/>
      </w:r>
      <w:r>
        <w:rPr>
          <w:rFonts w:hint="eastAsia" w:ascii="黑体" w:hAnsi="黑体" w:eastAsia="黑体"/>
        </w:rPr>
        <w:t>九、 国有资本经营预算支出决算情况说明</w:t>
      </w:r>
      <w:r>
        <w:tab/>
      </w:r>
      <w:r>
        <w:fldChar w:fldCharType="begin"/>
      </w:r>
      <w:r>
        <w:instrText xml:space="preserve"> PAGEREF _Toc27918 </w:instrText>
      </w:r>
      <w:r>
        <w:fldChar w:fldCharType="separate"/>
      </w:r>
      <w:r>
        <w:t>14</w:t>
      </w:r>
      <w:r>
        <w:fldChar w:fldCharType="end"/>
      </w:r>
      <w:r>
        <w:fldChar w:fldCharType="end"/>
      </w:r>
    </w:p>
    <w:p>
      <w:pPr>
        <w:pStyle w:val="11"/>
        <w:tabs>
          <w:tab w:val="right" w:leader="dot" w:pos="8306"/>
          <w:tab w:val="clear" w:pos="8296"/>
        </w:tabs>
      </w:pPr>
      <w:r>
        <w:fldChar w:fldCharType="begin"/>
      </w:r>
      <w:r>
        <w:instrText xml:space="preserve"> HYPERLINK \l _Toc18114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_Toc18114 </w:instrText>
      </w:r>
      <w:r>
        <w:fldChar w:fldCharType="separate"/>
      </w:r>
      <w:r>
        <w:t>14</w:t>
      </w:r>
      <w:r>
        <w:fldChar w:fldCharType="end"/>
      </w:r>
      <w:r>
        <w:fldChar w:fldCharType="end"/>
      </w:r>
    </w:p>
    <w:p>
      <w:pPr>
        <w:pStyle w:val="10"/>
        <w:tabs>
          <w:tab w:val="right" w:leader="dot" w:pos="8306"/>
          <w:tab w:val="clear" w:pos="8296"/>
        </w:tabs>
      </w:pPr>
      <w:r>
        <w:fldChar w:fldCharType="begin"/>
      </w:r>
      <w:r>
        <w:instrText xml:space="preserve"> HYPERLINK \l _Toc3247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_Toc3247 </w:instrText>
      </w:r>
      <w:r>
        <w:fldChar w:fldCharType="separate"/>
      </w:r>
      <w:r>
        <w:t>21</w:t>
      </w:r>
      <w:r>
        <w:fldChar w:fldCharType="end"/>
      </w:r>
      <w:r>
        <w:fldChar w:fldCharType="end"/>
      </w:r>
    </w:p>
    <w:p>
      <w:pPr>
        <w:pStyle w:val="10"/>
        <w:tabs>
          <w:tab w:val="right" w:leader="dot" w:pos="8306"/>
          <w:tab w:val="clear" w:pos="8296"/>
        </w:tabs>
      </w:pPr>
      <w:r>
        <w:fldChar w:fldCharType="begin"/>
      </w:r>
      <w:r>
        <w:instrText xml:space="preserve"> HYPERLINK \l _Toc15678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_Toc15678 </w:instrText>
      </w:r>
      <w:r>
        <w:fldChar w:fldCharType="separate"/>
      </w:r>
      <w:r>
        <w:t>24</w:t>
      </w:r>
      <w:r>
        <w:fldChar w:fldCharType="end"/>
      </w:r>
      <w:r>
        <w:fldChar w:fldCharType="end"/>
      </w:r>
    </w:p>
    <w:p>
      <w:pPr>
        <w:pStyle w:val="10"/>
        <w:tabs>
          <w:tab w:val="right" w:leader="dot" w:pos="8306"/>
          <w:tab w:val="clear" w:pos="8296"/>
        </w:tabs>
      </w:pPr>
      <w:r>
        <w:fldChar w:fldCharType="begin"/>
      </w:r>
      <w:r>
        <w:instrText xml:space="preserve"> HYPERLINK \l _Toc29242 </w:instrText>
      </w:r>
      <w:r>
        <w:fldChar w:fldCharType="separate"/>
      </w:r>
      <w:r>
        <w:rPr>
          <w:rFonts w:hint="eastAsia" w:ascii="黑体" w:hAnsi="黑体" w:eastAsia="黑体" w:cs="黑体"/>
          <w:szCs w:val="32"/>
        </w:rPr>
        <w:t>附件1</w:t>
      </w:r>
      <w:r>
        <w:tab/>
      </w:r>
      <w:r>
        <w:fldChar w:fldCharType="begin"/>
      </w:r>
      <w:r>
        <w:instrText xml:space="preserve"> PAGEREF _Toc29242 </w:instrText>
      </w:r>
      <w:r>
        <w:fldChar w:fldCharType="separate"/>
      </w:r>
      <w:r>
        <w:t>24</w:t>
      </w:r>
      <w:r>
        <w:fldChar w:fldCharType="end"/>
      </w:r>
      <w:r>
        <w:fldChar w:fldCharType="end"/>
      </w:r>
    </w:p>
    <w:p>
      <w:pPr>
        <w:pStyle w:val="10"/>
        <w:tabs>
          <w:tab w:val="right" w:leader="dot" w:pos="8306"/>
          <w:tab w:val="clear" w:pos="8296"/>
        </w:tabs>
        <w:rPr>
          <w:rFonts w:hint="eastAsia"/>
          <w:lang w:val="en-US" w:eastAsia="zh-CN"/>
        </w:rPr>
      </w:pPr>
      <w:r>
        <w:fldChar w:fldCharType="begin"/>
      </w:r>
      <w:r>
        <w:instrText xml:space="preserve"> HYPERLINK \l _Toc29242 </w:instrText>
      </w:r>
      <w:r>
        <w:fldChar w:fldCharType="separate"/>
      </w:r>
      <w:r>
        <w:rPr>
          <w:rFonts w:hint="eastAsia" w:ascii="黑体" w:hAnsi="黑体" w:eastAsia="黑体" w:cs="黑体"/>
          <w:szCs w:val="32"/>
        </w:rPr>
        <w:t>附件</w:t>
      </w:r>
      <w:r>
        <w:rPr>
          <w:rFonts w:hint="eastAsia" w:ascii="黑体" w:hAnsi="黑体" w:eastAsia="黑体" w:cs="黑体"/>
          <w:szCs w:val="32"/>
          <w:lang w:val="en-US" w:eastAsia="zh-CN"/>
        </w:rPr>
        <w:t>2</w:t>
      </w:r>
      <w:r>
        <w:tab/>
      </w:r>
      <w:r>
        <w:rPr>
          <w:rFonts w:hint="eastAsia"/>
          <w:lang w:val="en-US" w:eastAsia="zh-CN"/>
        </w:rPr>
        <w:t>2</w:t>
      </w:r>
      <w:r>
        <w:fldChar w:fldCharType="end"/>
      </w:r>
      <w:r>
        <w:rPr>
          <w:rFonts w:hint="eastAsia"/>
          <w:lang w:val="en-US" w:eastAsia="zh-CN"/>
        </w:rPr>
        <w:t>9</w:t>
      </w:r>
    </w:p>
    <w:p>
      <w:pPr>
        <w:pStyle w:val="10"/>
        <w:tabs>
          <w:tab w:val="right" w:leader="dot" w:pos="8306"/>
          <w:tab w:val="clear" w:pos="8296"/>
        </w:tabs>
        <w:rPr>
          <w:rFonts w:hint="eastAsia"/>
          <w:lang w:val="en-US" w:eastAsia="zh-CN"/>
        </w:rPr>
      </w:pPr>
      <w:r>
        <w:fldChar w:fldCharType="begin"/>
      </w:r>
      <w:r>
        <w:instrText xml:space="preserve"> HYPERLINK \l _Toc29242 </w:instrText>
      </w:r>
      <w:r>
        <w:fldChar w:fldCharType="separate"/>
      </w:r>
      <w:r>
        <w:rPr>
          <w:rFonts w:hint="eastAsia" w:ascii="黑体" w:hAnsi="黑体" w:eastAsia="黑体" w:cs="黑体"/>
          <w:szCs w:val="32"/>
        </w:rPr>
        <w:t>附件</w:t>
      </w:r>
      <w:r>
        <w:rPr>
          <w:rFonts w:hint="eastAsia" w:ascii="黑体" w:hAnsi="黑体" w:eastAsia="黑体" w:cs="黑体"/>
          <w:szCs w:val="32"/>
          <w:lang w:val="en-US" w:eastAsia="zh-CN"/>
        </w:rPr>
        <w:t>3</w:t>
      </w:r>
      <w:r>
        <w:tab/>
      </w:r>
      <w:r>
        <w:fldChar w:fldCharType="end"/>
      </w:r>
      <w:r>
        <w:rPr>
          <w:rFonts w:hint="eastAsia"/>
          <w:lang w:val="en-US" w:eastAsia="zh-CN"/>
        </w:rPr>
        <w:t>33</w:t>
      </w:r>
    </w:p>
    <w:p>
      <w:pPr>
        <w:pStyle w:val="10"/>
        <w:tabs>
          <w:tab w:val="right" w:leader="dot" w:pos="8306"/>
          <w:tab w:val="clear" w:pos="8296"/>
        </w:tabs>
      </w:pPr>
      <w:r>
        <w:fldChar w:fldCharType="begin"/>
      </w:r>
      <w:r>
        <w:instrText xml:space="preserve"> HYPERLINK \l _Toc22077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_Toc22077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_Toc23684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_Toc23684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_Toc16684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_Toc16684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_Toc16747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_Toc16747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_Toc14327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_Toc14327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_Toc10408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_Toc10408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_Toc27398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_Toc27398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_Toc29260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_Toc29260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_Toc3651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_Toc3651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_Toc3637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_Toc3637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_Toc5965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_Toc5965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_Toc5102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_Toc5102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_Toc32319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_Toc32319 </w:instrText>
      </w:r>
      <w:r>
        <w:fldChar w:fldCharType="separate"/>
      </w:r>
      <w:r>
        <w:t>37</w:t>
      </w:r>
      <w:r>
        <w:fldChar w:fldCharType="end"/>
      </w:r>
      <w:r>
        <w:fldChar w:fldCharType="end"/>
      </w:r>
    </w:p>
    <w:p>
      <w:pPr>
        <w:pStyle w:val="11"/>
        <w:tabs>
          <w:tab w:val="right" w:leader="dot" w:pos="8306"/>
          <w:tab w:val="clear" w:pos="8296"/>
        </w:tabs>
      </w:pPr>
      <w:r>
        <w:fldChar w:fldCharType="begin"/>
      </w:r>
      <w:r>
        <w:instrText xml:space="preserve"> HYPERLINK \l _Toc26335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_Toc26335 </w:instrText>
      </w:r>
      <w:r>
        <w:fldChar w:fldCharType="separate"/>
      </w:r>
      <w:r>
        <w:t>37</w:t>
      </w:r>
      <w:r>
        <w:fldChar w:fldCharType="end"/>
      </w:r>
      <w:r>
        <w:fldChar w:fldCharType="end"/>
      </w:r>
    </w:p>
    <w:p/>
    <w:p/>
    <w:p/>
    <w:p/>
    <w:p/>
    <w:p/>
    <w:p/>
    <w:p/>
    <w:p/>
    <w:p/>
    <w:p/>
    <w:p/>
    <w:p/>
    <w:p/>
    <w:p/>
    <w:p/>
    <w:p/>
    <w:p/>
    <w:p/>
    <w:p/>
    <w:p/>
    <w:p/>
    <w:p/>
    <w:p/>
    <w:p/>
    <w:p/>
    <w:p/>
    <w:p/>
    <w:p/>
    <w:p/>
    <w:p/>
    <w:p/>
    <w:p/>
    <w:p/>
    <w:p/>
    <w:p/>
    <w:p>
      <w:r>
        <w:fldChar w:fldCharType="end"/>
      </w:r>
    </w:p>
    <w:p>
      <w:pPr>
        <w:pStyle w:val="2"/>
        <w:jc w:val="center"/>
        <w:rPr>
          <w:rStyle w:val="24"/>
          <w:rFonts w:ascii="黑体" w:hAnsi="黑体" w:eastAsia="黑体"/>
          <w:b/>
          <w:bCs w:val="0"/>
        </w:rPr>
      </w:pPr>
      <w:bookmarkStart w:id="16" w:name="_Toc15377196"/>
      <w:bookmarkStart w:id="17" w:name="_Toc15396599"/>
      <w:bookmarkStart w:id="18" w:name="_Toc14706"/>
      <w:r>
        <w:rPr>
          <w:rFonts w:hint="eastAsia" w:ascii="黑体" w:hAnsi="黑体" w:eastAsia="黑体"/>
          <w:b w:val="0"/>
        </w:rPr>
        <w:t xml:space="preserve">第一部分 </w:t>
      </w:r>
      <w:r>
        <w:rPr>
          <w:rStyle w:val="24"/>
          <w:rFonts w:hint="eastAsia" w:ascii="黑体" w:hAnsi="黑体" w:eastAsia="黑体"/>
          <w:b w:val="0"/>
          <w:bCs w:val="0"/>
        </w:rPr>
        <w:t>部门概况</w:t>
      </w:r>
      <w:bookmarkEnd w:id="16"/>
      <w:bookmarkEnd w:id="17"/>
      <w:bookmarkEnd w:id="18"/>
    </w:p>
    <w:p>
      <w:pPr>
        <w:widowControl/>
        <w:jc w:val="left"/>
        <w:rPr>
          <w:rFonts w:ascii="黑体" w:eastAsia="黑体"/>
          <w:color w:val="000000"/>
          <w:sz w:val="32"/>
          <w:szCs w:val="32"/>
        </w:rPr>
      </w:pPr>
    </w:p>
    <w:p>
      <w:pPr>
        <w:pStyle w:val="3"/>
        <w:rPr>
          <w:rStyle w:val="25"/>
          <w:rFonts w:ascii="仿宋" w:hAnsi="仿宋" w:eastAsia="仿宋"/>
          <w:b w:val="0"/>
          <w:bCs w:val="0"/>
        </w:rPr>
      </w:pPr>
      <w:bookmarkStart w:id="19" w:name="_Toc15396600"/>
      <w:bookmarkStart w:id="20" w:name="_Toc15377197"/>
      <w:bookmarkStart w:id="21" w:name="_Toc2458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9"/>
      <w:bookmarkEnd w:id="20"/>
      <w:bookmarkEnd w:id="21"/>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15377198"/>
      <w:bookmarkStart w:id="23" w:name="_Toc15378445"/>
      <w:r>
        <w:rPr>
          <w:rFonts w:hint="eastAsia" w:ascii="仿宋" w:hAnsi="仿宋" w:eastAsia="仿宋"/>
          <w:bCs/>
          <w:color w:val="000000"/>
          <w:sz w:val="32"/>
          <w:szCs w:val="32"/>
        </w:rPr>
        <w:t>（一）主要职能。</w:t>
      </w:r>
      <w:bookmarkEnd w:id="22"/>
      <w:bookmarkEnd w:id="23"/>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 xml:space="preserve">贯彻落实医疗保险、生育保险、医疗救助等医疗保障法律法规，拟定规范性文件草案的具体办法，拟订全县医疗保障事业发展规划，并组织实施和监督检查。 </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 xml:space="preserve">组织拟订并实施医疗保障基金监督管理制度，建立健全医疗保障基金安全防控机制，监督强化全县医疗保障基金运行管理。 </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 xml:space="preserve">贯彻落实医疗保障筹资和待遇政策及长期护理保险制度改革。 </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贯彻落实省州城乡统一的药品、医用耗材、医疗服务项目、医疗服务设施等医疗保障目录和支付标准并监督管理。</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贯彻落实药品、医用耗材价格、医疗服务项目、医疗服务设施收费等政策并监督管理。建立医保支付医药服务价格合理确定和动态调整机制，推动建立市场主导的社会医药服务价格形成机制，建立价格信息监测和信息发布制度。</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贯彻落实药品、医用耗材的招标采购政策并监督实施。</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推进医疗保障基金支付方式改革，拟订全县定点医药机构服务协议和支付管理办法并组织实施，指导全县医疗保障定点医药机构管理。建立健全医疗保障信用评价体系和信息披露制度，监督管理纳入医疗保障范围内的医疗服务行为和医疗费用，依法查处医疗保障领域违法违规行为。</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负责全县医疗保障经办管理和公共服务体系建设。贯彻落实异地就医管理和费用结算政策及医疗保障关系转移接续制度。监督管理全县医保经办服务工作。开展医疗保障领域对外合作交流。</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负责规划实施全县医疗保障信息化建设。组织开展医疗保障大数据管理和应用。</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负责职责范围内的安全生产、职业健康、生态环境保护和审批服务便民化等工作。</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完成县委和县政府交办的其他任务。</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12、</w:t>
      </w:r>
      <w:r>
        <w:rPr>
          <w:rFonts w:hint="eastAsia" w:ascii="仿宋" w:hAnsi="仿宋" w:eastAsia="仿宋"/>
          <w:bCs/>
          <w:color w:val="000000"/>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13、</w:t>
      </w:r>
      <w:r>
        <w:rPr>
          <w:rFonts w:hint="eastAsia" w:ascii="仿宋" w:hAnsi="仿宋" w:eastAsia="仿宋"/>
          <w:bCs/>
          <w:color w:val="000000"/>
          <w:sz w:val="32"/>
          <w:szCs w:val="32"/>
        </w:rPr>
        <w:t xml:space="preserve">与县卫生健康局的有关职责分工。两部门在医疗、医保、医药等方面加强制度、政策衔接，建立沟通协商机制，协同推进改革，提高医疗资源使用效率和医疗保障水平。   </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bookmarkStart w:id="24" w:name="_Toc15377199"/>
      <w:bookmarkStart w:id="25"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4"/>
      <w:bookmarkEnd w:id="25"/>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1、参保、基金运行</w:t>
      </w:r>
      <w:r>
        <w:rPr>
          <w:rFonts w:hint="eastAsia" w:ascii="仿宋" w:hAnsi="仿宋" w:eastAsia="仿宋"/>
          <w:bCs/>
          <w:color w:val="000000"/>
          <w:sz w:val="32"/>
          <w:szCs w:val="32"/>
        </w:rPr>
        <w:t>基本情况</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①</w:t>
      </w:r>
      <w:r>
        <w:rPr>
          <w:rFonts w:hint="eastAsia" w:ascii="仿宋" w:hAnsi="仿宋" w:eastAsia="仿宋"/>
          <w:bCs/>
          <w:color w:val="000000"/>
          <w:sz w:val="32"/>
          <w:szCs w:val="32"/>
        </w:rPr>
        <w:t>参保基本情况。2019年全县城镇职工基本医疗保险参保11705人；城乡居民基本医疗保险参保51221人，超额完成州级下达的50800人目标任务。</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②</w:t>
      </w:r>
      <w:r>
        <w:rPr>
          <w:rFonts w:hint="eastAsia" w:ascii="仿宋" w:hAnsi="仿宋" w:eastAsia="仿宋"/>
          <w:bCs/>
          <w:color w:val="000000"/>
          <w:sz w:val="32"/>
          <w:szCs w:val="32"/>
        </w:rPr>
        <w:t>医保基金运行情况。2019年全县城镇职工基本医疗保险共征缴6086万元，支出1543万元；城乡居民基本医疗保险共收入3704.67万元（其中自筹955.14万元），支出1903.49万元（待遇享受人次：8364人次）。</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③</w:t>
      </w:r>
      <w:r>
        <w:rPr>
          <w:rFonts w:hint="eastAsia" w:ascii="仿宋" w:hAnsi="仿宋" w:eastAsia="仿宋"/>
          <w:bCs/>
          <w:color w:val="000000"/>
          <w:sz w:val="32"/>
          <w:szCs w:val="32"/>
        </w:rPr>
        <w:t>医疗救助资金运行情况。2019年全县医疗救助基金收入1535.81万元（其中民政移交984.16万元），支出403.71万元（待遇享受人次：2249人次），累计结余1132.10万元。预计医疗救助代缴保费70万元、12月待遇支出300万元。</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④</w:t>
      </w:r>
      <w:r>
        <w:rPr>
          <w:rFonts w:hint="eastAsia" w:ascii="仿宋" w:hAnsi="仿宋" w:eastAsia="仿宋"/>
          <w:bCs/>
          <w:color w:val="000000"/>
          <w:sz w:val="32"/>
          <w:szCs w:val="32"/>
        </w:rPr>
        <w:t>生育保险基金运行情况。2019年全县生育保险收入139.30万元，支出126.92万元（待遇享受人次：37人次）。目前尚有47人生育保险资金未拨付，缺口资金117.32万元。</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工作开展情况</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①</w:t>
      </w:r>
      <w:r>
        <w:rPr>
          <w:rFonts w:hint="eastAsia" w:ascii="仿宋" w:hAnsi="仿宋" w:eastAsia="仿宋"/>
          <w:bCs/>
          <w:color w:val="000000"/>
          <w:sz w:val="32"/>
          <w:szCs w:val="32"/>
        </w:rPr>
        <w:t>突出“抓服务”，提升经办服务质量。一是建立联动服务体系。各乡镇、村、社区分别确定一名人员为医保联络员，负责医保政策宣传、医疗报销资料收集等工作，形成县乡村三级联动服务体系。二是创新便民服务机制。在医保局大厅增设社会保障卡业务办理窗口，2019年共受理3000余人重置修改社保卡密码；在畅通电话备案的基础上，开通微信留言备案，2019年共受理3000余人次电话备案、600余人次微信备案；与县就业局建立沟通协作机制，及时主动为外出农民工进行医保备案，并在“智微九寨医保”公众号开通异地务工人员政策咨询模块，2019年共为456名外出务工人员备案。三是优化精简经办规程。全面清理规范医保经办政务服务事项46项，优化精简规范经办流程8个，切实加强窗口标准化、规范化建设；对符合办理条件并提交材料齐全的报销事项“最多跑一次”；持续开展“减证便民”，取消证明事项6项。四是政策服务送上门。坚持每月到都江堰、双流、江油干休所开展 “上门宣传、上门收单、上门送单”活动。2019年共上门服务10次，收取医疗费用报销资料300多份，为14名退休人员现场办理了特殊病的认定。五是渗透政策宣传。充分利用“九寨官方发布”、“智慧九寨医保”等公众号发布最新医保政策；制作九寨方言的“医保政策宣传片” 在电视台进行播放；动员各乡镇、定点医药机构配合政策宣传；医保政策纳入县委党校干部培训课程，定期开展宣讲；组建“宣讲队”，以“年文化”、“五下乡”等契机走村入户深入群众宣传。通过强化医保政策宣传，群众政策知晓率和参保意识进一步提高，截止目前：2019年参加城乡居民基本医疗保险51128人，超额完成上级下达的50800人的目标任务；异地就医备案率达96%以上、异地就医直接结算率达70%以上；新生婴儿参保登记381人，备案率较去年同期上升20%。</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②</w:t>
      </w:r>
      <w:r>
        <w:rPr>
          <w:rFonts w:hint="eastAsia" w:ascii="仿宋" w:hAnsi="仿宋" w:eastAsia="仿宋"/>
          <w:bCs/>
          <w:color w:val="000000"/>
          <w:sz w:val="32"/>
          <w:szCs w:val="32"/>
        </w:rPr>
        <w:t>突出“建机制”，合力加强基金监管。一是建立部门联动机制。建立医保监管与反欺诈工作联席会议制度，确定定期会商、重大案件会办、案件分类处理等工作机制；联合工商、卫健等部门定期或不定期开展监督检查；及时召开问题反馈和工作推进会，通报监督检查中发现的问题，以会促训落实整改。2019年开展联合拉网式全覆盖监督检查3次，发现问题35条，召开“两定”意见反馈通报会议3次。二是建立专家评审机制。为充分发挥专家集体智慧作用，组建“医疗监管专家库”，制定实施方案，每季度开展一次专家评审。2019年已开展专家评审3次，发现问题6类73条，涉及违规费用3.15万元，按协议规定罚款4.83万元，暂停服务协议1家。三是建立事中监管机制。将外伤、串换身份、大金额住院等情况作为医保欺诈的高风险点，针对事后调查取证难度大，建立了《外伤定期核查制度》《大金额费用核查制度》等制度。2019年共开展外伤核查68次，涉及445人次；开展住院病人身份信息核查42次，涉及370人次；开展县外及大金额住院核查9次，核实多次入院人员15人（101人次）、长期住院离休人员2人。查实串换身份住院2人，暂停参保人员待遇2人。</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③</w:t>
      </w:r>
      <w:r>
        <w:rPr>
          <w:rFonts w:hint="eastAsia" w:ascii="仿宋" w:hAnsi="仿宋" w:eastAsia="仿宋"/>
          <w:bCs/>
          <w:color w:val="000000"/>
          <w:sz w:val="32"/>
          <w:szCs w:val="32"/>
        </w:rPr>
        <w:t>突出“重精准”，提高医保扶贫实效。一是夯实基础数据。建立《九寨沟县农村贫困人口信息动态调整工作制度》、《九寨沟县贫困人员医疗保障联席会议制度》，确保金保系统内人员身份类别精准。2019年共召开联席会议4次，系统内建档立卡贫困人员5611人（其中城镇职工86人、城乡居民5525人）、农村低保5382人、城镇低保3951人、孤儿3人、特困供养178人、优抚对象89人。二是抓实“一站式”服务。按照《贫困人员“一站式”医疗保障报销服务制度》要求，各乡镇指定专人负责收集辖区内贫困人员医疗报销所需资料并定期上交至 “一站式”服务窗口，每周四相关部门派专人到窗口坐班，完成资料收集等工作。2019年完成489人次建档立卡贫困患者医疗待遇报销和1002人次贫困患者的医疗救助。三是建立动态监测机制。为确保参保贫困患者及时享受医疗救助和卫生救助，建立《医疗保障待遇定期清查制度》，安排专人定期借助金保系统进行数据比对筛查，并将未来申报救助人员名单通报各乡镇，由各乡镇通知到参保患者。2019年共开展清查13次，通知1246人次贫困患者完成医疗救助。</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④</w:t>
      </w:r>
      <w:r>
        <w:rPr>
          <w:rFonts w:hint="eastAsia" w:ascii="仿宋" w:hAnsi="仿宋" w:eastAsia="仿宋"/>
          <w:bCs/>
          <w:color w:val="000000"/>
          <w:sz w:val="32"/>
          <w:szCs w:val="32"/>
        </w:rPr>
        <w:t>突出“严管理”，锻造忠诚干净担当医保队伍。一是全力推进机构组建。3月15日，新组建的九寨沟县医疗保障局挂牌成立后，积极推进局机关行政职能和两个中心服务职能划转，认真编制“三定”方案，5月底完成局了党支部、工会、女代会、团支部的组建。二是聚焦机关制度和作风建设。结合单位实际制定了《干部职工绩效考核办法》、《内控制度》、《干部职工请销假制度》等，在工作中严格落实“三重一大”、“末尾表态”等制度，切实做到以制度管人管事管钱。深入开展学习型机关建设、打造“人民满意的医保服务窗口”、深入推进“两联一进”、“驻村帮扶”、“社区双报”工作，加强干部职工思想政治建设工作，强化党性锻炼，增强责任意识、担当意识。集中组织干部职工学习30余次，为帮扶村8名贫困党员送上慰问金1600元，在帮扶村集中开展医保政策培训2次，实地为100余名帮扶村群众提供医保服务。三是抓牢意识形态。认真落实意识形态责任制，牢牢把握意识形态工作主动权，坚持将意识形态工作与业务工作同部署、同落实，切实提高干部职工思想政治素质和道德水平。落实专人负责网络舆情监测与舆情引导工作，认真管理利用好本单位微信、QQ工作群，创建“智慧九寨医保”微信公众号，关注人数达4000余人，发布政策、动态52期，切实发挥新媒体宣传引导作用。开展医保政策进寺庙、进学校等活动6次，积极倡导社会正能量，提高群众思想认识。</w:t>
      </w:r>
    </w:p>
    <w:p>
      <w:pPr>
        <w:pStyle w:val="3"/>
        <w:rPr>
          <w:rStyle w:val="25"/>
          <w:b w:val="0"/>
          <w:bCs w:val="0"/>
        </w:rPr>
      </w:pPr>
      <w:bookmarkStart w:id="26" w:name="_Toc15396601"/>
      <w:bookmarkStart w:id="27" w:name="_Toc15377200"/>
      <w:bookmarkStart w:id="28" w:name="_Toc11437"/>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6"/>
      <w:bookmarkEnd w:id="27"/>
      <w:bookmarkEnd w:id="28"/>
    </w:p>
    <w:p>
      <w:pPr>
        <w:ind w:firstLine="800" w:firstLineChars="250"/>
        <w:rPr>
          <w:rFonts w:ascii="仿宋" w:hAnsi="仿宋" w:eastAsia="仿宋"/>
          <w:sz w:val="32"/>
          <w:szCs w:val="32"/>
        </w:rPr>
      </w:pPr>
      <w:r>
        <w:rPr>
          <w:rFonts w:hint="eastAsia" w:ascii="仿宋" w:hAnsi="仿宋" w:eastAsia="仿宋"/>
          <w:sz w:val="32"/>
          <w:szCs w:val="32"/>
          <w:lang w:val="en-US" w:eastAsia="zh-CN"/>
        </w:rPr>
        <w:t>县医疗保障</w:t>
      </w:r>
      <w:r>
        <w:rPr>
          <w:rFonts w:hint="eastAsia" w:ascii="仿宋" w:hAnsi="仿宋" w:eastAsia="仿宋"/>
          <w:sz w:val="32"/>
          <w:szCs w:val="32"/>
        </w:rPr>
        <w:t>下属二级单位</w:t>
      </w:r>
      <w:r>
        <w:rPr>
          <w:rFonts w:hint="eastAsia" w:ascii="仿宋" w:hAnsi="仿宋" w:eastAsia="仿宋"/>
          <w:sz w:val="32"/>
          <w:szCs w:val="32"/>
          <w:lang w:val="en-US" w:eastAsia="zh-CN"/>
        </w:rPr>
        <w:t>2</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5"/>
        <w:adjustRightInd w:val="0"/>
        <w:snapToGrid w:val="0"/>
        <w:spacing w:before="93" w:line="600" w:lineRule="exact"/>
        <w:ind w:firstLine="672" w:firstLineChars="210"/>
        <w:rPr>
          <w:rFonts w:hint="default" w:ascii="仿宋" w:hAnsi="仿宋" w:eastAsia="仿宋"/>
          <w:color w:val="000000"/>
          <w:sz w:val="32"/>
          <w:szCs w:val="32"/>
          <w:lang w:val="en-US" w:eastAsia="zh-CN"/>
        </w:rPr>
      </w:pPr>
      <w:r>
        <w:rPr>
          <w:rFonts w:hint="eastAsia" w:ascii="仿宋" w:hAnsi="仿宋" w:eastAsia="仿宋"/>
          <w:color w:val="000000"/>
          <w:sz w:val="32"/>
          <w:szCs w:val="32"/>
        </w:rPr>
        <w:t>纳入</w:t>
      </w:r>
      <w:r>
        <w:rPr>
          <w:rFonts w:hint="eastAsia" w:ascii="仿宋" w:hAnsi="仿宋" w:eastAsia="仿宋"/>
          <w:color w:val="000000"/>
          <w:sz w:val="32"/>
          <w:szCs w:val="32"/>
          <w:lang w:val="en-US" w:eastAsia="zh-CN"/>
        </w:rPr>
        <w:t>县医疗保障局</w:t>
      </w:r>
      <w:r>
        <w:rPr>
          <w:rFonts w:hint="eastAsia" w:ascii="仿宋" w:hAnsi="仿宋" w:eastAsia="仿宋"/>
          <w:color w:val="000000"/>
          <w:sz w:val="32"/>
          <w:szCs w:val="32"/>
        </w:rPr>
        <w:t>2019年度部门决算编制范围的二级预算单位</w:t>
      </w:r>
      <w:r>
        <w:rPr>
          <w:rFonts w:hint="eastAsia" w:ascii="仿宋" w:hAnsi="仿宋" w:eastAsia="仿宋"/>
          <w:color w:val="000000"/>
          <w:sz w:val="32"/>
          <w:szCs w:val="32"/>
          <w:lang w:val="en-US" w:eastAsia="zh-CN"/>
        </w:rPr>
        <w:t>1个即九寨沟县医疗保障事务中心。</w:t>
      </w:r>
    </w:p>
    <w:p>
      <w:pPr>
        <w:widowControl/>
        <w:jc w:val="left"/>
        <w:rPr>
          <w:rFonts w:ascii="仿宋" w:hAnsi="仿宋" w:eastAsia="仿宋"/>
          <w:color w:val="000000"/>
          <w:kern w:val="0"/>
          <w:sz w:val="32"/>
          <w:szCs w:val="32"/>
        </w:rPr>
      </w:pPr>
    </w:p>
    <w:p>
      <w:pPr>
        <w:pStyle w:val="2"/>
        <w:ind w:right="440"/>
        <w:jc w:val="right"/>
        <w:rPr>
          <w:rStyle w:val="24"/>
          <w:rFonts w:ascii="黑体" w:hAnsi="黑体" w:eastAsia="黑体"/>
          <w:b w:val="0"/>
          <w:bCs w:val="0"/>
        </w:rPr>
      </w:pPr>
      <w:bookmarkStart w:id="29" w:name="_Toc15396602"/>
      <w:bookmarkStart w:id="30" w:name="_Toc15377204"/>
      <w:bookmarkStart w:id="31" w:name="_Toc9415"/>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9"/>
      <w:bookmarkEnd w:id="30"/>
      <w:bookmarkEnd w:id="31"/>
    </w:p>
    <w:p/>
    <w:p>
      <w:pPr>
        <w:pStyle w:val="23"/>
        <w:numPr>
          <w:ilvl w:val="0"/>
          <w:numId w:val="1"/>
        </w:numPr>
        <w:spacing w:line="600" w:lineRule="exact"/>
        <w:ind w:firstLineChars="0"/>
        <w:outlineLvl w:val="1"/>
        <w:rPr>
          <w:rStyle w:val="25"/>
          <w:rFonts w:ascii="黑体" w:hAnsi="黑体" w:eastAsia="黑体"/>
          <w:b w:val="0"/>
        </w:rPr>
      </w:pPr>
      <w:bookmarkStart w:id="32" w:name="_Toc15396603"/>
      <w:bookmarkStart w:id="33" w:name="_Toc15377205"/>
      <w:bookmarkStart w:id="34" w:name="_Toc119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2"/>
      <w:bookmarkEnd w:id="33"/>
      <w:bookmarkEnd w:id="34"/>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总计231.40万元</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各</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1.25</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一是由于2019年机构改革人员增加，人员经费增加3.07万元；二是公用经费减少4.32万元。</w:t>
      </w:r>
    </w:p>
    <w:p>
      <w:pPr>
        <w:spacing w:line="600" w:lineRule="exact"/>
        <w:ind w:firstLine="640" w:firstLineChars="200"/>
        <w:jc w:val="left"/>
        <w:rPr>
          <w:rFonts w:ascii="仿宋_GB2312" w:eastAsia="仿宋_GB2312"/>
          <w:color w:val="00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35" w:name="_Toc15396604"/>
      <w:bookmarkStart w:id="36" w:name="_Toc15377206"/>
      <w:bookmarkStart w:id="37" w:name="_Toc9512"/>
      <w:r>
        <w:rPr>
          <w:rFonts w:hint="eastAsia" w:ascii="黑体" w:hAnsi="黑体" w:eastAsia="黑体"/>
          <w:color w:val="000000"/>
          <w:sz w:val="32"/>
          <w:szCs w:val="32"/>
        </w:rPr>
        <w:t>收</w:t>
      </w:r>
      <w:r>
        <w:rPr>
          <w:rStyle w:val="25"/>
          <w:rFonts w:hint="eastAsia" w:ascii="黑体" w:hAnsi="黑体" w:eastAsia="黑体"/>
          <w:b w:val="0"/>
        </w:rPr>
        <w:t>入决算情况说明</w:t>
      </w:r>
      <w:bookmarkEnd w:id="35"/>
      <w:bookmarkEnd w:id="36"/>
      <w:bookmarkEnd w:id="37"/>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38" w:name="_Toc15377207"/>
      <w:bookmarkStart w:id="39" w:name="_Toc15396605"/>
      <w:bookmarkStart w:id="40" w:name="_Toc31020"/>
      <w:r>
        <w:rPr>
          <w:rFonts w:hint="eastAsia" w:ascii="黑体" w:hAnsi="黑体" w:eastAsia="黑体"/>
          <w:color w:val="000000"/>
          <w:sz w:val="32"/>
          <w:szCs w:val="32"/>
        </w:rPr>
        <w:t>支</w:t>
      </w:r>
      <w:r>
        <w:rPr>
          <w:rStyle w:val="25"/>
          <w:rFonts w:hint="eastAsia" w:ascii="黑体" w:hAnsi="黑体" w:eastAsia="黑体"/>
          <w:b w:val="0"/>
        </w:rPr>
        <w:t>出决算情况说明</w:t>
      </w:r>
      <w:bookmarkEnd w:id="38"/>
      <w:bookmarkEnd w:id="39"/>
      <w:bookmarkEnd w:id="40"/>
    </w:p>
    <w:p>
      <w:pPr>
        <w:spacing w:line="600" w:lineRule="exact"/>
        <w:ind w:firstLine="640" w:firstLineChars="200"/>
        <w:outlineLvl w:val="1"/>
        <w:rPr>
          <w:rFonts w:ascii="仿宋" w:hAnsi="仿宋" w:eastAsia="仿宋"/>
          <w:color w:val="000000"/>
          <w:sz w:val="32"/>
          <w:szCs w:val="32"/>
        </w:rPr>
      </w:pPr>
      <w:bookmarkStart w:id="41" w:name="_Toc15049"/>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bookmarkEnd w:id="41"/>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2" w:name="_Toc25188"/>
      <w:bookmarkStart w:id="43" w:name="_Toc15396606"/>
      <w:bookmarkStart w:id="44"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2"/>
      <w:bookmarkEnd w:id="43"/>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入总计231.40万元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1.25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w:t>
      </w:r>
      <w:r>
        <w:rPr>
          <w:rFonts w:hint="eastAsia" w:ascii="仿宋" w:hAnsi="仿宋" w:eastAsia="仿宋"/>
          <w:color w:val="000000"/>
          <w:sz w:val="32"/>
          <w:szCs w:val="32"/>
        </w:rPr>
        <w:t>降</w:t>
      </w:r>
      <w:r>
        <w:rPr>
          <w:rFonts w:hint="eastAsia" w:ascii="仿宋" w:hAnsi="仿宋" w:eastAsia="仿宋"/>
          <w:color w:val="000000"/>
          <w:sz w:val="32"/>
          <w:szCs w:val="32"/>
          <w:lang w:val="en-US" w:eastAsia="zh-CN"/>
        </w:rPr>
        <w:t>0.5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:一是由于2019年机构改革人员增加，人员经费增加3.07万元；二是公用经费减少4.32万元。</w:t>
      </w:r>
    </w:p>
    <w:p>
      <w:pPr>
        <w:spacing w:line="600" w:lineRule="exact"/>
        <w:ind w:firstLine="640" w:firstLineChars="200"/>
        <w:outlineLvl w:val="1"/>
        <w:rPr>
          <w:rStyle w:val="25"/>
          <w:rFonts w:ascii="黑体" w:hAnsi="黑体" w:eastAsia="黑体"/>
          <w:b w:val="0"/>
        </w:rPr>
      </w:pPr>
      <w:bookmarkStart w:id="45" w:name="_Toc30193"/>
      <w:bookmarkStart w:id="46" w:name="_Toc15377209"/>
      <w:bookmarkStart w:id="4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5"/>
      <w:bookmarkEnd w:id="46"/>
      <w:bookmarkEnd w:id="47"/>
    </w:p>
    <w:p>
      <w:pPr>
        <w:spacing w:line="600" w:lineRule="exact"/>
        <w:ind w:firstLine="643" w:firstLineChars="200"/>
        <w:outlineLvl w:val="2"/>
        <w:rPr>
          <w:rFonts w:ascii="仿宋" w:hAnsi="仿宋" w:eastAsia="仿宋"/>
          <w:b/>
          <w:color w:val="000000"/>
          <w:sz w:val="32"/>
          <w:szCs w:val="32"/>
        </w:rPr>
      </w:pPr>
      <w:bookmarkStart w:id="48" w:name="_Toc15377210"/>
      <w:r>
        <w:rPr>
          <w:rFonts w:hint="eastAsia" w:ascii="仿宋" w:hAnsi="仿宋" w:eastAsia="仿宋"/>
          <w:b/>
          <w:color w:val="000000"/>
          <w:sz w:val="32"/>
          <w:szCs w:val="32"/>
        </w:rPr>
        <w:t>（一）一般公共预算财政拨款支出决算总体情况</w:t>
      </w:r>
      <w:bookmarkEnd w:id="48"/>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1.25</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:一是由于2019年机构改革人员增加，人员经费增加3.07万元；二是公用经费减少4.32万元。</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49" w:name="_Toc15377211"/>
      <w:r>
        <w:rPr>
          <w:rFonts w:hint="eastAsia" w:ascii="仿宋" w:hAnsi="仿宋" w:eastAsia="仿宋"/>
          <w:b/>
          <w:color w:val="000000"/>
          <w:sz w:val="32"/>
          <w:szCs w:val="32"/>
        </w:rPr>
        <w:t>（二）一般公共预算财政拨款支出决算结构情况</w:t>
      </w:r>
      <w:bookmarkEnd w:id="4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231.40</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194.49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84.05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20.69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8.94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16.22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0" w:name="_Toc15377212"/>
      <w:r>
        <w:rPr>
          <w:rFonts w:hint="eastAsia" w:ascii="仿宋" w:hAnsi="仿宋" w:eastAsia="仿宋"/>
          <w:b/>
          <w:color w:val="000000"/>
          <w:sz w:val="32"/>
          <w:szCs w:val="32"/>
        </w:rPr>
        <w:t>（三）一般公共预算财政拨款支出决算具体情况</w:t>
      </w:r>
      <w:bookmarkEnd w:id="50"/>
    </w:p>
    <w:p>
      <w:pPr>
        <w:spacing w:line="600" w:lineRule="exact"/>
        <w:ind w:firstLine="643" w:firstLineChars="200"/>
        <w:outlineLvl w:val="2"/>
        <w:rPr>
          <w:rFonts w:ascii="仿宋" w:hAnsi="仿宋" w:eastAsia="仿宋"/>
          <w:color w:val="FF0000"/>
          <w:sz w:val="32"/>
          <w:szCs w:val="32"/>
        </w:rPr>
      </w:pPr>
      <w:bookmarkStart w:id="51" w:name="_Toc15377213"/>
      <w:bookmarkStart w:id="52" w:name="_Toc15377444"/>
      <w:bookmarkStart w:id="53" w:name="_Toc15378460"/>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231.40万元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51"/>
      <w:bookmarkEnd w:id="52"/>
      <w:bookmarkEnd w:id="53"/>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人力资源和社会保障管理事务</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社会保险经办机构</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174.07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16.78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机关事业单位职业年金缴费支出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3.64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卫生健康管理事务</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其他卫生健康管理事务支出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12.37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公务员医疗补助</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其他行政事业单位医疗支出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0.42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医疗保障管理事务</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其他医疗保障管理事务支出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FF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Fonts w:hint="eastAsia" w:ascii="仿宋_GB2312" w:eastAsia="仿宋_GB2312"/>
          <w:b/>
          <w:color w:val="000000"/>
          <w:sz w:val="32"/>
          <w:szCs w:val="32"/>
        </w:rPr>
        <w:t>住房保障支出（221）住房改革支出（02）住房公积金</w:t>
      </w:r>
      <w:r>
        <w:rPr>
          <w:rFonts w:hint="eastAsia" w:ascii="仿宋_GB2312" w:hAnsi="仿宋" w:eastAsia="仿宋_GB2312"/>
          <w:b/>
          <w:color w:val="000000"/>
          <w:sz w:val="32"/>
          <w:szCs w:val="32"/>
        </w:rPr>
        <w:t>（01）：</w:t>
      </w:r>
      <w:r>
        <w:rPr>
          <w:rFonts w:hint="eastAsia" w:ascii="仿宋_GB2312" w:hAnsi="仿宋" w:eastAsia="仿宋_GB2312"/>
          <w:color w:val="000000"/>
          <w:sz w:val="32"/>
          <w:szCs w:val="32"/>
        </w:rPr>
        <w:t>支出决算数为</w:t>
      </w:r>
      <w:r>
        <w:rPr>
          <w:rFonts w:hint="eastAsia" w:ascii="仿宋_GB2312" w:hAnsi="仿宋" w:eastAsia="仿宋_GB2312"/>
          <w:color w:val="000000"/>
          <w:sz w:val="32"/>
          <w:szCs w:val="32"/>
          <w:lang w:val="en-US" w:eastAsia="zh-CN"/>
        </w:rPr>
        <w:t>16.22</w:t>
      </w:r>
      <w:r>
        <w:rPr>
          <w:rFonts w:hint="eastAsia" w:ascii="仿宋_GB2312" w:hAnsi="仿宋" w:eastAsia="仿宋_GB2312"/>
          <w:color w:val="000000"/>
          <w:sz w:val="32"/>
          <w:szCs w:val="32"/>
        </w:rPr>
        <w:t>万元，完成预算100%</w:t>
      </w:r>
      <w:r>
        <w:rPr>
          <w:rFonts w:hint="eastAsia" w:ascii="仿宋_GB2312" w:hAnsi="仿宋" w:eastAsia="仿宋_GB2312"/>
          <w:color w:val="000000"/>
          <w:sz w:val="32"/>
          <w:szCs w:val="32"/>
          <w:lang w:eastAsia="zh-CN"/>
        </w:rPr>
        <w:t>；</w:t>
      </w:r>
      <w:r>
        <w:rPr>
          <w:rStyle w:val="14"/>
          <w:rFonts w:hint="eastAsia" w:ascii="仿宋_GB2312" w:hAnsi="仿宋" w:eastAsia="仿宋_GB2312"/>
          <w:b w:val="0"/>
          <w:bCs/>
          <w:color w:val="000000"/>
          <w:sz w:val="32"/>
          <w:szCs w:val="32"/>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5"/>
        </w:rPr>
      </w:pPr>
      <w:bookmarkStart w:id="54" w:name="_Toc27933"/>
      <w:bookmarkStart w:id="55" w:name="_Toc15396608"/>
      <w:bookmarkStart w:id="5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4"/>
      <w:bookmarkEnd w:id="55"/>
      <w:bookmarkEnd w:id="56"/>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231.40</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213.75</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val="en-US" w:eastAsia="zh-CN"/>
        </w:rPr>
        <w:t>职工基本医疗保险缴费、公务员医疗补助缴费、</w:t>
      </w:r>
      <w:r>
        <w:rPr>
          <w:rFonts w:hint="eastAsia" w:ascii="仿宋" w:hAnsi="仿宋" w:eastAsia="仿宋"/>
          <w:color w:val="000000"/>
          <w:sz w:val="32"/>
          <w:szCs w:val="32"/>
        </w:rPr>
        <w:t>其他社会保障缴费、住房公积金、</w:t>
      </w:r>
      <w:r>
        <w:rPr>
          <w:rFonts w:hint="eastAsia" w:ascii="仿宋" w:hAnsi="仿宋" w:eastAsia="仿宋"/>
          <w:color w:val="000000"/>
          <w:sz w:val="32"/>
          <w:szCs w:val="32"/>
          <w:lang w:val="en-US" w:eastAsia="zh-CN"/>
        </w:rPr>
        <w:t>对个人和家庭的补助、医疗费补助、</w:t>
      </w:r>
      <w:r>
        <w:rPr>
          <w:rFonts w:hint="eastAsia" w:ascii="仿宋" w:hAnsi="仿宋" w:eastAsia="仿宋"/>
          <w:color w:val="000000"/>
          <w:sz w:val="32"/>
          <w:szCs w:val="32"/>
        </w:rPr>
        <w:t>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17.65</w:t>
      </w:r>
      <w:r>
        <w:rPr>
          <w:rFonts w:hint="eastAsia" w:ascii="仿宋" w:hAnsi="仿宋" w:eastAsia="仿宋"/>
          <w:color w:val="000000"/>
          <w:sz w:val="32"/>
          <w:szCs w:val="32"/>
        </w:rPr>
        <w:t>万元，主要包括：办公费、印刷费、邮电费、</w:t>
      </w:r>
      <w:r>
        <w:rPr>
          <w:rFonts w:hint="eastAsia" w:ascii="仿宋" w:hAnsi="仿宋" w:eastAsia="仿宋"/>
          <w:color w:val="000000"/>
          <w:sz w:val="32"/>
          <w:szCs w:val="32"/>
          <w:lang w:val="en-US" w:eastAsia="zh-CN"/>
        </w:rPr>
        <w:t>差旅费、劳务费、工会经费、公务用车运行维护费</w:t>
      </w:r>
      <w:r>
        <w:rPr>
          <w:rFonts w:hint="eastAsia" w:ascii="仿宋" w:hAnsi="仿宋" w:eastAsia="仿宋"/>
          <w:color w:val="000000"/>
          <w:sz w:val="32"/>
          <w:szCs w:val="32"/>
        </w:rPr>
        <w:t>等。</w:t>
      </w:r>
    </w:p>
    <w:p>
      <w:pPr>
        <w:spacing w:line="600" w:lineRule="exact"/>
        <w:ind w:firstLine="640"/>
        <w:outlineLvl w:val="1"/>
        <w:rPr>
          <w:rStyle w:val="25"/>
          <w:rFonts w:ascii="黑体" w:hAnsi="黑体" w:eastAsia="黑体"/>
          <w:b w:val="0"/>
        </w:rPr>
      </w:pPr>
      <w:bookmarkStart w:id="57" w:name="_Toc15377215"/>
      <w:bookmarkStart w:id="58" w:name="_Toc15396609"/>
      <w:bookmarkStart w:id="59" w:name="_Toc16211"/>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57"/>
      <w:bookmarkEnd w:id="58"/>
      <w:bookmarkEnd w:id="59"/>
    </w:p>
    <w:p>
      <w:pPr>
        <w:spacing w:line="600" w:lineRule="exact"/>
        <w:ind w:firstLine="640"/>
        <w:outlineLvl w:val="2"/>
        <w:rPr>
          <w:rFonts w:ascii="仿宋" w:hAnsi="仿宋" w:eastAsia="仿宋"/>
          <w:b/>
          <w:color w:val="000000"/>
          <w:sz w:val="32"/>
          <w:szCs w:val="32"/>
        </w:rPr>
      </w:pPr>
      <w:bookmarkStart w:id="60" w:name="_Toc15377216"/>
      <w:r>
        <w:rPr>
          <w:rFonts w:hint="eastAsia" w:ascii="仿宋" w:hAnsi="仿宋" w:eastAsia="仿宋"/>
          <w:b/>
          <w:color w:val="000000"/>
          <w:sz w:val="32"/>
          <w:szCs w:val="32"/>
        </w:rPr>
        <w:t>（一）“三公”经费财政拨款支出决算总体情况说明</w:t>
      </w:r>
      <w:bookmarkEnd w:id="6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2.38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1" w:name="_Toc15377217"/>
      <w:r>
        <w:rPr>
          <w:rFonts w:hint="eastAsia" w:ascii="仿宋" w:hAnsi="仿宋" w:eastAsia="仿宋"/>
          <w:b/>
          <w:color w:val="000000"/>
          <w:sz w:val="32"/>
          <w:szCs w:val="32"/>
        </w:rPr>
        <w:t>（二）“三公”经费财政拨款支出决算具体情况说明</w:t>
      </w:r>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持平</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2.38</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。主要原因是严格控制公务用车费用</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2.38</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出差、到州外干休所办事、下乡宣传医疗保险政策、</w:t>
      </w:r>
      <w:r>
        <w:rPr>
          <w:rFonts w:hint="eastAsia" w:ascii="仿宋_GB2312" w:eastAsia="仿宋_GB2312"/>
          <w:color w:val="000000"/>
          <w:sz w:val="32"/>
          <w:szCs w:val="32"/>
        </w:rPr>
        <w:t>下乡帮扶等所需的公务用车燃料费、维修费、过路过桥费、保险费等支出。</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主要原因是严格控制接待费</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9"/>
        <w:rPr>
          <w:rFonts w:ascii="黑体" w:eastAsia="黑体"/>
          <w:color w:val="000000"/>
          <w:sz w:val="32"/>
          <w:szCs w:val="32"/>
        </w:rPr>
      </w:pPr>
      <w:bookmarkStart w:id="62" w:name="_Toc15396610"/>
      <w:bookmarkStart w:id="63" w:name="_Toc15377218"/>
    </w:p>
    <w:p>
      <w:pPr>
        <w:spacing w:line="600" w:lineRule="exact"/>
        <w:ind w:firstLine="640"/>
        <w:outlineLvl w:val="1"/>
        <w:rPr>
          <w:rStyle w:val="25"/>
          <w:rFonts w:ascii="黑体" w:hAnsi="黑体" w:eastAsia="黑体"/>
        </w:rPr>
      </w:pPr>
      <w:bookmarkStart w:id="64" w:name="_Toc31216"/>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5"/>
          <w:rFonts w:ascii="黑体" w:hAnsi="黑体" w:eastAsia="黑体"/>
          <w:b w:val="0"/>
        </w:rPr>
      </w:pPr>
      <w:bookmarkStart w:id="65" w:name="_Toc15377219"/>
      <w:bookmarkStart w:id="66" w:name="_Toc27918"/>
      <w:bookmarkStart w:id="67" w:name="_Toc15396611"/>
      <w:r>
        <w:rPr>
          <w:rStyle w:val="25"/>
          <w:rFonts w:hint="eastAsia" w:ascii="黑体" w:hAnsi="黑体" w:eastAsia="黑体"/>
          <w:b w:val="0"/>
        </w:rPr>
        <w:t>国有资本经营预算支出决算情况说明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68" w:name="_Toc18114"/>
      <w:bookmarkStart w:id="69" w:name="_Toc15377221"/>
      <w:bookmarkStart w:id="70"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68"/>
      <w:bookmarkEnd w:id="69"/>
      <w:bookmarkEnd w:id="70"/>
    </w:p>
    <w:p>
      <w:pPr>
        <w:spacing w:line="600" w:lineRule="exact"/>
        <w:ind w:firstLine="643" w:firstLineChars="200"/>
        <w:outlineLvl w:val="2"/>
        <w:rPr>
          <w:rFonts w:ascii="仿宋" w:hAnsi="仿宋" w:eastAsia="仿宋"/>
          <w:color w:val="000000"/>
          <w:sz w:val="32"/>
          <w:szCs w:val="32"/>
        </w:rPr>
      </w:pPr>
      <w:bookmarkStart w:id="71" w:name="_Toc15377222"/>
      <w:r>
        <w:rPr>
          <w:rFonts w:hint="eastAsia" w:ascii="仿宋" w:hAnsi="仿宋" w:eastAsia="仿宋"/>
          <w:b/>
          <w:color w:val="000000"/>
          <w:sz w:val="32"/>
          <w:szCs w:val="32"/>
        </w:rPr>
        <w:t>（一）机关运行经费支出情况</w:t>
      </w:r>
      <w:bookmarkEnd w:id="71"/>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九寨沟县医疗保障局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17.65</w:t>
      </w:r>
      <w:r>
        <w:rPr>
          <w:rFonts w:hint="eastAsia" w:ascii="仿宋_GB2312" w:eastAsia="仿宋_GB2312"/>
          <w:color w:val="000000"/>
          <w:sz w:val="32"/>
          <w:szCs w:val="32"/>
        </w:rPr>
        <w:t>万元，与</w:t>
      </w:r>
      <w:r>
        <w:rPr>
          <w:rFonts w:ascii="仿宋_GB2312" w:eastAsia="仿宋_GB2312"/>
          <w:color w:val="000000"/>
          <w:sz w:val="32"/>
          <w:szCs w:val="32"/>
        </w:rPr>
        <w:t>201</w:t>
      </w:r>
      <w:r>
        <w:rPr>
          <w:rFonts w:hint="eastAsia" w:ascii="仿宋_GB2312" w:eastAsia="仿宋_GB2312"/>
          <w:color w:val="000000"/>
          <w:sz w:val="32"/>
          <w:szCs w:val="32"/>
        </w:rPr>
        <w:t>8年决算数持平。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2" w:name="_Toc15377223"/>
      <w:r>
        <w:rPr>
          <w:rFonts w:hint="eastAsia" w:ascii="仿宋" w:hAnsi="仿宋" w:eastAsia="仿宋"/>
          <w:b/>
          <w:color w:val="000000"/>
          <w:sz w:val="32"/>
          <w:szCs w:val="32"/>
        </w:rPr>
        <w:t>（二）政府采购支出情况</w:t>
      </w:r>
      <w:bookmarkEnd w:id="72"/>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九寨沟县医疗保障局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3" w:name="_Toc15377224"/>
      <w:r>
        <w:rPr>
          <w:rFonts w:hint="eastAsia" w:ascii="仿宋" w:hAnsi="仿宋" w:eastAsia="仿宋"/>
          <w:b/>
          <w:color w:val="000000"/>
          <w:sz w:val="32"/>
          <w:szCs w:val="32"/>
        </w:rPr>
        <w:t>（三）国有资产占有使用情况</w:t>
      </w:r>
      <w:bookmarkEnd w:id="7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九寨沟县医疗保障局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 w:hAnsi="仿宋" w:eastAsia="仿宋"/>
          <w:bCs/>
          <w:color w:val="000000"/>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完成了2019年医疗保险扩面征缴；</w:t>
      </w:r>
      <w:r>
        <w:rPr>
          <w:rFonts w:hint="eastAsia" w:ascii="仿宋" w:hAnsi="仿宋" w:eastAsia="仿宋"/>
          <w:bCs/>
          <w:color w:val="000000"/>
          <w:sz w:val="32"/>
          <w:szCs w:val="32"/>
        </w:rPr>
        <w:t>提升</w:t>
      </w:r>
      <w:r>
        <w:rPr>
          <w:rFonts w:hint="eastAsia" w:ascii="仿宋" w:hAnsi="仿宋" w:eastAsia="仿宋"/>
          <w:bCs/>
          <w:color w:val="000000"/>
          <w:sz w:val="32"/>
          <w:szCs w:val="32"/>
          <w:lang w:val="en-US" w:eastAsia="zh-CN"/>
        </w:rPr>
        <w:t>了医保</w:t>
      </w:r>
      <w:r>
        <w:rPr>
          <w:rFonts w:hint="eastAsia" w:ascii="仿宋" w:hAnsi="仿宋" w:eastAsia="仿宋"/>
          <w:bCs/>
          <w:color w:val="000000"/>
          <w:sz w:val="32"/>
          <w:szCs w:val="32"/>
        </w:rPr>
        <w:t>经办服务质量</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加强</w:t>
      </w:r>
      <w:r>
        <w:rPr>
          <w:rFonts w:hint="eastAsia" w:ascii="仿宋" w:hAnsi="仿宋" w:eastAsia="仿宋"/>
          <w:bCs/>
          <w:color w:val="000000"/>
          <w:sz w:val="32"/>
          <w:szCs w:val="32"/>
          <w:lang w:val="en-US" w:eastAsia="zh-CN"/>
        </w:rPr>
        <w:t>了医疗保险</w:t>
      </w:r>
      <w:r>
        <w:rPr>
          <w:rFonts w:hint="eastAsia" w:ascii="仿宋" w:hAnsi="仿宋" w:eastAsia="仿宋"/>
          <w:bCs/>
          <w:color w:val="000000"/>
          <w:sz w:val="32"/>
          <w:szCs w:val="32"/>
        </w:rPr>
        <w:t>基金监管</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提高</w:t>
      </w:r>
      <w:r>
        <w:rPr>
          <w:rFonts w:hint="eastAsia" w:ascii="仿宋" w:hAnsi="仿宋" w:eastAsia="仿宋"/>
          <w:bCs/>
          <w:color w:val="000000"/>
          <w:sz w:val="32"/>
          <w:szCs w:val="32"/>
          <w:lang w:val="en-US" w:eastAsia="zh-CN"/>
        </w:rPr>
        <w:t>了</w:t>
      </w:r>
      <w:r>
        <w:rPr>
          <w:rFonts w:hint="eastAsia" w:ascii="仿宋" w:hAnsi="仿宋" w:eastAsia="仿宋"/>
          <w:bCs/>
          <w:color w:val="000000"/>
          <w:sz w:val="32"/>
          <w:szCs w:val="32"/>
        </w:rPr>
        <w:t>医保扶贫实效</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锻造</w:t>
      </w:r>
      <w:r>
        <w:rPr>
          <w:rFonts w:hint="eastAsia" w:ascii="仿宋" w:hAnsi="仿宋" w:eastAsia="仿宋"/>
          <w:bCs/>
          <w:color w:val="000000"/>
          <w:sz w:val="32"/>
          <w:szCs w:val="32"/>
          <w:lang w:val="en-US" w:eastAsia="zh-CN"/>
        </w:rPr>
        <w:t>了</w:t>
      </w:r>
      <w:r>
        <w:rPr>
          <w:rFonts w:hint="eastAsia" w:ascii="仿宋" w:hAnsi="仿宋" w:eastAsia="仿宋"/>
          <w:bCs/>
          <w:color w:val="000000"/>
          <w:sz w:val="32"/>
          <w:szCs w:val="32"/>
        </w:rPr>
        <w:t>忠诚干净担当医保队伍。</w:t>
      </w:r>
    </w:p>
    <w:p>
      <w:pPr>
        <w:spacing w:line="580" w:lineRule="exact"/>
        <w:ind w:firstLine="640" w:firstLineChars="200"/>
        <w:rPr>
          <w:rFonts w:hint="eastAsia" w:ascii="仿宋" w:hAnsi="仿宋" w:eastAsia="仿宋"/>
          <w:bCs/>
          <w:color w:val="000000"/>
          <w:sz w:val="32"/>
          <w:szCs w:val="32"/>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w:t>
      </w:r>
      <w:r>
        <w:rPr>
          <w:rFonts w:hint="eastAsia" w:ascii="仿宋_GB2312" w:hAnsi="仿宋_GB2312" w:eastAsia="仿宋_GB2312" w:cs="仿宋_GB2312"/>
          <w:sz w:val="32"/>
          <w:szCs w:val="32"/>
          <w:lang w:val="en-US" w:eastAsia="zh-CN"/>
        </w:rPr>
        <w:t>(医疗服务与保障能力提升补助资金项目、医疗救助转移支付)</w:t>
      </w:r>
      <w:r>
        <w:rPr>
          <w:rFonts w:hint="eastAsia" w:ascii="仿宋_GB2312" w:hAnsi="仿宋_GB2312" w:eastAsia="仿宋_GB2312" w:cs="仿宋_GB2312"/>
          <w:sz w:val="32"/>
          <w:szCs w:val="32"/>
        </w:rPr>
        <w:t>支出绩效评价，从评价情况来看</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优化</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服务模式，编织</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便民服务网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监督管理，筑牢</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基金安全网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三是</w:t>
      </w:r>
      <w:r>
        <w:rPr>
          <w:rFonts w:hint="eastAsia" w:ascii="仿宋_GB2312" w:hAnsi="仿宋_GB2312" w:eastAsia="仿宋_GB2312" w:cs="仿宋_GB2312"/>
          <w:sz w:val="32"/>
          <w:szCs w:val="32"/>
        </w:rPr>
        <w:t>做实</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医保扶贫，扎牢</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民生保障网。</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val="en-US" w:eastAsia="zh-CN"/>
        </w:rPr>
        <w:t>医疗服务与保障能力提升补助资金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“医疗救助转移支付”等2</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医疗服务与保障能力提升补助资金项目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%。通过项目实施，优化</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服务模式，编织</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便民服务网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监督管理，筑牢</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基金安全网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做实</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医保扶贫，扎牢</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民生保障网。发现的主要问题：</w:t>
      </w:r>
      <w:r>
        <w:rPr>
          <w:rFonts w:hint="eastAsia" w:ascii="仿宋_GB2312" w:hAnsi="仿宋_GB2312" w:eastAsia="仿宋_GB2312" w:cs="仿宋_GB2312"/>
          <w:b w:val="0"/>
          <w:bCs/>
          <w:sz w:val="32"/>
          <w:szCs w:val="32"/>
          <w:lang w:val="zh-CN"/>
        </w:rPr>
        <w:t>医保支付方式改革</w:t>
      </w:r>
      <w:r>
        <w:rPr>
          <w:rFonts w:hint="eastAsia" w:ascii="仿宋_GB2312" w:hAnsi="仿宋_GB2312" w:eastAsia="仿宋_GB2312" w:cs="仿宋_GB2312"/>
          <w:b w:val="0"/>
          <w:bCs/>
          <w:sz w:val="32"/>
          <w:szCs w:val="32"/>
          <w:lang w:val="en-US" w:eastAsia="zh-CN"/>
        </w:rPr>
        <w:t>和</w:t>
      </w:r>
      <w:r>
        <w:rPr>
          <w:rFonts w:hint="eastAsia" w:ascii="仿宋_GB2312" w:hAnsi="仿宋_GB2312" w:eastAsia="仿宋_GB2312" w:cs="仿宋_GB2312"/>
          <w:b w:val="0"/>
          <w:bCs/>
          <w:sz w:val="32"/>
          <w:szCs w:val="32"/>
          <w:lang w:val="zh-CN"/>
        </w:rPr>
        <w:t>DRG试点工作涉及数据量大，收集整理难度大，项目资金不足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参加信息化建设专班时间少。</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积极争取项目资金，更好地开展工作；积极参加省、州信息化建设专班培训。</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医疗救助转移支付项目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1051.11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1051.11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%。通过项目实施，持续实施</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重特大疾病医疗救助；重点救助对象自负医疗费用年度限额内住院救助比例达到75%及以上；年度救助对象人次规模与上年相比有明显提高；强化医疗救助规范管理。</w:t>
      </w: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638"/>
        <w:gridCol w:w="1119"/>
        <w:gridCol w:w="1025"/>
        <w:gridCol w:w="2456"/>
        <w:gridCol w:w="233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医疗服务与保障能力提升补助资金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九寨沟县医疗保障局</w:t>
            </w:r>
          </w:p>
        </w:tc>
      </w:tr>
      <w:tr>
        <w:tblPrEx>
          <w:tblCellMar>
            <w:top w:w="0" w:type="dxa"/>
            <w:left w:w="0" w:type="dxa"/>
            <w:bottom w:w="0" w:type="dxa"/>
            <w:right w:w="0" w:type="dxa"/>
          </w:tblCellMar>
        </w:tblPrEx>
        <w:trPr>
          <w:trHeight w:val="276"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w:t>
            </w:r>
          </w:p>
        </w:tc>
      </w:tr>
      <w:tr>
        <w:tblPrEx>
          <w:tblCellMar>
            <w:top w:w="0" w:type="dxa"/>
            <w:left w:w="0" w:type="dxa"/>
            <w:bottom w:w="0" w:type="dxa"/>
            <w:right w:w="0" w:type="dxa"/>
          </w:tblCellMar>
        </w:tblPrEx>
        <w:trPr>
          <w:trHeight w:val="276"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w:t>
            </w:r>
          </w:p>
        </w:tc>
      </w:tr>
      <w:tr>
        <w:tblPrEx>
          <w:tblCellMar>
            <w:top w:w="0" w:type="dxa"/>
            <w:left w:w="0" w:type="dxa"/>
            <w:bottom w:w="0" w:type="dxa"/>
            <w:right w:w="0" w:type="dxa"/>
          </w:tblCellMar>
        </w:tblPrEx>
        <w:trPr>
          <w:trHeight w:val="1511"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6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2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6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4"/>
              </w:numPr>
              <w:jc w:val="left"/>
              <w:textAlignment w:val="center"/>
              <w:rPr>
                <w:rFonts w:hint="eastAsia" w:ascii="宋体" w:hAnsi="宋体" w:cs="宋体"/>
                <w:color w:val="000000"/>
                <w:sz w:val="24"/>
              </w:rPr>
            </w:pPr>
            <w:r>
              <w:rPr>
                <w:rFonts w:hint="eastAsia" w:ascii="宋体" w:hAnsi="宋体" w:cs="宋体"/>
                <w:color w:val="000000"/>
                <w:sz w:val="24"/>
              </w:rPr>
              <w:t xml:space="preserve">提升医保信息化水平，加强网络、信息安全、基础设施等方面建设，进一步夯实技术基础，切实保障医保信息系统高效、安全运行，提高数据采集质量和速度；                      2、加强打击欺诈骗保工作力度，切实保障医保基金合理有效使用；                                            3、加快推进医保支付方式改革和DRG试点工作；         </w:t>
            </w:r>
          </w:p>
          <w:p>
            <w:pPr>
              <w:widowControl/>
              <w:numPr>
                <w:ilvl w:val="0"/>
                <w:numId w:val="0"/>
              </w:numPr>
              <w:jc w:val="left"/>
              <w:textAlignment w:val="center"/>
              <w:rPr>
                <w:rFonts w:ascii="宋体" w:hAnsi="宋体" w:cs="宋体"/>
                <w:color w:val="000000"/>
                <w:sz w:val="24"/>
              </w:rPr>
            </w:pPr>
            <w:r>
              <w:rPr>
                <w:rFonts w:hint="eastAsia" w:ascii="宋体" w:hAnsi="宋体" w:cs="宋体"/>
                <w:color w:val="000000"/>
                <w:sz w:val="24"/>
              </w:rPr>
              <w:t xml:space="preserve"> 4、有效提高综合监督、宣传引导、经办服务、人才队伍建设等医疗保障服务能力。</w:t>
            </w:r>
          </w:p>
        </w:tc>
        <w:tc>
          <w:tcPr>
            <w:tcW w:w="472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24"/>
              </w:rPr>
            </w:pPr>
            <w:r>
              <w:rPr>
                <w:rFonts w:hint="eastAsia" w:ascii="宋体" w:hAnsi="宋体" w:cs="宋体"/>
                <w:color w:val="000000"/>
                <w:sz w:val="24"/>
              </w:rPr>
              <w:t xml:space="preserve">1、提升了医保信息化水平，加强网络、信息安全、基础设施等方面建设，进一步夯实了技术基础，切实保障了医保信息系统高效、安全运行，提高数据采集质量和速度；                      2、加强打击欺诈骗保工作力度，切实保障了医保基金合理有效使用；                                              3、逐步推进医保支付方式改革和DRG试点工作；             </w:t>
            </w:r>
          </w:p>
          <w:p>
            <w:pPr>
              <w:widowControl/>
              <w:jc w:val="left"/>
              <w:textAlignment w:val="center"/>
              <w:rPr>
                <w:rFonts w:ascii="宋体" w:hAnsi="宋体" w:cs="宋体"/>
                <w:color w:val="000000"/>
                <w:sz w:val="24"/>
              </w:rPr>
            </w:pPr>
            <w:r>
              <w:rPr>
                <w:rFonts w:hint="eastAsia" w:ascii="宋体" w:hAnsi="宋体" w:cs="宋体"/>
                <w:color w:val="000000"/>
                <w:sz w:val="24"/>
              </w:rPr>
              <w:t>4、有效提高了综合监督、宣传引导、经办服务、人才队伍建设等医疗保障服务能力。</w:t>
            </w:r>
          </w:p>
        </w:tc>
      </w:tr>
      <w:tr>
        <w:tblPrEx>
          <w:tblCellMar>
            <w:top w:w="0" w:type="dxa"/>
            <w:left w:w="0" w:type="dxa"/>
            <w:bottom w:w="0" w:type="dxa"/>
            <w:right w:w="0" w:type="dxa"/>
          </w:tblCellMar>
        </w:tblPrEx>
        <w:trPr>
          <w:trHeight w:val="807" w:hRule="atLeast"/>
          <w:jc w:val="center"/>
        </w:trPr>
        <w:tc>
          <w:tcPr>
            <w:tcW w:w="63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hint="eastAsia" w:ascii="宋体" w:hAnsi="宋体" w:cs="宋体"/>
                <w:color w:val="000000"/>
                <w:sz w:val="24"/>
              </w:rPr>
            </w:pPr>
          </w:p>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661"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产出</w:t>
            </w:r>
          </w:p>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p>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数量</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开展全域医保政策宣传活动次数</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4次</w:t>
            </w:r>
          </w:p>
        </w:tc>
      </w:tr>
      <w:tr>
        <w:tblPrEx>
          <w:tblCellMar>
            <w:top w:w="0" w:type="dxa"/>
            <w:left w:w="0" w:type="dxa"/>
            <w:bottom w:w="0" w:type="dxa"/>
            <w:right w:w="0" w:type="dxa"/>
          </w:tblCellMar>
        </w:tblPrEx>
        <w:trPr>
          <w:trHeight w:val="694"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开展医保工作政府信息公开工作会议或培训</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3次</w:t>
            </w:r>
          </w:p>
        </w:tc>
      </w:tr>
      <w:tr>
        <w:tblPrEx>
          <w:tblCellMar>
            <w:top w:w="0" w:type="dxa"/>
            <w:left w:w="0" w:type="dxa"/>
            <w:bottom w:w="0" w:type="dxa"/>
            <w:right w:w="0" w:type="dxa"/>
          </w:tblCellMar>
        </w:tblPrEx>
        <w:trPr>
          <w:trHeight w:val="586"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医保信息系统验收合格率</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659"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医保信息系统正常运行率</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96%</w:t>
            </w:r>
          </w:p>
        </w:tc>
      </w:tr>
      <w:tr>
        <w:tblPrEx>
          <w:tblCellMar>
            <w:top w:w="0" w:type="dxa"/>
            <w:left w:w="0" w:type="dxa"/>
            <w:bottom w:w="0" w:type="dxa"/>
            <w:right w:w="0" w:type="dxa"/>
          </w:tblCellMar>
        </w:tblPrEx>
        <w:trPr>
          <w:trHeight w:val="758"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医保信息系统重大安全事件响应时间</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≤60分钟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0分钟</w:t>
            </w:r>
          </w:p>
        </w:tc>
      </w:tr>
      <w:tr>
        <w:tblPrEx>
          <w:tblCellMar>
            <w:top w:w="0" w:type="dxa"/>
            <w:left w:w="0" w:type="dxa"/>
            <w:bottom w:w="0" w:type="dxa"/>
            <w:right w:w="0" w:type="dxa"/>
          </w:tblCellMar>
        </w:tblPrEx>
        <w:trPr>
          <w:trHeight w:val="710"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定点医药机构监督检查覆盖率</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567"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医保人才培训合格率</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697"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医保支付方式改革和DRG试点</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逐渐推开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逐渐推开</w:t>
            </w:r>
          </w:p>
        </w:tc>
      </w:tr>
      <w:tr>
        <w:tblPrEx>
          <w:tblCellMar>
            <w:top w:w="0" w:type="dxa"/>
            <w:left w:w="0" w:type="dxa"/>
            <w:bottom w:w="0" w:type="dxa"/>
            <w:right w:w="0" w:type="dxa"/>
          </w:tblCellMar>
        </w:tblPrEx>
        <w:trPr>
          <w:trHeight w:val="681"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时效</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DRG试点进行模拟运行时间</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不晚于12月底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正在筹备</w:t>
            </w:r>
          </w:p>
        </w:tc>
      </w:tr>
      <w:tr>
        <w:tblPrEx>
          <w:tblCellMar>
            <w:top w:w="0" w:type="dxa"/>
            <w:left w:w="0" w:type="dxa"/>
            <w:bottom w:w="0" w:type="dxa"/>
            <w:right w:w="0" w:type="dxa"/>
          </w:tblCellMar>
        </w:tblPrEx>
        <w:trPr>
          <w:trHeight w:val="647"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国家15套信息化标准代码贯彻落地</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不晚于12月底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已完成</w:t>
            </w:r>
          </w:p>
        </w:tc>
      </w:tr>
      <w:tr>
        <w:tblPrEx>
          <w:tblCellMar>
            <w:top w:w="0" w:type="dxa"/>
            <w:left w:w="0" w:type="dxa"/>
            <w:bottom w:w="0" w:type="dxa"/>
            <w:right w:w="0" w:type="dxa"/>
          </w:tblCellMar>
        </w:tblPrEx>
        <w:trPr>
          <w:trHeight w:val="947"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退役军人参保及关系转移接续系统适应性改造</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规定时限完成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已完成</w:t>
            </w:r>
          </w:p>
        </w:tc>
      </w:tr>
      <w:tr>
        <w:tblPrEx>
          <w:tblCellMar>
            <w:top w:w="0" w:type="dxa"/>
            <w:left w:w="0" w:type="dxa"/>
            <w:bottom w:w="0" w:type="dxa"/>
            <w:right w:w="0" w:type="dxa"/>
          </w:tblCellMar>
        </w:tblPrEx>
        <w:trPr>
          <w:trHeight w:val="805"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参保信息系统适应性改造</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规定时限完成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已完成</w:t>
            </w:r>
          </w:p>
        </w:tc>
      </w:tr>
      <w:tr>
        <w:tblPrEx>
          <w:tblCellMar>
            <w:top w:w="0" w:type="dxa"/>
            <w:left w:w="0" w:type="dxa"/>
            <w:bottom w:w="0" w:type="dxa"/>
            <w:right w:w="0" w:type="dxa"/>
          </w:tblCellMar>
        </w:tblPrEx>
        <w:trPr>
          <w:trHeight w:val="755"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参加省信息化建设工作专班</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不低于30天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3天</w:t>
            </w:r>
          </w:p>
        </w:tc>
      </w:tr>
      <w:tr>
        <w:tblPrEx>
          <w:tblCellMar>
            <w:top w:w="0" w:type="dxa"/>
            <w:left w:w="0" w:type="dxa"/>
            <w:bottom w:w="0" w:type="dxa"/>
            <w:right w:w="0" w:type="dxa"/>
          </w:tblCellMar>
        </w:tblPrEx>
        <w:trPr>
          <w:trHeight w:val="655"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效益</w:t>
            </w:r>
          </w:p>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参保群众政策知晓率</w:t>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普遍知晓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普遍知晓</w:t>
            </w:r>
          </w:p>
        </w:tc>
      </w:tr>
      <w:tr>
        <w:tblPrEx>
          <w:tblCellMar>
            <w:top w:w="0" w:type="dxa"/>
            <w:left w:w="0" w:type="dxa"/>
            <w:bottom w:w="0" w:type="dxa"/>
            <w:right w:w="0" w:type="dxa"/>
          </w:tblCellMar>
        </w:tblPrEx>
        <w:trPr>
          <w:trHeight w:val="722"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医保经办服务信息化支撑能力</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明显增强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明显增</w:t>
            </w:r>
            <w:r>
              <w:rPr>
                <w:rFonts w:hint="eastAsia" w:ascii="宋体" w:hAnsi="宋体" w:cs="宋体"/>
                <w:color w:val="000000"/>
                <w:sz w:val="24"/>
                <w:lang w:val="en-US" w:eastAsia="zh-CN"/>
              </w:rPr>
              <w:t>强</w:t>
            </w:r>
          </w:p>
        </w:tc>
      </w:tr>
      <w:tr>
        <w:tblPrEx>
          <w:tblCellMar>
            <w:top w:w="0" w:type="dxa"/>
            <w:left w:w="0" w:type="dxa"/>
            <w:bottom w:w="0" w:type="dxa"/>
            <w:right w:w="0" w:type="dxa"/>
          </w:tblCellMar>
        </w:tblPrEx>
        <w:trPr>
          <w:trHeight w:val="738" w:hRule="atLeast"/>
          <w:jc w:val="center"/>
        </w:trPr>
        <w:tc>
          <w:tcPr>
            <w:tcW w:w="63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跨省异地就医直接结算率</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有所提高</w:t>
            </w:r>
          </w:p>
        </w:tc>
      </w:tr>
      <w:tr>
        <w:tblPrEx>
          <w:tblCellMar>
            <w:top w:w="0" w:type="dxa"/>
            <w:left w:w="0" w:type="dxa"/>
            <w:bottom w:w="0" w:type="dxa"/>
            <w:right w:w="0" w:type="dxa"/>
          </w:tblCellMar>
        </w:tblPrEx>
        <w:trPr>
          <w:trHeight w:val="808" w:hRule="atLeast"/>
          <w:jc w:val="center"/>
        </w:trPr>
        <w:tc>
          <w:tcPr>
            <w:tcW w:w="63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服务对象满意度</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4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参保人员对医保服务的满意度</w:t>
            </w:r>
            <w:r>
              <w:rPr>
                <w:rFonts w:hint="eastAsia" w:ascii="宋体" w:hAnsi="宋体" w:cs="宋体"/>
                <w:color w:val="000000"/>
                <w:sz w:val="24"/>
              </w:rPr>
              <w:tab/>
            </w:r>
          </w:p>
        </w:tc>
        <w:tc>
          <w:tcPr>
            <w:tcW w:w="2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97%</w:t>
            </w:r>
          </w:p>
        </w:tc>
      </w:tr>
    </w:tbl>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55"/>
        <w:gridCol w:w="802"/>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医疗救助补助资金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九寨沟县医疗保障局</w:t>
            </w:r>
          </w:p>
        </w:tc>
      </w:tr>
      <w:tr>
        <w:tblPrEx>
          <w:tblCellMar>
            <w:top w:w="0" w:type="dxa"/>
            <w:left w:w="0" w:type="dxa"/>
            <w:bottom w:w="0" w:type="dxa"/>
            <w:right w:w="0" w:type="dxa"/>
          </w:tblCellMar>
        </w:tblPrEx>
        <w:trPr>
          <w:trHeight w:val="276" w:hRule="atLeast"/>
          <w:jc w:val="center"/>
        </w:trPr>
        <w:tc>
          <w:tcPr>
            <w:tcW w:w="9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1051.11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1051.11</w:t>
            </w:r>
          </w:p>
        </w:tc>
      </w:tr>
      <w:tr>
        <w:tblPrEx>
          <w:tblCellMar>
            <w:top w:w="0" w:type="dxa"/>
            <w:left w:w="0" w:type="dxa"/>
            <w:bottom w:w="0" w:type="dxa"/>
            <w:right w:w="0" w:type="dxa"/>
          </w:tblCellMar>
        </w:tblPrEx>
        <w:trPr>
          <w:trHeight w:val="276" w:hRule="atLeast"/>
          <w:jc w:val="center"/>
        </w:trPr>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632" w:hRule="atLeast"/>
          <w:jc w:val="center"/>
        </w:trPr>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9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2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2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5"/>
              </w:numPr>
              <w:jc w:val="left"/>
              <w:textAlignment w:val="center"/>
              <w:rPr>
                <w:rFonts w:hint="eastAsia" w:ascii="宋体" w:hAnsi="宋体" w:cs="宋体"/>
                <w:color w:val="000000"/>
                <w:sz w:val="24"/>
              </w:rPr>
            </w:pPr>
            <w:r>
              <w:rPr>
                <w:rFonts w:hint="eastAsia" w:ascii="宋体" w:hAnsi="宋体" w:cs="宋体"/>
                <w:color w:val="000000"/>
                <w:sz w:val="24"/>
              </w:rPr>
              <w:t>持续实施重特大疾病医疗救助；</w:t>
            </w:r>
          </w:p>
          <w:p>
            <w:pPr>
              <w:widowControl/>
              <w:numPr>
                <w:ilvl w:val="0"/>
                <w:numId w:val="5"/>
              </w:numPr>
              <w:ind w:left="0" w:leftChars="0" w:firstLine="0" w:firstLineChars="0"/>
              <w:jc w:val="left"/>
              <w:textAlignment w:val="center"/>
              <w:rPr>
                <w:rFonts w:hint="eastAsia" w:ascii="宋体" w:hAnsi="宋体" w:cs="宋体"/>
                <w:color w:val="000000"/>
                <w:sz w:val="24"/>
              </w:rPr>
            </w:pPr>
            <w:r>
              <w:rPr>
                <w:rFonts w:hint="eastAsia" w:ascii="宋体" w:hAnsi="宋体" w:cs="宋体"/>
                <w:color w:val="000000"/>
                <w:sz w:val="24"/>
              </w:rPr>
              <w:t>重点救助对象自负医疗费用年度限额内住院救助比例达到70%。</w:t>
            </w:r>
          </w:p>
          <w:p>
            <w:pPr>
              <w:widowControl/>
              <w:numPr>
                <w:ilvl w:val="0"/>
                <w:numId w:val="5"/>
              </w:numPr>
              <w:ind w:left="0" w:leftChars="0" w:firstLine="0" w:firstLineChars="0"/>
              <w:jc w:val="left"/>
              <w:textAlignment w:val="center"/>
              <w:rPr>
                <w:rFonts w:hint="eastAsia" w:ascii="宋体" w:hAnsi="宋体" w:cs="宋体"/>
                <w:color w:val="000000"/>
                <w:sz w:val="24"/>
              </w:rPr>
            </w:pPr>
            <w:r>
              <w:rPr>
                <w:rFonts w:hint="eastAsia" w:ascii="宋体" w:hAnsi="宋体" w:cs="宋体"/>
                <w:color w:val="000000"/>
                <w:sz w:val="24"/>
              </w:rPr>
              <w:t>年度救助对象人次规模与上年持平；</w:t>
            </w:r>
          </w:p>
          <w:p>
            <w:pPr>
              <w:widowControl/>
              <w:numPr>
                <w:ilvl w:val="0"/>
                <w:numId w:val="0"/>
              </w:numPr>
              <w:ind w:leftChars="0"/>
              <w:jc w:val="left"/>
              <w:textAlignment w:val="center"/>
              <w:rPr>
                <w:rFonts w:ascii="宋体" w:hAnsi="宋体" w:cs="宋体"/>
                <w:color w:val="000000"/>
                <w:sz w:val="24"/>
              </w:rPr>
            </w:pPr>
            <w:r>
              <w:rPr>
                <w:rFonts w:hint="eastAsia" w:ascii="宋体" w:hAnsi="宋体" w:cs="宋体"/>
                <w:color w:val="000000"/>
                <w:sz w:val="24"/>
              </w:rPr>
              <w:t>4、强化医疗救助规范管理。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sz w:val="24"/>
                <w:szCs w:val="24"/>
              </w:rPr>
            </w:pPr>
            <w:r>
              <w:rPr>
                <w:rFonts w:hint="eastAsia"/>
                <w:sz w:val="24"/>
                <w:szCs w:val="24"/>
              </w:rPr>
              <w:t>1、持续实施重特大疾病医疗救助；</w:t>
            </w:r>
          </w:p>
          <w:p>
            <w:pPr>
              <w:widowControl/>
              <w:jc w:val="left"/>
              <w:textAlignment w:val="center"/>
              <w:rPr>
                <w:rFonts w:hint="eastAsia"/>
                <w:sz w:val="24"/>
                <w:szCs w:val="24"/>
              </w:rPr>
            </w:pPr>
            <w:r>
              <w:rPr>
                <w:rFonts w:hint="eastAsia"/>
                <w:sz w:val="24"/>
                <w:szCs w:val="24"/>
              </w:rPr>
              <w:t>2、重点救助对象自负医疗费用年度限额内住院救助比例达到75%及以上。</w:t>
            </w:r>
          </w:p>
          <w:p>
            <w:pPr>
              <w:widowControl/>
              <w:jc w:val="left"/>
              <w:textAlignment w:val="center"/>
              <w:rPr>
                <w:rFonts w:hint="eastAsia"/>
                <w:sz w:val="24"/>
                <w:szCs w:val="24"/>
              </w:rPr>
            </w:pPr>
            <w:r>
              <w:rPr>
                <w:rFonts w:hint="eastAsia"/>
                <w:sz w:val="24"/>
                <w:szCs w:val="24"/>
              </w:rPr>
              <w:t>3、年度救助对象人次规模与上年明显提高；</w:t>
            </w:r>
          </w:p>
          <w:p>
            <w:pPr>
              <w:widowControl/>
              <w:jc w:val="left"/>
              <w:textAlignment w:val="center"/>
              <w:rPr>
                <w:rFonts w:ascii="宋体" w:hAnsi="宋体" w:cs="宋体"/>
                <w:color w:val="000000"/>
                <w:sz w:val="24"/>
              </w:rPr>
            </w:pPr>
            <w:r>
              <w:rPr>
                <w:rFonts w:hint="eastAsia"/>
                <w:sz w:val="24"/>
                <w:szCs w:val="24"/>
              </w:rPr>
              <w:t>4、强化医疗救助规范管理。</w:t>
            </w:r>
          </w:p>
        </w:tc>
      </w:tr>
      <w:tr>
        <w:tblPrEx>
          <w:tblCellMar>
            <w:top w:w="0" w:type="dxa"/>
            <w:left w:w="0" w:type="dxa"/>
            <w:bottom w:w="0" w:type="dxa"/>
            <w:right w:w="0" w:type="dxa"/>
          </w:tblCellMar>
        </w:tblPrEx>
        <w:trPr>
          <w:trHeight w:val="722" w:hRule="atLeast"/>
          <w:jc w:val="center"/>
        </w:trPr>
        <w:tc>
          <w:tcPr>
            <w:tcW w:w="9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45"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p>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产出</w:t>
            </w:r>
          </w:p>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指标</w:t>
            </w:r>
          </w:p>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数量</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重特大疾病医疗救助人次占直接救助人次比例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≥28%</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w:t>
            </w:r>
          </w:p>
        </w:tc>
      </w:tr>
      <w:tr>
        <w:tblPrEx>
          <w:tblCellMar>
            <w:top w:w="0" w:type="dxa"/>
            <w:left w:w="0" w:type="dxa"/>
            <w:bottom w:w="0" w:type="dxa"/>
            <w:right w:w="0" w:type="dxa"/>
          </w:tblCellMar>
        </w:tblPrEx>
        <w:trPr>
          <w:trHeight w:val="856"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质量</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重点救助对象自负费用年度限额内住院救助比例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≥70%</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≥75%</w:t>
            </w:r>
          </w:p>
        </w:tc>
      </w:tr>
      <w:tr>
        <w:tblPrEx>
          <w:tblCellMar>
            <w:top w:w="0" w:type="dxa"/>
            <w:left w:w="0" w:type="dxa"/>
            <w:bottom w:w="0" w:type="dxa"/>
            <w:right w:w="0" w:type="dxa"/>
          </w:tblCellMar>
        </w:tblPrEx>
        <w:trPr>
          <w:trHeight w:val="650"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时效</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“一站式”即时结算覆盖地区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不低于上年</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全覆盖</w:t>
            </w:r>
          </w:p>
        </w:tc>
      </w:tr>
      <w:tr>
        <w:tblPrEx>
          <w:tblCellMar>
            <w:top w:w="0" w:type="dxa"/>
            <w:left w:w="0" w:type="dxa"/>
            <w:bottom w:w="0" w:type="dxa"/>
            <w:right w:w="0" w:type="dxa"/>
          </w:tblCellMar>
        </w:tblPrEx>
        <w:trPr>
          <w:trHeight w:val="626"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w:t>
            </w:r>
          </w:p>
          <w:p>
            <w:pPr>
              <w:widowControl/>
              <w:jc w:val="center"/>
              <w:textAlignment w:val="center"/>
              <w:rPr>
                <w:rFonts w:ascii="宋体" w:hAnsi="宋体" w:cs="宋体"/>
                <w:color w:val="000000"/>
                <w:kern w:val="0"/>
                <w:sz w:val="24"/>
              </w:rPr>
            </w:pPr>
            <w:r>
              <w:rPr>
                <w:rFonts w:hint="eastAsia" w:ascii="宋体" w:hAnsi="宋体" w:cs="宋体"/>
                <w:color w:val="000000"/>
                <w:kern w:val="0"/>
                <w:sz w:val="24"/>
              </w:rPr>
              <w:t>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社会效益</w:t>
            </w:r>
          </w:p>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医疗救助对象覆盖范围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逐步扩大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全覆盖</w:t>
            </w:r>
          </w:p>
        </w:tc>
      </w:tr>
      <w:tr>
        <w:tblPrEx>
          <w:tblCellMar>
            <w:top w:w="0" w:type="dxa"/>
            <w:left w:w="0" w:type="dxa"/>
            <w:bottom w:w="0" w:type="dxa"/>
            <w:right w:w="0" w:type="dxa"/>
          </w:tblCellMar>
        </w:tblPrEx>
        <w:trPr>
          <w:trHeight w:val="650"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val="en-US"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困难群众看病就医方便程度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明显提高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交通便利就医方便</w:t>
            </w:r>
          </w:p>
        </w:tc>
      </w:tr>
      <w:tr>
        <w:tblPrEx>
          <w:tblCellMar>
            <w:top w:w="0" w:type="dxa"/>
            <w:left w:w="0" w:type="dxa"/>
            <w:bottom w:w="0" w:type="dxa"/>
            <w:right w:w="0" w:type="dxa"/>
          </w:tblCellMar>
        </w:tblPrEx>
        <w:trPr>
          <w:trHeight w:val="525"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困难群众医疗费用负担减轻程度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有效缓解</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医疗费用负担减轻</w:t>
            </w:r>
          </w:p>
        </w:tc>
      </w:tr>
      <w:tr>
        <w:tblPrEx>
          <w:tblCellMar>
            <w:top w:w="0" w:type="dxa"/>
            <w:left w:w="0" w:type="dxa"/>
            <w:bottom w:w="0" w:type="dxa"/>
            <w:right w:w="0" w:type="dxa"/>
          </w:tblCellMar>
        </w:tblPrEx>
        <w:trPr>
          <w:trHeight w:val="656"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可持续</w:t>
            </w:r>
          </w:p>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影响</w:t>
            </w:r>
          </w:p>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对健全社会救助体系的影响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成效明显</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医疗救助资金使用效益提高</w:t>
            </w:r>
          </w:p>
        </w:tc>
      </w:tr>
      <w:tr>
        <w:tblPrEx>
          <w:tblCellMar>
            <w:top w:w="0" w:type="dxa"/>
            <w:left w:w="0" w:type="dxa"/>
            <w:bottom w:w="0" w:type="dxa"/>
            <w:right w:w="0" w:type="dxa"/>
          </w:tblCellMar>
        </w:tblPrEx>
        <w:trPr>
          <w:trHeight w:val="680" w:hRule="atLeast"/>
          <w:jc w:val="center"/>
        </w:trPr>
        <w:tc>
          <w:tcPr>
            <w:tcW w:w="95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对健全医疗保障制度体系的作用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成效明显</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提升绩效强化管控</w:t>
            </w:r>
          </w:p>
        </w:tc>
      </w:tr>
      <w:tr>
        <w:tblPrEx>
          <w:tblCellMar>
            <w:top w:w="0" w:type="dxa"/>
            <w:left w:w="0" w:type="dxa"/>
            <w:bottom w:w="0" w:type="dxa"/>
            <w:right w:w="0" w:type="dxa"/>
          </w:tblCellMar>
        </w:tblPrEx>
        <w:trPr>
          <w:trHeight w:val="498" w:hRule="atLeast"/>
          <w:jc w:val="center"/>
        </w:trPr>
        <w:tc>
          <w:tcPr>
            <w:tcW w:w="95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rPr>
            </w:pPr>
            <w:r>
              <w:rPr>
                <w:rFonts w:hint="eastAsia"/>
              </w:rPr>
              <w:t>服务对象</w:t>
            </w:r>
          </w:p>
          <w:p>
            <w:pPr>
              <w:widowControl/>
              <w:jc w:val="center"/>
              <w:textAlignment w:val="center"/>
              <w:rPr>
                <w:rFonts w:hint="eastAsia"/>
              </w:rPr>
            </w:pPr>
            <w:r>
              <w:rPr>
                <w:rFonts w:hint="eastAsia"/>
              </w:rPr>
              <w:t>满意度</w:t>
            </w:r>
          </w:p>
          <w:p>
            <w:pPr>
              <w:widowControl/>
              <w:jc w:val="center"/>
              <w:textAlignment w:val="center"/>
              <w:rPr>
                <w:rFonts w:ascii="宋体" w:hAnsi="宋体" w:cs="宋体"/>
                <w:color w:val="000000"/>
                <w:sz w:val="24"/>
              </w:rPr>
            </w:pPr>
            <w:r>
              <w:rPr>
                <w:rFonts w:hint="eastAsia"/>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658" w:hRule="atLeast"/>
          <w:jc w:val="center"/>
        </w:trPr>
        <w:tc>
          <w:tcPr>
            <w:tcW w:w="95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0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九寨沟县医疗保障局</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医疗服务与保障能力提升补助资金</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val="en-US" w:eastAsia="zh-CN"/>
        </w:rPr>
        <w:t>医疗服务与保障能力提升补助资金</w:t>
      </w:r>
      <w:r>
        <w:rPr>
          <w:rFonts w:hint="eastAsia" w:ascii="仿宋_GB2312" w:hAnsi="仿宋_GB2312" w:eastAsia="仿宋_GB2312" w:cs="仿宋_GB2312"/>
          <w:sz w:val="32"/>
          <w:szCs w:val="32"/>
        </w:rPr>
        <w:t>项目2019年绩效评价报告》见附件（附件2）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医疗救助补助资金</w:t>
      </w:r>
      <w:r>
        <w:rPr>
          <w:rFonts w:hint="eastAsia" w:ascii="仿宋_GB2312" w:hAnsi="仿宋_GB2312" w:eastAsia="仿宋_GB2312" w:cs="仿宋_GB2312"/>
          <w:sz w:val="32"/>
          <w:szCs w:val="32"/>
        </w:rPr>
        <w:t>2019年绩效评价报告》见附件（附件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4"/>
          <w:rFonts w:ascii="黑体" w:hAnsi="黑体" w:eastAsia="黑体"/>
          <w:b w:val="0"/>
        </w:rPr>
      </w:pPr>
      <w:bookmarkStart w:id="74" w:name="_Toc15377225"/>
      <w:bookmarkStart w:id="75" w:name="_Toc3247"/>
      <w:bookmarkStart w:id="76"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74"/>
      <w:bookmarkEnd w:id="75"/>
      <w:bookmarkEnd w:id="7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人力资源和社会保障管理事务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社会保障经办机构（09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社会保险经办机构开展业务工作的支出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机关事业单位实施养老保险制度由单位缴纳的基本养老保险支出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val="en-US" w:eastAsia="zh-CN"/>
        </w:rPr>
        <w:t>卫生健康</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210）卫生健康管理事务（01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其他卫生健康管理事务支出（99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除卫生健康管理事务中的行政运行、一般行政管理事务、机关服务项目以外其他用于卫生健康管理事务方面的支出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 w:hAnsi="仿宋" w:eastAsia="仿宋"/>
          <w:b w:val="0"/>
          <w:bCs w:val="0"/>
          <w:color w:val="000000" w:themeColor="text1"/>
          <w:sz w:val="32"/>
          <w:szCs w:val="32"/>
          <w14:textFill>
            <w14:solidFill>
              <w14:schemeClr w14:val="tx1"/>
            </w14:solidFill>
          </w14:textFill>
        </w:rPr>
        <w:t>卫生健康</w:t>
      </w:r>
      <w:r>
        <w:rPr>
          <w:rStyle w:val="14"/>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14:textFill>
            <w14:solidFill>
              <w14:schemeClr w14:val="tx1"/>
            </w14:solidFill>
          </w14:textFill>
        </w:rPr>
        <w:t>210</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行政事业单位医疗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11</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行政单位医疗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01</w:t>
      </w:r>
      <w:r>
        <w:rPr>
          <w:rStyle w:val="14"/>
          <w:rFonts w:hint="eastAsia" w:ascii="仿宋" w:hAnsi="仿宋" w:eastAsia="仿宋"/>
          <w:b w:val="0"/>
          <w:bCs w:val="0"/>
          <w:color w:val="000000"/>
          <w:sz w:val="32"/>
          <w:szCs w:val="32"/>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财政部门集中安排的行政单位（包括实行公务员管理的事业单位）基本医疗保险缴费经费，未参加医疗保险的行政单位的公费医疗经费，按国家规定享受离休人员、红军老战士待遇人员的医疗经费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pStyle w:val="22"/>
        <w:numPr>
          <w:ilvl w:val="0"/>
          <w:numId w:val="0"/>
        </w:num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 w:hAnsi="仿宋" w:eastAsia="仿宋"/>
          <w:b w:val="0"/>
          <w:bCs w:val="0"/>
          <w:color w:val="000000" w:themeColor="text1"/>
          <w:sz w:val="32"/>
          <w:szCs w:val="32"/>
          <w14:textFill>
            <w14:solidFill>
              <w14:schemeClr w14:val="tx1"/>
            </w14:solidFill>
          </w14:textFill>
        </w:rPr>
        <w:t>卫生健康</w:t>
      </w:r>
      <w:r>
        <w:rPr>
          <w:rStyle w:val="14"/>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14:textFill>
            <w14:solidFill>
              <w14:schemeClr w14:val="tx1"/>
            </w14:solidFill>
          </w14:textFill>
        </w:rPr>
        <w:t>210</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行政事业单位医疗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11</w:t>
      </w:r>
      <w:r>
        <w:rPr>
          <w:rStyle w:val="14"/>
          <w:rFonts w:hint="eastAsia" w:ascii="仿宋" w:hAnsi="仿宋" w:eastAsia="仿宋"/>
          <w:b w:val="0"/>
          <w:bCs w:val="0"/>
          <w:color w:val="000000"/>
          <w:sz w:val="32"/>
          <w:szCs w:val="32"/>
        </w:rPr>
        <w:t>）</w:t>
      </w:r>
      <w:r>
        <w:rPr>
          <w:rStyle w:val="14"/>
          <w:rFonts w:hint="eastAsia" w:hAnsi="仿宋"/>
          <w:b w:val="0"/>
          <w:bCs w:val="0"/>
          <w:color w:val="000000"/>
          <w:sz w:val="32"/>
          <w:szCs w:val="32"/>
          <w:lang w:val="en-US" w:eastAsia="zh-CN"/>
        </w:rPr>
        <w:t>公务员医疗补助</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0</w:t>
      </w:r>
      <w:r>
        <w:rPr>
          <w:rStyle w:val="14"/>
          <w:rFonts w:hint="eastAsia" w:hAnsi="仿宋"/>
          <w:b w:val="0"/>
          <w:bCs w:val="0"/>
          <w:color w:val="000000"/>
          <w:sz w:val="32"/>
          <w:szCs w:val="32"/>
          <w:lang w:val="en-US" w:eastAsia="zh-CN"/>
        </w:rPr>
        <w:t>3</w:t>
      </w:r>
      <w:r>
        <w:rPr>
          <w:rStyle w:val="14"/>
          <w:rFonts w:hint="eastAsia" w:ascii="仿宋" w:hAnsi="仿宋" w:eastAsia="仿宋"/>
          <w:b w:val="0"/>
          <w:bCs w:val="0"/>
          <w:color w:val="000000"/>
          <w:sz w:val="32"/>
          <w:szCs w:val="32"/>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财政部门集中安排的公务员医疗补助经费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 w:hAnsi="仿宋" w:eastAsia="仿宋"/>
          <w:b w:val="0"/>
          <w:bCs w:val="0"/>
          <w:color w:val="000000" w:themeColor="text1"/>
          <w:sz w:val="32"/>
          <w:szCs w:val="32"/>
          <w14:textFill>
            <w14:solidFill>
              <w14:schemeClr w14:val="tx1"/>
            </w14:solidFill>
          </w14:textFill>
        </w:rPr>
        <w:t>卫生健康</w:t>
      </w:r>
      <w:r>
        <w:rPr>
          <w:rStyle w:val="14"/>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14:textFill>
            <w14:solidFill>
              <w14:schemeClr w14:val="tx1"/>
            </w14:solidFill>
          </w14:textFill>
        </w:rPr>
        <w:t>210</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行政事业单位医疗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11</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其他行政事业单位医疗支出</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99</w:t>
      </w:r>
      <w:r>
        <w:rPr>
          <w:rStyle w:val="14"/>
          <w:rFonts w:hint="eastAsia" w:ascii="仿宋" w:hAnsi="仿宋" w:eastAsia="仿宋"/>
          <w:b w:val="0"/>
          <w:bCs w:val="0"/>
          <w:color w:val="000000"/>
          <w:sz w:val="32"/>
          <w:szCs w:val="32"/>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除行政单位医疗、事业单位医疗、公务员医疗补助项目以外的其他用于行政事业单位医疗方面的支出</w:t>
      </w:r>
      <w:r>
        <w:rPr>
          <w:rFonts w:hint="eastAsia" w:ascii="仿宋_GB2312" w:eastAsia="仿宋_GB2312"/>
          <w:color w:val="000000"/>
          <w:sz w:val="32"/>
          <w:szCs w:val="32"/>
        </w:rPr>
        <w:t>。</w:t>
      </w:r>
    </w:p>
    <w:p>
      <w:pPr>
        <w:pStyle w:val="22"/>
        <w:numPr>
          <w:ilvl w:val="0"/>
          <w:numId w:val="0"/>
        </w:num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Style w:val="14"/>
          <w:rFonts w:hint="eastAsia" w:ascii="仿宋" w:hAnsi="仿宋" w:eastAsia="仿宋"/>
          <w:b w:val="0"/>
          <w:bCs/>
          <w:color w:val="000000"/>
          <w:sz w:val="32"/>
          <w:szCs w:val="32"/>
          <w:lang w:val="en-US" w:eastAsia="zh-CN"/>
        </w:rPr>
        <w:t>住房保障</w:t>
      </w:r>
      <w:r>
        <w:rPr>
          <w:rStyle w:val="14"/>
          <w:rFonts w:hint="eastAsia" w:ascii="仿宋" w:hAnsi="仿宋" w:eastAsia="仿宋"/>
          <w:b w:val="0"/>
          <w:bCs/>
          <w:color w:val="000000"/>
          <w:sz w:val="32"/>
          <w:szCs w:val="32"/>
        </w:rPr>
        <w:t>（</w:t>
      </w:r>
      <w:r>
        <w:rPr>
          <w:rFonts w:hint="eastAsia" w:ascii="仿宋" w:hAnsi="仿宋" w:eastAsia="仿宋"/>
          <w:b w:val="0"/>
          <w:bCs/>
          <w:color w:val="000000" w:themeColor="text1"/>
          <w:sz w:val="32"/>
          <w:szCs w:val="32"/>
          <w:lang w:val="en-US" w:eastAsia="zh-CN"/>
          <w14:textFill>
            <w14:solidFill>
              <w14:schemeClr w14:val="tx1"/>
            </w14:solidFill>
          </w14:textFill>
        </w:rPr>
        <w:t>221</w:t>
      </w:r>
      <w:r>
        <w:rPr>
          <w:rStyle w:val="14"/>
          <w:rFonts w:hint="eastAsia" w:ascii="仿宋" w:hAnsi="仿宋" w:eastAsia="仿宋"/>
          <w:b w:val="0"/>
          <w:bCs/>
          <w:color w:val="000000"/>
          <w:sz w:val="32"/>
          <w:szCs w:val="32"/>
        </w:rPr>
        <w:t>）</w:t>
      </w:r>
      <w:r>
        <w:rPr>
          <w:rStyle w:val="14"/>
          <w:rFonts w:hint="eastAsia" w:hAnsi="仿宋"/>
          <w:b w:val="0"/>
          <w:bCs/>
          <w:color w:val="000000"/>
          <w:sz w:val="32"/>
          <w:szCs w:val="32"/>
          <w:lang w:val="en-US" w:eastAsia="zh-CN"/>
        </w:rPr>
        <w:t>住房改革支出</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02</w:t>
      </w:r>
      <w:r>
        <w:rPr>
          <w:rStyle w:val="14"/>
          <w:rFonts w:hint="eastAsia" w:ascii="仿宋" w:hAnsi="仿宋" w:eastAsia="仿宋"/>
          <w:b w:val="0"/>
          <w:bCs/>
          <w:color w:val="000000"/>
          <w:sz w:val="32"/>
          <w:szCs w:val="32"/>
        </w:rPr>
        <w:t>）</w:t>
      </w:r>
      <w:r>
        <w:rPr>
          <w:rStyle w:val="14"/>
          <w:rFonts w:hint="eastAsia" w:hAnsi="仿宋"/>
          <w:b w:val="0"/>
          <w:bCs/>
          <w:color w:val="000000"/>
          <w:sz w:val="32"/>
          <w:szCs w:val="32"/>
          <w:lang w:val="en-US" w:eastAsia="zh-CN"/>
        </w:rPr>
        <w:t>住房公积金</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01</w:t>
      </w:r>
      <w:r>
        <w:rPr>
          <w:rStyle w:val="14"/>
          <w:rFonts w:hint="eastAsia" w:ascii="仿宋" w:hAnsi="仿宋" w:eastAsia="仿宋"/>
          <w:b w:val="0"/>
          <w:bCs/>
          <w:color w:val="000000"/>
          <w:sz w:val="32"/>
          <w:szCs w:val="32"/>
        </w:rPr>
        <w:t>）</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指行政单位按人力资源和社会保障部、财政部规定的基本工资和津贴补贴以及规定比例为职工缴纳的住房公积金。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hAnsi="黑体" w:eastAsia="黑体"/>
          <w:b w:val="0"/>
        </w:rPr>
      </w:pPr>
      <w:bookmarkStart w:id="77" w:name="_Toc15377226"/>
      <w:r>
        <w:rPr>
          <w:rFonts w:ascii="宋体"/>
          <w:b/>
          <w:color w:val="000000"/>
          <w:sz w:val="44"/>
          <w:szCs w:val="44"/>
        </w:rPr>
        <w:br w:type="page"/>
      </w:r>
      <w:bookmarkStart w:id="78" w:name="_Toc15678"/>
      <w:bookmarkStart w:id="79"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78"/>
      <w:bookmarkEnd w:id="79"/>
    </w:p>
    <w:p>
      <w:pPr>
        <w:spacing w:line="600" w:lineRule="exact"/>
        <w:jc w:val="left"/>
        <w:outlineLvl w:val="0"/>
        <w:rPr>
          <w:rFonts w:ascii="方正小标宋简体" w:hAnsi="方正小标宋简体" w:eastAsia="方正小标宋简体" w:cs="方正小标宋简体"/>
          <w:sz w:val="32"/>
          <w:szCs w:val="32"/>
        </w:rPr>
      </w:pPr>
      <w:bookmarkStart w:id="80" w:name="_Toc29242"/>
      <w:r>
        <w:rPr>
          <w:rFonts w:hint="eastAsia" w:ascii="黑体" w:hAnsi="黑体" w:eastAsia="黑体" w:cs="黑体"/>
          <w:sz w:val="32"/>
          <w:szCs w:val="32"/>
        </w:rPr>
        <w:t>附件1</w:t>
      </w:r>
      <w:bookmarkEnd w:id="8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en-US" w:eastAsia="zh-CN"/>
        </w:rPr>
      </w:pPr>
      <w:r>
        <w:rPr>
          <w:rFonts w:hint="eastAsia" w:ascii="方正小标宋简体" w:hAnsi="宋体" w:eastAsia="方正小标宋简体"/>
          <w:color w:val="000000"/>
          <w:kern w:val="0"/>
          <w:sz w:val="40"/>
          <w:szCs w:val="44"/>
          <w:lang w:val="en-US" w:eastAsia="zh-CN"/>
        </w:rPr>
        <w:t>九寨沟县医疗保障局</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县医疗保障局（简称县医保局）是九寨沟县人民政府工作部门，为正科级；有行政编制5名，其中：局长1名，副局长2名，股级领导职数1名。下设县医疗保障事务中心、县城乡居民基本医疗保险服务中心两个事业单位。2019年年底在编人员20人。</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numPr>
          <w:ilvl w:val="0"/>
          <w:numId w:val="0"/>
        </w:numPr>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1、贯彻落实医疗保险、生育保险、医疗救助等医疗保障法律法规，拟定规范性文件草案的具体办法，拟订全县医疗保障事业发展规划，并组织实施和监督检查。 </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2、组织拟订并实施医疗保障基金监督管理制度，建立健全医疗保障基金安全防控机制，监督强化全县医疗保障基金运行管理。 </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3、贯彻落实医疗保障筹资和待遇政策及长期护理保险制度改革。 </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4、贯彻落实省州城乡统一的药品、医用耗材、医疗服务项目、医疗服务设施等医疗保障目录和支付标准并监督管理。</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5、贯彻落实药品、医用耗材价格、医疗服务项目、医疗服务设施收费等政策并监督管理。建立医保支付医药服务价格合理确定和动态调整机制，推动建立市场主导的社会医药服务价格形成机制，建立价格信息监测和信息发布制度。</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6、贯彻落实药品、医用耗材的招标采购政策并监督实施。</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7、推进医疗保障基金支付方式改革，拟订全县定点医药机构服务协议和支付管理办法并组织实施，指导全县医疗保障定点医药机构管理。建立健全医疗保障信用评价体系和信息披露制度，监督管理纳入医疗保障范围内的医疗服务行为和医疗费用，依法查处医疗保障领域违法违规行为。</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8、负责全县医疗保障经办管理和公共服务体系建设。贯彻落实异地就医管理和费用结算政策及医疗保障关系转移接续制度。监督管理全县医保经办服务工作。开展医疗保障领域对外合作交流。</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9、负责规划实施全县医疗保障信息化建设。组织开展医疗保障大数据管理和应用。</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10、负责职责范围内的安全生产、职业健康、生态环境保护和审批服务便民化等工作。</w:t>
      </w:r>
    </w:p>
    <w:p>
      <w:pPr>
        <w:widowControl/>
        <w:numPr>
          <w:ilvl w:val="0"/>
          <w:numId w:val="0"/>
        </w:numPr>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11、完成县委和县政府交办的其他任务。</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县医疗保障局财政供养人员编制为5人，其中全额供给人员和公用经费 5人，全额供给基本工资5人。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县医疗保障事务中心财政供养人员编制8人，其中全额供给人员和公用经费 7人，全额供给基本工资7人。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县城乡居民基本医疗保险事务中心财政供养人员编制8人，其中全额供给人员和公用经费8人，全额供给基本工资8人。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2019年财政供养人员21人，其中：在职20人， 退休人员1人。</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（一）部门财政资金收入情况。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2019年财政资金收入</w:t>
      </w:r>
      <w:r>
        <w:rPr>
          <w:rFonts w:hint="eastAsia" w:ascii="仿宋_GB2312" w:hAnsi="仿宋_GB2312" w:eastAsia="仿宋_GB2312" w:cs="仿宋_GB2312"/>
          <w:color w:val="000000"/>
          <w:kern w:val="0"/>
          <w:sz w:val="32"/>
          <w:szCs w:val="32"/>
          <w:shd w:val="clear" w:color="auto" w:fill="FFFFFF"/>
          <w:lang w:val="en-US" w:eastAsia="zh-CN"/>
        </w:rPr>
        <w:t>231.40</w:t>
      </w:r>
      <w:r>
        <w:rPr>
          <w:rFonts w:hint="eastAsia" w:ascii="仿宋_GB2312" w:hAnsi="仿宋_GB2312" w:eastAsia="仿宋_GB2312" w:cs="仿宋_GB2312"/>
          <w:color w:val="000000"/>
          <w:kern w:val="0"/>
          <w:sz w:val="32"/>
          <w:szCs w:val="32"/>
          <w:shd w:val="clear" w:color="auto" w:fill="FFFFFF"/>
        </w:rPr>
        <w:t>万元。</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（二）部门财政资金支出情况。</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2019年财政资金支出2</w:t>
      </w:r>
      <w:r>
        <w:rPr>
          <w:rFonts w:hint="eastAsia" w:ascii="仿宋_GB2312" w:hAnsi="仿宋_GB2312" w:eastAsia="仿宋_GB2312" w:cs="仿宋_GB2312"/>
          <w:color w:val="000000"/>
          <w:kern w:val="0"/>
          <w:sz w:val="32"/>
          <w:szCs w:val="32"/>
          <w:shd w:val="clear" w:color="auto" w:fill="FFFFFF"/>
          <w:lang w:val="en-US" w:eastAsia="zh-CN"/>
        </w:rPr>
        <w:t>31.40</w:t>
      </w:r>
      <w:r>
        <w:rPr>
          <w:rFonts w:hint="eastAsia" w:ascii="仿宋_GB2312" w:hAnsi="仿宋_GB2312" w:eastAsia="仿宋_GB2312" w:cs="仿宋_GB2312"/>
          <w:color w:val="000000"/>
          <w:kern w:val="0"/>
          <w:sz w:val="32"/>
          <w:szCs w:val="32"/>
          <w:shd w:val="clear" w:color="auto" w:fill="FFFFFF"/>
        </w:rPr>
        <w:t>万元。其中：基本支出231.40万元。</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三、部门财政支出管理情况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（一）预算编制情况。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严格按照财政部门预算编制通知和有关要求，按时完成2019年预算编制工作，并按时提交部门预算草案。按规定编制政府采购预算，预算编制全面、科学。</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（二）执行管理情况。</w:t>
      </w:r>
      <w:r>
        <w:rPr>
          <w:rFonts w:hint="eastAsia" w:ascii="仿宋_GB2312" w:hAnsi="仿宋_GB2312" w:eastAsia="仿宋_GB2312" w:cs="仿宋_GB2312"/>
          <w:color w:val="000000"/>
          <w:kern w:val="0"/>
          <w:sz w:val="32"/>
          <w:szCs w:val="32"/>
          <w:shd w:val="clear" w:color="auto" w:fill="FFFFFF"/>
        </w:rPr>
        <w:tab/>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我局2019年全年执行进度达到本部门执行进度。按照预算资金严格控制支出。本年支出</w:t>
      </w:r>
      <w:r>
        <w:rPr>
          <w:rFonts w:hint="eastAsia" w:ascii="仿宋_GB2312" w:hAnsi="仿宋_GB2312" w:eastAsia="仿宋_GB2312" w:cs="仿宋_GB2312"/>
          <w:color w:val="000000"/>
          <w:kern w:val="0"/>
          <w:sz w:val="32"/>
          <w:szCs w:val="32"/>
          <w:shd w:val="clear" w:color="auto" w:fill="FFFFFF"/>
          <w:lang w:val="en-US" w:eastAsia="zh-CN"/>
        </w:rPr>
        <w:t>231.40</w:t>
      </w:r>
      <w:r>
        <w:rPr>
          <w:rFonts w:hint="eastAsia" w:ascii="仿宋_GB2312" w:hAnsi="仿宋_GB2312" w:eastAsia="仿宋_GB2312" w:cs="仿宋_GB2312"/>
          <w:color w:val="000000"/>
          <w:kern w:val="0"/>
          <w:sz w:val="32"/>
          <w:szCs w:val="32"/>
          <w:shd w:val="clear" w:color="auto" w:fill="FFFFFF"/>
        </w:rPr>
        <w:t>万元，其中：基本支出231.40万元。2019年</w:t>
      </w:r>
      <w:r>
        <w:rPr>
          <w:rFonts w:hint="eastAsia" w:ascii="仿宋_GB2312" w:hAnsi="仿宋_GB2312" w:eastAsia="仿宋_GB2312" w:cs="仿宋_GB2312"/>
          <w:color w:val="000000"/>
          <w:kern w:val="0"/>
          <w:sz w:val="32"/>
          <w:szCs w:val="32"/>
          <w:shd w:val="clear" w:color="auto" w:fill="FFFFFF"/>
          <w:lang w:val="en-US" w:eastAsia="zh-CN"/>
        </w:rPr>
        <w:t>公用经费</w:t>
      </w:r>
      <w:r>
        <w:rPr>
          <w:rFonts w:hint="eastAsia" w:ascii="仿宋_GB2312" w:hAnsi="仿宋_GB2312" w:eastAsia="仿宋_GB2312" w:cs="仿宋_GB2312"/>
          <w:color w:val="000000"/>
          <w:kern w:val="0"/>
          <w:sz w:val="32"/>
          <w:szCs w:val="32"/>
          <w:shd w:val="clear" w:color="auto" w:fill="FFFFFF"/>
        </w:rPr>
        <w:t>支出17.65万</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其中</w:t>
      </w:r>
      <w:r>
        <w:rPr>
          <w:rFonts w:hint="eastAsia" w:ascii="仿宋_GB2312" w:hAnsi="仿宋_GB2312" w:eastAsia="仿宋_GB2312" w:cs="仿宋_GB2312"/>
          <w:color w:val="000000"/>
          <w:kern w:val="0"/>
          <w:sz w:val="32"/>
          <w:szCs w:val="32"/>
          <w:shd w:val="clear" w:color="auto" w:fill="FFFFFF"/>
        </w:rPr>
        <w:t>公务用车运行维护费2.38万元，公务接待费0万元。公务用车保有量1辆。</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（三）综合管理情况。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资产总计50.80万元，其中：固定资产50.80万元.资产管理由财务股总负责，各股室具体负责、落实到人。本单位2019年度预决算财政信息已按要求在九寨沟县人民政府网上公开，基础数据信息和会计信息资料真实、完整，基础数据信息和汇集信息资料准确。</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（四）整体绩效。</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我局不折不扣地执行上级部门的决定，认真完成州下达目标任务数。全力推进机关作风建设，群众满意度非常高。</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（一）评价结论。</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1、我单位财务管理制度健全，执行制度严格合规，会计核算符合相关规定，资金专款专用，资金支付依据和开支标准合法合规，严格执行政府采购。</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2、按照县级部门预算编制通知和有关要求，按时完成基础库、项目库报送工作，预算编制准确。部门整体绩效目标编制完整、合理，项目绩效目标编制明确、量化。</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3、按规定及时分配中央、省级市级财力专项预算，按要求严格预算执行管理。严格执行“三公经费”预算，行政运行经费与上年相比明显下降，没有产生债务。</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4、按要求及时公开预算、决算、绩效等信息。按要求及时、准确、全面开展资产清查工作，上报国有资产报表数据的真实性、准确性、全面性。内部控制制度健全完整并执行良好。</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（二）存在问题。</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年初预算部分编制不合理。</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（三）改进建议。</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优化预算编制，加强预算执行力。</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rPr>
          <w:rFonts w:ascii="仿宋_GB2312" w:hAnsi="仿宋_GB2312" w:eastAsia="仿宋_GB2312" w:cs="仿宋_GB2312"/>
          <w:sz w:val="32"/>
          <w:szCs w:val="32"/>
        </w:rPr>
      </w:pPr>
      <w:r>
        <w:rPr>
          <w:rFonts w:hint="eastAsia" w:ascii="黑体" w:hAnsi="黑体" w:eastAsia="黑体" w:cs="黑体"/>
          <w:sz w:val="32"/>
          <w:szCs w:val="32"/>
        </w:rPr>
        <w:t>附件2</w:t>
      </w:r>
    </w:p>
    <w:p>
      <w:pPr>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九寨沟县医疗保障局</w:t>
      </w:r>
    </w:p>
    <w:p>
      <w:pPr>
        <w:pStyle w:val="30"/>
        <w:spacing w:line="600" w:lineRule="exact"/>
        <w:jc w:val="center"/>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sz w:val="44"/>
          <w:szCs w:val="44"/>
        </w:rPr>
        <w:t>项目支出绩效自评报告</w:t>
      </w:r>
    </w:p>
    <w:p>
      <w:pPr>
        <w:spacing w:line="600" w:lineRule="exact"/>
        <w:jc w:val="center"/>
        <w:rPr>
          <w:rFonts w:ascii="仿宋_GB2312" w:hAnsi="宋体"/>
          <w:sz w:val="32"/>
          <w:szCs w:val="32"/>
        </w:rPr>
      </w:pPr>
      <w:r>
        <w:rPr>
          <w:rFonts w:hint="eastAsia" w:ascii="仿宋_GB2312" w:hAnsi="宋体"/>
          <w:sz w:val="32"/>
          <w:szCs w:val="32"/>
        </w:rPr>
        <w:t>（</w:t>
      </w:r>
      <w:r>
        <w:rPr>
          <w:rFonts w:hint="eastAsia" w:ascii="仿宋_GB2312" w:hAnsi="宋体"/>
          <w:sz w:val="32"/>
          <w:szCs w:val="32"/>
          <w:lang w:val="en-US" w:eastAsia="zh-CN"/>
        </w:rPr>
        <w:t>医疗服务与保障能力提升补助资金</w:t>
      </w:r>
      <w:r>
        <w:rPr>
          <w:rFonts w:hint="eastAsia" w:ascii="仿宋_GB2312" w:hAnsi="宋体"/>
          <w:sz w:val="32"/>
          <w:szCs w:val="32"/>
        </w:rPr>
        <w:t>项目）</w:t>
      </w:r>
    </w:p>
    <w:p>
      <w:pPr>
        <w:pStyle w:val="30"/>
        <w:spacing w:line="600" w:lineRule="exact"/>
        <w:ind w:firstLine="640"/>
        <w:jc w:val="center"/>
        <w:rPr>
          <w:rFonts w:ascii="宋体" w:hAnsi="宋体"/>
          <w:color w:val="auto"/>
          <w:kern w:val="2"/>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sz w:val="32"/>
          <w:szCs w:val="32"/>
          <w:lang w:val="zh-CN"/>
        </w:rPr>
      </w:pPr>
      <w:r>
        <w:rPr>
          <w:rFonts w:hint="eastAsia" w:ascii="仿宋_GB2312" w:hAnsi="宋体"/>
          <w:sz w:val="32"/>
          <w:szCs w:val="32"/>
          <w:lang w:val="en-US" w:eastAsia="zh-CN"/>
        </w:rPr>
        <w:t>2019年8月16日县财政局依据《阿坝州财政局 阿坝州医疗保障局关于下达2019年医疗服务与保障能力提升中央财政补助资金预算的通知》（阿州财社〔2019〕73号）文件精神，下发了《九寨沟县财政局关于下达2019年医疗服务与能力提升中央财政补助资金预算的通知》(九财行〔2019〕172号），下达2019年医疗服务与能力提升中央财政补助资金预算4万元。</w:t>
      </w:r>
    </w:p>
    <w:p>
      <w:pPr>
        <w:numPr>
          <w:ilvl w:val="0"/>
          <w:numId w:val="7"/>
        </w:numPr>
        <w:adjustRightInd w:val="0"/>
        <w:snapToGrid w:val="0"/>
        <w:spacing w:line="600" w:lineRule="exact"/>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项目绩效目标。</w:t>
      </w:r>
    </w:p>
    <w:p>
      <w:pPr>
        <w:numPr>
          <w:ilvl w:val="0"/>
          <w:numId w:val="0"/>
        </w:numPr>
        <w:adjustRightInd w:val="0"/>
        <w:snapToGrid w:val="0"/>
        <w:spacing w:line="600" w:lineRule="exact"/>
        <w:ind w:leftChars="200" w:firstLine="640" w:firstLineChars="200"/>
        <w:rPr>
          <w:rFonts w:ascii="仿宋_GB2312" w:hAnsi="宋体"/>
          <w:sz w:val="32"/>
          <w:szCs w:val="32"/>
          <w:lang w:val="zh-CN"/>
        </w:rPr>
      </w:pPr>
      <w:r>
        <w:rPr>
          <w:rFonts w:hint="eastAsia" w:ascii="仿宋_GB2312" w:hAnsi="宋体"/>
          <w:sz w:val="32"/>
          <w:szCs w:val="32"/>
          <w:lang w:val="zh-CN"/>
        </w:rPr>
        <w:t>提升医保信息化水平，加强网络、信息安全、基础设施等方面建设，进一步夯实技术基础，切实医保信息系统高效、安全运行，提高数据采集质量和速度；加强打击欺诈骗保工作力度，切实保障医保基金合理有效使用；加快推进医保挂支付方式改革和DRG试点工作；有效提高综合监督、宣传引导、经办服务、人才队伍建设等医疗保障服务能力。</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600" w:lineRule="exact"/>
        <w:ind w:firstLine="720"/>
        <w:rPr>
          <w:rFonts w:hint="eastAsia" w:ascii="仿宋_GB2312" w:hAnsi="宋体"/>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2019年8月16日县财政局下达2019年医疗服务与能力提升中央财政补助资金预算4万元。文件依据：《九寨沟县财政局关于下达2019年医疗服务与能力提升中央财政补助资金预算的通知》（九财行〔2019〕172号）。</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第一、开展全域医保政策宣传活动4次、提升医保经办服务能力、对全县21家定点医疗机构、17家定点药店进行监督检查，覆盖率为100%，共使用资金33914元；第二、参加省信息化建设工作专班1人3天，使用资金246元；第三、贯彻落地国家15套信息化标准代码、对参保信息系统适应性改造，使用资金5840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600" w:lineRule="exact"/>
        <w:ind w:firstLine="720"/>
        <w:rPr>
          <w:rFonts w:ascii="仿宋_GB2312" w:hAnsi="宋体"/>
          <w:sz w:val="32"/>
          <w:szCs w:val="32"/>
          <w:lang w:val="zh-CN"/>
        </w:rPr>
      </w:pPr>
      <w:r>
        <w:rPr>
          <w:rFonts w:hint="eastAsia" w:ascii="仿宋_GB2312" w:hAnsi="宋体"/>
          <w:sz w:val="32"/>
          <w:szCs w:val="32"/>
          <w:lang w:val="zh-CN"/>
        </w:rPr>
        <w:t>按照项目设定目标的要求，结合我局业务工作，局办公室做好日常管理、监督、整改完成等工作。对照项目资金</w:t>
      </w:r>
      <w:r>
        <w:rPr>
          <w:rFonts w:hint="eastAsia" w:ascii="仿宋_GB2312" w:hAnsi="宋体"/>
          <w:sz w:val="32"/>
          <w:szCs w:val="32"/>
          <w:lang w:val="en-US" w:eastAsia="zh-CN"/>
        </w:rPr>
        <w:t>要求</w:t>
      </w:r>
      <w:r>
        <w:rPr>
          <w:rFonts w:hint="eastAsia" w:ascii="仿宋_GB2312" w:hAnsi="宋体"/>
          <w:sz w:val="32"/>
          <w:szCs w:val="32"/>
          <w:lang w:val="zh-CN"/>
        </w:rPr>
        <w:t>，评价项目严格执行财务管理制度、财务处理及时、会计核算规范等。</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adjustRightInd w:val="0"/>
        <w:snapToGrid w:val="0"/>
        <w:spacing w:line="600" w:lineRule="exact"/>
        <w:ind w:firstLine="720"/>
        <w:rPr>
          <w:rFonts w:ascii="仿宋_GB2312" w:hAnsi="宋体"/>
          <w:sz w:val="32"/>
          <w:szCs w:val="32"/>
          <w:lang w:val="zh-CN"/>
        </w:rPr>
      </w:pPr>
      <w:r>
        <w:rPr>
          <w:rFonts w:hint="eastAsia" w:ascii="仿宋_GB2312" w:hAnsi="宋体"/>
          <w:sz w:val="32"/>
          <w:szCs w:val="32"/>
          <w:lang w:val="zh-CN"/>
        </w:rPr>
        <w:t>本着便于管理，利于管理的原则，局办公室与下属事业单位业务股室一起负责项目的完成。强化全面质量管理，严格按照三级指标完成年度指标值，业务股室掌握项目进度，总结经验及时负责向局办公室报告。</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1.优化服务模式，编织便民服务网。一是建立联动服务体系；二是创新便民服务机制；三是优化精简经办规程；四是政策服务送上门；五是渗透政策宣传；六是开展“打造人民满意的医保服务窗口”活动，提高医保服务水平。</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2.强化监督管理，筑牢基金安全网。一是建立部门联动机制；二是建立专家评审机制；三是建立事中监管机制。</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3.做实医保扶贫，扎牢民生保障网。一是夯实基础数据；二是抓实“一站式”服务。</w:t>
      </w:r>
    </w:p>
    <w:p>
      <w:pPr>
        <w:adjustRightInd w:val="0"/>
        <w:snapToGrid w:val="0"/>
        <w:spacing w:line="600" w:lineRule="exact"/>
        <w:ind w:firstLine="720"/>
        <w:rPr>
          <w:rFonts w:hint="eastAsia" w:ascii="仿宋_GB2312" w:hAnsi="宋体"/>
          <w:sz w:val="32"/>
          <w:szCs w:val="32"/>
          <w:lang w:val="zh-CN"/>
        </w:rPr>
      </w:pPr>
      <w:r>
        <w:rPr>
          <w:rFonts w:hint="eastAsia" w:ascii="楷体_GB2312" w:hAnsi="宋体" w:eastAsia="楷体_GB2312"/>
          <w:b/>
          <w:sz w:val="32"/>
          <w:szCs w:val="32"/>
          <w:lang w:val="zh-CN"/>
        </w:rPr>
        <w:t>（二）项目效益情况。</w:t>
      </w:r>
      <w:r>
        <w:rPr>
          <w:rFonts w:hint="eastAsia" w:ascii="仿宋_GB2312" w:hAnsi="宋体"/>
          <w:sz w:val="32"/>
          <w:szCs w:val="32"/>
          <w:lang w:val="zh-CN"/>
        </w:rPr>
        <w:t>1.产出指标完成情况分析</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1）数量指标：①在全县范围内开展医保政策宣传活动4次；②开展医保工作政府信息公开工作会议或培训3次；③医保信息系统验收合格率为95%；④医保信息系统正常运行率96%；⑤医保信息系统未发生重大安全事件；⑥对全县定点医药机构监督检查覆盖率达100%；⑦通过积极参加各项培训，医保人才培训合格率100%；⑧作为全州医保支付方式改革和DRG试点地区，我局正在做前期准备工作。</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2）时效指标：①DRG试点工作进行了数据测算；②国家15套信息化标准代码已在我县贯彻落地；③退役军人参保及关系转移接续工作有序进行；④参保信息系统适应性改革工作已完成；⑤积极参加省信息化建设工作专班。</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2.效益指标完成情况分析</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社会效益指标：参保群众对医保政策普遍知晓；医保经办报务信息化支撑能力明显增强；跨省异地就医直接结算率有所提高。</w:t>
      </w:r>
    </w:p>
    <w:p>
      <w:pPr>
        <w:adjustRightInd w:val="0"/>
        <w:snapToGrid w:val="0"/>
        <w:spacing w:line="600" w:lineRule="exact"/>
        <w:ind w:firstLine="720"/>
        <w:rPr>
          <w:rFonts w:hint="eastAsia" w:ascii="仿宋_GB2312" w:hAnsi="宋体"/>
          <w:sz w:val="32"/>
          <w:szCs w:val="32"/>
          <w:lang w:val="zh-CN"/>
        </w:rPr>
      </w:pPr>
      <w:r>
        <w:rPr>
          <w:rFonts w:hint="eastAsia" w:ascii="仿宋_GB2312" w:hAnsi="宋体"/>
          <w:sz w:val="32"/>
          <w:szCs w:val="32"/>
          <w:lang w:val="zh-CN"/>
        </w:rPr>
        <w:t>3.满意度指标完成情况分析</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服务对象满意度指标：通过优化服务模式，编织便民服务网，参保人员对医保服务的满意度不断提升，2019年满意度达97%。</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1.“医保支付方式改革和DRG试点工作”指标，医保支付方式改革正在逐渐推开，但因为医保实行州级统筹，我县被列为全州DRG试点，这项工作涉及数据量大，收集整理难度大，项目资金不足以更好地开展此项工作。</w:t>
      </w:r>
    </w:p>
    <w:p>
      <w:pPr>
        <w:adjustRightInd w:val="0"/>
        <w:snapToGrid w:val="0"/>
        <w:spacing w:line="600" w:lineRule="exact"/>
        <w:ind w:firstLine="720"/>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2.“DRG试点进行模拟运行时间”指标，目前正在筹备中，由于医保实行州级统筹，由于此项工作涉及数据量大，建立信息系统相对复杂。</w:t>
      </w:r>
    </w:p>
    <w:p>
      <w:pPr>
        <w:adjustRightInd w:val="0"/>
        <w:snapToGrid w:val="0"/>
        <w:spacing w:line="600" w:lineRule="exact"/>
        <w:ind w:firstLine="720"/>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3.“参加省信息化建设专班不低于30天”指标，2019年参加省上的培训一次，今后我局将积极参加省、州信息化建设等各项培训。</w:t>
      </w:r>
    </w:p>
    <w:p>
      <w:pPr>
        <w:adjustRightInd w:val="0"/>
        <w:snapToGrid w:val="0"/>
        <w:spacing w:line="600" w:lineRule="exact"/>
        <w:ind w:firstLine="720"/>
        <w:rPr>
          <w:rFonts w:hint="eastAsia" w:ascii="仿宋_GB2312" w:hAnsi="宋体"/>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hint="eastAsia" w:ascii="仿宋_GB2312" w:hAnsi="仿宋_GB2312" w:cs="仿宋_GB2312"/>
          <w:b w:val="0"/>
          <w:bCs/>
          <w:sz w:val="32"/>
          <w:szCs w:val="32"/>
          <w:lang w:val="en-US" w:eastAsia="zh-CN"/>
        </w:rPr>
      </w:pPr>
      <w:r>
        <w:rPr>
          <w:rFonts w:hint="eastAsia" w:ascii="仿宋_GB2312" w:hAnsi="宋体"/>
          <w:sz w:val="32"/>
          <w:szCs w:val="32"/>
          <w:lang w:val="en-US" w:eastAsia="zh-CN"/>
        </w:rPr>
        <w:t>1.</w:t>
      </w:r>
      <w:r>
        <w:rPr>
          <w:rFonts w:hint="eastAsia" w:ascii="仿宋_GB2312" w:hAnsi="仿宋_GB2312" w:eastAsia="仿宋_GB2312" w:cs="仿宋_GB2312"/>
          <w:b w:val="0"/>
          <w:bCs/>
          <w:sz w:val="32"/>
          <w:szCs w:val="32"/>
          <w:lang w:val="zh-CN"/>
        </w:rPr>
        <w:t>医保支付方式改革和DRG试点工作</w:t>
      </w:r>
      <w:r>
        <w:rPr>
          <w:rFonts w:hint="eastAsia" w:ascii="仿宋_GB2312" w:hAnsi="仿宋_GB2312" w:cs="仿宋_GB2312"/>
          <w:b w:val="0"/>
          <w:bCs/>
          <w:sz w:val="32"/>
          <w:szCs w:val="32"/>
          <w:lang w:val="en-US" w:eastAsia="zh-CN"/>
        </w:rPr>
        <w:t>涉及数据量大，收集信息整理难度也大，我局所用系统为州局开发，建议州局统一推开此项工作。</w:t>
      </w:r>
    </w:p>
    <w:p>
      <w:pPr>
        <w:adjustRightInd w:val="0"/>
        <w:snapToGrid w:val="0"/>
        <w:spacing w:line="600" w:lineRule="exact"/>
        <w:ind w:firstLine="720"/>
        <w:rPr>
          <w:rFonts w:hint="eastAsia" w:ascii="仿宋_GB2312" w:hAnsi="仿宋_GB2312" w:cs="仿宋_GB2312"/>
          <w:b w:val="0"/>
          <w:bCs/>
          <w:lang w:val="en-US" w:eastAsia="zh-CN"/>
        </w:rPr>
      </w:pPr>
      <w:r>
        <w:rPr>
          <w:rFonts w:hint="eastAsia" w:ascii="仿宋_GB2312" w:hAnsi="仿宋_GB2312" w:cs="仿宋_GB2312"/>
          <w:b w:val="0"/>
          <w:bCs/>
          <w:sz w:val="32"/>
          <w:szCs w:val="32"/>
          <w:lang w:val="en-US" w:eastAsia="zh-CN"/>
        </w:rPr>
        <w:t>2.建立省、州业务主管部门多开展信息化建设培训。</w:t>
      </w:r>
    </w:p>
    <w:p>
      <w:pPr>
        <w:spacing w:line="560" w:lineRule="exact"/>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附件3</w:t>
      </w:r>
    </w:p>
    <w:p>
      <w:pPr>
        <w:spacing w:line="560" w:lineRule="exact"/>
        <w:jc w:val="center"/>
        <w:rPr>
          <w:rFonts w:ascii="小标宋" w:hAnsi="华文中宋" w:eastAsia="小标宋"/>
          <w:bCs/>
          <w:sz w:val="44"/>
          <w:szCs w:val="44"/>
        </w:rPr>
      </w:pPr>
      <w:r>
        <w:rPr>
          <w:rFonts w:hint="eastAsia" w:ascii="小标宋" w:hAnsi="黑体" w:eastAsia="小标宋"/>
          <w:bCs/>
          <w:sz w:val="44"/>
          <w:szCs w:val="44"/>
        </w:rPr>
        <w:t>九寨沟县医疗保障局</w:t>
      </w:r>
    </w:p>
    <w:p>
      <w:pPr>
        <w:spacing w:line="560" w:lineRule="exact"/>
        <w:jc w:val="center"/>
        <w:rPr>
          <w:rFonts w:hint="eastAsia" w:ascii="小标宋" w:hAnsi="宋体" w:eastAsia="小标宋" w:cs="宋体"/>
          <w:sz w:val="44"/>
          <w:szCs w:val="44"/>
        </w:rPr>
      </w:pPr>
      <w:r>
        <w:rPr>
          <w:rFonts w:hint="eastAsia" w:ascii="小标宋" w:hAnsi="Arial" w:eastAsia="小标宋" w:cs="Arial"/>
          <w:sz w:val="44"/>
          <w:szCs w:val="44"/>
        </w:rPr>
        <w:t>2019</w:t>
      </w:r>
      <w:r>
        <w:rPr>
          <w:rFonts w:hint="eastAsia" w:ascii="小标宋" w:hAnsi="宋体" w:eastAsia="小标宋" w:cs="宋体"/>
          <w:sz w:val="44"/>
          <w:szCs w:val="44"/>
        </w:rPr>
        <w:t>年度</w:t>
      </w:r>
      <w:r>
        <w:rPr>
          <w:rFonts w:hint="eastAsia" w:ascii="小标宋" w:hAnsi="宋体" w:eastAsia="小标宋" w:cs="宋体"/>
          <w:sz w:val="44"/>
          <w:szCs w:val="44"/>
          <w:lang w:val="en-US" w:eastAsia="zh-CN"/>
        </w:rPr>
        <w:t>项目支出</w:t>
      </w:r>
      <w:r>
        <w:rPr>
          <w:rFonts w:hint="eastAsia" w:ascii="小标宋" w:hAnsi="宋体" w:eastAsia="小标宋" w:cs="宋体"/>
          <w:sz w:val="44"/>
          <w:szCs w:val="44"/>
        </w:rPr>
        <w:t>绩效自评报告</w:t>
      </w:r>
    </w:p>
    <w:p>
      <w:pPr>
        <w:spacing w:line="560" w:lineRule="exact"/>
        <w:jc w:val="center"/>
        <w:rPr>
          <w:rFonts w:hint="eastAsia" w:ascii="仿宋" w:hAnsi="仿宋" w:eastAsia="仿宋" w:cs="宋体"/>
          <w:sz w:val="32"/>
          <w:szCs w:val="32"/>
        </w:rPr>
      </w:pPr>
      <w:r>
        <w:rPr>
          <w:rFonts w:hint="eastAsia" w:ascii="仿宋" w:hAnsi="仿宋" w:eastAsia="仿宋" w:cs="宋体"/>
          <w:sz w:val="32"/>
          <w:szCs w:val="32"/>
          <w:lang w:eastAsia="zh-CN"/>
        </w:rPr>
        <w:t>（医疗救助转移支付）</w:t>
      </w:r>
      <w:r>
        <w:rPr>
          <w:rFonts w:hint="eastAsia" w:ascii="仿宋" w:hAnsi="仿宋" w:eastAsia="仿宋" w:cs="宋体"/>
          <w:sz w:val="32"/>
          <w:szCs w:val="32"/>
        </w:rPr>
        <w:t xml:space="preserve">    </w:t>
      </w:r>
    </w:p>
    <w:p>
      <w:pPr>
        <w:spacing w:line="560" w:lineRule="exact"/>
        <w:ind w:firstLine="640" w:firstLineChars="200"/>
        <w:jc w:val="left"/>
        <w:rPr>
          <w:rFonts w:hint="eastAsia" w:ascii="仿宋_GB2312" w:hAnsi="仿宋_GB2312" w:eastAsia="仿宋_GB2312" w:cs="仿宋_GB2312"/>
          <w:sz w:val="32"/>
          <w:szCs w:val="32"/>
        </w:rPr>
      </w:pPr>
    </w:p>
    <w:p>
      <w:pPr>
        <w:spacing w:line="560" w:lineRule="exact"/>
        <w:ind w:firstLine="640" w:firstLineChars="200"/>
        <w:jc w:val="left"/>
        <w:rPr>
          <w:rFonts w:ascii="仿宋" w:hAnsi="仿宋" w:eastAsia="仿宋" w:cs="宋体"/>
          <w:sz w:val="32"/>
          <w:szCs w:val="32"/>
        </w:rPr>
      </w:pPr>
      <w:r>
        <w:rPr>
          <w:rFonts w:hint="eastAsia" w:ascii="仿宋_GB2312" w:hAnsi="仿宋_GB2312" w:eastAsia="仿宋_GB2312" w:cs="仿宋_GB2312"/>
          <w:sz w:val="32"/>
          <w:szCs w:val="32"/>
        </w:rPr>
        <w:t>根据九寨沟县财政局关于转发《四川省财政厅关于转发&lt;财政部关于开展2019年度中央对地方专项转移支付预算执行情况绩效自评工作的通知&gt;的通知》的通知（九财﹝2020﹞84号）文件要求，县医保局高度重视此次自评工作，现就2019年度医疗救助补助资金情况作如下自评：</w:t>
      </w:r>
    </w:p>
    <w:p>
      <w:pPr>
        <w:ind w:firstLine="640" w:firstLineChars="200"/>
        <w:rPr>
          <w:rFonts w:ascii="黑体" w:hAnsi="黑体" w:eastAsia="黑体" w:cs="黑体"/>
          <w:bCs/>
          <w:sz w:val="32"/>
          <w:szCs w:val="32"/>
        </w:rPr>
      </w:pPr>
      <w:r>
        <w:rPr>
          <w:rFonts w:hint="eastAsia" w:ascii="黑体" w:hAnsi="黑体" w:eastAsia="黑体" w:cs="黑体"/>
          <w:bCs/>
          <w:sz w:val="32"/>
          <w:szCs w:val="32"/>
        </w:rPr>
        <w:t>一、绩效目标分解下达情况</w:t>
      </w:r>
    </w:p>
    <w:p>
      <w:pPr>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阿坝州财政局、阿坝州民政局关于下达2019年医疗补助救助资金的通知》（阿州财社〔2019〕21号）和《阿坝州财政局、阿坝州医疗保障局、阿坝州卫生健康委员会关于下达2019年医疗救助补助资金的通知》（阿州财社〔2019〕62号）文件，中央财政下达医疗救助补助资金987.11万元,州财政下达医疗救助补助资金15万元，县财政下达医疗救助补助资金49万元，地方财政下达医疗救助资金共计 64万元，全部纳入城乡医疗救助基金管理，在社会保险基金财政专户中实行独立核算，专款专用。</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二、绩效目标完成情况分析</w:t>
      </w:r>
    </w:p>
    <w:p>
      <w:pPr>
        <w:ind w:firstLine="643" w:firstLineChars="200"/>
        <w:outlineLvl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（一）资金投入情况分析。</w:t>
      </w:r>
    </w:p>
    <w:p>
      <w:pPr>
        <w:tabs>
          <w:tab w:val="left" w:pos="7080"/>
        </w:tabs>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1.项目资金到位情况：中央财政下达医疗救助补助资金987.11万元；地方财政下达医疗救助资金共计64万元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州财政下达医疗救助补助资金15万元，县财政下达医疗救助补助资金49万元。年度资金总额1051.11万元。全部纳入城乡医疗救助基金管理，在社会保险基金财政专户中实行独立核算，专款专用。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执行情况：2019年城乡医疗救助资金资助参保支出570800元；住院救助支出5105177.03元；门诊救助支出27495.80元。2019年医疗救助支出合计5703472.83元。2019年医疗救助资金累计结余9663399.40（其中2018年结余4828143.91元）</w:t>
      </w:r>
    </w:p>
    <w:p>
      <w:pPr>
        <w:ind w:firstLine="640" w:firstLineChars="200"/>
        <w:rPr>
          <w:rFonts w:ascii="仿宋_GB2312"/>
          <w:sz w:val="32"/>
          <w:szCs w:val="32"/>
        </w:rPr>
      </w:pPr>
      <w:r>
        <w:rPr>
          <w:rFonts w:hint="eastAsia" w:ascii="仿宋_GB2312" w:hAnsi="仿宋_GB2312" w:eastAsia="仿宋_GB2312" w:cs="仿宋_GB2312"/>
          <w:sz w:val="32"/>
          <w:szCs w:val="32"/>
        </w:rPr>
        <w:t>3.项目资金管理情况：城乡医疗救助资金主要用于资助城乡困难群众参加基本医疗保险，并对其难以负担的个人自负费用给予补助。该笔资金在社会保险基金财政专户中实行独立核算，专款专用。</w:t>
      </w:r>
    </w:p>
    <w:p>
      <w:pPr>
        <w:ind w:firstLine="643" w:firstLineChars="200"/>
        <w:outlineLvl w:val="0"/>
        <w:rPr>
          <w:rFonts w:ascii="仿宋" w:hAnsi="仿宋" w:eastAsia="仿宋" w:cs="楷体_GB2312"/>
          <w:bCs/>
          <w:sz w:val="32"/>
          <w:szCs w:val="32"/>
        </w:rPr>
      </w:pPr>
      <w:r>
        <w:rPr>
          <w:rFonts w:hint="eastAsia" w:ascii="楷体_GB2312" w:hAnsi="楷体_GB2312" w:eastAsia="楷体_GB2312" w:cs="楷体_GB2312"/>
          <w:b/>
          <w:bCs/>
          <w:sz w:val="32"/>
          <w:szCs w:val="32"/>
        </w:rPr>
        <w:t>（二）总体绩效目标完成情况：</w:t>
      </w:r>
      <w:r>
        <w:rPr>
          <w:rFonts w:hint="eastAsia" w:ascii="仿宋_GB2312" w:hAnsi="仿宋_GB2312" w:eastAsia="仿宋_GB2312" w:cs="仿宋_GB2312"/>
          <w:bCs/>
          <w:sz w:val="32"/>
          <w:szCs w:val="32"/>
        </w:rPr>
        <w:t>1、持续实施重特大疾病医疗救助；2、重点救助对象自负医疗费用年度限额内住院救助比例达到75%及以上；3、年度救助对象人次规模与上年相比有明显提高；4、强化医疗救助规范管理。</w:t>
      </w:r>
    </w:p>
    <w:p>
      <w:pPr>
        <w:ind w:firstLine="643" w:firstLineChars="200"/>
        <w:outlineLvl w:val="0"/>
        <w:rPr>
          <w:rFonts w:ascii="仿宋_GB2312"/>
          <w:sz w:val="32"/>
          <w:szCs w:val="32"/>
        </w:rPr>
      </w:pPr>
      <w:r>
        <w:rPr>
          <w:rFonts w:hint="eastAsia" w:ascii="楷体_GB2312" w:hAnsi="楷体_GB2312" w:eastAsia="楷体_GB2312" w:cs="楷体_GB2312"/>
          <w:b/>
          <w:bCs/>
          <w:sz w:val="32"/>
          <w:szCs w:val="32"/>
        </w:rPr>
        <w:t>（三）绩效指标完成情况分析。</w:t>
      </w:r>
    </w:p>
    <w:p>
      <w:pPr>
        <w:ind w:firstLine="643" w:firstLineChars="200"/>
        <w:rPr>
          <w:rFonts w:ascii="仿宋_GB2312"/>
          <w:b/>
          <w:sz w:val="32"/>
          <w:szCs w:val="32"/>
        </w:rPr>
      </w:pPr>
      <w:r>
        <w:rPr>
          <w:rFonts w:hint="eastAsia" w:ascii="仿宋_GB2312"/>
          <w:b/>
          <w:sz w:val="32"/>
          <w:szCs w:val="32"/>
        </w:rPr>
        <w:t>1.产出指标完成情况分析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（1）数量指标：重特大疾病医疗救助人次占直接救助人次比例，年度指标值为28%及以上，实际完成值为30%及以上，超过指标值2%。</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（2）质量指标：重点救助对象自负费用年度限额内住院救助比例年度指标值为70%及以上，实际完成值为75%及以上，超过指标值5%。</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（3）时效指标：“一站式”即时结算覆盖地区，我县已达到了医疗救助“一站式”即时结算全覆盖。</w:t>
      </w:r>
    </w:p>
    <w:p>
      <w:pPr>
        <w:ind w:firstLine="643" w:firstLineChars="200"/>
        <w:rPr>
          <w:rFonts w:ascii="仿宋_GB2312"/>
          <w:b/>
          <w:sz w:val="32"/>
          <w:szCs w:val="32"/>
        </w:rPr>
      </w:pPr>
      <w:r>
        <w:rPr>
          <w:rFonts w:hint="eastAsia" w:ascii="仿宋_GB2312"/>
          <w:b/>
          <w:sz w:val="32"/>
          <w:szCs w:val="32"/>
        </w:rPr>
        <w:t>2.效益指标完成情况分析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效益：①医疗救助对象覆盖范围已达到全覆盖。具有我县户籍或参加我县基本医疗保险的参保人员，且符合医疗救助条件的，纳入医疗救助范围。②困难群众看病就医难问题有了明显提高，看病就医更方便、快捷。为方便广大群众就医问题，我县开通微信公众平台备案，四川医保APP备案，开通电子社保卡直接结算服务。③困难群众医疗费用负担减轻，有效缓解了“因病致贫、因病返贫”现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可持续影响：①对健全社会救助体系的影响成效明显。具有我县户籍并参加了城乡居民基本医疗保险，住院合规医疗费用经城乡居民基本医疗保险、大病保险及各类补充医疗保险、商业保险报销后个人自付费用超过起伏线，导致家庭困难，经本人申请由户籍所在地乡镇人民政府认定且公示无异议的困难人员均可申请医疗救助。②对健全医疗保障制度体系的作用成效明显。提升绩效，强化管控。加大力度消化结余资金，进一步提高资金使用效益，做到保基本、可持续，并严格执行医疗救助保障范围和标准，加强资金风险管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分析：①政策知晓率达到了全覆盖。为切实保障广大参保群众了解相关政策，我县采取“互联网+”、制作宣传片、编制宣传资料，动员医药结构，组建“宣讲团”等方式多项举措深入强化宣传工作。②工作满意度，通过全体干部职工的不懈努力，我局的工作得到了广大群众的认可，满意度达到了90%以上。在今后的工作中，我们将严格按照省、州相关要求，深入调查研究，不断创新方式、方法，力争全县医疗救助工作上新台阶，使医疗救助这一惠民政策更好</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为救助对象服务。</w:t>
      </w:r>
    </w:p>
    <w:p>
      <w:pPr>
        <w:ind w:firstLine="640" w:firstLineChars="200"/>
        <w:rPr>
          <w:rFonts w:ascii="黑体" w:hAnsi="黑体" w:eastAsia="黑体" w:cs="黑体"/>
          <w:bCs/>
          <w:sz w:val="32"/>
          <w:szCs w:val="32"/>
        </w:rPr>
      </w:pPr>
      <w:r>
        <w:rPr>
          <w:rFonts w:hint="eastAsia" w:ascii="黑体" w:hAnsi="黑体" w:eastAsia="黑体" w:cs="黑体"/>
          <w:bCs/>
          <w:sz w:val="32"/>
          <w:szCs w:val="32"/>
        </w:rPr>
        <w:t>三、绩效自评结果拟应用和公开情况</w:t>
      </w:r>
    </w:p>
    <w:p>
      <w:pPr>
        <w:ind w:firstLine="640" w:firstLineChars="200"/>
        <w:rPr>
          <w:rFonts w:ascii="仿宋" w:hAnsi="仿宋" w:eastAsia="仿宋"/>
          <w:sz w:val="32"/>
          <w:szCs w:val="32"/>
        </w:rPr>
      </w:pPr>
      <w:r>
        <w:rPr>
          <w:rFonts w:hint="eastAsia" w:ascii="仿宋_GB2312" w:hAnsi="仿宋_GB2312" w:eastAsia="仿宋_GB2312" w:cs="仿宋_GB2312"/>
          <w:sz w:val="32"/>
          <w:szCs w:val="32"/>
        </w:rPr>
        <w:t>按照绩效目标自评表进行自评后，2019年城乡医疗救助补助资金项目的绩效综合得分100分，自评成绩优秀，各项目的经济和社会综合效益良好，财政项目支出合理、规范、有效。城乡医疗救助从项目立项开始，做到有依有据，在资金管理上做到专款专用。</w:t>
      </w:r>
    </w:p>
    <w:p>
      <w:pPr>
        <w:adjustRightInd w:val="0"/>
        <w:snapToGrid w:val="0"/>
        <w:spacing w:line="600" w:lineRule="exact"/>
        <w:ind w:firstLine="640" w:firstLineChars="200"/>
        <w:rPr>
          <w:rFonts w:ascii="仿宋_GB2312" w:hAnsi="宋体" w:eastAsia="仿宋_GB2312"/>
          <w:sz w:val="32"/>
          <w:szCs w:val="32"/>
          <w:lang w:val="zh-CN"/>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4"/>
          <w:rFonts w:ascii="黑体" w:hAnsi="黑体" w:eastAsia="黑体"/>
          <w:b w:val="0"/>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81" w:name="_Toc15396618"/>
      <w:bookmarkStart w:id="82" w:name="_Toc22077"/>
      <w:r>
        <w:rPr>
          <w:rFonts w:hint="eastAsia" w:ascii="黑体" w:hAnsi="黑体" w:eastAsia="黑体"/>
          <w:color w:val="000000"/>
          <w:sz w:val="44"/>
          <w:szCs w:val="44"/>
        </w:rPr>
        <w:t>第</w:t>
      </w:r>
      <w:r>
        <w:rPr>
          <w:rStyle w:val="24"/>
          <w:rFonts w:hint="eastAsia" w:ascii="黑体" w:hAnsi="黑体" w:eastAsia="黑体"/>
          <w:b w:val="0"/>
        </w:rPr>
        <w:t>五部分 附表</w:t>
      </w:r>
      <w:bookmarkEnd w:id="77"/>
      <w:bookmarkEnd w:id="81"/>
      <w:bookmarkEnd w:id="82"/>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83" w:name="_Toc23684"/>
      <w:bookmarkStart w:id="84"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83"/>
      <w:bookmarkEnd w:id="84"/>
    </w:p>
    <w:p>
      <w:pPr>
        <w:pStyle w:val="3"/>
        <w:rPr>
          <w:rFonts w:ascii="仿宋" w:hAnsi="仿宋" w:eastAsia="仿宋"/>
          <w:color w:val="000000"/>
        </w:rPr>
      </w:pPr>
      <w:bookmarkStart w:id="85" w:name="_Toc16684"/>
      <w:bookmarkStart w:id="86"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85"/>
      <w:bookmarkEnd w:id="86"/>
    </w:p>
    <w:p>
      <w:pPr>
        <w:pStyle w:val="3"/>
        <w:rPr>
          <w:rFonts w:ascii="仿宋" w:hAnsi="仿宋" w:eastAsia="仿宋"/>
          <w:color w:val="000000"/>
        </w:rPr>
      </w:pPr>
      <w:bookmarkStart w:id="87" w:name="_Toc15396621"/>
      <w:bookmarkStart w:id="88" w:name="_Toc16747"/>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87"/>
      <w:bookmarkEnd w:id="88"/>
    </w:p>
    <w:p>
      <w:pPr>
        <w:pStyle w:val="3"/>
        <w:rPr>
          <w:rFonts w:ascii="仿宋" w:hAnsi="仿宋" w:eastAsia="仿宋"/>
          <w:b w:val="0"/>
          <w:color w:val="000000"/>
        </w:rPr>
      </w:pPr>
      <w:bookmarkStart w:id="89" w:name="_Toc15396622"/>
      <w:bookmarkStart w:id="90" w:name="_Toc14327"/>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89"/>
      <w:bookmarkEnd w:id="90"/>
    </w:p>
    <w:p>
      <w:pPr>
        <w:pStyle w:val="3"/>
        <w:rPr>
          <w:rStyle w:val="25"/>
          <w:rFonts w:ascii="仿宋" w:hAnsi="仿宋" w:eastAsia="仿宋"/>
          <w:b w:val="0"/>
          <w:bCs w:val="0"/>
        </w:rPr>
      </w:pPr>
      <w:bookmarkStart w:id="91" w:name="_Toc15396623"/>
      <w:bookmarkStart w:id="92" w:name="_Toc10408"/>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91"/>
      <w:bookmarkEnd w:id="92"/>
      <w:bookmarkStart w:id="93" w:name="_Toc15396624"/>
    </w:p>
    <w:p>
      <w:pPr>
        <w:pStyle w:val="3"/>
        <w:rPr>
          <w:rFonts w:ascii="仿宋" w:hAnsi="仿宋" w:eastAsia="仿宋"/>
          <w:color w:val="000000"/>
        </w:rPr>
      </w:pPr>
      <w:bookmarkStart w:id="94" w:name="_Toc27398"/>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93"/>
      <w:bookmarkEnd w:id="94"/>
    </w:p>
    <w:p>
      <w:pPr>
        <w:pStyle w:val="3"/>
        <w:rPr>
          <w:rFonts w:ascii="仿宋" w:hAnsi="仿宋" w:eastAsia="仿宋"/>
          <w:color w:val="000000"/>
        </w:rPr>
      </w:pPr>
      <w:bookmarkStart w:id="95" w:name="_Toc29260"/>
      <w:bookmarkStart w:id="9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95"/>
      <w:bookmarkEnd w:id="96"/>
    </w:p>
    <w:p>
      <w:pPr>
        <w:pStyle w:val="3"/>
        <w:rPr>
          <w:rFonts w:ascii="仿宋" w:hAnsi="仿宋" w:eastAsia="仿宋"/>
          <w:color w:val="000000"/>
        </w:rPr>
      </w:pPr>
      <w:bookmarkStart w:id="97" w:name="_Toc15396626"/>
      <w:bookmarkStart w:id="98" w:name="_Toc3651"/>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97"/>
      <w:bookmarkEnd w:id="98"/>
    </w:p>
    <w:p>
      <w:pPr>
        <w:pStyle w:val="3"/>
        <w:rPr>
          <w:rFonts w:ascii="仿宋" w:hAnsi="仿宋" w:eastAsia="仿宋"/>
          <w:color w:val="000000"/>
        </w:rPr>
      </w:pPr>
      <w:bookmarkStart w:id="99" w:name="_Toc15396627"/>
      <w:bookmarkStart w:id="100" w:name="_Toc363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99"/>
      <w:bookmarkEnd w:id="100"/>
    </w:p>
    <w:p>
      <w:pPr>
        <w:pStyle w:val="3"/>
        <w:rPr>
          <w:rFonts w:ascii="仿宋" w:hAnsi="仿宋" w:eastAsia="仿宋"/>
          <w:color w:val="000000"/>
        </w:rPr>
      </w:pPr>
      <w:bookmarkStart w:id="101" w:name="_Toc15396628"/>
      <w:bookmarkStart w:id="102" w:name="_Toc596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01"/>
      <w:bookmarkEnd w:id="102"/>
    </w:p>
    <w:p>
      <w:pPr>
        <w:pStyle w:val="3"/>
        <w:rPr>
          <w:rFonts w:ascii="仿宋" w:hAnsi="仿宋" w:eastAsia="仿宋"/>
          <w:color w:val="000000"/>
        </w:rPr>
      </w:pPr>
      <w:bookmarkStart w:id="103" w:name="_Toc15396629"/>
      <w:bookmarkStart w:id="104" w:name="_Toc5102"/>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03"/>
      <w:bookmarkEnd w:id="104"/>
    </w:p>
    <w:p>
      <w:pPr>
        <w:pStyle w:val="3"/>
        <w:rPr>
          <w:rFonts w:ascii="仿宋" w:hAnsi="仿宋" w:eastAsia="仿宋"/>
          <w:color w:val="000000"/>
        </w:rPr>
      </w:pPr>
      <w:bookmarkStart w:id="105" w:name="_Toc15396630"/>
      <w:bookmarkStart w:id="106" w:name="_Toc32319"/>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05"/>
      <w:bookmarkEnd w:id="106"/>
    </w:p>
    <w:p>
      <w:pPr>
        <w:pStyle w:val="3"/>
        <w:rPr>
          <w:rFonts w:ascii="仿宋" w:hAnsi="仿宋" w:eastAsia="仿宋"/>
          <w:color w:val="000000" w:themeColor="text1"/>
          <w14:textFill>
            <w14:solidFill>
              <w14:schemeClr w14:val="tx1"/>
            </w14:solidFill>
          </w14:textFill>
        </w:rPr>
      </w:pPr>
      <w:bookmarkStart w:id="107" w:name="_Toc15396631"/>
      <w:bookmarkStart w:id="108" w:name="_Toc26335"/>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07"/>
      <w:bookmarkEnd w:id="10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方正舒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D4C6D"/>
    <w:multiLevelType w:val="singleLevel"/>
    <w:tmpl w:val="B12D4C6D"/>
    <w:lvl w:ilvl="0" w:tentative="0">
      <w:start w:val="3"/>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743BBCC"/>
    <w:multiLevelType w:val="singleLevel"/>
    <w:tmpl w:val="D743BBCC"/>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8795D2C"/>
    <w:multiLevelType w:val="singleLevel"/>
    <w:tmpl w:val="48795D2C"/>
    <w:lvl w:ilvl="0" w:tentative="0">
      <w:start w:val="1"/>
      <w:numFmt w:val="decimal"/>
      <w:suff w:val="nothing"/>
      <w:lvlText w:val="%1、"/>
      <w:lvlJc w:val="left"/>
    </w:lvl>
  </w:abstractNum>
  <w:abstractNum w:abstractNumId="6">
    <w:nsid w:val="7C39BE67"/>
    <w:multiLevelType w:val="singleLevel"/>
    <w:tmpl w:val="7C39BE67"/>
    <w:lvl w:ilvl="0" w:tentative="0">
      <w:start w:val="2"/>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YzIwN2QzNWU1MDJjMGJlNDY3MWU1NTYxNTFkYW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270FAA"/>
    <w:rsid w:val="0ED65AFA"/>
    <w:rsid w:val="10C055FF"/>
    <w:rsid w:val="16BB723D"/>
    <w:rsid w:val="1D5A285B"/>
    <w:rsid w:val="240371BF"/>
    <w:rsid w:val="29FD04D3"/>
    <w:rsid w:val="319F7F4E"/>
    <w:rsid w:val="395F67D6"/>
    <w:rsid w:val="3AA93729"/>
    <w:rsid w:val="414460C9"/>
    <w:rsid w:val="4C4C0F5A"/>
    <w:rsid w:val="4ECE2238"/>
    <w:rsid w:val="54763A75"/>
    <w:rsid w:val="6CB03320"/>
    <w:rsid w:val="6D544240"/>
    <w:rsid w:val="72734D90"/>
    <w:rsid w:val="73AF1B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15070</Words>
  <Characters>16188</Characters>
  <Lines>61</Lines>
  <Paragraphs>17</Paragraphs>
  <TotalTime>2</TotalTime>
  <ScaleCrop>false</ScaleCrop>
  <LinksUpToDate>false</LinksUpToDate>
  <CharactersWithSpaces>16451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T170213</cp:lastModifiedBy>
  <cp:lastPrinted>2020-09-17T00:51:00Z</cp:lastPrinted>
  <dcterms:modified xsi:type="dcterms:W3CDTF">2023-07-17T01:30:38Z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F4F7DF9D0AC54CA9872E6FED10AD7D0C_13</vt:lpwstr>
  </property>
</Properties>
</file>