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8195"/>
      <w:bookmarkStart w:id="4" w:name="_Toc15378441"/>
      <w:bookmarkStart w:id="5" w:name="_Toc15396475"/>
      <w:bookmarkStart w:id="6"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7" w:name="_Toc5590"/>
      <w:bookmarkStart w:id="8" w:name="_Toc15378442"/>
      <w:bookmarkStart w:id="9" w:name="_Toc15377426"/>
      <w:bookmarkStart w:id="10" w:name="_Toc15396476"/>
      <w:bookmarkStart w:id="11" w:name="_Toc15396598"/>
      <w:bookmarkStart w:id="12" w:name="_Toc15377194"/>
      <w:r>
        <w:rPr>
          <w:rFonts w:hint="eastAsia" w:ascii="方正小标宋简体" w:hAnsi="宋体" w:eastAsia="方正小标宋简体"/>
          <w:color w:val="000000"/>
          <w:sz w:val="72"/>
          <w:szCs w:val="72"/>
        </w:rPr>
        <w:t>四川省阿坝州</w:t>
      </w:r>
      <w:bookmarkEnd w:id="0"/>
      <w:bookmarkStart w:id="13" w:name="_Toc15306268"/>
      <w:r>
        <w:rPr>
          <w:rFonts w:hint="eastAsia" w:ascii="方正小标宋简体" w:hAnsi="宋体" w:eastAsia="方正小标宋简体"/>
          <w:color w:val="000000"/>
          <w:sz w:val="72"/>
          <w:szCs w:val="72"/>
          <w:lang w:val="en-US" w:eastAsia="zh-CN"/>
        </w:rPr>
        <w:t>九寨沟县</w:t>
      </w:r>
      <w:bookmarkEnd w:id="7"/>
      <w:bookmarkStart w:id="14" w:name="_Toc1449"/>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r>
        <w:rPr>
          <w:rFonts w:hint="eastAsia" w:ascii="方正小标宋简体" w:hAnsi="宋体" w:eastAsia="方正小标宋简体"/>
          <w:color w:val="000000"/>
          <w:sz w:val="72"/>
          <w:szCs w:val="72"/>
          <w:lang w:val="en-US" w:eastAsia="zh-CN"/>
        </w:rPr>
        <w:t>城乡居民基本医疗保险</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val="en-US" w:eastAsia="zh-CN"/>
        </w:rPr>
        <w:t>管理办公室</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outlineLvl w:val="0"/>
      </w:pPr>
      <w:bookmarkStart w:id="15" w:name="_Toc9930"/>
      <w:r>
        <w:rPr>
          <w:rFonts w:hint="eastAsia"/>
        </w:rPr>
        <w:t>公开时间：2020年</w:t>
      </w:r>
      <w:r>
        <w:rPr>
          <w:rFonts w:hint="eastAsia"/>
          <w:lang w:val="en-US" w:eastAsia="zh-CN"/>
        </w:rPr>
        <w:t>8</w:t>
      </w:r>
      <w:r>
        <w:rPr>
          <w:rFonts w:hint="eastAsia"/>
        </w:rPr>
        <w:t>月</w:t>
      </w:r>
      <w:r>
        <w:t>25</w:t>
      </w:r>
      <w:r>
        <w:rPr>
          <w:rFonts w:hint="eastAsia"/>
        </w:rPr>
        <w:t>日</w:t>
      </w:r>
      <w:bookmarkEnd w:id="15"/>
    </w:p>
    <w:p/>
    <w:p>
      <w:pPr>
        <w:pStyle w:val="10"/>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_Toc14706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_Toc14706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_Toc24580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_Toc24580 </w:instrText>
      </w:r>
      <w:r>
        <w:fldChar w:fldCharType="separate"/>
      </w:r>
      <w:r>
        <w:t>4</w:t>
      </w:r>
      <w:r>
        <w:fldChar w:fldCharType="end"/>
      </w:r>
      <w:r>
        <w:fldChar w:fldCharType="end"/>
      </w:r>
    </w:p>
    <w:p>
      <w:pPr>
        <w:pStyle w:val="11"/>
        <w:tabs>
          <w:tab w:val="right" w:leader="dot" w:pos="8306"/>
          <w:tab w:val="clear" w:pos="8296"/>
        </w:tabs>
      </w:pPr>
      <w:r>
        <w:fldChar w:fldCharType="begin"/>
      </w:r>
      <w:r>
        <w:instrText xml:space="preserve"> HYPERLINK \l _Toc11437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_Toc11437 </w:instrText>
      </w:r>
      <w:r>
        <w:fldChar w:fldCharType="separate"/>
      </w:r>
      <w:r>
        <w:t>9</w:t>
      </w:r>
      <w:r>
        <w:fldChar w:fldCharType="end"/>
      </w:r>
      <w:r>
        <w:fldChar w:fldCharType="end"/>
      </w:r>
    </w:p>
    <w:p>
      <w:pPr>
        <w:pStyle w:val="10"/>
        <w:tabs>
          <w:tab w:val="right" w:leader="dot" w:pos="8306"/>
          <w:tab w:val="clear" w:pos="8296"/>
        </w:tabs>
      </w:pPr>
      <w:r>
        <w:fldChar w:fldCharType="begin"/>
      </w:r>
      <w:r>
        <w:instrText xml:space="preserve"> HYPERLINK \l _Toc9415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_Toc9415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_Toc1193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_Toc1193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_Toc9512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_Toc9512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_Toc31020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_Toc31020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_Toc25188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_Toc25188 </w:instrText>
      </w:r>
      <w:r>
        <w:fldChar w:fldCharType="separate"/>
      </w:r>
      <w:r>
        <w:t>10</w:t>
      </w:r>
      <w:r>
        <w:fldChar w:fldCharType="end"/>
      </w:r>
      <w:r>
        <w:fldChar w:fldCharType="end"/>
      </w:r>
    </w:p>
    <w:p>
      <w:pPr>
        <w:pStyle w:val="11"/>
        <w:tabs>
          <w:tab w:val="right" w:leader="dot" w:pos="8306"/>
          <w:tab w:val="clear" w:pos="8296"/>
        </w:tabs>
      </w:pPr>
      <w:r>
        <w:fldChar w:fldCharType="begin"/>
      </w:r>
      <w:r>
        <w:instrText xml:space="preserve"> HYPERLINK \l _Toc30193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_Toc30193 </w:instrText>
      </w:r>
      <w:r>
        <w:fldChar w:fldCharType="separate"/>
      </w:r>
      <w:r>
        <w:t>11</w:t>
      </w:r>
      <w:r>
        <w:fldChar w:fldCharType="end"/>
      </w:r>
      <w:r>
        <w:fldChar w:fldCharType="end"/>
      </w:r>
    </w:p>
    <w:p>
      <w:pPr>
        <w:pStyle w:val="11"/>
        <w:tabs>
          <w:tab w:val="right" w:leader="dot" w:pos="8306"/>
          <w:tab w:val="clear" w:pos="8296"/>
        </w:tabs>
      </w:pPr>
      <w:r>
        <w:fldChar w:fldCharType="begin"/>
      </w:r>
      <w:r>
        <w:instrText xml:space="preserve"> HYPERLINK \l _Toc27933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_Toc27933 </w:instrText>
      </w:r>
      <w:r>
        <w:fldChar w:fldCharType="separate"/>
      </w:r>
      <w:r>
        <w:t>12</w:t>
      </w:r>
      <w:r>
        <w:fldChar w:fldCharType="end"/>
      </w:r>
      <w:r>
        <w:fldChar w:fldCharType="end"/>
      </w:r>
    </w:p>
    <w:p>
      <w:pPr>
        <w:pStyle w:val="11"/>
        <w:tabs>
          <w:tab w:val="right" w:leader="dot" w:pos="8306"/>
          <w:tab w:val="clear" w:pos="8296"/>
        </w:tabs>
      </w:pPr>
      <w:r>
        <w:fldChar w:fldCharType="begin"/>
      </w:r>
      <w:r>
        <w:instrText xml:space="preserve"> HYPERLINK \l _Toc16211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_Toc16211 </w:instrText>
      </w:r>
      <w:r>
        <w:fldChar w:fldCharType="separate"/>
      </w:r>
      <w:r>
        <w:t>13</w:t>
      </w:r>
      <w:r>
        <w:fldChar w:fldCharType="end"/>
      </w:r>
      <w:r>
        <w:fldChar w:fldCharType="end"/>
      </w:r>
    </w:p>
    <w:p>
      <w:pPr>
        <w:pStyle w:val="11"/>
        <w:tabs>
          <w:tab w:val="right" w:leader="dot" w:pos="8306"/>
          <w:tab w:val="clear" w:pos="8296"/>
        </w:tabs>
      </w:pPr>
      <w:r>
        <w:fldChar w:fldCharType="begin"/>
      </w:r>
      <w:r>
        <w:instrText xml:space="preserve"> HYPERLINK \l _Toc31216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_Toc31216 </w:instrText>
      </w:r>
      <w:r>
        <w:fldChar w:fldCharType="separate"/>
      </w:r>
      <w:r>
        <w:t>14</w:t>
      </w:r>
      <w:r>
        <w:fldChar w:fldCharType="end"/>
      </w:r>
      <w:r>
        <w:fldChar w:fldCharType="end"/>
      </w:r>
    </w:p>
    <w:p>
      <w:pPr>
        <w:pStyle w:val="11"/>
        <w:tabs>
          <w:tab w:val="right" w:leader="dot" w:pos="8306"/>
          <w:tab w:val="clear" w:pos="8296"/>
        </w:tabs>
      </w:pPr>
      <w:r>
        <w:fldChar w:fldCharType="begin"/>
      </w:r>
      <w:r>
        <w:instrText xml:space="preserve"> HYPERLINK \l _Toc27918 </w:instrText>
      </w:r>
      <w:r>
        <w:fldChar w:fldCharType="separate"/>
      </w:r>
      <w:r>
        <w:rPr>
          <w:rFonts w:hint="eastAsia" w:ascii="黑体" w:hAnsi="黑体" w:eastAsia="黑体"/>
        </w:rPr>
        <w:t>九、 国有资本经营预算支出决算情况说明</w:t>
      </w:r>
      <w:r>
        <w:tab/>
      </w:r>
      <w:r>
        <w:fldChar w:fldCharType="begin"/>
      </w:r>
      <w:r>
        <w:instrText xml:space="preserve"> PAGEREF _Toc27918 </w:instrText>
      </w:r>
      <w:r>
        <w:fldChar w:fldCharType="separate"/>
      </w:r>
      <w:r>
        <w:t>14</w:t>
      </w:r>
      <w:r>
        <w:fldChar w:fldCharType="end"/>
      </w:r>
      <w:r>
        <w:fldChar w:fldCharType="end"/>
      </w:r>
    </w:p>
    <w:p>
      <w:pPr>
        <w:pStyle w:val="11"/>
        <w:tabs>
          <w:tab w:val="right" w:leader="dot" w:pos="8306"/>
          <w:tab w:val="clear" w:pos="8296"/>
        </w:tabs>
      </w:pPr>
      <w:r>
        <w:fldChar w:fldCharType="begin"/>
      </w:r>
      <w:r>
        <w:instrText xml:space="preserve"> HYPERLINK \l _Toc18114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_Toc18114 </w:instrText>
      </w:r>
      <w:r>
        <w:fldChar w:fldCharType="separate"/>
      </w:r>
      <w:r>
        <w:t>14</w:t>
      </w:r>
      <w:r>
        <w:fldChar w:fldCharType="end"/>
      </w:r>
      <w:r>
        <w:fldChar w:fldCharType="end"/>
      </w:r>
    </w:p>
    <w:p>
      <w:pPr>
        <w:pStyle w:val="10"/>
        <w:tabs>
          <w:tab w:val="right" w:leader="dot" w:pos="8306"/>
          <w:tab w:val="clear" w:pos="8296"/>
        </w:tabs>
      </w:pPr>
      <w:r>
        <w:fldChar w:fldCharType="begin"/>
      </w:r>
      <w:r>
        <w:instrText xml:space="preserve"> HYPERLINK \l _Toc3247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_Toc3247 </w:instrText>
      </w:r>
      <w:r>
        <w:fldChar w:fldCharType="separate"/>
      </w:r>
      <w:r>
        <w:t>17</w:t>
      </w:r>
      <w:r>
        <w:fldChar w:fldCharType="end"/>
      </w:r>
      <w:r>
        <w:fldChar w:fldCharType="end"/>
      </w:r>
    </w:p>
    <w:p>
      <w:pPr>
        <w:pStyle w:val="10"/>
        <w:tabs>
          <w:tab w:val="right" w:leader="dot" w:pos="8306"/>
          <w:tab w:val="clear" w:pos="8296"/>
        </w:tabs>
      </w:pPr>
      <w:r>
        <w:fldChar w:fldCharType="begin"/>
      </w:r>
      <w:r>
        <w:instrText xml:space="preserve"> HYPERLINK \l _Toc15678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_Toc15678 </w:instrText>
      </w:r>
      <w:r>
        <w:fldChar w:fldCharType="separate"/>
      </w:r>
      <w:r>
        <w:t>20</w:t>
      </w:r>
      <w:r>
        <w:fldChar w:fldCharType="end"/>
      </w:r>
      <w:r>
        <w:fldChar w:fldCharType="end"/>
      </w:r>
    </w:p>
    <w:p>
      <w:pPr>
        <w:pStyle w:val="10"/>
        <w:tabs>
          <w:tab w:val="right" w:leader="dot" w:pos="8306"/>
          <w:tab w:val="clear" w:pos="8296"/>
        </w:tabs>
      </w:pPr>
      <w:r>
        <w:fldChar w:fldCharType="begin"/>
      </w:r>
      <w:r>
        <w:instrText xml:space="preserve"> HYPERLINK \l _Toc29242 </w:instrText>
      </w:r>
      <w:r>
        <w:fldChar w:fldCharType="separate"/>
      </w:r>
      <w:r>
        <w:rPr>
          <w:rFonts w:hint="eastAsia" w:ascii="黑体" w:hAnsi="黑体" w:eastAsia="黑体" w:cs="黑体"/>
          <w:szCs w:val="32"/>
        </w:rPr>
        <w:t>附件1</w:t>
      </w:r>
      <w:r>
        <w:tab/>
      </w:r>
      <w:r>
        <w:fldChar w:fldCharType="begin"/>
      </w:r>
      <w:r>
        <w:instrText xml:space="preserve"> PAGEREF _Toc29242 </w:instrText>
      </w:r>
      <w:r>
        <w:fldChar w:fldCharType="separate"/>
      </w:r>
      <w:r>
        <w:t>20</w:t>
      </w:r>
      <w:r>
        <w:fldChar w:fldCharType="end"/>
      </w:r>
      <w:r>
        <w:fldChar w:fldCharType="end"/>
      </w:r>
    </w:p>
    <w:p>
      <w:pPr>
        <w:pStyle w:val="10"/>
        <w:tabs>
          <w:tab w:val="right" w:leader="dot" w:pos="8306"/>
          <w:tab w:val="clear" w:pos="8296"/>
        </w:tabs>
        <w:rPr>
          <w:rFonts w:hint="eastAsia" w:eastAsia="仿宋"/>
          <w:lang w:val="en-US" w:eastAsia="zh-CN"/>
        </w:rPr>
      </w:pPr>
      <w:r>
        <w:fldChar w:fldCharType="begin"/>
      </w:r>
      <w:r>
        <w:instrText xml:space="preserve"> HYPERLINK \l _Toc29242 </w:instrText>
      </w:r>
      <w:r>
        <w:fldChar w:fldCharType="separate"/>
      </w:r>
      <w:r>
        <w:rPr>
          <w:rFonts w:hint="eastAsia" w:ascii="黑体" w:hAnsi="黑体" w:eastAsia="黑体" w:cs="黑体"/>
          <w:szCs w:val="32"/>
        </w:rPr>
        <w:t>附件</w:t>
      </w:r>
      <w:r>
        <w:rPr>
          <w:rFonts w:hint="eastAsia" w:ascii="黑体" w:hAnsi="黑体" w:eastAsia="黑体" w:cs="黑体"/>
          <w:szCs w:val="32"/>
          <w:lang w:val="en-US" w:eastAsia="zh-CN"/>
        </w:rPr>
        <w:t>2</w:t>
      </w:r>
      <w:r>
        <w:tab/>
      </w:r>
      <w:r>
        <w:rPr>
          <w:rFonts w:hint="eastAsia"/>
          <w:lang w:val="en-US" w:eastAsia="zh-CN"/>
        </w:rPr>
        <w:t>2</w:t>
      </w:r>
      <w:r>
        <w:fldChar w:fldCharType="end"/>
      </w:r>
      <w:r>
        <w:rPr>
          <w:rFonts w:hint="eastAsia"/>
          <w:lang w:val="en-US" w:eastAsia="zh-CN"/>
        </w:rPr>
        <w:t>5</w:t>
      </w:r>
    </w:p>
    <w:p>
      <w:pPr>
        <w:pStyle w:val="10"/>
        <w:tabs>
          <w:tab w:val="right" w:leader="dot" w:pos="8306"/>
          <w:tab w:val="clear" w:pos="8296"/>
        </w:tabs>
      </w:pPr>
      <w:r>
        <w:fldChar w:fldCharType="begin"/>
      </w:r>
      <w:r>
        <w:instrText xml:space="preserve"> HYPERLINK \l _Toc22077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_Toc22077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_Toc23684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_Toc23684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_Toc16684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_Toc16684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_Toc16747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_Toc16747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_Toc14327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_Toc14327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_Toc10408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_Toc10408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_Toc27398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_Toc27398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_Toc29260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_Toc29260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_Toc3651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_Toc3651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_Toc3637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_Toc3637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_Toc5965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_Toc5965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_Toc5102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_Toc5102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_Toc32319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_Toc32319 </w:instrText>
      </w:r>
      <w:r>
        <w:fldChar w:fldCharType="separate"/>
      </w:r>
      <w:r>
        <w:t>30</w:t>
      </w:r>
      <w:r>
        <w:fldChar w:fldCharType="end"/>
      </w:r>
      <w:r>
        <w:fldChar w:fldCharType="end"/>
      </w:r>
    </w:p>
    <w:p>
      <w:pPr>
        <w:pStyle w:val="11"/>
        <w:tabs>
          <w:tab w:val="right" w:leader="dot" w:pos="8306"/>
          <w:tab w:val="clear" w:pos="8296"/>
        </w:tabs>
      </w:pPr>
      <w:r>
        <w:fldChar w:fldCharType="begin"/>
      </w:r>
      <w:r>
        <w:instrText xml:space="preserve"> HYPERLINK \l _Toc26335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_Toc26335 </w:instrText>
      </w:r>
      <w:r>
        <w:fldChar w:fldCharType="separate"/>
      </w:r>
      <w:r>
        <w:t>30</w:t>
      </w:r>
      <w:r>
        <w:fldChar w:fldCharType="end"/>
      </w:r>
      <w:r>
        <w:fldChar w:fldCharType="end"/>
      </w:r>
    </w:p>
    <w:p/>
    <w:p/>
    <w:p/>
    <w:p/>
    <w:p/>
    <w:p/>
    <w:p/>
    <w:p/>
    <w:p/>
    <w:p/>
    <w:p/>
    <w:p/>
    <w:p/>
    <w:p/>
    <w:p/>
    <w:p/>
    <w:p/>
    <w:p/>
    <w:p/>
    <w:p/>
    <w:p/>
    <w:p/>
    <w:p/>
    <w:p/>
    <w:p/>
    <w:p/>
    <w:p/>
    <w:p/>
    <w:p/>
    <w:p/>
    <w:p/>
    <w:p/>
    <w:p/>
    <w:p/>
    <w:p/>
    <w:p/>
    <w:p>
      <w:r>
        <w:fldChar w:fldCharType="end"/>
      </w:r>
    </w:p>
    <w:p>
      <w:pPr>
        <w:pStyle w:val="2"/>
        <w:jc w:val="center"/>
        <w:rPr>
          <w:rStyle w:val="24"/>
          <w:rFonts w:ascii="黑体" w:hAnsi="黑体" w:eastAsia="黑体"/>
          <w:b/>
          <w:bCs w:val="0"/>
        </w:rPr>
      </w:pPr>
      <w:bookmarkStart w:id="16" w:name="_Toc15396599"/>
      <w:bookmarkStart w:id="17" w:name="_Toc15377196"/>
      <w:bookmarkStart w:id="18" w:name="_Toc14706"/>
      <w:r>
        <w:rPr>
          <w:rFonts w:hint="eastAsia" w:ascii="黑体" w:hAnsi="黑体" w:eastAsia="黑体"/>
          <w:b w:val="0"/>
        </w:rPr>
        <w:t xml:space="preserve">第一部分 </w:t>
      </w:r>
      <w:r>
        <w:rPr>
          <w:rStyle w:val="24"/>
          <w:rFonts w:hint="eastAsia" w:ascii="黑体" w:hAnsi="黑体" w:eastAsia="黑体"/>
          <w:b w:val="0"/>
          <w:bCs w:val="0"/>
        </w:rPr>
        <w:t>部门概况</w:t>
      </w:r>
      <w:bookmarkEnd w:id="16"/>
      <w:bookmarkEnd w:id="17"/>
      <w:bookmarkEnd w:id="18"/>
    </w:p>
    <w:p>
      <w:pPr>
        <w:widowControl/>
        <w:jc w:val="left"/>
        <w:rPr>
          <w:rFonts w:ascii="黑体" w:eastAsia="黑体"/>
          <w:color w:val="000000"/>
          <w:sz w:val="32"/>
          <w:szCs w:val="32"/>
        </w:rPr>
      </w:pPr>
    </w:p>
    <w:p>
      <w:pPr>
        <w:pStyle w:val="3"/>
        <w:rPr>
          <w:rStyle w:val="25"/>
          <w:rFonts w:ascii="仿宋" w:hAnsi="仿宋" w:eastAsia="仿宋"/>
          <w:b w:val="0"/>
          <w:bCs w:val="0"/>
        </w:rPr>
      </w:pPr>
      <w:bookmarkStart w:id="19" w:name="_Toc15377197"/>
      <w:bookmarkStart w:id="20" w:name="_Toc15396600"/>
      <w:bookmarkStart w:id="21" w:name="_Toc2458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9"/>
      <w:bookmarkEnd w:id="20"/>
      <w:bookmarkEnd w:id="21"/>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2" w:name="_Toc15378445"/>
      <w:bookmarkStart w:id="23" w:name="_Toc15377198"/>
      <w:r>
        <w:rPr>
          <w:rFonts w:hint="eastAsia" w:ascii="仿宋" w:hAnsi="仿宋" w:eastAsia="仿宋"/>
          <w:bCs/>
          <w:color w:val="000000"/>
          <w:sz w:val="32"/>
          <w:szCs w:val="32"/>
        </w:rPr>
        <w:t>（一）主要职能。</w:t>
      </w:r>
      <w:bookmarkEnd w:id="22"/>
      <w:bookmarkEnd w:id="23"/>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 xml:space="preserve">1.贯彻落实全县城乡居民基本医疗保险、医疗救助等医疗保障法律法规，并组织实施。 </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2.负责全县城乡居民基本医疗保险基金及医疗救助基金的管理和使用。</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3.负责全县城乡居民基本医疗保险参保筹资工作。</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4.负责全县城乡居民参保患者医疗费用的审核结算工作，负责全县城乡居民参保患者门诊特殊疾病的审批认定工作。</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5.编制城乡居民基本医疗保险、医疗救助基金收支预、决算报告，定期对基金收支情况进行分析、预测，并向有关部门提供基金运行情况报告。</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6.负责城乡居民基本医疗保险、医疗救助基金财务会计报表、统计报表的汇总上报分析工作</w:t>
      </w:r>
      <w:r>
        <w:rPr>
          <w:rFonts w:hint="eastAsia" w:ascii="仿宋" w:hAnsi="仿宋" w:eastAsia="仿宋"/>
          <w:bCs/>
          <w:color w:val="000000"/>
          <w:sz w:val="32"/>
          <w:szCs w:val="32"/>
        </w:rPr>
        <w:t xml:space="preserve">   </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bookmarkStart w:id="24" w:name="_Toc15378446"/>
      <w:bookmarkStart w:id="25"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4"/>
      <w:bookmarkEnd w:id="25"/>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①</w:t>
      </w:r>
      <w:r>
        <w:rPr>
          <w:rFonts w:hint="eastAsia" w:ascii="仿宋" w:hAnsi="仿宋" w:eastAsia="仿宋"/>
          <w:bCs/>
          <w:color w:val="000000"/>
          <w:sz w:val="32"/>
          <w:szCs w:val="32"/>
        </w:rPr>
        <w:t>参保基本情况。2019年全县城乡居民基本医疗保险参保51221人，超额完成州级下达的50800人目标任务。</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②</w:t>
      </w:r>
      <w:r>
        <w:rPr>
          <w:rFonts w:hint="eastAsia" w:ascii="仿宋" w:hAnsi="仿宋" w:eastAsia="仿宋"/>
          <w:bCs/>
          <w:color w:val="000000"/>
          <w:sz w:val="32"/>
          <w:szCs w:val="32"/>
        </w:rPr>
        <w:t>医保基金运行情况。2019年全县城乡居民基本医疗保险共收入3704.67万元（其中自筹955.14万元），支出1903.49万元（待遇享受人次：8364人次）。</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③</w:t>
      </w:r>
      <w:r>
        <w:rPr>
          <w:rFonts w:hint="eastAsia" w:ascii="仿宋" w:hAnsi="仿宋" w:eastAsia="仿宋"/>
          <w:bCs/>
          <w:color w:val="000000"/>
          <w:sz w:val="32"/>
          <w:szCs w:val="32"/>
        </w:rPr>
        <w:t>医疗救助资金运行情况。2019年全县医疗救助基金收入1535.81万元（其中民政移交984.16万元），支出403.71万元（待遇享受人次：2249人次），累计结余1132.10万元。预计医疗救助代缴保费70万元、12月待遇支出300万元。</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eastAsia="zh-CN"/>
        </w:rPr>
        <w:t>④</w:t>
      </w:r>
      <w:r>
        <w:rPr>
          <w:rFonts w:hint="eastAsia" w:ascii="仿宋" w:hAnsi="仿宋" w:eastAsia="仿宋"/>
          <w:bCs/>
          <w:color w:val="000000"/>
          <w:sz w:val="32"/>
          <w:szCs w:val="32"/>
        </w:rPr>
        <w:t>提高</w:t>
      </w:r>
      <w:r>
        <w:rPr>
          <w:rFonts w:hint="eastAsia" w:ascii="仿宋" w:hAnsi="仿宋" w:eastAsia="仿宋"/>
          <w:bCs/>
          <w:color w:val="000000"/>
          <w:sz w:val="32"/>
          <w:szCs w:val="32"/>
          <w:lang w:val="en-US" w:eastAsia="zh-CN"/>
        </w:rPr>
        <w:t>了</w:t>
      </w:r>
      <w:r>
        <w:rPr>
          <w:rFonts w:hint="eastAsia" w:ascii="仿宋" w:hAnsi="仿宋" w:eastAsia="仿宋"/>
          <w:bCs/>
          <w:color w:val="000000"/>
          <w:sz w:val="32"/>
          <w:szCs w:val="32"/>
        </w:rPr>
        <w:t>医保扶贫实效。</w:t>
      </w:r>
    </w:p>
    <w:p>
      <w:pPr>
        <w:pStyle w:val="3"/>
        <w:rPr>
          <w:rStyle w:val="25"/>
          <w:b w:val="0"/>
          <w:bCs w:val="0"/>
        </w:rPr>
      </w:pPr>
      <w:bookmarkStart w:id="26" w:name="_Toc15377200"/>
      <w:bookmarkStart w:id="27" w:name="_Toc15396601"/>
      <w:bookmarkStart w:id="28" w:name="_Toc11437"/>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6"/>
      <w:bookmarkEnd w:id="27"/>
      <w:bookmarkEnd w:id="28"/>
    </w:p>
    <w:p>
      <w:pPr>
        <w:ind w:firstLine="800" w:firstLineChars="250"/>
        <w:rPr>
          <w:rFonts w:ascii="仿宋" w:hAnsi="仿宋" w:eastAsia="仿宋"/>
          <w:sz w:val="32"/>
          <w:szCs w:val="32"/>
        </w:rPr>
      </w:pPr>
      <w:r>
        <w:rPr>
          <w:rFonts w:hint="eastAsia" w:ascii="仿宋" w:hAnsi="仿宋" w:eastAsia="仿宋"/>
          <w:sz w:val="32"/>
          <w:szCs w:val="32"/>
          <w:lang w:val="en-US" w:eastAsia="zh-CN"/>
        </w:rPr>
        <w:t>九寨沟县城乡居民基本医疗保险服务中心是九寨沟县医疗保障局所属全额拨款公益一类副科级事业单位。</w:t>
      </w:r>
    </w:p>
    <w:p>
      <w:pPr>
        <w:rPr>
          <w:rFonts w:ascii="仿宋" w:hAnsi="仿宋" w:eastAsia="仿宋"/>
          <w:color w:val="000000"/>
          <w:kern w:val="0"/>
          <w:sz w:val="32"/>
          <w:szCs w:val="32"/>
        </w:rPr>
      </w:pPr>
      <w:r>
        <w:rPr>
          <w:rFonts w:ascii="仿宋" w:hAnsi="仿宋" w:eastAsia="仿宋"/>
          <w:color w:val="000000"/>
          <w:kern w:val="0"/>
          <w:sz w:val="32"/>
          <w:szCs w:val="32"/>
        </w:rPr>
        <w:br w:type="page"/>
      </w:r>
    </w:p>
    <w:p>
      <w:pPr>
        <w:pStyle w:val="2"/>
        <w:ind w:right="440"/>
        <w:jc w:val="right"/>
        <w:rPr>
          <w:rStyle w:val="24"/>
          <w:rFonts w:ascii="黑体" w:hAnsi="黑体" w:eastAsia="黑体"/>
          <w:b w:val="0"/>
          <w:bCs w:val="0"/>
        </w:rPr>
      </w:pPr>
      <w:bookmarkStart w:id="29" w:name="_Toc9415"/>
      <w:bookmarkStart w:id="30" w:name="_Toc15396602"/>
      <w:bookmarkStart w:id="3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9"/>
      <w:bookmarkEnd w:id="30"/>
      <w:bookmarkEnd w:id="31"/>
    </w:p>
    <w:p/>
    <w:p>
      <w:pPr>
        <w:pStyle w:val="23"/>
        <w:numPr>
          <w:ilvl w:val="0"/>
          <w:numId w:val="1"/>
        </w:numPr>
        <w:spacing w:line="600" w:lineRule="exact"/>
        <w:ind w:firstLineChars="0"/>
        <w:outlineLvl w:val="1"/>
        <w:rPr>
          <w:rStyle w:val="25"/>
          <w:rFonts w:ascii="黑体" w:hAnsi="黑体" w:eastAsia="黑体"/>
          <w:b w:val="0"/>
        </w:rPr>
      </w:pPr>
      <w:bookmarkStart w:id="32" w:name="_Toc15396603"/>
      <w:bookmarkStart w:id="33" w:name="_Toc15377205"/>
      <w:bookmarkStart w:id="34" w:name="_Toc119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2"/>
      <w:bookmarkEnd w:id="33"/>
      <w:bookmarkEnd w:id="34"/>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总计107.70万元</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各</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219.90</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112.20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财政对城乡居民基本医疗保险的补助资金减少。</w:t>
      </w:r>
    </w:p>
    <w:p>
      <w:pPr>
        <w:spacing w:line="600" w:lineRule="exact"/>
        <w:ind w:firstLine="640" w:firstLineChars="200"/>
        <w:jc w:val="left"/>
        <w:rPr>
          <w:rFonts w:ascii="仿宋_GB2312" w:eastAsia="仿宋_GB2312"/>
          <w:color w:val="00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35" w:name="_Toc15396604"/>
      <w:bookmarkStart w:id="36" w:name="_Toc15377206"/>
      <w:bookmarkStart w:id="37" w:name="_Toc9512"/>
      <w:r>
        <w:rPr>
          <w:rFonts w:hint="eastAsia" w:ascii="黑体" w:hAnsi="黑体" w:eastAsia="黑体"/>
          <w:color w:val="000000"/>
          <w:sz w:val="32"/>
          <w:szCs w:val="32"/>
        </w:rPr>
        <w:t>收</w:t>
      </w:r>
      <w:r>
        <w:rPr>
          <w:rStyle w:val="25"/>
          <w:rFonts w:hint="eastAsia" w:ascii="黑体" w:hAnsi="黑体" w:eastAsia="黑体"/>
          <w:b w:val="0"/>
        </w:rPr>
        <w:t>入决算情况说明</w:t>
      </w:r>
      <w:bookmarkEnd w:id="35"/>
      <w:bookmarkEnd w:id="36"/>
      <w:bookmarkEnd w:id="37"/>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38" w:name="_Toc15377207"/>
      <w:bookmarkStart w:id="39" w:name="_Toc31020"/>
      <w:bookmarkStart w:id="40"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38"/>
      <w:bookmarkEnd w:id="39"/>
      <w:bookmarkEnd w:id="40"/>
    </w:p>
    <w:p>
      <w:pPr>
        <w:spacing w:line="600" w:lineRule="exact"/>
        <w:ind w:firstLine="640" w:firstLineChars="200"/>
        <w:outlineLvl w:val="1"/>
        <w:rPr>
          <w:rFonts w:ascii="仿宋" w:hAnsi="仿宋" w:eastAsia="仿宋"/>
          <w:color w:val="000000"/>
          <w:sz w:val="32"/>
          <w:szCs w:val="32"/>
        </w:rPr>
      </w:pPr>
      <w:bookmarkStart w:id="41" w:name="_Toc15049"/>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bookmarkEnd w:id="41"/>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2" w:name="_Toc15396606"/>
      <w:bookmarkStart w:id="43" w:name="_Toc25188"/>
      <w:bookmarkStart w:id="44"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2"/>
      <w:bookmarkEnd w:id="43"/>
      <w:bookmarkEnd w:id="44"/>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入总计107.70万元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219.90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w:t>
      </w:r>
      <w:r>
        <w:rPr>
          <w:rFonts w:hint="eastAsia" w:ascii="仿宋" w:hAnsi="仿宋" w:eastAsia="仿宋"/>
          <w:color w:val="000000"/>
          <w:sz w:val="32"/>
          <w:szCs w:val="32"/>
        </w:rPr>
        <w:t>降</w:t>
      </w:r>
      <w:r>
        <w:rPr>
          <w:rFonts w:hint="eastAsia" w:ascii="仿宋" w:hAnsi="仿宋" w:eastAsia="仿宋"/>
          <w:color w:val="000000"/>
          <w:sz w:val="32"/>
          <w:szCs w:val="32"/>
          <w:lang w:val="en-US" w:eastAsia="zh-CN"/>
        </w:rPr>
        <w:t>112.20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:财政对城乡居民基本医疗保险的补助资金减少。</w:t>
      </w:r>
    </w:p>
    <w:p>
      <w:pPr>
        <w:spacing w:line="600" w:lineRule="exact"/>
        <w:ind w:firstLine="640"/>
        <w:rPr>
          <w:rFonts w:ascii="仿宋" w:hAnsi="仿宋" w:eastAsia="仿宋"/>
          <w:color w:val="000000"/>
          <w:sz w:val="32"/>
          <w:szCs w:val="32"/>
        </w:rPr>
      </w:pPr>
    </w:p>
    <w:p>
      <w:pPr>
        <w:spacing w:line="600" w:lineRule="exact"/>
        <w:ind w:firstLine="640" w:firstLineChars="200"/>
        <w:outlineLvl w:val="1"/>
        <w:rPr>
          <w:rStyle w:val="25"/>
          <w:rFonts w:ascii="黑体" w:hAnsi="黑体" w:eastAsia="黑体"/>
          <w:b w:val="0"/>
        </w:rPr>
      </w:pPr>
      <w:bookmarkStart w:id="45" w:name="_Toc15377209"/>
      <w:bookmarkStart w:id="46" w:name="_Toc15396607"/>
      <w:bookmarkStart w:id="47" w:name="_Toc3019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5"/>
      <w:bookmarkEnd w:id="46"/>
      <w:bookmarkEnd w:id="47"/>
    </w:p>
    <w:p>
      <w:pPr>
        <w:spacing w:line="600" w:lineRule="exact"/>
        <w:ind w:firstLine="643" w:firstLineChars="200"/>
        <w:outlineLvl w:val="2"/>
        <w:rPr>
          <w:rFonts w:ascii="仿宋" w:hAnsi="仿宋" w:eastAsia="仿宋"/>
          <w:b/>
          <w:color w:val="000000"/>
          <w:sz w:val="32"/>
          <w:szCs w:val="32"/>
        </w:rPr>
      </w:pPr>
      <w:bookmarkStart w:id="48" w:name="_Toc15377210"/>
      <w:r>
        <w:rPr>
          <w:rFonts w:hint="eastAsia" w:ascii="仿宋" w:hAnsi="仿宋" w:eastAsia="仿宋"/>
          <w:b/>
          <w:color w:val="000000"/>
          <w:sz w:val="32"/>
          <w:szCs w:val="32"/>
        </w:rPr>
        <w:t>（一）一般公共预算财政拨款支出决算总体情况</w:t>
      </w:r>
      <w:bookmarkEnd w:id="48"/>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219.90</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112.20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:财政对城乡居民基本医疗保险的补助资金减少。</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49" w:name="_Toc15377211"/>
      <w:r>
        <w:rPr>
          <w:rFonts w:hint="eastAsia" w:ascii="仿宋" w:hAnsi="仿宋" w:eastAsia="仿宋"/>
          <w:b/>
          <w:color w:val="000000"/>
          <w:sz w:val="32"/>
          <w:szCs w:val="32"/>
        </w:rPr>
        <w:t>（二）一般公共预算财政拨款支出决算结构情况</w:t>
      </w:r>
      <w:bookmarkEnd w:id="4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107.70</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92.88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86.24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6.12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5.68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color w:val="000000" w:themeColor="text1"/>
          <w:sz w:val="32"/>
          <w:szCs w:val="32"/>
          <w:lang w:val="en-US" w:eastAsia="zh-CN"/>
          <w14:textFill>
            <w14:solidFill>
              <w14:schemeClr w14:val="tx1"/>
            </w14:solidFill>
          </w14:textFill>
        </w:rPr>
        <w:t>8.70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8.08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0" w:name="_Toc15377212"/>
      <w:r>
        <w:rPr>
          <w:rFonts w:hint="eastAsia" w:ascii="仿宋" w:hAnsi="仿宋" w:eastAsia="仿宋"/>
          <w:b/>
          <w:color w:val="000000"/>
          <w:sz w:val="32"/>
          <w:szCs w:val="32"/>
        </w:rPr>
        <w:t>（三）一般公共预算财政拨款支出决算具体情况</w:t>
      </w:r>
      <w:bookmarkEnd w:id="50"/>
    </w:p>
    <w:p>
      <w:pPr>
        <w:spacing w:line="600" w:lineRule="exact"/>
        <w:ind w:firstLine="643" w:firstLineChars="200"/>
        <w:outlineLvl w:val="2"/>
        <w:rPr>
          <w:rFonts w:ascii="仿宋" w:hAnsi="仿宋" w:eastAsia="仿宋"/>
          <w:color w:val="FF0000"/>
          <w:sz w:val="32"/>
          <w:szCs w:val="32"/>
        </w:rPr>
      </w:pPr>
      <w:bookmarkStart w:id="51" w:name="_Toc15377444"/>
      <w:bookmarkStart w:id="52" w:name="_Toc15378460"/>
      <w:bookmarkStart w:id="53" w:name="_Toc15377213"/>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107.70万元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51"/>
      <w:bookmarkEnd w:id="52"/>
      <w:bookmarkEnd w:id="53"/>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人力资源和社会保障管理事务</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社会保险经办机构</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83.97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Cs/>
          <w:color w:val="000000"/>
          <w:sz w:val="32"/>
          <w:szCs w:val="32"/>
        </w:rPr>
        <w:t>社会保障和就业（</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05</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8.91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02</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5.08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11</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其他行政事业单位医疗支出</w:t>
      </w:r>
      <w:r>
        <w:rPr>
          <w:rStyle w:val="14"/>
          <w:rFonts w:hint="eastAsia" w:ascii="仿宋" w:hAnsi="仿宋" w:eastAsia="仿宋"/>
          <w:bCs/>
          <w:color w:val="000000"/>
          <w:sz w:val="32"/>
          <w:szCs w:val="32"/>
        </w:rPr>
        <w:t>（</w:t>
      </w:r>
      <w:r>
        <w:rPr>
          <w:rStyle w:val="14"/>
          <w:rFonts w:hint="eastAsia" w:ascii="仿宋" w:hAnsi="仿宋" w:eastAsia="仿宋"/>
          <w:bCs/>
          <w:color w:val="000000"/>
          <w:sz w:val="32"/>
          <w:szCs w:val="32"/>
          <w:lang w:val="en-US" w:eastAsia="zh-CN"/>
        </w:rPr>
        <w:t>99</w:t>
      </w:r>
      <w:r>
        <w:rPr>
          <w:rStyle w:val="14"/>
          <w:rFonts w:hint="eastAsia" w:ascii="仿宋" w:hAnsi="仿宋" w:eastAsia="仿宋"/>
          <w:bCs/>
          <w:color w:val="000000"/>
          <w:sz w:val="32"/>
          <w:szCs w:val="32"/>
        </w:rPr>
        <w:t>）</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1.04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FF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Fonts w:hint="eastAsia" w:ascii="仿宋_GB2312" w:eastAsia="仿宋_GB2312"/>
          <w:b/>
          <w:color w:val="000000"/>
          <w:sz w:val="32"/>
          <w:szCs w:val="32"/>
        </w:rPr>
        <w:t>住房保障支出（221）住房改革支出（02）住房公积金</w:t>
      </w:r>
      <w:r>
        <w:rPr>
          <w:rFonts w:hint="eastAsia" w:ascii="仿宋_GB2312" w:hAnsi="仿宋" w:eastAsia="仿宋_GB2312"/>
          <w:b/>
          <w:color w:val="000000"/>
          <w:sz w:val="32"/>
          <w:szCs w:val="32"/>
        </w:rPr>
        <w:t>（01）：</w:t>
      </w:r>
      <w:r>
        <w:rPr>
          <w:rFonts w:hint="eastAsia" w:ascii="仿宋_GB2312" w:hAnsi="仿宋" w:eastAsia="仿宋_GB2312"/>
          <w:color w:val="000000"/>
          <w:sz w:val="32"/>
          <w:szCs w:val="32"/>
        </w:rPr>
        <w:t>支出决算数为</w:t>
      </w:r>
      <w:r>
        <w:rPr>
          <w:rFonts w:hint="eastAsia" w:ascii="仿宋_GB2312" w:hAnsi="仿宋" w:eastAsia="仿宋_GB2312"/>
          <w:color w:val="000000"/>
          <w:sz w:val="32"/>
          <w:szCs w:val="32"/>
          <w:lang w:val="en-US" w:eastAsia="zh-CN"/>
        </w:rPr>
        <w:t>8.70</w:t>
      </w:r>
      <w:r>
        <w:rPr>
          <w:rFonts w:hint="eastAsia" w:ascii="仿宋_GB2312" w:hAnsi="仿宋" w:eastAsia="仿宋_GB2312"/>
          <w:color w:val="000000"/>
          <w:sz w:val="32"/>
          <w:szCs w:val="32"/>
        </w:rPr>
        <w:t>万元，完成预算100%</w:t>
      </w:r>
      <w:r>
        <w:rPr>
          <w:rFonts w:hint="eastAsia" w:ascii="仿宋_GB2312" w:hAnsi="仿宋" w:eastAsia="仿宋_GB2312"/>
          <w:color w:val="000000"/>
          <w:sz w:val="32"/>
          <w:szCs w:val="32"/>
          <w:lang w:eastAsia="zh-CN"/>
        </w:rPr>
        <w:t>；</w:t>
      </w:r>
      <w:r>
        <w:rPr>
          <w:rStyle w:val="14"/>
          <w:rFonts w:hint="eastAsia" w:ascii="仿宋_GB2312" w:hAnsi="仿宋" w:eastAsia="仿宋_GB2312"/>
          <w:b w:val="0"/>
          <w:bCs/>
          <w:color w:val="000000"/>
          <w:sz w:val="32"/>
          <w:szCs w:val="32"/>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5"/>
        </w:rPr>
      </w:pPr>
      <w:bookmarkStart w:id="54" w:name="_Toc15396608"/>
      <w:bookmarkStart w:id="55" w:name="_Toc27933"/>
      <w:bookmarkStart w:id="5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4"/>
      <w:bookmarkEnd w:id="55"/>
      <w:bookmarkEnd w:id="56"/>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107.70</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99.72</w:t>
      </w:r>
      <w:r>
        <w:rPr>
          <w:rFonts w:hint="eastAsia" w:ascii="仿宋" w:hAnsi="仿宋" w:eastAsia="仿宋"/>
          <w:color w:val="000000"/>
          <w:sz w:val="32"/>
          <w:szCs w:val="32"/>
        </w:rPr>
        <w:t>万元，主要包括：基本工资、津贴补贴、奖金、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职工基本医疗保险缴费、公务员医疗补助缴费、</w:t>
      </w:r>
      <w:r>
        <w:rPr>
          <w:rFonts w:hint="eastAsia" w:ascii="仿宋" w:hAnsi="仿宋" w:eastAsia="仿宋"/>
          <w:color w:val="000000"/>
          <w:sz w:val="32"/>
          <w:szCs w:val="32"/>
        </w:rPr>
        <w:t>其他社会保障缴费、住房公积金等。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7.98</w:t>
      </w:r>
      <w:r>
        <w:rPr>
          <w:rFonts w:hint="eastAsia" w:ascii="仿宋" w:hAnsi="仿宋" w:eastAsia="仿宋"/>
          <w:color w:val="000000"/>
          <w:sz w:val="32"/>
          <w:szCs w:val="32"/>
        </w:rPr>
        <w:t>万元，主要包括：办公费、邮电费、</w:t>
      </w:r>
      <w:r>
        <w:rPr>
          <w:rFonts w:hint="eastAsia" w:ascii="仿宋" w:hAnsi="仿宋" w:eastAsia="仿宋"/>
          <w:color w:val="000000"/>
          <w:sz w:val="32"/>
          <w:szCs w:val="32"/>
          <w:lang w:val="en-US" w:eastAsia="zh-CN"/>
        </w:rPr>
        <w:t>差旅费、工会经费、其他交通费用</w:t>
      </w:r>
      <w:r>
        <w:rPr>
          <w:rFonts w:hint="eastAsia" w:ascii="仿宋" w:hAnsi="仿宋" w:eastAsia="仿宋"/>
          <w:color w:val="000000"/>
          <w:sz w:val="32"/>
          <w:szCs w:val="32"/>
        </w:rPr>
        <w:t>等。</w:t>
      </w:r>
    </w:p>
    <w:p>
      <w:pPr>
        <w:spacing w:line="600" w:lineRule="exact"/>
        <w:ind w:firstLine="640"/>
        <w:outlineLvl w:val="1"/>
        <w:rPr>
          <w:rStyle w:val="25"/>
          <w:rFonts w:ascii="黑体" w:hAnsi="黑体" w:eastAsia="黑体"/>
          <w:b w:val="0"/>
        </w:rPr>
      </w:pPr>
      <w:bookmarkStart w:id="57" w:name="_Toc15377215"/>
      <w:bookmarkStart w:id="58" w:name="_Toc15396609"/>
      <w:bookmarkStart w:id="59" w:name="_Toc16211"/>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57"/>
      <w:bookmarkEnd w:id="58"/>
      <w:bookmarkEnd w:id="59"/>
    </w:p>
    <w:p>
      <w:pPr>
        <w:spacing w:line="600" w:lineRule="exact"/>
        <w:ind w:firstLine="640"/>
        <w:outlineLvl w:val="2"/>
        <w:rPr>
          <w:rFonts w:ascii="仿宋" w:hAnsi="仿宋" w:eastAsia="仿宋"/>
          <w:b/>
          <w:color w:val="000000"/>
          <w:sz w:val="32"/>
          <w:szCs w:val="32"/>
        </w:rPr>
      </w:pPr>
      <w:bookmarkStart w:id="60" w:name="_Toc15377216"/>
      <w:r>
        <w:rPr>
          <w:rFonts w:hint="eastAsia" w:ascii="仿宋" w:hAnsi="仿宋" w:eastAsia="仿宋"/>
          <w:b/>
          <w:color w:val="000000"/>
          <w:sz w:val="32"/>
          <w:szCs w:val="32"/>
        </w:rPr>
        <w:t>（一）“三公”经费财政拨款支出决算总体情况说明</w:t>
      </w:r>
      <w:bookmarkEnd w:id="6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1" w:name="_Toc15377217"/>
      <w:r>
        <w:rPr>
          <w:rFonts w:hint="eastAsia" w:ascii="仿宋" w:hAnsi="仿宋" w:eastAsia="仿宋"/>
          <w:b/>
          <w:color w:val="000000"/>
          <w:sz w:val="32"/>
          <w:szCs w:val="32"/>
        </w:rPr>
        <w:t>（二）“三公”经费财政拨款支出决算具体情况说明</w:t>
      </w:r>
      <w:bookmarkEnd w:id="61"/>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9"/>
        <w:rPr>
          <w:rFonts w:ascii="黑体" w:eastAsia="黑体"/>
          <w:color w:val="000000"/>
          <w:sz w:val="32"/>
          <w:szCs w:val="32"/>
        </w:rPr>
      </w:pPr>
      <w:bookmarkStart w:id="62" w:name="_Toc15396610"/>
      <w:bookmarkStart w:id="63" w:name="_Toc15377218"/>
    </w:p>
    <w:p>
      <w:pPr>
        <w:spacing w:line="600" w:lineRule="exact"/>
        <w:ind w:firstLine="640"/>
        <w:outlineLvl w:val="1"/>
        <w:rPr>
          <w:rStyle w:val="25"/>
          <w:rFonts w:ascii="黑体" w:hAnsi="黑体" w:eastAsia="黑体"/>
        </w:rPr>
      </w:pPr>
      <w:bookmarkStart w:id="64" w:name="_Toc31216"/>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65" w:name="_Toc15377219"/>
      <w:bookmarkStart w:id="66" w:name="_Toc15396611"/>
      <w:bookmarkStart w:id="67" w:name="_Toc27918"/>
      <w:r>
        <w:rPr>
          <w:rStyle w:val="25"/>
          <w:rFonts w:hint="eastAsia" w:ascii="黑体" w:hAnsi="黑体" w:eastAsia="黑体"/>
          <w:b w:val="0"/>
        </w:rPr>
        <w:t>国有资本经营预算支出决算情况说明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68" w:name="_Toc15396612"/>
      <w:bookmarkStart w:id="69" w:name="_Toc18114"/>
      <w:bookmarkStart w:id="70"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68"/>
      <w:bookmarkEnd w:id="69"/>
      <w:bookmarkEnd w:id="70"/>
    </w:p>
    <w:p>
      <w:pPr>
        <w:spacing w:line="600" w:lineRule="exact"/>
        <w:ind w:firstLine="643" w:firstLineChars="200"/>
        <w:outlineLvl w:val="2"/>
        <w:rPr>
          <w:rFonts w:ascii="仿宋" w:hAnsi="仿宋" w:eastAsia="仿宋"/>
          <w:color w:val="000000"/>
          <w:sz w:val="32"/>
          <w:szCs w:val="32"/>
        </w:rPr>
      </w:pPr>
      <w:bookmarkStart w:id="71" w:name="_Toc15377222"/>
      <w:r>
        <w:rPr>
          <w:rFonts w:hint="eastAsia" w:ascii="仿宋" w:hAnsi="仿宋" w:eastAsia="仿宋"/>
          <w:b/>
          <w:color w:val="000000"/>
          <w:sz w:val="32"/>
          <w:szCs w:val="32"/>
        </w:rPr>
        <w:t>（一）机关运行经费支出情况</w:t>
      </w:r>
      <w:bookmarkEnd w:id="71"/>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九寨沟县城乡居民基本医疗保险管理办公室</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2" w:name="_Toc15377223"/>
      <w:r>
        <w:rPr>
          <w:rFonts w:hint="eastAsia" w:ascii="仿宋" w:hAnsi="仿宋" w:eastAsia="仿宋"/>
          <w:b/>
          <w:color w:val="000000"/>
          <w:sz w:val="32"/>
          <w:szCs w:val="32"/>
        </w:rPr>
        <w:t>（二）政府采购支出情况</w:t>
      </w:r>
      <w:bookmarkEnd w:id="72"/>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九寨沟县城乡居民基本医疗保险管理办公室</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3" w:name="_Toc15377224"/>
      <w:r>
        <w:rPr>
          <w:rFonts w:hint="eastAsia" w:ascii="仿宋" w:hAnsi="仿宋" w:eastAsia="仿宋"/>
          <w:b/>
          <w:color w:val="000000"/>
          <w:sz w:val="32"/>
          <w:szCs w:val="32"/>
        </w:rPr>
        <w:t>（三）国有资产占有使用情况</w:t>
      </w:r>
      <w:bookmarkEnd w:id="7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九寨沟县城乡居民基本医疗保险管理办公室</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Style w:val="5"/>
        <w:keepNext w:val="0"/>
        <w:keepLines w:val="0"/>
        <w:pageBreakBefore w:val="0"/>
        <w:widowControl w:val="0"/>
        <w:kinsoku/>
        <w:wordWrap/>
        <w:overflowPunct/>
        <w:topLinePunct w:val="0"/>
        <w:autoSpaceDE/>
        <w:autoSpaceDN/>
        <w:bidi w:val="0"/>
        <w:adjustRightInd w:val="0"/>
        <w:snapToGrid w:val="0"/>
        <w:spacing w:before="93" w:line="500" w:lineRule="exact"/>
        <w:ind w:firstLine="672" w:firstLineChars="210"/>
        <w:textAlignment w:val="auto"/>
        <w:outlineLvl w:val="2"/>
        <w:rPr>
          <w:rFonts w:hint="eastAsia" w:ascii="仿宋" w:hAnsi="仿宋" w:eastAsia="仿宋"/>
          <w:bCs/>
          <w:color w:val="000000"/>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城乡居民医疗保险基金运行平稳</w:t>
      </w:r>
      <w:r>
        <w:rPr>
          <w:rFonts w:hint="eastAsia" w:hAnsi="仿宋_GB2312" w:cs="仿宋_GB2312"/>
          <w:sz w:val="32"/>
          <w:szCs w:val="32"/>
          <w:lang w:eastAsia="zh-CN"/>
        </w:rPr>
        <w:t>；</w:t>
      </w:r>
      <w:r>
        <w:rPr>
          <w:rFonts w:hint="eastAsia" w:ascii="仿宋" w:hAnsi="仿宋" w:eastAsia="仿宋"/>
          <w:bCs/>
          <w:color w:val="000000"/>
          <w:sz w:val="32"/>
          <w:szCs w:val="32"/>
        </w:rPr>
        <w:t>全县城乡居民基本医疗保险参保51221人，超额完成州级下达的50800人目标任务</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全县城乡居民基本医疗保险共收入3704.67万元（其中自筹955.14万元），支出1903.49万元（待遇享受人次：8364人次）</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提高</w:t>
      </w:r>
      <w:r>
        <w:rPr>
          <w:rFonts w:hint="eastAsia" w:ascii="仿宋" w:hAnsi="仿宋" w:eastAsia="仿宋"/>
          <w:bCs/>
          <w:color w:val="000000"/>
          <w:sz w:val="32"/>
          <w:szCs w:val="32"/>
          <w:lang w:val="en-US" w:eastAsia="zh-CN"/>
        </w:rPr>
        <w:t>了</w:t>
      </w:r>
      <w:r>
        <w:rPr>
          <w:rFonts w:hint="eastAsia" w:ascii="仿宋" w:hAnsi="仿宋" w:eastAsia="仿宋"/>
          <w:bCs/>
          <w:color w:val="000000"/>
          <w:sz w:val="32"/>
          <w:szCs w:val="32"/>
        </w:rPr>
        <w:t>医保扶贫实效。</w:t>
      </w:r>
    </w:p>
    <w:p>
      <w:pPr>
        <w:spacing w:line="580" w:lineRule="exact"/>
        <w:ind w:firstLine="640" w:firstLineChars="200"/>
        <w:rPr>
          <w:rFonts w:hint="eastAsia" w:ascii="仿宋" w:hAnsi="仿宋" w:eastAsia="仿宋_GB2312"/>
          <w:bCs/>
          <w:color w:val="000000"/>
          <w:sz w:val="32"/>
          <w:szCs w:val="32"/>
          <w:lang w:eastAsia="zh-CN"/>
        </w:rPr>
      </w:pPr>
    </w:p>
    <w:p>
      <w:pPr>
        <w:numPr>
          <w:ilvl w:val="0"/>
          <w:numId w:val="0"/>
        </w:numPr>
        <w:autoSpaceDN w:val="0"/>
        <w:spacing w:line="580" w:lineRule="exact"/>
        <w:ind w:firstLine="640" w:firstLineChars="200"/>
        <w:jc w:val="left"/>
        <w:textAlignment w:val="center"/>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w:t>
      </w:r>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反映项目。</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九寨沟县医疗保障局</w:t>
      </w:r>
      <w:r>
        <w:rPr>
          <w:rFonts w:hint="eastAsia" w:ascii="仿宋_GB2312" w:hAnsi="仿宋_GB2312" w:eastAsia="仿宋_GB2312" w:cs="仿宋_GB2312"/>
          <w:sz w:val="32"/>
          <w:szCs w:val="32"/>
        </w:rPr>
        <w:t>2019年部门整体支出绩效评价报告》见附件（附件1）。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74" w:name="_Toc15396613"/>
      <w:bookmarkStart w:id="75" w:name="_Toc3247"/>
      <w:bookmarkStart w:id="76"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74"/>
      <w:bookmarkEnd w:id="75"/>
      <w:bookmarkEnd w:id="7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人力资源和社会保障管理事务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社会保障经办机构（09</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社会保险经办机构开展业务工作的支出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机关事业单位实施养老保险制度由单位缴纳的基本养老保险支出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 w:hAnsi="仿宋" w:eastAsia="仿宋"/>
          <w:b w:val="0"/>
          <w:bCs w:val="0"/>
          <w:color w:val="000000" w:themeColor="text1"/>
          <w:sz w:val="32"/>
          <w:szCs w:val="32"/>
          <w14:textFill>
            <w14:solidFill>
              <w14:schemeClr w14:val="tx1"/>
            </w14:solidFill>
          </w14:textFill>
        </w:rPr>
        <w:t>卫生健康</w:t>
      </w:r>
      <w:r>
        <w:rPr>
          <w:rStyle w:val="14"/>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14:textFill>
            <w14:solidFill>
              <w14:schemeClr w14:val="tx1"/>
            </w14:solidFill>
          </w14:textFill>
        </w:rPr>
        <w:t>210</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行政事业单位医疗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11</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事业单位医疗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02</w:t>
      </w:r>
      <w:r>
        <w:rPr>
          <w:rStyle w:val="14"/>
          <w:rFonts w:hint="eastAsia" w:ascii="仿宋" w:hAnsi="仿宋" w:eastAsia="仿宋"/>
          <w:b w:val="0"/>
          <w:bCs w:val="0"/>
          <w:color w:val="000000"/>
          <w:sz w:val="32"/>
          <w:szCs w:val="32"/>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财政部门集中安排的事业单位基本医疗保险缴费经费，未参加医疗保险的事业单位的公费医疗经费，按国家规定享受离休人员待遇的医疗经费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 w:hAnsi="仿宋" w:eastAsia="仿宋"/>
          <w:b w:val="0"/>
          <w:bCs w:val="0"/>
          <w:color w:val="000000" w:themeColor="text1"/>
          <w:sz w:val="32"/>
          <w:szCs w:val="32"/>
          <w14:textFill>
            <w14:solidFill>
              <w14:schemeClr w14:val="tx1"/>
            </w14:solidFill>
          </w14:textFill>
        </w:rPr>
        <w:t>卫生健康</w:t>
      </w:r>
      <w:r>
        <w:rPr>
          <w:rStyle w:val="14"/>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14:textFill>
            <w14:solidFill>
              <w14:schemeClr w14:val="tx1"/>
            </w14:solidFill>
          </w14:textFill>
        </w:rPr>
        <w:t>210</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行政事业单位医疗</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11</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其他行政事业单位医疗支出</w:t>
      </w:r>
      <w:r>
        <w:rPr>
          <w:rStyle w:val="14"/>
          <w:rFonts w:hint="eastAsia" w:ascii="仿宋" w:hAnsi="仿宋" w:eastAsia="仿宋"/>
          <w:b w:val="0"/>
          <w:bCs w:val="0"/>
          <w:color w:val="000000"/>
          <w:sz w:val="32"/>
          <w:szCs w:val="32"/>
        </w:rPr>
        <w:t>（</w:t>
      </w:r>
      <w:r>
        <w:rPr>
          <w:rStyle w:val="14"/>
          <w:rFonts w:hint="eastAsia" w:ascii="仿宋" w:hAnsi="仿宋" w:eastAsia="仿宋"/>
          <w:b w:val="0"/>
          <w:bCs w:val="0"/>
          <w:color w:val="000000"/>
          <w:sz w:val="32"/>
          <w:szCs w:val="32"/>
          <w:lang w:val="en-US" w:eastAsia="zh-CN"/>
        </w:rPr>
        <w:t>99</w:t>
      </w:r>
      <w:r>
        <w:rPr>
          <w:rStyle w:val="14"/>
          <w:rFonts w:hint="eastAsia" w:ascii="仿宋" w:hAnsi="仿宋" w:eastAsia="仿宋"/>
          <w:b w:val="0"/>
          <w:bCs w:val="0"/>
          <w:color w:val="000000"/>
          <w:sz w:val="32"/>
          <w:szCs w:val="32"/>
        </w:rPr>
        <w:t>）</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除行政单位医疗、事业单位医疗、公务员医疗补助项目以外的其他用于行政事业单位医疗方面的支出</w:t>
      </w:r>
      <w:r>
        <w:rPr>
          <w:rFonts w:hint="eastAsia" w:ascii="仿宋_GB2312" w:eastAsia="仿宋_GB2312"/>
          <w:color w:val="000000"/>
          <w:sz w:val="32"/>
          <w:szCs w:val="32"/>
        </w:rPr>
        <w:t>。</w:t>
      </w:r>
    </w:p>
    <w:p>
      <w:pPr>
        <w:pStyle w:val="22"/>
        <w:numPr>
          <w:ilvl w:val="0"/>
          <w:numId w:val="0"/>
        </w:num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Style w:val="14"/>
          <w:rFonts w:hint="eastAsia" w:ascii="仿宋" w:hAnsi="仿宋" w:eastAsia="仿宋"/>
          <w:b w:val="0"/>
          <w:bCs/>
          <w:color w:val="000000"/>
          <w:sz w:val="32"/>
          <w:szCs w:val="32"/>
          <w:lang w:val="en-US" w:eastAsia="zh-CN"/>
        </w:rPr>
        <w:t>住房保障</w:t>
      </w:r>
      <w:r>
        <w:rPr>
          <w:rStyle w:val="14"/>
          <w:rFonts w:hint="eastAsia" w:ascii="仿宋" w:hAnsi="仿宋" w:eastAsia="仿宋"/>
          <w:b w:val="0"/>
          <w:bCs/>
          <w:color w:val="000000"/>
          <w:sz w:val="32"/>
          <w:szCs w:val="32"/>
        </w:rPr>
        <w:t>（</w:t>
      </w:r>
      <w:r>
        <w:rPr>
          <w:rFonts w:hint="eastAsia" w:ascii="仿宋" w:hAnsi="仿宋" w:eastAsia="仿宋"/>
          <w:b w:val="0"/>
          <w:bCs/>
          <w:color w:val="000000" w:themeColor="text1"/>
          <w:sz w:val="32"/>
          <w:szCs w:val="32"/>
          <w:lang w:val="en-US" w:eastAsia="zh-CN"/>
          <w14:textFill>
            <w14:solidFill>
              <w14:schemeClr w14:val="tx1"/>
            </w14:solidFill>
          </w14:textFill>
        </w:rPr>
        <w:t>221</w:t>
      </w:r>
      <w:r>
        <w:rPr>
          <w:rStyle w:val="14"/>
          <w:rFonts w:hint="eastAsia" w:ascii="仿宋" w:hAnsi="仿宋" w:eastAsia="仿宋"/>
          <w:b w:val="0"/>
          <w:bCs/>
          <w:color w:val="000000"/>
          <w:sz w:val="32"/>
          <w:szCs w:val="32"/>
        </w:rPr>
        <w:t>）</w:t>
      </w:r>
      <w:r>
        <w:rPr>
          <w:rStyle w:val="14"/>
          <w:rFonts w:hint="eastAsia" w:hAnsi="仿宋"/>
          <w:b w:val="0"/>
          <w:bCs/>
          <w:color w:val="000000"/>
          <w:sz w:val="32"/>
          <w:szCs w:val="32"/>
          <w:lang w:val="en-US" w:eastAsia="zh-CN"/>
        </w:rPr>
        <w:t>住房改革支出</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02</w:t>
      </w:r>
      <w:r>
        <w:rPr>
          <w:rStyle w:val="14"/>
          <w:rFonts w:hint="eastAsia" w:ascii="仿宋" w:hAnsi="仿宋" w:eastAsia="仿宋"/>
          <w:b w:val="0"/>
          <w:bCs/>
          <w:color w:val="000000"/>
          <w:sz w:val="32"/>
          <w:szCs w:val="32"/>
        </w:rPr>
        <w:t>）</w:t>
      </w:r>
      <w:r>
        <w:rPr>
          <w:rStyle w:val="14"/>
          <w:rFonts w:hint="eastAsia" w:hAnsi="仿宋"/>
          <w:b w:val="0"/>
          <w:bCs/>
          <w:color w:val="000000"/>
          <w:sz w:val="32"/>
          <w:szCs w:val="32"/>
          <w:lang w:val="en-US" w:eastAsia="zh-CN"/>
        </w:rPr>
        <w:t>住房公积金</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01</w:t>
      </w:r>
      <w:r>
        <w:rPr>
          <w:rStyle w:val="14"/>
          <w:rFonts w:hint="eastAsia" w:ascii="仿宋" w:hAnsi="仿宋" w:eastAsia="仿宋"/>
          <w:b w:val="0"/>
          <w:bCs/>
          <w:color w:val="000000"/>
          <w:sz w:val="32"/>
          <w:szCs w:val="32"/>
        </w:rPr>
        <w:t>）</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指行政单位按人力资源和社会保障部、财政部规定的基本工资和津贴补贴以及规定比例为职工缴纳的住房公积金。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11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hAnsi="黑体" w:eastAsia="黑体"/>
          <w:b w:val="0"/>
        </w:rPr>
      </w:pPr>
      <w:bookmarkStart w:id="77" w:name="_Toc15377226"/>
      <w:r>
        <w:rPr>
          <w:rFonts w:ascii="宋体"/>
          <w:b/>
          <w:color w:val="000000"/>
          <w:sz w:val="44"/>
          <w:szCs w:val="44"/>
        </w:rPr>
        <w:br w:type="page"/>
      </w:r>
      <w:bookmarkStart w:id="78" w:name="_Toc15396614"/>
      <w:bookmarkStart w:id="79" w:name="_Toc15678"/>
      <w:r>
        <w:rPr>
          <w:rFonts w:hint="eastAsia" w:ascii="黑体" w:hAnsi="黑体" w:eastAsia="黑体"/>
          <w:color w:val="000000"/>
          <w:sz w:val="44"/>
          <w:szCs w:val="44"/>
        </w:rPr>
        <w:t>第</w:t>
      </w:r>
      <w:r>
        <w:rPr>
          <w:rStyle w:val="24"/>
          <w:rFonts w:hint="eastAsia" w:ascii="黑体" w:hAnsi="黑体" w:eastAsia="黑体"/>
          <w:b w:val="0"/>
        </w:rPr>
        <w:t>四部分 附件</w:t>
      </w:r>
      <w:bookmarkEnd w:id="78"/>
      <w:bookmarkEnd w:id="79"/>
    </w:p>
    <w:p>
      <w:pPr>
        <w:spacing w:line="600" w:lineRule="exact"/>
        <w:jc w:val="left"/>
        <w:outlineLvl w:val="0"/>
        <w:rPr>
          <w:rFonts w:ascii="方正小标宋简体" w:hAnsi="方正小标宋简体" w:eastAsia="方正小标宋简体" w:cs="方正小标宋简体"/>
          <w:sz w:val="32"/>
          <w:szCs w:val="32"/>
        </w:rPr>
      </w:pPr>
      <w:bookmarkStart w:id="80" w:name="_Toc29242"/>
      <w:r>
        <w:rPr>
          <w:rFonts w:hint="eastAsia" w:ascii="黑体" w:hAnsi="黑体" w:eastAsia="黑体" w:cs="黑体"/>
          <w:sz w:val="32"/>
          <w:szCs w:val="32"/>
        </w:rPr>
        <w:t>附件1</w:t>
      </w:r>
      <w:bookmarkEnd w:id="8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default" w:ascii="方正小标宋简体" w:hAnsi="宋体" w:eastAsia="方正小标宋简体"/>
          <w:color w:val="000000"/>
          <w:kern w:val="0"/>
          <w:sz w:val="40"/>
          <w:szCs w:val="44"/>
          <w:lang w:val="en-US" w:eastAsia="zh-CN"/>
        </w:rPr>
      </w:pPr>
      <w:r>
        <w:rPr>
          <w:rFonts w:hint="eastAsia" w:ascii="方正小标宋简体" w:hAnsi="宋体" w:eastAsia="方正小标宋简体"/>
          <w:color w:val="000000"/>
          <w:kern w:val="0"/>
          <w:sz w:val="40"/>
          <w:szCs w:val="44"/>
          <w:lang w:val="en-US" w:eastAsia="zh-CN"/>
        </w:rPr>
        <w:t>九寨沟县城乡居民基本医疗保险管理办公室</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九寨沟县城乡居民基本医疗保险管理办公室属事业单位，内设审核</w:t>
      </w:r>
      <w:r>
        <w:rPr>
          <w:rFonts w:hint="eastAsia" w:ascii="仿宋_GB2312" w:hAnsi="仿宋_GB2312" w:eastAsia="仿宋_GB2312" w:cs="仿宋_GB2312"/>
          <w:bCs/>
          <w:sz w:val="28"/>
          <w:szCs w:val="28"/>
          <w:lang w:val="en-US" w:eastAsia="zh-CN"/>
        </w:rPr>
        <w:t>结算</w:t>
      </w:r>
      <w:r>
        <w:rPr>
          <w:rFonts w:hint="eastAsia" w:ascii="仿宋_GB2312" w:hAnsi="仿宋_GB2312" w:eastAsia="仿宋_GB2312" w:cs="仿宋_GB2312"/>
          <w:bCs/>
          <w:sz w:val="28"/>
          <w:szCs w:val="28"/>
        </w:rPr>
        <w:t>股</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统筹计划股、基金管理股</w:t>
      </w:r>
      <w:r>
        <w:rPr>
          <w:rFonts w:hint="eastAsia" w:ascii="仿宋_GB2312" w:hAnsi="仿宋_GB2312" w:eastAsia="仿宋_GB2312" w:cs="仿宋_GB2312"/>
          <w:bCs/>
          <w:sz w:val="28"/>
          <w:szCs w:val="28"/>
        </w:rPr>
        <w:t>。单位定编人数</w:t>
      </w: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rPr>
        <w:t>人，其中：事业编制</w:t>
      </w: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rPr>
        <w:t>人，领导职数1名（副科级）。单位现有职工</w:t>
      </w: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rPr>
        <w:t>人。</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1.贯彻落实全县城乡居民基本医疗保险、医疗救助等医疗保障法律法规，并组织实施。 </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2.负责全县城乡居民基本医疗保险基金及医疗救助基金的管理和使用。</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3.负责全县城乡居民基本医疗保险参保筹资工作。</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4.负责全县城乡居民参保患者医疗费用的审核结算工作,负责全县城乡居民参保患者门诊特殊疾病的审批认定工作。</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5.编制城乡居民基本医疗保险、医疗救助基金收支预、决算报告，定期对基金收支情况进行分析、预测，并向有关部门提供基金运行情况报告。</w:t>
      </w:r>
    </w:p>
    <w:p>
      <w:pPr>
        <w:widowControl/>
        <w:numPr>
          <w:ilvl w:val="0"/>
          <w:numId w:val="0"/>
        </w:numPr>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6.负责城乡居民基本医疗保险、医疗救助基金财务会计报表、统计报表的汇总上报分析工作。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县城乡居民基本医疗保险</w:t>
      </w:r>
      <w:r>
        <w:rPr>
          <w:rFonts w:hint="eastAsia" w:ascii="仿宋_GB2312" w:hAnsi="宋体" w:eastAsia="仿宋_GB2312" w:cs="宋体"/>
          <w:color w:val="000000"/>
          <w:kern w:val="0"/>
          <w:sz w:val="32"/>
          <w:szCs w:val="32"/>
          <w:shd w:val="clear" w:color="auto" w:fill="FFFFFF"/>
          <w:lang w:val="en-US" w:eastAsia="zh-CN"/>
        </w:rPr>
        <w:t>管理办公室</w:t>
      </w:r>
      <w:r>
        <w:rPr>
          <w:rFonts w:hint="eastAsia" w:ascii="仿宋_GB2312" w:hAnsi="宋体" w:eastAsia="仿宋_GB2312" w:cs="宋体"/>
          <w:color w:val="000000"/>
          <w:kern w:val="0"/>
          <w:sz w:val="32"/>
          <w:szCs w:val="32"/>
          <w:shd w:val="clear" w:color="auto" w:fill="FFFFFF"/>
          <w:lang w:val="zh-CN"/>
        </w:rPr>
        <w:t>财政供养人员编制8人，其中全额供给人员和公用经费8人，全额供给基本工资8人。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2019年财政供养人员</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lang w:val="zh-CN"/>
        </w:rPr>
        <w:t>人，其中：在职</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lang w:val="zh-CN"/>
        </w:rPr>
        <w:t>人。</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（一）部门财政资金收入情况。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2019年财政资金收入</w:t>
      </w:r>
      <w:r>
        <w:rPr>
          <w:rFonts w:hint="eastAsia" w:ascii="仿宋_GB2312" w:hAnsi="仿宋_GB2312" w:eastAsia="仿宋_GB2312" w:cs="仿宋_GB2312"/>
          <w:color w:val="000000"/>
          <w:kern w:val="0"/>
          <w:sz w:val="32"/>
          <w:szCs w:val="32"/>
          <w:shd w:val="clear" w:color="auto" w:fill="FFFFFF"/>
          <w:lang w:val="en-US" w:eastAsia="zh-CN"/>
        </w:rPr>
        <w:t>170.70</w:t>
      </w:r>
      <w:r>
        <w:rPr>
          <w:rFonts w:hint="eastAsia" w:ascii="仿宋_GB2312" w:hAnsi="仿宋_GB2312" w:eastAsia="仿宋_GB2312" w:cs="仿宋_GB2312"/>
          <w:color w:val="000000"/>
          <w:kern w:val="0"/>
          <w:sz w:val="32"/>
          <w:szCs w:val="32"/>
          <w:shd w:val="clear" w:color="auto" w:fill="FFFFFF"/>
        </w:rPr>
        <w:t>万元。</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（二）部门财政资金支出情况。</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2019年财政资金支出</w:t>
      </w:r>
      <w:r>
        <w:rPr>
          <w:rFonts w:hint="eastAsia" w:ascii="仿宋_GB2312" w:hAnsi="仿宋_GB2312" w:eastAsia="仿宋_GB2312" w:cs="仿宋_GB2312"/>
          <w:color w:val="000000"/>
          <w:kern w:val="0"/>
          <w:sz w:val="32"/>
          <w:szCs w:val="32"/>
          <w:shd w:val="clear" w:color="auto" w:fill="FFFFFF"/>
          <w:lang w:val="en-US" w:eastAsia="zh-CN"/>
        </w:rPr>
        <w:t>170.70</w:t>
      </w:r>
      <w:r>
        <w:rPr>
          <w:rFonts w:hint="eastAsia" w:ascii="仿宋_GB2312" w:hAnsi="仿宋_GB2312" w:eastAsia="仿宋_GB2312" w:cs="仿宋_GB2312"/>
          <w:color w:val="000000"/>
          <w:kern w:val="0"/>
          <w:sz w:val="32"/>
          <w:szCs w:val="32"/>
          <w:shd w:val="clear" w:color="auto" w:fill="FFFFFF"/>
        </w:rPr>
        <w:t>万元。其中：基本支出</w:t>
      </w:r>
      <w:r>
        <w:rPr>
          <w:rFonts w:hint="eastAsia" w:ascii="仿宋_GB2312" w:hAnsi="仿宋_GB2312" w:eastAsia="仿宋_GB2312" w:cs="仿宋_GB2312"/>
          <w:color w:val="000000"/>
          <w:kern w:val="0"/>
          <w:sz w:val="32"/>
          <w:szCs w:val="32"/>
          <w:shd w:val="clear" w:color="auto" w:fill="FFFFFF"/>
          <w:lang w:val="en-US" w:eastAsia="zh-CN"/>
        </w:rPr>
        <w:t>170.70</w:t>
      </w:r>
      <w:r>
        <w:rPr>
          <w:rFonts w:hint="eastAsia" w:ascii="仿宋_GB2312" w:hAnsi="仿宋_GB2312" w:eastAsia="仿宋_GB2312" w:cs="仿宋_GB2312"/>
          <w:color w:val="000000"/>
          <w:kern w:val="0"/>
          <w:sz w:val="32"/>
          <w:szCs w:val="32"/>
          <w:shd w:val="clear" w:color="auto" w:fill="FFFFFF"/>
        </w:rPr>
        <w:t>万元。</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三、部门财政支出管理情况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（一）预算编制情况。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严格按照财政部门预算编制通知和有关要求，按时完成2019年预算编制工作，并按时提交部门预算草案。按规定编制政府采购预算，预算编制全面、科学。</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（二）执行管理情况。</w:t>
      </w:r>
      <w:r>
        <w:rPr>
          <w:rFonts w:hint="eastAsia" w:ascii="仿宋_GB2312" w:hAnsi="仿宋_GB2312" w:eastAsia="仿宋_GB2312" w:cs="仿宋_GB2312"/>
          <w:color w:val="000000"/>
          <w:kern w:val="0"/>
          <w:sz w:val="32"/>
          <w:szCs w:val="32"/>
          <w:shd w:val="clear" w:color="auto" w:fill="FFFFFF"/>
        </w:rPr>
        <w:tab/>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color w:val="000000"/>
          <w:kern w:val="0"/>
          <w:sz w:val="32"/>
          <w:szCs w:val="32"/>
          <w:shd w:val="clear" w:color="auto" w:fill="FFFFFF"/>
        </w:rPr>
        <w:t>我局2019年全年执行进度达到本部门执行进度。按照预算资金严格控制支出。本年支出</w:t>
      </w:r>
      <w:r>
        <w:rPr>
          <w:rFonts w:hint="eastAsia" w:ascii="仿宋_GB2312" w:hAnsi="仿宋_GB2312" w:eastAsia="仿宋_GB2312" w:cs="仿宋_GB2312"/>
          <w:color w:val="000000"/>
          <w:kern w:val="0"/>
          <w:sz w:val="32"/>
          <w:szCs w:val="32"/>
          <w:shd w:val="clear" w:color="auto" w:fill="FFFFFF"/>
          <w:lang w:val="en-US" w:eastAsia="zh-CN"/>
        </w:rPr>
        <w:t>170.70</w:t>
      </w:r>
      <w:r>
        <w:rPr>
          <w:rFonts w:hint="eastAsia" w:ascii="仿宋_GB2312" w:hAnsi="仿宋_GB2312" w:eastAsia="仿宋_GB2312" w:cs="仿宋_GB2312"/>
          <w:color w:val="000000"/>
          <w:kern w:val="0"/>
          <w:sz w:val="32"/>
          <w:szCs w:val="32"/>
          <w:shd w:val="clear" w:color="auto" w:fill="FFFFFF"/>
        </w:rPr>
        <w:t>万元，其中：基本支出</w:t>
      </w:r>
      <w:r>
        <w:rPr>
          <w:rFonts w:hint="eastAsia" w:ascii="仿宋_GB2312" w:hAnsi="仿宋_GB2312" w:eastAsia="仿宋_GB2312" w:cs="仿宋_GB2312"/>
          <w:color w:val="000000"/>
          <w:kern w:val="0"/>
          <w:sz w:val="32"/>
          <w:szCs w:val="32"/>
          <w:shd w:val="clear" w:color="auto" w:fill="FFFFFF"/>
          <w:lang w:val="en-US" w:eastAsia="zh-CN"/>
        </w:rPr>
        <w:t>170.70</w:t>
      </w:r>
      <w:r>
        <w:rPr>
          <w:rFonts w:hint="eastAsia" w:ascii="仿宋_GB2312" w:hAnsi="仿宋_GB2312" w:eastAsia="仿宋_GB2312" w:cs="仿宋_GB2312"/>
          <w:color w:val="000000"/>
          <w:kern w:val="0"/>
          <w:sz w:val="32"/>
          <w:szCs w:val="32"/>
          <w:shd w:val="clear" w:color="auto" w:fill="FFFFFF"/>
        </w:rPr>
        <w:t>万元。2019年</w:t>
      </w:r>
      <w:r>
        <w:rPr>
          <w:rFonts w:hint="eastAsia" w:ascii="仿宋_GB2312" w:hAnsi="仿宋_GB2312" w:eastAsia="仿宋_GB2312" w:cs="仿宋_GB2312"/>
          <w:color w:val="000000"/>
          <w:kern w:val="0"/>
          <w:sz w:val="32"/>
          <w:szCs w:val="32"/>
          <w:shd w:val="clear" w:color="auto" w:fill="FFFFFF"/>
          <w:lang w:val="en-US" w:eastAsia="zh-CN"/>
        </w:rPr>
        <w:t>公用</w:t>
      </w:r>
      <w:r>
        <w:rPr>
          <w:rFonts w:hint="eastAsia" w:ascii="仿宋_GB2312" w:hAnsi="仿宋_GB2312" w:eastAsia="仿宋_GB2312" w:cs="仿宋_GB2312"/>
          <w:color w:val="000000"/>
          <w:kern w:val="0"/>
          <w:sz w:val="32"/>
          <w:szCs w:val="32"/>
          <w:shd w:val="clear" w:color="auto" w:fill="FFFFFF"/>
        </w:rPr>
        <w:t>经费支出</w:t>
      </w:r>
      <w:r>
        <w:rPr>
          <w:rFonts w:hint="eastAsia" w:ascii="仿宋_GB2312" w:hAnsi="仿宋_GB2312" w:eastAsia="仿宋_GB2312" w:cs="仿宋_GB2312"/>
          <w:color w:val="000000"/>
          <w:kern w:val="0"/>
          <w:sz w:val="32"/>
          <w:szCs w:val="32"/>
          <w:shd w:val="clear" w:color="auto" w:fill="FFFFFF"/>
          <w:lang w:val="en-US" w:eastAsia="zh-CN"/>
        </w:rPr>
        <w:t>7.98</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en-US" w:eastAsia="zh-CN"/>
        </w:rPr>
        <w:t>其中：“三公”经费支出0万元</w:t>
      </w:r>
      <w:r>
        <w:rPr>
          <w:rFonts w:hint="eastAsia" w:ascii="仿宋_GB2312" w:hAnsi="仿宋_GB2312" w:eastAsia="仿宋_GB2312" w:cs="仿宋_GB2312"/>
          <w:color w:val="000000"/>
          <w:kern w:val="0"/>
          <w:sz w:val="32"/>
          <w:szCs w:val="32"/>
          <w:shd w:val="clear" w:color="auto" w:fill="FFFFFF"/>
          <w:lang w:eastAsia="zh-CN"/>
        </w:rPr>
        <w:t>。</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（三）综合管理情况。</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2019年资产总计</w:t>
      </w:r>
      <w:r>
        <w:rPr>
          <w:rFonts w:hint="eastAsia" w:ascii="仿宋_GB2312" w:hAnsi="仿宋_GB2312" w:eastAsia="仿宋_GB2312" w:cs="仿宋_GB2312"/>
          <w:color w:val="000000"/>
          <w:kern w:val="0"/>
          <w:sz w:val="32"/>
          <w:szCs w:val="32"/>
          <w:shd w:val="clear" w:color="auto" w:fill="FFFFFF"/>
          <w:lang w:val="en-US" w:eastAsia="zh-CN"/>
        </w:rPr>
        <w:t>6.73</w:t>
      </w:r>
      <w:r>
        <w:rPr>
          <w:rFonts w:hint="eastAsia" w:ascii="仿宋_GB2312" w:hAnsi="仿宋_GB2312" w:eastAsia="仿宋_GB2312" w:cs="仿宋_GB2312"/>
          <w:color w:val="000000"/>
          <w:kern w:val="0"/>
          <w:sz w:val="32"/>
          <w:szCs w:val="32"/>
          <w:shd w:val="clear" w:color="auto" w:fill="FFFFFF"/>
        </w:rPr>
        <w:t>万元，其中：固定资产</w:t>
      </w:r>
      <w:r>
        <w:rPr>
          <w:rFonts w:hint="eastAsia" w:ascii="仿宋_GB2312" w:hAnsi="仿宋_GB2312" w:eastAsia="仿宋_GB2312" w:cs="仿宋_GB2312"/>
          <w:color w:val="000000"/>
          <w:kern w:val="0"/>
          <w:sz w:val="32"/>
          <w:szCs w:val="32"/>
          <w:shd w:val="clear" w:color="auto" w:fill="FFFFFF"/>
          <w:lang w:val="en-US" w:eastAsia="zh-CN"/>
        </w:rPr>
        <w:t>6.73</w:t>
      </w:r>
      <w:r>
        <w:rPr>
          <w:rFonts w:hint="eastAsia" w:ascii="仿宋_GB2312" w:hAnsi="仿宋_GB2312" w:eastAsia="仿宋_GB2312" w:cs="仿宋_GB2312"/>
          <w:color w:val="000000"/>
          <w:kern w:val="0"/>
          <w:sz w:val="32"/>
          <w:szCs w:val="32"/>
          <w:shd w:val="clear" w:color="auto" w:fill="FFFFFF"/>
        </w:rPr>
        <w:t>万元.资产管理由财务股总负责，各股室具体负责、落实到人。本单位2019年度预决算财政信息已按要求在九寨沟县人民政府网上公开，基础数据信息和会计信息资料真实、完整，基础数据信息和汇集信息资料准确。</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（四）整体绩效。</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我局不折不扣地执行上级部门的决定，认真完成州下达目标任务数。全力推进机关作风建设，群众满意度非常高。</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（一）评价结论。</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1、我单位财务管理制度健全，执行制度严格合规，会计核算符合相关规定，资金专款专用，资金支付依据和开支标准合法合规，严格执行政府采购。</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2、按照县级部门预算编制通知和有关要求，按时完成基础库、项目库报送工作，预算编制准确。部门整体绩效目标编制完整、合理，项目绩效目标编制明确、量化。</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3、按规定及时分配中央、省级市级财力专项预算，按要求严格预算执行管理。严格执行“三公经费”预算，行政运行经费与上年相比明显下降，没有产生债务。</w:t>
      </w:r>
    </w:p>
    <w:p>
      <w:pPr>
        <w:spacing w:line="580" w:lineRule="exact"/>
        <w:ind w:firstLine="640" w:firstLineChars="200"/>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4、按要求及时公开预算、决算、绩效等信息。按要求及时、准确、全面开展资产清查工作，上报国有资产报表数据的真实性、准确性、全面性。内部控制制度健全完整并执行良好。</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（二）存在问题。</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年初预算部分编制不合理。</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（三）改进建议。</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优化预算编制，加强预算执行力。</w:t>
      </w: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p>
    <w:p>
      <w:pPr>
        <w:spacing w:line="580" w:lineRule="exact"/>
        <w:ind w:firstLine="640" w:firstLineChars="200"/>
        <w:rPr>
          <w:rFonts w:hint="eastAsia" w:ascii="仿宋_GB2312" w:hAnsi="仿宋_GB2312" w:eastAsia="仿宋_GB2312" w:cs="仿宋_GB2312"/>
          <w:color w:val="000000"/>
          <w:kern w:val="0"/>
          <w:sz w:val="32"/>
          <w:szCs w:val="32"/>
          <w:shd w:val="clear" w:color="auto" w:fill="FFFFFF"/>
        </w:rPr>
      </w:pPr>
      <w:bookmarkStart w:id="109" w:name="_GoBack"/>
      <w:bookmarkEnd w:id="109"/>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9"/>
        <w:rPr>
          <w:rStyle w:val="24"/>
          <w:rFonts w:ascii="黑体" w:hAnsi="黑体" w:eastAsia="黑体"/>
          <w:b w:val="0"/>
        </w:rPr>
      </w:pPr>
    </w:p>
    <w:p>
      <w:pPr>
        <w:spacing w:line="600" w:lineRule="exact"/>
        <w:jc w:val="center"/>
        <w:outlineLvl w:val="0"/>
        <w:rPr>
          <w:rStyle w:val="24"/>
          <w:rFonts w:ascii="黑体" w:hAnsi="黑体" w:eastAsia="黑体"/>
          <w:b w:val="0"/>
        </w:rPr>
      </w:pPr>
      <w:bookmarkStart w:id="81" w:name="_Toc15396618"/>
      <w:bookmarkStart w:id="82" w:name="_Toc22077"/>
      <w:r>
        <w:rPr>
          <w:rFonts w:hint="eastAsia" w:ascii="黑体" w:hAnsi="黑体" w:eastAsia="黑体"/>
          <w:color w:val="000000"/>
          <w:sz w:val="44"/>
          <w:szCs w:val="44"/>
        </w:rPr>
        <w:t>第</w:t>
      </w:r>
      <w:r>
        <w:rPr>
          <w:rStyle w:val="24"/>
          <w:rFonts w:hint="eastAsia" w:ascii="黑体" w:hAnsi="黑体" w:eastAsia="黑体"/>
          <w:b w:val="0"/>
        </w:rPr>
        <w:t>五部分 附表</w:t>
      </w:r>
      <w:bookmarkEnd w:id="77"/>
      <w:bookmarkEnd w:id="81"/>
      <w:bookmarkEnd w:id="82"/>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83" w:name="_Toc23684"/>
      <w:bookmarkStart w:id="84"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83"/>
      <w:bookmarkEnd w:id="84"/>
    </w:p>
    <w:p>
      <w:pPr>
        <w:pStyle w:val="3"/>
        <w:rPr>
          <w:rFonts w:ascii="仿宋" w:hAnsi="仿宋" w:eastAsia="仿宋"/>
          <w:color w:val="000000"/>
        </w:rPr>
      </w:pPr>
      <w:bookmarkStart w:id="85" w:name="_Toc16684"/>
      <w:bookmarkStart w:id="86"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85"/>
      <w:bookmarkEnd w:id="86"/>
    </w:p>
    <w:p>
      <w:pPr>
        <w:pStyle w:val="3"/>
        <w:rPr>
          <w:rFonts w:ascii="仿宋" w:hAnsi="仿宋" w:eastAsia="仿宋"/>
          <w:color w:val="000000"/>
        </w:rPr>
      </w:pPr>
      <w:bookmarkStart w:id="87" w:name="_Toc15396621"/>
      <w:bookmarkStart w:id="88" w:name="_Toc16747"/>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87"/>
      <w:bookmarkEnd w:id="88"/>
    </w:p>
    <w:p>
      <w:pPr>
        <w:pStyle w:val="3"/>
        <w:rPr>
          <w:rFonts w:ascii="仿宋" w:hAnsi="仿宋" w:eastAsia="仿宋"/>
          <w:b w:val="0"/>
          <w:color w:val="000000"/>
        </w:rPr>
      </w:pPr>
      <w:bookmarkStart w:id="89" w:name="_Toc15396622"/>
      <w:bookmarkStart w:id="90" w:name="_Toc14327"/>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89"/>
      <w:bookmarkEnd w:id="90"/>
    </w:p>
    <w:p>
      <w:pPr>
        <w:pStyle w:val="3"/>
        <w:rPr>
          <w:rStyle w:val="25"/>
          <w:rFonts w:ascii="仿宋" w:hAnsi="仿宋" w:eastAsia="仿宋"/>
          <w:b w:val="0"/>
          <w:bCs w:val="0"/>
        </w:rPr>
      </w:pPr>
      <w:bookmarkStart w:id="91" w:name="_Toc15396623"/>
      <w:bookmarkStart w:id="92" w:name="_Toc10408"/>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91"/>
      <w:bookmarkEnd w:id="92"/>
      <w:bookmarkStart w:id="93" w:name="_Toc15396624"/>
    </w:p>
    <w:p>
      <w:pPr>
        <w:pStyle w:val="3"/>
        <w:rPr>
          <w:rFonts w:ascii="仿宋" w:hAnsi="仿宋" w:eastAsia="仿宋"/>
          <w:color w:val="000000"/>
        </w:rPr>
      </w:pPr>
      <w:bookmarkStart w:id="94" w:name="_Toc27398"/>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93"/>
      <w:bookmarkEnd w:id="94"/>
    </w:p>
    <w:p>
      <w:pPr>
        <w:pStyle w:val="3"/>
        <w:rPr>
          <w:rFonts w:ascii="仿宋" w:hAnsi="仿宋" w:eastAsia="仿宋"/>
          <w:color w:val="000000"/>
        </w:rPr>
      </w:pPr>
      <w:bookmarkStart w:id="95" w:name="_Toc29260"/>
      <w:bookmarkStart w:id="9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95"/>
      <w:bookmarkEnd w:id="96"/>
    </w:p>
    <w:p>
      <w:pPr>
        <w:pStyle w:val="3"/>
        <w:rPr>
          <w:rFonts w:ascii="仿宋" w:hAnsi="仿宋" w:eastAsia="仿宋"/>
          <w:color w:val="000000"/>
        </w:rPr>
      </w:pPr>
      <w:bookmarkStart w:id="97" w:name="_Toc3651"/>
      <w:bookmarkStart w:id="98"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97"/>
      <w:bookmarkEnd w:id="98"/>
    </w:p>
    <w:p>
      <w:pPr>
        <w:pStyle w:val="3"/>
        <w:rPr>
          <w:rFonts w:ascii="仿宋" w:hAnsi="仿宋" w:eastAsia="仿宋"/>
          <w:color w:val="000000"/>
        </w:rPr>
      </w:pPr>
      <w:bookmarkStart w:id="99" w:name="_Toc15396627"/>
      <w:bookmarkStart w:id="100" w:name="_Toc363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99"/>
      <w:bookmarkEnd w:id="100"/>
    </w:p>
    <w:p>
      <w:pPr>
        <w:pStyle w:val="3"/>
        <w:rPr>
          <w:rFonts w:ascii="仿宋" w:hAnsi="仿宋" w:eastAsia="仿宋"/>
          <w:color w:val="000000"/>
        </w:rPr>
      </w:pPr>
      <w:bookmarkStart w:id="101" w:name="_Toc5965"/>
      <w:bookmarkStart w:id="10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01"/>
      <w:bookmarkEnd w:id="102"/>
    </w:p>
    <w:p>
      <w:pPr>
        <w:pStyle w:val="3"/>
        <w:rPr>
          <w:rFonts w:ascii="仿宋" w:hAnsi="仿宋" w:eastAsia="仿宋"/>
          <w:color w:val="000000"/>
        </w:rPr>
      </w:pPr>
      <w:bookmarkStart w:id="103" w:name="_Toc5102"/>
      <w:bookmarkStart w:id="104"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03"/>
      <w:bookmarkEnd w:id="104"/>
    </w:p>
    <w:p>
      <w:pPr>
        <w:pStyle w:val="3"/>
        <w:rPr>
          <w:rFonts w:ascii="仿宋" w:hAnsi="仿宋" w:eastAsia="仿宋"/>
          <w:color w:val="000000"/>
        </w:rPr>
      </w:pPr>
      <w:bookmarkStart w:id="105" w:name="_Toc15396630"/>
      <w:bookmarkStart w:id="106" w:name="_Toc32319"/>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05"/>
      <w:bookmarkEnd w:id="106"/>
    </w:p>
    <w:p>
      <w:pPr>
        <w:pStyle w:val="3"/>
        <w:rPr>
          <w:rFonts w:ascii="仿宋" w:hAnsi="仿宋" w:eastAsia="仿宋"/>
          <w:color w:val="000000" w:themeColor="text1"/>
          <w14:textFill>
            <w14:solidFill>
              <w14:schemeClr w14:val="tx1"/>
            </w14:solidFill>
          </w14:textFill>
        </w:rPr>
      </w:pPr>
      <w:bookmarkStart w:id="107" w:name="_Toc15396631"/>
      <w:bookmarkStart w:id="108" w:name="_Toc26335"/>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07"/>
      <w:bookmarkEnd w:id="10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7C39BE67"/>
    <w:multiLevelType w:val="singleLevel"/>
    <w:tmpl w:val="7C39BE67"/>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270FAA"/>
    <w:rsid w:val="0CA435E9"/>
    <w:rsid w:val="0ED65AFA"/>
    <w:rsid w:val="10C055FF"/>
    <w:rsid w:val="16BB723D"/>
    <w:rsid w:val="240371BF"/>
    <w:rsid w:val="29FD04D3"/>
    <w:rsid w:val="319F7F4E"/>
    <w:rsid w:val="448540D6"/>
    <w:rsid w:val="48277177"/>
    <w:rsid w:val="4C4C0F5A"/>
    <w:rsid w:val="4ECE2238"/>
    <w:rsid w:val="650C214B"/>
    <w:rsid w:val="72734D90"/>
    <w:rsid w:val="73AF1B78"/>
    <w:rsid w:val="7CC037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22</TotalTime>
  <ScaleCrop>false</ScaleCrop>
  <LinksUpToDate>false</LinksUpToDate>
  <CharactersWithSpaces>8587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安东侠</cp:lastModifiedBy>
  <cp:lastPrinted>2020-09-17T00:51:00Z</cp:lastPrinted>
  <dcterms:modified xsi:type="dcterms:W3CDTF">2020-09-17T07:51:57Z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