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597"/>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194"/>
      <w:bookmarkStart w:id="8" w:name="_Toc15396476"/>
      <w:bookmarkStart w:id="9" w:name="_Toc15378442"/>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val="en-US" w:eastAsia="zh-CN"/>
        </w:rPr>
        <w:t>民宗局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2"/>
      </w:pPr>
      <w:r>
        <w:rPr>
          <w:rFonts w:hint="eastAsia"/>
        </w:rPr>
        <w:t>公开时间：2019年8月29日</w:t>
      </w:r>
    </w:p>
    <w:p/>
    <w:p>
      <w:pPr>
        <w:pStyle w:val="12"/>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2"/>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4"/>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（一）主要职能。（职能参照省政府批准的三定方案）</w:t>
      </w:r>
      <w:bookmarkEnd w:id="16"/>
      <w:bookmarkEnd w:id="17"/>
    </w:p>
    <w:p>
      <w:pPr>
        <w:pStyle w:val="7"/>
        <w:adjustRightInd w:val="0"/>
        <w:snapToGrid w:val="0"/>
        <w:spacing w:line="600" w:lineRule="exact"/>
        <w:ind w:firstLine="672" w:firstLineChars="210"/>
        <w:rPr>
          <w:rFonts w:hint="eastAsia"/>
          <w:bCs/>
          <w:sz w:val="32"/>
          <w:szCs w:val="32"/>
        </w:rPr>
      </w:pPr>
      <w:bookmarkStart w:id="18" w:name="_Toc15377199"/>
      <w:bookmarkStart w:id="19" w:name="_Toc15378446"/>
      <w:r>
        <w:rPr>
          <w:rFonts w:hint="eastAsia"/>
          <w:bCs/>
          <w:sz w:val="32"/>
          <w:szCs w:val="32"/>
        </w:rPr>
        <w:t>1、办公室</w:t>
      </w:r>
    </w:p>
    <w:p>
      <w:pPr>
        <w:pStyle w:val="7"/>
        <w:adjustRightInd w:val="0"/>
        <w:snapToGrid w:val="0"/>
        <w:spacing w:line="600" w:lineRule="exact"/>
        <w:ind w:firstLine="480" w:firstLineChars="150"/>
        <w:rPr>
          <w:rFonts w:hint="eastAsia"/>
          <w:bCs/>
          <w:sz w:val="32"/>
          <w:szCs w:val="32"/>
        </w:rPr>
      </w:pPr>
      <w:r>
        <w:rPr>
          <w:rFonts w:hint="eastAsia"/>
          <w:bCs/>
          <w:sz w:val="32"/>
          <w:szCs w:val="32"/>
        </w:rPr>
        <w:t xml:space="preserve"> 负责机关管理与后勤服务及内外协调工作，推动机关行政管理的科学化、规范化、制度化建设；对全县民族宗教工作目标绩效考核实施管理与指导（目标管理）；负责机关文电、会务、机要、档案、安全保密、信访、信息、宣传报道、基建、设施设备、固定资产、后勤物资管理等工作；会同有关部门开展少数民族干部的培养教育、选拔推荐工作；负责有关史志编纂工作；负责机关财务工作，严格遵守国家会计制度，定期公开财务，做到日清月结，年终核算。</w:t>
      </w:r>
    </w:p>
    <w:p>
      <w:pPr>
        <w:pStyle w:val="7"/>
        <w:adjustRightInd w:val="0"/>
        <w:snapToGrid w:val="0"/>
        <w:spacing w:line="600" w:lineRule="exact"/>
        <w:ind w:firstLine="672" w:firstLineChars="210"/>
        <w:rPr>
          <w:rFonts w:hint="eastAsia"/>
          <w:bCs/>
          <w:sz w:val="32"/>
          <w:szCs w:val="32"/>
        </w:rPr>
      </w:pPr>
      <w:r>
        <w:rPr>
          <w:rFonts w:hint="eastAsia"/>
          <w:bCs/>
          <w:sz w:val="32"/>
          <w:szCs w:val="32"/>
        </w:rPr>
        <w:t>2、宗教事务股</w:t>
      </w:r>
    </w:p>
    <w:p>
      <w:pPr>
        <w:pStyle w:val="7"/>
        <w:adjustRightInd w:val="0"/>
        <w:snapToGrid w:val="0"/>
        <w:spacing w:line="600" w:lineRule="exact"/>
        <w:ind w:firstLine="480" w:firstLineChars="150"/>
        <w:rPr>
          <w:rFonts w:hint="eastAsia"/>
          <w:bCs/>
          <w:sz w:val="32"/>
          <w:szCs w:val="32"/>
        </w:rPr>
      </w:pPr>
      <w:r>
        <w:rPr>
          <w:rFonts w:hint="eastAsia"/>
          <w:bCs/>
          <w:sz w:val="32"/>
          <w:szCs w:val="32"/>
        </w:rPr>
        <w:t xml:space="preserve"> 负责监督、检查全县贯彻执行党的宗教政策及国家和地方有关宗教的法律、法规、政策的情况；研究综合性问题，拟定具体政策措施；组织推动宗教政策、法律法规的宣传和贯彻实施；承担藏传佛教、伊斯兰教、汉传佛教事务的管理工作，调查研究并提出政策建议；指导宗教团体依法依章开展工作，联系佛教界、伊斯兰教人士；承担伊斯兰教朝觐事务等有关管理工作；承办其他宗教、民间信仰事务管理工作，配合有关部门做好防范和处理邪教工作；指导个乡镇依法对藏传佛教、伊斯兰教、汉传佛教进行管理；承担宗教工作队伍和有关人员培训规划的拟定和组织实施工作；承担宗教行政执法和有关宗教事务行政审批事项。</w:t>
      </w:r>
    </w:p>
    <w:p>
      <w:pPr>
        <w:pStyle w:val="7"/>
        <w:adjustRightInd w:val="0"/>
        <w:snapToGrid w:val="0"/>
        <w:spacing w:line="600" w:lineRule="exact"/>
        <w:ind w:firstLine="672" w:firstLineChars="210"/>
        <w:rPr>
          <w:rFonts w:hint="eastAsia"/>
          <w:bCs/>
          <w:sz w:val="32"/>
          <w:szCs w:val="32"/>
        </w:rPr>
      </w:pPr>
      <w:r>
        <w:rPr>
          <w:rFonts w:hint="eastAsia"/>
          <w:bCs/>
          <w:sz w:val="32"/>
          <w:szCs w:val="32"/>
        </w:rPr>
        <w:t>3、民族事务股</w:t>
      </w:r>
    </w:p>
    <w:p>
      <w:pPr>
        <w:pStyle w:val="7"/>
        <w:adjustRightInd w:val="0"/>
        <w:snapToGrid w:val="0"/>
        <w:spacing w:line="600" w:lineRule="exact"/>
        <w:ind w:firstLine="672" w:firstLineChars="210"/>
        <w:rPr>
          <w:rFonts w:hint="eastAsia"/>
          <w:bCs/>
          <w:sz w:val="32"/>
          <w:szCs w:val="32"/>
        </w:rPr>
      </w:pPr>
      <w:r>
        <w:rPr>
          <w:rFonts w:hint="eastAsia"/>
          <w:bCs/>
          <w:sz w:val="32"/>
          <w:szCs w:val="32"/>
        </w:rPr>
        <w:t>拟定少数民族的重大突发事件的预警、应急机制，提出构建和谐民族关系的工作建议，承担有关协调处理工作；协调、指导民族法律法规、民族政策的贯彻执行并负责督促检查；承办民族识别、民族成分风俗习惯和民族团结进步事业有关工作；承担民族法律法规、民族政策、民族知识的宣传教育工作，组织协调民族语言文字规范化、标准化和信息化工作，指导少数民族语言文字翻译工作；承办全县少数民族重大庆典活动和少数民族重要学习、参观、考察等具体事宜；参与全县维护稳定、反分裂斗争以及少数民族合法权益相关事项的协调处理工作。</w:t>
      </w:r>
    </w:p>
    <w:p>
      <w:pPr>
        <w:pStyle w:val="7"/>
        <w:adjustRightInd w:val="0"/>
        <w:snapToGrid w:val="0"/>
        <w:spacing w:line="600" w:lineRule="exact"/>
        <w:ind w:firstLine="672" w:firstLineChars="210"/>
        <w:rPr>
          <w:rFonts w:hint="eastAsia"/>
          <w:bCs/>
          <w:sz w:val="32"/>
          <w:szCs w:val="32"/>
        </w:rPr>
      </w:pPr>
      <w:r>
        <w:rPr>
          <w:rFonts w:hint="eastAsia"/>
          <w:bCs/>
          <w:sz w:val="32"/>
          <w:szCs w:val="32"/>
        </w:rPr>
        <w:t>4、两项资金管理股</w:t>
      </w:r>
    </w:p>
    <w:p>
      <w:pPr>
        <w:pStyle w:val="7"/>
        <w:adjustRightInd w:val="0"/>
        <w:snapToGrid w:val="0"/>
        <w:spacing w:line="600" w:lineRule="exact"/>
        <w:ind w:firstLine="640" w:firstLineChars="200"/>
        <w:rPr>
          <w:rFonts w:hint="eastAsia"/>
          <w:bCs/>
          <w:sz w:val="32"/>
          <w:szCs w:val="32"/>
        </w:rPr>
      </w:pPr>
      <w:r>
        <w:rPr>
          <w:rFonts w:hint="eastAsia"/>
          <w:bCs/>
          <w:sz w:val="32"/>
          <w:szCs w:val="32"/>
        </w:rPr>
        <w:t>负责研究并提出两项资金投入结构重大调整的方案及其相应的政策措施；组织两项资金项目的筛选、评估论证、报批及计划下达工作；对两项资金投资项目的审查、报批、实施、验收等全过程进行管理和监督；负责两项资金的使用和监督管理，逐步完善两项资金管理办法；负责全县少数民族发展资金和民族工作机动金的监督工作。</w:t>
      </w:r>
    </w:p>
    <w:p>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pStyle w:val="7"/>
        <w:adjustRightInd w:val="0"/>
        <w:snapToGrid w:val="0"/>
        <w:spacing w:line="600" w:lineRule="exact"/>
        <w:ind w:firstLine="672" w:firstLineChars="210"/>
        <w:rPr>
          <w:rFonts w:hint="eastAsia"/>
          <w:bCs/>
          <w:sz w:val="32"/>
          <w:szCs w:val="32"/>
        </w:rPr>
      </w:pPr>
      <w:r>
        <w:rPr>
          <w:rFonts w:hint="eastAsia"/>
          <w:bCs/>
          <w:sz w:val="32"/>
          <w:szCs w:val="32"/>
        </w:rPr>
        <w:t>1、负责协调推动有关部门履行民族、宗教工作相关职责，对全县民族、宗教工作实施管理、指导，促进民族、宗教政策在经济发展和社会事业等相关领域的实施、衔接。</w:t>
      </w:r>
    </w:p>
    <w:p>
      <w:pPr>
        <w:pStyle w:val="7"/>
        <w:adjustRightInd w:val="0"/>
        <w:snapToGrid w:val="0"/>
        <w:spacing w:line="600" w:lineRule="exact"/>
        <w:ind w:firstLine="672" w:firstLineChars="210"/>
        <w:rPr>
          <w:rFonts w:hint="eastAsia"/>
          <w:bCs/>
          <w:sz w:val="32"/>
          <w:szCs w:val="32"/>
        </w:rPr>
      </w:pPr>
      <w:r>
        <w:rPr>
          <w:rFonts w:hint="eastAsia"/>
          <w:bCs/>
          <w:sz w:val="32"/>
          <w:szCs w:val="32"/>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Style w:val="7"/>
        <w:adjustRightInd w:val="0"/>
        <w:snapToGrid w:val="0"/>
        <w:spacing w:line="600" w:lineRule="exact"/>
        <w:ind w:firstLine="672" w:firstLineChars="210"/>
        <w:rPr>
          <w:rFonts w:hint="eastAsia"/>
          <w:bCs/>
          <w:sz w:val="32"/>
          <w:szCs w:val="32"/>
        </w:rPr>
      </w:pPr>
      <w:r>
        <w:rPr>
          <w:rFonts w:hint="eastAsia"/>
          <w:bCs/>
          <w:sz w:val="32"/>
          <w:szCs w:val="32"/>
        </w:rPr>
        <w:t>3、负责管理全县少数民族语言文字工作，指导少数民族语言文字的翻译、出版和少数民族古籍的收集、整理、出版工作，会同有关部门对少数民族题材文化作品（产品）进行审查。</w:t>
      </w:r>
    </w:p>
    <w:p>
      <w:pPr>
        <w:pStyle w:val="7"/>
        <w:adjustRightInd w:val="0"/>
        <w:snapToGrid w:val="0"/>
        <w:spacing w:line="600" w:lineRule="exact"/>
        <w:ind w:firstLine="672" w:firstLineChars="210"/>
        <w:rPr>
          <w:rFonts w:hint="eastAsia"/>
          <w:bCs/>
          <w:sz w:val="32"/>
          <w:szCs w:val="32"/>
        </w:rPr>
      </w:pPr>
      <w:r>
        <w:rPr>
          <w:rFonts w:hint="eastAsia"/>
          <w:bCs/>
          <w:sz w:val="32"/>
          <w:szCs w:val="32"/>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pPr>
        <w:pStyle w:val="5"/>
        <w:rPr>
          <w:rStyle w:val="28"/>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民宗局</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民宗局</w:t>
      </w:r>
      <w:r>
        <w:rPr>
          <w:rFonts w:hint="eastAsia" w:ascii="仿宋" w:hAnsi="仿宋" w:eastAsia="仿宋"/>
          <w:color w:val="000000"/>
          <w:sz w:val="32"/>
          <w:szCs w:val="32"/>
        </w:rPr>
        <w:t>2018年度</w:t>
      </w:r>
      <w:r>
        <w:rPr>
          <w:rFonts w:hint="eastAsia" w:ascii="仿宋" w:hAnsi="仿宋" w:eastAsia="仿宋"/>
          <w:color w:val="000000"/>
          <w:sz w:val="32"/>
          <w:szCs w:val="32"/>
          <w:lang w:eastAsia="zh-CN"/>
        </w:rPr>
        <w:t>没有</w:t>
      </w:r>
      <w:r>
        <w:rPr>
          <w:rFonts w:hint="eastAsia" w:ascii="仿宋" w:hAnsi="仿宋" w:eastAsia="仿宋"/>
          <w:color w:val="000000"/>
          <w:sz w:val="32"/>
          <w:szCs w:val="32"/>
        </w:rPr>
        <w:t>纳入部门决算编制范围的二级预算单位</w:t>
      </w:r>
      <w:r>
        <w:rPr>
          <w:rFonts w:hint="eastAsia" w:ascii="仿宋" w:hAnsi="仿宋" w:eastAsia="仿宋"/>
          <w:color w:val="000000"/>
          <w:sz w:val="32"/>
          <w:szCs w:val="32"/>
          <w:lang w:eastAsia="zh-CN"/>
        </w:rPr>
        <w:t>。</w:t>
      </w: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eastAsia" w:ascii="仿宋" w:hAnsi="仿宋" w:eastAsia="仿宋"/>
          <w:color w:val="000000"/>
          <w:sz w:val="32"/>
          <w:szCs w:val="32"/>
          <w:lang w:eastAsia="zh-CN"/>
        </w:rPr>
      </w:pPr>
    </w:p>
    <w:p>
      <w:pPr>
        <w:pStyle w:val="7"/>
        <w:adjustRightInd w:val="0"/>
        <w:snapToGrid w:val="0"/>
        <w:spacing w:before="93" w:line="600" w:lineRule="exact"/>
        <w:ind w:firstLine="640" w:firstLineChars="200"/>
        <w:rPr>
          <w:rFonts w:hint="default" w:ascii="仿宋" w:hAnsi="仿宋" w:eastAsia="仿宋"/>
          <w:color w:val="000000"/>
          <w:kern w:val="0"/>
          <w:sz w:val="32"/>
          <w:szCs w:val="32"/>
          <w:lang w:val="en-US" w:eastAsia="zh-CN"/>
        </w:rPr>
      </w:pPr>
      <w:r>
        <w:rPr>
          <w:rFonts w:hint="eastAsia" w:ascii="仿宋" w:hAnsi="仿宋" w:eastAsia="仿宋"/>
          <w:color w:val="000000"/>
          <w:sz w:val="32"/>
          <w:szCs w:val="32"/>
          <w:lang w:val="en-US" w:eastAsia="zh-CN"/>
        </w:rPr>
        <w:t xml:space="preserve">                                                                                                                                                                                                                                                                                                                                                                                                                                                                                                         </w:t>
      </w:r>
    </w:p>
    <w:p>
      <w:pPr>
        <w:pStyle w:val="4"/>
        <w:ind w:right="440"/>
        <w:jc w:val="right"/>
        <w:rPr>
          <w:rStyle w:val="2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22"/>
      <w:bookmarkEnd w:id="23"/>
    </w:p>
    <w:p/>
    <w:p>
      <w:pPr>
        <w:pStyle w:val="26"/>
        <w:numPr>
          <w:ilvl w:val="0"/>
          <w:numId w:val="1"/>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1203.14</w:t>
      </w:r>
      <w:r>
        <w:rPr>
          <w:rFonts w:hint="eastAsia" w:ascii="仿宋" w:hAnsi="仿宋" w:eastAsia="仿宋"/>
          <w:color w:val="000000"/>
          <w:sz w:val="32"/>
          <w:szCs w:val="32"/>
        </w:rPr>
        <w:t>万元。与2017年相比，收、支总计各增加</w:t>
      </w:r>
      <w:r>
        <w:rPr>
          <w:rFonts w:hint="eastAsia" w:ascii="仿宋" w:hAnsi="仿宋" w:eastAsia="仿宋"/>
          <w:color w:val="000000"/>
          <w:sz w:val="32"/>
          <w:szCs w:val="32"/>
          <w:lang w:val="en-US" w:eastAsia="zh-CN"/>
        </w:rPr>
        <w:t>519.23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75.92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增加藏区项目建设</w:t>
      </w:r>
      <w:r>
        <w:rPr>
          <w:rFonts w:hint="eastAsia" w:ascii="仿宋" w:hAnsi="仿宋" w:eastAsia="仿宋"/>
          <w:color w:val="000000" w:themeColor="text1"/>
          <w:sz w:val="32"/>
          <w:szCs w:val="32"/>
          <w:lang w:val="en-US" w:eastAsia="zh-CN"/>
          <w14:textFill>
            <w14:solidFill>
              <w14:schemeClr w14:val="tx1"/>
            </w14:solidFill>
          </w14:textFill>
        </w:rPr>
        <w:t>。</w:t>
      </w:r>
    </w:p>
    <w:p>
      <w:pPr>
        <w:pStyle w:val="26"/>
        <w:numPr>
          <w:ilvl w:val="0"/>
          <w:numId w:val="0"/>
        </w:numPr>
        <w:spacing w:line="600" w:lineRule="exact"/>
        <w:ind w:firstLine="640" w:firstLineChars="20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968.47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968.47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6"/>
        <w:numPr>
          <w:ilvl w:val="0"/>
          <w:numId w:val="0"/>
        </w:numPr>
        <w:spacing w:line="600" w:lineRule="exact"/>
        <w:ind w:firstLine="640" w:firstLineChars="200"/>
        <w:outlineLvl w:val="1"/>
        <w:rPr>
          <w:rStyle w:val="28"/>
          <w:rFonts w:ascii="黑体" w:hAnsi="黑体" w:eastAsia="黑体"/>
          <w:b w:val="0"/>
        </w:rPr>
      </w:pPr>
      <w:bookmarkStart w:id="28" w:name="_Toc15396605"/>
      <w:bookmarkStart w:id="29" w:name="_Toc15377207"/>
      <w:r>
        <w:rPr>
          <w:rFonts w:hint="eastAsia" w:ascii="黑体" w:hAnsi="黑体" w:eastAsia="黑体"/>
          <w:color w:val="000000"/>
          <w:sz w:val="32"/>
          <w:szCs w:val="32"/>
          <w:lang w:val="en-US" w:eastAsia="zh-CN"/>
        </w:rPr>
        <w:t>二、</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414.43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268.11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64.69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146.32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35.31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8"/>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、支总计</w:t>
      </w:r>
      <w:r>
        <w:rPr>
          <w:rFonts w:hint="eastAsia" w:ascii="仿宋" w:hAnsi="仿宋" w:eastAsia="仿宋"/>
          <w:color w:val="000000"/>
          <w:sz w:val="32"/>
          <w:szCs w:val="32"/>
          <w:lang w:val="en-US" w:eastAsia="zh-CN"/>
        </w:rPr>
        <w:t>1203.14万元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、支总计</w:t>
      </w:r>
      <w:r>
        <w:rPr>
          <w:rFonts w:hint="eastAsia" w:ascii="仿宋" w:hAnsi="仿宋" w:eastAsia="仿宋"/>
          <w:color w:val="000000"/>
          <w:sz w:val="32"/>
          <w:szCs w:val="32"/>
          <w:lang w:val="en-US" w:eastAsia="zh-CN"/>
        </w:rPr>
        <w:t>增加519.23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75.92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增加了寺庙藏区项目建设。</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pPr>
        <w:spacing w:line="600" w:lineRule="exact"/>
        <w:ind w:firstLine="320" w:firstLineChars="100"/>
        <w:outlineLvl w:val="1"/>
        <w:rPr>
          <w:rStyle w:val="2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414.43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7年相比，一般公共预算财政拨款减少</w:t>
      </w:r>
      <w:r>
        <w:rPr>
          <w:rFonts w:hint="eastAsia" w:ascii="仿宋" w:hAnsi="仿宋" w:eastAsia="仿宋"/>
          <w:color w:val="000000"/>
          <w:sz w:val="32"/>
          <w:szCs w:val="32"/>
          <w:lang w:val="en-US" w:eastAsia="zh-CN"/>
        </w:rPr>
        <w:t>69.93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14.44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藏区寺庙项目正在建设中只支付了前期建设经费。</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414.43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323.26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78.04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w:t>
      </w:r>
      <w:r>
        <w:rPr>
          <w:rFonts w:hint="eastAsia" w:ascii="仿宋" w:hAnsi="仿宋" w:eastAsia="仿宋"/>
          <w:b/>
          <w:color w:val="000000" w:themeColor="text1"/>
          <w:sz w:val="32"/>
          <w:szCs w:val="32"/>
          <w:lang w:val="en-US" w:eastAsia="zh-CN"/>
          <w14:textFill>
            <w14:solidFill>
              <w14:schemeClr w14:val="tx1"/>
            </w14:solidFill>
          </w14:textFill>
        </w:rPr>
        <w:t>206</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28.47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17.60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13.35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3.22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；商业服务业等支出</w:t>
      </w:r>
      <w:r>
        <w:rPr>
          <w:rFonts w:hint="eastAsia" w:ascii="仿宋" w:hAnsi="仿宋" w:eastAsia="仿宋"/>
          <w:color w:val="000000" w:themeColor="text1"/>
          <w:sz w:val="32"/>
          <w:szCs w:val="32"/>
          <w:lang w:val="en-US" w:eastAsia="zh-CN"/>
          <w14:textFill>
            <w14:solidFill>
              <w14:schemeClr w14:val="tx1"/>
            </w14:solidFill>
          </w14:textFill>
        </w:rPr>
        <w:t>15.78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15.97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414.43</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rPr>
        <w:t>一般公共服务（</w:t>
      </w:r>
      <w:r>
        <w:rPr>
          <w:rStyle w:val="17"/>
          <w:rFonts w:hint="eastAsia" w:ascii="仿宋" w:hAnsi="仿宋" w:eastAsia="仿宋"/>
          <w:bCs/>
          <w:color w:val="000000"/>
          <w:sz w:val="32"/>
          <w:szCs w:val="32"/>
          <w:lang w:val="en-US" w:eastAsia="zh-CN"/>
        </w:rPr>
        <w:t>201</w:t>
      </w:r>
      <w:r>
        <w:rPr>
          <w:rStyle w:val="17"/>
          <w:rFonts w:hint="eastAsia" w:ascii="仿宋" w:hAnsi="仿宋" w:eastAsia="仿宋"/>
          <w:bCs/>
          <w:color w:val="000000"/>
          <w:sz w:val="32"/>
          <w:szCs w:val="32"/>
        </w:rPr>
        <w:t>）</w:t>
      </w:r>
    </w:p>
    <w:p>
      <w:pPr>
        <w:numPr>
          <w:ilvl w:val="0"/>
          <w:numId w:val="0"/>
        </w:numPr>
        <w:spacing w:line="600" w:lineRule="exact"/>
        <w:ind w:firstLine="643" w:firstLineChars="200"/>
        <w:rPr>
          <w:rStyle w:val="17"/>
          <w:rFonts w:hint="eastAsia" w:ascii="仿宋" w:hAnsi="仿宋" w:eastAsia="仿宋"/>
          <w:b w:val="0"/>
          <w:bCs/>
          <w:color w:val="000000"/>
          <w:sz w:val="32"/>
          <w:szCs w:val="32"/>
          <w:lang w:val="en-US" w:eastAsia="zh-CN"/>
        </w:rPr>
      </w:pPr>
      <w:r>
        <w:rPr>
          <w:rStyle w:val="17"/>
          <w:rFonts w:hint="eastAsia" w:ascii="仿宋" w:hAnsi="仿宋" w:eastAsia="仿宋"/>
          <w:bCs/>
          <w:color w:val="000000"/>
          <w:sz w:val="32"/>
          <w:szCs w:val="32"/>
          <w:lang w:eastAsia="zh-CN"/>
        </w:rPr>
        <w:t>民族事务</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23</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其他民族事务支出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val="en-US" w:eastAsia="zh-CN"/>
        </w:rPr>
      </w:pPr>
      <w:r>
        <w:rPr>
          <w:rStyle w:val="17"/>
          <w:rFonts w:hint="eastAsia" w:ascii="仿宋" w:hAnsi="仿宋" w:eastAsia="仿宋"/>
          <w:bCs/>
          <w:color w:val="000000"/>
          <w:sz w:val="32"/>
          <w:szCs w:val="32"/>
          <w:lang w:eastAsia="zh-CN"/>
        </w:rPr>
        <w:t>宗教事务</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24</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行政运行</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207.58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val="en-US" w:eastAsia="zh-CN"/>
        </w:rPr>
      </w:pPr>
      <w:r>
        <w:rPr>
          <w:rStyle w:val="17"/>
          <w:rFonts w:hint="eastAsia" w:ascii="仿宋" w:hAnsi="仿宋" w:eastAsia="仿宋"/>
          <w:bCs/>
          <w:color w:val="000000"/>
          <w:sz w:val="32"/>
          <w:szCs w:val="32"/>
          <w:lang w:eastAsia="zh-CN"/>
        </w:rPr>
        <w:t>宗教事务</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24</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其他宗教事务支出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110.38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组织事务</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32</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其他组织事务支出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0.3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w:t>
      </w:r>
      <w:r>
        <w:rPr>
          <w:rStyle w:val="17"/>
          <w:rFonts w:hint="eastAsia" w:ascii="仿宋" w:hAnsi="仿宋" w:eastAsia="仿宋"/>
          <w:bCs/>
          <w:color w:val="000000"/>
          <w:sz w:val="32"/>
          <w:szCs w:val="32"/>
          <w:lang w:val="en-US" w:eastAsia="zh-CN"/>
        </w:rPr>
        <w:t>208</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行政事业单位离退休</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机关事业单位基本养老保险缴费支出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28.47</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Cs/>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rPr>
        <w:t>）</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eastAsia="zh-CN"/>
        </w:rPr>
        <w:t>公共卫生</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04</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其他公共卫生支出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行政事业单位医疗</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行政单位医疗</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13.04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行政事业单位医疗</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公务员医疗补助</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03</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1.92</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行政事业单位医疗</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其他行政事业单位医疗支出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1.13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3"/>
        </w:numPr>
        <w:spacing w:line="600" w:lineRule="exact"/>
        <w:ind w:firstLine="643" w:firstLineChars="200"/>
        <w:rPr>
          <w:rStyle w:val="17"/>
          <w:rFonts w:hint="eastAsia" w:ascii="仿宋" w:hAnsi="仿宋" w:eastAsia="仿宋"/>
          <w:bCs/>
          <w:color w:val="000000"/>
          <w:sz w:val="32"/>
          <w:szCs w:val="32"/>
        </w:rPr>
      </w:pPr>
      <w:r>
        <w:rPr>
          <w:rStyle w:val="17"/>
          <w:rFonts w:hint="eastAsia" w:ascii="仿宋" w:hAnsi="仿宋" w:eastAsia="仿宋"/>
          <w:bCs/>
          <w:color w:val="000000"/>
          <w:sz w:val="32"/>
          <w:szCs w:val="32"/>
          <w:lang w:eastAsia="zh-CN"/>
        </w:rPr>
        <w:t>农林水支出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213</w:t>
      </w:r>
      <w:r>
        <w:rPr>
          <w:rStyle w:val="17"/>
          <w:rFonts w:hint="eastAsia" w:ascii="仿宋" w:hAnsi="仿宋" w:eastAsia="仿宋"/>
          <w:bCs/>
          <w:color w:val="000000"/>
          <w:sz w:val="32"/>
          <w:szCs w:val="32"/>
        </w:rPr>
        <w:t>）</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eastAsia="zh-CN"/>
        </w:rPr>
        <w:t>农业</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其他农业支出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6.35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0" w:firstLineChars="200"/>
        <w:rPr>
          <w:rStyle w:val="17"/>
          <w:rFonts w:hint="eastAsia" w:ascii="仿宋" w:hAnsi="仿宋" w:eastAsia="仿宋"/>
          <w:b w:val="0"/>
          <w:bCs/>
          <w:color w:val="000000"/>
          <w:sz w:val="32"/>
          <w:szCs w:val="32"/>
          <w:lang w:eastAsia="zh-CN"/>
        </w:rPr>
      </w:pPr>
      <w:r>
        <w:rPr>
          <w:rStyle w:val="17"/>
          <w:rFonts w:hint="eastAsia" w:ascii="仿宋" w:hAnsi="仿宋" w:eastAsia="仿宋"/>
          <w:b w:val="0"/>
          <w:bCs/>
          <w:color w:val="000000"/>
          <w:sz w:val="32"/>
          <w:szCs w:val="32"/>
          <w:lang w:val="en-US" w:eastAsia="zh-CN"/>
        </w:rPr>
        <w:t xml:space="preserve"> </w:t>
      </w:r>
      <w:r>
        <w:rPr>
          <w:rStyle w:val="17"/>
          <w:rFonts w:hint="eastAsia" w:ascii="仿宋" w:hAnsi="仿宋" w:eastAsia="仿宋"/>
          <w:bCs/>
          <w:color w:val="000000"/>
          <w:sz w:val="32"/>
          <w:szCs w:val="32"/>
          <w:lang w:val="en-US" w:eastAsia="zh-CN"/>
        </w:rPr>
        <w:t>其他农林水支出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其他农林水支出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7.00</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5、</w:t>
      </w:r>
      <w:r>
        <w:rPr>
          <w:rStyle w:val="17"/>
          <w:rFonts w:hint="eastAsia" w:ascii="仿宋" w:hAnsi="仿宋" w:eastAsia="仿宋"/>
          <w:bCs/>
          <w:color w:val="000000"/>
          <w:sz w:val="32"/>
          <w:szCs w:val="32"/>
          <w:lang w:eastAsia="zh-CN"/>
        </w:rPr>
        <w:t>商业服务业等支出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216</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旅游业管理与服务支出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其他</w:t>
      </w:r>
      <w:r>
        <w:rPr>
          <w:rStyle w:val="17"/>
          <w:rFonts w:hint="eastAsia" w:ascii="仿宋" w:hAnsi="仿宋" w:eastAsia="仿宋"/>
          <w:bCs/>
          <w:color w:val="000000"/>
          <w:sz w:val="32"/>
          <w:szCs w:val="32"/>
          <w:lang w:val="en-US" w:eastAsia="zh-CN"/>
        </w:rPr>
        <w:t>旅游业管理与服务支出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15.78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6、</w:t>
      </w:r>
      <w:r>
        <w:rPr>
          <w:rStyle w:val="17"/>
          <w:rFonts w:hint="eastAsia" w:ascii="仿宋" w:hAnsi="仿宋" w:eastAsia="仿宋"/>
          <w:bCs/>
          <w:color w:val="000000"/>
          <w:sz w:val="32"/>
          <w:szCs w:val="32"/>
          <w:lang w:eastAsia="zh-CN"/>
        </w:rPr>
        <w:t>住房保障支出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221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住房改革支出</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住房公积金</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15.97</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r>
        <w:rPr>
          <w:rStyle w:val="17"/>
          <w:rFonts w:hint="eastAsia" w:ascii="仿宋" w:hAnsi="仿宋" w:eastAsia="仿宋"/>
          <w:b w:val="0"/>
          <w:bCs/>
          <w:color w:val="000000"/>
          <w:sz w:val="32"/>
          <w:szCs w:val="32"/>
        </w:rPr>
        <w:t>决算数等于预算数的主要原因</w:t>
      </w:r>
      <w:r>
        <w:rPr>
          <w:rStyle w:val="17"/>
          <w:rFonts w:hint="eastAsia" w:ascii="仿宋" w:hAnsi="仿宋" w:eastAsia="仿宋"/>
          <w:b w:val="0"/>
          <w:bCs/>
          <w:color w:val="000000"/>
          <w:sz w:val="32"/>
          <w:szCs w:val="32"/>
          <w:lang w:val="en-US" w:eastAsia="zh-CN"/>
        </w:rPr>
        <w:t>:调整预算数后等于决算数。</w:t>
      </w:r>
    </w:p>
    <w:p>
      <w:pPr>
        <w:numPr>
          <w:ilvl w:val="0"/>
          <w:numId w:val="0"/>
        </w:numPr>
        <w:spacing w:line="600" w:lineRule="exact"/>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tabs>
          <w:tab w:val="right" w:pos="8306"/>
        </w:tabs>
        <w:spacing w:line="600" w:lineRule="exact"/>
        <w:ind w:firstLine="640" w:firstLineChars="200"/>
        <w:outlineLvl w:val="1"/>
        <w:rPr>
          <w:rStyle w:val="2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268.11</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224.96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43.15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（数据来源财决</w:t>
      </w:r>
      <w:r>
        <w:rPr>
          <w:rFonts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14:textFill>
            <w14:solidFill>
              <w14:schemeClr w14:val="tx1"/>
            </w14:solidFill>
          </w14:textFill>
        </w:rPr>
        <w:t>7表，根据本部门实际支出情况罗列全部经济分类科目。）</w:t>
      </w:r>
    </w:p>
    <w:p>
      <w:pPr>
        <w:spacing w:line="600" w:lineRule="exact"/>
        <w:ind w:firstLine="640" w:firstLineChars="200"/>
        <w:outlineLvl w:val="1"/>
        <w:rPr>
          <w:rStyle w:val="28"/>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9.33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w:t>
      </w:r>
      <w:r>
        <w:rPr>
          <w:rFonts w:hint="eastAsia" w:ascii="仿宋" w:hAnsi="仿宋" w:eastAsia="仿宋"/>
          <w:color w:val="000000"/>
          <w:sz w:val="32"/>
          <w:szCs w:val="32"/>
          <w:lang w:eastAsia="zh-CN"/>
        </w:rPr>
        <w:t>是严格履行厉行节约原则，控制“三公”经费开支</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93.78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6.22</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4"/>
        </w:num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8.75</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1.48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20.28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2018年增加了民族团结创建工作和脱贫攻坚工作，下乡次数增加故燃油量增加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atLeas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8.75</w:t>
      </w:r>
      <w:r>
        <w:rPr>
          <w:rFonts w:hint="eastAsia" w:ascii="仿宋_GB2312" w:eastAsia="仿宋_GB2312"/>
          <w:color w:val="000000"/>
          <w:sz w:val="32"/>
          <w:szCs w:val="32"/>
        </w:rPr>
        <w:t>万元。主要用于主要用于</w:t>
      </w:r>
      <w:r>
        <w:rPr>
          <w:rFonts w:hint="eastAsia" w:ascii="仿宋_GB2312" w:eastAsia="仿宋_GB2312"/>
          <w:color w:val="000000"/>
          <w:sz w:val="32"/>
          <w:szCs w:val="32"/>
          <w:lang w:eastAsia="zh-CN"/>
        </w:rPr>
        <w:t>脱贫攻坚、</w:t>
      </w:r>
      <w:r>
        <w:rPr>
          <w:rFonts w:hint="eastAsia" w:ascii="仿宋_GB2312" w:eastAsia="仿宋_GB2312"/>
          <w:color w:val="000000"/>
          <w:sz w:val="32"/>
          <w:szCs w:val="32"/>
        </w:rPr>
        <w:t>宗教、民族、两项资金</w:t>
      </w:r>
      <w:r>
        <w:rPr>
          <w:rFonts w:hint="eastAsia" w:ascii="仿宋_GB2312" w:eastAsia="仿宋_GB2312"/>
          <w:color w:val="000000"/>
          <w:sz w:val="32"/>
          <w:szCs w:val="32"/>
          <w:lang w:eastAsia="zh-CN"/>
        </w:rPr>
        <w:t>、创建工作、山水文化编撰</w:t>
      </w:r>
      <w:r>
        <w:rPr>
          <w:rFonts w:hint="eastAsia" w:ascii="仿宋_GB2312" w:eastAsia="仿宋_GB2312"/>
          <w:color w:val="000000"/>
          <w:sz w:val="32"/>
          <w:szCs w:val="32"/>
        </w:rPr>
        <w:t>等所需的公务用车燃料费、维修费、过路过桥费、保险费等支出。等所需的公务用车燃料费、维修费、过路过桥费、保险费等支出。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0.58</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1.75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接待任务稍有增加</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136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0.58</w:t>
      </w:r>
      <w:r>
        <w:rPr>
          <w:rFonts w:hint="eastAsia" w:ascii="仿宋_GB2312" w:eastAsia="仿宋_GB2312"/>
          <w:color w:val="000000"/>
          <w:sz w:val="32"/>
          <w:szCs w:val="32"/>
        </w:rPr>
        <w:t>万元，具体内容包括：接待两资项目检查、验收；民族团结示范村社创建工作检查验收；宗教界人士相互学习考察等。其中：外事接待0批次，0人，共计支出0万。其中：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8"/>
          <w:rFonts w:ascii="黑体" w:hAnsi="黑体" w:eastAsia="黑体"/>
        </w:rPr>
      </w:pPr>
      <w:bookmarkStart w:id="46" w:name="_Toc15396610"/>
      <w:bookmarkStart w:id="47" w:name="_Toc15377218"/>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lang w:eastAsia="zh-CN"/>
        </w:rPr>
        <w:t>九、</w:t>
      </w:r>
      <w:r>
        <w:rPr>
          <w:rStyle w:val="28"/>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6"/>
        <w:numPr>
          <w:ilvl w:val="0"/>
          <w:numId w:val="5"/>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个项目开展了绩效目标完成情况梳理填报。</w:t>
      </w:r>
    </w:p>
    <w:p>
      <w:pPr>
        <w:keepNext w:val="0"/>
        <w:keepLines w:val="0"/>
        <w:widowControl/>
        <w:suppressLineNumbers w:val="0"/>
        <w:spacing w:before="0" w:beforeAutospacing="0" w:after="0" w:afterAutospacing="0" w:line="220" w:lineRule="atLeast"/>
        <w:ind w:left="0" w:right="-197" w:rightChars="-94" w:firstLine="646" w:firstLineChars="202"/>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kern w:val="2"/>
          <w:sz w:val="32"/>
          <w:szCs w:val="32"/>
          <w:lang w:val="en-US" w:eastAsia="zh-CN" w:bidi="ar"/>
        </w:rPr>
        <w:t>本单位履职效益情况良好，对各项支出严格按照预算额度进行控制，</w:t>
      </w:r>
      <w:r>
        <w:rPr>
          <w:rFonts w:hint="eastAsia" w:ascii="仿宋_GB2312" w:hAnsi="仿宋_GB2312" w:eastAsia="仿宋_GB2312" w:cs="仿宋_GB2312"/>
          <w:color w:val="212121"/>
          <w:kern w:val="0"/>
          <w:sz w:val="32"/>
          <w:szCs w:val="32"/>
          <w:lang w:val="en-US" w:eastAsia="zh-CN" w:bidi="ar"/>
        </w:rPr>
        <w:t>本年预算配置方面，财政供养人员控制在预算编制以内，编制内在职人员控制率小于100%,“三公经费”控制较好</w:t>
      </w:r>
      <w:r>
        <w:rPr>
          <w:rFonts w:hint="eastAsia" w:ascii="仿宋_GB2312" w:hAnsi="仿宋_GB2312" w:eastAsia="仿宋_GB2312" w:cs="仿宋_GB2312"/>
          <w:sz w:val="32"/>
          <w:szCs w:val="32"/>
        </w:rPr>
        <w:t>。</w:t>
      </w: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val="en-US" w:eastAsia="zh-CN"/>
        </w:rPr>
        <w:t>民宗局</w:t>
      </w:r>
      <w:r>
        <w:rPr>
          <w:rFonts w:hint="eastAsia" w:ascii="仿宋_GB2312" w:hAnsi="仿宋_GB2312" w:eastAsia="仿宋_GB2312" w:cs="仿宋_GB2312"/>
          <w:sz w:val="32"/>
          <w:szCs w:val="32"/>
        </w:rPr>
        <w:t>部门2018年部门整体支出绩效评价报告》见附件。</w:t>
      </w:r>
    </w:p>
    <w:p>
      <w:pPr>
        <w:spacing w:line="600" w:lineRule="exact"/>
        <w:ind w:firstLine="640" w:firstLineChars="20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民宗局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43.15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3.28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7.06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2018年退休3人，人员经费减少。</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民宗局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民宗局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7"/>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numPr>
          <w:ilvl w:val="0"/>
          <w:numId w:val="0"/>
        </w:numPr>
        <w:spacing w:line="600" w:lineRule="exact"/>
        <w:ind w:firstLine="640" w:firstLineChars="2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4、</w:t>
      </w:r>
      <w:r>
        <w:rPr>
          <w:rStyle w:val="17"/>
          <w:rFonts w:hint="eastAsia" w:ascii="仿宋" w:hAnsi="仿宋" w:eastAsia="仿宋"/>
          <w:b w:val="0"/>
          <w:bCs w:val="0"/>
          <w:color w:val="000000"/>
          <w:sz w:val="32"/>
          <w:szCs w:val="32"/>
        </w:rPr>
        <w:t>一般公共服务（</w:t>
      </w:r>
      <w:r>
        <w:rPr>
          <w:rStyle w:val="17"/>
          <w:rFonts w:hint="eastAsia" w:ascii="仿宋" w:hAnsi="仿宋" w:eastAsia="仿宋"/>
          <w:b w:val="0"/>
          <w:bCs w:val="0"/>
          <w:color w:val="000000"/>
          <w:sz w:val="32"/>
          <w:szCs w:val="32"/>
          <w:lang w:val="en-US" w:eastAsia="zh-CN"/>
        </w:rPr>
        <w:t>201</w:t>
      </w:r>
      <w:r>
        <w:rPr>
          <w:rStyle w:val="17"/>
          <w:rFonts w:hint="eastAsia" w:ascii="仿宋" w:hAnsi="仿宋" w:eastAsia="仿宋"/>
          <w:b w:val="0"/>
          <w:bCs w:val="0"/>
          <w:color w:val="000000"/>
          <w:sz w:val="32"/>
          <w:szCs w:val="32"/>
        </w:rPr>
        <w:t>）</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eastAsia="zh-CN"/>
        </w:rPr>
        <w:t>民族事务</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23</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其他民族事务支出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 xml:space="preserve">: </w:t>
      </w:r>
      <w:r>
        <w:rPr>
          <w:rStyle w:val="17"/>
          <w:rFonts w:hint="eastAsia" w:ascii="仿宋" w:hAnsi="仿宋" w:eastAsia="仿宋"/>
          <w:b w:val="0"/>
          <w:bCs w:val="0"/>
          <w:color w:val="000000"/>
          <w:sz w:val="32"/>
          <w:szCs w:val="32"/>
          <w:lang w:eastAsia="zh-CN"/>
        </w:rPr>
        <w:t>指民族团结创建、民族团结等工作支出；</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eastAsia="zh-CN"/>
        </w:rPr>
        <w:t>宗教事务</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24</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行政运行</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01</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 xml:space="preserve">: </w:t>
      </w:r>
      <w:r>
        <w:rPr>
          <w:rStyle w:val="17"/>
          <w:rFonts w:hint="eastAsia" w:ascii="仿宋" w:hAnsi="仿宋" w:eastAsia="仿宋"/>
          <w:b w:val="0"/>
          <w:bCs w:val="0"/>
          <w:color w:val="000000"/>
          <w:sz w:val="32"/>
          <w:szCs w:val="32"/>
          <w:lang w:eastAsia="zh-CN"/>
        </w:rPr>
        <w:t>指局机关行政运行经费支出；</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eastAsia="zh-CN"/>
        </w:rPr>
        <w:t>宗教事务</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24</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其他宗教事务支出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 xml:space="preserve">: </w:t>
      </w:r>
      <w:r>
        <w:rPr>
          <w:rStyle w:val="17"/>
          <w:rFonts w:hint="eastAsia" w:ascii="仿宋" w:hAnsi="仿宋" w:eastAsia="仿宋"/>
          <w:b w:val="0"/>
          <w:bCs w:val="0"/>
          <w:color w:val="000000"/>
          <w:sz w:val="32"/>
          <w:szCs w:val="32"/>
          <w:lang w:eastAsia="zh-CN"/>
        </w:rPr>
        <w:t>指寺庙建设、维修相关支出；</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组织事务</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32</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其他组织事务支出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 xml:space="preserve">: </w:t>
      </w:r>
      <w:r>
        <w:rPr>
          <w:rStyle w:val="17"/>
          <w:rFonts w:hint="eastAsia" w:ascii="仿宋" w:hAnsi="仿宋" w:eastAsia="仿宋"/>
          <w:b w:val="0"/>
          <w:bCs w:val="0"/>
          <w:color w:val="000000"/>
          <w:sz w:val="32"/>
          <w:szCs w:val="32"/>
          <w:lang w:eastAsia="zh-CN"/>
        </w:rPr>
        <w:t>指党建工作经费。</w:t>
      </w:r>
    </w:p>
    <w:p>
      <w:pPr>
        <w:numPr>
          <w:ilvl w:val="0"/>
          <w:numId w:val="0"/>
        </w:numPr>
        <w:spacing w:line="600" w:lineRule="exact"/>
        <w:ind w:leftChars="200" w:firstLine="320" w:firstLineChars="1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5、</w:t>
      </w:r>
      <w:r>
        <w:rPr>
          <w:rStyle w:val="17"/>
          <w:rFonts w:hint="eastAsia" w:ascii="仿宋" w:hAnsi="仿宋" w:eastAsia="仿宋"/>
          <w:b w:val="0"/>
          <w:bCs w:val="0"/>
          <w:color w:val="000000"/>
          <w:sz w:val="32"/>
          <w:szCs w:val="32"/>
        </w:rPr>
        <w:t>社会保障和就业（</w:t>
      </w:r>
      <w:r>
        <w:rPr>
          <w:rStyle w:val="17"/>
          <w:rFonts w:hint="eastAsia" w:ascii="仿宋" w:hAnsi="仿宋" w:eastAsia="仿宋"/>
          <w:b w:val="0"/>
          <w:bCs w:val="0"/>
          <w:color w:val="000000"/>
          <w:sz w:val="32"/>
          <w:szCs w:val="32"/>
          <w:lang w:val="en-US" w:eastAsia="zh-CN"/>
        </w:rPr>
        <w:t>208</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行政事业单位离退休</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05</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机关事业单位基本养老保险缴费支出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05</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 xml:space="preserve">: </w:t>
      </w:r>
      <w:r>
        <w:rPr>
          <w:rStyle w:val="17"/>
          <w:rFonts w:hint="eastAsia" w:ascii="仿宋" w:hAnsi="仿宋" w:eastAsia="仿宋"/>
          <w:b w:val="0"/>
          <w:bCs w:val="0"/>
          <w:color w:val="000000"/>
          <w:sz w:val="32"/>
          <w:szCs w:val="32"/>
          <w:lang w:eastAsia="zh-CN"/>
        </w:rPr>
        <w:t>指局机关人员养老保险经费。</w:t>
      </w:r>
    </w:p>
    <w:p>
      <w:pPr>
        <w:numPr>
          <w:ilvl w:val="0"/>
          <w:numId w:val="0"/>
        </w:numPr>
        <w:spacing w:line="600" w:lineRule="exact"/>
        <w:ind w:leftChars="200" w:firstLine="320" w:firstLineChars="100"/>
        <w:rPr>
          <w:rStyle w:val="17"/>
          <w:rFonts w:hint="eastAsia" w:ascii="仿宋" w:hAnsi="仿宋" w:eastAsia="仿宋"/>
          <w:b w:val="0"/>
          <w:bCs w:val="0"/>
          <w:color w:val="000000"/>
          <w:sz w:val="32"/>
          <w:szCs w:val="32"/>
        </w:rPr>
      </w:pPr>
      <w:r>
        <w:rPr>
          <w:rStyle w:val="17"/>
          <w:rFonts w:hint="eastAsia" w:ascii="仿宋" w:hAnsi="仿宋" w:eastAsia="仿宋"/>
          <w:b w:val="0"/>
          <w:bCs w:val="0"/>
          <w:color w:val="000000"/>
          <w:sz w:val="32"/>
          <w:szCs w:val="32"/>
          <w:lang w:val="en-US" w:eastAsia="zh-CN"/>
        </w:rPr>
        <w:t>6、</w:t>
      </w:r>
      <w:r>
        <w:rPr>
          <w:rStyle w:val="17"/>
          <w:rFonts w:hint="eastAsia" w:ascii="仿宋" w:hAnsi="仿宋" w:eastAsia="仿宋"/>
          <w:b w:val="0"/>
          <w:bCs w:val="0"/>
          <w:color w:val="000000"/>
          <w:sz w:val="32"/>
          <w:szCs w:val="32"/>
        </w:rPr>
        <w:t>医疗卫生与计划生育（</w:t>
      </w:r>
      <w:r>
        <w:rPr>
          <w:rStyle w:val="17"/>
          <w:rFonts w:hint="eastAsia" w:ascii="仿宋" w:hAnsi="仿宋" w:eastAsia="仿宋"/>
          <w:b w:val="0"/>
          <w:bCs w:val="0"/>
          <w:color w:val="000000"/>
          <w:sz w:val="32"/>
          <w:szCs w:val="32"/>
          <w:lang w:val="en-US" w:eastAsia="zh-CN"/>
        </w:rPr>
        <w:t>210</w:t>
      </w:r>
      <w:r>
        <w:rPr>
          <w:rStyle w:val="17"/>
          <w:rFonts w:hint="eastAsia" w:ascii="仿宋" w:hAnsi="仿宋" w:eastAsia="仿宋"/>
          <w:b w:val="0"/>
          <w:bCs w:val="0"/>
          <w:color w:val="000000"/>
          <w:sz w:val="32"/>
          <w:szCs w:val="32"/>
        </w:rPr>
        <w:t>）</w:t>
      </w:r>
    </w:p>
    <w:p>
      <w:pPr>
        <w:numPr>
          <w:ilvl w:val="0"/>
          <w:numId w:val="0"/>
        </w:numPr>
        <w:spacing w:line="600" w:lineRule="exact"/>
        <w:ind w:firstLine="1280" w:firstLineChars="4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eastAsia="zh-CN"/>
        </w:rPr>
        <w:t>公共卫生</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04</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其他公共卫生支出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指包虫病预防经费；</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行政事业单位医疗</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11</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行政单位医疗</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01</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指局机关人员医疗保险经费支出；</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行政事业单位医疗</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11</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公务员医疗补助</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03</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指局机关人员公务员医疗补助经费支出；</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行政事业单位医疗</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11</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其他行政事业单位医疗支出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指局机关职工体检费。</w:t>
      </w:r>
    </w:p>
    <w:p>
      <w:pPr>
        <w:numPr>
          <w:ilvl w:val="0"/>
          <w:numId w:val="0"/>
        </w:numPr>
        <w:spacing w:line="600" w:lineRule="exact"/>
        <w:ind w:firstLine="640" w:firstLineChars="200"/>
        <w:rPr>
          <w:rStyle w:val="17"/>
          <w:rFonts w:hint="eastAsia" w:ascii="仿宋" w:hAnsi="仿宋" w:eastAsia="仿宋"/>
          <w:b w:val="0"/>
          <w:bCs w:val="0"/>
          <w:color w:val="000000"/>
          <w:sz w:val="32"/>
          <w:szCs w:val="32"/>
        </w:rPr>
      </w:pPr>
      <w:r>
        <w:rPr>
          <w:rStyle w:val="17"/>
          <w:rFonts w:hint="eastAsia" w:ascii="仿宋" w:hAnsi="仿宋" w:eastAsia="仿宋"/>
          <w:b w:val="0"/>
          <w:bCs w:val="0"/>
          <w:color w:val="000000"/>
          <w:sz w:val="32"/>
          <w:szCs w:val="32"/>
          <w:lang w:val="en-US" w:eastAsia="zh-CN"/>
        </w:rPr>
        <w:t>7、</w:t>
      </w:r>
      <w:r>
        <w:rPr>
          <w:rStyle w:val="17"/>
          <w:rFonts w:hint="eastAsia" w:ascii="仿宋" w:hAnsi="仿宋" w:eastAsia="仿宋"/>
          <w:b w:val="0"/>
          <w:bCs w:val="0"/>
          <w:color w:val="000000"/>
          <w:sz w:val="32"/>
          <w:szCs w:val="32"/>
          <w:lang w:eastAsia="zh-CN"/>
        </w:rPr>
        <w:t>农林水支出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213</w:t>
      </w:r>
      <w:r>
        <w:rPr>
          <w:rStyle w:val="17"/>
          <w:rFonts w:hint="eastAsia" w:ascii="仿宋" w:hAnsi="仿宋" w:eastAsia="仿宋"/>
          <w:b w:val="0"/>
          <w:bCs w:val="0"/>
          <w:color w:val="000000"/>
          <w:sz w:val="32"/>
          <w:szCs w:val="32"/>
        </w:rPr>
        <w:t>）</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eastAsia="zh-CN"/>
        </w:rPr>
        <w:t>农业</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01</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其他农业支出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指两资项目管理费。</w:t>
      </w:r>
    </w:p>
    <w:p>
      <w:pPr>
        <w:numPr>
          <w:ilvl w:val="0"/>
          <w:numId w:val="0"/>
        </w:numPr>
        <w:spacing w:line="600" w:lineRule="exact"/>
        <w:ind w:firstLine="960" w:firstLineChars="3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其他农林水支出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其他农林水支出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指民族团结进步示范创建经费支出。</w:t>
      </w:r>
    </w:p>
    <w:p>
      <w:pPr>
        <w:numPr>
          <w:ilvl w:val="0"/>
          <w:numId w:val="0"/>
        </w:numPr>
        <w:spacing w:line="600" w:lineRule="exact"/>
        <w:ind w:leftChars="200" w:firstLine="320" w:firstLineChars="1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8、</w:t>
      </w:r>
      <w:r>
        <w:rPr>
          <w:rStyle w:val="17"/>
          <w:rFonts w:hint="eastAsia" w:ascii="仿宋" w:hAnsi="仿宋" w:eastAsia="仿宋"/>
          <w:b w:val="0"/>
          <w:bCs w:val="0"/>
          <w:color w:val="000000"/>
          <w:sz w:val="32"/>
          <w:szCs w:val="32"/>
          <w:lang w:eastAsia="zh-CN"/>
        </w:rPr>
        <w:t>商业服务业等支出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216</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旅游业管理与服务支出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05</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其他</w:t>
      </w:r>
      <w:r>
        <w:rPr>
          <w:rStyle w:val="17"/>
          <w:rFonts w:hint="eastAsia" w:ascii="仿宋" w:hAnsi="仿宋" w:eastAsia="仿宋"/>
          <w:b w:val="0"/>
          <w:bCs w:val="0"/>
          <w:color w:val="000000"/>
          <w:sz w:val="32"/>
          <w:szCs w:val="32"/>
          <w:lang w:val="en-US" w:eastAsia="zh-CN"/>
        </w:rPr>
        <w:t>旅游业管理与服务支出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99</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指聚宝山风成寺前期经费支出。</w:t>
      </w:r>
    </w:p>
    <w:p>
      <w:pPr>
        <w:numPr>
          <w:ilvl w:val="0"/>
          <w:numId w:val="0"/>
        </w:numPr>
        <w:spacing w:line="600" w:lineRule="exact"/>
        <w:ind w:leftChars="200" w:firstLine="320" w:firstLineChars="100"/>
        <w:rPr>
          <w:rStyle w:val="17"/>
          <w:rFonts w:hint="eastAsia" w:ascii="仿宋" w:hAnsi="仿宋" w:eastAsia="仿宋"/>
          <w:b w:val="0"/>
          <w:bCs w:val="0"/>
          <w:color w:val="000000"/>
          <w:sz w:val="32"/>
          <w:szCs w:val="32"/>
          <w:lang w:eastAsia="zh-CN"/>
        </w:rPr>
      </w:pPr>
      <w:r>
        <w:rPr>
          <w:rStyle w:val="17"/>
          <w:rFonts w:hint="eastAsia" w:ascii="仿宋" w:hAnsi="仿宋" w:eastAsia="仿宋"/>
          <w:b w:val="0"/>
          <w:bCs w:val="0"/>
          <w:color w:val="000000"/>
          <w:sz w:val="32"/>
          <w:szCs w:val="32"/>
          <w:lang w:val="en-US" w:eastAsia="zh-CN"/>
        </w:rPr>
        <w:t>9、</w:t>
      </w:r>
      <w:r>
        <w:rPr>
          <w:rStyle w:val="17"/>
          <w:rFonts w:hint="eastAsia" w:ascii="仿宋" w:hAnsi="仿宋" w:eastAsia="仿宋"/>
          <w:b w:val="0"/>
          <w:bCs w:val="0"/>
          <w:color w:val="000000"/>
          <w:sz w:val="32"/>
          <w:szCs w:val="32"/>
          <w:lang w:eastAsia="zh-CN"/>
        </w:rPr>
        <w:t>住房保障支出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221</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住房改革支出</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02</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住房公积金</w:t>
      </w:r>
      <w:r>
        <w:rPr>
          <w:rStyle w:val="17"/>
          <w:rFonts w:hint="eastAsia" w:ascii="仿宋" w:hAnsi="仿宋" w:eastAsia="仿宋"/>
          <w:b w:val="0"/>
          <w:bCs w:val="0"/>
          <w:color w:val="000000"/>
          <w:sz w:val="32"/>
          <w:szCs w:val="32"/>
        </w:rPr>
        <w:t>（</w:t>
      </w:r>
      <w:r>
        <w:rPr>
          <w:rStyle w:val="17"/>
          <w:rFonts w:hint="eastAsia" w:ascii="仿宋" w:hAnsi="仿宋" w:eastAsia="仿宋"/>
          <w:b w:val="0"/>
          <w:bCs w:val="0"/>
          <w:color w:val="000000"/>
          <w:sz w:val="32"/>
          <w:szCs w:val="32"/>
          <w:lang w:val="en-US" w:eastAsia="zh-CN"/>
        </w:rPr>
        <w:t>01</w:t>
      </w:r>
      <w:r>
        <w:rPr>
          <w:rStyle w:val="17"/>
          <w:rFonts w:hint="eastAsia" w:ascii="仿宋" w:hAnsi="仿宋" w:eastAsia="仿宋"/>
          <w:b w:val="0"/>
          <w:bCs w:val="0"/>
          <w:color w:val="000000"/>
          <w:sz w:val="32"/>
          <w:szCs w:val="32"/>
        </w:rPr>
        <w:t>）</w:t>
      </w:r>
      <w:r>
        <w:rPr>
          <w:rStyle w:val="17"/>
          <w:rFonts w:ascii="仿宋" w:hAnsi="仿宋" w:eastAsia="仿宋"/>
          <w:b w:val="0"/>
          <w:bCs w:val="0"/>
          <w:color w:val="000000"/>
          <w:sz w:val="32"/>
          <w:szCs w:val="32"/>
        </w:rPr>
        <w:t>:</w:t>
      </w:r>
      <w:r>
        <w:rPr>
          <w:rStyle w:val="17"/>
          <w:rFonts w:hint="eastAsia" w:ascii="仿宋" w:hAnsi="仿宋" w:eastAsia="仿宋"/>
          <w:b w:val="0"/>
          <w:bCs w:val="0"/>
          <w:color w:val="000000"/>
          <w:sz w:val="32"/>
          <w:szCs w:val="32"/>
          <w:lang w:eastAsia="zh-CN"/>
        </w:rPr>
        <w:t>指局机关住房公积金支出。</w:t>
      </w:r>
    </w:p>
    <w:p>
      <w:pPr>
        <w:numPr>
          <w:ilvl w:val="0"/>
          <w:numId w:val="0"/>
        </w:numPr>
        <w:spacing w:line="600" w:lineRule="exact"/>
        <w:ind w:leftChars="20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7"/>
          <w:rFonts w:hint="eastAsia" w:ascii="仿宋_GB2312" w:hAnsi="仿宋_GB2312" w:eastAsia="仿宋_GB2312" w:cs="仿宋_GB2312"/>
          <w:b w:val="0"/>
        </w:rPr>
      </w:pPr>
      <w:bookmarkStart w:id="57" w:name="_Toc15377226"/>
      <w:r>
        <w:rPr>
          <w:rFonts w:ascii="宋体"/>
          <w:b/>
          <w:color w:val="000000"/>
          <w:sz w:val="44"/>
          <w:szCs w:val="44"/>
        </w:rPr>
        <w:br w:type="page"/>
      </w:r>
      <w:bookmarkStart w:id="58" w:name="_Toc15396614"/>
      <w:r>
        <w:rPr>
          <w:rFonts w:hint="eastAsia" w:ascii="仿宋_GB2312" w:hAnsi="仿宋_GB2312" w:eastAsia="仿宋_GB2312" w:cs="仿宋_GB2312"/>
          <w:color w:val="000000"/>
          <w:sz w:val="44"/>
          <w:szCs w:val="44"/>
        </w:rPr>
        <w:t>第</w:t>
      </w:r>
      <w:r>
        <w:rPr>
          <w:rStyle w:val="27"/>
          <w:rFonts w:hint="eastAsia" w:ascii="仿宋_GB2312" w:hAnsi="仿宋_GB2312" w:eastAsia="仿宋_GB2312" w:cs="仿宋_GB2312"/>
          <w:b w:val="0"/>
        </w:rPr>
        <w:t>四部分 附件</w:t>
      </w:r>
      <w:bookmarkEnd w:id="58"/>
    </w:p>
    <w:p>
      <w:pPr>
        <w:pStyle w:val="5"/>
        <w:rPr>
          <w:rStyle w:val="27"/>
          <w:rFonts w:hint="eastAsia" w:ascii="仿宋_GB2312" w:hAnsi="仿宋_GB2312" w:eastAsia="仿宋_GB2312" w:cs="仿宋_GB2312"/>
          <w:b w:val="0"/>
          <w:bCs w:val="0"/>
          <w:sz w:val="32"/>
          <w:szCs w:val="32"/>
        </w:rPr>
      </w:pPr>
      <w:bookmarkStart w:id="59" w:name="_Toc15396615"/>
      <w:r>
        <w:rPr>
          <w:rStyle w:val="27"/>
          <w:rFonts w:hint="eastAsia" w:ascii="仿宋_GB2312" w:hAnsi="仿宋_GB2312" w:eastAsia="仿宋_GB2312" w:cs="仿宋_GB2312"/>
          <w:b w:val="0"/>
          <w:bCs w:val="0"/>
          <w:sz w:val="32"/>
          <w:szCs w:val="32"/>
        </w:rPr>
        <w:t>附件1</w:t>
      </w:r>
      <w:bookmarkEnd w:id="59"/>
    </w:p>
    <w:p>
      <w:pPr>
        <w:spacing w:line="600" w:lineRule="exact"/>
        <w:jc w:val="center"/>
        <w:outlineLvl w:val="0"/>
        <w:rPr>
          <w:rFonts w:hint="eastAsia" w:ascii="仿宋_GB2312" w:hAnsi="仿宋_GB2312" w:eastAsia="仿宋_GB2312" w:cs="仿宋_GB2312"/>
          <w:sz w:val="36"/>
          <w:szCs w:val="36"/>
        </w:rPr>
      </w:pPr>
      <w:bookmarkStart w:id="60" w:name="_Toc15396616"/>
      <w:r>
        <w:rPr>
          <w:rFonts w:hint="eastAsia" w:ascii="仿宋_GB2312" w:hAnsi="仿宋_GB2312" w:eastAsia="仿宋_GB2312" w:cs="仿宋_GB2312"/>
          <w:sz w:val="36"/>
          <w:szCs w:val="36"/>
          <w:lang w:val="en-US" w:eastAsia="zh-CN"/>
        </w:rPr>
        <w:t>民宗局</w:t>
      </w:r>
      <w:r>
        <w:rPr>
          <w:rFonts w:hint="eastAsia" w:ascii="仿宋_GB2312" w:hAnsi="仿宋_GB2312" w:eastAsia="仿宋_GB2312" w:cs="仿宋_GB2312"/>
          <w:sz w:val="36"/>
          <w:szCs w:val="36"/>
        </w:rPr>
        <w:t>部门2018年部门整体支出绩效评价报告</w:t>
      </w:r>
      <w:bookmarkEnd w:id="60"/>
    </w:p>
    <w:p>
      <w:pPr>
        <w:keepNext w:val="0"/>
        <w:keepLines w:val="0"/>
        <w:pageBreakBefore w:val="0"/>
        <w:kinsoku/>
        <w:wordWrap/>
        <w:overflowPunct/>
        <w:topLinePunct w:val="0"/>
        <w:autoSpaceDE/>
        <w:autoSpaceDN/>
        <w:bidi w:val="0"/>
        <w:spacing w:line="360" w:lineRule="auto"/>
        <w:ind w:firstLine="160" w:firstLineChars="50"/>
        <w:textAlignment w:val="auto"/>
        <w:rPr>
          <w:rFonts w:hint="eastAsia" w:ascii="仿宋_GB2312" w:hAnsi="仿宋_GB2312" w:eastAsia="仿宋_GB2312" w:cs="仿宋_GB2312"/>
          <w:sz w:val="32"/>
          <w:szCs w:val="32"/>
        </w:rPr>
      </w:pP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1" w:firstLineChars="50"/>
        <w:jc w:val="both"/>
        <w:textAlignment w:val="auto"/>
        <w:rPr>
          <w:rFonts w:hint="eastAsia" w:ascii="仿宋_GB2312" w:hAnsi="仿宋_GB2312" w:eastAsia="仿宋_GB2312" w:cs="仿宋_GB2312"/>
          <w:b/>
          <w:sz w:val="32"/>
          <w:szCs w:val="32"/>
          <w:lang w:val="en-US"/>
        </w:rPr>
      </w:pPr>
      <w:bookmarkStart w:id="61" w:name="_Toc15396617"/>
      <w:r>
        <w:rPr>
          <w:rFonts w:hint="eastAsia" w:ascii="仿宋_GB2312" w:hAnsi="仿宋_GB2312" w:eastAsia="仿宋_GB2312" w:cs="仿宋_GB2312"/>
          <w:b/>
          <w:kern w:val="2"/>
          <w:sz w:val="32"/>
          <w:szCs w:val="32"/>
          <w:lang w:val="en-US" w:eastAsia="zh-CN" w:bidi="ar"/>
        </w:rPr>
        <w:t>一、部门概况</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（一）基本情况</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2"/>
          <w:sz w:val="32"/>
          <w:szCs w:val="32"/>
          <w:lang w:val="en-US" w:eastAsia="zh-CN" w:bidi="ar"/>
        </w:rPr>
        <w:t>民族宗教局是主管全县民族宗教事务和两项资金管理工作的县政府组成部门，内设“一室三股”，即局办公室、宗教事务股、民族事务股和两项资金管理股。行政编制12人，机关工勤编制1人，实有在职人员10人，</w:t>
      </w:r>
      <w:r>
        <w:rPr>
          <w:rFonts w:hint="eastAsia" w:ascii="仿宋_GB2312" w:hAnsi="仿宋_GB2312" w:eastAsia="仿宋_GB2312" w:cs="仿宋_GB2312"/>
          <w:kern w:val="0"/>
          <w:sz w:val="32"/>
          <w:szCs w:val="32"/>
          <w:lang w:val="en-US" w:eastAsia="zh-CN" w:bidi="ar"/>
        </w:rPr>
        <w:t>退休4人。</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（二）部门整体支出规模、使用方向和主要内容、涉及范围</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1、负责协调推动有关部门履行民族、宗教工作相关职责，对全县民族、宗教工作实施管理、指导，促进民族、宗教政策在经济发展和社会事业等相关领域的实施、衔接。</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指导、督查、协调“一法两规定一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3、负责管理全县少数民族语言文字工作，指导少数民族语言文字的翻译、出版和少数民族古籍的收集、整理、出版工作，会同有关部门对少数民族题材文化作品（产品）进行审查。</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4、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5、负责民族团结创建工作、青藏高原与山水文化编撰工作。</w:t>
      </w:r>
    </w:p>
    <w:p>
      <w:pPr>
        <w:pStyle w:val="14"/>
        <w:keepNext w:val="0"/>
        <w:keepLines w:val="0"/>
        <w:pageBreakBefore w:val="0"/>
        <w:widowControl w:val="0"/>
        <w:suppressLineNumbers w:val="0"/>
        <w:kinsoku/>
        <w:wordWrap/>
        <w:overflowPunct/>
        <w:topLinePunct w:val="0"/>
        <w:autoSpaceDE/>
        <w:autoSpaceDN/>
        <w:bidi w:val="0"/>
        <w:adjustRightInd w:val="0"/>
        <w:snapToGrid w:val="0"/>
        <w:spacing w:before="72" w:beforeLines="30" w:beforeAutospacing="0" w:after="100" w:afterAutospacing="1" w:line="360" w:lineRule="auto"/>
        <w:ind w:left="0" w:right="0" w:firstLine="161" w:firstLineChars="50"/>
        <w:jc w:val="both"/>
        <w:textAlignment w:val="auto"/>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b/>
          <w:bCs w:val="0"/>
          <w:color w:val="212121"/>
          <w:kern w:val="0"/>
          <w:sz w:val="32"/>
          <w:szCs w:val="32"/>
          <w:lang w:val="en-US" w:eastAsia="zh-CN" w:bidi="ar"/>
        </w:rPr>
        <w:t>二、部门整体支出管理及使用情况</w:t>
      </w:r>
    </w:p>
    <w:p>
      <w:pPr>
        <w:pStyle w:val="14"/>
        <w:keepNext w:val="0"/>
        <w:keepLines w:val="0"/>
        <w:pageBreakBefore w:val="0"/>
        <w:widowControl/>
        <w:shd w:val="clear" w:color="auto" w:fill="FFFFFF"/>
        <w:kinsoku/>
        <w:wordWrap/>
        <w:overflowPunct/>
        <w:topLinePunct w:val="0"/>
        <w:autoSpaceDE/>
        <w:autoSpaceDN/>
        <w:bidi w:val="0"/>
        <w:spacing w:before="93" w:beforeAutospacing="0" w:line="360" w:lineRule="auto"/>
        <w:ind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预算基本情况</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年度本部门年初预算收入</w:t>
      </w:r>
      <w:r>
        <w:rPr>
          <w:rFonts w:hint="eastAsia" w:ascii="仿宋_GB2312" w:hAnsi="仿宋_GB2312" w:eastAsia="仿宋_GB2312" w:cs="仿宋_GB2312"/>
          <w:sz w:val="32"/>
          <w:szCs w:val="32"/>
          <w:shd w:val="clear" w:color="auto" w:fill="FFFFFF"/>
          <w:lang w:val="en-US"/>
        </w:rPr>
        <w:t>207.43</w:t>
      </w:r>
      <w:r>
        <w:rPr>
          <w:rFonts w:hint="eastAsia" w:ascii="仿宋_GB2312" w:hAnsi="仿宋_GB2312" w:eastAsia="仿宋_GB2312" w:cs="仿宋_GB2312"/>
          <w:sz w:val="32"/>
          <w:szCs w:val="32"/>
          <w:shd w:val="clear" w:color="auto" w:fill="FFFFFF"/>
          <w:lang w:eastAsia="zh-CN"/>
        </w:rPr>
        <w:t>万元。万元，其中：财政拨款收入年初预算</w:t>
      </w:r>
      <w:r>
        <w:rPr>
          <w:rFonts w:hint="eastAsia" w:ascii="仿宋_GB2312" w:hAnsi="仿宋_GB2312" w:eastAsia="仿宋_GB2312" w:cs="仿宋_GB2312"/>
          <w:sz w:val="32"/>
          <w:szCs w:val="32"/>
          <w:shd w:val="clear" w:color="auto" w:fill="FFFFFF"/>
          <w:lang w:val="en-US"/>
        </w:rPr>
        <w:t>207.43</w:t>
      </w:r>
      <w:r>
        <w:rPr>
          <w:rFonts w:hint="eastAsia" w:ascii="仿宋_GB2312" w:hAnsi="仿宋_GB2312" w:eastAsia="仿宋_GB2312" w:cs="仿宋_GB2312"/>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年度支出预算</w:t>
      </w:r>
      <w:r>
        <w:rPr>
          <w:rFonts w:hint="eastAsia" w:ascii="仿宋_GB2312" w:hAnsi="仿宋_GB2312" w:eastAsia="仿宋_GB2312" w:cs="仿宋_GB2312"/>
          <w:sz w:val="32"/>
          <w:szCs w:val="32"/>
          <w:shd w:val="clear" w:color="auto" w:fill="FFFFFF"/>
          <w:lang w:val="en-US"/>
        </w:rPr>
        <w:t>207.43</w:t>
      </w:r>
      <w:r>
        <w:rPr>
          <w:rFonts w:hint="eastAsia" w:ascii="仿宋_GB2312" w:hAnsi="仿宋_GB2312" w:eastAsia="仿宋_GB2312" w:cs="仿宋_GB2312"/>
          <w:sz w:val="32"/>
          <w:szCs w:val="32"/>
          <w:shd w:val="clear" w:color="auto" w:fill="FFFFFF"/>
          <w:lang w:eastAsia="zh-CN"/>
        </w:rPr>
        <w:t>万元中，基本支出</w:t>
      </w:r>
      <w:r>
        <w:rPr>
          <w:rFonts w:hint="eastAsia" w:ascii="仿宋_GB2312" w:hAnsi="仿宋_GB2312" w:eastAsia="仿宋_GB2312" w:cs="仿宋_GB2312"/>
          <w:sz w:val="32"/>
          <w:szCs w:val="32"/>
          <w:shd w:val="clear" w:color="auto" w:fill="FFFFFF"/>
          <w:lang w:val="en-US"/>
        </w:rPr>
        <w:t>207.43</w:t>
      </w:r>
      <w:r>
        <w:rPr>
          <w:rFonts w:hint="eastAsia" w:ascii="仿宋_GB2312" w:hAnsi="仿宋_GB2312" w:eastAsia="仿宋_GB2312" w:cs="仿宋_GB2312"/>
          <w:sz w:val="32"/>
          <w:szCs w:val="32"/>
          <w:shd w:val="clear" w:color="auto" w:fill="FFFFFF"/>
          <w:lang w:eastAsia="zh-CN"/>
        </w:rPr>
        <w:t>万元占，项目支出</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收支决算情况</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收入决算情况：</w:t>
      </w: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年度总收入</w:t>
      </w:r>
      <w:r>
        <w:rPr>
          <w:rFonts w:hint="eastAsia" w:ascii="仿宋_GB2312" w:hAnsi="仿宋_GB2312" w:eastAsia="仿宋_GB2312" w:cs="仿宋_GB2312"/>
          <w:sz w:val="32"/>
          <w:szCs w:val="32"/>
          <w:shd w:val="clear" w:color="auto" w:fill="FFFFFF"/>
          <w:lang w:val="en-US"/>
        </w:rPr>
        <w:t>1203.14</w:t>
      </w:r>
      <w:r>
        <w:rPr>
          <w:rFonts w:hint="eastAsia" w:ascii="仿宋_GB2312" w:hAnsi="仿宋_GB2312" w:eastAsia="仿宋_GB2312" w:cs="仿宋_GB2312"/>
          <w:sz w:val="32"/>
          <w:szCs w:val="32"/>
          <w:shd w:val="clear" w:color="auto" w:fill="FFFFFF"/>
          <w:lang w:eastAsia="zh-CN"/>
        </w:rPr>
        <w:t>万元，其中：当年财政拨款收入</w:t>
      </w:r>
      <w:r>
        <w:rPr>
          <w:rFonts w:hint="eastAsia" w:ascii="仿宋_GB2312" w:hAnsi="仿宋_GB2312" w:eastAsia="仿宋_GB2312" w:cs="仿宋_GB2312"/>
          <w:sz w:val="32"/>
          <w:szCs w:val="32"/>
          <w:shd w:val="clear" w:color="auto" w:fill="FFFFFF"/>
          <w:lang w:val="en-US"/>
        </w:rPr>
        <w:t>968.47</w:t>
      </w:r>
      <w:r>
        <w:rPr>
          <w:rFonts w:hint="eastAsia" w:ascii="仿宋_GB2312" w:hAnsi="仿宋_GB2312" w:eastAsia="仿宋_GB2312" w:cs="仿宋_GB2312"/>
          <w:sz w:val="32"/>
          <w:szCs w:val="32"/>
          <w:shd w:val="clear" w:color="auto" w:fill="FFFFFF"/>
          <w:lang w:eastAsia="zh-CN"/>
        </w:rPr>
        <w:t>万元，</w:t>
      </w:r>
      <w:r>
        <w:rPr>
          <w:rFonts w:hint="eastAsia" w:ascii="仿宋_GB2312" w:hAnsi="仿宋_GB2312" w:eastAsia="仿宋_GB2312" w:cs="仿宋_GB2312"/>
          <w:color w:val="333333"/>
          <w:sz w:val="32"/>
          <w:szCs w:val="32"/>
          <w:shd w:val="clear" w:color="auto" w:fill="FFFFFF"/>
          <w:lang w:eastAsia="zh-CN"/>
        </w:rPr>
        <w:t>上年结转收入</w:t>
      </w:r>
      <w:r>
        <w:rPr>
          <w:rFonts w:hint="eastAsia" w:ascii="仿宋_GB2312" w:hAnsi="仿宋_GB2312" w:eastAsia="仿宋_GB2312" w:cs="仿宋_GB2312"/>
          <w:color w:val="333333"/>
          <w:sz w:val="32"/>
          <w:szCs w:val="32"/>
          <w:shd w:val="clear" w:color="auto" w:fill="FFFFFF"/>
          <w:lang w:val="en-US"/>
        </w:rPr>
        <w:t>234.67</w:t>
      </w:r>
      <w:r>
        <w:rPr>
          <w:rFonts w:hint="eastAsia" w:ascii="仿宋_GB2312" w:hAnsi="仿宋_GB2312" w:eastAsia="仿宋_GB2312" w:cs="仿宋_GB2312"/>
          <w:color w:val="333333"/>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支出决算情况：</w:t>
      </w: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年度</w:t>
      </w:r>
      <w:r>
        <w:rPr>
          <w:rFonts w:hint="eastAsia" w:ascii="仿宋_GB2312" w:hAnsi="仿宋_GB2312" w:eastAsia="仿宋_GB2312" w:cs="仿宋_GB2312"/>
          <w:color w:val="212121"/>
          <w:sz w:val="32"/>
          <w:szCs w:val="32"/>
          <w:shd w:val="clear" w:color="auto" w:fill="FFFFFF"/>
          <w:lang w:eastAsia="zh-CN"/>
        </w:rPr>
        <w:t>部门决算支出合计</w:t>
      </w:r>
      <w:r>
        <w:rPr>
          <w:rFonts w:hint="eastAsia" w:ascii="仿宋_GB2312" w:hAnsi="仿宋_GB2312" w:eastAsia="仿宋_GB2312" w:cs="仿宋_GB2312"/>
          <w:color w:val="212121"/>
          <w:sz w:val="32"/>
          <w:szCs w:val="32"/>
          <w:shd w:val="clear" w:color="auto" w:fill="FFFFFF"/>
          <w:lang w:val="en-US"/>
        </w:rPr>
        <w:t>1203.14</w:t>
      </w:r>
      <w:r>
        <w:rPr>
          <w:rFonts w:hint="eastAsia" w:ascii="仿宋_GB2312" w:hAnsi="仿宋_GB2312" w:eastAsia="仿宋_GB2312" w:cs="仿宋_GB2312"/>
          <w:color w:val="212121"/>
          <w:sz w:val="32"/>
          <w:szCs w:val="32"/>
          <w:shd w:val="clear" w:color="auto" w:fill="FFFFFF"/>
          <w:lang w:eastAsia="zh-CN"/>
        </w:rPr>
        <w:t>万元。</w:t>
      </w:r>
      <w:r>
        <w:rPr>
          <w:rFonts w:hint="eastAsia" w:ascii="仿宋_GB2312" w:hAnsi="仿宋_GB2312" w:eastAsia="仿宋_GB2312" w:cs="仿宋_GB2312"/>
          <w:color w:val="000000"/>
          <w:sz w:val="32"/>
          <w:szCs w:val="32"/>
          <w:shd w:val="clear" w:color="auto" w:fill="FFFFFF"/>
          <w:lang w:eastAsia="zh-CN"/>
        </w:rPr>
        <w:t>其中：</w:t>
      </w:r>
      <w:r>
        <w:rPr>
          <w:rFonts w:hint="eastAsia" w:ascii="仿宋_GB2312" w:hAnsi="仿宋_GB2312" w:eastAsia="仿宋_GB2312" w:cs="仿宋_GB2312"/>
          <w:color w:val="212121"/>
          <w:sz w:val="32"/>
          <w:szCs w:val="32"/>
          <w:shd w:val="clear" w:color="auto" w:fill="FFFFFF"/>
          <w:lang w:eastAsia="zh-CN"/>
        </w:rPr>
        <w:t>基本支出</w:t>
      </w:r>
      <w:r>
        <w:rPr>
          <w:rFonts w:hint="eastAsia" w:ascii="仿宋_GB2312" w:hAnsi="仿宋_GB2312" w:eastAsia="仿宋_GB2312" w:cs="仿宋_GB2312"/>
          <w:color w:val="212121"/>
          <w:sz w:val="32"/>
          <w:szCs w:val="32"/>
          <w:shd w:val="clear" w:color="auto" w:fill="FFFFFF"/>
          <w:lang w:val="en-US"/>
        </w:rPr>
        <w:t>268.11</w:t>
      </w:r>
      <w:r>
        <w:rPr>
          <w:rFonts w:hint="eastAsia" w:ascii="仿宋_GB2312" w:hAnsi="仿宋_GB2312" w:eastAsia="仿宋_GB2312" w:cs="仿宋_GB2312"/>
          <w:color w:val="212121"/>
          <w:sz w:val="32"/>
          <w:szCs w:val="32"/>
          <w:shd w:val="clear" w:color="auto" w:fill="FFFFFF"/>
          <w:lang w:eastAsia="zh-CN"/>
        </w:rPr>
        <w:t>万元，</w:t>
      </w:r>
      <w:r>
        <w:rPr>
          <w:rFonts w:hint="eastAsia" w:ascii="仿宋_GB2312" w:hAnsi="仿宋_GB2312" w:eastAsia="仿宋_GB2312" w:cs="仿宋_GB2312"/>
          <w:sz w:val="32"/>
          <w:szCs w:val="32"/>
          <w:shd w:val="clear" w:color="auto" w:fill="FFFFFF"/>
          <w:lang w:eastAsia="zh-CN"/>
        </w:rPr>
        <w:t>项目支出</w:t>
      </w:r>
      <w:r>
        <w:rPr>
          <w:rFonts w:hint="eastAsia" w:ascii="仿宋_GB2312" w:hAnsi="仿宋_GB2312" w:eastAsia="仿宋_GB2312" w:cs="仿宋_GB2312"/>
          <w:sz w:val="32"/>
          <w:szCs w:val="32"/>
          <w:shd w:val="clear" w:color="auto" w:fill="FFFFFF"/>
          <w:lang w:val="en-US"/>
        </w:rPr>
        <w:t>146.32</w:t>
      </w:r>
      <w:r>
        <w:rPr>
          <w:rFonts w:hint="eastAsia" w:ascii="仿宋_GB2312" w:hAnsi="仿宋_GB2312" w:eastAsia="仿宋_GB2312" w:cs="仿宋_GB2312"/>
          <w:sz w:val="32"/>
          <w:szCs w:val="32"/>
          <w:shd w:val="clear" w:color="auto" w:fill="FFFFFF"/>
          <w:lang w:eastAsia="zh-CN"/>
        </w:rPr>
        <w:t>万元，年末结转结余</w:t>
      </w:r>
      <w:r>
        <w:rPr>
          <w:rFonts w:hint="eastAsia" w:ascii="仿宋_GB2312" w:hAnsi="仿宋_GB2312" w:eastAsia="仿宋_GB2312" w:cs="仿宋_GB2312"/>
          <w:sz w:val="32"/>
          <w:szCs w:val="32"/>
          <w:shd w:val="clear" w:color="auto" w:fill="FFFFFF"/>
          <w:lang w:val="en-US"/>
        </w:rPr>
        <w:t>788.71</w:t>
      </w:r>
      <w:r>
        <w:rPr>
          <w:rFonts w:hint="eastAsia" w:ascii="仿宋_GB2312" w:hAnsi="仿宋_GB2312" w:eastAsia="仿宋_GB2312" w:cs="仿宋_GB2312"/>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其中：工资福利支出</w:t>
      </w:r>
      <w:r>
        <w:rPr>
          <w:rFonts w:hint="eastAsia" w:ascii="仿宋_GB2312" w:hAnsi="仿宋_GB2312" w:eastAsia="仿宋_GB2312" w:cs="仿宋_GB2312"/>
          <w:sz w:val="32"/>
          <w:szCs w:val="32"/>
          <w:shd w:val="clear" w:color="auto" w:fill="FFFFFF"/>
          <w:lang w:val="en-US"/>
        </w:rPr>
        <w:t>172.94</w:t>
      </w:r>
      <w:r>
        <w:rPr>
          <w:rFonts w:hint="eastAsia" w:ascii="仿宋_GB2312" w:hAnsi="仿宋_GB2312" w:eastAsia="仿宋_GB2312" w:cs="仿宋_GB2312"/>
          <w:sz w:val="32"/>
          <w:szCs w:val="32"/>
          <w:shd w:val="clear" w:color="auto" w:fill="FFFFFF"/>
          <w:lang w:eastAsia="zh-CN"/>
        </w:rPr>
        <w:t>万元、商品和服务支出</w:t>
      </w:r>
      <w:r>
        <w:rPr>
          <w:rFonts w:hint="eastAsia" w:ascii="仿宋_GB2312" w:hAnsi="仿宋_GB2312" w:eastAsia="仿宋_GB2312" w:cs="仿宋_GB2312"/>
          <w:sz w:val="32"/>
          <w:szCs w:val="32"/>
          <w:shd w:val="clear" w:color="auto" w:fill="FFFFFF"/>
          <w:lang w:val="en-US"/>
        </w:rPr>
        <w:t>90.76</w:t>
      </w:r>
      <w:r>
        <w:rPr>
          <w:rFonts w:hint="eastAsia" w:ascii="仿宋_GB2312" w:hAnsi="仿宋_GB2312" w:eastAsia="仿宋_GB2312" w:cs="仿宋_GB2312"/>
          <w:sz w:val="32"/>
          <w:szCs w:val="32"/>
          <w:shd w:val="clear" w:color="auto" w:fill="FFFFFF"/>
          <w:lang w:eastAsia="zh-CN"/>
        </w:rPr>
        <w:t>万元、对个人和家庭的补助支出</w:t>
      </w:r>
      <w:r>
        <w:rPr>
          <w:rFonts w:hint="eastAsia" w:ascii="仿宋_GB2312" w:hAnsi="仿宋_GB2312" w:eastAsia="仿宋_GB2312" w:cs="仿宋_GB2312"/>
          <w:sz w:val="32"/>
          <w:szCs w:val="32"/>
          <w:shd w:val="clear" w:color="auto" w:fill="FFFFFF"/>
          <w:lang w:val="en-US"/>
        </w:rPr>
        <w:t>58.02</w:t>
      </w:r>
      <w:r>
        <w:rPr>
          <w:rFonts w:hint="eastAsia" w:ascii="仿宋_GB2312" w:hAnsi="仿宋_GB2312" w:eastAsia="仿宋_GB2312" w:cs="仿宋_GB2312"/>
          <w:sz w:val="32"/>
          <w:szCs w:val="32"/>
          <w:shd w:val="clear" w:color="auto" w:fill="FFFFFF"/>
          <w:lang w:eastAsia="zh-CN"/>
        </w:rPr>
        <w:t>万元、资本性支出（基本建设）</w:t>
      </w:r>
      <w:r>
        <w:rPr>
          <w:rFonts w:hint="eastAsia" w:ascii="仿宋_GB2312" w:hAnsi="仿宋_GB2312" w:eastAsia="仿宋_GB2312" w:cs="仿宋_GB2312"/>
          <w:sz w:val="32"/>
          <w:szCs w:val="32"/>
          <w:shd w:val="clear" w:color="auto" w:fill="FFFFFF"/>
          <w:lang w:val="en-US"/>
        </w:rPr>
        <w:t>57.26</w:t>
      </w:r>
      <w:r>
        <w:rPr>
          <w:rFonts w:hint="eastAsia" w:ascii="仿宋_GB2312" w:hAnsi="仿宋_GB2312" w:eastAsia="仿宋_GB2312" w:cs="仿宋_GB2312"/>
          <w:sz w:val="32"/>
          <w:szCs w:val="32"/>
          <w:shd w:val="clear" w:color="auto" w:fill="FFFFFF"/>
          <w:lang w:eastAsia="zh-CN"/>
        </w:rPr>
        <w:t>万元、资本性支出</w:t>
      </w:r>
      <w:r>
        <w:rPr>
          <w:rFonts w:hint="eastAsia" w:ascii="仿宋_GB2312" w:hAnsi="仿宋_GB2312" w:eastAsia="仿宋_GB2312" w:cs="仿宋_GB2312"/>
          <w:sz w:val="32"/>
          <w:szCs w:val="32"/>
          <w:shd w:val="clear" w:color="auto" w:fill="FFFFFF"/>
          <w:lang w:val="en-US"/>
        </w:rPr>
        <w:t>35.44</w:t>
      </w:r>
      <w:r>
        <w:rPr>
          <w:rFonts w:hint="eastAsia" w:ascii="仿宋_GB2312" w:hAnsi="仿宋_GB2312" w:eastAsia="仿宋_GB2312" w:cs="仿宋_GB2312"/>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（一）基本支出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kern w:val="2"/>
          <w:sz w:val="32"/>
          <w:szCs w:val="32"/>
          <w:shd w:val="clear" w:color="auto" w:fill="FFFFFF"/>
          <w:lang w:val="en-US" w:eastAsia="zh-CN" w:bidi="ar"/>
        </w:rPr>
        <w:t>基本支出用于为保障机构正常运转、完成日常工作任务而发生的支出，包括人员经费和公用经费，本年度基本支出与调整后的预算基本一致。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righ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kern w:val="2"/>
          <w:sz w:val="32"/>
          <w:szCs w:val="32"/>
          <w:shd w:val="clear" w:color="auto" w:fill="FFFFFF"/>
          <w:lang w:val="en-US" w:eastAsia="zh-CN" w:bidi="ar"/>
        </w:rPr>
        <w:t>1、2018年度本单位人员经费</w:t>
      </w:r>
      <w:r>
        <w:rPr>
          <w:rFonts w:hint="eastAsia" w:ascii="仿宋_GB2312" w:hAnsi="仿宋_GB2312" w:eastAsia="仿宋_GB2312" w:cs="仿宋_GB2312"/>
          <w:color w:val="212121"/>
          <w:kern w:val="0"/>
          <w:sz w:val="32"/>
          <w:szCs w:val="32"/>
          <w:lang w:val="en-US" w:eastAsia="zh-CN" w:bidi="ar"/>
        </w:rPr>
        <w:t>224.97</w:t>
      </w:r>
      <w:r>
        <w:rPr>
          <w:rFonts w:hint="eastAsia" w:ascii="仿宋_GB2312" w:hAnsi="仿宋_GB2312" w:eastAsia="仿宋_GB2312" w:cs="仿宋_GB2312"/>
          <w:color w:val="212121"/>
          <w:kern w:val="2"/>
          <w:sz w:val="32"/>
          <w:szCs w:val="32"/>
          <w:lang w:val="en-US" w:eastAsia="zh-CN" w:bidi="ar"/>
        </w:rPr>
        <w:t>万元，</w:t>
      </w:r>
      <w:r>
        <w:rPr>
          <w:rFonts w:hint="eastAsia" w:ascii="仿宋_GB2312" w:hAnsi="仿宋_GB2312" w:eastAsia="仿宋_GB2312" w:cs="仿宋_GB2312"/>
          <w:kern w:val="2"/>
          <w:sz w:val="32"/>
          <w:szCs w:val="32"/>
          <w:shd w:val="clear" w:color="auto" w:fill="FFFFFF"/>
          <w:lang w:val="en-US" w:eastAsia="zh-CN" w:bidi="ar"/>
        </w:rPr>
        <w:t>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kern w:val="2"/>
          <w:sz w:val="32"/>
          <w:szCs w:val="32"/>
          <w:shd w:val="clear" w:color="auto" w:fill="FFFFFF"/>
          <w:lang w:val="en-US" w:eastAsia="zh-CN" w:bidi="ar"/>
        </w:rPr>
        <w:t>2、2018年日常公用经费支出43.15万元，主要包括：办公费、印刷费、手续费、水费、电费、邮电费、差旅费、维修（护）费、会议费、培训费、劳务费、工会经费、福利费、其他交通费、其他商品和服务支出。</w:t>
      </w:r>
    </w:p>
    <w:p>
      <w:pPr>
        <w:pStyle w:val="14"/>
        <w:keepNext w:val="0"/>
        <w:keepLines w:val="0"/>
        <w:pageBreakBefore w:val="0"/>
        <w:widowControl/>
        <w:shd w:val="clear" w:color="auto" w:fill="FFFFFF"/>
        <w:kinsoku/>
        <w:wordWrap/>
        <w:overflowPunct/>
        <w:topLinePunct w:val="0"/>
        <w:autoSpaceDE/>
        <w:autoSpaceDN/>
        <w:bidi w:val="0"/>
        <w:spacing w:line="360" w:lineRule="auto"/>
        <w:ind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val="en-US"/>
        </w:rPr>
        <w:t>3</w:t>
      </w:r>
      <w:r>
        <w:rPr>
          <w:rFonts w:hint="eastAsia" w:ascii="仿宋_GB2312" w:hAnsi="仿宋_GB2312" w:eastAsia="仿宋_GB2312" w:cs="仿宋_GB2312"/>
          <w:sz w:val="32"/>
          <w:szCs w:val="32"/>
          <w:shd w:val="clear" w:color="auto" w:fill="FFFFFF"/>
          <w:lang w:eastAsia="zh-CN"/>
        </w:rPr>
        <w:t>、 “三公”经费使用管理情况</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val="en-US"/>
        </w:rPr>
        <w:t xml:space="preserve"> </w:t>
      </w:r>
      <w:r>
        <w:rPr>
          <w:rFonts w:hint="eastAsia" w:ascii="仿宋_GB2312" w:hAnsi="仿宋_GB2312" w:eastAsia="仿宋_GB2312" w:cs="仿宋_GB2312"/>
          <w:sz w:val="32"/>
          <w:szCs w:val="32"/>
          <w:shd w:val="clear" w:color="auto" w:fill="FFFFFF"/>
          <w:lang w:eastAsia="zh-CN"/>
        </w:rPr>
        <w:t>“三公”经费预算情况：</w:t>
      </w: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年“三公”经费预算数</w:t>
      </w:r>
      <w:r>
        <w:rPr>
          <w:rFonts w:hint="eastAsia" w:ascii="仿宋_GB2312" w:hAnsi="仿宋_GB2312" w:eastAsia="仿宋_GB2312" w:cs="仿宋_GB2312"/>
          <w:sz w:val="32"/>
          <w:szCs w:val="32"/>
          <w:shd w:val="clear" w:color="auto" w:fill="FFFFFF"/>
          <w:lang w:val="en-US"/>
        </w:rPr>
        <w:t>18.11</w:t>
      </w:r>
      <w:r>
        <w:rPr>
          <w:rFonts w:hint="eastAsia" w:ascii="仿宋_GB2312" w:hAnsi="仿宋_GB2312" w:eastAsia="仿宋_GB2312" w:cs="仿宋_GB2312"/>
          <w:sz w:val="32"/>
          <w:szCs w:val="32"/>
          <w:shd w:val="clear" w:color="auto" w:fill="FFFFFF"/>
          <w:lang w:eastAsia="zh-CN"/>
        </w:rPr>
        <w:t>万元，其中：公务接待费</w:t>
      </w:r>
      <w:r>
        <w:rPr>
          <w:rFonts w:hint="eastAsia" w:ascii="仿宋_GB2312" w:hAnsi="仿宋_GB2312" w:eastAsia="仿宋_GB2312" w:cs="仿宋_GB2312"/>
          <w:sz w:val="32"/>
          <w:szCs w:val="32"/>
          <w:shd w:val="clear" w:color="auto" w:fill="FFFFFF"/>
          <w:lang w:val="en-US"/>
        </w:rPr>
        <w:t>0.61</w:t>
      </w:r>
      <w:r>
        <w:rPr>
          <w:rFonts w:hint="eastAsia" w:ascii="仿宋_GB2312" w:hAnsi="仿宋_GB2312" w:eastAsia="仿宋_GB2312" w:cs="仿宋_GB2312"/>
          <w:sz w:val="32"/>
          <w:szCs w:val="32"/>
          <w:shd w:val="clear" w:color="auto" w:fill="FFFFFF"/>
          <w:lang w:eastAsia="zh-CN"/>
        </w:rPr>
        <w:t>万元，公务用车运行维护费</w:t>
      </w:r>
      <w:r>
        <w:rPr>
          <w:rFonts w:hint="eastAsia" w:ascii="仿宋_GB2312" w:hAnsi="仿宋_GB2312" w:eastAsia="仿宋_GB2312" w:cs="仿宋_GB2312"/>
          <w:sz w:val="32"/>
          <w:szCs w:val="32"/>
          <w:shd w:val="clear" w:color="auto" w:fill="FFFFFF"/>
          <w:lang w:val="en-US"/>
        </w:rPr>
        <w:t>17.50</w:t>
      </w:r>
      <w:r>
        <w:rPr>
          <w:rFonts w:hint="eastAsia" w:ascii="仿宋_GB2312" w:hAnsi="仿宋_GB2312" w:eastAsia="仿宋_GB2312" w:cs="仿宋_GB2312"/>
          <w:sz w:val="32"/>
          <w:szCs w:val="32"/>
          <w:shd w:val="clear" w:color="auto" w:fill="FFFFFF"/>
          <w:lang w:eastAsia="zh-CN"/>
        </w:rPr>
        <w:t>万元。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“三公”经费预算执行情况：</w:t>
      </w:r>
      <w:r>
        <w:rPr>
          <w:rFonts w:hint="eastAsia" w:ascii="仿宋_GB2312" w:hAnsi="仿宋_GB2312" w:eastAsia="仿宋_GB2312" w:cs="仿宋_GB2312"/>
          <w:sz w:val="32"/>
          <w:szCs w:val="32"/>
          <w:shd w:val="clear" w:color="auto" w:fill="FFFFFF"/>
          <w:lang w:val="en-US"/>
        </w:rPr>
        <w:t>2018</w:t>
      </w:r>
      <w:r>
        <w:rPr>
          <w:rFonts w:hint="eastAsia" w:ascii="仿宋_GB2312" w:hAnsi="仿宋_GB2312" w:eastAsia="仿宋_GB2312" w:cs="仿宋_GB2312"/>
          <w:sz w:val="32"/>
          <w:szCs w:val="32"/>
          <w:shd w:val="clear" w:color="auto" w:fill="FFFFFF"/>
          <w:lang w:eastAsia="zh-CN"/>
        </w:rPr>
        <w:t>年“三公”经费支出决算为</w:t>
      </w:r>
      <w:r>
        <w:rPr>
          <w:rFonts w:hint="eastAsia" w:ascii="仿宋_GB2312" w:hAnsi="仿宋_GB2312" w:eastAsia="仿宋_GB2312" w:cs="仿宋_GB2312"/>
          <w:sz w:val="32"/>
          <w:szCs w:val="32"/>
          <w:shd w:val="clear" w:color="auto" w:fill="FFFFFF"/>
          <w:lang w:val="en-US"/>
        </w:rPr>
        <w:t>9.25</w:t>
      </w:r>
      <w:r>
        <w:rPr>
          <w:rFonts w:hint="eastAsia" w:ascii="仿宋_GB2312" w:hAnsi="仿宋_GB2312" w:eastAsia="仿宋_GB2312" w:cs="仿宋_GB2312"/>
          <w:sz w:val="32"/>
          <w:szCs w:val="32"/>
          <w:shd w:val="clear" w:color="auto" w:fill="FFFFFF"/>
          <w:lang w:eastAsia="zh-CN"/>
        </w:rPr>
        <w:t>万元。其中：因公出国（境）费支出</w:t>
      </w:r>
      <w:r>
        <w:rPr>
          <w:rFonts w:hint="eastAsia" w:ascii="仿宋_GB2312" w:hAnsi="仿宋_GB2312" w:eastAsia="仿宋_GB2312" w:cs="仿宋_GB2312"/>
          <w:sz w:val="32"/>
          <w:szCs w:val="32"/>
          <w:shd w:val="clear" w:color="auto" w:fill="FFFFFF"/>
          <w:lang w:val="en-US"/>
        </w:rPr>
        <w:t>0</w:t>
      </w:r>
      <w:r>
        <w:rPr>
          <w:rFonts w:hint="eastAsia" w:ascii="仿宋_GB2312" w:hAnsi="仿宋_GB2312" w:eastAsia="仿宋_GB2312" w:cs="仿宋_GB2312"/>
          <w:sz w:val="32"/>
          <w:szCs w:val="32"/>
          <w:shd w:val="clear" w:color="auto" w:fill="FFFFFF"/>
          <w:lang w:eastAsia="zh-CN"/>
        </w:rPr>
        <w:t>元；公务接待费支出</w:t>
      </w:r>
      <w:r>
        <w:rPr>
          <w:rFonts w:hint="eastAsia" w:ascii="仿宋_GB2312" w:hAnsi="仿宋_GB2312" w:eastAsia="仿宋_GB2312" w:cs="仿宋_GB2312"/>
          <w:sz w:val="32"/>
          <w:szCs w:val="32"/>
          <w:shd w:val="clear" w:color="auto" w:fill="FFFFFF"/>
          <w:lang w:val="en-US"/>
        </w:rPr>
        <w:t>0.58</w:t>
      </w:r>
      <w:r>
        <w:rPr>
          <w:rFonts w:hint="eastAsia" w:ascii="仿宋_GB2312" w:hAnsi="仿宋_GB2312" w:eastAsia="仿宋_GB2312" w:cs="仿宋_GB2312"/>
          <w:sz w:val="32"/>
          <w:szCs w:val="32"/>
          <w:shd w:val="clear" w:color="auto" w:fill="FFFFFF"/>
          <w:lang w:eastAsia="zh-CN"/>
        </w:rPr>
        <w:t>万元；公务用车购置及运行维护费完成</w:t>
      </w:r>
      <w:r>
        <w:rPr>
          <w:rFonts w:hint="eastAsia" w:ascii="仿宋_GB2312" w:hAnsi="仿宋_GB2312" w:eastAsia="仿宋_GB2312" w:cs="仿宋_GB2312"/>
          <w:sz w:val="32"/>
          <w:szCs w:val="32"/>
          <w:shd w:val="clear" w:color="auto" w:fill="FFFFFF"/>
          <w:lang w:val="en-US"/>
        </w:rPr>
        <w:t>8.67</w:t>
      </w:r>
      <w:r>
        <w:rPr>
          <w:rFonts w:hint="eastAsia" w:ascii="仿宋_GB2312" w:hAnsi="仿宋_GB2312" w:eastAsia="仿宋_GB2312" w:cs="仿宋_GB2312"/>
          <w:sz w:val="32"/>
          <w:szCs w:val="32"/>
          <w:shd w:val="clear" w:color="auto" w:fill="FFFFFF"/>
          <w:lang w:eastAsia="zh-CN"/>
        </w:rPr>
        <w:t>元。</w:t>
      </w:r>
    </w:p>
    <w:p>
      <w:pPr>
        <w:pStyle w:val="14"/>
        <w:keepNext w:val="0"/>
        <w:keepLines w:val="0"/>
        <w:pageBreakBefore w:val="0"/>
        <w:widowControl/>
        <w:shd w:val="clear" w:color="auto" w:fill="FFFFFF"/>
        <w:kinsoku/>
        <w:wordWrap/>
        <w:overflowPunct/>
        <w:topLinePunct w:val="0"/>
        <w:autoSpaceDE/>
        <w:autoSpaceDN/>
        <w:bidi w:val="0"/>
        <w:spacing w:line="360" w:lineRule="auto"/>
        <w:ind w:left="0" w:firstLine="160" w:firstLineChars="50"/>
        <w:jc w:val="both"/>
        <w:textAlignment w:val="auto"/>
        <w:rPr>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sz w:val="32"/>
          <w:szCs w:val="32"/>
          <w:shd w:val="clear" w:color="auto" w:fill="FFFFFF"/>
          <w:lang w:eastAsia="zh-CN"/>
        </w:rPr>
        <w:t>（二）专项支出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1、专项资金安排落实、总投入等情况分析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基本建设项目支出92.70万元。 年初财政安排投入寺庙基础设施建设项目资金656万元，上年结转92.34万元，目前该项目正在建设中。</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行政事业类项目53.61万元。主要用于保障局机关为完成特定的行政工作任务包括民族事业发展、宗教事务、项目管理、民族团结创建等工作。年初财政拨款投入65.18万元，上年结转121.50万元。</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2、专项资金实际使用情况分析：基本建设项目已使用资金92.70万元，年末结转结余655.64万元；行政事业类项目2018年使用53.61万元，年末结转结余133.07万元。本单位在使用资金过程中严格按照资金用途和使用范围进行使用和管理，严禁违反财务制度，杜绝虚报、冒领、挪用、侵占、截留资金。</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3、专项资金管理情况分析：严格按照《中华人民共和国预算法》和项目资金管理办法进行管理，落实各项资金管理制度，明确资金具体用途、补助标准、项目建设内容、资金用款计划等内容，做到资金到项目、管理到项目、核算到项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1" w:firstLineChars="50"/>
        <w:jc w:val="both"/>
        <w:textAlignment w:val="auto"/>
        <w:rPr>
          <w:rFonts w:hint="eastAsia" w:ascii="仿宋_GB2312" w:hAnsi="仿宋_GB2312" w:eastAsia="仿宋_GB2312" w:cs="仿宋_GB2312"/>
          <w:b/>
          <w:sz w:val="32"/>
          <w:szCs w:val="32"/>
          <w:lang w:val="en-US"/>
        </w:rPr>
      </w:pPr>
      <w:r>
        <w:rPr>
          <w:rFonts w:hint="eastAsia" w:ascii="仿宋_GB2312" w:hAnsi="仿宋_GB2312" w:eastAsia="仿宋_GB2312" w:cs="仿宋_GB2312"/>
          <w:b/>
          <w:kern w:val="2"/>
          <w:sz w:val="32"/>
          <w:szCs w:val="32"/>
          <w:lang w:val="en-US" w:eastAsia="zh-CN" w:bidi="ar"/>
        </w:rPr>
        <w:t>三、部门专项组织实施情况</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（一）专项组织情况分析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0" w:firstLineChars="5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加强了组织建设，专项资金的使用都必须经过局务会班子成员讨论通过，每个专项都有分管领导和具体责任人，并制定工作计划，落实责任制，定期检查监督，层层落实。</w:t>
      </w:r>
    </w:p>
    <w:p>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right="0" w:rightChars="0" w:firstLine="160" w:firstLineChars="5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（二）专项管理情况分析</w:t>
      </w:r>
    </w:p>
    <w:p>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right="0" w:rightChars="0" w:firstLine="160" w:firstLineChars="50"/>
        <w:jc w:val="both"/>
        <w:textAlignment w:val="auto"/>
        <w:rPr>
          <w:rFonts w:hint="eastAsia" w:ascii="仿宋_GB2312" w:hAnsi="仿宋_GB2312" w:eastAsia="仿宋_GB2312" w:cs="仿宋_GB2312"/>
          <w:color w:val="333333"/>
          <w:kern w:val="0"/>
          <w:sz w:val="32"/>
          <w:szCs w:val="32"/>
          <w:shd w:val="clear" w:color="auto" w:fill="FFFFFF"/>
          <w:lang w:val="en-US"/>
        </w:rPr>
      </w:pPr>
      <w:r>
        <w:rPr>
          <w:rFonts w:hint="eastAsia" w:ascii="仿宋_GB2312" w:hAnsi="仿宋_GB2312" w:eastAsia="仿宋_GB2312" w:cs="仿宋_GB2312"/>
          <w:color w:val="333333"/>
          <w:kern w:val="0"/>
          <w:sz w:val="32"/>
          <w:szCs w:val="32"/>
          <w:shd w:val="clear" w:color="auto" w:fill="FFFFFF"/>
          <w:lang w:val="en-US" w:eastAsia="zh-CN" w:bidi="ar"/>
        </w:rPr>
        <w:t>我局项目支出严格按照国家财经法规、预算资金管理办法、财务管理制度以及专项资金管理办法的规定，把项目资金的审批分配与监督检查结合起来，遵循先预算、再审批、后支出的原则，</w:t>
      </w:r>
      <w:r>
        <w:rPr>
          <w:rFonts w:hint="eastAsia" w:ascii="仿宋_GB2312" w:hAnsi="仿宋_GB2312" w:eastAsia="仿宋_GB2312" w:cs="仿宋_GB2312"/>
          <w:kern w:val="2"/>
          <w:sz w:val="32"/>
          <w:szCs w:val="32"/>
          <w:shd w:val="clear" w:color="auto" w:fill="FFFFFF"/>
          <w:lang w:val="en-US" w:eastAsia="zh-CN" w:bidi="ar"/>
        </w:rPr>
        <w:t>不违规操作，规范了报账审批程序，</w:t>
      </w:r>
      <w:r>
        <w:rPr>
          <w:rFonts w:hint="eastAsia" w:ascii="仿宋_GB2312" w:hAnsi="仿宋_GB2312" w:eastAsia="仿宋_GB2312" w:cs="仿宋_GB2312"/>
          <w:color w:val="333333"/>
          <w:kern w:val="0"/>
          <w:sz w:val="32"/>
          <w:szCs w:val="32"/>
          <w:shd w:val="clear" w:color="auto" w:fill="FFFFFF"/>
          <w:lang w:val="en-US" w:eastAsia="zh-CN" w:bidi="ar"/>
        </w:rPr>
        <w:t xml:space="preserve"> 确保了财政资金分配和财政审批程序合法，保证了项目资金的合理使用，</w:t>
      </w:r>
      <w:r>
        <w:rPr>
          <w:rFonts w:hint="eastAsia" w:ascii="仿宋_GB2312" w:hAnsi="仿宋_GB2312" w:eastAsia="仿宋_GB2312" w:cs="仿宋_GB2312"/>
          <w:kern w:val="2"/>
          <w:sz w:val="32"/>
          <w:szCs w:val="32"/>
          <w:shd w:val="clear" w:color="auto" w:fill="FFFFFF"/>
          <w:lang w:val="en-US" w:eastAsia="zh-CN" w:bidi="ar"/>
        </w:rPr>
        <w:t>发挥了资金效益。</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61" w:firstLineChars="50"/>
        <w:jc w:val="both"/>
        <w:textAlignment w:val="auto"/>
        <w:rPr>
          <w:rFonts w:hint="eastAsia" w:ascii="仿宋_GB2312" w:hAnsi="仿宋_GB2312" w:eastAsia="仿宋_GB2312" w:cs="仿宋_GB2312"/>
          <w:b/>
          <w:sz w:val="32"/>
          <w:szCs w:val="32"/>
          <w:lang w:val="en-US"/>
        </w:rPr>
      </w:pPr>
      <w:r>
        <w:rPr>
          <w:rFonts w:hint="eastAsia" w:ascii="仿宋_GB2312" w:hAnsi="仿宋_GB2312" w:eastAsia="仿宋_GB2312" w:cs="仿宋_GB2312"/>
          <w:b/>
          <w:kern w:val="2"/>
          <w:sz w:val="32"/>
          <w:szCs w:val="32"/>
          <w:lang w:val="en-US" w:eastAsia="zh-CN" w:bidi="ar"/>
        </w:rPr>
        <w:t>四、部门整体支出绩效情况</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197" w:rightChars="-94"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kern w:val="2"/>
          <w:sz w:val="32"/>
          <w:szCs w:val="32"/>
          <w:lang w:val="en-US" w:eastAsia="zh-CN" w:bidi="ar"/>
        </w:rPr>
        <w:t>本单位履职效益情况良好，对各项支出严格按照预算额度进行控制，</w:t>
      </w:r>
      <w:r>
        <w:rPr>
          <w:rFonts w:hint="eastAsia" w:ascii="仿宋_GB2312" w:hAnsi="仿宋_GB2312" w:eastAsia="仿宋_GB2312" w:cs="仿宋_GB2312"/>
          <w:color w:val="212121"/>
          <w:kern w:val="0"/>
          <w:sz w:val="32"/>
          <w:szCs w:val="32"/>
          <w:lang w:val="en-US" w:eastAsia="zh-CN" w:bidi="ar"/>
        </w:rPr>
        <w:t>本年预算配置方面，财政供养人员控制在预算编制以内，编制内在职人员控制率小于100%， “三公经费”控制较好。</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197" w:rightChars="-94"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预算管理方面较好，本着厉行节俭、只减不增的原则，严格执行“三公”经费标准和审批制度与程序，公用经费、三公经费都得到了有效控制。</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shd w:val="clear" w:color="auto" w:fill="FFFFFF"/>
          <w:lang w:val="en-US"/>
        </w:rPr>
      </w:pPr>
      <w:r>
        <w:rPr>
          <w:rFonts w:hint="eastAsia" w:ascii="仿宋_GB2312" w:hAnsi="仿宋_GB2312" w:eastAsia="仿宋_GB2312" w:cs="仿宋_GB2312"/>
          <w:color w:val="212121"/>
          <w:kern w:val="0"/>
          <w:sz w:val="32"/>
          <w:szCs w:val="32"/>
          <w:shd w:val="clear" w:color="auto" w:fill="FFFFFF"/>
          <w:lang w:val="en-US" w:eastAsia="zh-CN" w:bidi="ar"/>
        </w:rPr>
        <w:t>我单位建立健全了财政收支管理、预算管理、资产管理制度等一系列内部控制制度，制度执行总体有效。</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shd w:val="clear" w:color="auto" w:fill="FFFFFF"/>
          <w:lang w:val="en-US"/>
        </w:rPr>
      </w:pPr>
      <w:r>
        <w:rPr>
          <w:rFonts w:hint="eastAsia" w:ascii="仿宋_GB2312" w:hAnsi="仿宋_GB2312" w:eastAsia="仿宋_GB2312" w:cs="仿宋_GB2312"/>
          <w:color w:val="212121"/>
          <w:kern w:val="0"/>
          <w:sz w:val="32"/>
          <w:szCs w:val="32"/>
          <w:shd w:val="clear" w:color="auto" w:fill="FFFFFF"/>
          <w:lang w:val="en-US" w:eastAsia="zh-CN" w:bidi="ar"/>
        </w:rPr>
        <w:t>根据部门整体支出绩效评价指标体系，我单位2018年度评分为90.9分。</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right="0" w:firstLine="161" w:firstLineChars="50"/>
        <w:jc w:val="left"/>
        <w:textAlignment w:val="auto"/>
        <w:outlineLvl w:val="0"/>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b/>
          <w:bCs w:val="0"/>
          <w:color w:val="212121"/>
          <w:kern w:val="0"/>
          <w:sz w:val="32"/>
          <w:szCs w:val="32"/>
          <w:lang w:val="en-US" w:eastAsia="zh-CN" w:bidi="ar"/>
        </w:rPr>
        <w:t>五、存在的主要问题</w:t>
      </w:r>
      <w:r>
        <w:rPr>
          <w:rFonts w:hint="eastAsia" w:ascii="仿宋_GB2312" w:hAnsi="仿宋_GB2312" w:eastAsia="仿宋_GB2312" w:cs="仿宋_GB2312"/>
          <w:color w:val="212121"/>
          <w:kern w:val="0"/>
          <w:sz w:val="32"/>
          <w:szCs w:val="32"/>
          <w:lang w:val="en-US" w:eastAsia="zh-CN" w:bidi="ar"/>
        </w:rPr>
        <w:tab/>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outlineLvl w:val="0"/>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通过前述对我单位整体支出情况的分析，反映出目前在整体支出的预算编制、执行和管理过程中，依然存在一些问题和不足：</w:t>
      </w:r>
    </w:p>
    <w:p>
      <w:pPr>
        <w:keepNext w:val="0"/>
        <w:keepLines w:val="0"/>
        <w:pageBreakBefore w:val="0"/>
        <w:widowControl/>
        <w:numPr>
          <w:ilvl w:val="0"/>
          <w:numId w:val="8"/>
        </w:numPr>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outlineLvl w:val="0"/>
        <w:rPr>
          <w:rFonts w:hint="eastAsia" w:ascii="仿宋_GB2312" w:hAnsi="仿宋_GB2312" w:eastAsia="仿宋_GB2312" w:cs="仿宋_GB2312"/>
          <w:color w:val="212121"/>
          <w:kern w:val="0"/>
          <w:sz w:val="32"/>
          <w:szCs w:val="32"/>
          <w:lang w:val="en-US" w:eastAsia="zh-CN" w:bidi="ar"/>
        </w:rPr>
      </w:pPr>
      <w:r>
        <w:rPr>
          <w:rFonts w:hint="eastAsia" w:ascii="仿宋_GB2312" w:hAnsi="仿宋_GB2312" w:eastAsia="仿宋_GB2312" w:cs="仿宋_GB2312"/>
          <w:color w:val="212121"/>
          <w:kern w:val="0"/>
          <w:sz w:val="32"/>
          <w:szCs w:val="32"/>
          <w:lang w:val="en-US" w:eastAsia="zh-CN" w:bidi="ar"/>
        </w:rPr>
        <w:t>预算执行情况不是很好，项目预算执行缓慢，结转下年度资金较多。</w:t>
      </w:r>
    </w:p>
    <w:p>
      <w:pPr>
        <w:keepNext w:val="0"/>
        <w:keepLines w:val="0"/>
        <w:pageBreakBefore w:val="0"/>
        <w:widowControl/>
        <w:numPr>
          <w:ilvl w:val="0"/>
          <w:numId w:val="8"/>
        </w:numPr>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outlineLvl w:val="0"/>
        <w:rPr>
          <w:rFonts w:hint="eastAsia" w:ascii="仿宋_GB2312" w:hAnsi="仿宋_GB2312" w:eastAsia="仿宋_GB2312" w:cs="仿宋_GB2312"/>
          <w:color w:val="212121"/>
          <w:kern w:val="0"/>
          <w:sz w:val="32"/>
          <w:szCs w:val="32"/>
          <w:lang w:val="en-US" w:eastAsia="zh-CN" w:bidi="ar"/>
        </w:rPr>
      </w:pPr>
      <w:r>
        <w:rPr>
          <w:rFonts w:hint="eastAsia" w:ascii="仿宋_GB2312" w:hAnsi="仿宋_GB2312" w:eastAsia="仿宋_GB2312" w:cs="仿宋_GB2312"/>
          <w:color w:val="212121"/>
          <w:kern w:val="0"/>
          <w:sz w:val="32"/>
          <w:szCs w:val="32"/>
          <w:lang w:val="en-US" w:eastAsia="zh-CN" w:bidi="ar"/>
        </w:rPr>
        <w:t>公务卡执行力度不够好，打印费没有及时结算，累计结算金额比较大，公务卡额度不够，所以就直接转账给打印店。</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1" w:firstLineChars="50"/>
        <w:jc w:val="left"/>
        <w:textAlignment w:val="auto"/>
        <w:outlineLvl w:val="0"/>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b/>
          <w:bCs w:val="0"/>
          <w:color w:val="212121"/>
          <w:kern w:val="0"/>
          <w:sz w:val="32"/>
          <w:szCs w:val="32"/>
          <w:lang w:val="en-US" w:eastAsia="zh-CN" w:bidi="ar"/>
        </w:rPr>
        <w:t>六、改进措施和建议</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right="0"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 xml:space="preserve">1、遵循预算管理办法，对于年度无法预计的临时追加的相关工作所需费用和结余资金确保资金严格按照预算专项资金使用程序申报及使用，按照预算项目和使用用途执行。 </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2、预算财务分析常态化。定期做好支出预算财务分析，及时对费用预算执行情况进行通报和预警，定期对执行情况进行检查，做好部门整体支出预算评价工作。</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eastAsia="zh-CN" w:bidi="ar"/>
        </w:rPr>
      </w:pPr>
      <w:r>
        <w:rPr>
          <w:rFonts w:hint="eastAsia" w:ascii="仿宋_GB2312" w:hAnsi="仿宋_GB2312" w:eastAsia="仿宋_GB2312" w:cs="仿宋_GB2312"/>
          <w:color w:val="212121"/>
          <w:kern w:val="0"/>
          <w:sz w:val="32"/>
          <w:szCs w:val="32"/>
          <w:lang w:val="en-US" w:eastAsia="zh-CN" w:bidi="ar"/>
        </w:rPr>
        <w:t>3、加强公务卡管理，及时结算费用，提高公务卡使用率。</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eastAsia="zh-CN" w:bidi="ar"/>
        </w:rPr>
      </w:pPr>
      <w:r>
        <w:rPr>
          <w:rFonts w:hint="eastAsia" w:ascii="仿宋_GB2312" w:hAnsi="仿宋_GB2312" w:eastAsia="仿宋_GB2312" w:cs="仿宋_GB2312"/>
          <w:color w:val="212121"/>
          <w:kern w:val="0"/>
          <w:sz w:val="32"/>
          <w:szCs w:val="32"/>
          <w:lang w:val="en-US" w:eastAsia="zh-CN" w:bidi="ar"/>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5、针对指标文下达工作，尽早计划和开展年度专项的申报，加强报批工作的沟通和跟踪，及时落实项目专项的报批进度和指标文的下达，尽早取得资金的拨付，保障项目资金的投入进度，发挥资金的使用效益。</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rPr>
      </w:pPr>
      <w:r>
        <w:rPr>
          <w:rFonts w:hint="eastAsia" w:ascii="仿宋_GB2312" w:hAnsi="仿宋_GB2312" w:eastAsia="仿宋_GB2312" w:cs="仿宋_GB2312"/>
          <w:color w:val="212121"/>
          <w:kern w:val="0"/>
          <w:sz w:val="32"/>
          <w:szCs w:val="32"/>
          <w:lang w:val="en-US" w:eastAsia="zh-CN" w:bidi="ar"/>
        </w:rPr>
        <w:t>6、在项目资金及时到位的前提下，加快项目实施进度的推进，加强项目开展进度的跟踪，开展项目绩效评价，确保项目绩效目标的完成。</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160" w:firstLineChars="50"/>
        <w:jc w:val="left"/>
        <w:textAlignment w:val="auto"/>
        <w:rPr>
          <w:rFonts w:hint="eastAsia" w:ascii="仿宋_GB2312" w:hAnsi="仿宋_GB2312" w:eastAsia="仿宋_GB2312" w:cs="仿宋_GB2312"/>
          <w:color w:val="212121"/>
          <w:kern w:val="0"/>
          <w:sz w:val="32"/>
          <w:szCs w:val="32"/>
          <w:lang w:val="en-US" w:eastAsia="zh-CN" w:bidi="ar"/>
        </w:rPr>
      </w:pPr>
      <w:r>
        <w:rPr>
          <w:rFonts w:hint="eastAsia" w:ascii="仿宋_GB2312" w:hAnsi="仿宋_GB2312" w:eastAsia="仿宋_GB2312" w:cs="仿宋_GB2312"/>
          <w:color w:val="212121"/>
          <w:kern w:val="0"/>
          <w:sz w:val="32"/>
          <w:szCs w:val="32"/>
          <w:lang w:val="en-US" w:eastAsia="zh-CN" w:bidi="ar"/>
        </w:rPr>
        <w:t> </w:t>
      </w:r>
    </w:p>
    <w:bookmarkEnd w:id="61"/>
    <w:p>
      <w:pPr>
        <w:spacing w:line="600" w:lineRule="exact"/>
        <w:jc w:val="center"/>
        <w:outlineLvl w:val="0"/>
        <w:rPr>
          <w:rFonts w:hint="eastAsia" w:ascii="仿宋_GB2312" w:hAnsi="仿宋_GB2312" w:eastAsia="仿宋_GB2312" w:cs="仿宋_GB2312"/>
          <w:color w:val="auto"/>
          <w:sz w:val="32"/>
          <w:szCs w:val="32"/>
        </w:rPr>
      </w:pPr>
      <w:bookmarkStart w:id="62" w:name="_Toc15396618"/>
    </w:p>
    <w:p>
      <w:pPr>
        <w:spacing w:line="600" w:lineRule="exact"/>
        <w:jc w:val="center"/>
        <w:outlineLvl w:val="0"/>
        <w:rPr>
          <w:rFonts w:hint="eastAsia" w:asciiTheme="minorEastAsia" w:hAnsiTheme="minorEastAsia" w:eastAsiaTheme="minorEastAsia" w:cstheme="minorEastAsia"/>
          <w:color w:val="auto"/>
          <w:sz w:val="32"/>
          <w:szCs w:val="32"/>
        </w:rPr>
      </w:pPr>
    </w:p>
    <w:p>
      <w:pPr>
        <w:spacing w:line="600" w:lineRule="exact"/>
        <w:jc w:val="center"/>
        <w:outlineLvl w:val="0"/>
        <w:rPr>
          <w:rFonts w:hint="eastAsia" w:asciiTheme="minorEastAsia" w:hAnsiTheme="minorEastAsia" w:eastAsiaTheme="minorEastAsia" w:cstheme="minorEastAsia"/>
          <w:color w:val="auto"/>
          <w:sz w:val="32"/>
          <w:szCs w:val="32"/>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auto"/>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bookmarkStart w:id="76" w:name="_GoBack"/>
      <w:bookmarkEnd w:id="76"/>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62"/>
    </w:p>
    <w:p>
      <w:pPr>
        <w:pStyle w:val="5"/>
        <w:rPr>
          <w:rFonts w:ascii="仿宋" w:hAnsi="仿宋" w:eastAsia="仿宋"/>
          <w:color w:val="000000"/>
        </w:rPr>
      </w:pPr>
      <w:bookmarkStart w:id="63"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3"/>
    </w:p>
    <w:p>
      <w:pPr>
        <w:pStyle w:val="5"/>
        <w:rPr>
          <w:rFonts w:ascii="仿宋" w:hAnsi="仿宋" w:eastAsia="仿宋"/>
          <w:color w:val="000000"/>
        </w:rPr>
      </w:pPr>
      <w:bookmarkStart w:id="64"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4"/>
    </w:p>
    <w:p>
      <w:pPr>
        <w:pStyle w:val="5"/>
        <w:rPr>
          <w:rFonts w:ascii="仿宋" w:hAnsi="仿宋" w:eastAsia="仿宋"/>
          <w:color w:val="000000"/>
        </w:rPr>
      </w:pPr>
      <w:bookmarkStart w:id="65"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5"/>
    </w:p>
    <w:p>
      <w:pPr>
        <w:pStyle w:val="5"/>
        <w:rPr>
          <w:rFonts w:ascii="仿宋" w:hAnsi="仿宋" w:eastAsia="仿宋"/>
          <w:b w:val="0"/>
          <w:color w:val="000000"/>
        </w:rPr>
      </w:pPr>
      <w:bookmarkStart w:id="66"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6"/>
    </w:p>
    <w:p>
      <w:pPr>
        <w:pStyle w:val="5"/>
        <w:rPr>
          <w:rFonts w:ascii="仿宋" w:hAnsi="仿宋" w:eastAsia="仿宋"/>
          <w:color w:val="000000"/>
        </w:rPr>
      </w:pPr>
      <w:bookmarkStart w:id="67"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7"/>
    </w:p>
    <w:p>
      <w:pPr>
        <w:pStyle w:val="5"/>
        <w:rPr>
          <w:rFonts w:ascii="仿宋" w:hAnsi="仿宋" w:eastAsia="仿宋"/>
          <w:color w:val="000000"/>
        </w:rPr>
      </w:pPr>
      <w:bookmarkStart w:id="68"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8"/>
    </w:p>
    <w:p>
      <w:pPr>
        <w:pStyle w:val="5"/>
        <w:rPr>
          <w:rFonts w:ascii="仿宋" w:hAnsi="仿宋" w:eastAsia="仿宋"/>
          <w:color w:val="000000"/>
        </w:rPr>
      </w:pPr>
      <w:bookmarkStart w:id="69"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9"/>
    </w:p>
    <w:p>
      <w:pPr>
        <w:pStyle w:val="5"/>
        <w:rPr>
          <w:rFonts w:ascii="仿宋" w:hAnsi="仿宋" w:eastAsia="仿宋"/>
          <w:color w:val="000000"/>
        </w:rPr>
      </w:pPr>
      <w:bookmarkStart w:id="70"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70"/>
    </w:p>
    <w:p>
      <w:pPr>
        <w:pStyle w:val="5"/>
        <w:rPr>
          <w:rFonts w:ascii="仿宋" w:hAnsi="仿宋" w:eastAsia="仿宋"/>
          <w:color w:val="000000"/>
        </w:rPr>
      </w:pPr>
      <w:bookmarkStart w:id="71"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71"/>
    </w:p>
    <w:p>
      <w:pPr>
        <w:pStyle w:val="5"/>
        <w:rPr>
          <w:rFonts w:ascii="仿宋" w:hAnsi="仿宋" w:eastAsia="仿宋"/>
          <w:color w:val="000000"/>
        </w:rPr>
      </w:pPr>
      <w:bookmarkStart w:id="72"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72"/>
    </w:p>
    <w:p>
      <w:pPr>
        <w:pStyle w:val="5"/>
        <w:rPr>
          <w:rFonts w:ascii="仿宋" w:hAnsi="仿宋" w:eastAsia="仿宋"/>
          <w:color w:val="000000"/>
        </w:rPr>
      </w:pPr>
      <w:bookmarkStart w:id="73"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3"/>
    </w:p>
    <w:p>
      <w:pPr>
        <w:pStyle w:val="5"/>
        <w:rPr>
          <w:rFonts w:ascii="仿宋" w:hAnsi="仿宋" w:eastAsia="仿宋"/>
          <w:color w:val="000000"/>
        </w:rPr>
      </w:pPr>
      <w:bookmarkStart w:id="74"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4"/>
    </w:p>
    <w:p>
      <w:pPr>
        <w:pStyle w:val="5"/>
        <w:rPr>
          <w:rFonts w:ascii="仿宋" w:hAnsi="仿宋" w:eastAsia="仿宋"/>
          <w:color w:val="000000" w:themeColor="text1"/>
          <w14:textFill>
            <w14:solidFill>
              <w14:schemeClr w14:val="tx1"/>
            </w14:solidFill>
          </w14:textFill>
        </w:rPr>
      </w:pPr>
      <w:bookmarkStart w:id="75"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10</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BB6959"/>
    <w:multiLevelType w:val="singleLevel"/>
    <w:tmpl w:val="8DBB6959"/>
    <w:lvl w:ilvl="0" w:tentative="0">
      <w:start w:val="1"/>
      <w:numFmt w:val="decimal"/>
      <w:suff w:val="nothing"/>
      <w:lvlText w:val="%1、"/>
      <w:lvlJc w:val="left"/>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B6622E0"/>
    <w:multiLevelType w:val="singleLevel"/>
    <w:tmpl w:val="EB6622E0"/>
    <w:lvl w:ilvl="0" w:tentative="0">
      <w:start w:val="1"/>
      <w:numFmt w:val="decimal"/>
      <w:lvlText w:val="%1."/>
      <w:lvlJc w:val="left"/>
      <w:pPr>
        <w:tabs>
          <w:tab w:val="left" w:pos="312"/>
        </w:tabs>
      </w:p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29424A22"/>
    <w:multiLevelType w:val="singleLevel"/>
    <w:tmpl w:val="29424A22"/>
    <w:lvl w:ilvl="0" w:tentative="0">
      <w:start w:val="1"/>
      <w:numFmt w:val="decimal"/>
      <w:lvlText w:val="%1."/>
      <w:lvlJc w:val="left"/>
      <w:pPr>
        <w:tabs>
          <w:tab w:val="left" w:pos="312"/>
        </w:tabs>
      </w:pPr>
    </w:lvl>
  </w:abstractNum>
  <w:abstractNum w:abstractNumId="7">
    <w:nsid w:val="6EBB6F03"/>
    <w:multiLevelType w:val="singleLevel"/>
    <w:tmpl w:val="6EBB6F03"/>
    <w:lvl w:ilvl="0" w:tentative="0">
      <w:start w:val="4"/>
      <w:numFmt w:val="decimal"/>
      <w:suff w:val="nothing"/>
      <w:lvlText w:val="%1、"/>
      <w:lvlJc w:val="left"/>
    </w:lvl>
  </w:abstractNum>
  <w:num w:numId="1">
    <w:abstractNumId w:val="4"/>
  </w:num>
  <w:num w:numId="2">
    <w:abstractNumId w:val="2"/>
  </w:num>
  <w:num w:numId="3">
    <w:abstractNumId w:val="7"/>
  </w:num>
  <w:num w:numId="4">
    <w:abstractNumId w:val="6"/>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772155"/>
    <w:rsid w:val="03A4305A"/>
    <w:rsid w:val="06AE5C9E"/>
    <w:rsid w:val="0A9667E7"/>
    <w:rsid w:val="10C055FF"/>
    <w:rsid w:val="16BB723D"/>
    <w:rsid w:val="170960A6"/>
    <w:rsid w:val="17AB075A"/>
    <w:rsid w:val="1CD6224F"/>
    <w:rsid w:val="1E0F2DFD"/>
    <w:rsid w:val="203C19AE"/>
    <w:rsid w:val="240371BF"/>
    <w:rsid w:val="24B95082"/>
    <w:rsid w:val="28177F95"/>
    <w:rsid w:val="29FD04D3"/>
    <w:rsid w:val="2E6F4CD6"/>
    <w:rsid w:val="319F7F4E"/>
    <w:rsid w:val="39C763E4"/>
    <w:rsid w:val="3A0E4688"/>
    <w:rsid w:val="3CC3601F"/>
    <w:rsid w:val="40EE4F40"/>
    <w:rsid w:val="44614BB8"/>
    <w:rsid w:val="46E9086E"/>
    <w:rsid w:val="482C4F44"/>
    <w:rsid w:val="4B904E26"/>
    <w:rsid w:val="4CAF289B"/>
    <w:rsid w:val="4F9A099F"/>
    <w:rsid w:val="530F7F4F"/>
    <w:rsid w:val="53666A10"/>
    <w:rsid w:val="56874DF3"/>
    <w:rsid w:val="58A45CF1"/>
    <w:rsid w:val="59FB1E5D"/>
    <w:rsid w:val="5CE656C8"/>
    <w:rsid w:val="60D25C46"/>
    <w:rsid w:val="623D5E3B"/>
    <w:rsid w:val="673248D3"/>
    <w:rsid w:val="677302DA"/>
    <w:rsid w:val="68A6509F"/>
    <w:rsid w:val="774409BC"/>
    <w:rsid w:val="782A29D4"/>
    <w:rsid w:val="79FB37B0"/>
    <w:rsid w:val="7BA27DC3"/>
    <w:rsid w:val="7D4D30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unhideWhenUsed/>
    <w:qFormat/>
    <w:uiPriority w:val="99"/>
    <w:pPr>
      <w:spacing w:after="120" w:afterLines="0"/>
      <w:ind w:left="420" w:leftChars="200"/>
    </w:p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keepNext w:val="0"/>
      <w:keepLines w:val="0"/>
      <w:widowControl/>
      <w:suppressLineNumbers w:val="0"/>
      <w:spacing w:before="0" w:beforeAutospacing="0" w:after="0" w:afterAutospacing="0"/>
      <w:ind w:left="0" w:right="0"/>
      <w:jc w:val="left"/>
    </w:pPr>
    <w:rPr>
      <w:rFonts w:hint="eastAsia" w:ascii="微软雅黑" w:hAnsi="微软雅黑" w:eastAsia="宋体" w:cs="宋体"/>
      <w:kern w:val="0"/>
      <w:sz w:val="24"/>
      <w:szCs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21</TotalTime>
  <ScaleCrop>false</ScaleCrop>
  <LinksUpToDate>false</LinksUpToDate>
  <CharactersWithSpaces>9641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2019-09-27T02:57:00Z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