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pageBreakBefore w:val="0"/>
        <w:kinsoku/>
        <w:wordWrap/>
        <w:overflowPunct/>
        <w:topLinePunct w:val="0"/>
        <w:bidi w:val="0"/>
        <w:spacing w:line="576" w:lineRule="exact"/>
        <w:ind w:right="0" w:rightChars="0"/>
        <w:textAlignment w:val="auto"/>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96597"/>
      <w:bookmarkStart w:id="2" w:name="_Toc15377193"/>
      <w:bookmarkStart w:id="3" w:name="_Toc15396475"/>
      <w:bookmarkStart w:id="4" w:name="_Toc15377425"/>
      <w:bookmarkStart w:id="5" w:name="_Toc15378441"/>
    </w:p>
    <w:p>
      <w:pPr>
        <w:pStyle w:val="7"/>
        <w:pageBreakBefore w:val="0"/>
        <w:kinsoku/>
        <w:wordWrap/>
        <w:overflowPunct/>
        <w:topLinePunct w:val="0"/>
        <w:bidi w:val="0"/>
        <w:spacing w:line="576" w:lineRule="exact"/>
        <w:ind w:right="0" w:rightChars="0"/>
        <w:textAlignment w:val="auto"/>
        <w:rPr>
          <w:rFonts w:hint="eastAsia" w:ascii="Times New Roman" w:hAnsi="Times New Roman" w:eastAsia="方正小标宋简体" w:cs="Times New Roman"/>
          <w:color w:val="auto"/>
          <w:kern w:val="2"/>
          <w:sz w:val="72"/>
          <w:szCs w:val="72"/>
          <w:highlight w:val="none"/>
          <w:lang w:val="en-US" w:eastAsia="zh-CN" w:bidi="ar-SA"/>
        </w:rPr>
      </w:pPr>
    </w:p>
    <w:p>
      <w:pPr>
        <w:pStyle w:val="7"/>
        <w:pageBreakBefore w:val="0"/>
        <w:kinsoku/>
        <w:wordWrap/>
        <w:overflowPunct/>
        <w:topLinePunct w:val="0"/>
        <w:bidi w:val="0"/>
        <w:spacing w:line="576" w:lineRule="exact"/>
        <w:ind w:right="0" w:rightChars="0"/>
        <w:textAlignment w:val="auto"/>
        <w:rPr>
          <w:rFonts w:hint="eastAsia" w:ascii="Times New Roman" w:hAnsi="Times New Roman" w:eastAsia="方正小标宋简体" w:cs="Times New Roman"/>
          <w:color w:val="auto"/>
          <w:kern w:val="2"/>
          <w:sz w:val="72"/>
          <w:szCs w:val="72"/>
          <w:highlight w:val="none"/>
          <w:lang w:val="en-US" w:eastAsia="zh-CN" w:bidi="ar-SA"/>
        </w:rPr>
      </w:pPr>
    </w:p>
    <w:p>
      <w:pPr>
        <w:pStyle w:val="7"/>
        <w:pageBreakBefore w:val="0"/>
        <w:kinsoku/>
        <w:wordWrap/>
        <w:overflowPunct/>
        <w:topLinePunct w:val="0"/>
        <w:bidi w:val="0"/>
        <w:spacing w:line="576" w:lineRule="exact"/>
        <w:ind w:right="0" w:rightChars="0"/>
        <w:jc w:val="center"/>
        <w:textAlignment w:val="auto"/>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四川省九寨沟县民族宗教服务中心</w:t>
      </w:r>
      <w:r>
        <w:rPr>
          <w:rFonts w:hint="eastAsia" w:ascii="Times New Roman" w:hAnsi="Times New Roman" w:eastAsia="方正小标宋简体" w:cs="Times New Roman"/>
          <w:color w:val="auto"/>
          <w:kern w:val="2"/>
          <w:sz w:val="44"/>
          <w:szCs w:val="44"/>
          <w:highlight w:val="none"/>
          <w:lang w:val="en-US" w:eastAsia="zh-CN" w:bidi="ar-SA"/>
        </w:rPr>
        <w:t>单位决算公开</w:t>
      </w:r>
      <w:r>
        <w:rPr>
          <w:rFonts w:hint="eastAsia" w:ascii="Times New Roman" w:eastAsia="方正小标宋简体" w:cs="Times New Roman"/>
          <w:color w:val="auto"/>
          <w:kern w:val="2"/>
          <w:sz w:val="44"/>
          <w:szCs w:val="44"/>
          <w:highlight w:val="none"/>
          <w:lang w:val="en-US" w:eastAsia="zh-CN" w:bidi="ar-SA"/>
        </w:rPr>
        <w:t>编制说明</w:t>
      </w:r>
    </w:p>
    <w:p>
      <w:pPr>
        <w:pageBreakBefore w:val="0"/>
        <w:kinsoku/>
        <w:wordWrap/>
        <w:overflowPunct/>
        <w:topLinePunct w:val="0"/>
        <w:bidi w:val="0"/>
        <w:spacing w:line="576" w:lineRule="exact"/>
        <w:ind w:right="0" w:rightChars="0"/>
        <w:jc w:val="center"/>
        <w:textAlignment w:val="auto"/>
        <w:outlineLvl w:val="0"/>
        <w:rPr>
          <w:rFonts w:ascii="Times New Roman" w:hAnsi="Times New Roman" w:eastAsia="方正小标宋简体"/>
          <w:color w:val="auto"/>
          <w:sz w:val="72"/>
          <w:szCs w:val="72"/>
          <w:highlight w:val="none"/>
        </w:rPr>
      </w:pPr>
    </w:p>
    <w:bookmarkEnd w:id="0"/>
    <w:bookmarkEnd w:id="1"/>
    <w:bookmarkEnd w:id="2"/>
    <w:bookmarkEnd w:id="3"/>
    <w:bookmarkEnd w:id="4"/>
    <w:bookmarkEnd w:id="5"/>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8"/>
          <w:szCs w:val="48"/>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8"/>
          <w:szCs w:val="48"/>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both"/>
        <w:textAlignment w:val="auto"/>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center"/>
        <w:textAlignment w:val="auto"/>
        <w:outlineLvl w:val="0"/>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ind w:right="0" w:rightChars="0"/>
        <w:jc w:val="center"/>
        <w:textAlignment w:val="auto"/>
        <w:outlineLvl w:val="0"/>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pageBreakBefore w:val="0"/>
        <w:widowControl/>
        <w:kinsoku/>
        <w:wordWrap/>
        <w:overflowPunct/>
        <w:topLinePunct w:val="0"/>
        <w:bidi w:val="0"/>
        <w:spacing w:line="576" w:lineRule="exact"/>
        <w:ind w:right="0" w:rightChars="0"/>
        <w:jc w:val="center"/>
        <w:textAlignment w:val="auto"/>
        <w:outlineLvl w:val="0"/>
        <w:rPr>
          <w:rFonts w:ascii="Times New Roman" w:hAnsi="Times New Roman" w:eastAsia="黑体" w:cs="Arial"/>
          <w:color w:val="auto"/>
          <w:sz w:val="28"/>
          <w:szCs w:val="28"/>
          <w:highlight w:val="none"/>
        </w:rPr>
      </w:pPr>
    </w:p>
    <w:p>
      <w:pPr>
        <w:pStyle w:val="12"/>
        <w:pageBreakBefore w:val="0"/>
        <w:kinsoku/>
        <w:wordWrap/>
        <w:overflowPunct/>
        <w:topLinePunct w:val="0"/>
        <w:bidi w:val="0"/>
        <w:spacing w:line="576" w:lineRule="exact"/>
        <w:ind w:right="0" w:rightChars="0"/>
        <w:textAlignment w:val="auto"/>
        <w:outlineLvl w:val="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16</w:t>
      </w:r>
      <w:r>
        <w:rPr>
          <w:rFonts w:hint="eastAsia" w:ascii="Times New Roman" w:hAnsi="Times New Roman" w:eastAsia="仿宋_GB2312" w:cs="仿宋_GB2312"/>
          <w:color w:val="auto"/>
          <w:sz w:val="32"/>
          <w:szCs w:val="32"/>
          <w:highlight w:val="none"/>
        </w:rPr>
        <w:t>日</w:t>
      </w:r>
    </w:p>
    <w:p>
      <w:pPr>
        <w:pageBreakBefore w:val="0"/>
        <w:kinsoku/>
        <w:wordWrap/>
        <w:overflowPunct/>
        <w:topLinePunct w:val="0"/>
        <w:bidi w:val="0"/>
        <w:spacing w:line="576" w:lineRule="exact"/>
        <w:ind w:right="0" w:rightChars="0"/>
        <w:textAlignment w:val="auto"/>
        <w:outlineLvl w:val="0"/>
        <w:rPr>
          <w:rFonts w:ascii="Times New Roman" w:hAnsi="Times New Roman"/>
          <w:color w:val="auto"/>
          <w:highlight w:val="none"/>
        </w:rPr>
      </w:pPr>
    </w:p>
    <w:p>
      <w:pPr>
        <w:pStyle w:val="12"/>
        <w:keepNext w:val="0"/>
        <w:keepLines w:val="0"/>
        <w:pageBreakBefore w:val="0"/>
        <w:widowControl w:val="0"/>
        <w:kinsoku/>
        <w:wordWrap/>
        <w:overflowPunct/>
        <w:topLinePunct w:val="0"/>
        <w:autoSpaceDE/>
        <w:autoSpaceDN/>
        <w:bidi w:val="0"/>
        <w:adjustRightInd w:val="0"/>
        <w:snapToGrid w:val="0"/>
        <w:spacing w:before="0" w:line="576" w:lineRule="exact"/>
        <w:ind w:right="0" w:rightChars="0"/>
        <w:jc w:val="left"/>
        <w:textAlignment w:val="auto"/>
        <w:outlineLvl w:val="0"/>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4"/>
        <w:keepNext w:val="0"/>
        <w:keepLines w:val="0"/>
        <w:pageBreakBefore w:val="0"/>
        <w:widowControl w:val="0"/>
        <w:numPr>
          <w:ilvl w:val="0"/>
          <w:numId w:val="1"/>
        </w:numPr>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w:t>
      </w:r>
    </w:p>
    <w:p>
      <w:pPr>
        <w:pStyle w:val="14"/>
        <w:keepNext w:val="0"/>
        <w:keepLines w:val="0"/>
        <w:pageBreakBefore w:val="0"/>
        <w:widowControl w:val="0"/>
        <w:numPr>
          <w:ilvl w:val="0"/>
          <w:numId w:val="0"/>
        </w:numPr>
        <w:tabs>
          <w:tab w:val="right" w:leader="middleDot" w:pos="8296"/>
        </w:tabs>
        <w:kinsoku/>
        <w:wordWrap/>
        <w:overflowPunct/>
        <w:topLinePunct w:val="0"/>
        <w:autoSpaceDE/>
        <w:autoSpaceDN/>
        <w:bidi w:val="0"/>
        <w:adjustRightInd w:val="0"/>
        <w:snapToGrid w:val="0"/>
        <w:spacing w:line="576" w:lineRule="exact"/>
        <w:ind w:leftChars="200" w:right="0" w:rightChars="0"/>
        <w:jc w:val="left"/>
        <w:textAlignment w:val="auto"/>
        <w:outlineLvl w:val="0"/>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5</w:t>
      </w:r>
    </w:p>
    <w:p>
      <w:pPr>
        <w:pStyle w:val="12"/>
        <w:keepNext w:val="0"/>
        <w:keepLines w:val="0"/>
        <w:pageBreakBefore w:val="0"/>
        <w:widowControl w:val="0"/>
        <w:tabs>
          <w:tab w:val="right" w:leader="middleDot" w:pos="8296"/>
        </w:tabs>
        <w:kinsoku/>
        <w:wordWrap/>
        <w:overflowPunct/>
        <w:topLinePunct w:val="0"/>
        <w:autoSpaceDE/>
        <w:autoSpaceDN/>
        <w:bidi w:val="0"/>
        <w:adjustRightInd w:val="0"/>
        <w:snapToGrid w:val="0"/>
        <w:spacing w:before="0" w:line="576" w:lineRule="exact"/>
        <w:ind w:left="0" w:leftChars="0" w:right="0" w:rightChars="0"/>
        <w:jc w:val="left"/>
        <w:textAlignment w:val="auto"/>
        <w:outlineLvl w:val="0"/>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outlineLvl w:val="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7</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7-8</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pPr>
        <w:pStyle w:val="12"/>
        <w:keepNext w:val="0"/>
        <w:keepLines w:val="0"/>
        <w:pageBreakBefore w:val="0"/>
        <w:widowControl w:val="0"/>
        <w:tabs>
          <w:tab w:val="right" w:leader="middleDot" w:pos="8296"/>
        </w:tabs>
        <w:kinsoku/>
        <w:wordWrap/>
        <w:overflowPunct/>
        <w:topLinePunct w:val="0"/>
        <w:autoSpaceDE/>
        <w:autoSpaceDN/>
        <w:bidi w:val="0"/>
        <w:adjustRightInd w:val="0"/>
        <w:snapToGrid w:val="0"/>
        <w:spacing w:before="0" w:line="576" w:lineRule="exact"/>
        <w:ind w:left="0" w:leftChars="0" w:right="0" w:rightChars="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10-12</w:t>
      </w:r>
    </w:p>
    <w:p>
      <w:pPr>
        <w:pStyle w:val="12"/>
        <w:keepNext w:val="0"/>
        <w:keepLines w:val="0"/>
        <w:pageBreakBefore w:val="0"/>
        <w:widowControl w:val="0"/>
        <w:tabs>
          <w:tab w:val="right" w:leader="middleDot" w:pos="8296"/>
        </w:tabs>
        <w:kinsoku/>
        <w:wordWrap/>
        <w:overflowPunct/>
        <w:topLinePunct w:val="0"/>
        <w:autoSpaceDE/>
        <w:autoSpaceDN/>
        <w:bidi w:val="0"/>
        <w:adjustRightInd w:val="0"/>
        <w:snapToGrid w:val="0"/>
        <w:spacing w:before="0" w:line="576" w:lineRule="exact"/>
        <w:ind w:left="0" w:leftChars="0" w:right="0" w:rightChars="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13</w:t>
      </w:r>
    </w:p>
    <w:p>
      <w:pPr>
        <w:pStyle w:val="12"/>
        <w:keepNext w:val="0"/>
        <w:keepLines w:val="0"/>
        <w:pageBreakBefore w:val="0"/>
        <w:widowControl w:val="0"/>
        <w:tabs>
          <w:tab w:val="right" w:leader="middleDot" w:pos="8296"/>
        </w:tabs>
        <w:kinsoku/>
        <w:wordWrap/>
        <w:overflowPunct/>
        <w:topLinePunct w:val="0"/>
        <w:autoSpaceDE/>
        <w:autoSpaceDN/>
        <w:bidi w:val="0"/>
        <w:adjustRightInd w:val="0"/>
        <w:snapToGrid w:val="0"/>
        <w:spacing w:before="0" w:line="576" w:lineRule="exact"/>
        <w:ind w:left="0" w:leftChars="0" w:right="0" w:rightChars="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15-27</w:t>
      </w:r>
      <w:bookmarkStart w:id="61" w:name="_GoBack"/>
      <w:bookmarkEnd w:id="61"/>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4"/>
        <w:keepNext w:val="0"/>
        <w:keepLines w:val="0"/>
        <w:pageBreakBefore w:val="0"/>
        <w:widowControl w:val="0"/>
        <w:tabs>
          <w:tab w:val="right" w:leader="middleDot" w:pos="8296"/>
        </w:tabs>
        <w:kinsoku/>
        <w:wordWrap/>
        <w:overflowPunct/>
        <w:topLinePunct w:val="0"/>
        <w:autoSpaceDE/>
        <w:autoSpaceDN/>
        <w:bidi w:val="0"/>
        <w:adjustRightInd w:val="0"/>
        <w:snapToGrid w:val="0"/>
        <w:spacing w:line="576" w:lineRule="exact"/>
        <w:ind w:left="0" w:leftChars="0" w:right="0" w:righ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4"/>
        <w:pageBreakBefore w:val="0"/>
        <w:widowControl w:val="0"/>
        <w:tabs>
          <w:tab w:val="right" w:leader="middleDot" w:pos="8296"/>
        </w:tabs>
        <w:kinsoku/>
        <w:wordWrap/>
        <w:overflowPunct/>
        <w:topLinePunct w:val="0"/>
        <w:autoSpaceDE/>
        <w:autoSpaceDN/>
        <w:bidi w:val="0"/>
        <w:spacing w:before="0" w:after="0" w:line="576" w:lineRule="exact"/>
        <w:ind w:left="0" w:leftChars="0" w:right="0" w:rightChars="0"/>
        <w:jc w:val="both"/>
        <w:textAlignment w:val="auto"/>
        <w:rPr>
          <w:rFonts w:hint="eastAsia" w:ascii="Times New Roman" w:hAnsi="Times New Roman" w:eastAsia="方正小标宋简体" w:cs="方正小标宋简体"/>
          <w:b w:val="0"/>
          <w:color w:val="auto"/>
          <w:highlight w:val="none"/>
        </w:rPr>
      </w:pPr>
      <w:bookmarkStart w:id="6" w:name="_Toc15377196"/>
      <w:bookmarkStart w:id="7" w:name="_Toc15396599"/>
    </w:p>
    <w:p>
      <w:pPr>
        <w:pStyle w:val="4"/>
        <w:pageBreakBefore w:val="0"/>
        <w:widowControl w:val="0"/>
        <w:tabs>
          <w:tab w:val="right" w:leader="middleDot" w:pos="8296"/>
        </w:tabs>
        <w:kinsoku/>
        <w:wordWrap/>
        <w:overflowPunct/>
        <w:topLinePunct w:val="0"/>
        <w:autoSpaceDE/>
        <w:autoSpaceDN/>
        <w:bidi w:val="0"/>
        <w:spacing w:before="0" w:after="0" w:line="576" w:lineRule="exact"/>
        <w:ind w:left="0" w:leftChars="0" w:right="0" w:rightChars="0"/>
        <w:jc w:val="both"/>
        <w:textAlignment w:val="auto"/>
        <w:rPr>
          <w:rFonts w:hint="eastAsia" w:ascii="Times New Roman" w:hAnsi="Times New Roman" w:eastAsia="方正小标宋简体" w:cs="方正小标宋简体"/>
          <w:b w:val="0"/>
          <w:color w:val="auto"/>
          <w:highlight w:val="none"/>
        </w:rPr>
      </w:pPr>
    </w:p>
    <w:p>
      <w:pPr>
        <w:pageBreakBefore w:val="0"/>
        <w:kinsoku/>
        <w:wordWrap/>
        <w:overflowPunct/>
        <w:topLinePunct w:val="0"/>
        <w:bidi w:val="0"/>
        <w:spacing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方正小标宋简体" w:cs="方正小标宋简体"/>
          <w:b w:val="0"/>
          <w:color w:val="auto"/>
          <w:highlight w:val="none"/>
        </w:rPr>
      </w:pPr>
    </w:p>
    <w:p>
      <w:pPr>
        <w:pStyle w:val="2"/>
        <w:pageBreakBefore w:val="0"/>
        <w:kinsoku/>
        <w:wordWrap/>
        <w:overflowPunct/>
        <w:topLinePunct w:val="0"/>
        <w:bidi w:val="0"/>
        <w:spacing w:after="0" w:line="576" w:lineRule="exact"/>
        <w:ind w:left="0" w:leftChars="0" w:right="0" w:rightChars="0" w:firstLine="0" w:firstLineChars="0"/>
        <w:textAlignment w:val="auto"/>
        <w:rPr>
          <w:rFonts w:hint="eastAsia" w:ascii="Times New Roman" w:hAnsi="Times New Roman" w:eastAsia="方正小标宋简体" w:cs="方正小标宋简体"/>
          <w:b w:val="0"/>
          <w:color w:val="auto"/>
          <w:highlight w:val="none"/>
        </w:rPr>
      </w:pPr>
    </w:p>
    <w:p>
      <w:pPr>
        <w:pStyle w:val="4"/>
        <w:pageBreakBefore w:val="0"/>
        <w:kinsoku/>
        <w:wordWrap/>
        <w:overflowPunct/>
        <w:topLinePunct w:val="0"/>
        <w:bidi w:val="0"/>
        <w:spacing w:after="0" w:line="576" w:lineRule="exact"/>
        <w:ind w:right="0" w:rightChars="0"/>
        <w:jc w:val="both"/>
        <w:textAlignment w:val="auto"/>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19"/>
          <w:rFonts w:hint="eastAsia" w:ascii="Times New Roman" w:hAnsi="Times New Roman" w:eastAsia="方正小标宋简体" w:cs="方正小标宋简体"/>
          <w:b w:val="0"/>
          <w:bCs w:val="0"/>
          <w:color w:val="auto"/>
          <w:highlight w:val="none"/>
        </w:rPr>
        <w:t>部门概况</w:t>
      </w:r>
      <w:bookmarkEnd w:id="6"/>
      <w:bookmarkEnd w:id="7"/>
    </w:p>
    <w:p>
      <w:pPr>
        <w:pStyle w:val="5"/>
        <w:pageBreakBefore w:val="0"/>
        <w:widowControl w:val="0"/>
        <w:numPr>
          <w:ilvl w:val="0"/>
          <w:numId w:val="2"/>
        </w:numPr>
        <w:kinsoku/>
        <w:wordWrap/>
        <w:overflowPunct/>
        <w:topLinePunct w:val="0"/>
        <w:autoSpaceDN/>
        <w:bidi w:val="0"/>
        <w:adjustRightInd/>
        <w:spacing w:before="0" w:after="0" w:line="576" w:lineRule="exact"/>
        <w:ind w:left="0" w:leftChars="0" w:right="0" w:rightChars="0" w:firstLine="0" w:firstLineChars="0"/>
        <w:jc w:val="both"/>
        <w:textAlignment w:val="auto"/>
        <w:rPr>
          <w:rStyle w:val="30"/>
          <w:rFonts w:ascii="黑体" w:hAnsi="黑体" w:eastAsia="黑体"/>
          <w:b w:val="0"/>
          <w:bCs w:val="0"/>
        </w:rPr>
      </w:pPr>
      <w:bookmarkStart w:id="8" w:name="_Toc15377197"/>
      <w:bookmarkStart w:id="9" w:name="_Toc15396600"/>
      <w:bookmarkStart w:id="10" w:name="_Toc15377204"/>
      <w:bookmarkStart w:id="11" w:name="_Toc15396602"/>
      <w:r>
        <w:rPr>
          <w:rStyle w:val="30"/>
          <w:rFonts w:hint="eastAsia" w:ascii="黑体" w:hAnsi="黑体" w:eastAsia="黑体"/>
          <w:b w:val="0"/>
          <w:bCs w:val="0"/>
        </w:rPr>
        <w:t>主要职责</w:t>
      </w:r>
    </w:p>
    <w:p>
      <w:pPr>
        <w:pageBreakBefore w:val="0"/>
        <w:widowControl w:val="0"/>
        <w:kinsoku/>
        <w:wordWrap/>
        <w:overflowPunct/>
        <w:topLinePunct w:val="0"/>
        <w:autoSpaceDN/>
        <w:bidi w:val="0"/>
        <w:adjustRightInd/>
        <w:spacing w:line="576" w:lineRule="exact"/>
        <w:ind w:left="0" w:leftChars="0" w:right="0" w:rightChars="0" w:firstLine="0" w:firstLineChars="0"/>
        <w:jc w:val="both"/>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（一）主要职能</w:t>
      </w:r>
    </w:p>
    <w:p>
      <w:pPr>
        <w:pageBreakBefore w:val="0"/>
        <w:widowControl w:val="0"/>
        <w:kinsoku/>
        <w:wordWrap/>
        <w:overflowPunct/>
        <w:topLinePunct w:val="0"/>
        <w:autoSpaceDN/>
        <w:bidi w:val="0"/>
        <w:adjustRightInd/>
        <w:spacing w:line="576" w:lineRule="exact"/>
        <w:ind w:left="0" w:leftChars="0" w:right="0" w:rightChars="0" w:firstLine="0" w:firstLineChars="0"/>
        <w:jc w:val="both"/>
        <w:textAlignment w:val="auto"/>
        <w:rPr>
          <w:rFonts w:hint="default" w:ascii="Times New Roman" w:hAnsi="Times New Roman" w:eastAsia="方正仿宋_GBK" w:cs="Times New Roman"/>
          <w:sz w:val="32"/>
          <w:szCs w:val="32"/>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1、负责协调推动有关部门履行民族、宗教工作相关职责，对全县民族、宗教工作实施管理、指导，促进民族、宗教政策在经济发展和社会事业等相关领域的实施、衔接。</w:t>
      </w:r>
    </w:p>
    <w:p>
      <w:pPr>
        <w:pageBreakBefore w:val="0"/>
        <w:widowControl w:val="0"/>
        <w:kinsoku/>
        <w:wordWrap/>
        <w:overflowPunct/>
        <w:topLinePunct w:val="0"/>
        <w:autoSpaceDN/>
        <w:bidi w:val="0"/>
        <w:adjustRightInd/>
        <w:spacing w:line="576" w:lineRule="exact"/>
        <w:ind w:left="0" w:leftChars="0" w:right="0" w:rightChars="0" w:firstLine="0" w:firstLineChars="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2、指导各寺院依法履行管理职能、处理宗教事务的重大事件，防范利用宗教进行的非法、违法活动，抵御境外利用宗教进行的参透活动。</w:t>
      </w:r>
    </w:p>
    <w:p>
      <w:pPr>
        <w:pageBreakBefore w:val="0"/>
        <w:widowControl w:val="0"/>
        <w:kinsoku/>
        <w:wordWrap/>
        <w:overflowPunct/>
        <w:topLinePunct w:val="0"/>
        <w:autoSpaceDN/>
        <w:bidi w:val="0"/>
        <w:adjustRightInd/>
        <w:spacing w:line="576" w:lineRule="exact"/>
        <w:ind w:left="0" w:leftChars="0" w:right="0" w:rightChars="0" w:firstLine="0" w:firstLineChars="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3、负责管理全县少数民族语言文字工作，指导少数民族语言文字的翻译、出版和少数民族古籍的收集、整理、出版工作，会同有关部门对少数民族题材文化作品（产品）进行审查。</w:t>
      </w:r>
    </w:p>
    <w:p>
      <w:pPr>
        <w:pageBreakBefore w:val="0"/>
        <w:widowControl w:val="0"/>
        <w:kinsoku/>
        <w:wordWrap/>
        <w:overflowPunct/>
        <w:topLinePunct w:val="0"/>
        <w:autoSpaceDN/>
        <w:bidi w:val="0"/>
        <w:adjustRightInd/>
        <w:spacing w:line="576" w:lineRule="exact"/>
        <w:ind w:left="0" w:leftChars="0" w:right="0" w:rightChars="0" w:firstLine="0" w:firstLineChars="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r>
        <w:rPr>
          <w:rFonts w:hint="eastAsia" w:ascii="Times New Roman" w:hAnsi="Times New Roman" w:eastAsia="方正仿宋_GBK" w:cs="Times New Roman"/>
          <w:sz w:val="32"/>
          <w:szCs w:val="32"/>
          <w:lang w:val="en-US" w:eastAsia="zh-CN"/>
        </w:rPr>
        <w:t xml:space="preserve">  </w:t>
      </w:r>
    </w:p>
    <w:p>
      <w:pPr>
        <w:pageBreakBefore w:val="0"/>
        <w:widowControl w:val="0"/>
        <w:kinsoku/>
        <w:wordWrap/>
        <w:overflowPunct/>
        <w:topLinePunct w:val="0"/>
        <w:autoSpaceDN/>
        <w:bidi w:val="0"/>
        <w:adjustRightInd/>
        <w:spacing w:line="576" w:lineRule="exact"/>
        <w:ind w:left="0" w:leftChars="0" w:right="0" w:rightChars="0" w:firstLine="0" w:firstLineChars="0"/>
        <w:jc w:val="both"/>
        <w:textAlignment w:val="auto"/>
      </w:pPr>
      <w:r>
        <w:rPr>
          <w:rFonts w:hint="eastAsia"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5、负责民族团结创建</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rPr>
        <w:t>九寨沟县始终将铸牢中华民族共同体意识作为工作的主线，紧紧围绕新一轮创建全国民族团结进步示范州工作目标，在加强和完善党对民族工作的全面领导、构筑中华民族共有精神家园、推动各民族共同走向社会主义现代化、促进各民族广泛交往交流交融、提升民族事务治理现代化水平、有效防范化解民族领域风险隐患等方面取得成效。丰富宣传载体，突出特色亮点，创建惠及民生，围绕共同促发展，增进认同保团结，形成了各民族共同团结奋斗、共促繁荣发展、共建美好家园、共享美好生活的良好局面。</w:t>
      </w:r>
    </w:p>
    <w:p>
      <w:pPr>
        <w:pStyle w:val="5"/>
        <w:pageBreakBefore w:val="0"/>
        <w:widowControl w:val="0"/>
        <w:kinsoku/>
        <w:wordWrap/>
        <w:overflowPunct/>
        <w:topLinePunct w:val="0"/>
        <w:autoSpaceDN/>
        <w:bidi w:val="0"/>
        <w:adjustRightInd/>
        <w:spacing w:before="0" w:after="0" w:line="576" w:lineRule="exact"/>
        <w:ind w:left="0" w:leftChars="0" w:right="0" w:rightChars="0" w:firstLine="0" w:firstLineChars="0"/>
        <w:jc w:val="both"/>
        <w:textAlignment w:val="auto"/>
        <w:rPr>
          <w:rFonts w:ascii="黑体" w:hAnsi="黑体" w:eastAsia="黑体"/>
          <w:b w:val="0"/>
        </w:rPr>
      </w:pPr>
      <w:r>
        <w:rPr>
          <w:rFonts w:hint="eastAsia" w:ascii="黑体" w:hAnsi="黑体" w:eastAsia="黑体"/>
          <w:b w:val="0"/>
        </w:rPr>
        <w:t>二、机构设置</w:t>
      </w:r>
    </w:p>
    <w:bookmarkEnd w:id="8"/>
    <w:bookmarkEnd w:id="9"/>
    <w:p>
      <w:pPr>
        <w:pageBreakBefore w:val="0"/>
        <w:widowControl w:val="0"/>
        <w:pBdr>
          <w:top w:val="none" w:color="auto" w:sz="0" w:space="1"/>
          <w:left w:val="none" w:color="auto" w:sz="0" w:space="1"/>
          <w:bottom w:val="none" w:color="FFFFFF" w:sz="0" w:space="13"/>
          <w:right w:val="none" w:color="auto" w:sz="0" w:space="4"/>
        </w:pBdr>
        <w:kinsoku/>
        <w:wordWrap/>
        <w:overflowPunct/>
        <w:topLinePunct w:val="0"/>
        <w:autoSpaceDE w:val="0"/>
        <w:autoSpaceDN/>
        <w:bidi w:val="0"/>
        <w:adjustRightInd/>
        <w:snapToGrid w:val="0"/>
        <w:spacing w:line="576" w:lineRule="exact"/>
        <w:ind w:left="0" w:leftChars="0" w:right="0" w:rightChars="0" w:firstLine="0" w:firstLineChars="0"/>
        <w:jc w:val="both"/>
        <w:textAlignment w:val="auto"/>
        <w:rPr>
          <w:rFonts w:hint="eastAsia"/>
        </w:rPr>
      </w:pPr>
      <w:r>
        <w:rPr>
          <w:rFonts w:hint="eastAsia" w:ascii="仿宋" w:hAnsi="仿宋" w:eastAsia="仿宋"/>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九寨沟县民族宗教服务中心为二级决算单位</w:t>
      </w:r>
      <w:r>
        <w:rPr>
          <w:rFonts w:hint="eastAsia" w:ascii="Times New Roman" w:hAnsi="Times New Roman" w:eastAsia="方正仿宋_GBK" w:cs="Times New Roman"/>
          <w:sz w:val="32"/>
          <w:szCs w:val="32"/>
        </w:rPr>
        <w:t>，其中行政单位</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个</w:t>
      </w:r>
      <w:r>
        <w:rPr>
          <w:rFonts w:hint="eastAsia" w:ascii="Times New Roman" w:hAnsi="Times New Roman" w:eastAsia="方正仿宋_GBK" w:cs="Times New Roman"/>
          <w:sz w:val="32"/>
          <w:szCs w:val="32"/>
          <w:lang w:eastAsia="zh-CN"/>
        </w:rPr>
        <w:t>内设</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eastAsia="zh-CN"/>
        </w:rPr>
        <w:t>个机构。</w:t>
      </w:r>
      <w:r>
        <w:rPr>
          <w:rFonts w:hint="eastAsia" w:ascii="Times New Roman" w:hAnsi="Times New Roman" w:eastAsia="方正仿宋_GBK" w:cs="Times New Roman"/>
          <w:sz w:val="32"/>
          <w:szCs w:val="32"/>
          <w:lang w:val="en-US" w:eastAsia="zh-CN"/>
        </w:rPr>
        <w:t>事业及工勤4人，退休0人。</w:t>
      </w:r>
    </w:p>
    <w:p>
      <w:pPr>
        <w:pStyle w:val="4"/>
        <w:pageBreakBefore w:val="0"/>
        <w:widowControl w:val="0"/>
        <w:kinsoku/>
        <w:wordWrap/>
        <w:overflowPunct/>
        <w:topLinePunct w:val="0"/>
        <w:autoSpaceDN/>
        <w:bidi w:val="0"/>
        <w:adjustRightInd/>
        <w:spacing w:before="0" w:after="0" w:line="576" w:lineRule="exact"/>
        <w:ind w:left="0" w:leftChars="0" w:right="0" w:rightChars="0"/>
        <w:jc w:val="both"/>
        <w:textAlignment w:val="auto"/>
        <w:rPr>
          <w:rFonts w:ascii="Times New Roman" w:hAnsi="Times New Roman"/>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pPr>
        <w:pStyle w:val="26"/>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1"/>
        <w:rPr>
          <w:rStyle w:val="20"/>
          <w:rFonts w:hint="eastAsia" w:ascii="Times New Roman" w:hAnsi="Times New Roman" w:eastAsia="黑体"/>
          <w:b w:val="0"/>
          <w:color w:val="auto"/>
          <w:highlight w:val="none"/>
        </w:rPr>
      </w:pPr>
      <w:bookmarkStart w:id="12" w:name="_Toc15396603"/>
      <w:bookmarkStart w:id="1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0"/>
          <w:rFonts w:hint="eastAsia" w:ascii="Times New Roman" w:hAnsi="Times New Roman" w:eastAsia="黑体"/>
          <w:b w:val="0"/>
          <w:color w:val="auto"/>
          <w:highlight w:val="none"/>
        </w:rPr>
        <w:t>入支出决算总体情况说明</w:t>
      </w:r>
      <w:bookmarkEnd w:id="12"/>
      <w:bookmarkEnd w:id="13"/>
    </w:p>
    <w:p>
      <w:pPr>
        <w:pStyle w:val="26"/>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46.47</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0.3</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0.65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事业人员晋升薪级工资。</w:t>
      </w:r>
    </w:p>
    <w:p>
      <w:pPr>
        <w:pStyle w:val="26"/>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r>
        <w:rPr>
          <w:rFonts w:hint="eastAsia" w:ascii="Times New Roman" w:hAnsi="Times New Roman" w:eastAsia="黑体"/>
          <w:color w:val="auto"/>
          <w:sz w:val="32"/>
          <w:szCs w:val="32"/>
          <w:highlight w:val="none"/>
          <w:lang w:eastAsia="zh-CN"/>
        </w:rPr>
        <w:t>二、收入决算情况说明</w:t>
      </w:r>
      <w:bookmarkEnd w:id="14"/>
      <w:bookmarkEnd w:id="15"/>
    </w:p>
    <w:p>
      <w:pPr>
        <w:pStyle w:val="26"/>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44.05万元，其中：一般公共预算财政拨款收入44.05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6" w:name="_Toc15396605"/>
      <w:bookmarkStart w:id="17" w:name="_Toc15377207"/>
    </w:p>
    <w:p>
      <w:pPr>
        <w:pStyle w:val="26"/>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Style w:val="20"/>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0"/>
          <w:rFonts w:hint="eastAsia" w:ascii="Times New Roman" w:hAnsi="Times New Roman" w:eastAsia="黑体"/>
          <w:b w:val="0"/>
          <w:color w:val="auto"/>
          <w:highlight w:val="none"/>
        </w:rPr>
        <w:t>出决算情况说明</w:t>
      </w:r>
      <w:bookmarkEnd w:id="16"/>
      <w:bookmarkEnd w:id="17"/>
    </w:p>
    <w:p>
      <w:pPr>
        <w:pageBreakBefore w:val="0"/>
        <w:kinsoku/>
        <w:wordWrap/>
        <w:overflowPunct/>
        <w:topLinePunct w:val="0"/>
        <w:bidi w:val="0"/>
        <w:spacing w:line="576" w:lineRule="exact"/>
        <w:ind w:right="0" w:rightChars="0"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46.47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46.47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18" w:name="_Toc15396606"/>
      <w:bookmarkStart w:id="19" w:name="_Toc15377208"/>
    </w:p>
    <w:p>
      <w:pPr>
        <w:pageBreakBefore w:val="0"/>
        <w:kinsoku/>
        <w:wordWrap/>
        <w:overflowPunct/>
        <w:topLinePunct w:val="0"/>
        <w:bidi w:val="0"/>
        <w:spacing w:line="576" w:lineRule="exact"/>
        <w:ind w:right="0" w:rightChars="0" w:firstLine="640" w:firstLineChars="200"/>
        <w:textAlignment w:val="auto"/>
        <w:outlineLvl w:val="1"/>
        <w:rPr>
          <w:rStyle w:val="2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20"/>
          <w:rFonts w:hint="eastAsia" w:ascii="Times New Roman" w:hAnsi="Times New Roman" w:eastAsia="黑体"/>
          <w:b w:val="0"/>
          <w:color w:val="auto"/>
          <w:highlight w:val="none"/>
        </w:rPr>
        <w:t>政拨款收入支出决算总体情况说明</w:t>
      </w:r>
      <w:bookmarkEnd w:id="18"/>
      <w:bookmarkEnd w:id="19"/>
    </w:p>
    <w:p>
      <w:pPr>
        <w:pStyle w:val="26"/>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46.47</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0.3</w:t>
      </w:r>
      <w:r>
        <w:rPr>
          <w:rFonts w:hint="eastAsia" w:ascii="Times New Roman" w:hAnsi="Times New Roman" w:eastAsia="仿宋_GB2312" w:cs="仿宋_GB2312"/>
          <w:color w:val="auto"/>
          <w:kern w:val="2"/>
          <w:sz w:val="32"/>
          <w:szCs w:val="32"/>
          <w:highlight w:val="none"/>
          <w:lang w:val="en-US" w:eastAsia="zh-CN" w:bidi="ar-SA"/>
        </w:rPr>
        <w:t>万元，</w:t>
      </w:r>
      <w:bookmarkStart w:id="20" w:name="_Toc15377209"/>
      <w:bookmarkStart w:id="21" w:name="_Toc15396607"/>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0.65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事业人员晋升薪级工资。</w:t>
      </w:r>
    </w:p>
    <w:p>
      <w:pPr>
        <w:pageBreakBefore w:val="0"/>
        <w:kinsoku/>
        <w:wordWrap/>
        <w:overflowPunct/>
        <w:topLinePunct w:val="0"/>
        <w:bidi w:val="0"/>
        <w:spacing w:line="576" w:lineRule="exact"/>
        <w:ind w:right="0" w:rightChars="0" w:firstLine="640" w:firstLineChars="200"/>
        <w:textAlignment w:val="auto"/>
        <w:outlineLvl w:val="1"/>
        <w:rPr>
          <w:rStyle w:val="2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0"/>
          <w:rFonts w:hint="eastAsia" w:ascii="Times New Roman" w:hAnsi="Times New Roman" w:eastAsia="黑体"/>
          <w:b w:val="0"/>
          <w:color w:val="auto"/>
          <w:highlight w:val="none"/>
        </w:rPr>
        <w:t>般公共预算财政拨款支出决算情况说明</w:t>
      </w:r>
      <w:bookmarkEnd w:id="20"/>
      <w:bookmarkEnd w:id="21"/>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pPr>
        <w:pStyle w:val="26"/>
        <w:keepNext w:val="0"/>
        <w:keepLines w:val="0"/>
        <w:pageBreakBefore w:val="0"/>
        <w:widowControl w:val="0"/>
        <w:kinsoku/>
        <w:wordWrap/>
        <w:overflowPunct/>
        <w:topLinePunct w:val="0"/>
        <w:autoSpaceDE/>
        <w:autoSpaceDN/>
        <w:bidi w:val="0"/>
        <w:adjustRightInd/>
        <w:snapToGrid/>
        <w:spacing w:line="576" w:lineRule="exact"/>
        <w:ind w:left="0" w:right="0" w:rightChars="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46.47</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%。与2023年度相比，一般公共预算财政拨款支出增加0.3万元，</w:t>
      </w:r>
      <w:bookmarkStart w:id="23" w:name="_Toc15377211"/>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0.65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事业人员晋升薪级工资。</w:t>
      </w:r>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3"/>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46.47</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32.03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68.93</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6.61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14.22</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2.91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6.26</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4.92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10.59</w:t>
      </w:r>
      <w:r>
        <w:rPr>
          <w:rFonts w:hint="eastAsia" w:ascii="Times New Roman" w:hAnsi="Times New Roman" w:eastAsia="仿宋_GB2312" w:cs="仿宋_GB2312"/>
          <w:color w:val="auto"/>
          <w:kern w:val="2"/>
          <w:sz w:val="32"/>
          <w:szCs w:val="32"/>
          <w:highlight w:val="none"/>
          <w:lang w:val="en-US" w:eastAsia="zh-CN" w:bidi="ar-SA"/>
        </w:rPr>
        <w:t>%；</w:t>
      </w:r>
      <w:bookmarkStart w:id="24" w:name="_Toc15377212"/>
      <w:r>
        <w:rPr>
          <w:rFonts w:hint="eastAsia" w:eastAsia="仿宋_GB2312" w:cs="仿宋_GB2312"/>
          <w:color w:val="auto"/>
          <w:kern w:val="2"/>
          <w:sz w:val="32"/>
          <w:szCs w:val="32"/>
          <w:highlight w:val="none"/>
          <w:lang w:val="en-US" w:eastAsia="zh-CN" w:bidi="ar-SA"/>
        </w:rPr>
        <w:t>。</w:t>
      </w:r>
      <w:r>
        <w:rPr>
          <w:rFonts w:hint="eastAsia" w:ascii="Times New Roman" w:hAnsi="Times New Roman" w:eastAsia="楷体_GB2312" w:cs="楷体_GB2312"/>
          <w:b/>
          <w:color w:val="auto"/>
          <w:sz w:val="32"/>
          <w:szCs w:val="32"/>
          <w:highlight w:val="none"/>
        </w:rPr>
        <w:t>（三）一般公共预算财政拨款支出决算具体情况</w:t>
      </w:r>
      <w:bookmarkEnd w:id="24"/>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bookmarkStart w:id="25" w:name="_Toc15377213"/>
      <w:bookmarkStart w:id="26" w:name="_Toc15378460"/>
      <w:bookmarkStart w:id="2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46.47</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ascii="仿宋" w:hAnsi="仿宋" w:eastAsia="仿宋" w:cs="仿宋"/>
          <w:b/>
          <w:color w:val="000000"/>
          <w:sz w:val="31"/>
          <w:szCs w:val="31"/>
        </w:rPr>
        <w:t xml:space="preserve">1.一般公共服务(201)民族事务（23）事业运行（50）: </w:t>
      </w:r>
      <w:r>
        <w:rPr>
          <w:rFonts w:ascii="仿宋_GB2312" w:hAnsi="仿宋_GB2312" w:eastAsia="仿宋_GB2312" w:cs="仿宋_GB2312"/>
          <w:b w:val="0"/>
          <w:color w:val="000000"/>
          <w:sz w:val="31"/>
          <w:szCs w:val="31"/>
        </w:rPr>
        <w:t xml:space="preserve">支出决算为 </w:t>
      </w:r>
      <w:r>
        <w:rPr>
          <w:rFonts w:hint="eastAsia" w:ascii="仿宋_GB2312" w:hAnsi="仿宋_GB2312" w:eastAsia="仿宋_GB2312" w:cs="仿宋_GB2312"/>
          <w:b w:val="0"/>
          <w:color w:val="000000"/>
          <w:sz w:val="31"/>
          <w:szCs w:val="31"/>
          <w:lang w:val="en-US" w:eastAsia="zh-CN"/>
        </w:rPr>
        <w:t>29.61</w:t>
      </w:r>
      <w:r>
        <w:rPr>
          <w:rFonts w:ascii="仿宋_GB2312" w:hAnsi="仿宋_GB2312" w:eastAsia="仿宋_GB2312" w:cs="仿宋_GB2312"/>
          <w:b w:val="0"/>
          <w:color w:val="000000"/>
          <w:sz w:val="31"/>
          <w:szCs w:val="31"/>
        </w:rPr>
        <w:t xml:space="preserve"> 万元，完成预算 100%</w:t>
      </w:r>
      <w:r>
        <w:rPr>
          <w:rFonts w:hint="eastAsia" w:ascii="仿宋_GB2312" w:hAnsi="仿宋_GB2312" w:eastAsia="仿宋_GB2312" w:cs="仿宋_GB2312"/>
          <w:b w:val="0"/>
          <w:color w:val="000000"/>
          <w:sz w:val="31"/>
          <w:szCs w:val="31"/>
          <w:lang w:eastAsia="zh-CN"/>
        </w:rPr>
        <w:t>。</w:t>
      </w:r>
      <w:r>
        <w:rPr>
          <w:rFonts w:hint="eastAsia" w:ascii="仿宋" w:hAnsi="仿宋" w:eastAsia="仿宋" w:cs="仿宋"/>
          <w:b/>
          <w:color w:val="000000"/>
          <w:sz w:val="31"/>
          <w:szCs w:val="31"/>
        </w:rPr>
        <w:t xml:space="preserve">2.社会保障和就业（208）社会保障和就业支出（05） 机关事业单基本养老保险缴费支出（05）: </w:t>
      </w:r>
      <w:r>
        <w:rPr>
          <w:rFonts w:ascii="仿宋_GB2312" w:hAnsi="仿宋_GB2312" w:eastAsia="仿宋_GB2312" w:cs="仿宋_GB2312"/>
          <w:b w:val="0"/>
          <w:color w:val="000000"/>
          <w:sz w:val="31"/>
          <w:szCs w:val="31"/>
        </w:rPr>
        <w:t xml:space="preserve">支出决算为 </w:t>
      </w:r>
      <w:r>
        <w:rPr>
          <w:rFonts w:hint="eastAsia" w:ascii="仿宋_GB2312" w:hAnsi="仿宋_GB2312" w:eastAsia="仿宋_GB2312" w:cs="仿宋_GB2312"/>
          <w:b w:val="0"/>
          <w:color w:val="000000"/>
          <w:sz w:val="31"/>
          <w:szCs w:val="31"/>
          <w:lang w:val="en-US" w:eastAsia="zh-CN"/>
        </w:rPr>
        <w:t>4.41</w:t>
      </w:r>
      <w:r>
        <w:rPr>
          <w:rFonts w:ascii="仿宋_GB2312" w:hAnsi="仿宋_GB2312" w:eastAsia="仿宋_GB2312" w:cs="仿宋_GB2312"/>
          <w:b w:val="0"/>
          <w:color w:val="000000"/>
          <w:sz w:val="31"/>
          <w:szCs w:val="31"/>
        </w:rPr>
        <w:t xml:space="preserve">万元，完成预算 100%。 </w:t>
      </w:r>
      <w:r>
        <w:rPr>
          <w:rFonts w:hint="eastAsia" w:ascii="仿宋" w:hAnsi="仿宋" w:eastAsia="仿宋" w:cs="仿宋"/>
          <w:b/>
          <w:color w:val="000000"/>
          <w:sz w:val="31"/>
          <w:szCs w:val="31"/>
        </w:rPr>
        <w:t xml:space="preserve">3.社会保障和就业（208）社会保障和就业支出（05）机关事业单职业年金缴费支出（06）: </w:t>
      </w:r>
      <w:r>
        <w:rPr>
          <w:rFonts w:ascii="仿宋_GB2312" w:hAnsi="仿宋_GB2312" w:eastAsia="仿宋_GB2312" w:cs="仿宋_GB2312"/>
          <w:b w:val="0"/>
          <w:color w:val="000000"/>
          <w:sz w:val="31"/>
          <w:szCs w:val="31"/>
        </w:rPr>
        <w:t>支出决算为</w:t>
      </w:r>
      <w:r>
        <w:rPr>
          <w:rFonts w:hint="eastAsia" w:ascii="仿宋_GB2312" w:hAnsi="仿宋_GB2312" w:eastAsia="仿宋_GB2312" w:cs="仿宋_GB2312"/>
          <w:b w:val="0"/>
          <w:color w:val="000000"/>
          <w:sz w:val="31"/>
          <w:szCs w:val="31"/>
          <w:lang w:val="en-US" w:eastAsia="zh-CN"/>
        </w:rPr>
        <w:t>2.20</w:t>
      </w:r>
      <w:r>
        <w:rPr>
          <w:rFonts w:ascii="仿宋_GB2312" w:hAnsi="仿宋_GB2312" w:eastAsia="仿宋_GB2312" w:cs="仿宋_GB2312"/>
          <w:b w:val="0"/>
          <w:color w:val="000000"/>
          <w:sz w:val="31"/>
          <w:szCs w:val="31"/>
        </w:rPr>
        <w:t>万元，完成预算 100%。</w:t>
      </w:r>
      <w:r>
        <w:rPr>
          <w:rFonts w:hint="eastAsia" w:ascii="仿宋" w:hAnsi="仿宋" w:eastAsia="仿宋" w:cs="仿宋"/>
          <w:b/>
          <w:color w:val="000000"/>
          <w:sz w:val="31"/>
          <w:szCs w:val="31"/>
        </w:rPr>
        <w:t>4</w:t>
      </w:r>
      <w:r>
        <w:rPr>
          <w:rFonts w:hint="eastAsia" w:ascii="仿宋" w:hAnsi="仿宋" w:eastAsia="仿宋" w:cs="仿宋"/>
          <w:b w:val="0"/>
          <w:color w:val="000000"/>
          <w:sz w:val="31"/>
          <w:szCs w:val="31"/>
        </w:rPr>
        <w:t>.</w:t>
      </w:r>
      <w:r>
        <w:rPr>
          <w:rFonts w:hint="eastAsia" w:ascii="仿宋" w:hAnsi="仿宋" w:eastAsia="仿宋" w:cs="仿宋"/>
          <w:b/>
          <w:color w:val="000000"/>
          <w:sz w:val="31"/>
          <w:szCs w:val="31"/>
        </w:rPr>
        <w:t>卫生健康支出（210）行政事业单位医疗（11）事业 单位医疗支出（02）:</w:t>
      </w:r>
      <w:r>
        <w:rPr>
          <w:rFonts w:ascii="仿宋_GB2312" w:hAnsi="仿宋_GB2312" w:eastAsia="仿宋_GB2312" w:cs="仿宋_GB2312"/>
          <w:b w:val="0"/>
          <w:color w:val="000000"/>
          <w:sz w:val="31"/>
          <w:szCs w:val="31"/>
        </w:rPr>
        <w:t>支出决算为</w:t>
      </w:r>
      <w:r>
        <w:rPr>
          <w:rFonts w:hint="eastAsia" w:ascii="仿宋_GB2312" w:hAnsi="仿宋_GB2312" w:eastAsia="仿宋_GB2312" w:cs="仿宋_GB2312"/>
          <w:b w:val="0"/>
          <w:color w:val="000000"/>
          <w:sz w:val="31"/>
          <w:szCs w:val="31"/>
          <w:lang w:val="en-US" w:eastAsia="zh-CN"/>
        </w:rPr>
        <w:t>2.32</w:t>
      </w:r>
      <w:r>
        <w:rPr>
          <w:rFonts w:ascii="仿宋_GB2312" w:hAnsi="仿宋_GB2312" w:eastAsia="仿宋_GB2312" w:cs="仿宋_GB2312"/>
          <w:b w:val="0"/>
          <w:color w:val="000000"/>
          <w:sz w:val="31"/>
          <w:szCs w:val="31"/>
        </w:rPr>
        <w:t xml:space="preserve"> 万元，完成预算 100%。 </w:t>
      </w:r>
      <w:r>
        <w:rPr>
          <w:rFonts w:hint="eastAsia" w:ascii="仿宋" w:hAnsi="仿宋" w:eastAsia="仿宋" w:cs="仿宋"/>
          <w:b/>
          <w:color w:val="000000"/>
          <w:sz w:val="31"/>
          <w:szCs w:val="31"/>
        </w:rPr>
        <w:t>5</w:t>
      </w:r>
      <w:r>
        <w:rPr>
          <w:rFonts w:hint="eastAsia" w:ascii="仿宋" w:hAnsi="仿宋" w:eastAsia="仿宋" w:cs="仿宋"/>
          <w:b w:val="0"/>
          <w:color w:val="000000"/>
          <w:sz w:val="31"/>
          <w:szCs w:val="31"/>
        </w:rPr>
        <w:t>.</w:t>
      </w:r>
      <w:r>
        <w:rPr>
          <w:rFonts w:hint="eastAsia" w:ascii="仿宋" w:hAnsi="仿宋" w:eastAsia="仿宋" w:cs="仿宋"/>
          <w:b/>
          <w:color w:val="000000"/>
          <w:sz w:val="31"/>
          <w:szCs w:val="31"/>
        </w:rPr>
        <w:t>卫生健康支出（210）行政事业单位医疗（11）其他 行政事业单位医疗支出（99）:</w:t>
      </w:r>
      <w:r>
        <w:rPr>
          <w:rFonts w:ascii="仿宋_GB2312" w:hAnsi="仿宋_GB2312" w:eastAsia="仿宋_GB2312" w:cs="仿宋_GB2312"/>
          <w:b w:val="0"/>
          <w:color w:val="000000"/>
          <w:sz w:val="31"/>
          <w:szCs w:val="31"/>
        </w:rPr>
        <w:t>支出决算为</w:t>
      </w:r>
      <w:r>
        <w:rPr>
          <w:rFonts w:hint="eastAsia" w:ascii="仿宋_GB2312" w:hAnsi="仿宋_GB2312" w:eastAsia="仿宋_GB2312" w:cs="仿宋_GB2312"/>
          <w:b w:val="0"/>
          <w:color w:val="000000"/>
          <w:sz w:val="31"/>
          <w:szCs w:val="31"/>
          <w:lang w:val="en-US" w:eastAsia="zh-CN"/>
        </w:rPr>
        <w:t>0.59</w:t>
      </w:r>
      <w:r>
        <w:rPr>
          <w:rFonts w:ascii="仿宋_GB2312" w:hAnsi="仿宋_GB2312" w:eastAsia="仿宋_GB2312" w:cs="仿宋_GB2312"/>
          <w:b w:val="0"/>
          <w:color w:val="000000"/>
          <w:sz w:val="31"/>
          <w:szCs w:val="31"/>
        </w:rPr>
        <w:t xml:space="preserve"> 万元，完成预算 100%。 </w:t>
      </w:r>
      <w:r>
        <w:rPr>
          <w:rFonts w:hint="eastAsia" w:ascii="仿宋" w:hAnsi="仿宋" w:eastAsia="仿宋" w:cs="仿宋"/>
          <w:b/>
          <w:color w:val="000000"/>
          <w:sz w:val="31"/>
          <w:szCs w:val="31"/>
        </w:rPr>
        <w:t>6.住房保障支出（221）住房改革支出（02）住房公积 金（01）:</w:t>
      </w:r>
      <w:r>
        <w:rPr>
          <w:rFonts w:ascii="仿宋_GB2312" w:hAnsi="仿宋_GB2312" w:eastAsia="仿宋_GB2312" w:cs="仿宋_GB2312"/>
          <w:b w:val="0"/>
          <w:color w:val="000000"/>
          <w:sz w:val="31"/>
          <w:szCs w:val="31"/>
        </w:rPr>
        <w:t xml:space="preserve">支出决算为 </w:t>
      </w:r>
      <w:r>
        <w:rPr>
          <w:rFonts w:hint="eastAsia" w:ascii="仿宋_GB2312" w:hAnsi="仿宋_GB2312" w:eastAsia="仿宋_GB2312" w:cs="仿宋_GB2312"/>
          <w:b w:val="0"/>
          <w:color w:val="000000"/>
          <w:sz w:val="31"/>
          <w:szCs w:val="31"/>
          <w:lang w:val="en-US" w:eastAsia="zh-CN"/>
        </w:rPr>
        <w:t>4.92</w:t>
      </w:r>
      <w:r>
        <w:rPr>
          <w:rFonts w:ascii="仿宋_GB2312" w:hAnsi="仿宋_GB2312" w:eastAsia="仿宋_GB2312" w:cs="仿宋_GB2312"/>
          <w:b w:val="0"/>
          <w:color w:val="000000"/>
          <w:sz w:val="31"/>
          <w:szCs w:val="31"/>
        </w:rPr>
        <w:t>万元，完成预算 100%。</w:t>
      </w:r>
    </w:p>
    <w:p>
      <w:pPr>
        <w:pageBreakBefore w:val="0"/>
        <w:tabs>
          <w:tab w:val="right" w:pos="8306"/>
        </w:tabs>
        <w:kinsoku/>
        <w:wordWrap/>
        <w:overflowPunct/>
        <w:topLinePunct w:val="0"/>
        <w:bidi w:val="0"/>
        <w:spacing w:line="576" w:lineRule="exact"/>
        <w:ind w:right="0" w:rightChars="0" w:firstLine="640"/>
        <w:textAlignment w:val="auto"/>
        <w:outlineLvl w:val="1"/>
        <w:rPr>
          <w:rStyle w:val="20"/>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0"/>
          <w:rFonts w:hint="eastAsia" w:ascii="Times New Roman" w:hAnsi="Times New Roman" w:eastAsia="黑体"/>
          <w:b w:val="0"/>
          <w:color w:val="auto"/>
          <w:highlight w:val="none"/>
        </w:rPr>
        <w:t>般公共预算财政拨款基本支出决算情况说明</w:t>
      </w:r>
      <w:bookmarkEnd w:id="28"/>
      <w:bookmarkEnd w:id="29"/>
      <w:r>
        <w:rPr>
          <w:rStyle w:val="20"/>
          <w:rFonts w:ascii="Times New Roman" w:hAnsi="Times New Roman" w:eastAsia="黑体"/>
          <w:b w:val="0"/>
          <w:color w:val="auto"/>
          <w:highlight w:val="none"/>
        </w:rPr>
        <w:tab/>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46.47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45.22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1.25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76" w:lineRule="exact"/>
        <w:ind w:right="0" w:rightChars="0" w:firstLine="640"/>
        <w:textAlignment w:val="auto"/>
        <w:outlineLvl w:val="1"/>
        <w:rPr>
          <w:rStyle w:val="20"/>
          <w:rFonts w:ascii="Times New Roman" w:hAnsi="Times New Roman" w:eastAsia="黑体"/>
          <w:b w:val="0"/>
          <w:color w:val="auto"/>
          <w:highlight w:val="none"/>
        </w:rPr>
      </w:pPr>
      <w:bookmarkStart w:id="30" w:name="_Toc15396609"/>
      <w:bookmarkStart w:id="31" w:name="_Toc15377215"/>
      <w:r>
        <w:rPr>
          <w:rFonts w:hint="eastAsia" w:ascii="Times New Roman" w:hAnsi="Times New Roman" w:eastAsia="黑体"/>
          <w:color w:val="auto"/>
          <w:sz w:val="32"/>
          <w:szCs w:val="32"/>
          <w:highlight w:val="none"/>
        </w:rPr>
        <w:t>七、</w:t>
      </w:r>
      <w:r>
        <w:rPr>
          <w:rStyle w:val="20"/>
          <w:rFonts w:hint="eastAsia" w:ascii="Times New Roman" w:hAnsi="Times New Roman" w:eastAsia="黑体"/>
          <w:b w:val="0"/>
          <w:color w:val="auto"/>
          <w:highlight w:val="none"/>
        </w:rPr>
        <w:t>财政拨款</w:t>
      </w:r>
      <w:r>
        <w:rPr>
          <w:rStyle w:val="20"/>
          <w:rFonts w:hint="eastAsia" w:ascii="Times New Roman" w:hAnsi="Times New Roman" w:eastAsia="黑体"/>
          <w:color w:val="auto"/>
          <w:highlight w:val="none"/>
        </w:rPr>
        <w:t>“</w:t>
      </w:r>
      <w:r>
        <w:rPr>
          <w:rStyle w:val="20"/>
          <w:rFonts w:hint="eastAsia" w:ascii="Times New Roman" w:hAnsi="Times New Roman" w:eastAsia="黑体"/>
          <w:b w:val="0"/>
          <w:color w:val="auto"/>
          <w:highlight w:val="none"/>
        </w:rPr>
        <w:t>三公”经费支出决算情况说明</w:t>
      </w:r>
      <w:bookmarkEnd w:id="30"/>
      <w:bookmarkEnd w:id="31"/>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0</w:t>
      </w:r>
    </w:p>
    <w:p>
      <w:pPr>
        <w:pageBreakBefore w:val="0"/>
        <w:kinsoku/>
        <w:wordWrap/>
        <w:overflowPunct/>
        <w:topLinePunct w:val="0"/>
        <w:bidi w:val="0"/>
        <w:spacing w:line="576" w:lineRule="exact"/>
        <w:ind w:right="0" w:rightChars="0" w:firstLine="640"/>
        <w:textAlignment w:val="auto"/>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0</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（具体工作）所需的公务用车燃料费、维修费、过路过桥费、保险费等支出。</w:t>
      </w:r>
    </w:p>
    <w:p>
      <w:pPr>
        <w:pageBreakBefore w:val="0"/>
        <w:numPr>
          <w:ilvl w:val="0"/>
          <w:numId w:val="3"/>
        </w:numPr>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pageBreakBefore w:val="0"/>
        <w:numPr>
          <w:ilvl w:val="0"/>
          <w:numId w:val="0"/>
        </w:numPr>
        <w:kinsoku/>
        <w:wordWrap/>
        <w:overflowPunct/>
        <w:topLinePunct w:val="0"/>
        <w:bidi w:val="0"/>
        <w:spacing w:line="576" w:lineRule="exact"/>
        <w:ind w:right="0" w:rightChars="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bookmarkStart w:id="34" w:name="_Toc15377218"/>
      <w:bookmarkStart w:id="35" w:name="_Toc15396610"/>
    </w:p>
    <w:p>
      <w:pPr>
        <w:pageBreakBefore w:val="0"/>
        <w:kinsoku/>
        <w:wordWrap/>
        <w:overflowPunct/>
        <w:topLinePunct w:val="0"/>
        <w:bidi w:val="0"/>
        <w:spacing w:line="576" w:lineRule="exact"/>
        <w:ind w:right="0" w:rightChars="0" w:firstLine="640"/>
        <w:textAlignment w:val="auto"/>
        <w:outlineLvl w:val="1"/>
        <w:rPr>
          <w:rStyle w:val="2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0"/>
          <w:rFonts w:hint="eastAsia" w:ascii="Times New Roman" w:hAnsi="Times New Roman" w:eastAsia="黑体"/>
          <w:b w:val="0"/>
          <w:color w:val="auto"/>
          <w:highlight w:val="none"/>
        </w:rPr>
        <w:t>政府性基金预算支出决算情况说明</w:t>
      </w:r>
      <w:bookmarkEnd w:id="34"/>
      <w:bookmarkEnd w:id="35"/>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bidi w:val="0"/>
        <w:spacing w:line="576" w:lineRule="exact"/>
        <w:ind w:left="630" w:right="0" w:rightChars="0"/>
        <w:textAlignment w:val="auto"/>
        <w:outlineLvl w:val="1"/>
        <w:rPr>
          <w:rStyle w:val="20"/>
          <w:rFonts w:ascii="Times New Roman" w:hAnsi="Times New Roman" w:eastAsia="黑体"/>
          <w:b w:val="0"/>
          <w:color w:val="auto"/>
          <w:highlight w:val="none"/>
        </w:rPr>
      </w:pPr>
      <w:bookmarkStart w:id="36" w:name="_Toc15377219"/>
      <w:bookmarkStart w:id="37" w:name="_Toc15396611"/>
      <w:r>
        <w:rPr>
          <w:rStyle w:val="20"/>
          <w:rFonts w:hint="eastAsia" w:ascii="Times New Roman" w:hAnsi="Times New Roman" w:eastAsia="黑体"/>
          <w:b w:val="0"/>
          <w:color w:val="auto"/>
          <w:highlight w:val="none"/>
          <w:lang w:eastAsia="zh-CN"/>
        </w:rPr>
        <w:t>九、</w:t>
      </w:r>
      <w:r>
        <w:rPr>
          <w:rStyle w:val="20"/>
          <w:rFonts w:hint="eastAsia" w:ascii="Times New Roman" w:hAnsi="Times New Roman" w:eastAsia="黑体"/>
          <w:b w:val="0"/>
          <w:color w:val="auto"/>
          <w:highlight w:val="none"/>
        </w:rPr>
        <w:t>国有资本经营预算支出决算情况说明</w:t>
      </w:r>
      <w:bookmarkEnd w:id="36"/>
      <w:bookmarkEnd w:id="37"/>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bidi w:val="0"/>
        <w:spacing w:line="576" w:lineRule="exact"/>
        <w:ind w:left="630" w:right="0" w:rightChars="0"/>
        <w:textAlignment w:val="auto"/>
        <w:outlineLvl w:val="1"/>
        <w:rPr>
          <w:rStyle w:val="20"/>
          <w:rFonts w:hint="eastAsia" w:ascii="Times New Roman" w:hAnsi="Times New Roman" w:eastAsia="黑体"/>
          <w:b w:val="0"/>
          <w:color w:val="auto"/>
          <w:highlight w:val="none"/>
        </w:rPr>
      </w:pPr>
      <w:bookmarkStart w:id="38" w:name="_Toc15377221"/>
      <w:bookmarkStart w:id="39" w:name="_Toc15396612"/>
      <w:r>
        <w:rPr>
          <w:rStyle w:val="20"/>
          <w:rFonts w:hint="eastAsia" w:ascii="Times New Roman" w:hAnsi="Times New Roman" w:eastAsia="黑体"/>
          <w:b w:val="0"/>
          <w:color w:val="auto"/>
          <w:highlight w:val="none"/>
          <w:lang w:eastAsia="zh-CN"/>
        </w:rPr>
        <w:t>十、</w:t>
      </w:r>
      <w:r>
        <w:rPr>
          <w:rStyle w:val="20"/>
          <w:rFonts w:hint="eastAsia" w:ascii="Times New Roman" w:hAnsi="Times New Roman" w:eastAsia="黑体"/>
          <w:b w:val="0"/>
          <w:color w:val="auto"/>
          <w:highlight w:val="none"/>
        </w:rPr>
        <w:t>其他重要事项的情况说明</w:t>
      </w:r>
      <w:bookmarkEnd w:id="38"/>
      <w:bookmarkEnd w:id="39"/>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九寨沟县民族宗教服务中心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%（或与2023年度决算数持平）。</w:t>
      </w:r>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九寨沟县民族宗教服务中心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pageBreakBefore w:val="0"/>
        <w:kinsoku/>
        <w:wordWrap/>
        <w:overflowPunct/>
        <w:topLinePunct w:val="0"/>
        <w:bidi w:val="0"/>
        <w:spacing w:line="576" w:lineRule="exact"/>
        <w:ind w:right="0" w:rightChars="0" w:firstLine="640" w:firstLineChars="200"/>
        <w:textAlignment w:val="auto"/>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pPr>
        <w:pageBreakBefore w:val="0"/>
        <w:kinsoku/>
        <w:wordWrap/>
        <w:overflowPunct/>
        <w:topLinePunct w:val="0"/>
        <w:autoSpaceDE w:val="0"/>
        <w:autoSpaceDN w:val="0"/>
        <w:bidi w:val="0"/>
        <w:adjustRightInd w:val="0"/>
        <w:spacing w:line="576" w:lineRule="exact"/>
        <w:ind w:right="0" w:rightChars="0" w:firstLine="640" w:firstLineChars="200"/>
        <w:jc w:val="left"/>
        <w:textAlignment w:val="auto"/>
        <w:rPr>
          <w:rFonts w:ascii="仿宋_GB2312" w:eastAsia="仿宋_GB2312"/>
          <w:sz w:val="32"/>
          <w:szCs w:val="32"/>
        </w:rPr>
      </w:pPr>
      <w:bookmarkStart w:id="43" w:name="_Toc15377225"/>
      <w:bookmarkStart w:id="44" w:name="_Toc15396613"/>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四川省阿坝州民族宗教服务中心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w:t>
      </w:r>
    </w:p>
    <w:p>
      <w:pPr>
        <w:pageBreakBefore w:val="0"/>
        <w:kinsoku/>
        <w:wordWrap/>
        <w:overflowPunct/>
        <w:topLinePunct w:val="0"/>
        <w:bidi w:val="0"/>
        <w:spacing w:line="576" w:lineRule="exact"/>
        <w:ind w:right="0" w:rightChars="0"/>
        <w:jc w:val="center"/>
        <w:textAlignment w:val="auto"/>
        <w:outlineLvl w:val="0"/>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center"/>
        <w:textAlignment w:val="auto"/>
        <w:outlineLvl w:val="0"/>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center"/>
        <w:textAlignment w:val="auto"/>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pageBreakBefore w:val="0"/>
        <w:kinsoku/>
        <w:wordWrap/>
        <w:overflowPunct/>
        <w:topLinePunct w:val="0"/>
        <w:bidi w:val="0"/>
        <w:spacing w:line="576" w:lineRule="exact"/>
        <w:ind w:right="0" w:rightChars="0"/>
        <w:jc w:val="left"/>
        <w:textAlignment w:val="auto"/>
        <w:rPr>
          <w:rFonts w:ascii="Times New Roman" w:hAnsi="Times New Roman"/>
          <w:b/>
          <w:color w:val="auto"/>
          <w:sz w:val="44"/>
          <w:szCs w:val="44"/>
          <w:highlight w:val="none"/>
        </w:rPr>
      </w:pP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9.一般公共服务一般公共服务</w:t>
      </w:r>
      <w:r>
        <w:rPr>
          <w:rFonts w:hint="default" w:ascii="仿宋_GB2312" w:eastAsia="仿宋_GB2312"/>
          <w:color w:val="auto"/>
          <w:sz w:val="32"/>
          <w:szCs w:val="32"/>
          <w:lang w:val="en-US" w:eastAsia="zh-CN"/>
        </w:rPr>
        <w:t>(201)</w:t>
      </w:r>
      <w:r>
        <w:rPr>
          <w:rFonts w:hint="eastAsia" w:ascii="仿宋_GB2312" w:eastAsia="仿宋_GB2312"/>
          <w:color w:val="auto"/>
          <w:sz w:val="32"/>
          <w:szCs w:val="32"/>
          <w:lang w:val="en-US" w:eastAsia="zh-CN"/>
        </w:rPr>
        <w:t xml:space="preserve">民族事务（23）行政运行（50）: 指民族事务事业运行。   </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10.社会保障和就业支出（208）行政事业单位离退休（05）机关事业单位基本养老保险缴费支出（05）: 指机关事业单位基本养老保险缴费支出。</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11.社会保障和就业支出（208）行政事业单位离退休（05）机关事业单位职业年金险缴费支出（06）: 指机关事业单位职业年金保险缴费支出。</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12.卫生健康支出（210）公卫生健康管理事务（01）其他公卫生健康管理事务支出（99）:指其他卫生健康支出。</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13.卫生健康支出（210）行政事业单位医疗（11）行政单位医疗支出（02）:指事业人员单位医疗。</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14.卫生健康支出（210）其他行政事业单位医疗（11）公务员医疗补助支出（99）:指公务员医疗补助。  </w:t>
      </w:r>
    </w:p>
    <w:p>
      <w:pPr>
        <w:pStyle w:val="25"/>
        <w:pageBreakBefore w:val="0"/>
        <w:kinsoku/>
        <w:wordWrap/>
        <w:overflowPunct/>
        <w:topLinePunct w:val="0"/>
        <w:bidi w:val="0"/>
        <w:spacing w:line="576"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15.住房保障支出（221）住房改革支出（02）住房公积金（01）:指住房公积金。</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pacing w:line="576" w:lineRule="exact"/>
        <w:ind w:right="0" w:rightChars="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bookmarkStart w:id="45" w:name="_Toc15396614"/>
      <w:bookmarkStart w:id="46" w:name="_Toc15377226"/>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4"/>
          <w:szCs w:val="44"/>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4"/>
          <w:szCs w:val="44"/>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4"/>
          <w:szCs w:val="44"/>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4"/>
          <w:szCs w:val="44"/>
          <w:highlight w:val="none"/>
        </w:rPr>
      </w:pPr>
    </w:p>
    <w:p>
      <w:pPr>
        <w:pStyle w:val="2"/>
        <w:pageBreakBefore w:val="0"/>
        <w:kinsoku/>
        <w:wordWrap/>
        <w:overflowPunct/>
        <w:topLinePunct w:val="0"/>
        <w:bidi w:val="0"/>
        <w:spacing w:after="0" w:line="576" w:lineRule="exact"/>
        <w:ind w:right="0" w:rightChars="0"/>
        <w:textAlignment w:val="auto"/>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olor w:val="auto"/>
          <w:sz w:val="44"/>
          <w:szCs w:val="44"/>
          <w:highlight w:val="none"/>
        </w:rPr>
      </w:pPr>
    </w:p>
    <w:p>
      <w:pPr>
        <w:pageBreakBefore w:val="0"/>
        <w:kinsoku/>
        <w:wordWrap/>
        <w:overflowPunct/>
        <w:topLinePunct w:val="0"/>
        <w:bidi w:val="0"/>
        <w:spacing w:line="576" w:lineRule="exact"/>
        <w:ind w:right="0" w:rightChars="0"/>
        <w:jc w:val="both"/>
        <w:textAlignment w:val="auto"/>
        <w:rPr>
          <w:rFonts w:hint="eastAsia" w:ascii="Times New Roman" w:hAnsi="Times New Roman" w:eastAsia="黑体" w:cs="黑体"/>
          <w:color w:val="FF0000"/>
          <w:sz w:val="32"/>
          <w:szCs w:val="32"/>
          <w:highlight w:val="none"/>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5"/>
    </w:p>
    <w:p>
      <w:pPr>
        <w:pageBreakBefore w:val="0"/>
        <w:kinsoku/>
        <w:wordWrap/>
        <w:overflowPunct/>
        <w:topLinePunct w:val="0"/>
        <w:bidi w:val="0"/>
        <w:spacing w:line="576" w:lineRule="exact"/>
        <w:ind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根据预算绩效管理要求，本部门（单位）在年初预算编制阶段，组织对0项目（项目名称）开展了预算事前绩效评估，对0个项目编制了绩效目标，预算执行过程中，选取0个项目开展绩效监控，年终执行完毕后，对0个项目开展了绩效目标完成情况自评。202</w:t>
      </w:r>
      <w:r>
        <w:rPr>
          <w:rFonts w:hint="eastAsia" w:ascii="仿宋_GB2312" w:eastAsia="仿宋_GB2312"/>
          <w:sz w:val="32"/>
          <w:szCs w:val="32"/>
          <w:lang w:val="en-US" w:eastAsia="zh-CN"/>
        </w:rPr>
        <w:t>4</w:t>
      </w:r>
      <w:r>
        <w:rPr>
          <w:rFonts w:hint="eastAsia" w:ascii="仿宋_GB2312" w:eastAsia="仿宋_GB2312"/>
          <w:sz w:val="32"/>
          <w:szCs w:val="32"/>
        </w:rPr>
        <w:t>年部门整体支出开展绩效自评包含在九寨沟县</w:t>
      </w:r>
      <w:r>
        <w:rPr>
          <w:rFonts w:hint="eastAsia" w:ascii="仿宋_GB2312" w:eastAsia="仿宋_GB2312"/>
          <w:sz w:val="32"/>
          <w:szCs w:val="32"/>
          <w:lang w:val="en-US" w:eastAsia="zh-CN"/>
        </w:rPr>
        <w:t>民族宗教局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年部门整体支出绩效自评中。</w:t>
      </w:r>
    </w:p>
    <w:p>
      <w:pPr>
        <w:pageBreakBefore w:val="0"/>
        <w:kinsoku/>
        <w:wordWrap/>
        <w:overflowPunct/>
        <w:topLinePunct w:val="0"/>
        <w:bidi w:val="0"/>
        <w:spacing w:line="576" w:lineRule="exact"/>
        <w:ind w:right="0" w:rightChars="0"/>
        <w:textAlignment w:val="auto"/>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ageBreakBefore w:val="0"/>
        <w:widowControl/>
        <w:kinsoku/>
        <w:wordWrap/>
        <w:overflowPunct/>
        <w:topLinePunct w:val="0"/>
        <w:bidi w:val="0"/>
        <w:spacing w:line="576" w:lineRule="exact"/>
        <w:ind w:right="0" w:rightChars="0"/>
        <w:jc w:val="center"/>
        <w:textAlignment w:val="auto"/>
        <w:rPr>
          <w:rFonts w:hint="eastAsia" w:ascii="Times New Roman" w:hAnsi="Times New Roman" w:eastAsia="仿宋"/>
          <w:b w:val="0"/>
          <w:color w:val="auto"/>
          <w:highlight w:val="none"/>
        </w:rPr>
      </w:pPr>
      <w:bookmarkStart w:id="47" w:name="_Toc15396618"/>
      <w:r>
        <w:rPr>
          <w:rFonts w:hint="eastAsia" w:ascii="Times New Roman" w:hAnsi="Times New Roman" w:eastAsia="黑体"/>
          <w:color w:val="auto"/>
          <w:sz w:val="44"/>
          <w:szCs w:val="44"/>
          <w:highlight w:val="none"/>
        </w:rPr>
        <w:t>第</w:t>
      </w:r>
      <w:r>
        <w:rPr>
          <w:rStyle w:val="19"/>
          <w:rFonts w:hint="eastAsia" w:ascii="Times New Roman" w:hAnsi="Times New Roman" w:eastAsia="黑体"/>
          <w:b w:val="0"/>
          <w:color w:val="auto"/>
          <w:highlight w:val="none"/>
        </w:rPr>
        <w:t>五部分 附表</w:t>
      </w:r>
      <w:bookmarkEnd w:id="46"/>
      <w:bookmarkEnd w:id="47"/>
      <w:bookmarkStart w:id="48" w:name="_Toc15396619"/>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8"/>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49" w:name="_Toc15396620"/>
      <w:r>
        <w:rPr>
          <w:rFonts w:hint="eastAsia" w:ascii="Times New Roman" w:hAnsi="Times New Roman" w:eastAsia="仿宋_GB2312" w:cs="仿宋_GB2312"/>
          <w:color w:val="auto"/>
          <w:sz w:val="32"/>
          <w:szCs w:val="32"/>
          <w:highlight w:val="none"/>
        </w:rPr>
        <w:t>二、收入决算表</w:t>
      </w:r>
      <w:bookmarkEnd w:id="49"/>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0" w:name="_Toc15396621"/>
      <w:r>
        <w:rPr>
          <w:rFonts w:hint="eastAsia" w:ascii="Times New Roman" w:hAnsi="Times New Roman" w:eastAsia="仿宋_GB2312" w:cs="仿宋_GB2312"/>
          <w:color w:val="auto"/>
          <w:sz w:val="32"/>
          <w:szCs w:val="32"/>
          <w:highlight w:val="none"/>
        </w:rPr>
        <w:t>三、支出决算表</w:t>
      </w:r>
      <w:bookmarkEnd w:id="50"/>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1" w:name="_Toc15396622"/>
      <w:r>
        <w:rPr>
          <w:rFonts w:hint="eastAsia" w:ascii="Times New Roman" w:hAnsi="Times New Roman" w:eastAsia="仿宋_GB2312" w:cs="仿宋_GB2312"/>
          <w:color w:val="auto"/>
          <w:sz w:val="32"/>
          <w:szCs w:val="32"/>
          <w:highlight w:val="none"/>
        </w:rPr>
        <w:t>四、财政拨款收入支出决算总表</w:t>
      </w:r>
      <w:bookmarkEnd w:id="51"/>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2" w:name="_Toc15396623"/>
      <w:r>
        <w:rPr>
          <w:rFonts w:hint="eastAsia" w:ascii="Times New Roman" w:hAnsi="Times New Roman" w:eastAsia="仿宋_GB2312" w:cs="仿宋_GB2312"/>
          <w:color w:val="auto"/>
          <w:sz w:val="32"/>
          <w:szCs w:val="32"/>
          <w:highlight w:val="none"/>
        </w:rPr>
        <w:t>五、财政拨款支出决算明细表</w:t>
      </w:r>
      <w:bookmarkEnd w:id="52"/>
      <w:bookmarkStart w:id="53" w:name="_Toc15396624"/>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3"/>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4" w:name="_Toc15396625"/>
      <w:r>
        <w:rPr>
          <w:rFonts w:hint="eastAsia" w:ascii="Times New Roman" w:hAnsi="Times New Roman" w:eastAsia="仿宋_GB2312" w:cs="仿宋_GB2312"/>
          <w:color w:val="auto"/>
          <w:sz w:val="32"/>
          <w:szCs w:val="32"/>
          <w:highlight w:val="none"/>
        </w:rPr>
        <w:t>七、一般公共预算财政拨款支出决算明细表</w:t>
      </w:r>
      <w:bookmarkEnd w:id="54"/>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5" w:name="_Toc15396626"/>
      <w:r>
        <w:rPr>
          <w:rFonts w:hint="eastAsia" w:ascii="Times New Roman" w:hAnsi="Times New Roman" w:eastAsia="仿宋_GB2312" w:cs="仿宋_GB2312"/>
          <w:color w:val="auto"/>
          <w:sz w:val="32"/>
          <w:szCs w:val="32"/>
          <w:highlight w:val="none"/>
        </w:rPr>
        <w:t>八、一般公共预算财政拨款基本支出决算表</w:t>
      </w:r>
      <w:bookmarkEnd w:id="55"/>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6" w:name="_Toc15396627"/>
      <w:r>
        <w:rPr>
          <w:rFonts w:hint="eastAsia" w:ascii="Times New Roman" w:hAnsi="Times New Roman" w:eastAsia="仿宋_GB2312" w:cs="仿宋_GB2312"/>
          <w:color w:val="auto"/>
          <w:sz w:val="32"/>
          <w:szCs w:val="32"/>
          <w:highlight w:val="none"/>
        </w:rPr>
        <w:t>九、一般公共预算财政拨款项目支出决算表</w:t>
      </w:r>
      <w:bookmarkEnd w:id="56"/>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7" w:name="_Toc15396628"/>
      <w:r>
        <w:rPr>
          <w:rFonts w:hint="eastAsia" w:ascii="Times New Roman" w:hAnsi="Times New Roman" w:eastAsia="仿宋_GB2312" w:cs="仿宋_GB2312"/>
          <w:color w:val="auto"/>
          <w:sz w:val="32"/>
          <w:szCs w:val="32"/>
          <w:highlight w:val="none"/>
        </w:rPr>
        <w:t>十、</w:t>
      </w:r>
      <w:bookmarkEnd w:id="57"/>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8" w:name="_Toc15396629"/>
      <w:r>
        <w:rPr>
          <w:rFonts w:hint="eastAsia" w:ascii="Times New Roman" w:hAnsi="Times New Roman" w:eastAsia="仿宋_GB2312" w:cs="仿宋_GB2312"/>
          <w:color w:val="auto"/>
          <w:sz w:val="32"/>
          <w:szCs w:val="32"/>
          <w:highlight w:val="none"/>
        </w:rPr>
        <w:t>十一、</w:t>
      </w:r>
      <w:bookmarkEnd w:id="5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rPr>
      </w:pPr>
      <w:bookmarkStart w:id="59" w:name="_Toc15396630"/>
      <w:r>
        <w:rPr>
          <w:rFonts w:hint="eastAsia" w:ascii="Times New Roman" w:hAnsi="Times New Roman" w:eastAsia="仿宋_GB2312" w:cs="仿宋_GB2312"/>
          <w:color w:val="auto"/>
          <w:sz w:val="32"/>
          <w:szCs w:val="32"/>
          <w:highlight w:val="none"/>
        </w:rPr>
        <w:t>十二、</w:t>
      </w:r>
      <w:bookmarkEnd w:id="59"/>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76" w:lineRule="exact"/>
        <w:ind w:right="0" w:rightChars="0"/>
        <w:jc w:val="left"/>
        <w:textAlignment w:val="auto"/>
        <w:rPr>
          <w:rFonts w:hint="eastAsia" w:ascii="Times New Roman" w:hAnsi="Times New Roman" w:eastAsia="仿宋_GB2312" w:cs="仿宋_GB2312"/>
          <w:color w:val="auto"/>
          <w:sz w:val="32"/>
          <w:szCs w:val="32"/>
          <w:highlight w:val="none"/>
          <w:lang w:eastAsia="zh-CN"/>
        </w:rPr>
      </w:pPr>
      <w:bookmarkStart w:id="60" w:name="_Toc15396631"/>
      <w:r>
        <w:rPr>
          <w:rFonts w:hint="eastAsia" w:ascii="Times New Roman" w:hAnsi="Times New Roman" w:eastAsia="仿宋_GB2312" w:cs="仿宋_GB2312"/>
          <w:color w:val="auto"/>
          <w:sz w:val="32"/>
          <w:szCs w:val="32"/>
          <w:highlight w:val="none"/>
        </w:rPr>
        <w:t>十三、</w:t>
      </w:r>
      <w:bookmarkEnd w:id="60"/>
      <w:r>
        <w:rPr>
          <w:rFonts w:hint="eastAsia" w:ascii="Times New Roman" w:hAnsi="Times New Roman" w:eastAsia="仿宋_GB2312" w:cs="仿宋_GB2312"/>
          <w:color w:val="auto"/>
          <w:sz w:val="32"/>
          <w:szCs w:val="32"/>
          <w:highlight w:val="none"/>
          <w:lang w:eastAsia="zh-CN"/>
        </w:rPr>
        <w:t>财政拨款“三公”经费支出决算表</w:t>
      </w:r>
    </w:p>
    <w:p>
      <w:pPr>
        <w:pageBreakBefore w:val="0"/>
        <w:kinsoku/>
        <w:wordWrap/>
        <w:overflowPunct/>
        <w:topLinePunct w:val="0"/>
        <w:bidi w:val="0"/>
        <w:spacing w:line="576" w:lineRule="exact"/>
        <w:ind w:right="0" w:rightChars="0"/>
        <w:textAlignment w:val="auto"/>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tbl>
      <w:tblPr>
        <w:tblStyle w:val="18"/>
        <w:tblW w:w="9219" w:type="dxa"/>
        <w:jc w:val="center"/>
        <w:tblInd w:w="-4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92"/>
        <w:gridCol w:w="1737"/>
        <w:gridCol w:w="1828"/>
        <w:gridCol w:w="1634"/>
        <w:gridCol w:w="400"/>
        <w:gridCol w:w="1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21" w:hRule="atLeast"/>
          <w:jc w:val="center"/>
        </w:trPr>
        <w:tc>
          <w:tcPr>
            <w:tcW w:w="9219"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8" w:hRule="atLeast"/>
          <w:jc w:val="center"/>
        </w:trPr>
        <w:tc>
          <w:tcPr>
            <w:tcW w:w="1792" w:type="dxa"/>
            <w:shd w:val="clear" w:color="auto" w:fill="auto"/>
            <w:vAlign w:val="center"/>
          </w:tcPr>
          <w:p>
            <w:pPr>
              <w:rPr>
                <w:rFonts w:hint="eastAsia" w:ascii="宋体" w:hAnsi="宋体" w:eastAsia="宋体" w:cs="宋体"/>
                <w:i w:val="0"/>
                <w:color w:val="000000"/>
                <w:sz w:val="24"/>
                <w:szCs w:val="24"/>
                <w:u w:val="none"/>
              </w:rPr>
            </w:pPr>
          </w:p>
        </w:tc>
        <w:tc>
          <w:tcPr>
            <w:tcW w:w="1737" w:type="dxa"/>
            <w:shd w:val="clear" w:color="auto" w:fill="auto"/>
            <w:vAlign w:val="center"/>
          </w:tcPr>
          <w:p>
            <w:pPr>
              <w:rPr>
                <w:rFonts w:hint="eastAsia" w:ascii="宋体" w:hAnsi="宋体" w:eastAsia="宋体" w:cs="宋体"/>
                <w:i w:val="0"/>
                <w:color w:val="000000"/>
                <w:sz w:val="24"/>
                <w:szCs w:val="24"/>
                <w:u w:val="none"/>
              </w:rPr>
            </w:pPr>
          </w:p>
        </w:tc>
        <w:tc>
          <w:tcPr>
            <w:tcW w:w="1828" w:type="dxa"/>
            <w:shd w:val="clear" w:color="auto" w:fill="auto"/>
            <w:vAlign w:val="center"/>
          </w:tcPr>
          <w:p>
            <w:pPr>
              <w:rPr>
                <w:rFonts w:hint="eastAsia" w:ascii="宋体" w:hAnsi="宋体" w:eastAsia="宋体" w:cs="宋体"/>
                <w:i w:val="0"/>
                <w:color w:val="000000"/>
                <w:sz w:val="24"/>
                <w:szCs w:val="24"/>
                <w:u w:val="none"/>
              </w:rPr>
            </w:pPr>
          </w:p>
        </w:tc>
        <w:tc>
          <w:tcPr>
            <w:tcW w:w="1634" w:type="dxa"/>
            <w:shd w:val="clear" w:color="auto" w:fill="auto"/>
            <w:vAlign w:val="center"/>
          </w:tcPr>
          <w:p>
            <w:pPr>
              <w:rPr>
                <w:rFonts w:hint="eastAsia" w:ascii="宋体" w:hAnsi="宋体" w:eastAsia="宋体" w:cs="宋体"/>
                <w:i w:val="0"/>
                <w:color w:val="000000"/>
                <w:sz w:val="24"/>
                <w:szCs w:val="24"/>
                <w:u w:val="none"/>
              </w:rPr>
            </w:pPr>
          </w:p>
        </w:tc>
        <w:tc>
          <w:tcPr>
            <w:tcW w:w="400" w:type="dxa"/>
            <w:shd w:val="clear" w:color="auto" w:fill="auto"/>
            <w:vAlign w:val="center"/>
          </w:tcPr>
          <w:p>
            <w:pPr>
              <w:rPr>
                <w:rFonts w:hint="eastAsia" w:ascii="宋体" w:hAnsi="宋体" w:eastAsia="宋体" w:cs="宋体"/>
                <w:i w:val="0"/>
                <w:color w:val="000000"/>
                <w:sz w:val="24"/>
                <w:szCs w:val="24"/>
                <w:u w:val="none"/>
              </w:rPr>
            </w:pPr>
          </w:p>
        </w:tc>
        <w:tc>
          <w:tcPr>
            <w:tcW w:w="1828"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8" w:hRule="atLeast"/>
          <w:jc w:val="center"/>
        </w:trPr>
        <w:tc>
          <w:tcPr>
            <w:tcW w:w="3529" w:type="dxa"/>
            <w:gridSpan w:val="2"/>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单位名称：九寨沟县民族宗教服务中心</w:t>
            </w:r>
          </w:p>
        </w:tc>
        <w:tc>
          <w:tcPr>
            <w:tcW w:w="3462"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400" w:type="dxa"/>
            <w:shd w:val="clear" w:color="auto" w:fill="auto"/>
            <w:vAlign w:val="bottom"/>
          </w:tcPr>
          <w:p>
            <w:pPr>
              <w:rPr>
                <w:rFonts w:hint="eastAsia" w:ascii="宋体" w:hAnsi="宋体" w:eastAsia="宋体" w:cs="宋体"/>
                <w:i w:val="0"/>
                <w:color w:val="000000"/>
                <w:sz w:val="20"/>
                <w:szCs w:val="20"/>
                <w:u w:val="none"/>
              </w:rPr>
            </w:pPr>
          </w:p>
        </w:tc>
        <w:tc>
          <w:tcPr>
            <w:tcW w:w="1828"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9" w:hRule="atLeast"/>
          <w:jc w:val="center"/>
        </w:trPr>
        <w:tc>
          <w:tcPr>
            <w:tcW w:w="5357"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3862"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9"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737"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82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63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0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82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9"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82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3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0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82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44.05</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四、上级补助收入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五、事业收入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六、经营收入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七、附属单位上缴收入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八、其他收入</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18"/>
                <w:szCs w:val="18"/>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44.05</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使用非财政拨款结余（含专用结余）</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结余分配</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年初结转和结余</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年末结转和结余</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 w:hRule="atLeast"/>
          <w:jc w:val="center"/>
        </w:trPr>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6" w:hRule="atLeast"/>
          <w:jc w:val="center"/>
        </w:trPr>
        <w:tc>
          <w:tcPr>
            <w:tcW w:w="9219" w:type="dxa"/>
            <w:gridSpan w:val="6"/>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注：1.本表反映部门本年度的总收支和年末结转结余情况。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2.本套报表金额单位转换时可能存在尾数误差。</w:t>
            </w:r>
          </w:p>
        </w:tc>
      </w:tr>
    </w:tbl>
    <w:p>
      <w:pPr>
        <w:pStyle w:val="2"/>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rPr>
          <w:rFonts w:hint="eastAsia" w:ascii="Times New Roman" w:hAnsi="Times New Roman"/>
          <w:lang w:eastAsia="zh-CN"/>
        </w:rPr>
      </w:pPr>
    </w:p>
    <w:p>
      <w:pPr>
        <w:pStyle w:val="2"/>
        <w:ind w:left="0" w:leftChars="0" w:firstLine="840" w:firstLineChars="400"/>
        <w:jc w:val="left"/>
        <w:rPr>
          <w:rFonts w:hint="eastAsia" w:ascii="Times New Roman" w:hAnsi="Times New Roman"/>
          <w:lang w:eastAsia="zh-CN"/>
        </w:rPr>
      </w:pPr>
      <w:r>
        <w:drawing>
          <wp:anchor distT="0" distB="0" distL="114300" distR="114300" simplePos="0" relativeHeight="251658240" behindDoc="1" locked="0" layoutInCell="1" allowOverlap="1">
            <wp:simplePos x="0" y="0"/>
            <wp:positionH relativeFrom="column">
              <wp:posOffset>-331470</wp:posOffset>
            </wp:positionH>
            <wp:positionV relativeFrom="paragraph">
              <wp:posOffset>19685</wp:posOffset>
            </wp:positionV>
            <wp:extent cx="6287135" cy="6189345"/>
            <wp:effectExtent l="0" t="0" r="18415" b="190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6287135" cy="6189345"/>
                    </a:xfrm>
                    <a:prstGeom prst="rect">
                      <a:avLst/>
                    </a:prstGeom>
                    <a:noFill/>
                    <a:ln w="9525">
                      <a:noFill/>
                      <a:miter/>
                    </a:ln>
                  </pic:spPr>
                </pic:pic>
              </a:graphicData>
            </a:graphic>
          </wp:anchor>
        </w:drawing>
      </w:r>
    </w:p>
    <w:p>
      <w:pPr>
        <w:pStyle w:val="2"/>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tbl>
      <w:tblPr>
        <w:tblStyle w:val="18"/>
        <w:tblW w:w="9420" w:type="dxa"/>
        <w:jc w:val="center"/>
        <w:tblInd w:w="-5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90"/>
        <w:gridCol w:w="775"/>
        <w:gridCol w:w="775"/>
        <w:gridCol w:w="2495"/>
        <w:gridCol w:w="1091"/>
        <w:gridCol w:w="775"/>
        <w:gridCol w:w="775"/>
        <w:gridCol w:w="774"/>
        <w:gridCol w:w="774"/>
        <w:gridCol w:w="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10" w:hRule="atLeast"/>
          <w:jc w:val="center"/>
        </w:trPr>
        <w:tc>
          <w:tcPr>
            <w:tcW w:w="9420" w:type="dxa"/>
            <w:gridSpan w:val="10"/>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0" w:hRule="atLeast"/>
          <w:jc w:val="center"/>
        </w:trPr>
        <w:tc>
          <w:tcPr>
            <w:tcW w:w="290" w:type="dxa"/>
            <w:shd w:val="clear" w:color="auto" w:fill="auto"/>
            <w:vAlign w:val="center"/>
          </w:tcPr>
          <w:p>
            <w:pPr>
              <w:rPr>
                <w:rFonts w:hint="eastAsia" w:ascii="宋体" w:hAnsi="宋体" w:eastAsia="宋体" w:cs="宋体"/>
                <w:i w:val="0"/>
                <w:color w:val="000000"/>
                <w:sz w:val="24"/>
                <w:szCs w:val="24"/>
                <w:u w:val="none"/>
              </w:rPr>
            </w:pPr>
          </w:p>
        </w:tc>
        <w:tc>
          <w:tcPr>
            <w:tcW w:w="775" w:type="dxa"/>
            <w:shd w:val="clear" w:color="auto" w:fill="auto"/>
            <w:vAlign w:val="center"/>
          </w:tcPr>
          <w:p>
            <w:pPr>
              <w:rPr>
                <w:rFonts w:hint="eastAsia" w:ascii="宋体" w:hAnsi="宋体" w:eastAsia="宋体" w:cs="宋体"/>
                <w:i w:val="0"/>
                <w:color w:val="000000"/>
                <w:sz w:val="24"/>
                <w:szCs w:val="24"/>
                <w:u w:val="none"/>
              </w:rPr>
            </w:pPr>
          </w:p>
        </w:tc>
        <w:tc>
          <w:tcPr>
            <w:tcW w:w="775" w:type="dxa"/>
            <w:shd w:val="clear" w:color="auto" w:fill="auto"/>
            <w:vAlign w:val="center"/>
          </w:tcPr>
          <w:p>
            <w:pPr>
              <w:rPr>
                <w:rFonts w:hint="eastAsia" w:ascii="宋体" w:hAnsi="宋体" w:eastAsia="宋体" w:cs="宋体"/>
                <w:i w:val="0"/>
                <w:color w:val="000000"/>
                <w:sz w:val="24"/>
                <w:szCs w:val="24"/>
                <w:u w:val="none"/>
              </w:rPr>
            </w:pPr>
          </w:p>
        </w:tc>
        <w:tc>
          <w:tcPr>
            <w:tcW w:w="2495" w:type="dxa"/>
            <w:shd w:val="clear" w:color="auto" w:fill="auto"/>
            <w:vAlign w:val="center"/>
          </w:tcPr>
          <w:p>
            <w:pPr>
              <w:rPr>
                <w:rFonts w:hint="eastAsia" w:ascii="宋体" w:hAnsi="宋体" w:eastAsia="宋体" w:cs="宋体"/>
                <w:i w:val="0"/>
                <w:color w:val="000000"/>
                <w:sz w:val="24"/>
                <w:szCs w:val="24"/>
                <w:u w:val="none"/>
              </w:rPr>
            </w:pPr>
          </w:p>
        </w:tc>
        <w:tc>
          <w:tcPr>
            <w:tcW w:w="1091" w:type="dxa"/>
            <w:shd w:val="clear" w:color="auto" w:fill="auto"/>
            <w:vAlign w:val="center"/>
          </w:tcPr>
          <w:p>
            <w:pPr>
              <w:rPr>
                <w:rFonts w:hint="eastAsia" w:ascii="宋体" w:hAnsi="宋体" w:eastAsia="宋体" w:cs="宋体"/>
                <w:i w:val="0"/>
                <w:color w:val="000000"/>
                <w:sz w:val="24"/>
                <w:szCs w:val="24"/>
                <w:u w:val="none"/>
              </w:rPr>
            </w:pPr>
          </w:p>
        </w:tc>
        <w:tc>
          <w:tcPr>
            <w:tcW w:w="775" w:type="dxa"/>
            <w:shd w:val="clear" w:color="auto" w:fill="auto"/>
            <w:vAlign w:val="center"/>
          </w:tcPr>
          <w:p>
            <w:pPr>
              <w:rPr>
                <w:rFonts w:hint="eastAsia" w:ascii="宋体" w:hAnsi="宋体" w:eastAsia="宋体" w:cs="宋体"/>
                <w:i w:val="0"/>
                <w:color w:val="000000"/>
                <w:sz w:val="24"/>
                <w:szCs w:val="24"/>
                <w:u w:val="none"/>
              </w:rPr>
            </w:pPr>
          </w:p>
        </w:tc>
        <w:tc>
          <w:tcPr>
            <w:tcW w:w="775" w:type="dxa"/>
            <w:shd w:val="clear" w:color="auto" w:fill="auto"/>
            <w:vAlign w:val="center"/>
          </w:tcPr>
          <w:p>
            <w:pPr>
              <w:rPr>
                <w:rFonts w:hint="eastAsia" w:ascii="宋体" w:hAnsi="宋体" w:eastAsia="宋体" w:cs="宋体"/>
                <w:i w:val="0"/>
                <w:color w:val="000000"/>
                <w:sz w:val="24"/>
                <w:szCs w:val="24"/>
                <w:u w:val="none"/>
              </w:rPr>
            </w:pPr>
          </w:p>
        </w:tc>
        <w:tc>
          <w:tcPr>
            <w:tcW w:w="774" w:type="dxa"/>
            <w:shd w:val="clear" w:color="auto" w:fill="auto"/>
            <w:vAlign w:val="center"/>
          </w:tcPr>
          <w:p>
            <w:pPr>
              <w:rPr>
                <w:rFonts w:hint="eastAsia" w:ascii="宋体" w:hAnsi="宋体" w:eastAsia="宋体" w:cs="宋体"/>
                <w:i w:val="0"/>
                <w:color w:val="000000"/>
                <w:sz w:val="24"/>
                <w:szCs w:val="24"/>
                <w:u w:val="none"/>
              </w:rPr>
            </w:pPr>
          </w:p>
        </w:tc>
        <w:tc>
          <w:tcPr>
            <w:tcW w:w="774" w:type="dxa"/>
            <w:shd w:val="clear" w:color="auto" w:fill="auto"/>
            <w:vAlign w:val="center"/>
          </w:tcPr>
          <w:p>
            <w:pPr>
              <w:rPr>
                <w:rFonts w:hint="eastAsia" w:ascii="宋体" w:hAnsi="宋体" w:eastAsia="宋体" w:cs="宋体"/>
                <w:i w:val="0"/>
                <w:color w:val="000000"/>
                <w:sz w:val="24"/>
                <w:szCs w:val="24"/>
                <w:u w:val="none"/>
              </w:rPr>
            </w:pPr>
          </w:p>
        </w:tc>
        <w:tc>
          <w:tcPr>
            <w:tcW w:w="896"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0" w:hRule="atLeast"/>
          <w:jc w:val="center"/>
        </w:trPr>
        <w:tc>
          <w:tcPr>
            <w:tcW w:w="4335"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单位名称：九寨沟县民族宗教服务中心</w:t>
            </w:r>
          </w:p>
        </w:tc>
        <w:tc>
          <w:tcPr>
            <w:tcW w:w="1091" w:type="dxa"/>
            <w:shd w:val="clear" w:color="auto" w:fill="auto"/>
            <w:vAlign w:val="bottom"/>
          </w:tcPr>
          <w:p>
            <w:pPr>
              <w:rPr>
                <w:rFonts w:hint="eastAsia" w:ascii="宋体" w:hAnsi="宋体" w:eastAsia="宋体" w:cs="宋体"/>
                <w:i w:val="0"/>
                <w:color w:val="000000"/>
                <w:sz w:val="20"/>
                <w:szCs w:val="20"/>
                <w:u w:val="none"/>
              </w:rPr>
            </w:pPr>
          </w:p>
        </w:tc>
        <w:tc>
          <w:tcPr>
            <w:tcW w:w="1550" w:type="dxa"/>
            <w:gridSpan w:val="2"/>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774" w:type="dxa"/>
            <w:shd w:val="clear" w:color="auto" w:fill="auto"/>
            <w:vAlign w:val="bottom"/>
          </w:tcPr>
          <w:p>
            <w:pPr>
              <w:rPr>
                <w:rFonts w:hint="eastAsia" w:ascii="宋体" w:hAnsi="宋体" w:eastAsia="宋体" w:cs="宋体"/>
                <w:i w:val="0"/>
                <w:color w:val="000000"/>
                <w:sz w:val="20"/>
                <w:szCs w:val="20"/>
                <w:u w:val="none"/>
              </w:rPr>
            </w:pPr>
          </w:p>
        </w:tc>
        <w:tc>
          <w:tcPr>
            <w:tcW w:w="774" w:type="dxa"/>
            <w:shd w:val="clear" w:color="auto" w:fill="auto"/>
            <w:vAlign w:val="bottom"/>
          </w:tcPr>
          <w:p>
            <w:pPr>
              <w:rPr>
                <w:rFonts w:hint="eastAsia" w:ascii="宋体" w:hAnsi="宋体" w:eastAsia="宋体" w:cs="宋体"/>
                <w:i w:val="0"/>
                <w:color w:val="000000"/>
                <w:sz w:val="20"/>
                <w:szCs w:val="20"/>
                <w:u w:val="none"/>
              </w:rPr>
            </w:pPr>
          </w:p>
        </w:tc>
        <w:tc>
          <w:tcPr>
            <w:tcW w:w="896"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2495"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091"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775"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774"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896"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7" w:hRule="atLeast"/>
          <w:jc w:val="center"/>
        </w:trPr>
        <w:tc>
          <w:tcPr>
            <w:tcW w:w="1840"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2495"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091"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5"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774"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896"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249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091"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7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7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77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77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9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29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77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77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49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20123</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民族事务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2012350</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事业运行</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1"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1"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2101102</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事业单位医疗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2101199</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其他行政事业单位医疗支出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0.59</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0.59</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2" w:hRule="atLeast"/>
          <w:jc w:val="center"/>
        </w:trPr>
        <w:tc>
          <w:tcPr>
            <w:tcW w:w="9420" w:type="dxa"/>
            <w:gridSpan w:val="10"/>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tbl>
      <w:tblPr>
        <w:tblStyle w:val="18"/>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65"/>
        <w:gridCol w:w="386"/>
        <w:gridCol w:w="1492"/>
        <w:gridCol w:w="1569"/>
        <w:gridCol w:w="386"/>
        <w:gridCol w:w="1596"/>
        <w:gridCol w:w="634"/>
        <w:gridCol w:w="644"/>
        <w:gridCol w:w="1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62" w:hRule="atLeast"/>
        </w:trPr>
        <w:tc>
          <w:tcPr>
            <w:tcW w:w="9740"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465" w:type="dxa"/>
            <w:shd w:val="clear" w:color="auto" w:fill="auto"/>
            <w:vAlign w:val="center"/>
          </w:tcPr>
          <w:p>
            <w:pPr>
              <w:rPr>
                <w:rFonts w:hint="eastAsia" w:ascii="宋体" w:hAnsi="宋体" w:eastAsia="宋体" w:cs="宋体"/>
                <w:i w:val="0"/>
                <w:color w:val="000000"/>
                <w:sz w:val="24"/>
                <w:szCs w:val="24"/>
                <w:u w:val="none"/>
              </w:rPr>
            </w:pPr>
          </w:p>
        </w:tc>
        <w:tc>
          <w:tcPr>
            <w:tcW w:w="386" w:type="dxa"/>
            <w:shd w:val="clear" w:color="auto" w:fill="auto"/>
            <w:vAlign w:val="center"/>
          </w:tcPr>
          <w:p>
            <w:pPr>
              <w:rPr>
                <w:rFonts w:hint="eastAsia" w:ascii="宋体" w:hAnsi="宋体" w:eastAsia="宋体" w:cs="宋体"/>
                <w:i w:val="0"/>
                <w:color w:val="000000"/>
                <w:sz w:val="24"/>
                <w:szCs w:val="24"/>
                <w:u w:val="none"/>
              </w:rPr>
            </w:pPr>
          </w:p>
        </w:tc>
        <w:tc>
          <w:tcPr>
            <w:tcW w:w="1492" w:type="dxa"/>
            <w:shd w:val="clear" w:color="auto" w:fill="auto"/>
            <w:vAlign w:val="center"/>
          </w:tcPr>
          <w:p>
            <w:pPr>
              <w:rPr>
                <w:rFonts w:hint="eastAsia" w:ascii="宋体" w:hAnsi="宋体" w:eastAsia="宋体" w:cs="宋体"/>
                <w:i w:val="0"/>
                <w:color w:val="000000"/>
                <w:sz w:val="24"/>
                <w:szCs w:val="24"/>
                <w:u w:val="none"/>
              </w:rPr>
            </w:pPr>
          </w:p>
        </w:tc>
        <w:tc>
          <w:tcPr>
            <w:tcW w:w="1569" w:type="dxa"/>
            <w:shd w:val="clear" w:color="auto" w:fill="auto"/>
            <w:vAlign w:val="center"/>
          </w:tcPr>
          <w:p>
            <w:pPr>
              <w:rPr>
                <w:rFonts w:hint="eastAsia" w:ascii="宋体" w:hAnsi="宋体" w:eastAsia="宋体" w:cs="宋体"/>
                <w:i w:val="0"/>
                <w:color w:val="000000"/>
                <w:sz w:val="24"/>
                <w:szCs w:val="24"/>
                <w:u w:val="none"/>
              </w:rPr>
            </w:pPr>
          </w:p>
        </w:tc>
        <w:tc>
          <w:tcPr>
            <w:tcW w:w="386" w:type="dxa"/>
            <w:shd w:val="clear" w:color="auto" w:fill="auto"/>
            <w:vAlign w:val="center"/>
          </w:tcPr>
          <w:p>
            <w:pPr>
              <w:rPr>
                <w:rFonts w:hint="eastAsia" w:ascii="宋体" w:hAnsi="宋体" w:eastAsia="宋体" w:cs="宋体"/>
                <w:i w:val="0"/>
                <w:color w:val="000000"/>
                <w:sz w:val="24"/>
                <w:szCs w:val="24"/>
                <w:u w:val="none"/>
              </w:rPr>
            </w:pPr>
          </w:p>
        </w:tc>
        <w:tc>
          <w:tcPr>
            <w:tcW w:w="1596" w:type="dxa"/>
            <w:shd w:val="clear" w:color="auto" w:fill="auto"/>
            <w:vAlign w:val="center"/>
          </w:tcPr>
          <w:p>
            <w:pPr>
              <w:rPr>
                <w:rFonts w:hint="eastAsia" w:ascii="宋体" w:hAnsi="宋体" w:eastAsia="宋体" w:cs="宋体"/>
                <w:i w:val="0"/>
                <w:color w:val="000000"/>
                <w:sz w:val="24"/>
                <w:szCs w:val="24"/>
                <w:u w:val="none"/>
              </w:rPr>
            </w:pPr>
          </w:p>
        </w:tc>
        <w:tc>
          <w:tcPr>
            <w:tcW w:w="634" w:type="dxa"/>
            <w:shd w:val="clear" w:color="auto" w:fill="auto"/>
            <w:vAlign w:val="center"/>
          </w:tcPr>
          <w:p>
            <w:pPr>
              <w:rPr>
                <w:rFonts w:hint="eastAsia" w:ascii="宋体" w:hAnsi="宋体" w:eastAsia="宋体" w:cs="宋体"/>
                <w:i w:val="0"/>
                <w:color w:val="000000"/>
                <w:sz w:val="24"/>
                <w:szCs w:val="24"/>
                <w:u w:val="none"/>
              </w:rPr>
            </w:pPr>
          </w:p>
        </w:tc>
        <w:tc>
          <w:tcPr>
            <w:tcW w:w="644" w:type="dxa"/>
            <w:shd w:val="clear" w:color="auto" w:fill="auto"/>
            <w:vAlign w:val="center"/>
          </w:tcPr>
          <w:p>
            <w:pPr>
              <w:rPr>
                <w:rFonts w:hint="eastAsia" w:ascii="宋体" w:hAnsi="宋体" w:eastAsia="宋体" w:cs="宋体"/>
                <w:i w:val="0"/>
                <w:color w:val="000000"/>
                <w:sz w:val="24"/>
                <w:szCs w:val="24"/>
                <w:u w:val="none"/>
              </w:rPr>
            </w:pPr>
          </w:p>
        </w:tc>
        <w:tc>
          <w:tcPr>
            <w:tcW w:w="1568"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3343" w:type="dxa"/>
            <w:gridSpan w:val="3"/>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单位名称：九寨沟县民族宗教服务中心</w:t>
            </w:r>
          </w:p>
        </w:tc>
        <w:tc>
          <w:tcPr>
            <w:tcW w:w="3551" w:type="dxa"/>
            <w:gridSpan w:val="3"/>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634" w:type="dxa"/>
            <w:shd w:val="clear" w:color="auto" w:fill="auto"/>
            <w:vAlign w:val="bottom"/>
          </w:tcPr>
          <w:p>
            <w:pPr>
              <w:rPr>
                <w:rFonts w:hint="eastAsia" w:ascii="宋体" w:hAnsi="宋体" w:eastAsia="宋体" w:cs="宋体"/>
                <w:i w:val="0"/>
                <w:color w:val="000000"/>
                <w:sz w:val="20"/>
                <w:szCs w:val="20"/>
                <w:u w:val="none"/>
              </w:rPr>
            </w:pPr>
          </w:p>
        </w:tc>
        <w:tc>
          <w:tcPr>
            <w:tcW w:w="644" w:type="dxa"/>
            <w:shd w:val="clear" w:color="auto" w:fill="auto"/>
            <w:vAlign w:val="bottom"/>
          </w:tcPr>
          <w:p>
            <w:pPr>
              <w:rPr>
                <w:rFonts w:hint="eastAsia" w:ascii="宋体" w:hAnsi="宋体" w:eastAsia="宋体" w:cs="宋体"/>
                <w:i w:val="0"/>
                <w:color w:val="000000"/>
                <w:sz w:val="20"/>
                <w:szCs w:val="20"/>
                <w:u w:val="none"/>
              </w:rPr>
            </w:pPr>
          </w:p>
        </w:tc>
        <w:tc>
          <w:tcPr>
            <w:tcW w:w="1568"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3" w:hRule="atLeast"/>
        </w:trPr>
        <w:tc>
          <w:tcPr>
            <w:tcW w:w="3343"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397" w:type="dxa"/>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92" w:hRule="atLeast"/>
        </w:trPr>
        <w:tc>
          <w:tcPr>
            <w:tcW w:w="146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8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49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56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8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59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63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64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56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3" w:hRule="atLeast"/>
        </w:trPr>
        <w:tc>
          <w:tcPr>
            <w:tcW w:w="146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8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149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8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1596"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3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44"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6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44.05</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6.61</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6.61</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2.91</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2.91</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44.05</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年初财政拨款结转和结余</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年末财政拨款结转和结余</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一般公共预算财政拨款</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政府性基金预算财政拨款</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1"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国有资本经营预算财政拨款</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492"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596"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63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644"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568" w:type="dxa"/>
            <w:tcBorders>
              <w:top w:val="single" w:color="808080" w:sz="4" w:space="0"/>
              <w:left w:val="single" w:color="808080" w:sz="4" w:space="0"/>
              <w:bottom w:val="single" w:color="808080" w:sz="4" w:space="0"/>
              <w:right w:val="single" w:color="80808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5" w:hRule="atLeast"/>
        </w:trPr>
        <w:tc>
          <w:tcPr>
            <w:tcW w:w="9740" w:type="dxa"/>
            <w:gridSpan w:val="9"/>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rPr>
          <w:rFonts w:hint="eastAsia" w:ascii="Times New Roman" w:hAnsi="Times New Roman"/>
          <w:lang w:eastAsia="zh-CN"/>
        </w:rPr>
      </w:pPr>
    </w:p>
    <w:p>
      <w:pPr>
        <w:pStyle w:val="2"/>
        <w:ind w:left="0" w:leftChars="0" w:firstLine="0" w:firstLineChars="0"/>
      </w:pPr>
      <w:r>
        <w:drawing>
          <wp:inline distT="0" distB="0" distL="114300" distR="114300">
            <wp:extent cx="5267960" cy="6624320"/>
            <wp:effectExtent l="0" t="0" r="889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67960" cy="6624320"/>
                    </a:xfrm>
                    <a:prstGeom prst="rect">
                      <a:avLst/>
                    </a:prstGeom>
                    <a:noFill/>
                    <a:ln w="9525">
                      <a:noFill/>
                      <a:miter/>
                    </a:ln>
                  </pic:spPr>
                </pic:pic>
              </a:graphicData>
            </a:graphic>
          </wp:inline>
        </w:drawing>
      </w:r>
      <w:r>
        <w:drawing>
          <wp:inline distT="0" distB="0" distL="114300" distR="114300">
            <wp:extent cx="5267960" cy="2952115"/>
            <wp:effectExtent l="0" t="0" r="889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67960" cy="2952115"/>
                    </a:xfrm>
                    <a:prstGeom prst="rect">
                      <a:avLst/>
                    </a:prstGeom>
                    <a:noFill/>
                    <a:ln w="9525">
                      <a:noFill/>
                      <a:miter/>
                    </a:ln>
                  </pic:spPr>
                </pic:pic>
              </a:graphicData>
            </a:graphic>
          </wp:inline>
        </w:drawing>
      </w:r>
      <w:r>
        <w:drawing>
          <wp:inline distT="0" distB="0" distL="114300" distR="114300">
            <wp:extent cx="5267960" cy="1978025"/>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67960" cy="1978025"/>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tbl>
      <w:tblPr>
        <w:tblStyle w:val="18"/>
        <w:tblW w:w="10041" w:type="dxa"/>
        <w:jc w:val="center"/>
        <w:tblInd w:w="-7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68"/>
        <w:gridCol w:w="909"/>
        <w:gridCol w:w="908"/>
        <w:gridCol w:w="3462"/>
        <w:gridCol w:w="2032"/>
        <w:gridCol w:w="1133"/>
        <w:gridCol w:w="1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5" w:hRule="atLeast"/>
          <w:jc w:val="center"/>
        </w:trPr>
        <w:tc>
          <w:tcPr>
            <w:tcW w:w="10041" w:type="dxa"/>
            <w:gridSpan w:val="7"/>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jc w:val="center"/>
        </w:trPr>
        <w:tc>
          <w:tcPr>
            <w:tcW w:w="468" w:type="dxa"/>
            <w:shd w:val="clear" w:color="auto" w:fill="auto"/>
            <w:vAlign w:val="center"/>
          </w:tcPr>
          <w:p>
            <w:pPr>
              <w:rPr>
                <w:rFonts w:hint="eastAsia" w:ascii="宋体" w:hAnsi="宋体" w:eastAsia="宋体" w:cs="宋体"/>
                <w:i w:val="0"/>
                <w:color w:val="000000"/>
                <w:sz w:val="24"/>
                <w:szCs w:val="24"/>
                <w:u w:val="none"/>
              </w:rPr>
            </w:pPr>
          </w:p>
        </w:tc>
        <w:tc>
          <w:tcPr>
            <w:tcW w:w="909" w:type="dxa"/>
            <w:shd w:val="clear" w:color="auto" w:fill="auto"/>
            <w:vAlign w:val="center"/>
          </w:tcPr>
          <w:p>
            <w:pPr>
              <w:rPr>
                <w:rFonts w:hint="eastAsia" w:ascii="宋体" w:hAnsi="宋体" w:eastAsia="宋体" w:cs="宋体"/>
                <w:i w:val="0"/>
                <w:color w:val="000000"/>
                <w:sz w:val="24"/>
                <w:szCs w:val="24"/>
                <w:u w:val="none"/>
              </w:rPr>
            </w:pPr>
          </w:p>
        </w:tc>
        <w:tc>
          <w:tcPr>
            <w:tcW w:w="908" w:type="dxa"/>
            <w:shd w:val="clear" w:color="auto" w:fill="auto"/>
            <w:vAlign w:val="center"/>
          </w:tcPr>
          <w:p>
            <w:pPr>
              <w:rPr>
                <w:rFonts w:hint="eastAsia" w:ascii="宋体" w:hAnsi="宋体" w:eastAsia="宋体" w:cs="宋体"/>
                <w:i w:val="0"/>
                <w:color w:val="000000"/>
                <w:sz w:val="24"/>
                <w:szCs w:val="24"/>
                <w:u w:val="none"/>
              </w:rPr>
            </w:pPr>
          </w:p>
        </w:tc>
        <w:tc>
          <w:tcPr>
            <w:tcW w:w="3462" w:type="dxa"/>
            <w:shd w:val="clear" w:color="auto" w:fill="auto"/>
            <w:vAlign w:val="center"/>
          </w:tcPr>
          <w:p>
            <w:pPr>
              <w:rPr>
                <w:rFonts w:hint="eastAsia" w:ascii="宋体" w:hAnsi="宋体" w:eastAsia="宋体" w:cs="宋体"/>
                <w:i w:val="0"/>
                <w:color w:val="000000"/>
                <w:sz w:val="24"/>
                <w:szCs w:val="24"/>
                <w:u w:val="none"/>
              </w:rPr>
            </w:pPr>
          </w:p>
        </w:tc>
        <w:tc>
          <w:tcPr>
            <w:tcW w:w="2032" w:type="dxa"/>
            <w:shd w:val="clear" w:color="auto" w:fill="auto"/>
            <w:vAlign w:val="center"/>
          </w:tcPr>
          <w:p>
            <w:pPr>
              <w:rPr>
                <w:rFonts w:hint="eastAsia" w:ascii="宋体" w:hAnsi="宋体" w:eastAsia="宋体" w:cs="宋体"/>
                <w:i w:val="0"/>
                <w:color w:val="000000"/>
                <w:sz w:val="24"/>
                <w:szCs w:val="24"/>
                <w:u w:val="none"/>
              </w:rPr>
            </w:pPr>
          </w:p>
        </w:tc>
        <w:tc>
          <w:tcPr>
            <w:tcW w:w="1133" w:type="dxa"/>
            <w:shd w:val="clear" w:color="auto" w:fill="auto"/>
            <w:vAlign w:val="center"/>
          </w:tcPr>
          <w:p>
            <w:pPr>
              <w:rPr>
                <w:rFonts w:hint="eastAsia" w:ascii="宋体" w:hAnsi="宋体" w:eastAsia="宋体" w:cs="宋体"/>
                <w:i w:val="0"/>
                <w:color w:val="000000"/>
                <w:sz w:val="24"/>
                <w:szCs w:val="24"/>
                <w:u w:val="none"/>
              </w:rPr>
            </w:pPr>
          </w:p>
        </w:tc>
        <w:tc>
          <w:tcPr>
            <w:tcW w:w="1129"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7" w:hRule="atLeast"/>
          <w:jc w:val="center"/>
        </w:trPr>
        <w:tc>
          <w:tcPr>
            <w:tcW w:w="5747" w:type="dxa"/>
            <w:gridSpan w:val="4"/>
            <w:tcBorders>
              <w:bottom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单位名称：九寨沟县民族宗教服务中心</w:t>
            </w:r>
          </w:p>
        </w:tc>
        <w:tc>
          <w:tcPr>
            <w:tcW w:w="2032" w:type="dxa"/>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1133" w:type="dxa"/>
            <w:tcBorders>
              <w:bottom w:val="single" w:color="000000" w:sz="4" w:space="0"/>
            </w:tcBorders>
            <w:shd w:val="clear" w:color="auto" w:fill="auto"/>
            <w:vAlign w:val="bottom"/>
          </w:tcPr>
          <w:p>
            <w:pPr>
              <w:rPr>
                <w:rFonts w:hint="eastAsia" w:ascii="宋体" w:hAnsi="宋体" w:eastAsia="宋体" w:cs="宋体"/>
                <w:i w:val="0"/>
                <w:color w:val="000000"/>
                <w:sz w:val="20"/>
                <w:szCs w:val="20"/>
                <w:u w:val="none"/>
              </w:rPr>
            </w:pPr>
          </w:p>
        </w:tc>
        <w:tc>
          <w:tcPr>
            <w:tcW w:w="1129" w:type="dxa"/>
            <w:tcBorders>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0" w:hRule="atLeast"/>
          <w:jc w:val="center"/>
        </w:trPr>
        <w:tc>
          <w:tcPr>
            <w:tcW w:w="2285"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346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03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0" w:hRule="atLeast"/>
          <w:jc w:val="center"/>
        </w:trPr>
        <w:tc>
          <w:tcPr>
            <w:tcW w:w="228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346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203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908"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46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908"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46.47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20123</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民族事务</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32.03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2012350</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事业运行</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6.61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2.91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2101102</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事业单位医疗</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2101199</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其他行政事业单位医疗支出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4.92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7" w:hRule="atLeast"/>
          <w:jc w:val="center"/>
        </w:trPr>
        <w:tc>
          <w:tcPr>
            <w:tcW w:w="2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3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8" w:hRule="atLeast"/>
          <w:jc w:val="center"/>
        </w:trPr>
        <w:tc>
          <w:tcPr>
            <w:tcW w:w="10041" w:type="dxa"/>
            <w:gridSpan w:val="7"/>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p>
      <w:pPr>
        <w:pStyle w:val="2"/>
        <w:ind w:left="0" w:leftChars="0" w:firstLine="0" w:firstLineChars="0"/>
        <w:rPr>
          <w:rFonts w:hint="eastAsia"/>
          <w:lang w:val="en-US" w:eastAsia="zh-CN"/>
        </w:rPr>
      </w:pPr>
      <w:r>
        <w:drawing>
          <wp:anchor distT="0" distB="0" distL="114300" distR="114300" simplePos="0" relativeHeight="251659264" behindDoc="1" locked="0" layoutInCell="1" allowOverlap="1">
            <wp:simplePos x="0" y="0"/>
            <wp:positionH relativeFrom="column">
              <wp:posOffset>-730250</wp:posOffset>
            </wp:positionH>
            <wp:positionV relativeFrom="paragraph">
              <wp:posOffset>-69215</wp:posOffset>
            </wp:positionV>
            <wp:extent cx="6980555" cy="2221865"/>
            <wp:effectExtent l="0" t="0" r="10795" b="698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6980555" cy="2221865"/>
                    </a:xfrm>
                    <a:prstGeom prst="rect">
                      <a:avLst/>
                    </a:prstGeom>
                    <a:noFill/>
                    <a:ln w="9525">
                      <a:noFill/>
                      <a:miter/>
                    </a:ln>
                  </pic:spPr>
                </pic:pic>
              </a:graphicData>
            </a:graphic>
          </wp:anchor>
        </w:drawing>
      </w:r>
      <w:r>
        <w:rPr>
          <w:rFonts w:hint="eastAsia"/>
          <w:lang w:val="en-US" w:eastAsia="zh-CN"/>
        </w:rPr>
        <w:t xml:space="preserve">            </w:t>
      </w: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r>
        <w:drawing>
          <wp:anchor distT="0" distB="0" distL="114300" distR="114300" simplePos="0" relativeHeight="251660288" behindDoc="1" locked="0" layoutInCell="1" allowOverlap="1">
            <wp:simplePos x="0" y="0"/>
            <wp:positionH relativeFrom="column">
              <wp:posOffset>-603885</wp:posOffset>
            </wp:positionH>
            <wp:positionV relativeFrom="paragraph">
              <wp:posOffset>255270</wp:posOffset>
            </wp:positionV>
            <wp:extent cx="6675120" cy="5081905"/>
            <wp:effectExtent l="0" t="0" r="11430" b="444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6675120" cy="5081905"/>
                    </a:xfrm>
                    <a:prstGeom prst="rect">
                      <a:avLst/>
                    </a:prstGeom>
                    <a:noFill/>
                    <a:ln w="9525">
                      <a:noFill/>
                      <a:miter/>
                    </a:ln>
                  </pic:spPr>
                </pic:pic>
              </a:graphicData>
            </a:graphic>
          </wp:anchor>
        </w:drawing>
      </w:r>
      <w:r>
        <w:rPr>
          <w:rFonts w:hint="eastAsia"/>
          <w:lang w:val="en-US" w:eastAsia="zh-CN"/>
        </w:rPr>
        <w:t xml:space="preserve">      </w:t>
      </w: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p>
    <w:p>
      <w:pPr>
        <w:pStyle w:val="2"/>
        <w:ind w:left="0" w:leftChars="0" w:firstLine="0" w:firstLineChars="0"/>
      </w:pPr>
      <w:r>
        <w:drawing>
          <wp:inline distT="0" distB="0" distL="114300" distR="114300">
            <wp:extent cx="5268595" cy="1346835"/>
            <wp:effectExtent l="0" t="0" r="8255" b="57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68595" cy="1346835"/>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68595" cy="1047750"/>
            <wp:effectExtent l="0" t="0" r="8255"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4"/>
                    <a:stretch>
                      <a:fillRect/>
                    </a:stretch>
                  </pic:blipFill>
                  <pic:spPr>
                    <a:xfrm>
                      <a:off x="0" y="0"/>
                      <a:ext cx="5268595" cy="1047750"/>
                    </a:xfrm>
                    <a:prstGeom prst="rect">
                      <a:avLst/>
                    </a:prstGeom>
                    <a:noFill/>
                    <a:ln w="9525">
                      <a:noFill/>
                      <a:miter/>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5269865" cy="1480185"/>
            <wp:effectExtent l="0" t="0" r="6985" b="571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5"/>
                    <a:stretch>
                      <a:fillRect/>
                    </a:stretch>
                  </pic:blipFill>
                  <pic:spPr>
                    <a:xfrm>
                      <a:off x="0" y="0"/>
                      <a:ext cx="5269865" cy="1480185"/>
                    </a:xfrm>
                    <a:prstGeom prst="rect">
                      <a:avLst/>
                    </a:prstGeom>
                    <a:noFill/>
                    <a:ln w="9525">
                      <a:noFill/>
                      <a:miter/>
                    </a:ln>
                  </pic:spPr>
                </pic:pic>
              </a:graphicData>
            </a:graphic>
          </wp:inline>
        </w:drawing>
      </w:r>
    </w:p>
    <w:p>
      <w:pPr>
        <w:pStyle w:val="2"/>
        <w:ind w:left="0" w:leftChars="0" w:firstLine="0" w:firstLineChars="0"/>
      </w:pPr>
    </w:p>
    <w:tbl>
      <w:tblPr>
        <w:tblW w:w="81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409"/>
        <w:gridCol w:w="1029"/>
        <w:gridCol w:w="1029"/>
        <w:gridCol w:w="1691"/>
        <w:gridCol w:w="1590"/>
        <w:gridCol w:w="1038"/>
        <w:gridCol w:w="14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80" w:hRule="atLeast"/>
        </w:trPr>
        <w:tc>
          <w:tcPr>
            <w:tcW w:w="8186" w:type="dxa"/>
            <w:gridSpan w:val="7"/>
            <w:shd w:val="cle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409" w:type="dxa"/>
            <w:shd w:val="clear"/>
            <w:vAlign w:val="center"/>
          </w:tcPr>
          <w:p>
            <w:pPr>
              <w:jc w:val="center"/>
              <w:rPr>
                <w:rFonts w:hint="eastAsia" w:ascii="宋体" w:hAnsi="宋体" w:eastAsia="宋体" w:cs="宋体"/>
                <w:i w:val="0"/>
                <w:color w:val="000000"/>
                <w:sz w:val="32"/>
                <w:szCs w:val="32"/>
                <w:u w:val="none"/>
              </w:rPr>
            </w:pPr>
          </w:p>
        </w:tc>
        <w:tc>
          <w:tcPr>
            <w:tcW w:w="1029" w:type="dxa"/>
            <w:shd w:val="clear"/>
            <w:vAlign w:val="center"/>
          </w:tcPr>
          <w:p>
            <w:pPr>
              <w:jc w:val="center"/>
              <w:rPr>
                <w:rFonts w:hint="eastAsia" w:ascii="宋体" w:hAnsi="宋体" w:eastAsia="宋体" w:cs="宋体"/>
                <w:i w:val="0"/>
                <w:color w:val="000000"/>
                <w:sz w:val="32"/>
                <w:szCs w:val="32"/>
                <w:u w:val="none"/>
              </w:rPr>
            </w:pPr>
          </w:p>
        </w:tc>
        <w:tc>
          <w:tcPr>
            <w:tcW w:w="1029" w:type="dxa"/>
            <w:shd w:val="clear"/>
            <w:vAlign w:val="center"/>
          </w:tcPr>
          <w:p>
            <w:pPr>
              <w:jc w:val="center"/>
              <w:rPr>
                <w:rFonts w:hint="eastAsia" w:ascii="宋体" w:hAnsi="宋体" w:eastAsia="宋体" w:cs="宋体"/>
                <w:i w:val="0"/>
                <w:color w:val="000000"/>
                <w:sz w:val="32"/>
                <w:szCs w:val="32"/>
                <w:u w:val="none"/>
              </w:rPr>
            </w:pPr>
          </w:p>
        </w:tc>
        <w:tc>
          <w:tcPr>
            <w:tcW w:w="1691" w:type="dxa"/>
            <w:shd w:val="clear"/>
            <w:vAlign w:val="center"/>
          </w:tcPr>
          <w:p>
            <w:pPr>
              <w:jc w:val="center"/>
              <w:rPr>
                <w:rFonts w:hint="eastAsia" w:ascii="宋体" w:hAnsi="宋体" w:eastAsia="宋体" w:cs="宋体"/>
                <w:i w:val="0"/>
                <w:color w:val="000000"/>
                <w:sz w:val="32"/>
                <w:szCs w:val="32"/>
                <w:u w:val="none"/>
              </w:rPr>
            </w:pPr>
          </w:p>
        </w:tc>
        <w:tc>
          <w:tcPr>
            <w:tcW w:w="1590" w:type="dxa"/>
            <w:shd w:val="clear"/>
            <w:vAlign w:val="center"/>
          </w:tcPr>
          <w:p>
            <w:pPr>
              <w:jc w:val="center"/>
              <w:rPr>
                <w:rFonts w:hint="eastAsia" w:ascii="宋体" w:hAnsi="宋体" w:eastAsia="宋体" w:cs="宋体"/>
                <w:i w:val="0"/>
                <w:color w:val="000000"/>
                <w:sz w:val="32"/>
                <w:szCs w:val="32"/>
                <w:u w:val="none"/>
              </w:rPr>
            </w:pPr>
          </w:p>
        </w:tc>
        <w:tc>
          <w:tcPr>
            <w:tcW w:w="1038" w:type="dxa"/>
            <w:shd w:val="clear"/>
            <w:vAlign w:val="center"/>
          </w:tcPr>
          <w:p>
            <w:pPr>
              <w:jc w:val="center"/>
              <w:rPr>
                <w:rFonts w:hint="eastAsia" w:ascii="宋体" w:hAnsi="宋体" w:eastAsia="宋体" w:cs="宋体"/>
                <w:i w:val="0"/>
                <w:color w:val="000000"/>
                <w:sz w:val="32"/>
                <w:szCs w:val="32"/>
                <w:u w:val="none"/>
              </w:rPr>
            </w:pPr>
          </w:p>
        </w:tc>
        <w:tc>
          <w:tcPr>
            <w:tcW w:w="1400" w:type="dxa"/>
            <w:shd w:val="cle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财决公开12表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58" w:type="dxa"/>
            <w:gridSpan w:val="4"/>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单位名称：九寨沟县民族宗教服务中心</w:t>
            </w:r>
          </w:p>
        </w:tc>
        <w:tc>
          <w:tcPr>
            <w:tcW w:w="1590" w:type="dxa"/>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2024年度</w:t>
            </w:r>
          </w:p>
        </w:tc>
        <w:tc>
          <w:tcPr>
            <w:tcW w:w="1038" w:type="dxa"/>
            <w:shd w:val="clear"/>
            <w:vAlign w:val="center"/>
          </w:tcPr>
          <w:p>
            <w:pPr>
              <w:rPr>
                <w:rFonts w:hint="eastAsia" w:ascii="宋体" w:hAnsi="宋体" w:eastAsia="宋体" w:cs="宋体"/>
                <w:i w:val="0"/>
                <w:color w:val="000000"/>
                <w:sz w:val="20"/>
                <w:szCs w:val="20"/>
                <w:u w:val="none"/>
              </w:rPr>
            </w:pPr>
          </w:p>
        </w:tc>
        <w:tc>
          <w:tcPr>
            <w:tcW w:w="1400" w:type="dxa"/>
            <w:shd w:val="cle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158"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4028" w:type="dxa"/>
            <w:gridSpan w:val="3"/>
            <w:tcBorders>
              <w:top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2467" w:type="dxa"/>
            <w:gridSpan w:val="3"/>
            <w:vMerge w:val="restart"/>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691"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9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38"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400" w:type="dxa"/>
            <w:vMerge w:val="restart"/>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2467" w:type="dxa"/>
            <w:gridSpan w:val="3"/>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69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59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038"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40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2467" w:type="dxa"/>
            <w:gridSpan w:val="3"/>
            <w:vMerge w:val="continue"/>
            <w:tcBorders>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691"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59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038"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c>
          <w:tcPr>
            <w:tcW w:w="1400" w:type="dxa"/>
            <w:vMerge w:val="continue"/>
            <w:tcBorders>
              <w:bottom w:val="single" w:color="000000" w:sz="4" w:space="0"/>
              <w:right w:val="single" w:color="000000" w:sz="4" w:space="0"/>
            </w:tcBorders>
            <w:shd w:val="clear" w:color="FFFFFF" w:fill="C0C0C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9" w:type="dxa"/>
            <w:tcBorders>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1029"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1029"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1691" w:type="dxa"/>
            <w:tcBorders>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此表无数据</w:t>
            </w:r>
          </w:p>
        </w:tc>
        <w:tc>
          <w:tcPr>
            <w:tcW w:w="103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8186" w:type="dxa"/>
            <w:gridSpan w:val="7"/>
            <w:shd w:val="cle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注：本表反映部门本年度国有资本经营预算财政拨款支出情况。</w:t>
            </w:r>
          </w:p>
        </w:tc>
      </w:tr>
    </w:tbl>
    <w:p>
      <w:pPr>
        <w:pStyle w:val="2"/>
        <w:ind w:left="0" w:leftChars="0" w:firstLine="0" w:firstLineChars="0"/>
        <w:rPr>
          <w:rFonts w:hint="eastAsia"/>
          <w:lang w:val="en-US" w:eastAsia="zh-CN"/>
        </w:rPr>
      </w:pPr>
    </w:p>
    <w:p>
      <w:pPr>
        <w:pStyle w:val="2"/>
        <w:ind w:left="0" w:leftChars="0" w:firstLine="0" w:firstLineChars="0"/>
        <w:rPr>
          <w:rFonts w:hint="eastAsia"/>
          <w:lang w:val="en-US" w:eastAsia="zh-CN"/>
        </w:rPr>
      </w:pPr>
      <w:r>
        <w:drawing>
          <wp:anchor distT="0" distB="0" distL="114300" distR="114300" simplePos="0" relativeHeight="251661312" behindDoc="1" locked="0" layoutInCell="1" allowOverlap="1">
            <wp:simplePos x="0" y="0"/>
            <wp:positionH relativeFrom="column">
              <wp:posOffset>-922655</wp:posOffset>
            </wp:positionH>
            <wp:positionV relativeFrom="paragraph">
              <wp:posOffset>-87630</wp:posOffset>
            </wp:positionV>
            <wp:extent cx="7269480" cy="2025650"/>
            <wp:effectExtent l="0" t="0" r="7620" b="12700"/>
            <wp:wrapTight wrapText="bothSides">
              <wp:wrapPolygon>
                <wp:start x="0" y="0"/>
                <wp:lineTo x="0" y="21329"/>
                <wp:lineTo x="21566" y="21329"/>
                <wp:lineTo x="21566" y="0"/>
                <wp:lineTo x="0" y="0"/>
              </wp:wrapPolygon>
            </wp:wrapTight>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6"/>
                    <a:stretch>
                      <a:fillRect/>
                    </a:stretch>
                  </pic:blipFill>
                  <pic:spPr>
                    <a:xfrm>
                      <a:off x="0" y="0"/>
                      <a:ext cx="7269480" cy="2025650"/>
                    </a:xfrm>
                    <a:prstGeom prst="rect">
                      <a:avLst/>
                    </a:prstGeom>
                    <a:noFill/>
                    <a:ln w="9525">
                      <a:noFill/>
                      <a:miter/>
                    </a:ln>
                  </pic:spPr>
                </pic:pic>
              </a:graphicData>
            </a:graphic>
          </wp:anchor>
        </w:drawing>
      </w:r>
    </w:p>
    <w:sectPr>
      <w:footerReference r:id="rId5" w:type="first"/>
      <w:headerReference r:id="rId3" w:type="default"/>
      <w:footerReference r:id="rId4" w:type="default"/>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w:altName w:val="Lucida Sans Unicode"/>
    <w:panose1 w:val="020B0602030504020204"/>
    <w:charset w:val="00"/>
    <w:family w:val="auto"/>
    <w:pitch w:val="default"/>
    <w:sig w:usb0="00000000" w:usb1="00000000" w:usb2="00000000" w:usb3="00000000" w:csb0="20000001" w:csb1="00000000"/>
  </w:font>
  <w:font w:name="??">
    <w:altName w:val="Segoe Print"/>
    <w:panose1 w:val="00000000000000000000"/>
    <w:charset w:val="00"/>
    <w:family w:val="modern"/>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00" w:usb3="00000000" w:csb0="0004009F" w:csb1="DFD70000"/>
  </w:font>
  <w:font w:name="??">
    <w:altName w:val="Times New Roman"/>
    <w:panose1 w:val="00000000000000000000"/>
    <w:charset w:val="00"/>
    <w:family w:val="roman"/>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
    <w:altName w:val="Times New Roman"/>
    <w:panose1 w:val="00000000000000000000"/>
    <w:charset w:val="00"/>
    <w:family w:val="swiss"/>
    <w:pitch w:val="default"/>
    <w:sig w:usb0="00000000" w:usb1="00000000" w:usb2="00000000" w:usb3="00000000" w:csb0="00000000" w:csb1="0000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decorative"/>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Arial Unicode MS">
    <w:altName w:val="宋体"/>
    <w:panose1 w:val="020B0604020202020204"/>
    <w:charset w:val="86"/>
    <w:family w:val="script"/>
    <w:pitch w:val="default"/>
    <w:sig w:usb0="00000000" w:usb1="00000000" w:usb2="0000003F" w:usb3="00000000" w:csb0="603F01FF" w:csb1="FFFF0000"/>
  </w:font>
  <w:font w:name="楷体_GB2312">
    <w:panose1 w:val="02010609030101010101"/>
    <w:charset w:val="86"/>
    <w:family w:val="swiss"/>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新宋体">
    <w:panose1 w:val="02010609030101010101"/>
    <w:charset w:val="86"/>
    <w:family w:val="auto"/>
    <w:pitch w:val="default"/>
    <w:sig w:usb0="00000003" w:usb1="288F0000" w:usb2="0000000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华文琥珀">
    <w:altName w:val="宋体"/>
    <w:panose1 w:val="02010800040101010101"/>
    <w:charset w:val="86"/>
    <w:family w:val="auto"/>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方正隶书_GBK">
    <w:altName w:val="宋体"/>
    <w:panose1 w:val="02000000000000000000"/>
    <w:charset w:val="86"/>
    <w:family w:val="auto"/>
    <w:pitch w:val="default"/>
    <w:sig w:usb0="00000000" w:usb1="00000000" w:usb2="00082016" w:usb3="00000000" w:csb0="00040001" w:csb1="00000000"/>
  </w:font>
  <w:font w:name="方正隶书简体">
    <w:altName w:val="宋体"/>
    <w:panose1 w:val="02000000000000000000"/>
    <w:charset w:val="86"/>
    <w:family w:val="auto"/>
    <w:pitch w:val="default"/>
    <w:sig w:usb0="00000000" w:usb1="00000000" w:usb2="00000012"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60665393">
    <w:nsid w:val="68F19F31"/>
    <w:multiLevelType w:val="singleLevel"/>
    <w:tmpl w:val="68F19F31"/>
    <w:lvl w:ilvl="0" w:tentative="1">
      <w:start w:val="1"/>
      <w:numFmt w:val="chineseCounting"/>
      <w:suff w:val="nothing"/>
      <w:lvlText w:val="%1、"/>
      <w:lvlJc w:val="left"/>
    </w:lvl>
  </w:abstractNum>
  <w:abstractNum w:abstractNumId="1760663170">
    <w:nsid w:val="68F19682"/>
    <w:multiLevelType w:val="singleLevel"/>
    <w:tmpl w:val="68F19682"/>
    <w:lvl w:ilvl="0" w:tentative="1">
      <w:start w:val="3"/>
      <w:numFmt w:val="decimal"/>
      <w:suff w:val="nothing"/>
      <w:lvlText w:val="%1."/>
      <w:lvlJc w:val="left"/>
    </w:lvl>
  </w:abstractNum>
  <w:abstractNum w:abstractNumId="941138074">
    <w:nsid w:val="3818A09A"/>
    <w:multiLevelType w:val="singleLevel"/>
    <w:tmpl w:val="3818A09A"/>
    <w:lvl w:ilvl="0" w:tentative="1">
      <w:start w:val="1"/>
      <w:numFmt w:val="chineseCounting"/>
      <w:suff w:val="nothing"/>
      <w:lvlText w:val="%1、"/>
      <w:lvlJc w:val="left"/>
      <w:rPr>
        <w:rFonts w:hint="eastAsia"/>
      </w:rPr>
    </w:lvl>
  </w:abstractNum>
  <w:num w:numId="1">
    <w:abstractNumId w:val="1760665393"/>
  </w:num>
  <w:num w:numId="2">
    <w:abstractNumId w:val="941138074"/>
  </w:num>
  <w:num w:numId="3">
    <w:abstractNumId w:val="17606631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34F17DA"/>
    <w:rsid w:val="0AB45A24"/>
    <w:rsid w:val="0BE23001"/>
    <w:rsid w:val="124F7EF9"/>
    <w:rsid w:val="14C1417B"/>
    <w:rsid w:val="180D755B"/>
    <w:rsid w:val="192671C2"/>
    <w:rsid w:val="1A8742E4"/>
    <w:rsid w:val="1D782665"/>
    <w:rsid w:val="209C59AC"/>
    <w:rsid w:val="20D706E1"/>
    <w:rsid w:val="231C68E0"/>
    <w:rsid w:val="28247DB0"/>
    <w:rsid w:val="28A3631B"/>
    <w:rsid w:val="29CF2327"/>
    <w:rsid w:val="2D565780"/>
    <w:rsid w:val="2F33205A"/>
    <w:rsid w:val="2F652353"/>
    <w:rsid w:val="31C12DA3"/>
    <w:rsid w:val="344459C3"/>
    <w:rsid w:val="3A194BA2"/>
    <w:rsid w:val="3EBC1998"/>
    <w:rsid w:val="3FAD4B15"/>
    <w:rsid w:val="401B2890"/>
    <w:rsid w:val="45D261DD"/>
    <w:rsid w:val="465D7E41"/>
    <w:rsid w:val="47651266"/>
    <w:rsid w:val="480C0BDA"/>
    <w:rsid w:val="4BC535CE"/>
    <w:rsid w:val="54A424E1"/>
    <w:rsid w:val="586D4479"/>
    <w:rsid w:val="58B308F6"/>
    <w:rsid w:val="5FB456F2"/>
    <w:rsid w:val="640A2D36"/>
    <w:rsid w:val="684A0D74"/>
    <w:rsid w:val="68DF55AC"/>
    <w:rsid w:val="6F756CE7"/>
    <w:rsid w:val="71076D54"/>
    <w:rsid w:val="747240A7"/>
    <w:rsid w:val="7A592442"/>
    <w:rsid w:val="7CD959BF"/>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3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3">
    <w:name w:val="footnote text"/>
    <w:basedOn w:val="1"/>
    <w:next w:val="2"/>
    <w:qFormat/>
    <w:uiPriority w:val="0"/>
    <w:pPr>
      <w:snapToGrid w:val="0"/>
      <w:jc w:val="left"/>
    </w:pPr>
    <w:rPr>
      <w:sz w:val="18"/>
      <w:szCs w:val="18"/>
    </w:rPr>
  </w:style>
  <w:style w:type="paragraph" w:styleId="14">
    <w:name w:val="toc 2"/>
    <w:basedOn w:val="1"/>
    <w:next w:val="1"/>
    <w:qFormat/>
    <w:uiPriority w:val="0"/>
    <w:pPr>
      <w:tabs>
        <w:tab w:val="right" w:leader="dot" w:pos="8296"/>
      </w:tabs>
      <w:ind w:left="20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9">
    <w:name w:val="heading 1 Char"/>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5"/>
    <w:link w:val="5"/>
    <w:qFormat/>
    <w:uiPriority w:val="0"/>
    <w:rPr>
      <w:rFonts w:ascii="Cambria" w:hAnsi="Times New Roman" w:eastAsia="宋体" w:cs="Times New Roman"/>
      <w:b/>
      <w:bCs/>
      <w:kern w:val="2"/>
      <w:sz w:val="32"/>
      <w:szCs w:val="32"/>
      <w:lang w:val="en-US" w:eastAsia="zh-CN" w:bidi="ar-SA"/>
    </w:rPr>
  </w:style>
  <w:style w:type="paragraph" w:customStyle="1" w:styleId="21">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5"/>
    <w:qFormat/>
    <w:uiPriority w:val="0"/>
    <w:rPr>
      <w:rFonts w:ascii="Times New Roman" w:hAnsi="Times New Roman"/>
      <w:sz w:val="18"/>
      <w:szCs w:val="18"/>
    </w:rPr>
  </w:style>
  <w:style w:type="character" w:customStyle="1" w:styleId="23">
    <w:name w:val="Footer Char"/>
    <w:basedOn w:val="15"/>
    <w:qFormat/>
    <w:uiPriority w:val="0"/>
    <w:rPr>
      <w:rFonts w:ascii="Times New Roman" w:hAnsi="Times New Roman"/>
      <w:sz w:val="18"/>
      <w:szCs w:val="18"/>
    </w:rPr>
  </w:style>
  <w:style w:type="character" w:customStyle="1" w:styleId="24">
    <w:name w:val="Body Text Char"/>
    <w:basedOn w:val="15"/>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0"/>
    <w:pPr>
      <w:ind w:firstLine="200" w:firstLineChars="200"/>
    </w:pPr>
  </w:style>
  <w:style w:type="paragraph" w:customStyle="1" w:styleId="27">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8">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0">
    <w:name w:val="标题 2 字符"/>
    <w:basedOn w:val="15"/>
    <w:link w:val="5"/>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0</Words>
  <Characters>6441</Characters>
  <Lines>0</Lines>
  <Paragraphs>272</Paragraphs>
  <ScaleCrop>false</ScaleCrop>
  <LinksUpToDate>false</LinksUpToDate>
  <CharactersWithSpaces>8588</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2025-10-17T01:40:00Z</cp:lastPrinted>
  <dcterms:modified xsi:type="dcterms:W3CDTF">2025-10-24T07:35:18Z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