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方正小标宋简体" w:eastAsia="方正小标宋简体" w:hAnsi="方正小标宋简体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九寨沟县城乡居民养老保险事业管理局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方正小标宋简体" w:eastAsia="方正小标宋简体" w:hAnsi="方正小标宋简体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  <w:shd w:val="clear" w:color="auto" w:fill="FFFFFF"/>
        </w:rPr>
        <w:t>2020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年部门预算编制说明</w:t>
      </w: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Times New Roman" w:hAnsi="仿宋_GB2312"/>
          <w:sz w:val="32"/>
          <w:szCs w:val="32"/>
          <w:shd w:val="clear" w:color="auto" w:fill="FFFFFF"/>
        </w:rPr>
      </w:pP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Times New Roman" w:hAnsi="仿宋_GB2312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sz w:val="32"/>
          <w:szCs w:val="32"/>
          <w:shd w:val="clear" w:color="auto" w:fill="FFFFFF"/>
        </w:rPr>
        <w:t xml:space="preserve">　</w:t>
      </w:r>
      <w:r>
        <w:rPr>
          <w:rFonts w:ascii="宋体" w:hAnsi="宋体" w:cs="宋体" w:hint="eastAsia"/>
          <w:sz w:val="40"/>
          <w:szCs w:val="40"/>
          <w:shd w:val="clear" w:color="auto" w:fill="FFFFFF"/>
        </w:rPr>
        <w:t xml:space="preserve">　</w:t>
      </w:r>
      <w:r>
        <w:rPr>
          <w:rFonts w:ascii="宋体" w:hAnsi="宋体" w:cs="宋体" w:hint="eastAsia"/>
          <w:b/>
          <w:bCs/>
          <w:sz w:val="36"/>
          <w:szCs w:val="36"/>
          <w:shd w:val="clear" w:color="auto" w:fill="FFFFFF"/>
        </w:rPr>
        <w:t>一、基本职能及主要工作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 w:hint="eastAsia"/>
          <w:sz w:val="36"/>
          <w:szCs w:val="36"/>
        </w:rPr>
        <w:t>（一）主要职能。县城乡居保局为县人力资源和社会保障局直属副科级事业机构，主要负责宣传和贯彻执行城乡居民养老保险相关政策，指导、检查乡镇开展城乡居民养老保险业务，审核、办理参保登记、缴费、待遇领取资格，申请、拨付并按时发放养老金，定期对待遇领取人员开展资格认证等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Chars="200" w:firstLine="720"/>
        <w:rPr>
          <w:rFonts w:ascii="仿宋_GB2312" w:eastAsia="Times New Roman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（二）</w:t>
      </w:r>
      <w:r>
        <w:rPr>
          <w:rFonts w:ascii="仿宋_GB2312" w:eastAsia="仿宋_GB2312" w:hAnsi="仿宋_GB2312" w:cs="仿宋_GB2312"/>
          <w:sz w:val="36"/>
          <w:szCs w:val="36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</w:rPr>
        <w:t>年重点工作完成情况。开展城乡居民养老保险政策宣传，不断提高参保率，全面完成州下达的扩面征缴任务</w:t>
      </w:r>
      <w:r>
        <w:rPr>
          <w:rFonts w:ascii="仿宋_GB2312" w:eastAsia="仿宋_GB2312" w:hAnsi="仿宋_GB2312" w:cs="仿宋_GB2312"/>
          <w:sz w:val="36"/>
          <w:szCs w:val="36"/>
        </w:rPr>
        <w:t>,</w:t>
      </w:r>
      <w:r>
        <w:rPr>
          <w:rFonts w:ascii="仿宋_GB2312" w:eastAsia="仿宋_GB2312" w:hAnsi="仿宋_GB2312" w:cs="仿宋_GB2312" w:hint="eastAsia"/>
          <w:sz w:val="36"/>
          <w:szCs w:val="36"/>
        </w:rPr>
        <w:t>参保人数达到</w:t>
      </w:r>
      <w:r>
        <w:rPr>
          <w:rFonts w:ascii="仿宋_GB2312" w:eastAsia="仿宋_GB2312" w:hAnsi="仿宋_GB2312" w:cs="仿宋_GB2312" w:hint="eastAsia"/>
          <w:sz w:val="36"/>
          <w:szCs w:val="36"/>
        </w:rPr>
        <w:t>32000</w:t>
      </w:r>
      <w:r>
        <w:rPr>
          <w:rFonts w:ascii="仿宋_GB2312" w:eastAsia="仿宋_GB2312" w:hAnsi="仿宋_GB2312" w:cs="仿宋_GB2312" w:hint="eastAsia"/>
          <w:sz w:val="36"/>
          <w:szCs w:val="36"/>
        </w:rPr>
        <w:t>人</w:t>
      </w:r>
      <w:r>
        <w:rPr>
          <w:rFonts w:ascii="仿宋_GB2312" w:eastAsia="仿宋_GB2312" w:hAnsi="仿宋_GB2312" w:cs="仿宋_GB2312"/>
          <w:sz w:val="36"/>
          <w:szCs w:val="36"/>
        </w:rPr>
        <w:t>,</w:t>
      </w:r>
      <w:r>
        <w:rPr>
          <w:rFonts w:ascii="仿宋_GB2312" w:eastAsia="仿宋_GB2312" w:hAnsi="仿宋_GB2312" w:cs="仿宋_GB2312" w:hint="eastAsia"/>
          <w:sz w:val="36"/>
          <w:szCs w:val="36"/>
        </w:rPr>
        <w:t>参保缴费人数达到</w:t>
      </w:r>
      <w:r>
        <w:rPr>
          <w:rFonts w:ascii="仿宋_GB2312" w:eastAsia="仿宋_GB2312" w:hAnsi="仿宋_GB2312" w:cs="仿宋_GB2312" w:hint="eastAsia"/>
          <w:sz w:val="36"/>
          <w:szCs w:val="36"/>
        </w:rPr>
        <w:t>24002</w:t>
      </w:r>
      <w:r>
        <w:rPr>
          <w:rFonts w:ascii="仿宋_GB2312" w:eastAsia="仿宋_GB2312" w:hAnsi="仿宋_GB2312" w:cs="仿宋_GB2312" w:hint="eastAsia"/>
          <w:sz w:val="36"/>
          <w:szCs w:val="36"/>
        </w:rPr>
        <w:t>人；待遇领取人数</w:t>
      </w:r>
      <w:r>
        <w:rPr>
          <w:rFonts w:ascii="仿宋_GB2312" w:eastAsia="仿宋_GB2312" w:hAnsi="仿宋_GB2312" w:cs="仿宋_GB2312" w:hint="eastAsia"/>
          <w:sz w:val="36"/>
          <w:szCs w:val="36"/>
        </w:rPr>
        <w:t>6814</w:t>
      </w:r>
      <w:r>
        <w:rPr>
          <w:rFonts w:ascii="仿宋_GB2312" w:eastAsia="仿宋_GB2312" w:hAnsi="仿宋_GB2312" w:cs="仿宋_GB2312" w:hint="eastAsia"/>
          <w:sz w:val="36"/>
          <w:szCs w:val="36"/>
        </w:rPr>
        <w:t>人</w:t>
      </w:r>
      <w:r>
        <w:rPr>
          <w:rFonts w:ascii="仿宋_GB2312" w:eastAsia="仿宋_GB2312" w:hAnsi="仿宋_GB2312" w:cs="仿宋_GB2312"/>
          <w:sz w:val="36"/>
          <w:szCs w:val="36"/>
        </w:rPr>
        <w:t>,</w:t>
      </w:r>
      <w:r>
        <w:rPr>
          <w:rFonts w:ascii="仿宋_GB2312" w:eastAsia="仿宋_GB2312" w:hAnsi="仿宋_GB2312" w:cs="仿宋_GB2312" w:hint="eastAsia"/>
          <w:sz w:val="36"/>
          <w:szCs w:val="36"/>
        </w:rPr>
        <w:t>完成相应的各项工作。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rPr>
          <w:rFonts w:ascii="仿宋_GB2312" w:eastAsia="Times New Roman" w:hAnsi="仿宋_GB2312"/>
          <w:b/>
          <w:bCs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sz w:val="36"/>
          <w:szCs w:val="36"/>
          <w:shd w:val="clear" w:color="auto" w:fill="FFFFFF"/>
        </w:rPr>
        <w:t>二、部门预算单位构成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93" w:line="580" w:lineRule="exact"/>
        <w:ind w:firstLine="672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我局为县人力资源和社会保障局直属副科级事业机构，核定事业编制</w:t>
      </w:r>
      <w:r>
        <w:rPr>
          <w:rFonts w:ascii="仿宋_GB2312" w:eastAsia="仿宋_GB2312" w:hAnsi="仿宋_GB2312" w:cs="仿宋_GB2312"/>
          <w:sz w:val="36"/>
          <w:szCs w:val="36"/>
        </w:rPr>
        <w:t>14</w:t>
      </w:r>
      <w:r>
        <w:rPr>
          <w:rFonts w:ascii="仿宋_GB2312" w:eastAsia="仿宋_GB2312" w:hAnsi="仿宋_GB2312" w:cs="仿宋_GB2312" w:hint="eastAsia"/>
          <w:sz w:val="36"/>
          <w:szCs w:val="36"/>
        </w:rPr>
        <w:t>名，现有工作人员</w:t>
      </w:r>
      <w:r>
        <w:rPr>
          <w:rFonts w:ascii="仿宋_GB2312" w:eastAsia="仿宋_GB2312" w:hAnsi="仿宋_GB2312" w:cs="仿宋_GB2312"/>
          <w:sz w:val="36"/>
          <w:szCs w:val="36"/>
        </w:rPr>
        <w:t>14</w:t>
      </w:r>
      <w:r>
        <w:rPr>
          <w:rFonts w:ascii="仿宋_GB2312" w:eastAsia="仿宋_GB2312" w:hAnsi="仿宋_GB2312" w:cs="仿宋_GB2312" w:hint="eastAsia"/>
          <w:sz w:val="36"/>
          <w:szCs w:val="36"/>
        </w:rPr>
        <w:t>人，无退休人员。我局内设办公室、统筹计划股、财务股、待遇审核股和稽核股；核定车辆一台，现有猎豹越野车一辆。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sz w:val="36"/>
          <w:szCs w:val="36"/>
          <w:shd w:val="clear" w:color="auto" w:fill="FFFFFF"/>
        </w:rPr>
        <w:t xml:space="preserve">　</w:t>
      </w:r>
      <w:r>
        <w:rPr>
          <w:rFonts w:ascii="宋体" w:hAnsi="宋体" w:cs="宋体" w:hint="eastAsia"/>
          <w:b/>
          <w:bCs/>
          <w:sz w:val="36"/>
          <w:szCs w:val="36"/>
          <w:shd w:val="clear" w:color="auto" w:fill="FFFFFF"/>
        </w:rPr>
        <w:t xml:space="preserve">　</w:t>
      </w:r>
      <w:r>
        <w:rPr>
          <w:rFonts w:ascii="黑体" w:eastAsia="黑体" w:hAnsi="黑体" w:cs="黑体" w:hint="eastAsia"/>
          <w:b/>
          <w:bCs/>
          <w:sz w:val="36"/>
          <w:szCs w:val="36"/>
          <w:shd w:val="clear" w:color="auto" w:fill="FFFFFF"/>
        </w:rPr>
        <w:t>三、收支预算情况说明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按照综合预算的原则，收入和支出均纳入部门预算管理。收入包括：一般公共预算拨款收入、政府性基金预算拨款收入、上年结转；支出包括：社会保障和就业支出、住房保障支出、医疗卫生和计划生育支出。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年收支总预算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850.43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（一）收入预算情况</w:t>
      </w:r>
    </w:p>
    <w:p w:rsidR="00783799" w:rsidRDefault="00C16D7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left"/>
        <w:rPr>
          <w:rFonts w:ascii="宋体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lastRenderedPageBreak/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年收入预算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850.43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万元，其中：一般公共预算拨款收入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209.29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24.6%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；</w:t>
      </w:r>
      <w:r>
        <w:rPr>
          <w:rFonts w:ascii="仿宋_GB2312" w:eastAsia="仿宋_GB2312" w:hAnsi="微软雅黑" w:cs="仿宋_GB2312" w:hint="eastAsia"/>
          <w:color w:val="333333"/>
          <w:kern w:val="0"/>
          <w:sz w:val="32"/>
          <w:szCs w:val="32"/>
          <w:shd w:val="clear" w:color="auto" w:fill="FFFFFF"/>
        </w:rPr>
        <w:t>政府性基金预算拨款收入</w:t>
      </w:r>
      <w:r>
        <w:rPr>
          <w:rFonts w:ascii="仿宋_GB2312" w:eastAsia="仿宋_GB2312" w:hAnsi="微软雅黑" w:cs="仿宋_GB2312"/>
          <w:color w:val="333333"/>
          <w:kern w:val="0"/>
          <w:sz w:val="32"/>
          <w:szCs w:val="32"/>
          <w:shd w:val="clear" w:color="auto" w:fill="FFFFFF"/>
        </w:rPr>
        <w:t>641.14</w:t>
      </w:r>
      <w:r>
        <w:rPr>
          <w:rFonts w:ascii="仿宋_GB2312" w:eastAsia="仿宋_GB2312" w:hAnsi="微软雅黑" w:cs="仿宋_GB2312" w:hint="eastAsia"/>
          <w:color w:val="333333"/>
          <w:kern w:val="0"/>
          <w:sz w:val="32"/>
          <w:szCs w:val="32"/>
          <w:shd w:val="clear" w:color="auto" w:fill="FFFFFF"/>
        </w:rPr>
        <w:t>万元，</w:t>
      </w:r>
      <w:r>
        <w:rPr>
          <w:rFonts w:ascii="仿宋_GB2312" w:eastAsia="仿宋_GB2312" w:hAnsi="微软雅黑" w:cs="仿宋_GB2312"/>
          <w:color w:val="333333"/>
          <w:kern w:val="0"/>
          <w:sz w:val="32"/>
          <w:szCs w:val="32"/>
          <w:shd w:val="clear" w:color="auto" w:fill="FFFFFF"/>
        </w:rPr>
        <w:t>75.4</w:t>
      </w:r>
      <w:r>
        <w:rPr>
          <w:rFonts w:ascii="仿宋_GB2312" w:eastAsia="仿宋_GB2312" w:hAnsi="微软雅黑" w:cs="仿宋_GB2312" w:hint="eastAsia"/>
          <w:color w:val="333333"/>
          <w:kern w:val="0"/>
          <w:sz w:val="32"/>
          <w:szCs w:val="32"/>
          <w:shd w:val="clear" w:color="auto" w:fill="FFFFFF"/>
        </w:rPr>
        <w:t>占</w:t>
      </w:r>
      <w:r>
        <w:rPr>
          <w:rFonts w:ascii="仿宋_GB2312" w:eastAsia="仿宋_GB2312" w:hAnsi="微软雅黑" w:cs="仿宋_GB2312"/>
          <w:color w:val="333333"/>
          <w:kern w:val="0"/>
          <w:sz w:val="32"/>
          <w:szCs w:val="32"/>
          <w:shd w:val="clear" w:color="auto" w:fill="FFFFFF"/>
        </w:rPr>
        <w:t>%</w:t>
      </w:r>
      <w:r>
        <w:rPr>
          <w:rFonts w:ascii="仿宋_GB2312" w:eastAsia="仿宋_GB2312" w:hAnsi="微软雅黑" w:cs="仿宋_GB2312" w:hint="eastAsia"/>
          <w:color w:val="333333"/>
          <w:kern w:val="0"/>
          <w:sz w:val="32"/>
          <w:szCs w:val="32"/>
          <w:shd w:val="clear" w:color="auto" w:fill="FFFFFF"/>
        </w:rPr>
        <w:t>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（二）支出预算情况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年支出预算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850.43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万元，其中：基本支出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177.29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20.85%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；项目支出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673.14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79.15%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 xml:space="preserve">　　四、财政拨款收支预算情况说明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45"/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年财政拨款收支总预算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850.43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万元。收入包括：本年一般公共预算拨款收入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209.29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万元，政府性基金预算拨款收入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万元。支出包括：社会保障和就业支出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181.75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万元、卫生健康支出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10.81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万元、城乡社区支出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万元、住房保障支出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16.73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万元。　　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45"/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五、一般公共预算当年拨款情况说明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（一）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年一般公共预算当年拨款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209.29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万元，比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2019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年预算数减少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58.82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万元。主要是社会保障和社会保险基金的补助与住房保障金有所减少。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（二）一般公共预算当年拨款结构情况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社会保障和就业支出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181.75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21.37%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；卫生健康支出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10.81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1.27%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；城乡社区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75.39%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；住房保障支出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16.73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1.97%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（三）一般公共预算当年拨款具体使用情况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社会保障和就业支出：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年预算数为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181.75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万元，主要用于：正常运转的基本支出，包括基本工资、津贴补贴等人员经费以及办公费、印刷费、水电费等日常公用经费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,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失业保险、养老保险和城乡居民养老保险参保缴费补助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32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万元，城乡居民养老保险“出口补助”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Chars="200" w:firstLine="720"/>
        <w:rPr>
          <w:sz w:val="36"/>
          <w:szCs w:val="36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lastRenderedPageBreak/>
        <w:t>2.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卫生健康支出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:2020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年预算数为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10.81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万元，主要用于：职工医疗保险、公务员医疗补助。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宋体"/>
          <w:sz w:val="36"/>
          <w:szCs w:val="36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3.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住房保障支出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:2020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年预算数为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16.73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万元，主要用于：职工住房保障。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六、一般公共预算基本支出</w:t>
      </w:r>
      <w:r w:rsidR="009E0AFF"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和项目支出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 xml:space="preserve">  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年一般公共预算基本支出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177.29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</w:t>
      </w:r>
      <w:r w:rsidR="009E0AFF"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项目支出32万元，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其中：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人员经费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165.44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万元，主要包括：基本工资、津贴补贴、奖金、其他社会保险缴费、绩效工资、机关事业单位基本养老保险缴费、职业年金缴费、城镇职工基本医疗保险缴费、住房公积金。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公用经费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11.85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万元，主要包括：办公费、印刷费、邮电费、取暖费、差旅费、培训费、工会经费、福利费、维修（护）费、会议费、劳务费、其他交通费、其他商品和服务支出。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城乡居民基本养老保险支出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32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万元，主要为本级财政对参保缴费人员的缴费补助和代缴一、二级残疾人员参保缴费。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七、“三公”经费财政拨款预算安排情况说明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年“三公”经费财政拨款预算数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2.73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万元，其中：因公出国（境）经费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万元，公务接待费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0.23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万元，公务用车购置及运行维护费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2.5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（一）我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局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无因公出国（境），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故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经费为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（二）公务接待费于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2019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年有所下降。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年公务接待费计划调整用于检查指导等公务活动开支的差旅费等。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（三）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年安排公务用车运行维护费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2.5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万元，用于公务活动租车等方面支出。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公务用车购置及运行维护费较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2019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年持平。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lastRenderedPageBreak/>
        <w:t xml:space="preserve">　　八、政府性基金预算支出情况说明</w:t>
      </w:r>
    </w:p>
    <w:p w:rsidR="009E0AFF" w:rsidRDefault="00C16D78" w:rsidP="009E0A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年政府性基金预算拨款安排的支出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万元，主要用于补助被征地农民支出。</w:t>
      </w:r>
    </w:p>
    <w:p w:rsidR="00783799" w:rsidRDefault="009E0AFF" w:rsidP="009E0A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hint="eastAsia"/>
          <w:sz w:val="36"/>
          <w:szCs w:val="36"/>
          <w:shd w:val="clear" w:color="auto" w:fill="FFFFFF"/>
        </w:rPr>
        <w:t xml:space="preserve">    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九</w:t>
      </w:r>
      <w:r w:rsidR="00C16D78"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、其他重要事项的情况说明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（一）机关运行经费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年，我局运行经费财政拨款预算为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150.47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万元（基本支出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177.29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万元，项目支出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673.14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万元），比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2018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年预算增加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699.96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万元，增长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465.18%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，主要是因为补助被征地农民支出增加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641.14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万元。</w:t>
      </w:r>
    </w:p>
    <w:p w:rsidR="00783799" w:rsidRDefault="009E0A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    </w:t>
      </w:r>
      <w:r w:rsidR="00C16D78"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（二）政府采购情况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年，未安排政府采购预算。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（三）国有资产占有使用情况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截至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2019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年底，我办资产原值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18.88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万元均为日常办公设备和一般公务用车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辆。单位价值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万元以上大型设备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台（套）。</w:t>
      </w:r>
    </w:p>
    <w:p w:rsidR="009E0AFF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年部门预算未安排购置车辆及单位价值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万元以上大型设备。</w:t>
      </w:r>
    </w:p>
    <w:p w:rsidR="009E0AFF" w:rsidRPr="009E0AFF" w:rsidRDefault="009E0AFF" w:rsidP="009E0A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  </w:t>
      </w:r>
      <w:r w:rsidRPr="009E0AFF"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（四）、目标绩效情况</w:t>
      </w:r>
    </w:p>
    <w:p w:rsidR="009E0AFF" w:rsidRPr="009E0AFF" w:rsidRDefault="009E0AFF" w:rsidP="009E0AFF">
      <w:pPr>
        <w:spacing w:line="58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 w:rsidRPr="009E0AFF"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绩效目标是预算编制的</w:t>
      </w:r>
      <w:r w:rsidRPr="009E0AFF">
        <w:rPr>
          <w:rFonts w:ascii="仿宋_GB2312" w:eastAsia="仿宋_GB2312" w:hAnsi="仿宋_GB2312" w:cs="仿宋_GB2312" w:hint="eastAsia"/>
          <w:sz w:val="36"/>
          <w:szCs w:val="36"/>
        </w:rPr>
        <w:t>前提和基础，按照“费随事定”的原则，</w:t>
      </w:r>
      <w:r w:rsidRPr="009E0AFF">
        <w:rPr>
          <w:rFonts w:ascii="仿宋_GB2312" w:eastAsia="仿宋_GB2312" w:hAnsi="仿宋_GB2312" w:cs="仿宋_GB2312"/>
          <w:sz w:val="36"/>
          <w:szCs w:val="36"/>
        </w:rPr>
        <w:t>2020</w:t>
      </w:r>
      <w:r w:rsidRPr="009E0AFF">
        <w:rPr>
          <w:rFonts w:ascii="仿宋_GB2312" w:eastAsia="仿宋_GB2312" w:hAnsi="仿宋_GB2312" w:cs="仿宋_GB2312" w:hint="eastAsia"/>
          <w:sz w:val="36"/>
          <w:szCs w:val="36"/>
        </w:rPr>
        <w:t>年九寨沟县城乡居保局一般公共预算当年拨款850.43万元,每项经费均进行绩效目标</w:t>
      </w:r>
      <w:r w:rsidRPr="009E0AFF">
        <w:rPr>
          <w:rFonts w:ascii="仿宋_GB2312" w:eastAsia="仿宋_GB2312" w:hAnsi="仿宋_GB2312" w:cs="仿宋_GB2312"/>
          <w:sz w:val="36"/>
          <w:szCs w:val="36"/>
        </w:rPr>
        <w:t>,</w:t>
      </w:r>
      <w:r w:rsidRPr="009E0AFF">
        <w:rPr>
          <w:rFonts w:ascii="仿宋_GB2312" w:eastAsia="仿宋_GB2312" w:hAnsi="仿宋_GB2312" w:cs="仿宋_GB2312" w:hint="eastAsia"/>
          <w:sz w:val="36"/>
          <w:szCs w:val="36"/>
        </w:rPr>
        <w:t>效果良好</w:t>
      </w:r>
      <w:r w:rsidRPr="009E0AFF">
        <w:rPr>
          <w:rFonts w:ascii="仿宋_GB2312" w:eastAsia="仿宋_GB2312" w:hAnsi="仿宋_GB2312" w:cs="仿宋_GB2312"/>
          <w:sz w:val="36"/>
          <w:szCs w:val="36"/>
        </w:rPr>
        <w:t>,</w:t>
      </w:r>
      <w:r w:rsidRPr="009E0AFF">
        <w:rPr>
          <w:rFonts w:ascii="仿宋_GB2312" w:eastAsia="仿宋_GB2312" w:hAnsi="仿宋_GB2312" w:cs="仿宋_GB2312" w:hint="eastAsia"/>
          <w:sz w:val="36"/>
          <w:szCs w:val="36"/>
        </w:rPr>
        <w:t>预算执行率和完成率等目标值平均</w:t>
      </w:r>
      <w:r w:rsidRPr="009E0AFF">
        <w:rPr>
          <w:rFonts w:ascii="仿宋_GB2312" w:eastAsia="仿宋_GB2312" w:hAnsi="仿宋_GB2312" w:cs="仿宋_GB2312"/>
          <w:sz w:val="36"/>
          <w:szCs w:val="36"/>
        </w:rPr>
        <w:t>95%</w:t>
      </w:r>
      <w:r w:rsidRPr="009E0AFF">
        <w:rPr>
          <w:rFonts w:ascii="仿宋_GB2312" w:eastAsia="仿宋_GB2312" w:hAnsi="仿宋_GB2312" w:cs="仿宋_GB2312" w:hint="eastAsia"/>
          <w:sz w:val="36"/>
          <w:szCs w:val="36"/>
        </w:rPr>
        <w:t>以上。</w:t>
      </w:r>
    </w:p>
    <w:p w:rsidR="009E0AFF" w:rsidRDefault="009E0AFF" w:rsidP="009E0AFF">
      <w:pPr>
        <w:ind w:firstLineChars="200" w:firstLine="720"/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2020年将继续深入开展城乡居民养老保险和社会保险扶贫相关政策宣传，继续开展全民参保工作。深入开展窗口单位改进作风专项行动， 严格按照基金管理内部控制暂行办法的要求开展基金征缴、待遇</w:t>
      </w:r>
      <w:r>
        <w:rPr>
          <w:rFonts w:ascii="仿宋_GB2312" w:eastAsia="仿宋_GB2312" w:hAnsi="仿宋_GB2312" w:cs="仿宋_GB2312" w:hint="eastAsia"/>
          <w:sz w:val="36"/>
          <w:szCs w:val="36"/>
        </w:rPr>
        <w:lastRenderedPageBreak/>
        <w:t>审核和拨付。按照社会保险基金预算，参保人数达到32000人,参保缴费人数达到24002人；待遇领取人数6814人,完成相应的各项工作。</w:t>
      </w:r>
      <w:bookmarkStart w:id="0" w:name="_GoBack"/>
      <w:bookmarkEnd w:id="0"/>
    </w:p>
    <w:p w:rsidR="00783799" w:rsidRDefault="009E0A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hint="eastAsia"/>
          <w:sz w:val="36"/>
          <w:szCs w:val="36"/>
          <w:shd w:val="clear" w:color="auto" w:fill="FFFFFF"/>
        </w:rPr>
        <w:t xml:space="preserve">    </w:t>
      </w:r>
      <w:r w:rsidR="00C16D78">
        <w:rPr>
          <w:rFonts w:ascii="仿宋_GB2312" w:eastAsia="仿宋_GB2312" w:hAnsi="仿宋_GB2312" w:cs="仿宋_GB2312" w:hint="eastAsia"/>
          <w:b/>
          <w:bCs/>
          <w:sz w:val="36"/>
          <w:szCs w:val="36"/>
          <w:shd w:val="clear" w:color="auto" w:fill="FFFFFF"/>
        </w:rPr>
        <w:t>十</w:t>
      </w:r>
      <w:r w:rsidR="00C16D78">
        <w:rPr>
          <w:rFonts w:ascii="仿宋_GB2312" w:eastAsia="仿宋_GB2312" w:hAnsi="仿宋_GB2312" w:cs="仿宋_GB2312" w:hint="eastAsia"/>
          <w:b/>
          <w:bCs/>
          <w:sz w:val="36"/>
          <w:szCs w:val="36"/>
          <w:shd w:val="clear" w:color="auto" w:fill="FFFFFF"/>
        </w:rPr>
        <w:t>、名词解释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社会保障和就业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2080109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（社会保险经办机构）：包含基本工资、津贴补贴、奖金、其他社会保险缴费、绩效工资、单位运转所需办公费、印刷费、邮电费、取暖费、差旅费、培训费、工会经费、福利费、其他交通费、其他商品和服务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 xml:space="preserve">2. 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社会保障和就业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2080505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机关事业单位基本养老保险缴费支出（项）：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指部门实施养老保险制度由单位缴纳的基本养老保险支出。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3.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医疗卫生与计划生育（类）事业单位医疗（款）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2101102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：指事业单位用于集中缴纳职工医疗保险支出，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2101103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：指公务员医疗补助。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 xml:space="preserve">    4. 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其他财政对社会保险基金的补助（类）财政对城乡居养老保险基金的补助（款）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2082799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：指财政对城乡居民基本养老保险的补助支出。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 xml:space="preserve"> 5.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住房保障（类）住房改革支出（款）住房公积金（项）：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2210201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指按照《住房公积金管理条例》的规定，由单位及其在职职工缴存的长期住房储金。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 xml:space="preserve">　　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6.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“三公”经费：纳入财政厅预决算管理的“三公”经费是指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;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lastRenderedPageBreak/>
        <w:t>接待费反映单位按规定开支的各类公务接待（含外宾接待）支出。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7.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机关运行经费：为保障行政单位（包含参照公务员法管理的事业单位）运行用于购买货物和服务的各项资金。包括办公及印刷费、邮电费、差旅费、会议费一般设备购置费等费用开支。</w:t>
      </w:r>
    </w:p>
    <w:p w:rsidR="00783799" w:rsidRDefault="00C16D7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435" w:lineRule="atLeast"/>
        <w:ind w:firstLine="640"/>
        <w:jc w:val="left"/>
        <w:rPr>
          <w:rFonts w:ascii="仿宋_GB2312" w:eastAsia="仿宋_GB2312" w:hAnsi="仿宋_GB2312"/>
          <w:sz w:val="36"/>
          <w:szCs w:val="36"/>
          <w:shd w:val="clear" w:color="auto" w:fill="FFFFFF"/>
        </w:rPr>
      </w:pP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8.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人员经费支出：是指直接用于公务员个人部分的支出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;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具体包括基本工资、补助工资、其他工资、</w:t>
      </w:r>
      <w:hyperlink r:id="rId7" w:history="1">
        <w:r>
          <w:rPr>
            <w:rFonts w:ascii="仿宋_GB2312" w:eastAsia="仿宋_GB2312" w:hAnsi="仿宋_GB2312" w:cs="仿宋_GB2312" w:hint="eastAsia"/>
            <w:sz w:val="36"/>
            <w:szCs w:val="36"/>
            <w:shd w:val="clear" w:color="auto" w:fill="FFFFFF"/>
          </w:rPr>
          <w:t>职工福利费</w:t>
        </w:r>
      </w:hyperlink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、</w:t>
      </w:r>
      <w:hyperlink r:id="rId8" w:history="1">
        <w:r>
          <w:rPr>
            <w:rFonts w:ascii="仿宋_GB2312" w:eastAsia="仿宋_GB2312" w:hAnsi="仿宋_GB2312" w:cs="仿宋_GB2312" w:hint="eastAsia"/>
            <w:sz w:val="36"/>
            <w:szCs w:val="36"/>
            <w:shd w:val="clear" w:color="auto" w:fill="FFFFFF"/>
          </w:rPr>
          <w:t>社会保障费</w:t>
        </w:r>
      </w:hyperlink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等。</w:t>
      </w:r>
    </w:p>
    <w:p w:rsidR="00783799" w:rsidRDefault="00C16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附件：</w:t>
      </w:r>
      <w:r>
        <w:rPr>
          <w:rFonts w:ascii="仿宋_GB2312" w:eastAsia="仿宋_GB2312" w:hAnsi="仿宋_GB2312" w:cs="仿宋_GB2312"/>
          <w:sz w:val="36"/>
          <w:szCs w:val="36"/>
          <w:shd w:val="clear" w:color="auto" w:fill="FFFFFF"/>
        </w:rPr>
        <w:t>2020</w:t>
      </w:r>
      <w:r>
        <w:rPr>
          <w:rFonts w:ascii="仿宋_GB2312" w:eastAsia="仿宋_GB2312" w:hAnsi="仿宋_GB2312" w:cs="仿宋_GB2312" w:hint="eastAsia"/>
          <w:sz w:val="36"/>
          <w:szCs w:val="36"/>
          <w:shd w:val="clear" w:color="auto" w:fill="FFFFFF"/>
        </w:rPr>
        <w:t>年部门预算公开表</w:t>
      </w: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</w:p>
    <w:p w:rsidR="00783799" w:rsidRDefault="007837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60"/>
        <w:rPr>
          <w:rFonts w:ascii="仿宋_GB2312" w:eastAsia="仿宋_GB2312" w:hAnsi="仿宋_GB2312"/>
          <w:sz w:val="36"/>
          <w:szCs w:val="36"/>
        </w:rPr>
      </w:pPr>
    </w:p>
    <w:sectPr w:rsidR="00783799" w:rsidSect="00783799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78" w:rsidRDefault="00C16D78" w:rsidP="009E0AFF">
      <w:r>
        <w:separator/>
      </w:r>
    </w:p>
  </w:endnote>
  <w:endnote w:type="continuationSeparator" w:id="1">
    <w:p w:rsidR="00C16D78" w:rsidRDefault="00C16D78" w:rsidP="009E0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78" w:rsidRDefault="00C16D78" w:rsidP="009E0AFF">
      <w:r>
        <w:separator/>
      </w:r>
    </w:p>
  </w:footnote>
  <w:footnote w:type="continuationSeparator" w:id="1">
    <w:p w:rsidR="00C16D78" w:rsidRDefault="00C16D78" w:rsidP="009E0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0"/>
  <w:drawingGridVerticalSpacing w:val="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990"/>
    <w:rsid w:val="000706A9"/>
    <w:rsid w:val="00096D2F"/>
    <w:rsid w:val="00300990"/>
    <w:rsid w:val="00303FE8"/>
    <w:rsid w:val="00397C82"/>
    <w:rsid w:val="003A55C4"/>
    <w:rsid w:val="003E6B5E"/>
    <w:rsid w:val="00742555"/>
    <w:rsid w:val="00783799"/>
    <w:rsid w:val="009E0AFF"/>
    <w:rsid w:val="009F6E6C"/>
    <w:rsid w:val="00AB62D0"/>
    <w:rsid w:val="00B8013E"/>
    <w:rsid w:val="00C16D78"/>
    <w:rsid w:val="00E92B03"/>
    <w:rsid w:val="12975D66"/>
    <w:rsid w:val="3B654046"/>
    <w:rsid w:val="4B153DEC"/>
    <w:rsid w:val="5B002A73"/>
    <w:rsid w:val="6DE37A2E"/>
    <w:rsid w:val="7780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semiHidden="0" w:unhideWhenUsed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hAnsi="Times New Roman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99"/>
    <w:qFormat/>
    <w:rsid w:val="00783799"/>
    <w:rPr>
      <w:rFonts w:ascii="仿宋_GB2312" w:hAnsi="仿宋_GB2312" w:cs="仿宋_GB2312"/>
      <w:sz w:val="30"/>
      <w:szCs w:val="30"/>
    </w:rPr>
  </w:style>
  <w:style w:type="paragraph" w:styleId="a4">
    <w:name w:val="footer"/>
    <w:basedOn w:val="a"/>
    <w:link w:val="Char10"/>
    <w:uiPriority w:val="99"/>
    <w:rsid w:val="00783799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513"/>
        <w:tab w:val="right" w:pos="9026"/>
      </w:tabs>
      <w:jc w:val="left"/>
    </w:pPr>
    <w:rPr>
      <w:sz w:val="18"/>
      <w:szCs w:val="18"/>
    </w:rPr>
  </w:style>
  <w:style w:type="paragraph" w:styleId="a5">
    <w:name w:val="header"/>
    <w:basedOn w:val="a"/>
    <w:link w:val="Char11"/>
    <w:uiPriority w:val="99"/>
    <w:qFormat/>
    <w:rsid w:val="00783799"/>
    <w:pPr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styleId="a6">
    <w:name w:val="Strong"/>
    <w:basedOn w:val="a0"/>
    <w:uiPriority w:val="99"/>
    <w:qFormat/>
    <w:rsid w:val="00783799"/>
    <w:rPr>
      <w:b/>
      <w:bCs/>
    </w:rPr>
  </w:style>
  <w:style w:type="character" w:customStyle="1" w:styleId="Char11">
    <w:name w:val="页眉 Char1"/>
    <w:basedOn w:val="a0"/>
    <w:link w:val="a5"/>
    <w:uiPriority w:val="99"/>
    <w:semiHidden/>
    <w:qFormat/>
    <w:rsid w:val="00783799"/>
    <w:rPr>
      <w:kern w:val="1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qFormat/>
    <w:rsid w:val="00783799"/>
    <w:rPr>
      <w:kern w:val="1"/>
      <w:sz w:val="18"/>
      <w:szCs w:val="18"/>
    </w:rPr>
  </w:style>
  <w:style w:type="character" w:customStyle="1" w:styleId="Char1">
    <w:name w:val="正文文本 Char1"/>
    <w:basedOn w:val="a0"/>
    <w:link w:val="a3"/>
    <w:uiPriority w:val="99"/>
    <w:semiHidden/>
    <w:qFormat/>
    <w:rsid w:val="00783799"/>
    <w:rPr>
      <w:kern w:val="1"/>
      <w:szCs w:val="21"/>
    </w:rPr>
  </w:style>
  <w:style w:type="paragraph" w:customStyle="1" w:styleId="Default">
    <w:name w:val="Default"/>
    <w:uiPriority w:val="99"/>
    <w:qFormat/>
    <w:rsid w:val="00783799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仿宋" w:eastAsia="仿宋" w:hAnsi="仿宋" w:cs="仿宋"/>
      <w:kern w:val="1"/>
      <w:sz w:val="24"/>
      <w:szCs w:val="24"/>
    </w:rPr>
  </w:style>
  <w:style w:type="character" w:customStyle="1" w:styleId="apple-converted-space">
    <w:name w:val="apple-converted-space"/>
    <w:uiPriority w:val="99"/>
    <w:qFormat/>
    <w:rsid w:val="00783799"/>
  </w:style>
  <w:style w:type="character" w:customStyle="1" w:styleId="Char">
    <w:name w:val="页眉 Char"/>
    <w:uiPriority w:val="99"/>
    <w:rsid w:val="00783799"/>
    <w:rPr>
      <w:sz w:val="18"/>
      <w:szCs w:val="18"/>
    </w:rPr>
  </w:style>
  <w:style w:type="character" w:customStyle="1" w:styleId="Char0">
    <w:name w:val="页脚 Char"/>
    <w:uiPriority w:val="99"/>
    <w:rsid w:val="00783799"/>
    <w:rPr>
      <w:sz w:val="18"/>
      <w:szCs w:val="18"/>
    </w:rPr>
  </w:style>
  <w:style w:type="character" w:customStyle="1" w:styleId="c3252title1">
    <w:name w:val="c3252_title1"/>
    <w:uiPriority w:val="99"/>
    <w:qFormat/>
    <w:rsid w:val="00783799"/>
    <w:rPr>
      <w:rFonts w:ascii="华文中宋" w:eastAsia="Times New Roman" w:hAnsi="华文中宋" w:cs="华文中宋"/>
      <w:b/>
      <w:bCs/>
      <w:sz w:val="48"/>
      <w:szCs w:val="48"/>
    </w:rPr>
  </w:style>
  <w:style w:type="character" w:customStyle="1" w:styleId="Char2">
    <w:name w:val="正文文本 Char"/>
    <w:uiPriority w:val="99"/>
    <w:qFormat/>
    <w:rsid w:val="00783799"/>
    <w:rPr>
      <w:rFonts w:ascii="仿宋_GB2312" w:eastAsia="Times New Roman" w:hAnsi="仿宋_GB2312" w:cs="仿宋_GB231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s?wd=&#231;&#164;&#190;&#228;&#188;&#154;&#228;&#191;&#157;&#233;&#154;&#156;&#232;&#180;&#185;&amp;tn=44039180_cpr&amp;fenlei=mv6quAkxTZn0IZRqIHckPjm4nH00T1dBmyndrH01uA7BPHc1PANh0ZwV5Hcvrjm3rH6sPfKWUMw85HfYnjn4nH6sgvPsT6KdThsqpZwYTjCEQLGCpyw9Uz4Bmy-bIi4WUvYETgN-TLwGUv3En1bkPW0zPHD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idu.com/s?wd=&#232;&#129;&#140;&#229;&#183;&#165;&#231;&#166;&#143;&#229;&#136;&#169;&#232;&#180;&#185;&amp;tn=44039180_cpr&amp;fenlei=mv6quAkxTZn0IZRqIHckPjm4nH00T1dBmyndrH01uA7BPHc1PANh0ZwV5Hcvrjm3rH6sPfKWUMw85HfYnjn4nH6sgvPsT6KdThsqpZwYTjCEQLGCpyw9Uz4Bmy-bIi4WUvYETgN-TLwGUv3En1bkPW0zPHD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552</Words>
  <Characters>3150</Characters>
  <Application>Microsoft Office Word</Application>
  <DocSecurity>0</DocSecurity>
  <Lines>26</Lines>
  <Paragraphs>7</Paragraphs>
  <ScaleCrop>false</ScaleCrop>
  <Company>微软中国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九寨沟县城乡居民养老保险事业管理局</dc:title>
  <dc:creator>null,null,总收发</dc:creator>
  <cp:lastModifiedBy>dell</cp:lastModifiedBy>
  <cp:revision>3</cp:revision>
  <dcterms:created xsi:type="dcterms:W3CDTF">2020-03-05T09:21:00Z</dcterms:created>
  <dcterms:modified xsi:type="dcterms:W3CDTF">2020-03-12T05:05:00Z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