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2018年</w:t>
      </w:r>
    </w:p>
    <w:bookmarkEnd w:id="0"/>
    <w:p>
      <w:pPr>
        <w:spacing w:line="600" w:lineRule="exact"/>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四川省九寨沟县残疾人康复中心</w:t>
      </w:r>
    </w:p>
    <w:p>
      <w:pPr>
        <w:widowControl/>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1"/>
        <w:ind w:left="4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1"/>
        <w:ind w:left="4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 w:name="_Toc15377196"/>
      <w:bookmarkStart w:id="2" w:name="_Toc15396599"/>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
      <w:bookmarkEnd w:id="2"/>
    </w:p>
    <w:p>
      <w:pPr>
        <w:widowControl/>
        <w:jc w:val="left"/>
        <w:rPr>
          <w:rFonts w:ascii="黑体" w:eastAsia="黑体"/>
          <w:color w:val="000000"/>
          <w:sz w:val="32"/>
          <w:szCs w:val="32"/>
        </w:rPr>
      </w:pPr>
    </w:p>
    <w:p>
      <w:pPr>
        <w:pStyle w:val="3"/>
        <w:rPr>
          <w:rStyle w:val="27"/>
          <w:rFonts w:ascii="仿宋" w:hAnsi="仿宋" w:eastAsia="仿宋"/>
          <w:b w:val="0"/>
          <w:bCs w:val="0"/>
        </w:rPr>
      </w:pPr>
      <w:bookmarkStart w:id="3" w:name="_Toc15377197"/>
      <w:bookmarkStart w:id="4"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3"/>
      <w:bookmarkEnd w:id="4"/>
    </w:p>
    <w:p>
      <w:pPr>
        <w:pStyle w:val="5"/>
        <w:adjustRightInd w:val="0"/>
        <w:snapToGrid w:val="0"/>
        <w:spacing w:before="180" w:line="600" w:lineRule="exact"/>
        <w:ind w:firstLine="666" w:firstLineChars="210"/>
        <w:rPr>
          <w:b/>
          <w:bCs/>
          <w:color w:val="000000"/>
          <w:sz w:val="32"/>
          <w:szCs w:val="32"/>
        </w:rPr>
      </w:pPr>
      <w:bookmarkStart w:id="5" w:name="_Toc15378446"/>
      <w:bookmarkStart w:id="6" w:name="_Toc15377199"/>
      <w:r>
        <w:rPr>
          <w:rFonts w:hint="eastAsia"/>
          <w:b/>
          <w:bCs/>
          <w:color w:val="000000"/>
          <w:sz w:val="32"/>
          <w:szCs w:val="32"/>
        </w:rPr>
        <w:t>（一）主要职能</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1．宣传贯彻《中华人民共和国残疾人保障法》，听取残疾人意见，反映残疾人需求，维护残疾人权益，为残疾人服务；</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2.团结、教育残疾人遵守法律，履行应尽的义务，发扬乐观进取精神，自尊、自信、自强、自立，为社会主义建设贡献力量；</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3.弘扬人道主义，宣传残疾人事业，沟通政府、社会和残疾人之间的联系，动员社会理解、尊重、关心、帮助残疾人；</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4.开展残疾人康复、教育、就业、扶贫、文化、体育、科研、用品供应、福利、社会服务、无障碍设施和残疾人预防等工作，创造良好的环境和条件，扶助残疾人平等参与社会生活；</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5.参与研究、制定和实施残疾人事业的法规、政策和计划，对有关业务领域进行指导和管理；</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6.管理和发放《中华人民共和国残疾人证》；</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7.承担九寨沟县人民政府残疾人工作委员会的日常管理工作，做好综合、组织、协调和服务；</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8.指导各乡镇人民政府、乡镇残疾人联合会的工作；</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9.负责对各类残疾人社会团体组织进行监督管理；</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10.开展我县残疾人事业的对外交流和合作；</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11.承担县政府交办的有关事项。</w:t>
      </w:r>
    </w:p>
    <w:p>
      <w:pPr>
        <w:pStyle w:val="5"/>
        <w:adjustRightInd w:val="0"/>
        <w:snapToGrid w:val="0"/>
        <w:spacing w:before="180" w:line="600" w:lineRule="exact"/>
        <w:ind w:firstLine="666"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5"/>
      <w:bookmarkEnd w:id="6"/>
    </w:p>
    <w:p>
      <w:pPr>
        <w:ind w:firstLine="634" w:firstLineChars="200"/>
        <w:rPr>
          <w:rFonts w:ascii="仿宋_GB2312" w:hAnsi="仿宋_GB2312" w:eastAsia="仿宋_GB2312" w:cs="仿宋_GB2312"/>
          <w:sz w:val="32"/>
          <w:szCs w:val="32"/>
        </w:rPr>
      </w:pPr>
      <w:bookmarkStart w:id="7" w:name="_Toc15377200"/>
      <w:bookmarkStart w:id="8" w:name="_Toc15396601"/>
      <w:r>
        <w:rPr>
          <w:rFonts w:hint="eastAsia" w:ascii="仿宋" w:hAnsi="仿宋" w:eastAsia="仿宋" w:cs="仿宋"/>
          <w:b/>
          <w:bCs/>
          <w:color w:val="000000"/>
          <w:sz w:val="32"/>
          <w:szCs w:val="32"/>
        </w:rPr>
        <w:t>1.启动了爱心助残活动。</w:t>
      </w:r>
      <w:r>
        <w:rPr>
          <w:rFonts w:hint="eastAsia" w:ascii="仿宋" w:hAnsi="仿宋" w:eastAsia="仿宋" w:cs="仿宋"/>
          <w:color w:val="000000"/>
          <w:sz w:val="32"/>
          <w:szCs w:val="32"/>
        </w:rPr>
        <w:t>2月初，结合残疾人文化进家庭五个一活动，争取政策，为全县1400余名残疾人及残疾人家属发放了旅游年卡</w:t>
      </w:r>
      <w:r>
        <w:rPr>
          <w:rFonts w:hint="eastAsia" w:ascii="仿宋_GB2312" w:hAnsi="仿宋_GB2312" w:eastAsia="仿宋_GB2312" w:cs="仿宋_GB2312"/>
          <w:sz w:val="32"/>
          <w:szCs w:val="32"/>
        </w:rPr>
        <w:t>3146张，</w:t>
      </w:r>
      <w:r>
        <w:rPr>
          <w:rFonts w:hint="eastAsia" w:ascii="仿宋" w:hAnsi="仿宋" w:eastAsia="仿宋" w:cs="仿宋"/>
          <w:color w:val="000000"/>
          <w:sz w:val="32"/>
          <w:szCs w:val="32"/>
        </w:rPr>
        <w:t>覆盖全县17个乡镇及</w:t>
      </w:r>
      <w:r>
        <w:rPr>
          <w:rFonts w:hint="eastAsia" w:ascii="仿宋_GB2312" w:hAnsi="仿宋_GB2312" w:eastAsia="仿宋_GB2312" w:cs="仿宋_GB2312"/>
          <w:sz w:val="32"/>
          <w:szCs w:val="32"/>
        </w:rPr>
        <w:t>南林局、九管局的残疾人；5月全国助残日期间，开展了“爱心助残”活动，以发放一张爱心移动卡、开展一次健康体检、开展一次爱心助残签名活动，把服务送到基层。现场为漳扎镇隆康村、勿角乡蒲南村发放爱心卡60余张、体检85人次，发放轮椅3个，拐杖3副。</w:t>
      </w:r>
    </w:p>
    <w:p>
      <w:pPr>
        <w:ind w:firstLine="634" w:firstLineChars="200"/>
        <w:rPr>
          <w:rFonts w:ascii="仿宋_GB2312" w:hAnsi="仿宋_GB2312" w:eastAsia="仿宋_GB2312" w:cs="仿宋_GB2312"/>
          <w:sz w:val="32"/>
          <w:szCs w:val="32"/>
        </w:rPr>
      </w:pPr>
      <w:r>
        <w:rPr>
          <w:rFonts w:hint="eastAsia" w:ascii="仿宋" w:hAnsi="仿宋" w:eastAsia="仿宋"/>
          <w:b/>
          <w:bCs/>
          <w:color w:val="000000"/>
          <w:sz w:val="32"/>
          <w:szCs w:val="32"/>
          <w:shd w:val="clear" w:color="auto" w:fill="FFFFFF"/>
        </w:rPr>
        <w:t>2.组织开展为残疾人“送一本书”活动</w:t>
      </w:r>
      <w:r>
        <w:rPr>
          <w:rFonts w:hint="eastAsia" w:ascii="仿宋" w:hAnsi="仿宋" w:eastAsia="仿宋"/>
          <w:color w:val="000000"/>
          <w:sz w:val="32"/>
          <w:szCs w:val="32"/>
          <w:shd w:val="clear" w:color="auto" w:fill="FFFFFF"/>
        </w:rPr>
        <w:t>。购买《人生不设限》、《你不勇敢谁替你坚强》励志书籍，发放重度贫困残疾人400名，帮助残疾人</w:t>
      </w:r>
      <w:r>
        <w:rPr>
          <w:rFonts w:hint="eastAsia" w:ascii="仿宋_GB2312" w:hAnsi="仿宋_GB2312" w:eastAsia="仿宋_GB2312" w:cs="仿宋_GB2312"/>
          <w:sz w:val="32"/>
          <w:szCs w:val="32"/>
        </w:rPr>
        <w:t>培养和树立乐观向上积极进取的思想品格。</w:t>
      </w:r>
    </w:p>
    <w:p>
      <w:pPr>
        <w:pStyle w:val="12"/>
        <w:widowControl/>
        <w:spacing w:before="0" w:beforeAutospacing="0" w:after="0" w:afterAutospacing="0" w:line="370" w:lineRule="atLeast"/>
        <w:ind w:firstLine="634"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3.开展残疾人“温暖万家行”活动。</w:t>
      </w:r>
      <w:r>
        <w:rPr>
          <w:rFonts w:hint="eastAsia" w:ascii="仿宋_GB2312" w:hAnsi="仿宋_GB2312" w:eastAsia="仿宋_GB2312" w:cs="仿宋_GB2312"/>
          <w:sz w:val="32"/>
          <w:szCs w:val="32"/>
        </w:rPr>
        <w:t>1月初，按照州残联安排，启动了为贫困残疾人送温暖活动，活动覆盖全县17个乡镇、九管局和南林局242名困难残疾群众。发放慰问金124500元，切实把县委县政府走基层送温暖活动要求落实在行动中，让残疾群众渡过一个温馨温暖的冬天。</w:t>
      </w:r>
    </w:p>
    <w:p>
      <w:pPr>
        <w:pStyle w:val="12"/>
        <w:widowControl/>
        <w:spacing w:before="0" w:beforeAutospacing="0" w:after="0" w:afterAutospacing="0" w:line="370" w:lineRule="atLeast"/>
        <w:ind w:firstLine="634"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4.强化残疾人宣传文化体育工作。</w:t>
      </w:r>
      <w:r>
        <w:rPr>
          <w:rFonts w:hint="eastAsia" w:ascii="仿宋_GB2312" w:hAnsi="仿宋_GB2312" w:eastAsia="仿宋_GB2312" w:cs="仿宋_GB2312"/>
          <w:sz w:val="32"/>
          <w:szCs w:val="32"/>
        </w:rPr>
        <w:t>5月启动了残疾人运动员筛查工作，我县推荐7名残疾人运动员，4人通过选拔进入集训和下一轮选拔。6月21日，牵头配合省残疾人艺术团承办了“励志自强  脱贫奔康”文化扶贫主题巡演活动，现场1100余名观众参与活动，将励志自强的精神在残疾人中宣扬和推广。</w:t>
      </w:r>
    </w:p>
    <w:p>
      <w:pPr>
        <w:pStyle w:val="12"/>
        <w:widowControl/>
        <w:spacing w:before="0" w:beforeAutospacing="0" w:after="0" w:afterAutospacing="0" w:line="370" w:lineRule="atLeast"/>
        <w:ind w:firstLine="634"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5.积极推进残疾人证办理和优化服务工作</w:t>
      </w:r>
      <w:r>
        <w:rPr>
          <w:rFonts w:hint="eastAsia" w:ascii="仿宋_GB2312" w:hAnsi="仿宋_GB2312" w:eastAsia="仿宋_GB2312" w:cs="仿宋_GB2312"/>
          <w:sz w:val="32"/>
          <w:szCs w:val="32"/>
        </w:rPr>
        <w:t>。今年年初，我们就在全县开展了残疾人证核查和入户走访调查工作，通过走访确保把每一位残疾人都找出来。同时，采取邀请专家到我县评残的方式，先后两次邀请绵阳三医院专家为我县精神、智力残疾人评残，评定精神智力残疾人222人，评定肢体、视力残疾人80人。目前，已办证100人。</w:t>
      </w:r>
    </w:p>
    <w:p>
      <w:pPr>
        <w:spacing w:line="52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6.积极争取资源做好残疾人灾后恢复生产工作</w:t>
      </w:r>
      <w:r>
        <w:rPr>
          <w:rFonts w:hint="eastAsia" w:ascii="仿宋_GB2312" w:hAnsi="仿宋_GB2312" w:eastAsia="仿宋_GB2312" w:cs="仿宋_GB2312"/>
          <w:sz w:val="32"/>
          <w:szCs w:val="32"/>
        </w:rPr>
        <w:t>。争取狮子会四川管委会支持，签订援助协议，落实援助资金56万余元，将惠及55名残疾人。同时，争取蜀都乳腺医院支持，在我县免费开展妇女“两癌”筛查三批次，帮助妇女同胞早发现、早诊治疾病，保护他们的身体健康。</w:t>
      </w:r>
    </w:p>
    <w:p>
      <w:pPr>
        <w:pStyle w:val="12"/>
        <w:shd w:val="clear" w:color="auto" w:fill="FFFFFF"/>
        <w:spacing w:before="0" w:beforeAutospacing="0" w:after="0" w:afterAutospacing="0" w:line="520" w:lineRule="exact"/>
        <w:ind w:firstLine="480"/>
        <w:jc w:val="both"/>
        <w:rPr>
          <w:rFonts w:ascii="仿宋_GB2312" w:hAnsi="Tahoma" w:eastAsia="仿宋_GB2312" w:cs="Tahoma"/>
          <w:color w:val="333333"/>
          <w:sz w:val="32"/>
          <w:szCs w:val="32"/>
        </w:rPr>
      </w:pPr>
      <w:r>
        <w:rPr>
          <w:rFonts w:hint="eastAsia" w:ascii="仿宋_GB2312" w:hAnsi="仿宋_GB2312" w:eastAsia="仿宋_GB2312" w:cs="仿宋_GB2312"/>
          <w:b/>
          <w:bCs/>
          <w:sz w:val="32"/>
          <w:szCs w:val="32"/>
        </w:rPr>
        <w:t xml:space="preserve">7.九寨沟县残疾人文化进家庭五个一暨文化宣传周活动。 </w:t>
      </w:r>
      <w:r>
        <w:rPr>
          <w:rFonts w:hint="eastAsia" w:ascii="仿宋_GB2312" w:hAnsi="Tahoma" w:eastAsia="仿宋_GB2312" w:cs="Tahoma"/>
          <w:color w:val="333333"/>
          <w:sz w:val="32"/>
          <w:szCs w:val="32"/>
        </w:rPr>
        <w:t>9月27日先后为400名重度残疾人发放“人生不设限”、“你不勇敢谁替你坚强”励志书400本；组织百名贫困残疾人及残疾人家属观看励志革命题材电影《信仰者》，开展轮椅滑行、掰手腕、拔河等趣味体育竞技活动，观摩现代农产品加工生产线，游览世外罗依产业园区，开展十九大精神宣讲及脱贫攻坚知识抢答赛，让残疾人在活动中寓教于乐，领会体育精神，掌握十九大精神和脱贫攻坚政策，做政策的明白人。</w:t>
      </w:r>
    </w:p>
    <w:p>
      <w:pPr>
        <w:pStyle w:val="12"/>
        <w:widowControl/>
        <w:spacing w:before="0" w:beforeAutospacing="0" w:after="0" w:afterAutospacing="0"/>
        <w:ind w:firstLine="634" w:firstLineChars="200"/>
        <w:jc w:val="both"/>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bCs/>
          <w:sz w:val="32"/>
          <w:szCs w:val="32"/>
        </w:rPr>
        <w:t>8.爱心呵护育龄妇女身体健康。</w:t>
      </w:r>
      <w:r>
        <w:rPr>
          <w:rFonts w:hint="eastAsia" w:ascii="仿宋_GB2312" w:hAnsi="仿宋_GB2312" w:eastAsia="仿宋_GB2312" w:cs="仿宋_GB2312"/>
          <w:color w:val="333333"/>
          <w:spacing w:val="8"/>
          <w:sz w:val="32"/>
          <w:szCs w:val="32"/>
          <w:shd w:val="clear" w:color="auto" w:fill="FFFFFF"/>
        </w:rPr>
        <w:t>为扎实做好残疾预防，呵护女性朋友身体健康，近期，我县与中国狮子联会四川省代表处签订协议，借助狮子会医疗资源，为我县育龄妇女免费进行“两癌”筛查。</w:t>
      </w:r>
      <w:r>
        <w:rPr>
          <w:rFonts w:hint="eastAsia" w:ascii="仿宋_GB2312" w:hAnsi="仿宋_GB2312" w:eastAsia="仿宋_GB2312" w:cs="仿宋_GB2312"/>
          <w:color w:val="333333"/>
          <w:sz w:val="32"/>
          <w:szCs w:val="32"/>
          <w:shd w:val="clear" w:color="auto" w:fill="FFFFFF"/>
        </w:rPr>
        <w:t>2018年5月21日至6月29日，成都市蜀都乳腺专科医院专家来到我县，会同我县妇计中心在全县范围内开展“免费育龄妇女‘三查’、两癌初筛及巡回义诊活动。”</w:t>
      </w:r>
    </w:p>
    <w:p>
      <w:pPr>
        <w:ind w:firstLine="640"/>
        <w:rPr>
          <w:rFonts w:ascii="仿宋" w:hAnsi="仿宋" w:eastAsia="仿宋" w:cs="仿宋"/>
          <w:sz w:val="32"/>
          <w:szCs w:val="32"/>
        </w:rPr>
      </w:pPr>
      <w:r>
        <w:rPr>
          <w:rFonts w:hint="eastAsia" w:ascii="仿宋_GB2312" w:hAnsi="仿宋_GB2312" w:eastAsia="仿宋_GB2312" w:cs="仿宋_GB2312"/>
          <w:b/>
          <w:bCs/>
          <w:sz w:val="32"/>
          <w:szCs w:val="32"/>
        </w:rPr>
        <w:t>9.开展残疾人刺绣技能培训。</w:t>
      </w:r>
      <w:r>
        <w:rPr>
          <w:rFonts w:hint="eastAsia" w:ascii="仿宋_GB2312" w:eastAsia="仿宋_GB2312"/>
          <w:color w:val="000000"/>
          <w:sz w:val="32"/>
          <w:szCs w:val="32"/>
        </w:rPr>
        <w:t>为认真贯彻落实习总书记提出的“全面建成小康社会，残疾人一个也不能少”的要求，提升残疾人发展能力和致富增收能力，帮助贫困残疾人结合实际创业就业增收，</w:t>
      </w:r>
      <w:r>
        <w:rPr>
          <w:rFonts w:hint="eastAsia" w:ascii="仿宋" w:hAnsi="仿宋" w:eastAsia="仿宋" w:cs="仿宋"/>
          <w:sz w:val="32"/>
          <w:szCs w:val="32"/>
        </w:rPr>
        <w:t>8月28日，九寨沟县残疾人技能培训班开班仪式在县残疾人康复中心举行，将对20余名残疾人进行为期20天的刺绣技能培训。</w:t>
      </w:r>
    </w:p>
    <w:p>
      <w:pPr>
        <w:ind w:firstLine="64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bCs/>
          <w:color w:val="191919"/>
          <w:sz w:val="32"/>
          <w:szCs w:val="32"/>
          <w:shd w:val="clear" w:color="auto" w:fill="FFFFFF"/>
        </w:rPr>
        <w:t>10.高原光明行。</w:t>
      </w:r>
      <w:r>
        <w:rPr>
          <w:rFonts w:hint="eastAsia" w:ascii="仿宋_GB2312" w:hAnsi="仿宋_GB2312" w:eastAsia="仿宋_GB2312" w:cs="仿宋_GB2312"/>
          <w:color w:val="191919"/>
          <w:sz w:val="32"/>
          <w:szCs w:val="32"/>
          <w:shd w:val="clear" w:color="auto" w:fill="FFFFFF"/>
        </w:rPr>
        <w:t>9月7日，在九寨沟县人民医院眼科门诊，一场为白内障患者送光明的公益救助行动正在进行，来自全县</w:t>
      </w:r>
      <w:r>
        <w:rPr>
          <w:rFonts w:hint="eastAsia" w:ascii="仿宋_GB2312" w:hAnsi="仿宋_GB2312" w:eastAsia="仿宋_GB2312" w:cs="仿宋_GB2312"/>
          <w:sz w:val="32"/>
          <w:szCs w:val="32"/>
          <w:shd w:val="clear" w:color="auto" w:fill="FFFFFF"/>
        </w:rPr>
        <w:t>260</w:t>
      </w:r>
      <w:r>
        <w:rPr>
          <w:rFonts w:hint="eastAsia" w:ascii="仿宋_GB2312" w:hAnsi="仿宋_GB2312" w:eastAsia="仿宋_GB2312" w:cs="仿宋_GB2312"/>
          <w:color w:val="191919"/>
          <w:sz w:val="32"/>
          <w:szCs w:val="32"/>
          <w:shd w:val="clear" w:color="auto" w:fill="FFFFFF"/>
        </w:rPr>
        <w:t>名疑似白内障患者接受检查。此次“高原光明行-九寨沟白内障公益救助行动”由九寨沟县残联联合九寨沟县卫计局、中国狮子联会、爱尔眼科-四川医疗服务队共同发起组织。</w:t>
      </w:r>
    </w:p>
    <w:p>
      <w:pPr>
        <w:pStyle w:val="3"/>
        <w:rPr>
          <w:rStyle w:val="27"/>
          <w:b w:val="0"/>
          <w:bCs w:val="0"/>
        </w:rPr>
      </w:pPr>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7"/>
      <w:bookmarkEnd w:id="8"/>
    </w:p>
    <w:p>
      <w:pPr>
        <w:pStyle w:val="5"/>
        <w:adjustRightInd w:val="0"/>
        <w:snapToGrid w:val="0"/>
        <w:spacing w:before="180" w:line="600" w:lineRule="exact"/>
        <w:ind w:firstLine="666" w:firstLineChars="210"/>
        <w:rPr>
          <w:color w:val="000000"/>
          <w:sz w:val="32"/>
          <w:szCs w:val="32"/>
        </w:rPr>
      </w:pPr>
      <w:r>
        <w:rPr>
          <w:rFonts w:hint="eastAsia"/>
          <w:color w:val="000000"/>
          <w:sz w:val="32"/>
          <w:szCs w:val="32"/>
        </w:rPr>
        <w:t>九寨沟县残疾人康复中心为残联下属事业单位，内设办公室、康复治疗室、辅助器具验配发放室、社区康复指导室4个，人员编制10个，实际在岗8个。</w:t>
      </w:r>
    </w:p>
    <w:p>
      <w:pPr>
        <w:pStyle w:val="5"/>
        <w:adjustRightInd w:val="0"/>
        <w:snapToGrid w:val="0"/>
        <w:spacing w:before="180" w:line="600" w:lineRule="exact"/>
        <w:ind w:firstLine="666" w:firstLineChars="210"/>
        <w:rPr>
          <w:color w:val="000000"/>
          <w:sz w:val="32"/>
          <w:szCs w:val="32"/>
        </w:rPr>
      </w:pPr>
    </w:p>
    <w:p>
      <w:pPr>
        <w:pStyle w:val="2"/>
        <w:ind w:right="440" w:firstLine="634" w:firstLineChars="200"/>
        <w:jc w:val="both"/>
        <w:rPr>
          <w:sz w:val="32"/>
          <w:szCs w:val="32"/>
        </w:rPr>
      </w:pPr>
      <w:bookmarkStart w:id="9" w:name="_Toc15377204"/>
      <w:bookmarkStart w:id="10" w:name="_Toc15396602"/>
      <w:r>
        <w:rPr>
          <w:rFonts w:hint="eastAsia" w:ascii="黑体" w:hAnsi="黑体" w:eastAsia="黑体"/>
          <w:b w:val="0"/>
          <w:color w:val="000000"/>
          <w:sz w:val="32"/>
          <w:szCs w:val="32"/>
        </w:rPr>
        <w:t>第二部分</w:t>
      </w:r>
      <w:r>
        <w:rPr>
          <w:rFonts w:hint="eastAsia" w:ascii="黑体" w:hAnsi="黑体" w:eastAsia="黑体"/>
          <w:color w:val="000000"/>
          <w:sz w:val="32"/>
          <w:szCs w:val="32"/>
        </w:rPr>
        <w:t xml:space="preserve"> </w:t>
      </w:r>
      <w:r>
        <w:rPr>
          <w:rStyle w:val="26"/>
          <w:rFonts w:hint="eastAsia" w:ascii="黑体" w:hAnsi="黑体" w:eastAsia="黑体"/>
          <w:b w:val="0"/>
          <w:bCs w:val="0"/>
          <w:sz w:val="32"/>
          <w:szCs w:val="32"/>
        </w:rPr>
        <w:t>2018年度部门决算情况说明</w:t>
      </w:r>
      <w:bookmarkEnd w:id="9"/>
      <w:bookmarkEnd w:id="10"/>
      <w:bookmarkStart w:id="60" w:name="_GoBack"/>
      <w:bookmarkEnd w:id="60"/>
    </w:p>
    <w:p>
      <w:pPr>
        <w:pStyle w:val="25"/>
        <w:numPr>
          <w:ilvl w:val="0"/>
          <w:numId w:val="1"/>
        </w:numPr>
        <w:spacing w:line="600" w:lineRule="exact"/>
        <w:ind w:firstLineChars="0"/>
        <w:outlineLvl w:val="1"/>
        <w:rPr>
          <w:rStyle w:val="27"/>
          <w:rFonts w:ascii="黑体" w:hAnsi="黑体" w:eastAsia="黑体"/>
          <w:b w:val="0"/>
        </w:rPr>
      </w:pPr>
      <w:bookmarkStart w:id="11" w:name="_Toc15396603"/>
      <w:bookmarkStart w:id="12"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11"/>
      <w:bookmarkEnd w:id="12"/>
    </w:p>
    <w:p>
      <w:pPr>
        <w:spacing w:line="600" w:lineRule="exact"/>
        <w:ind w:firstLine="634" w:firstLineChars="200"/>
        <w:rPr>
          <w:rFonts w:ascii="仿宋" w:hAnsi="仿宋" w:eastAsia="仿宋"/>
          <w:color w:val="000000"/>
          <w:sz w:val="32"/>
          <w:szCs w:val="32"/>
        </w:rPr>
      </w:pPr>
      <w:r>
        <w:rPr>
          <w:rFonts w:hint="eastAsia" w:ascii="仿宋" w:hAnsi="仿宋" w:eastAsia="仿宋"/>
          <w:color w:val="000000"/>
          <w:sz w:val="32"/>
          <w:szCs w:val="32"/>
        </w:rPr>
        <w:t>2018年度收、支总计51.58万元。</w:t>
      </w:r>
      <w:bookmarkStart w:id="13" w:name="_Toc15377206"/>
      <w:bookmarkStart w:id="14" w:name="_Toc15396604"/>
    </w:p>
    <w:p>
      <w:pPr>
        <w:spacing w:line="600" w:lineRule="exact"/>
        <w:ind w:firstLine="634" w:firstLineChars="200"/>
        <w:rPr>
          <w:rStyle w:val="27"/>
          <w:rFonts w:ascii="黑体" w:hAnsi="黑体" w:eastAsia="黑体"/>
          <w:b w:val="0"/>
        </w:rPr>
      </w:pPr>
      <w:r>
        <w:rPr>
          <w:rFonts w:hint="eastAsia" w:ascii="黑体" w:hAnsi="黑体" w:eastAsia="黑体"/>
          <w:color w:val="000000"/>
          <w:sz w:val="32"/>
          <w:szCs w:val="32"/>
        </w:rPr>
        <w:t>收</w:t>
      </w:r>
      <w:r>
        <w:rPr>
          <w:rStyle w:val="27"/>
          <w:rFonts w:hint="eastAsia" w:ascii="黑体" w:hAnsi="黑体" w:eastAsia="黑体"/>
          <w:b w:val="0"/>
        </w:rPr>
        <w:t>入决算情况说明</w:t>
      </w:r>
      <w:bookmarkEnd w:id="13"/>
      <w:bookmarkEnd w:id="14"/>
    </w:p>
    <w:p>
      <w:pPr>
        <w:spacing w:line="600" w:lineRule="exact"/>
        <w:ind w:firstLine="634"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8年本年收入合计51.58万元，其中：一般公共预算财政拨款收入51.58万元</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w:t>
      </w:r>
    </w:p>
    <w:p>
      <w:pPr>
        <w:pStyle w:val="25"/>
        <w:numPr>
          <w:ilvl w:val="0"/>
          <w:numId w:val="1"/>
        </w:numPr>
        <w:spacing w:line="600" w:lineRule="exact"/>
        <w:ind w:firstLineChars="0"/>
        <w:outlineLvl w:val="1"/>
        <w:rPr>
          <w:rStyle w:val="27"/>
          <w:rFonts w:ascii="黑体" w:hAnsi="黑体" w:eastAsia="黑体"/>
          <w:b w:val="0"/>
        </w:rPr>
      </w:pPr>
      <w:bookmarkStart w:id="15" w:name="_Toc15396605"/>
      <w:bookmarkStart w:id="16"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15"/>
      <w:bookmarkEnd w:id="16"/>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8年本年支出合计51.58万元，其中：基本支出51.58万元。</w:t>
      </w:r>
    </w:p>
    <w:p>
      <w:pPr>
        <w:spacing w:line="600" w:lineRule="exact"/>
        <w:ind w:firstLine="634" w:firstLineChars="200"/>
        <w:outlineLvl w:val="1"/>
        <w:rPr>
          <w:rStyle w:val="27"/>
          <w:rFonts w:ascii="黑体" w:hAnsi="黑体" w:eastAsia="黑体"/>
          <w:b w:val="0"/>
        </w:rPr>
      </w:pPr>
      <w:bookmarkStart w:id="17" w:name="_Toc15377208"/>
      <w:bookmarkStart w:id="18"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17"/>
      <w:bookmarkEnd w:id="18"/>
    </w:p>
    <w:p>
      <w:pPr>
        <w:spacing w:line="600" w:lineRule="exact"/>
        <w:ind w:firstLine="634"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8年财政拨款收、支总计51.58万元。</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（除国有资本经营预算外，数据来源于财决</w:t>
      </w:r>
      <w:r>
        <w:rPr>
          <w:rFonts w:ascii="仿宋" w:hAnsi="仿宋" w:eastAsia="仿宋"/>
          <w:b/>
          <w:color w:val="000000" w:themeColor="text1"/>
          <w:sz w:val="32"/>
          <w:szCs w:val="32"/>
        </w:rPr>
        <w:t>Z01-1</w:t>
      </w:r>
      <w:r>
        <w:rPr>
          <w:rFonts w:hint="eastAsia" w:ascii="仿宋" w:hAnsi="仿宋" w:eastAsia="仿宋"/>
          <w:b/>
          <w:color w:val="000000" w:themeColor="text1"/>
          <w:sz w:val="32"/>
          <w:szCs w:val="32"/>
        </w:rPr>
        <w:t>表，口径为“总计”数+国有资本经营预算。）</w:t>
      </w:r>
    </w:p>
    <w:p>
      <w:pPr>
        <w:spacing w:line="600" w:lineRule="exact"/>
        <w:ind w:firstLine="640"/>
        <w:rPr>
          <w:rFonts w:ascii="仿宋" w:hAnsi="仿宋" w:eastAsia="仿宋"/>
          <w:b/>
          <w:color w:val="00B050"/>
          <w:sz w:val="32"/>
          <w:szCs w:val="32"/>
        </w:rPr>
      </w:pPr>
    </w:p>
    <w:p>
      <w:pPr>
        <w:spacing w:line="600" w:lineRule="exact"/>
        <w:ind w:firstLine="634" w:firstLineChars="200"/>
        <w:outlineLvl w:val="1"/>
        <w:rPr>
          <w:rStyle w:val="27"/>
          <w:rFonts w:ascii="黑体" w:hAnsi="黑体" w:eastAsia="黑体"/>
          <w:b w:val="0"/>
        </w:rPr>
      </w:pPr>
      <w:bookmarkStart w:id="19" w:name="_Toc15377209"/>
      <w:bookmarkStart w:id="20"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19"/>
      <w:bookmarkEnd w:id="20"/>
    </w:p>
    <w:p>
      <w:pPr>
        <w:spacing w:line="600" w:lineRule="exact"/>
        <w:ind w:firstLine="634" w:firstLineChars="200"/>
        <w:outlineLvl w:val="2"/>
        <w:rPr>
          <w:rFonts w:ascii="仿宋" w:hAnsi="仿宋" w:eastAsia="仿宋"/>
          <w:b/>
          <w:color w:val="000000"/>
          <w:sz w:val="32"/>
          <w:szCs w:val="32"/>
        </w:rPr>
      </w:pPr>
      <w:bookmarkStart w:id="21" w:name="_Toc15377210"/>
      <w:r>
        <w:rPr>
          <w:rFonts w:hint="eastAsia" w:ascii="仿宋" w:hAnsi="仿宋" w:eastAsia="仿宋"/>
          <w:b/>
          <w:color w:val="000000"/>
          <w:sz w:val="32"/>
          <w:szCs w:val="32"/>
        </w:rPr>
        <w:t>（一）一般公共预算财政拨款支出决算总体情况</w:t>
      </w:r>
      <w:bookmarkEnd w:id="21"/>
    </w:p>
    <w:p>
      <w:pPr>
        <w:spacing w:line="600" w:lineRule="exact"/>
        <w:ind w:firstLine="634"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8年一般公共预算财政拨款支出51.58万元。</w:t>
      </w:r>
    </w:p>
    <w:p>
      <w:pPr>
        <w:spacing w:line="600" w:lineRule="exact"/>
        <w:ind w:firstLine="634" w:firstLineChars="200"/>
        <w:outlineLvl w:val="2"/>
        <w:rPr>
          <w:rFonts w:ascii="仿宋" w:hAnsi="仿宋" w:eastAsia="仿宋"/>
          <w:b/>
          <w:color w:val="000000"/>
          <w:sz w:val="32"/>
          <w:szCs w:val="32"/>
        </w:rPr>
      </w:pPr>
      <w:bookmarkStart w:id="22" w:name="_Toc15377211"/>
      <w:r>
        <w:rPr>
          <w:rFonts w:hint="eastAsia" w:ascii="仿宋" w:hAnsi="仿宋" w:eastAsia="仿宋"/>
          <w:b/>
          <w:color w:val="000000"/>
          <w:sz w:val="32"/>
          <w:szCs w:val="32"/>
        </w:rPr>
        <w:t>（二）一般公共预算财政拨款支出决算结构情况</w:t>
      </w:r>
      <w:bookmarkEnd w:id="2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rPr>
        <w:t>51.58</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支出44.32万元，占85.92</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；医疗卫生支出0.60万元，占1.16</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；住房保障支出6.67万元，占12.93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34" w:firstLineChars="200"/>
        <w:outlineLvl w:val="2"/>
        <w:rPr>
          <w:rFonts w:ascii="仿宋" w:hAnsi="仿宋" w:eastAsia="仿宋"/>
          <w:b/>
          <w:color w:val="000000"/>
          <w:sz w:val="32"/>
          <w:szCs w:val="32"/>
        </w:rPr>
      </w:pPr>
      <w:bookmarkStart w:id="23" w:name="_Toc15377212"/>
      <w:r>
        <w:rPr>
          <w:rFonts w:hint="eastAsia" w:ascii="仿宋" w:hAnsi="仿宋" w:eastAsia="仿宋"/>
          <w:b/>
          <w:color w:val="000000"/>
          <w:sz w:val="32"/>
          <w:szCs w:val="32"/>
        </w:rPr>
        <w:t>（三）一般公共预算财政拨款支出决算具体情况</w:t>
      </w:r>
      <w:bookmarkEnd w:id="23"/>
    </w:p>
    <w:p>
      <w:pPr>
        <w:spacing w:line="600" w:lineRule="exact"/>
        <w:ind w:firstLine="634" w:firstLineChars="200"/>
        <w:outlineLvl w:val="2"/>
        <w:rPr>
          <w:rFonts w:ascii="仿宋" w:hAnsi="仿宋" w:eastAsia="仿宋"/>
          <w:color w:val="FF0000"/>
          <w:sz w:val="32"/>
          <w:szCs w:val="32"/>
        </w:rPr>
      </w:pPr>
      <w:bookmarkStart w:id="24" w:name="_Toc15377213"/>
      <w:bookmarkStart w:id="25" w:name="_Toc15377444"/>
      <w:bookmarkStart w:id="26" w:name="_Toc15378460"/>
      <w:r>
        <w:rPr>
          <w:rFonts w:hint="eastAsia" w:ascii="仿宋" w:hAnsi="仿宋" w:eastAsia="仿宋"/>
          <w:b/>
          <w:color w:val="000000" w:themeColor="text1"/>
          <w:sz w:val="32"/>
          <w:szCs w:val="32"/>
        </w:rPr>
        <w:t>2018年一般公共预算支出决算数为</w:t>
      </w:r>
      <w:r>
        <w:rPr>
          <w:rFonts w:hint="eastAsia" w:ascii="仿宋" w:hAnsi="仿宋" w:eastAsia="仿宋"/>
          <w:color w:val="000000"/>
          <w:sz w:val="32"/>
          <w:szCs w:val="32"/>
        </w:rPr>
        <w:t>51.58万元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24"/>
      <w:bookmarkEnd w:id="25"/>
      <w:bookmarkEnd w:id="26"/>
    </w:p>
    <w:p>
      <w:pPr>
        <w:spacing w:line="600" w:lineRule="exact"/>
        <w:ind w:firstLine="634" w:firstLineChars="200"/>
        <w:rPr>
          <w:rFonts w:ascii="仿宋" w:hAnsi="仿宋" w:eastAsia="仿宋"/>
          <w:b/>
          <w:color w:val="000000"/>
          <w:sz w:val="32"/>
          <w:szCs w:val="32"/>
        </w:rPr>
      </w:pPr>
      <w:r>
        <w:rPr>
          <w:rStyle w:val="15"/>
          <w:rFonts w:hint="eastAsia" w:ascii="仿宋" w:hAnsi="仿宋" w:eastAsia="仿宋"/>
          <w:bCs/>
          <w:color w:val="000000"/>
          <w:sz w:val="32"/>
          <w:szCs w:val="32"/>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Fonts w:hint="eastAsia" w:ascii="仿宋_GB2312" w:eastAsia="仿宋_GB2312"/>
          <w:color w:val="000000"/>
          <w:sz w:val="32"/>
          <w:szCs w:val="32"/>
        </w:rPr>
        <w:t>208</w:t>
      </w:r>
      <w:r>
        <w:rPr>
          <w:rStyle w:val="15"/>
          <w:rFonts w:hint="eastAsia" w:ascii="仿宋" w:hAnsi="仿宋" w:eastAsia="仿宋"/>
          <w:bCs/>
          <w:color w:val="000000"/>
          <w:sz w:val="32"/>
          <w:szCs w:val="32"/>
        </w:rPr>
        <w:t>（类）残疾人事业11（款）</w:t>
      </w:r>
      <w:r>
        <w:rPr>
          <w:rStyle w:val="15"/>
          <w:rFonts w:hint="eastAsia" w:ascii="仿宋" w:hAnsi="仿宋" w:eastAsia="仿宋"/>
          <w:b w:val="0"/>
          <w:bCs/>
          <w:color w:val="000000"/>
          <w:sz w:val="32"/>
          <w:szCs w:val="32"/>
        </w:rPr>
        <w:t>其他残</w:t>
      </w:r>
      <w:r>
        <w:rPr>
          <w:rStyle w:val="15"/>
          <w:rFonts w:hint="eastAsia" w:ascii="仿宋" w:hAnsi="仿宋" w:eastAsia="仿宋"/>
          <w:bCs/>
          <w:color w:val="000000"/>
          <w:sz w:val="32"/>
          <w:szCs w:val="32"/>
        </w:rPr>
        <w:t>疾人事业支出</w:t>
      </w:r>
      <w:r>
        <w:rPr>
          <w:rStyle w:val="15"/>
          <w:rFonts w:hint="eastAsia" w:ascii="仿宋" w:hAnsi="仿宋" w:eastAsia="仿宋"/>
          <w:b w:val="0"/>
          <w:bCs/>
          <w:color w:val="000000"/>
          <w:sz w:val="32"/>
          <w:szCs w:val="32"/>
        </w:rPr>
        <w:t>99</w:t>
      </w:r>
      <w:r>
        <w:rPr>
          <w:rStyle w:val="15"/>
          <w:rFonts w:hint="eastAsia" w:ascii="仿宋" w:hAnsi="仿宋" w:eastAsia="仿宋"/>
          <w:bCs/>
          <w:color w:val="000000"/>
          <w:sz w:val="32"/>
          <w:szCs w:val="32"/>
        </w:rPr>
        <w:t>（项）</w:t>
      </w:r>
      <w:r>
        <w:rPr>
          <w:rStyle w:val="15"/>
          <w:rFonts w:hint="eastAsia" w:ascii="仿宋" w:hAnsi="仿宋" w:eastAsia="仿宋"/>
          <w:b w:val="0"/>
          <w:bCs/>
          <w:color w:val="000000"/>
          <w:sz w:val="32"/>
          <w:szCs w:val="32"/>
        </w:rPr>
        <w:t>支出决算为44.32万元。</w:t>
      </w:r>
    </w:p>
    <w:p>
      <w:pPr>
        <w:spacing w:line="600" w:lineRule="exact"/>
        <w:ind w:firstLine="634" w:firstLineChars="200"/>
        <w:rPr>
          <w:rFonts w:ascii="仿宋" w:hAnsi="仿宋" w:eastAsia="仿宋"/>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医疗卫生与计划生育210（类）行政事业单位医疗11（款）  其他行政事业单位医疗支出99（项）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支出决算为0.6万元，完成预算100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 xml:space="preserve">， </w:t>
      </w:r>
    </w:p>
    <w:p>
      <w:pPr>
        <w:spacing w:line="600" w:lineRule="exact"/>
        <w:ind w:firstLine="634" w:firstLineChars="200"/>
        <w:rPr>
          <w:rFonts w:ascii="仿宋" w:hAnsi="仿宋" w:eastAsia="仿宋"/>
          <w:color w:val="000000"/>
          <w:sz w:val="32"/>
          <w:szCs w:val="32"/>
        </w:rPr>
      </w:pPr>
      <w:r>
        <w:rPr>
          <w:rFonts w:hint="eastAsia" w:ascii="仿宋" w:hAnsi="仿宋" w:eastAsia="仿宋"/>
          <w:color w:val="000000"/>
          <w:sz w:val="32"/>
          <w:szCs w:val="32"/>
        </w:rPr>
        <w:t>3.</w:t>
      </w:r>
      <w:r>
        <w:rPr>
          <w:rStyle w:val="15"/>
          <w:rFonts w:hint="eastAsia" w:ascii="仿宋" w:hAnsi="仿宋" w:eastAsia="仿宋"/>
          <w:bCs/>
          <w:color w:val="000000"/>
          <w:sz w:val="32"/>
          <w:szCs w:val="32"/>
        </w:rPr>
        <w:t xml:space="preserve"> 住房保障支出221（类）住房改革支出02（款）  住房公积金01（项）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支出决算为6.67万元，完成预算100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27" w:name="_Toc15377214"/>
      <w:bookmarkStart w:id="2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27"/>
      <w:bookmarkEnd w:id="28"/>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8年一般公共预算财政拨款基本支出51.58万元，其中：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51.08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0.50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（数据来源财决</w:t>
      </w:r>
      <w:r>
        <w:rPr>
          <w:rFonts w:ascii="仿宋" w:hAnsi="仿宋" w:eastAsia="仿宋"/>
          <w:b/>
          <w:color w:val="000000" w:themeColor="text1"/>
          <w:sz w:val="32"/>
          <w:szCs w:val="32"/>
        </w:rPr>
        <w:t>0</w:t>
      </w:r>
      <w:r>
        <w:rPr>
          <w:rFonts w:hint="eastAsia" w:ascii="仿宋" w:hAnsi="仿宋" w:eastAsia="仿宋"/>
          <w:b/>
          <w:color w:val="000000" w:themeColor="text1"/>
          <w:sz w:val="32"/>
          <w:szCs w:val="32"/>
        </w:rPr>
        <w:t>7表，根据本部门实际支出情况罗列全部经济分类科目。）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7"/>
          <w:rFonts w:ascii="黑体" w:hAnsi="黑体" w:eastAsia="黑体"/>
          <w:b w:val="0"/>
        </w:rPr>
      </w:pPr>
      <w:bookmarkStart w:id="29" w:name="_Toc15377215"/>
      <w:bookmarkStart w:id="30"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29"/>
      <w:bookmarkEnd w:id="30"/>
    </w:p>
    <w:p>
      <w:pPr>
        <w:spacing w:line="600" w:lineRule="exact"/>
        <w:ind w:firstLine="640"/>
        <w:outlineLvl w:val="2"/>
        <w:rPr>
          <w:rFonts w:ascii="仿宋" w:hAnsi="仿宋" w:eastAsia="仿宋"/>
          <w:b/>
          <w:color w:val="000000"/>
          <w:sz w:val="32"/>
          <w:szCs w:val="32"/>
        </w:rPr>
      </w:pPr>
      <w:bookmarkStart w:id="31" w:name="_Toc15377216"/>
      <w:r>
        <w:rPr>
          <w:rFonts w:hint="eastAsia" w:ascii="仿宋" w:hAnsi="仿宋" w:eastAsia="仿宋"/>
          <w:b/>
          <w:color w:val="000000"/>
          <w:sz w:val="32"/>
          <w:szCs w:val="32"/>
        </w:rPr>
        <w:t>（一）“三公”经费财政拨款支出决算总体情况说明</w:t>
      </w:r>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8年“三公”经费财政拨款支出决算为0万元。</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rPr>
        <w:t>算数，包括政府性基金支出决算情况。）</w:t>
      </w:r>
    </w:p>
    <w:p>
      <w:pPr>
        <w:spacing w:line="600" w:lineRule="exact"/>
        <w:ind w:firstLine="640"/>
        <w:outlineLvl w:val="2"/>
        <w:rPr>
          <w:rFonts w:ascii="仿宋" w:hAnsi="仿宋" w:eastAsia="仿宋"/>
          <w:b/>
          <w:color w:val="000000"/>
          <w:sz w:val="32"/>
          <w:szCs w:val="32"/>
        </w:rPr>
      </w:pPr>
      <w:bookmarkStart w:id="32" w:name="_Toc15377217"/>
      <w:r>
        <w:rPr>
          <w:rFonts w:hint="eastAsia" w:ascii="仿宋" w:hAnsi="仿宋" w:eastAsia="仿宋"/>
          <w:b/>
          <w:color w:val="000000"/>
          <w:sz w:val="32"/>
          <w:szCs w:val="32"/>
        </w:rPr>
        <w:t>（二）“三公”经费财政拨款支出决算具体情况说明</w:t>
      </w:r>
      <w:bookmarkEnd w:id="3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8年“三公”经费财政拨款支出决算中，因公出国（境）费支出决算0万元；公务用车购置及运行维护费支出决算0万元；公务接待费支出决算0万元。具体情况如下：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0。</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7年减少0万元，下降0</w:t>
      </w:r>
      <w:r>
        <w:rPr>
          <w:rFonts w:ascii="仿宋_GB2312" w:eastAsia="仿宋_GB2312"/>
          <w:color w:val="000000"/>
          <w:sz w:val="32"/>
          <w:szCs w:val="32"/>
        </w:rPr>
        <w:t>%</w:t>
      </w:r>
      <w:r>
        <w:rPr>
          <w:rFonts w:hint="eastAsia" w:ascii="仿宋_GB2312" w:eastAsia="仿宋_GB2312"/>
          <w:color w:val="000000"/>
          <w:sz w:val="32"/>
          <w:szCs w:val="32"/>
        </w:rPr>
        <w:t>。主要原因是严格控制公务用车费用。</w:t>
      </w:r>
    </w:p>
    <w:p>
      <w:pPr>
        <w:spacing w:line="600" w:lineRule="exact"/>
        <w:ind w:firstLine="634"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w:t>
      </w:r>
      <w:r>
        <w:rPr>
          <w:rFonts w:hint="eastAsia" w:ascii="瀹嬩綋" w:hAnsi="宋体" w:eastAsia="瀹嬩綋" w:cs="宋体"/>
          <w:color w:val="4E4342"/>
          <w:kern w:val="0"/>
          <w:sz w:val="32"/>
          <w:szCs w:val="32"/>
        </w:rPr>
        <w:t>多功能乘用</w:t>
      </w:r>
      <w:r>
        <w:rPr>
          <w:rFonts w:hint="eastAsia" w:ascii="仿宋_GB2312" w:eastAsia="仿宋_GB2312"/>
          <w:color w:val="000000"/>
          <w:sz w:val="32"/>
          <w:szCs w:val="32"/>
        </w:rPr>
        <w:t>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w:t>
      </w:r>
      <w:r>
        <w:rPr>
          <w:rFonts w:hint="eastAsia" w:ascii="瀹嬩綋" w:hAnsi="宋体" w:eastAsia="瀹嬩綋" w:cs="宋体"/>
          <w:color w:val="4E4342"/>
          <w:kern w:val="0"/>
          <w:sz w:val="32"/>
          <w:szCs w:val="32"/>
        </w:rPr>
        <w:t>主要保障脱贫攻坚、下乡走访慰问残疾人，检查扶持残疾人发展生产、无障碍改造、危房改造、开展量服工作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7年减少0.04万元，下降100</w:t>
      </w:r>
      <w:r>
        <w:rPr>
          <w:rFonts w:ascii="仿宋_GB2312" w:eastAsia="仿宋_GB2312"/>
          <w:color w:val="000000"/>
          <w:sz w:val="32"/>
          <w:szCs w:val="32"/>
        </w:rPr>
        <w:t>%</w:t>
      </w:r>
      <w:r>
        <w:rPr>
          <w:rFonts w:hint="eastAsia" w:ascii="仿宋_GB2312" w:eastAsia="仿宋_GB2312"/>
          <w:color w:val="000000"/>
          <w:sz w:val="32"/>
          <w:szCs w:val="32"/>
        </w:rPr>
        <w:t>。主要原因是严格控制接待费。</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主要用于执行公务、开展业务活动开支的交通费、住宿费、用餐费等。国内公务接待0批次，0人次（不包括陪同人员），共计支出0万元，具体内容包括：…（接待具体项目、金额）。其中：</w:t>
      </w:r>
    </w:p>
    <w:p>
      <w:pPr>
        <w:spacing w:line="600" w:lineRule="exact"/>
        <w:ind w:firstLine="634"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7"/>
          <w:rFonts w:ascii="黑体" w:hAnsi="黑体" w:eastAsia="黑体"/>
        </w:rPr>
      </w:pPr>
      <w:bookmarkStart w:id="33" w:name="_Toc15396610"/>
      <w:bookmarkStart w:id="34"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33"/>
      <w:bookmarkEnd w:id="3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2"/>
        </w:numPr>
        <w:spacing w:line="600" w:lineRule="exact"/>
        <w:ind w:firstLine="640"/>
        <w:outlineLvl w:val="1"/>
        <w:rPr>
          <w:rStyle w:val="27"/>
          <w:rFonts w:ascii="黑体" w:hAnsi="黑体" w:eastAsia="黑体"/>
          <w:b w:val="0"/>
        </w:rPr>
      </w:pPr>
      <w:bookmarkStart w:id="35" w:name="_Toc15377219"/>
      <w:bookmarkStart w:id="36" w:name="_Toc15396611"/>
      <w:r>
        <w:rPr>
          <w:rStyle w:val="27"/>
          <w:rFonts w:hint="eastAsia" w:ascii="黑体" w:hAnsi="黑体" w:eastAsia="黑体"/>
          <w:b w:val="0"/>
        </w:rPr>
        <w:t>国有资本经营预算支出决算情况说明</w:t>
      </w:r>
      <w:bookmarkEnd w:id="35"/>
      <w:bookmarkEnd w:id="3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3"/>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4"/>
        </w:numPr>
        <w:spacing w:line="580" w:lineRule="exact"/>
        <w:ind w:firstLine="634"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残疾人事业发展项目开展了预算事前绩效评估，对残疾人事业发展项目编制了绩效目标，预算执行过程中，对残疾人事业发展项目开展绩效监控，年终执行完毕后，对项目开展了绩效目标完成情况梳理填报。</w:t>
      </w:r>
    </w:p>
    <w:p>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本部门按要求对2018年部门整体支出开展绩效自评，从评价情况来看对预期目标能按期完成，达到了绩效目标要求。</w:t>
      </w:r>
    </w:p>
    <w:p>
      <w:pPr>
        <w:pStyle w:val="12"/>
        <w:spacing w:before="0" w:beforeAutospacing="0" w:after="0" w:afterAutospacing="0" w:line="560" w:lineRule="atLeast"/>
        <w:ind w:firstLine="634" w:firstLineChars="200"/>
        <w:rPr>
          <w:rFonts w:ascii="仿宋" w:hAnsi="仿宋" w:eastAsia="仿宋" w:cs="黑体"/>
          <w:bCs/>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 w:hAnsi="仿宋" w:eastAsia="仿宋" w:cs="楷体"/>
          <w:b/>
          <w:sz w:val="32"/>
          <w:szCs w:val="32"/>
        </w:rPr>
        <w:t>（一）</w:t>
      </w:r>
      <w:r>
        <w:rPr>
          <w:rFonts w:hint="eastAsia" w:ascii="仿宋" w:hAnsi="仿宋" w:eastAsia="仿宋" w:cs="Calibri"/>
          <w:b/>
          <w:sz w:val="32"/>
          <w:szCs w:val="32"/>
        </w:rPr>
        <w:t>精准扶贫工作取得新进展。</w:t>
      </w:r>
      <w:r>
        <w:rPr>
          <w:rFonts w:hint="eastAsia" w:ascii="仿宋" w:hAnsi="仿宋" w:eastAsia="仿宋" w:cs="仿宋_GB2312"/>
          <w:sz w:val="32"/>
          <w:szCs w:val="32"/>
        </w:rPr>
        <w:t>瞄准脱贫摘帽目标，实施辅具全覆盖、“助残奔康”行动，为有需求的残疾人发放辅具73件次，为全县324名建档立卡贫困残疾人发放贫困生活补贴370860元。实施困难残疾人家庭临时救助，发放临时困难补助20人26000元，切实解决贫困残疾人在产业发展、大病救助以及生活中存在的困难。承办“励志自强 脱贫奔康”文化扶贫主题巡演活动，1200余名群众及残疾人现场观演，接受励志感恩教育。</w:t>
      </w:r>
    </w:p>
    <w:p>
      <w:pPr>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（二）精准康复服务有了新起色。</w:t>
      </w:r>
      <w:r>
        <w:rPr>
          <w:rFonts w:hint="eastAsia" w:ascii="仿宋" w:hAnsi="仿宋" w:eastAsia="仿宋" w:cs="仿宋_GB2312"/>
          <w:sz w:val="32"/>
          <w:szCs w:val="32"/>
        </w:rPr>
        <w:t>围绕实现残疾人“人人享有康复服务”这一目标任务，积极争取省州各项康复项目，扎实做好各项康复工作任务。2018年组织8名脑瘫儿童在康复机构接受康复治疗（其中1名儿童到八一康复中心康复训，1名儿童在圆梦公益康复机构做康复治疗，康复补助27000元）；救助1名残疾人适配矫形鞋；协调狮子会医务资源为28名视力障碍者实施白内障复明手术，发放老光镜36副；为20名持证精神智力残疾人发放服药补助37080元。优化办证服务。针对精神、智力残疾人不方便出行的问题，先后两次邀请绵阳三医院专家到我县开展上门评残工作，评定精神智力残疾人130人，同时组织县医院为疑似肢体、视力残疾500余人进行残疾鉴定。</w:t>
      </w:r>
    </w:p>
    <w:p>
      <w:pPr>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（三）精准阳光助学圆了“读书梦”。</w:t>
      </w:r>
      <w:r>
        <w:rPr>
          <w:rFonts w:hint="eastAsia" w:ascii="仿宋" w:hAnsi="仿宋" w:eastAsia="仿宋" w:cs="仿宋_GB2312"/>
          <w:sz w:val="32"/>
          <w:szCs w:val="32"/>
        </w:rPr>
        <w:t>为切实保障残疾人受教育的权利，解决贫困残疾家庭子女和残疾大学生上学难的问题，我们实施阳光助学工程，通过摸底调查，函电教育局组织师资力量送教上门，为残疾学生发放补助等，确保每一位有需求的残疾人都能享受教育权利。2017年为89名在校残疾学生发放生活补助和学费补助147150元，园了残疾学生读书梦。</w:t>
      </w:r>
    </w:p>
    <w:p>
      <w:pPr>
        <w:widowControl/>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（四）精准就业帮扶提升获得感。</w:t>
      </w:r>
      <w:r>
        <w:rPr>
          <w:rFonts w:hint="eastAsia" w:ascii="仿宋" w:hAnsi="仿宋" w:eastAsia="仿宋" w:cs="仿宋_GB2312"/>
          <w:sz w:val="32"/>
          <w:szCs w:val="32"/>
        </w:rPr>
        <w:t>结合残疾人自身特点和市场需求，举办残疾人技能技术培训班，制定扶持残疾人发展生产的系列措施，倡导和鼓励残疾人自主创业，2018年共帮助100名残疾人发展生产，发放补助200000元。帮助400名残疾人居家灵活就业，发放居家灵活就业补助资金238500元。联合人社局、农业、科技等相关单位送技术上门，举办刺绣培训、种养殖业培训等，培训残疾人238人次。让每位残疾人均等享受劳动就业创业的获得感。</w:t>
      </w:r>
    </w:p>
    <w:p>
      <w:pPr>
        <w:widowControl/>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（五）精准救助工程搭建连心桥。</w:t>
      </w:r>
      <w:r>
        <w:rPr>
          <w:rFonts w:hint="eastAsia" w:ascii="仿宋" w:hAnsi="仿宋" w:eastAsia="仿宋" w:cs="仿宋_GB2312"/>
          <w:sz w:val="32"/>
          <w:szCs w:val="32"/>
        </w:rPr>
        <w:t>利用春节、元旦、五一、助残日等，开展“温暖万家行”活动，走访残疾人190人，发放慰问金68900元；“全国助残日”看望了方舟孤儿院的残障儿童，送去慰问金1000元；借助社会力量，在残疾人中发起倡导“牵手一起走”志愿服务、助残公益活动，引导残疾人自强不息、互帮互助，把温暖传递到每一位残疾人。今年以来，先后发放旅游年卡电子卡3146张、移动爱心卡112张，5.21助残日现场发放辅具12件、宣传资料500份、小礼品60份。9月份我们投入资金10万元开展残疾人文化周活动，组织残疾人游园、看励志电影、看残疾人艺术作品展览、开展脱贫工作知识抢答、趣味体育活动、送励志书等，切实让残疾朋友感受党和政府的关心关爱。</w:t>
      </w:r>
    </w:p>
    <w:p>
      <w:pPr>
        <w:pStyle w:val="5"/>
        <w:widowControl/>
        <w:spacing w:before="180"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（六）精准居家托养提升幸福感</w:t>
      </w:r>
      <w:r>
        <w:rPr>
          <w:rFonts w:hint="eastAsia" w:ascii="仿宋" w:hAnsi="仿宋" w:eastAsia="仿宋" w:cs="Verdana"/>
          <w:b/>
          <w:sz w:val="32"/>
          <w:szCs w:val="32"/>
        </w:rPr>
        <w:t>。</w:t>
      </w:r>
      <w:r>
        <w:rPr>
          <w:rFonts w:hint="eastAsia" w:ascii="仿宋" w:hAnsi="仿宋" w:eastAsia="仿宋" w:cs="仿宋_GB2312"/>
          <w:sz w:val="32"/>
          <w:szCs w:val="32"/>
        </w:rPr>
        <w:t>为切实缓解重度精神、智力、肢体残疾人家庭压力，实施弱有所扶居家托养行动，对168名重度残疾人发放居家托养补助102350元，让需要看护的残疾人居家无忧。</w:t>
      </w:r>
    </w:p>
    <w:p>
      <w:pPr>
        <w:pStyle w:val="5"/>
        <w:widowControl/>
        <w:spacing w:before="180"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（七）精准设施改造安全无障碍。</w:t>
      </w:r>
      <w:r>
        <w:rPr>
          <w:rFonts w:hint="eastAsia" w:ascii="仿宋" w:hAnsi="仿宋" w:eastAsia="仿宋" w:cs="仿宋_GB2312"/>
          <w:sz w:val="32"/>
          <w:szCs w:val="32"/>
        </w:rPr>
        <w:t>瞄准“两不愁三保障两扩面”目标，把残疾人无障碍改造与精准扶贫、四好村建设相结合，切实改善残疾人居住活动环境。2018年实施13户残疾人家庭无障碍改造，发放补助54500元。</w:t>
      </w:r>
    </w:p>
    <w:p>
      <w:pPr>
        <w:widowControl/>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（八）精准助残养老保障全覆盖。</w:t>
      </w:r>
      <w:r>
        <w:rPr>
          <w:rFonts w:hint="eastAsia" w:ascii="仿宋" w:hAnsi="仿宋" w:eastAsia="仿宋" w:cs="仿宋_GB2312"/>
          <w:sz w:val="32"/>
          <w:szCs w:val="32"/>
        </w:rPr>
        <w:t>针对残疾人的养老问题，实施残疾人“老有所依”、“老有所养”助残养老工程，全县809名残疾人享受补助117920元；同时为全县所有60岁以上没有固定收入的511名老年持证残疾人发放生活补助640025元。</w:t>
      </w:r>
    </w:p>
    <w:p>
      <w:pPr>
        <w:spacing w:line="560" w:lineRule="atLeast"/>
        <w:ind w:firstLine="640"/>
        <w:rPr>
          <w:rFonts w:ascii="仿宋" w:hAnsi="仿宋" w:eastAsia="仿宋" w:cs="仿宋_GB2312"/>
          <w:sz w:val="32"/>
          <w:szCs w:val="32"/>
        </w:rPr>
      </w:pPr>
      <w:r>
        <w:rPr>
          <w:rFonts w:hint="eastAsia" w:ascii="仿宋" w:hAnsi="仿宋" w:eastAsia="仿宋" w:cs="Calibri"/>
          <w:b/>
          <w:sz w:val="32"/>
          <w:szCs w:val="32"/>
        </w:rPr>
        <w:t>（九）精准队伍建设服务零距离。</w:t>
      </w:r>
      <w:r>
        <w:rPr>
          <w:rFonts w:hint="eastAsia" w:ascii="仿宋" w:hAnsi="仿宋" w:eastAsia="仿宋" w:cs="仿宋_GB2312"/>
          <w:sz w:val="32"/>
          <w:szCs w:val="32"/>
        </w:rPr>
        <w:t>结合残联换届，选优配齐残疾人工作者队伍，加强县乡村三级残联工作队伍管理，真情倾情优质服务残疾人。一是加强对县残联工作人员管理，建立联乡包片责任制，年初明确分工，将责任和联系片区落实到人头，年底根据任务完成情况予以考核。二是加大县乡村残疾人工作者培训力度，5月组织开展了残疾人工作者量服业务培训班，7月开始每月召开分析会，对标工作任务讲业务，谈方法，着力提高残联干部服务水平，优化服务质量。今年先后组织残联干部参加州培训班2人，县残联办班培训266人。同时，利用量服平台加强对入户调查的动态监督，提高群众满意度。</w:t>
      </w:r>
    </w:p>
    <w:p>
      <w:pPr>
        <w:tabs>
          <w:tab w:val="left" w:pos="1003"/>
        </w:tabs>
        <w:spacing w:line="560" w:lineRule="atLeast"/>
        <w:ind w:firstLine="640"/>
        <w:rPr>
          <w:rFonts w:ascii="仿宋" w:hAnsi="仿宋" w:eastAsia="仿宋" w:cs="仿宋_GB2312"/>
          <w:sz w:val="32"/>
          <w:szCs w:val="32"/>
        </w:rPr>
      </w:pPr>
      <w:r>
        <w:rPr>
          <w:rFonts w:hint="eastAsia" w:ascii="仿宋" w:hAnsi="仿宋" w:eastAsia="仿宋" w:cs="Calibri"/>
          <w:b/>
          <w:sz w:val="32"/>
          <w:szCs w:val="32"/>
        </w:rPr>
        <w:t>（十）加大社会帮扶救助力度。</w:t>
      </w:r>
      <w:r>
        <w:rPr>
          <w:rFonts w:hint="eastAsia" w:ascii="仿宋" w:hAnsi="仿宋" w:eastAsia="仿宋" w:cs="仿宋_GB2312"/>
          <w:sz w:val="32"/>
          <w:szCs w:val="32"/>
        </w:rPr>
        <w:t>今年，我们积极与中国狮子联会对接，争取资金40万，建立我县第一个“狮爱蜂场项目”，目前该资金已到慈善会账户，正在筹备蜂箱采购事宜。同时主动对接邛崃市残联，争取残疾人双创就业帮扶等资金20万，帮扶永和、马家、双河、白河、勿角部分残疾人发展产业。</w:t>
      </w:r>
    </w:p>
    <w:p>
      <w:pPr>
        <w:pStyle w:val="12"/>
        <w:spacing w:before="0" w:beforeAutospacing="0" w:after="0" w:afterAutospacing="0" w:line="560" w:lineRule="atLeast"/>
        <w:ind w:firstLine="634" w:firstLineChars="200"/>
        <w:jc w:val="both"/>
        <w:rPr>
          <w:rFonts w:ascii="仿宋" w:hAnsi="仿宋" w:eastAsia="仿宋" w:cs="仿宋_GB2312"/>
          <w:kern w:val="2"/>
          <w:sz w:val="32"/>
          <w:szCs w:val="32"/>
        </w:rPr>
      </w:pPr>
      <w:r>
        <w:rPr>
          <w:rFonts w:hint="eastAsia" w:ascii="仿宋" w:hAnsi="仿宋" w:eastAsia="仿宋" w:cs="Calibri"/>
          <w:b/>
          <w:kern w:val="2"/>
          <w:sz w:val="32"/>
          <w:szCs w:val="32"/>
        </w:rPr>
        <w:t>（十一）扎实开展驻村工作。</w:t>
      </w:r>
      <w:r>
        <w:rPr>
          <w:rFonts w:hint="eastAsia" w:ascii="仿宋" w:hAnsi="仿宋" w:eastAsia="仿宋" w:cs="仿宋_GB2312"/>
          <w:kern w:val="2"/>
          <w:sz w:val="32"/>
          <w:szCs w:val="32"/>
        </w:rPr>
        <w:t>按照县委“七个一”帮扶工作、“两联一进”要求，县残联及时调整工作力量，组建以残联理事长为组长、康复中心主任为副组长，所有工作人员为成员的驻村工作组，经常深入蒲南村开展入户走访、访贫问苦、问卷调查等工作，与乡村干部建立联席会议工作制度，通过电话、走访、座谈会等形式，加强工作沟通，及时解决精准扶贫工作中发现的问题，及时帮助贫困户排忧解难。今年以来，统筹残疾工作经费扶持蒲南村残疾人培训创业等1万元；开展政策咨询服务12人次；筹措资金2000余元组织蒲南村贫困群众、一般农户开展脱贫攻坚知识问答1次；组织贫困户、党员干部同过一个主题党日，包饺子、开展志愿服务活动，进一步密切党群干群联系。</w:t>
      </w:r>
    </w:p>
    <w:p>
      <w:pPr>
        <w:pStyle w:val="12"/>
        <w:spacing w:before="0" w:beforeAutospacing="0" w:after="0" w:afterAutospacing="0" w:line="560" w:lineRule="atLeast"/>
        <w:ind w:firstLine="634"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2018年来，在我县残保金无收入来源的情况，县财政统筹资金实际发放到我县残疾人手中的各项帮扶补助款达到</w:t>
      </w:r>
      <w:r>
        <w:rPr>
          <w:rFonts w:hint="eastAsia" w:ascii="仿宋" w:hAnsi="仿宋" w:eastAsia="仿宋" w:cs="Verdana"/>
          <w:sz w:val="32"/>
          <w:szCs w:val="32"/>
        </w:rPr>
        <w:t>2466785</w:t>
      </w:r>
      <w:r>
        <w:rPr>
          <w:rFonts w:hint="eastAsia" w:ascii="仿宋" w:hAnsi="仿宋" w:eastAsia="仿宋" w:cs="仿宋_GB2312"/>
          <w:kern w:val="2"/>
          <w:sz w:val="32"/>
          <w:szCs w:val="32"/>
        </w:rPr>
        <w:t>元，残疾人得到的实惠有了保障。</w:t>
      </w:r>
    </w:p>
    <w:p>
      <w:pPr>
        <w:spacing w:line="600" w:lineRule="exact"/>
        <w:ind w:firstLine="793" w:firstLineChars="250"/>
        <w:outlineLvl w:val="1"/>
        <w:rPr>
          <w:rStyle w:val="27"/>
          <w:rFonts w:ascii="黑体" w:hAnsi="黑体" w:eastAsia="黑体"/>
        </w:rPr>
      </w:pPr>
      <w:bookmarkStart w:id="37" w:name="_Toc15396612"/>
      <w:bookmarkStart w:id="38"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37"/>
      <w:bookmarkEnd w:id="38"/>
    </w:p>
    <w:p>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39" w:name="_Toc15377224"/>
      <w:r>
        <w:rPr>
          <w:rFonts w:hint="eastAsia" w:ascii="仿宋" w:hAnsi="仿宋" w:eastAsia="仿宋"/>
          <w:b/>
          <w:color w:val="000000"/>
          <w:sz w:val="32"/>
          <w:szCs w:val="32"/>
        </w:rPr>
        <w:t>国有资产占有使用情况</w:t>
      </w:r>
      <w:bookmarkEnd w:id="39"/>
    </w:p>
    <w:p>
      <w:pP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日，共有车辆2辆，其中：一般公务用车0辆。</w:t>
      </w:r>
    </w:p>
    <w:p>
      <w:pPr>
        <w:autoSpaceDE w:val="0"/>
        <w:autoSpaceDN w:val="0"/>
        <w:adjustRightInd w:val="0"/>
        <w:spacing w:line="600" w:lineRule="exact"/>
        <w:ind w:firstLine="634"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34"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476" w:firstLineChars="150"/>
        <w:jc w:val="center"/>
        <w:outlineLvl w:val="0"/>
        <w:rPr>
          <w:rStyle w:val="26"/>
          <w:rFonts w:ascii="黑体" w:hAnsi="黑体" w:eastAsia="黑体"/>
          <w:b w:val="0"/>
          <w:sz w:val="32"/>
          <w:szCs w:val="32"/>
        </w:rPr>
      </w:pPr>
      <w:bookmarkStart w:id="40" w:name="_Toc15377225"/>
      <w:bookmarkStart w:id="41" w:name="_Toc15396613"/>
      <w:r>
        <w:rPr>
          <w:rFonts w:hint="eastAsia" w:ascii="黑体" w:hAnsi="黑体" w:eastAsia="黑体"/>
          <w:b/>
          <w:color w:val="000000"/>
          <w:sz w:val="32"/>
          <w:szCs w:val="32"/>
        </w:rPr>
        <w:t>名</w:t>
      </w:r>
      <w:r>
        <w:rPr>
          <w:rStyle w:val="26"/>
          <w:rFonts w:hint="eastAsia" w:ascii="黑体" w:hAnsi="黑体" w:eastAsia="黑体"/>
          <w:b w:val="0"/>
          <w:sz w:val="32"/>
          <w:szCs w:val="32"/>
        </w:rPr>
        <w:t>词解释</w:t>
      </w:r>
      <w:bookmarkEnd w:id="40"/>
      <w:bookmarkEnd w:id="41"/>
    </w:p>
    <w:p>
      <w:pPr>
        <w:spacing w:line="600" w:lineRule="exact"/>
        <w:jc w:val="left"/>
        <w:rPr>
          <w:rFonts w:ascii="宋体"/>
          <w:b/>
          <w:color w:val="000000"/>
          <w:sz w:val="32"/>
          <w:szCs w:val="32"/>
        </w:rPr>
      </w:pPr>
    </w:p>
    <w:p>
      <w:pPr>
        <w:pStyle w:val="24"/>
        <w:spacing w:line="560" w:lineRule="exact"/>
        <w:ind w:firstLine="634"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34" w:firstLineChars="200"/>
        <w:jc w:val="left"/>
        <w:rPr>
          <w:rFonts w:ascii="仿宋" w:hAnsi="仿宋" w:eastAsia="仿宋" w:cs="Arial"/>
          <w:color w:val="000000"/>
          <w:kern w:val="0"/>
          <w:sz w:val="32"/>
          <w:szCs w:val="32"/>
        </w:rPr>
      </w:pPr>
      <w:r>
        <w:rPr>
          <w:rFonts w:hint="eastAsia" w:ascii="仿宋" w:hAnsi="仿宋" w:eastAsia="仿宋"/>
          <w:sz w:val="32"/>
          <w:szCs w:val="32"/>
        </w:rPr>
        <w:t>9．其他支出（229）</w:t>
      </w:r>
      <w:r>
        <w:rPr>
          <w:rFonts w:hint="eastAsia" w:ascii="仿宋" w:hAnsi="仿宋" w:eastAsia="仿宋" w:cs="Arial"/>
          <w:color w:val="000000"/>
          <w:kern w:val="0"/>
          <w:sz w:val="32"/>
          <w:szCs w:val="32"/>
        </w:rPr>
        <w:t>彩票公益金及对应专项债务收入安排的支出（60）  用于残疾人事业的彩票公益金支出（06）指发行体育福利彩票公益金收入安排的专项支出。</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社会保障和就业支出（208）行政事业单位离退休（05）机关事业单位基本养老保险缴费支出（05）：指反映机关事业单位实施养老保险制度由单位实际缴纳的养老保险支出； </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 xml:space="preserve">11.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 </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（03）公务员医疗补助：指国家公务员在参加城镇职工基本医疗保险制度的基础上国家对公务员实行的医疗补助。</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12.住房保障支出（221）住房改革支出（02）住房公积金（01）：指按照《住房公积金管理条例》的规定，由单位及其在职职工缴存的长期住房储金。  </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34"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34"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6"/>
          <w:rFonts w:ascii="黑体" w:hAnsi="黑体" w:eastAsia="黑体"/>
          <w:b w:val="0"/>
          <w:sz w:val="32"/>
          <w:szCs w:val="32"/>
        </w:rPr>
      </w:pPr>
      <w:bookmarkStart w:id="42" w:name="_Toc15377226"/>
      <w:r>
        <w:rPr>
          <w:rFonts w:ascii="宋体"/>
          <w:b/>
          <w:color w:val="000000"/>
          <w:sz w:val="32"/>
          <w:szCs w:val="32"/>
        </w:rPr>
        <w:br w:type="page"/>
      </w:r>
      <w:bookmarkStart w:id="43" w:name="_Toc15396614"/>
      <w:r>
        <w:rPr>
          <w:rFonts w:hint="eastAsia" w:ascii="黑体" w:hAnsi="黑体" w:eastAsia="黑体"/>
          <w:color w:val="000000"/>
          <w:sz w:val="32"/>
          <w:szCs w:val="32"/>
        </w:rPr>
        <w:t>第</w:t>
      </w:r>
      <w:r>
        <w:rPr>
          <w:rStyle w:val="26"/>
          <w:rFonts w:hint="eastAsia" w:ascii="黑体" w:hAnsi="黑体" w:eastAsia="黑体"/>
          <w:b w:val="0"/>
          <w:sz w:val="32"/>
          <w:szCs w:val="32"/>
        </w:rPr>
        <w:t>四部分 附件</w:t>
      </w:r>
      <w:bookmarkEnd w:id="43"/>
    </w:p>
    <w:p>
      <w:pPr>
        <w:spacing w:line="600" w:lineRule="exact"/>
        <w:jc w:val="center"/>
        <w:outlineLvl w:val="0"/>
        <w:rPr>
          <w:rStyle w:val="26"/>
          <w:sz w:val="32"/>
          <w:szCs w:val="32"/>
        </w:rPr>
      </w:pPr>
    </w:p>
    <w:p>
      <w:pPr>
        <w:pStyle w:val="3"/>
        <w:rPr>
          <w:rStyle w:val="26"/>
          <w:rFonts w:ascii="仿宋" w:hAnsi="仿宋" w:eastAsia="仿宋"/>
          <w:b w:val="0"/>
          <w:bCs w:val="0"/>
          <w:sz w:val="32"/>
          <w:szCs w:val="32"/>
        </w:rPr>
      </w:pPr>
      <w:bookmarkStart w:id="44" w:name="_Toc15396615"/>
      <w:r>
        <w:rPr>
          <w:rStyle w:val="26"/>
          <w:rFonts w:hint="eastAsia" w:ascii="仿宋" w:hAnsi="仿宋" w:eastAsia="仿宋"/>
          <w:b w:val="0"/>
          <w:bCs w:val="0"/>
          <w:sz w:val="32"/>
          <w:szCs w:val="32"/>
        </w:rPr>
        <w:t>附件1</w:t>
      </w:r>
      <w:bookmarkEnd w:id="44"/>
    </w:p>
    <w:p>
      <w:pPr>
        <w:spacing w:line="800" w:lineRule="exact"/>
        <w:jc w:val="center"/>
        <w:rPr>
          <w:rFonts w:eastAsia="方正小标宋简体"/>
          <w:bCs/>
          <w:sz w:val="32"/>
          <w:szCs w:val="32"/>
        </w:rPr>
      </w:pPr>
      <w:bookmarkStart w:id="45" w:name="_Toc15396617"/>
      <w:r>
        <w:rPr>
          <w:rFonts w:hint="eastAsia" w:eastAsia="方正小标宋简体"/>
          <w:bCs/>
          <w:sz w:val="32"/>
          <w:szCs w:val="32"/>
        </w:rPr>
        <w:t>九寨沟县</w:t>
      </w:r>
      <w:r>
        <w:rPr>
          <w:rFonts w:hint="eastAsia" w:eastAsia="方正小标宋简体"/>
          <w:bCs/>
          <w:sz w:val="32"/>
          <w:szCs w:val="32"/>
          <w:u w:val="single"/>
        </w:rPr>
        <w:t>2018</w:t>
      </w:r>
      <w:r>
        <w:rPr>
          <w:rFonts w:hint="eastAsia" w:eastAsia="方正小标宋简体"/>
          <w:bCs/>
          <w:sz w:val="32"/>
          <w:szCs w:val="32"/>
        </w:rPr>
        <w:t>年度部门整体支出</w:t>
      </w:r>
    </w:p>
    <w:p>
      <w:pPr>
        <w:spacing w:line="800" w:lineRule="exact"/>
        <w:jc w:val="center"/>
        <w:rPr>
          <w:rFonts w:eastAsia="方正小标宋简体"/>
          <w:bCs/>
          <w:sz w:val="32"/>
          <w:szCs w:val="32"/>
        </w:rPr>
      </w:pPr>
      <w:r>
        <w:rPr>
          <w:rFonts w:hint="eastAsia" w:eastAsia="方正小标宋简体"/>
          <w:bCs/>
          <w:sz w:val="32"/>
          <w:szCs w:val="32"/>
        </w:rPr>
        <w:t>绩效评价自评报告</w:t>
      </w:r>
    </w:p>
    <w:p>
      <w:pPr>
        <w:rPr>
          <w:rFonts w:eastAsia="仿宋_GB2312"/>
          <w:b/>
          <w:sz w:val="32"/>
          <w:szCs w:val="32"/>
        </w:rPr>
      </w:pPr>
    </w:p>
    <w:p>
      <w:pPr>
        <w:rPr>
          <w:rFonts w:eastAsia="仿宋_GB2312"/>
          <w:b/>
          <w:sz w:val="32"/>
          <w:szCs w:val="32"/>
        </w:rPr>
      </w:pPr>
    </w:p>
    <w:p>
      <w:pPr>
        <w:rPr>
          <w:rFonts w:eastAsia="仿宋_GB2312"/>
          <w:b/>
          <w:sz w:val="32"/>
          <w:szCs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九寨沟县残疾人联合会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203101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szCs w:val="32"/>
        </w:rPr>
      </w:pPr>
    </w:p>
    <w:p>
      <w:pPr>
        <w:spacing w:line="720" w:lineRule="exact"/>
        <w:ind w:firstLine="2188" w:firstLineChars="690"/>
        <w:rPr>
          <w:rFonts w:eastAsia="仿宋_GB2312"/>
          <w:sz w:val="32"/>
          <w:szCs w:val="32"/>
        </w:rPr>
      </w:pPr>
    </w:p>
    <w:p>
      <w:pPr>
        <w:spacing w:line="720" w:lineRule="exact"/>
        <w:ind w:firstLine="2188" w:firstLineChars="690"/>
        <w:rPr>
          <w:rFonts w:eastAsia="仿宋_GB2312"/>
          <w:sz w:val="32"/>
          <w:szCs w:val="32"/>
        </w:rPr>
      </w:pPr>
    </w:p>
    <w:p>
      <w:pPr>
        <w:spacing w:line="348" w:lineRule="auto"/>
        <w:jc w:val="center"/>
        <w:rPr>
          <w:rFonts w:eastAsia="仿宋_GB2312"/>
          <w:sz w:val="32"/>
          <w:szCs w:val="32"/>
        </w:rPr>
      </w:pPr>
      <w:r>
        <w:rPr>
          <w:rFonts w:hint="eastAsia" w:eastAsia="仿宋_GB2312"/>
          <w:sz w:val="32"/>
          <w:szCs w:val="32"/>
        </w:rPr>
        <w:t>报告日期：2019年6月20日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szCs w:val="32"/>
        </w:rPr>
        <w:t>九寨沟县财政局（制）</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999"/>
        <w:gridCol w:w="1197"/>
        <w:gridCol w:w="545"/>
        <w:gridCol w:w="432"/>
        <w:gridCol w:w="605"/>
        <w:gridCol w:w="529"/>
        <w:gridCol w:w="1086"/>
        <w:gridCol w:w="1392"/>
        <w:gridCol w:w="137"/>
        <w:gridCol w:w="137"/>
        <w:gridCol w:w="136"/>
        <w:gridCol w:w="11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王燕</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联络电话</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15196211114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人员编制</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实有人数</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职能职责概述</w:t>
            </w:r>
          </w:p>
        </w:tc>
        <w:tc>
          <w:tcPr>
            <w:tcW w:w="0" w:type="auto"/>
            <w:gridSpan w:val="11"/>
            <w:vAlign w:val="center"/>
          </w:tcPr>
          <w:p>
            <w:pPr>
              <w:ind w:firstLine="480" w:firstLineChars="150"/>
              <w:rPr>
                <w:rFonts w:ascii="仿宋" w:hAnsi="仿宋" w:eastAsia="仿宋"/>
                <w:sz w:val="32"/>
                <w:szCs w:val="32"/>
              </w:rPr>
            </w:pPr>
            <w:r>
              <w:rPr>
                <w:rFonts w:hint="eastAsia" w:ascii="仿宋" w:hAnsi="仿宋" w:eastAsia="仿宋"/>
                <w:sz w:val="32"/>
                <w:szCs w:val="32"/>
              </w:rPr>
              <w:t>1．宣传贯彻《中华人民共和国残疾人保障法》，听取残疾人意见，反映残疾人需求，维护残疾人权益，为残疾人服务；2.团结、教育残疾人遵守法律，履行应尽的义务，发扬乐观进取精神，自尊、自信、自强、自立，为社会主义建设贡献力量；3.弘扬人道主义，宣传残疾人事业，沟通政府、社会和残疾人之间的联系，动员社会理解、尊重、关心、帮助残疾人；4.开展残疾人康复、教育、就业、扶贫、文化、体育、科研、用品供应、福利、社会服务、无障碍设施和残疾人预防等工作，创造良好的环境和条件，扶助残疾人平等参与社会生活；5.参与研究、制定和实施残疾人事业的法规、政策和计划，对有关业务领域进行指导和管理；6.管理和发放《中华人民共和国残疾人证》；7.承担九寨沟县人民政府残疾人工作委员会日常管理工作，做好综合、组织、协调和服务；8.指导各乡镇人民政府、乡镇残疾人联合会的工作；9.负责对各类残疾人社会团体组织进行监督管理；10.开展我县残疾人事业的对外交流和合作；11.承担县政府交办的有关事项。</w:t>
            </w:r>
          </w:p>
          <w:p>
            <w:pPr>
              <w:autoSpaceDN w:val="0"/>
              <w:spacing w:line="320" w:lineRule="exact"/>
              <w:jc w:val="left"/>
              <w:textAlignment w:val="center"/>
              <w:rPr>
                <w:rFonts w:ascii="仿宋" w:hAnsi="仿宋" w:eastAsia="仿宋"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年度主要</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工作内容</w:t>
            </w:r>
          </w:p>
        </w:tc>
        <w:tc>
          <w:tcPr>
            <w:tcW w:w="0" w:type="auto"/>
            <w:gridSpan w:val="11"/>
            <w:vAlign w:val="center"/>
          </w:tcPr>
          <w:p>
            <w:pPr>
              <w:ind w:firstLine="480" w:firstLineChars="150"/>
              <w:rPr>
                <w:rFonts w:ascii="仿宋" w:hAnsi="仿宋" w:eastAsia="仿宋" w:cs="宋体"/>
                <w:kern w:val="0"/>
                <w:sz w:val="32"/>
                <w:szCs w:val="32"/>
              </w:rPr>
            </w:pPr>
            <w:r>
              <w:rPr>
                <w:rFonts w:hint="eastAsia" w:ascii="仿宋" w:hAnsi="仿宋" w:eastAsia="仿宋" w:cs="仿宋_GB2312"/>
                <w:sz w:val="32"/>
                <w:szCs w:val="32"/>
              </w:rPr>
              <w:t>1.</w:t>
            </w:r>
            <w:r>
              <w:rPr>
                <w:rFonts w:hint="eastAsia" w:ascii="仿宋" w:hAnsi="仿宋" w:eastAsia="仿宋" w:cs="宋体"/>
                <w:kern w:val="0"/>
                <w:sz w:val="32"/>
                <w:szCs w:val="32"/>
              </w:rPr>
              <w:t>积极开展弱有所扶居家托养、阳光家园、阳光助学、精神残疾关爱行动、困难残疾人救助等工作，落实老有所养、老有所依保障机制，因人制宜开展“量服”工作，结合实际解决好和落实好残疾人需求，发展助残民生。2.评定和办理残疾人证。3.加强残疾人技能培训工作，鼓励和引导残疾人自主创业就业。4.优化村（社区）残疾人联络员队伍建设。5.开展县乡残疾人工作者业务培训。6.开展贫困残疾人精准扶贫工作。7.开展残疾预防、康复等服务工作。8.开展残疾人学生教育扶持工作。9.开展志愿助残服务工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年度部门（单位）总体运行情况及取得的成绩</w:t>
            </w:r>
          </w:p>
        </w:tc>
        <w:tc>
          <w:tcPr>
            <w:tcW w:w="0" w:type="auto"/>
            <w:gridSpan w:val="11"/>
            <w:vAlign w:val="center"/>
          </w:tcPr>
          <w:p>
            <w:pPr>
              <w:ind w:firstLine="640" w:firstLineChars="200"/>
              <w:rPr>
                <w:rFonts w:ascii="仿宋" w:hAnsi="仿宋" w:eastAsia="仿宋"/>
                <w:sz w:val="32"/>
                <w:szCs w:val="32"/>
              </w:rPr>
            </w:pPr>
            <w:r>
              <w:rPr>
                <w:rFonts w:hint="eastAsia" w:ascii="仿宋" w:hAnsi="仿宋" w:eastAsia="仿宋"/>
                <w:sz w:val="32"/>
                <w:szCs w:val="32"/>
              </w:rPr>
              <w:t>1、瞄准脱贫摘帽目标，实施辅具全覆盖、“助残奔康”行动，为有需求的残疾人发放辅具73件次，为全县324名建档立卡贫困残疾人发放贫困生活补贴370860元。实施困难残疾人家庭临时救助，发放临时困难补助20人26000元，切实解决贫困残疾人在产业发展、大病救助以及生活中存在的困难。承办“励志自强 脱贫奔康”文化扶贫主题巡演活动，1200余名群众及残疾人现场观演，接受励志感恩教育。2、2018年组织8名脑瘫儿童在康复机构接受康复治疗（其中1名儿童到八一康复中心康复训，1名儿童在圆梦公益康复机构做康复治疗，康复补助27000元）；救助1名残疾人适配矫形鞋；协调狮子会医务资源为28名视力障碍者实施白内障复明手术，发放老光镜36副；为20名持证精神智力残疾人发放服药补助37080元。优化办证服务。针对精神、智力残疾人不方便出行的问题，先后两次邀请绵阳三医院专家到我县开展上门评残工作，评定精神智力残疾人130人，同时组织县医院为疑似肢体、视力残疾500余人进行残疾鉴定。3、2018年共帮助100名残疾人发展生产，发放补助200000元。帮助400名残疾人居家灵活就业，发放居家灵活就业补助资金238500元。联合人社局、农业、科技等相关单位送技术上门，举办刺绣培训、种养殖业培训等，培训残疾人238人次。让每位残疾人均等享受劳动就业创业的获得感。4、针对残疾人的养老问题，实施残疾人“老有所依”、“老有所养”助残养老工程，全县809名残疾人享受补助117920元；同时为全县所有60岁以上没有固定收入的511名老年持证残疾人发放生活补助640025元。5、2018年实施13户残疾人家庭无障碍改造，发放补助54500元。对168名重度残疾人发放居家托养补助102350元，让需要看护的残疾人居家无忧。</w:t>
            </w:r>
          </w:p>
          <w:p>
            <w:pPr>
              <w:autoSpaceDN w:val="0"/>
              <w:spacing w:line="320" w:lineRule="exact"/>
              <w:jc w:val="left"/>
              <w:textAlignment w:val="center"/>
              <w:rPr>
                <w:rFonts w:ascii="仿宋" w:hAnsi="仿宋" w:eastAsia="仿宋"/>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收入合计</w:t>
            </w:r>
          </w:p>
        </w:tc>
        <w:tc>
          <w:tcPr>
            <w:tcW w:w="0" w:type="auto"/>
            <w:gridSpan w:val="10"/>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0" w:type="auto"/>
            <w:vMerge w:val="continue"/>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上年结转</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公共财</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政拨款</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政府基金拨款</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纳入专户管理的非税收入拨款</w:t>
            </w:r>
          </w:p>
        </w:tc>
        <w:tc>
          <w:tcPr>
            <w:tcW w:w="0" w:type="auto"/>
            <w:gridSpan w:val="3"/>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130.1</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195.29</w:t>
            </w: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Align w:val="center"/>
          </w:tcPr>
          <w:p>
            <w:pPr>
              <w:spacing w:line="3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九寨沟县残联</w:t>
            </w: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130.1</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195.29</w:t>
            </w: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Align w:val="center"/>
          </w:tcPr>
          <w:p>
            <w:pPr>
              <w:spacing w:line="320" w:lineRule="exac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Align w:val="center"/>
          </w:tcPr>
          <w:p>
            <w:pPr>
              <w:spacing w:line="320" w:lineRule="exac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vAlign w:val="center"/>
          </w:tcPr>
          <w:p>
            <w:pPr>
              <w:snapToGrid w:val="0"/>
              <w:spacing w:line="3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支出合计</w:t>
            </w:r>
          </w:p>
        </w:tc>
        <w:tc>
          <w:tcPr>
            <w:tcW w:w="0" w:type="auto"/>
            <w:gridSpan w:val="6"/>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c>
          <w:tcPr>
            <w:tcW w:w="0" w:type="auto"/>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基本支出</w:t>
            </w:r>
          </w:p>
        </w:tc>
        <w:tc>
          <w:tcPr>
            <w:tcW w:w="0" w:type="auto"/>
            <w:gridSpan w:val="3"/>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c>
          <w:tcPr>
            <w:tcW w:w="0" w:type="auto"/>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项目支出</w:t>
            </w:r>
          </w:p>
        </w:tc>
        <w:tc>
          <w:tcPr>
            <w:tcW w:w="0" w:type="auto"/>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当年结余</w:t>
            </w:r>
          </w:p>
        </w:tc>
        <w:tc>
          <w:tcPr>
            <w:tcW w:w="0" w:type="auto"/>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人员支出</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公用支出</w:t>
            </w: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color w:val="000000"/>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vAlign w:val="center"/>
          </w:tcPr>
          <w:p>
            <w:pPr>
              <w:spacing w:line="3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三公经费</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合计</w:t>
            </w:r>
          </w:p>
        </w:tc>
        <w:tc>
          <w:tcPr>
            <w:tcW w:w="0" w:type="auto"/>
            <w:gridSpan w:val="10"/>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公务接待费</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公务用车运维费</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公务用车购置费</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vAlign w:val="center"/>
          </w:tcPr>
          <w:p>
            <w:pPr>
              <w:spacing w:line="3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固定资产</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合计</w:t>
            </w:r>
          </w:p>
        </w:tc>
        <w:tc>
          <w:tcPr>
            <w:tcW w:w="0" w:type="auto"/>
            <w:gridSpan w:val="8"/>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c>
          <w:tcPr>
            <w:tcW w:w="0" w:type="auto"/>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在用固定资产</w:t>
            </w:r>
          </w:p>
        </w:tc>
        <w:tc>
          <w:tcPr>
            <w:tcW w:w="0" w:type="auto"/>
            <w:gridSpan w:val="4"/>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出租固定资产</w:t>
            </w:r>
          </w:p>
        </w:tc>
        <w:tc>
          <w:tcPr>
            <w:tcW w:w="0" w:type="auto"/>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56.1133</w:t>
            </w: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56.1133</w:t>
            </w: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整体支出绩效定性目标及实施计划完成情况</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预期目标</w:t>
            </w:r>
          </w:p>
        </w:tc>
        <w:tc>
          <w:tcPr>
            <w:tcW w:w="0" w:type="auto"/>
            <w:gridSpan w:val="6"/>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5"/>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目标1：按要求发放残疾人各项补助</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目标2：完成</w:t>
            </w:r>
            <w:r>
              <w:rPr>
                <w:rFonts w:hint="eastAsia" w:ascii="仿宋_GB2312" w:hAnsi="仿宋_GB2312" w:eastAsia="仿宋_GB2312" w:cs="仿宋_GB2312"/>
                <w:color w:val="000000"/>
                <w:sz w:val="32"/>
                <w:szCs w:val="32"/>
                <w:lang w:eastAsia="zh-CN"/>
              </w:rPr>
              <w:t>县委、县政府</w:t>
            </w:r>
            <w:r>
              <w:rPr>
                <w:rFonts w:hint="eastAsia" w:ascii="仿宋_GB2312" w:hAnsi="仿宋_GB2312" w:eastAsia="仿宋_GB2312" w:cs="仿宋_GB2312"/>
                <w:color w:val="000000"/>
                <w:sz w:val="32"/>
                <w:szCs w:val="32"/>
              </w:rPr>
              <w:t>安排各项工作</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目标3：完成各项目标责任责任</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目标4：按要求完成精准扶贫工作</w:t>
            </w:r>
          </w:p>
        </w:tc>
        <w:tc>
          <w:tcPr>
            <w:tcW w:w="0" w:type="auto"/>
            <w:gridSpan w:val="6"/>
            <w:vAlign w:val="center"/>
          </w:tcPr>
          <w:p>
            <w:pPr>
              <w:numPr>
                <w:ilvl w:val="0"/>
                <w:numId w:val="6"/>
              </w:numPr>
              <w:autoSpaceDN w:val="0"/>
              <w:spacing w:line="320" w:lineRule="exac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按时完成残疾人各项补助资金发放</w:t>
            </w:r>
          </w:p>
          <w:p>
            <w:pPr>
              <w:numPr>
                <w:ilvl w:val="0"/>
                <w:numId w:val="6"/>
              </w:numPr>
              <w:autoSpaceDN w:val="0"/>
              <w:spacing w:line="320" w:lineRule="exac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根据安排完成下乡宣讲，日常事务性工作</w:t>
            </w:r>
          </w:p>
          <w:p>
            <w:pPr>
              <w:numPr>
                <w:ilvl w:val="0"/>
                <w:numId w:val="6"/>
              </w:num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完成各项目标责任制</w:t>
            </w:r>
          </w:p>
          <w:p>
            <w:pPr>
              <w:numPr>
                <w:ilvl w:val="0"/>
                <w:numId w:val="6"/>
              </w:num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按照要求完成精准扶贫工作</w:t>
            </w:r>
          </w:p>
          <w:p>
            <w:pPr>
              <w:autoSpaceDN w:val="0"/>
              <w:spacing w:line="320" w:lineRule="exact"/>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整体支出</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绩效定量目标及实施计划完成情况</w:t>
            </w: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评价内容</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绩效目标</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产出目标</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（部门工作实绩，包含上级部门和市委市政府布置的重点工作、实事任务等，根据部门实际进行调整细化）</w:t>
            </w: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质量指标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三公经费控制率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政府采购执行率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各项经济指标完成率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数量指标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财政供养人员控制率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残疾人各类培训</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残疾人量体裁衣工作</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1"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时效指标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规定时间完成工作率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成本指标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固定资产利用率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人员经费支付率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整体支出绩效目标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325.42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效益目标</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（预期实现的效益）</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社会效益</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办好残疾人各项培训班</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经济效益</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勤俭节约，精益求精，规范管理</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生态效益</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强基固本、切实加强干部队伍建设，通过走访残疾人，切实将工作落实到户</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 w:hAnsi="仿宋" w:eastAsia="仿宋" w:cs="仿宋_GB2312"/>
                <w:color w:val="000000"/>
                <w:sz w:val="32"/>
                <w:szCs w:val="32"/>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社会公众或服务对象满意度</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对残疾人工作满意度</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3"/>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绩效自评综合得分</w:t>
            </w:r>
          </w:p>
        </w:tc>
        <w:tc>
          <w:tcPr>
            <w:tcW w:w="0" w:type="auto"/>
            <w:gridSpan w:val="9"/>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3"/>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评价等次</w:t>
            </w:r>
          </w:p>
        </w:tc>
        <w:tc>
          <w:tcPr>
            <w:tcW w:w="0" w:type="auto"/>
            <w:gridSpan w:val="9"/>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职务/职称</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  位</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孙燕妮</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理事长</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德基磋</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财务负责人</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铁磊</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办公室主任</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王燕</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会计</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0" w:type="auto"/>
            <w:gridSpan w:val="1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评价组组长（签字）：</w:t>
            </w: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33" w:hRule="atLeast"/>
          <w:jc w:val="center"/>
        </w:trPr>
        <w:tc>
          <w:tcPr>
            <w:tcW w:w="0" w:type="auto"/>
            <w:gridSpan w:val="1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部门（单位）意见：</w:t>
            </w: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0" w:type="auto"/>
            <w:gridSpan w:val="12"/>
            <w:vAlign w:val="center"/>
          </w:tcPr>
          <w:p>
            <w:pPr>
              <w:spacing w:line="320" w:lineRule="exact"/>
              <w:rPr>
                <w:rFonts w:eastAsia="仿宋_GB2312"/>
                <w:sz w:val="32"/>
                <w:szCs w:val="32"/>
              </w:rPr>
            </w:pPr>
            <w:r>
              <w:rPr>
                <w:rFonts w:hint="eastAsia" w:eastAsia="仿宋_GB2312"/>
                <w:sz w:val="32"/>
                <w:szCs w:val="32"/>
              </w:rPr>
              <w:t>财政部门归口业务股室意见：</w:t>
            </w:r>
          </w:p>
          <w:p>
            <w:pPr>
              <w:spacing w:line="320" w:lineRule="exact"/>
              <w:rPr>
                <w:rFonts w:eastAsia="仿宋_GB2312"/>
                <w:sz w:val="32"/>
                <w:szCs w:val="32"/>
              </w:rPr>
            </w:pPr>
          </w:p>
          <w:p>
            <w:pPr>
              <w:spacing w:line="320" w:lineRule="exact"/>
              <w:rPr>
                <w:rFonts w:eastAsia="仿宋_GB2312"/>
                <w:sz w:val="32"/>
                <w:szCs w:val="32"/>
              </w:rPr>
            </w:pPr>
          </w:p>
          <w:p>
            <w:pPr>
              <w:spacing w:line="320" w:lineRule="exact"/>
              <w:rPr>
                <w:rFonts w:eastAsia="仿宋_GB2312"/>
                <w:sz w:val="32"/>
                <w:szCs w:val="32"/>
              </w:rPr>
            </w:pPr>
          </w:p>
          <w:p>
            <w:pPr>
              <w:spacing w:line="320" w:lineRule="exact"/>
              <w:rPr>
                <w:rFonts w:eastAsia="仿宋_GB2312"/>
                <w:sz w:val="32"/>
                <w:szCs w:val="32"/>
              </w:rPr>
            </w:pPr>
            <w:r>
              <w:rPr>
                <w:rFonts w:hint="eastAsia" w:eastAsia="仿宋_GB2312"/>
                <w:sz w:val="32"/>
                <w:szCs w:val="32"/>
              </w:rPr>
              <w:t xml:space="preserve">                财政部门归口业务股室负责人（签章）：</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eastAsia="仿宋_GB2312"/>
                <w:sz w:val="32"/>
                <w:szCs w:val="32"/>
              </w:rPr>
              <w:t xml:space="preserve">                                     年    月   日</w:t>
            </w:r>
          </w:p>
        </w:tc>
      </w:tr>
    </w:tbl>
    <w:p>
      <w:pPr>
        <w:pStyle w:val="3"/>
        <w:rPr>
          <w:rStyle w:val="26"/>
          <w:rFonts w:ascii="仿宋" w:hAnsi="仿宋" w:eastAsia="仿宋"/>
          <w:b w:val="0"/>
          <w:bCs w:val="0"/>
          <w:sz w:val="32"/>
          <w:szCs w:val="32"/>
        </w:rPr>
      </w:pPr>
      <w:r>
        <w:rPr>
          <w:rFonts w:hint="eastAsia" w:eastAsia="仿宋_GB2312" w:cs="仿宋_GB2312"/>
          <w:bCs w:val="0"/>
        </w:rPr>
        <w:t>填报人（签名）：                          联系</w:t>
      </w:r>
      <w:r>
        <w:rPr>
          <w:rStyle w:val="26"/>
          <w:rFonts w:hint="eastAsia" w:ascii="仿宋" w:hAnsi="仿宋" w:eastAsia="仿宋"/>
          <w:b w:val="0"/>
          <w:bCs w:val="0"/>
          <w:sz w:val="32"/>
          <w:szCs w:val="32"/>
        </w:rPr>
        <w:t>附件2</w:t>
      </w:r>
      <w:bookmarkEnd w:id="45"/>
    </w:p>
    <w:p>
      <w:pPr>
        <w:spacing w:line="600" w:lineRule="exact"/>
        <w:jc w:val="center"/>
        <w:outlineLvl w:val="0"/>
        <w:rPr>
          <w:rFonts w:ascii="黑体" w:hAnsi="黑体" w:eastAsia="黑体"/>
          <w:color w:val="000000"/>
          <w:sz w:val="32"/>
          <w:szCs w:val="32"/>
        </w:rPr>
      </w:pPr>
      <w:bookmarkStart w:id="46" w:name="_Toc15396618"/>
    </w:p>
    <w:p>
      <w:pPr>
        <w:spacing w:line="600" w:lineRule="exact"/>
        <w:jc w:val="center"/>
        <w:outlineLvl w:val="0"/>
        <w:rPr>
          <w:rStyle w:val="26"/>
          <w:rFonts w:ascii="黑体" w:hAnsi="黑体" w:eastAsia="黑体"/>
          <w:b w:val="0"/>
          <w:sz w:val="32"/>
          <w:szCs w:val="32"/>
        </w:rPr>
      </w:pPr>
      <w:r>
        <w:rPr>
          <w:rFonts w:hint="eastAsia" w:ascii="黑体" w:hAnsi="黑体" w:eastAsia="黑体"/>
          <w:color w:val="000000"/>
          <w:sz w:val="32"/>
          <w:szCs w:val="32"/>
        </w:rPr>
        <w:t>第</w:t>
      </w:r>
      <w:r>
        <w:rPr>
          <w:rStyle w:val="26"/>
          <w:rFonts w:hint="eastAsia" w:ascii="黑体" w:hAnsi="黑体" w:eastAsia="黑体"/>
          <w:b w:val="0"/>
          <w:sz w:val="32"/>
          <w:szCs w:val="32"/>
        </w:rPr>
        <w:t>五部分 附表</w:t>
      </w:r>
      <w:bookmarkEnd w:id="42"/>
      <w:bookmarkEnd w:id="46"/>
    </w:p>
    <w:p>
      <w:pPr>
        <w:spacing w:line="600" w:lineRule="exact"/>
        <w:jc w:val="center"/>
        <w:outlineLvl w:val="0"/>
        <w:rPr>
          <w:rFonts w:ascii="仿宋" w:hAnsi="仿宋" w:eastAsia="仿宋"/>
          <w:b/>
          <w:color w:val="000000"/>
          <w:sz w:val="32"/>
          <w:szCs w:val="32"/>
        </w:rPr>
      </w:pPr>
    </w:p>
    <w:p>
      <w:pPr>
        <w:pStyle w:val="3"/>
        <w:rPr>
          <w:rFonts w:ascii="仿宋" w:hAnsi="仿宋" w:eastAsia="仿宋"/>
          <w:color w:val="000000"/>
        </w:rPr>
      </w:pPr>
      <w:bookmarkStart w:id="47"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47"/>
    </w:p>
    <w:p>
      <w:pPr>
        <w:pStyle w:val="3"/>
        <w:rPr>
          <w:rFonts w:ascii="仿宋" w:hAnsi="仿宋" w:eastAsia="仿宋"/>
          <w:color w:val="000000"/>
        </w:rPr>
      </w:pPr>
      <w:bookmarkStart w:id="48"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48"/>
    </w:p>
    <w:p>
      <w:pPr>
        <w:pStyle w:val="3"/>
        <w:rPr>
          <w:rFonts w:ascii="仿宋" w:hAnsi="仿宋" w:eastAsia="仿宋"/>
          <w:color w:val="000000"/>
        </w:rPr>
      </w:pPr>
      <w:bookmarkStart w:id="49"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49"/>
    </w:p>
    <w:p>
      <w:pPr>
        <w:pStyle w:val="3"/>
        <w:rPr>
          <w:rFonts w:ascii="仿宋" w:hAnsi="仿宋" w:eastAsia="仿宋"/>
          <w:b w:val="0"/>
          <w:color w:val="000000"/>
        </w:rPr>
      </w:pPr>
      <w:bookmarkStart w:id="50"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0"/>
    </w:p>
    <w:p>
      <w:pPr>
        <w:pStyle w:val="3"/>
        <w:rPr>
          <w:rFonts w:ascii="仿宋" w:hAnsi="仿宋" w:eastAsia="仿宋"/>
          <w:color w:val="000000"/>
        </w:rPr>
      </w:pPr>
      <w:bookmarkStart w:id="51"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51"/>
    </w:p>
    <w:p>
      <w:pPr>
        <w:pStyle w:val="3"/>
        <w:rPr>
          <w:rFonts w:ascii="仿宋" w:hAnsi="仿宋" w:eastAsia="仿宋"/>
          <w:color w:val="000000"/>
        </w:rPr>
      </w:pPr>
      <w:bookmarkStart w:id="52"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52"/>
    </w:p>
    <w:p>
      <w:pPr>
        <w:pStyle w:val="3"/>
        <w:rPr>
          <w:rFonts w:ascii="仿宋" w:hAnsi="仿宋" w:eastAsia="仿宋"/>
          <w:color w:val="000000"/>
        </w:rPr>
      </w:pPr>
      <w:bookmarkStart w:id="53"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53"/>
    </w:p>
    <w:p>
      <w:pPr>
        <w:pStyle w:val="3"/>
        <w:rPr>
          <w:rFonts w:ascii="仿宋" w:hAnsi="仿宋" w:eastAsia="仿宋"/>
          <w:color w:val="000000"/>
        </w:rPr>
      </w:pPr>
      <w:bookmarkStart w:id="54"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54"/>
    </w:p>
    <w:p>
      <w:pPr>
        <w:pStyle w:val="3"/>
        <w:rPr>
          <w:rFonts w:ascii="仿宋" w:hAnsi="仿宋" w:eastAsia="仿宋"/>
          <w:color w:val="000000"/>
        </w:rPr>
      </w:pPr>
      <w:bookmarkStart w:id="55"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55"/>
    </w:p>
    <w:p>
      <w:pPr>
        <w:pStyle w:val="3"/>
        <w:rPr>
          <w:rFonts w:ascii="仿宋" w:hAnsi="仿宋" w:eastAsia="仿宋"/>
          <w:color w:val="000000"/>
        </w:rPr>
      </w:pPr>
      <w:bookmarkStart w:id="56"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56"/>
    </w:p>
    <w:p>
      <w:pPr>
        <w:pStyle w:val="3"/>
        <w:rPr>
          <w:rFonts w:ascii="仿宋" w:hAnsi="仿宋" w:eastAsia="仿宋"/>
          <w:color w:val="000000"/>
        </w:rPr>
      </w:pPr>
      <w:bookmarkStart w:id="57"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57"/>
    </w:p>
    <w:p>
      <w:pPr>
        <w:pStyle w:val="3"/>
        <w:rPr>
          <w:rFonts w:ascii="仿宋" w:hAnsi="仿宋" w:eastAsia="仿宋"/>
          <w:color w:val="000000"/>
        </w:rPr>
      </w:pPr>
      <w:bookmarkStart w:id="58"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58"/>
    </w:p>
    <w:p>
      <w:pPr>
        <w:pStyle w:val="3"/>
        <w:rPr>
          <w:rFonts w:ascii="仿宋" w:hAnsi="仿宋" w:eastAsia="仿宋"/>
          <w:color w:val="000000" w:themeColor="text1"/>
        </w:rPr>
      </w:pPr>
      <w:bookmarkStart w:id="59"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59"/>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瀹嬩綋">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sz w:val="24"/>
        <w:szCs w:val="24"/>
      </w:rPr>
    </w:pPr>
    <w:r>
      <w:rPr>
        <w:rStyle w:val="16"/>
        <w:rFonts w:hint="eastAsia"/>
        <w:sz w:val="24"/>
        <w:szCs w:val="24"/>
      </w:rPr>
      <w:t xml:space="preserve">— </w:t>
    </w: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1</w:t>
    </w:r>
    <w:r>
      <w:rPr>
        <w:sz w:val="24"/>
        <w:szCs w:val="24"/>
      </w:rPr>
      <w:fldChar w:fldCharType="end"/>
    </w:r>
    <w:r>
      <w:rPr>
        <w:rStyle w:val="1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lang w:val="en-US"/>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6CC467E7"/>
    <w:multiLevelType w:val="multilevel"/>
    <w:tmpl w:val="6CC467E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41F"/>
    <w:rsid w:val="000102F8"/>
    <w:rsid w:val="000222C6"/>
    <w:rsid w:val="0002549F"/>
    <w:rsid w:val="000419F8"/>
    <w:rsid w:val="0006487A"/>
    <w:rsid w:val="00065F8F"/>
    <w:rsid w:val="000768F2"/>
    <w:rsid w:val="000822A8"/>
    <w:rsid w:val="0009184B"/>
    <w:rsid w:val="0009593C"/>
    <w:rsid w:val="000A4F7F"/>
    <w:rsid w:val="000B047F"/>
    <w:rsid w:val="000B5923"/>
    <w:rsid w:val="000B5A48"/>
    <w:rsid w:val="000B6FF3"/>
    <w:rsid w:val="000C3467"/>
    <w:rsid w:val="000C3CA6"/>
    <w:rsid w:val="000D1267"/>
    <w:rsid w:val="000D1D50"/>
    <w:rsid w:val="000D5782"/>
    <w:rsid w:val="000E285E"/>
    <w:rsid w:val="000E6613"/>
    <w:rsid w:val="000E7119"/>
    <w:rsid w:val="00114E9B"/>
    <w:rsid w:val="00142A50"/>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60C38"/>
    <w:rsid w:val="002616C0"/>
    <w:rsid w:val="002662AA"/>
    <w:rsid w:val="00280496"/>
    <w:rsid w:val="002938AD"/>
    <w:rsid w:val="00295495"/>
    <w:rsid w:val="002B2613"/>
    <w:rsid w:val="002C2FE8"/>
    <w:rsid w:val="002C334D"/>
    <w:rsid w:val="002F1818"/>
    <w:rsid w:val="002F567B"/>
    <w:rsid w:val="003216A9"/>
    <w:rsid w:val="0032661B"/>
    <w:rsid w:val="0032711E"/>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5EDA"/>
    <w:rsid w:val="00437085"/>
    <w:rsid w:val="00442B40"/>
    <w:rsid w:val="00443880"/>
    <w:rsid w:val="004464F4"/>
    <w:rsid w:val="004568F9"/>
    <w:rsid w:val="00470106"/>
    <w:rsid w:val="00471401"/>
    <w:rsid w:val="00473F31"/>
    <w:rsid w:val="0048263A"/>
    <w:rsid w:val="00482E8B"/>
    <w:rsid w:val="00487E5D"/>
    <w:rsid w:val="00493FE6"/>
    <w:rsid w:val="004A711F"/>
    <w:rsid w:val="004B199D"/>
    <w:rsid w:val="004B4690"/>
    <w:rsid w:val="004D26A6"/>
    <w:rsid w:val="004E0A2D"/>
    <w:rsid w:val="004E206B"/>
    <w:rsid w:val="004E5D7A"/>
    <w:rsid w:val="004E6DF7"/>
    <w:rsid w:val="004F0FBD"/>
    <w:rsid w:val="004F54C0"/>
    <w:rsid w:val="00505A47"/>
    <w:rsid w:val="00512FDA"/>
    <w:rsid w:val="00520DA0"/>
    <w:rsid w:val="00541027"/>
    <w:rsid w:val="00542954"/>
    <w:rsid w:val="005664BB"/>
    <w:rsid w:val="00571B9E"/>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6B99"/>
    <w:rsid w:val="0066343B"/>
    <w:rsid w:val="00664777"/>
    <w:rsid w:val="006748A4"/>
    <w:rsid w:val="00683E73"/>
    <w:rsid w:val="00687BAC"/>
    <w:rsid w:val="006A3141"/>
    <w:rsid w:val="006A5E34"/>
    <w:rsid w:val="006B2422"/>
    <w:rsid w:val="006B2B9A"/>
    <w:rsid w:val="006C1937"/>
    <w:rsid w:val="006C6687"/>
    <w:rsid w:val="006D22D5"/>
    <w:rsid w:val="006D5713"/>
    <w:rsid w:val="006E7516"/>
    <w:rsid w:val="006F020C"/>
    <w:rsid w:val="007127B7"/>
    <w:rsid w:val="007416B6"/>
    <w:rsid w:val="00743F3B"/>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28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46945"/>
    <w:rsid w:val="00951248"/>
    <w:rsid w:val="0095152F"/>
    <w:rsid w:val="00954C49"/>
    <w:rsid w:val="00957B2A"/>
    <w:rsid w:val="0097099F"/>
    <w:rsid w:val="00971997"/>
    <w:rsid w:val="00971FFC"/>
    <w:rsid w:val="0098660A"/>
    <w:rsid w:val="009931C3"/>
    <w:rsid w:val="009A38D2"/>
    <w:rsid w:val="009B239D"/>
    <w:rsid w:val="009B2C43"/>
    <w:rsid w:val="009B4EAE"/>
    <w:rsid w:val="009B7573"/>
    <w:rsid w:val="009C22F4"/>
    <w:rsid w:val="009C2E98"/>
    <w:rsid w:val="009D3447"/>
    <w:rsid w:val="009D4711"/>
    <w:rsid w:val="009F1185"/>
    <w:rsid w:val="009F18CD"/>
    <w:rsid w:val="009F2A13"/>
    <w:rsid w:val="009F44F1"/>
    <w:rsid w:val="00A04EB0"/>
    <w:rsid w:val="00A13CC1"/>
    <w:rsid w:val="00A16847"/>
    <w:rsid w:val="00A237D8"/>
    <w:rsid w:val="00A268C4"/>
    <w:rsid w:val="00A3035B"/>
    <w:rsid w:val="00A307CD"/>
    <w:rsid w:val="00A40A00"/>
    <w:rsid w:val="00A4142F"/>
    <w:rsid w:val="00A51B19"/>
    <w:rsid w:val="00A56DF2"/>
    <w:rsid w:val="00A67AB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D5581"/>
    <w:rsid w:val="00BF5BD6"/>
    <w:rsid w:val="00C03E31"/>
    <w:rsid w:val="00C15BD1"/>
    <w:rsid w:val="00C328BF"/>
    <w:rsid w:val="00C33E72"/>
    <w:rsid w:val="00C354B2"/>
    <w:rsid w:val="00C35554"/>
    <w:rsid w:val="00C42709"/>
    <w:rsid w:val="00C533CC"/>
    <w:rsid w:val="00C5751C"/>
    <w:rsid w:val="00C61BFC"/>
    <w:rsid w:val="00C62B85"/>
    <w:rsid w:val="00C65438"/>
    <w:rsid w:val="00C70456"/>
    <w:rsid w:val="00C740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92D2D"/>
    <w:rsid w:val="00DA65AC"/>
    <w:rsid w:val="00DA695F"/>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53C9"/>
    <w:rsid w:val="00F97B85"/>
    <w:rsid w:val="00FA23E8"/>
    <w:rsid w:val="00FD3CC1"/>
    <w:rsid w:val="00FF1E02"/>
    <w:rsid w:val="00FF30B4"/>
    <w:rsid w:val="10C055FF"/>
    <w:rsid w:val="16BB723D"/>
    <w:rsid w:val="22F71385"/>
    <w:rsid w:val="240371BF"/>
    <w:rsid w:val="29FD04D3"/>
    <w:rsid w:val="319F7F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0"/>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uiPriority w:val="99"/>
    <w:rPr>
      <w:sz w:val="18"/>
      <w:szCs w:val="18"/>
    </w:rPr>
  </w:style>
  <w:style w:type="paragraph" w:styleId="8">
    <w:name w:val="footer"/>
    <w:basedOn w:val="1"/>
    <w:link w:val="2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rFonts w:ascii="Calibri" w:hAnsi="Calibri"/>
      <w:kern w:val="0"/>
      <w:sz w:val="24"/>
    </w:rPr>
  </w:style>
  <w:style w:type="character" w:styleId="15">
    <w:name w:val="Strong"/>
    <w:basedOn w:val="14"/>
    <w:qFormat/>
    <w:uiPriority w:val="99"/>
    <w:rPr>
      <w:b/>
    </w:rPr>
  </w:style>
  <w:style w:type="character" w:styleId="16">
    <w:name w:val="page number"/>
    <w:uiPriority w:val="0"/>
  </w:style>
  <w:style w:type="character" w:styleId="17">
    <w:name w:val="Hyperlink"/>
    <w:basedOn w:val="14"/>
    <w:unhideWhenUsed/>
    <w:uiPriority w:val="99"/>
    <w:rPr>
      <w:color w:val="0000FF" w:themeColor="hyperlink"/>
      <w:u w:val="single"/>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0"/>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uiPriority w:val="9"/>
    <w:rPr>
      <w:rFonts w:ascii="Times New Roman" w:hAnsi="Times New Roman"/>
      <w:b/>
      <w:bCs/>
      <w:kern w:val="44"/>
      <w:sz w:val="44"/>
      <w:szCs w:val="44"/>
    </w:rPr>
  </w:style>
  <w:style w:type="character" w:customStyle="1" w:styleId="27">
    <w:name w:val="标题 2 Char"/>
    <w:basedOn w:val="14"/>
    <w:link w:val="3"/>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4"/>
    <w:link w:val="7"/>
    <w:semiHidden/>
    <w:uiPriority w:val="99"/>
    <w:rPr>
      <w:rFonts w:ascii="Times New Roman" w:hAnsi="Times New Roman"/>
      <w:kern w:val="2"/>
      <w:sz w:val="18"/>
      <w:szCs w:val="18"/>
    </w:rPr>
  </w:style>
  <w:style w:type="character" w:customStyle="1" w:styleId="30">
    <w:name w:val="标题 3 Char"/>
    <w:basedOn w:val="14"/>
    <w:link w:val="4"/>
    <w:uiPriority w:val="9"/>
    <w:rPr>
      <w:rFonts w:ascii="Times New Roman" w:hAnsi="Times New Roman"/>
      <w:b/>
      <w:bCs/>
      <w:kern w:val="2"/>
      <w:sz w:val="32"/>
      <w:szCs w:val="32"/>
    </w:rPr>
  </w:style>
  <w:style w:type="character" w:customStyle="1" w:styleId="31">
    <w:name w:val="正文文本 Char1"/>
    <w:basedOn w:val="14"/>
    <w:qFormat/>
    <w:uiPriority w:val="0"/>
    <w:rPr>
      <w:rFonts w:ascii="仿宋_GB2312" w:eastAsia="仿宋_GB2312"/>
      <w:sz w:val="30"/>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5C34E6-59BF-4260-BFEF-5653B2FFDA4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2158</Words>
  <Characters>12307</Characters>
  <Lines>102</Lines>
  <Paragraphs>28</Paragraphs>
  <TotalTime>475</TotalTime>
  <ScaleCrop>false</ScaleCrop>
  <LinksUpToDate>false</LinksUpToDate>
  <CharactersWithSpaces>14437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2019-09-24T01:24:00Z</dcterms:created>
  <dc:creator>张彬茜</dc:creator>
  <cp:lastModifiedBy>གཉེ་འབུ་བྱང</cp:lastModifiedBy>
  <cp:lastPrinted>2019-08-01T00:48:00Z</cp:lastPrinted>
  <dcterms:modified xsi:type="dcterms:W3CDTF">2021-02-26T08:28:09Z</dcterms:modified>
  <dc:title>四川省***</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