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spacing w:line="600" w:lineRule="exact"/>
        <w:jc w:val="center"/>
        <w:outlineLvl w:val="0"/>
        <w:rPr>
          <w:rFonts w:ascii="方正小标宋简体" w:hAnsi="宋体" w:eastAsia="方正小标宋简体"/>
          <w:color w:val="000000"/>
          <w:sz w:val="72"/>
          <w:szCs w:val="72"/>
        </w:rPr>
      </w:pPr>
      <w:bookmarkStart w:id="0" w:name="_Toc15306267"/>
    </w:p>
    <w:p>
      <w:pPr>
        <w:spacing w:line="600" w:lineRule="exact"/>
        <w:jc w:val="center"/>
        <w:outlineLvl w:val="0"/>
        <w:rPr>
          <w:rFonts w:ascii="方正小标宋简体" w:hAnsi="宋体" w:eastAsia="方正小标宋简体"/>
          <w:color w:val="000000"/>
          <w:sz w:val="72"/>
          <w:szCs w:val="72"/>
        </w:rPr>
      </w:pPr>
    </w:p>
    <w:bookmarkEnd w:id="0"/>
    <w:p>
      <w:pPr>
        <w:adjustRightInd w:val="0"/>
        <w:snapToGrid w:val="0"/>
        <w:spacing w:line="360" w:lineRule="auto"/>
        <w:jc w:val="center"/>
        <w:outlineLvl w:val="0"/>
        <w:rPr>
          <w:rFonts w:ascii="方正小标宋简体" w:hAnsi="宋体" w:eastAsia="方正小标宋简体"/>
          <w:color w:val="000000"/>
          <w:sz w:val="72"/>
          <w:szCs w:val="72"/>
        </w:rPr>
      </w:pPr>
      <w:bookmarkStart w:id="1" w:name="_Toc15396475"/>
      <w:bookmarkStart w:id="2" w:name="_Toc15396597"/>
      <w:bookmarkStart w:id="3" w:name="_Toc15377425"/>
      <w:bookmarkStart w:id="4" w:name="_Toc15377193"/>
      <w:bookmarkStart w:id="5" w:name="_Toc15378441"/>
      <w:r>
        <w:rPr>
          <w:rFonts w:ascii="黑体" w:hAnsi="黑体" w:eastAsia="黑体"/>
          <w:color w:val="000000"/>
          <w:sz w:val="72"/>
          <w:szCs w:val="72"/>
        </w:rPr>
        <w:t>20</w:t>
      </w:r>
      <w:r>
        <w:rPr>
          <w:rFonts w:hint="eastAsia" w:ascii="黑体" w:hAnsi="黑体" w:eastAsia="黑体"/>
          <w:color w:val="000000"/>
          <w:sz w:val="72"/>
          <w:szCs w:val="72"/>
          <w:lang w:val="en-US" w:eastAsia="zh-CN"/>
        </w:rPr>
        <w:t>20</w:t>
      </w:r>
      <w:r>
        <w:rPr>
          <w:rFonts w:hint="eastAsia" w:ascii="方正小标宋简体" w:hAnsi="宋体" w:eastAsia="方正小标宋简体"/>
          <w:color w:val="000000"/>
          <w:sz w:val="72"/>
          <w:szCs w:val="72"/>
        </w:rPr>
        <w:t>年度</w:t>
      </w:r>
      <w:bookmarkEnd w:id="1"/>
      <w:bookmarkEnd w:id="2"/>
      <w:bookmarkEnd w:id="3"/>
      <w:bookmarkEnd w:id="4"/>
      <w:bookmarkEnd w:id="5"/>
    </w:p>
    <w:p>
      <w:pPr>
        <w:adjustRightInd w:val="0"/>
        <w:snapToGrid w:val="0"/>
        <w:spacing w:line="360" w:lineRule="auto"/>
        <w:jc w:val="center"/>
        <w:outlineLvl w:val="0"/>
        <w:rPr>
          <w:rFonts w:ascii="方正小标宋简体" w:hAnsi="宋体" w:eastAsia="方正小标宋简体"/>
          <w:color w:val="000000"/>
          <w:sz w:val="72"/>
          <w:szCs w:val="72"/>
        </w:rPr>
      </w:pPr>
      <w:bookmarkStart w:id="6" w:name="_Toc15396598"/>
      <w:bookmarkStart w:id="7" w:name="_Toc15377426"/>
      <w:bookmarkStart w:id="8" w:name="_Toc15378442"/>
      <w:bookmarkStart w:id="9" w:name="_Toc15377194"/>
      <w:bookmarkStart w:id="10" w:name="_Toc15396476"/>
      <w:r>
        <w:rPr>
          <w:rFonts w:hint="eastAsia" w:ascii="方正小标宋简体" w:hAnsi="宋体" w:eastAsia="方正小标宋简体"/>
          <w:color w:val="000000"/>
          <w:sz w:val="72"/>
          <w:szCs w:val="72"/>
        </w:rPr>
        <w:t>四川省阿坝州</w:t>
      </w:r>
      <w:bookmarkStart w:id="11" w:name="_Toc15306268"/>
      <w:r>
        <w:rPr>
          <w:rFonts w:hint="eastAsia" w:ascii="方正小标宋简体" w:hAnsi="宋体" w:eastAsia="方正小标宋简体"/>
          <w:color w:val="000000"/>
          <w:sz w:val="72"/>
          <w:szCs w:val="72"/>
        </w:rPr>
        <w:t>九寨沟残疾人康复中心部门决算</w:t>
      </w:r>
      <w:bookmarkEnd w:id="6"/>
      <w:bookmarkEnd w:id="7"/>
      <w:bookmarkEnd w:id="8"/>
      <w:bookmarkEnd w:id="9"/>
      <w:bookmarkEnd w:id="10"/>
      <w:bookmarkEnd w:id="11"/>
    </w:p>
    <w:p>
      <w:pPr>
        <w:widowControl/>
        <w:jc w:val="center"/>
        <w:rPr>
          <w:rFonts w:ascii="方正小标宋简体" w:hAnsi="宋体" w:eastAsia="方正小标宋简体"/>
          <w:color w:val="000000"/>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rPr>
          <w:rFonts w:ascii="方正小标宋简体" w:hAnsi="宋体" w:eastAsia="方正小标宋简体"/>
          <w:sz w:val="36"/>
          <w:szCs w:val="36"/>
        </w:rPr>
      </w:pPr>
    </w:p>
    <w:p>
      <w:pPr>
        <w:autoSpaceDE w:val="0"/>
        <w:autoSpaceDN w:val="0"/>
        <w:adjustRightInd w:val="0"/>
        <w:ind w:firstLine="1276"/>
        <w:jc w:val="left"/>
        <w:rPr>
          <w:rFonts w:eastAsia="仿宋_GB2312"/>
          <w:sz w:val="32"/>
          <w:szCs w:val="32"/>
        </w:rPr>
      </w:pPr>
      <w:r>
        <w:rPr>
          <w:rFonts w:hint="eastAsia" w:ascii="仿宋_GB2312" w:hAnsi="Calibri" w:eastAsia="仿宋_GB2312" w:cs="仿宋_GB2312"/>
          <w:sz w:val="32"/>
          <w:szCs w:val="32"/>
        </w:rPr>
        <w:t>保密审查情况：已审查，内容审定</w:t>
      </w:r>
    </w:p>
    <w:p>
      <w:pPr>
        <w:autoSpaceDE w:val="0"/>
        <w:autoSpaceDN w:val="0"/>
        <w:adjustRightInd w:val="0"/>
        <w:ind w:firstLine="1276"/>
        <w:jc w:val="left"/>
        <w:rPr>
          <w:rFonts w:eastAsia="仿宋_GB2312"/>
          <w:sz w:val="32"/>
          <w:szCs w:val="32"/>
        </w:rPr>
      </w:pPr>
      <w:r>
        <w:rPr>
          <w:rFonts w:hint="eastAsia" w:ascii="仿宋_GB2312" w:eastAsia="仿宋_GB2312" w:cs="仿宋_GB2312"/>
          <w:sz w:val="32"/>
          <w:szCs w:val="32"/>
        </w:rPr>
        <w:t>部门主要负责人审签情况：已审签</w:t>
      </w:r>
      <w:r>
        <w:rPr>
          <w:rFonts w:hint="eastAsia" w:ascii="仿宋_GB2312" w:hAnsi="Calibri" w:eastAsia="仿宋_GB2312" w:cs="仿宋_GB2312"/>
          <w:sz w:val="32"/>
          <w:szCs w:val="32"/>
        </w:rPr>
        <w:t>，同意对外公开</w:t>
      </w:r>
    </w:p>
    <w:p>
      <w:pPr>
        <w:widowControl/>
        <w:jc w:val="center"/>
        <w:rPr>
          <w:rFonts w:ascii="方正小标宋简体" w:hAnsi="宋体" w:eastAsia="方正小标宋简体"/>
          <w:sz w:val="36"/>
          <w:szCs w:val="36"/>
        </w:rPr>
      </w:pPr>
    </w:p>
    <w:p>
      <w:pPr>
        <w:widowControl/>
        <w:jc w:val="center"/>
        <w:rPr>
          <w:rFonts w:ascii="方正小标宋简体" w:hAnsi="宋体" w:eastAsia="方正小标宋简体"/>
          <w:color w:val="000000"/>
          <w:sz w:val="44"/>
          <w:szCs w:val="44"/>
        </w:rPr>
      </w:pPr>
      <w:r>
        <w:rPr>
          <w:rFonts w:ascii="方正小标宋简体" w:hAnsi="宋体" w:eastAsia="方正小标宋简体"/>
          <w:sz w:val="36"/>
          <w:szCs w:val="36"/>
        </w:rPr>
        <w:br w:type="page"/>
      </w:r>
    </w:p>
    <w:p>
      <w:pPr>
        <w:widowControl/>
        <w:jc w:val="center"/>
        <w:rPr>
          <w:rFonts w:ascii="黑体" w:hAnsi="黑体" w:eastAsia="黑体"/>
          <w:color w:val="000000"/>
          <w:sz w:val="48"/>
          <w:szCs w:val="48"/>
        </w:rPr>
      </w:pPr>
      <w:r>
        <w:rPr>
          <w:rFonts w:hint="eastAsia" w:ascii="黑体" w:hAnsi="黑体" w:eastAsia="黑体"/>
          <w:color w:val="000000"/>
          <w:sz w:val="48"/>
          <w:szCs w:val="48"/>
        </w:rPr>
        <w:t>目录</w:t>
      </w:r>
    </w:p>
    <w:p>
      <w:pPr>
        <w:widowControl/>
        <w:rPr>
          <w:rFonts w:ascii="黑体" w:hAnsi="黑体" w:eastAsia="黑体" w:cstheme="minorBidi"/>
          <w:sz w:val="28"/>
          <w:szCs w:val="28"/>
        </w:rPr>
      </w:pPr>
    </w:p>
    <w:p>
      <w:pPr>
        <w:spacing w:before="93"/>
        <w:jc w:val="center"/>
        <w:rPr>
          <w:rFonts w:ascii="仿宋" w:hAnsi="仿宋" w:eastAsia="仿宋"/>
          <w:sz w:val="28"/>
          <w:szCs w:val="28"/>
        </w:rPr>
      </w:pPr>
      <w:r>
        <w:rPr>
          <w:rFonts w:hint="eastAsia" w:ascii="仿宋" w:hAnsi="仿宋" w:eastAsia="仿宋"/>
          <w:sz w:val="28"/>
          <w:szCs w:val="28"/>
        </w:rPr>
        <w:t>公开时间：202</w:t>
      </w:r>
      <w:r>
        <w:rPr>
          <w:rFonts w:hint="eastAsia" w:ascii="仿宋" w:hAnsi="仿宋" w:eastAsia="仿宋"/>
          <w:sz w:val="28"/>
          <w:szCs w:val="28"/>
          <w:lang w:val="en-US" w:eastAsia="zh-CN"/>
        </w:rPr>
        <w:t>1</w:t>
      </w:r>
      <w:r>
        <w:rPr>
          <w:rFonts w:hint="eastAsia" w:ascii="仿宋" w:hAnsi="仿宋" w:eastAsia="仿宋"/>
          <w:sz w:val="28"/>
          <w:szCs w:val="28"/>
        </w:rPr>
        <w:t>年</w:t>
      </w:r>
      <w:r>
        <w:rPr>
          <w:rFonts w:hint="eastAsia" w:ascii="仿宋" w:hAnsi="仿宋" w:eastAsia="仿宋"/>
          <w:sz w:val="28"/>
          <w:szCs w:val="28"/>
          <w:lang w:val="en-US" w:eastAsia="zh-CN"/>
        </w:rPr>
        <w:t>9</w:t>
      </w:r>
      <w:r>
        <w:rPr>
          <w:rFonts w:hint="eastAsia" w:ascii="仿宋" w:hAnsi="仿宋" w:eastAsia="仿宋"/>
          <w:sz w:val="28"/>
          <w:szCs w:val="28"/>
        </w:rPr>
        <w:t>月</w:t>
      </w:r>
      <w:r>
        <w:rPr>
          <w:rFonts w:hint="eastAsia" w:ascii="仿宋" w:hAnsi="仿宋" w:eastAsia="仿宋"/>
          <w:sz w:val="28"/>
          <w:szCs w:val="28"/>
          <w:lang w:val="en-US" w:eastAsia="zh-CN"/>
        </w:rPr>
        <w:t>10</w:t>
      </w:r>
      <w:r>
        <w:rPr>
          <w:rFonts w:hint="eastAsia" w:ascii="仿宋" w:hAnsi="仿宋" w:eastAsia="仿宋"/>
          <w:sz w:val="28"/>
          <w:szCs w:val="28"/>
        </w:rPr>
        <w:t>日</w:t>
      </w:r>
    </w:p>
    <w:p>
      <w:pPr>
        <w:widowControl/>
        <w:jc w:val="center"/>
        <w:rPr>
          <w:rFonts w:ascii="黑体" w:hAnsi="黑体" w:eastAsia="黑体" w:cstheme="minorBidi"/>
          <w:sz w:val="28"/>
          <w:szCs w:val="28"/>
        </w:rPr>
      </w:pPr>
      <w:r>
        <w:rPr>
          <w:rFonts w:ascii="黑体" w:hAnsi="黑体" w:eastAsia="黑体"/>
          <w:color w:val="000000"/>
          <w:sz w:val="48"/>
          <w:szCs w:val="48"/>
        </w:rPr>
        <w:fldChar w:fldCharType="begin"/>
      </w:r>
      <w:r>
        <w:rPr>
          <w:rFonts w:ascii="黑体" w:hAnsi="黑体" w:eastAsia="黑体"/>
          <w:color w:val="000000"/>
          <w:sz w:val="48"/>
          <w:szCs w:val="48"/>
        </w:rPr>
        <w:instrText xml:space="preserve"> TOC \o "1-2" \h \z \u </w:instrText>
      </w:r>
      <w:r>
        <w:rPr>
          <w:rFonts w:ascii="黑体" w:hAnsi="黑体" w:eastAsia="黑体"/>
          <w:color w:val="000000"/>
          <w:sz w:val="48"/>
          <w:szCs w:val="48"/>
        </w:rPr>
        <w:fldChar w:fldCharType="separate"/>
      </w:r>
    </w:p>
    <w:p/>
    <w:p>
      <w:pPr>
        <w:pStyle w:val="12"/>
        <w:rPr>
          <w:rFonts w:cstheme="minorBidi"/>
        </w:rPr>
      </w:pPr>
      <w:r>
        <w:fldChar w:fldCharType="begin"/>
      </w:r>
      <w:r>
        <w:instrText xml:space="preserve"> HYPERLINK \l "_Toc15396599" </w:instrText>
      </w:r>
      <w:r>
        <w:fldChar w:fldCharType="separate"/>
      </w:r>
      <w:r>
        <w:rPr>
          <w:rStyle w:val="19"/>
          <w:rFonts w:hint="eastAsia"/>
        </w:rPr>
        <w:t>第一部分</w:t>
      </w:r>
      <w:r>
        <w:rPr>
          <w:rStyle w:val="19"/>
        </w:rPr>
        <w:t xml:space="preserve"> </w:t>
      </w:r>
      <w:r>
        <w:rPr>
          <w:rStyle w:val="19"/>
          <w:rFonts w:hint="eastAsia"/>
        </w:rPr>
        <w:t>部门概况</w:t>
      </w:r>
      <w:r>
        <w:tab/>
      </w:r>
      <w:r>
        <w:rPr>
          <w:rFonts w:hint="eastAsia"/>
        </w:rPr>
        <w:t>4</w:t>
      </w:r>
      <w:r>
        <w:rPr>
          <w:rFonts w:hint="eastAsia"/>
        </w:rPr>
        <w:fldChar w:fldCharType="end"/>
      </w:r>
      <w:r>
        <w:rPr>
          <w:rFonts w:hint="eastAsia"/>
        </w:rPr>
        <w:t>-6</w:t>
      </w:r>
    </w:p>
    <w:p>
      <w:pPr>
        <w:pStyle w:val="13"/>
        <w:rPr>
          <w:rFonts w:ascii="仿宋" w:hAnsi="仿宋" w:eastAsia="仿宋" w:cstheme="minorBidi"/>
          <w:sz w:val="28"/>
          <w:szCs w:val="28"/>
        </w:rPr>
      </w:pPr>
      <w:r>
        <w:fldChar w:fldCharType="begin"/>
      </w:r>
      <w:r>
        <w:instrText xml:space="preserve"> HYPERLINK \l "_Toc15396600" </w:instrText>
      </w:r>
      <w:r>
        <w:fldChar w:fldCharType="separate"/>
      </w:r>
      <w:r>
        <w:rPr>
          <w:rStyle w:val="19"/>
          <w:rFonts w:hint="eastAsia" w:ascii="仿宋" w:hAnsi="仿宋" w:eastAsia="仿宋"/>
          <w:sz w:val="28"/>
          <w:szCs w:val="28"/>
        </w:rPr>
        <w:t>一、基本职能及主要工作</w:t>
      </w:r>
      <w:r>
        <w:rPr>
          <w:rFonts w:ascii="仿宋" w:hAnsi="仿宋" w:eastAsia="仿宋"/>
          <w:sz w:val="28"/>
          <w:szCs w:val="28"/>
        </w:rPr>
        <w:tab/>
      </w:r>
      <w:r>
        <w:rPr>
          <w:rFonts w:hint="eastAsia" w:ascii="仿宋" w:hAnsi="仿宋" w:eastAsia="仿宋"/>
          <w:sz w:val="28"/>
          <w:szCs w:val="28"/>
        </w:rPr>
        <w:t>4</w:t>
      </w:r>
      <w:r>
        <w:rPr>
          <w:rFonts w:hint="eastAsia" w:ascii="仿宋" w:hAnsi="仿宋" w:eastAsia="仿宋"/>
          <w:sz w:val="28"/>
          <w:szCs w:val="28"/>
        </w:rPr>
        <w:fldChar w:fldCharType="end"/>
      </w:r>
      <w:r>
        <w:rPr>
          <w:rFonts w:hint="eastAsia" w:ascii="仿宋" w:hAnsi="仿宋" w:eastAsia="仿宋"/>
          <w:sz w:val="28"/>
          <w:szCs w:val="28"/>
        </w:rPr>
        <w:t>-5</w:t>
      </w:r>
    </w:p>
    <w:p>
      <w:pPr>
        <w:pStyle w:val="13"/>
        <w:rPr>
          <w:rFonts w:ascii="仿宋" w:hAnsi="仿宋" w:eastAsia="仿宋" w:cstheme="minorBidi"/>
          <w:sz w:val="28"/>
          <w:szCs w:val="28"/>
        </w:rPr>
      </w:pPr>
      <w:r>
        <w:fldChar w:fldCharType="begin"/>
      </w:r>
      <w:r>
        <w:instrText xml:space="preserve"> HYPERLINK \l "_Toc15396601" </w:instrText>
      </w:r>
      <w:r>
        <w:fldChar w:fldCharType="separate"/>
      </w:r>
      <w:r>
        <w:rPr>
          <w:rStyle w:val="19"/>
          <w:rFonts w:hint="eastAsia" w:ascii="仿宋" w:hAnsi="仿宋" w:eastAsia="仿宋"/>
          <w:sz w:val="28"/>
          <w:szCs w:val="28"/>
        </w:rPr>
        <w:t>二、机构设置</w:t>
      </w:r>
      <w:r>
        <w:rPr>
          <w:rFonts w:ascii="仿宋" w:hAnsi="仿宋" w:eastAsia="仿宋"/>
          <w:sz w:val="28"/>
          <w:szCs w:val="28"/>
        </w:rPr>
        <w:tab/>
      </w:r>
      <w:r>
        <w:rPr>
          <w:rFonts w:hint="eastAsia" w:ascii="仿宋" w:hAnsi="仿宋" w:eastAsia="仿宋"/>
          <w:sz w:val="28"/>
          <w:szCs w:val="28"/>
        </w:rPr>
        <w:t>6</w:t>
      </w:r>
      <w:r>
        <w:rPr>
          <w:rFonts w:hint="eastAsia" w:ascii="仿宋" w:hAnsi="仿宋" w:eastAsia="仿宋"/>
          <w:sz w:val="28"/>
          <w:szCs w:val="28"/>
        </w:rPr>
        <w:fldChar w:fldCharType="end"/>
      </w:r>
    </w:p>
    <w:p>
      <w:pPr>
        <w:pStyle w:val="12"/>
      </w:pPr>
      <w:r>
        <w:fldChar w:fldCharType="begin"/>
      </w:r>
      <w:r>
        <w:instrText xml:space="preserve"> HYPERLINK \l "_Toc15396602" </w:instrText>
      </w:r>
      <w:r>
        <w:fldChar w:fldCharType="separate"/>
      </w:r>
      <w:r>
        <w:rPr>
          <w:rStyle w:val="19"/>
          <w:rFonts w:hint="eastAsia"/>
        </w:rPr>
        <w:t>第二部分</w:t>
      </w:r>
      <w:r>
        <w:rPr>
          <w:rStyle w:val="19"/>
        </w:rPr>
        <w:t xml:space="preserve"> 20</w:t>
      </w:r>
      <w:r>
        <w:rPr>
          <w:rStyle w:val="19"/>
          <w:rFonts w:hint="eastAsia"/>
          <w:lang w:val="en-US" w:eastAsia="zh-CN"/>
        </w:rPr>
        <w:t>20</w:t>
      </w:r>
      <w:r>
        <w:rPr>
          <w:rStyle w:val="19"/>
          <w:rFonts w:hint="eastAsia"/>
        </w:rPr>
        <w:t>年度部门决算情况说明</w:t>
      </w:r>
      <w:r>
        <w:tab/>
      </w:r>
      <w:r>
        <w:rPr>
          <w:rFonts w:hint="eastAsia"/>
        </w:rPr>
        <w:t>7</w:t>
      </w:r>
      <w:r>
        <w:rPr>
          <w:rFonts w:hint="eastAsia"/>
        </w:rPr>
        <w:fldChar w:fldCharType="end"/>
      </w:r>
    </w:p>
    <w:p>
      <w:pPr>
        <w:pStyle w:val="13"/>
        <w:rPr>
          <w:rFonts w:ascii="仿宋" w:hAnsi="仿宋" w:eastAsia="仿宋" w:cstheme="minorBidi"/>
          <w:sz w:val="28"/>
          <w:szCs w:val="28"/>
        </w:rPr>
      </w:pPr>
      <w:r>
        <w:fldChar w:fldCharType="begin"/>
      </w:r>
      <w:r>
        <w:instrText xml:space="preserve"> HYPERLINK \l "_Toc15396603" </w:instrText>
      </w:r>
      <w:r>
        <w:fldChar w:fldCharType="separate"/>
      </w:r>
      <w:r>
        <w:rPr>
          <w:rStyle w:val="19"/>
          <w:rFonts w:hint="eastAsia" w:ascii="仿宋" w:hAnsi="仿宋" w:eastAsia="仿宋" w:cstheme="majorBidi"/>
          <w:bCs/>
          <w:sz w:val="28"/>
          <w:szCs w:val="28"/>
        </w:rPr>
        <w:t>一、</w:t>
      </w:r>
      <w:r>
        <w:rPr>
          <w:rStyle w:val="19"/>
          <w:rFonts w:hint="eastAsia" w:ascii="仿宋" w:hAnsi="仿宋" w:eastAsia="仿宋"/>
          <w:sz w:val="28"/>
          <w:szCs w:val="28"/>
        </w:rPr>
        <w:t>收</w:t>
      </w:r>
      <w:r>
        <w:rPr>
          <w:rStyle w:val="19"/>
          <w:rFonts w:hint="eastAsia" w:ascii="仿宋" w:hAnsi="仿宋" w:eastAsia="仿宋" w:cstheme="majorBidi"/>
          <w:bCs/>
          <w:sz w:val="28"/>
          <w:szCs w:val="28"/>
        </w:rPr>
        <w:t>入支出决算总体情况说明</w:t>
      </w:r>
      <w:r>
        <w:rPr>
          <w:rFonts w:ascii="仿宋" w:hAnsi="仿宋" w:eastAsia="仿宋"/>
          <w:sz w:val="28"/>
          <w:szCs w:val="28"/>
        </w:rPr>
        <w:tab/>
      </w:r>
      <w:r>
        <w:rPr>
          <w:rFonts w:hint="eastAsia" w:ascii="仿宋" w:hAnsi="仿宋" w:eastAsia="仿宋"/>
          <w:sz w:val="28"/>
          <w:szCs w:val="28"/>
        </w:rPr>
        <w:t>7</w:t>
      </w:r>
      <w:r>
        <w:rPr>
          <w:rFonts w:hint="eastAsia"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"_Toc15396604" </w:instrText>
      </w:r>
      <w:r>
        <w:fldChar w:fldCharType="separate"/>
      </w:r>
      <w:r>
        <w:rPr>
          <w:rStyle w:val="19"/>
          <w:rFonts w:hint="eastAsia" w:ascii="仿宋" w:hAnsi="仿宋" w:eastAsia="仿宋" w:cstheme="majorBidi"/>
          <w:bCs/>
          <w:sz w:val="28"/>
          <w:szCs w:val="28"/>
        </w:rPr>
        <w:t>二、</w:t>
      </w:r>
      <w:r>
        <w:rPr>
          <w:rStyle w:val="19"/>
          <w:rFonts w:hint="eastAsia" w:ascii="仿宋" w:hAnsi="仿宋" w:eastAsia="仿宋"/>
          <w:sz w:val="28"/>
          <w:szCs w:val="28"/>
        </w:rPr>
        <w:t>收</w:t>
      </w:r>
      <w:r>
        <w:rPr>
          <w:rStyle w:val="19"/>
          <w:rFonts w:hint="eastAsia" w:ascii="仿宋" w:hAnsi="仿宋" w:eastAsia="仿宋" w:cstheme="majorBidi"/>
          <w:bCs/>
          <w:sz w:val="28"/>
          <w:szCs w:val="28"/>
        </w:rPr>
        <w:t>入决算情况说明</w:t>
      </w:r>
      <w:r>
        <w:rPr>
          <w:rFonts w:ascii="仿宋" w:hAnsi="仿宋" w:eastAsia="仿宋"/>
          <w:sz w:val="28"/>
          <w:szCs w:val="28"/>
        </w:rPr>
        <w:tab/>
      </w:r>
      <w:r>
        <w:rPr>
          <w:rFonts w:hint="eastAsia" w:ascii="仿宋" w:hAnsi="仿宋" w:eastAsia="仿宋"/>
          <w:sz w:val="28"/>
          <w:szCs w:val="28"/>
        </w:rPr>
        <w:t>7</w:t>
      </w:r>
      <w:r>
        <w:rPr>
          <w:rFonts w:hint="eastAsia"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"_Toc15396605" </w:instrText>
      </w:r>
      <w:r>
        <w:fldChar w:fldCharType="separate"/>
      </w:r>
      <w:r>
        <w:rPr>
          <w:rStyle w:val="19"/>
          <w:rFonts w:hint="eastAsia" w:ascii="仿宋" w:hAnsi="仿宋" w:eastAsia="仿宋" w:cstheme="majorBidi"/>
          <w:bCs/>
          <w:sz w:val="28"/>
          <w:szCs w:val="28"/>
        </w:rPr>
        <w:t>三、</w:t>
      </w:r>
      <w:r>
        <w:rPr>
          <w:rStyle w:val="19"/>
          <w:rFonts w:hint="eastAsia" w:ascii="仿宋" w:hAnsi="仿宋" w:eastAsia="仿宋"/>
          <w:sz w:val="28"/>
          <w:szCs w:val="28"/>
        </w:rPr>
        <w:t>支</w:t>
      </w:r>
      <w:r>
        <w:rPr>
          <w:rStyle w:val="19"/>
          <w:rFonts w:hint="eastAsia" w:ascii="仿宋" w:hAnsi="仿宋" w:eastAsia="仿宋" w:cstheme="majorBidi"/>
          <w:bCs/>
          <w:sz w:val="28"/>
          <w:szCs w:val="28"/>
        </w:rPr>
        <w:t>出决算情况说明</w:t>
      </w:r>
      <w:r>
        <w:rPr>
          <w:rFonts w:ascii="仿宋" w:hAnsi="仿宋" w:eastAsia="仿宋"/>
          <w:sz w:val="28"/>
          <w:szCs w:val="28"/>
        </w:rPr>
        <w:tab/>
      </w:r>
      <w:r>
        <w:rPr>
          <w:rFonts w:hint="eastAsia" w:ascii="仿宋" w:hAnsi="仿宋" w:eastAsia="仿宋"/>
          <w:sz w:val="28"/>
          <w:szCs w:val="28"/>
        </w:rPr>
        <w:t>7</w:t>
      </w:r>
      <w:r>
        <w:rPr>
          <w:rFonts w:hint="eastAsia"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"_Toc15396606" </w:instrText>
      </w:r>
      <w:r>
        <w:fldChar w:fldCharType="separate"/>
      </w:r>
      <w:r>
        <w:rPr>
          <w:rStyle w:val="19"/>
          <w:rFonts w:hint="eastAsia" w:ascii="仿宋" w:hAnsi="仿宋" w:eastAsia="仿宋"/>
          <w:sz w:val="28"/>
          <w:szCs w:val="28"/>
        </w:rPr>
        <w:t>四、财</w:t>
      </w:r>
      <w:r>
        <w:rPr>
          <w:rStyle w:val="19"/>
          <w:rFonts w:hint="eastAsia" w:ascii="仿宋" w:hAnsi="仿宋" w:eastAsia="仿宋" w:cstheme="majorBidi"/>
          <w:bCs/>
          <w:sz w:val="28"/>
          <w:szCs w:val="28"/>
        </w:rPr>
        <w:t>政拨款收入支出决算总体情况说明</w:t>
      </w:r>
      <w:r>
        <w:rPr>
          <w:rFonts w:ascii="仿宋" w:hAnsi="仿宋" w:eastAsia="仿宋"/>
          <w:sz w:val="28"/>
          <w:szCs w:val="28"/>
        </w:rPr>
        <w:tab/>
      </w:r>
      <w:r>
        <w:rPr>
          <w:rFonts w:hint="eastAsia" w:ascii="仿宋" w:hAnsi="仿宋" w:eastAsia="仿宋"/>
          <w:sz w:val="28"/>
          <w:szCs w:val="28"/>
        </w:rPr>
        <w:t>7</w:t>
      </w:r>
      <w:r>
        <w:rPr>
          <w:rFonts w:hint="eastAsia"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"_Toc15396607" </w:instrText>
      </w:r>
      <w:r>
        <w:fldChar w:fldCharType="separate"/>
      </w:r>
      <w:r>
        <w:rPr>
          <w:rStyle w:val="19"/>
          <w:rFonts w:hint="eastAsia" w:ascii="仿宋" w:hAnsi="仿宋" w:eastAsia="仿宋"/>
          <w:sz w:val="28"/>
          <w:szCs w:val="28"/>
        </w:rPr>
        <w:t>五、一</w:t>
      </w:r>
      <w:r>
        <w:rPr>
          <w:rStyle w:val="19"/>
          <w:rFonts w:hint="eastAsia" w:ascii="仿宋" w:hAnsi="仿宋" w:eastAsia="仿宋" w:cstheme="majorBidi"/>
          <w:bCs/>
          <w:sz w:val="28"/>
          <w:szCs w:val="28"/>
        </w:rPr>
        <w:t>般公共预算财政拨款支出决算情况说明</w:t>
      </w:r>
      <w:r>
        <w:rPr>
          <w:rFonts w:ascii="仿宋" w:hAnsi="仿宋" w:eastAsia="仿宋"/>
          <w:sz w:val="28"/>
          <w:szCs w:val="28"/>
        </w:rPr>
        <w:tab/>
      </w:r>
      <w:r>
        <w:rPr>
          <w:rFonts w:hint="eastAsia" w:ascii="仿宋" w:hAnsi="仿宋" w:eastAsia="仿宋"/>
          <w:sz w:val="28"/>
          <w:szCs w:val="28"/>
        </w:rPr>
        <w:t>7</w:t>
      </w:r>
      <w:r>
        <w:rPr>
          <w:rFonts w:hint="eastAsia" w:ascii="仿宋" w:hAnsi="仿宋" w:eastAsia="仿宋"/>
          <w:sz w:val="28"/>
          <w:szCs w:val="28"/>
        </w:rPr>
        <w:fldChar w:fldCharType="end"/>
      </w:r>
      <w:r>
        <w:rPr>
          <w:rFonts w:hint="eastAsia" w:ascii="仿宋" w:hAnsi="仿宋" w:eastAsia="仿宋"/>
          <w:sz w:val="28"/>
          <w:szCs w:val="28"/>
        </w:rPr>
        <w:t>-8</w:t>
      </w:r>
    </w:p>
    <w:p>
      <w:pPr>
        <w:pStyle w:val="13"/>
        <w:rPr>
          <w:rFonts w:ascii="仿宋" w:hAnsi="仿宋" w:eastAsia="仿宋" w:cstheme="minorBidi"/>
          <w:sz w:val="28"/>
          <w:szCs w:val="28"/>
        </w:rPr>
      </w:pPr>
      <w:r>
        <w:fldChar w:fldCharType="begin"/>
      </w:r>
      <w:r>
        <w:instrText xml:space="preserve"> HYPERLINK \l "_Toc15396608" </w:instrText>
      </w:r>
      <w:r>
        <w:fldChar w:fldCharType="separate"/>
      </w:r>
      <w:r>
        <w:rPr>
          <w:rStyle w:val="19"/>
          <w:rFonts w:hint="eastAsia" w:ascii="仿宋" w:hAnsi="仿宋" w:eastAsia="仿宋"/>
          <w:sz w:val="28"/>
          <w:szCs w:val="28"/>
        </w:rPr>
        <w:t>六、一</w:t>
      </w:r>
      <w:r>
        <w:rPr>
          <w:rStyle w:val="19"/>
          <w:rFonts w:hint="eastAsia" w:ascii="仿宋" w:hAnsi="仿宋" w:eastAsia="仿宋" w:cstheme="majorBidi"/>
          <w:bCs/>
          <w:sz w:val="28"/>
          <w:szCs w:val="28"/>
        </w:rPr>
        <w:t>般公共预算财政拨款基本支出决算情况说明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_Toc15396608 \h </w:instrText>
      </w:r>
      <w:r>
        <w:rPr>
          <w:rFonts w:ascii="仿宋" w:hAnsi="仿宋" w:eastAsia="仿宋"/>
          <w:sz w:val="28"/>
          <w:szCs w:val="28"/>
        </w:rPr>
        <w:fldChar w:fldCharType="separate"/>
      </w:r>
      <w:r>
        <w:rPr>
          <w:rFonts w:ascii="仿宋" w:hAnsi="仿宋" w:eastAsia="仿宋"/>
          <w:sz w:val="28"/>
          <w:szCs w:val="28"/>
        </w:rPr>
        <w:t>7</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"_Toc15396609" </w:instrText>
      </w:r>
      <w:r>
        <w:fldChar w:fldCharType="separate"/>
      </w:r>
      <w:r>
        <w:rPr>
          <w:rStyle w:val="19"/>
          <w:rFonts w:hint="eastAsia" w:ascii="仿宋" w:hAnsi="仿宋" w:eastAsia="仿宋"/>
          <w:sz w:val="28"/>
          <w:szCs w:val="28"/>
        </w:rPr>
        <w:t>七、</w:t>
      </w:r>
      <w:r>
        <w:rPr>
          <w:rStyle w:val="19"/>
          <w:rFonts w:ascii="仿宋" w:hAnsi="仿宋" w:eastAsia="仿宋"/>
          <w:sz w:val="28"/>
          <w:szCs w:val="28"/>
        </w:rPr>
        <w:t>“</w:t>
      </w:r>
      <w:r>
        <w:rPr>
          <w:rStyle w:val="19"/>
          <w:rFonts w:hint="eastAsia" w:ascii="仿宋" w:hAnsi="仿宋" w:eastAsia="仿宋" w:cstheme="majorBidi"/>
          <w:bCs/>
          <w:sz w:val="28"/>
          <w:szCs w:val="28"/>
        </w:rPr>
        <w:t>三公”经费财政拨款支出决算情况说明</w:t>
      </w:r>
      <w:r>
        <w:rPr>
          <w:rFonts w:ascii="仿宋" w:hAnsi="仿宋" w:eastAsia="仿宋"/>
          <w:sz w:val="28"/>
          <w:szCs w:val="28"/>
        </w:rPr>
        <w:tab/>
      </w:r>
      <w:r>
        <w:rPr>
          <w:rFonts w:hint="eastAsia" w:ascii="仿宋" w:hAnsi="仿宋" w:eastAsia="仿宋"/>
          <w:sz w:val="28"/>
          <w:szCs w:val="28"/>
        </w:rPr>
        <w:t>9</w:t>
      </w:r>
      <w:r>
        <w:rPr>
          <w:rFonts w:hint="eastAsia"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"_Toc15396610" </w:instrText>
      </w:r>
      <w:r>
        <w:fldChar w:fldCharType="separate"/>
      </w:r>
      <w:r>
        <w:rPr>
          <w:rStyle w:val="19"/>
          <w:rFonts w:hint="eastAsia" w:ascii="仿宋" w:hAnsi="仿宋" w:eastAsia="仿宋"/>
          <w:sz w:val="28"/>
          <w:szCs w:val="28"/>
        </w:rPr>
        <w:t>八、</w:t>
      </w:r>
      <w:r>
        <w:rPr>
          <w:rStyle w:val="19"/>
          <w:rFonts w:hint="eastAsia" w:ascii="仿宋" w:hAnsi="仿宋" w:eastAsia="仿宋" w:cstheme="majorBidi"/>
          <w:bCs/>
          <w:sz w:val="28"/>
          <w:szCs w:val="28"/>
        </w:rPr>
        <w:t>政府性基金预算支出决算情况说明</w:t>
      </w:r>
      <w:r>
        <w:rPr>
          <w:rFonts w:ascii="仿宋" w:hAnsi="仿宋" w:eastAsia="仿宋"/>
          <w:sz w:val="28"/>
          <w:szCs w:val="28"/>
        </w:rPr>
        <w:tab/>
      </w:r>
      <w:r>
        <w:rPr>
          <w:rFonts w:hint="eastAsia" w:ascii="仿宋" w:hAnsi="仿宋" w:eastAsia="仿宋"/>
          <w:sz w:val="28"/>
          <w:szCs w:val="28"/>
        </w:rPr>
        <w:t>9</w:t>
      </w:r>
      <w:r>
        <w:rPr>
          <w:rFonts w:hint="eastAsia"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"_Toc15396611" </w:instrText>
      </w:r>
      <w:r>
        <w:fldChar w:fldCharType="separate"/>
      </w:r>
      <w:r>
        <w:rPr>
          <w:rStyle w:val="19"/>
          <w:rFonts w:hint="eastAsia" w:ascii="仿宋" w:hAnsi="仿宋" w:eastAsia="仿宋" w:cstheme="majorBidi"/>
          <w:bCs/>
          <w:sz w:val="28"/>
          <w:szCs w:val="28"/>
        </w:rPr>
        <w:t>九、</w:t>
      </w:r>
      <w:r>
        <w:rPr>
          <w:rStyle w:val="19"/>
          <w:rFonts w:hint="eastAsia" w:ascii="仿宋" w:hAnsi="仿宋" w:eastAsia="仿宋"/>
          <w:sz w:val="28"/>
          <w:szCs w:val="28"/>
        </w:rPr>
        <w:t xml:space="preserve"> 国</w:t>
      </w:r>
      <w:r>
        <w:rPr>
          <w:rStyle w:val="19"/>
          <w:rFonts w:hint="eastAsia" w:ascii="仿宋" w:hAnsi="仿宋" w:eastAsia="仿宋" w:cstheme="majorBidi"/>
          <w:bCs/>
          <w:sz w:val="28"/>
          <w:szCs w:val="28"/>
        </w:rPr>
        <w:t>有资本经营预算支出决算情况说明</w:t>
      </w:r>
      <w:r>
        <w:rPr>
          <w:rFonts w:ascii="仿宋" w:hAnsi="仿宋" w:eastAsia="仿宋"/>
          <w:sz w:val="28"/>
          <w:szCs w:val="28"/>
        </w:rPr>
        <w:tab/>
      </w:r>
      <w:r>
        <w:rPr>
          <w:rFonts w:hint="eastAsia" w:ascii="仿宋" w:hAnsi="仿宋" w:eastAsia="仿宋"/>
          <w:sz w:val="28"/>
          <w:szCs w:val="28"/>
        </w:rPr>
        <w:t>9</w:t>
      </w:r>
      <w:r>
        <w:rPr>
          <w:rFonts w:hint="eastAsia" w:ascii="仿宋" w:hAnsi="仿宋" w:eastAsia="仿宋"/>
          <w:sz w:val="28"/>
          <w:szCs w:val="28"/>
        </w:rPr>
        <w:fldChar w:fldCharType="end"/>
      </w:r>
    </w:p>
    <w:p>
      <w:pPr>
        <w:pStyle w:val="13"/>
        <w:rPr>
          <w:rFonts w:ascii="仿宋" w:hAnsi="仿宋" w:eastAsia="仿宋" w:cstheme="minorBidi"/>
          <w:sz w:val="28"/>
          <w:szCs w:val="28"/>
        </w:rPr>
      </w:pPr>
      <w:r>
        <w:fldChar w:fldCharType="begin"/>
      </w:r>
      <w:r>
        <w:instrText xml:space="preserve"> HYPERLINK \l "_Toc15396612" </w:instrText>
      </w:r>
      <w:r>
        <w:fldChar w:fldCharType="separate"/>
      </w:r>
      <w:r>
        <w:rPr>
          <w:rStyle w:val="19"/>
          <w:rFonts w:hint="eastAsia" w:ascii="仿宋" w:hAnsi="仿宋" w:eastAsia="仿宋"/>
          <w:sz w:val="28"/>
          <w:szCs w:val="28"/>
        </w:rPr>
        <w:t>十</w:t>
      </w:r>
      <w:r>
        <w:rPr>
          <w:rStyle w:val="19"/>
          <w:rFonts w:hint="eastAsia" w:ascii="仿宋" w:hAnsi="仿宋" w:eastAsia="仿宋" w:cstheme="majorBidi"/>
          <w:bCs/>
          <w:sz w:val="28"/>
          <w:szCs w:val="28"/>
        </w:rPr>
        <w:t>、预算绩效情况情况说明</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_Toc15396612 \h </w:instrText>
      </w:r>
      <w:r>
        <w:rPr>
          <w:rFonts w:ascii="仿宋" w:hAnsi="仿宋" w:eastAsia="仿宋"/>
          <w:sz w:val="28"/>
          <w:szCs w:val="28"/>
        </w:rPr>
        <w:fldChar w:fldCharType="separate"/>
      </w:r>
      <w:r>
        <w:rPr>
          <w:b/>
        </w:rPr>
        <w:t>错误！未定义书签。</w:t>
      </w:r>
      <w:r>
        <w:rPr>
          <w:rFonts w:ascii="仿宋" w:hAnsi="仿宋" w:eastAsia="仿宋"/>
          <w:sz w:val="28"/>
          <w:szCs w:val="28"/>
        </w:rPr>
        <w:fldChar w:fldCharType="end"/>
      </w:r>
      <w:r>
        <w:rPr>
          <w:rFonts w:ascii="仿宋" w:hAnsi="仿宋" w:eastAsia="仿宋"/>
          <w:sz w:val="28"/>
          <w:szCs w:val="28"/>
        </w:rPr>
        <w:fldChar w:fldCharType="end"/>
      </w:r>
    </w:p>
    <w:p>
      <w:pPr>
        <w:pStyle w:val="12"/>
        <w:rPr>
          <w:rFonts w:cstheme="minorBidi"/>
        </w:rPr>
      </w:pPr>
      <w:r>
        <w:fldChar w:fldCharType="begin"/>
      </w:r>
      <w:r>
        <w:instrText xml:space="preserve"> HYPERLINK \l "_Toc15396613" </w:instrText>
      </w:r>
      <w:r>
        <w:fldChar w:fldCharType="separate"/>
      </w:r>
      <w:r>
        <w:rPr>
          <w:rStyle w:val="19"/>
          <w:rFonts w:hint="eastAsia"/>
          <w:bCs/>
          <w:kern w:val="44"/>
        </w:rPr>
        <w:t>第三部分</w:t>
      </w:r>
      <w:r>
        <w:rPr>
          <w:rStyle w:val="19"/>
          <w:rFonts w:hint="eastAsia"/>
        </w:rPr>
        <w:t xml:space="preserve"> 名</w:t>
      </w:r>
      <w:r>
        <w:rPr>
          <w:rStyle w:val="19"/>
          <w:rFonts w:hint="eastAsia"/>
          <w:bCs/>
          <w:kern w:val="44"/>
        </w:rPr>
        <w:t>词解释</w:t>
      </w:r>
      <w:r>
        <w:tab/>
      </w:r>
      <w:r>
        <w:fldChar w:fldCharType="begin"/>
      </w:r>
      <w:r>
        <w:instrText xml:space="preserve"> PAGEREF _Toc15396613 \h </w:instrText>
      </w:r>
      <w:r>
        <w:fldChar w:fldCharType="separate"/>
      </w:r>
      <w:r>
        <w:t>9</w:t>
      </w:r>
      <w:r>
        <w:fldChar w:fldCharType="end"/>
      </w:r>
      <w:r>
        <w:fldChar w:fldCharType="end"/>
      </w:r>
      <w:r>
        <w:rPr>
          <w:rFonts w:hint="eastAsia"/>
        </w:rPr>
        <w:t>-12</w:t>
      </w:r>
    </w:p>
    <w:p>
      <w:pPr>
        <w:pStyle w:val="12"/>
        <w:rPr>
          <w:rFonts w:cstheme="minorBidi"/>
        </w:rPr>
      </w:pPr>
      <w:r>
        <w:fldChar w:fldCharType="begin"/>
      </w:r>
      <w:r>
        <w:instrText xml:space="preserve"> HYPERLINK \l "_Toc15396614" </w:instrText>
      </w:r>
      <w:r>
        <w:fldChar w:fldCharType="separate"/>
      </w:r>
      <w:r>
        <w:rPr>
          <w:rStyle w:val="19"/>
          <w:rFonts w:hint="eastAsia"/>
        </w:rPr>
        <w:t>第</w:t>
      </w:r>
      <w:r>
        <w:rPr>
          <w:rStyle w:val="19"/>
          <w:rFonts w:hint="eastAsia"/>
          <w:bCs/>
          <w:kern w:val="44"/>
        </w:rPr>
        <w:t>四部分</w:t>
      </w:r>
      <w:r>
        <w:rPr>
          <w:rStyle w:val="19"/>
          <w:bCs/>
          <w:kern w:val="44"/>
        </w:rPr>
        <w:t xml:space="preserve"> </w:t>
      </w:r>
      <w:r>
        <w:rPr>
          <w:rStyle w:val="19"/>
          <w:rFonts w:hint="eastAsia"/>
          <w:bCs/>
          <w:kern w:val="44"/>
        </w:rPr>
        <w:t>附件</w:t>
      </w:r>
      <w:r>
        <w:tab/>
      </w:r>
      <w:r>
        <w:fldChar w:fldCharType="begin"/>
      </w:r>
      <w:r>
        <w:instrText xml:space="preserve"> PAGEREF _Toc15396614 \h </w:instrText>
      </w:r>
      <w:r>
        <w:fldChar w:fldCharType="separate"/>
      </w:r>
      <w:r>
        <w:t>12</w:t>
      </w:r>
      <w:r>
        <w:fldChar w:fldCharType="end"/>
      </w:r>
      <w:r>
        <w:fldChar w:fldCharType="end"/>
      </w:r>
      <w:r>
        <w:rPr>
          <w:rFonts w:hint="eastAsia"/>
        </w:rPr>
        <w:t>-17</w:t>
      </w:r>
    </w:p>
    <w:p>
      <w:pPr>
        <w:pStyle w:val="13"/>
        <w:rPr>
          <w:rFonts w:ascii="仿宋" w:hAnsi="仿宋" w:eastAsia="仿宋" w:cstheme="minorBidi"/>
          <w:sz w:val="28"/>
          <w:szCs w:val="28"/>
        </w:rPr>
      </w:pPr>
      <w:r>
        <w:fldChar w:fldCharType="begin"/>
      </w:r>
      <w:r>
        <w:instrText xml:space="preserve"> HYPERLINK \l "_Toc15396615" </w:instrText>
      </w:r>
      <w:r>
        <w:fldChar w:fldCharType="separate"/>
      </w:r>
      <w:r>
        <w:rPr>
          <w:rStyle w:val="19"/>
          <w:rFonts w:hint="eastAsia" w:ascii="仿宋" w:hAnsi="仿宋" w:eastAsia="仿宋"/>
          <w:kern w:val="44"/>
          <w:sz w:val="28"/>
          <w:szCs w:val="28"/>
        </w:rPr>
        <w:t>附件</w:t>
      </w:r>
      <w:r>
        <w:rPr>
          <w:rStyle w:val="19"/>
          <w:rFonts w:ascii="仿宋" w:hAnsi="仿宋" w:eastAsia="仿宋"/>
          <w:kern w:val="44"/>
          <w:sz w:val="28"/>
          <w:szCs w:val="28"/>
        </w:rPr>
        <w:t>1</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3-17</w:t>
      </w:r>
    </w:p>
    <w:p>
      <w:pPr>
        <w:pStyle w:val="12"/>
        <w:rPr>
          <w:rFonts w:cstheme="minorBidi"/>
        </w:rPr>
      </w:pPr>
      <w:r>
        <w:fldChar w:fldCharType="begin"/>
      </w:r>
      <w:r>
        <w:instrText xml:space="preserve"> HYPERLINK \l "_Toc15396618" </w:instrText>
      </w:r>
      <w:r>
        <w:fldChar w:fldCharType="separate"/>
      </w:r>
      <w:r>
        <w:rPr>
          <w:rStyle w:val="19"/>
          <w:rFonts w:hint="eastAsia"/>
        </w:rPr>
        <w:t>第</w:t>
      </w:r>
      <w:r>
        <w:rPr>
          <w:rStyle w:val="19"/>
          <w:rFonts w:hint="eastAsia"/>
          <w:bCs/>
          <w:kern w:val="44"/>
        </w:rPr>
        <w:t>五部分</w:t>
      </w:r>
      <w:r>
        <w:rPr>
          <w:rStyle w:val="19"/>
          <w:bCs/>
          <w:kern w:val="44"/>
        </w:rPr>
        <w:t xml:space="preserve"> </w:t>
      </w:r>
      <w:r>
        <w:rPr>
          <w:rStyle w:val="19"/>
          <w:rFonts w:hint="eastAsia"/>
          <w:bCs/>
          <w:kern w:val="44"/>
        </w:rPr>
        <w:t>附表</w:t>
      </w:r>
      <w:r>
        <w:tab/>
      </w:r>
      <w:r>
        <w:rPr>
          <w:rFonts w:hint="eastAsia"/>
        </w:rPr>
        <w:t>1</w:t>
      </w:r>
      <w:r>
        <w:rPr>
          <w:rFonts w:hint="eastAsia"/>
        </w:rPr>
        <w:fldChar w:fldCharType="end"/>
      </w:r>
      <w:r>
        <w:rPr>
          <w:rFonts w:hint="eastAsia"/>
        </w:rPr>
        <w:t>8</w:t>
      </w:r>
    </w:p>
    <w:p>
      <w:pPr>
        <w:pStyle w:val="13"/>
        <w:rPr>
          <w:rFonts w:ascii="仿宋" w:hAnsi="仿宋" w:eastAsia="仿宋" w:cstheme="minorBidi"/>
          <w:sz w:val="28"/>
          <w:szCs w:val="28"/>
        </w:rPr>
      </w:pPr>
      <w:r>
        <w:rPr>
          <w:rFonts w:hint="eastAsia" w:ascii="仿宋" w:hAnsi="仿宋" w:eastAsia="仿宋"/>
          <w:sz w:val="28"/>
          <w:szCs w:val="28"/>
        </w:rPr>
        <w:t>一、</w:t>
      </w:r>
      <w:r>
        <w:fldChar w:fldCharType="begin"/>
      </w:r>
      <w:r>
        <w:instrText xml:space="preserve"> HYPERLINK \l "_Toc15396619" </w:instrText>
      </w:r>
      <w:r>
        <w:fldChar w:fldCharType="separate"/>
      </w:r>
      <w:r>
        <w:rPr>
          <w:rStyle w:val="19"/>
          <w:rFonts w:hint="eastAsia" w:ascii="仿宋" w:hAnsi="仿宋" w:eastAsia="仿宋"/>
          <w:sz w:val="28"/>
          <w:szCs w:val="28"/>
        </w:rPr>
        <w:t>收入支出决算总表</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8</w:t>
      </w:r>
    </w:p>
    <w:p>
      <w:pPr>
        <w:pStyle w:val="13"/>
        <w:rPr>
          <w:rFonts w:ascii="仿宋" w:hAnsi="仿宋" w:eastAsia="仿宋" w:cstheme="minorBidi"/>
          <w:sz w:val="28"/>
          <w:szCs w:val="28"/>
        </w:rPr>
      </w:pPr>
      <w:r>
        <w:rPr>
          <w:rFonts w:hint="eastAsia" w:ascii="仿宋" w:hAnsi="仿宋" w:eastAsia="仿宋"/>
          <w:sz w:val="28"/>
          <w:szCs w:val="28"/>
        </w:rPr>
        <w:t>二、</w:t>
      </w:r>
      <w:r>
        <w:fldChar w:fldCharType="begin"/>
      </w:r>
      <w:r>
        <w:instrText xml:space="preserve"> HYPERLINK \l "_Toc15396620" </w:instrText>
      </w:r>
      <w:r>
        <w:fldChar w:fldCharType="separate"/>
      </w:r>
      <w:r>
        <w:rPr>
          <w:rStyle w:val="19"/>
          <w:rFonts w:hint="eastAsia" w:ascii="仿宋" w:hAnsi="仿宋" w:eastAsia="仿宋"/>
          <w:sz w:val="28"/>
          <w:szCs w:val="28"/>
        </w:rPr>
        <w:t>收入总表</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8</w:t>
      </w:r>
    </w:p>
    <w:p>
      <w:pPr>
        <w:pStyle w:val="13"/>
        <w:rPr>
          <w:rFonts w:ascii="仿宋" w:hAnsi="仿宋" w:eastAsia="仿宋" w:cstheme="minorBidi"/>
          <w:sz w:val="28"/>
          <w:szCs w:val="28"/>
        </w:rPr>
      </w:pPr>
      <w:r>
        <w:rPr>
          <w:rFonts w:hint="eastAsia" w:ascii="仿宋" w:hAnsi="仿宋" w:eastAsia="仿宋"/>
          <w:sz w:val="28"/>
          <w:szCs w:val="28"/>
        </w:rPr>
        <w:t>三、</w:t>
      </w:r>
      <w:r>
        <w:fldChar w:fldCharType="begin"/>
      </w:r>
      <w:r>
        <w:instrText xml:space="preserve"> HYPERLINK \l "_Toc15396621" </w:instrText>
      </w:r>
      <w:r>
        <w:fldChar w:fldCharType="separate"/>
      </w:r>
      <w:r>
        <w:rPr>
          <w:rStyle w:val="19"/>
          <w:rFonts w:hint="eastAsia" w:ascii="仿宋" w:hAnsi="仿宋" w:eastAsia="仿宋"/>
          <w:sz w:val="28"/>
          <w:szCs w:val="28"/>
        </w:rPr>
        <w:t>支出总表</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8</w:t>
      </w:r>
    </w:p>
    <w:p>
      <w:pPr>
        <w:pStyle w:val="13"/>
        <w:rPr>
          <w:rFonts w:ascii="仿宋" w:hAnsi="仿宋" w:eastAsia="仿宋" w:cstheme="minorBidi"/>
          <w:sz w:val="28"/>
          <w:szCs w:val="28"/>
        </w:rPr>
      </w:pPr>
      <w:r>
        <w:rPr>
          <w:rFonts w:hint="eastAsia" w:ascii="仿宋" w:hAnsi="仿宋" w:eastAsia="仿宋"/>
          <w:sz w:val="28"/>
          <w:szCs w:val="28"/>
        </w:rPr>
        <w:t>四、</w:t>
      </w:r>
      <w:r>
        <w:fldChar w:fldCharType="begin"/>
      </w:r>
      <w:r>
        <w:instrText xml:space="preserve"> HYPERLINK \l "_Toc15396622" </w:instrText>
      </w:r>
      <w:r>
        <w:fldChar w:fldCharType="separate"/>
      </w:r>
      <w:r>
        <w:rPr>
          <w:rStyle w:val="19"/>
          <w:rFonts w:hint="eastAsia" w:ascii="仿宋" w:hAnsi="仿宋" w:eastAsia="仿宋"/>
          <w:sz w:val="28"/>
          <w:szCs w:val="28"/>
        </w:rPr>
        <w:t>财政拨款收入支出决算总表</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8</w:t>
      </w:r>
    </w:p>
    <w:p>
      <w:pPr>
        <w:pStyle w:val="13"/>
        <w:rPr>
          <w:rFonts w:ascii="仿宋" w:hAnsi="仿宋" w:eastAsia="仿宋"/>
          <w:sz w:val="28"/>
          <w:szCs w:val="28"/>
        </w:rPr>
      </w:pPr>
      <w:r>
        <w:rPr>
          <w:rFonts w:hint="eastAsia" w:ascii="仿宋" w:hAnsi="仿宋" w:eastAsia="仿宋"/>
          <w:sz w:val="28"/>
          <w:szCs w:val="28"/>
        </w:rPr>
        <w:t>五、</w:t>
      </w:r>
      <w:r>
        <w:fldChar w:fldCharType="begin"/>
      </w:r>
      <w:r>
        <w:instrText xml:space="preserve"> HYPERLINK \l "_Toc15396623" </w:instrText>
      </w:r>
      <w:r>
        <w:fldChar w:fldCharType="separate"/>
      </w:r>
      <w:r>
        <w:rPr>
          <w:rFonts w:hint="eastAsia" w:ascii="仿宋" w:hAnsi="仿宋" w:eastAsia="仿宋"/>
          <w:sz w:val="28"/>
          <w:szCs w:val="28"/>
        </w:rPr>
        <w:t>财政拨款支出决算明细表（政府经济分类科目）</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8</w:t>
      </w:r>
    </w:p>
    <w:p>
      <w:pPr>
        <w:pStyle w:val="13"/>
        <w:rPr>
          <w:rFonts w:ascii="仿宋" w:hAnsi="仿宋" w:eastAsia="仿宋" w:cstheme="minorBidi"/>
          <w:sz w:val="28"/>
          <w:szCs w:val="28"/>
        </w:rPr>
      </w:pPr>
      <w:r>
        <w:rPr>
          <w:rFonts w:hint="eastAsia" w:ascii="仿宋" w:hAnsi="仿宋" w:eastAsia="仿宋"/>
          <w:sz w:val="28"/>
          <w:szCs w:val="28"/>
        </w:rPr>
        <w:t>六、</w:t>
      </w:r>
      <w:r>
        <w:fldChar w:fldCharType="begin"/>
      </w:r>
      <w:r>
        <w:instrText xml:space="preserve"> HYPERLINK \l "_Toc15396624" </w:instrText>
      </w:r>
      <w:r>
        <w:fldChar w:fldCharType="separate"/>
      </w:r>
      <w:r>
        <w:rPr>
          <w:rStyle w:val="19"/>
          <w:rFonts w:hint="eastAsia" w:ascii="仿宋" w:hAnsi="仿宋" w:eastAsia="仿宋"/>
          <w:sz w:val="28"/>
          <w:szCs w:val="28"/>
        </w:rPr>
        <w:t>一般公共预算财政拨款支出决算表</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8</w:t>
      </w:r>
    </w:p>
    <w:p>
      <w:pPr>
        <w:pStyle w:val="13"/>
        <w:rPr>
          <w:rFonts w:ascii="仿宋" w:hAnsi="仿宋" w:eastAsia="仿宋" w:cstheme="minorBidi"/>
          <w:sz w:val="28"/>
          <w:szCs w:val="28"/>
        </w:rPr>
      </w:pPr>
      <w:r>
        <w:rPr>
          <w:rFonts w:hint="eastAsia" w:ascii="仿宋" w:hAnsi="仿宋" w:eastAsia="仿宋"/>
          <w:sz w:val="28"/>
          <w:szCs w:val="28"/>
        </w:rPr>
        <w:t>七、</w:t>
      </w:r>
      <w:r>
        <w:fldChar w:fldCharType="begin"/>
      </w:r>
      <w:r>
        <w:instrText xml:space="preserve"> HYPERLINK \l "_Toc15396625" </w:instrText>
      </w:r>
      <w:r>
        <w:fldChar w:fldCharType="separate"/>
      </w:r>
      <w:r>
        <w:rPr>
          <w:rStyle w:val="19"/>
          <w:rFonts w:hint="eastAsia" w:ascii="仿宋" w:hAnsi="仿宋" w:eastAsia="仿宋"/>
          <w:sz w:val="28"/>
          <w:szCs w:val="28"/>
        </w:rPr>
        <w:t>一般公共预算财政拨款支出决算明细表</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8</w:t>
      </w:r>
    </w:p>
    <w:p>
      <w:pPr>
        <w:pStyle w:val="13"/>
        <w:rPr>
          <w:rFonts w:ascii="仿宋" w:hAnsi="仿宋" w:eastAsia="仿宋" w:cstheme="minorBidi"/>
          <w:sz w:val="28"/>
          <w:szCs w:val="28"/>
        </w:rPr>
      </w:pPr>
      <w:r>
        <w:rPr>
          <w:rFonts w:hint="eastAsia" w:ascii="仿宋" w:hAnsi="仿宋" w:eastAsia="仿宋"/>
          <w:sz w:val="28"/>
          <w:szCs w:val="28"/>
        </w:rPr>
        <w:t>八、</w:t>
      </w:r>
      <w:r>
        <w:fldChar w:fldCharType="begin"/>
      </w:r>
      <w:r>
        <w:instrText xml:space="preserve"> HYPERLINK \l "_Toc15396626" </w:instrText>
      </w:r>
      <w:r>
        <w:fldChar w:fldCharType="separate"/>
      </w:r>
      <w:r>
        <w:rPr>
          <w:rStyle w:val="19"/>
          <w:rFonts w:hint="eastAsia" w:ascii="仿宋" w:hAnsi="仿宋" w:eastAsia="仿宋"/>
          <w:sz w:val="28"/>
          <w:szCs w:val="28"/>
        </w:rPr>
        <w:t>一般公共预算财政拨款基本支出决算表</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8</w:t>
      </w:r>
    </w:p>
    <w:p>
      <w:pPr>
        <w:pStyle w:val="13"/>
        <w:rPr>
          <w:rFonts w:ascii="仿宋" w:hAnsi="仿宋" w:eastAsia="仿宋" w:cstheme="minorBidi"/>
          <w:sz w:val="28"/>
          <w:szCs w:val="28"/>
        </w:rPr>
      </w:pPr>
      <w:r>
        <w:rPr>
          <w:rFonts w:hint="eastAsia" w:ascii="仿宋" w:hAnsi="仿宋" w:eastAsia="仿宋"/>
          <w:sz w:val="28"/>
          <w:szCs w:val="28"/>
        </w:rPr>
        <w:t>九、</w:t>
      </w:r>
      <w:r>
        <w:fldChar w:fldCharType="begin"/>
      </w:r>
      <w:r>
        <w:instrText xml:space="preserve"> HYPERLINK \l "_Toc15396627" </w:instrText>
      </w:r>
      <w:r>
        <w:fldChar w:fldCharType="separate"/>
      </w:r>
      <w:r>
        <w:rPr>
          <w:rStyle w:val="19"/>
          <w:rFonts w:hint="eastAsia" w:ascii="仿宋" w:hAnsi="仿宋" w:eastAsia="仿宋"/>
          <w:sz w:val="28"/>
          <w:szCs w:val="28"/>
        </w:rPr>
        <w:t>一般公共预算财政拨款项目支出决算表</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8</w:t>
      </w:r>
    </w:p>
    <w:p>
      <w:pPr>
        <w:pStyle w:val="13"/>
        <w:rPr>
          <w:rFonts w:ascii="仿宋" w:hAnsi="仿宋" w:eastAsia="仿宋" w:cstheme="minorBidi"/>
          <w:sz w:val="28"/>
          <w:szCs w:val="28"/>
        </w:rPr>
      </w:pPr>
      <w:r>
        <w:rPr>
          <w:rFonts w:hint="eastAsia" w:ascii="仿宋" w:hAnsi="仿宋" w:eastAsia="仿宋"/>
          <w:sz w:val="28"/>
          <w:szCs w:val="28"/>
        </w:rPr>
        <w:t>十、</w:t>
      </w:r>
      <w:r>
        <w:fldChar w:fldCharType="begin"/>
      </w:r>
      <w:r>
        <w:instrText xml:space="preserve"> HYPERLINK \l "_Toc15396628" </w:instrText>
      </w:r>
      <w:r>
        <w:fldChar w:fldCharType="separate"/>
      </w:r>
      <w:r>
        <w:rPr>
          <w:rStyle w:val="19"/>
          <w:rFonts w:hint="eastAsia" w:ascii="仿宋" w:hAnsi="仿宋" w:eastAsia="仿宋"/>
          <w:sz w:val="28"/>
          <w:szCs w:val="28"/>
        </w:rPr>
        <w:t>一般公共预算财政拨款“三公”经费支出决算表</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8</w:t>
      </w:r>
    </w:p>
    <w:p>
      <w:pPr>
        <w:pStyle w:val="13"/>
        <w:rPr>
          <w:rFonts w:ascii="仿宋" w:hAnsi="仿宋" w:eastAsia="仿宋" w:cstheme="minorBidi"/>
          <w:sz w:val="28"/>
          <w:szCs w:val="28"/>
        </w:rPr>
      </w:pPr>
      <w:r>
        <w:rPr>
          <w:rFonts w:hint="eastAsia" w:ascii="仿宋" w:hAnsi="仿宋" w:eastAsia="仿宋"/>
          <w:sz w:val="28"/>
          <w:szCs w:val="28"/>
        </w:rPr>
        <w:t>十一、</w:t>
      </w:r>
      <w:r>
        <w:fldChar w:fldCharType="begin"/>
      </w:r>
      <w:r>
        <w:instrText xml:space="preserve"> HYPERLINK \l "_Toc15396629" </w:instrText>
      </w:r>
      <w:r>
        <w:fldChar w:fldCharType="separate"/>
      </w:r>
      <w:r>
        <w:rPr>
          <w:rStyle w:val="19"/>
          <w:rFonts w:hint="eastAsia" w:ascii="仿宋" w:hAnsi="仿宋" w:eastAsia="仿宋"/>
          <w:sz w:val="28"/>
          <w:szCs w:val="28"/>
        </w:rPr>
        <w:t>政府性基金预算财政拨款收入支出决算表</w:t>
      </w:r>
      <w:r>
        <w:rPr>
          <w:rFonts w:ascii="仿宋" w:hAnsi="仿宋" w:eastAsia="仿宋"/>
          <w:sz w:val="28"/>
          <w:szCs w:val="28"/>
        </w:rPr>
        <w:tab/>
      </w:r>
      <w:r>
        <w:rPr>
          <w:rFonts w:ascii="仿宋" w:hAnsi="仿宋" w:eastAsia="仿宋"/>
          <w:sz w:val="28"/>
          <w:szCs w:val="28"/>
        </w:rPr>
        <w:fldChar w:fldCharType="begin"/>
      </w:r>
      <w:r>
        <w:rPr>
          <w:rFonts w:ascii="仿宋" w:hAnsi="仿宋" w:eastAsia="仿宋"/>
          <w:sz w:val="28"/>
          <w:szCs w:val="28"/>
        </w:rPr>
        <w:instrText xml:space="preserve"> PAGEREF _Toc15396629 \h </w:instrText>
      </w:r>
      <w:r>
        <w:rPr>
          <w:rFonts w:ascii="仿宋" w:hAnsi="仿宋" w:eastAsia="仿宋"/>
          <w:sz w:val="28"/>
          <w:szCs w:val="28"/>
        </w:rPr>
        <w:fldChar w:fldCharType="separate"/>
      </w:r>
      <w:r>
        <w:rPr>
          <w:rFonts w:ascii="仿宋" w:hAnsi="仿宋" w:eastAsia="仿宋"/>
          <w:sz w:val="28"/>
          <w:szCs w:val="28"/>
        </w:rPr>
        <w:t>17</w:t>
      </w:r>
      <w:r>
        <w:rPr>
          <w:rFonts w:ascii="仿宋" w:hAnsi="仿宋" w:eastAsia="仿宋"/>
          <w:sz w:val="28"/>
          <w:szCs w:val="28"/>
        </w:rPr>
        <w:fldChar w:fldCharType="end"/>
      </w:r>
      <w:r>
        <w:rPr>
          <w:rFonts w:ascii="仿宋" w:hAnsi="仿宋" w:eastAsia="仿宋"/>
          <w:sz w:val="28"/>
          <w:szCs w:val="28"/>
        </w:rPr>
        <w:fldChar w:fldCharType="end"/>
      </w:r>
    </w:p>
    <w:p>
      <w:pPr>
        <w:pStyle w:val="13"/>
        <w:rPr>
          <w:rFonts w:ascii="仿宋" w:hAnsi="仿宋" w:eastAsia="仿宋" w:cstheme="minorBidi"/>
          <w:sz w:val="28"/>
          <w:szCs w:val="28"/>
        </w:rPr>
      </w:pPr>
      <w:r>
        <w:rPr>
          <w:rFonts w:hint="eastAsia" w:ascii="仿宋" w:hAnsi="仿宋" w:eastAsia="仿宋"/>
          <w:sz w:val="28"/>
          <w:szCs w:val="28"/>
        </w:rPr>
        <w:t>十二、</w:t>
      </w:r>
      <w:r>
        <w:fldChar w:fldCharType="begin"/>
      </w:r>
      <w:r>
        <w:instrText xml:space="preserve"> HYPERLINK \l "_Toc15396630" </w:instrText>
      </w:r>
      <w:r>
        <w:fldChar w:fldCharType="separate"/>
      </w:r>
      <w:r>
        <w:rPr>
          <w:rStyle w:val="19"/>
          <w:rFonts w:hint="eastAsia" w:ascii="仿宋" w:hAnsi="仿宋" w:eastAsia="仿宋"/>
          <w:sz w:val="28"/>
          <w:szCs w:val="28"/>
        </w:rPr>
        <w:t>政府性基金预算财政拨款“三公”经费支出决算表</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8</w:t>
      </w:r>
    </w:p>
    <w:p>
      <w:pPr>
        <w:pStyle w:val="13"/>
        <w:rPr>
          <w:rFonts w:ascii="仿宋" w:hAnsi="仿宋" w:eastAsia="仿宋" w:cstheme="minorBidi"/>
          <w:sz w:val="24"/>
        </w:rPr>
      </w:pPr>
      <w:r>
        <w:rPr>
          <w:rFonts w:hint="eastAsia" w:ascii="仿宋" w:hAnsi="仿宋" w:eastAsia="仿宋"/>
          <w:sz w:val="28"/>
          <w:szCs w:val="28"/>
        </w:rPr>
        <w:t>十三、</w:t>
      </w:r>
      <w:r>
        <w:fldChar w:fldCharType="begin"/>
      </w:r>
      <w:r>
        <w:instrText xml:space="preserve"> HYPERLINK \l "_Toc15396631" </w:instrText>
      </w:r>
      <w:r>
        <w:fldChar w:fldCharType="separate"/>
      </w:r>
      <w:r>
        <w:rPr>
          <w:rStyle w:val="19"/>
          <w:rFonts w:hint="eastAsia" w:ascii="仿宋" w:hAnsi="仿宋" w:eastAsia="仿宋"/>
          <w:sz w:val="28"/>
          <w:szCs w:val="28"/>
        </w:rPr>
        <w:t>国有资本经营预算支出决算表</w:t>
      </w:r>
      <w:r>
        <w:rPr>
          <w:rFonts w:ascii="仿宋" w:hAnsi="仿宋" w:eastAsia="仿宋"/>
          <w:sz w:val="28"/>
          <w:szCs w:val="28"/>
        </w:rPr>
        <w:tab/>
      </w:r>
      <w:r>
        <w:rPr>
          <w:rFonts w:hint="eastAsia" w:ascii="仿宋" w:hAnsi="仿宋" w:eastAsia="仿宋"/>
          <w:sz w:val="28"/>
          <w:szCs w:val="28"/>
        </w:rPr>
        <w:t>1</w:t>
      </w:r>
      <w:r>
        <w:rPr>
          <w:rFonts w:hint="eastAsia" w:ascii="仿宋" w:hAnsi="仿宋" w:eastAsia="仿宋"/>
          <w:sz w:val="28"/>
          <w:szCs w:val="28"/>
        </w:rPr>
        <w:fldChar w:fldCharType="end"/>
      </w:r>
      <w:r>
        <w:rPr>
          <w:rFonts w:hint="eastAsia" w:ascii="仿宋" w:hAnsi="仿宋" w:eastAsia="仿宋"/>
          <w:sz w:val="28"/>
          <w:szCs w:val="28"/>
        </w:rPr>
        <w:t>8</w:t>
      </w:r>
    </w:p>
    <w:p>
      <w:pPr>
        <w:widowControl/>
        <w:jc w:val="left"/>
        <w:rPr>
          <w:rFonts w:ascii="仿宋" w:hAnsi="仿宋" w:eastAsia="仿宋"/>
          <w:color w:val="000000"/>
          <w:sz w:val="24"/>
        </w:rPr>
      </w:pPr>
      <w:r>
        <w:rPr>
          <w:rFonts w:ascii="仿宋" w:hAnsi="仿宋" w:eastAsia="仿宋"/>
          <w:color w:val="000000"/>
          <w:sz w:val="24"/>
        </w:rPr>
        <w:fldChar w:fldCharType="end"/>
      </w:r>
    </w:p>
    <w:p>
      <w:pPr>
        <w:widowControl/>
        <w:jc w:val="left"/>
        <w:rPr>
          <w:rFonts w:ascii="黑体" w:hAnsi="黑体" w:eastAsia="黑体"/>
          <w:bCs/>
          <w:kern w:val="44"/>
          <w:sz w:val="44"/>
          <w:szCs w:val="44"/>
        </w:rPr>
      </w:pPr>
      <w:bookmarkStart w:id="12" w:name="_Toc15377196"/>
      <w:bookmarkStart w:id="13" w:name="_Toc15396599"/>
      <w:r>
        <w:rPr>
          <w:rFonts w:ascii="黑体" w:hAnsi="黑体" w:eastAsia="黑体"/>
          <w:b/>
        </w:rPr>
        <w:br w:type="page"/>
      </w:r>
    </w:p>
    <w:p>
      <w:pPr>
        <w:pStyle w:val="4"/>
        <w:jc w:val="center"/>
        <w:rPr>
          <w:rStyle w:val="28"/>
          <w:rFonts w:ascii="黑体" w:hAnsi="黑体" w:eastAsia="黑体"/>
          <w:b/>
          <w:bCs w:val="0"/>
        </w:rPr>
      </w:pPr>
      <w:r>
        <w:rPr>
          <w:rFonts w:hint="eastAsia" w:ascii="黑体" w:hAnsi="黑体" w:eastAsia="黑体"/>
          <w:b w:val="0"/>
        </w:rPr>
        <w:t xml:space="preserve">第一部分 </w:t>
      </w:r>
      <w:r>
        <w:rPr>
          <w:rStyle w:val="28"/>
          <w:rFonts w:hint="eastAsia" w:ascii="黑体" w:hAnsi="黑体" w:eastAsia="黑体"/>
          <w:b w:val="0"/>
          <w:bCs w:val="0"/>
        </w:rPr>
        <w:t>部门概况</w:t>
      </w:r>
      <w:bookmarkEnd w:id="12"/>
      <w:bookmarkEnd w:id="13"/>
    </w:p>
    <w:p>
      <w:pPr>
        <w:widowControl/>
        <w:jc w:val="left"/>
        <w:rPr>
          <w:rFonts w:ascii="黑体" w:eastAsia="黑体"/>
          <w:color w:val="000000"/>
          <w:sz w:val="32"/>
          <w:szCs w:val="32"/>
        </w:rPr>
      </w:pPr>
    </w:p>
    <w:p>
      <w:pPr>
        <w:pStyle w:val="5"/>
        <w:rPr>
          <w:rStyle w:val="29"/>
          <w:rFonts w:ascii="仿宋" w:hAnsi="仿宋" w:eastAsia="仿宋"/>
          <w:b w:val="0"/>
          <w:bCs w:val="0"/>
        </w:rPr>
      </w:pPr>
      <w:bookmarkStart w:id="14" w:name="_Toc15396600"/>
      <w:bookmarkStart w:id="15" w:name="_Toc15377197"/>
      <w:r>
        <w:rPr>
          <w:rFonts w:hint="eastAsia" w:ascii="黑体" w:hAnsi="黑体" w:eastAsia="黑体"/>
          <w:b w:val="0"/>
          <w:color w:val="000000"/>
        </w:rPr>
        <w:t>一、基</w:t>
      </w:r>
      <w:r>
        <w:rPr>
          <w:rStyle w:val="29"/>
          <w:rFonts w:hint="eastAsia" w:ascii="黑体" w:hAnsi="黑体" w:eastAsia="黑体"/>
          <w:b w:val="0"/>
          <w:bCs w:val="0"/>
        </w:rPr>
        <w:t>本职能及主要工作</w:t>
      </w:r>
      <w:bookmarkEnd w:id="14"/>
      <w:bookmarkEnd w:id="15"/>
    </w:p>
    <w:p>
      <w:pPr>
        <w:pStyle w:val="7"/>
        <w:adjustRightInd w:val="0"/>
        <w:snapToGrid w:val="0"/>
        <w:spacing w:before="93" w:line="600" w:lineRule="exact"/>
        <w:ind w:firstLine="675" w:firstLineChars="210"/>
        <w:rPr>
          <w:b/>
          <w:bCs/>
          <w:color w:val="000000"/>
          <w:sz w:val="32"/>
          <w:szCs w:val="32"/>
        </w:rPr>
      </w:pPr>
      <w:bookmarkStart w:id="16" w:name="_Toc15377199"/>
      <w:bookmarkStart w:id="17" w:name="_Toc15378446"/>
      <w:r>
        <w:rPr>
          <w:rFonts w:hint="eastAsia"/>
          <w:b/>
          <w:bCs/>
          <w:color w:val="000000"/>
          <w:sz w:val="32"/>
          <w:szCs w:val="32"/>
        </w:rPr>
        <w:t>（一）主要职能</w:t>
      </w:r>
    </w:p>
    <w:p>
      <w:pPr>
        <w:pStyle w:val="7"/>
        <w:adjustRightInd w:val="0"/>
        <w:snapToGrid w:val="0"/>
        <w:spacing w:before="93" w:line="560" w:lineRule="exact"/>
        <w:ind w:firstLine="672" w:firstLineChars="210"/>
        <w:rPr>
          <w:rFonts w:hAnsi="仿宋" w:cs="仿宋"/>
          <w:bCs/>
          <w:iCs/>
          <w:color w:val="000000"/>
          <w:sz w:val="32"/>
          <w:szCs w:val="32"/>
        </w:rPr>
      </w:pPr>
      <w:r>
        <w:rPr>
          <w:rFonts w:hint="eastAsia" w:hAnsi="仿宋" w:cs="仿宋"/>
          <w:bCs/>
          <w:iCs/>
          <w:color w:val="000000"/>
          <w:sz w:val="32"/>
          <w:szCs w:val="32"/>
        </w:rPr>
        <w:t>1．宣传贯彻《中华人民共和国残疾人保障法》，听取残疾人意见，反映残疾人需求，维护残疾人权益，为残疾人服务；</w:t>
      </w:r>
    </w:p>
    <w:p>
      <w:pPr>
        <w:pStyle w:val="7"/>
        <w:adjustRightInd w:val="0"/>
        <w:snapToGrid w:val="0"/>
        <w:spacing w:before="93" w:line="560" w:lineRule="exact"/>
        <w:ind w:firstLine="672" w:firstLineChars="210"/>
        <w:rPr>
          <w:rFonts w:hAnsi="仿宋" w:cs="仿宋"/>
          <w:bCs/>
          <w:iCs/>
          <w:color w:val="000000"/>
          <w:sz w:val="32"/>
          <w:szCs w:val="32"/>
        </w:rPr>
      </w:pPr>
      <w:r>
        <w:rPr>
          <w:rFonts w:hint="eastAsia" w:hAnsi="仿宋" w:cs="仿宋"/>
          <w:bCs/>
          <w:iCs/>
          <w:color w:val="000000"/>
          <w:sz w:val="32"/>
          <w:szCs w:val="32"/>
        </w:rPr>
        <w:t>2.团结、教育残疾人遵守法律，履行应尽的义务，发扬乐观进取精神，自尊、自信、自强、自立，为社会主义建设贡献力量；</w:t>
      </w:r>
    </w:p>
    <w:p>
      <w:pPr>
        <w:pStyle w:val="7"/>
        <w:adjustRightInd w:val="0"/>
        <w:snapToGrid w:val="0"/>
        <w:spacing w:before="93" w:line="560" w:lineRule="exact"/>
        <w:ind w:firstLine="672" w:firstLineChars="210"/>
        <w:rPr>
          <w:rFonts w:hAnsi="仿宋" w:cs="仿宋"/>
          <w:bCs/>
          <w:iCs/>
          <w:color w:val="000000"/>
          <w:sz w:val="32"/>
          <w:szCs w:val="32"/>
        </w:rPr>
      </w:pPr>
      <w:r>
        <w:rPr>
          <w:rFonts w:hint="eastAsia" w:hAnsi="仿宋" w:cs="仿宋"/>
          <w:bCs/>
          <w:iCs/>
          <w:color w:val="000000"/>
          <w:sz w:val="32"/>
          <w:szCs w:val="32"/>
        </w:rPr>
        <w:t>3.弘扬人道主义，宣传残疾人事业，沟通政府、社会和残疾人之间的联系，动员社会理解、尊重、关心、帮助残疾人；</w:t>
      </w:r>
    </w:p>
    <w:p>
      <w:pPr>
        <w:pStyle w:val="7"/>
        <w:adjustRightInd w:val="0"/>
        <w:snapToGrid w:val="0"/>
        <w:spacing w:before="93" w:line="560" w:lineRule="exact"/>
        <w:ind w:firstLine="672" w:firstLineChars="210"/>
        <w:rPr>
          <w:rFonts w:hAnsi="仿宋" w:cs="仿宋"/>
          <w:bCs/>
          <w:iCs/>
          <w:color w:val="000000"/>
          <w:sz w:val="32"/>
          <w:szCs w:val="32"/>
        </w:rPr>
      </w:pPr>
      <w:r>
        <w:rPr>
          <w:rFonts w:hint="eastAsia" w:hAnsi="仿宋" w:cs="仿宋"/>
          <w:bCs/>
          <w:iCs/>
          <w:color w:val="000000"/>
          <w:sz w:val="32"/>
          <w:szCs w:val="32"/>
        </w:rPr>
        <w:t>4.开展残疾人康复、教育、就业、扶贫、文化、体育、科研、用品供应、福利、社会服务、无障碍设施和残疾人预防等工作，创造良好的环境和条件，扶助残疾人平等参与社会生活；</w:t>
      </w:r>
    </w:p>
    <w:p>
      <w:pPr>
        <w:pStyle w:val="7"/>
        <w:adjustRightInd w:val="0"/>
        <w:snapToGrid w:val="0"/>
        <w:spacing w:before="93" w:line="560" w:lineRule="exact"/>
        <w:ind w:firstLine="672" w:firstLineChars="210"/>
        <w:rPr>
          <w:rFonts w:hAnsi="仿宋" w:cs="仿宋"/>
          <w:bCs/>
          <w:iCs/>
          <w:color w:val="000000"/>
          <w:sz w:val="32"/>
          <w:szCs w:val="32"/>
        </w:rPr>
      </w:pPr>
      <w:r>
        <w:rPr>
          <w:rFonts w:hint="eastAsia" w:hAnsi="仿宋" w:cs="仿宋"/>
          <w:bCs/>
          <w:iCs/>
          <w:color w:val="000000"/>
          <w:sz w:val="32"/>
          <w:szCs w:val="32"/>
        </w:rPr>
        <w:t>5.参与研究、制定和实施残疾人事业的法规、政策和计划，对有关业务领域进行指导和管理；</w:t>
      </w:r>
    </w:p>
    <w:p>
      <w:pPr>
        <w:pStyle w:val="7"/>
        <w:adjustRightInd w:val="0"/>
        <w:snapToGrid w:val="0"/>
        <w:spacing w:before="93" w:line="560" w:lineRule="exact"/>
        <w:ind w:firstLine="672" w:firstLineChars="210"/>
        <w:rPr>
          <w:rFonts w:hAnsi="仿宋" w:cs="仿宋"/>
          <w:bCs/>
          <w:iCs/>
          <w:color w:val="000000"/>
          <w:sz w:val="32"/>
          <w:szCs w:val="32"/>
        </w:rPr>
      </w:pPr>
      <w:r>
        <w:rPr>
          <w:rFonts w:hint="eastAsia" w:hAnsi="仿宋" w:cs="仿宋"/>
          <w:bCs/>
          <w:iCs/>
          <w:color w:val="000000"/>
          <w:sz w:val="32"/>
          <w:szCs w:val="32"/>
        </w:rPr>
        <w:t>6.管理和发放《中华人民共和国残疾人证》；</w:t>
      </w:r>
    </w:p>
    <w:p>
      <w:pPr>
        <w:pStyle w:val="7"/>
        <w:adjustRightInd w:val="0"/>
        <w:snapToGrid w:val="0"/>
        <w:spacing w:before="93" w:line="560" w:lineRule="exact"/>
        <w:ind w:firstLine="672" w:firstLineChars="210"/>
        <w:rPr>
          <w:rFonts w:hAnsi="仿宋" w:cs="仿宋"/>
          <w:bCs/>
          <w:iCs/>
          <w:color w:val="000000"/>
          <w:sz w:val="32"/>
          <w:szCs w:val="32"/>
        </w:rPr>
      </w:pPr>
      <w:r>
        <w:rPr>
          <w:rFonts w:hint="eastAsia" w:hAnsi="仿宋" w:cs="仿宋"/>
          <w:bCs/>
          <w:iCs/>
          <w:color w:val="000000"/>
          <w:sz w:val="32"/>
          <w:szCs w:val="32"/>
        </w:rPr>
        <w:t>7.承担九寨沟县人民政府残疾人工作委员会的日常管理工作，做好综合、组织、协调和服务；</w:t>
      </w:r>
    </w:p>
    <w:p>
      <w:pPr>
        <w:pStyle w:val="7"/>
        <w:adjustRightInd w:val="0"/>
        <w:snapToGrid w:val="0"/>
        <w:spacing w:before="93" w:line="560" w:lineRule="exact"/>
        <w:ind w:firstLine="672" w:firstLineChars="210"/>
        <w:rPr>
          <w:rFonts w:hAnsi="仿宋" w:cs="仿宋"/>
          <w:bCs/>
          <w:iCs/>
          <w:color w:val="000000"/>
          <w:sz w:val="32"/>
          <w:szCs w:val="32"/>
        </w:rPr>
      </w:pPr>
      <w:r>
        <w:rPr>
          <w:rFonts w:hint="eastAsia" w:hAnsi="仿宋" w:cs="仿宋"/>
          <w:bCs/>
          <w:iCs/>
          <w:color w:val="000000"/>
          <w:sz w:val="32"/>
          <w:szCs w:val="32"/>
        </w:rPr>
        <w:t>8.指导各乡镇人民政府、乡镇残疾人联合会的工作；</w:t>
      </w:r>
    </w:p>
    <w:p>
      <w:pPr>
        <w:pStyle w:val="7"/>
        <w:adjustRightInd w:val="0"/>
        <w:snapToGrid w:val="0"/>
        <w:spacing w:before="93" w:line="560" w:lineRule="exact"/>
        <w:ind w:firstLine="672" w:firstLineChars="210"/>
        <w:rPr>
          <w:rFonts w:hAnsi="仿宋" w:cs="仿宋"/>
          <w:bCs/>
          <w:iCs/>
          <w:color w:val="000000"/>
          <w:sz w:val="32"/>
          <w:szCs w:val="32"/>
        </w:rPr>
      </w:pPr>
      <w:r>
        <w:rPr>
          <w:rFonts w:hint="eastAsia" w:hAnsi="仿宋" w:cs="仿宋"/>
          <w:bCs/>
          <w:iCs/>
          <w:color w:val="000000"/>
          <w:sz w:val="32"/>
          <w:szCs w:val="32"/>
        </w:rPr>
        <w:t>9.负责对各类残疾人社会团体组织进行监督管理；</w:t>
      </w:r>
    </w:p>
    <w:p>
      <w:pPr>
        <w:pStyle w:val="7"/>
        <w:adjustRightInd w:val="0"/>
        <w:snapToGrid w:val="0"/>
        <w:spacing w:before="93" w:line="560" w:lineRule="exact"/>
        <w:ind w:firstLine="672" w:firstLineChars="210"/>
        <w:rPr>
          <w:rFonts w:hAnsi="仿宋" w:cs="仿宋"/>
          <w:bCs/>
          <w:iCs/>
          <w:color w:val="000000"/>
          <w:sz w:val="32"/>
          <w:szCs w:val="32"/>
        </w:rPr>
      </w:pPr>
      <w:r>
        <w:rPr>
          <w:rFonts w:hint="eastAsia" w:hAnsi="仿宋" w:cs="仿宋"/>
          <w:bCs/>
          <w:iCs/>
          <w:color w:val="000000"/>
          <w:sz w:val="32"/>
          <w:szCs w:val="32"/>
        </w:rPr>
        <w:t>10.开展我县残疾人事业的对外交流和合作；</w:t>
      </w:r>
    </w:p>
    <w:p>
      <w:pPr>
        <w:pStyle w:val="7"/>
        <w:adjustRightInd w:val="0"/>
        <w:snapToGrid w:val="0"/>
        <w:spacing w:before="93" w:line="560" w:lineRule="exact"/>
        <w:ind w:firstLine="672" w:firstLineChars="210"/>
        <w:rPr>
          <w:rFonts w:hAnsi="仿宋" w:cs="仿宋"/>
          <w:bCs/>
          <w:iCs/>
          <w:color w:val="000000"/>
          <w:sz w:val="32"/>
          <w:szCs w:val="32"/>
        </w:rPr>
      </w:pPr>
      <w:r>
        <w:rPr>
          <w:rFonts w:hint="eastAsia" w:hAnsi="仿宋" w:cs="仿宋"/>
          <w:bCs/>
          <w:iCs/>
          <w:color w:val="000000"/>
          <w:sz w:val="32"/>
          <w:szCs w:val="32"/>
        </w:rPr>
        <w:t>11.承担县政府交办的有关事项。</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r>
        <w:rPr>
          <w:rFonts w:hint="eastAsia" w:ascii="仿宋" w:hAnsi="仿宋" w:eastAsia="仿宋"/>
          <w:bCs/>
          <w:color w:val="000000"/>
          <w:sz w:val="32"/>
          <w:szCs w:val="32"/>
        </w:rPr>
        <w:t>（二）</w:t>
      </w:r>
      <w:r>
        <w:rPr>
          <w:rFonts w:ascii="仿宋" w:hAnsi="仿宋" w:eastAsia="仿宋"/>
          <w:bCs/>
          <w:color w:val="000000"/>
          <w:sz w:val="32"/>
          <w:szCs w:val="32"/>
        </w:rPr>
        <w:t>20</w:t>
      </w:r>
      <w:r>
        <w:rPr>
          <w:rFonts w:hint="eastAsia" w:ascii="仿宋" w:hAnsi="仿宋" w:eastAsia="仿宋"/>
          <w:bCs/>
          <w:color w:val="000000"/>
          <w:sz w:val="32"/>
          <w:szCs w:val="32"/>
          <w:lang w:val="en-US" w:eastAsia="zh-CN"/>
        </w:rPr>
        <w:t>20</w:t>
      </w:r>
      <w:r>
        <w:rPr>
          <w:rFonts w:hint="eastAsia" w:ascii="仿宋" w:hAnsi="仿宋" w:eastAsia="仿宋"/>
          <w:bCs/>
          <w:color w:val="000000"/>
          <w:sz w:val="32"/>
          <w:szCs w:val="32"/>
        </w:rPr>
        <w:t>年重点工作完成情况。</w:t>
      </w:r>
      <w:bookmarkEnd w:id="16"/>
      <w:bookmarkEnd w:id="17"/>
    </w:p>
    <w:p>
      <w:pPr>
        <w:keepNext w:val="0"/>
        <w:keepLines w:val="0"/>
        <w:pageBreakBefore w:val="0"/>
        <w:numPr>
          <w:ilvl w:val="0"/>
          <w:numId w:val="0"/>
        </w:numPr>
        <w:kinsoku/>
        <w:wordWrap/>
        <w:overflowPunct/>
        <w:topLinePunct w:val="0"/>
        <w:autoSpaceDE/>
        <w:autoSpaceDN/>
        <w:bidi w:val="0"/>
        <w:adjustRightInd/>
        <w:snapToGrid/>
        <w:spacing w:line="520" w:lineRule="exact"/>
        <w:ind w:firstLine="640" w:firstLineChars="200"/>
        <w:textAlignment w:val="auto"/>
        <w:rPr>
          <w:rFonts w:hint="default"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color w:val="000000"/>
          <w:kern w:val="0"/>
          <w:sz w:val="32"/>
          <w:szCs w:val="32"/>
          <w:lang w:val="en-US" w:eastAsia="zh-CN" w:bidi="ar-SA"/>
        </w:rPr>
        <w:t>一年来，我们积极争取上级残联、东西部扶贫资源、狮子会、县财政财力持，加大全县残疾人事业资金投入。争取州残联资金124.45万元、东西部扶贫资金65.35万元，县财政拨付残疾人事业发展资金219.5万元。截止目前，全年共用于残疾人发展事业补助资金289.07万元，直接兑付残疾人267.971729万元，其中：扶持发展生产12.8万元；居家灵活就业补助23.3万元；残疾儿童康复补助4万元；精神病人服药补助5.107129万元；成人辅具适配补助0.8万元；老年残疾人生活补助553人72.385万元；养老保险补助688人12.023万元；弱有所扶补助178人11.392万元；居家托养188人11.28万元；临时救助13人2.97万元；阳光助学72人11.92万元；发放联络员误工补助88人29.02万元；评残补贴195人2.925万元；</w:t>
      </w:r>
      <w:r>
        <w:rPr>
          <w:rFonts w:hint="eastAsia" w:ascii="仿宋_GB2312" w:hAnsi="仿宋_GB2312" w:eastAsia="仿宋_GB2312" w:cs="仿宋_GB2312"/>
          <w:color w:val="auto"/>
          <w:kern w:val="2"/>
          <w:sz w:val="32"/>
          <w:szCs w:val="32"/>
          <w:lang w:val="en-US" w:eastAsia="zh-CN" w:bidi="ar-SA"/>
        </w:rPr>
        <w:t>323名建档立卡贫困残疾人生活补助</w:t>
      </w:r>
      <w:r>
        <w:rPr>
          <w:rFonts w:hint="eastAsia" w:ascii="仿宋_GB2312" w:hAnsi="宋体" w:eastAsia="仿宋_GB2312" w:cs="仿宋_GB2312"/>
          <w:color w:val="000000"/>
          <w:kern w:val="0"/>
          <w:sz w:val="32"/>
          <w:szCs w:val="32"/>
          <w:lang w:val="en-US" w:eastAsia="zh-CN" w:bidi="ar-SA"/>
        </w:rPr>
        <w:t>及扶贫生活费39.168万元；</w:t>
      </w:r>
      <w:r>
        <w:rPr>
          <w:rFonts w:hint="eastAsia" w:ascii="仿宋_GB2312" w:hAnsi="仿宋_GB2312" w:eastAsia="仿宋_GB2312" w:cs="仿宋_GB2312"/>
          <w:color w:val="auto"/>
          <w:kern w:val="2"/>
          <w:sz w:val="32"/>
          <w:szCs w:val="32"/>
          <w:lang w:val="en-US" w:eastAsia="zh-CN" w:bidi="ar-SA"/>
        </w:rPr>
        <w:t>无障碍改造14人5.5016万元；</w:t>
      </w:r>
      <w:r>
        <w:rPr>
          <w:rFonts w:hint="eastAsia" w:ascii="仿宋_GB2312" w:hAnsi="宋体" w:eastAsia="仿宋_GB2312" w:cs="仿宋_GB2312"/>
          <w:color w:val="000000"/>
          <w:kern w:val="0"/>
          <w:sz w:val="32"/>
          <w:szCs w:val="32"/>
          <w:lang w:val="en-US" w:eastAsia="zh-CN" w:bidi="ar-SA"/>
        </w:rPr>
        <w:t>受灾残疾人救助33人4.7万元；送技术下乡及刺绣培训补贴39人9.53万元；助残日及温暖万家行慰问9.15万元。</w:t>
      </w:r>
    </w:p>
    <w:p>
      <w:pPr>
        <w:pStyle w:val="2"/>
        <w:keepNext w:val="0"/>
        <w:keepLines w:val="0"/>
        <w:pageBreakBefore w:val="0"/>
        <w:kinsoku/>
        <w:wordWrap/>
        <w:overflowPunct/>
        <w:topLinePunct w:val="0"/>
        <w:autoSpaceDE/>
        <w:autoSpaceDN/>
        <w:bidi w:val="0"/>
        <w:adjustRightInd/>
        <w:snapToGrid/>
        <w:spacing w:line="520" w:lineRule="exact"/>
        <w:textAlignment w:val="auto"/>
        <w:rPr>
          <w:rFonts w:hint="eastAsia" w:ascii="仿宋_GB2312" w:hAnsi="宋体" w:eastAsia="仿宋_GB2312" w:cs="仿宋_GB2312"/>
          <w:color w:val="000000"/>
          <w:kern w:val="0"/>
          <w:sz w:val="32"/>
          <w:szCs w:val="32"/>
          <w:lang w:val="en-US" w:eastAsia="zh-CN" w:bidi="ar-SA"/>
        </w:rPr>
      </w:pPr>
      <w:r>
        <w:rPr>
          <w:rFonts w:hint="eastAsia" w:ascii="仿宋_GB2312" w:hAnsi="宋体" w:eastAsia="仿宋_GB2312" w:cs="仿宋_GB2312"/>
          <w:color w:val="000000"/>
          <w:kern w:val="0"/>
          <w:sz w:val="32"/>
          <w:szCs w:val="32"/>
          <w:lang w:val="en-US" w:eastAsia="zh-CN" w:bidi="ar-SA"/>
        </w:rPr>
        <w:t>同时，争取嘉兴残联捐助助听器20部42万元，惠及17名残疾人；争取棉被、羽绒服、毛衣、手套等物资价值9.28万元发放受灾及困难残疾人。协调争取狮子会资金10万元为九寨沟县第二人民医院解决中频、电针、超短波治疗机、超声波治疗机、干扰电治疗仪、微波治疗机等设备。争取狮子会医务力量来我县开展白内障复明手术，惠及30名白内障患者。</w:t>
      </w:r>
    </w:p>
    <w:p>
      <w:pPr>
        <w:pStyle w:val="7"/>
        <w:adjustRightInd w:val="0"/>
        <w:snapToGrid w:val="0"/>
        <w:spacing w:before="93" w:line="600" w:lineRule="exact"/>
        <w:ind w:firstLine="672" w:firstLineChars="210"/>
        <w:outlineLvl w:val="2"/>
        <w:rPr>
          <w:rFonts w:hint="eastAsia" w:ascii="仿宋" w:hAnsi="仿宋" w:eastAsia="仿宋"/>
          <w:bCs/>
          <w:color w:val="000000"/>
          <w:sz w:val="32"/>
          <w:szCs w:val="32"/>
        </w:rPr>
      </w:pPr>
    </w:p>
    <w:p>
      <w:pPr>
        <w:pStyle w:val="5"/>
        <w:rPr>
          <w:rStyle w:val="29"/>
          <w:b w:val="0"/>
          <w:bCs w:val="0"/>
        </w:rPr>
      </w:pPr>
      <w:bookmarkStart w:id="18" w:name="_Toc15396601"/>
      <w:bookmarkStart w:id="19" w:name="_Toc15377200"/>
      <w:r>
        <w:rPr>
          <w:rFonts w:hint="eastAsia" w:ascii="黑体" w:eastAsia="黑体"/>
          <w:b w:val="0"/>
          <w:color w:val="000000"/>
        </w:rPr>
        <w:t>二、</w:t>
      </w:r>
      <w:r>
        <w:rPr>
          <w:rFonts w:hint="eastAsia" w:ascii="黑体" w:hAnsi="黑体" w:eastAsia="黑体"/>
          <w:b w:val="0"/>
          <w:color w:val="000000"/>
        </w:rPr>
        <w:t>机</w:t>
      </w:r>
      <w:r>
        <w:rPr>
          <w:rStyle w:val="29"/>
          <w:rFonts w:hint="eastAsia" w:ascii="黑体" w:hAnsi="黑体" w:eastAsia="黑体"/>
          <w:b w:val="0"/>
          <w:bCs w:val="0"/>
        </w:rPr>
        <w:t>构设置</w:t>
      </w:r>
      <w:bookmarkEnd w:id="18"/>
      <w:bookmarkEnd w:id="19"/>
    </w:p>
    <w:p>
      <w:pPr>
        <w:pStyle w:val="7"/>
        <w:adjustRightInd w:val="0"/>
        <w:snapToGrid w:val="0"/>
        <w:spacing w:before="93" w:line="600" w:lineRule="exact"/>
        <w:ind w:firstLine="672" w:firstLineChars="210"/>
        <w:rPr>
          <w:color w:val="000000"/>
          <w:sz w:val="32"/>
          <w:szCs w:val="32"/>
        </w:rPr>
      </w:pPr>
      <w:r>
        <w:rPr>
          <w:rFonts w:hint="eastAsia"/>
          <w:color w:val="000000"/>
          <w:sz w:val="32"/>
          <w:szCs w:val="32"/>
        </w:rPr>
        <w:t>九寨沟县残疾人康复中心为残联下属事业单位，内设办公室、康复治疗室、辅助器具验配发放室、社区康复指导室4个，人员编制8个，实际在岗6人，临时工2人。</w:t>
      </w:r>
    </w:p>
    <w:p>
      <w:pPr>
        <w:pStyle w:val="7"/>
        <w:adjustRightInd w:val="0"/>
        <w:snapToGrid w:val="0"/>
        <w:spacing w:before="93" w:line="600" w:lineRule="exact"/>
        <w:ind w:firstLine="672" w:firstLineChars="210"/>
        <w:rPr>
          <w:color w:val="000000"/>
          <w:sz w:val="32"/>
          <w:szCs w:val="32"/>
        </w:rPr>
      </w:pPr>
    </w:p>
    <w:p>
      <w:pPr>
        <w:pStyle w:val="4"/>
        <w:ind w:right="440"/>
        <w:jc w:val="center"/>
        <w:rPr>
          <w:rStyle w:val="28"/>
          <w:rFonts w:ascii="黑体" w:hAnsi="黑体" w:eastAsia="黑体"/>
          <w:b w:val="0"/>
          <w:bCs w:val="0"/>
          <w:sz w:val="32"/>
          <w:szCs w:val="32"/>
        </w:rPr>
      </w:pPr>
      <w:bookmarkStart w:id="20" w:name="_Toc15396602"/>
      <w:bookmarkStart w:id="21" w:name="_Toc15377204"/>
      <w:r>
        <w:rPr>
          <w:rFonts w:hint="eastAsia" w:ascii="黑体" w:hAnsi="黑体" w:eastAsia="黑体"/>
          <w:b w:val="0"/>
          <w:color w:val="000000"/>
          <w:sz w:val="32"/>
          <w:szCs w:val="32"/>
        </w:rPr>
        <w:t>第二部分</w:t>
      </w:r>
      <w:r>
        <w:rPr>
          <w:rFonts w:hint="eastAsia" w:ascii="黑体" w:hAnsi="黑体" w:eastAsia="黑体"/>
          <w:color w:val="000000"/>
          <w:sz w:val="32"/>
          <w:szCs w:val="32"/>
        </w:rPr>
        <w:t xml:space="preserve"> </w:t>
      </w:r>
      <w:r>
        <w:rPr>
          <w:rStyle w:val="28"/>
          <w:rFonts w:hint="eastAsia" w:ascii="黑体" w:hAnsi="黑体" w:eastAsia="黑体"/>
          <w:b w:val="0"/>
          <w:bCs w:val="0"/>
          <w:sz w:val="32"/>
          <w:szCs w:val="32"/>
        </w:rPr>
        <w:t>20</w:t>
      </w:r>
      <w:r>
        <w:rPr>
          <w:rStyle w:val="28"/>
          <w:rFonts w:hint="eastAsia" w:ascii="黑体" w:hAnsi="黑体" w:eastAsia="黑体"/>
          <w:b w:val="0"/>
          <w:bCs w:val="0"/>
          <w:sz w:val="32"/>
          <w:szCs w:val="32"/>
          <w:lang w:val="en-US" w:eastAsia="zh-CN"/>
        </w:rPr>
        <w:t>20</w:t>
      </w:r>
      <w:r>
        <w:rPr>
          <w:rStyle w:val="28"/>
          <w:rFonts w:hint="eastAsia" w:ascii="黑体" w:hAnsi="黑体" w:eastAsia="黑体"/>
          <w:b w:val="0"/>
          <w:bCs w:val="0"/>
          <w:sz w:val="32"/>
          <w:szCs w:val="32"/>
        </w:rPr>
        <w:t>年度部门决算情况说明</w:t>
      </w:r>
      <w:bookmarkEnd w:id="20"/>
      <w:bookmarkEnd w:id="21"/>
    </w:p>
    <w:p>
      <w:pPr>
        <w:pStyle w:val="27"/>
        <w:numPr>
          <w:ilvl w:val="0"/>
          <w:numId w:val="1"/>
        </w:numPr>
        <w:spacing w:line="600" w:lineRule="exact"/>
        <w:ind w:firstLineChars="0"/>
        <w:outlineLvl w:val="1"/>
        <w:rPr>
          <w:rStyle w:val="29"/>
          <w:rFonts w:ascii="黑体" w:hAnsi="黑体" w:eastAsia="黑体"/>
          <w:b w:val="0"/>
        </w:rPr>
      </w:pPr>
      <w:bookmarkStart w:id="22" w:name="_Toc15396603"/>
      <w:bookmarkStart w:id="23" w:name="_Toc15377205"/>
      <w:r>
        <w:rPr>
          <w:rFonts w:hint="eastAsia" w:ascii="黑体" w:hAnsi="黑体" w:eastAsia="黑体"/>
          <w:color w:val="000000"/>
          <w:sz w:val="32"/>
          <w:szCs w:val="32"/>
        </w:rPr>
        <w:t>收</w:t>
      </w:r>
      <w:r>
        <w:rPr>
          <w:rStyle w:val="29"/>
          <w:rFonts w:hint="eastAsia" w:ascii="黑体" w:hAnsi="黑体" w:eastAsia="黑体"/>
          <w:b w:val="0"/>
        </w:rPr>
        <w:t>入支出决算总体情况说明</w:t>
      </w:r>
      <w:bookmarkEnd w:id="22"/>
      <w:bookmarkEnd w:id="23"/>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年度收、支总计</w:t>
      </w:r>
      <w:r>
        <w:rPr>
          <w:rFonts w:hint="eastAsia" w:ascii="仿宋" w:hAnsi="仿宋" w:eastAsia="仿宋"/>
          <w:color w:val="000000"/>
          <w:sz w:val="32"/>
          <w:szCs w:val="32"/>
          <w:lang w:val="en-US" w:eastAsia="zh-CN"/>
        </w:rPr>
        <w:t>78.7</w:t>
      </w:r>
      <w:r>
        <w:rPr>
          <w:rFonts w:hint="eastAsia" w:ascii="仿宋" w:hAnsi="仿宋" w:eastAsia="仿宋"/>
          <w:color w:val="000000"/>
          <w:sz w:val="32"/>
          <w:szCs w:val="32"/>
        </w:rPr>
        <w:t>万元。</w:t>
      </w:r>
      <w:bookmarkStart w:id="24" w:name="_Toc15377206"/>
      <w:bookmarkStart w:id="25" w:name="_Toc15396604"/>
    </w:p>
    <w:p>
      <w:pPr>
        <w:spacing w:line="600" w:lineRule="exact"/>
        <w:ind w:firstLine="640" w:firstLineChars="200"/>
        <w:rPr>
          <w:rStyle w:val="29"/>
          <w:rFonts w:ascii="黑体" w:hAnsi="黑体" w:eastAsia="黑体"/>
          <w:b w:val="0"/>
        </w:rPr>
      </w:pPr>
      <w:r>
        <w:rPr>
          <w:rFonts w:hint="eastAsia" w:ascii="黑体" w:hAnsi="黑体" w:eastAsia="黑体"/>
          <w:color w:val="000000"/>
          <w:sz w:val="32"/>
          <w:szCs w:val="32"/>
        </w:rPr>
        <w:t>二、收</w:t>
      </w:r>
      <w:r>
        <w:rPr>
          <w:rStyle w:val="29"/>
          <w:rFonts w:hint="eastAsia" w:ascii="黑体" w:hAnsi="黑体" w:eastAsia="黑体"/>
          <w:b w:val="0"/>
        </w:rPr>
        <w:t>入决算情况说明</w:t>
      </w:r>
      <w:bookmarkEnd w:id="24"/>
      <w:bookmarkEnd w:id="25"/>
    </w:p>
    <w:p>
      <w:pPr>
        <w:spacing w:line="600" w:lineRule="exact"/>
        <w:ind w:firstLine="640" w:firstLineChars="200"/>
        <w:outlineLvl w:val="1"/>
        <w:rPr>
          <w:rFonts w:ascii="仿宋" w:hAnsi="仿宋" w:eastAsia="仿宋"/>
          <w:color w:val="000000"/>
          <w:sz w:val="32"/>
          <w:szCs w:val="32"/>
        </w:rPr>
      </w:pPr>
      <w:r>
        <w:rPr>
          <w:rFonts w:hint="eastAsia" w:ascii="仿宋" w:hAnsi="仿宋" w:eastAsia="仿宋"/>
          <w:color w:val="000000"/>
          <w:sz w:val="32"/>
          <w:szCs w:val="32"/>
          <w:lang w:val="en-US" w:eastAsia="zh-CN"/>
        </w:rPr>
        <w:t>2020</w:t>
      </w:r>
      <w:r>
        <w:rPr>
          <w:rFonts w:hint="eastAsia" w:ascii="仿宋" w:hAnsi="仿宋" w:eastAsia="仿宋"/>
          <w:color w:val="000000"/>
          <w:sz w:val="32"/>
          <w:szCs w:val="32"/>
        </w:rPr>
        <w:t>年本年收入合计</w:t>
      </w:r>
      <w:r>
        <w:rPr>
          <w:rFonts w:hint="eastAsia" w:ascii="仿宋" w:hAnsi="仿宋" w:eastAsia="仿宋"/>
          <w:color w:val="000000"/>
          <w:sz w:val="32"/>
          <w:szCs w:val="32"/>
          <w:lang w:val="en-US" w:eastAsia="zh-CN"/>
        </w:rPr>
        <w:t>78.7</w:t>
      </w:r>
      <w:r>
        <w:rPr>
          <w:rFonts w:hint="eastAsia" w:ascii="仿宋" w:hAnsi="仿宋" w:eastAsia="仿宋"/>
          <w:color w:val="000000"/>
          <w:sz w:val="32"/>
          <w:szCs w:val="32"/>
        </w:rPr>
        <w:t>万元，其中：一般公共预算财政拨款收入</w:t>
      </w:r>
      <w:r>
        <w:rPr>
          <w:rFonts w:hint="eastAsia" w:ascii="仿宋" w:hAnsi="仿宋" w:eastAsia="仿宋"/>
          <w:color w:val="000000"/>
          <w:sz w:val="32"/>
          <w:szCs w:val="32"/>
          <w:lang w:val="en-US" w:eastAsia="zh-CN"/>
        </w:rPr>
        <w:t>78.7</w:t>
      </w:r>
      <w:r>
        <w:rPr>
          <w:rFonts w:hint="eastAsia" w:ascii="仿宋" w:hAnsi="仿宋" w:eastAsia="仿宋"/>
          <w:color w:val="000000"/>
          <w:sz w:val="32"/>
          <w:szCs w:val="32"/>
        </w:rPr>
        <w:t>万元，占100</w:t>
      </w:r>
      <w:r>
        <w:rPr>
          <w:rFonts w:ascii="仿宋" w:hAnsi="仿宋" w:eastAsia="仿宋"/>
          <w:color w:val="000000"/>
          <w:sz w:val="32"/>
          <w:szCs w:val="32"/>
        </w:rPr>
        <w:t>%</w:t>
      </w:r>
      <w:r>
        <w:rPr>
          <w:rFonts w:hint="eastAsia" w:ascii="仿宋" w:hAnsi="仿宋" w:eastAsia="仿宋"/>
          <w:color w:val="000000"/>
          <w:sz w:val="32"/>
          <w:szCs w:val="32"/>
        </w:rPr>
        <w:t>；政府性基金预算财政拨款收入0万元。</w:t>
      </w:r>
    </w:p>
    <w:p>
      <w:pPr>
        <w:pStyle w:val="27"/>
        <w:spacing w:line="600" w:lineRule="exact"/>
        <w:ind w:left="640" w:firstLine="0" w:firstLineChars="0"/>
        <w:outlineLvl w:val="1"/>
        <w:rPr>
          <w:rStyle w:val="29"/>
          <w:rFonts w:ascii="黑体" w:hAnsi="黑体" w:eastAsia="黑体"/>
          <w:b w:val="0"/>
        </w:rPr>
      </w:pPr>
      <w:bookmarkStart w:id="26" w:name="_Toc15377207"/>
      <w:bookmarkStart w:id="27" w:name="_Toc15396605"/>
      <w:r>
        <w:rPr>
          <w:rFonts w:hint="eastAsia" w:ascii="黑体" w:hAnsi="黑体" w:eastAsia="黑体"/>
          <w:color w:val="000000"/>
          <w:sz w:val="32"/>
          <w:szCs w:val="32"/>
        </w:rPr>
        <w:t>三、支</w:t>
      </w:r>
      <w:r>
        <w:rPr>
          <w:rStyle w:val="29"/>
          <w:rFonts w:hint="eastAsia" w:ascii="黑体" w:hAnsi="黑体" w:eastAsia="黑体"/>
          <w:b w:val="0"/>
        </w:rPr>
        <w:t>出决算情况说明</w:t>
      </w:r>
      <w:bookmarkEnd w:id="26"/>
      <w:bookmarkEnd w:id="27"/>
    </w:p>
    <w:p>
      <w:pPr>
        <w:spacing w:line="600" w:lineRule="exact"/>
        <w:ind w:firstLine="640"/>
        <w:rPr>
          <w:rFonts w:ascii="仿宋" w:hAnsi="仿宋" w:eastAsia="仿宋"/>
          <w:color w:val="000000"/>
          <w:sz w:val="32"/>
          <w:szCs w:val="32"/>
          <w:shd w:val="pct10" w:color="auto" w:fill="FFFFFF"/>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年本年支出合计</w:t>
      </w:r>
      <w:r>
        <w:rPr>
          <w:rFonts w:hint="eastAsia" w:ascii="仿宋" w:hAnsi="仿宋" w:eastAsia="仿宋"/>
          <w:color w:val="000000"/>
          <w:sz w:val="32"/>
          <w:szCs w:val="32"/>
          <w:lang w:val="en-US" w:eastAsia="zh-CN"/>
        </w:rPr>
        <w:t>78.7</w:t>
      </w:r>
      <w:r>
        <w:rPr>
          <w:rFonts w:hint="eastAsia" w:ascii="仿宋" w:hAnsi="仿宋" w:eastAsia="仿宋"/>
          <w:color w:val="000000"/>
          <w:sz w:val="32"/>
          <w:szCs w:val="32"/>
        </w:rPr>
        <w:t>万元，其中：基本支出</w:t>
      </w:r>
      <w:r>
        <w:rPr>
          <w:rFonts w:hint="eastAsia" w:ascii="仿宋" w:hAnsi="仿宋" w:eastAsia="仿宋"/>
          <w:color w:val="000000"/>
          <w:sz w:val="32"/>
          <w:szCs w:val="32"/>
          <w:lang w:val="en-US" w:eastAsia="zh-CN"/>
        </w:rPr>
        <w:t>78.7</w:t>
      </w:r>
      <w:r>
        <w:rPr>
          <w:rFonts w:hint="eastAsia" w:ascii="仿宋" w:hAnsi="仿宋" w:eastAsia="仿宋"/>
          <w:color w:val="000000"/>
          <w:sz w:val="32"/>
          <w:szCs w:val="32"/>
        </w:rPr>
        <w:t>万元。</w:t>
      </w:r>
    </w:p>
    <w:p>
      <w:pPr>
        <w:spacing w:line="600" w:lineRule="exact"/>
        <w:ind w:firstLine="640" w:firstLineChars="200"/>
        <w:outlineLvl w:val="1"/>
        <w:rPr>
          <w:rStyle w:val="29"/>
          <w:rFonts w:ascii="黑体" w:hAnsi="黑体" w:eastAsia="黑体"/>
          <w:b w:val="0"/>
        </w:rPr>
      </w:pPr>
      <w:bookmarkStart w:id="28" w:name="_Toc15377208"/>
      <w:bookmarkStart w:id="29" w:name="_Toc15396606"/>
      <w:r>
        <w:rPr>
          <w:rFonts w:hint="eastAsia" w:ascii="黑体" w:hAnsi="黑体" w:eastAsia="黑体"/>
          <w:color w:val="000000"/>
          <w:sz w:val="32"/>
          <w:szCs w:val="32"/>
        </w:rPr>
        <w:t>四、财</w:t>
      </w:r>
      <w:r>
        <w:rPr>
          <w:rStyle w:val="29"/>
          <w:rFonts w:hint="eastAsia" w:ascii="黑体" w:hAnsi="黑体" w:eastAsia="黑体"/>
          <w:b w:val="0"/>
        </w:rPr>
        <w:t>政拨款收入支出决算总体情况说明</w:t>
      </w:r>
      <w:bookmarkEnd w:id="28"/>
      <w:bookmarkEnd w:id="29"/>
    </w:p>
    <w:p>
      <w:pPr>
        <w:spacing w:line="600" w:lineRule="exact"/>
        <w:ind w:firstLine="640" w:firstLineChars="20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年财政拨款收、支总计</w:t>
      </w:r>
      <w:r>
        <w:rPr>
          <w:rFonts w:hint="eastAsia" w:ascii="仿宋" w:hAnsi="仿宋" w:eastAsia="仿宋"/>
          <w:color w:val="000000"/>
          <w:sz w:val="32"/>
          <w:szCs w:val="32"/>
          <w:lang w:val="en-US" w:eastAsia="zh-CN"/>
        </w:rPr>
        <w:t>78.7</w:t>
      </w:r>
      <w:r>
        <w:rPr>
          <w:rFonts w:hint="eastAsia" w:ascii="仿宋" w:hAnsi="仿宋" w:eastAsia="仿宋"/>
          <w:color w:val="000000"/>
          <w:sz w:val="32"/>
          <w:szCs w:val="32"/>
        </w:rPr>
        <w:t>万元。</w:t>
      </w:r>
    </w:p>
    <w:p>
      <w:pPr>
        <w:spacing w:line="600" w:lineRule="exact"/>
        <w:ind w:firstLine="640" w:firstLineChars="200"/>
        <w:outlineLvl w:val="1"/>
        <w:rPr>
          <w:rStyle w:val="29"/>
          <w:rFonts w:ascii="黑体" w:hAnsi="黑体" w:eastAsia="黑体"/>
          <w:b w:val="0"/>
        </w:rPr>
      </w:pPr>
      <w:bookmarkStart w:id="30" w:name="_Toc15377209"/>
      <w:bookmarkStart w:id="31" w:name="_Toc15396607"/>
      <w:r>
        <w:rPr>
          <w:rFonts w:hint="eastAsia" w:ascii="黑体" w:hAnsi="黑体" w:eastAsia="黑体"/>
          <w:color w:val="000000"/>
          <w:sz w:val="32"/>
          <w:szCs w:val="32"/>
        </w:rPr>
        <w:t>五、</w:t>
      </w:r>
      <w:r>
        <w:rPr>
          <w:rFonts w:hint="eastAsia" w:ascii="黑体" w:hAnsi="黑体" w:eastAsia="黑体"/>
          <w:b/>
          <w:color w:val="000000"/>
          <w:sz w:val="32"/>
          <w:szCs w:val="32"/>
        </w:rPr>
        <w:t>一</w:t>
      </w:r>
      <w:r>
        <w:rPr>
          <w:rStyle w:val="29"/>
          <w:rFonts w:hint="eastAsia" w:ascii="黑体" w:hAnsi="黑体" w:eastAsia="黑体"/>
          <w:b w:val="0"/>
        </w:rPr>
        <w:t>般公共预算财政拨款支出决算情况说明</w:t>
      </w:r>
      <w:bookmarkEnd w:id="30"/>
      <w:bookmarkEnd w:id="31"/>
    </w:p>
    <w:p>
      <w:pPr>
        <w:spacing w:line="600" w:lineRule="exact"/>
        <w:ind w:firstLine="643" w:firstLineChars="200"/>
        <w:outlineLvl w:val="2"/>
        <w:rPr>
          <w:rFonts w:ascii="仿宋" w:hAnsi="仿宋" w:eastAsia="仿宋"/>
          <w:b/>
          <w:color w:val="000000"/>
          <w:sz w:val="32"/>
          <w:szCs w:val="32"/>
        </w:rPr>
      </w:pPr>
      <w:bookmarkStart w:id="32" w:name="_Toc15377210"/>
      <w:r>
        <w:rPr>
          <w:rFonts w:hint="eastAsia" w:ascii="仿宋" w:hAnsi="仿宋" w:eastAsia="仿宋"/>
          <w:b/>
          <w:color w:val="000000"/>
          <w:sz w:val="32"/>
          <w:szCs w:val="32"/>
        </w:rPr>
        <w:t>（一）一般公共预算财政拨款支出决算总体情况</w:t>
      </w:r>
      <w:bookmarkEnd w:id="32"/>
    </w:p>
    <w:p>
      <w:pPr>
        <w:spacing w:line="600" w:lineRule="exact"/>
        <w:ind w:firstLine="640" w:firstLineChars="200"/>
        <w:rPr>
          <w:rFonts w:ascii="仿宋" w:hAnsi="仿宋" w:eastAsia="仿宋"/>
          <w:color w:val="000000" w:themeColor="text1"/>
          <w:sz w:val="32"/>
          <w:szCs w:val="32"/>
          <w14:textFill>
            <w14:solidFill>
              <w14:schemeClr w14:val="tx1"/>
            </w14:solidFill>
          </w14:textFill>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年一般公共预算财政拨款支出</w:t>
      </w:r>
      <w:r>
        <w:rPr>
          <w:rFonts w:hint="eastAsia" w:ascii="仿宋" w:hAnsi="仿宋" w:eastAsia="仿宋"/>
          <w:color w:val="000000"/>
          <w:sz w:val="32"/>
          <w:szCs w:val="32"/>
          <w:lang w:val="en-US" w:eastAsia="zh-CN"/>
        </w:rPr>
        <w:t>78.7</w:t>
      </w:r>
      <w:r>
        <w:rPr>
          <w:rFonts w:hint="eastAsia" w:ascii="仿宋" w:hAnsi="仿宋" w:eastAsia="仿宋"/>
          <w:color w:val="000000"/>
          <w:sz w:val="32"/>
          <w:szCs w:val="32"/>
        </w:rPr>
        <w:t>万元。</w:t>
      </w:r>
    </w:p>
    <w:p>
      <w:pPr>
        <w:spacing w:line="600" w:lineRule="exact"/>
        <w:ind w:firstLine="643" w:firstLineChars="200"/>
        <w:outlineLvl w:val="2"/>
        <w:rPr>
          <w:rFonts w:ascii="仿宋" w:hAnsi="仿宋" w:eastAsia="仿宋"/>
          <w:b/>
          <w:color w:val="000000"/>
          <w:sz w:val="32"/>
          <w:szCs w:val="32"/>
        </w:rPr>
      </w:pPr>
      <w:bookmarkStart w:id="33" w:name="_Toc15377211"/>
      <w:r>
        <w:rPr>
          <w:rFonts w:hint="eastAsia" w:ascii="仿宋" w:hAnsi="仿宋" w:eastAsia="仿宋"/>
          <w:b/>
          <w:color w:val="000000"/>
          <w:sz w:val="32"/>
          <w:szCs w:val="32"/>
        </w:rPr>
        <w:t>（二）一般公共预算财政拨款支出决算结构情况</w:t>
      </w:r>
      <w:bookmarkEnd w:id="33"/>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年一般公共预算财</w:t>
      </w:r>
      <w:r>
        <w:rPr>
          <w:rFonts w:hint="eastAsia" w:ascii="仿宋" w:hAnsi="仿宋" w:eastAsia="仿宋"/>
          <w:color w:val="000000" w:themeColor="text1"/>
          <w:sz w:val="32"/>
          <w:szCs w:val="32"/>
          <w14:textFill>
            <w14:solidFill>
              <w14:schemeClr w14:val="tx1"/>
            </w14:solidFill>
          </w14:textFill>
        </w:rPr>
        <w:t>政拨款支出</w:t>
      </w:r>
      <w:r>
        <w:rPr>
          <w:rFonts w:hint="eastAsia" w:ascii="仿宋" w:hAnsi="仿宋" w:eastAsia="仿宋"/>
          <w:color w:val="000000"/>
          <w:sz w:val="32"/>
          <w:szCs w:val="32"/>
          <w:lang w:val="en-US" w:eastAsia="zh-CN"/>
        </w:rPr>
        <w:t>78.7</w:t>
      </w:r>
      <w:r>
        <w:rPr>
          <w:rFonts w:hint="eastAsia" w:ascii="仿宋" w:hAnsi="仿宋" w:eastAsia="仿宋"/>
          <w:color w:val="000000" w:themeColor="text1"/>
          <w:sz w:val="32"/>
          <w:szCs w:val="32"/>
          <w14:textFill>
            <w14:solidFill>
              <w14:schemeClr w14:val="tx1"/>
            </w14:solidFill>
          </w14:textFill>
        </w:rPr>
        <w:t>万元，主要用于以下方面</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b/>
          <w:color w:val="000000" w:themeColor="text1"/>
          <w:sz w:val="32"/>
          <w:szCs w:val="32"/>
          <w14:textFill>
            <w14:solidFill>
              <w14:schemeClr w14:val="tx1"/>
            </w14:solidFill>
          </w14:textFill>
        </w:rPr>
        <w:t>社会保障和就业（2</w:t>
      </w:r>
      <w:r>
        <w:rPr>
          <w:rFonts w:ascii="仿宋" w:hAnsi="仿宋" w:eastAsia="仿宋"/>
          <w:b/>
          <w:color w:val="000000" w:themeColor="text1"/>
          <w:sz w:val="32"/>
          <w:szCs w:val="32"/>
          <w14:textFill>
            <w14:solidFill>
              <w14:schemeClr w14:val="tx1"/>
            </w14:solidFill>
          </w14:textFill>
        </w:rPr>
        <w:t>08</w:t>
      </w:r>
      <w:r>
        <w:rPr>
          <w:rFonts w:hint="eastAsia" w:ascii="仿宋" w:hAnsi="仿宋" w:eastAsia="仿宋"/>
          <w:b/>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支出70.</w:t>
      </w:r>
      <w:r>
        <w:rPr>
          <w:rFonts w:hint="eastAsia" w:ascii="仿宋" w:hAnsi="仿宋" w:eastAsia="仿宋"/>
          <w:color w:val="000000" w:themeColor="text1"/>
          <w:sz w:val="32"/>
          <w:szCs w:val="32"/>
          <w:lang w:val="en-US" w:eastAsia="zh-CN"/>
          <w14:textFill>
            <w14:solidFill>
              <w14:schemeClr w14:val="tx1"/>
            </w14:solidFill>
          </w14:textFill>
        </w:rPr>
        <w:t>89</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90</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；卫生健康(</w:t>
      </w:r>
      <w:r>
        <w:rPr>
          <w:rFonts w:ascii="仿宋" w:hAnsi="仿宋" w:eastAsia="仿宋"/>
          <w:color w:val="000000" w:themeColor="text1"/>
          <w:sz w:val="32"/>
          <w:szCs w:val="32"/>
          <w14:textFill>
            <w14:solidFill>
              <w14:schemeClr w14:val="tx1"/>
            </w14:solidFill>
          </w14:textFill>
        </w:rPr>
        <w:t>210</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1.8</w:t>
      </w:r>
      <w:r>
        <w:rPr>
          <w:rFonts w:hint="eastAsia" w:ascii="仿宋" w:hAnsi="仿宋" w:eastAsia="仿宋"/>
          <w:color w:val="000000" w:themeColor="text1"/>
          <w:sz w:val="32"/>
          <w:szCs w:val="32"/>
          <w14:textFill>
            <w14:solidFill>
              <w14:schemeClr w14:val="tx1"/>
            </w14:solidFill>
          </w14:textFill>
        </w:rPr>
        <w:t>万元占</w:t>
      </w:r>
      <w:r>
        <w:rPr>
          <w:rFonts w:hint="eastAsia" w:ascii="仿宋" w:hAnsi="仿宋" w:eastAsia="仿宋"/>
          <w:color w:val="000000" w:themeColor="text1"/>
          <w:sz w:val="32"/>
          <w:szCs w:val="32"/>
          <w:lang w:val="en-US" w:eastAsia="zh-CN"/>
          <w14:textFill>
            <w14:solidFill>
              <w14:schemeClr w14:val="tx1"/>
            </w14:solidFill>
          </w14:textFill>
        </w:rPr>
        <w:t>2.3</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；住房保障(</w:t>
      </w:r>
      <w:r>
        <w:rPr>
          <w:rFonts w:ascii="仿宋" w:hAnsi="仿宋" w:eastAsia="仿宋"/>
          <w:color w:val="000000" w:themeColor="text1"/>
          <w:sz w:val="32"/>
          <w:szCs w:val="32"/>
          <w14:textFill>
            <w14:solidFill>
              <w14:schemeClr w14:val="tx1"/>
            </w14:solidFill>
          </w14:textFill>
        </w:rPr>
        <w:t>221</w:t>
      </w:r>
      <w:r>
        <w:rPr>
          <w:rFonts w:hint="eastAsia" w:ascii="仿宋" w:hAnsi="仿宋" w:eastAsia="仿宋"/>
          <w:color w:val="000000" w:themeColor="text1"/>
          <w:sz w:val="32"/>
          <w:szCs w:val="32"/>
          <w14:textFill>
            <w14:solidFill>
              <w14:schemeClr w14:val="tx1"/>
            </w14:solidFill>
          </w14:textFill>
        </w:rPr>
        <w:t>)支出</w:t>
      </w:r>
      <w:r>
        <w:rPr>
          <w:rFonts w:hint="eastAsia" w:ascii="仿宋" w:hAnsi="仿宋" w:eastAsia="仿宋"/>
          <w:color w:val="000000" w:themeColor="text1"/>
          <w:sz w:val="32"/>
          <w:szCs w:val="32"/>
          <w:lang w:val="en-US" w:eastAsia="zh-CN"/>
          <w14:textFill>
            <w14:solidFill>
              <w14:schemeClr w14:val="tx1"/>
            </w14:solidFill>
          </w14:textFill>
        </w:rPr>
        <w:t>7.7</w:t>
      </w:r>
      <w:r>
        <w:rPr>
          <w:rFonts w:hint="eastAsia" w:ascii="仿宋" w:hAnsi="仿宋" w:eastAsia="仿宋"/>
          <w:color w:val="000000" w:themeColor="text1"/>
          <w:sz w:val="32"/>
          <w:szCs w:val="32"/>
          <w14:textFill>
            <w14:solidFill>
              <w14:schemeClr w14:val="tx1"/>
            </w14:solidFill>
          </w14:textFill>
        </w:rPr>
        <w:t>万元，占8</w:t>
      </w:r>
      <w:r>
        <w:rPr>
          <w:rFonts w:ascii="仿宋" w:hAnsi="仿宋" w:eastAsia="仿宋"/>
          <w:color w:val="000000" w:themeColor="text1"/>
          <w:sz w:val="32"/>
          <w:szCs w:val="32"/>
          <w14:textFill>
            <w14:solidFill>
              <w14:schemeClr w14:val="tx1"/>
            </w14:solidFill>
          </w14:textFill>
        </w:rPr>
        <w:t>%</w:t>
      </w:r>
      <w:r>
        <w:rPr>
          <w:rFonts w:hint="eastAsia" w:ascii="仿宋" w:hAnsi="仿宋" w:eastAsia="仿宋"/>
          <w:color w:val="000000" w:themeColor="text1"/>
          <w:sz w:val="32"/>
          <w:szCs w:val="32"/>
          <w14:textFill>
            <w14:solidFill>
              <w14:schemeClr w14:val="tx1"/>
            </w14:solidFill>
          </w14:textFill>
        </w:rPr>
        <w:t>。</w:t>
      </w:r>
    </w:p>
    <w:p>
      <w:pPr>
        <w:spacing w:line="600" w:lineRule="exact"/>
        <w:ind w:firstLine="643" w:firstLineChars="200"/>
        <w:outlineLvl w:val="2"/>
        <w:rPr>
          <w:rFonts w:ascii="仿宋" w:hAnsi="仿宋" w:eastAsia="仿宋"/>
          <w:b/>
          <w:color w:val="000000"/>
          <w:sz w:val="32"/>
          <w:szCs w:val="32"/>
        </w:rPr>
      </w:pPr>
      <w:bookmarkStart w:id="34" w:name="_Toc15377212"/>
      <w:r>
        <w:rPr>
          <w:rFonts w:hint="eastAsia" w:ascii="仿宋" w:hAnsi="仿宋" w:eastAsia="仿宋"/>
          <w:b/>
          <w:color w:val="000000"/>
          <w:sz w:val="32"/>
          <w:szCs w:val="32"/>
        </w:rPr>
        <w:t>（三）一般公共预算财政拨款支出决算具体情况</w:t>
      </w:r>
      <w:bookmarkEnd w:id="34"/>
    </w:p>
    <w:p>
      <w:pPr>
        <w:spacing w:line="600" w:lineRule="exact"/>
        <w:ind w:firstLine="643" w:firstLineChars="200"/>
        <w:outlineLvl w:val="2"/>
        <w:rPr>
          <w:rFonts w:ascii="仿宋" w:hAnsi="仿宋" w:eastAsia="仿宋"/>
          <w:color w:val="FF0000"/>
          <w:sz w:val="32"/>
          <w:szCs w:val="32"/>
        </w:rPr>
      </w:pPr>
      <w:bookmarkStart w:id="35" w:name="_Toc15377213"/>
      <w:bookmarkStart w:id="36" w:name="_Toc15378460"/>
      <w:bookmarkStart w:id="37" w:name="_Toc15377444"/>
      <w:r>
        <w:rPr>
          <w:rFonts w:hint="eastAsia" w:ascii="仿宋" w:hAnsi="仿宋" w:eastAsia="仿宋"/>
          <w:b/>
          <w:color w:val="000000" w:themeColor="text1"/>
          <w:sz w:val="32"/>
          <w:szCs w:val="32"/>
          <w14:textFill>
            <w14:solidFill>
              <w14:schemeClr w14:val="tx1"/>
            </w14:solidFill>
          </w14:textFill>
        </w:rPr>
        <w:t>20</w:t>
      </w:r>
      <w:r>
        <w:rPr>
          <w:rFonts w:hint="eastAsia" w:ascii="仿宋" w:hAnsi="仿宋" w:eastAsia="仿宋"/>
          <w:b/>
          <w:color w:val="000000" w:themeColor="text1"/>
          <w:sz w:val="32"/>
          <w:szCs w:val="32"/>
          <w:lang w:val="en-US" w:eastAsia="zh-CN"/>
          <w14:textFill>
            <w14:solidFill>
              <w14:schemeClr w14:val="tx1"/>
            </w14:solidFill>
          </w14:textFill>
        </w:rPr>
        <w:t>20</w:t>
      </w:r>
      <w:r>
        <w:rPr>
          <w:rFonts w:hint="eastAsia" w:ascii="仿宋" w:hAnsi="仿宋" w:eastAsia="仿宋"/>
          <w:b/>
          <w:color w:val="000000" w:themeColor="text1"/>
          <w:sz w:val="32"/>
          <w:szCs w:val="32"/>
          <w14:textFill>
            <w14:solidFill>
              <w14:schemeClr w14:val="tx1"/>
            </w14:solidFill>
          </w14:textFill>
        </w:rPr>
        <w:t>年一般公共预算支出决算数为</w:t>
      </w:r>
      <w:r>
        <w:rPr>
          <w:rFonts w:hint="eastAsia" w:ascii="仿宋" w:hAnsi="仿宋" w:eastAsia="仿宋"/>
          <w:color w:val="000000"/>
          <w:sz w:val="32"/>
          <w:szCs w:val="32"/>
          <w:lang w:val="en-US" w:eastAsia="zh-CN"/>
        </w:rPr>
        <w:t>78.7</w:t>
      </w:r>
      <w:r>
        <w:rPr>
          <w:rFonts w:hint="eastAsia" w:ascii="仿宋" w:hAnsi="仿宋" w:eastAsia="仿宋"/>
          <w:color w:val="000000"/>
          <w:sz w:val="32"/>
          <w:szCs w:val="32"/>
        </w:rPr>
        <w:t>万元</w:t>
      </w:r>
      <w:r>
        <w:rPr>
          <w:rFonts w:hint="eastAsia" w:ascii="仿宋" w:hAnsi="仿宋" w:eastAsia="仿宋"/>
          <w:color w:val="000000" w:themeColor="text1"/>
          <w:sz w:val="32"/>
          <w:szCs w:val="32"/>
          <w14:textFill>
            <w14:solidFill>
              <w14:schemeClr w14:val="tx1"/>
            </w14:solidFill>
          </w14:textFill>
        </w:rPr>
        <w:t>，</w:t>
      </w:r>
      <w:r>
        <w:rPr>
          <w:rStyle w:val="17"/>
          <w:rFonts w:hint="eastAsia" w:ascii="仿宋" w:hAnsi="仿宋" w:eastAsia="仿宋"/>
          <w:bCs/>
          <w:color w:val="000000" w:themeColor="text1"/>
          <w:sz w:val="32"/>
          <w:szCs w:val="32"/>
          <w14:textFill>
            <w14:solidFill>
              <w14:schemeClr w14:val="tx1"/>
            </w14:solidFill>
          </w14:textFill>
        </w:rPr>
        <w:t>完成</w:t>
      </w:r>
      <w:r>
        <w:rPr>
          <w:rStyle w:val="17"/>
          <w:rFonts w:hint="eastAsia" w:ascii="仿宋" w:hAnsi="仿宋" w:eastAsia="仿宋"/>
          <w:bCs/>
          <w:color w:val="000000"/>
          <w:sz w:val="32"/>
          <w:szCs w:val="32"/>
        </w:rPr>
        <w:t>预算100</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。其中：</w:t>
      </w:r>
      <w:bookmarkEnd w:id="35"/>
      <w:bookmarkEnd w:id="36"/>
      <w:bookmarkEnd w:id="37"/>
    </w:p>
    <w:p>
      <w:pPr>
        <w:spacing w:line="600" w:lineRule="exact"/>
        <w:ind w:firstLine="643" w:firstLineChars="200"/>
        <w:rPr>
          <w:rFonts w:ascii="仿宋" w:hAnsi="仿宋" w:eastAsia="仿宋"/>
          <w:b/>
          <w:color w:val="000000"/>
          <w:sz w:val="32"/>
          <w:szCs w:val="32"/>
        </w:rPr>
      </w:pPr>
      <w:r>
        <w:rPr>
          <w:rStyle w:val="17"/>
          <w:rFonts w:hint="eastAsia" w:ascii="仿宋" w:hAnsi="仿宋" w:eastAsia="仿宋"/>
          <w:bCs/>
          <w:color w:val="000000"/>
          <w:sz w:val="32"/>
          <w:szCs w:val="32"/>
        </w:rPr>
        <w:t>1</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社会保障和就业208（类）行政事业单位离退休05（款）  机关事业单位基本养老保险缴费支出05（项）</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3.48</w:t>
      </w:r>
      <w:r>
        <w:rPr>
          <w:rStyle w:val="17"/>
          <w:rFonts w:hint="eastAsia" w:ascii="仿宋" w:hAnsi="仿宋" w:eastAsia="仿宋"/>
          <w:b w:val="0"/>
          <w:bCs/>
          <w:color w:val="000000"/>
          <w:sz w:val="32"/>
          <w:szCs w:val="32"/>
        </w:rPr>
        <w:t>万元。</w:t>
      </w:r>
      <w:r>
        <w:rPr>
          <w:rStyle w:val="17"/>
          <w:rFonts w:hint="eastAsia" w:ascii="仿宋" w:hAnsi="仿宋" w:eastAsia="仿宋"/>
          <w:bCs/>
          <w:color w:val="000000"/>
          <w:sz w:val="32"/>
          <w:szCs w:val="32"/>
        </w:rPr>
        <w:t>残疾人事业11（款）:机关服务03（项）</w:t>
      </w:r>
      <w:r>
        <w:rPr>
          <w:rStyle w:val="17"/>
          <w:rFonts w:ascii="仿宋" w:hAnsi="仿宋" w:eastAsia="仿宋"/>
          <w:bCs/>
          <w:color w:val="000000"/>
          <w:sz w:val="32"/>
          <w:szCs w:val="32"/>
        </w:rPr>
        <w:t>:</w:t>
      </w:r>
      <w:r>
        <w:rPr>
          <w:rStyle w:val="17"/>
          <w:rFonts w:ascii="仿宋" w:hAnsi="仿宋" w:eastAsia="仿宋"/>
          <w:b w:val="0"/>
          <w:bCs/>
          <w:color w:val="000000"/>
          <w:sz w:val="32"/>
          <w:szCs w:val="32"/>
        </w:rPr>
        <w:t xml:space="preserve"> </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67.42</w:t>
      </w:r>
      <w:r>
        <w:rPr>
          <w:rStyle w:val="17"/>
          <w:rFonts w:hint="eastAsia" w:ascii="仿宋" w:hAnsi="仿宋" w:eastAsia="仿宋"/>
          <w:b w:val="0"/>
          <w:bCs/>
          <w:color w:val="000000"/>
          <w:sz w:val="32"/>
          <w:szCs w:val="32"/>
        </w:rPr>
        <w:t>万元。</w:t>
      </w:r>
    </w:p>
    <w:p>
      <w:pPr>
        <w:spacing w:line="600" w:lineRule="exact"/>
        <w:ind w:firstLine="643" w:firstLineChars="200"/>
        <w:rPr>
          <w:rFonts w:ascii="仿宋" w:hAnsi="仿宋" w:eastAsia="仿宋"/>
          <w:color w:val="000000"/>
          <w:sz w:val="32"/>
          <w:szCs w:val="32"/>
        </w:rPr>
      </w:pPr>
      <w:r>
        <w:rPr>
          <w:rStyle w:val="17"/>
          <w:rFonts w:hint="eastAsia" w:ascii="仿宋" w:hAnsi="仿宋" w:eastAsia="仿宋"/>
          <w:bCs/>
          <w:color w:val="000000"/>
          <w:sz w:val="32"/>
          <w:szCs w:val="32"/>
        </w:rPr>
        <w:t>2</w:t>
      </w:r>
      <w:r>
        <w:rPr>
          <w:rStyle w:val="17"/>
          <w:rFonts w:ascii="仿宋" w:hAnsi="仿宋" w:eastAsia="仿宋"/>
          <w:bCs/>
          <w:color w:val="000000"/>
          <w:sz w:val="32"/>
          <w:szCs w:val="32"/>
        </w:rPr>
        <w:t>.</w:t>
      </w:r>
      <w:r>
        <w:rPr>
          <w:rStyle w:val="17"/>
          <w:rFonts w:hint="eastAsia" w:ascii="仿宋" w:hAnsi="仿宋" w:eastAsia="仿宋"/>
          <w:bCs/>
          <w:color w:val="000000"/>
          <w:sz w:val="32"/>
          <w:szCs w:val="32"/>
        </w:rPr>
        <w:t xml:space="preserve">医疗卫生与计划生育210（类）行政事业单位医疗11（款）  </w:t>
      </w:r>
      <w:r>
        <w:rPr>
          <w:rStyle w:val="17"/>
          <w:rFonts w:hint="eastAsia" w:ascii="仿宋" w:hAnsi="仿宋" w:eastAsia="仿宋"/>
          <w:bCs/>
          <w:color w:val="000000"/>
          <w:sz w:val="32"/>
          <w:szCs w:val="32"/>
          <w:lang w:eastAsia="zh-CN"/>
        </w:rPr>
        <w:t>其他</w:t>
      </w:r>
      <w:r>
        <w:rPr>
          <w:rStyle w:val="17"/>
          <w:rFonts w:hint="eastAsia" w:ascii="仿宋" w:hAnsi="仿宋" w:eastAsia="仿宋"/>
          <w:bCs/>
          <w:color w:val="000000"/>
          <w:sz w:val="32"/>
          <w:szCs w:val="32"/>
        </w:rPr>
        <w:t>事业单位医疗</w:t>
      </w:r>
      <w:r>
        <w:rPr>
          <w:rStyle w:val="17"/>
          <w:rFonts w:hint="eastAsia" w:ascii="仿宋" w:hAnsi="仿宋" w:eastAsia="仿宋"/>
          <w:bCs/>
          <w:color w:val="000000"/>
          <w:sz w:val="32"/>
          <w:szCs w:val="32"/>
          <w:lang w:val="en-US" w:eastAsia="zh-CN"/>
        </w:rPr>
        <w:t>99</w:t>
      </w:r>
      <w:r>
        <w:rPr>
          <w:rStyle w:val="17"/>
          <w:rFonts w:hint="eastAsia" w:ascii="仿宋" w:hAnsi="仿宋" w:eastAsia="仿宋"/>
          <w:bCs/>
          <w:color w:val="000000"/>
          <w:sz w:val="32"/>
          <w:szCs w:val="32"/>
        </w:rPr>
        <w:t>（项）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w:t>
      </w:r>
      <w:r>
        <w:rPr>
          <w:rStyle w:val="17"/>
          <w:rFonts w:hint="eastAsia" w:ascii="仿宋" w:hAnsi="仿宋" w:eastAsia="仿宋"/>
          <w:b w:val="0"/>
          <w:bCs/>
          <w:color w:val="000000"/>
          <w:sz w:val="32"/>
          <w:szCs w:val="32"/>
          <w:lang w:val="en-US" w:eastAsia="zh-CN"/>
        </w:rPr>
        <w:t>1.8</w:t>
      </w:r>
      <w:r>
        <w:rPr>
          <w:rStyle w:val="17"/>
          <w:rFonts w:hint="eastAsia" w:ascii="仿宋" w:hAnsi="仿宋" w:eastAsia="仿宋"/>
          <w:b w:val="0"/>
          <w:bCs/>
          <w:color w:val="000000"/>
          <w:sz w:val="32"/>
          <w:szCs w:val="32"/>
        </w:rPr>
        <w:t>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 xml:space="preserve">， </w:t>
      </w:r>
    </w:p>
    <w:p>
      <w:pPr>
        <w:spacing w:line="600" w:lineRule="exact"/>
        <w:ind w:firstLine="640" w:firstLineChars="200"/>
        <w:rPr>
          <w:rFonts w:ascii="仿宋" w:hAnsi="仿宋" w:eastAsia="仿宋"/>
          <w:color w:val="000000"/>
          <w:sz w:val="32"/>
          <w:szCs w:val="32"/>
        </w:rPr>
      </w:pPr>
      <w:r>
        <w:rPr>
          <w:rFonts w:hint="eastAsia" w:ascii="仿宋" w:hAnsi="仿宋" w:eastAsia="仿宋"/>
          <w:color w:val="000000"/>
          <w:sz w:val="32"/>
          <w:szCs w:val="32"/>
        </w:rPr>
        <w:t>4.</w:t>
      </w:r>
      <w:r>
        <w:rPr>
          <w:rStyle w:val="17"/>
          <w:rFonts w:hint="eastAsia" w:ascii="仿宋" w:hAnsi="仿宋" w:eastAsia="仿宋"/>
          <w:bCs/>
          <w:color w:val="000000"/>
          <w:sz w:val="32"/>
          <w:szCs w:val="32"/>
        </w:rPr>
        <w:t xml:space="preserve"> 住房保障支出221（类）住房改革支出02（款）  住房公积金01（项）</w:t>
      </w:r>
      <w:r>
        <w:rPr>
          <w:rStyle w:val="17"/>
          <w:rFonts w:ascii="仿宋" w:hAnsi="仿宋" w:eastAsia="仿宋"/>
          <w:bCs/>
          <w:color w:val="000000"/>
          <w:sz w:val="32"/>
          <w:szCs w:val="32"/>
        </w:rPr>
        <w:t>:</w:t>
      </w:r>
      <w:r>
        <w:rPr>
          <w:rStyle w:val="17"/>
          <w:rFonts w:hint="eastAsia" w:ascii="仿宋" w:hAnsi="仿宋" w:eastAsia="仿宋"/>
          <w:b w:val="0"/>
          <w:bCs/>
          <w:color w:val="000000"/>
          <w:sz w:val="32"/>
          <w:szCs w:val="32"/>
        </w:rPr>
        <w:t>支出决算为6万元，完成预算100</w:t>
      </w:r>
      <w:r>
        <w:rPr>
          <w:rStyle w:val="17"/>
          <w:rFonts w:ascii="仿宋" w:hAnsi="仿宋" w:eastAsia="仿宋"/>
          <w:b w:val="0"/>
          <w:bCs/>
          <w:color w:val="000000"/>
          <w:sz w:val="32"/>
          <w:szCs w:val="32"/>
        </w:rPr>
        <w:t>%</w:t>
      </w:r>
      <w:r>
        <w:rPr>
          <w:rStyle w:val="17"/>
          <w:rFonts w:hint="eastAsia" w:ascii="仿宋" w:hAnsi="仿宋" w:eastAsia="仿宋"/>
          <w:b w:val="0"/>
          <w:bCs/>
          <w:color w:val="000000"/>
          <w:sz w:val="32"/>
          <w:szCs w:val="32"/>
        </w:rPr>
        <w:t>，</w:t>
      </w:r>
    </w:p>
    <w:p>
      <w:pPr>
        <w:tabs>
          <w:tab w:val="right" w:pos="8306"/>
        </w:tabs>
        <w:spacing w:line="600" w:lineRule="exact"/>
        <w:ind w:firstLine="640"/>
        <w:outlineLvl w:val="1"/>
        <w:rPr>
          <w:rStyle w:val="29"/>
        </w:rPr>
      </w:pPr>
      <w:bookmarkStart w:id="38" w:name="_Toc15377214"/>
      <w:bookmarkStart w:id="39" w:name="_Toc15396608"/>
      <w:r>
        <w:rPr>
          <w:rFonts w:hint="eastAsia" w:ascii="黑体" w:eastAsia="黑体"/>
          <w:color w:val="000000"/>
          <w:sz w:val="32"/>
          <w:szCs w:val="32"/>
        </w:rPr>
        <w:t>六</w:t>
      </w:r>
      <w:r>
        <w:rPr>
          <w:rFonts w:hint="eastAsia" w:ascii="黑体" w:eastAsia="黑体"/>
          <w:b/>
          <w:color w:val="000000"/>
          <w:sz w:val="32"/>
          <w:szCs w:val="32"/>
        </w:rPr>
        <w:t>、</w:t>
      </w:r>
      <w:r>
        <w:rPr>
          <w:rFonts w:hint="eastAsia" w:ascii="黑体" w:hAnsi="黑体" w:eastAsia="黑体"/>
          <w:b/>
          <w:color w:val="000000"/>
          <w:sz w:val="32"/>
          <w:szCs w:val="32"/>
        </w:rPr>
        <w:t>一</w:t>
      </w:r>
      <w:r>
        <w:rPr>
          <w:rStyle w:val="29"/>
          <w:rFonts w:hint="eastAsia" w:ascii="黑体" w:hAnsi="黑体" w:eastAsia="黑体"/>
          <w:b w:val="0"/>
        </w:rPr>
        <w:t>般公共预算财政拨款基本支出决算情况说明</w:t>
      </w:r>
      <w:bookmarkEnd w:id="38"/>
      <w:bookmarkEnd w:id="39"/>
      <w:r>
        <w:rPr>
          <w:rStyle w:val="29"/>
          <w:rFonts w:ascii="黑体" w:hAnsi="黑体" w:eastAsia="黑体"/>
          <w:b w:val="0"/>
        </w:rPr>
        <w:tab/>
      </w:r>
    </w:p>
    <w:p>
      <w:pPr>
        <w:spacing w:line="600" w:lineRule="exact"/>
        <w:ind w:firstLine="645"/>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年一般公共预算财政拨款基本支出79.35万元，其中：</w:t>
      </w:r>
    </w:p>
    <w:p>
      <w:pPr>
        <w:spacing w:line="600" w:lineRule="exact"/>
        <w:ind w:firstLine="645"/>
        <w:rPr>
          <w:rFonts w:hint="eastAsia" w:ascii="仿宋" w:hAnsi="仿宋" w:eastAsia="仿宋"/>
          <w:color w:val="000000"/>
          <w:sz w:val="32"/>
          <w:szCs w:val="32"/>
          <w:lang w:eastAsia="zh-CN"/>
        </w:rPr>
      </w:pPr>
      <w:r>
        <w:rPr>
          <w:rFonts w:hint="eastAsia" w:ascii="仿宋" w:hAnsi="仿宋" w:eastAsia="仿宋"/>
          <w:color w:val="000000"/>
          <w:sz w:val="32"/>
          <w:szCs w:val="32"/>
        </w:rPr>
        <w:t>人员经费</w:t>
      </w:r>
      <w:r>
        <w:rPr>
          <w:rFonts w:hint="eastAsia" w:ascii="仿宋" w:hAnsi="仿宋" w:eastAsia="仿宋"/>
          <w:color w:val="000000"/>
          <w:sz w:val="32"/>
          <w:szCs w:val="32"/>
          <w:lang w:val="en-US" w:eastAsia="zh-CN"/>
        </w:rPr>
        <w:t>72.17</w:t>
      </w:r>
      <w:r>
        <w:rPr>
          <w:rFonts w:hint="eastAsia" w:ascii="仿宋" w:hAnsi="仿宋" w:eastAsia="仿宋"/>
          <w:color w:val="000000"/>
          <w:sz w:val="32"/>
          <w:szCs w:val="32"/>
        </w:rPr>
        <w:t>万元，主要包括：基本工资、津贴补贴、奖金、伙食补助费、绩效工资、机关事业单位基本养老保险缴费、职业年金缴费、其他社会保障缴费、其他工资福利支出、离休费、退休费、抚恤金、生活补助、医疗费、奖励金、住房公积金、提租补贴、购房补贴、其他对个人和家庭的补助支出等。</w:t>
      </w:r>
    </w:p>
    <w:p>
      <w:pPr>
        <w:spacing w:line="600" w:lineRule="exact"/>
        <w:ind w:firstLine="645"/>
        <w:rPr>
          <w:rFonts w:ascii="仿宋" w:hAnsi="仿宋" w:eastAsia="仿宋"/>
          <w:color w:val="000000"/>
          <w:sz w:val="32"/>
          <w:szCs w:val="32"/>
        </w:rPr>
      </w:pPr>
      <w:r>
        <w:rPr>
          <w:rFonts w:hint="eastAsia" w:ascii="仿宋" w:hAnsi="仿宋" w:eastAsia="仿宋"/>
          <w:color w:val="000000"/>
          <w:sz w:val="32"/>
          <w:szCs w:val="32"/>
        </w:rPr>
        <w:t>　　公用经费</w:t>
      </w:r>
      <w:r>
        <w:rPr>
          <w:rFonts w:hint="eastAsia" w:ascii="仿宋" w:hAnsi="仿宋" w:eastAsia="仿宋"/>
          <w:color w:val="000000"/>
          <w:sz w:val="32"/>
          <w:szCs w:val="32"/>
          <w:lang w:val="en-US" w:eastAsia="zh-CN"/>
        </w:rPr>
        <w:t>6.05</w:t>
      </w:r>
      <w:r>
        <w:rPr>
          <w:rFonts w:hint="eastAsia" w:ascii="仿宋" w:hAnsi="仿宋" w:eastAsia="仿宋"/>
          <w:color w:val="000000"/>
          <w:sz w:val="32"/>
          <w:szCs w:val="32"/>
        </w:rPr>
        <w:t>万元，主要包括：办公费、印刷费、咨询费、手续费、水费、电费、邮电费、取暖费、物业管理费、差旅费、因公出国（境）费用、维修（护）费、租赁费、会议费、培训费、公务接待费、劳务费、委托业务费、工会经费、福利费、公务用车运行维护费、其他交通费、税金及附加费用、其他商品和服务支出、办公设备购置、专用设备购置、信息网络及软件购置更新、其他资本性支出等。</w:t>
      </w:r>
    </w:p>
    <w:p>
      <w:pPr>
        <w:spacing w:line="600" w:lineRule="exact"/>
        <w:ind w:firstLine="640"/>
        <w:outlineLvl w:val="1"/>
        <w:rPr>
          <w:rStyle w:val="29"/>
          <w:rFonts w:ascii="黑体" w:hAnsi="黑体" w:eastAsia="黑体"/>
          <w:b w:val="0"/>
        </w:rPr>
      </w:pPr>
      <w:bookmarkStart w:id="40" w:name="_Toc15377215"/>
      <w:bookmarkStart w:id="41" w:name="_Toc15396609"/>
      <w:r>
        <w:rPr>
          <w:rFonts w:hint="eastAsia" w:ascii="黑体" w:eastAsia="黑体"/>
          <w:color w:val="000000"/>
          <w:sz w:val="32"/>
          <w:szCs w:val="32"/>
        </w:rPr>
        <w:t>七、</w:t>
      </w:r>
      <w:r>
        <w:rPr>
          <w:rStyle w:val="29"/>
          <w:rFonts w:hint="eastAsia" w:ascii="黑体" w:hAnsi="黑体" w:eastAsia="黑体"/>
        </w:rPr>
        <w:t>“</w:t>
      </w:r>
      <w:r>
        <w:rPr>
          <w:rStyle w:val="29"/>
          <w:rFonts w:hint="eastAsia" w:ascii="黑体" w:hAnsi="黑体" w:eastAsia="黑体"/>
          <w:b w:val="0"/>
        </w:rPr>
        <w:t>三公”经费财政拨款支出决算情况说明</w:t>
      </w:r>
      <w:bookmarkEnd w:id="40"/>
      <w:bookmarkEnd w:id="41"/>
    </w:p>
    <w:p>
      <w:pPr>
        <w:spacing w:line="600" w:lineRule="exact"/>
        <w:ind w:firstLine="640"/>
        <w:outlineLvl w:val="2"/>
        <w:rPr>
          <w:rFonts w:ascii="仿宋" w:hAnsi="仿宋" w:eastAsia="仿宋"/>
          <w:b/>
          <w:color w:val="000000"/>
          <w:sz w:val="32"/>
          <w:szCs w:val="32"/>
        </w:rPr>
      </w:pPr>
      <w:bookmarkStart w:id="42" w:name="_Toc15377216"/>
      <w:r>
        <w:rPr>
          <w:rFonts w:hint="eastAsia" w:ascii="仿宋" w:hAnsi="仿宋" w:eastAsia="仿宋"/>
          <w:b/>
          <w:color w:val="000000"/>
          <w:sz w:val="32"/>
          <w:szCs w:val="32"/>
        </w:rPr>
        <w:t>（一）“三公”经费财政拨款支出决算总体情况说明</w:t>
      </w:r>
      <w:bookmarkEnd w:id="42"/>
    </w:p>
    <w:p>
      <w:pPr>
        <w:spacing w:line="600" w:lineRule="exact"/>
        <w:ind w:firstLine="640"/>
        <w:rPr>
          <w:rFonts w:ascii="仿宋" w:hAnsi="仿宋" w:eastAsia="仿宋"/>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年“三公”经费财政拨款支出决算为0万元。</w:t>
      </w:r>
    </w:p>
    <w:p>
      <w:pPr>
        <w:spacing w:line="600" w:lineRule="exact"/>
        <w:ind w:firstLine="640"/>
        <w:outlineLvl w:val="2"/>
        <w:rPr>
          <w:rFonts w:ascii="仿宋" w:hAnsi="仿宋" w:eastAsia="仿宋"/>
          <w:b/>
          <w:color w:val="000000"/>
          <w:sz w:val="32"/>
          <w:szCs w:val="32"/>
        </w:rPr>
      </w:pPr>
      <w:bookmarkStart w:id="43" w:name="_Toc15377217"/>
      <w:r>
        <w:rPr>
          <w:rFonts w:hint="eastAsia" w:ascii="仿宋" w:hAnsi="仿宋" w:eastAsia="仿宋"/>
          <w:b/>
          <w:color w:val="000000"/>
          <w:sz w:val="32"/>
          <w:szCs w:val="32"/>
        </w:rPr>
        <w:t>（二）“三公”经费财政拨款支出决算具体情况说明</w:t>
      </w:r>
      <w:bookmarkEnd w:id="43"/>
    </w:p>
    <w:p>
      <w:pPr>
        <w:spacing w:line="600" w:lineRule="exact"/>
        <w:ind w:firstLine="640"/>
        <w:rPr>
          <w:rFonts w:ascii="仿宋_GB2312" w:eastAsia="仿宋_GB2312"/>
          <w:color w:val="000000"/>
          <w:sz w:val="32"/>
          <w:szCs w:val="32"/>
        </w:rPr>
      </w:pPr>
      <w:r>
        <w:rPr>
          <w:rFonts w:ascii="仿宋" w:hAnsi="仿宋" w:eastAsia="仿宋"/>
          <w:color w:val="000000"/>
          <w:sz w:val="32"/>
          <w:szCs w:val="32"/>
        </w:rPr>
        <w:t>20</w:t>
      </w:r>
      <w:r>
        <w:rPr>
          <w:rFonts w:hint="eastAsia" w:ascii="仿宋" w:hAnsi="仿宋" w:eastAsia="仿宋"/>
          <w:color w:val="000000"/>
          <w:sz w:val="32"/>
          <w:szCs w:val="32"/>
          <w:lang w:val="en-US" w:eastAsia="zh-CN"/>
        </w:rPr>
        <w:t>20</w:t>
      </w:r>
      <w:r>
        <w:rPr>
          <w:rFonts w:hint="eastAsia" w:ascii="仿宋" w:hAnsi="仿宋" w:eastAsia="仿宋"/>
          <w:color w:val="000000"/>
          <w:sz w:val="32"/>
          <w:szCs w:val="32"/>
        </w:rPr>
        <w:t>年“三公”经费财政拨款支出决算中，因公出国（境）费支出决算0万元；公务用车购置及运行维护费支出决算0万元；公务接待费支出决算0万元。</w:t>
      </w:r>
    </w:p>
    <w:p>
      <w:pPr>
        <w:spacing w:line="600" w:lineRule="exact"/>
        <w:ind w:firstLine="640"/>
        <w:outlineLvl w:val="1"/>
        <w:rPr>
          <w:rStyle w:val="29"/>
          <w:rFonts w:ascii="黑体" w:hAnsi="黑体" w:eastAsia="黑体"/>
        </w:rPr>
      </w:pPr>
      <w:bookmarkStart w:id="44" w:name="_Toc15377218"/>
      <w:bookmarkStart w:id="45" w:name="_Toc15396610"/>
      <w:r>
        <w:rPr>
          <w:rFonts w:hint="eastAsia" w:ascii="黑体" w:eastAsia="黑体"/>
          <w:color w:val="000000"/>
          <w:sz w:val="32"/>
          <w:szCs w:val="32"/>
        </w:rPr>
        <w:t>八、</w:t>
      </w:r>
      <w:r>
        <w:rPr>
          <w:rStyle w:val="29"/>
          <w:rFonts w:hint="eastAsia" w:ascii="黑体" w:hAnsi="黑体" w:eastAsia="黑体"/>
          <w:b w:val="0"/>
        </w:rPr>
        <w:t>政府性基金预算支出决算情况说明</w:t>
      </w:r>
      <w:bookmarkEnd w:id="44"/>
      <w:bookmarkEnd w:id="45"/>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年政府性基金预算拨款支出0万元。</w:t>
      </w:r>
    </w:p>
    <w:p>
      <w:pPr>
        <w:numPr>
          <w:ilvl w:val="0"/>
          <w:numId w:val="2"/>
        </w:numPr>
        <w:spacing w:line="600" w:lineRule="exact"/>
        <w:ind w:firstLine="640"/>
        <w:outlineLvl w:val="1"/>
        <w:rPr>
          <w:rStyle w:val="29"/>
          <w:rFonts w:ascii="黑体" w:hAnsi="黑体" w:eastAsia="黑体"/>
          <w:b w:val="0"/>
        </w:rPr>
      </w:pPr>
      <w:bookmarkStart w:id="46" w:name="_Toc15377219"/>
      <w:bookmarkStart w:id="47" w:name="_Toc15396611"/>
      <w:r>
        <w:rPr>
          <w:rStyle w:val="29"/>
          <w:rFonts w:hint="eastAsia" w:ascii="黑体" w:hAnsi="黑体" w:eastAsia="黑体"/>
          <w:b w:val="0"/>
        </w:rPr>
        <w:t>国有资本经营预算支出决算情况说明</w:t>
      </w:r>
      <w:bookmarkEnd w:id="46"/>
      <w:bookmarkEnd w:id="47"/>
    </w:p>
    <w:p>
      <w:pPr>
        <w:spacing w:line="600" w:lineRule="exact"/>
        <w:ind w:firstLine="640"/>
        <w:rPr>
          <w:rFonts w:ascii="仿宋_GB2312" w:eastAsia="仿宋_GB2312"/>
          <w:color w:val="000000"/>
          <w:sz w:val="32"/>
          <w:szCs w:val="32"/>
        </w:rPr>
      </w:pPr>
      <w:r>
        <w:rPr>
          <w:rFonts w:ascii="仿宋_GB2312" w:eastAsia="仿宋_GB2312"/>
          <w:color w:val="000000"/>
          <w:sz w:val="32"/>
          <w:szCs w:val="32"/>
        </w:rPr>
        <w:t>20</w:t>
      </w:r>
      <w:r>
        <w:rPr>
          <w:rFonts w:hint="eastAsia" w:ascii="仿宋_GB2312" w:eastAsia="仿宋_GB2312"/>
          <w:color w:val="000000"/>
          <w:sz w:val="32"/>
          <w:szCs w:val="32"/>
          <w:lang w:val="en-US" w:eastAsia="zh-CN"/>
        </w:rPr>
        <w:t>20</w:t>
      </w:r>
      <w:r>
        <w:rPr>
          <w:rFonts w:hint="eastAsia" w:ascii="仿宋_GB2312" w:eastAsia="仿宋_GB2312"/>
          <w:color w:val="000000"/>
          <w:sz w:val="32"/>
          <w:szCs w:val="32"/>
        </w:rPr>
        <w:t>年国有资本经营预算拨款支出0万元。</w:t>
      </w:r>
    </w:p>
    <w:p>
      <w:pPr>
        <w:pStyle w:val="27"/>
        <w:numPr>
          <w:ilvl w:val="0"/>
          <w:numId w:val="3"/>
        </w:numPr>
        <w:spacing w:line="580" w:lineRule="exact"/>
        <w:ind w:firstLineChars="0"/>
        <w:rPr>
          <w:rStyle w:val="29"/>
          <w:rFonts w:ascii="黑体" w:hAnsi="黑体" w:eastAsia="黑体"/>
          <w:b w:val="0"/>
        </w:rPr>
      </w:pPr>
      <w:r>
        <w:rPr>
          <w:rStyle w:val="29"/>
          <w:rFonts w:hint="eastAsia" w:ascii="黑体" w:hAnsi="黑体" w:eastAsia="黑体"/>
          <w:b w:val="0"/>
        </w:rPr>
        <w:t>预算绩效情况说明</w:t>
      </w:r>
    </w:p>
    <w:p>
      <w:pPr>
        <w:numPr>
          <w:ilvl w:val="0"/>
          <w:numId w:val="4"/>
        </w:numPr>
        <w:spacing w:line="580" w:lineRule="exact"/>
        <w:ind w:firstLine="643" w:firstLineChars="200"/>
        <w:rPr>
          <w:rFonts w:ascii="仿宋" w:hAnsi="仿宋" w:eastAsia="仿宋" w:cs="楷体_GB2312"/>
          <w:b/>
          <w:bCs/>
          <w:sz w:val="32"/>
          <w:szCs w:val="32"/>
        </w:rPr>
      </w:pPr>
      <w:r>
        <w:rPr>
          <w:rFonts w:hint="eastAsia" w:ascii="仿宋" w:hAnsi="仿宋" w:eastAsia="仿宋" w:cs="楷体_GB2312"/>
          <w:b/>
          <w:bCs/>
          <w:sz w:val="32"/>
          <w:szCs w:val="32"/>
        </w:rPr>
        <w:t>预算绩效管理工作开展情况。</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根据预算绩效管理要求，本单位在年初预算编制阶段，组织对残疾人事业发展项目开展了预算事前绩效评估，对残疾人事业发展项目编制了绩效目标，预算执行过程中，对残疾人事业发展项目开展绩效监控，年终执行完毕后，对项目开展了绩效目标完成情况梳理填报。</w:t>
      </w:r>
    </w:p>
    <w:p>
      <w:pPr>
        <w:spacing w:line="580" w:lineRule="exact"/>
        <w:ind w:firstLine="640" w:firstLineChars="200"/>
        <w:rPr>
          <w:rFonts w:ascii="仿宋_GB2312" w:hAnsi="仿宋_GB2312" w:eastAsia="仿宋_GB2312" w:cs="仿宋_GB2312"/>
          <w:sz w:val="32"/>
          <w:szCs w:val="32"/>
        </w:rPr>
      </w:pPr>
      <w:r>
        <w:rPr>
          <w:rFonts w:hint="eastAsia" w:ascii="仿宋_GB2312" w:hAnsi="仿宋_GB2312" w:eastAsia="仿宋_GB2312" w:cs="仿宋_GB2312"/>
          <w:sz w:val="32"/>
          <w:szCs w:val="32"/>
        </w:rPr>
        <w:t>本部门按要求对20</w:t>
      </w:r>
      <w:r>
        <w:rPr>
          <w:rFonts w:hint="eastAsia" w:ascii="仿宋_GB2312" w:hAnsi="仿宋_GB2312" w:eastAsia="仿宋_GB2312" w:cs="仿宋_GB2312"/>
          <w:sz w:val="32"/>
          <w:szCs w:val="32"/>
          <w:lang w:val="en-US" w:eastAsia="zh-CN"/>
        </w:rPr>
        <w:t>20</w:t>
      </w:r>
      <w:r>
        <w:rPr>
          <w:rFonts w:hint="eastAsia" w:ascii="仿宋_GB2312" w:hAnsi="仿宋_GB2312" w:eastAsia="仿宋_GB2312" w:cs="仿宋_GB2312"/>
          <w:sz w:val="32"/>
          <w:szCs w:val="32"/>
        </w:rPr>
        <w:t>年部门整体支出开展绩效自评，从评价情况来看对预期目标能按期完成，达到了绩效目标要求。</w:t>
      </w:r>
    </w:p>
    <w:p>
      <w:pPr>
        <w:numPr>
          <w:ilvl w:val="0"/>
          <w:numId w:val="5"/>
        </w:numPr>
        <w:spacing w:line="600" w:lineRule="exact"/>
        <w:ind w:firstLine="482" w:firstLineChars="150"/>
        <w:jc w:val="center"/>
        <w:outlineLvl w:val="0"/>
        <w:rPr>
          <w:rStyle w:val="28"/>
          <w:rFonts w:ascii="黑体" w:hAnsi="黑体" w:eastAsia="黑体"/>
          <w:b w:val="0"/>
          <w:sz w:val="32"/>
          <w:szCs w:val="32"/>
        </w:rPr>
      </w:pPr>
      <w:bookmarkStart w:id="48" w:name="_Toc15377225"/>
      <w:bookmarkStart w:id="49" w:name="_Toc15396613"/>
      <w:r>
        <w:rPr>
          <w:rFonts w:hint="eastAsia" w:ascii="黑体" w:hAnsi="黑体" w:eastAsia="黑体"/>
          <w:b/>
          <w:color w:val="000000"/>
          <w:sz w:val="32"/>
          <w:szCs w:val="32"/>
        </w:rPr>
        <w:t>名</w:t>
      </w:r>
      <w:r>
        <w:rPr>
          <w:rStyle w:val="28"/>
          <w:rFonts w:hint="eastAsia" w:ascii="黑体" w:hAnsi="黑体" w:eastAsia="黑体"/>
          <w:b w:val="0"/>
          <w:sz w:val="32"/>
          <w:szCs w:val="32"/>
        </w:rPr>
        <w:t>词解释</w:t>
      </w:r>
      <w:bookmarkEnd w:id="48"/>
      <w:bookmarkEnd w:id="49"/>
    </w:p>
    <w:p>
      <w:pPr>
        <w:spacing w:line="600" w:lineRule="exact"/>
        <w:jc w:val="left"/>
        <w:rPr>
          <w:rFonts w:ascii="宋体"/>
          <w:b/>
          <w:color w:val="000000"/>
          <w:sz w:val="32"/>
          <w:szCs w:val="32"/>
        </w:rPr>
      </w:pPr>
    </w:p>
    <w:p>
      <w:pPr>
        <w:pStyle w:val="26"/>
        <w:spacing w:line="560" w:lineRule="exact"/>
        <w:ind w:firstLine="640" w:firstLineChars="200"/>
        <w:rPr>
          <w:rFonts w:ascii="仿宋_GB2312" w:eastAsia="仿宋_GB2312"/>
          <w:sz w:val="32"/>
          <w:szCs w:val="32"/>
        </w:rPr>
      </w:pPr>
      <w:r>
        <w:rPr>
          <w:rFonts w:ascii="仿宋_GB2312" w:eastAsia="仿宋_GB2312"/>
          <w:sz w:val="32"/>
          <w:szCs w:val="32"/>
        </w:rPr>
        <w:t>1.</w:t>
      </w:r>
      <w:r>
        <w:rPr>
          <w:rFonts w:hint="eastAsia" w:ascii="仿宋_GB2312" w:eastAsia="仿宋_GB2312"/>
          <w:sz w:val="32"/>
          <w:szCs w:val="32"/>
        </w:rPr>
        <w:t>财政拨款收入：指单位从同级财政部门取得的财政预算资金。</w:t>
      </w:r>
    </w:p>
    <w:p>
      <w:pPr>
        <w:pStyle w:val="26"/>
        <w:spacing w:line="560" w:lineRule="exact"/>
        <w:ind w:firstLine="640" w:firstLineChars="200"/>
        <w:rPr>
          <w:rFonts w:ascii="仿宋_GB2312" w:eastAsia="仿宋_GB2312"/>
          <w:sz w:val="32"/>
          <w:szCs w:val="32"/>
        </w:rPr>
      </w:pPr>
      <w:r>
        <w:rPr>
          <w:rFonts w:ascii="仿宋_GB2312" w:eastAsia="仿宋_GB2312"/>
          <w:sz w:val="32"/>
          <w:szCs w:val="32"/>
        </w:rPr>
        <w:t>2.</w:t>
      </w:r>
      <w:r>
        <w:rPr>
          <w:rFonts w:hint="eastAsia" w:ascii="仿宋_GB2312" w:eastAsia="仿宋_GB2312"/>
          <w:sz w:val="32"/>
          <w:szCs w:val="32"/>
        </w:rPr>
        <w:t>事业收入：指事业单位开展专业业务活动及辅助活动取得的收入。如…（二级预算单位事业收入情况）等。</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2</w:t>
      </w:r>
      <w:r>
        <w:rPr>
          <w:rFonts w:ascii="仿宋_GB2312" w:eastAsia="仿宋_GB2312"/>
          <w:sz w:val="32"/>
          <w:szCs w:val="32"/>
        </w:rPr>
        <w:t>.</w:t>
      </w:r>
      <w:r>
        <w:rPr>
          <w:rFonts w:hint="eastAsia" w:ascii="仿宋_GB2312" w:eastAsia="仿宋_GB2312"/>
          <w:sz w:val="32"/>
          <w:szCs w:val="32"/>
        </w:rPr>
        <w:t>结余分配：指事业单位按照事业单位会计制度的规定从非财政补助结余中分配的事业基金和职工福利基金等。</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3、年末结转和结余：指单位按有关规定结转到下年或以后年度继续使用的资金。</w:t>
      </w:r>
    </w:p>
    <w:p>
      <w:pPr>
        <w:ind w:firstLine="640" w:firstLineChars="200"/>
        <w:jc w:val="left"/>
        <w:rPr>
          <w:rFonts w:ascii="仿宋" w:hAnsi="仿宋" w:eastAsia="仿宋" w:cs="Arial"/>
          <w:color w:val="000000"/>
          <w:kern w:val="0"/>
          <w:sz w:val="32"/>
          <w:szCs w:val="32"/>
        </w:rPr>
      </w:pPr>
      <w:r>
        <w:rPr>
          <w:rFonts w:hint="eastAsia" w:ascii="仿宋" w:hAnsi="仿宋" w:eastAsia="仿宋"/>
          <w:sz w:val="32"/>
          <w:szCs w:val="32"/>
        </w:rPr>
        <w:t>4．其他支出（229）</w:t>
      </w:r>
      <w:r>
        <w:rPr>
          <w:rFonts w:hint="eastAsia" w:ascii="仿宋" w:hAnsi="仿宋" w:eastAsia="仿宋" w:cs="Arial"/>
          <w:color w:val="000000"/>
          <w:kern w:val="0"/>
          <w:sz w:val="32"/>
          <w:szCs w:val="32"/>
        </w:rPr>
        <w:t>彩票公益金及对应专项债务收入安排的支出（60）  用于残疾人事业的彩票公益金支出（06）指发行体育福利彩票公益金收入安排的专项支出。</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5</w:t>
      </w:r>
      <w:r>
        <w:rPr>
          <w:rFonts w:ascii="仿宋_GB2312" w:eastAsia="仿宋_GB2312"/>
          <w:color w:val="000000"/>
          <w:sz w:val="32"/>
          <w:szCs w:val="32"/>
        </w:rPr>
        <w:t>.</w:t>
      </w:r>
      <w:r>
        <w:rPr>
          <w:rFonts w:hint="eastAsia" w:ascii="仿宋_GB2312" w:eastAsia="仿宋_GB2312"/>
          <w:color w:val="000000"/>
          <w:sz w:val="32"/>
          <w:szCs w:val="32"/>
        </w:rPr>
        <w:t xml:space="preserve">社会保障和就业支出（208）行政事业单位离退休（05）机关事业单位基本养老保险缴费支出（05）：指反映机关事业单位实施养老保险制度由单位实际缴纳的养老保险支出； </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 xml:space="preserve">6.医疗卫生与计划生育（210）行政事业单位医疗（11）行政单位医疗（01）：指反映财政部门集中安排的行政单位的基本医疗保险缴费经费，未参加医疗保险的行政单位的公费医疗经费，按国家规定享受离休人员、红军老战士待遇的医疗经费。 </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（03）公务员医疗补助：指国家公务员在参加城镇职工基本医疗保险制度的基础上国家对公务员实行的医疗补助。</w:t>
      </w:r>
    </w:p>
    <w:p>
      <w:pPr>
        <w:spacing w:line="560" w:lineRule="exact"/>
        <w:ind w:firstLine="640" w:firstLineChars="200"/>
        <w:rPr>
          <w:rFonts w:ascii="仿宋_GB2312" w:eastAsia="仿宋_GB2312"/>
          <w:color w:val="000000"/>
          <w:sz w:val="32"/>
          <w:szCs w:val="32"/>
        </w:rPr>
      </w:pPr>
      <w:r>
        <w:rPr>
          <w:rFonts w:hint="eastAsia" w:ascii="仿宋_GB2312" w:eastAsia="仿宋_GB2312"/>
          <w:color w:val="000000"/>
          <w:sz w:val="32"/>
          <w:szCs w:val="32"/>
        </w:rPr>
        <w:t>7.住房保障支出（221）住房改革支出（02）住房公积金（01）：指按照《住房公积金管理条例》的规定，由单位及其在职职工缴存的长期住房储金。  </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8</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9</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10</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11</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12</w:t>
      </w:r>
      <w:r>
        <w:rPr>
          <w:rFonts w:ascii="仿宋_GB2312" w:eastAsia="仿宋_GB2312"/>
          <w:color w:val="000000"/>
          <w:sz w:val="32"/>
          <w:szCs w:val="32"/>
        </w:rPr>
        <w:t>.</w:t>
      </w:r>
      <w:r>
        <w:rPr>
          <w:rFonts w:hint="eastAsia" w:ascii="仿宋_GB2312" w:eastAsia="仿宋_GB2312"/>
          <w:color w:val="000000"/>
          <w:sz w:val="32"/>
          <w:szCs w:val="32"/>
        </w:rPr>
        <w:t>基本支出：指为保障机构正常运转、完成日常工作任务而发生的人员支出和公用支出。</w:t>
      </w:r>
    </w:p>
    <w:p>
      <w:pPr>
        <w:ind w:firstLine="640" w:firstLineChars="200"/>
        <w:rPr>
          <w:rFonts w:ascii="仿宋_GB2312" w:eastAsia="仿宋_GB2312"/>
          <w:color w:val="000000"/>
          <w:sz w:val="32"/>
          <w:szCs w:val="32"/>
        </w:rPr>
      </w:pPr>
      <w:r>
        <w:rPr>
          <w:rFonts w:hint="eastAsia" w:ascii="仿宋_GB2312" w:eastAsia="仿宋_GB2312"/>
          <w:color w:val="000000"/>
          <w:sz w:val="32"/>
          <w:szCs w:val="32"/>
        </w:rPr>
        <w:t>13</w:t>
      </w:r>
      <w:r>
        <w:rPr>
          <w:rFonts w:ascii="仿宋_GB2312" w:eastAsia="仿宋_GB2312"/>
          <w:color w:val="000000"/>
          <w:sz w:val="32"/>
          <w:szCs w:val="32"/>
        </w:rPr>
        <w:t>.</w:t>
      </w:r>
      <w:r>
        <w:rPr>
          <w:rFonts w:hint="eastAsia" w:ascii="仿宋_GB2312" w:eastAsia="仿宋_GB2312"/>
          <w:color w:val="000000"/>
          <w:sz w:val="32"/>
          <w:szCs w:val="32"/>
        </w:rPr>
        <w:t>项目支出：指在基本支出之外为完成特定行政任务和事业发展目标所发生的支出。</w:t>
      </w:r>
      <w:r>
        <w:rPr>
          <w:rFonts w:ascii="仿宋_GB2312" w:eastAsia="仿宋_GB2312"/>
          <w:color w:val="000000"/>
          <w:sz w:val="32"/>
          <w:szCs w:val="32"/>
        </w:rPr>
        <w:t xml:space="preserve"> </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14</w:t>
      </w:r>
      <w:r>
        <w:rPr>
          <w:rFonts w:ascii="仿宋_GB2312" w:eastAsia="仿宋_GB2312"/>
          <w:sz w:val="32"/>
          <w:szCs w:val="32"/>
        </w:rPr>
        <w:t>.</w:t>
      </w:r>
      <w:r>
        <w:rPr>
          <w:rFonts w:hint="eastAsia" w:ascii="仿宋_GB2312" w:eastAsia="仿宋_GB2312"/>
          <w:sz w:val="32"/>
          <w:szCs w:val="32"/>
        </w:rPr>
        <w:t>“三公”经费：指部门用财政拨款安排的因公出国（境）费、公务用车购置及运行费和公务接待费。其中，因公出国（境）费反映单位公务出国（境）的国际旅费、国外城市间交通费、住宿费、伙食费、培训费、公杂费等支出；公务用车购置及运行费反映单位公务用车车辆购置支出（含车辆购置税）及租用费、燃料费、维修费、过路过桥费、保险费等支出；公务接待费反映单位按规定开支的各类公务接待（含外宾接待）支出。</w:t>
      </w:r>
    </w:p>
    <w:p>
      <w:pPr>
        <w:pStyle w:val="26"/>
        <w:spacing w:line="560" w:lineRule="exact"/>
        <w:ind w:firstLine="640" w:firstLineChars="200"/>
        <w:rPr>
          <w:rFonts w:ascii="仿宋_GB2312" w:eastAsia="仿宋_GB2312"/>
          <w:sz w:val="32"/>
          <w:szCs w:val="32"/>
        </w:rPr>
      </w:pPr>
      <w:r>
        <w:rPr>
          <w:rFonts w:hint="eastAsia" w:ascii="仿宋_GB2312" w:eastAsia="仿宋_GB2312"/>
          <w:sz w:val="32"/>
          <w:szCs w:val="32"/>
        </w:rPr>
        <w:t>15</w:t>
      </w:r>
      <w:r>
        <w:rPr>
          <w:rFonts w:ascii="仿宋_GB2312" w:eastAsia="仿宋_GB2312"/>
          <w:sz w:val="32"/>
          <w:szCs w:val="32"/>
        </w:rPr>
        <w:t>.</w:t>
      </w:r>
      <w:r>
        <w:rPr>
          <w:rFonts w:hint="eastAsia" w:ascii="仿宋_GB2312" w:eastAsia="仿宋_GB2312"/>
          <w:sz w:val="32"/>
          <w:szCs w:val="32"/>
        </w:rPr>
        <w:t>机关运行经费：为保障行政单位（含参照公务员法管理的事业单位）运行用于购买货物和服务的各项资金，包括办公及印刷费、邮电费、差旅费、会议费、福利费、日常维修费、专用材料及一般设备购置费、办公用房水电费、办公用房取暖费、办公用房物业管理费、公务用车运行维护费以及其他费用。</w:t>
      </w:r>
    </w:p>
    <w:p>
      <w:pPr>
        <w:spacing w:line="600" w:lineRule="exact"/>
        <w:jc w:val="center"/>
        <w:outlineLvl w:val="0"/>
        <w:rPr>
          <w:rFonts w:ascii="黑体" w:hAnsi="黑体" w:eastAsia="黑体"/>
          <w:color w:val="000000"/>
          <w:sz w:val="32"/>
          <w:szCs w:val="32"/>
        </w:rPr>
      </w:pPr>
      <w:bookmarkStart w:id="50" w:name="_Toc15396614"/>
      <w:bookmarkStart w:id="51" w:name="_Toc15377226"/>
    </w:p>
    <w:p>
      <w:pPr>
        <w:spacing w:line="600" w:lineRule="exact"/>
        <w:jc w:val="center"/>
        <w:outlineLvl w:val="0"/>
        <w:rPr>
          <w:rFonts w:ascii="黑体" w:hAnsi="黑体" w:eastAsia="黑体"/>
          <w:color w:val="000000"/>
          <w:sz w:val="32"/>
          <w:szCs w:val="32"/>
        </w:rPr>
      </w:pPr>
    </w:p>
    <w:p>
      <w:pPr>
        <w:spacing w:line="600" w:lineRule="exact"/>
        <w:jc w:val="center"/>
        <w:outlineLvl w:val="0"/>
        <w:rPr>
          <w:rFonts w:ascii="黑体" w:hAnsi="黑体" w:eastAsia="黑体"/>
          <w:color w:val="000000"/>
          <w:sz w:val="32"/>
          <w:szCs w:val="32"/>
        </w:rPr>
      </w:pPr>
    </w:p>
    <w:p>
      <w:pPr>
        <w:spacing w:line="600" w:lineRule="exact"/>
        <w:jc w:val="center"/>
        <w:outlineLvl w:val="0"/>
        <w:rPr>
          <w:rFonts w:ascii="黑体" w:hAnsi="黑体" w:eastAsia="黑体"/>
          <w:color w:val="000000"/>
          <w:sz w:val="32"/>
          <w:szCs w:val="32"/>
        </w:rPr>
      </w:pPr>
    </w:p>
    <w:p>
      <w:pPr>
        <w:spacing w:line="600" w:lineRule="exact"/>
        <w:jc w:val="center"/>
        <w:outlineLvl w:val="0"/>
        <w:rPr>
          <w:rFonts w:ascii="黑体" w:hAnsi="黑体" w:eastAsia="黑体"/>
          <w:color w:val="000000"/>
          <w:sz w:val="32"/>
          <w:szCs w:val="32"/>
        </w:rPr>
      </w:pPr>
    </w:p>
    <w:p>
      <w:pPr>
        <w:spacing w:line="600" w:lineRule="exact"/>
        <w:jc w:val="center"/>
        <w:outlineLvl w:val="0"/>
        <w:rPr>
          <w:rFonts w:ascii="黑体" w:hAnsi="黑体" w:eastAsia="黑体"/>
          <w:color w:val="000000"/>
          <w:sz w:val="32"/>
          <w:szCs w:val="32"/>
        </w:rPr>
      </w:pPr>
    </w:p>
    <w:p>
      <w:pPr>
        <w:spacing w:line="600" w:lineRule="exact"/>
        <w:jc w:val="center"/>
        <w:outlineLvl w:val="0"/>
        <w:rPr>
          <w:rFonts w:ascii="黑体" w:hAnsi="黑体" w:eastAsia="黑体"/>
          <w:color w:val="000000"/>
          <w:sz w:val="32"/>
          <w:szCs w:val="32"/>
        </w:rPr>
      </w:pPr>
    </w:p>
    <w:p>
      <w:pPr>
        <w:spacing w:line="600" w:lineRule="exact"/>
        <w:jc w:val="center"/>
        <w:outlineLvl w:val="0"/>
        <w:rPr>
          <w:rFonts w:ascii="黑体" w:hAnsi="黑体" w:eastAsia="黑体"/>
          <w:color w:val="000000"/>
          <w:sz w:val="32"/>
          <w:szCs w:val="32"/>
        </w:rPr>
      </w:pPr>
    </w:p>
    <w:p>
      <w:pPr>
        <w:spacing w:line="600" w:lineRule="exact"/>
        <w:jc w:val="center"/>
        <w:outlineLvl w:val="0"/>
        <w:rPr>
          <w:rFonts w:ascii="黑体" w:hAnsi="黑体" w:eastAsia="黑体"/>
          <w:color w:val="000000"/>
          <w:sz w:val="32"/>
          <w:szCs w:val="32"/>
        </w:rPr>
      </w:pPr>
    </w:p>
    <w:p>
      <w:pPr>
        <w:pStyle w:val="2"/>
        <w:ind w:firstLine="640"/>
        <w:rPr>
          <w:rFonts w:ascii="黑体" w:hAnsi="黑体" w:eastAsia="黑体"/>
          <w:color w:val="000000"/>
        </w:rPr>
      </w:pPr>
    </w:p>
    <w:bookmarkEnd w:id="50"/>
    <w:p>
      <w:pPr>
        <w:pStyle w:val="5"/>
        <w:rPr>
          <w:rStyle w:val="28"/>
          <w:rFonts w:ascii="仿宋" w:hAnsi="仿宋" w:eastAsia="仿宋"/>
          <w:b w:val="0"/>
          <w:bCs/>
          <w:sz w:val="32"/>
        </w:rPr>
      </w:pPr>
      <w:bookmarkStart w:id="52" w:name="_Toc15396615"/>
      <w:bookmarkStart w:id="53" w:name="_Toc15396618"/>
      <w:r>
        <w:rPr>
          <w:rStyle w:val="28"/>
          <w:rFonts w:hint="eastAsia" w:ascii="仿宋" w:hAnsi="仿宋" w:eastAsia="仿宋"/>
          <w:b w:val="0"/>
          <w:bCs/>
          <w:sz w:val="32"/>
        </w:rPr>
        <w:t>附件1</w:t>
      </w:r>
      <w:bookmarkEnd w:id="52"/>
    </w:p>
    <w:p>
      <w:pPr>
        <w:spacing w:line="600" w:lineRule="exact"/>
        <w:jc w:val="center"/>
        <w:outlineLvl w:val="0"/>
        <w:rPr>
          <w:rStyle w:val="28"/>
          <w:rFonts w:ascii="黑体" w:hAnsi="黑体" w:eastAsia="黑体"/>
          <w:b w:val="0"/>
          <w:sz w:val="32"/>
        </w:rPr>
      </w:pPr>
      <w:r>
        <w:rPr>
          <w:rFonts w:hint="eastAsia" w:ascii="黑体" w:hAnsi="黑体" w:eastAsia="黑体"/>
          <w:color w:val="000000"/>
          <w:sz w:val="32"/>
        </w:rPr>
        <w:t>第</w:t>
      </w:r>
      <w:r>
        <w:rPr>
          <w:rStyle w:val="28"/>
          <w:rFonts w:hint="eastAsia" w:ascii="黑体" w:hAnsi="黑体" w:eastAsia="黑体"/>
          <w:b w:val="0"/>
          <w:sz w:val="32"/>
        </w:rPr>
        <w:t>四部分 附件</w:t>
      </w:r>
    </w:p>
    <w:p>
      <w:pPr>
        <w:spacing w:line="600" w:lineRule="exact"/>
        <w:jc w:val="center"/>
        <w:outlineLvl w:val="0"/>
        <w:rPr>
          <w:rStyle w:val="28"/>
          <w:sz w:val="32"/>
        </w:rPr>
      </w:pPr>
    </w:p>
    <w:p>
      <w:pPr>
        <w:widowControl/>
        <w:spacing w:line="480" w:lineRule="exact"/>
        <w:jc w:val="center"/>
        <w:rPr>
          <w:rFonts w:ascii="方正小标宋简体" w:hAnsi="宋体" w:eastAsia="方正小标宋简体"/>
          <w:sz w:val="44"/>
        </w:rPr>
      </w:pPr>
      <w:r>
        <w:rPr>
          <w:rFonts w:hint="eastAsia" w:ascii="方正小标宋简体" w:hAnsi="方正小标宋简体" w:eastAsia="方正小标宋简体"/>
          <w:sz w:val="44"/>
        </w:rPr>
        <w:t>九寨沟县残疾康复中心</w:t>
      </w:r>
    </w:p>
    <w:p>
      <w:pPr>
        <w:widowControl/>
        <w:spacing w:line="480" w:lineRule="exact"/>
        <w:jc w:val="center"/>
        <w:rPr>
          <w:rFonts w:ascii="黑体" w:hAnsi="宋体" w:eastAsia="黑体"/>
          <w:color w:val="000000"/>
          <w:kern w:val="0"/>
          <w:sz w:val="32"/>
        </w:rPr>
      </w:pPr>
      <w:r>
        <w:rPr>
          <w:rFonts w:hint="eastAsia" w:ascii="方正小标宋简体" w:hAnsi="宋体" w:eastAsia="方正小标宋简体"/>
          <w:sz w:val="44"/>
        </w:rPr>
        <w:t>20</w:t>
      </w:r>
      <w:r>
        <w:rPr>
          <w:rFonts w:hint="eastAsia" w:ascii="方正小标宋简体" w:hAnsi="宋体" w:eastAsia="方正小标宋简体"/>
          <w:sz w:val="44"/>
          <w:lang w:val="en-US" w:eastAsia="zh-CN"/>
        </w:rPr>
        <w:t>20</w:t>
      </w:r>
      <w:r>
        <w:rPr>
          <w:rFonts w:hint="eastAsia" w:ascii="方正小标宋简体" w:hAnsi="方正小标宋简体" w:eastAsia="方正小标宋简体"/>
          <w:sz w:val="44"/>
        </w:rPr>
        <w:t>年部门整体支出绩效报告</w:t>
      </w:r>
    </w:p>
    <w:p>
      <w:pPr>
        <w:widowControl/>
        <w:adjustRightInd w:val="0"/>
        <w:snapToGrid w:val="0"/>
        <w:spacing w:line="480" w:lineRule="exact"/>
        <w:ind w:firstLine="720"/>
        <w:jc w:val="left"/>
        <w:rPr>
          <w:rFonts w:ascii="黑体" w:hAnsi="宋体" w:eastAsia="黑体"/>
          <w:color w:val="000000"/>
          <w:kern w:val="0"/>
          <w:sz w:val="32"/>
        </w:rPr>
      </w:pPr>
      <w:r>
        <w:rPr>
          <w:rFonts w:hint="eastAsia" w:ascii="黑体" w:hAnsi="宋体" w:eastAsia="黑体"/>
          <w:color w:val="000000"/>
          <w:kern w:val="0"/>
          <w:sz w:val="32"/>
        </w:rPr>
        <w:t xml:space="preserve"> </w:t>
      </w:r>
    </w:p>
    <w:p>
      <w:pPr>
        <w:widowControl/>
        <w:adjustRightInd w:val="0"/>
        <w:snapToGrid w:val="0"/>
        <w:spacing w:line="480" w:lineRule="exact"/>
        <w:ind w:firstLine="720"/>
        <w:jc w:val="left"/>
        <w:rPr>
          <w:rFonts w:ascii="黑体" w:hAnsi="宋体" w:eastAsia="黑体"/>
          <w:color w:val="000000"/>
          <w:kern w:val="0"/>
          <w:sz w:val="32"/>
        </w:rPr>
      </w:pPr>
      <w:r>
        <w:rPr>
          <w:rFonts w:hint="eastAsia" w:ascii="黑体" w:hAnsi="宋体" w:eastAsia="黑体"/>
          <w:color w:val="000000"/>
          <w:kern w:val="0"/>
          <w:sz w:val="32"/>
        </w:rPr>
        <w:t>一、部门概况</w:t>
      </w:r>
    </w:p>
    <w:p>
      <w:pPr>
        <w:widowControl/>
        <w:adjustRightInd w:val="0"/>
        <w:snapToGrid w:val="0"/>
        <w:spacing w:line="480" w:lineRule="exact"/>
        <w:ind w:firstLine="720"/>
        <w:jc w:val="left"/>
        <w:rPr>
          <w:rFonts w:ascii="仿宋_GB2312" w:hAnsi="宋体" w:eastAsia="仿宋_GB2312"/>
          <w:color w:val="000000"/>
          <w:kern w:val="0"/>
          <w:sz w:val="32"/>
        </w:rPr>
      </w:pPr>
      <w:r>
        <w:rPr>
          <w:rFonts w:hint="eastAsia" w:ascii="仿宋_GB2312" w:hAnsi="宋体" w:eastAsia="仿宋_GB2312"/>
          <w:color w:val="000000"/>
          <w:kern w:val="0"/>
          <w:sz w:val="32"/>
        </w:rPr>
        <w:t>（一）机构组成。</w:t>
      </w:r>
    </w:p>
    <w:p>
      <w:pPr>
        <w:pStyle w:val="7"/>
        <w:adjustRightInd w:val="0"/>
        <w:snapToGrid w:val="0"/>
        <w:spacing w:before="93" w:line="600" w:lineRule="exact"/>
        <w:ind w:firstLine="672" w:firstLineChars="210"/>
        <w:rPr>
          <w:color w:val="000000"/>
          <w:sz w:val="32"/>
          <w:szCs w:val="32"/>
        </w:rPr>
      </w:pPr>
      <w:r>
        <w:rPr>
          <w:rFonts w:hint="eastAsia"/>
          <w:color w:val="000000"/>
          <w:sz w:val="32"/>
          <w:szCs w:val="32"/>
        </w:rPr>
        <w:t>九寨沟县残疾康复中心为残联下属事业单位，内设办公室、康复治疗室、辅助器具验配发放室、社区康复指导室4个。</w:t>
      </w:r>
    </w:p>
    <w:p>
      <w:pPr>
        <w:widowControl/>
        <w:adjustRightInd w:val="0"/>
        <w:snapToGrid w:val="0"/>
        <w:spacing w:line="480" w:lineRule="exact"/>
        <w:ind w:firstLine="720"/>
        <w:jc w:val="left"/>
        <w:rPr>
          <w:rFonts w:ascii="仿宋_GB2312" w:hAnsi="宋体" w:eastAsia="仿宋_GB2312"/>
          <w:color w:val="000000"/>
          <w:kern w:val="0"/>
          <w:sz w:val="32"/>
        </w:rPr>
      </w:pPr>
      <w:r>
        <w:rPr>
          <w:rFonts w:hint="eastAsia" w:ascii="仿宋_GB2312" w:hAnsi="宋体" w:eastAsia="仿宋_GB2312"/>
          <w:color w:val="000000"/>
          <w:kern w:val="0"/>
          <w:sz w:val="32"/>
        </w:rPr>
        <w:t>（二）机构职能。</w:t>
      </w:r>
    </w:p>
    <w:p>
      <w:pPr>
        <w:widowControl/>
        <w:adjustRightInd w:val="0"/>
        <w:snapToGrid w:val="0"/>
        <w:spacing w:line="480" w:lineRule="exact"/>
        <w:ind w:firstLine="720"/>
        <w:jc w:val="left"/>
        <w:rPr>
          <w:rFonts w:ascii="仿宋_GB2312" w:hAnsi="宋体" w:eastAsia="仿宋_GB2312"/>
          <w:color w:val="000000"/>
          <w:kern w:val="0"/>
          <w:sz w:val="32"/>
        </w:rPr>
      </w:pPr>
      <w:r>
        <w:rPr>
          <w:rFonts w:hint="eastAsia" w:ascii="仿宋_GB2312" w:hAnsi="宋体" w:eastAsia="仿宋_GB2312"/>
          <w:color w:val="000000"/>
          <w:kern w:val="0"/>
          <w:sz w:val="32"/>
        </w:rPr>
        <w:t>1．宣传贯彻《中华人民共和国残疾人保障法》，听取残疾人意见，反映残疾人需求，维护残疾人权益，为残疾人服务；2.团结、教育残疾人遵守法律，履行应尽的义务，发扬乐观进取精神，自尊、自信、自强、自立，为社会主义建设贡献力量；3.弘扬人道主义，宣传残疾人事业，沟通政府、社会和残疾人之间的联系，动员社会理解、尊重、关心、帮助残疾人；4.开展残疾人康复、教育、就业、扶贫、文化、体育、科研、用品供应、福利、社会服务、无障碍设施和残疾人预防等工作，创造良好的环境和条件，扶助残疾人平等参与社会生活；5.参与研究、制定和实施残疾人事业的法规、政策和计划，对有关业务领域进行指导和管理；6.管理和发放《中华人民共和国残疾人证》；7.承担九寨沟县人民政府残疾人工作委员会日常管理工作，做好综合、组织、协调和服务；8.指导各乡镇人民政府、乡镇残疾人联合会的工作；9.负责对各类残疾人社会团体组织进行监督管理；10.开展我县残疾人事业的对外交流和合作；11.承担县政府交办的有关事项。</w:t>
      </w:r>
    </w:p>
    <w:p>
      <w:pPr>
        <w:widowControl/>
        <w:numPr>
          <w:ilvl w:val="0"/>
          <w:numId w:val="6"/>
        </w:numPr>
        <w:adjustRightInd w:val="0"/>
        <w:snapToGrid w:val="0"/>
        <w:spacing w:line="480" w:lineRule="exact"/>
        <w:ind w:firstLine="720"/>
        <w:jc w:val="left"/>
        <w:rPr>
          <w:rFonts w:ascii="仿宋_GB2312" w:hAnsi="宋体" w:eastAsia="仿宋_GB2312"/>
          <w:color w:val="000000"/>
          <w:kern w:val="0"/>
          <w:sz w:val="32"/>
        </w:rPr>
      </w:pPr>
      <w:r>
        <w:rPr>
          <w:rFonts w:hint="eastAsia" w:ascii="仿宋_GB2312" w:hAnsi="宋体" w:eastAsia="仿宋_GB2312"/>
          <w:color w:val="000000"/>
          <w:kern w:val="0"/>
          <w:sz w:val="32"/>
        </w:rPr>
        <w:t>人员概况。</w:t>
      </w:r>
    </w:p>
    <w:p>
      <w:pPr>
        <w:pStyle w:val="7"/>
        <w:adjustRightInd w:val="0"/>
        <w:snapToGrid w:val="0"/>
        <w:spacing w:before="93" w:line="600" w:lineRule="exact"/>
        <w:ind w:firstLine="672" w:firstLineChars="210"/>
        <w:rPr>
          <w:color w:val="000000"/>
          <w:sz w:val="32"/>
          <w:szCs w:val="32"/>
        </w:rPr>
      </w:pPr>
      <w:r>
        <w:rPr>
          <w:rFonts w:hint="eastAsia"/>
          <w:color w:val="000000"/>
          <w:sz w:val="32"/>
          <w:szCs w:val="32"/>
        </w:rPr>
        <w:t>九寨沟县残疾康复中心为事业</w:t>
      </w:r>
      <w:r>
        <w:rPr>
          <w:rFonts w:hint="eastAsia"/>
          <w:kern w:val="2"/>
          <w:sz w:val="28"/>
        </w:rPr>
        <w:t>单位，</w:t>
      </w:r>
      <w:r>
        <w:rPr>
          <w:rFonts w:hint="eastAsia"/>
          <w:color w:val="000000"/>
          <w:sz w:val="32"/>
          <w:szCs w:val="32"/>
        </w:rPr>
        <w:t>人员编制8个，实际在岗6人，临时工2人。</w:t>
      </w:r>
    </w:p>
    <w:p>
      <w:pPr>
        <w:widowControl/>
        <w:adjustRightInd w:val="0"/>
        <w:snapToGrid w:val="0"/>
        <w:spacing w:line="480" w:lineRule="exact"/>
        <w:ind w:firstLine="720"/>
        <w:jc w:val="left"/>
        <w:rPr>
          <w:rFonts w:ascii="黑体" w:hAnsi="宋体" w:eastAsia="黑体"/>
          <w:color w:val="000000"/>
          <w:kern w:val="0"/>
          <w:sz w:val="32"/>
        </w:rPr>
      </w:pPr>
      <w:r>
        <w:rPr>
          <w:rFonts w:hint="eastAsia" w:ascii="黑体" w:hAnsi="宋体" w:eastAsia="黑体"/>
          <w:color w:val="000000"/>
          <w:kern w:val="0"/>
          <w:sz w:val="32"/>
        </w:rPr>
        <w:t>二、部门财政资金收支情况</w:t>
      </w:r>
    </w:p>
    <w:p>
      <w:pPr>
        <w:widowControl/>
        <w:adjustRightInd w:val="0"/>
        <w:snapToGrid w:val="0"/>
        <w:spacing w:line="480" w:lineRule="exact"/>
        <w:ind w:firstLine="720"/>
        <w:jc w:val="left"/>
        <w:rPr>
          <w:rFonts w:ascii="仿宋_GB2312" w:hAnsi="宋体" w:eastAsia="仿宋_GB2312"/>
          <w:color w:val="000000"/>
          <w:kern w:val="0"/>
          <w:sz w:val="32"/>
        </w:rPr>
      </w:pPr>
      <w:r>
        <w:rPr>
          <w:rFonts w:hint="eastAsia" w:ascii="仿宋_GB2312" w:hAnsi="宋体" w:eastAsia="仿宋_GB2312"/>
          <w:color w:val="000000"/>
          <w:kern w:val="0"/>
          <w:sz w:val="32"/>
        </w:rPr>
        <w:t>（一）部门财政资金收入情况。</w:t>
      </w:r>
    </w:p>
    <w:p>
      <w:pPr>
        <w:autoSpaceDE w:val="0"/>
        <w:spacing w:line="560" w:lineRule="exact"/>
        <w:ind w:firstLine="640" w:firstLineChars="200"/>
        <w:rPr>
          <w:rFonts w:ascii="仿宋_GB2312" w:eastAsia="仿宋_GB2312"/>
          <w:kern w:val="0"/>
          <w:sz w:val="32"/>
        </w:rPr>
      </w:pPr>
      <w:r>
        <w:rPr>
          <w:rFonts w:hint="eastAsia" w:ascii="仿宋_GB2312" w:eastAsia="仿宋_GB2312"/>
          <w:kern w:val="0"/>
          <w:sz w:val="32"/>
        </w:rPr>
        <w:t>20</w:t>
      </w:r>
      <w:r>
        <w:rPr>
          <w:rFonts w:hint="eastAsia" w:ascii="仿宋_GB2312" w:eastAsia="仿宋_GB2312"/>
          <w:kern w:val="0"/>
          <w:sz w:val="32"/>
          <w:lang w:val="en-US" w:eastAsia="zh-CN"/>
        </w:rPr>
        <w:t>20</w:t>
      </w:r>
      <w:r>
        <w:rPr>
          <w:rFonts w:hint="eastAsia" w:ascii="仿宋_GB2312" w:eastAsia="仿宋_GB2312"/>
          <w:kern w:val="0"/>
          <w:sz w:val="32"/>
        </w:rPr>
        <w:t>年财政资金收</w:t>
      </w:r>
      <w:r>
        <w:rPr>
          <w:rFonts w:hint="eastAsia" w:ascii="仿宋_GB2312" w:eastAsia="仿宋_GB2312"/>
          <w:kern w:val="0"/>
          <w:sz w:val="32"/>
          <w:lang w:val="en-US" w:eastAsia="zh-CN"/>
        </w:rPr>
        <w:t>78.7</w:t>
      </w:r>
      <w:r>
        <w:rPr>
          <w:rFonts w:hint="eastAsia" w:ascii="仿宋_GB2312" w:eastAsia="仿宋_GB2312"/>
          <w:kern w:val="0"/>
          <w:sz w:val="32"/>
        </w:rPr>
        <w:t>万元。</w:t>
      </w:r>
    </w:p>
    <w:p>
      <w:pPr>
        <w:widowControl/>
        <w:numPr>
          <w:ilvl w:val="0"/>
          <w:numId w:val="7"/>
        </w:numPr>
        <w:adjustRightInd w:val="0"/>
        <w:snapToGrid w:val="0"/>
        <w:spacing w:line="480" w:lineRule="exact"/>
        <w:ind w:firstLine="720"/>
        <w:jc w:val="left"/>
        <w:rPr>
          <w:rFonts w:ascii="仿宋_GB2312" w:hAnsi="宋体" w:eastAsia="仿宋_GB2312"/>
          <w:color w:val="000000"/>
          <w:kern w:val="0"/>
          <w:sz w:val="32"/>
        </w:rPr>
      </w:pPr>
      <w:r>
        <w:rPr>
          <w:rFonts w:hint="eastAsia" w:ascii="仿宋_GB2312" w:hAnsi="宋体" w:eastAsia="仿宋_GB2312"/>
          <w:color w:val="000000"/>
          <w:kern w:val="0"/>
          <w:sz w:val="32"/>
        </w:rPr>
        <w:t>部门财政资金支出情况。</w:t>
      </w:r>
    </w:p>
    <w:p>
      <w:pPr>
        <w:autoSpaceDE w:val="0"/>
        <w:spacing w:line="560" w:lineRule="exact"/>
        <w:ind w:firstLine="640" w:firstLineChars="200"/>
        <w:rPr>
          <w:sz w:val="32"/>
        </w:rPr>
      </w:pPr>
      <w:r>
        <w:rPr>
          <w:rFonts w:hint="eastAsia" w:ascii="仿宋_GB2312" w:eastAsia="仿宋_GB2312"/>
          <w:kern w:val="0"/>
          <w:sz w:val="32"/>
        </w:rPr>
        <w:t>20</w:t>
      </w:r>
      <w:r>
        <w:rPr>
          <w:rFonts w:hint="eastAsia" w:ascii="仿宋_GB2312" w:eastAsia="仿宋_GB2312"/>
          <w:kern w:val="0"/>
          <w:sz w:val="32"/>
          <w:lang w:val="en-US" w:eastAsia="zh-CN"/>
        </w:rPr>
        <w:t>20</w:t>
      </w:r>
      <w:r>
        <w:rPr>
          <w:rFonts w:hint="eastAsia" w:ascii="仿宋_GB2312" w:eastAsia="仿宋_GB2312"/>
          <w:kern w:val="0"/>
          <w:sz w:val="32"/>
        </w:rPr>
        <w:t>年财政资金支出</w:t>
      </w:r>
      <w:r>
        <w:rPr>
          <w:rFonts w:hint="eastAsia" w:ascii="仿宋_GB2312" w:eastAsia="仿宋_GB2312"/>
          <w:kern w:val="0"/>
          <w:sz w:val="32"/>
          <w:lang w:val="en-US" w:eastAsia="zh-CN"/>
        </w:rPr>
        <w:t>78.7</w:t>
      </w:r>
      <w:r>
        <w:rPr>
          <w:rFonts w:hint="eastAsia" w:ascii="仿宋_GB2312" w:eastAsia="仿宋_GB2312"/>
          <w:kern w:val="0"/>
          <w:sz w:val="32"/>
        </w:rPr>
        <w:t xml:space="preserve"> 万元。其中：基本支出</w:t>
      </w:r>
      <w:r>
        <w:rPr>
          <w:rFonts w:hint="eastAsia" w:ascii="仿宋_GB2312" w:eastAsia="仿宋_GB2312"/>
          <w:kern w:val="0"/>
          <w:sz w:val="32"/>
          <w:lang w:val="en-US" w:eastAsia="zh-CN"/>
        </w:rPr>
        <w:t>78.22</w:t>
      </w:r>
      <w:r>
        <w:rPr>
          <w:rFonts w:hint="eastAsia" w:ascii="仿宋_GB2312" w:eastAsia="仿宋_GB2312"/>
          <w:kern w:val="0"/>
          <w:sz w:val="32"/>
        </w:rPr>
        <w:t>万元，项目支出0</w:t>
      </w:r>
      <w:r>
        <w:rPr>
          <w:rFonts w:hint="eastAsia" w:ascii="仿宋_GB2312" w:eastAsia="仿宋_GB2312"/>
          <w:kern w:val="0"/>
          <w:sz w:val="32"/>
          <w:lang w:val="en-US" w:eastAsia="zh-CN"/>
        </w:rPr>
        <w:t>.47</w:t>
      </w:r>
      <w:r>
        <w:rPr>
          <w:rFonts w:hint="eastAsia" w:ascii="仿宋_GB2312" w:eastAsia="仿宋_GB2312"/>
          <w:kern w:val="0"/>
          <w:sz w:val="32"/>
        </w:rPr>
        <w:t>万元。</w:t>
      </w:r>
    </w:p>
    <w:p>
      <w:pPr>
        <w:widowControl/>
        <w:adjustRightInd w:val="0"/>
        <w:snapToGrid w:val="0"/>
        <w:spacing w:line="480" w:lineRule="exact"/>
        <w:ind w:firstLine="720"/>
        <w:jc w:val="left"/>
        <w:rPr>
          <w:rFonts w:ascii="黑体" w:hAnsi="宋体" w:eastAsia="黑体"/>
          <w:color w:val="000000"/>
          <w:kern w:val="0"/>
          <w:sz w:val="32"/>
        </w:rPr>
      </w:pPr>
      <w:r>
        <w:rPr>
          <w:rFonts w:hint="eastAsia" w:ascii="黑体" w:hAnsi="宋体" w:eastAsia="黑体"/>
          <w:color w:val="000000"/>
          <w:kern w:val="0"/>
          <w:sz w:val="32"/>
        </w:rPr>
        <w:t>三、部门财政支出管理情况</w:t>
      </w:r>
    </w:p>
    <w:p>
      <w:pPr>
        <w:widowControl/>
        <w:adjustRightInd w:val="0"/>
        <w:snapToGrid w:val="0"/>
        <w:spacing w:line="480" w:lineRule="exact"/>
        <w:ind w:firstLine="720"/>
        <w:jc w:val="left"/>
        <w:rPr>
          <w:rFonts w:ascii="楷体" w:hAnsi="楷体" w:eastAsia="楷体"/>
          <w:color w:val="000000"/>
          <w:kern w:val="0"/>
          <w:sz w:val="32"/>
        </w:rPr>
      </w:pPr>
      <w:r>
        <w:rPr>
          <w:rFonts w:hint="eastAsia" w:ascii="楷体" w:hAnsi="楷体" w:eastAsia="楷体"/>
          <w:color w:val="000000"/>
          <w:kern w:val="0"/>
          <w:sz w:val="32"/>
        </w:rPr>
        <w:t>（一）预算编制情况。</w:t>
      </w:r>
    </w:p>
    <w:p>
      <w:pPr>
        <w:widowControl/>
        <w:adjustRightInd w:val="0"/>
        <w:snapToGrid w:val="0"/>
        <w:spacing w:line="480" w:lineRule="exact"/>
        <w:ind w:firstLine="720"/>
        <w:jc w:val="left"/>
        <w:rPr>
          <w:rFonts w:ascii="仿宋_GB2312" w:hAnsi="宋体" w:eastAsia="仿宋_GB2312"/>
          <w:color w:val="000000"/>
          <w:sz w:val="32"/>
          <w:shd w:val="clear" w:color="auto" w:fill="FFFFFF"/>
        </w:rPr>
      </w:pPr>
      <w:r>
        <w:rPr>
          <w:rFonts w:hint="eastAsia" w:ascii="仿宋_GB2312" w:eastAsia="仿宋_GB2312"/>
          <w:kern w:val="0"/>
          <w:sz w:val="32"/>
        </w:rPr>
        <w:t xml:space="preserve"> </w:t>
      </w:r>
      <w:r>
        <w:rPr>
          <w:rFonts w:hint="eastAsia" w:ascii="仿宋_GB2312" w:hAnsi="宋体" w:eastAsia="仿宋_GB2312"/>
          <w:color w:val="000000"/>
          <w:sz w:val="32"/>
          <w:shd w:val="clear" w:color="auto" w:fill="FFFFFF"/>
        </w:rPr>
        <w:t>严格按照预算管理的相关规定科学合理编按时完成了20</w:t>
      </w:r>
      <w:r>
        <w:rPr>
          <w:rFonts w:hint="eastAsia" w:ascii="仿宋_GB2312" w:hAnsi="宋体" w:eastAsia="仿宋_GB2312"/>
          <w:color w:val="000000"/>
          <w:sz w:val="32"/>
          <w:shd w:val="clear" w:color="auto" w:fill="FFFFFF"/>
          <w:lang w:val="en-US" w:eastAsia="zh-CN"/>
        </w:rPr>
        <w:t>20</w:t>
      </w:r>
      <w:r>
        <w:rPr>
          <w:rFonts w:hint="eastAsia" w:ascii="仿宋_GB2312" w:hAnsi="宋体" w:eastAsia="仿宋_GB2312"/>
          <w:color w:val="000000"/>
          <w:sz w:val="32"/>
          <w:shd w:val="clear" w:color="auto" w:fill="FFFFFF"/>
        </w:rPr>
        <w:t>年预算编制工作。20</w:t>
      </w:r>
      <w:r>
        <w:rPr>
          <w:rFonts w:hint="eastAsia" w:ascii="仿宋_GB2312" w:hAnsi="宋体" w:eastAsia="仿宋_GB2312"/>
          <w:color w:val="000000"/>
          <w:sz w:val="32"/>
          <w:shd w:val="clear" w:color="auto" w:fill="FFFFFF"/>
          <w:lang w:val="en-US" w:eastAsia="zh-CN"/>
        </w:rPr>
        <w:t>20</w:t>
      </w:r>
      <w:r>
        <w:rPr>
          <w:rFonts w:hint="eastAsia" w:ascii="仿宋_GB2312" w:hAnsi="宋体" w:eastAsia="仿宋_GB2312"/>
          <w:color w:val="000000"/>
          <w:sz w:val="32"/>
          <w:shd w:val="clear" w:color="auto" w:fill="FFFFFF"/>
        </w:rPr>
        <w:t>年九寨沟县残疾康复中心入预算总额为</w:t>
      </w:r>
      <w:r>
        <w:rPr>
          <w:rFonts w:hint="eastAsia" w:ascii="仿宋_GB2312" w:eastAsia="仿宋_GB2312"/>
          <w:color w:val="000000"/>
          <w:sz w:val="32"/>
          <w:shd w:val="clear" w:color="auto" w:fill="FFFFFF"/>
        </w:rPr>
        <w:t xml:space="preserve"> </w:t>
      </w:r>
      <w:r>
        <w:rPr>
          <w:rFonts w:hint="eastAsia" w:ascii="仿宋_GB2312" w:eastAsia="仿宋_GB2312"/>
          <w:color w:val="000000"/>
          <w:sz w:val="32"/>
          <w:shd w:val="clear" w:color="auto" w:fill="FFFFFF"/>
          <w:lang w:val="en-US" w:eastAsia="zh-CN"/>
        </w:rPr>
        <w:t>78.7</w:t>
      </w:r>
      <w:r>
        <w:rPr>
          <w:rFonts w:hint="eastAsia" w:ascii="仿宋_GB2312" w:hAnsi="宋体" w:eastAsia="仿宋_GB2312"/>
          <w:color w:val="000000"/>
          <w:sz w:val="32"/>
          <w:shd w:val="clear" w:color="auto" w:fill="FFFFFF"/>
        </w:rPr>
        <w:t>万元，其中：当年财政拨款收入</w:t>
      </w:r>
      <w:r>
        <w:rPr>
          <w:rFonts w:hint="eastAsia" w:ascii="仿宋_GB2312" w:eastAsia="仿宋_GB2312"/>
          <w:color w:val="000000"/>
          <w:sz w:val="32"/>
          <w:shd w:val="clear" w:color="auto" w:fill="FFFFFF"/>
        </w:rPr>
        <w:t xml:space="preserve">  </w:t>
      </w:r>
      <w:r>
        <w:rPr>
          <w:rFonts w:hint="eastAsia" w:ascii="仿宋_GB2312" w:eastAsia="仿宋_GB2312"/>
          <w:color w:val="000000"/>
          <w:sz w:val="32"/>
          <w:shd w:val="clear" w:color="auto" w:fill="FFFFFF"/>
          <w:lang w:val="en-US" w:eastAsia="zh-CN"/>
        </w:rPr>
        <w:t>78.7</w:t>
      </w:r>
      <w:r>
        <w:rPr>
          <w:rFonts w:hint="eastAsia" w:ascii="仿宋_GB2312" w:hAnsi="宋体" w:eastAsia="仿宋_GB2312"/>
          <w:color w:val="000000"/>
          <w:sz w:val="32"/>
          <w:shd w:val="clear" w:color="auto" w:fill="FFFFFF"/>
        </w:rPr>
        <w:t>万元。20</w:t>
      </w:r>
      <w:r>
        <w:rPr>
          <w:rFonts w:hint="eastAsia" w:ascii="仿宋_GB2312" w:hAnsi="宋体" w:eastAsia="仿宋_GB2312"/>
          <w:color w:val="000000"/>
          <w:sz w:val="32"/>
          <w:shd w:val="clear" w:color="auto" w:fill="FFFFFF"/>
          <w:lang w:val="en-US" w:eastAsia="zh-CN"/>
        </w:rPr>
        <w:t>20</w:t>
      </w:r>
      <w:r>
        <w:rPr>
          <w:rFonts w:hint="eastAsia" w:ascii="仿宋_GB2312" w:hAnsi="宋体" w:eastAsia="仿宋_GB2312"/>
          <w:color w:val="000000"/>
          <w:sz w:val="32"/>
          <w:shd w:val="clear" w:color="auto" w:fill="FFFFFF"/>
        </w:rPr>
        <w:t>年预算</w:t>
      </w:r>
      <w:r>
        <w:rPr>
          <w:rFonts w:hint="eastAsia" w:ascii="仿宋_GB2312" w:eastAsia="仿宋_GB2312"/>
          <w:color w:val="000000"/>
          <w:sz w:val="32"/>
          <w:shd w:val="clear" w:color="auto" w:fill="FFFFFF"/>
        </w:rPr>
        <w:t xml:space="preserve">支出 </w:t>
      </w:r>
      <w:r>
        <w:rPr>
          <w:rFonts w:hint="eastAsia" w:ascii="仿宋_GB2312" w:eastAsia="仿宋_GB2312"/>
          <w:color w:val="000000"/>
          <w:sz w:val="32"/>
          <w:shd w:val="clear" w:color="auto" w:fill="FFFFFF"/>
          <w:lang w:val="en-US" w:eastAsia="zh-CN"/>
        </w:rPr>
        <w:t>78.7</w:t>
      </w:r>
      <w:r>
        <w:rPr>
          <w:rFonts w:hint="eastAsia" w:ascii="仿宋_GB2312" w:eastAsia="仿宋_GB2312"/>
          <w:color w:val="000000"/>
          <w:sz w:val="32"/>
          <w:shd w:val="clear" w:color="auto" w:fill="FFFFFF"/>
        </w:rPr>
        <w:t xml:space="preserve">  </w:t>
      </w:r>
      <w:r>
        <w:rPr>
          <w:rFonts w:hint="eastAsia" w:ascii="仿宋_GB2312" w:hAnsi="宋体" w:eastAsia="仿宋_GB2312"/>
          <w:color w:val="000000"/>
          <w:sz w:val="32"/>
          <w:shd w:val="clear" w:color="auto" w:fill="FFFFFF"/>
        </w:rPr>
        <w:t>万元，其中：人员支出</w:t>
      </w:r>
      <w:r>
        <w:rPr>
          <w:rFonts w:hint="eastAsia" w:ascii="仿宋_GB2312" w:eastAsia="仿宋_GB2312"/>
          <w:color w:val="000000"/>
          <w:sz w:val="32"/>
          <w:shd w:val="clear" w:color="auto" w:fill="FFFFFF"/>
          <w:lang w:val="en-US" w:eastAsia="zh-CN"/>
        </w:rPr>
        <w:t>72.17</w:t>
      </w:r>
      <w:r>
        <w:rPr>
          <w:rFonts w:hint="eastAsia" w:ascii="仿宋_GB2312" w:hAnsi="宋体" w:eastAsia="仿宋_GB2312"/>
          <w:color w:val="000000"/>
          <w:sz w:val="32"/>
          <w:shd w:val="clear" w:color="auto" w:fill="FFFFFF"/>
        </w:rPr>
        <w:t>万元，日常公用支出6</w:t>
      </w:r>
      <w:r>
        <w:rPr>
          <w:rFonts w:hint="eastAsia" w:ascii="仿宋_GB2312" w:hAnsi="宋体" w:eastAsia="仿宋_GB2312"/>
          <w:color w:val="000000"/>
          <w:sz w:val="32"/>
          <w:shd w:val="clear" w:color="auto" w:fill="FFFFFF"/>
          <w:lang w:val="en-US" w:eastAsia="zh-CN"/>
        </w:rPr>
        <w:t>.05</w:t>
      </w:r>
      <w:r>
        <w:rPr>
          <w:rFonts w:hint="eastAsia" w:ascii="仿宋_GB2312" w:eastAsia="仿宋_GB2312"/>
          <w:color w:val="000000"/>
          <w:sz w:val="32"/>
          <w:shd w:val="clear" w:color="auto" w:fill="FFFFFF"/>
        </w:rPr>
        <w:t xml:space="preserve"> </w:t>
      </w:r>
      <w:r>
        <w:rPr>
          <w:rFonts w:hint="eastAsia" w:ascii="仿宋_GB2312" w:hAnsi="宋体" w:eastAsia="仿宋_GB2312"/>
          <w:color w:val="000000"/>
          <w:sz w:val="32"/>
          <w:shd w:val="clear" w:color="auto" w:fill="FFFFFF"/>
        </w:rPr>
        <w:t>万元，专项支出</w:t>
      </w:r>
      <w:r>
        <w:rPr>
          <w:rFonts w:hint="eastAsia" w:ascii="仿宋_GB2312" w:eastAsia="仿宋_GB2312"/>
          <w:color w:val="000000"/>
          <w:sz w:val="32"/>
          <w:shd w:val="clear" w:color="auto" w:fill="FFFFFF"/>
        </w:rPr>
        <w:t>0</w:t>
      </w:r>
      <w:r>
        <w:rPr>
          <w:rFonts w:hint="eastAsia" w:ascii="仿宋_GB2312" w:hAnsi="宋体" w:eastAsia="仿宋_GB2312"/>
          <w:color w:val="000000"/>
          <w:sz w:val="32"/>
          <w:shd w:val="clear" w:color="auto" w:fill="FFFFFF"/>
        </w:rPr>
        <w:t>万元。政府性基金预算财政拨款支出0万元。</w:t>
      </w:r>
    </w:p>
    <w:p>
      <w:pPr>
        <w:widowControl/>
        <w:adjustRightInd w:val="0"/>
        <w:snapToGrid w:val="0"/>
        <w:spacing w:line="480" w:lineRule="exact"/>
        <w:ind w:firstLine="720"/>
        <w:jc w:val="left"/>
        <w:rPr>
          <w:rFonts w:ascii="仿宋_GB2312" w:hAnsi="宋体" w:eastAsia="仿宋_GB2312"/>
          <w:color w:val="000000"/>
          <w:sz w:val="32"/>
          <w:shd w:val="clear" w:color="auto" w:fill="FFFFFF"/>
        </w:rPr>
      </w:pPr>
      <w:r>
        <w:rPr>
          <w:rFonts w:hint="eastAsia" w:ascii="仿宋_GB2312" w:hAnsi="宋体" w:eastAsia="仿宋_GB2312"/>
          <w:color w:val="000000"/>
          <w:sz w:val="32"/>
          <w:shd w:val="clear" w:color="auto" w:fill="FFFFFF"/>
        </w:rPr>
        <w:t>（二）执行管理情况。</w:t>
      </w:r>
      <w:r>
        <w:rPr>
          <w:rFonts w:hint="eastAsia" w:ascii="仿宋_GB2312" w:hAnsi="宋体" w:eastAsia="仿宋_GB2312"/>
          <w:color w:val="000000"/>
          <w:sz w:val="32"/>
          <w:shd w:val="clear" w:color="auto" w:fill="FFFFFF"/>
        </w:rPr>
        <w:tab/>
      </w:r>
    </w:p>
    <w:p>
      <w:pPr>
        <w:widowControl/>
        <w:adjustRightInd w:val="0"/>
        <w:snapToGrid w:val="0"/>
        <w:spacing w:line="480" w:lineRule="exact"/>
        <w:ind w:firstLine="720"/>
        <w:jc w:val="left"/>
        <w:rPr>
          <w:color w:val="000000"/>
        </w:rPr>
      </w:pPr>
      <w:r>
        <w:rPr>
          <w:rFonts w:hint="eastAsia" w:ascii="仿宋_GB2312" w:hAnsi="宋体" w:eastAsia="仿宋_GB2312"/>
          <w:color w:val="000000"/>
          <w:sz w:val="32"/>
          <w:shd w:val="clear" w:color="auto" w:fill="FFFFFF"/>
        </w:rPr>
        <w:t>我单位严格按照年初预算安排,严格执行中央八项规定厉行节约规范使用预算资金。收入上，严格执行</w:t>
      </w:r>
      <w:r>
        <w:rPr>
          <w:rFonts w:hint="eastAsia" w:ascii="宋体" w:hAnsi="宋体"/>
          <w:color w:val="000000"/>
          <w:sz w:val="32"/>
          <w:shd w:val="clear" w:color="auto" w:fill="FFFFFF"/>
        </w:rPr>
        <w:t xml:space="preserve"> </w:t>
      </w:r>
      <w:r>
        <w:rPr>
          <w:rFonts w:hint="eastAsia" w:ascii="仿宋_GB2312" w:hAnsi="宋体" w:eastAsia="仿宋_GB2312"/>
          <w:color w:val="000000"/>
          <w:sz w:val="32"/>
          <w:shd w:val="clear" w:color="auto" w:fill="FFFFFF"/>
        </w:rPr>
        <w:t>"收支两条线"管理制度，无隐瞒收入和其他违反国家收费管理规定的行</w:t>
      </w:r>
      <w:r>
        <w:rPr>
          <w:rFonts w:hint="eastAsia" w:ascii="仿宋_GB2312" w:eastAsia="仿宋_GB2312"/>
          <w:color w:val="000000"/>
          <w:sz w:val="32"/>
          <w:shd w:val="clear" w:color="auto" w:fill="FFFFFF"/>
        </w:rPr>
        <w:t>为。在支出管理中,</w:t>
      </w:r>
      <w:r>
        <w:rPr>
          <w:rFonts w:hint="eastAsia"/>
          <w:color w:val="000000"/>
          <w:sz w:val="32"/>
          <w:shd w:val="clear" w:color="auto" w:fill="FFFFFF"/>
        </w:rPr>
        <w:t xml:space="preserve"> </w:t>
      </w:r>
      <w:r>
        <w:rPr>
          <w:rFonts w:hint="eastAsia" w:ascii="仿宋_GB2312" w:eastAsia="仿宋_GB2312"/>
          <w:color w:val="000000"/>
          <w:sz w:val="32"/>
          <w:shd w:val="clear" w:color="auto" w:fill="FFFFFF"/>
        </w:rPr>
        <w:t>认真执行国库集中支付、政府采购、公务卡报销、重点工作和大额支付上会集体决策等相关财务管理制度。认真做好每月与银行、财政国库科的对账工作，加强动态监控，保障机关各项工作顺利开展。</w:t>
      </w:r>
    </w:p>
    <w:p>
      <w:pPr>
        <w:widowControl/>
        <w:adjustRightInd w:val="0"/>
        <w:snapToGrid w:val="0"/>
        <w:spacing w:line="480" w:lineRule="exact"/>
        <w:ind w:firstLine="720"/>
        <w:jc w:val="left"/>
        <w:rPr>
          <w:rFonts w:ascii="仿宋_GB2312" w:hAnsi="宋体" w:eastAsia="仿宋_GB2312"/>
          <w:color w:val="000000"/>
          <w:kern w:val="0"/>
          <w:sz w:val="32"/>
        </w:rPr>
      </w:pPr>
      <w:r>
        <w:rPr>
          <w:rFonts w:hint="eastAsia" w:ascii="仿宋_GB2312" w:hAnsi="宋体" w:eastAsia="仿宋_GB2312"/>
          <w:color w:val="000000"/>
          <w:kern w:val="0"/>
          <w:sz w:val="32"/>
        </w:rPr>
        <w:t>“三公”经费预算执行情况。我单位严格按照中央省州的相关文件要求,严控“三公经费”支出。20</w:t>
      </w:r>
      <w:r>
        <w:rPr>
          <w:rFonts w:hint="eastAsia" w:ascii="仿宋_GB2312" w:hAnsi="宋体" w:eastAsia="仿宋_GB2312"/>
          <w:color w:val="000000"/>
          <w:kern w:val="0"/>
          <w:sz w:val="32"/>
          <w:lang w:val="en-US" w:eastAsia="zh-CN"/>
        </w:rPr>
        <w:t>20</w:t>
      </w:r>
      <w:r>
        <w:rPr>
          <w:rFonts w:hint="eastAsia" w:ascii="仿宋_GB2312" w:hAnsi="宋体" w:eastAsia="仿宋_GB2312"/>
          <w:color w:val="000000"/>
          <w:kern w:val="0"/>
          <w:sz w:val="32"/>
        </w:rPr>
        <w:t>年因公出国（境）经费支出0万元。20</w:t>
      </w:r>
      <w:r>
        <w:rPr>
          <w:rFonts w:hint="eastAsia" w:ascii="仿宋_GB2312" w:hAnsi="宋体" w:eastAsia="仿宋_GB2312"/>
          <w:color w:val="000000"/>
          <w:kern w:val="0"/>
          <w:sz w:val="32"/>
          <w:lang w:val="en-US" w:eastAsia="zh-CN"/>
        </w:rPr>
        <w:t>20</w:t>
      </w:r>
      <w:r>
        <w:rPr>
          <w:rFonts w:hint="eastAsia" w:ascii="仿宋_GB2312" w:hAnsi="宋体" w:eastAsia="仿宋_GB2312"/>
          <w:color w:val="000000"/>
          <w:kern w:val="0"/>
          <w:sz w:val="32"/>
        </w:rPr>
        <w:t>年公务用车购置及运行维护费支出0万元。20</w:t>
      </w:r>
      <w:r>
        <w:rPr>
          <w:rFonts w:hint="eastAsia" w:ascii="仿宋_GB2312" w:hAnsi="宋体" w:eastAsia="仿宋_GB2312"/>
          <w:color w:val="000000"/>
          <w:kern w:val="0"/>
          <w:sz w:val="32"/>
          <w:lang w:val="en-US" w:eastAsia="zh-CN"/>
        </w:rPr>
        <w:t>20</w:t>
      </w:r>
      <w:r>
        <w:rPr>
          <w:rFonts w:hint="eastAsia" w:ascii="仿宋_GB2312" w:hAnsi="宋体" w:eastAsia="仿宋_GB2312"/>
          <w:color w:val="000000"/>
          <w:kern w:val="0"/>
          <w:sz w:val="32"/>
        </w:rPr>
        <w:t>年年公务接待费支出 0万元。严格贯彻执行中央八项规定坚决杜绝奢侈浪费，有效控制公务接待费用。</w:t>
      </w:r>
    </w:p>
    <w:p>
      <w:pPr>
        <w:widowControl/>
        <w:adjustRightInd w:val="0"/>
        <w:snapToGrid w:val="0"/>
        <w:spacing w:line="480" w:lineRule="exact"/>
        <w:ind w:firstLine="720"/>
        <w:jc w:val="left"/>
        <w:rPr>
          <w:rFonts w:ascii="仿宋_GB2312" w:hAnsi="宋体" w:eastAsia="仿宋_GB2312"/>
          <w:color w:val="000000"/>
          <w:kern w:val="0"/>
          <w:sz w:val="32"/>
        </w:rPr>
      </w:pPr>
      <w:r>
        <w:rPr>
          <w:rFonts w:hint="eastAsia" w:ascii="仿宋_GB2312" w:hAnsi="宋体" w:eastAsia="仿宋_GB2312"/>
          <w:color w:val="000000"/>
          <w:kern w:val="0"/>
          <w:sz w:val="32"/>
        </w:rPr>
        <w:t>（三）综合管理情况。</w:t>
      </w:r>
    </w:p>
    <w:p>
      <w:pPr>
        <w:widowControl/>
        <w:adjustRightInd w:val="0"/>
        <w:snapToGrid w:val="0"/>
        <w:spacing w:line="480" w:lineRule="exact"/>
        <w:ind w:firstLine="720"/>
        <w:jc w:val="left"/>
        <w:rPr>
          <w:rFonts w:ascii="仿宋_GB2312" w:hAnsi="宋体" w:eastAsia="仿宋_GB2312"/>
          <w:color w:val="000000"/>
          <w:kern w:val="0"/>
          <w:sz w:val="32"/>
        </w:rPr>
      </w:pPr>
      <w:r>
        <w:rPr>
          <w:rFonts w:hint="eastAsia" w:ascii="仿宋_GB2312" w:hAnsi="宋体" w:eastAsia="仿宋_GB2312"/>
          <w:color w:val="000000"/>
          <w:kern w:val="0"/>
          <w:sz w:val="32"/>
        </w:rPr>
        <w:t>1.严格执行财务管理制度。严格执行中央和上级有关部门出台的财经纪律相关规定，严控"三公经费"、会议费、培训费、差旅费等支出。严格报账程序，严把票据审核关，减少现金支付。认真做好会计核算，做到账账相符、账实相符。强化内控建设，防范防控岗位风险,确保各项工作有序运转。</w:t>
      </w:r>
    </w:p>
    <w:p>
      <w:pPr>
        <w:widowControl/>
        <w:adjustRightInd w:val="0"/>
        <w:snapToGrid w:val="0"/>
        <w:spacing w:line="480" w:lineRule="exact"/>
        <w:ind w:firstLine="720"/>
        <w:jc w:val="left"/>
        <w:rPr>
          <w:rFonts w:ascii="仿宋_GB2312" w:hAnsi="宋体" w:eastAsia="仿宋_GB2312"/>
          <w:color w:val="000000"/>
          <w:kern w:val="0"/>
          <w:sz w:val="32"/>
        </w:rPr>
      </w:pPr>
      <w:r>
        <w:rPr>
          <w:rFonts w:hint="eastAsia" w:ascii="仿宋_GB2312" w:hAnsi="宋体" w:eastAsia="仿宋_GB2312"/>
          <w:color w:val="000000"/>
          <w:kern w:val="0"/>
          <w:sz w:val="32"/>
        </w:rPr>
        <w:t>2.加强政府采购管理。严格按照《政府采购法》和《政府采购法实施条例》等相关管理规定，根据省采购目录和财政部门预算管理要求，编制政府采购计划，将采购项目全部纳入部门预算管理。</w:t>
      </w:r>
    </w:p>
    <w:p>
      <w:pPr>
        <w:widowControl/>
        <w:adjustRightInd w:val="0"/>
        <w:snapToGrid w:val="0"/>
        <w:spacing w:line="480" w:lineRule="exact"/>
        <w:ind w:firstLine="720"/>
        <w:jc w:val="left"/>
        <w:rPr>
          <w:rFonts w:ascii="仿宋_GB2312" w:hAnsi="宋体" w:eastAsia="仿宋_GB2312"/>
          <w:color w:val="000000"/>
          <w:kern w:val="0"/>
          <w:sz w:val="32"/>
        </w:rPr>
      </w:pPr>
      <w:r>
        <w:rPr>
          <w:rFonts w:hint="eastAsia" w:ascii="仿宋_GB2312" w:hAnsi="宋体" w:eastAsia="仿宋_GB2312"/>
          <w:color w:val="000000"/>
          <w:kern w:val="0"/>
          <w:sz w:val="32"/>
        </w:rPr>
        <w:t>3.加强固定资产管理。财政资产管理家具配置标准、新增资产配置流程、处置审批制度等相关文件要求，做好固定资产采买、报废、调整等相关管理工作。部门资产录入固定资产管理系统,建资产管理卡片,</w:t>
      </w:r>
      <w:r>
        <w:rPr>
          <w:rFonts w:hint="eastAsia" w:ascii="宋体" w:hAnsi="宋体"/>
          <w:color w:val="000000"/>
          <w:kern w:val="0"/>
          <w:sz w:val="32"/>
        </w:rPr>
        <w:t xml:space="preserve"> </w:t>
      </w:r>
      <w:r>
        <w:rPr>
          <w:rFonts w:hint="eastAsia" w:ascii="仿宋_GB2312" w:hAnsi="宋体" w:eastAsia="仿宋_GB2312"/>
          <w:color w:val="000000"/>
          <w:kern w:val="0"/>
          <w:sz w:val="32"/>
        </w:rPr>
        <w:t>及时更新资产管理信息系统数据，做到账实相符、账卡相符。</w:t>
      </w:r>
    </w:p>
    <w:p>
      <w:pPr>
        <w:widowControl/>
        <w:adjustRightInd w:val="0"/>
        <w:snapToGrid w:val="0"/>
        <w:spacing w:line="480" w:lineRule="exact"/>
        <w:ind w:firstLine="720"/>
        <w:jc w:val="left"/>
        <w:rPr>
          <w:rFonts w:ascii="仿宋_GB2312" w:hAnsi="宋体" w:eastAsia="仿宋_GB2312"/>
          <w:color w:val="000000"/>
          <w:kern w:val="0"/>
          <w:sz w:val="32"/>
        </w:rPr>
      </w:pPr>
      <w:r>
        <w:rPr>
          <w:rFonts w:hint="eastAsia" w:ascii="仿宋_GB2312" w:hAnsi="宋体" w:eastAsia="仿宋_GB2312"/>
          <w:color w:val="000000"/>
          <w:kern w:val="0"/>
          <w:sz w:val="32"/>
        </w:rPr>
        <w:t>4.加强政府信息公开。20</w:t>
      </w:r>
      <w:r>
        <w:rPr>
          <w:rFonts w:hint="eastAsia" w:ascii="仿宋_GB2312" w:hAnsi="宋体" w:eastAsia="仿宋_GB2312"/>
          <w:color w:val="000000"/>
          <w:kern w:val="0"/>
          <w:sz w:val="32"/>
          <w:lang w:val="en-US" w:eastAsia="zh-CN"/>
        </w:rPr>
        <w:t>20</w:t>
      </w:r>
      <w:r>
        <w:rPr>
          <w:rFonts w:hint="eastAsia" w:ascii="仿宋_GB2312" w:hAnsi="宋体" w:eastAsia="仿宋_GB2312"/>
          <w:color w:val="000000"/>
          <w:kern w:val="0"/>
          <w:sz w:val="32"/>
        </w:rPr>
        <w:t>年，我单位严格按照县委、县政府相关要求全面推进政府信息公开工作的统一安排部署，突出重点，狠抓落实，细化公开内容，拓宽公开渠道，不断提高政府信息公开的质量和实效。</w:t>
      </w:r>
    </w:p>
    <w:p>
      <w:pPr>
        <w:widowControl/>
        <w:adjustRightInd w:val="0"/>
        <w:snapToGrid w:val="0"/>
        <w:spacing w:line="480" w:lineRule="exact"/>
        <w:ind w:firstLine="720"/>
        <w:jc w:val="left"/>
        <w:rPr>
          <w:rFonts w:ascii="黑体" w:hAnsi="宋体" w:eastAsia="黑体"/>
          <w:color w:val="000000"/>
          <w:kern w:val="0"/>
          <w:sz w:val="32"/>
        </w:rPr>
      </w:pPr>
      <w:r>
        <w:rPr>
          <w:rFonts w:hint="eastAsia" w:ascii="黑体" w:hAnsi="宋体" w:eastAsia="黑体"/>
          <w:color w:val="000000"/>
          <w:kern w:val="0"/>
          <w:sz w:val="32"/>
        </w:rPr>
        <w:t>四、评价结论及建议</w:t>
      </w:r>
    </w:p>
    <w:p>
      <w:pPr>
        <w:widowControl/>
        <w:adjustRightInd w:val="0"/>
        <w:snapToGrid w:val="0"/>
        <w:spacing w:line="480" w:lineRule="exact"/>
        <w:ind w:firstLine="720"/>
        <w:jc w:val="left"/>
        <w:rPr>
          <w:rFonts w:ascii="仿宋_GB2312" w:hAnsi="宋体" w:eastAsia="仿宋_GB2312"/>
          <w:color w:val="000000"/>
          <w:kern w:val="0"/>
          <w:sz w:val="32"/>
        </w:rPr>
      </w:pPr>
      <w:r>
        <w:rPr>
          <w:rFonts w:hint="eastAsia" w:ascii="仿宋_GB2312" w:hAnsi="宋体" w:eastAsia="仿宋_GB2312"/>
          <w:color w:val="000000"/>
          <w:kern w:val="0"/>
          <w:sz w:val="32"/>
        </w:rPr>
        <w:t>（一）评价结论。</w:t>
      </w:r>
    </w:p>
    <w:p>
      <w:pPr>
        <w:pStyle w:val="14"/>
        <w:widowControl/>
        <w:autoSpaceDE w:val="0"/>
        <w:spacing w:before="0" w:beforeAutospacing="0" w:line="560" w:lineRule="exact"/>
        <w:ind w:firstLine="640" w:firstLineChars="200"/>
        <w:rPr>
          <w:rFonts w:ascii="仿宋_GB2312" w:eastAsia="仿宋_GB2312"/>
          <w:sz w:val="32"/>
        </w:rPr>
      </w:pPr>
      <w:r>
        <w:rPr>
          <w:rFonts w:hint="eastAsia" w:ascii="仿宋_GB2312" w:eastAsia="仿宋_GB2312"/>
          <w:sz w:val="32"/>
        </w:rPr>
        <w:t>我单位财务管理制度健全，执行制度严格合规，会计核算符合相关规定，资金专款专用，资金支付依据和开支标准合法合规，严格执行政府采购。 按照县级部门预算编制通知和有关要求，按时完成基础库、项目库报送工作，预算编制准确。部门整体绩效目标编制完整、合理，项目绩效目标编制明确、量化。按规定及时分配中央、省级市级财力专项预算，按要求严格预算执行管理。严格执行“三公经费”预算，行政运行经费与上年相比明显下降，没有产生债务。按要求及时公开预算、决算、绩效等信息。按要求及时、准确、全面开展资产清查工作，上报国有资产报表数据的真实性、准确性、全面性。内部控制制度健全完整并执行良好。</w:t>
      </w:r>
    </w:p>
    <w:p>
      <w:pPr>
        <w:widowControl/>
        <w:numPr>
          <w:ilvl w:val="0"/>
          <w:numId w:val="7"/>
        </w:numPr>
        <w:adjustRightInd w:val="0"/>
        <w:snapToGrid w:val="0"/>
        <w:spacing w:line="480" w:lineRule="exact"/>
        <w:ind w:firstLine="720"/>
        <w:jc w:val="left"/>
        <w:rPr>
          <w:rFonts w:ascii="仿宋_GB2312" w:hAnsi="宋体" w:eastAsia="仿宋_GB2312"/>
          <w:color w:val="000000"/>
          <w:kern w:val="0"/>
          <w:sz w:val="32"/>
        </w:rPr>
      </w:pPr>
      <w:r>
        <w:rPr>
          <w:rFonts w:hint="eastAsia" w:ascii="仿宋_GB2312" w:hAnsi="宋体" w:eastAsia="仿宋_GB2312"/>
          <w:color w:val="000000"/>
          <w:kern w:val="0"/>
          <w:sz w:val="32"/>
        </w:rPr>
        <w:t>存在问题。</w:t>
      </w:r>
    </w:p>
    <w:p>
      <w:pPr>
        <w:pStyle w:val="2"/>
        <w:spacing w:before="100" w:beforeAutospacing="1"/>
        <w:ind w:firstLine="640"/>
      </w:pPr>
      <w:r>
        <w:rPr>
          <w:rFonts w:hint="eastAsia" w:ascii="仿宋_GB2312"/>
          <w:kern w:val="2"/>
        </w:rPr>
        <w:t>通过开展自评工作发现的问题有：一是个别会计科目使用不规范；二是部分项目进度较慢。针对存在的问题和不足我单位将坚持问题导向查找原因，早发现早处理细化整改措施将整改落实到人。</w:t>
      </w:r>
    </w:p>
    <w:p>
      <w:pPr>
        <w:widowControl/>
        <w:numPr>
          <w:ilvl w:val="0"/>
          <w:numId w:val="7"/>
        </w:numPr>
        <w:adjustRightInd w:val="0"/>
        <w:snapToGrid w:val="0"/>
        <w:spacing w:line="480" w:lineRule="exact"/>
        <w:ind w:firstLine="720"/>
        <w:jc w:val="left"/>
        <w:rPr>
          <w:rFonts w:ascii="仿宋_GB2312" w:hAnsi="宋体" w:eastAsia="仿宋_GB2312"/>
          <w:color w:val="000000"/>
          <w:kern w:val="0"/>
          <w:sz w:val="32"/>
        </w:rPr>
      </w:pPr>
      <w:r>
        <w:rPr>
          <w:rFonts w:hint="eastAsia" w:ascii="仿宋_GB2312" w:hAnsi="宋体" w:eastAsia="仿宋_GB2312"/>
          <w:color w:val="000000"/>
          <w:kern w:val="0"/>
          <w:sz w:val="32"/>
        </w:rPr>
        <w:t>改进建议。</w:t>
      </w:r>
    </w:p>
    <w:p>
      <w:pPr>
        <w:ind w:firstLine="640" w:firstLineChars="200"/>
        <w:rPr>
          <w:rFonts w:ascii="仿宋_GB2312" w:eastAsia="仿宋_GB2312"/>
          <w:sz w:val="32"/>
        </w:rPr>
      </w:pPr>
      <w:r>
        <w:rPr>
          <w:rFonts w:hint="eastAsia" w:ascii="仿宋_GB2312" w:eastAsia="仿宋_GB2312"/>
          <w:sz w:val="32"/>
        </w:rPr>
        <w:t>在财务工作过程中严格按照《会计法》的要求，依法设置会计账簿，并保证其真实完整，根据单位实际发生业务事项进行会计核算、填制会计凭证、登记会计账簿、编制财务会计报告。严格执行国家有关财务法规，所发生的业务事项均在依法设置的会计账簿上统一登记、核算，依据国家统一的会计制度进行会计核算，确保数据真实有效。在安排支出时，分轻重缓急，保证常规和重点支出需要，既体现实际工作需要，有考虑单位财力可能，根据各项工作任务，在财力可能的情况下，有保有压，确保重点，统筹安排，合理支出。</w:t>
      </w:r>
    </w:p>
    <w:p>
      <w:pPr>
        <w:pStyle w:val="2"/>
        <w:spacing w:before="100" w:beforeAutospacing="1"/>
        <w:ind w:left="840" w:leftChars="400" w:firstLine="640"/>
      </w:pPr>
      <w:r>
        <w:rPr>
          <w:rFonts w:hint="eastAsia"/>
        </w:rPr>
        <w:t xml:space="preserve"> </w:t>
      </w:r>
    </w:p>
    <w:p>
      <w:pPr>
        <w:autoSpaceDE w:val="0"/>
        <w:spacing w:line="560" w:lineRule="exact"/>
        <w:ind w:firstLine="640" w:firstLineChars="200"/>
        <w:rPr>
          <w:sz w:val="32"/>
        </w:rPr>
      </w:pPr>
      <w:r>
        <w:rPr>
          <w:rFonts w:hint="eastAsia"/>
          <w:sz w:val="32"/>
        </w:rPr>
        <w:t xml:space="preserve"> </w:t>
      </w:r>
    </w:p>
    <w:p>
      <w:pPr>
        <w:pStyle w:val="2"/>
        <w:ind w:firstLine="640"/>
      </w:pPr>
    </w:p>
    <w:p>
      <w:pPr>
        <w:pStyle w:val="2"/>
        <w:ind w:firstLine="640"/>
      </w:pPr>
    </w:p>
    <w:p>
      <w:pPr>
        <w:pStyle w:val="2"/>
        <w:ind w:firstLine="640"/>
      </w:pPr>
      <w:bookmarkStart w:id="67" w:name="_GoBack"/>
      <w:bookmarkEnd w:id="67"/>
    </w:p>
    <w:p>
      <w:pPr>
        <w:spacing w:line="600" w:lineRule="exact"/>
        <w:jc w:val="both"/>
        <w:outlineLvl w:val="0"/>
        <w:rPr>
          <w:rStyle w:val="28"/>
          <w:rFonts w:ascii="黑体" w:hAnsi="黑体" w:eastAsia="黑体"/>
          <w:b w:val="0"/>
          <w:sz w:val="32"/>
          <w:szCs w:val="32"/>
        </w:rPr>
      </w:pPr>
      <w:r>
        <w:rPr>
          <w:rFonts w:hint="eastAsia" w:ascii="黑体" w:hAnsi="黑体" w:eastAsia="黑体"/>
          <w:color w:val="000000"/>
          <w:sz w:val="32"/>
          <w:szCs w:val="32"/>
        </w:rPr>
        <w:t>第</w:t>
      </w:r>
      <w:r>
        <w:rPr>
          <w:rStyle w:val="28"/>
          <w:rFonts w:hint="eastAsia" w:ascii="黑体" w:hAnsi="黑体" w:eastAsia="黑体"/>
          <w:b w:val="0"/>
          <w:sz w:val="32"/>
          <w:szCs w:val="32"/>
        </w:rPr>
        <w:t>五部分 附表</w:t>
      </w:r>
      <w:bookmarkEnd w:id="51"/>
      <w:bookmarkEnd w:id="53"/>
    </w:p>
    <w:p>
      <w:pPr>
        <w:spacing w:line="600" w:lineRule="exact"/>
        <w:jc w:val="center"/>
        <w:outlineLvl w:val="0"/>
        <w:rPr>
          <w:rFonts w:ascii="仿宋" w:hAnsi="仿宋" w:eastAsia="仿宋"/>
          <w:b/>
          <w:color w:val="000000"/>
          <w:sz w:val="32"/>
          <w:szCs w:val="32"/>
        </w:rPr>
      </w:pPr>
    </w:p>
    <w:p>
      <w:pPr>
        <w:pStyle w:val="5"/>
        <w:rPr>
          <w:rFonts w:ascii="仿宋" w:hAnsi="仿宋" w:eastAsia="仿宋"/>
          <w:color w:val="000000"/>
        </w:rPr>
      </w:pPr>
      <w:bookmarkStart w:id="54" w:name="_Toc15396619"/>
      <w:r>
        <w:rPr>
          <w:rFonts w:hint="eastAsia" w:ascii="仿宋" w:hAnsi="仿宋" w:eastAsia="仿宋"/>
          <w:b w:val="0"/>
          <w:color w:val="000000"/>
        </w:rPr>
        <w:t>一、收</w:t>
      </w:r>
      <w:r>
        <w:rPr>
          <w:rStyle w:val="29"/>
          <w:rFonts w:hint="eastAsia" w:ascii="仿宋" w:hAnsi="仿宋" w:eastAsia="仿宋"/>
          <w:b w:val="0"/>
          <w:bCs w:val="0"/>
        </w:rPr>
        <w:t>入支出决算总表</w:t>
      </w:r>
      <w:bookmarkEnd w:id="54"/>
    </w:p>
    <w:p>
      <w:pPr>
        <w:pStyle w:val="5"/>
        <w:rPr>
          <w:rFonts w:ascii="仿宋" w:hAnsi="仿宋" w:eastAsia="仿宋"/>
          <w:color w:val="000000"/>
        </w:rPr>
      </w:pPr>
      <w:bookmarkStart w:id="55" w:name="_Toc15396620"/>
      <w:r>
        <w:rPr>
          <w:rFonts w:hint="eastAsia" w:ascii="仿宋" w:hAnsi="仿宋" w:eastAsia="仿宋"/>
          <w:b w:val="0"/>
          <w:color w:val="000000"/>
        </w:rPr>
        <w:t>二、收</w:t>
      </w:r>
      <w:r>
        <w:rPr>
          <w:rStyle w:val="29"/>
          <w:rFonts w:hint="eastAsia" w:ascii="仿宋" w:hAnsi="仿宋" w:eastAsia="仿宋"/>
          <w:b w:val="0"/>
          <w:bCs w:val="0"/>
        </w:rPr>
        <w:t>入总表</w:t>
      </w:r>
      <w:bookmarkEnd w:id="55"/>
    </w:p>
    <w:p>
      <w:pPr>
        <w:pStyle w:val="5"/>
        <w:rPr>
          <w:rFonts w:ascii="仿宋" w:hAnsi="仿宋" w:eastAsia="仿宋"/>
          <w:color w:val="000000"/>
        </w:rPr>
      </w:pPr>
      <w:bookmarkStart w:id="56" w:name="_Toc15396621"/>
      <w:r>
        <w:rPr>
          <w:rStyle w:val="29"/>
          <w:rFonts w:hint="eastAsia" w:ascii="仿宋" w:hAnsi="仿宋" w:eastAsia="仿宋"/>
          <w:b w:val="0"/>
          <w:bCs w:val="0"/>
        </w:rPr>
        <w:t>三、</w:t>
      </w:r>
      <w:r>
        <w:rPr>
          <w:rFonts w:hint="eastAsia" w:ascii="仿宋" w:hAnsi="仿宋" w:eastAsia="仿宋"/>
          <w:b w:val="0"/>
          <w:color w:val="000000"/>
        </w:rPr>
        <w:t>支</w:t>
      </w:r>
      <w:r>
        <w:rPr>
          <w:rStyle w:val="29"/>
          <w:rFonts w:hint="eastAsia" w:ascii="仿宋" w:hAnsi="仿宋" w:eastAsia="仿宋"/>
          <w:b w:val="0"/>
          <w:bCs w:val="0"/>
        </w:rPr>
        <w:t>出总表</w:t>
      </w:r>
      <w:bookmarkEnd w:id="56"/>
    </w:p>
    <w:p>
      <w:pPr>
        <w:pStyle w:val="5"/>
        <w:rPr>
          <w:rFonts w:ascii="仿宋" w:hAnsi="仿宋" w:eastAsia="仿宋"/>
          <w:b w:val="0"/>
          <w:color w:val="000000"/>
        </w:rPr>
      </w:pPr>
      <w:bookmarkStart w:id="57" w:name="_Toc15396622"/>
      <w:r>
        <w:rPr>
          <w:rStyle w:val="29"/>
          <w:rFonts w:hint="eastAsia" w:ascii="仿宋" w:hAnsi="仿宋" w:eastAsia="仿宋"/>
          <w:b w:val="0"/>
          <w:bCs w:val="0"/>
        </w:rPr>
        <w:t>四、</w:t>
      </w:r>
      <w:r>
        <w:rPr>
          <w:rFonts w:hint="eastAsia" w:ascii="仿宋" w:hAnsi="仿宋" w:eastAsia="仿宋"/>
          <w:b w:val="0"/>
          <w:color w:val="000000"/>
        </w:rPr>
        <w:t>财</w:t>
      </w:r>
      <w:r>
        <w:rPr>
          <w:rStyle w:val="29"/>
          <w:rFonts w:hint="eastAsia" w:ascii="仿宋" w:hAnsi="仿宋" w:eastAsia="仿宋"/>
          <w:b w:val="0"/>
          <w:bCs w:val="0"/>
        </w:rPr>
        <w:t>政拨款收入支出决算总表</w:t>
      </w:r>
      <w:bookmarkEnd w:id="57"/>
    </w:p>
    <w:p>
      <w:pPr>
        <w:pStyle w:val="5"/>
        <w:rPr>
          <w:rFonts w:ascii="仿宋" w:hAnsi="仿宋" w:eastAsia="仿宋"/>
          <w:color w:val="000000"/>
        </w:rPr>
      </w:pPr>
      <w:bookmarkStart w:id="58" w:name="_Toc15396623"/>
      <w:r>
        <w:rPr>
          <w:rStyle w:val="29"/>
          <w:rFonts w:hint="eastAsia" w:ascii="仿宋" w:hAnsi="仿宋" w:eastAsia="仿宋"/>
          <w:b w:val="0"/>
          <w:bCs w:val="0"/>
        </w:rPr>
        <w:t>五、</w:t>
      </w:r>
      <w:r>
        <w:rPr>
          <w:rFonts w:hint="eastAsia" w:ascii="仿宋" w:hAnsi="仿宋" w:eastAsia="仿宋"/>
          <w:b w:val="0"/>
          <w:color w:val="000000"/>
        </w:rPr>
        <w:t>财</w:t>
      </w:r>
      <w:r>
        <w:rPr>
          <w:rStyle w:val="29"/>
          <w:rFonts w:hint="eastAsia" w:ascii="仿宋" w:hAnsi="仿宋" w:eastAsia="仿宋"/>
          <w:b w:val="0"/>
          <w:bCs w:val="0"/>
        </w:rPr>
        <w:t>政拨款支出决算明细表（政府经济分类科目）</w:t>
      </w:r>
      <w:bookmarkEnd w:id="58"/>
    </w:p>
    <w:p>
      <w:pPr>
        <w:pStyle w:val="5"/>
        <w:rPr>
          <w:rFonts w:ascii="仿宋" w:hAnsi="仿宋" w:eastAsia="仿宋"/>
          <w:color w:val="000000"/>
        </w:rPr>
      </w:pPr>
      <w:bookmarkStart w:id="59" w:name="_Toc15396624"/>
      <w:r>
        <w:rPr>
          <w:rStyle w:val="29"/>
          <w:rFonts w:hint="eastAsia" w:ascii="仿宋" w:hAnsi="仿宋" w:eastAsia="仿宋"/>
          <w:b w:val="0"/>
          <w:bCs w:val="0"/>
        </w:rPr>
        <w:t>六、</w:t>
      </w:r>
      <w:r>
        <w:rPr>
          <w:rFonts w:hint="eastAsia" w:ascii="仿宋" w:hAnsi="仿宋" w:eastAsia="仿宋"/>
          <w:b w:val="0"/>
          <w:color w:val="000000"/>
        </w:rPr>
        <w:t>一</w:t>
      </w:r>
      <w:r>
        <w:rPr>
          <w:rStyle w:val="29"/>
          <w:rFonts w:hint="eastAsia" w:ascii="仿宋" w:hAnsi="仿宋" w:eastAsia="仿宋"/>
          <w:b w:val="0"/>
          <w:bCs w:val="0"/>
        </w:rPr>
        <w:t>般公共预算财政拨款支出决算表</w:t>
      </w:r>
      <w:bookmarkEnd w:id="59"/>
    </w:p>
    <w:p>
      <w:pPr>
        <w:pStyle w:val="5"/>
        <w:rPr>
          <w:rFonts w:ascii="仿宋" w:hAnsi="仿宋" w:eastAsia="仿宋"/>
          <w:color w:val="000000"/>
        </w:rPr>
      </w:pPr>
      <w:bookmarkStart w:id="60" w:name="_Toc15396625"/>
      <w:r>
        <w:rPr>
          <w:rStyle w:val="29"/>
          <w:rFonts w:hint="eastAsia" w:ascii="仿宋" w:hAnsi="仿宋" w:eastAsia="仿宋"/>
          <w:b w:val="0"/>
          <w:bCs w:val="0"/>
        </w:rPr>
        <w:t>七、</w:t>
      </w:r>
      <w:r>
        <w:rPr>
          <w:rFonts w:hint="eastAsia" w:ascii="仿宋" w:hAnsi="仿宋" w:eastAsia="仿宋"/>
          <w:b w:val="0"/>
          <w:color w:val="000000"/>
        </w:rPr>
        <w:t>一</w:t>
      </w:r>
      <w:r>
        <w:rPr>
          <w:rStyle w:val="29"/>
          <w:rFonts w:hint="eastAsia" w:ascii="仿宋" w:hAnsi="仿宋" w:eastAsia="仿宋"/>
          <w:b w:val="0"/>
          <w:bCs w:val="0"/>
        </w:rPr>
        <w:t>般公共预算财政拨款支出决算明细表</w:t>
      </w:r>
      <w:bookmarkEnd w:id="60"/>
    </w:p>
    <w:p>
      <w:pPr>
        <w:pStyle w:val="5"/>
        <w:rPr>
          <w:rFonts w:ascii="仿宋" w:hAnsi="仿宋" w:eastAsia="仿宋"/>
          <w:color w:val="000000"/>
        </w:rPr>
      </w:pPr>
      <w:bookmarkStart w:id="61" w:name="_Toc15396626"/>
      <w:r>
        <w:rPr>
          <w:rStyle w:val="29"/>
          <w:rFonts w:hint="eastAsia" w:ascii="仿宋" w:hAnsi="仿宋" w:eastAsia="仿宋"/>
          <w:b w:val="0"/>
          <w:bCs w:val="0"/>
        </w:rPr>
        <w:t>八、</w:t>
      </w:r>
      <w:r>
        <w:rPr>
          <w:rFonts w:hint="eastAsia" w:ascii="仿宋" w:hAnsi="仿宋" w:eastAsia="仿宋"/>
          <w:b w:val="0"/>
          <w:color w:val="000000"/>
        </w:rPr>
        <w:t>一</w:t>
      </w:r>
      <w:r>
        <w:rPr>
          <w:rStyle w:val="29"/>
          <w:rFonts w:hint="eastAsia" w:ascii="仿宋" w:hAnsi="仿宋" w:eastAsia="仿宋"/>
          <w:b w:val="0"/>
          <w:bCs w:val="0"/>
        </w:rPr>
        <w:t>般公共预算财政拨款基本支出决算表</w:t>
      </w:r>
      <w:bookmarkEnd w:id="61"/>
    </w:p>
    <w:p>
      <w:pPr>
        <w:pStyle w:val="5"/>
        <w:rPr>
          <w:rFonts w:ascii="仿宋" w:hAnsi="仿宋" w:eastAsia="仿宋"/>
          <w:color w:val="000000"/>
        </w:rPr>
      </w:pPr>
      <w:bookmarkStart w:id="62" w:name="_Toc15396627"/>
      <w:r>
        <w:rPr>
          <w:rStyle w:val="29"/>
          <w:rFonts w:hint="eastAsia" w:ascii="仿宋" w:hAnsi="仿宋" w:eastAsia="仿宋"/>
          <w:b w:val="0"/>
          <w:bCs w:val="0"/>
        </w:rPr>
        <w:t>九、</w:t>
      </w:r>
      <w:r>
        <w:rPr>
          <w:rFonts w:hint="eastAsia" w:ascii="仿宋" w:hAnsi="仿宋" w:eastAsia="仿宋"/>
          <w:b w:val="0"/>
          <w:color w:val="000000"/>
        </w:rPr>
        <w:t>一</w:t>
      </w:r>
      <w:r>
        <w:rPr>
          <w:rStyle w:val="29"/>
          <w:rFonts w:hint="eastAsia" w:ascii="仿宋" w:hAnsi="仿宋" w:eastAsia="仿宋"/>
          <w:b w:val="0"/>
          <w:bCs w:val="0"/>
        </w:rPr>
        <w:t>般公共预算财政拨款项目支出决算表</w:t>
      </w:r>
      <w:bookmarkEnd w:id="62"/>
    </w:p>
    <w:p>
      <w:pPr>
        <w:pStyle w:val="5"/>
        <w:rPr>
          <w:rFonts w:ascii="仿宋" w:hAnsi="仿宋" w:eastAsia="仿宋"/>
          <w:color w:val="000000"/>
        </w:rPr>
      </w:pPr>
      <w:bookmarkStart w:id="63" w:name="_Toc15396628"/>
      <w:r>
        <w:rPr>
          <w:rStyle w:val="29"/>
          <w:rFonts w:hint="eastAsia" w:ascii="仿宋" w:hAnsi="仿宋" w:eastAsia="仿宋"/>
          <w:b w:val="0"/>
          <w:bCs w:val="0"/>
        </w:rPr>
        <w:t>十、</w:t>
      </w:r>
      <w:r>
        <w:rPr>
          <w:rFonts w:hint="eastAsia" w:ascii="仿宋" w:hAnsi="仿宋" w:eastAsia="仿宋"/>
          <w:b w:val="0"/>
          <w:color w:val="000000"/>
        </w:rPr>
        <w:t>一</w:t>
      </w:r>
      <w:r>
        <w:rPr>
          <w:rStyle w:val="29"/>
          <w:rFonts w:hint="eastAsia" w:ascii="仿宋" w:hAnsi="仿宋" w:eastAsia="仿宋"/>
          <w:b w:val="0"/>
          <w:bCs w:val="0"/>
        </w:rPr>
        <w:t>般公共预算财政拨款“三公”经费支出决算表</w:t>
      </w:r>
      <w:bookmarkEnd w:id="63"/>
    </w:p>
    <w:p>
      <w:pPr>
        <w:pStyle w:val="5"/>
        <w:rPr>
          <w:rFonts w:ascii="仿宋" w:hAnsi="仿宋" w:eastAsia="仿宋"/>
          <w:color w:val="000000"/>
        </w:rPr>
      </w:pPr>
      <w:bookmarkStart w:id="64" w:name="_Toc15396629"/>
      <w:r>
        <w:rPr>
          <w:rStyle w:val="29"/>
          <w:rFonts w:hint="eastAsia" w:ascii="仿宋" w:hAnsi="仿宋" w:eastAsia="仿宋"/>
          <w:b w:val="0"/>
          <w:bCs w:val="0"/>
        </w:rPr>
        <w:t>十一、</w:t>
      </w:r>
      <w:r>
        <w:rPr>
          <w:rFonts w:hint="eastAsia" w:ascii="仿宋" w:hAnsi="仿宋" w:eastAsia="仿宋"/>
          <w:b w:val="0"/>
          <w:color w:val="000000"/>
        </w:rPr>
        <w:t>政</w:t>
      </w:r>
      <w:r>
        <w:rPr>
          <w:rStyle w:val="29"/>
          <w:rFonts w:hint="eastAsia" w:ascii="仿宋" w:hAnsi="仿宋" w:eastAsia="仿宋"/>
          <w:b w:val="0"/>
          <w:bCs w:val="0"/>
        </w:rPr>
        <w:t>府性基金预算财政拨款收入支出决算表</w:t>
      </w:r>
      <w:bookmarkEnd w:id="64"/>
    </w:p>
    <w:p>
      <w:pPr>
        <w:pStyle w:val="5"/>
        <w:rPr>
          <w:rFonts w:ascii="仿宋" w:hAnsi="仿宋" w:eastAsia="仿宋"/>
          <w:color w:val="000000"/>
        </w:rPr>
      </w:pPr>
      <w:bookmarkStart w:id="65" w:name="_Toc15396630"/>
      <w:r>
        <w:rPr>
          <w:rStyle w:val="29"/>
          <w:rFonts w:hint="eastAsia" w:ascii="仿宋" w:hAnsi="仿宋" w:eastAsia="仿宋"/>
          <w:b w:val="0"/>
          <w:bCs w:val="0"/>
        </w:rPr>
        <w:t>十二、</w:t>
      </w:r>
      <w:r>
        <w:rPr>
          <w:rFonts w:hint="eastAsia" w:ascii="仿宋" w:hAnsi="仿宋" w:eastAsia="仿宋"/>
          <w:b w:val="0"/>
          <w:color w:val="000000"/>
        </w:rPr>
        <w:t>政</w:t>
      </w:r>
      <w:r>
        <w:rPr>
          <w:rStyle w:val="29"/>
          <w:rFonts w:hint="eastAsia" w:ascii="仿宋" w:hAnsi="仿宋" w:eastAsia="仿宋"/>
          <w:b w:val="0"/>
          <w:bCs w:val="0"/>
        </w:rPr>
        <w:t>府性基金预算财政拨款“三公”经费支出决算表</w:t>
      </w:r>
      <w:bookmarkEnd w:id="65"/>
    </w:p>
    <w:p>
      <w:pPr>
        <w:pStyle w:val="5"/>
        <w:rPr>
          <w:rFonts w:ascii="仿宋" w:hAnsi="仿宋" w:eastAsia="仿宋"/>
          <w:color w:val="000000" w:themeColor="text1"/>
          <w14:textFill>
            <w14:solidFill>
              <w14:schemeClr w14:val="tx1"/>
            </w14:solidFill>
          </w14:textFill>
        </w:rPr>
      </w:pPr>
      <w:bookmarkStart w:id="66" w:name="_Toc15396631"/>
      <w:r>
        <w:rPr>
          <w:rStyle w:val="29"/>
          <w:rFonts w:hint="eastAsia" w:ascii="仿宋" w:hAnsi="仿宋" w:eastAsia="仿宋"/>
          <w:b w:val="0"/>
          <w:bCs w:val="0"/>
        </w:rPr>
        <w:t>十三、</w:t>
      </w:r>
      <w:r>
        <w:rPr>
          <w:rFonts w:hint="eastAsia" w:ascii="仿宋" w:hAnsi="仿宋" w:eastAsia="仿宋"/>
          <w:b w:val="0"/>
          <w:color w:val="000000"/>
        </w:rPr>
        <w:t>国</w:t>
      </w:r>
      <w:r>
        <w:rPr>
          <w:rStyle w:val="29"/>
          <w:rFonts w:hint="eastAsia" w:ascii="仿宋" w:hAnsi="仿宋" w:eastAsia="仿宋"/>
          <w:b w:val="0"/>
          <w:bCs w:val="0"/>
        </w:rPr>
        <w:t>有资本经营预算支出决算表</w:t>
      </w:r>
      <w:bookmarkEnd w:id="66"/>
    </w:p>
    <w:sectPr>
      <w:headerReference r:id="rId3" w:type="default"/>
      <w:footerReference r:id="rId4" w:type="default"/>
      <w:pgSz w:w="11906" w:h="16838"/>
      <w:pgMar w:top="1440" w:right="1800" w:bottom="1440" w:left="1800" w:header="851" w:footer="992" w:gutter="0"/>
      <w:pgNumType w:start="1"/>
      <w:cols w:space="425" w:num="1"/>
      <w:titlePg/>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7A"/>
    <w:family w:val="auto"/>
    <w:pitch w:val="default"/>
    <w:sig w:usb0="00007A87" w:usb1="80000000" w:usb2="00000008" w:usb3="00000000" w:csb0="400001FF" w:csb1="FFFF0000"/>
  </w:font>
  <w:font w:name="宋体">
    <w:panose1 w:val="02010600030101010101"/>
    <w:charset w:val="8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AFF" w:usb1="C0007843"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A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00002FF" w:usb1="4000ACFF" w:usb2="00000001" w:usb3="00000000" w:csb0="2000019F" w:csb1="00000000"/>
  </w:font>
  <w:font w:name="Cambria">
    <w:panose1 w:val="02040503050406030204"/>
    <w:charset w:val="00"/>
    <w:family w:val="roman"/>
    <w:pitch w:val="default"/>
    <w:sig w:usb0="E00002FF" w:usb1="400004FF" w:usb2="00000000" w:usb3="00000000" w:csb0="2000019F"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方正小标宋简体">
    <w:panose1 w:val="03000509000000000000"/>
    <w:charset w:val="86"/>
    <w:family w:val="script"/>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 w:name="楷体">
    <w:panose1 w:val="02010609060101010101"/>
    <w:charset w:val="86"/>
    <w:family w:val="modern"/>
    <w:pitch w:val="default"/>
    <w:sig w:usb0="800002BF" w:usb1="38CF7CFA" w:usb2="00000016"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sdt>
    <w:sdtPr>
      <w:id w:val="-1994781956"/>
    </w:sdtPr>
    <w:sdtContent>
      <w:p>
        <w:pPr>
          <w:pStyle w:val="10"/>
          <w:jc w:val="center"/>
        </w:pPr>
        <w:r>
          <w:fldChar w:fldCharType="begin"/>
        </w:r>
        <w:r>
          <w:instrText xml:space="preserve">PAGE   \* MERGEFORMAT</w:instrText>
        </w:r>
        <w:r>
          <w:fldChar w:fldCharType="separate"/>
        </w:r>
        <w:r>
          <w:rPr>
            <w:lang w:val="zh-CN"/>
          </w:rPr>
          <w:t>18</w:t>
        </w:r>
        <w:r>
          <w:rPr>
            <w:lang w:val="zh-CN"/>
          </w:rPr>
          <w:fldChar w:fldCharType="end"/>
        </w:r>
      </w:p>
    </w:sdtContent>
  </w:sdt>
  <w:p>
    <w:pPr>
      <w:pStyle w:val="1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11"/>
      <w:pBdr>
        <w:bottom w:val="none" w:color="auto" w:sz="0" w:space="0"/>
      </w:pBd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CF652CEC"/>
    <w:multiLevelType w:val="singleLevel"/>
    <w:tmpl w:val="CF652CEC"/>
    <w:lvl w:ilvl="0" w:tentative="0">
      <w:start w:val="9"/>
      <w:numFmt w:val="chineseCounting"/>
      <w:suff w:val="nothing"/>
      <w:lvlText w:val="%1、"/>
      <w:lvlJc w:val="left"/>
      <w:rPr>
        <w:rFonts w:hint="eastAsia"/>
        <w:lang w:val="en-US"/>
      </w:rPr>
    </w:lvl>
  </w:abstractNum>
  <w:abstractNum w:abstractNumId="1">
    <w:nsid w:val="E2FA047D"/>
    <w:multiLevelType w:val="singleLevel"/>
    <w:tmpl w:val="E2FA047D"/>
    <w:lvl w:ilvl="0" w:tentative="0">
      <w:start w:val="3"/>
      <w:numFmt w:val="chineseCounting"/>
      <w:suff w:val="space"/>
      <w:lvlText w:val="第%1部分"/>
      <w:lvlJc w:val="left"/>
      <w:rPr>
        <w:rFonts w:hint="eastAsia"/>
      </w:rPr>
    </w:lvl>
  </w:abstractNum>
  <w:abstractNum w:abstractNumId="2">
    <w:nsid w:val="EC0BEF30"/>
    <w:multiLevelType w:val="singleLevel"/>
    <w:tmpl w:val="EC0BEF30"/>
    <w:lvl w:ilvl="0" w:tentative="0">
      <w:start w:val="1"/>
      <w:numFmt w:val="chineseCounting"/>
      <w:suff w:val="nothing"/>
      <w:lvlText w:val="（%1）"/>
      <w:lvlJc w:val="left"/>
      <w:rPr>
        <w:rFonts w:hint="eastAsia" w:ascii="楷体_GB2312" w:hAnsi="楷体_GB2312" w:eastAsia="楷体_GB2312" w:cs="楷体_GB2312"/>
        <w:b/>
        <w:bCs/>
        <w:sz w:val="32"/>
        <w:szCs w:val="32"/>
      </w:rPr>
    </w:lvl>
  </w:abstractNum>
  <w:abstractNum w:abstractNumId="3">
    <w:nsid w:val="1272550B"/>
    <w:multiLevelType w:val="multilevel"/>
    <w:tmpl w:val="1272550B"/>
    <w:lvl w:ilvl="0" w:tentative="0">
      <w:start w:val="1"/>
      <w:numFmt w:val="japaneseCounting"/>
      <w:lvlText w:val="%1、"/>
      <w:lvlJc w:val="left"/>
      <w:pPr>
        <w:ind w:left="1360" w:hanging="720"/>
      </w:pPr>
      <w:rPr>
        <w:rFonts w:hint="default"/>
        <w:b w:val="0"/>
      </w:rPr>
    </w:lvl>
    <w:lvl w:ilvl="1" w:tentative="0">
      <w:start w:val="1"/>
      <w:numFmt w:val="lowerLetter"/>
      <w:lvlText w:val="%2)"/>
      <w:lvlJc w:val="left"/>
      <w:pPr>
        <w:ind w:left="1480" w:hanging="420"/>
      </w:pPr>
    </w:lvl>
    <w:lvl w:ilvl="2" w:tentative="0">
      <w:start w:val="1"/>
      <w:numFmt w:val="lowerRoman"/>
      <w:lvlText w:val="%3."/>
      <w:lvlJc w:val="right"/>
      <w:pPr>
        <w:ind w:left="1900" w:hanging="420"/>
      </w:pPr>
    </w:lvl>
    <w:lvl w:ilvl="3" w:tentative="0">
      <w:start w:val="1"/>
      <w:numFmt w:val="decimal"/>
      <w:lvlText w:val="%4."/>
      <w:lvlJc w:val="left"/>
      <w:pPr>
        <w:ind w:left="2320" w:hanging="420"/>
      </w:pPr>
    </w:lvl>
    <w:lvl w:ilvl="4" w:tentative="0">
      <w:start w:val="1"/>
      <w:numFmt w:val="lowerLetter"/>
      <w:lvlText w:val="%5)"/>
      <w:lvlJc w:val="left"/>
      <w:pPr>
        <w:ind w:left="2740" w:hanging="420"/>
      </w:pPr>
    </w:lvl>
    <w:lvl w:ilvl="5" w:tentative="0">
      <w:start w:val="1"/>
      <w:numFmt w:val="lowerRoman"/>
      <w:lvlText w:val="%6."/>
      <w:lvlJc w:val="right"/>
      <w:pPr>
        <w:ind w:left="3160" w:hanging="420"/>
      </w:pPr>
    </w:lvl>
    <w:lvl w:ilvl="6" w:tentative="0">
      <w:start w:val="1"/>
      <w:numFmt w:val="decimal"/>
      <w:lvlText w:val="%7."/>
      <w:lvlJc w:val="left"/>
      <w:pPr>
        <w:ind w:left="3580" w:hanging="420"/>
      </w:pPr>
    </w:lvl>
    <w:lvl w:ilvl="7" w:tentative="0">
      <w:start w:val="1"/>
      <w:numFmt w:val="lowerLetter"/>
      <w:lvlText w:val="%8)"/>
      <w:lvlJc w:val="left"/>
      <w:pPr>
        <w:ind w:left="4000" w:hanging="420"/>
      </w:pPr>
    </w:lvl>
    <w:lvl w:ilvl="8" w:tentative="0">
      <w:start w:val="1"/>
      <w:numFmt w:val="lowerRoman"/>
      <w:lvlText w:val="%9."/>
      <w:lvlJc w:val="right"/>
      <w:pPr>
        <w:ind w:left="4420" w:hanging="420"/>
      </w:pPr>
    </w:lvl>
  </w:abstractNum>
  <w:abstractNum w:abstractNumId="4">
    <w:nsid w:val="17F426B7"/>
    <w:multiLevelType w:val="multilevel"/>
    <w:tmpl w:val="17F426B7"/>
    <w:lvl w:ilvl="0" w:tentative="0">
      <w:start w:val="10"/>
      <w:numFmt w:val="japaneseCounting"/>
      <w:lvlText w:val="%1、"/>
      <w:lvlJc w:val="left"/>
      <w:pPr>
        <w:ind w:left="1429" w:hanging="720"/>
      </w:pPr>
      <w:rPr>
        <w:rFonts w:hint="default"/>
      </w:rPr>
    </w:lvl>
    <w:lvl w:ilvl="1" w:tentative="0">
      <w:start w:val="1"/>
      <w:numFmt w:val="lowerLetter"/>
      <w:lvlText w:val="%2)"/>
      <w:lvlJc w:val="left"/>
      <w:pPr>
        <w:ind w:left="1549" w:hanging="420"/>
      </w:pPr>
    </w:lvl>
    <w:lvl w:ilvl="2" w:tentative="0">
      <w:start w:val="1"/>
      <w:numFmt w:val="lowerRoman"/>
      <w:lvlText w:val="%3."/>
      <w:lvlJc w:val="right"/>
      <w:pPr>
        <w:ind w:left="1969" w:hanging="420"/>
      </w:pPr>
    </w:lvl>
    <w:lvl w:ilvl="3" w:tentative="0">
      <w:start w:val="1"/>
      <w:numFmt w:val="decimal"/>
      <w:lvlText w:val="%4."/>
      <w:lvlJc w:val="left"/>
      <w:pPr>
        <w:ind w:left="2389" w:hanging="420"/>
      </w:pPr>
    </w:lvl>
    <w:lvl w:ilvl="4" w:tentative="0">
      <w:start w:val="1"/>
      <w:numFmt w:val="lowerLetter"/>
      <w:lvlText w:val="%5)"/>
      <w:lvlJc w:val="left"/>
      <w:pPr>
        <w:ind w:left="2809" w:hanging="420"/>
      </w:pPr>
    </w:lvl>
    <w:lvl w:ilvl="5" w:tentative="0">
      <w:start w:val="1"/>
      <w:numFmt w:val="lowerRoman"/>
      <w:lvlText w:val="%6."/>
      <w:lvlJc w:val="right"/>
      <w:pPr>
        <w:ind w:left="3229" w:hanging="420"/>
      </w:pPr>
    </w:lvl>
    <w:lvl w:ilvl="6" w:tentative="0">
      <w:start w:val="1"/>
      <w:numFmt w:val="decimal"/>
      <w:lvlText w:val="%7."/>
      <w:lvlJc w:val="left"/>
      <w:pPr>
        <w:ind w:left="3649" w:hanging="420"/>
      </w:pPr>
    </w:lvl>
    <w:lvl w:ilvl="7" w:tentative="0">
      <w:start w:val="1"/>
      <w:numFmt w:val="lowerLetter"/>
      <w:lvlText w:val="%8)"/>
      <w:lvlJc w:val="left"/>
      <w:pPr>
        <w:ind w:left="4069" w:hanging="420"/>
      </w:pPr>
    </w:lvl>
    <w:lvl w:ilvl="8" w:tentative="0">
      <w:start w:val="1"/>
      <w:numFmt w:val="lowerRoman"/>
      <w:lvlText w:val="%9."/>
      <w:lvlJc w:val="right"/>
      <w:pPr>
        <w:ind w:left="4489" w:hanging="420"/>
      </w:pPr>
    </w:lvl>
  </w:abstractNum>
  <w:abstractNum w:abstractNumId="5">
    <w:nsid w:val="432CC15A"/>
    <w:multiLevelType w:val="multilevel"/>
    <w:tmpl w:val="432CC15A"/>
    <w:lvl w:ilvl="0" w:tentative="0">
      <w:start w:val="2"/>
      <w:numFmt w:val="chineseCounting"/>
      <w:suff w:val="nothing"/>
      <w:lvlText w:val="（%1）"/>
      <w:lvlJc w:val="left"/>
      <w:pPr>
        <w:ind w:left="0" w:firstLine="0"/>
      </w:pPr>
      <w:rPr>
        <w:rFonts w:hint="eastAsia" w:ascii="宋体" w:hAnsi="宋体" w:eastAsia="宋体"/>
        <w:u w:val="none"/>
      </w:rPr>
    </w:lvl>
    <w:lvl w:ilvl="1" w:tentative="0">
      <w:start w:val="1"/>
      <w:numFmt w:val="decimal"/>
      <w:lvlText w:val="%2."/>
      <w:lvlJc w:val="left"/>
      <w:pPr>
        <w:tabs>
          <w:tab w:val="left" w:pos="1440"/>
        </w:tabs>
        <w:ind w:left="1440" w:hanging="360"/>
      </w:pPr>
      <w:rPr>
        <w:rFonts w:hint="default"/>
        <w:u w:val="none"/>
      </w:rPr>
    </w:lvl>
    <w:lvl w:ilvl="2" w:tentative="0">
      <w:start w:val="1"/>
      <w:numFmt w:val="decimal"/>
      <w:lvlText w:val="%3."/>
      <w:lvlJc w:val="left"/>
      <w:pPr>
        <w:tabs>
          <w:tab w:val="left" w:pos="2160"/>
        </w:tabs>
        <w:ind w:left="2160" w:hanging="360"/>
      </w:pPr>
      <w:rPr>
        <w:rFonts w:hint="default"/>
        <w:u w:val="none"/>
      </w:rPr>
    </w:lvl>
    <w:lvl w:ilvl="3" w:tentative="0">
      <w:start w:val="1"/>
      <w:numFmt w:val="decimal"/>
      <w:lvlText w:val="%4."/>
      <w:lvlJc w:val="left"/>
      <w:pPr>
        <w:tabs>
          <w:tab w:val="left" w:pos="2880"/>
        </w:tabs>
        <w:ind w:left="2880" w:hanging="360"/>
      </w:pPr>
      <w:rPr>
        <w:rFonts w:hint="default"/>
        <w:u w:val="none"/>
      </w:rPr>
    </w:lvl>
    <w:lvl w:ilvl="4" w:tentative="0">
      <w:start w:val="1"/>
      <w:numFmt w:val="decimal"/>
      <w:lvlText w:val="%5."/>
      <w:lvlJc w:val="left"/>
      <w:pPr>
        <w:tabs>
          <w:tab w:val="left" w:pos="3600"/>
        </w:tabs>
        <w:ind w:left="3600" w:hanging="360"/>
      </w:pPr>
      <w:rPr>
        <w:rFonts w:hint="default"/>
        <w:u w:val="none"/>
      </w:rPr>
    </w:lvl>
    <w:lvl w:ilvl="5" w:tentative="0">
      <w:start w:val="1"/>
      <w:numFmt w:val="decimal"/>
      <w:lvlText w:val="%6."/>
      <w:lvlJc w:val="left"/>
      <w:pPr>
        <w:tabs>
          <w:tab w:val="left" w:pos="4320"/>
        </w:tabs>
        <w:ind w:left="4320" w:hanging="360"/>
      </w:pPr>
      <w:rPr>
        <w:rFonts w:hint="default"/>
        <w:u w:val="none"/>
      </w:rPr>
    </w:lvl>
    <w:lvl w:ilvl="6" w:tentative="0">
      <w:start w:val="1"/>
      <w:numFmt w:val="decimal"/>
      <w:lvlText w:val="%7."/>
      <w:lvlJc w:val="left"/>
      <w:pPr>
        <w:tabs>
          <w:tab w:val="left" w:pos="5040"/>
        </w:tabs>
        <w:ind w:left="5040" w:hanging="360"/>
      </w:pPr>
      <w:rPr>
        <w:rFonts w:hint="default"/>
        <w:u w:val="none"/>
      </w:rPr>
    </w:lvl>
    <w:lvl w:ilvl="7" w:tentative="0">
      <w:start w:val="1"/>
      <w:numFmt w:val="decimal"/>
      <w:lvlText w:val="%8."/>
      <w:lvlJc w:val="left"/>
      <w:pPr>
        <w:tabs>
          <w:tab w:val="left" w:pos="5760"/>
        </w:tabs>
        <w:ind w:left="5760" w:hanging="360"/>
      </w:pPr>
      <w:rPr>
        <w:rFonts w:hint="default"/>
        <w:u w:val="none"/>
      </w:rPr>
    </w:lvl>
    <w:lvl w:ilvl="8" w:tentative="0">
      <w:start w:val="1"/>
      <w:numFmt w:val="decimal"/>
      <w:lvlText w:val="%9."/>
      <w:lvlJc w:val="left"/>
      <w:pPr>
        <w:tabs>
          <w:tab w:val="left" w:pos="6480"/>
        </w:tabs>
        <w:ind w:left="6480" w:hanging="360"/>
      </w:pPr>
      <w:rPr>
        <w:rFonts w:hint="default"/>
        <w:u w:val="none"/>
      </w:rPr>
    </w:lvl>
  </w:abstractNum>
  <w:abstractNum w:abstractNumId="6">
    <w:nsid w:val="7E232E4F"/>
    <w:multiLevelType w:val="multilevel"/>
    <w:tmpl w:val="7E232E4F"/>
    <w:lvl w:ilvl="0" w:tentative="0">
      <w:start w:val="3"/>
      <w:numFmt w:val="chineseCounting"/>
      <w:suff w:val="nothing"/>
      <w:lvlText w:val="（%1）"/>
      <w:lvlJc w:val="left"/>
      <w:pPr>
        <w:ind w:left="0" w:firstLine="0"/>
      </w:pPr>
      <w:rPr>
        <w:rFonts w:hint="eastAsia" w:ascii="宋体" w:hAnsi="宋体" w:eastAsia="宋体"/>
        <w:u w:val="none"/>
      </w:rPr>
    </w:lvl>
    <w:lvl w:ilvl="1" w:tentative="0">
      <w:start w:val="1"/>
      <w:numFmt w:val="decimal"/>
      <w:lvlText w:val="%2."/>
      <w:lvlJc w:val="left"/>
      <w:pPr>
        <w:tabs>
          <w:tab w:val="left" w:pos="1440"/>
        </w:tabs>
        <w:ind w:left="1440" w:hanging="360"/>
      </w:pPr>
      <w:rPr>
        <w:rFonts w:hint="default"/>
        <w:u w:val="none"/>
      </w:rPr>
    </w:lvl>
    <w:lvl w:ilvl="2" w:tentative="0">
      <w:start w:val="1"/>
      <w:numFmt w:val="decimal"/>
      <w:lvlText w:val="%3."/>
      <w:lvlJc w:val="left"/>
      <w:pPr>
        <w:tabs>
          <w:tab w:val="left" w:pos="2160"/>
        </w:tabs>
        <w:ind w:left="2160" w:hanging="360"/>
      </w:pPr>
      <w:rPr>
        <w:rFonts w:hint="default"/>
        <w:u w:val="none"/>
      </w:rPr>
    </w:lvl>
    <w:lvl w:ilvl="3" w:tentative="0">
      <w:start w:val="1"/>
      <w:numFmt w:val="decimal"/>
      <w:lvlText w:val="%4."/>
      <w:lvlJc w:val="left"/>
      <w:pPr>
        <w:tabs>
          <w:tab w:val="left" w:pos="2880"/>
        </w:tabs>
        <w:ind w:left="2880" w:hanging="360"/>
      </w:pPr>
      <w:rPr>
        <w:rFonts w:hint="default"/>
        <w:u w:val="none"/>
      </w:rPr>
    </w:lvl>
    <w:lvl w:ilvl="4" w:tentative="0">
      <w:start w:val="1"/>
      <w:numFmt w:val="decimal"/>
      <w:lvlText w:val="%5."/>
      <w:lvlJc w:val="left"/>
      <w:pPr>
        <w:tabs>
          <w:tab w:val="left" w:pos="3600"/>
        </w:tabs>
        <w:ind w:left="3600" w:hanging="360"/>
      </w:pPr>
      <w:rPr>
        <w:rFonts w:hint="default"/>
        <w:u w:val="none"/>
      </w:rPr>
    </w:lvl>
    <w:lvl w:ilvl="5" w:tentative="0">
      <w:start w:val="1"/>
      <w:numFmt w:val="decimal"/>
      <w:lvlText w:val="%6."/>
      <w:lvlJc w:val="left"/>
      <w:pPr>
        <w:tabs>
          <w:tab w:val="left" w:pos="4320"/>
        </w:tabs>
        <w:ind w:left="4320" w:hanging="360"/>
      </w:pPr>
      <w:rPr>
        <w:rFonts w:hint="default"/>
        <w:u w:val="none"/>
      </w:rPr>
    </w:lvl>
    <w:lvl w:ilvl="6" w:tentative="0">
      <w:start w:val="1"/>
      <w:numFmt w:val="decimal"/>
      <w:lvlText w:val="%7."/>
      <w:lvlJc w:val="left"/>
      <w:pPr>
        <w:tabs>
          <w:tab w:val="left" w:pos="5040"/>
        </w:tabs>
        <w:ind w:left="5040" w:hanging="360"/>
      </w:pPr>
      <w:rPr>
        <w:rFonts w:hint="default"/>
        <w:u w:val="none"/>
      </w:rPr>
    </w:lvl>
    <w:lvl w:ilvl="7" w:tentative="0">
      <w:start w:val="1"/>
      <w:numFmt w:val="decimal"/>
      <w:lvlText w:val="%8."/>
      <w:lvlJc w:val="left"/>
      <w:pPr>
        <w:tabs>
          <w:tab w:val="left" w:pos="5760"/>
        </w:tabs>
        <w:ind w:left="5760" w:hanging="360"/>
      </w:pPr>
      <w:rPr>
        <w:rFonts w:hint="default"/>
        <w:u w:val="none"/>
      </w:rPr>
    </w:lvl>
    <w:lvl w:ilvl="8" w:tentative="0">
      <w:start w:val="1"/>
      <w:numFmt w:val="decimal"/>
      <w:lvlText w:val="%9."/>
      <w:lvlJc w:val="left"/>
      <w:pPr>
        <w:tabs>
          <w:tab w:val="left" w:pos="6480"/>
        </w:tabs>
        <w:ind w:left="6480" w:hanging="360"/>
      </w:pPr>
      <w:rPr>
        <w:rFonts w:hint="default"/>
        <w:u w:val="none"/>
      </w:rPr>
    </w:lvl>
  </w:abstractNum>
  <w:num w:numId="1">
    <w:abstractNumId w:val="3"/>
  </w:num>
  <w:num w:numId="2">
    <w:abstractNumId w:val="0"/>
  </w:num>
  <w:num w:numId="3">
    <w:abstractNumId w:val="4"/>
  </w:num>
  <w:num w:numId="4">
    <w:abstractNumId w:val="2"/>
  </w:num>
  <w:num w:numId="5">
    <w:abstractNumId w:val="1"/>
  </w:num>
  <w:num w:numId="6">
    <w:abstractNumId w:val="6"/>
  </w:num>
  <w:num w:numId="7">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bordersDoNotSurroundHeader w:val="1"/>
  <w:bordersDoNotSurroundFooter w:val="1"/>
  <w:documentProtection w:enforcement="0"/>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2A27"/>
    <w:rsid w:val="0000541F"/>
    <w:rsid w:val="000102F8"/>
    <w:rsid w:val="000222C6"/>
    <w:rsid w:val="0002549F"/>
    <w:rsid w:val="000419F8"/>
    <w:rsid w:val="0006487A"/>
    <w:rsid w:val="00065F8F"/>
    <w:rsid w:val="000768F2"/>
    <w:rsid w:val="000822A8"/>
    <w:rsid w:val="0009184B"/>
    <w:rsid w:val="0009593C"/>
    <w:rsid w:val="000A4F7F"/>
    <w:rsid w:val="000B047F"/>
    <w:rsid w:val="000B5923"/>
    <w:rsid w:val="000B5A48"/>
    <w:rsid w:val="000B6FF3"/>
    <w:rsid w:val="000C3467"/>
    <w:rsid w:val="000C3CA6"/>
    <w:rsid w:val="000D1267"/>
    <w:rsid w:val="000D1D50"/>
    <w:rsid w:val="000D5782"/>
    <w:rsid w:val="000E0DDD"/>
    <w:rsid w:val="000E285E"/>
    <w:rsid w:val="000E6613"/>
    <w:rsid w:val="000E7119"/>
    <w:rsid w:val="00114E9B"/>
    <w:rsid w:val="00142A50"/>
    <w:rsid w:val="0014729F"/>
    <w:rsid w:val="00157BAB"/>
    <w:rsid w:val="001654D1"/>
    <w:rsid w:val="00172A27"/>
    <w:rsid w:val="0018106D"/>
    <w:rsid w:val="001877A7"/>
    <w:rsid w:val="00191536"/>
    <w:rsid w:val="00196687"/>
    <w:rsid w:val="001A05D3"/>
    <w:rsid w:val="001B09ED"/>
    <w:rsid w:val="001C0962"/>
    <w:rsid w:val="001D7531"/>
    <w:rsid w:val="001E46B3"/>
    <w:rsid w:val="001E737D"/>
    <w:rsid w:val="001F0592"/>
    <w:rsid w:val="001F7506"/>
    <w:rsid w:val="002006CD"/>
    <w:rsid w:val="00202B36"/>
    <w:rsid w:val="00204B7A"/>
    <w:rsid w:val="00210F21"/>
    <w:rsid w:val="0021101A"/>
    <w:rsid w:val="00220536"/>
    <w:rsid w:val="00235629"/>
    <w:rsid w:val="00260C38"/>
    <w:rsid w:val="002616C0"/>
    <w:rsid w:val="002662AA"/>
    <w:rsid w:val="00280496"/>
    <w:rsid w:val="002938AD"/>
    <w:rsid w:val="00295495"/>
    <w:rsid w:val="002B2613"/>
    <w:rsid w:val="002C2FE8"/>
    <w:rsid w:val="002C334D"/>
    <w:rsid w:val="002F1818"/>
    <w:rsid w:val="002F567B"/>
    <w:rsid w:val="003216A9"/>
    <w:rsid w:val="0032661B"/>
    <w:rsid w:val="0032711E"/>
    <w:rsid w:val="003463C9"/>
    <w:rsid w:val="0037013F"/>
    <w:rsid w:val="00380C92"/>
    <w:rsid w:val="003A484F"/>
    <w:rsid w:val="003B0BE0"/>
    <w:rsid w:val="003B0C1B"/>
    <w:rsid w:val="003B688C"/>
    <w:rsid w:val="003C0291"/>
    <w:rsid w:val="003C04C6"/>
    <w:rsid w:val="003C39AE"/>
    <w:rsid w:val="003C7B60"/>
    <w:rsid w:val="003D1FB2"/>
    <w:rsid w:val="003D66DA"/>
    <w:rsid w:val="003E1310"/>
    <w:rsid w:val="003E6F55"/>
    <w:rsid w:val="00406254"/>
    <w:rsid w:val="004223DE"/>
    <w:rsid w:val="00434489"/>
    <w:rsid w:val="00435EDA"/>
    <w:rsid w:val="00437085"/>
    <w:rsid w:val="00442B40"/>
    <w:rsid w:val="00443880"/>
    <w:rsid w:val="004464F4"/>
    <w:rsid w:val="004568F9"/>
    <w:rsid w:val="00470106"/>
    <w:rsid w:val="00471401"/>
    <w:rsid w:val="00473F31"/>
    <w:rsid w:val="0048263A"/>
    <w:rsid w:val="00482E8B"/>
    <w:rsid w:val="00487E5D"/>
    <w:rsid w:val="00493FE6"/>
    <w:rsid w:val="004A711F"/>
    <w:rsid w:val="004B199D"/>
    <w:rsid w:val="004B4690"/>
    <w:rsid w:val="004D26A6"/>
    <w:rsid w:val="004E0A2D"/>
    <w:rsid w:val="004E206B"/>
    <w:rsid w:val="004E5D7A"/>
    <w:rsid w:val="004E6DF7"/>
    <w:rsid w:val="004F0FBD"/>
    <w:rsid w:val="004F1B5C"/>
    <w:rsid w:val="004F54C0"/>
    <w:rsid w:val="00505A47"/>
    <w:rsid w:val="00512FDA"/>
    <w:rsid w:val="00520DA0"/>
    <w:rsid w:val="00541027"/>
    <w:rsid w:val="00542954"/>
    <w:rsid w:val="005664BB"/>
    <w:rsid w:val="00571B9E"/>
    <w:rsid w:val="0057481D"/>
    <w:rsid w:val="0058486E"/>
    <w:rsid w:val="005D1C8B"/>
    <w:rsid w:val="005D5CED"/>
    <w:rsid w:val="005F1A4C"/>
    <w:rsid w:val="00605688"/>
    <w:rsid w:val="006070AF"/>
    <w:rsid w:val="00607E6C"/>
    <w:rsid w:val="006101B1"/>
    <w:rsid w:val="00614E44"/>
    <w:rsid w:val="00622830"/>
    <w:rsid w:val="00630AEF"/>
    <w:rsid w:val="006325F8"/>
    <w:rsid w:val="00634C9A"/>
    <w:rsid w:val="006440E4"/>
    <w:rsid w:val="00646B99"/>
    <w:rsid w:val="0066343B"/>
    <w:rsid w:val="00664777"/>
    <w:rsid w:val="006748A4"/>
    <w:rsid w:val="00683E73"/>
    <w:rsid w:val="00687BAC"/>
    <w:rsid w:val="006A3141"/>
    <w:rsid w:val="006A5E34"/>
    <w:rsid w:val="006B2422"/>
    <w:rsid w:val="006B2B9A"/>
    <w:rsid w:val="006C1937"/>
    <w:rsid w:val="006C6687"/>
    <w:rsid w:val="006D22D5"/>
    <w:rsid w:val="006D5713"/>
    <w:rsid w:val="006E7516"/>
    <w:rsid w:val="006F020C"/>
    <w:rsid w:val="007127B7"/>
    <w:rsid w:val="007416B6"/>
    <w:rsid w:val="00743F3B"/>
    <w:rsid w:val="00746F48"/>
    <w:rsid w:val="0075404D"/>
    <w:rsid w:val="0075657B"/>
    <w:rsid w:val="0076182A"/>
    <w:rsid w:val="00767B7E"/>
    <w:rsid w:val="007770C3"/>
    <w:rsid w:val="00784D24"/>
    <w:rsid w:val="00785FBA"/>
    <w:rsid w:val="00786E4A"/>
    <w:rsid w:val="007875EB"/>
    <w:rsid w:val="0079426B"/>
    <w:rsid w:val="007D312A"/>
    <w:rsid w:val="007D3F19"/>
    <w:rsid w:val="007E23B0"/>
    <w:rsid w:val="007F1991"/>
    <w:rsid w:val="007F2C2F"/>
    <w:rsid w:val="007F55FC"/>
    <w:rsid w:val="007F5665"/>
    <w:rsid w:val="00800112"/>
    <w:rsid w:val="00822897"/>
    <w:rsid w:val="008253BB"/>
    <w:rsid w:val="0083706E"/>
    <w:rsid w:val="008423A5"/>
    <w:rsid w:val="00850625"/>
    <w:rsid w:val="00853718"/>
    <w:rsid w:val="00855221"/>
    <w:rsid w:val="00860645"/>
    <w:rsid w:val="00871F71"/>
    <w:rsid w:val="00885AF4"/>
    <w:rsid w:val="008939CD"/>
    <w:rsid w:val="008B768C"/>
    <w:rsid w:val="008C4DB1"/>
    <w:rsid w:val="008C4EAF"/>
    <w:rsid w:val="008C5176"/>
    <w:rsid w:val="008C7FD0"/>
    <w:rsid w:val="008D282F"/>
    <w:rsid w:val="008E1DE7"/>
    <w:rsid w:val="008E707C"/>
    <w:rsid w:val="00900B08"/>
    <w:rsid w:val="00902155"/>
    <w:rsid w:val="00902FA3"/>
    <w:rsid w:val="009159AD"/>
    <w:rsid w:val="00923564"/>
    <w:rsid w:val="0092392E"/>
    <w:rsid w:val="009315F9"/>
    <w:rsid w:val="00932038"/>
    <w:rsid w:val="00946945"/>
    <w:rsid w:val="00951248"/>
    <w:rsid w:val="0095152F"/>
    <w:rsid w:val="00954C49"/>
    <w:rsid w:val="00957B2A"/>
    <w:rsid w:val="0097099F"/>
    <w:rsid w:val="00971997"/>
    <w:rsid w:val="00971FFC"/>
    <w:rsid w:val="0098660A"/>
    <w:rsid w:val="009931C3"/>
    <w:rsid w:val="009A38D2"/>
    <w:rsid w:val="009B239D"/>
    <w:rsid w:val="009B2C43"/>
    <w:rsid w:val="009B4EAE"/>
    <w:rsid w:val="009B7573"/>
    <w:rsid w:val="009C22F4"/>
    <w:rsid w:val="009C2E98"/>
    <w:rsid w:val="009D3447"/>
    <w:rsid w:val="009D4711"/>
    <w:rsid w:val="009F1185"/>
    <w:rsid w:val="009F18CD"/>
    <w:rsid w:val="009F2A13"/>
    <w:rsid w:val="009F44F1"/>
    <w:rsid w:val="00A04EB0"/>
    <w:rsid w:val="00A13CC1"/>
    <w:rsid w:val="00A16847"/>
    <w:rsid w:val="00A237D8"/>
    <w:rsid w:val="00A268C4"/>
    <w:rsid w:val="00A3035B"/>
    <w:rsid w:val="00A307CD"/>
    <w:rsid w:val="00A40A00"/>
    <w:rsid w:val="00A4142F"/>
    <w:rsid w:val="00A51B19"/>
    <w:rsid w:val="00A52EE9"/>
    <w:rsid w:val="00A56DF2"/>
    <w:rsid w:val="00A67AB5"/>
    <w:rsid w:val="00A81151"/>
    <w:rsid w:val="00A91760"/>
    <w:rsid w:val="00A93B00"/>
    <w:rsid w:val="00A93C21"/>
    <w:rsid w:val="00A95084"/>
    <w:rsid w:val="00AC3C6A"/>
    <w:rsid w:val="00AD5620"/>
    <w:rsid w:val="00AD7C1B"/>
    <w:rsid w:val="00AE16BA"/>
    <w:rsid w:val="00AE1EBE"/>
    <w:rsid w:val="00B03C9D"/>
    <w:rsid w:val="00B060AE"/>
    <w:rsid w:val="00B10517"/>
    <w:rsid w:val="00B12476"/>
    <w:rsid w:val="00B14E76"/>
    <w:rsid w:val="00B161B8"/>
    <w:rsid w:val="00B2048C"/>
    <w:rsid w:val="00B310B9"/>
    <w:rsid w:val="00B35F3F"/>
    <w:rsid w:val="00B36CBB"/>
    <w:rsid w:val="00B425E0"/>
    <w:rsid w:val="00B440AA"/>
    <w:rsid w:val="00B44B70"/>
    <w:rsid w:val="00B53C56"/>
    <w:rsid w:val="00B66F5E"/>
    <w:rsid w:val="00B75B55"/>
    <w:rsid w:val="00B77EA6"/>
    <w:rsid w:val="00B81598"/>
    <w:rsid w:val="00B841F1"/>
    <w:rsid w:val="00B86849"/>
    <w:rsid w:val="00B944D6"/>
    <w:rsid w:val="00B97B02"/>
    <w:rsid w:val="00BB4DF0"/>
    <w:rsid w:val="00BC289F"/>
    <w:rsid w:val="00BC5361"/>
    <w:rsid w:val="00BC5460"/>
    <w:rsid w:val="00BC6B50"/>
    <w:rsid w:val="00BD0E25"/>
    <w:rsid w:val="00BD5581"/>
    <w:rsid w:val="00BF5BD6"/>
    <w:rsid w:val="00C03E31"/>
    <w:rsid w:val="00C15BD1"/>
    <w:rsid w:val="00C328BF"/>
    <w:rsid w:val="00C33E72"/>
    <w:rsid w:val="00C354B2"/>
    <w:rsid w:val="00C35554"/>
    <w:rsid w:val="00C42709"/>
    <w:rsid w:val="00C533CC"/>
    <w:rsid w:val="00C5751C"/>
    <w:rsid w:val="00C61BFC"/>
    <w:rsid w:val="00C62B85"/>
    <w:rsid w:val="00C65438"/>
    <w:rsid w:val="00C70456"/>
    <w:rsid w:val="00C74056"/>
    <w:rsid w:val="00C91CBB"/>
    <w:rsid w:val="00CC09B6"/>
    <w:rsid w:val="00CC666F"/>
    <w:rsid w:val="00CD1E3F"/>
    <w:rsid w:val="00CE44F6"/>
    <w:rsid w:val="00CE49DA"/>
    <w:rsid w:val="00CE7B61"/>
    <w:rsid w:val="00D00095"/>
    <w:rsid w:val="00D01E73"/>
    <w:rsid w:val="00D05AE6"/>
    <w:rsid w:val="00D20620"/>
    <w:rsid w:val="00D24AA8"/>
    <w:rsid w:val="00D26091"/>
    <w:rsid w:val="00D33E2E"/>
    <w:rsid w:val="00D34E7C"/>
    <w:rsid w:val="00D35489"/>
    <w:rsid w:val="00D51276"/>
    <w:rsid w:val="00D7035F"/>
    <w:rsid w:val="00D92D2D"/>
    <w:rsid w:val="00DA65AC"/>
    <w:rsid w:val="00DA695F"/>
    <w:rsid w:val="00DB1913"/>
    <w:rsid w:val="00DC410D"/>
    <w:rsid w:val="00DC68CA"/>
    <w:rsid w:val="00DC7CBA"/>
    <w:rsid w:val="00DD73B7"/>
    <w:rsid w:val="00DF28BC"/>
    <w:rsid w:val="00DF34B9"/>
    <w:rsid w:val="00E01053"/>
    <w:rsid w:val="00E07ACF"/>
    <w:rsid w:val="00E16691"/>
    <w:rsid w:val="00E331A1"/>
    <w:rsid w:val="00E33202"/>
    <w:rsid w:val="00E336A9"/>
    <w:rsid w:val="00E4106E"/>
    <w:rsid w:val="00E50624"/>
    <w:rsid w:val="00E568DF"/>
    <w:rsid w:val="00E64269"/>
    <w:rsid w:val="00E82267"/>
    <w:rsid w:val="00EA010F"/>
    <w:rsid w:val="00EC015D"/>
    <w:rsid w:val="00ED1B63"/>
    <w:rsid w:val="00ED3C1F"/>
    <w:rsid w:val="00ED4085"/>
    <w:rsid w:val="00ED420E"/>
    <w:rsid w:val="00EE2256"/>
    <w:rsid w:val="00EE2F57"/>
    <w:rsid w:val="00EF4C34"/>
    <w:rsid w:val="00EF77C6"/>
    <w:rsid w:val="00F05438"/>
    <w:rsid w:val="00F07F55"/>
    <w:rsid w:val="00F1361C"/>
    <w:rsid w:val="00F160C7"/>
    <w:rsid w:val="00F36D8F"/>
    <w:rsid w:val="00F417B1"/>
    <w:rsid w:val="00F602DF"/>
    <w:rsid w:val="00F62F6C"/>
    <w:rsid w:val="00F81FD9"/>
    <w:rsid w:val="00F841AA"/>
    <w:rsid w:val="00F953C9"/>
    <w:rsid w:val="00F97B85"/>
    <w:rsid w:val="00FA23E8"/>
    <w:rsid w:val="00FD3CC1"/>
    <w:rsid w:val="00FF1E02"/>
    <w:rsid w:val="00FF30B4"/>
    <w:rsid w:val="022D4CCF"/>
    <w:rsid w:val="02C94439"/>
    <w:rsid w:val="0452411D"/>
    <w:rsid w:val="065943B4"/>
    <w:rsid w:val="0A712EBF"/>
    <w:rsid w:val="0B277C82"/>
    <w:rsid w:val="0BDC149E"/>
    <w:rsid w:val="0E9C751F"/>
    <w:rsid w:val="10C055FF"/>
    <w:rsid w:val="11C3402F"/>
    <w:rsid w:val="12CC240B"/>
    <w:rsid w:val="12D95627"/>
    <w:rsid w:val="14283DA7"/>
    <w:rsid w:val="14CA33DF"/>
    <w:rsid w:val="15A80AE1"/>
    <w:rsid w:val="16BB723D"/>
    <w:rsid w:val="170945B4"/>
    <w:rsid w:val="17B21212"/>
    <w:rsid w:val="18B044DE"/>
    <w:rsid w:val="1A4B33EF"/>
    <w:rsid w:val="1D5175F8"/>
    <w:rsid w:val="1E024C92"/>
    <w:rsid w:val="1E323A6C"/>
    <w:rsid w:val="22B30808"/>
    <w:rsid w:val="23DA589E"/>
    <w:rsid w:val="240371BF"/>
    <w:rsid w:val="26B1451F"/>
    <w:rsid w:val="29FD04D3"/>
    <w:rsid w:val="2BB84EFA"/>
    <w:rsid w:val="2E5046C3"/>
    <w:rsid w:val="2E5C6153"/>
    <w:rsid w:val="2EF7273D"/>
    <w:rsid w:val="2F074A0F"/>
    <w:rsid w:val="2FD62B32"/>
    <w:rsid w:val="319F7F4E"/>
    <w:rsid w:val="358F1674"/>
    <w:rsid w:val="35D3386A"/>
    <w:rsid w:val="37670701"/>
    <w:rsid w:val="37BF5420"/>
    <w:rsid w:val="37CB23E0"/>
    <w:rsid w:val="39380AE9"/>
    <w:rsid w:val="3AF65FB4"/>
    <w:rsid w:val="3B706C05"/>
    <w:rsid w:val="42B33B74"/>
    <w:rsid w:val="45C66796"/>
    <w:rsid w:val="45E13C37"/>
    <w:rsid w:val="48B978A4"/>
    <w:rsid w:val="4B4D378A"/>
    <w:rsid w:val="528933B9"/>
    <w:rsid w:val="52FF0FE4"/>
    <w:rsid w:val="535834F2"/>
    <w:rsid w:val="553E67DA"/>
    <w:rsid w:val="58784ECE"/>
    <w:rsid w:val="58E20731"/>
    <w:rsid w:val="59D143BD"/>
    <w:rsid w:val="5A080501"/>
    <w:rsid w:val="5A725EB3"/>
    <w:rsid w:val="5D3F6CA5"/>
    <w:rsid w:val="5D9A2346"/>
    <w:rsid w:val="5DF55C20"/>
    <w:rsid w:val="5EC70A92"/>
    <w:rsid w:val="62735CB9"/>
    <w:rsid w:val="6434773B"/>
    <w:rsid w:val="64666B6D"/>
    <w:rsid w:val="648F25FE"/>
    <w:rsid w:val="67C317F4"/>
    <w:rsid w:val="69BE0233"/>
    <w:rsid w:val="6C823246"/>
    <w:rsid w:val="6DDB6CBB"/>
    <w:rsid w:val="713B2351"/>
    <w:rsid w:val="71FE0965"/>
    <w:rsid w:val="730B2E9D"/>
    <w:rsid w:val="75672907"/>
    <w:rsid w:val="75716D96"/>
    <w:rsid w:val="75F95017"/>
    <w:rsid w:val="78B118E3"/>
    <w:rsid w:val="794A397A"/>
    <w:rsid w:val="799C5EC3"/>
    <w:rsid w:val="7A081754"/>
  </w:rsids>
  <m:mathPr>
    <m:mathFont m:val="Cambria Math"/>
    <m:brkBin m:val="before"/>
    <m:brkBinSub m:val="--"/>
    <m:smallFrac m:val="1"/>
    <m:dispDef/>
    <m:lMargin m:val="0"/>
    <m:rMargin m:val="0"/>
    <m:defJc m:val="centerGroup"/>
    <m:wrapIndent m:val="1440"/>
    <m:intLim m:val="subSup"/>
    <m:naryLim m:val="undOvr"/>
  </m:mathPr>
  <w:doNotAutoCompressPictures/>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semiHidden="0"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qFormat="1" w:uiPriority="39" w:semiHidden="0" w:name="toc 1"/>
    <w:lsdException w:qFormat="1" w:uiPriority="39" w:semiHidden="0" w:name="toc 2"/>
    <w:lsdException w:qFormat="1" w:uiPriority="39" w:semiHidden="0"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nhideWhenUsed="0" w:uiPriority="99" w:name="header"/>
    <w:lsdException w:qFormat="1" w:unhideWhenUsed="0" w:uiPriority="0"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qFormat="1" w:unhideWhenUsed="0" w:uiPriority="0"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qFormat="1"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qFormat="1" w:unhideWhenUsed="0" w:uiPriority="0" w:semiHidden="0"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99" w:semiHidden="0" w:name="Strong"/>
    <w:lsdException w:qFormat="1" w:unhideWhenUsed="0" w:uiPriority="20" w:semiHidden="0" w:name="Emphasis"/>
    <w:lsdException w:uiPriority="99" w:name="Document Map"/>
    <w:lsdException w:uiPriority="99" w:name="Plain Text"/>
    <w:lsdException w:uiPriority="99" w:name="E-mail Signature"/>
    <w:lsdException w:qFormat="1" w:unhideWhenUsed="0" w:uiPriority="0"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uiPriority="59"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imes New Roman" w:hAnsi="Times New Roman" w:eastAsia="宋体" w:cs="Times New Roman"/>
      <w:kern w:val="2"/>
      <w:sz w:val="21"/>
      <w:szCs w:val="24"/>
      <w:lang w:val="en-US" w:eastAsia="zh-CN" w:bidi="ar-SA"/>
    </w:rPr>
  </w:style>
  <w:style w:type="paragraph" w:styleId="4">
    <w:name w:val="heading 1"/>
    <w:basedOn w:val="1"/>
    <w:next w:val="1"/>
    <w:link w:val="28"/>
    <w:qFormat/>
    <w:uiPriority w:val="9"/>
    <w:pPr>
      <w:keepNext/>
      <w:keepLines/>
      <w:spacing w:before="340" w:after="330" w:line="578" w:lineRule="auto"/>
      <w:outlineLvl w:val="0"/>
    </w:pPr>
    <w:rPr>
      <w:b/>
      <w:bCs/>
      <w:kern w:val="44"/>
      <w:sz w:val="44"/>
      <w:szCs w:val="44"/>
    </w:rPr>
  </w:style>
  <w:style w:type="paragraph" w:styleId="5">
    <w:name w:val="heading 2"/>
    <w:basedOn w:val="1"/>
    <w:next w:val="1"/>
    <w:link w:val="29"/>
    <w:unhideWhenUsed/>
    <w:qFormat/>
    <w:uiPriority w:val="9"/>
    <w:pPr>
      <w:keepNext/>
      <w:keepLines/>
      <w:spacing w:before="260" w:after="260" w:line="416" w:lineRule="auto"/>
      <w:outlineLvl w:val="1"/>
    </w:pPr>
    <w:rPr>
      <w:rFonts w:asciiTheme="majorHAnsi" w:hAnsiTheme="majorHAnsi" w:eastAsiaTheme="majorEastAsia" w:cstheme="majorBidi"/>
      <w:b/>
      <w:bCs/>
      <w:sz w:val="32"/>
      <w:szCs w:val="32"/>
    </w:rPr>
  </w:style>
  <w:style w:type="paragraph" w:styleId="6">
    <w:name w:val="heading 3"/>
    <w:basedOn w:val="1"/>
    <w:next w:val="1"/>
    <w:link w:val="32"/>
    <w:unhideWhenUsed/>
    <w:qFormat/>
    <w:uiPriority w:val="9"/>
    <w:pPr>
      <w:keepNext/>
      <w:keepLines/>
      <w:spacing w:before="260" w:after="260" w:line="416" w:lineRule="auto"/>
      <w:outlineLvl w:val="2"/>
    </w:pPr>
    <w:rPr>
      <w:b/>
      <w:bCs/>
      <w:sz w:val="32"/>
      <w:szCs w:val="32"/>
    </w:rPr>
  </w:style>
  <w:style w:type="character" w:default="1" w:styleId="16">
    <w:name w:val="Default Paragraph Font"/>
    <w:semiHidden/>
    <w:unhideWhenUsed/>
    <w:qFormat/>
    <w:uiPriority w:val="1"/>
  </w:style>
  <w:style w:type="table" w:default="1" w:styleId="15">
    <w:name w:val="Normal Table"/>
    <w:semiHidden/>
    <w:unhideWhenUsed/>
    <w:uiPriority w:val="99"/>
    <w:tblPr>
      <w:tblCellMar>
        <w:top w:w="0" w:type="dxa"/>
        <w:left w:w="108" w:type="dxa"/>
        <w:bottom w:w="0" w:type="dxa"/>
        <w:right w:w="108" w:type="dxa"/>
      </w:tblCellMar>
    </w:tblPr>
  </w:style>
  <w:style w:type="paragraph" w:styleId="2">
    <w:name w:val="Body Text First Indent 2"/>
    <w:basedOn w:val="3"/>
    <w:qFormat/>
    <w:uiPriority w:val="0"/>
    <w:pPr>
      <w:ind w:firstLine="420" w:firstLineChars="200"/>
      <w:jc w:val="both"/>
    </w:pPr>
    <w:rPr>
      <w:rFonts w:ascii="Times New Roman" w:hAnsi="Times New Roman" w:eastAsia="仿宋_GB2312" w:cs="Times New Roman"/>
      <w:sz w:val="32"/>
      <w:szCs w:val="32"/>
      <w:lang w:val="en-US" w:eastAsia="zh-CN" w:bidi="ar-SA"/>
    </w:rPr>
  </w:style>
  <w:style w:type="paragraph" w:styleId="3">
    <w:name w:val="Body Text Indent"/>
    <w:basedOn w:val="1"/>
    <w:qFormat/>
    <w:uiPriority w:val="99"/>
    <w:pPr>
      <w:spacing w:after="120"/>
      <w:ind w:left="420" w:leftChars="200"/>
    </w:pPr>
  </w:style>
  <w:style w:type="paragraph" w:styleId="7">
    <w:name w:val="Body Text"/>
    <w:basedOn w:val="1"/>
    <w:link w:val="25"/>
    <w:qFormat/>
    <w:uiPriority w:val="0"/>
    <w:pPr>
      <w:spacing w:beforeLines="30"/>
    </w:pPr>
    <w:rPr>
      <w:rFonts w:ascii="仿宋_GB2312" w:eastAsia="仿宋_GB2312"/>
      <w:kern w:val="0"/>
      <w:sz w:val="30"/>
    </w:rPr>
  </w:style>
  <w:style w:type="paragraph" w:styleId="8">
    <w:name w:val="toc 3"/>
    <w:basedOn w:val="1"/>
    <w:next w:val="1"/>
    <w:unhideWhenUsed/>
    <w:qFormat/>
    <w:uiPriority w:val="39"/>
    <w:pPr>
      <w:tabs>
        <w:tab w:val="right" w:leader="dot" w:pos="8296"/>
      </w:tabs>
      <w:ind w:left="840" w:leftChars="400"/>
    </w:pPr>
  </w:style>
  <w:style w:type="paragraph" w:styleId="9">
    <w:name w:val="Balloon Text"/>
    <w:basedOn w:val="1"/>
    <w:link w:val="31"/>
    <w:semiHidden/>
    <w:unhideWhenUsed/>
    <w:qFormat/>
    <w:uiPriority w:val="99"/>
    <w:rPr>
      <w:sz w:val="18"/>
      <w:szCs w:val="18"/>
    </w:rPr>
  </w:style>
  <w:style w:type="paragraph" w:styleId="10">
    <w:name w:val="footer"/>
    <w:basedOn w:val="1"/>
    <w:link w:val="23"/>
    <w:qFormat/>
    <w:uiPriority w:val="0"/>
    <w:pPr>
      <w:tabs>
        <w:tab w:val="center" w:pos="4153"/>
        <w:tab w:val="right" w:pos="8306"/>
      </w:tabs>
      <w:snapToGrid w:val="0"/>
      <w:jc w:val="left"/>
    </w:pPr>
    <w:rPr>
      <w:rFonts w:ascii="Calibri" w:hAnsi="Calibri"/>
      <w:kern w:val="0"/>
      <w:sz w:val="18"/>
      <w:szCs w:val="18"/>
    </w:rPr>
  </w:style>
  <w:style w:type="paragraph" w:styleId="11">
    <w:name w:val="header"/>
    <w:basedOn w:val="1"/>
    <w:link w:val="21"/>
    <w:semiHidden/>
    <w:qFormat/>
    <w:uiPriority w:val="99"/>
    <w:pPr>
      <w:pBdr>
        <w:bottom w:val="single" w:color="auto" w:sz="6" w:space="1"/>
      </w:pBdr>
      <w:tabs>
        <w:tab w:val="center" w:pos="4153"/>
        <w:tab w:val="right" w:pos="8306"/>
      </w:tabs>
      <w:snapToGrid w:val="0"/>
      <w:jc w:val="center"/>
    </w:pPr>
    <w:rPr>
      <w:rFonts w:ascii="Calibri" w:hAnsi="Calibri"/>
      <w:kern w:val="0"/>
      <w:sz w:val="18"/>
      <w:szCs w:val="18"/>
    </w:rPr>
  </w:style>
  <w:style w:type="paragraph" w:styleId="12">
    <w:name w:val="toc 1"/>
    <w:basedOn w:val="1"/>
    <w:next w:val="1"/>
    <w:unhideWhenUsed/>
    <w:qFormat/>
    <w:uiPriority w:val="39"/>
    <w:pPr>
      <w:tabs>
        <w:tab w:val="right" w:leader="dot" w:pos="8296"/>
      </w:tabs>
      <w:spacing w:before="93"/>
      <w:jc w:val="center"/>
    </w:pPr>
    <w:rPr>
      <w:rFonts w:ascii="仿宋" w:hAnsi="仿宋" w:eastAsia="仿宋"/>
      <w:sz w:val="28"/>
      <w:szCs w:val="28"/>
    </w:rPr>
  </w:style>
  <w:style w:type="paragraph" w:styleId="13">
    <w:name w:val="toc 2"/>
    <w:basedOn w:val="1"/>
    <w:next w:val="1"/>
    <w:unhideWhenUsed/>
    <w:qFormat/>
    <w:uiPriority w:val="39"/>
    <w:pPr>
      <w:tabs>
        <w:tab w:val="right" w:leader="dot" w:pos="8296"/>
      </w:tabs>
      <w:ind w:left="420" w:leftChars="200"/>
    </w:pPr>
  </w:style>
  <w:style w:type="paragraph" w:styleId="14">
    <w:name w:val="Normal (Web)"/>
    <w:basedOn w:val="1"/>
    <w:qFormat/>
    <w:uiPriority w:val="0"/>
    <w:pPr>
      <w:spacing w:before="100" w:beforeAutospacing="1" w:after="100" w:afterAutospacing="1"/>
      <w:jc w:val="left"/>
    </w:pPr>
    <w:rPr>
      <w:rFonts w:ascii="Calibri" w:hAnsi="Calibri"/>
      <w:kern w:val="0"/>
      <w:sz w:val="24"/>
    </w:rPr>
  </w:style>
  <w:style w:type="character" w:styleId="17">
    <w:name w:val="Strong"/>
    <w:basedOn w:val="16"/>
    <w:qFormat/>
    <w:uiPriority w:val="99"/>
    <w:rPr>
      <w:b/>
    </w:rPr>
  </w:style>
  <w:style w:type="character" w:styleId="18">
    <w:name w:val="page number"/>
    <w:qFormat/>
    <w:uiPriority w:val="0"/>
  </w:style>
  <w:style w:type="character" w:styleId="19">
    <w:name w:val="Hyperlink"/>
    <w:basedOn w:val="16"/>
    <w:unhideWhenUsed/>
    <w:qFormat/>
    <w:uiPriority w:val="99"/>
    <w:rPr>
      <w:color w:val="0000FF" w:themeColor="hyperlink"/>
      <w:u w:val="single"/>
      <w14:textFill>
        <w14:solidFill>
          <w14:schemeClr w14:val="hlink"/>
        </w14:solidFill>
      </w14:textFill>
    </w:rPr>
  </w:style>
  <w:style w:type="character" w:customStyle="1" w:styleId="20">
    <w:name w:val="Header Char"/>
    <w:basedOn w:val="16"/>
    <w:semiHidden/>
    <w:qFormat/>
    <w:uiPriority w:val="99"/>
    <w:rPr>
      <w:rFonts w:ascii="Times New Roman" w:hAnsi="Times New Roman"/>
      <w:sz w:val="18"/>
      <w:szCs w:val="18"/>
    </w:rPr>
  </w:style>
  <w:style w:type="character" w:customStyle="1" w:styleId="21">
    <w:name w:val="页眉 Char"/>
    <w:link w:val="11"/>
    <w:semiHidden/>
    <w:qFormat/>
    <w:locked/>
    <w:uiPriority w:val="99"/>
    <w:rPr>
      <w:sz w:val="18"/>
    </w:rPr>
  </w:style>
  <w:style w:type="character" w:customStyle="1" w:styleId="22">
    <w:name w:val="Footer Char"/>
    <w:basedOn w:val="16"/>
    <w:semiHidden/>
    <w:qFormat/>
    <w:uiPriority w:val="99"/>
    <w:rPr>
      <w:rFonts w:ascii="Times New Roman" w:hAnsi="Times New Roman"/>
      <w:sz w:val="18"/>
      <w:szCs w:val="18"/>
    </w:rPr>
  </w:style>
  <w:style w:type="character" w:customStyle="1" w:styleId="23">
    <w:name w:val="页脚 Char"/>
    <w:link w:val="10"/>
    <w:qFormat/>
    <w:locked/>
    <w:uiPriority w:val="0"/>
    <w:rPr>
      <w:sz w:val="18"/>
    </w:rPr>
  </w:style>
  <w:style w:type="character" w:customStyle="1" w:styleId="24">
    <w:name w:val="Body Text Char"/>
    <w:basedOn w:val="16"/>
    <w:semiHidden/>
    <w:qFormat/>
    <w:uiPriority w:val="99"/>
    <w:rPr>
      <w:rFonts w:ascii="Times New Roman" w:hAnsi="Times New Roman"/>
      <w:szCs w:val="24"/>
    </w:rPr>
  </w:style>
  <w:style w:type="character" w:customStyle="1" w:styleId="25">
    <w:name w:val="正文文本 Char"/>
    <w:link w:val="7"/>
    <w:qFormat/>
    <w:locked/>
    <w:uiPriority w:val="99"/>
    <w:rPr>
      <w:rFonts w:ascii="仿宋_GB2312" w:hAnsi="Times New Roman" w:eastAsia="仿宋_GB2312"/>
      <w:sz w:val="24"/>
    </w:rPr>
  </w:style>
  <w:style w:type="paragraph" w:customStyle="1" w:styleId="26">
    <w:name w:val="Default"/>
    <w:qFormat/>
    <w:uiPriority w:val="99"/>
    <w:pPr>
      <w:widowControl w:val="0"/>
      <w:autoSpaceDE w:val="0"/>
      <w:autoSpaceDN w:val="0"/>
      <w:adjustRightInd w:val="0"/>
    </w:pPr>
    <w:rPr>
      <w:rFonts w:ascii="仿宋" w:hAnsi="Calibri" w:eastAsia="仿宋" w:cs="仿宋"/>
      <w:color w:val="000000"/>
      <w:sz w:val="24"/>
      <w:szCs w:val="24"/>
      <w:lang w:val="en-US" w:eastAsia="zh-CN" w:bidi="ar-SA"/>
    </w:rPr>
  </w:style>
  <w:style w:type="paragraph" w:styleId="27">
    <w:name w:val="List Paragraph"/>
    <w:basedOn w:val="1"/>
    <w:qFormat/>
    <w:uiPriority w:val="34"/>
    <w:pPr>
      <w:ind w:firstLine="420" w:firstLineChars="200"/>
    </w:pPr>
  </w:style>
  <w:style w:type="character" w:customStyle="1" w:styleId="28">
    <w:name w:val="标题 1 Char"/>
    <w:basedOn w:val="16"/>
    <w:link w:val="4"/>
    <w:qFormat/>
    <w:uiPriority w:val="9"/>
    <w:rPr>
      <w:rFonts w:ascii="Times New Roman" w:hAnsi="Times New Roman"/>
      <w:b/>
      <w:bCs/>
      <w:kern w:val="44"/>
      <w:sz w:val="44"/>
      <w:szCs w:val="44"/>
    </w:rPr>
  </w:style>
  <w:style w:type="character" w:customStyle="1" w:styleId="29">
    <w:name w:val="标题 2 Char"/>
    <w:basedOn w:val="16"/>
    <w:link w:val="5"/>
    <w:qFormat/>
    <w:uiPriority w:val="9"/>
    <w:rPr>
      <w:rFonts w:asciiTheme="majorHAnsi" w:hAnsiTheme="majorHAnsi" w:eastAsiaTheme="majorEastAsia" w:cstheme="majorBidi"/>
      <w:b/>
      <w:bCs/>
      <w:kern w:val="2"/>
      <w:sz w:val="32"/>
      <w:szCs w:val="32"/>
    </w:rPr>
  </w:style>
  <w:style w:type="paragraph" w:customStyle="1" w:styleId="30">
    <w:name w:val="TOC 标题1"/>
    <w:basedOn w:val="4"/>
    <w:next w:val="1"/>
    <w:unhideWhenUsed/>
    <w:qFormat/>
    <w:uiPriority w:val="39"/>
    <w:pPr>
      <w:widowControl/>
      <w:spacing w:before="480" w:after="0" w:line="276" w:lineRule="auto"/>
      <w:jc w:val="left"/>
      <w:outlineLvl w:val="9"/>
    </w:pPr>
    <w:rPr>
      <w:rFonts w:asciiTheme="majorHAnsi" w:hAnsiTheme="majorHAnsi" w:eastAsiaTheme="majorEastAsia" w:cstheme="majorBidi"/>
      <w:color w:val="376092" w:themeColor="accent1" w:themeShade="BF"/>
      <w:kern w:val="0"/>
      <w:sz w:val="28"/>
      <w:szCs w:val="28"/>
    </w:rPr>
  </w:style>
  <w:style w:type="character" w:customStyle="1" w:styleId="31">
    <w:name w:val="批注框文本 Char"/>
    <w:basedOn w:val="16"/>
    <w:link w:val="9"/>
    <w:semiHidden/>
    <w:qFormat/>
    <w:uiPriority w:val="99"/>
    <w:rPr>
      <w:rFonts w:ascii="Times New Roman" w:hAnsi="Times New Roman"/>
      <w:kern w:val="2"/>
      <w:sz w:val="18"/>
      <w:szCs w:val="18"/>
    </w:rPr>
  </w:style>
  <w:style w:type="character" w:customStyle="1" w:styleId="32">
    <w:name w:val="标题 3 Char"/>
    <w:basedOn w:val="16"/>
    <w:link w:val="6"/>
    <w:qFormat/>
    <w:uiPriority w:val="9"/>
    <w:rPr>
      <w:rFonts w:ascii="Times New Roman" w:hAnsi="Times New Roman"/>
      <w:b/>
      <w:bCs/>
      <w:kern w:val="2"/>
      <w:sz w:val="32"/>
      <w:szCs w:val="32"/>
    </w:rPr>
  </w:style>
  <w:style w:type="character" w:customStyle="1" w:styleId="33">
    <w:name w:val="正文文本 Char1"/>
    <w:basedOn w:val="16"/>
    <w:qFormat/>
    <w:uiPriority w:val="0"/>
    <w:rPr>
      <w:rFonts w:ascii="仿宋_GB2312" w:eastAsia="仿宋_GB2312"/>
      <w:sz w:val="30"/>
      <w:szCs w:val="24"/>
    </w:rPr>
  </w:style>
</w:styles>
</file>

<file path=word/_rels/document.xml.rels><?xml version="1.0" encoding="UTF-8" standalone="yes"?>
<Relationships xmlns="http://schemas.openxmlformats.org/package/2006/relationships"><Relationship Id="rId9" Type="http://schemas.openxmlformats.org/officeDocument/2006/relationships/fontTable" Target="fontTable.xml"/><Relationship Id="rId8" Type="http://schemas.openxmlformats.org/officeDocument/2006/relationships/customXml" Target="../customXml/item2.xml"/><Relationship Id="rId7" Type="http://schemas.openxmlformats.org/officeDocument/2006/relationships/numbering" Target="numbering.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1.xml"/><Relationship Id="rId3" Type="http://schemas.openxmlformats.org/officeDocument/2006/relationships/header" Target="head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ops>
</s:customData>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179D9AC5-B01F-42C8-B18E-9E20A751AFDD}">
  <ds:schemaRefs/>
</ds:datastoreItem>
</file>

<file path=docProps/app.xml><?xml version="1.0" encoding="utf-8"?>
<Properties xmlns="http://schemas.openxmlformats.org/officeDocument/2006/extended-properties" xmlns:vt="http://schemas.openxmlformats.org/officeDocument/2006/docPropsVTypes">
  <Template>Normal.dotm</Template>
  <Company>四川省财政厅</Company>
  <Pages>18</Pages>
  <Words>1324</Words>
  <Characters>7548</Characters>
  <Lines>62</Lines>
  <Paragraphs>17</Paragraphs>
  <TotalTime>2</TotalTime>
  <ScaleCrop>false</ScaleCrop>
  <LinksUpToDate>false</LinksUpToDate>
  <CharactersWithSpaces>8855</CharactersWithSpaces>
  <Application>WPS Office_11.1.0.10700_F1E327BC-269C-435d-A152-05C5408002CA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2019-09-24T01:24:00Z</dcterms:created>
  <dc:creator>张彬茜</dc:creator>
  <cp:lastModifiedBy>杨诗莹</cp:lastModifiedBy>
  <cp:lastPrinted>2021-09-15T01:45:32Z</cp:lastPrinted>
  <dcterms:modified xsi:type="dcterms:W3CDTF">2021-09-15T01:47:08Z</dcterms:modified>
  <dc:title>四川省***</dc:title>
  <cp:revision>50</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2052-11.1.0.10700</vt:lpwstr>
  </property>
  <property fmtid="{D5CDD505-2E9C-101B-9397-08002B2CF9AE}" pid="3" name="ICV">
    <vt:lpwstr>D13CF1319458429B9200C41B685DB5F0</vt:lpwstr>
  </property>
</Properties>
</file>