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96597"/>
      <w:bookmarkStart w:id="3" w:name="_Toc15378441"/>
      <w:bookmarkStart w:id="4" w:name="_Toc15377425"/>
      <w:bookmarkStart w:id="5" w:name="_Toc15396475"/>
      <w:bookmarkStart w:id="6" w:name="_Toc28590"/>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15377194"/>
      <w:bookmarkStart w:id="8" w:name="_Toc15377426"/>
      <w:bookmarkStart w:id="9" w:name="_Toc15396598"/>
      <w:bookmarkStart w:id="10" w:name="_Toc15396476"/>
      <w:bookmarkStart w:id="11" w:name="_Toc15378442"/>
      <w:bookmarkStart w:id="12" w:name="_Toc1431"/>
      <w:r>
        <w:rPr>
          <w:rFonts w:hint="eastAsia" w:ascii="方正小标宋简体" w:hAnsi="宋体" w:eastAsia="方正小标宋简体"/>
          <w:color w:val="000000"/>
          <w:sz w:val="72"/>
          <w:szCs w:val="72"/>
        </w:rPr>
        <w:t>四川省</w:t>
      </w:r>
      <w:bookmarkEnd w:id="0"/>
      <w:bookmarkStart w:id="13" w:name="_Toc15306268"/>
      <w:r>
        <w:rPr>
          <w:rFonts w:hint="eastAsia" w:ascii="方正小标宋简体" w:hAnsi="宋体" w:eastAsia="方正小标宋简体"/>
          <w:color w:val="000000"/>
          <w:sz w:val="72"/>
          <w:szCs w:val="72"/>
          <w:lang w:eastAsia="zh-CN"/>
        </w:rPr>
        <w:t>九寨沟县气象防灾减灾中心</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pStyle w:val="10"/>
        <w:tabs>
          <w:tab w:val="right" w:leader="dot" w:pos="8306"/>
          <w:tab w:val="clear" w:pos="8296"/>
        </w:tabs>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_Toc7442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第一部分 </w:t>
      </w:r>
      <w:r>
        <w:rPr>
          <w:rFonts w:hint="eastAsia" w:ascii="仿宋_GB2312" w:hAnsi="仿宋_GB2312" w:eastAsia="仿宋_GB2312" w:cs="仿宋_GB2312"/>
          <w:bCs w:val="0"/>
          <w:sz w:val="32"/>
          <w:szCs w:val="32"/>
        </w:rPr>
        <w:t>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_Toc7442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_Toc17003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一、基</w:t>
      </w:r>
      <w:r>
        <w:rPr>
          <w:rFonts w:hint="eastAsia" w:ascii="仿宋_GB2312" w:hAnsi="仿宋_GB2312" w:eastAsia="仿宋_GB2312" w:cs="仿宋_GB2312"/>
          <w:bCs w:val="0"/>
          <w:sz w:val="32"/>
          <w:szCs w:val="32"/>
        </w:rPr>
        <w:t>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_Toc17003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_Toc26800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二、机</w:t>
      </w:r>
      <w:r>
        <w:rPr>
          <w:rFonts w:hint="eastAsia" w:ascii="仿宋_GB2312" w:hAnsi="仿宋_GB2312" w:eastAsia="仿宋_GB2312" w:cs="仿宋_GB2312"/>
          <w:bCs w:val="0"/>
          <w:sz w:val="32"/>
          <w:szCs w:val="32"/>
        </w:rPr>
        <w:t>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_Toc26800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_Toc26081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第二部分 </w:t>
      </w:r>
      <w:r>
        <w:rPr>
          <w:rFonts w:hint="eastAsia" w:ascii="仿宋_GB2312" w:hAnsi="仿宋_GB2312" w:eastAsia="仿宋_GB2312" w:cs="仿宋_GB2312"/>
          <w:bCs w:val="0"/>
          <w:sz w:val="32"/>
          <w:szCs w:val="32"/>
        </w:rPr>
        <w:t>2018年度部门决算情况说明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_Toc26081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_Toc17790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一、 </w:t>
      </w:r>
      <w:r>
        <w:rPr>
          <w:rFonts w:hint="eastAsia" w:ascii="仿宋_GB2312" w:hAnsi="仿宋_GB2312" w:eastAsia="仿宋_GB2312" w:cs="仿宋_GB2312"/>
          <w:sz w:val="32"/>
          <w:szCs w:val="32"/>
        </w:rPr>
        <w:t>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_Toc17790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_Toc27528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二、 </w:t>
      </w:r>
      <w:r>
        <w:rPr>
          <w:rFonts w:hint="eastAsia" w:ascii="仿宋_GB2312" w:hAnsi="仿宋_GB2312" w:eastAsia="仿宋_GB2312" w:cs="仿宋_GB2312"/>
          <w:sz w:val="32"/>
          <w:szCs w:val="32"/>
        </w:rPr>
        <w:t>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_Toc27528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_Toc4966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三、 </w:t>
      </w:r>
      <w:r>
        <w:rPr>
          <w:rFonts w:hint="eastAsia" w:ascii="仿宋_GB2312" w:hAnsi="仿宋_GB2312" w:eastAsia="仿宋_GB2312" w:cs="仿宋_GB2312"/>
          <w:sz w:val="32"/>
          <w:szCs w:val="32"/>
        </w:rPr>
        <w:t>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_Toc4966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_Toc10887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_Toc10887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_Toc26086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_Toc26086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_Toc18739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_Toc18739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_Toc22528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_Toc22528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_Toc22189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_Toc22189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_Toc6616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九、 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_Toc6616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_Toc4471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 预算绩效情况说明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_Toc4471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_Toc11048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_Toc11048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_Toc20631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_Toc20631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_Toc27700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一、收</w:t>
      </w:r>
      <w:r>
        <w:rPr>
          <w:rFonts w:hint="eastAsia" w:ascii="仿宋_GB2312" w:hAnsi="仿宋_GB2312" w:eastAsia="仿宋_GB2312" w:cs="仿宋_GB2312"/>
          <w:bCs w:val="0"/>
          <w:sz w:val="32"/>
          <w:szCs w:val="32"/>
        </w:rPr>
        <w:t>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_Toc27700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_Toc2895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二、收</w:t>
      </w:r>
      <w:r>
        <w:rPr>
          <w:rFonts w:hint="eastAsia" w:ascii="仿宋_GB2312" w:hAnsi="仿宋_GB2312" w:eastAsia="仿宋_GB2312" w:cs="仿宋_GB2312"/>
          <w:bCs w:val="0"/>
          <w:sz w:val="32"/>
          <w:szCs w:val="32"/>
        </w:rPr>
        <w:t>入总表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_Toc2895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_Toc22295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三、</w:t>
      </w:r>
      <w:r>
        <w:rPr>
          <w:rFonts w:hint="eastAsia" w:ascii="仿宋_GB2312" w:hAnsi="仿宋_GB2312" w:eastAsia="仿宋_GB2312" w:cs="仿宋_GB2312"/>
          <w:sz w:val="32"/>
          <w:szCs w:val="32"/>
        </w:rPr>
        <w:t>支</w:t>
      </w:r>
      <w:r>
        <w:rPr>
          <w:rFonts w:hint="eastAsia" w:ascii="仿宋_GB2312" w:hAnsi="仿宋_GB2312" w:eastAsia="仿宋_GB2312" w:cs="仿宋_GB2312"/>
          <w:bCs w:val="0"/>
          <w:sz w:val="32"/>
          <w:szCs w:val="32"/>
        </w:rPr>
        <w:t>出总表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_Toc22295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_Toc15274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四、</w:t>
      </w:r>
      <w:r>
        <w:rPr>
          <w:rFonts w:hint="eastAsia" w:ascii="仿宋_GB2312" w:hAnsi="仿宋_GB2312" w:eastAsia="仿宋_GB2312" w:cs="仿宋_GB2312"/>
          <w:sz w:val="32"/>
          <w:szCs w:val="32"/>
        </w:rPr>
        <w:t>财</w:t>
      </w:r>
      <w:r>
        <w:rPr>
          <w:rFonts w:hint="eastAsia" w:ascii="仿宋_GB2312" w:hAnsi="仿宋_GB2312" w:eastAsia="仿宋_GB2312" w:cs="仿宋_GB2312"/>
          <w:bCs w:val="0"/>
          <w:sz w:val="32"/>
          <w:szCs w:val="32"/>
        </w:rPr>
        <w:t>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_Toc15274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_Toc11424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五、</w:t>
      </w:r>
      <w:r>
        <w:rPr>
          <w:rFonts w:hint="eastAsia" w:ascii="仿宋_GB2312" w:hAnsi="仿宋_GB2312" w:eastAsia="仿宋_GB2312" w:cs="仿宋_GB2312"/>
          <w:sz w:val="32"/>
          <w:szCs w:val="32"/>
        </w:rPr>
        <w:t>财</w:t>
      </w:r>
      <w:r>
        <w:rPr>
          <w:rFonts w:hint="eastAsia" w:ascii="仿宋_GB2312" w:hAnsi="仿宋_GB2312" w:eastAsia="仿宋_GB2312" w:cs="仿宋_GB2312"/>
          <w:bCs w:val="0"/>
          <w:sz w:val="32"/>
          <w:szCs w:val="32"/>
        </w:rPr>
        <w:t>政拨款支出决算明细表（政府经济分类科目）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_Toc11424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_Toc23136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六、</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_Toc23136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_Toc31018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七、</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_Toc31018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_Toc26330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八、</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_Toc26330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_Toc14604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九、</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_Toc14604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_Toc17506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_Toc17506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_Toc24971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十一、</w:t>
      </w:r>
      <w:r>
        <w:rPr>
          <w:rFonts w:hint="eastAsia" w:ascii="仿宋_GB2312" w:hAnsi="仿宋_GB2312" w:eastAsia="仿宋_GB2312" w:cs="仿宋_GB2312"/>
          <w:sz w:val="32"/>
          <w:szCs w:val="32"/>
        </w:rPr>
        <w:t>政</w:t>
      </w:r>
      <w:r>
        <w:rPr>
          <w:rFonts w:hint="eastAsia" w:ascii="仿宋_GB2312" w:hAnsi="仿宋_GB2312" w:eastAsia="仿宋_GB2312" w:cs="仿宋_GB2312"/>
          <w:bCs w:val="0"/>
          <w:sz w:val="32"/>
          <w:szCs w:val="32"/>
        </w:rPr>
        <w:t>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_Toc24971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_Toc15808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十二、</w:t>
      </w:r>
      <w:r>
        <w:rPr>
          <w:rFonts w:hint="eastAsia" w:ascii="仿宋_GB2312" w:hAnsi="仿宋_GB2312" w:eastAsia="仿宋_GB2312" w:cs="仿宋_GB2312"/>
          <w:sz w:val="32"/>
          <w:szCs w:val="32"/>
        </w:rPr>
        <w:t>政</w:t>
      </w:r>
      <w:r>
        <w:rPr>
          <w:rFonts w:hint="eastAsia" w:ascii="仿宋_GB2312" w:hAnsi="仿宋_GB2312" w:eastAsia="仿宋_GB2312" w:cs="仿宋_GB2312"/>
          <w:bCs w:val="0"/>
          <w:sz w:val="32"/>
          <w:szCs w:val="32"/>
        </w:rPr>
        <w:t>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_Toc15808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_Toc31360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十三、</w:t>
      </w:r>
      <w:r>
        <w:rPr>
          <w:rFonts w:hint="eastAsia" w:ascii="仿宋_GB2312" w:hAnsi="仿宋_GB2312" w:eastAsia="仿宋_GB2312" w:cs="仿宋_GB2312"/>
          <w:sz w:val="32"/>
          <w:szCs w:val="32"/>
        </w:rPr>
        <w:t>国</w:t>
      </w:r>
      <w:r>
        <w:rPr>
          <w:rFonts w:hint="eastAsia" w:ascii="仿宋_GB2312" w:hAnsi="仿宋_GB2312" w:eastAsia="仿宋_GB2312" w:cs="仿宋_GB2312"/>
          <w:bCs w:val="0"/>
          <w:sz w:val="32"/>
          <w:szCs w:val="32"/>
        </w:rPr>
        <w:t>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_Toc31360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widowControl/>
        <w:jc w:val="left"/>
        <w:rPr>
          <w:rFonts w:ascii="仿宋" w:hAnsi="仿宋" w:eastAsia="仿宋"/>
          <w:color w:val="000000"/>
          <w:sz w:val="24"/>
        </w:rPr>
      </w:pPr>
      <w:r>
        <w:rPr>
          <w:rFonts w:ascii="仿宋" w:hAnsi="仿宋" w:eastAsia="仿宋"/>
          <w:color w:val="000000"/>
        </w:rPr>
        <w:fldChar w:fldCharType="end"/>
      </w:r>
    </w:p>
    <w:p>
      <w:pPr>
        <w:widowControl/>
        <w:jc w:val="left"/>
        <w:rPr>
          <w:rFonts w:ascii="黑体" w:hAnsi="黑体" w:eastAsia="黑体"/>
          <w:bCs/>
          <w:kern w:val="44"/>
          <w:sz w:val="44"/>
          <w:szCs w:val="44"/>
        </w:rPr>
      </w:pPr>
      <w:bookmarkStart w:id="14" w:name="_Toc15377196"/>
      <w:r>
        <w:rPr>
          <w:rFonts w:ascii="黑体" w:hAnsi="黑体" w:eastAsia="黑体"/>
          <w:b/>
        </w:rPr>
        <w:br w:type="page"/>
      </w:r>
    </w:p>
    <w:p>
      <w:pPr>
        <w:pStyle w:val="2"/>
        <w:jc w:val="center"/>
        <w:rPr>
          <w:rStyle w:val="24"/>
          <w:rFonts w:ascii="黑体" w:hAnsi="黑体" w:eastAsia="黑体"/>
          <w:b/>
          <w:bCs w:val="0"/>
        </w:rPr>
      </w:pPr>
      <w:bookmarkStart w:id="15" w:name="_Toc7442"/>
      <w:r>
        <w:rPr>
          <w:rFonts w:hint="eastAsia" w:ascii="黑体" w:hAnsi="黑体" w:eastAsia="黑体"/>
          <w:b w:val="0"/>
        </w:rPr>
        <w:t xml:space="preserve">第一部分 </w:t>
      </w:r>
      <w:r>
        <w:rPr>
          <w:rStyle w:val="24"/>
          <w:rFonts w:hint="eastAsia" w:ascii="黑体" w:hAnsi="黑体" w:eastAsia="黑体"/>
          <w:b w:val="0"/>
          <w:bCs w:val="0"/>
        </w:rPr>
        <w:t>部门概况</w:t>
      </w:r>
      <w:bookmarkEnd w:id="14"/>
      <w:bookmarkEnd w:id="15"/>
    </w:p>
    <w:p>
      <w:pPr>
        <w:widowControl/>
        <w:jc w:val="left"/>
        <w:rPr>
          <w:rFonts w:ascii="黑体" w:eastAsia="黑体"/>
          <w:color w:val="000000"/>
          <w:sz w:val="32"/>
          <w:szCs w:val="32"/>
        </w:rPr>
      </w:pPr>
    </w:p>
    <w:p>
      <w:pPr>
        <w:pStyle w:val="3"/>
        <w:rPr>
          <w:rStyle w:val="25"/>
          <w:rFonts w:ascii="仿宋" w:hAnsi="仿宋" w:eastAsia="仿宋"/>
          <w:b w:val="0"/>
          <w:bCs w:val="0"/>
        </w:rPr>
      </w:pPr>
      <w:bookmarkStart w:id="16" w:name="_Toc15377197"/>
      <w:bookmarkStart w:id="17" w:name="_Toc17003"/>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6"/>
      <w:bookmarkEnd w:id="17"/>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8" w:name="_Toc15377198"/>
      <w:bookmarkStart w:id="19" w:name="_Toc15378445"/>
      <w:r>
        <w:rPr>
          <w:rFonts w:hint="eastAsia" w:ascii="仿宋" w:hAnsi="仿宋" w:eastAsia="仿宋"/>
          <w:bCs/>
          <w:color w:val="000000"/>
          <w:sz w:val="32"/>
          <w:szCs w:val="32"/>
        </w:rPr>
        <w:t>（一）主要职能。</w:t>
      </w:r>
      <w:bookmarkEnd w:id="18"/>
      <w:bookmarkEnd w:id="19"/>
    </w:p>
    <w:p>
      <w:pPr>
        <w:ind w:firstLine="640"/>
        <w:rPr>
          <w:rFonts w:hint="eastAsia" w:ascii="仿宋" w:hAnsi="仿宋" w:eastAsia="仿宋"/>
          <w:bCs/>
          <w:color w:val="000000"/>
          <w:sz w:val="32"/>
          <w:szCs w:val="32"/>
        </w:rPr>
      </w:pPr>
      <w:r>
        <w:rPr>
          <w:rFonts w:hint="eastAsia" w:ascii="仿宋_GB2312" w:eastAsia="仿宋_GB2312"/>
          <w:sz w:val="32"/>
          <w:szCs w:val="32"/>
          <w:shd w:val="clear" w:color="auto" w:fill="FFFFFF"/>
        </w:rPr>
        <w:t>承担</w:t>
      </w:r>
      <w:r>
        <w:rPr>
          <w:rFonts w:hint="eastAsia" w:ascii="仿宋_GB2312" w:eastAsia="仿宋_GB2312"/>
          <w:sz w:val="32"/>
          <w:szCs w:val="32"/>
          <w:shd w:val="clear" w:color="auto" w:fill="FFFFFF"/>
          <w:lang w:eastAsia="zh-CN"/>
        </w:rPr>
        <w:t>全县气象灾害防御技术的标准制定、灾害鉴定、技术评价、推广应用和技术服务。承担全县气象灾害的普查、风险区划、监测预警、影响评估。承担全县气象灾害防御的技术指导、培训和科普宣传。承担全县气象灾害预警发布和综合气象防灾减灾。承担九寨沟县国家突发事件预警发布系统运行保障。承担全县人工影响天气工作的规划计划、组织实施和指导管理人工增雨（雪）、防雹等工作。承担全县防雷安全防雷减灾普法、政策调查研究，防雷制度标准组织实施，防雷行政许可组织实施，防雷行政执法监督指导，防雷技术服务管理，雷电业务服务、雷电监测业务、雷电预报预警业务管理、雷电致灾机理、雷电防护技术研究、雷电灾害风险区划、雷电灾害调查鉴定、防雷装置设计技术评价和审核、防雷装置检测等工作。</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0" w:name="_Toc15377199"/>
      <w:bookmarkStart w:id="21"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20"/>
      <w:bookmarkEnd w:id="21"/>
    </w:p>
    <w:p>
      <w:pPr>
        <w:pStyle w:val="5"/>
        <w:numPr>
          <w:ilvl w:val="0"/>
          <w:numId w:val="0"/>
        </w:numPr>
        <w:adjustRightInd w:val="0"/>
        <w:snapToGrid w:val="0"/>
        <w:spacing w:line="600" w:lineRule="exact"/>
        <w:rPr>
          <w:rFonts w:hint="eastAsia" w:ascii="仿宋" w:hAnsi="仿宋" w:eastAsia="仿宋"/>
          <w:bCs/>
          <w:color w:val="000000"/>
          <w:sz w:val="32"/>
          <w:szCs w:val="32"/>
        </w:rPr>
      </w:pPr>
      <w:r>
        <w:rPr>
          <w:rFonts w:hint="eastAsia" w:ascii="仿宋_GB2312" w:eastAsia="仿宋_GB2312"/>
          <w:sz w:val="32"/>
          <w:szCs w:val="32"/>
          <w:shd w:val="clear" w:color="auto" w:fill="FFFFFF"/>
        </w:rPr>
        <w:t>一是做好</w:t>
      </w:r>
      <w:r>
        <w:rPr>
          <w:rFonts w:hint="eastAsia"/>
          <w:sz w:val="32"/>
          <w:szCs w:val="32"/>
          <w:shd w:val="clear" w:color="auto" w:fill="FFFFFF"/>
          <w:lang w:eastAsia="zh-CN"/>
        </w:rPr>
        <w:t>了</w:t>
      </w:r>
      <w:r>
        <w:rPr>
          <w:rFonts w:hint="eastAsia" w:ascii="仿宋_GB2312" w:eastAsia="仿宋_GB2312"/>
          <w:sz w:val="32"/>
          <w:szCs w:val="32"/>
          <w:shd w:val="clear" w:color="auto" w:fill="FFFFFF"/>
        </w:rPr>
        <w:t>收支预算执行</w:t>
      </w:r>
      <w:r>
        <w:rPr>
          <w:rFonts w:hint="eastAsia"/>
          <w:sz w:val="32"/>
          <w:szCs w:val="32"/>
          <w:shd w:val="clear" w:color="auto" w:fill="FFFFFF"/>
          <w:lang w:eastAsia="zh-CN"/>
        </w:rPr>
        <w:t>，</w:t>
      </w:r>
      <w:r>
        <w:rPr>
          <w:rFonts w:hint="eastAsia" w:ascii="仿宋_GB2312" w:eastAsia="仿宋_GB2312"/>
          <w:sz w:val="32"/>
          <w:szCs w:val="32"/>
          <w:shd w:val="clear" w:color="auto" w:fill="FFFFFF"/>
        </w:rPr>
        <w:t>加强</w:t>
      </w:r>
      <w:r>
        <w:rPr>
          <w:rFonts w:hint="eastAsia"/>
          <w:sz w:val="32"/>
          <w:szCs w:val="32"/>
          <w:shd w:val="clear" w:color="auto" w:fill="FFFFFF"/>
          <w:lang w:eastAsia="zh-CN"/>
        </w:rPr>
        <w:t>了</w:t>
      </w:r>
      <w:r>
        <w:rPr>
          <w:rFonts w:hint="eastAsia" w:ascii="仿宋_GB2312" w:eastAsia="仿宋_GB2312"/>
          <w:sz w:val="32"/>
          <w:szCs w:val="32"/>
          <w:shd w:val="clear" w:color="auto" w:fill="FFFFFF"/>
        </w:rPr>
        <w:t>支出管理</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rPr>
        <w:t>二是</w:t>
      </w:r>
      <w:r>
        <w:rPr>
          <w:rFonts w:hint="eastAsia"/>
          <w:sz w:val="32"/>
          <w:szCs w:val="32"/>
          <w:shd w:val="clear" w:color="auto" w:fill="FFFFFF"/>
          <w:lang w:eastAsia="zh-CN"/>
        </w:rPr>
        <w:t>按照</w:t>
      </w:r>
      <w:r>
        <w:rPr>
          <w:rFonts w:hint="eastAsia" w:ascii="仿宋_GB2312" w:eastAsia="仿宋_GB2312"/>
          <w:sz w:val="32"/>
          <w:szCs w:val="32"/>
          <w:shd w:val="clear" w:color="auto" w:fill="FFFFFF"/>
        </w:rPr>
        <w:t>九寨沟县人工影响天气工作计划积极开展</w:t>
      </w:r>
      <w:r>
        <w:rPr>
          <w:rFonts w:hint="eastAsia"/>
          <w:sz w:val="32"/>
          <w:szCs w:val="32"/>
          <w:shd w:val="clear" w:color="auto" w:fill="FFFFFF"/>
          <w:lang w:eastAsia="zh-CN"/>
        </w:rPr>
        <w:t>了</w:t>
      </w:r>
      <w:r>
        <w:rPr>
          <w:rFonts w:hint="eastAsia"/>
          <w:sz w:val="32"/>
          <w:szCs w:val="32"/>
          <w:shd w:val="clear" w:color="auto" w:fill="FFFFFF"/>
          <w:lang w:val="en-US" w:eastAsia="zh-CN"/>
        </w:rPr>
        <w:t>4次</w:t>
      </w:r>
      <w:r>
        <w:rPr>
          <w:rFonts w:hint="eastAsia" w:ascii="仿宋_GB2312" w:eastAsia="仿宋_GB2312"/>
          <w:sz w:val="32"/>
          <w:szCs w:val="32"/>
          <w:shd w:val="clear" w:color="auto" w:fill="FFFFFF"/>
        </w:rPr>
        <w:t>人工增雨（雪）作业</w:t>
      </w:r>
      <w:r>
        <w:rPr>
          <w:rFonts w:hint="eastAsia"/>
          <w:sz w:val="32"/>
          <w:szCs w:val="32"/>
          <w:shd w:val="clear" w:color="auto" w:fill="FFFFFF"/>
          <w:lang w:eastAsia="zh-CN"/>
        </w:rPr>
        <w:t>；三</w:t>
      </w:r>
      <w:r>
        <w:rPr>
          <w:rFonts w:hint="eastAsia" w:ascii="仿宋_GB2312" w:eastAsia="仿宋_GB2312"/>
          <w:sz w:val="32"/>
          <w:szCs w:val="32"/>
          <w:shd w:val="clear" w:color="auto" w:fill="FFFFFF"/>
        </w:rPr>
        <w:t>是做好</w:t>
      </w:r>
      <w:r>
        <w:rPr>
          <w:rFonts w:hint="eastAsia"/>
          <w:sz w:val="32"/>
          <w:szCs w:val="32"/>
          <w:shd w:val="clear" w:color="auto" w:fill="FFFFFF"/>
          <w:lang w:eastAsia="zh-CN"/>
        </w:rPr>
        <w:t>了</w:t>
      </w:r>
      <w:r>
        <w:rPr>
          <w:rFonts w:hint="eastAsia" w:ascii="仿宋_GB2312" w:eastAsia="仿宋_GB2312"/>
          <w:sz w:val="32"/>
          <w:szCs w:val="32"/>
          <w:shd w:val="clear" w:color="auto" w:fill="FFFFFF"/>
        </w:rPr>
        <w:t>全年人工影响天气效益评估工作</w:t>
      </w:r>
      <w:r>
        <w:rPr>
          <w:rFonts w:hint="eastAsia" w:ascii="仿宋_GB2312" w:eastAsia="仿宋_GB2312"/>
          <w:sz w:val="32"/>
          <w:szCs w:val="32"/>
          <w:shd w:val="clear" w:color="auto" w:fill="FFFFFF"/>
          <w:lang w:eastAsia="zh-CN"/>
        </w:rPr>
        <w:t>；</w:t>
      </w:r>
      <w:r>
        <w:rPr>
          <w:rFonts w:hint="eastAsia"/>
          <w:sz w:val="32"/>
          <w:szCs w:val="32"/>
          <w:shd w:val="clear" w:color="auto" w:fill="FFFFFF"/>
          <w:lang w:eastAsia="zh-CN"/>
        </w:rPr>
        <w:t>四</w:t>
      </w:r>
      <w:r>
        <w:rPr>
          <w:rFonts w:hint="eastAsia" w:ascii="仿宋_GB2312" w:eastAsia="仿宋_GB2312"/>
          <w:sz w:val="32"/>
          <w:szCs w:val="32"/>
          <w:shd w:val="clear" w:color="auto" w:fill="FFFFFF"/>
          <w:lang w:eastAsia="zh-CN"/>
        </w:rPr>
        <w:t>是</w:t>
      </w:r>
      <w:r>
        <w:rPr>
          <w:rFonts w:hint="eastAsia"/>
          <w:sz w:val="32"/>
          <w:szCs w:val="32"/>
          <w:shd w:val="clear" w:color="auto" w:fill="FFFFFF"/>
          <w:lang w:eastAsia="zh-CN"/>
        </w:rPr>
        <w:t>对</w:t>
      </w:r>
      <w:r>
        <w:rPr>
          <w:rFonts w:hint="eastAsia"/>
          <w:sz w:val="32"/>
          <w:szCs w:val="32"/>
          <w:shd w:val="clear" w:color="auto" w:fill="FFFFFF"/>
          <w:lang w:val="en-US" w:eastAsia="zh-CN"/>
        </w:rPr>
        <w:t>70余家单位和企业进行了</w:t>
      </w:r>
      <w:r>
        <w:rPr>
          <w:rFonts w:hint="eastAsia" w:ascii="仿宋_GB2312" w:eastAsia="仿宋_GB2312"/>
          <w:sz w:val="32"/>
          <w:szCs w:val="32"/>
          <w:shd w:val="clear" w:color="auto" w:fill="FFFFFF"/>
          <w:lang w:eastAsia="zh-CN"/>
        </w:rPr>
        <w:t>防雷装置设计技术评价和审核、防雷装置检测等工作。</w:t>
      </w:r>
    </w:p>
    <w:p>
      <w:pPr>
        <w:pStyle w:val="3"/>
        <w:rPr>
          <w:rStyle w:val="25"/>
          <w:b w:val="0"/>
          <w:bCs w:val="0"/>
        </w:rPr>
      </w:pPr>
      <w:bookmarkStart w:id="22" w:name="_Toc15377200"/>
      <w:bookmarkStart w:id="23" w:name="_Toc26800"/>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2"/>
      <w:bookmarkEnd w:id="23"/>
    </w:p>
    <w:p>
      <w:pPr>
        <w:ind w:firstLine="645"/>
        <w:rPr>
          <w:rFonts w:hint="eastAsia"/>
          <w:color w:val="000000"/>
          <w:sz w:val="32"/>
          <w:szCs w:val="32"/>
        </w:rPr>
      </w:pPr>
      <w:r>
        <w:rPr>
          <w:rFonts w:hint="eastAsia" w:ascii="仿宋_GB2312" w:eastAsia="仿宋_GB2312"/>
          <w:sz w:val="32"/>
          <w:szCs w:val="32"/>
          <w:shd w:val="clear" w:color="auto" w:fill="FFFFFF"/>
        </w:rPr>
        <w:t>九寨沟县</w:t>
      </w:r>
      <w:r>
        <w:rPr>
          <w:rFonts w:hint="eastAsia" w:ascii="仿宋_GB2312" w:eastAsia="仿宋_GB2312"/>
          <w:sz w:val="32"/>
          <w:szCs w:val="32"/>
          <w:shd w:val="clear" w:color="auto" w:fill="FFFFFF"/>
          <w:lang w:eastAsia="zh-CN"/>
        </w:rPr>
        <w:t>气象防灾减灾中心</w:t>
      </w:r>
      <w:r>
        <w:rPr>
          <w:rFonts w:hint="eastAsia" w:ascii="仿宋_GB2312" w:eastAsia="仿宋_GB2312"/>
          <w:sz w:val="32"/>
          <w:szCs w:val="32"/>
          <w:shd w:val="clear" w:color="auto" w:fill="FFFFFF"/>
        </w:rPr>
        <w:t>是九寨沟县人民政府举办的股级事业单位。</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4"/>
          <w:rFonts w:ascii="黑体" w:hAnsi="黑体" w:eastAsia="黑体"/>
          <w:b w:val="0"/>
          <w:bCs w:val="0"/>
        </w:rPr>
      </w:pPr>
      <w:bookmarkStart w:id="24" w:name="_Toc15377204"/>
      <w:bookmarkStart w:id="25" w:name="_Toc26081"/>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2018年度部门决算情况说明</w:t>
      </w:r>
      <w:bookmarkEnd w:id="24"/>
      <w:bookmarkEnd w:id="25"/>
    </w:p>
    <w:p/>
    <w:p>
      <w:pPr>
        <w:pStyle w:val="23"/>
        <w:numPr>
          <w:ilvl w:val="0"/>
          <w:numId w:val="1"/>
        </w:numPr>
        <w:spacing w:line="600" w:lineRule="exact"/>
        <w:ind w:firstLineChars="0"/>
        <w:outlineLvl w:val="1"/>
        <w:rPr>
          <w:rStyle w:val="25"/>
          <w:rFonts w:ascii="黑体" w:hAnsi="黑体" w:eastAsia="黑体"/>
          <w:b w:val="0"/>
        </w:rPr>
      </w:pPr>
      <w:bookmarkStart w:id="26" w:name="_Toc15377205"/>
      <w:bookmarkStart w:id="27" w:name="_Toc17790"/>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6"/>
      <w:bookmarkEnd w:id="27"/>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rPr>
        <w:t>2018年度收、支总计</w:t>
      </w:r>
      <w:r>
        <w:rPr>
          <w:rFonts w:hint="eastAsia" w:ascii="仿宋" w:hAnsi="仿宋" w:eastAsia="仿宋"/>
          <w:color w:val="000000"/>
          <w:sz w:val="32"/>
          <w:szCs w:val="32"/>
          <w:lang w:val="en-US" w:eastAsia="zh-CN"/>
        </w:rPr>
        <w:t>43.262148</w:t>
      </w:r>
      <w:r>
        <w:rPr>
          <w:rFonts w:hint="eastAsia" w:ascii="仿宋" w:hAnsi="仿宋" w:eastAsia="仿宋"/>
          <w:color w:val="000000"/>
          <w:sz w:val="32"/>
          <w:szCs w:val="32"/>
        </w:rPr>
        <w:t>万元。</w:t>
      </w:r>
    </w:p>
    <w:p>
      <w:pPr>
        <w:pStyle w:val="23"/>
        <w:numPr>
          <w:ilvl w:val="0"/>
          <w:numId w:val="1"/>
        </w:numPr>
        <w:spacing w:line="600" w:lineRule="exact"/>
        <w:ind w:firstLineChars="0"/>
        <w:outlineLvl w:val="1"/>
        <w:rPr>
          <w:rStyle w:val="25"/>
          <w:rFonts w:ascii="黑体" w:hAnsi="黑体" w:eastAsia="黑体"/>
          <w:b w:val="0"/>
        </w:rPr>
      </w:pPr>
      <w:bookmarkStart w:id="28" w:name="_Toc15377206"/>
      <w:bookmarkStart w:id="29" w:name="_Toc27528"/>
      <w:r>
        <w:rPr>
          <w:rFonts w:hint="eastAsia" w:ascii="黑体" w:hAnsi="黑体" w:eastAsia="黑体"/>
          <w:color w:val="000000"/>
          <w:sz w:val="32"/>
          <w:szCs w:val="32"/>
        </w:rPr>
        <w:t>收</w:t>
      </w:r>
      <w:r>
        <w:rPr>
          <w:rStyle w:val="25"/>
          <w:rFonts w:hint="eastAsia" w:ascii="黑体" w:hAnsi="黑体" w:eastAsia="黑体"/>
          <w:b w:val="0"/>
        </w:rPr>
        <w:t>入决算情况说明</w:t>
      </w:r>
      <w:bookmarkEnd w:id="28"/>
      <w:bookmarkEnd w:id="29"/>
    </w:p>
    <w:p>
      <w:pPr>
        <w:spacing w:line="600" w:lineRule="exact"/>
        <w:ind w:firstLine="640" w:firstLineChars="200"/>
        <w:outlineLvl w:val="1"/>
        <w:rPr>
          <w:rFonts w:ascii="仿宋_GB2312" w:eastAsia="仿宋_GB2312"/>
          <w:color w:val="FF0000"/>
          <w:sz w:val="32"/>
          <w:szCs w:val="32"/>
        </w:rPr>
      </w:pPr>
      <w:bookmarkStart w:id="30" w:name="_Toc2938"/>
      <w:r>
        <w:rPr>
          <w:rFonts w:ascii="仿宋" w:hAnsi="仿宋" w:eastAsia="仿宋"/>
          <w:color w:val="000000"/>
          <w:sz w:val="32"/>
          <w:szCs w:val="32"/>
        </w:rPr>
        <w:t>201</w:t>
      </w:r>
      <w:r>
        <w:rPr>
          <w:rFonts w:hint="eastAsia" w:ascii="仿宋" w:hAnsi="仿宋" w:eastAsia="仿宋"/>
          <w:color w:val="000000"/>
          <w:sz w:val="32"/>
          <w:szCs w:val="32"/>
        </w:rPr>
        <w:t>8年本年收入合计</w:t>
      </w:r>
      <w:r>
        <w:rPr>
          <w:rFonts w:hint="eastAsia" w:ascii="仿宋" w:hAnsi="仿宋" w:eastAsia="仿宋"/>
          <w:color w:val="000000"/>
          <w:sz w:val="32"/>
          <w:szCs w:val="32"/>
          <w:lang w:val="en-US" w:eastAsia="zh-CN"/>
        </w:rPr>
        <w:t>43.262148</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43.262148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30"/>
    </w:p>
    <w:p>
      <w:pPr>
        <w:pStyle w:val="23"/>
        <w:numPr>
          <w:ilvl w:val="0"/>
          <w:numId w:val="1"/>
        </w:numPr>
        <w:spacing w:line="600" w:lineRule="exact"/>
        <w:ind w:firstLineChars="0"/>
        <w:outlineLvl w:val="1"/>
        <w:rPr>
          <w:rStyle w:val="25"/>
          <w:rFonts w:ascii="黑体" w:hAnsi="黑体" w:eastAsia="黑体"/>
          <w:b w:val="0"/>
        </w:rPr>
      </w:pPr>
      <w:bookmarkStart w:id="31" w:name="_Toc15377207"/>
      <w:bookmarkStart w:id="32" w:name="_Toc4966"/>
      <w:r>
        <w:rPr>
          <w:rFonts w:hint="eastAsia" w:ascii="黑体" w:hAnsi="黑体" w:eastAsia="黑体"/>
          <w:color w:val="000000"/>
          <w:sz w:val="32"/>
          <w:szCs w:val="32"/>
        </w:rPr>
        <w:t>支</w:t>
      </w:r>
      <w:r>
        <w:rPr>
          <w:rStyle w:val="25"/>
          <w:rFonts w:hint="eastAsia" w:ascii="黑体" w:hAnsi="黑体" w:eastAsia="黑体"/>
          <w:b w:val="0"/>
        </w:rPr>
        <w:t>出决算情况说明</w:t>
      </w:r>
      <w:bookmarkEnd w:id="31"/>
      <w:bookmarkEnd w:id="32"/>
    </w:p>
    <w:p>
      <w:pPr>
        <w:spacing w:line="600" w:lineRule="exact"/>
        <w:ind w:firstLine="640"/>
        <w:rPr>
          <w:rFonts w:ascii="仿宋_GB2312" w:eastAsia="仿宋_GB2312"/>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hint="eastAsia" w:ascii="仿宋" w:hAnsi="仿宋" w:eastAsia="仿宋"/>
          <w:color w:val="000000"/>
          <w:sz w:val="32"/>
          <w:szCs w:val="32"/>
          <w:lang w:val="en-US" w:eastAsia="zh-CN"/>
        </w:rPr>
        <w:t>43.262148</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43.262148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Style w:val="25"/>
          <w:rFonts w:ascii="黑体" w:hAnsi="黑体" w:eastAsia="黑体"/>
          <w:b w:val="0"/>
        </w:rPr>
      </w:pPr>
      <w:bookmarkStart w:id="33" w:name="_Toc15377208"/>
      <w:bookmarkStart w:id="34" w:name="_Toc10887"/>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3"/>
      <w:bookmarkEnd w:id="34"/>
    </w:p>
    <w:p>
      <w:pPr>
        <w:spacing w:line="600" w:lineRule="exact"/>
        <w:ind w:firstLine="640" w:firstLineChars="200"/>
        <w:rPr>
          <w:rFonts w:ascii="仿宋" w:hAnsi="仿宋" w:eastAsia="仿宋"/>
          <w:b/>
          <w:color w:val="00B05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8年财政拨款收、支总计</w:t>
      </w:r>
      <w:r>
        <w:rPr>
          <w:rFonts w:hint="eastAsia" w:ascii="仿宋" w:hAnsi="仿宋" w:eastAsia="仿宋"/>
          <w:color w:val="000000"/>
          <w:sz w:val="32"/>
          <w:szCs w:val="32"/>
          <w:lang w:val="en-US" w:eastAsia="zh-CN"/>
        </w:rPr>
        <w:t>43.262148</w:t>
      </w:r>
      <w:r>
        <w:rPr>
          <w:rFonts w:hint="eastAsia" w:ascii="仿宋" w:hAnsi="仿宋" w:eastAsia="仿宋"/>
          <w:color w:val="000000"/>
          <w:sz w:val="32"/>
          <w:szCs w:val="32"/>
        </w:rPr>
        <w:t>万元</w:t>
      </w:r>
    </w:p>
    <w:p>
      <w:pPr>
        <w:spacing w:line="600" w:lineRule="exact"/>
        <w:ind w:firstLine="640" w:firstLineChars="200"/>
        <w:outlineLvl w:val="1"/>
        <w:rPr>
          <w:rStyle w:val="25"/>
          <w:rFonts w:ascii="黑体" w:hAnsi="黑体" w:eastAsia="黑体"/>
          <w:b w:val="0"/>
        </w:rPr>
      </w:pPr>
      <w:bookmarkStart w:id="35" w:name="_Toc15377209"/>
      <w:bookmarkStart w:id="36" w:name="_Toc26086"/>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5"/>
      <w:bookmarkEnd w:id="36"/>
    </w:p>
    <w:p>
      <w:pPr>
        <w:spacing w:line="600" w:lineRule="exact"/>
        <w:ind w:firstLine="643" w:firstLineChars="200"/>
        <w:outlineLvl w:val="2"/>
        <w:rPr>
          <w:rFonts w:ascii="仿宋" w:hAnsi="仿宋" w:eastAsia="仿宋"/>
          <w:b/>
          <w:color w:val="000000"/>
          <w:sz w:val="32"/>
          <w:szCs w:val="32"/>
        </w:rPr>
      </w:pPr>
      <w:bookmarkStart w:id="37" w:name="_Toc15377210"/>
      <w:r>
        <w:rPr>
          <w:rFonts w:hint="eastAsia" w:ascii="仿宋" w:hAnsi="仿宋" w:eastAsia="仿宋"/>
          <w:b/>
          <w:color w:val="000000"/>
          <w:sz w:val="32"/>
          <w:szCs w:val="32"/>
        </w:rPr>
        <w:t>（一）一般公共预算财政拨款支出决算总体情况</w:t>
      </w:r>
      <w:bookmarkEnd w:id="37"/>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hint="eastAsia" w:ascii="仿宋" w:hAnsi="仿宋" w:eastAsia="仿宋"/>
          <w:color w:val="000000"/>
          <w:sz w:val="32"/>
          <w:szCs w:val="32"/>
          <w:lang w:val="en-US" w:eastAsia="zh-CN"/>
        </w:rPr>
        <w:t>43.262148</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3" w:firstLineChars="200"/>
        <w:outlineLvl w:val="2"/>
        <w:rPr>
          <w:rFonts w:ascii="仿宋" w:hAnsi="仿宋" w:eastAsia="仿宋"/>
          <w:b/>
          <w:color w:val="000000"/>
          <w:sz w:val="32"/>
          <w:szCs w:val="32"/>
        </w:rPr>
      </w:pPr>
      <w:bookmarkStart w:id="38" w:name="_Toc15377211"/>
      <w:r>
        <w:rPr>
          <w:rFonts w:hint="eastAsia" w:ascii="仿宋" w:hAnsi="仿宋" w:eastAsia="仿宋"/>
          <w:b/>
          <w:color w:val="000000"/>
          <w:sz w:val="32"/>
          <w:szCs w:val="32"/>
        </w:rPr>
        <w:t>（二）一般公共预算财政拨款支出决算结构情况</w:t>
      </w:r>
      <w:bookmarkEnd w:id="3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lang w:val="en-US" w:eastAsia="zh-CN"/>
        </w:rPr>
        <w:t>43.262148</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3.05188</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7.05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；医疗卫生支出</w:t>
      </w:r>
      <w:r>
        <w:rPr>
          <w:rFonts w:hint="eastAsia" w:ascii="仿宋" w:hAnsi="仿宋" w:eastAsia="仿宋"/>
          <w:color w:val="000000" w:themeColor="text1"/>
          <w:sz w:val="32"/>
          <w:szCs w:val="32"/>
          <w:lang w:val="en-US" w:eastAsia="zh-CN"/>
          <w14:textFill>
            <w14:solidFill>
              <w14:schemeClr w14:val="tx1"/>
            </w14:solidFill>
          </w14:textFill>
        </w:rPr>
        <w:t>2.058744</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4.75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2.8614</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6.63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_GB2312" w:eastAsia="仿宋_GB2312"/>
          <w:sz w:val="32"/>
          <w:szCs w:val="32"/>
          <w:shd w:val="clear" w:color="auto" w:fill="FFFFFF"/>
        </w:rPr>
        <w:t>气象事务支出</w:t>
      </w:r>
      <w:r>
        <w:rPr>
          <w:rFonts w:hint="eastAsia" w:ascii="仿宋_GB2312" w:eastAsia="仿宋_GB2312"/>
          <w:sz w:val="32"/>
          <w:szCs w:val="32"/>
          <w:shd w:val="clear" w:color="auto" w:fill="FFFFFF"/>
          <w:lang w:val="en-US" w:eastAsia="zh-CN"/>
        </w:rPr>
        <w:t>35.290124万元81.57%</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9" w:name="_Toc15377212"/>
      <w:r>
        <w:rPr>
          <w:rFonts w:hint="eastAsia" w:ascii="仿宋" w:hAnsi="仿宋" w:eastAsia="仿宋"/>
          <w:b/>
          <w:color w:val="000000"/>
          <w:sz w:val="32"/>
          <w:szCs w:val="32"/>
        </w:rPr>
        <w:t>（三）一般公共预算财政拨款支出决算具体情况</w:t>
      </w:r>
      <w:bookmarkEnd w:id="39"/>
    </w:p>
    <w:p>
      <w:pPr>
        <w:spacing w:line="600" w:lineRule="exact"/>
        <w:ind w:firstLine="643" w:firstLineChars="200"/>
        <w:outlineLvl w:val="2"/>
        <w:rPr>
          <w:rStyle w:val="14"/>
          <w:rFonts w:hint="eastAsia" w:ascii="仿宋" w:hAnsi="仿宋" w:eastAsia="仿宋"/>
          <w:bCs/>
          <w:color w:val="000000"/>
          <w:sz w:val="32"/>
          <w:szCs w:val="32"/>
        </w:rPr>
      </w:pPr>
      <w:bookmarkStart w:id="40" w:name="_Toc15377213"/>
      <w:bookmarkStart w:id="41" w:name="_Toc15377444"/>
      <w:bookmarkStart w:id="42" w:name="_Toc15378460"/>
      <w:r>
        <w:rPr>
          <w:rFonts w:hint="eastAsia" w:ascii="仿宋" w:hAnsi="仿宋" w:eastAsia="仿宋"/>
          <w:b/>
          <w:color w:val="000000" w:themeColor="text1"/>
          <w:sz w:val="32"/>
          <w:szCs w:val="32"/>
          <w14:textFill>
            <w14:solidFill>
              <w14:schemeClr w14:val="tx1"/>
            </w14:solidFill>
          </w14:textFill>
        </w:rPr>
        <w:t>2018年般公共预算支出决算数为</w:t>
      </w:r>
      <w:r>
        <w:rPr>
          <w:rFonts w:hint="eastAsia" w:ascii="仿宋" w:hAnsi="仿宋" w:eastAsia="仿宋"/>
          <w:color w:val="000000"/>
          <w:sz w:val="32"/>
          <w:szCs w:val="32"/>
          <w:lang w:val="en-US" w:eastAsia="zh-CN"/>
        </w:rPr>
        <w:t>43.262148万元</w:t>
      </w:r>
      <w:r>
        <w:rPr>
          <w:rFonts w:hint="eastAsia" w:ascii="仿宋" w:hAnsi="仿宋" w:eastAsia="仿宋"/>
          <w:color w:val="000000" w:themeColor="text1"/>
          <w:sz w:val="32"/>
          <w:szCs w:val="32"/>
          <w14:textFill>
            <w14:solidFill>
              <w14:schemeClr w14:val="tx1"/>
            </w14:solidFill>
          </w14:textFill>
        </w:rPr>
        <w:t>，</w:t>
      </w:r>
      <w:r>
        <w:rPr>
          <w:rStyle w:val="14"/>
          <w:rFonts w:hint="eastAsia" w:ascii="仿宋" w:hAnsi="仿宋" w:eastAsia="仿宋"/>
          <w:bCs/>
          <w:color w:val="000000" w:themeColor="text1"/>
          <w:sz w:val="32"/>
          <w:szCs w:val="32"/>
          <w14:textFill>
            <w14:solidFill>
              <w14:schemeClr w14:val="tx1"/>
            </w14:solidFill>
          </w14:textFill>
        </w:rPr>
        <w:t>完成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40"/>
      <w:bookmarkEnd w:id="41"/>
      <w:bookmarkEnd w:id="42"/>
    </w:p>
    <w:p>
      <w:pPr>
        <w:ind w:firstLine="640"/>
        <w:rPr>
          <w:rFonts w:hint="eastAsia" w:ascii="仿宋_GB2312" w:eastAsia="仿宋_GB2312"/>
          <w:sz w:val="32"/>
          <w:szCs w:val="32"/>
          <w:shd w:val="clear" w:color="auto" w:fill="FFFFFF"/>
          <w:lang w:val="en-US" w:eastAsia="zh-CN"/>
        </w:rPr>
      </w:pPr>
      <w:r>
        <w:rPr>
          <w:rStyle w:val="14"/>
          <w:rFonts w:hint="eastAsia" w:ascii="仿宋_GB2312" w:eastAsia="仿宋_GB2312"/>
          <w:b/>
          <w:bCs/>
          <w:color w:val="000000"/>
          <w:sz w:val="32"/>
          <w:szCs w:val="32"/>
          <w:lang w:val="en-US" w:eastAsia="zh-CN"/>
        </w:rPr>
        <w:t>国土海洋气象等支出（220）气象事务（05）气象事业机构（04）</w:t>
      </w:r>
      <w:r>
        <w:rPr>
          <w:rFonts w:hint="eastAsia" w:ascii="仿宋_GB2312" w:eastAsia="仿宋_GB2312"/>
          <w:sz w:val="32"/>
          <w:szCs w:val="32"/>
          <w:shd w:val="clear" w:color="auto" w:fill="FFFFFF"/>
          <w:lang w:val="en-US" w:eastAsia="zh-CN"/>
        </w:rPr>
        <w:t>支出决算为30.290124万元，完成预算100%。</w:t>
      </w:r>
    </w:p>
    <w:p>
      <w:pPr>
        <w:spacing w:line="600" w:lineRule="exact"/>
        <w:ind w:firstLine="643" w:firstLineChars="200"/>
        <w:rPr>
          <w:rFonts w:hint="eastAsia" w:ascii="仿宋_GB2312" w:eastAsia="仿宋_GB2312"/>
          <w:sz w:val="32"/>
          <w:szCs w:val="32"/>
          <w:shd w:val="clear" w:color="auto" w:fill="FFFFFF"/>
          <w:lang w:val="en-US" w:eastAsia="zh-CN"/>
        </w:rPr>
      </w:pPr>
      <w:r>
        <w:rPr>
          <w:rStyle w:val="14"/>
          <w:rFonts w:hint="eastAsia" w:ascii="仿宋_GB2312" w:eastAsia="仿宋_GB2312"/>
          <w:color w:val="000000"/>
          <w:sz w:val="32"/>
          <w:szCs w:val="32"/>
          <w:lang w:val="en-US" w:eastAsia="zh-CN"/>
        </w:rPr>
        <w:t>社会保障和就业支出（208）行政事业单位离退休（05）机关事业单位基本养老保险（05）</w:t>
      </w:r>
      <w:r>
        <w:rPr>
          <w:rFonts w:hint="eastAsia" w:ascii="仿宋_GB2312" w:eastAsia="仿宋_GB2312"/>
          <w:sz w:val="32"/>
          <w:szCs w:val="32"/>
          <w:shd w:val="clear" w:color="auto" w:fill="FFFFFF"/>
          <w:lang w:val="en-US" w:eastAsia="zh-CN"/>
        </w:rPr>
        <w:t>支出决算为3.05188万元，完成预算100%。</w:t>
      </w:r>
    </w:p>
    <w:p>
      <w:pPr>
        <w:spacing w:line="600" w:lineRule="exact"/>
        <w:ind w:firstLine="643" w:firstLineChars="200"/>
        <w:rPr>
          <w:rStyle w:val="14"/>
          <w:rFonts w:hint="eastAsia" w:ascii="仿宋_GB2312" w:eastAsia="仿宋_GB2312"/>
          <w:b w:val="0"/>
          <w:bCs w:val="0"/>
          <w:color w:val="000000"/>
          <w:sz w:val="32"/>
          <w:szCs w:val="32"/>
          <w:lang w:val="en-US" w:eastAsia="zh-CN"/>
        </w:rPr>
      </w:pPr>
      <w:r>
        <w:rPr>
          <w:rStyle w:val="14"/>
          <w:rFonts w:hint="eastAsia" w:ascii="仿宋" w:hAnsi="仿宋" w:eastAsia="仿宋"/>
          <w:bCs/>
          <w:color w:val="000000"/>
          <w:sz w:val="32"/>
          <w:szCs w:val="32"/>
        </w:rPr>
        <w:t>医疗卫生与计划生育（</w:t>
      </w:r>
      <w:r>
        <w:rPr>
          <w:rStyle w:val="14"/>
          <w:rFonts w:hint="eastAsia" w:ascii="仿宋" w:hAnsi="仿宋" w:eastAsia="仿宋"/>
          <w:bCs/>
          <w:color w:val="000000"/>
          <w:sz w:val="32"/>
          <w:szCs w:val="32"/>
          <w:lang w:val="en-US" w:eastAsia="zh-CN"/>
        </w:rPr>
        <w:t>210</w:t>
      </w:r>
      <w:r>
        <w:rPr>
          <w:rStyle w:val="14"/>
          <w:rFonts w:hint="eastAsia" w:ascii="仿宋" w:hAnsi="仿宋" w:eastAsia="仿宋"/>
          <w:bCs/>
          <w:color w:val="000000"/>
          <w:sz w:val="32"/>
          <w:szCs w:val="32"/>
        </w:rPr>
        <w:t>）行政事业单位医疗（</w:t>
      </w:r>
      <w:r>
        <w:rPr>
          <w:rStyle w:val="14"/>
          <w:rFonts w:hint="eastAsia" w:ascii="仿宋" w:hAnsi="仿宋" w:eastAsia="仿宋"/>
          <w:bCs/>
          <w:color w:val="000000"/>
          <w:sz w:val="32"/>
          <w:szCs w:val="32"/>
          <w:lang w:val="en-US" w:eastAsia="zh-CN"/>
        </w:rPr>
        <w:t>11</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eastAsia="zh-CN"/>
        </w:rPr>
        <w:t>事业单位医疗（</w:t>
      </w:r>
      <w:r>
        <w:rPr>
          <w:rStyle w:val="14"/>
          <w:rFonts w:hint="eastAsia" w:ascii="仿宋" w:hAnsi="仿宋" w:eastAsia="仿宋"/>
          <w:bCs/>
          <w:color w:val="000000"/>
          <w:sz w:val="32"/>
          <w:szCs w:val="32"/>
          <w:lang w:val="en-US" w:eastAsia="zh-CN"/>
        </w:rPr>
        <w:t>02</w:t>
      </w:r>
      <w:r>
        <w:rPr>
          <w:rStyle w:val="14"/>
          <w:rFonts w:hint="eastAsia" w:ascii="仿宋" w:hAnsi="仿宋" w:eastAsia="仿宋"/>
          <w:bCs/>
          <w:color w:val="000000"/>
          <w:sz w:val="32"/>
          <w:szCs w:val="32"/>
          <w:lang w:eastAsia="zh-CN"/>
        </w:rPr>
        <w:t>）</w:t>
      </w:r>
      <w:r>
        <w:rPr>
          <w:rStyle w:val="14"/>
          <w:rFonts w:hint="eastAsia" w:ascii="仿宋_GB2312" w:eastAsia="仿宋_GB2312"/>
          <w:b w:val="0"/>
          <w:bCs w:val="0"/>
          <w:color w:val="000000"/>
          <w:sz w:val="32"/>
          <w:szCs w:val="32"/>
          <w:lang w:val="en-US" w:eastAsia="zh-CN"/>
        </w:rPr>
        <w:t>支出决算为2.058744万元，完成预算100%。</w:t>
      </w:r>
    </w:p>
    <w:p>
      <w:pPr>
        <w:spacing w:line="600" w:lineRule="exact"/>
        <w:ind w:firstLine="643" w:firstLineChars="200"/>
        <w:rPr>
          <w:rStyle w:val="14"/>
          <w:rFonts w:hint="eastAsia" w:ascii="仿宋_GB2312" w:eastAsia="仿宋_GB2312"/>
          <w:b w:val="0"/>
          <w:bCs w:val="0"/>
          <w:color w:val="000000"/>
          <w:sz w:val="32"/>
          <w:szCs w:val="32"/>
          <w:lang w:val="en-US" w:eastAsia="zh-CN"/>
        </w:rPr>
      </w:pPr>
      <w:r>
        <w:rPr>
          <w:rFonts w:hint="eastAsia" w:ascii="仿宋" w:hAnsi="仿宋" w:eastAsia="仿宋"/>
          <w:b/>
          <w:color w:val="000000"/>
          <w:sz w:val="32"/>
          <w:szCs w:val="32"/>
        </w:rPr>
        <w:t>住房保障支出（221）住房改革支出（02）住房公积金（01）</w:t>
      </w:r>
      <w:r>
        <w:rPr>
          <w:rStyle w:val="14"/>
          <w:rFonts w:hint="eastAsia" w:ascii="仿宋_GB2312" w:eastAsia="仿宋_GB2312"/>
          <w:b w:val="0"/>
          <w:bCs w:val="0"/>
          <w:color w:val="000000"/>
          <w:sz w:val="32"/>
          <w:szCs w:val="32"/>
          <w:lang w:val="en-US" w:eastAsia="zh-CN"/>
        </w:rPr>
        <w:t>支出决算为2.8614万元，完成预算100%。</w:t>
      </w:r>
    </w:p>
    <w:p>
      <w:pPr>
        <w:spacing w:line="600" w:lineRule="exact"/>
        <w:ind w:firstLine="640" w:firstLineChars="200"/>
        <w:rPr>
          <w:rStyle w:val="14"/>
          <w:rFonts w:hint="eastAsia" w:ascii="仿宋_GB2312" w:eastAsia="仿宋_GB2312"/>
          <w:b w:val="0"/>
          <w:bCs w:val="0"/>
          <w:color w:val="000000"/>
          <w:sz w:val="32"/>
          <w:szCs w:val="32"/>
          <w:lang w:val="en-US" w:eastAsia="zh-CN"/>
        </w:rPr>
      </w:pPr>
    </w:p>
    <w:p>
      <w:pPr>
        <w:spacing w:line="600" w:lineRule="exact"/>
        <w:ind w:firstLine="643" w:firstLineChars="200"/>
        <w:rPr>
          <w:rFonts w:ascii="仿宋" w:hAnsi="仿宋" w:eastAsia="仿宋"/>
          <w:b/>
          <w:color w:val="000000"/>
          <w:sz w:val="32"/>
          <w:szCs w:val="32"/>
        </w:rPr>
      </w:pPr>
      <w:r>
        <w:rPr>
          <w:rStyle w:val="14"/>
          <w:rFonts w:hint="eastAsia" w:ascii="仿宋_GB2312" w:eastAsia="仿宋_GB2312"/>
          <w:b/>
          <w:bCs/>
          <w:color w:val="000000"/>
          <w:sz w:val="32"/>
          <w:szCs w:val="32"/>
          <w:lang w:val="en-US" w:eastAsia="zh-CN"/>
        </w:rPr>
        <w:t>国土海洋气象等支出（220）气象事务（05）其它气象事务支出（99）</w:t>
      </w:r>
      <w:r>
        <w:rPr>
          <w:rStyle w:val="14"/>
          <w:rFonts w:hint="eastAsia" w:ascii="仿宋_GB2312" w:eastAsia="仿宋_GB2312"/>
          <w:b w:val="0"/>
          <w:bCs w:val="0"/>
          <w:color w:val="000000"/>
          <w:sz w:val="32"/>
          <w:szCs w:val="32"/>
          <w:lang w:val="en-US" w:eastAsia="zh-CN"/>
        </w:rPr>
        <w:t>支出决算为5万元，完成预算100%。</w:t>
      </w:r>
    </w:p>
    <w:p>
      <w:pPr>
        <w:tabs>
          <w:tab w:val="right" w:pos="8306"/>
        </w:tabs>
        <w:spacing w:line="600" w:lineRule="exact"/>
        <w:ind w:firstLine="640"/>
        <w:outlineLvl w:val="1"/>
        <w:rPr>
          <w:rStyle w:val="25"/>
        </w:rPr>
      </w:pPr>
      <w:bookmarkStart w:id="43" w:name="_Toc15377214"/>
      <w:bookmarkStart w:id="44" w:name="_Toc18739"/>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43"/>
      <w:bookmarkEnd w:id="44"/>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43.262148</w:t>
      </w:r>
      <w:r>
        <w:rPr>
          <w:rFonts w:hint="eastAsia" w:ascii="仿宋" w:hAnsi="仿宋" w:eastAsia="仿宋"/>
          <w:color w:val="000000"/>
          <w:sz w:val="32"/>
          <w:szCs w:val="32"/>
        </w:rPr>
        <w:t>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35.332148</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2.93</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5"/>
          <w:rFonts w:ascii="黑体" w:hAnsi="黑体" w:eastAsia="黑体"/>
          <w:b w:val="0"/>
        </w:rPr>
      </w:pPr>
      <w:bookmarkStart w:id="45" w:name="_Toc15377215"/>
      <w:bookmarkStart w:id="46" w:name="_Toc22528"/>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5"/>
      <w:bookmarkEnd w:id="46"/>
    </w:p>
    <w:p>
      <w:pPr>
        <w:spacing w:line="600" w:lineRule="exact"/>
        <w:ind w:firstLine="640"/>
        <w:outlineLvl w:val="2"/>
        <w:rPr>
          <w:rFonts w:ascii="仿宋" w:hAnsi="仿宋" w:eastAsia="仿宋"/>
          <w:b/>
          <w:color w:val="000000"/>
          <w:sz w:val="32"/>
          <w:szCs w:val="32"/>
        </w:rPr>
      </w:pPr>
      <w:bookmarkStart w:id="47" w:name="_Toc15377216"/>
      <w:r>
        <w:rPr>
          <w:rFonts w:hint="eastAsia" w:ascii="仿宋" w:hAnsi="仿宋" w:eastAsia="仿宋"/>
          <w:b/>
          <w:color w:val="000000"/>
          <w:sz w:val="32"/>
          <w:szCs w:val="32"/>
        </w:rPr>
        <w:t>（一）“三公”经费财政拨款支出决算总体情况说明</w:t>
      </w:r>
      <w:bookmarkEnd w:id="47"/>
    </w:p>
    <w:p>
      <w:pPr>
        <w:spacing w:line="600" w:lineRule="exact"/>
        <w:ind w:firstLine="640"/>
        <w:rPr>
          <w:rFonts w:ascii="仿宋" w:hAnsi="仿宋" w:eastAsia="仿宋"/>
          <w:b/>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ind w:firstLine="640"/>
        <w:outlineLvl w:val="2"/>
        <w:rPr>
          <w:rFonts w:ascii="仿宋" w:hAnsi="仿宋" w:eastAsia="仿宋"/>
          <w:b/>
          <w:color w:val="000000"/>
          <w:sz w:val="32"/>
          <w:szCs w:val="32"/>
        </w:rPr>
      </w:pPr>
      <w:bookmarkStart w:id="48" w:name="_Toc15377217"/>
      <w:r>
        <w:rPr>
          <w:rFonts w:hint="eastAsia" w:ascii="仿宋" w:hAnsi="仿宋" w:eastAsia="仿宋"/>
          <w:b/>
          <w:color w:val="000000"/>
          <w:sz w:val="32"/>
          <w:szCs w:val="32"/>
        </w:rPr>
        <w:t>（二）“三公”经费财政拨款支出决算具体情况说明</w:t>
      </w:r>
      <w:bookmarkEnd w:id="48"/>
    </w:p>
    <w:p>
      <w:pPr>
        <w:spacing w:line="600" w:lineRule="exact"/>
        <w:ind w:firstLine="640"/>
        <w:rPr>
          <w:rFonts w:hint="eastAsia" w:ascii="黑体" w:eastAsia="黑体"/>
          <w:color w:val="000000"/>
          <w:sz w:val="32"/>
          <w:szCs w:val="32"/>
        </w:rPr>
      </w:pPr>
      <w:bookmarkStart w:id="49" w:name="_Toc15377218"/>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ind w:firstLine="640"/>
        <w:outlineLvl w:val="1"/>
        <w:rPr>
          <w:rStyle w:val="25"/>
          <w:rFonts w:ascii="黑体" w:hAnsi="黑体" w:eastAsia="黑体"/>
        </w:rPr>
      </w:pPr>
      <w:bookmarkStart w:id="50" w:name="_Toc22189"/>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5"/>
          <w:rFonts w:ascii="黑体" w:hAnsi="黑体" w:eastAsia="黑体"/>
          <w:b w:val="0"/>
        </w:rPr>
      </w:pPr>
      <w:bookmarkStart w:id="51" w:name="_Toc15377219"/>
      <w:bookmarkStart w:id="52" w:name="_Toc6616"/>
      <w:r>
        <w:rPr>
          <w:rStyle w:val="25"/>
          <w:rFonts w:hint="eastAsia" w:ascii="黑体" w:hAnsi="黑体" w:eastAsia="黑体"/>
          <w:b w:val="0"/>
        </w:rPr>
        <w:t>国有资本经营预算支出决算情况说明</w:t>
      </w:r>
      <w:bookmarkEnd w:id="51"/>
      <w:bookmarkEnd w:id="5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3"/>
        <w:numPr>
          <w:ilvl w:val="0"/>
          <w:numId w:val="3"/>
        </w:numPr>
        <w:spacing w:line="580" w:lineRule="exact"/>
        <w:ind w:firstLineChars="0"/>
        <w:rPr>
          <w:rStyle w:val="25"/>
          <w:rFonts w:ascii="黑体" w:hAnsi="黑体" w:eastAsia="黑体"/>
          <w:b w:val="0"/>
        </w:rPr>
      </w:pPr>
      <w:bookmarkStart w:id="53" w:name="_Toc4471"/>
      <w:r>
        <w:rPr>
          <w:rStyle w:val="25"/>
          <w:rFonts w:hint="eastAsia" w:ascii="黑体" w:hAnsi="黑体" w:eastAsia="黑体"/>
          <w:b w:val="0"/>
        </w:rPr>
        <w:t>预算绩效情况说明</w:t>
      </w:r>
    </w:p>
    <w:bookmarkEnd w:id="53"/>
    <w:p>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600" w:lineRule="atLeast"/>
        <w:ind w:firstLine="640" w:firstLineChars="200"/>
        <w:rPr>
          <w:rFonts w:ascii="仿宋_GB2312" w:hAnsi="仿宋_GB2312" w:eastAsia="仿宋_GB2312" w:cs="仿宋_GB2312"/>
          <w:sz w:val="32"/>
          <w:szCs w:val="32"/>
        </w:rPr>
      </w:pPr>
      <w:r>
        <w:rPr>
          <w:rFonts w:hint="eastAsia" w:ascii="仿宋_GB2312" w:eastAsia="仿宋_GB2312"/>
          <w:color w:val="000000"/>
          <w:sz w:val="32"/>
          <w:szCs w:val="32"/>
        </w:rPr>
        <w:t>按照预算绩效管理要求，本部门2017年</w:t>
      </w:r>
      <w:r>
        <w:rPr>
          <w:rFonts w:ascii="仿宋_GB2312" w:eastAsia="仿宋_GB2312"/>
          <w:color w:val="000000"/>
          <w:sz w:val="32"/>
          <w:szCs w:val="32"/>
        </w:rPr>
        <w:t>没有绩效评价项目。</w:t>
      </w:r>
    </w:p>
    <w:p>
      <w:pPr>
        <w:spacing w:line="580" w:lineRule="exact"/>
        <w:jc w:val="center"/>
        <w:rPr>
          <w:rFonts w:ascii="方正小标宋简体" w:hAnsi="方正小标宋简体" w:eastAsia="方正小标宋简体" w:cs="方正小标宋简体"/>
          <w:sz w:val="44"/>
          <w:szCs w:val="44"/>
        </w:rPr>
      </w:pPr>
    </w:p>
    <w:p>
      <w:pPr>
        <w:numPr>
          <w:ilvl w:val="0"/>
          <w:numId w:val="5"/>
        </w:numPr>
        <w:spacing w:line="600" w:lineRule="exact"/>
        <w:ind w:firstLine="663" w:firstLineChars="150"/>
        <w:jc w:val="center"/>
        <w:outlineLvl w:val="0"/>
        <w:rPr>
          <w:rStyle w:val="24"/>
          <w:rFonts w:ascii="黑体" w:hAnsi="黑体" w:eastAsia="黑体"/>
          <w:b w:val="0"/>
        </w:rPr>
      </w:pPr>
      <w:bookmarkStart w:id="54" w:name="_Toc15377225"/>
      <w:bookmarkStart w:id="55" w:name="_Toc11048"/>
      <w:r>
        <w:rPr>
          <w:rFonts w:hint="eastAsia" w:ascii="黑体" w:hAnsi="黑体" w:eastAsia="黑体"/>
          <w:b/>
          <w:color w:val="000000"/>
          <w:sz w:val="44"/>
          <w:szCs w:val="44"/>
        </w:rPr>
        <w:t>名</w:t>
      </w:r>
      <w:r>
        <w:rPr>
          <w:rStyle w:val="24"/>
          <w:rFonts w:hint="eastAsia" w:ascii="黑体" w:hAnsi="黑体" w:eastAsia="黑体"/>
          <w:b w:val="0"/>
        </w:rPr>
        <w:t>词解释</w:t>
      </w:r>
      <w:bookmarkEnd w:id="54"/>
      <w:bookmarkEnd w:id="55"/>
    </w:p>
    <w:p>
      <w:pPr>
        <w:spacing w:line="600" w:lineRule="exact"/>
        <w:jc w:val="left"/>
        <w:rPr>
          <w:rFonts w:ascii="宋体"/>
          <w:b/>
          <w:color w:val="000000"/>
          <w:sz w:val="44"/>
          <w:szCs w:val="44"/>
        </w:rPr>
      </w:pPr>
    </w:p>
    <w:p>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1.财政拨款收入：指单位从同级财政部门取得的财政预算资金。 </w:t>
      </w:r>
    </w:p>
    <w:p>
      <w:pPr>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国土海洋气象等支出（220）气象事务（05）气象事业机构（04）指反映气象事业单位的基本支出。</w:t>
      </w:r>
    </w:p>
    <w:p>
      <w:pPr>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3、社会保障和就业支出（208）行政事业单位离退休（05）机关事业单位基本养老保险（05）指机关事业单位基本养老保险缴费支出。</w:t>
      </w:r>
    </w:p>
    <w:p>
      <w:pPr>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4.医疗卫生与计划生育（210）行政事业单位医疗（11）</w:t>
      </w:r>
      <w:bookmarkStart w:id="71" w:name="_GoBack"/>
      <w:bookmarkEnd w:id="71"/>
      <w:r>
        <w:rPr>
          <w:rFonts w:hint="eastAsia" w:ascii="仿宋_GB2312" w:hAnsi="Calibri" w:eastAsia="仿宋_GB2312" w:cs="仿宋"/>
          <w:color w:val="000000"/>
          <w:kern w:val="0"/>
          <w:sz w:val="32"/>
          <w:szCs w:val="32"/>
          <w:lang w:val="en-US" w:eastAsia="zh-CN" w:bidi="ar-SA"/>
        </w:rPr>
        <w:t>事业单位医疗（02）指事业单位医疗支出。</w:t>
      </w:r>
    </w:p>
    <w:p>
      <w:pPr>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5.住房保障支出（221）住房改革支出（02）住房公积金（01）指住房公积金支出。</w:t>
      </w:r>
    </w:p>
    <w:p>
      <w:pPr>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6.基本支出：指为保障机构正常运转、完成日常工作任务而发生的人员支出和公用支出。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 xml:space="preserve">.项目支出：指在基本支出之外为完成特定行政任务和事业发展目标所发生的支出。 </w:t>
      </w:r>
    </w:p>
    <w:p>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Style w:val="24"/>
          <w:rFonts w:ascii="黑体" w:hAnsi="黑体" w:eastAsia="黑体"/>
          <w:b w:val="0"/>
        </w:rPr>
      </w:pPr>
      <w:r>
        <w:rPr>
          <w:rFonts w:hint="eastAsia" w:ascii="仿宋_GB2312" w:eastAsia="仿宋_GB2312"/>
          <w:sz w:val="32"/>
          <w:szCs w:val="32"/>
          <w:lang w:val="en-US" w:eastAsia="zh-CN"/>
        </w:rPr>
        <w:t>9</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6" w:name="_Toc15377226"/>
      <w:r>
        <w:rPr>
          <w:rFonts w:ascii="宋体"/>
          <w:b/>
          <w:color w:val="000000"/>
          <w:sz w:val="44"/>
          <w:szCs w:val="44"/>
        </w:rPr>
        <w:br w:type="page"/>
      </w:r>
    </w:p>
    <w:p>
      <w:pPr>
        <w:spacing w:line="600" w:lineRule="exact"/>
        <w:jc w:val="center"/>
        <w:outlineLvl w:val="0"/>
        <w:rPr>
          <w:rStyle w:val="24"/>
        </w:rPr>
      </w:pPr>
    </w:p>
    <w:p>
      <w:pPr>
        <w:widowControl/>
        <w:ind w:firstLine="3080" w:firstLineChars="700"/>
        <w:jc w:val="left"/>
        <w:rPr>
          <w:rStyle w:val="24"/>
          <w:rFonts w:ascii="黑体" w:hAnsi="黑体" w:eastAsia="黑体"/>
          <w:b w:val="0"/>
        </w:rPr>
      </w:pPr>
      <w:bookmarkStart w:id="57" w:name="_Toc20631"/>
      <w:r>
        <w:rPr>
          <w:rStyle w:val="24"/>
          <w:rFonts w:hint="eastAsia" w:ascii="黑体" w:hAnsi="黑体" w:eastAsia="黑体"/>
          <w:b w:val="0"/>
        </w:rPr>
        <w:t xml:space="preserve"> 附表</w:t>
      </w:r>
      <w:bookmarkEnd w:id="56"/>
    </w:p>
    <w:bookmarkEnd w:id="57"/>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58" w:name="_Toc27700"/>
      <w:r>
        <w:rPr>
          <w:rFonts w:hint="eastAsia" w:ascii="仿宋" w:hAnsi="仿宋" w:eastAsia="仿宋"/>
          <w:b w:val="0"/>
          <w:color w:val="000000"/>
        </w:rPr>
        <w:t>一、收</w:t>
      </w:r>
      <w:r>
        <w:rPr>
          <w:rStyle w:val="25"/>
          <w:rFonts w:hint="eastAsia" w:ascii="仿宋" w:hAnsi="仿宋" w:eastAsia="仿宋"/>
          <w:b w:val="0"/>
          <w:bCs w:val="0"/>
        </w:rPr>
        <w:t>入支出决算总表</w:t>
      </w:r>
      <w:bookmarkEnd w:id="58"/>
    </w:p>
    <w:p>
      <w:pPr>
        <w:pStyle w:val="3"/>
        <w:rPr>
          <w:rFonts w:ascii="仿宋" w:hAnsi="仿宋" w:eastAsia="仿宋"/>
          <w:color w:val="000000"/>
        </w:rPr>
      </w:pPr>
      <w:bookmarkStart w:id="59" w:name="_Toc2895"/>
      <w:r>
        <w:rPr>
          <w:rFonts w:hint="eastAsia" w:ascii="仿宋" w:hAnsi="仿宋" w:eastAsia="仿宋"/>
          <w:b w:val="0"/>
          <w:color w:val="000000"/>
        </w:rPr>
        <w:t>二、收</w:t>
      </w:r>
      <w:r>
        <w:rPr>
          <w:rStyle w:val="25"/>
          <w:rFonts w:hint="eastAsia" w:ascii="仿宋" w:hAnsi="仿宋" w:eastAsia="仿宋"/>
          <w:b w:val="0"/>
          <w:bCs w:val="0"/>
        </w:rPr>
        <w:t>入总表</w:t>
      </w:r>
      <w:bookmarkEnd w:id="59"/>
    </w:p>
    <w:p>
      <w:pPr>
        <w:pStyle w:val="3"/>
        <w:rPr>
          <w:rFonts w:ascii="仿宋" w:hAnsi="仿宋" w:eastAsia="仿宋"/>
          <w:color w:val="000000"/>
        </w:rPr>
      </w:pPr>
      <w:bookmarkStart w:id="60" w:name="_Toc22295"/>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出总表</w:t>
      </w:r>
      <w:bookmarkEnd w:id="60"/>
    </w:p>
    <w:p>
      <w:pPr>
        <w:pStyle w:val="3"/>
        <w:rPr>
          <w:rFonts w:ascii="仿宋" w:hAnsi="仿宋" w:eastAsia="仿宋"/>
          <w:b w:val="0"/>
          <w:color w:val="000000"/>
        </w:rPr>
      </w:pPr>
      <w:bookmarkStart w:id="61" w:name="_Toc15274"/>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1"/>
    </w:p>
    <w:p>
      <w:pPr>
        <w:pStyle w:val="3"/>
        <w:rPr>
          <w:rFonts w:ascii="仿宋" w:hAnsi="仿宋" w:eastAsia="仿宋"/>
          <w:color w:val="000000"/>
        </w:rPr>
      </w:pPr>
      <w:bookmarkStart w:id="62" w:name="_Toc11424"/>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政拨款支出决算明细表（政府经济分类科目）</w:t>
      </w:r>
      <w:bookmarkEnd w:id="62"/>
    </w:p>
    <w:p>
      <w:pPr>
        <w:pStyle w:val="3"/>
        <w:rPr>
          <w:rFonts w:ascii="仿宋" w:hAnsi="仿宋" w:eastAsia="仿宋"/>
          <w:color w:val="000000"/>
        </w:rPr>
      </w:pPr>
      <w:bookmarkStart w:id="63" w:name="_Toc23136"/>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3"/>
    </w:p>
    <w:p>
      <w:pPr>
        <w:pStyle w:val="3"/>
        <w:rPr>
          <w:rFonts w:ascii="仿宋" w:hAnsi="仿宋" w:eastAsia="仿宋"/>
          <w:color w:val="000000"/>
        </w:rPr>
      </w:pPr>
      <w:bookmarkStart w:id="64" w:name="_Toc31018"/>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4"/>
    </w:p>
    <w:p>
      <w:pPr>
        <w:pStyle w:val="3"/>
        <w:rPr>
          <w:rFonts w:ascii="仿宋" w:hAnsi="仿宋" w:eastAsia="仿宋"/>
          <w:color w:val="000000"/>
        </w:rPr>
      </w:pPr>
      <w:bookmarkStart w:id="65" w:name="_Toc26330"/>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5"/>
    </w:p>
    <w:p>
      <w:pPr>
        <w:pStyle w:val="3"/>
        <w:rPr>
          <w:rFonts w:ascii="仿宋" w:hAnsi="仿宋" w:eastAsia="仿宋"/>
          <w:color w:val="000000"/>
        </w:rPr>
      </w:pPr>
      <w:bookmarkStart w:id="66" w:name="_Toc14604"/>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6"/>
    </w:p>
    <w:p>
      <w:pPr>
        <w:pStyle w:val="3"/>
        <w:rPr>
          <w:rFonts w:ascii="仿宋" w:hAnsi="仿宋" w:eastAsia="仿宋"/>
          <w:color w:val="000000"/>
        </w:rPr>
      </w:pPr>
      <w:bookmarkStart w:id="67" w:name="_Toc17506"/>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67"/>
    </w:p>
    <w:p>
      <w:pPr>
        <w:pStyle w:val="3"/>
        <w:rPr>
          <w:rFonts w:ascii="仿宋" w:hAnsi="仿宋" w:eastAsia="仿宋"/>
          <w:color w:val="000000"/>
        </w:rPr>
      </w:pPr>
      <w:bookmarkStart w:id="68" w:name="_Toc24971"/>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68"/>
    </w:p>
    <w:p>
      <w:pPr>
        <w:pStyle w:val="3"/>
        <w:rPr>
          <w:rFonts w:ascii="仿宋" w:hAnsi="仿宋" w:eastAsia="仿宋"/>
          <w:color w:val="000000"/>
        </w:rPr>
      </w:pPr>
      <w:bookmarkStart w:id="69" w:name="_Toc15808"/>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69"/>
    </w:p>
    <w:p>
      <w:pPr>
        <w:pStyle w:val="3"/>
        <w:rPr>
          <w:rFonts w:ascii="仿宋" w:hAnsi="仿宋" w:eastAsia="仿宋"/>
          <w:color w:val="000000" w:themeColor="text1"/>
          <w14:textFill>
            <w14:solidFill>
              <w14:schemeClr w14:val="tx1"/>
            </w14:solidFill>
          </w14:textFill>
        </w:rPr>
      </w:pPr>
      <w:bookmarkStart w:id="70" w:name="_Toc31360"/>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10</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10C055FF"/>
    <w:rsid w:val="16B131EA"/>
    <w:rsid w:val="16BB723D"/>
    <w:rsid w:val="19C31AE0"/>
    <w:rsid w:val="1DF84ADB"/>
    <w:rsid w:val="240371BF"/>
    <w:rsid w:val="29FD04D3"/>
    <w:rsid w:val="319F7F4E"/>
    <w:rsid w:val="566B23E6"/>
    <w:rsid w:val="591C2EE1"/>
    <w:rsid w:val="783251C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仿宋_GB2312" w:hAnsiTheme="minorHAnsi" w:eastAsia="仿宋_GB2312"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5EE963-AE7E-4F3B-BBF1-9AF15C920BB6}">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1441</Words>
  <Characters>8219</Characters>
  <Lines>68</Lines>
  <Paragraphs>19</Paragraphs>
  <TotalTime>1</TotalTime>
  <ScaleCrop>false</ScaleCrop>
  <LinksUpToDate>false</LinksUpToDate>
  <CharactersWithSpaces>9641</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Mage</cp:lastModifiedBy>
  <cp:lastPrinted>2019-08-01T00:48:00Z</cp:lastPrinted>
  <dcterms:modified xsi:type="dcterms:W3CDTF">2019-10-10T02:12:23Z</dcterms:modified>
  <dc:title>四川省***</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