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28590"/>
      <w:bookmarkStart w:id="2" w:name="_Toc15377425"/>
      <w:bookmarkStart w:id="3" w:name="_Toc15396475"/>
      <w:bookmarkStart w:id="4" w:name="_Toc15396597"/>
      <w:bookmarkStart w:id="5" w:name="_Toc15378441"/>
      <w:bookmarkStart w:id="6" w:name="_Toc15377193"/>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476"/>
      <w:bookmarkStart w:id="8" w:name="_Toc15377426"/>
      <w:bookmarkStart w:id="9" w:name="_Toc1431"/>
      <w:bookmarkStart w:id="10" w:name="_Toc15396598"/>
      <w:bookmarkStart w:id="11" w:name="_Toc15377194"/>
      <w:bookmarkStart w:id="12" w:name="_Toc15378442"/>
      <w:r>
        <w:rPr>
          <w:rFonts w:hint="eastAsia" w:ascii="方正小标宋简体" w:hAnsi="宋体" w:eastAsia="方正小标宋简体"/>
          <w:color w:val="000000"/>
          <w:sz w:val="72"/>
          <w:szCs w:val="72"/>
        </w:rPr>
        <w:t>四川省</w:t>
      </w:r>
      <w:bookmarkEnd w:id="0"/>
      <w:bookmarkStart w:id="13" w:name="_Toc15306268"/>
      <w:r>
        <w:rPr>
          <w:rFonts w:hint="eastAsia" w:ascii="方正小标宋简体" w:hAnsi="宋体" w:eastAsia="方正小标宋简体"/>
          <w:color w:val="000000"/>
          <w:sz w:val="72"/>
          <w:szCs w:val="72"/>
          <w:lang w:eastAsia="zh-CN"/>
        </w:rPr>
        <w:t>九寨沟县气象防灾减灾中心</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widowControl/>
        <w:jc w:val="center"/>
        <w:rPr>
          <w:rFonts w:hint="eastAsia" w:ascii="黑体" w:hAnsi="黑体" w:eastAsia="黑体"/>
          <w:color w:val="000000"/>
          <w:sz w:val="48"/>
          <w:szCs w:val="48"/>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hint="eastAsia"/>
        </w:rPr>
      </w:pPr>
    </w:p>
    <w:p>
      <w:pPr>
        <w:widowControl/>
        <w:jc w:val="center"/>
        <w:rPr>
          <w:rFonts w:hint="eastAsia"/>
        </w:rPr>
      </w:pPr>
    </w:p>
    <w:p>
      <w:pPr>
        <w:widowControl/>
        <w:jc w:val="center"/>
      </w:pPr>
      <w:r>
        <w:rPr>
          <w:rFonts w:hint="eastAsia"/>
        </w:rPr>
        <w:t>公开时间：2020年</w:t>
      </w:r>
      <w:r>
        <w:rPr>
          <w:rFonts w:hint="eastAsia"/>
          <w:lang w:val="en-US" w:eastAsia="zh-CN"/>
        </w:rPr>
        <w:t>8</w:t>
      </w:r>
      <w:r>
        <w:rPr>
          <w:rFonts w:hint="eastAsia"/>
        </w:rPr>
        <w:t>月</w:t>
      </w:r>
      <w:r>
        <w:t>25</w:t>
      </w:r>
      <w:r>
        <w:rPr>
          <w:rFonts w:hint="eastAsia"/>
        </w:rPr>
        <w:t>日</w:t>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_Toc7442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_Toc17003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_Toc17003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_Toc26800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_Toc26800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_Toc26081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lang w:eastAsia="zh-CN"/>
        </w:rPr>
        <w:t>2019</w:t>
      </w:r>
      <w:r>
        <w:rPr>
          <w:rFonts w:hint="eastAsia" w:ascii="仿宋_GB2312" w:hAnsi="仿宋_GB2312" w:eastAsia="仿宋_GB2312" w:cs="仿宋_GB2312"/>
          <w:bCs w:val="0"/>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_Toc26081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_Toc17790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 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_Toc27528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 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_Toc4966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 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_Toc4966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_Toc10887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_Toc26086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_Toc26086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_Toc18739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_Toc22528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_Toc22189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_Toc22189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_Toc6616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_Toc4471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 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_Toc4471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_Toc11048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_Toc11048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_Toc20631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_Toc27700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w:t>
      </w:r>
      <w:r>
        <w:rPr>
          <w:rFonts w:hint="eastAsia" w:ascii="仿宋_GB2312" w:hAnsi="仿宋_GB2312" w:eastAsia="仿宋_GB2312" w:cs="仿宋_GB2312"/>
          <w:bCs w:val="0"/>
          <w:sz w:val="32"/>
          <w:szCs w:val="32"/>
        </w:rPr>
        <w:t>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_Toc27700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_Toc2895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w:t>
      </w:r>
      <w:r>
        <w:rPr>
          <w:rFonts w:hint="eastAsia" w:ascii="仿宋_GB2312" w:hAnsi="仿宋_GB2312" w:eastAsia="仿宋_GB2312" w:cs="仿宋_GB2312"/>
          <w:bCs w:val="0"/>
          <w:sz w:val="32"/>
          <w:szCs w:val="32"/>
        </w:rPr>
        <w:t>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_Toc22295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val="0"/>
          <w:sz w:val="32"/>
          <w:szCs w:val="32"/>
        </w:rPr>
        <w:t>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_Toc15274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_Toc15274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_Toc11424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_Toc11424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_Toc23136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_Toc23136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_Toc31018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_Toc31018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_Toc26330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_Toc14604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_Toc14604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_Toc24971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_Toc24971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_Toc15808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_Toc31360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十三、</w:t>
      </w:r>
      <w:r>
        <w:rPr>
          <w:rFonts w:hint="eastAsia" w:ascii="仿宋_GB2312" w:hAnsi="仿宋_GB2312" w:eastAsia="仿宋_GB2312" w:cs="仿宋_GB2312"/>
          <w:sz w:val="32"/>
          <w:szCs w:val="32"/>
        </w:rPr>
        <w:t>国</w:t>
      </w:r>
      <w:r>
        <w:rPr>
          <w:rFonts w:hint="eastAsia" w:ascii="仿宋_GB2312" w:hAnsi="仿宋_GB2312" w:eastAsia="仿宋_GB2312" w:cs="仿宋_GB2312"/>
          <w:bCs w:val="0"/>
          <w:sz w:val="32"/>
          <w:szCs w:val="32"/>
        </w:rPr>
        <w:t>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widowControl/>
        <w:jc w:val="left"/>
        <w:rPr>
          <w:rFonts w:ascii="仿宋" w:hAnsi="仿宋" w:eastAsia="仿宋"/>
          <w:color w:val="000000"/>
          <w:sz w:val="24"/>
        </w:rPr>
      </w:pPr>
      <w:r>
        <w:rPr>
          <w:rFonts w:ascii="仿宋" w:hAnsi="仿宋" w:eastAsia="仿宋"/>
          <w:color w:val="000000"/>
        </w:rPr>
        <w:fldChar w:fldCharType="end"/>
      </w:r>
    </w:p>
    <w:p>
      <w:pPr>
        <w:widowControl/>
        <w:jc w:val="left"/>
        <w:rPr>
          <w:rFonts w:ascii="黑体" w:hAnsi="黑体" w:eastAsia="黑体"/>
          <w:bCs/>
          <w:kern w:val="44"/>
          <w:sz w:val="44"/>
          <w:szCs w:val="44"/>
        </w:rPr>
      </w:pPr>
      <w:bookmarkStart w:id="14" w:name="_Toc15377196"/>
      <w:r>
        <w:rPr>
          <w:rFonts w:ascii="黑体" w:hAnsi="黑体" w:eastAsia="黑体"/>
          <w:b/>
        </w:rPr>
        <w:br w:type="page"/>
      </w:r>
    </w:p>
    <w:p>
      <w:pPr>
        <w:pStyle w:val="3"/>
        <w:jc w:val="center"/>
        <w:rPr>
          <w:rStyle w:val="24"/>
          <w:rFonts w:ascii="黑体" w:hAnsi="黑体" w:eastAsia="黑体"/>
          <w:b/>
          <w:bCs w:val="0"/>
        </w:rPr>
      </w:pPr>
      <w:bookmarkStart w:id="15" w:name="_Toc7442"/>
      <w:r>
        <w:rPr>
          <w:rFonts w:hint="eastAsia" w:ascii="黑体" w:hAnsi="黑体" w:eastAsia="黑体"/>
          <w:b w:val="0"/>
        </w:rPr>
        <w:t xml:space="preserve">第一部分 </w:t>
      </w:r>
      <w:r>
        <w:rPr>
          <w:rStyle w:val="24"/>
          <w:rFonts w:hint="eastAsia" w:ascii="黑体" w:hAnsi="黑体" w:eastAsia="黑体"/>
          <w:b w:val="0"/>
          <w:bCs w:val="0"/>
        </w:rPr>
        <w:t>部门概况</w:t>
      </w:r>
      <w:bookmarkEnd w:id="14"/>
      <w:bookmarkEnd w:id="15"/>
    </w:p>
    <w:p>
      <w:pPr>
        <w:widowControl/>
        <w:jc w:val="left"/>
        <w:rPr>
          <w:rFonts w:ascii="黑体" w:eastAsia="黑体"/>
          <w:color w:val="000000"/>
          <w:sz w:val="32"/>
          <w:szCs w:val="32"/>
        </w:rPr>
      </w:pPr>
    </w:p>
    <w:p>
      <w:pPr>
        <w:pStyle w:val="4"/>
        <w:rPr>
          <w:rStyle w:val="25"/>
          <w:rFonts w:ascii="仿宋" w:hAnsi="仿宋" w:eastAsia="仿宋"/>
          <w:b w:val="0"/>
          <w:bCs w:val="0"/>
        </w:rPr>
      </w:pPr>
      <w:bookmarkStart w:id="16" w:name="_Toc15377197"/>
      <w:bookmarkStart w:id="17" w:name="_Toc17003"/>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8"/>
      <w:bookmarkStart w:id="19" w:name="_Toc15378445"/>
      <w:r>
        <w:rPr>
          <w:rFonts w:hint="eastAsia" w:ascii="仿宋" w:hAnsi="仿宋" w:eastAsia="仿宋"/>
          <w:bCs/>
          <w:color w:val="000000"/>
          <w:sz w:val="32"/>
          <w:szCs w:val="32"/>
        </w:rPr>
        <w:t>（一）主要职能。</w:t>
      </w:r>
      <w:bookmarkEnd w:id="18"/>
      <w:bookmarkEnd w:id="19"/>
    </w:p>
    <w:p>
      <w:pPr>
        <w:ind w:firstLine="640"/>
        <w:rPr>
          <w:rFonts w:hint="eastAsia" w:ascii="仿宋" w:hAnsi="仿宋" w:eastAsia="仿宋"/>
          <w:bCs/>
          <w:color w:val="000000"/>
          <w:sz w:val="32"/>
          <w:szCs w:val="32"/>
        </w:rPr>
      </w:pPr>
      <w:r>
        <w:rPr>
          <w:rFonts w:hint="eastAsia" w:ascii="仿宋_GB2312" w:eastAsia="仿宋_GB2312"/>
          <w:sz w:val="32"/>
          <w:szCs w:val="32"/>
          <w:shd w:val="clear" w:color="auto" w:fill="FFFFFF"/>
        </w:rPr>
        <w:t>承担</w:t>
      </w:r>
      <w:r>
        <w:rPr>
          <w:rFonts w:hint="eastAsia" w:ascii="仿宋_GB2312" w:eastAsia="仿宋_GB2312"/>
          <w:sz w:val="32"/>
          <w:szCs w:val="32"/>
          <w:shd w:val="clear" w:color="auto" w:fill="FFFFFF"/>
          <w:lang w:eastAsia="zh-CN"/>
        </w:rPr>
        <w:t>全县气象灾害防御技术的标准制定、灾害鉴定、技术评价、推广应用和技术服务。承担全县气象灾害的普查、风险区划、监测预警、影响评估。承担全县气象灾害防御的技术指导、培训和科普宣传。承担全县气象灾害预警发布和综合气象防灾减灾。承担九寨沟县国家突发事件预警发布系统运行保障。承担全县人工影响天气工作的规划计划、组织实施和指导管理人工增雨（雪）、防雹等工作。承担全县防雷安全防雷减灾普法、政策调查研究，防雷制度标准组织实施，防雷行政许可组织实施，防雷行政执法监督指导，防雷技术服务管理，雷电业务服务、雷电监测业务、雷电预报预警业务管理、雷电致灾机理、雷电防护技术研究、雷电灾害风险区划、雷电灾害调查鉴定、防雷装置设计技术评价和审核、防雷装置检测等工作。</w:t>
      </w:r>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15377199"/>
      <w:bookmarkStart w:id="21"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bookmarkEnd w:id="20"/>
      <w:bookmarkEnd w:id="21"/>
    </w:p>
    <w:p>
      <w:pPr>
        <w:pStyle w:val="2"/>
        <w:numPr>
          <w:ilvl w:val="0"/>
          <w:numId w:val="0"/>
        </w:numPr>
        <w:adjustRightInd w:val="0"/>
        <w:snapToGrid w:val="0"/>
        <w:spacing w:line="600" w:lineRule="exact"/>
        <w:rPr>
          <w:rFonts w:hint="eastAsia" w:ascii="仿宋" w:hAnsi="仿宋" w:eastAsia="仿宋"/>
          <w:bCs/>
          <w:color w:val="000000"/>
          <w:sz w:val="32"/>
          <w:szCs w:val="32"/>
        </w:rPr>
      </w:pPr>
      <w:r>
        <w:rPr>
          <w:rFonts w:hint="eastAsia" w:ascii="仿宋_GB2312" w:eastAsia="仿宋_GB2312"/>
          <w:sz w:val="32"/>
          <w:szCs w:val="32"/>
          <w:shd w:val="clear" w:color="auto" w:fill="FFFFFF"/>
        </w:rPr>
        <w:t>一是做好</w:t>
      </w:r>
      <w:r>
        <w:rPr>
          <w:rFonts w:hint="eastAsia"/>
          <w:sz w:val="32"/>
          <w:szCs w:val="32"/>
          <w:shd w:val="clear" w:color="auto" w:fill="FFFFFF"/>
          <w:lang w:eastAsia="zh-CN"/>
        </w:rPr>
        <w:t>了</w:t>
      </w:r>
      <w:r>
        <w:rPr>
          <w:rFonts w:hint="eastAsia" w:ascii="仿宋_GB2312" w:eastAsia="仿宋_GB2312"/>
          <w:sz w:val="32"/>
          <w:szCs w:val="32"/>
          <w:shd w:val="clear" w:color="auto" w:fill="FFFFFF"/>
        </w:rPr>
        <w:t>收支预算执行</w:t>
      </w:r>
      <w:r>
        <w:rPr>
          <w:rFonts w:hint="eastAsia"/>
          <w:sz w:val="32"/>
          <w:szCs w:val="32"/>
          <w:shd w:val="clear" w:color="auto" w:fill="FFFFFF"/>
          <w:lang w:eastAsia="zh-CN"/>
        </w:rPr>
        <w:t>，</w:t>
      </w:r>
      <w:r>
        <w:rPr>
          <w:rFonts w:hint="eastAsia" w:ascii="仿宋_GB2312" w:eastAsia="仿宋_GB2312"/>
          <w:sz w:val="32"/>
          <w:szCs w:val="32"/>
          <w:shd w:val="clear" w:color="auto" w:fill="FFFFFF"/>
        </w:rPr>
        <w:t>加强</w:t>
      </w:r>
      <w:r>
        <w:rPr>
          <w:rFonts w:hint="eastAsia"/>
          <w:sz w:val="32"/>
          <w:szCs w:val="32"/>
          <w:shd w:val="clear" w:color="auto" w:fill="FFFFFF"/>
          <w:lang w:eastAsia="zh-CN"/>
        </w:rPr>
        <w:t>了</w:t>
      </w:r>
      <w:r>
        <w:rPr>
          <w:rFonts w:hint="eastAsia" w:ascii="仿宋_GB2312" w:eastAsia="仿宋_GB2312"/>
          <w:sz w:val="32"/>
          <w:szCs w:val="32"/>
          <w:shd w:val="clear" w:color="auto" w:fill="FFFFFF"/>
        </w:rPr>
        <w:t>支出管理</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二是</w:t>
      </w:r>
      <w:r>
        <w:rPr>
          <w:rFonts w:hint="eastAsia"/>
          <w:sz w:val="32"/>
          <w:szCs w:val="32"/>
          <w:shd w:val="clear" w:color="auto" w:fill="FFFFFF"/>
          <w:lang w:eastAsia="zh-CN"/>
        </w:rPr>
        <w:t>按照</w:t>
      </w:r>
      <w:r>
        <w:rPr>
          <w:rFonts w:hint="eastAsia" w:ascii="仿宋_GB2312" w:eastAsia="仿宋_GB2312"/>
          <w:sz w:val="32"/>
          <w:szCs w:val="32"/>
          <w:shd w:val="clear" w:color="auto" w:fill="FFFFFF"/>
        </w:rPr>
        <w:t>九寨沟县人工影响天气工作计划积极开展</w:t>
      </w:r>
      <w:r>
        <w:rPr>
          <w:rFonts w:hint="eastAsia"/>
          <w:sz w:val="32"/>
          <w:szCs w:val="32"/>
          <w:shd w:val="clear" w:color="auto" w:fill="FFFFFF"/>
          <w:lang w:eastAsia="zh-CN"/>
        </w:rPr>
        <w:t>了</w:t>
      </w:r>
      <w:r>
        <w:rPr>
          <w:rFonts w:hint="eastAsia"/>
          <w:sz w:val="32"/>
          <w:szCs w:val="32"/>
          <w:shd w:val="clear" w:color="auto" w:fill="FFFFFF"/>
          <w:lang w:val="en-US" w:eastAsia="zh-CN"/>
        </w:rPr>
        <w:t>4次</w:t>
      </w:r>
      <w:r>
        <w:rPr>
          <w:rFonts w:hint="eastAsia" w:ascii="仿宋_GB2312" w:eastAsia="仿宋_GB2312"/>
          <w:sz w:val="32"/>
          <w:szCs w:val="32"/>
          <w:shd w:val="clear" w:color="auto" w:fill="FFFFFF"/>
        </w:rPr>
        <w:t>人工增雨（雪）作业</w:t>
      </w:r>
      <w:r>
        <w:rPr>
          <w:rFonts w:hint="eastAsia"/>
          <w:sz w:val="32"/>
          <w:szCs w:val="32"/>
          <w:shd w:val="clear" w:color="auto" w:fill="FFFFFF"/>
          <w:lang w:eastAsia="zh-CN"/>
        </w:rPr>
        <w:t>；三</w:t>
      </w:r>
      <w:r>
        <w:rPr>
          <w:rFonts w:hint="eastAsia" w:ascii="仿宋_GB2312" w:eastAsia="仿宋_GB2312"/>
          <w:sz w:val="32"/>
          <w:szCs w:val="32"/>
          <w:shd w:val="clear" w:color="auto" w:fill="FFFFFF"/>
        </w:rPr>
        <w:t>是做好</w:t>
      </w:r>
      <w:r>
        <w:rPr>
          <w:rFonts w:hint="eastAsia"/>
          <w:sz w:val="32"/>
          <w:szCs w:val="32"/>
          <w:shd w:val="clear" w:color="auto" w:fill="FFFFFF"/>
          <w:lang w:eastAsia="zh-CN"/>
        </w:rPr>
        <w:t>了</w:t>
      </w:r>
      <w:r>
        <w:rPr>
          <w:rFonts w:hint="eastAsia" w:ascii="仿宋_GB2312" w:eastAsia="仿宋_GB2312"/>
          <w:sz w:val="32"/>
          <w:szCs w:val="32"/>
          <w:shd w:val="clear" w:color="auto" w:fill="FFFFFF"/>
        </w:rPr>
        <w:t>全年人工影响天气效益评估工作</w:t>
      </w:r>
      <w:r>
        <w:rPr>
          <w:rFonts w:hint="eastAsia" w:ascii="仿宋_GB2312" w:eastAsia="仿宋_GB2312"/>
          <w:sz w:val="32"/>
          <w:szCs w:val="32"/>
          <w:shd w:val="clear" w:color="auto" w:fill="FFFFFF"/>
          <w:lang w:eastAsia="zh-CN"/>
        </w:rPr>
        <w:t>；</w:t>
      </w:r>
      <w:r>
        <w:rPr>
          <w:rFonts w:hint="eastAsia"/>
          <w:sz w:val="32"/>
          <w:szCs w:val="32"/>
          <w:shd w:val="clear" w:color="auto" w:fill="FFFFFF"/>
          <w:lang w:eastAsia="zh-CN"/>
        </w:rPr>
        <w:t>四</w:t>
      </w:r>
      <w:r>
        <w:rPr>
          <w:rFonts w:hint="eastAsia" w:ascii="仿宋_GB2312" w:eastAsia="仿宋_GB2312"/>
          <w:sz w:val="32"/>
          <w:szCs w:val="32"/>
          <w:shd w:val="clear" w:color="auto" w:fill="FFFFFF"/>
          <w:lang w:eastAsia="zh-CN"/>
        </w:rPr>
        <w:t>是</w:t>
      </w:r>
      <w:r>
        <w:rPr>
          <w:rFonts w:hint="eastAsia"/>
          <w:sz w:val="32"/>
          <w:szCs w:val="32"/>
          <w:shd w:val="clear" w:color="auto" w:fill="FFFFFF"/>
          <w:lang w:eastAsia="zh-CN"/>
        </w:rPr>
        <w:t>对</w:t>
      </w:r>
      <w:r>
        <w:rPr>
          <w:rFonts w:hint="eastAsia"/>
          <w:sz w:val="32"/>
          <w:szCs w:val="32"/>
          <w:shd w:val="clear" w:color="auto" w:fill="FFFFFF"/>
          <w:lang w:val="en-US" w:eastAsia="zh-CN"/>
        </w:rPr>
        <w:t>70余家单位和企业进行了</w:t>
      </w:r>
      <w:r>
        <w:rPr>
          <w:rFonts w:hint="eastAsia" w:ascii="仿宋_GB2312" w:eastAsia="仿宋_GB2312"/>
          <w:sz w:val="32"/>
          <w:szCs w:val="32"/>
          <w:shd w:val="clear" w:color="auto" w:fill="FFFFFF"/>
          <w:lang w:eastAsia="zh-CN"/>
        </w:rPr>
        <w:t>防雷装置设计技术评价和审核、防雷装置检测等工作。</w:t>
      </w:r>
    </w:p>
    <w:p>
      <w:pPr>
        <w:pStyle w:val="4"/>
        <w:rPr>
          <w:rStyle w:val="25"/>
          <w:b w:val="0"/>
          <w:bCs w:val="0"/>
        </w:rPr>
      </w:pPr>
      <w:bookmarkStart w:id="22" w:name="_Toc15377200"/>
      <w:bookmarkStart w:id="23" w:name="_Toc268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pPr>
        <w:ind w:firstLine="645"/>
        <w:rPr>
          <w:rFonts w:hint="eastAsia"/>
          <w:color w:val="000000"/>
          <w:sz w:val="32"/>
          <w:szCs w:val="32"/>
        </w:rPr>
      </w:pPr>
      <w:r>
        <w:rPr>
          <w:rFonts w:hint="eastAsia" w:ascii="仿宋_GB2312" w:eastAsia="仿宋_GB2312"/>
          <w:sz w:val="32"/>
          <w:szCs w:val="32"/>
          <w:shd w:val="clear" w:color="auto" w:fill="FFFFFF"/>
        </w:rPr>
        <w:t>九寨沟县</w:t>
      </w:r>
      <w:r>
        <w:rPr>
          <w:rFonts w:hint="eastAsia" w:ascii="仿宋_GB2312" w:eastAsia="仿宋_GB2312"/>
          <w:sz w:val="32"/>
          <w:szCs w:val="32"/>
          <w:shd w:val="clear" w:color="auto" w:fill="FFFFFF"/>
          <w:lang w:eastAsia="zh-CN"/>
        </w:rPr>
        <w:t>气象防灾减灾中心</w:t>
      </w:r>
      <w:r>
        <w:rPr>
          <w:rFonts w:hint="eastAsia" w:ascii="仿宋_GB2312" w:eastAsia="仿宋_GB2312"/>
          <w:sz w:val="32"/>
          <w:szCs w:val="32"/>
          <w:shd w:val="clear" w:color="auto" w:fill="FFFFFF"/>
        </w:rPr>
        <w:t>是九寨沟县人民政府举办的股级事业单位。</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4"/>
          <w:rFonts w:ascii="黑体" w:hAnsi="黑体" w:eastAsia="黑体"/>
          <w:b w:val="0"/>
          <w:bCs w:val="0"/>
        </w:rPr>
      </w:pPr>
      <w:bookmarkStart w:id="24" w:name="_Toc26081"/>
      <w:bookmarkStart w:id="25"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lang w:eastAsia="zh-CN"/>
        </w:rPr>
        <w:t>2019</w:t>
      </w:r>
      <w:r>
        <w:rPr>
          <w:rStyle w:val="24"/>
          <w:rFonts w:hint="eastAsia" w:ascii="黑体" w:hAnsi="黑体" w:eastAsia="黑体"/>
          <w:b w:val="0"/>
          <w:bCs w:val="0"/>
        </w:rPr>
        <w:t>年度部门决算情况说明</w:t>
      </w:r>
      <w:bookmarkEnd w:id="24"/>
      <w:bookmarkEnd w:id="25"/>
    </w:p>
    <w:p/>
    <w:p>
      <w:pPr>
        <w:pStyle w:val="23"/>
        <w:numPr>
          <w:ilvl w:val="0"/>
          <w:numId w:val="1"/>
        </w:numPr>
        <w:spacing w:line="600" w:lineRule="exact"/>
        <w:ind w:firstLineChars="0"/>
        <w:outlineLvl w:val="1"/>
        <w:rPr>
          <w:rStyle w:val="25"/>
          <w:rFonts w:ascii="黑体" w:hAnsi="黑体" w:eastAsia="黑体"/>
          <w:b w:val="0"/>
        </w:rPr>
      </w:pPr>
      <w:bookmarkStart w:id="26" w:name="_Toc15377205"/>
      <w:bookmarkStart w:id="27" w:name="_Toc1779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lang w:eastAsia="zh-CN"/>
        </w:rPr>
        <w:t>2019</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w:t>
      </w:r>
    </w:p>
    <w:p>
      <w:pPr>
        <w:pStyle w:val="23"/>
        <w:numPr>
          <w:ilvl w:val="0"/>
          <w:numId w:val="1"/>
        </w:numPr>
        <w:spacing w:line="600" w:lineRule="exact"/>
        <w:ind w:firstLineChars="0"/>
        <w:outlineLvl w:val="1"/>
        <w:rPr>
          <w:rStyle w:val="25"/>
          <w:rFonts w:ascii="黑体" w:hAnsi="黑体" w:eastAsia="黑体"/>
          <w:b w:val="0"/>
        </w:rPr>
      </w:pPr>
      <w:bookmarkStart w:id="28" w:name="_Toc27528"/>
      <w:bookmarkStart w:id="29"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8"/>
      <w:bookmarkEnd w:id="29"/>
    </w:p>
    <w:p>
      <w:pPr>
        <w:spacing w:line="600" w:lineRule="exact"/>
        <w:ind w:firstLine="640" w:firstLineChars="200"/>
        <w:outlineLvl w:val="1"/>
        <w:rPr>
          <w:rFonts w:ascii="仿宋_GB2312" w:eastAsia="仿宋_GB2312"/>
          <w:color w:val="FF0000"/>
          <w:sz w:val="32"/>
          <w:szCs w:val="32"/>
        </w:rPr>
      </w:pPr>
      <w:bookmarkStart w:id="30" w:name="_Toc2938"/>
      <w:r>
        <w:rPr>
          <w:rFonts w:hint="eastAsia" w:ascii="仿宋" w:hAnsi="仿宋" w:eastAsia="仿宋"/>
          <w:color w:val="000000"/>
          <w:sz w:val="32"/>
          <w:szCs w:val="32"/>
          <w:lang w:eastAsia="zh-CN"/>
        </w:rPr>
        <w:t>2019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0"/>
    </w:p>
    <w:p>
      <w:pPr>
        <w:pStyle w:val="23"/>
        <w:numPr>
          <w:ilvl w:val="0"/>
          <w:numId w:val="1"/>
        </w:numPr>
        <w:spacing w:line="600" w:lineRule="exact"/>
        <w:ind w:firstLineChars="0"/>
        <w:outlineLvl w:val="1"/>
        <w:rPr>
          <w:rStyle w:val="25"/>
          <w:rFonts w:ascii="黑体" w:hAnsi="黑体" w:eastAsia="黑体"/>
          <w:b w:val="0"/>
        </w:rPr>
      </w:pPr>
      <w:bookmarkStart w:id="31" w:name="_Toc4966"/>
      <w:bookmarkStart w:id="32"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31"/>
      <w:bookmarkEnd w:id="32"/>
    </w:p>
    <w:p>
      <w:pPr>
        <w:spacing w:line="600" w:lineRule="exact"/>
        <w:ind w:firstLine="640"/>
        <w:rPr>
          <w:rFonts w:ascii="仿宋_GB2312" w:eastAsia="仿宋_GB2312"/>
          <w:color w:val="FF0000"/>
          <w:sz w:val="32"/>
          <w:szCs w:val="32"/>
        </w:rPr>
      </w:pPr>
      <w:r>
        <w:rPr>
          <w:rFonts w:hint="eastAsia" w:ascii="仿宋" w:hAnsi="仿宋" w:eastAsia="仿宋"/>
          <w:color w:val="000000"/>
          <w:sz w:val="32"/>
          <w:szCs w:val="32"/>
          <w:lang w:eastAsia="zh-CN"/>
        </w:rPr>
        <w:t>2019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5"/>
          <w:rFonts w:ascii="黑体" w:hAnsi="黑体" w:eastAsia="黑体"/>
          <w:b w:val="0"/>
        </w:rPr>
      </w:pPr>
      <w:bookmarkStart w:id="33" w:name="_Toc10887"/>
      <w:bookmarkStart w:id="34"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3"/>
      <w:bookmarkEnd w:id="34"/>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lang w:eastAsia="zh-CN"/>
        </w:rPr>
        <w:t>2019</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w:t>
      </w:r>
    </w:p>
    <w:p>
      <w:pPr>
        <w:spacing w:line="600" w:lineRule="exact"/>
        <w:ind w:firstLine="640" w:firstLineChars="200"/>
        <w:outlineLvl w:val="1"/>
        <w:rPr>
          <w:rStyle w:val="25"/>
          <w:rFonts w:ascii="黑体" w:hAnsi="黑体" w:eastAsia="黑体"/>
          <w:b w:val="0"/>
        </w:rPr>
      </w:pPr>
      <w:bookmarkStart w:id="35" w:name="_Toc15377209"/>
      <w:bookmarkStart w:id="36" w:name="_Toc26086"/>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5"/>
      <w:bookmarkEnd w:id="36"/>
    </w:p>
    <w:p>
      <w:pPr>
        <w:spacing w:line="600" w:lineRule="exact"/>
        <w:ind w:firstLine="643" w:firstLineChars="200"/>
        <w:outlineLvl w:val="2"/>
        <w:rPr>
          <w:rFonts w:ascii="仿宋" w:hAnsi="仿宋" w:eastAsia="仿宋"/>
          <w:b/>
          <w:color w:val="000000"/>
          <w:sz w:val="32"/>
          <w:szCs w:val="32"/>
        </w:rPr>
      </w:pPr>
      <w:bookmarkStart w:id="37" w:name="_Toc15377210"/>
      <w:r>
        <w:rPr>
          <w:rFonts w:hint="eastAsia" w:ascii="仿宋" w:hAnsi="仿宋" w:eastAsia="仿宋"/>
          <w:b/>
          <w:color w:val="000000"/>
          <w:sz w:val="32"/>
          <w:szCs w:val="32"/>
        </w:rPr>
        <w:t>（一）一般公共预算财政拨款支出决算总体情况</w:t>
      </w:r>
      <w:bookmarkEnd w:id="37"/>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2019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38" w:name="_Toc15377211"/>
      <w:r>
        <w:rPr>
          <w:rFonts w:hint="eastAsia" w:ascii="仿宋" w:hAnsi="仿宋" w:eastAsia="仿宋"/>
          <w:b/>
          <w:color w:val="000000"/>
          <w:sz w:val="32"/>
          <w:szCs w:val="32"/>
        </w:rPr>
        <w:t>（二）一般公共预算财政拨款支出决算结构情况</w:t>
      </w:r>
      <w:bookmarkEnd w:id="3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2019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46.058374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4.197648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7.05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2.375279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4.75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3.6489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6.63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_GB2312" w:eastAsia="仿宋_GB2312"/>
          <w:b/>
          <w:bCs/>
          <w:sz w:val="32"/>
          <w:szCs w:val="32"/>
          <w:shd w:val="clear" w:color="auto" w:fill="FFFFFF"/>
        </w:rPr>
        <w:t>气象事务</w:t>
      </w:r>
      <w:r>
        <w:rPr>
          <w:rFonts w:hint="eastAsia" w:ascii="仿宋_GB2312" w:eastAsia="仿宋_GB2312"/>
          <w:b/>
          <w:bCs/>
          <w:sz w:val="32"/>
          <w:szCs w:val="32"/>
          <w:shd w:val="clear" w:color="auto" w:fill="FFFFFF"/>
          <w:lang w:eastAsia="zh-CN"/>
        </w:rPr>
        <w:t>（</w:t>
      </w:r>
      <w:r>
        <w:rPr>
          <w:rFonts w:hint="eastAsia" w:ascii="仿宋_GB2312" w:eastAsia="仿宋_GB2312"/>
          <w:b/>
          <w:bCs/>
          <w:sz w:val="32"/>
          <w:szCs w:val="32"/>
          <w:shd w:val="clear" w:color="auto" w:fill="FFFFFF"/>
          <w:lang w:val="en-US" w:eastAsia="zh-CN"/>
        </w:rPr>
        <w:t>220</w:t>
      </w:r>
      <w:r>
        <w:rPr>
          <w:rFonts w:hint="eastAsia" w:ascii="仿宋_GB2312" w:eastAsia="仿宋_GB2312"/>
          <w:b/>
          <w:bCs/>
          <w:sz w:val="32"/>
          <w:szCs w:val="32"/>
          <w:shd w:val="clear" w:color="auto" w:fill="FFFFFF"/>
          <w:lang w:eastAsia="zh-CN"/>
        </w:rPr>
        <w:t>）</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35.836547万元81.57%</w:t>
      </w:r>
      <w:r>
        <w:rPr>
          <w:rFonts w:hint="eastAsia" w:ascii="仿宋" w:hAnsi="仿宋" w:eastAsia="仿宋"/>
          <w:color w:val="000000" w:themeColor="text1"/>
          <w:sz w:val="32"/>
          <w:szCs w:val="32"/>
          <w14:textFill>
            <w14:solidFill>
              <w14:schemeClr w14:val="tx1"/>
            </w14:solidFill>
          </w14:textFill>
        </w:rPr>
        <w:t>。</w:t>
      </w:r>
      <w:bookmarkStart w:id="71" w:name="_GoBack"/>
      <w:bookmarkEnd w:id="71"/>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9" w:name="_Toc15377212"/>
      <w:r>
        <w:rPr>
          <w:rFonts w:hint="eastAsia" w:ascii="仿宋" w:hAnsi="仿宋" w:eastAsia="仿宋"/>
          <w:b/>
          <w:color w:val="000000"/>
          <w:sz w:val="32"/>
          <w:szCs w:val="32"/>
        </w:rPr>
        <w:t>（三）一般公共预算财政拨款支出决算具体情况</w:t>
      </w:r>
      <w:bookmarkEnd w:id="39"/>
    </w:p>
    <w:p>
      <w:pPr>
        <w:spacing w:line="600" w:lineRule="exact"/>
        <w:ind w:firstLine="643" w:firstLineChars="200"/>
        <w:outlineLvl w:val="2"/>
        <w:rPr>
          <w:rStyle w:val="14"/>
          <w:rFonts w:hint="eastAsia" w:ascii="仿宋" w:hAnsi="仿宋" w:eastAsia="仿宋"/>
          <w:bCs/>
          <w:color w:val="000000"/>
          <w:sz w:val="32"/>
          <w:szCs w:val="32"/>
        </w:rPr>
      </w:pPr>
      <w:bookmarkStart w:id="40" w:name="_Toc15377213"/>
      <w:bookmarkStart w:id="41" w:name="_Toc15377444"/>
      <w:bookmarkStart w:id="42" w:name="_Toc15378460"/>
      <w:r>
        <w:rPr>
          <w:rFonts w:hint="eastAsia" w:ascii="仿宋" w:hAnsi="仿宋" w:eastAsia="仿宋"/>
          <w:b/>
          <w:color w:val="000000" w:themeColor="text1"/>
          <w:sz w:val="32"/>
          <w:szCs w:val="32"/>
          <w:lang w:eastAsia="zh-CN"/>
          <w14:textFill>
            <w14:solidFill>
              <w14:schemeClr w14:val="tx1"/>
            </w14:solidFill>
          </w14:textFill>
        </w:rPr>
        <w:t>2019</w:t>
      </w:r>
      <w:r>
        <w:rPr>
          <w:rFonts w:hint="eastAsia" w:ascii="仿宋" w:hAnsi="仿宋" w:eastAsia="仿宋"/>
          <w:b/>
          <w:color w:val="000000" w:themeColor="text1"/>
          <w:sz w:val="32"/>
          <w:szCs w:val="32"/>
          <w14:textFill>
            <w14:solidFill>
              <w14:schemeClr w14:val="tx1"/>
            </w14:solidFill>
          </w14:textFill>
        </w:rPr>
        <w:t>年般公共预算支出决算数为</w:t>
      </w:r>
      <w:r>
        <w:rPr>
          <w:rFonts w:hint="eastAsia" w:ascii="仿宋" w:hAnsi="仿宋" w:eastAsia="仿宋"/>
          <w:color w:val="000000"/>
          <w:sz w:val="32"/>
          <w:szCs w:val="32"/>
          <w:lang w:val="en-US" w:eastAsia="zh-CN"/>
        </w:rPr>
        <w:t>46.058374万元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40"/>
      <w:bookmarkEnd w:id="41"/>
      <w:bookmarkEnd w:id="42"/>
    </w:p>
    <w:p>
      <w:pPr>
        <w:ind w:firstLine="640"/>
        <w:rPr>
          <w:rFonts w:hint="eastAsia" w:ascii="仿宋_GB2312" w:eastAsia="仿宋_GB2312"/>
          <w:sz w:val="32"/>
          <w:szCs w:val="32"/>
          <w:shd w:val="clear" w:color="auto" w:fill="FFFFFF"/>
          <w:lang w:val="en-US" w:eastAsia="zh-CN"/>
        </w:rPr>
      </w:pPr>
      <w:r>
        <w:rPr>
          <w:rStyle w:val="14"/>
          <w:rFonts w:hint="eastAsia" w:ascii="仿宋_GB2312" w:eastAsia="仿宋_GB2312"/>
          <w:b/>
          <w:bCs/>
          <w:color w:val="000000"/>
          <w:sz w:val="32"/>
          <w:szCs w:val="32"/>
          <w:lang w:val="en-US" w:eastAsia="zh-CN"/>
        </w:rPr>
        <w:t>国土海洋气象等支出（220）气象事务（05）气象事业机构（04）</w:t>
      </w:r>
      <w:r>
        <w:rPr>
          <w:rFonts w:hint="eastAsia" w:ascii="仿宋_GB2312" w:eastAsia="仿宋_GB2312"/>
          <w:sz w:val="32"/>
          <w:szCs w:val="32"/>
          <w:shd w:val="clear" w:color="auto" w:fill="FFFFFF"/>
          <w:lang w:val="en-US" w:eastAsia="zh-CN"/>
        </w:rPr>
        <w:t>支出决算为35.836547万元，完成预算100%。</w:t>
      </w:r>
    </w:p>
    <w:p>
      <w:pPr>
        <w:spacing w:line="600" w:lineRule="exact"/>
        <w:ind w:firstLine="643" w:firstLineChars="200"/>
        <w:rPr>
          <w:rFonts w:hint="eastAsia" w:ascii="仿宋_GB2312" w:eastAsia="仿宋_GB2312"/>
          <w:sz w:val="32"/>
          <w:szCs w:val="32"/>
          <w:shd w:val="clear" w:color="auto" w:fill="FFFFFF"/>
          <w:lang w:val="en-US" w:eastAsia="zh-CN"/>
        </w:rPr>
      </w:pPr>
      <w:r>
        <w:rPr>
          <w:rStyle w:val="14"/>
          <w:rFonts w:hint="eastAsia" w:ascii="仿宋_GB2312" w:eastAsia="仿宋_GB2312"/>
          <w:color w:val="000000"/>
          <w:sz w:val="32"/>
          <w:szCs w:val="32"/>
          <w:lang w:val="en-US" w:eastAsia="zh-CN"/>
        </w:rPr>
        <w:t>社会保障和就业支出（208）行政事业单位离退休（05）机关事业单位基本养老保险（05）</w:t>
      </w:r>
      <w:r>
        <w:rPr>
          <w:rFonts w:hint="eastAsia" w:ascii="仿宋_GB2312" w:eastAsia="仿宋_GB2312"/>
          <w:sz w:val="32"/>
          <w:szCs w:val="32"/>
          <w:shd w:val="clear" w:color="auto" w:fill="FFFFFF"/>
          <w:lang w:val="en-US" w:eastAsia="zh-CN"/>
        </w:rPr>
        <w:t>支出决算为</w:t>
      </w:r>
      <w:r>
        <w:rPr>
          <w:rFonts w:hint="eastAsia" w:ascii="仿宋" w:hAnsi="仿宋" w:eastAsia="仿宋"/>
          <w:color w:val="000000" w:themeColor="text1"/>
          <w:sz w:val="32"/>
          <w:szCs w:val="32"/>
          <w:lang w:val="en-US" w:eastAsia="zh-CN"/>
          <w14:textFill>
            <w14:solidFill>
              <w14:schemeClr w14:val="tx1"/>
            </w14:solidFill>
          </w14:textFill>
        </w:rPr>
        <w:t>4.197648</w:t>
      </w:r>
      <w:r>
        <w:rPr>
          <w:rFonts w:hint="eastAsia" w:ascii="仿宋_GB2312" w:eastAsia="仿宋_GB2312"/>
          <w:sz w:val="32"/>
          <w:szCs w:val="32"/>
          <w:shd w:val="clear" w:color="auto" w:fill="FFFFFF"/>
          <w:lang w:val="en-US" w:eastAsia="zh-CN"/>
        </w:rPr>
        <w:t>万元，完成预算100%。</w:t>
      </w:r>
    </w:p>
    <w:p>
      <w:pPr>
        <w:spacing w:line="600" w:lineRule="exact"/>
        <w:ind w:firstLine="643" w:firstLineChars="200"/>
        <w:rPr>
          <w:rStyle w:val="14"/>
          <w:rFonts w:hint="eastAsia" w:ascii="仿宋_GB2312" w:eastAsia="仿宋_GB2312"/>
          <w:b w:val="0"/>
          <w:bCs w:val="0"/>
          <w:color w:val="000000"/>
          <w:sz w:val="32"/>
          <w:szCs w:val="32"/>
          <w:lang w:val="en-US" w:eastAsia="zh-CN"/>
        </w:rPr>
      </w:pPr>
      <w:r>
        <w:rPr>
          <w:rStyle w:val="14"/>
          <w:rFonts w:hint="eastAsia" w:ascii="仿宋" w:hAnsi="仿宋" w:eastAsia="仿宋"/>
          <w:bCs/>
          <w:color w:val="000000"/>
          <w:sz w:val="32"/>
          <w:szCs w:val="32"/>
        </w:rPr>
        <w:t>医疗卫生与计划生育（</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）行政事业单位医疗（</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eastAsia="zh-CN"/>
        </w:rPr>
        <w:t>事业单位医疗（</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lang w:eastAsia="zh-CN"/>
        </w:rPr>
        <w:t>）</w:t>
      </w:r>
      <w:r>
        <w:rPr>
          <w:rStyle w:val="14"/>
          <w:rFonts w:hint="eastAsia" w:ascii="仿宋_GB2312" w:eastAsia="仿宋_GB2312"/>
          <w:b w:val="0"/>
          <w:bCs w:val="0"/>
          <w:color w:val="000000"/>
          <w:sz w:val="32"/>
          <w:szCs w:val="32"/>
          <w:lang w:val="en-US" w:eastAsia="zh-CN"/>
        </w:rPr>
        <w:t>支出决算为1.955839万元，完成预算100%。</w:t>
      </w:r>
    </w:p>
    <w:p>
      <w:pPr>
        <w:spacing w:line="600" w:lineRule="exact"/>
        <w:ind w:firstLine="643" w:firstLineChars="200"/>
        <w:rPr>
          <w:rStyle w:val="14"/>
          <w:rFonts w:hint="eastAsia" w:ascii="仿宋_GB2312" w:eastAsia="仿宋_GB2312"/>
          <w:b w:val="0"/>
          <w:bCs w:val="0"/>
          <w:color w:val="000000"/>
          <w:sz w:val="32"/>
          <w:szCs w:val="32"/>
          <w:lang w:val="en-US" w:eastAsia="zh-CN"/>
        </w:rPr>
      </w:pPr>
      <w:r>
        <w:rPr>
          <w:rStyle w:val="14"/>
          <w:rFonts w:hint="eastAsia" w:ascii="仿宋" w:hAnsi="仿宋" w:eastAsia="仿宋"/>
          <w:bCs/>
          <w:color w:val="000000"/>
          <w:sz w:val="32"/>
          <w:szCs w:val="32"/>
        </w:rPr>
        <w:t>医疗卫生与计划生育（</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）行政事业单位医疗（</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eastAsia="zh-CN"/>
        </w:rPr>
        <w:t>公务员医疗补助（</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lang w:eastAsia="zh-CN"/>
        </w:rPr>
        <w:t>）</w:t>
      </w:r>
      <w:r>
        <w:rPr>
          <w:rStyle w:val="14"/>
          <w:rFonts w:hint="eastAsia" w:ascii="仿宋_GB2312" w:eastAsia="仿宋_GB2312"/>
          <w:b w:val="0"/>
          <w:bCs w:val="0"/>
          <w:color w:val="000000"/>
          <w:sz w:val="32"/>
          <w:szCs w:val="32"/>
          <w:lang w:val="en-US" w:eastAsia="zh-CN"/>
        </w:rPr>
        <w:t>支出决算为0.41944万元，完成预算100%。</w:t>
      </w:r>
    </w:p>
    <w:p>
      <w:pPr>
        <w:spacing w:line="600" w:lineRule="exact"/>
        <w:ind w:firstLine="640" w:firstLineChars="200"/>
        <w:rPr>
          <w:rStyle w:val="14"/>
          <w:rFonts w:hint="eastAsia" w:ascii="仿宋_GB2312" w:eastAsia="仿宋_GB2312"/>
          <w:b w:val="0"/>
          <w:bCs w:val="0"/>
          <w:color w:val="000000"/>
          <w:sz w:val="32"/>
          <w:szCs w:val="32"/>
          <w:lang w:val="en-US" w:eastAsia="zh-CN"/>
        </w:rPr>
      </w:pPr>
    </w:p>
    <w:p>
      <w:pPr>
        <w:spacing w:line="600" w:lineRule="exact"/>
        <w:ind w:firstLine="643" w:firstLineChars="200"/>
        <w:rPr>
          <w:rStyle w:val="14"/>
          <w:rFonts w:hint="eastAsia" w:ascii="仿宋_GB2312" w:eastAsia="仿宋_GB2312"/>
          <w:b w:val="0"/>
          <w:bCs w:val="0"/>
          <w:color w:val="000000"/>
          <w:sz w:val="32"/>
          <w:szCs w:val="32"/>
          <w:lang w:val="en-US" w:eastAsia="zh-CN"/>
        </w:rPr>
      </w:pPr>
      <w:r>
        <w:rPr>
          <w:rFonts w:hint="eastAsia" w:ascii="仿宋" w:hAnsi="仿宋" w:eastAsia="仿宋"/>
          <w:b/>
          <w:color w:val="000000"/>
          <w:sz w:val="32"/>
          <w:szCs w:val="32"/>
        </w:rPr>
        <w:t>住房保障支出（221）住房改革支出（02）住房公积金（01）</w:t>
      </w:r>
      <w:r>
        <w:rPr>
          <w:rStyle w:val="14"/>
          <w:rFonts w:hint="eastAsia" w:ascii="仿宋_GB2312" w:eastAsia="仿宋_GB2312"/>
          <w:b w:val="0"/>
          <w:bCs w:val="0"/>
          <w:color w:val="000000"/>
          <w:sz w:val="32"/>
          <w:szCs w:val="32"/>
          <w:lang w:val="en-US" w:eastAsia="zh-CN"/>
        </w:rPr>
        <w:t>支出决算为</w:t>
      </w:r>
      <w:r>
        <w:rPr>
          <w:rFonts w:hint="eastAsia" w:ascii="仿宋" w:hAnsi="仿宋" w:eastAsia="仿宋"/>
          <w:color w:val="000000" w:themeColor="text1"/>
          <w:sz w:val="32"/>
          <w:szCs w:val="32"/>
          <w:lang w:val="en-US" w:eastAsia="zh-CN"/>
          <w14:textFill>
            <w14:solidFill>
              <w14:schemeClr w14:val="tx1"/>
            </w14:solidFill>
          </w14:textFill>
        </w:rPr>
        <w:t>3.6489</w:t>
      </w:r>
      <w:r>
        <w:rPr>
          <w:rStyle w:val="14"/>
          <w:rFonts w:hint="eastAsia" w:ascii="仿宋_GB2312" w:eastAsia="仿宋_GB2312"/>
          <w:b w:val="0"/>
          <w:bCs w:val="0"/>
          <w:color w:val="000000"/>
          <w:sz w:val="32"/>
          <w:szCs w:val="32"/>
          <w:lang w:val="en-US" w:eastAsia="zh-CN"/>
        </w:rPr>
        <w:t>万元，完成预算100%。</w:t>
      </w:r>
    </w:p>
    <w:p>
      <w:pPr>
        <w:spacing w:line="600" w:lineRule="exact"/>
        <w:ind w:firstLine="640" w:firstLineChars="200"/>
        <w:rPr>
          <w:rStyle w:val="14"/>
          <w:rFonts w:hint="eastAsia" w:ascii="仿宋_GB2312" w:eastAsia="仿宋_GB2312"/>
          <w:b w:val="0"/>
          <w:bCs w:val="0"/>
          <w:color w:val="000000"/>
          <w:sz w:val="32"/>
          <w:szCs w:val="32"/>
          <w:lang w:val="en-US" w:eastAsia="zh-CN"/>
        </w:rPr>
      </w:pPr>
    </w:p>
    <w:p>
      <w:pPr>
        <w:tabs>
          <w:tab w:val="right" w:pos="8306"/>
        </w:tabs>
        <w:spacing w:line="600" w:lineRule="exact"/>
        <w:ind w:firstLine="640"/>
        <w:outlineLvl w:val="1"/>
        <w:rPr>
          <w:rStyle w:val="25"/>
        </w:rPr>
      </w:pPr>
      <w:bookmarkStart w:id="43" w:name="_Toc15377214"/>
      <w:bookmarkStart w:id="44" w:name="_Toc1873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3"/>
      <w:bookmarkEnd w:id="44"/>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2019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46.058374</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43.338374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2.72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45" w:name="_Toc15377215"/>
      <w:bookmarkStart w:id="46" w:name="_Toc22528"/>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5"/>
      <w:bookmarkEnd w:id="46"/>
    </w:p>
    <w:p>
      <w:pPr>
        <w:spacing w:line="600" w:lineRule="exact"/>
        <w:ind w:firstLine="640"/>
        <w:outlineLvl w:val="2"/>
        <w:rPr>
          <w:rFonts w:ascii="仿宋" w:hAnsi="仿宋" w:eastAsia="仿宋"/>
          <w:b/>
          <w:color w:val="000000"/>
          <w:sz w:val="32"/>
          <w:szCs w:val="32"/>
        </w:rPr>
      </w:pPr>
      <w:bookmarkStart w:id="47" w:name="_Toc15377216"/>
      <w:r>
        <w:rPr>
          <w:rFonts w:hint="eastAsia" w:ascii="仿宋" w:hAnsi="仿宋" w:eastAsia="仿宋"/>
          <w:b/>
          <w:color w:val="000000"/>
          <w:sz w:val="32"/>
          <w:szCs w:val="32"/>
        </w:rPr>
        <w:t>（一）“三公”经费财政拨款支出决算总体情况说明</w:t>
      </w:r>
      <w:bookmarkEnd w:id="47"/>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2019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outlineLvl w:val="2"/>
        <w:rPr>
          <w:rFonts w:ascii="仿宋" w:hAnsi="仿宋" w:eastAsia="仿宋"/>
          <w:b/>
          <w:color w:val="000000"/>
          <w:sz w:val="32"/>
          <w:szCs w:val="32"/>
        </w:rPr>
      </w:pPr>
      <w:bookmarkStart w:id="48" w:name="_Toc15377217"/>
      <w:r>
        <w:rPr>
          <w:rFonts w:hint="eastAsia" w:ascii="仿宋" w:hAnsi="仿宋" w:eastAsia="仿宋"/>
          <w:b/>
          <w:color w:val="000000"/>
          <w:sz w:val="32"/>
          <w:szCs w:val="32"/>
        </w:rPr>
        <w:t>（二）“三公”经费财政拨款支出决算具体情况说明</w:t>
      </w:r>
      <w:bookmarkEnd w:id="48"/>
    </w:p>
    <w:p>
      <w:pPr>
        <w:spacing w:line="600" w:lineRule="exact"/>
        <w:ind w:firstLine="640"/>
        <w:rPr>
          <w:rFonts w:hint="eastAsia" w:ascii="黑体" w:eastAsia="黑体"/>
          <w:color w:val="000000"/>
          <w:sz w:val="32"/>
          <w:szCs w:val="32"/>
        </w:rPr>
      </w:pPr>
      <w:bookmarkStart w:id="49" w:name="_Toc15377218"/>
      <w:r>
        <w:rPr>
          <w:rFonts w:hint="eastAsia" w:ascii="仿宋" w:hAnsi="仿宋" w:eastAsia="仿宋"/>
          <w:color w:val="000000"/>
          <w:sz w:val="32"/>
          <w:szCs w:val="32"/>
          <w:lang w:eastAsia="zh-CN"/>
        </w:rPr>
        <w:t>2019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outlineLvl w:val="1"/>
        <w:rPr>
          <w:rStyle w:val="25"/>
          <w:rFonts w:ascii="黑体" w:hAnsi="黑体" w:eastAsia="黑体"/>
        </w:rPr>
      </w:pPr>
      <w:bookmarkStart w:id="50" w:name="_Toc22189"/>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2019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51" w:name="_Toc15377219"/>
      <w:bookmarkStart w:id="52" w:name="_Toc6616"/>
      <w:r>
        <w:rPr>
          <w:rStyle w:val="25"/>
          <w:rFonts w:hint="eastAsia" w:ascii="黑体" w:hAns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2019</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3"/>
        </w:numPr>
        <w:spacing w:line="580" w:lineRule="exact"/>
        <w:ind w:firstLineChars="0"/>
        <w:rPr>
          <w:rStyle w:val="25"/>
          <w:rFonts w:ascii="黑体" w:hAnsi="黑体" w:eastAsia="黑体"/>
          <w:b w:val="0"/>
        </w:rPr>
      </w:pPr>
      <w:bookmarkStart w:id="53" w:name="_Toc4471"/>
      <w:r>
        <w:rPr>
          <w:rStyle w:val="25"/>
          <w:rFonts w:hint="eastAsia" w:ascii="黑体" w:hAnsi="黑体" w:eastAsia="黑体"/>
          <w:b w:val="0"/>
        </w:rPr>
        <w:t>预算绩效情况说明</w:t>
      </w:r>
    </w:p>
    <w:bookmarkEnd w:id="53"/>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600" w:lineRule="atLeas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rPr>
        <w:t>按照预算绩效管理要求，本部门201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ascii="仿宋_GB2312" w:eastAsia="仿宋_GB2312"/>
          <w:color w:val="000000"/>
          <w:sz w:val="32"/>
          <w:szCs w:val="32"/>
        </w:rPr>
        <w:t>没有绩效评价项目。</w:t>
      </w:r>
    </w:p>
    <w:p>
      <w:pPr>
        <w:spacing w:line="580" w:lineRule="exact"/>
        <w:jc w:val="center"/>
        <w:rPr>
          <w:rFonts w:ascii="方正小标宋简体" w:hAnsi="方正小标宋简体" w:eastAsia="方正小标宋简体" w:cs="方正小标宋简体"/>
          <w:sz w:val="44"/>
          <w:szCs w:val="44"/>
        </w:rPr>
      </w:pPr>
    </w:p>
    <w:p>
      <w:pPr>
        <w:numPr>
          <w:ilvl w:val="0"/>
          <w:numId w:val="5"/>
        </w:numPr>
        <w:spacing w:line="600" w:lineRule="exact"/>
        <w:ind w:firstLine="663" w:firstLineChars="150"/>
        <w:jc w:val="center"/>
        <w:outlineLvl w:val="0"/>
        <w:rPr>
          <w:rStyle w:val="24"/>
          <w:rFonts w:ascii="黑体" w:hAnsi="黑体" w:eastAsia="黑体"/>
          <w:b w:val="0"/>
        </w:rPr>
      </w:pPr>
      <w:bookmarkStart w:id="54" w:name="_Toc15377225"/>
      <w:bookmarkStart w:id="55" w:name="_Toc11048"/>
      <w:r>
        <w:rPr>
          <w:rFonts w:hint="eastAsia" w:ascii="黑体" w:hAnsi="黑体" w:eastAsia="黑体"/>
          <w:b/>
          <w:color w:val="000000"/>
          <w:sz w:val="44"/>
          <w:szCs w:val="44"/>
        </w:rPr>
        <w:t>名</w:t>
      </w:r>
      <w:r>
        <w:rPr>
          <w:rStyle w:val="24"/>
          <w:rFonts w:hint="eastAsia" w:ascii="黑体" w:hAnsi="黑体" w:eastAsia="黑体"/>
          <w:b w:val="0"/>
        </w:rPr>
        <w:t>词解释</w:t>
      </w:r>
      <w:bookmarkEnd w:id="54"/>
      <w:bookmarkEnd w:id="55"/>
    </w:p>
    <w:p>
      <w:pPr>
        <w:spacing w:line="600" w:lineRule="exact"/>
        <w:jc w:val="left"/>
        <w:rPr>
          <w:rFonts w:ascii="宋体"/>
          <w:b/>
          <w:color w:val="000000"/>
          <w:sz w:val="44"/>
          <w:szCs w:val="44"/>
        </w:rPr>
      </w:pP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1.财政拨款收入：指单位从同级财政部门取得的财政预算资金。 </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国土海洋气象等支出（220）气象事务（05）气象事业机构（04）指反映气象事业单位的基本支出。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3、社会保障和就业支出（208）行政事业单位离退休（05）机关事业单位基本养老保险（05）指机关事业单位基本养老保险缴费支出。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4.医疗卫生与计划生育（210）行政事业单位医疗（11）事业单位医疗（02）指事业单位医疗支出。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5.住房保障支出（221）住房改革支出（02）住房公积金（01）指住房公积金支出。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6.基本支出：指为保障机构正常运转、完成日常工作任务而发生的人员支出和公用支出。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 xml:space="preserve">.项目支出：指在基本支出之外为完成特定行政任务和事业发展目标所发生的支出。 </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Style w:val="24"/>
          <w:rFonts w:ascii="黑体" w:hAnsi="黑体" w:eastAsia="黑体"/>
          <w:b w:val="0"/>
        </w:rPr>
      </w:pPr>
      <w:r>
        <w:rPr>
          <w:rFonts w:hint="eastAsia" w:ascii="仿宋_GB2312" w:eastAsia="仿宋_GB2312"/>
          <w:sz w:val="32"/>
          <w:szCs w:val="32"/>
          <w:lang w:val="en-US" w:eastAsia="zh-CN"/>
        </w:rPr>
        <w:t>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6" w:name="_Toc15377226"/>
      <w:r>
        <w:rPr>
          <w:rFonts w:ascii="宋体"/>
          <w:b/>
          <w:color w:val="000000"/>
          <w:sz w:val="44"/>
          <w:szCs w:val="44"/>
        </w:rPr>
        <w:br w:type="page"/>
      </w:r>
    </w:p>
    <w:p>
      <w:pPr>
        <w:spacing w:line="600" w:lineRule="exact"/>
        <w:jc w:val="center"/>
        <w:outlineLvl w:val="0"/>
        <w:rPr>
          <w:rStyle w:val="24"/>
        </w:rPr>
      </w:pPr>
    </w:p>
    <w:p>
      <w:pPr>
        <w:widowControl/>
        <w:ind w:firstLine="3080" w:firstLineChars="700"/>
        <w:jc w:val="left"/>
        <w:rPr>
          <w:rStyle w:val="24"/>
          <w:rFonts w:ascii="黑体" w:hAnsi="黑体" w:eastAsia="黑体"/>
          <w:b w:val="0"/>
        </w:rPr>
      </w:pPr>
      <w:bookmarkStart w:id="57" w:name="_Toc20631"/>
      <w:r>
        <w:rPr>
          <w:rStyle w:val="24"/>
          <w:rFonts w:hint="eastAsia" w:ascii="黑体" w:hAnsi="黑体" w:eastAsia="黑体"/>
          <w:b w:val="0"/>
        </w:rPr>
        <w:t xml:space="preserve"> 附表</w:t>
      </w:r>
      <w:bookmarkEnd w:id="56"/>
    </w:p>
    <w:bookmarkEnd w:id="57"/>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58" w:name="_Toc27700"/>
      <w:r>
        <w:rPr>
          <w:rFonts w:hint="eastAsia" w:ascii="仿宋" w:hAnsi="仿宋" w:eastAsia="仿宋"/>
          <w:b w:val="0"/>
          <w:color w:val="000000"/>
        </w:rPr>
        <w:t>一、收</w:t>
      </w:r>
      <w:r>
        <w:rPr>
          <w:rStyle w:val="25"/>
          <w:rFonts w:hint="eastAsia" w:ascii="仿宋" w:hAnsi="仿宋" w:eastAsia="仿宋"/>
          <w:b w:val="0"/>
          <w:bCs w:val="0"/>
        </w:rPr>
        <w:t>入支出决算总表</w:t>
      </w:r>
      <w:bookmarkEnd w:id="58"/>
    </w:p>
    <w:p>
      <w:pPr>
        <w:pStyle w:val="4"/>
        <w:rPr>
          <w:rFonts w:ascii="仿宋" w:hAnsi="仿宋" w:eastAsia="仿宋"/>
          <w:color w:val="000000"/>
        </w:rPr>
      </w:pPr>
      <w:bookmarkStart w:id="59" w:name="_Toc2895"/>
      <w:r>
        <w:rPr>
          <w:rFonts w:hint="eastAsia" w:ascii="仿宋" w:hAnsi="仿宋" w:eastAsia="仿宋"/>
          <w:b w:val="0"/>
          <w:color w:val="000000"/>
        </w:rPr>
        <w:t>二、收</w:t>
      </w:r>
      <w:r>
        <w:rPr>
          <w:rStyle w:val="25"/>
          <w:rFonts w:hint="eastAsia" w:ascii="仿宋" w:hAnsi="仿宋" w:eastAsia="仿宋"/>
          <w:b w:val="0"/>
          <w:bCs w:val="0"/>
        </w:rPr>
        <w:t>入总表</w:t>
      </w:r>
      <w:bookmarkEnd w:id="59"/>
    </w:p>
    <w:p>
      <w:pPr>
        <w:pStyle w:val="4"/>
        <w:rPr>
          <w:rFonts w:ascii="仿宋" w:hAnsi="仿宋" w:eastAsia="仿宋"/>
          <w:color w:val="000000"/>
        </w:rPr>
      </w:pPr>
      <w:bookmarkStart w:id="60" w:name="_Toc22295"/>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0"/>
    </w:p>
    <w:p>
      <w:pPr>
        <w:pStyle w:val="4"/>
        <w:rPr>
          <w:rFonts w:ascii="仿宋" w:hAnsi="仿宋" w:eastAsia="仿宋"/>
          <w:b w:val="0"/>
          <w:color w:val="000000"/>
        </w:rPr>
      </w:pPr>
      <w:bookmarkStart w:id="61" w:name="_Toc15274"/>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pPr>
        <w:pStyle w:val="4"/>
        <w:rPr>
          <w:rFonts w:ascii="仿宋" w:hAnsi="仿宋" w:eastAsia="仿宋"/>
          <w:color w:val="000000"/>
        </w:rPr>
      </w:pPr>
      <w:bookmarkStart w:id="62" w:name="_Toc11424"/>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2"/>
    </w:p>
    <w:p>
      <w:pPr>
        <w:pStyle w:val="4"/>
        <w:rPr>
          <w:rFonts w:ascii="仿宋" w:hAnsi="仿宋" w:eastAsia="仿宋"/>
          <w:color w:val="000000"/>
        </w:rPr>
      </w:pPr>
      <w:bookmarkStart w:id="63" w:name="_Toc23136"/>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pPr>
        <w:pStyle w:val="4"/>
        <w:rPr>
          <w:rFonts w:ascii="仿宋" w:hAnsi="仿宋" w:eastAsia="仿宋"/>
          <w:color w:val="000000"/>
        </w:rPr>
      </w:pPr>
      <w:bookmarkStart w:id="64" w:name="_Toc31018"/>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pPr>
        <w:pStyle w:val="4"/>
        <w:rPr>
          <w:rFonts w:ascii="仿宋" w:hAnsi="仿宋" w:eastAsia="仿宋"/>
          <w:color w:val="000000"/>
        </w:rPr>
      </w:pPr>
      <w:bookmarkStart w:id="65" w:name="_Toc26330"/>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pPr>
        <w:pStyle w:val="4"/>
        <w:rPr>
          <w:rFonts w:ascii="仿宋" w:hAnsi="仿宋" w:eastAsia="仿宋"/>
          <w:color w:val="000000"/>
        </w:rPr>
      </w:pPr>
      <w:bookmarkStart w:id="66" w:name="_Toc1460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pPr>
        <w:pStyle w:val="4"/>
        <w:rPr>
          <w:rFonts w:ascii="仿宋" w:hAnsi="仿宋" w:eastAsia="仿宋"/>
          <w:color w:val="000000"/>
        </w:rPr>
      </w:pPr>
      <w:bookmarkStart w:id="67" w:name="_Toc17506"/>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7"/>
    </w:p>
    <w:p>
      <w:pPr>
        <w:pStyle w:val="4"/>
        <w:rPr>
          <w:rFonts w:ascii="仿宋" w:hAnsi="仿宋" w:eastAsia="仿宋"/>
          <w:color w:val="000000"/>
        </w:rPr>
      </w:pPr>
      <w:bookmarkStart w:id="68" w:name="_Toc24971"/>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8"/>
    </w:p>
    <w:p>
      <w:pPr>
        <w:pStyle w:val="4"/>
        <w:rPr>
          <w:rFonts w:ascii="仿宋" w:hAnsi="仿宋" w:eastAsia="仿宋"/>
          <w:color w:val="000000"/>
        </w:rPr>
      </w:pPr>
      <w:bookmarkStart w:id="69" w:name="_Toc15808"/>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9"/>
    </w:p>
    <w:p>
      <w:pPr>
        <w:pStyle w:val="4"/>
        <w:rPr>
          <w:rFonts w:ascii="仿宋" w:hAnsi="仿宋" w:eastAsia="仿宋"/>
          <w:color w:val="000000" w:themeColor="text1"/>
          <w14:textFill>
            <w14:solidFill>
              <w14:schemeClr w14:val="tx1"/>
            </w14:solidFill>
          </w14:textFill>
        </w:rPr>
      </w:pPr>
      <w:bookmarkStart w:id="70" w:name="_Toc31360"/>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100F2D60"/>
    <w:rsid w:val="10C055FF"/>
    <w:rsid w:val="16B131EA"/>
    <w:rsid w:val="16BB723D"/>
    <w:rsid w:val="19C31AE0"/>
    <w:rsid w:val="1DF84ADB"/>
    <w:rsid w:val="23607973"/>
    <w:rsid w:val="240371BF"/>
    <w:rsid w:val="29FD04D3"/>
    <w:rsid w:val="2CD01B73"/>
    <w:rsid w:val="319F7F4E"/>
    <w:rsid w:val="3E1A198D"/>
    <w:rsid w:val="566B23E6"/>
    <w:rsid w:val="591C2EE1"/>
    <w:rsid w:val="676118CF"/>
    <w:rsid w:val="783251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2</TotalTime>
  <ScaleCrop>false</ScaleCrop>
  <LinksUpToDate>false</LinksUpToDate>
  <CharactersWithSpaces>9641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Mage</cp:lastModifiedBy>
  <cp:lastPrinted>2001-12-31T19:51:00Z</cp:lastPrinted>
  <dcterms:modified xsi:type="dcterms:W3CDTF">2001-12-31T20:08:50Z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