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B7D6C">
      <w:pPr>
        <w:spacing w:line="560" w:lineRule="exact"/>
        <w:jc w:val="center"/>
        <w:rPr>
          <w:rFonts w:ascii="Times New Roman" w:hAnsi="Times New Roman" w:eastAsia="方正小标宋简体" w:cs="Times New Roman"/>
          <w:sz w:val="44"/>
          <w:szCs w:val="44"/>
          <w:lang w:bidi="ar"/>
        </w:rPr>
      </w:pPr>
      <w:bookmarkStart w:id="0" w:name="_Toc15378442"/>
      <w:bookmarkStart w:id="1" w:name="_Toc15377426"/>
      <w:bookmarkStart w:id="2" w:name="_Toc15377194"/>
      <w:bookmarkStart w:id="3" w:name="_Toc15396598"/>
      <w:bookmarkStart w:id="4" w:name="_Toc15396476"/>
    </w:p>
    <w:p w14:paraId="59385FA9">
      <w:pPr>
        <w:spacing w:line="560" w:lineRule="exact"/>
        <w:jc w:val="center"/>
        <w:rPr>
          <w:rFonts w:ascii="Times New Roman" w:hAnsi="Times New Roman" w:eastAsia="方正小标宋简体" w:cs="Times New Roman"/>
          <w:sz w:val="44"/>
          <w:szCs w:val="44"/>
          <w:lang w:bidi="ar"/>
        </w:rPr>
      </w:pPr>
    </w:p>
    <w:p w14:paraId="02477061">
      <w:pPr>
        <w:spacing w:line="560" w:lineRule="exact"/>
        <w:jc w:val="center"/>
        <w:rPr>
          <w:rFonts w:ascii="Times New Roman" w:hAnsi="Times New Roman" w:eastAsia="方正小标宋简体" w:cs="Times New Roman"/>
          <w:sz w:val="44"/>
          <w:szCs w:val="44"/>
          <w:lang w:bidi="ar"/>
        </w:rPr>
      </w:pPr>
    </w:p>
    <w:p w14:paraId="3F33713B">
      <w:pPr>
        <w:spacing w:line="560" w:lineRule="exact"/>
        <w:jc w:val="center"/>
        <w:rPr>
          <w:rFonts w:ascii="Times New Roman" w:hAnsi="Times New Roman" w:eastAsia="方正小标宋简体" w:cs="Times New Roman"/>
          <w:sz w:val="44"/>
          <w:szCs w:val="44"/>
          <w:lang w:bidi="ar"/>
        </w:rPr>
      </w:pPr>
    </w:p>
    <w:p w14:paraId="45787246">
      <w:pPr>
        <w:spacing w:line="560" w:lineRule="exact"/>
        <w:jc w:val="center"/>
        <w:rPr>
          <w:rFonts w:ascii="Times New Roman" w:hAnsi="Times New Roman" w:eastAsia="方正小标宋简体" w:cs="Times New Roman"/>
          <w:sz w:val="44"/>
          <w:szCs w:val="44"/>
          <w:lang w:bidi="ar"/>
        </w:rPr>
      </w:pPr>
    </w:p>
    <w:p w14:paraId="792CC35B">
      <w:pPr>
        <w:spacing w:line="560" w:lineRule="exact"/>
        <w:jc w:val="center"/>
        <w:rPr>
          <w:rFonts w:ascii="Times New Roman" w:hAnsi="Times New Roman" w:eastAsia="方正小标宋简体" w:cs="Times New Roman"/>
          <w:sz w:val="44"/>
          <w:szCs w:val="44"/>
          <w:lang w:bidi="ar"/>
        </w:rPr>
      </w:pPr>
    </w:p>
    <w:p w14:paraId="37CA4AE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imes New Roman" w:hAnsi="Times New Roman" w:eastAsia="方正小标宋简体" w:cs="Times New Roman"/>
          <w:sz w:val="72"/>
          <w:szCs w:val="72"/>
          <w:lang w:bidi="ar"/>
        </w:rPr>
      </w:pPr>
      <w:r>
        <w:rPr>
          <w:rFonts w:ascii="Times New Roman" w:hAnsi="Times New Roman" w:eastAsia="方正小标宋简体" w:cs="Times New Roman"/>
          <w:sz w:val="72"/>
          <w:szCs w:val="72"/>
          <w:lang w:bidi="ar"/>
        </w:rPr>
        <w:t>2025</w:t>
      </w:r>
      <w:r>
        <w:rPr>
          <w:rFonts w:hint="eastAsia" w:ascii="Times New Roman" w:hAnsi="Times New Roman" w:eastAsia="方正小标宋简体" w:cs="Times New Roman"/>
          <w:sz w:val="72"/>
          <w:szCs w:val="72"/>
          <w:lang w:bidi="ar"/>
        </w:rPr>
        <w:t>年度</w:t>
      </w:r>
    </w:p>
    <w:p w14:paraId="201782E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imes New Roman" w:hAnsi="Times New Roman" w:eastAsia="方正小标宋简体" w:cs="Times New Roman"/>
          <w:sz w:val="72"/>
          <w:szCs w:val="72"/>
          <w:lang w:bidi="ar"/>
        </w:rPr>
      </w:pPr>
      <w:r>
        <w:rPr>
          <w:rFonts w:hint="eastAsia" w:ascii="Times New Roman" w:hAnsi="Times New Roman" w:eastAsia="方正小标宋简体" w:cs="Times New Roman"/>
          <w:sz w:val="72"/>
          <w:szCs w:val="72"/>
          <w:lang w:bidi="ar"/>
        </w:rPr>
        <w:t>四川省</w:t>
      </w:r>
      <w:bookmarkStart w:id="5" w:name="_Toc15306268"/>
      <w:r>
        <w:rPr>
          <w:rFonts w:hint="eastAsia" w:ascii="Times New Roman" w:hAnsi="Times New Roman" w:eastAsia="方正小标宋简体" w:cs="Times New Roman"/>
          <w:sz w:val="72"/>
          <w:szCs w:val="72"/>
          <w:lang w:bidi="ar"/>
        </w:rPr>
        <w:t>九寨沟县勿角镇</w:t>
      </w:r>
    </w:p>
    <w:p w14:paraId="364FA01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Times New Roman" w:hAnsi="Times New Roman" w:eastAsia="方正小标宋简体" w:cs="Times New Roman"/>
          <w:sz w:val="52"/>
          <w:szCs w:val="52"/>
          <w:lang w:bidi="ar"/>
        </w:rPr>
      </w:pPr>
      <w:r>
        <w:rPr>
          <w:rFonts w:hint="eastAsia" w:ascii="Times New Roman" w:hAnsi="Times New Roman" w:eastAsia="方正小标宋简体" w:cs="Times New Roman"/>
          <w:sz w:val="72"/>
          <w:szCs w:val="72"/>
          <w:lang w:bidi="ar"/>
        </w:rPr>
        <w:t>便民服务中心决算</w:t>
      </w:r>
      <w:bookmarkEnd w:id="0"/>
      <w:bookmarkEnd w:id="1"/>
      <w:bookmarkEnd w:id="2"/>
      <w:bookmarkEnd w:id="3"/>
      <w:bookmarkEnd w:id="4"/>
      <w:bookmarkEnd w:id="5"/>
    </w:p>
    <w:p w14:paraId="1D21C897">
      <w:pPr>
        <w:spacing w:line="560" w:lineRule="exact"/>
        <w:jc w:val="center"/>
        <w:rPr>
          <w:rFonts w:ascii="Times New Roman" w:hAnsi="Times New Roman" w:eastAsia="方正小标宋简体" w:cs="Times New Roman"/>
          <w:sz w:val="52"/>
          <w:szCs w:val="52"/>
          <w:lang w:bidi="ar"/>
        </w:rPr>
      </w:pPr>
    </w:p>
    <w:p w14:paraId="65E435BF">
      <w:pPr>
        <w:spacing w:line="560" w:lineRule="exact"/>
        <w:jc w:val="center"/>
        <w:rPr>
          <w:rFonts w:ascii="Times New Roman" w:hAnsi="Times New Roman" w:eastAsia="方正小标宋简体" w:cs="Times New Roman"/>
          <w:sz w:val="52"/>
          <w:szCs w:val="52"/>
          <w:lang w:bidi="ar"/>
        </w:rPr>
      </w:pPr>
    </w:p>
    <w:p w14:paraId="7D706CC3">
      <w:pPr>
        <w:spacing w:line="560" w:lineRule="exact"/>
        <w:jc w:val="center"/>
        <w:rPr>
          <w:rFonts w:ascii="Times New Roman" w:hAnsi="Times New Roman" w:eastAsia="方正小标宋简体" w:cs="Times New Roman"/>
          <w:sz w:val="52"/>
          <w:szCs w:val="52"/>
          <w:lang w:bidi="ar"/>
        </w:rPr>
      </w:pPr>
    </w:p>
    <w:p w14:paraId="4DD2A5FB">
      <w:pPr>
        <w:spacing w:line="560" w:lineRule="exact"/>
        <w:jc w:val="center"/>
        <w:rPr>
          <w:rFonts w:ascii="Times New Roman" w:hAnsi="Times New Roman" w:eastAsia="方正小标宋简体" w:cs="Times New Roman"/>
          <w:sz w:val="52"/>
          <w:szCs w:val="52"/>
          <w:lang w:bidi="ar"/>
        </w:rPr>
      </w:pPr>
    </w:p>
    <w:p w14:paraId="7401AA8A">
      <w:pPr>
        <w:spacing w:line="560" w:lineRule="exact"/>
        <w:jc w:val="center"/>
        <w:rPr>
          <w:rFonts w:ascii="Times New Roman" w:hAnsi="Times New Roman" w:eastAsia="方正小标宋简体" w:cs="Times New Roman"/>
          <w:sz w:val="52"/>
          <w:szCs w:val="52"/>
          <w:lang w:bidi="ar"/>
        </w:rPr>
      </w:pPr>
    </w:p>
    <w:p w14:paraId="64AA4CF9">
      <w:pPr>
        <w:spacing w:line="560" w:lineRule="exact"/>
        <w:jc w:val="center"/>
        <w:rPr>
          <w:rFonts w:ascii="Times New Roman" w:hAnsi="Times New Roman" w:eastAsia="方正小标宋简体" w:cs="Times New Roman"/>
          <w:sz w:val="52"/>
          <w:szCs w:val="52"/>
          <w:lang w:bidi="ar"/>
        </w:rPr>
      </w:pPr>
    </w:p>
    <w:p w14:paraId="4620AD09">
      <w:pPr>
        <w:spacing w:line="560" w:lineRule="exact"/>
        <w:jc w:val="center"/>
        <w:rPr>
          <w:rFonts w:ascii="Times New Roman" w:hAnsi="Times New Roman" w:eastAsia="方正小标宋简体" w:cs="Times New Roman"/>
          <w:sz w:val="52"/>
          <w:szCs w:val="52"/>
          <w:lang w:bidi="ar"/>
        </w:rPr>
      </w:pPr>
    </w:p>
    <w:p w14:paraId="1F53BB43">
      <w:pPr>
        <w:spacing w:line="560" w:lineRule="exact"/>
        <w:jc w:val="center"/>
        <w:rPr>
          <w:rFonts w:ascii="Times New Roman" w:hAnsi="Times New Roman" w:eastAsia="方正小标宋简体" w:cs="Times New Roman"/>
          <w:sz w:val="52"/>
          <w:szCs w:val="52"/>
          <w:lang w:bidi="ar"/>
        </w:rPr>
      </w:pPr>
    </w:p>
    <w:p w14:paraId="64711E60">
      <w:pPr>
        <w:spacing w:line="560" w:lineRule="exact"/>
        <w:jc w:val="center"/>
        <w:rPr>
          <w:rFonts w:ascii="Times New Roman" w:hAnsi="Times New Roman" w:eastAsia="方正小标宋简体" w:cs="Times New Roman"/>
          <w:sz w:val="52"/>
          <w:szCs w:val="52"/>
          <w:lang w:bidi="ar"/>
        </w:rPr>
      </w:pPr>
    </w:p>
    <w:p w14:paraId="7FDEE929">
      <w:pPr>
        <w:spacing w:line="560" w:lineRule="exact"/>
        <w:jc w:val="both"/>
        <w:rPr>
          <w:rFonts w:ascii="Times New Roman" w:hAnsi="Times New Roman" w:eastAsia="方正小标宋简体" w:cs="Times New Roman"/>
          <w:sz w:val="52"/>
          <w:szCs w:val="52"/>
          <w:lang w:bidi="ar"/>
        </w:rPr>
      </w:pPr>
    </w:p>
    <w:p w14:paraId="0A840A20">
      <w:pPr>
        <w:pageBreakBefore w:val="0"/>
        <w:widowControl/>
        <w:kinsoku/>
        <w:wordWrap/>
        <w:overflowPunct/>
        <w:topLinePunct w:val="0"/>
        <w:autoSpaceDE/>
        <w:autoSpaceDN/>
        <w:bidi w:val="0"/>
        <w:spacing w:line="560" w:lineRule="atLeast"/>
        <w:jc w:val="center"/>
        <w:textAlignment w:val="auto"/>
        <w:rPr>
          <w:rFonts w:hint="eastAsia" w:ascii="Times New Roman" w:hAnsi="Times New Roman" w:eastAsia="黑体" w:cs="黑体"/>
          <w:sz w:val="48"/>
          <w:szCs w:val="48"/>
          <w:lang w:bidi="ar"/>
        </w:rPr>
        <w:sectPr>
          <w:pgSz w:w="12240" w:h="15840"/>
          <w:pgMar w:top="1440" w:right="1800" w:bottom="1440" w:left="1800" w:header="720" w:footer="720" w:gutter="0"/>
          <w:pgNumType w:start="1"/>
          <w:cols w:space="425" w:num="1"/>
          <w:docGrid w:type="lines" w:linePitch="312" w:charSpace="0"/>
        </w:sectPr>
      </w:pPr>
    </w:p>
    <w:p w14:paraId="2FEC784D">
      <w:pPr>
        <w:pageBreakBefore w:val="0"/>
        <w:widowControl/>
        <w:kinsoku/>
        <w:wordWrap/>
        <w:overflowPunct/>
        <w:topLinePunct w:val="0"/>
        <w:autoSpaceDE/>
        <w:autoSpaceDN/>
        <w:bidi w:val="0"/>
        <w:spacing w:line="560" w:lineRule="atLeast"/>
        <w:jc w:val="center"/>
        <w:textAlignment w:val="auto"/>
        <w:rPr>
          <w:rFonts w:eastAsia="黑体"/>
          <w:sz w:val="48"/>
          <w:szCs w:val="48"/>
        </w:rPr>
      </w:pPr>
      <w:r>
        <w:rPr>
          <w:rFonts w:hint="eastAsia" w:ascii="Times New Roman" w:hAnsi="Times New Roman" w:eastAsia="黑体" w:cs="黑体"/>
          <w:sz w:val="48"/>
          <w:szCs w:val="48"/>
          <w:lang w:bidi="ar"/>
        </w:rPr>
        <w:t>目录</w:t>
      </w:r>
    </w:p>
    <w:p w14:paraId="3C84E84C">
      <w:pPr>
        <w:pageBreakBefore w:val="0"/>
        <w:widowControl/>
        <w:kinsoku/>
        <w:wordWrap/>
        <w:overflowPunct/>
        <w:topLinePunct w:val="0"/>
        <w:autoSpaceDE/>
        <w:autoSpaceDN/>
        <w:bidi w:val="0"/>
        <w:spacing w:line="560" w:lineRule="atLeast"/>
        <w:jc w:val="center"/>
        <w:textAlignment w:val="auto"/>
        <w:rPr>
          <w:rFonts w:eastAsia="黑体" w:cs="Times New Roman"/>
          <w:sz w:val="28"/>
          <w:szCs w:val="28"/>
        </w:rPr>
      </w:pPr>
    </w:p>
    <w:p w14:paraId="48F30033">
      <w:pPr>
        <w:pStyle w:val="7"/>
        <w:pageBreakBefore w:val="0"/>
        <w:widowControl/>
        <w:kinsoku/>
        <w:wordWrap/>
        <w:overflowPunct/>
        <w:topLinePunct w:val="0"/>
        <w:autoSpaceDE/>
        <w:autoSpaceDN/>
        <w:bidi w:val="0"/>
        <w:spacing w:line="560" w:lineRule="atLeast"/>
        <w:textAlignment w:val="auto"/>
        <w:rPr>
          <w:rFonts w:hint="default" w:ascii="Times New Roman" w:hAnsi="Times New Roman" w:eastAsia="仿宋_GB2312" w:cs="仿宋_GB2312"/>
          <w:sz w:val="32"/>
          <w:szCs w:val="32"/>
        </w:rPr>
      </w:pPr>
      <w:r>
        <w:rPr>
          <w:rFonts w:ascii="Times New Roman" w:hAnsi="Times New Roman" w:eastAsia="仿宋_GB2312" w:cs="仿宋_GB2312"/>
          <w:sz w:val="32"/>
          <w:szCs w:val="32"/>
        </w:rPr>
        <w:t>公开时间：</w:t>
      </w:r>
      <w:r>
        <w:rPr>
          <w:rFonts w:hint="default" w:ascii="Times New Roman" w:hAnsi="Times New Roman" w:eastAsia="仿宋_GB2312" w:cs="仿宋_GB2312"/>
          <w:sz w:val="32"/>
          <w:szCs w:val="32"/>
        </w:rPr>
        <w:t>2026</w:t>
      </w:r>
      <w:r>
        <w:rPr>
          <w:rFonts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29</w:t>
      </w:r>
      <w:r>
        <w:rPr>
          <w:rFonts w:ascii="Times New Roman" w:hAnsi="Times New Roman" w:eastAsia="仿宋_GB2312" w:cs="仿宋_GB2312"/>
          <w:sz w:val="32"/>
          <w:szCs w:val="32"/>
        </w:rPr>
        <w:t>日</w:t>
      </w:r>
    </w:p>
    <w:p w14:paraId="6BEF4D2B">
      <w:pPr>
        <w:pageBreakBefore w:val="0"/>
        <w:kinsoku/>
        <w:wordWrap/>
        <w:overflowPunct/>
        <w:topLinePunct w:val="0"/>
        <w:autoSpaceDE/>
        <w:autoSpaceDN/>
        <w:bidi w:val="0"/>
        <w:spacing w:line="560" w:lineRule="atLeast"/>
        <w:textAlignment w:val="auto"/>
      </w:pPr>
    </w:p>
    <w:p w14:paraId="0DCC04E7">
      <w:pPr>
        <w:pStyle w:val="7"/>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eastAsia="zh-CN"/>
        </w:rPr>
      </w:pPr>
      <w:r>
        <w:rPr>
          <w:rFonts w:ascii="Times New Roman" w:hAnsi="Times New Roman" w:eastAsia="黑体" w:cs="黑体"/>
          <w:sz w:val="32"/>
          <w:szCs w:val="32"/>
        </w:rPr>
        <w:t>第一部分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部门概况</w:t>
      </w:r>
      <w:r>
        <w:rPr>
          <w:rFonts w:hint="default" w:ascii="Times New Roman" w:hAnsi="Times New Roman" w:eastAsia="黑体" w:cs="黑体"/>
          <w:sz w:val="32"/>
          <w:szCs w:val="32"/>
        </w:rPr>
        <w:t>………………………………………….…1</w:t>
      </w:r>
    </w:p>
    <w:p w14:paraId="1B8A3C83">
      <w:pPr>
        <w:pStyle w:val="7"/>
        <w:pageBreakBefore w:val="0"/>
        <w:widowControl/>
        <w:kinsoku/>
        <w:wordWrap/>
        <w:overflowPunct/>
        <w:topLinePunct w:val="0"/>
        <w:autoSpaceDE/>
        <w:autoSpaceDN/>
        <w:bidi w:val="0"/>
        <w:adjustRightInd w:val="0"/>
        <w:snapToGrid w:val="0"/>
        <w:spacing w:before="0" w:line="560" w:lineRule="atLeast"/>
        <w:ind w:firstLine="640" w:firstLineChars="200"/>
        <w:jc w:val="left"/>
        <w:textAlignment w:val="auto"/>
        <w:rPr>
          <w:rFonts w:eastAsia="仿宋_GB2312" w:cs="仿宋_GB2312"/>
          <w:sz w:val="32"/>
          <w:szCs w:val="32"/>
        </w:rPr>
      </w:pPr>
      <w:r>
        <w:rPr>
          <w:rFonts w:hint="eastAsia" w:eastAsia="仿宋_GB2312" w:cs="仿宋_GB2312"/>
          <w:sz w:val="32"/>
          <w:szCs w:val="32"/>
        </w:rPr>
        <w:t>一、部门职责</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1</w:t>
      </w:r>
    </w:p>
    <w:p w14:paraId="1E8919E9">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二、机构设置</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4</w:t>
      </w:r>
    </w:p>
    <w:p w14:paraId="6DE81AF7">
      <w:pPr>
        <w:pStyle w:val="7"/>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rPr>
      </w:pPr>
      <w:r>
        <w:rPr>
          <w:rFonts w:ascii="Times New Roman" w:hAnsi="Times New Roman" w:eastAsia="黑体" w:cs="黑体"/>
          <w:sz w:val="32"/>
          <w:szCs w:val="32"/>
        </w:rPr>
        <w:t>第二部分</w:t>
      </w:r>
      <w:r>
        <w:rPr>
          <w:rFonts w:hint="default" w:ascii="Times New Roman" w:hAnsi="Times New Roman" w:eastAsia="黑体" w:cs="黑体"/>
          <w:sz w:val="32"/>
          <w:szCs w:val="32"/>
        </w:rPr>
        <w:t xml:space="preserve"> 2025</w:t>
      </w:r>
      <w:r>
        <w:rPr>
          <w:rFonts w:ascii="Times New Roman" w:hAnsi="Times New Roman" w:eastAsia="黑体" w:cs="黑体"/>
          <w:sz w:val="32"/>
          <w:szCs w:val="32"/>
        </w:rPr>
        <w:t>年度部门决算情况说明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..5</w:t>
      </w:r>
    </w:p>
    <w:p w14:paraId="6F781597">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eastAsia="仿宋_GB2312" w:cs="仿宋_GB2312"/>
          <w:sz w:val="32"/>
          <w:szCs w:val="32"/>
        </w:rPr>
      </w:pPr>
      <w:r>
        <w:rPr>
          <w:rFonts w:hint="eastAsia" w:eastAsia="仿宋_GB2312" w:cs="仿宋_GB2312"/>
          <w:sz w:val="32"/>
          <w:szCs w:val="32"/>
        </w:rPr>
        <w:t>一、收入支出决算总体情况说明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..5</w:t>
      </w:r>
    </w:p>
    <w:p w14:paraId="5416501E">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二、收入决算情况说明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5</w:t>
      </w:r>
    </w:p>
    <w:p w14:paraId="054D42AC">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三、支出决算情况说明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6</w:t>
      </w:r>
    </w:p>
    <w:p w14:paraId="23502886">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四、财政拨款收入支出决算总体情况说明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7</w:t>
      </w:r>
    </w:p>
    <w:p w14:paraId="165F63AA">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五、一般公共预算财政拨款支出决算情况说明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8</w:t>
      </w:r>
    </w:p>
    <w:p w14:paraId="31818459">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六、一般公共预算财政拨款基本支出决算情况说明</w:t>
      </w:r>
      <w:r>
        <w:rPr>
          <w:rFonts w:hint="default" w:ascii="Times New Roman" w:hAnsi="Times New Roman" w:eastAsia="黑体" w:cs="黑体"/>
          <w:sz w:val="32"/>
          <w:szCs w:val="32"/>
        </w:rPr>
        <w:t>.…</w:t>
      </w:r>
      <w:r>
        <w:rPr>
          <w:rFonts w:hint="eastAsia" w:eastAsia="黑体" w:cs="黑体"/>
          <w:sz w:val="32"/>
          <w:szCs w:val="32"/>
          <w:lang w:val="en-US" w:eastAsia="zh-CN"/>
        </w:rPr>
        <w:t>.10</w:t>
      </w:r>
    </w:p>
    <w:p w14:paraId="56CF6D15">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七、财政拨款“三公”经费支出决算情况说明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11</w:t>
      </w:r>
    </w:p>
    <w:p w14:paraId="2477ABAA">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八、政府性基金预算支出决算情况说明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...12</w:t>
      </w:r>
    </w:p>
    <w:p w14:paraId="676DD613">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九、国有资本经营预算支出决算情况说明</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...12</w:t>
      </w:r>
    </w:p>
    <w:p w14:paraId="1FE8B8D2">
      <w:pPr>
        <w:pStyle w:val="9"/>
        <w:pageBreakBefore w:val="0"/>
        <w:widowControl/>
        <w:kinsoku/>
        <w:wordWrap/>
        <w:overflowPunct/>
        <w:topLinePunct w:val="0"/>
        <w:autoSpaceDE/>
        <w:autoSpaceDN/>
        <w:bidi w:val="0"/>
        <w:adjustRightInd w:val="0"/>
        <w:snapToGrid w:val="0"/>
        <w:spacing w:line="240" w:lineRule="auto"/>
        <w:ind w:left="0" w:leftChars="0" w:firstLine="640" w:firstLineChars="200"/>
        <w:jc w:val="left"/>
        <w:textAlignment w:val="auto"/>
        <w:rPr>
          <w:rFonts w:hint="default" w:ascii="Times New Roman" w:hAnsi="Times New Roman" w:eastAsia="黑体" w:cs="黑体"/>
          <w:sz w:val="32"/>
          <w:szCs w:val="32"/>
          <w:lang w:val="en-US"/>
        </w:rPr>
      </w:pPr>
      <w:r>
        <w:rPr>
          <w:rFonts w:hint="eastAsia" w:eastAsia="仿宋_GB2312" w:cs="仿宋_GB2312"/>
          <w:sz w:val="32"/>
          <w:szCs w:val="32"/>
        </w:rPr>
        <w:t>十、其他重要事项的情况说明</w:t>
      </w:r>
      <w:r>
        <w:rPr>
          <w:rFonts w:hint="default" w:ascii="Times New Roman" w:hAnsi="Times New Roman" w:eastAsia="黑体" w:cs="黑体"/>
          <w:sz w:val="32"/>
          <w:szCs w:val="32"/>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...13</w:t>
      </w:r>
      <w:r>
        <w:rPr>
          <w:rFonts w:ascii="Times New Roman" w:hAnsi="Times New Roman" w:eastAsia="黑体" w:cs="黑体"/>
          <w:sz w:val="32"/>
          <w:szCs w:val="32"/>
        </w:rPr>
        <w:t>第三部分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名词解释</w:t>
      </w:r>
      <w:r>
        <w:rPr>
          <w:rFonts w:hint="default" w:ascii="Times New Roman" w:hAnsi="Times New Roman" w:eastAsia="黑体" w:cs="黑体"/>
          <w:sz w:val="32"/>
          <w:szCs w:val="32"/>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1</w:t>
      </w:r>
      <w:r>
        <w:rPr>
          <w:rFonts w:hint="eastAsia" w:eastAsia="黑体" w:cs="黑体"/>
          <w:sz w:val="32"/>
          <w:szCs w:val="32"/>
          <w:lang w:val="en-US" w:eastAsia="zh-CN"/>
        </w:rPr>
        <w:t>5</w:t>
      </w:r>
    </w:p>
    <w:p w14:paraId="7F6305DF">
      <w:pPr>
        <w:pStyle w:val="7"/>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rPr>
      </w:pPr>
      <w:r>
        <w:rPr>
          <w:rFonts w:ascii="Times New Roman" w:hAnsi="Times New Roman" w:eastAsia="黑体" w:cs="黑体"/>
          <w:sz w:val="32"/>
          <w:szCs w:val="32"/>
        </w:rPr>
        <w:t>第四部分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附件</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.......18</w:t>
      </w:r>
    </w:p>
    <w:p w14:paraId="7CBE9903">
      <w:pPr>
        <w:pStyle w:val="7"/>
        <w:pageBreakBefore w:val="0"/>
        <w:widowControl/>
        <w:kinsoku/>
        <w:wordWrap/>
        <w:overflowPunct/>
        <w:topLinePunct w:val="0"/>
        <w:autoSpaceDE/>
        <w:autoSpaceDN/>
        <w:bidi w:val="0"/>
        <w:adjustRightInd w:val="0"/>
        <w:snapToGrid w:val="0"/>
        <w:spacing w:before="0" w:line="560" w:lineRule="atLeast"/>
        <w:jc w:val="left"/>
        <w:textAlignment w:val="auto"/>
        <w:rPr>
          <w:rFonts w:hint="default" w:ascii="Times New Roman" w:hAnsi="Times New Roman" w:eastAsia="黑体" w:cs="黑体"/>
          <w:sz w:val="32"/>
          <w:szCs w:val="32"/>
          <w:lang w:val="en-US" w:eastAsia="zh-CN"/>
        </w:rPr>
      </w:pPr>
      <w:r>
        <w:rPr>
          <w:rFonts w:ascii="Times New Roman" w:hAnsi="Times New Roman" w:eastAsia="黑体" w:cs="黑体"/>
          <w:sz w:val="32"/>
          <w:szCs w:val="32"/>
        </w:rPr>
        <w:t>第五部分</w:t>
      </w:r>
      <w:r>
        <w:rPr>
          <w:rFonts w:hint="default" w:ascii="Times New Roman" w:hAnsi="Times New Roman" w:eastAsia="黑体" w:cs="黑体"/>
          <w:sz w:val="32"/>
          <w:szCs w:val="32"/>
        </w:rPr>
        <w:t xml:space="preserve"> </w:t>
      </w:r>
      <w:r>
        <w:rPr>
          <w:rFonts w:ascii="Times New Roman" w:hAnsi="Times New Roman" w:eastAsia="黑体" w:cs="黑体"/>
          <w:sz w:val="32"/>
          <w:szCs w:val="32"/>
        </w:rPr>
        <w:t>附表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19</w:t>
      </w:r>
    </w:p>
    <w:p w14:paraId="47B646BD">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一、收入支出决算总表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78D9E7B5">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二、收入决算表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64A1A949">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eastAsia" w:eastAsia="仿宋_GB2312" w:cs="仿宋_GB2312"/>
          <w:sz w:val="32"/>
          <w:szCs w:val="32"/>
        </w:rPr>
        <w:sectPr>
          <w:footerReference r:id="rId3" w:type="default"/>
          <w:pgSz w:w="12240" w:h="15840"/>
          <w:pgMar w:top="1440" w:right="1800" w:bottom="1440" w:left="1800" w:header="720" w:footer="720" w:gutter="0"/>
          <w:pgNumType w:start="1"/>
          <w:cols w:space="425" w:num="1"/>
          <w:docGrid w:type="lines" w:linePitch="312" w:charSpace="0"/>
        </w:sectPr>
      </w:pPr>
    </w:p>
    <w:p w14:paraId="1F00D177">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三、支出决算表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48A221A5">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四、财政拨款收入支出决算总表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00A6D6FB">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五、财政拨款支出决算明细表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29C04E8B">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六、一般公共预算财政拨款支出决算表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32435C0F">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七、一般公共预算财政拨款支出决算明细表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1113647D">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八、一般公共预算财政拨款基本支出决算明细表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42AD9FEC">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九、一般公共预算财政拨款项目支出决算表</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default" w:ascii="Times New Roman" w:hAnsi="Times New Roman" w:eastAsia="黑体" w:cs="黑体"/>
          <w:sz w:val="32"/>
          <w:szCs w:val="32"/>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712DDBBC">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十、政府性基金预算财政拨款收入支出决算表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3E8082E1">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十一、国有资本经营预算财政拨款收入支出决算表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373E6126">
      <w:pPr>
        <w:pStyle w:val="9"/>
        <w:pageBreakBefore w:val="0"/>
        <w:widowControl/>
        <w:kinsoku/>
        <w:wordWrap/>
        <w:overflowPunct/>
        <w:topLinePunct w:val="0"/>
        <w:autoSpaceDE/>
        <w:autoSpaceDN/>
        <w:bidi w:val="0"/>
        <w:adjustRightInd w:val="0"/>
        <w:snapToGrid w:val="0"/>
        <w:spacing w:line="560" w:lineRule="atLeast"/>
        <w:ind w:left="0" w:leftChars="0" w:firstLine="640" w:firstLineChars="200"/>
        <w:jc w:val="left"/>
        <w:textAlignment w:val="auto"/>
        <w:rPr>
          <w:rFonts w:hint="default" w:eastAsia="仿宋_GB2312" w:cs="仿宋_GB2312"/>
          <w:sz w:val="32"/>
          <w:szCs w:val="32"/>
          <w:lang w:val="en-US"/>
        </w:rPr>
      </w:pPr>
      <w:r>
        <w:rPr>
          <w:rFonts w:hint="eastAsia" w:eastAsia="仿宋_GB2312" w:cs="仿宋_GB2312"/>
          <w:sz w:val="32"/>
          <w:szCs w:val="32"/>
        </w:rPr>
        <w:t>十二、国有资本经营预算财政拨款支出决算表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p>
    <w:p w14:paraId="4881D73B">
      <w:pPr>
        <w:pageBreakBefore w:val="0"/>
        <w:widowControl/>
        <w:kinsoku/>
        <w:wordWrap/>
        <w:overflowPunct/>
        <w:topLinePunct w:val="0"/>
        <w:autoSpaceDE/>
        <w:autoSpaceDN/>
        <w:bidi w:val="0"/>
        <w:spacing w:line="560" w:lineRule="atLeast"/>
        <w:ind w:firstLine="640" w:firstLineChars="200"/>
        <w:jc w:val="left"/>
        <w:textAlignment w:val="auto"/>
        <w:rPr>
          <w:rFonts w:hint="default" w:ascii="Times New Roman" w:hAnsi="Times New Roman" w:eastAsia="仿宋_GB2312" w:cs="仿宋_GB2312"/>
          <w:sz w:val="32"/>
          <w:szCs w:val="32"/>
          <w:lang w:val="en-US" w:bidi="ar"/>
        </w:rPr>
      </w:pPr>
      <w:r>
        <w:rPr>
          <w:rFonts w:hint="eastAsia" w:ascii="Times New Roman" w:hAnsi="Times New Roman" w:eastAsia="仿宋_GB2312" w:cs="仿宋_GB2312"/>
          <w:sz w:val="32"/>
          <w:szCs w:val="32"/>
          <w:lang w:bidi="ar"/>
        </w:rPr>
        <w:t>十三、财政拨款“三公”经费支出决算表</w:t>
      </w:r>
      <w:r>
        <w:rPr>
          <w:rFonts w:hint="eastAsia" w:eastAsia="黑体" w:cs="黑体"/>
          <w:sz w:val="32"/>
          <w:szCs w:val="32"/>
          <w:lang w:val="en-US" w:eastAsia="zh-CN"/>
        </w:rPr>
        <w:t>.</w:t>
      </w:r>
      <w:r>
        <w:rPr>
          <w:rFonts w:hint="eastAsia" w:ascii="Times New Roman" w:hAnsi="Times New Roman" w:eastAsia="黑体" w:cs="黑体"/>
          <w:sz w:val="32"/>
          <w:szCs w:val="32"/>
          <w:lang w:val="en-US" w:eastAsia="zh-CN"/>
        </w:rPr>
        <w:t>..</w:t>
      </w:r>
      <w:r>
        <w:rPr>
          <w:rFonts w:hint="eastAsia" w:eastAsia="黑体" w:cs="黑体"/>
          <w:sz w:val="32"/>
          <w:szCs w:val="32"/>
          <w:lang w:val="en-US" w:eastAsia="zh-CN"/>
        </w:rPr>
        <w:t>....................19</w:t>
      </w:r>
      <w:bookmarkStart w:id="61" w:name="_GoBack"/>
      <w:bookmarkEnd w:id="61"/>
    </w:p>
    <w:p w14:paraId="3C293399">
      <w:pPr>
        <w:widowControl/>
        <w:spacing w:line="560" w:lineRule="exact"/>
        <w:ind w:firstLine="640" w:firstLineChars="200"/>
        <w:jc w:val="left"/>
        <w:rPr>
          <w:rFonts w:ascii="Times New Roman" w:hAnsi="Times New Roman" w:eastAsia="仿宋_GB2312" w:cs="仿宋_GB2312"/>
          <w:sz w:val="32"/>
          <w:szCs w:val="32"/>
          <w:lang w:bidi="ar"/>
        </w:rPr>
      </w:pPr>
    </w:p>
    <w:p w14:paraId="7455C898">
      <w:pPr>
        <w:widowControl/>
        <w:spacing w:line="560" w:lineRule="exact"/>
        <w:ind w:firstLine="640" w:firstLineChars="200"/>
        <w:jc w:val="left"/>
        <w:rPr>
          <w:rFonts w:ascii="Times New Roman" w:hAnsi="Times New Roman" w:eastAsia="仿宋_GB2312" w:cs="仿宋_GB2312"/>
          <w:sz w:val="32"/>
          <w:szCs w:val="32"/>
          <w:lang w:bidi="ar"/>
        </w:rPr>
      </w:pPr>
    </w:p>
    <w:p w14:paraId="31E45625">
      <w:pPr>
        <w:widowControl/>
        <w:spacing w:line="560" w:lineRule="exact"/>
        <w:ind w:firstLine="640" w:firstLineChars="200"/>
        <w:jc w:val="left"/>
        <w:rPr>
          <w:rFonts w:ascii="Times New Roman" w:hAnsi="Times New Roman" w:eastAsia="仿宋_GB2312" w:cs="仿宋_GB2312"/>
          <w:sz w:val="32"/>
          <w:szCs w:val="32"/>
          <w:lang w:bidi="ar"/>
        </w:rPr>
      </w:pPr>
    </w:p>
    <w:p w14:paraId="67C2AFCE">
      <w:pPr>
        <w:widowControl/>
        <w:spacing w:line="560" w:lineRule="exact"/>
        <w:ind w:firstLine="640" w:firstLineChars="200"/>
        <w:jc w:val="left"/>
        <w:rPr>
          <w:rFonts w:ascii="Times New Roman" w:hAnsi="Times New Roman" w:eastAsia="仿宋_GB2312" w:cs="仿宋_GB2312"/>
          <w:sz w:val="32"/>
          <w:szCs w:val="32"/>
          <w:lang w:bidi="ar"/>
        </w:rPr>
      </w:pPr>
    </w:p>
    <w:p w14:paraId="46DBBAA4">
      <w:pPr>
        <w:widowControl/>
        <w:spacing w:line="560" w:lineRule="exact"/>
        <w:ind w:firstLine="640" w:firstLineChars="200"/>
        <w:jc w:val="left"/>
        <w:rPr>
          <w:rFonts w:ascii="Times New Roman" w:hAnsi="Times New Roman" w:eastAsia="仿宋_GB2312" w:cs="仿宋_GB2312"/>
          <w:sz w:val="32"/>
          <w:szCs w:val="32"/>
          <w:lang w:bidi="ar"/>
        </w:rPr>
      </w:pPr>
    </w:p>
    <w:p w14:paraId="1D1B133F">
      <w:pPr>
        <w:widowControl/>
        <w:spacing w:line="560" w:lineRule="exact"/>
        <w:ind w:firstLine="640" w:firstLineChars="200"/>
        <w:jc w:val="left"/>
        <w:rPr>
          <w:rFonts w:ascii="Times New Roman" w:hAnsi="Times New Roman" w:eastAsia="仿宋_GB2312" w:cs="仿宋_GB2312"/>
          <w:sz w:val="32"/>
          <w:szCs w:val="32"/>
          <w:lang w:bidi="ar"/>
        </w:rPr>
      </w:pPr>
    </w:p>
    <w:p w14:paraId="7DC37CE7">
      <w:pPr>
        <w:widowControl/>
        <w:spacing w:line="560" w:lineRule="exact"/>
        <w:ind w:firstLine="640" w:firstLineChars="200"/>
        <w:jc w:val="left"/>
        <w:rPr>
          <w:rFonts w:ascii="Times New Roman" w:hAnsi="Times New Roman" w:eastAsia="仿宋_GB2312" w:cs="仿宋_GB2312"/>
          <w:sz w:val="32"/>
          <w:szCs w:val="32"/>
          <w:lang w:bidi="ar"/>
        </w:rPr>
      </w:pPr>
    </w:p>
    <w:p w14:paraId="34EAC73A">
      <w:pPr>
        <w:widowControl/>
        <w:spacing w:line="560" w:lineRule="exact"/>
        <w:ind w:firstLine="640" w:firstLineChars="200"/>
        <w:jc w:val="left"/>
        <w:rPr>
          <w:rFonts w:ascii="Times New Roman" w:hAnsi="Times New Roman" w:eastAsia="仿宋_GB2312" w:cs="仿宋_GB2312"/>
          <w:sz w:val="32"/>
          <w:szCs w:val="32"/>
          <w:lang w:bidi="ar"/>
        </w:rPr>
      </w:pPr>
    </w:p>
    <w:p w14:paraId="058EE3CC">
      <w:pPr>
        <w:widowControl/>
        <w:spacing w:line="560" w:lineRule="exact"/>
        <w:ind w:firstLine="640" w:firstLineChars="200"/>
        <w:jc w:val="left"/>
        <w:rPr>
          <w:rFonts w:ascii="Times New Roman" w:hAnsi="Times New Roman" w:eastAsia="仿宋_GB2312" w:cs="仿宋_GB2312"/>
          <w:sz w:val="32"/>
          <w:szCs w:val="32"/>
          <w:lang w:bidi="ar"/>
        </w:rPr>
      </w:pPr>
    </w:p>
    <w:p w14:paraId="0194EB8B">
      <w:pPr>
        <w:widowControl/>
        <w:spacing w:line="560" w:lineRule="exact"/>
        <w:ind w:firstLine="640" w:firstLineChars="200"/>
        <w:jc w:val="left"/>
        <w:rPr>
          <w:rFonts w:hint="eastAsia" w:ascii="Times New Roman" w:hAnsi="Times New Roman" w:eastAsia="仿宋_GB2312" w:cs="仿宋_GB2312"/>
          <w:sz w:val="32"/>
          <w:szCs w:val="32"/>
          <w:lang w:bidi="ar"/>
        </w:rPr>
      </w:pPr>
    </w:p>
    <w:p w14:paraId="30823053">
      <w:pPr>
        <w:widowControl/>
        <w:spacing w:line="560" w:lineRule="exact"/>
        <w:ind w:firstLine="640" w:firstLineChars="200"/>
        <w:jc w:val="left"/>
        <w:rPr>
          <w:rFonts w:hint="eastAsia" w:ascii="Times New Roman" w:hAnsi="Times New Roman" w:eastAsia="仿宋_GB2312" w:cs="仿宋_GB2312"/>
          <w:sz w:val="32"/>
          <w:szCs w:val="32"/>
          <w:lang w:bidi="ar"/>
        </w:rPr>
      </w:pPr>
    </w:p>
    <w:p w14:paraId="1A794A9E">
      <w:pPr>
        <w:pStyle w:val="2"/>
        <w:pageBreakBefore w:val="0"/>
        <w:widowControl/>
        <w:kinsoku/>
        <w:wordWrap/>
        <w:overflowPunct/>
        <w:topLinePunct w:val="0"/>
        <w:autoSpaceDE/>
        <w:autoSpaceDN/>
        <w:bidi w:val="0"/>
        <w:adjustRightInd/>
        <w:snapToGrid/>
        <w:spacing w:before="0" w:after="0" w:line="560" w:lineRule="exact"/>
        <w:ind w:left="0"/>
        <w:jc w:val="center"/>
        <w:textAlignment w:val="auto"/>
        <w:rPr>
          <w:rFonts w:hint="eastAsia" w:hAnsi="方正小标宋简体" w:eastAsia="方正小标宋简体" w:cs="方正小标宋简体"/>
          <w:b w:val="0"/>
        </w:rPr>
        <w:sectPr>
          <w:footerReference r:id="rId4" w:type="default"/>
          <w:pgSz w:w="12240" w:h="15840"/>
          <w:pgMar w:top="1440" w:right="1800" w:bottom="1440" w:left="1800" w:header="720" w:footer="720" w:gutter="0"/>
          <w:cols w:space="425" w:num="1"/>
          <w:docGrid w:type="lines" w:linePitch="312" w:charSpace="0"/>
        </w:sectPr>
      </w:pPr>
    </w:p>
    <w:p w14:paraId="0E145CB2">
      <w:pPr>
        <w:pStyle w:val="2"/>
        <w:pageBreakBefore w:val="0"/>
        <w:widowControl/>
        <w:kinsoku/>
        <w:wordWrap/>
        <w:overflowPunct/>
        <w:topLinePunct w:val="0"/>
        <w:autoSpaceDE/>
        <w:autoSpaceDN/>
        <w:bidi w:val="0"/>
        <w:adjustRightInd/>
        <w:snapToGrid/>
        <w:spacing w:before="0" w:after="0" w:line="560" w:lineRule="exact"/>
        <w:ind w:left="0"/>
        <w:jc w:val="center"/>
        <w:textAlignment w:val="auto"/>
        <w:rPr>
          <w:rFonts w:eastAsia="方正小标宋简体" w:cs="方正小标宋简体"/>
          <w:bCs w:val="0"/>
        </w:rPr>
      </w:pPr>
      <w:r>
        <w:rPr>
          <w:rFonts w:hint="eastAsia" w:hAnsi="方正小标宋简体" w:eastAsia="方正小标宋简体" w:cs="方正小标宋简体"/>
          <w:b w:val="0"/>
        </w:rPr>
        <w:t>第一部分</w:t>
      </w:r>
      <w:r>
        <w:rPr>
          <w:rFonts w:eastAsia="方正小标宋简体" w:cs="方正小标宋简体"/>
          <w:b w:val="0"/>
        </w:rPr>
        <w:t xml:space="preserve">  </w:t>
      </w:r>
      <w:r>
        <w:rPr>
          <w:rStyle w:val="20"/>
          <w:rFonts w:hint="eastAsia" w:hAnsi="方正小标宋简体" w:eastAsia="方正小标宋简体" w:cs="方正小标宋简体"/>
          <w:b/>
          <w:bCs/>
        </w:rPr>
        <w:t>部门概况</w:t>
      </w:r>
    </w:p>
    <w:p w14:paraId="4D6B457C">
      <w:pPr>
        <w:pageBreakBefore w:val="0"/>
        <w:widowControl/>
        <w:kinsoku/>
        <w:wordWrap/>
        <w:overflowPunct/>
        <w:topLinePunct w:val="0"/>
        <w:autoSpaceDE/>
        <w:autoSpaceDN/>
        <w:bidi w:val="0"/>
        <w:adjustRightInd/>
        <w:snapToGrid/>
        <w:spacing w:line="560" w:lineRule="exact"/>
        <w:ind w:left="0"/>
        <w:jc w:val="left"/>
        <w:textAlignment w:val="auto"/>
        <w:rPr>
          <w:rFonts w:eastAsia="黑体"/>
          <w:sz w:val="32"/>
          <w:szCs w:val="32"/>
        </w:rPr>
      </w:pPr>
    </w:p>
    <w:p w14:paraId="5CFC9EBB">
      <w:pPr>
        <w:pStyle w:val="3"/>
        <w:pageBreakBefore w:val="0"/>
        <w:widowControl/>
        <w:numPr>
          <w:numId w:val="0"/>
        </w:numPr>
        <w:kinsoku/>
        <w:wordWrap/>
        <w:overflowPunct/>
        <w:topLinePunct w:val="0"/>
        <w:autoSpaceDE/>
        <w:autoSpaceDN/>
        <w:bidi w:val="0"/>
        <w:adjustRightInd/>
        <w:snapToGrid/>
        <w:spacing w:before="0" w:after="0" w:line="560" w:lineRule="exact"/>
        <w:ind w:left="-720" w:leftChars="0" w:firstLine="1280" w:firstLineChars="400"/>
        <w:textAlignment w:val="auto"/>
        <w:rPr>
          <w:rFonts w:ascii="Times New Roman" w:hAnsi="Times New Roman" w:eastAsia="黑体" w:cs="黑体"/>
          <w:b w:val="0"/>
        </w:rPr>
      </w:pPr>
      <w:r>
        <w:rPr>
          <w:rFonts w:hint="eastAsia" w:ascii="Times New Roman" w:hAnsi="Times New Roman" w:eastAsia="黑体" w:cs="黑体"/>
          <w:b w:val="0"/>
          <w:lang w:eastAsia="zh-CN"/>
        </w:rPr>
        <w:t>一、</w:t>
      </w:r>
      <w:r>
        <w:rPr>
          <w:rFonts w:hint="eastAsia" w:ascii="Times New Roman" w:hAnsi="Times New Roman" w:eastAsia="黑体" w:cs="黑体"/>
          <w:b w:val="0"/>
        </w:rPr>
        <w:t>部门职责</w:t>
      </w:r>
    </w:p>
    <w:p w14:paraId="26951C88">
      <w:pPr>
        <w:pStyle w:val="24"/>
        <w:pageBreakBefore w:val="0"/>
        <w:numPr>
          <w:numId w:val="0"/>
        </w:numPr>
        <w:kinsoku/>
        <w:wordWrap/>
        <w:overflowPunct/>
        <w:topLinePunct w:val="0"/>
        <w:autoSpaceDE/>
        <w:autoSpaceDN/>
        <w:bidi w:val="0"/>
        <w:adjustRightInd/>
        <w:snapToGrid/>
        <w:spacing w:line="560" w:lineRule="exact"/>
        <w:ind w:left="-720" w:leftChars="0" w:firstLine="1285" w:firstLineChars="400"/>
        <w:textAlignment w:val="auto"/>
        <w:rPr>
          <w:rFonts w:ascii="仿宋_GB2312" w:hAnsi="仿宋" w:eastAsia="仿宋_GB2312" w:cs="仿宋"/>
          <w:b/>
          <w:bCs/>
          <w:sz w:val="32"/>
          <w:szCs w:val="32"/>
        </w:rPr>
      </w:pPr>
      <w:r>
        <w:rPr>
          <w:rFonts w:hint="eastAsia" w:ascii="仿宋_GB2312" w:hAnsi="仿宋" w:eastAsia="仿宋_GB2312" w:cs="仿宋"/>
          <w:b/>
          <w:bCs/>
          <w:sz w:val="32"/>
          <w:szCs w:val="32"/>
          <w:lang w:val="en-US" w:eastAsia="zh-CN" w:bidi="ar"/>
        </w:rPr>
        <w:t>1、</w:t>
      </w:r>
      <w:r>
        <w:rPr>
          <w:rFonts w:hint="eastAsia" w:ascii="仿宋_GB2312" w:hAnsi="仿宋" w:eastAsia="仿宋_GB2312" w:cs="仿宋"/>
          <w:b/>
          <w:bCs/>
          <w:sz w:val="32"/>
          <w:szCs w:val="32"/>
          <w:lang w:bidi="ar"/>
        </w:rPr>
        <w:t>优化服务平台</w:t>
      </w:r>
    </w:p>
    <w:p w14:paraId="417461DA">
      <w:pPr>
        <w:pStyle w:val="24"/>
        <w:pageBreakBefore w:val="0"/>
        <w:kinsoku/>
        <w:wordWrap/>
        <w:overflowPunct/>
        <w:topLinePunct w:val="0"/>
        <w:autoSpaceDE/>
        <w:autoSpaceDN/>
        <w:bidi w:val="0"/>
        <w:adjustRightInd/>
        <w:snapToGrid/>
        <w:spacing w:line="560" w:lineRule="exact"/>
        <w:ind w:left="0" w:firstLine="480" w:firstLineChars="15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1)推进基层“一站式”服务。统筹推进城乡低保、社会保障、卫生健康、医疗、土地流转、就业培训、文化教育、体育健身等审批服务事项和惠民政策、农业生产、科技知识等咨询服务事项，以及水、电、气、通信等公共服务事项在乡镇便民服务中心“一站式”办理，实现企业和群众办事“只进一扇门”“最多跑一次”。</w:t>
      </w:r>
    </w:p>
    <w:p w14:paraId="28DAB6DF">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2)优化基层网点设置。充分尊重和了解群众办事习惯，按照方便群众办事原则，合理整合资源、调配人员、优化队伍，在被撤并乡镇、村科学布局便民服务网点。其建设标准、服务事项与现便民服务中心基本一致。行政村依托党群服务中心设置便民服务站。</w:t>
      </w:r>
    </w:p>
    <w:p w14:paraId="69A65835">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3)创新便民服务方式。以乡镇便民服务中心为中心，以村便民服务站为辐射网点，按照“中心先行、网点跟进”原则，全面深化警务、社保、医疗等服务。依托乡镇邮政服务网点,面向“三农”领域提供金融、法律、农技、信息和电商等服务。建立健全领导干部进中心制度，完善乡镇领导干部、相关站所负责人和县级派出机构负责人定期到便民服务中心集中办公制度。推进省一体化政务服务平台使用规范培训、督查和考核，加强基层便民服务中心信息化建设，让“数据多跑路、群众少跑腿”。</w:t>
      </w:r>
    </w:p>
    <w:p w14:paraId="2D92E93C">
      <w:pPr>
        <w:pStyle w:val="24"/>
        <w:pageBreakBefore w:val="0"/>
        <w:numPr>
          <w:numId w:val="0"/>
        </w:numPr>
        <w:kinsoku/>
        <w:wordWrap/>
        <w:overflowPunct/>
        <w:topLinePunct w:val="0"/>
        <w:autoSpaceDE/>
        <w:autoSpaceDN/>
        <w:bidi w:val="0"/>
        <w:adjustRightInd/>
        <w:snapToGrid/>
        <w:spacing w:line="560" w:lineRule="exact"/>
        <w:ind w:left="-720" w:leftChars="0" w:firstLine="1285" w:firstLineChars="400"/>
        <w:textAlignment w:val="auto"/>
        <w:rPr>
          <w:rFonts w:ascii="仿宋_GB2312" w:hAnsi="仿宋" w:eastAsia="仿宋_GB2312" w:cs="仿宋"/>
          <w:b/>
          <w:bCs/>
          <w:sz w:val="32"/>
          <w:szCs w:val="32"/>
        </w:rPr>
      </w:pPr>
      <w:r>
        <w:rPr>
          <w:rFonts w:hint="eastAsia" w:ascii="仿宋_GB2312" w:hAnsi="仿宋" w:eastAsia="仿宋_GB2312" w:cs="仿宋"/>
          <w:b/>
          <w:bCs/>
          <w:sz w:val="32"/>
          <w:szCs w:val="32"/>
          <w:lang w:val="en-US" w:eastAsia="zh-CN" w:bidi="ar"/>
        </w:rPr>
        <w:t>2、</w:t>
      </w:r>
      <w:r>
        <w:rPr>
          <w:rFonts w:hint="eastAsia" w:ascii="仿宋_GB2312" w:hAnsi="仿宋" w:eastAsia="仿宋_GB2312" w:cs="仿宋"/>
          <w:b/>
          <w:bCs/>
          <w:sz w:val="32"/>
          <w:szCs w:val="32"/>
          <w:lang w:bidi="ar"/>
        </w:rPr>
        <w:t>统一建设标准</w:t>
      </w:r>
    </w:p>
    <w:p w14:paraId="780A5F90">
      <w:pPr>
        <w:pStyle w:val="24"/>
        <w:pageBreakBefore w:val="0"/>
        <w:kinsoku/>
        <w:wordWrap/>
        <w:overflowPunct/>
        <w:topLinePunct w:val="0"/>
        <w:autoSpaceDE/>
        <w:autoSpaceDN/>
        <w:bidi w:val="0"/>
        <w:adjustRightInd/>
        <w:snapToGrid/>
        <w:spacing w:line="560" w:lineRule="exact"/>
        <w:ind w:left="0" w:firstLine="64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1)明确规范标准。根据《四川省乡镇（街道）便民服务中心标准化规范化便利化建设方案》，明确场地建设标准，统一名称标识、软硬件配置、服务流程和评价监督。根据实际情况，因地制宜制定具有本地特色的实施方案。</w:t>
      </w:r>
    </w:p>
    <w:p w14:paraId="4100FD11">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2)规范审批服务印章。采取“一枚印章管审批（服务）”方式，统一启用审批服务专用章，对设置有分中心的便民服务中心实行印章编号管理。运用现代信息技术手段，依托省一体化政务服务平台逐步推广使用电子印章，解决群众办事“盖章难”的问题。</w:t>
      </w:r>
    </w:p>
    <w:p w14:paraId="5DF9426D">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3)推行一窗受理模式。参照《四川省政务服务“一窗受理”服务规范（试行）》，在便民服务中心、便民服务站推行“综合受理、分类审批”服务模式，加快实现一窗受理、限时办结和“最多跑一次”，推动服务管理智能化，实现便民服务“零距离”。</w:t>
      </w:r>
    </w:p>
    <w:p w14:paraId="3E7633DA">
      <w:pPr>
        <w:pStyle w:val="24"/>
        <w:pageBreakBefore w:val="0"/>
        <w:numPr>
          <w:numId w:val="0"/>
        </w:numPr>
        <w:kinsoku/>
        <w:wordWrap/>
        <w:overflowPunct/>
        <w:topLinePunct w:val="0"/>
        <w:autoSpaceDE/>
        <w:autoSpaceDN/>
        <w:bidi w:val="0"/>
        <w:adjustRightInd/>
        <w:snapToGrid/>
        <w:spacing w:line="560" w:lineRule="exact"/>
        <w:ind w:left="-720" w:leftChars="0" w:firstLine="1285" w:firstLineChars="400"/>
        <w:textAlignment w:val="auto"/>
        <w:rPr>
          <w:rFonts w:ascii="仿宋_GB2312" w:hAnsi="仿宋" w:eastAsia="仿宋_GB2312" w:cs="仿宋"/>
          <w:b/>
          <w:bCs/>
          <w:sz w:val="32"/>
          <w:szCs w:val="32"/>
        </w:rPr>
      </w:pPr>
      <w:r>
        <w:rPr>
          <w:rFonts w:hint="eastAsia" w:ascii="仿宋_GB2312" w:hAnsi="仿宋" w:eastAsia="仿宋_GB2312" w:cs="仿宋"/>
          <w:b/>
          <w:bCs/>
          <w:sz w:val="32"/>
          <w:szCs w:val="32"/>
          <w:lang w:val="en-US" w:eastAsia="zh-CN" w:bidi="ar"/>
        </w:rPr>
        <w:t>3、</w:t>
      </w:r>
      <w:r>
        <w:rPr>
          <w:rFonts w:hint="eastAsia" w:ascii="仿宋_GB2312" w:hAnsi="仿宋" w:eastAsia="仿宋_GB2312" w:cs="仿宋"/>
          <w:b/>
          <w:bCs/>
          <w:sz w:val="32"/>
          <w:szCs w:val="32"/>
          <w:lang w:bidi="ar"/>
        </w:rPr>
        <w:t>规范事项管理</w:t>
      </w:r>
    </w:p>
    <w:p w14:paraId="57B00D62">
      <w:pPr>
        <w:pStyle w:val="24"/>
        <w:pageBreakBefore w:val="0"/>
        <w:kinsoku/>
        <w:wordWrap/>
        <w:overflowPunct/>
        <w:topLinePunct w:val="0"/>
        <w:autoSpaceDE/>
        <w:autoSpaceDN/>
        <w:bidi w:val="0"/>
        <w:adjustRightInd/>
        <w:snapToGrid/>
        <w:spacing w:line="560" w:lineRule="exact"/>
        <w:ind w:left="0" w:firstLine="64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1)精减规范便民服务事项。按照“省级统筹、分级负责”原则，结合乡村振兴、民生保障等与群众生产生活密切相关的惠农服务需要，按照“一件事一次办”优化整合关联事项，有效减少办事环节和证明材料，规范梳理便民服务事项，形成群众看得懂、方便办的服务清单。</w:t>
      </w:r>
    </w:p>
    <w:p w14:paraId="17FE449E">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（2)服务事项承接。按照各政务服务事项相关部门下放事项，加强业务学习，确保“接得住、办得好”。并加强对便民服务（站）业务指导，制定各项规章制度。</w:t>
      </w:r>
    </w:p>
    <w:p w14:paraId="109B16FA">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（3)实行动态调整管理。定期收集整理群众生产生活相关的高频事项，依据收集情况，按照相关法律法规，及时动态调整事项清单内容，确保改革红利惠及群众，便民服务贴近群众。</w:t>
      </w:r>
    </w:p>
    <w:p w14:paraId="28CD236D">
      <w:pPr>
        <w:pStyle w:val="24"/>
        <w:pageBreakBefore w:val="0"/>
        <w:numPr>
          <w:numId w:val="0"/>
        </w:numPr>
        <w:kinsoku/>
        <w:wordWrap/>
        <w:overflowPunct/>
        <w:topLinePunct w:val="0"/>
        <w:autoSpaceDE/>
        <w:autoSpaceDN/>
        <w:bidi w:val="0"/>
        <w:adjustRightInd/>
        <w:snapToGrid/>
        <w:spacing w:line="560" w:lineRule="exact"/>
        <w:ind w:left="-720" w:leftChars="0" w:firstLine="1285" w:firstLineChars="400"/>
        <w:textAlignment w:val="auto"/>
        <w:rPr>
          <w:rFonts w:ascii="仿宋_GB2312" w:hAnsi="仿宋" w:eastAsia="仿宋_GB2312" w:cs="仿宋"/>
          <w:b/>
          <w:bCs/>
          <w:sz w:val="32"/>
          <w:szCs w:val="32"/>
        </w:rPr>
      </w:pPr>
      <w:r>
        <w:rPr>
          <w:rFonts w:hint="eastAsia" w:ascii="仿宋_GB2312" w:hAnsi="仿宋" w:eastAsia="仿宋_GB2312" w:cs="仿宋"/>
          <w:b/>
          <w:bCs/>
          <w:sz w:val="32"/>
          <w:szCs w:val="32"/>
          <w:lang w:val="en-US" w:eastAsia="zh-CN" w:bidi="ar"/>
        </w:rPr>
        <w:t>4、</w:t>
      </w:r>
      <w:r>
        <w:rPr>
          <w:rFonts w:hint="eastAsia" w:ascii="仿宋_GB2312" w:hAnsi="仿宋" w:eastAsia="仿宋_GB2312" w:cs="仿宋"/>
          <w:b/>
          <w:bCs/>
          <w:sz w:val="32"/>
          <w:szCs w:val="32"/>
          <w:lang w:bidi="ar"/>
        </w:rPr>
        <w:t>提升服务能力</w:t>
      </w:r>
    </w:p>
    <w:p w14:paraId="60D4E5B0">
      <w:pPr>
        <w:pStyle w:val="24"/>
        <w:pageBreakBefore w:val="0"/>
        <w:kinsoku/>
        <w:wordWrap/>
        <w:overflowPunct/>
        <w:topLinePunct w:val="0"/>
        <w:autoSpaceDE/>
        <w:autoSpaceDN/>
        <w:bidi w:val="0"/>
        <w:adjustRightInd/>
        <w:snapToGrid/>
        <w:spacing w:line="560" w:lineRule="exact"/>
        <w:ind w:left="0" w:firstLine="480" w:firstLineChars="15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（1)建强服务队伍。整合资源，选优配强便民服务中心（站）工作人员和村级代办员。扩大窗口人员来源渠道，引导鼓励优秀年轻干部到窗口锻炼成长，提高队伍专业化、职业化水平。</w:t>
      </w:r>
    </w:p>
    <w:p w14:paraId="627C69A7">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（2)加强业务培训。定期组织便民服务窗口人员开展政策法规、“放管服”改革形势和业务技能等培训，增强窗口工作人员的服务意识和服务能力。</w:t>
      </w:r>
    </w:p>
    <w:p w14:paraId="59EE07E7">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3)灵活代办方式。基层便民服务要体现对老、弱、病、残、幼等特殊群体的人文关怀，便民服务大厅配备引导员，通过“定点办”“预约办”“上门办”“掌上办”等方式，对特殊群体人员实行全程代办。打通服务群众“最后一公里”。</w:t>
      </w:r>
    </w:p>
    <w:p w14:paraId="1BB219C3">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4)落实窗口制度。严格落实首问负责制、限时办结制、责任追究制、一次性告知制、服务双岗制和去向留言制，用好政务服务“好差评”制度，不断提升便民服务中心、站窗口服务，树立便民为民形象。5.规范窗口考核。建立完善窗口管理考核办法，强化考核结果运用，将窗口考核与窗口奖励、年度考核、职务职级晋升等挂钩，切实做到奖惩分明。</w:t>
      </w:r>
    </w:p>
    <w:p w14:paraId="6032B2F5">
      <w:pPr>
        <w:pStyle w:val="24"/>
        <w:pageBreakBefore w:val="0"/>
        <w:numPr>
          <w:numId w:val="0"/>
        </w:numPr>
        <w:kinsoku/>
        <w:wordWrap/>
        <w:overflowPunct/>
        <w:topLinePunct w:val="0"/>
        <w:autoSpaceDE/>
        <w:autoSpaceDN/>
        <w:bidi w:val="0"/>
        <w:adjustRightInd/>
        <w:snapToGrid/>
        <w:spacing w:line="560" w:lineRule="exact"/>
        <w:ind w:left="-720" w:leftChars="0" w:firstLine="1285" w:firstLineChars="400"/>
        <w:textAlignment w:val="auto"/>
        <w:rPr>
          <w:rFonts w:hint="eastAsia" w:ascii="仿宋_GB2312" w:hAnsi="仿宋" w:eastAsia="仿宋_GB2312" w:cs="仿宋"/>
          <w:b/>
          <w:bCs/>
          <w:sz w:val="32"/>
          <w:szCs w:val="32"/>
          <w:lang w:val="en-US" w:eastAsia="zh-CN" w:bidi="ar"/>
        </w:rPr>
      </w:pPr>
    </w:p>
    <w:p w14:paraId="1A931673">
      <w:pPr>
        <w:pStyle w:val="24"/>
        <w:pageBreakBefore w:val="0"/>
        <w:numPr>
          <w:numId w:val="0"/>
        </w:numPr>
        <w:kinsoku/>
        <w:wordWrap/>
        <w:overflowPunct/>
        <w:topLinePunct w:val="0"/>
        <w:autoSpaceDE/>
        <w:autoSpaceDN/>
        <w:bidi w:val="0"/>
        <w:adjustRightInd/>
        <w:snapToGrid/>
        <w:spacing w:line="560" w:lineRule="exact"/>
        <w:ind w:left="-720" w:leftChars="0" w:firstLine="1285" w:firstLineChars="400"/>
        <w:textAlignment w:val="auto"/>
        <w:rPr>
          <w:rFonts w:ascii="仿宋_GB2312" w:hAnsi="仿宋" w:eastAsia="仿宋_GB2312" w:cs="仿宋"/>
          <w:b/>
          <w:bCs/>
          <w:sz w:val="32"/>
          <w:szCs w:val="32"/>
        </w:rPr>
      </w:pPr>
      <w:r>
        <w:rPr>
          <w:rFonts w:hint="eastAsia" w:ascii="仿宋_GB2312" w:hAnsi="仿宋" w:eastAsia="仿宋_GB2312" w:cs="仿宋"/>
          <w:b/>
          <w:bCs/>
          <w:sz w:val="32"/>
          <w:szCs w:val="32"/>
          <w:lang w:val="en-US" w:eastAsia="zh-CN" w:bidi="ar"/>
        </w:rPr>
        <w:t>5、</w:t>
      </w:r>
      <w:r>
        <w:rPr>
          <w:rFonts w:hint="eastAsia" w:ascii="仿宋_GB2312" w:hAnsi="仿宋" w:eastAsia="仿宋_GB2312" w:cs="仿宋"/>
          <w:b/>
          <w:bCs/>
          <w:sz w:val="32"/>
          <w:szCs w:val="32"/>
          <w:lang w:bidi="ar"/>
        </w:rPr>
        <w:t>强化科技支撑</w:t>
      </w:r>
    </w:p>
    <w:p w14:paraId="17D0EDA1">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（1)实现“一网通办”。加强与医疗、社会保障、卫生健康等常用业务系统与一体化政务服务平台的对接整合力度，实现政务信息资源共享互通，实现“天府通办·乡村方便” 。</w:t>
      </w:r>
    </w:p>
    <w:p w14:paraId="12F1BE27">
      <w:pPr>
        <w:pageBreakBefore w:val="0"/>
        <w:kinsoku/>
        <w:wordWrap/>
        <w:overflowPunct/>
        <w:topLinePunct w:val="0"/>
        <w:autoSpaceDE/>
        <w:autoSpaceDN/>
        <w:bidi w:val="0"/>
        <w:adjustRightInd/>
        <w:snapToGrid/>
        <w:spacing w:line="560" w:lineRule="exact"/>
        <w:ind w:left="0" w:firstLine="640" w:firstLineChars="200"/>
        <w:textAlignment w:val="auto"/>
        <w:rPr>
          <w:rFonts w:hint="eastAsia"/>
        </w:rPr>
      </w:pPr>
      <w:r>
        <w:rPr>
          <w:rFonts w:hint="eastAsia" w:ascii="仿宋_GB2312" w:hAnsi="仿宋" w:eastAsia="仿宋_GB2312" w:cs="仿宋"/>
          <w:bCs/>
          <w:sz w:val="32"/>
          <w:szCs w:val="32"/>
          <w:lang w:bidi="ar"/>
        </w:rPr>
        <w:t>（2)拓展办事渠道。畅通线上线下办事渠道，方便企业、群众自主选择办理方式，不断拓展群众办事渠道。</w:t>
      </w:r>
    </w:p>
    <w:p w14:paraId="6DB7CD02">
      <w:pPr>
        <w:pStyle w:val="3"/>
        <w:pageBreakBefore w:val="0"/>
        <w:widowControl/>
        <w:kinsoku/>
        <w:wordWrap/>
        <w:overflowPunct/>
        <w:topLinePunct w:val="0"/>
        <w:autoSpaceDE/>
        <w:autoSpaceDN/>
        <w:bidi w:val="0"/>
        <w:adjustRightInd/>
        <w:snapToGrid/>
        <w:spacing w:before="0" w:after="0" w:line="560" w:lineRule="exact"/>
        <w:ind w:left="0" w:firstLine="640" w:firstLineChars="200"/>
        <w:textAlignment w:val="auto"/>
        <w:rPr>
          <w:rFonts w:hint="eastAsia" w:ascii="Times New Roman" w:hAnsi="Times New Roman" w:eastAsia="黑体" w:cs="黑体"/>
          <w:b w:val="0"/>
        </w:rPr>
      </w:pPr>
      <w:bookmarkStart w:id="6" w:name="_Toc15396601"/>
      <w:bookmarkStart w:id="7" w:name="_Toc15377200"/>
    </w:p>
    <w:p w14:paraId="54274DB2">
      <w:pPr>
        <w:pStyle w:val="3"/>
        <w:pageBreakBefore w:val="0"/>
        <w:widowControl/>
        <w:kinsoku/>
        <w:wordWrap/>
        <w:overflowPunct/>
        <w:topLinePunct w:val="0"/>
        <w:autoSpaceDE/>
        <w:autoSpaceDN/>
        <w:bidi w:val="0"/>
        <w:adjustRightInd/>
        <w:snapToGrid/>
        <w:spacing w:before="0" w:after="0" w:line="560" w:lineRule="exact"/>
        <w:ind w:left="0" w:firstLine="640" w:firstLineChars="200"/>
        <w:textAlignment w:val="auto"/>
        <w:rPr>
          <w:rFonts w:ascii="Times New Roman" w:hAnsi="Times New Roman"/>
          <w:b w:val="0"/>
          <w:bCs w:val="0"/>
        </w:rPr>
      </w:pPr>
      <w:r>
        <w:rPr>
          <w:rFonts w:hint="eastAsia" w:ascii="Times New Roman" w:hAnsi="Times New Roman" w:eastAsia="黑体" w:cs="黑体"/>
          <w:b w:val="0"/>
        </w:rPr>
        <w:t>二、机</w:t>
      </w:r>
      <w:r>
        <w:rPr>
          <w:rStyle w:val="21"/>
          <w:rFonts w:hint="eastAsia" w:ascii="Times New Roman" w:hAnsi="Times New Roman" w:eastAsia="黑体" w:cs="黑体"/>
          <w:b/>
          <w:bCs/>
        </w:rPr>
        <w:t>构设置</w:t>
      </w:r>
      <w:bookmarkEnd w:id="6"/>
      <w:bookmarkEnd w:id="7"/>
    </w:p>
    <w:p w14:paraId="5CA88ABE">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本单位为九寨沟县勿角镇人民政府所属</w:t>
      </w:r>
      <w:r>
        <w:rPr>
          <w:rFonts w:hint="eastAsia" w:ascii="仿宋_GB2312" w:hAnsi="Times New Roman" w:eastAsia="仿宋_GB2312" w:cs="仿宋_GB2312"/>
          <w:b/>
          <w:color w:val="000000"/>
          <w:sz w:val="32"/>
          <w:szCs w:val="32"/>
          <w:lang w:bidi="ar"/>
        </w:rPr>
        <w:t>二级</w:t>
      </w:r>
      <w:r>
        <w:rPr>
          <w:rFonts w:hint="eastAsia" w:ascii="仿宋_GB2312" w:hAnsi="仿宋" w:eastAsia="仿宋_GB2312" w:cs="仿宋"/>
          <w:bCs/>
          <w:spacing w:val="14"/>
          <w:sz w:val="32"/>
          <w:szCs w:val="32"/>
          <w:lang w:bidi="ar"/>
        </w:rPr>
        <w:t>预算单位，单位类型</w:t>
      </w:r>
      <w:r>
        <w:rPr>
          <w:rFonts w:hint="eastAsia" w:ascii="仿宋_GB2312" w:hAnsi="仿宋" w:eastAsia="仿宋_GB2312" w:cs="仿宋"/>
          <w:bCs/>
          <w:sz w:val="32"/>
          <w:szCs w:val="32"/>
          <w:lang w:bidi="ar"/>
        </w:rPr>
        <w:t>为</w:t>
      </w:r>
      <w:r>
        <w:rPr>
          <w:rFonts w:hint="eastAsia" w:ascii="仿宋_GB2312" w:hAnsi="Times New Roman" w:eastAsia="仿宋_GB2312" w:cs="仿宋_GB2312"/>
          <w:b/>
          <w:color w:val="000000"/>
          <w:sz w:val="32"/>
          <w:szCs w:val="32"/>
          <w:lang w:bidi="ar"/>
        </w:rPr>
        <w:t>公益一类事业单位</w:t>
      </w:r>
      <w:r>
        <w:rPr>
          <w:rFonts w:hint="eastAsia" w:ascii="仿宋_GB2312" w:hAnsi="仿宋" w:eastAsia="仿宋_GB2312" w:cs="仿宋"/>
          <w:bCs/>
          <w:sz w:val="32"/>
          <w:szCs w:val="32"/>
          <w:lang w:bidi="ar"/>
        </w:rPr>
        <w:t>，决算编报类型为单户表</w:t>
      </w:r>
      <w:r>
        <w:rPr>
          <w:rFonts w:ascii="Calibri" w:hAnsi="Calibri" w:eastAsia="仿宋_GB2312" w:cs="Calibri"/>
          <w:bCs/>
          <w:sz w:val="32"/>
          <w:szCs w:val="32"/>
          <w:lang w:bidi="ar"/>
        </w:rPr>
        <w:t> </w:t>
      </w:r>
      <w:r>
        <w:rPr>
          <w:rFonts w:hint="eastAsia" w:ascii="仿宋_GB2312" w:hAnsi="仿宋" w:eastAsia="仿宋_GB2312" w:cs="仿宋"/>
          <w:bCs/>
          <w:sz w:val="32"/>
          <w:szCs w:val="32"/>
          <w:lang w:bidi="ar"/>
        </w:rPr>
        <w:t xml:space="preserve">，按照政府会计准则制度会计制度填报决算数据。    </w:t>
      </w:r>
    </w:p>
    <w:p w14:paraId="48DF6FC4">
      <w:pPr>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仿宋" w:eastAsia="仿宋_GB2312" w:cs="仿宋"/>
          <w:bCs/>
          <w:sz w:val="32"/>
          <w:szCs w:val="32"/>
        </w:rPr>
      </w:pPr>
      <w:r>
        <w:rPr>
          <w:rFonts w:hint="eastAsia" w:ascii="仿宋_GB2312" w:hAnsi="仿宋" w:eastAsia="仿宋_GB2312" w:cs="仿宋"/>
          <w:bCs/>
          <w:sz w:val="32"/>
          <w:szCs w:val="32"/>
          <w:lang w:bidi="ar"/>
        </w:rPr>
        <w:t>纳入本套决算编制范围的独立核算单位共</w:t>
      </w:r>
      <w:r>
        <w:rPr>
          <w:rFonts w:hint="eastAsia" w:ascii="仿宋_GB2312" w:hAnsi="仿宋" w:eastAsia="仿宋_GB2312" w:cs="仿宋"/>
          <w:b/>
          <w:bCs/>
          <w:sz w:val="32"/>
          <w:szCs w:val="32"/>
          <w:lang w:bidi="ar"/>
        </w:rPr>
        <w:t>1</w:t>
      </w:r>
      <w:r>
        <w:rPr>
          <w:rFonts w:hint="eastAsia" w:ascii="仿宋_GB2312" w:hAnsi="仿宋" w:eastAsia="仿宋_GB2312" w:cs="仿宋"/>
          <w:bCs/>
          <w:sz w:val="32"/>
          <w:szCs w:val="32"/>
          <w:lang w:bidi="ar"/>
        </w:rPr>
        <w:t>个，比上年增减</w:t>
      </w:r>
      <w:r>
        <w:rPr>
          <w:rFonts w:ascii="仿宋_GB2312" w:hAnsi="Times New Roman" w:eastAsia="仿宋_GB2312" w:cs="仿宋_GB2312"/>
          <w:b/>
          <w:color w:val="000000"/>
          <w:sz w:val="32"/>
          <w:szCs w:val="32"/>
          <w:lang w:bidi="ar"/>
        </w:rPr>
        <w:t>0</w:t>
      </w:r>
      <w:r>
        <w:rPr>
          <w:rFonts w:hint="eastAsia" w:ascii="仿宋_GB2312" w:hAnsi="仿宋" w:eastAsia="仿宋_GB2312" w:cs="仿宋"/>
          <w:bCs/>
          <w:sz w:val="32"/>
          <w:szCs w:val="32"/>
          <w:lang w:bidi="ar"/>
        </w:rPr>
        <w:t>个。</w:t>
      </w:r>
    </w:p>
    <w:p w14:paraId="4ADBBAFB">
      <w:pPr>
        <w:pStyle w:val="4"/>
        <w:widowControl/>
        <w:adjustRightInd w:val="0"/>
        <w:snapToGrid w:val="0"/>
        <w:spacing w:before="93" w:line="560" w:lineRule="exact"/>
        <w:ind w:firstLine="672" w:firstLineChars="210"/>
        <w:rPr>
          <w:rFonts w:hint="default" w:ascii="Times New Roman" w:cs="仿宋_GB2312"/>
          <w:sz w:val="32"/>
          <w:szCs w:val="32"/>
        </w:rPr>
      </w:pPr>
    </w:p>
    <w:p w14:paraId="4A7A4C42">
      <w:pPr>
        <w:pStyle w:val="4"/>
        <w:widowControl/>
        <w:adjustRightInd w:val="0"/>
        <w:snapToGrid w:val="0"/>
        <w:spacing w:before="93" w:line="560" w:lineRule="exact"/>
        <w:ind w:firstLine="672" w:firstLineChars="210"/>
        <w:rPr>
          <w:rFonts w:hint="default" w:ascii="Times New Roman" w:cs="仿宋_GB2312"/>
          <w:sz w:val="32"/>
          <w:szCs w:val="32"/>
        </w:rPr>
      </w:pPr>
    </w:p>
    <w:p w14:paraId="4AF4B4B8">
      <w:pPr>
        <w:pStyle w:val="4"/>
        <w:widowControl/>
        <w:adjustRightInd w:val="0"/>
        <w:snapToGrid w:val="0"/>
        <w:spacing w:before="93" w:line="560" w:lineRule="exact"/>
        <w:ind w:firstLine="672" w:firstLineChars="210"/>
        <w:rPr>
          <w:rFonts w:hint="default" w:ascii="Times New Roman" w:cs="仿宋_GB2312"/>
          <w:sz w:val="32"/>
          <w:szCs w:val="32"/>
        </w:rPr>
      </w:pPr>
    </w:p>
    <w:p w14:paraId="558A6EAF">
      <w:pPr>
        <w:pStyle w:val="4"/>
        <w:widowControl/>
        <w:adjustRightInd w:val="0"/>
        <w:snapToGrid w:val="0"/>
        <w:spacing w:before="93" w:line="560" w:lineRule="exact"/>
        <w:ind w:firstLine="672" w:firstLineChars="210"/>
        <w:rPr>
          <w:rFonts w:hint="default" w:ascii="Times New Roman" w:cs="仿宋_GB2312"/>
          <w:sz w:val="32"/>
          <w:szCs w:val="32"/>
        </w:rPr>
      </w:pPr>
    </w:p>
    <w:p w14:paraId="6CB73DFD">
      <w:pPr>
        <w:pStyle w:val="4"/>
        <w:widowControl/>
        <w:adjustRightInd w:val="0"/>
        <w:snapToGrid w:val="0"/>
        <w:spacing w:before="93" w:line="560" w:lineRule="exact"/>
        <w:ind w:firstLine="672" w:firstLineChars="210"/>
        <w:rPr>
          <w:rFonts w:hint="default" w:ascii="Times New Roman" w:cs="仿宋_GB2312"/>
          <w:sz w:val="32"/>
          <w:szCs w:val="32"/>
        </w:rPr>
      </w:pPr>
    </w:p>
    <w:p w14:paraId="6F9C5576">
      <w:pPr>
        <w:pStyle w:val="4"/>
        <w:widowControl/>
        <w:adjustRightInd w:val="0"/>
        <w:snapToGrid w:val="0"/>
        <w:spacing w:before="93" w:line="560" w:lineRule="exact"/>
        <w:ind w:firstLine="672" w:firstLineChars="210"/>
        <w:rPr>
          <w:rFonts w:hint="default" w:ascii="Times New Roman" w:cs="仿宋_GB2312"/>
          <w:sz w:val="32"/>
          <w:szCs w:val="32"/>
        </w:rPr>
      </w:pPr>
    </w:p>
    <w:p w14:paraId="70C55D40">
      <w:pPr>
        <w:pStyle w:val="4"/>
        <w:widowControl/>
        <w:adjustRightInd w:val="0"/>
        <w:snapToGrid w:val="0"/>
        <w:spacing w:before="93" w:line="560" w:lineRule="exact"/>
        <w:ind w:firstLine="672" w:firstLineChars="210"/>
        <w:rPr>
          <w:rFonts w:hint="default" w:ascii="Times New Roman" w:cs="仿宋_GB2312"/>
          <w:sz w:val="32"/>
          <w:szCs w:val="32"/>
        </w:rPr>
      </w:pPr>
    </w:p>
    <w:p w14:paraId="7C3A4E7E">
      <w:pPr>
        <w:pStyle w:val="4"/>
        <w:widowControl/>
        <w:adjustRightInd w:val="0"/>
        <w:snapToGrid w:val="0"/>
        <w:spacing w:before="93" w:line="560" w:lineRule="exact"/>
        <w:ind w:firstLine="672" w:firstLineChars="210"/>
        <w:rPr>
          <w:rFonts w:ascii="Times New Roman" w:cs="仿宋_GB2312"/>
          <w:sz w:val="32"/>
          <w:szCs w:val="32"/>
        </w:rPr>
      </w:pPr>
    </w:p>
    <w:p w14:paraId="0169441A">
      <w:pPr>
        <w:pStyle w:val="2"/>
        <w:pageBreakBefore w:val="0"/>
        <w:widowControl/>
        <w:kinsoku/>
        <w:wordWrap/>
        <w:overflowPunct/>
        <w:topLinePunct w:val="0"/>
        <w:autoSpaceDE/>
        <w:autoSpaceDN/>
        <w:bidi w:val="0"/>
        <w:adjustRightInd/>
        <w:snapToGrid/>
        <w:spacing w:before="0" w:after="0" w:line="560" w:lineRule="exact"/>
        <w:jc w:val="center"/>
        <w:textAlignment w:val="auto"/>
        <w:rPr>
          <w:rFonts w:eastAsia="方正小标宋简体" w:cs="方正小标宋简体"/>
          <w:b w:val="0"/>
        </w:rPr>
      </w:pPr>
      <w:bookmarkStart w:id="8" w:name="_Toc15377204"/>
      <w:bookmarkStart w:id="9" w:name="_Toc15396602"/>
      <w:r>
        <w:rPr>
          <w:rFonts w:hint="eastAsia" w:hAnsi="方正小标宋简体" w:eastAsia="方正小标宋简体" w:cs="方正小标宋简体"/>
          <w:b w:val="0"/>
        </w:rPr>
        <w:t>第二部分</w:t>
      </w:r>
      <w:r>
        <w:rPr>
          <w:rFonts w:eastAsia="方正小标宋简体" w:cs="方正小标宋简体"/>
          <w:b w:val="0"/>
        </w:rPr>
        <w:t xml:space="preserve">  2025</w:t>
      </w:r>
      <w:r>
        <w:rPr>
          <w:rFonts w:hint="eastAsia" w:hAnsi="方正小标宋简体" w:eastAsia="方正小标宋简体" w:cs="方正小标宋简体"/>
          <w:b w:val="0"/>
        </w:rPr>
        <w:t>年度部门决算情况说明</w:t>
      </w:r>
      <w:bookmarkEnd w:id="8"/>
      <w:bookmarkEnd w:id="9"/>
    </w:p>
    <w:p w14:paraId="6825AD1A">
      <w:pPr>
        <w:pageBreakBefore w:val="0"/>
        <w:kinsoku/>
        <w:wordWrap/>
        <w:overflowPunct/>
        <w:topLinePunct w:val="0"/>
        <w:autoSpaceDE/>
        <w:autoSpaceDN/>
        <w:bidi w:val="0"/>
        <w:adjustRightInd/>
        <w:snapToGrid/>
        <w:spacing w:line="560" w:lineRule="exact"/>
        <w:textAlignment w:val="auto"/>
      </w:pPr>
    </w:p>
    <w:p w14:paraId="57749690">
      <w:pPr>
        <w:pStyle w:val="16"/>
        <w:pageBreakBefore w:val="0"/>
        <w:widowControl/>
        <w:kinsoku/>
        <w:wordWrap/>
        <w:overflowPunct/>
        <w:topLinePunct w:val="0"/>
        <w:autoSpaceDE/>
        <w:autoSpaceDN/>
        <w:bidi w:val="0"/>
        <w:adjustRightInd/>
        <w:snapToGrid/>
        <w:spacing w:line="560" w:lineRule="exact"/>
        <w:ind w:firstLine="640"/>
        <w:textAlignment w:val="auto"/>
        <w:outlineLvl w:val="1"/>
        <w:rPr>
          <w:rFonts w:eastAsia="黑体"/>
          <w:bCs/>
          <w:sz w:val="32"/>
          <w:szCs w:val="32"/>
        </w:rPr>
      </w:pPr>
      <w:bookmarkStart w:id="10" w:name="_Toc15396603"/>
      <w:bookmarkStart w:id="11" w:name="_Toc15377205"/>
      <w:r>
        <w:rPr>
          <w:rFonts w:hint="eastAsia" w:eastAsia="黑体" w:cs="黑体"/>
          <w:sz w:val="32"/>
          <w:szCs w:val="32"/>
        </w:rPr>
        <w:t>一、收</w:t>
      </w:r>
      <w:r>
        <w:rPr>
          <w:rStyle w:val="21"/>
          <w:rFonts w:hint="eastAsia" w:eastAsia="黑体" w:cs="黑体"/>
        </w:rPr>
        <w:t>入支出决算总体情况说明</w:t>
      </w:r>
      <w:bookmarkEnd w:id="10"/>
      <w:bookmarkEnd w:id="11"/>
    </w:p>
    <w:p w14:paraId="3DCBD45B">
      <w:pPr>
        <w:pStyle w:val="16"/>
        <w:pageBreakBefore w:val="0"/>
        <w:widowControl/>
        <w:kinsoku/>
        <w:wordWrap/>
        <w:overflowPunct/>
        <w:topLinePunct w:val="0"/>
        <w:autoSpaceDE/>
        <w:autoSpaceDN/>
        <w:bidi w:val="0"/>
        <w:adjustRightInd/>
        <w:snapToGrid/>
        <w:spacing w:line="560" w:lineRule="exact"/>
        <w:ind w:firstLine="640"/>
        <w:textAlignment w:val="auto"/>
        <w:outlineLvl w:val="1"/>
        <w:rPr>
          <w:rFonts w:eastAsia="仿宋_GB2312" w:cs="仿宋_GB2312"/>
          <w:sz w:val="32"/>
          <w:szCs w:val="32"/>
        </w:rPr>
      </w:pPr>
      <w:r>
        <w:rPr>
          <w:rFonts w:eastAsia="仿宋_GB2312" w:cs="仿宋_GB2312"/>
          <w:sz w:val="32"/>
          <w:szCs w:val="32"/>
        </w:rPr>
        <w:t>2025</w:t>
      </w:r>
      <w:r>
        <w:rPr>
          <w:rFonts w:hint="eastAsia" w:eastAsia="仿宋_GB2312" w:cs="仿宋_GB2312"/>
          <w:sz w:val="32"/>
          <w:szCs w:val="32"/>
        </w:rPr>
        <w:t>年度收入、支出总计均为</w:t>
      </w:r>
      <w:r>
        <w:rPr>
          <w:rFonts w:eastAsia="仿宋_GB2312" w:cs="仿宋_GB2312"/>
          <w:sz w:val="32"/>
          <w:szCs w:val="32"/>
        </w:rPr>
        <w:t>325.38</w:t>
      </w:r>
      <w:r>
        <w:rPr>
          <w:rFonts w:hint="eastAsia" w:eastAsia="仿宋_GB2312" w:cs="仿宋_GB2312"/>
          <w:sz w:val="32"/>
          <w:szCs w:val="32"/>
        </w:rPr>
        <w:t>万元。与上年度相比，收入、支出总计各增加2</w:t>
      </w:r>
      <w:r>
        <w:rPr>
          <w:rFonts w:eastAsia="仿宋_GB2312" w:cs="仿宋_GB2312"/>
          <w:sz w:val="32"/>
          <w:szCs w:val="32"/>
        </w:rPr>
        <w:t>0</w:t>
      </w:r>
      <w:r>
        <w:rPr>
          <w:rFonts w:hint="eastAsia" w:eastAsia="仿宋_GB2312" w:cs="仿宋_GB2312"/>
          <w:sz w:val="32"/>
          <w:szCs w:val="32"/>
        </w:rPr>
        <w:t>万元，增长</w:t>
      </w:r>
      <w:r>
        <w:rPr>
          <w:rFonts w:eastAsia="仿宋_GB2312" w:cs="仿宋_GB2312"/>
          <w:sz w:val="32"/>
          <w:szCs w:val="32"/>
        </w:rPr>
        <w:t>6.55%</w:t>
      </w:r>
      <w:r>
        <w:rPr>
          <w:rFonts w:hint="eastAsia" w:eastAsia="仿宋_GB2312" w:cs="仿宋_GB2312"/>
          <w:sz w:val="32"/>
          <w:szCs w:val="32"/>
        </w:rPr>
        <w:t>。主要变动原因是人员变动，工资、保险相应增加。</w:t>
      </w:r>
    </w:p>
    <w:p w14:paraId="19AB9FCB">
      <w:pPr>
        <w:pStyle w:val="16"/>
        <w:widowControl/>
        <w:spacing w:line="560" w:lineRule="exact"/>
        <w:ind w:firstLine="640"/>
        <w:outlineLvl w:val="1"/>
        <w:rPr>
          <w:rFonts w:eastAsia="仿宋_GB2312" w:cs="仿宋_GB2312"/>
          <w:sz w:val="32"/>
          <w:szCs w:val="32"/>
        </w:rPr>
      </w:pPr>
      <w:r>
        <w:rPr>
          <w:rFonts w:hint="eastAsia" w:eastAsia="仿宋_GB2312" w:cs="仿宋_GB2312"/>
          <w:sz w:val="32"/>
          <w:szCs w:val="32"/>
        </w:rPr>
        <w:drawing>
          <wp:anchor distT="0" distB="0" distL="114300" distR="114300" simplePos="0" relativeHeight="251659264" behindDoc="0" locked="0" layoutInCell="1" allowOverlap="1">
            <wp:simplePos x="0" y="0"/>
            <wp:positionH relativeFrom="column">
              <wp:posOffset>400050</wp:posOffset>
            </wp:positionH>
            <wp:positionV relativeFrom="paragraph">
              <wp:posOffset>114300</wp:posOffset>
            </wp:positionV>
            <wp:extent cx="5095875" cy="3063240"/>
            <wp:effectExtent l="4445" t="4445" r="5080" b="1079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622280D6">
      <w:pPr>
        <w:pStyle w:val="16"/>
        <w:widowControl/>
        <w:spacing w:line="560" w:lineRule="exact"/>
        <w:ind w:firstLine="640"/>
        <w:outlineLvl w:val="1"/>
        <w:rPr>
          <w:rFonts w:eastAsia="仿宋_GB2312" w:cs="仿宋_GB2312"/>
          <w:sz w:val="32"/>
          <w:szCs w:val="32"/>
        </w:rPr>
      </w:pPr>
    </w:p>
    <w:p w14:paraId="2DE3E2A9">
      <w:pPr>
        <w:pStyle w:val="16"/>
        <w:widowControl/>
        <w:spacing w:line="560" w:lineRule="exact"/>
        <w:ind w:firstLine="640"/>
        <w:outlineLvl w:val="1"/>
        <w:rPr>
          <w:rFonts w:eastAsia="仿宋_GB2312" w:cs="仿宋_GB2312"/>
          <w:sz w:val="32"/>
          <w:szCs w:val="32"/>
        </w:rPr>
      </w:pPr>
    </w:p>
    <w:p w14:paraId="0446730B">
      <w:pPr>
        <w:pStyle w:val="16"/>
        <w:widowControl/>
        <w:spacing w:line="560" w:lineRule="exact"/>
        <w:ind w:firstLine="640"/>
        <w:outlineLvl w:val="1"/>
        <w:rPr>
          <w:rFonts w:eastAsia="仿宋_GB2312" w:cs="仿宋_GB2312"/>
          <w:sz w:val="32"/>
          <w:szCs w:val="32"/>
        </w:rPr>
      </w:pPr>
    </w:p>
    <w:p w14:paraId="3E0CF93F">
      <w:pPr>
        <w:pStyle w:val="16"/>
        <w:widowControl/>
        <w:spacing w:line="560" w:lineRule="exact"/>
        <w:ind w:firstLine="640"/>
        <w:outlineLvl w:val="1"/>
        <w:rPr>
          <w:rFonts w:eastAsia="仿宋_GB2312" w:cs="仿宋_GB2312"/>
          <w:sz w:val="32"/>
          <w:szCs w:val="32"/>
        </w:rPr>
      </w:pPr>
    </w:p>
    <w:p w14:paraId="54AF4F54">
      <w:pPr>
        <w:pStyle w:val="16"/>
        <w:widowControl/>
        <w:spacing w:line="560" w:lineRule="exact"/>
        <w:ind w:firstLine="640"/>
        <w:outlineLvl w:val="1"/>
        <w:rPr>
          <w:rFonts w:eastAsia="仿宋_GB2312" w:cs="仿宋_GB2312"/>
          <w:sz w:val="32"/>
          <w:szCs w:val="32"/>
        </w:rPr>
      </w:pPr>
    </w:p>
    <w:p w14:paraId="156631F1">
      <w:pPr>
        <w:pStyle w:val="16"/>
        <w:widowControl/>
        <w:spacing w:line="560" w:lineRule="exact"/>
        <w:ind w:firstLine="640"/>
        <w:outlineLvl w:val="1"/>
        <w:rPr>
          <w:rFonts w:eastAsia="仿宋_GB2312" w:cs="仿宋_GB2312"/>
          <w:sz w:val="32"/>
          <w:szCs w:val="32"/>
        </w:rPr>
      </w:pPr>
    </w:p>
    <w:p w14:paraId="0A0DFAA6">
      <w:pPr>
        <w:pStyle w:val="16"/>
        <w:widowControl/>
        <w:spacing w:line="560" w:lineRule="exact"/>
        <w:ind w:firstLine="640"/>
        <w:outlineLvl w:val="1"/>
        <w:rPr>
          <w:rFonts w:eastAsia="仿宋_GB2312" w:cs="仿宋_GB2312"/>
          <w:sz w:val="32"/>
          <w:szCs w:val="32"/>
        </w:rPr>
      </w:pPr>
    </w:p>
    <w:p w14:paraId="3E2ABC90">
      <w:pPr>
        <w:pStyle w:val="16"/>
        <w:widowControl/>
        <w:spacing w:line="560" w:lineRule="exact"/>
        <w:ind w:firstLine="0" w:firstLineChars="0"/>
        <w:outlineLvl w:val="1"/>
        <w:rPr>
          <w:rFonts w:hint="eastAsia" w:eastAsia="仿宋_GB2312" w:cs="仿宋_GB2312"/>
          <w:sz w:val="32"/>
          <w:szCs w:val="32"/>
        </w:rPr>
      </w:pPr>
    </w:p>
    <w:p w14:paraId="0CD2F694">
      <w:pPr>
        <w:pStyle w:val="16"/>
        <w:widowControl/>
        <w:spacing w:line="560" w:lineRule="exact"/>
        <w:ind w:firstLine="640"/>
        <w:outlineLvl w:val="1"/>
        <w:rPr>
          <w:rFonts w:eastAsia="仿宋_GB2312" w:cs="仿宋_GB2312"/>
          <w:sz w:val="32"/>
          <w:szCs w:val="32"/>
        </w:rPr>
      </w:pPr>
      <w:r>
        <w:rPr>
          <w:rFonts w:hint="eastAsia" w:eastAsia="仿宋_GB2312" w:cs="仿宋_GB2312"/>
          <w:sz w:val="32"/>
          <w:szCs w:val="32"/>
        </w:rPr>
        <w:t>（图</w:t>
      </w:r>
      <w:r>
        <w:rPr>
          <w:rFonts w:eastAsia="仿宋_GB2312" w:cs="仿宋_GB2312"/>
          <w:sz w:val="32"/>
          <w:szCs w:val="32"/>
        </w:rPr>
        <w:t>1</w:t>
      </w:r>
      <w:r>
        <w:rPr>
          <w:rFonts w:hint="eastAsia" w:eastAsia="仿宋_GB2312" w:cs="仿宋_GB2312"/>
          <w:sz w:val="32"/>
          <w:szCs w:val="32"/>
        </w:rPr>
        <w:t>：</w:t>
      </w:r>
      <w:bookmarkStart w:id="12" w:name="OLE_LINK2"/>
      <w:bookmarkStart w:id="13" w:name="OLE_LINK3"/>
      <w:r>
        <w:rPr>
          <w:rFonts w:hint="eastAsia" w:eastAsia="仿宋_GB2312" w:cs="仿宋_GB2312"/>
          <w:sz w:val="32"/>
          <w:szCs w:val="32"/>
        </w:rPr>
        <w:t>收入、支出决算总计变动情况图</w:t>
      </w:r>
      <w:bookmarkEnd w:id="12"/>
      <w:bookmarkEnd w:id="13"/>
      <w:r>
        <w:rPr>
          <w:rFonts w:hint="eastAsia" w:eastAsia="仿宋_GB2312" w:cs="仿宋_GB2312"/>
          <w:sz w:val="32"/>
          <w:szCs w:val="32"/>
        </w:rPr>
        <w:t>）（柱状图）</w:t>
      </w:r>
    </w:p>
    <w:p w14:paraId="6C4744A5">
      <w:pPr>
        <w:spacing w:line="560" w:lineRule="exact"/>
        <w:ind w:firstLine="640" w:firstLineChars="200"/>
        <w:rPr>
          <w:rFonts w:eastAsia="仿宋_GB2312" w:cs="仿宋_GB2312"/>
          <w:sz w:val="32"/>
          <w:szCs w:val="32"/>
        </w:rPr>
      </w:pPr>
    </w:p>
    <w:p w14:paraId="572687F8">
      <w:pPr>
        <w:pStyle w:val="16"/>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1"/>
        <w:rPr>
          <w:rFonts w:eastAsia="黑体"/>
          <w:sz w:val="32"/>
          <w:szCs w:val="32"/>
        </w:rPr>
      </w:pPr>
      <w:bookmarkStart w:id="14" w:name="_Toc15377206"/>
      <w:bookmarkStart w:id="15" w:name="_Toc15396604"/>
      <w:r>
        <w:rPr>
          <w:rFonts w:hint="eastAsia" w:eastAsia="黑体" w:cs="黑体"/>
          <w:sz w:val="32"/>
          <w:szCs w:val="32"/>
        </w:rPr>
        <w:t>二、收入决算情况说明</w:t>
      </w:r>
      <w:bookmarkEnd w:id="14"/>
      <w:bookmarkEnd w:id="15"/>
    </w:p>
    <w:p w14:paraId="427A0590">
      <w:pPr>
        <w:pStyle w:val="16"/>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1"/>
        <w:rPr>
          <w:rFonts w:eastAsia="仿宋_GB2312" w:cs="仿宋_GB2312"/>
          <w:b/>
          <w:bCs/>
          <w:sz w:val="32"/>
          <w:szCs w:val="32"/>
        </w:rPr>
      </w:pPr>
      <w:r>
        <w:rPr>
          <w:rFonts w:eastAsia="仿宋_GB2312" w:cs="仿宋_GB2312"/>
          <w:sz w:val="32"/>
          <w:szCs w:val="32"/>
        </w:rPr>
        <w:t>2025</w:t>
      </w:r>
      <w:r>
        <w:rPr>
          <w:rFonts w:hint="eastAsia" w:eastAsia="仿宋_GB2312" w:cs="仿宋_GB2312"/>
          <w:sz w:val="32"/>
          <w:szCs w:val="32"/>
        </w:rPr>
        <w:t>年度本年收入合计</w:t>
      </w:r>
      <w:r>
        <w:rPr>
          <w:rFonts w:eastAsia="仿宋_GB2312" w:cs="仿宋_GB2312"/>
          <w:sz w:val="32"/>
          <w:szCs w:val="32"/>
        </w:rPr>
        <w:t>325.38</w:t>
      </w:r>
      <w:r>
        <w:rPr>
          <w:rFonts w:hint="eastAsia" w:eastAsia="仿宋_GB2312" w:cs="仿宋_GB2312"/>
          <w:sz w:val="32"/>
          <w:szCs w:val="32"/>
        </w:rPr>
        <w:t>万元，其中：一般公共预算财政拨款收入</w:t>
      </w:r>
      <w:r>
        <w:rPr>
          <w:rFonts w:eastAsia="仿宋_GB2312" w:cs="仿宋_GB2312"/>
          <w:sz w:val="32"/>
          <w:szCs w:val="32"/>
        </w:rPr>
        <w:t>325.38</w:t>
      </w:r>
      <w:r>
        <w:rPr>
          <w:rFonts w:hint="eastAsia" w:eastAsia="仿宋_GB2312" w:cs="仿宋_GB2312"/>
          <w:sz w:val="32"/>
          <w:szCs w:val="32"/>
        </w:rPr>
        <w:t>万元，占</w:t>
      </w:r>
      <w:r>
        <w:rPr>
          <w:rFonts w:eastAsia="仿宋_GB2312" w:cs="仿宋_GB2312"/>
          <w:sz w:val="32"/>
          <w:szCs w:val="32"/>
        </w:rPr>
        <w:t>100%</w:t>
      </w:r>
      <w:r>
        <w:rPr>
          <w:rFonts w:hint="eastAsia" w:eastAsia="仿宋_GB2312" w:cs="仿宋_GB2312"/>
          <w:sz w:val="32"/>
          <w:szCs w:val="32"/>
        </w:rPr>
        <w:t>；政府性基金预算财政拨款收入</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；国有资本经营预算财政拨款收入</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；上级补助收入</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；事业收入</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；经营收入</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；附属单位上缴收入</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；其他收入</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（注：仅罗列本部门涉及的收入）</w:t>
      </w:r>
    </w:p>
    <w:p w14:paraId="3F837A99">
      <w:pPr>
        <w:pStyle w:val="16"/>
        <w:widowControl/>
        <w:spacing w:line="560" w:lineRule="exact"/>
        <w:ind w:firstLine="643"/>
        <w:outlineLvl w:val="1"/>
        <w:rPr>
          <w:rFonts w:eastAsia="仿宋_GB2312" w:cs="仿宋_GB2312"/>
          <w:b/>
          <w:bCs/>
          <w:sz w:val="32"/>
          <w:szCs w:val="32"/>
        </w:rPr>
      </w:pPr>
      <w:r>
        <w:rPr>
          <w:rFonts w:hint="eastAsia" w:eastAsia="仿宋_GB2312" w:cs="仿宋_GB2312"/>
          <w:b/>
          <w:bCs/>
          <w:sz w:val="32"/>
          <w:szCs w:val="32"/>
        </w:rPr>
        <w:drawing>
          <wp:anchor distT="0" distB="0" distL="114300" distR="114300" simplePos="0" relativeHeight="251660288" behindDoc="0" locked="0" layoutInCell="1" allowOverlap="1">
            <wp:simplePos x="0" y="0"/>
            <wp:positionH relativeFrom="column">
              <wp:posOffset>400050</wp:posOffset>
            </wp:positionH>
            <wp:positionV relativeFrom="paragraph">
              <wp:posOffset>114300</wp:posOffset>
            </wp:positionV>
            <wp:extent cx="4991100" cy="2638425"/>
            <wp:effectExtent l="0" t="0" r="0" b="952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3ACB033A">
      <w:pPr>
        <w:pStyle w:val="16"/>
        <w:widowControl/>
        <w:spacing w:line="560" w:lineRule="exact"/>
        <w:ind w:firstLine="643"/>
        <w:outlineLvl w:val="1"/>
        <w:rPr>
          <w:rFonts w:eastAsia="仿宋_GB2312" w:cs="仿宋_GB2312"/>
          <w:b/>
          <w:bCs/>
          <w:sz w:val="32"/>
          <w:szCs w:val="32"/>
        </w:rPr>
      </w:pPr>
    </w:p>
    <w:p w14:paraId="6C68D5D2">
      <w:pPr>
        <w:pStyle w:val="16"/>
        <w:widowControl/>
        <w:spacing w:line="560" w:lineRule="exact"/>
        <w:ind w:firstLine="643"/>
        <w:outlineLvl w:val="1"/>
        <w:rPr>
          <w:rFonts w:eastAsia="仿宋_GB2312" w:cs="仿宋_GB2312"/>
          <w:b/>
          <w:bCs/>
          <w:sz w:val="32"/>
          <w:szCs w:val="32"/>
        </w:rPr>
      </w:pPr>
    </w:p>
    <w:p w14:paraId="0328E2A1">
      <w:pPr>
        <w:pStyle w:val="16"/>
        <w:widowControl/>
        <w:spacing w:line="560" w:lineRule="exact"/>
        <w:ind w:firstLine="643"/>
        <w:outlineLvl w:val="1"/>
        <w:rPr>
          <w:rFonts w:eastAsia="仿宋_GB2312" w:cs="仿宋_GB2312"/>
          <w:b/>
          <w:bCs/>
          <w:sz w:val="32"/>
          <w:szCs w:val="32"/>
        </w:rPr>
      </w:pPr>
    </w:p>
    <w:p w14:paraId="37BB0430">
      <w:pPr>
        <w:pStyle w:val="16"/>
        <w:widowControl/>
        <w:spacing w:line="560" w:lineRule="exact"/>
        <w:ind w:firstLine="643"/>
        <w:outlineLvl w:val="1"/>
        <w:rPr>
          <w:rFonts w:eastAsia="仿宋_GB2312" w:cs="仿宋_GB2312"/>
          <w:b/>
          <w:bCs/>
          <w:sz w:val="32"/>
          <w:szCs w:val="32"/>
        </w:rPr>
      </w:pPr>
    </w:p>
    <w:p w14:paraId="3B6111BE">
      <w:pPr>
        <w:pStyle w:val="16"/>
        <w:widowControl/>
        <w:spacing w:line="560" w:lineRule="exact"/>
        <w:ind w:firstLine="643"/>
        <w:outlineLvl w:val="1"/>
        <w:rPr>
          <w:rFonts w:eastAsia="仿宋_GB2312" w:cs="仿宋_GB2312"/>
          <w:b/>
          <w:bCs/>
          <w:sz w:val="32"/>
          <w:szCs w:val="32"/>
        </w:rPr>
      </w:pPr>
    </w:p>
    <w:p w14:paraId="0FB07A89">
      <w:pPr>
        <w:pStyle w:val="16"/>
        <w:widowControl/>
        <w:spacing w:line="560" w:lineRule="exact"/>
        <w:ind w:firstLine="643"/>
        <w:outlineLvl w:val="1"/>
        <w:rPr>
          <w:rFonts w:eastAsia="仿宋_GB2312" w:cs="仿宋_GB2312"/>
          <w:b/>
          <w:bCs/>
          <w:sz w:val="32"/>
          <w:szCs w:val="32"/>
        </w:rPr>
      </w:pPr>
    </w:p>
    <w:p w14:paraId="05BD84E0">
      <w:pPr>
        <w:pStyle w:val="16"/>
        <w:widowControl/>
        <w:spacing w:line="560" w:lineRule="exact"/>
        <w:ind w:firstLine="643"/>
        <w:outlineLvl w:val="1"/>
        <w:rPr>
          <w:rFonts w:eastAsia="仿宋_GB2312" w:cs="仿宋_GB2312"/>
          <w:b/>
          <w:bCs/>
          <w:sz w:val="32"/>
          <w:szCs w:val="32"/>
        </w:rPr>
      </w:pPr>
    </w:p>
    <w:p w14:paraId="5E973AA8">
      <w:pPr>
        <w:pStyle w:val="16"/>
        <w:widowControl/>
        <w:spacing w:line="560" w:lineRule="exact"/>
        <w:ind w:firstLine="1760" w:firstLineChars="550"/>
        <w:outlineLvl w:val="1"/>
        <w:rPr>
          <w:rFonts w:eastAsia="仿宋_GB2312" w:cs="仿宋_GB2312"/>
          <w:sz w:val="32"/>
          <w:szCs w:val="32"/>
        </w:rPr>
      </w:pPr>
      <w:r>
        <w:rPr>
          <w:rFonts w:hint="eastAsia" w:eastAsia="仿宋_GB2312" w:cs="仿宋_GB2312"/>
          <w:sz w:val="32"/>
          <w:szCs w:val="32"/>
        </w:rPr>
        <w:t>（图</w:t>
      </w:r>
      <w:r>
        <w:rPr>
          <w:rFonts w:eastAsia="仿宋_GB2312" w:cs="仿宋_GB2312"/>
          <w:sz w:val="32"/>
          <w:szCs w:val="32"/>
        </w:rPr>
        <w:t>2</w:t>
      </w:r>
      <w:r>
        <w:rPr>
          <w:rFonts w:hint="eastAsia" w:eastAsia="仿宋_GB2312" w:cs="仿宋_GB2312"/>
          <w:sz w:val="32"/>
          <w:szCs w:val="32"/>
        </w:rPr>
        <w:t>：收入决算结构图）（饼状图）</w:t>
      </w:r>
    </w:p>
    <w:p w14:paraId="36787107">
      <w:pPr>
        <w:spacing w:line="560" w:lineRule="exact"/>
        <w:ind w:firstLine="800" w:firstLineChars="250"/>
        <w:rPr>
          <w:rFonts w:eastAsia="仿宋_GB2312" w:cs="仿宋_GB2312"/>
          <w:sz w:val="32"/>
          <w:szCs w:val="32"/>
        </w:rPr>
      </w:pPr>
    </w:p>
    <w:p w14:paraId="5F2F47A2">
      <w:pPr>
        <w:pStyle w:val="16"/>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1"/>
        <w:rPr>
          <w:rFonts w:eastAsia="黑体"/>
          <w:bCs/>
          <w:sz w:val="32"/>
          <w:szCs w:val="32"/>
        </w:rPr>
      </w:pPr>
      <w:bookmarkStart w:id="16" w:name="_Toc15377207"/>
      <w:bookmarkStart w:id="17" w:name="_Toc15396605"/>
      <w:r>
        <w:rPr>
          <w:rFonts w:hint="eastAsia" w:eastAsia="黑体" w:cs="黑体"/>
          <w:sz w:val="32"/>
          <w:szCs w:val="32"/>
        </w:rPr>
        <w:t>三、支</w:t>
      </w:r>
      <w:r>
        <w:rPr>
          <w:rStyle w:val="21"/>
          <w:rFonts w:hint="eastAsia" w:eastAsia="黑体" w:cs="黑体"/>
        </w:rPr>
        <w:t>出决算情况说明</w:t>
      </w:r>
      <w:bookmarkEnd w:id="16"/>
      <w:bookmarkEnd w:id="17"/>
    </w:p>
    <w:p w14:paraId="568A4A2B">
      <w:pPr>
        <w:pStyle w:val="16"/>
        <w:keepNext w:val="0"/>
        <w:keepLines w:val="0"/>
        <w:pageBreakBefore w:val="0"/>
        <w:widowControl/>
        <w:kinsoku/>
        <w:wordWrap/>
        <w:overflowPunct/>
        <w:topLinePunct w:val="0"/>
        <w:autoSpaceDE/>
        <w:autoSpaceDN/>
        <w:bidi w:val="0"/>
        <w:adjustRightInd/>
        <w:snapToGrid/>
        <w:spacing w:line="560" w:lineRule="exact"/>
        <w:ind w:firstLine="640"/>
        <w:textAlignment w:val="auto"/>
        <w:outlineLvl w:val="1"/>
        <w:rPr>
          <w:rFonts w:eastAsia="仿宋_GB2312" w:cs="仿宋_GB2312"/>
          <w:b/>
          <w:bCs/>
          <w:sz w:val="32"/>
          <w:szCs w:val="32"/>
        </w:rPr>
      </w:pPr>
      <w:r>
        <w:rPr>
          <w:rFonts w:eastAsia="仿宋_GB2312" w:cs="仿宋_GB2312"/>
          <w:sz w:val="32"/>
          <w:szCs w:val="32"/>
        </w:rPr>
        <w:t>2025</w:t>
      </w:r>
      <w:r>
        <w:rPr>
          <w:rFonts w:hint="eastAsia" w:eastAsia="仿宋_GB2312" w:cs="仿宋_GB2312"/>
          <w:sz w:val="32"/>
          <w:szCs w:val="32"/>
        </w:rPr>
        <w:t>年度本年支出合计</w:t>
      </w:r>
      <w:r>
        <w:rPr>
          <w:rFonts w:eastAsia="仿宋_GB2312" w:cs="仿宋_GB2312"/>
          <w:sz w:val="32"/>
          <w:szCs w:val="32"/>
        </w:rPr>
        <w:t>325.38</w:t>
      </w:r>
      <w:r>
        <w:rPr>
          <w:rFonts w:hint="eastAsia" w:eastAsia="仿宋_GB2312" w:cs="仿宋_GB2312"/>
          <w:sz w:val="32"/>
          <w:szCs w:val="32"/>
        </w:rPr>
        <w:t>万元，其中：基本支出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；项目支出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；上缴上级支出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；经营支出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；对附属单位补助支出</w:t>
      </w:r>
      <w:r>
        <w:rPr>
          <w:rFonts w:eastAsia="仿宋_GB2312" w:cs="仿宋_GB2312"/>
          <w:sz w:val="32"/>
          <w:szCs w:val="32"/>
        </w:rPr>
        <w:t>0</w:t>
      </w:r>
      <w:r>
        <w:rPr>
          <w:rFonts w:hint="eastAsia" w:eastAsia="仿宋_GB2312" w:cs="仿宋_GB2312"/>
          <w:sz w:val="32"/>
          <w:szCs w:val="32"/>
        </w:rPr>
        <w:t>万元，占</w:t>
      </w:r>
      <w:r>
        <w:rPr>
          <w:rFonts w:eastAsia="仿宋_GB2312" w:cs="仿宋_GB2312"/>
          <w:sz w:val="32"/>
          <w:szCs w:val="32"/>
        </w:rPr>
        <w:t>0%</w:t>
      </w:r>
      <w:r>
        <w:rPr>
          <w:rFonts w:hint="eastAsia" w:eastAsia="仿宋_GB2312" w:cs="仿宋_GB2312"/>
          <w:sz w:val="32"/>
          <w:szCs w:val="32"/>
        </w:rPr>
        <w:t>。</w:t>
      </w:r>
      <w:r>
        <w:rPr>
          <w:rFonts w:hint="eastAsia" w:eastAsia="仿宋_GB2312" w:cs="仿宋_GB2312"/>
          <w:b/>
          <w:bCs/>
          <w:sz w:val="32"/>
          <w:szCs w:val="32"/>
        </w:rPr>
        <w:t>（注：仅罗列本部门涉及的支出）</w:t>
      </w:r>
    </w:p>
    <w:p w14:paraId="13B768A8">
      <w:pPr>
        <w:pStyle w:val="16"/>
        <w:widowControl/>
        <w:spacing w:line="560" w:lineRule="exact"/>
        <w:ind w:firstLine="643"/>
        <w:outlineLvl w:val="1"/>
        <w:rPr>
          <w:rFonts w:eastAsia="仿宋_GB2312" w:cs="仿宋_GB2312"/>
          <w:b/>
          <w:bCs/>
          <w:sz w:val="32"/>
          <w:szCs w:val="32"/>
        </w:rPr>
      </w:pPr>
    </w:p>
    <w:p w14:paraId="141EBB8E">
      <w:pPr>
        <w:pStyle w:val="16"/>
        <w:widowControl/>
        <w:spacing w:line="560" w:lineRule="exact"/>
        <w:ind w:firstLine="643"/>
        <w:outlineLvl w:val="1"/>
        <w:rPr>
          <w:rFonts w:eastAsia="仿宋_GB2312" w:cs="仿宋_GB2312"/>
          <w:b/>
          <w:bCs/>
          <w:sz w:val="32"/>
          <w:szCs w:val="32"/>
        </w:rPr>
      </w:pPr>
    </w:p>
    <w:p w14:paraId="027D3DA0">
      <w:pPr>
        <w:pStyle w:val="16"/>
        <w:widowControl/>
        <w:spacing w:line="560" w:lineRule="exact"/>
        <w:ind w:firstLine="643"/>
        <w:outlineLvl w:val="1"/>
        <w:rPr>
          <w:rFonts w:eastAsia="仿宋_GB2312" w:cs="仿宋_GB2312"/>
          <w:b/>
          <w:bCs/>
          <w:sz w:val="32"/>
          <w:szCs w:val="32"/>
        </w:rPr>
      </w:pPr>
    </w:p>
    <w:p w14:paraId="58FB072B">
      <w:pPr>
        <w:pStyle w:val="16"/>
        <w:widowControl/>
        <w:spacing w:line="560" w:lineRule="exact"/>
        <w:ind w:firstLine="643"/>
        <w:outlineLvl w:val="1"/>
        <w:rPr>
          <w:rFonts w:eastAsia="仿宋_GB2312" w:cs="仿宋_GB2312"/>
          <w:b/>
          <w:bCs/>
          <w:sz w:val="32"/>
          <w:szCs w:val="32"/>
        </w:rPr>
      </w:pPr>
    </w:p>
    <w:p w14:paraId="38442184">
      <w:pPr>
        <w:pStyle w:val="16"/>
        <w:widowControl/>
        <w:spacing w:line="560" w:lineRule="exact"/>
        <w:ind w:firstLine="643"/>
        <w:outlineLvl w:val="1"/>
        <w:rPr>
          <w:rFonts w:eastAsia="仿宋_GB2312" w:cs="仿宋_GB2312"/>
          <w:b/>
          <w:bCs/>
          <w:sz w:val="32"/>
          <w:szCs w:val="32"/>
        </w:rPr>
      </w:pPr>
    </w:p>
    <w:p w14:paraId="63AA673D">
      <w:pPr>
        <w:pStyle w:val="16"/>
        <w:widowControl/>
        <w:spacing w:line="560" w:lineRule="exact"/>
        <w:ind w:firstLine="643"/>
        <w:outlineLvl w:val="1"/>
        <w:rPr>
          <w:rFonts w:eastAsia="仿宋_GB2312" w:cs="仿宋_GB2312"/>
          <w:b/>
          <w:bCs/>
          <w:sz w:val="32"/>
          <w:szCs w:val="32"/>
        </w:rPr>
      </w:pPr>
    </w:p>
    <w:p w14:paraId="21DB2567">
      <w:pPr>
        <w:pStyle w:val="16"/>
        <w:widowControl/>
        <w:spacing w:line="560" w:lineRule="exact"/>
        <w:ind w:firstLine="643"/>
        <w:outlineLvl w:val="1"/>
        <w:rPr>
          <w:rFonts w:eastAsia="仿宋_GB2312" w:cs="仿宋_GB2312"/>
          <w:b/>
          <w:bCs/>
          <w:sz w:val="32"/>
          <w:szCs w:val="32"/>
        </w:rPr>
      </w:pPr>
      <w:r>
        <w:rPr>
          <w:rFonts w:eastAsia="仿宋_GB2312" w:cs="仿宋_GB2312"/>
          <w:b/>
          <w:bCs/>
          <w:sz w:val="32"/>
          <w:szCs w:val="32"/>
        </w:rPr>
        <w:drawing>
          <wp:anchor distT="0" distB="0" distL="114300" distR="114300" simplePos="0" relativeHeight="251661312" behindDoc="0" locked="0" layoutInCell="1" allowOverlap="1">
            <wp:simplePos x="0" y="0"/>
            <wp:positionH relativeFrom="column">
              <wp:posOffset>410845</wp:posOffset>
            </wp:positionH>
            <wp:positionV relativeFrom="paragraph">
              <wp:posOffset>175260</wp:posOffset>
            </wp:positionV>
            <wp:extent cx="4743450" cy="2714625"/>
            <wp:effectExtent l="0" t="0" r="0" b="952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C2DA5DB">
      <w:pPr>
        <w:pStyle w:val="16"/>
        <w:widowControl/>
        <w:spacing w:line="560" w:lineRule="exact"/>
        <w:ind w:firstLine="643"/>
        <w:outlineLvl w:val="1"/>
        <w:rPr>
          <w:rFonts w:eastAsia="仿宋_GB2312" w:cs="仿宋_GB2312"/>
          <w:b/>
          <w:bCs/>
          <w:sz w:val="32"/>
          <w:szCs w:val="32"/>
        </w:rPr>
      </w:pPr>
    </w:p>
    <w:p w14:paraId="279FF99F">
      <w:pPr>
        <w:pStyle w:val="16"/>
        <w:widowControl/>
        <w:spacing w:line="560" w:lineRule="exact"/>
        <w:ind w:firstLine="643"/>
        <w:outlineLvl w:val="1"/>
        <w:rPr>
          <w:rFonts w:eastAsia="仿宋_GB2312" w:cs="仿宋_GB2312"/>
          <w:b/>
          <w:bCs/>
          <w:sz w:val="32"/>
          <w:szCs w:val="32"/>
        </w:rPr>
      </w:pPr>
    </w:p>
    <w:p w14:paraId="2A2C5BAF">
      <w:pPr>
        <w:pStyle w:val="16"/>
        <w:widowControl/>
        <w:spacing w:line="560" w:lineRule="exact"/>
        <w:ind w:firstLine="643"/>
        <w:outlineLvl w:val="1"/>
        <w:rPr>
          <w:rFonts w:eastAsia="仿宋_GB2312" w:cs="仿宋_GB2312"/>
          <w:b/>
          <w:bCs/>
          <w:sz w:val="32"/>
          <w:szCs w:val="32"/>
        </w:rPr>
      </w:pPr>
    </w:p>
    <w:p w14:paraId="186573EE">
      <w:pPr>
        <w:pStyle w:val="16"/>
        <w:widowControl/>
        <w:spacing w:line="560" w:lineRule="exact"/>
        <w:ind w:firstLine="643"/>
        <w:outlineLvl w:val="1"/>
        <w:rPr>
          <w:rFonts w:eastAsia="仿宋_GB2312" w:cs="仿宋_GB2312"/>
          <w:b/>
          <w:bCs/>
          <w:sz w:val="32"/>
          <w:szCs w:val="32"/>
        </w:rPr>
      </w:pPr>
    </w:p>
    <w:p w14:paraId="6A254B0B">
      <w:pPr>
        <w:pStyle w:val="16"/>
        <w:widowControl/>
        <w:spacing w:line="560" w:lineRule="exact"/>
        <w:ind w:firstLine="643"/>
        <w:outlineLvl w:val="1"/>
        <w:rPr>
          <w:rFonts w:eastAsia="仿宋_GB2312" w:cs="仿宋_GB2312"/>
          <w:b/>
          <w:bCs/>
          <w:sz w:val="32"/>
          <w:szCs w:val="32"/>
        </w:rPr>
      </w:pPr>
    </w:p>
    <w:p w14:paraId="05A0B3BC">
      <w:pPr>
        <w:pStyle w:val="16"/>
        <w:widowControl/>
        <w:spacing w:line="560" w:lineRule="exact"/>
        <w:ind w:firstLine="643"/>
        <w:outlineLvl w:val="1"/>
        <w:rPr>
          <w:rFonts w:eastAsia="仿宋_GB2312" w:cs="仿宋_GB2312"/>
          <w:b/>
          <w:bCs/>
          <w:sz w:val="32"/>
          <w:szCs w:val="32"/>
        </w:rPr>
      </w:pPr>
    </w:p>
    <w:p w14:paraId="0E83B9BC">
      <w:pPr>
        <w:pStyle w:val="16"/>
        <w:widowControl/>
        <w:spacing w:line="560" w:lineRule="exact"/>
        <w:ind w:firstLine="643"/>
        <w:outlineLvl w:val="1"/>
        <w:rPr>
          <w:rFonts w:eastAsia="仿宋_GB2312" w:cs="仿宋_GB2312"/>
          <w:b/>
          <w:bCs/>
          <w:sz w:val="32"/>
          <w:szCs w:val="32"/>
        </w:rPr>
      </w:pPr>
    </w:p>
    <w:p w14:paraId="6239D624">
      <w:pPr>
        <w:pStyle w:val="16"/>
        <w:widowControl/>
        <w:spacing w:line="560" w:lineRule="exact"/>
        <w:ind w:left="0" w:leftChars="0" w:firstLine="1600" w:firstLineChars="500"/>
        <w:outlineLvl w:val="1"/>
        <w:rPr>
          <w:rFonts w:eastAsia="仿宋_GB2312" w:cs="仿宋_GB2312"/>
          <w:sz w:val="32"/>
          <w:szCs w:val="32"/>
        </w:rPr>
      </w:pPr>
      <w:r>
        <w:rPr>
          <w:rFonts w:hint="eastAsia" w:eastAsia="仿宋_GB2312" w:cs="仿宋_GB2312"/>
          <w:sz w:val="32"/>
          <w:szCs w:val="32"/>
        </w:rPr>
        <w:t>（图</w:t>
      </w:r>
      <w:r>
        <w:rPr>
          <w:rFonts w:eastAsia="仿宋_GB2312" w:cs="仿宋_GB2312"/>
          <w:sz w:val="32"/>
          <w:szCs w:val="32"/>
        </w:rPr>
        <w:t>3</w:t>
      </w:r>
      <w:r>
        <w:rPr>
          <w:rFonts w:hint="eastAsia" w:eastAsia="仿宋_GB2312" w:cs="仿宋_GB2312"/>
          <w:sz w:val="32"/>
          <w:szCs w:val="32"/>
        </w:rPr>
        <w:t>：支出决算结构图）（饼状图）</w:t>
      </w:r>
    </w:p>
    <w:p w14:paraId="3B3A89B5">
      <w:pPr>
        <w:spacing w:line="560" w:lineRule="exact"/>
        <w:ind w:firstLine="800" w:firstLineChars="250"/>
        <w:rPr>
          <w:rFonts w:eastAsia="仿宋_GB2312" w:cs="仿宋_GB2312"/>
          <w:sz w:val="32"/>
          <w:szCs w:val="32"/>
        </w:rPr>
      </w:pPr>
    </w:p>
    <w:p w14:paraId="447647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eastAsia="黑体"/>
          <w:bCs/>
          <w:sz w:val="32"/>
          <w:szCs w:val="32"/>
        </w:rPr>
      </w:pPr>
      <w:bookmarkStart w:id="18" w:name="_Toc15396606"/>
      <w:bookmarkStart w:id="19" w:name="_Toc15377208"/>
      <w:r>
        <w:rPr>
          <w:rFonts w:hint="eastAsia" w:ascii="Times New Roman" w:hAnsi="Times New Roman" w:eastAsia="黑体" w:cs="黑体"/>
          <w:sz w:val="32"/>
          <w:szCs w:val="32"/>
          <w:lang w:bidi="ar"/>
        </w:rPr>
        <w:t>四、财</w:t>
      </w:r>
      <w:r>
        <w:rPr>
          <w:rStyle w:val="21"/>
          <w:rFonts w:hint="eastAsia" w:eastAsia="黑体" w:cs="黑体"/>
          <w:lang w:bidi="ar"/>
        </w:rPr>
        <w:t>政拨款收入支出决算总体情况说明</w:t>
      </w:r>
      <w:bookmarkEnd w:id="18"/>
      <w:bookmarkEnd w:id="19"/>
    </w:p>
    <w:p w14:paraId="3854617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年度财政拨款收入、支出总计均为</w:t>
      </w:r>
      <w:r>
        <w:rPr>
          <w:rFonts w:ascii="Times New Roman" w:hAnsi="Times New Roman" w:eastAsia="仿宋_GB2312" w:cs="仿宋_GB2312"/>
          <w:sz w:val="32"/>
          <w:szCs w:val="32"/>
          <w:lang w:bidi="ar"/>
        </w:rPr>
        <w:t>325.38</w:t>
      </w:r>
      <w:r>
        <w:rPr>
          <w:rFonts w:hint="eastAsia" w:ascii="Times New Roman" w:hAnsi="Times New Roman" w:eastAsia="仿宋_GB2312" w:cs="仿宋_GB2312"/>
          <w:sz w:val="32"/>
          <w:szCs w:val="32"/>
          <w:lang w:bidi="ar"/>
        </w:rPr>
        <w:t>万元。与上年度相比，财政拨款收入、支出总计各增加</w:t>
      </w:r>
      <w:r>
        <w:rPr>
          <w:rFonts w:ascii="Times New Roman" w:hAnsi="Times New Roman" w:eastAsia="仿宋_GB2312" w:cs="仿宋_GB2312"/>
          <w:sz w:val="32"/>
          <w:szCs w:val="32"/>
          <w:lang w:bidi="ar"/>
        </w:rPr>
        <w:t>20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6.55%</w:t>
      </w:r>
      <w:r>
        <w:rPr>
          <w:rFonts w:hint="eastAsia" w:ascii="Times New Roman" w:hAnsi="Times New Roman" w:eastAsia="仿宋_GB2312" w:cs="仿宋_GB2312"/>
          <w:sz w:val="32"/>
          <w:szCs w:val="32"/>
          <w:lang w:bidi="ar"/>
        </w:rPr>
        <w:t>。主要变动原因是</w:t>
      </w:r>
      <w:r>
        <w:rPr>
          <w:rFonts w:hint="eastAsia" w:eastAsia="仿宋_GB2312" w:cs="仿宋_GB2312"/>
          <w:sz w:val="32"/>
          <w:szCs w:val="32"/>
        </w:rPr>
        <w:t>人员变动，工资、保险相应增加。</w:t>
      </w:r>
    </w:p>
    <w:p w14:paraId="07873FEA">
      <w:pPr>
        <w:spacing w:line="560" w:lineRule="exact"/>
        <w:ind w:firstLine="640"/>
        <w:rPr>
          <w:rFonts w:eastAsia="仿宋_GB2312" w:cs="仿宋_GB2312"/>
          <w:sz w:val="32"/>
          <w:szCs w:val="32"/>
        </w:rPr>
      </w:pPr>
      <w:r>
        <w:rPr>
          <w:rFonts w:hint="eastAsia" w:eastAsia="仿宋_GB2312" w:cs="仿宋_GB2312"/>
          <w:sz w:val="32"/>
          <w:szCs w:val="32"/>
        </w:rPr>
        <w:drawing>
          <wp:anchor distT="0" distB="0" distL="114300" distR="114300" simplePos="0" relativeHeight="251662336" behindDoc="0" locked="0" layoutInCell="1" allowOverlap="1">
            <wp:simplePos x="0" y="0"/>
            <wp:positionH relativeFrom="column">
              <wp:posOffset>400050</wp:posOffset>
            </wp:positionH>
            <wp:positionV relativeFrom="paragraph">
              <wp:posOffset>174625</wp:posOffset>
            </wp:positionV>
            <wp:extent cx="4972050" cy="2600325"/>
            <wp:effectExtent l="0" t="0" r="0" b="9525"/>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55567C74">
      <w:pPr>
        <w:spacing w:line="560" w:lineRule="exact"/>
        <w:ind w:firstLine="640"/>
        <w:rPr>
          <w:rFonts w:eastAsia="仿宋_GB2312" w:cs="仿宋_GB2312"/>
          <w:sz w:val="32"/>
          <w:szCs w:val="32"/>
        </w:rPr>
      </w:pPr>
    </w:p>
    <w:p w14:paraId="4FD66031">
      <w:pPr>
        <w:spacing w:line="560" w:lineRule="exact"/>
        <w:ind w:firstLine="640"/>
        <w:rPr>
          <w:rFonts w:eastAsia="仿宋_GB2312" w:cs="仿宋_GB2312"/>
          <w:sz w:val="32"/>
          <w:szCs w:val="32"/>
        </w:rPr>
      </w:pPr>
    </w:p>
    <w:p w14:paraId="06684171">
      <w:pPr>
        <w:spacing w:line="560" w:lineRule="exact"/>
        <w:ind w:firstLine="640"/>
        <w:rPr>
          <w:rFonts w:eastAsia="仿宋_GB2312" w:cs="仿宋_GB2312"/>
          <w:sz w:val="32"/>
          <w:szCs w:val="32"/>
        </w:rPr>
      </w:pPr>
    </w:p>
    <w:p w14:paraId="59EB6E29">
      <w:pPr>
        <w:spacing w:line="560" w:lineRule="exact"/>
        <w:ind w:firstLine="640"/>
        <w:rPr>
          <w:rFonts w:eastAsia="仿宋_GB2312" w:cs="仿宋_GB2312"/>
          <w:sz w:val="32"/>
          <w:szCs w:val="32"/>
        </w:rPr>
      </w:pPr>
    </w:p>
    <w:p w14:paraId="42D7B3AC">
      <w:pPr>
        <w:spacing w:line="560" w:lineRule="exact"/>
        <w:ind w:firstLine="640"/>
        <w:rPr>
          <w:rFonts w:eastAsia="仿宋_GB2312" w:cs="仿宋_GB2312"/>
          <w:sz w:val="32"/>
          <w:szCs w:val="32"/>
        </w:rPr>
      </w:pPr>
    </w:p>
    <w:p w14:paraId="78B20BDC">
      <w:pPr>
        <w:spacing w:line="560" w:lineRule="exact"/>
        <w:ind w:firstLine="640"/>
        <w:rPr>
          <w:rFonts w:eastAsia="仿宋_GB2312" w:cs="仿宋_GB2312"/>
          <w:sz w:val="32"/>
          <w:szCs w:val="32"/>
        </w:rPr>
      </w:pPr>
    </w:p>
    <w:p w14:paraId="3F2D8131">
      <w:pPr>
        <w:spacing w:line="560" w:lineRule="exact"/>
        <w:ind w:firstLine="640"/>
        <w:rPr>
          <w:rFonts w:hint="eastAsia" w:eastAsia="仿宋_GB2312" w:cs="仿宋_GB2312"/>
          <w:sz w:val="32"/>
          <w:szCs w:val="32"/>
        </w:rPr>
      </w:pPr>
    </w:p>
    <w:p w14:paraId="6FA9D60F">
      <w:pPr>
        <w:spacing w:line="560" w:lineRule="exact"/>
        <w:ind w:firstLine="640" w:firstLineChars="200"/>
        <w:rPr>
          <w:rFonts w:hint="eastAsia"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4</w:t>
      </w:r>
      <w:r>
        <w:rPr>
          <w:rFonts w:hint="eastAsia" w:ascii="Times New Roman" w:hAnsi="Times New Roman" w:eastAsia="仿宋_GB2312" w:cs="仿宋_GB2312"/>
          <w:sz w:val="32"/>
          <w:szCs w:val="32"/>
          <w:lang w:bidi="ar"/>
        </w:rPr>
        <w:t>：财政拨款收、支决算总计变动情况）（柱状图）</w:t>
      </w:r>
    </w:p>
    <w:p w14:paraId="4B8547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eastAsia="黑体"/>
          <w:bCs/>
          <w:sz w:val="32"/>
          <w:szCs w:val="32"/>
        </w:rPr>
      </w:pPr>
      <w:bookmarkStart w:id="20" w:name="_Toc15377209"/>
      <w:bookmarkStart w:id="21" w:name="_Toc15396607"/>
      <w:r>
        <w:rPr>
          <w:rFonts w:hint="eastAsia" w:ascii="Times New Roman" w:hAnsi="Times New Roman" w:eastAsia="黑体" w:cs="黑体"/>
          <w:sz w:val="32"/>
          <w:szCs w:val="32"/>
          <w:lang w:bidi="ar"/>
        </w:rPr>
        <w:t>五、</w:t>
      </w:r>
      <w:r>
        <w:rPr>
          <w:rFonts w:hint="eastAsia" w:ascii="Times New Roman" w:hAnsi="Times New Roman" w:eastAsia="黑体" w:cs="黑体"/>
          <w:b/>
          <w:sz w:val="32"/>
          <w:szCs w:val="32"/>
          <w:lang w:bidi="ar"/>
        </w:rPr>
        <w:t>一</w:t>
      </w:r>
      <w:r>
        <w:rPr>
          <w:rStyle w:val="21"/>
          <w:rFonts w:hint="eastAsia" w:eastAsia="黑体" w:cs="黑体"/>
          <w:lang w:bidi="ar"/>
        </w:rPr>
        <w:t>般公共预算财政拨款支出决算情况说明</w:t>
      </w:r>
      <w:bookmarkEnd w:id="20"/>
      <w:bookmarkEnd w:id="21"/>
    </w:p>
    <w:p w14:paraId="20D89F0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eastAsia="楷体_GB2312" w:cs="楷体_GB2312"/>
          <w:b/>
          <w:sz w:val="32"/>
          <w:szCs w:val="32"/>
        </w:rPr>
      </w:pPr>
      <w:bookmarkStart w:id="22" w:name="_Toc15377210"/>
      <w:r>
        <w:rPr>
          <w:rFonts w:hint="eastAsia" w:ascii="Times New Roman" w:hAnsi="Times New Roman" w:eastAsia="楷体_GB2312" w:cs="楷体_GB2312"/>
          <w:b/>
          <w:sz w:val="32"/>
          <w:szCs w:val="32"/>
          <w:lang w:bidi="ar"/>
        </w:rPr>
        <w:t>（一）一般公共预算财政拨款支出决算总体情况</w:t>
      </w:r>
      <w:bookmarkEnd w:id="22"/>
    </w:p>
    <w:p w14:paraId="7F13C17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年度一般公共预算财政拨款支出</w:t>
      </w:r>
      <w:r>
        <w:rPr>
          <w:rFonts w:ascii="Times New Roman" w:hAnsi="Times New Roman" w:eastAsia="仿宋_GB2312" w:cs="仿宋_GB2312"/>
          <w:sz w:val="32"/>
          <w:szCs w:val="32"/>
          <w:lang w:bidi="ar"/>
        </w:rPr>
        <w:t>325.38</w:t>
      </w:r>
      <w:r>
        <w:rPr>
          <w:rFonts w:hint="eastAsia" w:ascii="Times New Roman" w:hAnsi="Times New Roman" w:eastAsia="仿宋_GB2312" w:cs="仿宋_GB2312"/>
          <w:sz w:val="32"/>
          <w:szCs w:val="32"/>
          <w:lang w:bidi="ar"/>
        </w:rPr>
        <w:t>万元，占本年支出合计的</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。与上年度相比，一般公共预算财政拨款支出增加</w:t>
      </w:r>
      <w:r>
        <w:rPr>
          <w:rFonts w:ascii="Times New Roman" w:hAnsi="Times New Roman" w:eastAsia="仿宋_GB2312" w:cs="仿宋_GB2312"/>
          <w:sz w:val="32"/>
          <w:szCs w:val="32"/>
          <w:lang w:bidi="ar"/>
        </w:rPr>
        <w:t>20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6.55%</w:t>
      </w:r>
      <w:r>
        <w:rPr>
          <w:rFonts w:hint="eastAsia" w:ascii="Times New Roman" w:hAnsi="Times New Roman" w:eastAsia="仿宋_GB2312" w:cs="仿宋_GB2312"/>
          <w:sz w:val="32"/>
          <w:szCs w:val="32"/>
          <w:lang w:bidi="ar"/>
        </w:rPr>
        <w:t>。主要变动原因是</w:t>
      </w:r>
      <w:r>
        <w:rPr>
          <w:rFonts w:hint="eastAsia" w:eastAsia="仿宋_GB2312" w:cs="仿宋_GB2312"/>
          <w:sz w:val="32"/>
          <w:szCs w:val="32"/>
        </w:rPr>
        <w:t>人员变动，工资、保险相应增加。</w:t>
      </w:r>
    </w:p>
    <w:p w14:paraId="33CB301B">
      <w:pPr>
        <w:spacing w:line="560" w:lineRule="exact"/>
        <w:ind w:firstLine="640"/>
        <w:rPr>
          <w:rFonts w:eastAsia="仿宋_GB2312" w:cs="仿宋_GB2312"/>
          <w:sz w:val="32"/>
          <w:szCs w:val="32"/>
        </w:rPr>
      </w:pPr>
      <w:r>
        <w:rPr>
          <w:rFonts w:hint="eastAsia" w:eastAsia="仿宋_GB2312" w:cs="仿宋_GB2312"/>
          <w:sz w:val="32"/>
          <w:szCs w:val="32"/>
        </w:rPr>
        <w:drawing>
          <wp:anchor distT="0" distB="0" distL="114300" distR="114300" simplePos="0" relativeHeight="251663360" behindDoc="0" locked="0" layoutInCell="1" allowOverlap="1">
            <wp:simplePos x="0" y="0"/>
            <wp:positionH relativeFrom="column">
              <wp:posOffset>400050</wp:posOffset>
            </wp:positionH>
            <wp:positionV relativeFrom="paragraph">
              <wp:posOffset>56515</wp:posOffset>
            </wp:positionV>
            <wp:extent cx="5086350" cy="3095625"/>
            <wp:effectExtent l="0" t="0" r="0" b="9525"/>
            <wp:wrapNone/>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6FEC0B37">
      <w:pPr>
        <w:spacing w:line="560" w:lineRule="exact"/>
        <w:ind w:firstLine="640"/>
        <w:rPr>
          <w:rFonts w:eastAsia="仿宋_GB2312" w:cs="仿宋_GB2312"/>
          <w:sz w:val="32"/>
          <w:szCs w:val="32"/>
        </w:rPr>
      </w:pPr>
    </w:p>
    <w:p w14:paraId="6FD26415">
      <w:pPr>
        <w:spacing w:line="560" w:lineRule="exact"/>
        <w:ind w:firstLine="640"/>
        <w:rPr>
          <w:rFonts w:eastAsia="仿宋_GB2312" w:cs="仿宋_GB2312"/>
          <w:sz w:val="32"/>
          <w:szCs w:val="32"/>
        </w:rPr>
      </w:pPr>
    </w:p>
    <w:p w14:paraId="0D903FF7">
      <w:pPr>
        <w:spacing w:line="560" w:lineRule="exact"/>
        <w:ind w:firstLine="640"/>
        <w:rPr>
          <w:rFonts w:eastAsia="仿宋_GB2312" w:cs="仿宋_GB2312"/>
          <w:sz w:val="32"/>
          <w:szCs w:val="32"/>
        </w:rPr>
      </w:pPr>
    </w:p>
    <w:p w14:paraId="03CAACA7">
      <w:pPr>
        <w:spacing w:line="560" w:lineRule="exact"/>
        <w:ind w:firstLine="640"/>
        <w:rPr>
          <w:rFonts w:eastAsia="仿宋_GB2312" w:cs="仿宋_GB2312"/>
          <w:sz w:val="32"/>
          <w:szCs w:val="32"/>
        </w:rPr>
      </w:pPr>
    </w:p>
    <w:p w14:paraId="012C735C">
      <w:pPr>
        <w:spacing w:line="560" w:lineRule="exact"/>
        <w:ind w:firstLine="640"/>
        <w:rPr>
          <w:rFonts w:eastAsia="仿宋_GB2312" w:cs="仿宋_GB2312"/>
          <w:sz w:val="32"/>
          <w:szCs w:val="32"/>
        </w:rPr>
      </w:pPr>
    </w:p>
    <w:p w14:paraId="6962FE7D">
      <w:pPr>
        <w:spacing w:line="560" w:lineRule="exact"/>
        <w:ind w:firstLine="640"/>
        <w:rPr>
          <w:rFonts w:eastAsia="仿宋_GB2312" w:cs="仿宋_GB2312"/>
          <w:sz w:val="32"/>
          <w:szCs w:val="32"/>
        </w:rPr>
      </w:pPr>
    </w:p>
    <w:p w14:paraId="7E5E2BD4">
      <w:pPr>
        <w:spacing w:line="560" w:lineRule="exact"/>
        <w:ind w:firstLine="640"/>
        <w:rPr>
          <w:rFonts w:eastAsia="仿宋_GB2312" w:cs="仿宋_GB2312"/>
          <w:sz w:val="32"/>
          <w:szCs w:val="32"/>
        </w:rPr>
      </w:pPr>
    </w:p>
    <w:p w14:paraId="70A1DCF8">
      <w:pPr>
        <w:spacing w:line="560" w:lineRule="exact"/>
        <w:ind w:firstLine="640"/>
        <w:rPr>
          <w:rFonts w:hint="eastAsia" w:eastAsia="仿宋_GB2312" w:cs="仿宋_GB2312"/>
          <w:sz w:val="32"/>
          <w:szCs w:val="32"/>
        </w:rPr>
      </w:pPr>
    </w:p>
    <w:p w14:paraId="4824B0E5">
      <w:pPr>
        <w:spacing w:line="560" w:lineRule="exact"/>
        <w:rPr>
          <w:rFonts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5</w:t>
      </w:r>
      <w:r>
        <w:rPr>
          <w:rFonts w:hint="eastAsia" w:ascii="Times New Roman" w:hAnsi="Times New Roman" w:eastAsia="仿宋_GB2312" w:cs="仿宋_GB2312"/>
          <w:sz w:val="32"/>
          <w:szCs w:val="32"/>
          <w:lang w:bidi="ar"/>
        </w:rPr>
        <w:t>：一般公共预算财政拨款支出决算变动情况）（柱状图）</w:t>
      </w:r>
    </w:p>
    <w:p w14:paraId="05BD4A1A">
      <w:pPr>
        <w:spacing w:line="560" w:lineRule="exact"/>
        <w:ind w:firstLine="640"/>
        <w:rPr>
          <w:rFonts w:eastAsia="仿宋_GB2312" w:cs="仿宋_GB2312"/>
          <w:sz w:val="32"/>
          <w:szCs w:val="32"/>
        </w:rPr>
      </w:pPr>
    </w:p>
    <w:p w14:paraId="4E3D71AB">
      <w:pPr>
        <w:spacing w:line="560" w:lineRule="exact"/>
        <w:ind w:firstLine="643" w:firstLineChars="200"/>
        <w:outlineLvl w:val="2"/>
        <w:rPr>
          <w:rFonts w:eastAsia="楷体_GB2312" w:cs="楷体_GB2312"/>
          <w:b/>
          <w:sz w:val="32"/>
          <w:szCs w:val="32"/>
        </w:rPr>
      </w:pPr>
      <w:bookmarkStart w:id="23" w:name="_Toc15377211"/>
      <w:r>
        <w:rPr>
          <w:rFonts w:hint="eastAsia" w:ascii="Times New Roman" w:hAnsi="Times New Roman" w:eastAsia="楷体_GB2312" w:cs="楷体_GB2312"/>
          <w:b/>
          <w:sz w:val="32"/>
          <w:szCs w:val="32"/>
          <w:lang w:bidi="ar"/>
        </w:rPr>
        <w:t>（二）一般公共预算财政拨款支出决算结构情况</w:t>
      </w:r>
      <w:bookmarkEnd w:id="23"/>
    </w:p>
    <w:p w14:paraId="3173FC42">
      <w:pPr>
        <w:spacing w:line="560" w:lineRule="exact"/>
        <w:ind w:firstLine="640"/>
        <w:rPr>
          <w:rFonts w:ascii="Times New Roman" w:hAnsi="Times New Roman" w:eastAsia="仿宋_GB2312" w:cs="仿宋_GB2312"/>
          <w:b/>
          <w:bCs/>
          <w:sz w:val="32"/>
          <w:szCs w:val="32"/>
          <w:lang w:bidi="ar"/>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年度一般公共预算财政拨款支出</w:t>
      </w:r>
      <w:r>
        <w:rPr>
          <w:rFonts w:ascii="Times New Roman" w:hAnsi="Times New Roman" w:eastAsia="仿宋_GB2312" w:cs="仿宋_GB2312"/>
          <w:sz w:val="32"/>
          <w:szCs w:val="32"/>
          <w:lang w:bidi="ar"/>
        </w:rPr>
        <w:t>325.38</w:t>
      </w:r>
      <w:r>
        <w:rPr>
          <w:rFonts w:hint="eastAsia" w:ascii="Times New Roman" w:hAnsi="Times New Roman" w:eastAsia="仿宋_GB2312" w:cs="仿宋_GB2312"/>
          <w:sz w:val="32"/>
          <w:szCs w:val="32"/>
          <w:lang w:bidi="ar"/>
        </w:rPr>
        <w:t>万元，主要用于以下方面：一般公共服务支出</w:t>
      </w:r>
      <w:r>
        <w:rPr>
          <w:rFonts w:ascii="Times New Roman" w:hAnsi="Times New Roman" w:eastAsia="仿宋_GB2312" w:cs="仿宋_GB2312"/>
          <w:sz w:val="32"/>
          <w:szCs w:val="32"/>
          <w:lang w:bidi="ar"/>
        </w:rPr>
        <w:t>242.37</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74.49%</w:t>
      </w:r>
      <w:r>
        <w:rPr>
          <w:rFonts w:hint="eastAsia" w:ascii="Times New Roman" w:hAnsi="Times New Roman" w:eastAsia="仿宋_GB2312" w:cs="仿宋_GB2312"/>
          <w:sz w:val="32"/>
          <w:szCs w:val="32"/>
          <w:lang w:bidi="ar"/>
        </w:rPr>
        <w:t>；社会保障和就业支出</w:t>
      </w:r>
      <w:r>
        <w:rPr>
          <w:rFonts w:ascii="Times New Roman" w:hAnsi="Times New Roman" w:eastAsia="仿宋_GB2312" w:cs="仿宋_GB2312"/>
          <w:sz w:val="32"/>
          <w:szCs w:val="32"/>
          <w:lang w:bidi="ar"/>
        </w:rPr>
        <w:t>40.59</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12.47%</w:t>
      </w:r>
      <w:r>
        <w:rPr>
          <w:rFonts w:hint="eastAsia" w:ascii="Times New Roman" w:hAnsi="Times New Roman" w:eastAsia="仿宋_GB2312" w:cs="仿宋_GB2312"/>
          <w:sz w:val="32"/>
          <w:szCs w:val="32"/>
          <w:lang w:bidi="ar"/>
        </w:rPr>
        <w:t>；卫生健康支出</w:t>
      </w:r>
      <w:r>
        <w:rPr>
          <w:rFonts w:ascii="Times New Roman" w:hAnsi="Times New Roman" w:eastAsia="仿宋_GB2312" w:cs="仿宋_GB2312"/>
          <w:sz w:val="32"/>
          <w:szCs w:val="32"/>
          <w:lang w:bidi="ar"/>
        </w:rPr>
        <w:t>17.21</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5.29%</w:t>
      </w:r>
      <w:r>
        <w:rPr>
          <w:rFonts w:hint="eastAsia" w:ascii="Times New Roman" w:hAnsi="Times New Roman" w:eastAsia="仿宋_GB2312" w:cs="仿宋_GB2312"/>
          <w:sz w:val="32"/>
          <w:szCs w:val="32"/>
          <w:lang w:bidi="ar"/>
        </w:rPr>
        <w:t>；住房保障支出</w:t>
      </w:r>
      <w:r>
        <w:rPr>
          <w:rFonts w:ascii="Times New Roman" w:hAnsi="Times New Roman" w:eastAsia="仿宋_GB2312" w:cs="仿宋_GB2312"/>
          <w:sz w:val="32"/>
          <w:szCs w:val="32"/>
          <w:lang w:bidi="ar"/>
        </w:rPr>
        <w:t>25.2</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7.74%</w:t>
      </w:r>
      <w:r>
        <w:rPr>
          <w:rFonts w:hint="eastAsia" w:ascii="Times New Roman" w:hAnsi="Times New Roman" w:eastAsia="仿宋_GB2312" w:cs="仿宋_GB2312"/>
          <w:sz w:val="32"/>
          <w:szCs w:val="32"/>
          <w:lang w:bidi="ar"/>
        </w:rPr>
        <w:t>。</w:t>
      </w:r>
      <w:r>
        <w:rPr>
          <w:rFonts w:hint="eastAsia" w:ascii="Times New Roman" w:hAnsi="Times New Roman" w:eastAsia="仿宋_GB2312" w:cs="仿宋_GB2312"/>
          <w:b/>
          <w:bCs/>
          <w:sz w:val="32"/>
          <w:szCs w:val="32"/>
          <w:lang w:bidi="ar"/>
        </w:rPr>
        <w:t>（注：仅罗列本部门涉及的全部功能分类科目，至类级）</w:t>
      </w:r>
    </w:p>
    <w:p w14:paraId="3A6E277B">
      <w:pPr>
        <w:spacing w:line="560" w:lineRule="exact"/>
        <w:ind w:firstLine="640"/>
        <w:rPr>
          <w:rFonts w:ascii="Times New Roman" w:hAnsi="Times New Roman" w:eastAsia="仿宋_GB2312" w:cs="仿宋_GB2312"/>
          <w:b/>
          <w:bCs/>
          <w:sz w:val="32"/>
          <w:szCs w:val="32"/>
          <w:lang w:bidi="ar"/>
        </w:rPr>
      </w:pPr>
      <w:r>
        <w:rPr>
          <w:rFonts w:hint="eastAsia" w:eastAsia="仿宋_GB2312" w:cs="仿宋_GB2312"/>
          <w:b/>
          <w:bCs/>
          <w:sz w:val="32"/>
          <w:szCs w:val="32"/>
        </w:rPr>
        <w:drawing>
          <wp:anchor distT="0" distB="0" distL="114300" distR="114300" simplePos="0" relativeHeight="251664384" behindDoc="0" locked="0" layoutInCell="1" allowOverlap="1">
            <wp:simplePos x="0" y="0"/>
            <wp:positionH relativeFrom="column">
              <wp:posOffset>333375</wp:posOffset>
            </wp:positionH>
            <wp:positionV relativeFrom="paragraph">
              <wp:posOffset>0</wp:posOffset>
            </wp:positionV>
            <wp:extent cx="5143500" cy="3124200"/>
            <wp:effectExtent l="0" t="0" r="0" b="0"/>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3735002">
      <w:pPr>
        <w:spacing w:line="560" w:lineRule="exact"/>
        <w:ind w:firstLine="640"/>
        <w:rPr>
          <w:rFonts w:ascii="Times New Roman" w:hAnsi="Times New Roman" w:eastAsia="仿宋_GB2312" w:cs="仿宋_GB2312"/>
          <w:b/>
          <w:bCs/>
          <w:sz w:val="32"/>
          <w:szCs w:val="32"/>
          <w:lang w:bidi="ar"/>
        </w:rPr>
      </w:pPr>
    </w:p>
    <w:p w14:paraId="4E9F36E0">
      <w:pPr>
        <w:spacing w:line="560" w:lineRule="exact"/>
        <w:ind w:firstLine="640"/>
        <w:rPr>
          <w:rFonts w:ascii="Times New Roman" w:hAnsi="Times New Roman" w:eastAsia="仿宋_GB2312" w:cs="仿宋_GB2312"/>
          <w:b/>
          <w:bCs/>
          <w:sz w:val="32"/>
          <w:szCs w:val="32"/>
          <w:lang w:bidi="ar"/>
        </w:rPr>
      </w:pPr>
    </w:p>
    <w:p w14:paraId="700C4521">
      <w:pPr>
        <w:spacing w:line="560" w:lineRule="exact"/>
        <w:ind w:firstLine="640"/>
        <w:rPr>
          <w:rFonts w:ascii="Times New Roman" w:hAnsi="Times New Roman" w:eastAsia="仿宋_GB2312" w:cs="仿宋_GB2312"/>
          <w:b/>
          <w:bCs/>
          <w:sz w:val="32"/>
          <w:szCs w:val="32"/>
          <w:lang w:bidi="ar"/>
        </w:rPr>
      </w:pPr>
    </w:p>
    <w:p w14:paraId="1EA7FA15">
      <w:pPr>
        <w:spacing w:line="560" w:lineRule="exact"/>
        <w:ind w:firstLine="640"/>
        <w:rPr>
          <w:rFonts w:ascii="Times New Roman" w:hAnsi="Times New Roman" w:eastAsia="仿宋_GB2312" w:cs="仿宋_GB2312"/>
          <w:b/>
          <w:bCs/>
          <w:sz w:val="32"/>
          <w:szCs w:val="32"/>
          <w:lang w:bidi="ar"/>
        </w:rPr>
      </w:pPr>
    </w:p>
    <w:p w14:paraId="6A15A795">
      <w:pPr>
        <w:spacing w:line="560" w:lineRule="exact"/>
        <w:ind w:firstLine="640"/>
        <w:rPr>
          <w:rFonts w:ascii="Times New Roman" w:hAnsi="Times New Roman" w:eastAsia="仿宋_GB2312" w:cs="仿宋_GB2312"/>
          <w:b/>
          <w:bCs/>
          <w:sz w:val="32"/>
          <w:szCs w:val="32"/>
          <w:lang w:bidi="ar"/>
        </w:rPr>
      </w:pPr>
    </w:p>
    <w:p w14:paraId="15FFCE10">
      <w:pPr>
        <w:spacing w:line="560" w:lineRule="exact"/>
        <w:ind w:firstLine="640"/>
        <w:rPr>
          <w:rFonts w:ascii="Times New Roman" w:hAnsi="Times New Roman" w:eastAsia="仿宋_GB2312" w:cs="仿宋_GB2312"/>
          <w:b/>
          <w:bCs/>
          <w:sz w:val="32"/>
          <w:szCs w:val="32"/>
          <w:lang w:bidi="ar"/>
        </w:rPr>
      </w:pPr>
    </w:p>
    <w:p w14:paraId="00BA15BD">
      <w:pPr>
        <w:spacing w:line="560" w:lineRule="exact"/>
        <w:ind w:firstLine="640"/>
        <w:rPr>
          <w:rFonts w:eastAsia="仿宋_GB2312" w:cs="仿宋_GB2312"/>
          <w:b/>
          <w:bCs/>
          <w:sz w:val="32"/>
          <w:szCs w:val="32"/>
        </w:rPr>
      </w:pPr>
    </w:p>
    <w:p w14:paraId="3677D21F">
      <w:pPr>
        <w:spacing w:line="560" w:lineRule="exact"/>
        <w:ind w:firstLine="640"/>
        <w:rPr>
          <w:rFonts w:hint="eastAsia" w:eastAsia="仿宋_GB2312" w:cs="仿宋_GB2312"/>
          <w:b/>
          <w:bCs/>
          <w:sz w:val="32"/>
          <w:szCs w:val="32"/>
        </w:rPr>
      </w:pPr>
    </w:p>
    <w:p w14:paraId="2CAF6A60">
      <w:pPr>
        <w:spacing w:line="560" w:lineRule="exact"/>
        <w:ind w:firstLine="640"/>
        <w:rPr>
          <w:rFonts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6</w:t>
      </w:r>
      <w:r>
        <w:rPr>
          <w:rFonts w:hint="eastAsia" w:ascii="Times New Roman" w:hAnsi="Times New Roman" w:eastAsia="仿宋_GB2312" w:cs="仿宋_GB2312"/>
          <w:sz w:val="32"/>
          <w:szCs w:val="32"/>
          <w:lang w:bidi="ar"/>
        </w:rPr>
        <w:t>：一般公共预算财政拨款支出决算结构）（饼状图）</w:t>
      </w:r>
    </w:p>
    <w:p w14:paraId="3B1EB64B">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07A2B3CD">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24" w:name="_Toc15377212"/>
      <w:r>
        <w:rPr>
          <w:rFonts w:hint="eastAsia" w:ascii="Times New Roman" w:hAnsi="Times New Roman" w:eastAsia="楷体_GB2312" w:cs="楷体_GB2312"/>
          <w:b/>
          <w:sz w:val="32"/>
          <w:szCs w:val="32"/>
          <w:lang w:bidi="ar"/>
        </w:rPr>
        <w:t>（三）一般公共预算财政拨款支出决算具体情况</w:t>
      </w:r>
      <w:bookmarkEnd w:id="24"/>
    </w:p>
    <w:p w14:paraId="4D3F742F">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bookmarkStart w:id="25" w:name="_Toc15377444"/>
      <w:bookmarkStart w:id="26" w:name="_Toc15377213"/>
      <w:bookmarkStart w:id="27" w:name="_Toc15378460"/>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年度一般公共预算支出决算数为</w:t>
      </w:r>
      <w:r>
        <w:rPr>
          <w:rFonts w:ascii="Times New Roman" w:hAnsi="Times New Roman" w:eastAsia="仿宋_GB2312" w:cs="仿宋_GB2312"/>
          <w:sz w:val="32"/>
          <w:szCs w:val="32"/>
          <w:lang w:bidi="ar"/>
        </w:rPr>
        <w:t>325.38</w:t>
      </w:r>
      <w:r>
        <w:rPr>
          <w:rFonts w:hint="eastAsia" w:ascii="Times New Roman" w:hAnsi="Times New Roman" w:eastAsia="仿宋_GB2312" w:cs="仿宋_GB2312"/>
          <w:sz w:val="32"/>
          <w:szCs w:val="32"/>
          <w:lang w:bidi="ar"/>
        </w:rPr>
        <w:t>，完成预算</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。其中：</w:t>
      </w:r>
      <w:bookmarkEnd w:id="25"/>
      <w:bookmarkEnd w:id="26"/>
      <w:bookmarkEnd w:id="27"/>
    </w:p>
    <w:p w14:paraId="6BFF6C50">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ascii="仿宋_GB2312" w:hAnsi="sans-serif" w:eastAsia="仿宋_GB2312" w:cs="仿宋_GB2312"/>
          <w:color w:val="000000"/>
          <w:kern w:val="0"/>
          <w:sz w:val="32"/>
          <w:szCs w:val="32"/>
          <w:shd w:val="clear" w:color="auto" w:fill="FFFFFF"/>
          <w:lang w:bidi="ar"/>
        </w:rPr>
      </w:pPr>
      <w:r>
        <w:rPr>
          <w:rFonts w:ascii="Times New Roman" w:hAnsi="Times New Roman" w:eastAsia="仿宋_GB2312" w:cs="仿宋_GB2312"/>
          <w:sz w:val="32"/>
          <w:szCs w:val="32"/>
          <w:lang w:bidi="ar"/>
        </w:rPr>
        <w:t>1.</w:t>
      </w:r>
      <w:r>
        <w:rPr>
          <w:rFonts w:hint="eastAsia" w:ascii="Times New Roman" w:hAnsi="Times New Roman" w:eastAsia="仿宋_GB2312" w:cs="仿宋_GB2312"/>
          <w:b/>
          <w:sz w:val="32"/>
          <w:szCs w:val="32"/>
          <w:lang w:bidi="ar"/>
        </w:rPr>
        <w:t xml:space="preserve"> 一般公共服务支出</w:t>
      </w:r>
      <w:r>
        <w:rPr>
          <w:rFonts w:hint="eastAsia" w:ascii="Times New Roman" w:hAnsi="Times New Roman" w:eastAsia="仿宋_GB2312" w:cs="仿宋_GB2312"/>
          <w:sz w:val="32"/>
          <w:szCs w:val="32"/>
          <w:lang w:bidi="ar"/>
        </w:rPr>
        <w:t>：</w:t>
      </w:r>
      <w:r>
        <w:rPr>
          <w:rFonts w:hint="eastAsia" w:ascii="仿宋_GB2312" w:hAnsi="sans-serif" w:eastAsia="仿宋_GB2312" w:cs="仿宋_GB2312"/>
          <w:color w:val="000000"/>
          <w:kern w:val="0"/>
          <w:sz w:val="32"/>
          <w:szCs w:val="32"/>
          <w:shd w:val="clear" w:color="auto" w:fill="FFFFFF"/>
          <w:lang w:bidi="ar"/>
        </w:rPr>
        <w:t>一般公共服务（201）政府办公厅（室）及相关机构事务（03）事业运行（50）:支出决算为</w:t>
      </w:r>
      <w:r>
        <w:rPr>
          <w:rFonts w:ascii="仿宋_GB2312" w:hAnsi="sans-serif" w:eastAsia="仿宋_GB2312" w:cs="仿宋_GB2312"/>
          <w:color w:val="000000"/>
          <w:kern w:val="0"/>
          <w:sz w:val="32"/>
          <w:szCs w:val="32"/>
          <w:shd w:val="clear" w:color="auto" w:fill="FFFFFF"/>
          <w:lang w:bidi="ar"/>
        </w:rPr>
        <w:t>242.37</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6B804812">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w:t>
      </w:r>
      <w:r>
        <w:rPr>
          <w:rStyle w:val="15"/>
          <w:rFonts w:hint="eastAsia" w:ascii="仿宋" w:hAnsi="仿宋" w:eastAsia="仿宋" w:cs="仿宋"/>
          <w:bCs/>
          <w:sz w:val="32"/>
          <w:szCs w:val="32"/>
          <w:lang w:bidi="ar"/>
        </w:rPr>
        <w:t xml:space="preserve"> </w:t>
      </w:r>
      <w:r>
        <w:rPr>
          <w:rStyle w:val="14"/>
          <w:rFonts w:hint="eastAsia" w:ascii="仿宋" w:hAnsi="仿宋" w:eastAsia="仿宋" w:cs="仿宋"/>
          <w:bCs/>
          <w:sz w:val="32"/>
          <w:szCs w:val="32"/>
          <w:lang w:bidi="ar"/>
        </w:rPr>
        <w:t>社会保障和就业支出:</w:t>
      </w:r>
      <w:r>
        <w:rPr>
          <w:rFonts w:hint="eastAsia" w:ascii="仿宋_GB2312" w:hAnsi="sans-serif" w:eastAsia="仿宋_GB2312" w:cs="仿宋_GB2312"/>
          <w:color w:val="000000"/>
          <w:kern w:val="0"/>
          <w:sz w:val="32"/>
          <w:szCs w:val="32"/>
          <w:shd w:val="clear" w:color="auto" w:fill="FFFFFF"/>
          <w:lang w:bidi="ar"/>
        </w:rPr>
        <w:t>社会保障和就业支出（208）行政事业单位养老支出（05）机关事业单位基本养老保险缴费支出（05）:支出决算为</w:t>
      </w:r>
      <w:r>
        <w:rPr>
          <w:rFonts w:ascii="仿宋_GB2312" w:hAnsi="sans-serif" w:eastAsia="仿宋_GB2312" w:cs="仿宋_GB2312"/>
          <w:color w:val="000000"/>
          <w:kern w:val="0"/>
          <w:sz w:val="32"/>
          <w:szCs w:val="32"/>
          <w:shd w:val="clear" w:color="auto" w:fill="FFFFFF"/>
          <w:lang w:bidi="ar"/>
        </w:rPr>
        <w:t>26.97</w:t>
      </w:r>
      <w:r>
        <w:rPr>
          <w:rFonts w:hint="eastAsia" w:ascii="仿宋_GB2312" w:hAnsi="sans-serif" w:eastAsia="仿宋_GB2312" w:cs="仿宋_GB2312"/>
          <w:color w:val="000000"/>
          <w:kern w:val="0"/>
          <w:sz w:val="32"/>
          <w:szCs w:val="32"/>
          <w:shd w:val="clear" w:color="auto" w:fill="FFFFFF"/>
          <w:lang w:bidi="ar"/>
        </w:rPr>
        <w:t>万元，完成预算100%，决算数等于预算数。社会保障和就业支出（208）行政事业单位养老支出（05）机关事业单位职业年金缴费支出（06）:支出决算为</w:t>
      </w:r>
      <w:r>
        <w:rPr>
          <w:rFonts w:ascii="仿宋_GB2312" w:hAnsi="sans-serif" w:eastAsia="仿宋_GB2312" w:cs="仿宋_GB2312"/>
          <w:color w:val="000000"/>
          <w:kern w:val="0"/>
          <w:sz w:val="32"/>
          <w:szCs w:val="32"/>
          <w:shd w:val="clear" w:color="auto" w:fill="FFFFFF"/>
          <w:lang w:bidi="ar"/>
        </w:rPr>
        <w:t>13.63</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017A1EBF">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3.</w:t>
      </w:r>
      <w:r>
        <w:rPr>
          <w:rFonts w:hint="eastAsia" w:ascii="仿宋" w:hAnsi="仿宋" w:eastAsia="仿宋" w:cs="仿宋"/>
          <w:b/>
          <w:bCs/>
          <w:sz w:val="32"/>
          <w:szCs w:val="32"/>
          <w:lang w:bidi="ar"/>
        </w:rPr>
        <w:t xml:space="preserve"> 卫生健康</w:t>
      </w:r>
      <w:r>
        <w:rPr>
          <w:rStyle w:val="14"/>
          <w:rFonts w:hint="eastAsia" w:ascii="仿宋" w:hAnsi="仿宋" w:eastAsia="仿宋" w:cs="仿宋"/>
          <w:sz w:val="32"/>
          <w:szCs w:val="32"/>
          <w:lang w:bidi="ar"/>
        </w:rPr>
        <w:t>支出:</w:t>
      </w:r>
      <w:r>
        <w:rPr>
          <w:rFonts w:hint="eastAsia" w:ascii="仿宋_GB2312" w:hAnsi="sans-serif" w:eastAsia="仿宋_GB2312" w:cs="仿宋_GB2312"/>
          <w:color w:val="000000"/>
          <w:kern w:val="0"/>
          <w:sz w:val="32"/>
          <w:szCs w:val="32"/>
          <w:shd w:val="clear" w:color="auto" w:fill="FFFFFF"/>
          <w:lang w:bidi="ar"/>
        </w:rPr>
        <w:t xml:space="preserve"> 卫生健康支出（210）行政事业单位医疗（11）事业单位医疗（02）:支出决算为</w:t>
      </w:r>
      <w:r>
        <w:rPr>
          <w:rFonts w:ascii="仿宋_GB2312" w:hAnsi="sans-serif" w:eastAsia="仿宋_GB2312" w:cs="仿宋_GB2312"/>
          <w:color w:val="000000"/>
          <w:kern w:val="0"/>
          <w:sz w:val="32"/>
          <w:szCs w:val="32"/>
          <w:shd w:val="clear" w:color="auto" w:fill="FFFFFF"/>
          <w:lang w:bidi="ar"/>
        </w:rPr>
        <w:t>14.5</w:t>
      </w:r>
      <w:r>
        <w:rPr>
          <w:rFonts w:hint="eastAsia" w:ascii="仿宋_GB2312" w:hAnsi="sans-serif" w:eastAsia="仿宋_GB2312" w:cs="仿宋_GB2312"/>
          <w:color w:val="000000"/>
          <w:kern w:val="0"/>
          <w:sz w:val="32"/>
          <w:szCs w:val="32"/>
          <w:shd w:val="clear" w:color="auto" w:fill="FFFFFF"/>
          <w:lang w:bidi="ar"/>
        </w:rPr>
        <w:t>万元，完成预算100%，决算数等于预算数。卫生健康支出（210）行政事业单位医疗（11）其他行政事业单位医疗支出（99）:支出决算为</w:t>
      </w:r>
      <w:r>
        <w:rPr>
          <w:rFonts w:ascii="仿宋_GB2312" w:hAnsi="sans-serif" w:eastAsia="仿宋_GB2312" w:cs="仿宋_GB2312"/>
          <w:color w:val="000000"/>
          <w:kern w:val="0"/>
          <w:sz w:val="32"/>
          <w:szCs w:val="32"/>
          <w:shd w:val="clear" w:color="auto" w:fill="FFFFFF"/>
          <w:lang w:bidi="ar"/>
        </w:rPr>
        <w:t>2.72</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5041B005">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hint="eastAsia" w:eastAsia="仿宋_GB2312" w:cs="仿宋_GB2312"/>
          <w:sz w:val="32"/>
          <w:szCs w:val="32"/>
        </w:rPr>
      </w:pPr>
      <w:r>
        <w:rPr>
          <w:rFonts w:ascii="Times New Roman" w:hAnsi="Times New Roman" w:eastAsia="仿宋_GB2312" w:cs="仿宋_GB2312"/>
          <w:sz w:val="32"/>
          <w:szCs w:val="32"/>
          <w:lang w:bidi="ar"/>
        </w:rPr>
        <w:t>4.</w:t>
      </w:r>
      <w:r>
        <w:rPr>
          <w:rFonts w:hint="eastAsia" w:ascii="仿宋" w:hAnsi="仿宋" w:eastAsia="仿宋" w:cs="仿宋"/>
          <w:b/>
          <w:sz w:val="32"/>
          <w:szCs w:val="32"/>
          <w:lang w:bidi="ar"/>
        </w:rPr>
        <w:t xml:space="preserve"> 住房保障</w:t>
      </w:r>
      <w:r>
        <w:rPr>
          <w:rStyle w:val="14"/>
          <w:rFonts w:hint="eastAsia" w:ascii="仿宋" w:hAnsi="仿宋" w:eastAsia="仿宋" w:cs="仿宋"/>
          <w:bCs/>
          <w:sz w:val="32"/>
          <w:szCs w:val="32"/>
          <w:lang w:bidi="ar"/>
        </w:rPr>
        <w:t>支出</w:t>
      </w:r>
      <w:r>
        <w:rPr>
          <w:rFonts w:hint="eastAsia" w:ascii="仿宋" w:hAnsi="仿宋" w:eastAsia="仿宋" w:cs="仿宋"/>
          <w:b/>
          <w:sz w:val="32"/>
          <w:szCs w:val="32"/>
          <w:lang w:bidi="ar"/>
        </w:rPr>
        <w:t>：</w:t>
      </w:r>
      <w:r>
        <w:rPr>
          <w:rFonts w:hint="eastAsia" w:ascii="仿宋_GB2312" w:hAnsi="sans-serif" w:eastAsia="仿宋_GB2312" w:cs="仿宋_GB2312"/>
          <w:color w:val="000000"/>
          <w:kern w:val="0"/>
          <w:sz w:val="32"/>
          <w:szCs w:val="32"/>
          <w:shd w:val="clear" w:color="auto" w:fill="FFFFFF"/>
          <w:lang w:bidi="ar"/>
        </w:rPr>
        <w:t>住房保障支出（221）住房改革支出（02）住房公积金（01）:支出决算为</w:t>
      </w:r>
      <w:r>
        <w:rPr>
          <w:rFonts w:ascii="仿宋_GB2312" w:hAnsi="sans-serif" w:eastAsia="仿宋_GB2312" w:cs="仿宋_GB2312"/>
          <w:color w:val="000000"/>
          <w:kern w:val="0"/>
          <w:sz w:val="32"/>
          <w:szCs w:val="32"/>
          <w:shd w:val="clear" w:color="auto" w:fill="FFFFFF"/>
          <w:lang w:bidi="ar"/>
        </w:rPr>
        <w:t>25.2</w:t>
      </w:r>
      <w:r>
        <w:rPr>
          <w:rFonts w:hint="eastAsia" w:ascii="仿宋_GB2312" w:hAnsi="sans-serif" w:eastAsia="仿宋_GB2312" w:cs="仿宋_GB2312"/>
          <w:color w:val="000000"/>
          <w:kern w:val="0"/>
          <w:sz w:val="32"/>
          <w:szCs w:val="32"/>
          <w:shd w:val="clear" w:color="auto" w:fill="FFFFFF"/>
          <w:lang w:bidi="ar"/>
        </w:rPr>
        <w:t>万元，完成预算100%，决算数等于预算数。</w:t>
      </w:r>
    </w:p>
    <w:p w14:paraId="4FC2D17E">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（注：仅罗列本部门涉及的全部功能分类科目，至项级。上述“预算”口径为全年预算数。增减变动原因为决算数</w:t>
      </w:r>
      <w:r>
        <w:rPr>
          <w:rFonts w:ascii="Times New Roman" w:hAnsi="Times New Roman" w:eastAsia="仿宋_GB2312" w:cs="仿宋_GB2312"/>
          <w:b/>
          <w:bCs/>
          <w:sz w:val="32"/>
          <w:szCs w:val="32"/>
          <w:lang w:bidi="ar"/>
        </w:rPr>
        <w:t>&lt;</w:t>
      </w:r>
      <w:r>
        <w:rPr>
          <w:rFonts w:hint="eastAsia" w:ascii="Times New Roman" w:hAnsi="Times New Roman" w:eastAsia="仿宋_GB2312" w:cs="仿宋_GB2312"/>
          <w:b/>
          <w:bCs/>
          <w:sz w:val="32"/>
          <w:szCs w:val="32"/>
          <w:lang w:bidi="ar"/>
        </w:rPr>
        <w:t>项级</w:t>
      </w:r>
      <w:r>
        <w:rPr>
          <w:rFonts w:ascii="Times New Roman" w:hAnsi="Times New Roman" w:eastAsia="仿宋_GB2312" w:cs="仿宋_GB2312"/>
          <w:b/>
          <w:bCs/>
          <w:sz w:val="32"/>
          <w:szCs w:val="32"/>
          <w:lang w:bidi="ar"/>
        </w:rPr>
        <w:t>&gt;</w:t>
      </w:r>
      <w:r>
        <w:rPr>
          <w:rFonts w:hint="eastAsia" w:ascii="Times New Roman" w:hAnsi="Times New Roman" w:eastAsia="仿宋_GB2312" w:cs="仿宋_GB2312"/>
          <w:b/>
          <w:bCs/>
          <w:sz w:val="32"/>
          <w:szCs w:val="32"/>
          <w:lang w:bidi="ar"/>
        </w:rPr>
        <w:t>和全年预算数</w:t>
      </w:r>
      <w:r>
        <w:rPr>
          <w:rFonts w:ascii="Times New Roman" w:hAnsi="Times New Roman" w:eastAsia="仿宋_GB2312" w:cs="仿宋_GB2312"/>
          <w:b/>
          <w:bCs/>
          <w:sz w:val="32"/>
          <w:szCs w:val="32"/>
          <w:lang w:bidi="ar"/>
        </w:rPr>
        <w:t>&lt;</w:t>
      </w:r>
      <w:r>
        <w:rPr>
          <w:rFonts w:hint="eastAsia" w:ascii="Times New Roman" w:hAnsi="Times New Roman" w:eastAsia="仿宋_GB2312" w:cs="仿宋_GB2312"/>
          <w:b/>
          <w:bCs/>
          <w:sz w:val="32"/>
          <w:szCs w:val="32"/>
          <w:lang w:bidi="ar"/>
        </w:rPr>
        <w:t>项级</w:t>
      </w:r>
      <w:r>
        <w:rPr>
          <w:rFonts w:ascii="Times New Roman" w:hAnsi="Times New Roman" w:eastAsia="仿宋_GB2312" w:cs="仿宋_GB2312"/>
          <w:b/>
          <w:bCs/>
          <w:sz w:val="32"/>
          <w:szCs w:val="32"/>
          <w:lang w:bidi="ar"/>
        </w:rPr>
        <w:t>&gt;</w:t>
      </w:r>
      <w:r>
        <w:rPr>
          <w:rFonts w:hint="eastAsia" w:ascii="Times New Roman" w:hAnsi="Times New Roman" w:eastAsia="仿宋_GB2312" w:cs="仿宋_GB2312"/>
          <w:b/>
          <w:bCs/>
          <w:sz w:val="32"/>
          <w:szCs w:val="32"/>
          <w:lang w:bidi="ar"/>
        </w:rPr>
        <w:t>比较，与预算数持平可以不写原因）</w:t>
      </w:r>
    </w:p>
    <w:p w14:paraId="146AD52D">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5B1A9F0D">
      <w:pPr>
        <w:keepNext w:val="0"/>
        <w:keepLines w:val="0"/>
        <w:pageBreakBefore w:val="0"/>
        <w:widowControl w:val="0"/>
        <w:tabs>
          <w:tab w:val="right" w:pos="8306"/>
        </w:tabs>
        <w:kinsoku/>
        <w:wordWrap/>
        <w:overflowPunct/>
        <w:topLinePunct w:val="0"/>
        <w:autoSpaceDE/>
        <w:autoSpaceDN/>
        <w:bidi w:val="0"/>
        <w:adjustRightInd/>
        <w:snapToGrid/>
        <w:spacing w:line="560" w:lineRule="exact"/>
        <w:ind w:left="0" w:firstLine="640"/>
        <w:textAlignment w:val="auto"/>
        <w:outlineLvl w:val="1"/>
        <w:rPr>
          <w:sz w:val="32"/>
          <w:szCs w:val="32"/>
        </w:rPr>
      </w:pPr>
      <w:bookmarkStart w:id="28" w:name="_Toc15396608"/>
      <w:bookmarkStart w:id="29" w:name="_Toc15377214"/>
      <w:r>
        <w:rPr>
          <w:rFonts w:hint="eastAsia" w:ascii="Times New Roman" w:hAnsi="Times New Roman" w:eastAsia="黑体" w:cs="黑体"/>
          <w:sz w:val="32"/>
          <w:szCs w:val="32"/>
          <w:lang w:bidi="ar"/>
        </w:rPr>
        <w:t>六</w:t>
      </w:r>
      <w:r>
        <w:rPr>
          <w:rFonts w:hint="eastAsia" w:ascii="Times New Roman" w:hAnsi="Times New Roman" w:eastAsia="黑体" w:cs="黑体"/>
          <w:b/>
          <w:sz w:val="32"/>
          <w:szCs w:val="32"/>
          <w:lang w:bidi="ar"/>
        </w:rPr>
        <w:t>、一</w:t>
      </w:r>
      <w:r>
        <w:rPr>
          <w:rStyle w:val="21"/>
          <w:rFonts w:hint="eastAsia" w:eastAsia="黑体" w:cs="黑体"/>
          <w:lang w:bidi="ar"/>
        </w:rPr>
        <w:t>般公共预算财政拨款基本支出决算情况说明</w:t>
      </w:r>
      <w:bookmarkEnd w:id="28"/>
      <w:bookmarkEnd w:id="29"/>
      <w:r>
        <w:rPr>
          <w:rStyle w:val="21"/>
          <w:rFonts w:eastAsia="黑体"/>
          <w:lang w:bidi="ar"/>
        </w:rPr>
        <w:tab/>
      </w:r>
    </w:p>
    <w:p w14:paraId="604BBB44">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年度一般公共预算财政拨款基本支出</w:t>
      </w:r>
      <w:r>
        <w:rPr>
          <w:rFonts w:ascii="Times New Roman" w:hAnsi="Times New Roman" w:eastAsia="仿宋_GB2312" w:cs="仿宋_GB2312"/>
          <w:sz w:val="32"/>
          <w:szCs w:val="32"/>
          <w:lang w:bidi="ar"/>
        </w:rPr>
        <w:t>325.38</w:t>
      </w:r>
      <w:r>
        <w:rPr>
          <w:rFonts w:hint="eastAsia" w:ascii="Times New Roman" w:hAnsi="Times New Roman" w:eastAsia="仿宋_GB2312" w:cs="仿宋_GB2312"/>
          <w:sz w:val="32"/>
          <w:szCs w:val="32"/>
          <w:lang w:bidi="ar"/>
        </w:rPr>
        <w:t>万元，其中：</w:t>
      </w:r>
    </w:p>
    <w:p w14:paraId="71641CAB">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人员经费</w:t>
      </w:r>
      <w:r>
        <w:rPr>
          <w:rFonts w:ascii="Times New Roman" w:hAnsi="Times New Roman" w:eastAsia="仿宋_GB2312" w:cs="仿宋_GB2312"/>
          <w:sz w:val="32"/>
          <w:szCs w:val="32"/>
          <w:lang w:bidi="ar"/>
        </w:rPr>
        <w:t>307.32</w:t>
      </w:r>
      <w:r>
        <w:rPr>
          <w:rFonts w:hint="eastAsia" w:ascii="Times New Roman" w:hAnsi="Times New Roman" w:eastAsia="仿宋_GB2312" w:cs="仿宋_GB2312"/>
          <w:sz w:val="32"/>
          <w:szCs w:val="32"/>
          <w:lang w:bidi="ar"/>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Times New Roman" w:hAnsi="Times New Roman" w:eastAsia="仿宋_GB2312" w:cs="仿宋_GB2312"/>
          <w:sz w:val="32"/>
          <w:szCs w:val="32"/>
          <w:lang w:bidi="ar"/>
        </w:rPr>
        <w:br w:type="textWrapping"/>
      </w:r>
      <w:r>
        <w:rPr>
          <w:rFonts w:hint="eastAsia" w:ascii="Times New Roman" w:hAnsi="Times New Roman" w:eastAsia="仿宋_GB2312" w:cs="仿宋_GB2312"/>
          <w:sz w:val="32"/>
          <w:szCs w:val="32"/>
          <w:lang w:bidi="ar"/>
        </w:rPr>
        <w:t>　　公用经费</w:t>
      </w:r>
      <w:r>
        <w:rPr>
          <w:rFonts w:ascii="Times New Roman" w:hAnsi="Times New Roman" w:eastAsia="仿宋_GB2312" w:cs="仿宋_GB2312"/>
          <w:sz w:val="32"/>
          <w:szCs w:val="32"/>
          <w:lang w:bidi="ar"/>
        </w:rPr>
        <w:t>18.06</w:t>
      </w:r>
      <w:r>
        <w:rPr>
          <w:rFonts w:hint="eastAsia" w:ascii="Times New Roman" w:hAnsi="Times New Roman" w:eastAsia="仿宋_GB2312" w:cs="仿宋_GB2312"/>
          <w:sz w:val="32"/>
          <w:szCs w:val="32"/>
          <w:lang w:bidi="ar"/>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6663CFE">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（注：仅罗列本部门实际支出涉及的经济分类科目）</w:t>
      </w:r>
    </w:p>
    <w:p w14:paraId="66D08AAC">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73E0497E">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outlineLvl w:val="1"/>
        <w:rPr>
          <w:rFonts w:eastAsia="黑体"/>
          <w:bCs/>
          <w:sz w:val="32"/>
          <w:szCs w:val="32"/>
        </w:rPr>
      </w:pPr>
      <w:bookmarkStart w:id="30" w:name="_Toc15377215"/>
      <w:bookmarkStart w:id="31" w:name="_Toc15396609"/>
      <w:r>
        <w:rPr>
          <w:rFonts w:hint="eastAsia" w:ascii="Times New Roman" w:hAnsi="Times New Roman" w:eastAsia="黑体" w:cs="黑体"/>
          <w:sz w:val="32"/>
          <w:szCs w:val="32"/>
          <w:lang w:bidi="ar"/>
        </w:rPr>
        <w:t>七、</w:t>
      </w:r>
      <w:r>
        <w:rPr>
          <w:rStyle w:val="21"/>
          <w:rFonts w:hint="eastAsia" w:eastAsia="黑体" w:cs="黑体"/>
          <w:lang w:bidi="ar"/>
        </w:rPr>
        <w:t>财政拨款“三公”经费支出决算情况说明</w:t>
      </w:r>
      <w:bookmarkEnd w:id="30"/>
      <w:bookmarkEnd w:id="31"/>
    </w:p>
    <w:p w14:paraId="1743FA65">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32" w:name="_Toc15377216"/>
      <w:r>
        <w:rPr>
          <w:rFonts w:hint="eastAsia" w:ascii="Times New Roman" w:hAnsi="Times New Roman" w:eastAsia="楷体_GB2312" w:cs="楷体_GB2312"/>
          <w:b/>
          <w:sz w:val="32"/>
          <w:szCs w:val="32"/>
          <w:lang w:bidi="ar"/>
        </w:rPr>
        <w:t>（一）财政拨款“三公”经费支出决算总体情况说明</w:t>
      </w:r>
      <w:bookmarkEnd w:id="32"/>
    </w:p>
    <w:p w14:paraId="2E235736">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年度财政拨款“三公”经费支出决算为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万元，完成预算</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，较上年度增加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3C4F1FF4">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b/>
          <w:bCs/>
          <w:sz w:val="32"/>
          <w:szCs w:val="32"/>
        </w:rPr>
      </w:pPr>
      <w:r>
        <w:rPr>
          <w:rFonts w:hint="eastAsia" w:ascii="Times New Roman" w:hAnsi="Times New Roman" w:eastAsia="仿宋_GB2312" w:cs="仿宋_GB2312"/>
          <w:b/>
          <w:bCs/>
          <w:sz w:val="32"/>
          <w:szCs w:val="32"/>
          <w:lang w:bidi="ar"/>
        </w:rPr>
        <w:t>（注：上述“预算”口径为全年预算数，包括一般公共预算和政府性基金预算财政拨款支出决算情况）</w:t>
      </w:r>
    </w:p>
    <w:p w14:paraId="2E04F73D">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33" w:name="_Toc15377217"/>
      <w:r>
        <w:rPr>
          <w:rFonts w:hint="eastAsia" w:ascii="Times New Roman" w:hAnsi="Times New Roman" w:eastAsia="楷体_GB2312" w:cs="楷体_GB2312"/>
          <w:b/>
          <w:sz w:val="32"/>
          <w:szCs w:val="32"/>
          <w:lang w:bidi="ar"/>
        </w:rPr>
        <w:t>（二）财政拨款“三公”经费支出决算具体情况说明</w:t>
      </w:r>
      <w:bookmarkEnd w:id="33"/>
    </w:p>
    <w:p w14:paraId="6F4C34B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年度财政拨款“三公”经费支出决算中，因公出国（境）费支出决算</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；公务用车购置及运行维护费支出决算</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；公务接待费支出决算</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。具体情况如下：</w:t>
      </w:r>
    </w:p>
    <w:p w14:paraId="7AE2F98A">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（图</w:t>
      </w:r>
      <w:r>
        <w:rPr>
          <w:rFonts w:ascii="Times New Roman" w:hAnsi="Times New Roman" w:eastAsia="仿宋_GB2312" w:cs="仿宋_GB2312"/>
          <w:sz w:val="32"/>
          <w:szCs w:val="32"/>
          <w:lang w:bidi="ar"/>
        </w:rPr>
        <w:t>7</w:t>
      </w:r>
      <w:r>
        <w:rPr>
          <w:rFonts w:hint="eastAsia" w:ascii="Times New Roman" w:hAnsi="Times New Roman" w:eastAsia="仿宋_GB2312" w:cs="仿宋_GB2312"/>
          <w:sz w:val="32"/>
          <w:szCs w:val="32"/>
          <w:lang w:bidi="ar"/>
        </w:rPr>
        <w:t>：财政拨款“三公”经费支出结构）（饼状图）</w:t>
      </w:r>
    </w:p>
    <w:p w14:paraId="10DC834E">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b/>
          <w:bCs/>
          <w:sz w:val="32"/>
          <w:szCs w:val="32"/>
          <w:lang w:bidi="ar"/>
        </w:rPr>
        <w:t>1.</w:t>
      </w:r>
      <w:r>
        <w:rPr>
          <w:rFonts w:hint="eastAsia" w:ascii="Times New Roman" w:hAnsi="Times New Roman" w:eastAsia="仿宋_GB2312" w:cs="仿宋_GB2312"/>
          <w:b/>
          <w:bCs/>
          <w:sz w:val="32"/>
          <w:szCs w:val="32"/>
          <w:lang w:bidi="ar"/>
        </w:rPr>
        <w:t>因公出国（境）经费支出</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万元，完成预算</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w:t>
      </w:r>
      <w:r>
        <w:rPr>
          <w:rFonts w:hint="eastAsia" w:ascii="Times New Roman" w:hAnsi="Times New Roman" w:eastAsia="仿宋_GB2312" w:cs="仿宋_GB2312"/>
          <w:sz w:val="32"/>
          <w:szCs w:val="32"/>
          <w:lang w:bidi="ar"/>
        </w:rPr>
        <w:t>全年安排因公出国（境）团组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次，出国（境）</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人。因公出国（境）支出决算比上年度增加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031AF265">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b/>
          <w:bCs/>
          <w:sz w:val="32"/>
          <w:szCs w:val="32"/>
          <w:lang w:bidi="ar"/>
        </w:rPr>
        <w:t>2.</w:t>
      </w:r>
      <w:r>
        <w:rPr>
          <w:rFonts w:hint="eastAsia" w:ascii="Times New Roman" w:hAnsi="Times New Roman" w:eastAsia="仿宋_GB2312" w:cs="仿宋_GB2312"/>
          <w:b/>
          <w:bCs/>
          <w:sz w:val="32"/>
          <w:szCs w:val="32"/>
          <w:lang w:bidi="ar"/>
        </w:rPr>
        <w:t>公务用车购置及运行维护费支出</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万元，完成预算</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w:t>
      </w:r>
      <w:r>
        <w:rPr>
          <w:rFonts w:hint="eastAsia" w:ascii="Times New Roman" w:hAnsi="Times New Roman" w:eastAsia="仿宋_GB2312" w:cs="仿宋_GB2312"/>
          <w:sz w:val="32"/>
          <w:szCs w:val="32"/>
          <w:lang w:bidi="ar"/>
        </w:rPr>
        <w:t>公务用车购置及运行维护费支出决算比上年度增加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596CB45A">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其中：公务用车购置支出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万元。全年按规定更新购置公务用车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辆，其中：轿车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万元，越野车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万元，载客汽车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万元。截至</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w:t>
      </w:r>
      <w:r>
        <w:rPr>
          <w:rFonts w:ascii="Times New Roman" w:hAnsi="Times New Roman" w:eastAsia="仿宋_GB2312" w:cs="仿宋_GB2312"/>
          <w:sz w:val="32"/>
          <w:szCs w:val="32"/>
          <w:lang w:bidi="ar"/>
        </w:rPr>
        <w:t>12</w:t>
      </w:r>
      <w:r>
        <w:rPr>
          <w:rFonts w:hint="eastAsia" w:ascii="Times New Roman" w:hAnsi="Times New Roman" w:eastAsia="仿宋_GB2312" w:cs="仿宋_GB2312"/>
          <w:sz w:val="32"/>
          <w:szCs w:val="32"/>
          <w:lang w:bidi="ar"/>
        </w:rPr>
        <w:t>月</w:t>
      </w:r>
      <w:r>
        <w:rPr>
          <w:rFonts w:ascii="Times New Roman" w:hAnsi="Times New Roman" w:eastAsia="仿宋_GB2312" w:cs="仿宋_GB2312"/>
          <w:sz w:val="32"/>
          <w:szCs w:val="32"/>
          <w:lang w:bidi="ar"/>
        </w:rPr>
        <w:t>31</w:t>
      </w:r>
      <w:r>
        <w:rPr>
          <w:rFonts w:hint="eastAsia" w:ascii="Times New Roman" w:hAnsi="Times New Roman" w:eastAsia="仿宋_GB2312" w:cs="仿宋_GB2312"/>
          <w:sz w:val="32"/>
          <w:szCs w:val="32"/>
          <w:lang w:bidi="ar"/>
        </w:rPr>
        <w:t>日，单位共有公务用车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辆，其中：轿车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辆、越野车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辆、载客汽车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w:t>
      </w:r>
    </w:p>
    <w:p w14:paraId="60DF40EE">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公务用车运行维护费支出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w:t>
      </w:r>
    </w:p>
    <w:p w14:paraId="26B7982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b/>
          <w:bCs/>
          <w:sz w:val="32"/>
          <w:szCs w:val="32"/>
          <w:lang w:bidi="ar"/>
        </w:rPr>
        <w:t>3.</w:t>
      </w:r>
      <w:r>
        <w:rPr>
          <w:rFonts w:hint="eastAsia" w:ascii="Times New Roman" w:hAnsi="Times New Roman" w:eastAsia="仿宋_GB2312" w:cs="仿宋_GB2312"/>
          <w:b/>
          <w:bCs/>
          <w:sz w:val="32"/>
          <w:szCs w:val="32"/>
          <w:lang w:bidi="ar"/>
        </w:rPr>
        <w:t>公务接待费支出</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万元，完成预算</w:t>
      </w:r>
      <w:r>
        <w:rPr>
          <w:rFonts w:ascii="Times New Roman" w:hAnsi="Times New Roman" w:eastAsia="仿宋_GB2312" w:cs="仿宋_GB2312"/>
          <w:b/>
          <w:bCs/>
          <w:sz w:val="32"/>
          <w:szCs w:val="32"/>
          <w:lang w:bidi="ar"/>
        </w:rPr>
        <w:t>0%</w:t>
      </w:r>
      <w:r>
        <w:rPr>
          <w:rFonts w:hint="eastAsia" w:ascii="Times New Roman" w:hAnsi="Times New Roman" w:eastAsia="仿宋_GB2312" w:cs="仿宋_GB2312"/>
          <w:b/>
          <w:bCs/>
          <w:sz w:val="32"/>
          <w:szCs w:val="32"/>
          <w:lang w:bidi="ar"/>
        </w:rPr>
        <w:t>。</w:t>
      </w:r>
      <w:r>
        <w:rPr>
          <w:rFonts w:hint="eastAsia" w:ascii="Times New Roman" w:hAnsi="Times New Roman" w:eastAsia="仿宋_GB2312" w:cs="仿宋_GB2312"/>
          <w:sz w:val="32"/>
          <w:szCs w:val="32"/>
          <w:lang w:bidi="ar"/>
        </w:rPr>
        <w:t>公务接待费支出决算比上年度增加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。其中：</w:t>
      </w:r>
    </w:p>
    <w:p w14:paraId="520E9A9C">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国内公务接待支出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万元，国内公务接待</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批次，</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人次（不包括陪同人员），共计支出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w:t>
      </w:r>
    </w:p>
    <w:p w14:paraId="5DC9EB43">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外事接待支出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万元，外事接待</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批次，</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人次（不包括陪同人员），共计支出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w:t>
      </w:r>
    </w:p>
    <w:p w14:paraId="55CF2FCF">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bookmarkStart w:id="34" w:name="_Toc15377218"/>
      <w:bookmarkStart w:id="35" w:name="_Toc15396610"/>
    </w:p>
    <w:p w14:paraId="5774E65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outlineLvl w:val="1"/>
        <w:rPr>
          <w:rFonts w:eastAsia="黑体"/>
          <w:sz w:val="32"/>
          <w:szCs w:val="32"/>
        </w:rPr>
      </w:pPr>
      <w:r>
        <w:rPr>
          <w:rFonts w:hint="eastAsia" w:ascii="Times New Roman" w:hAnsi="Times New Roman" w:eastAsia="黑体" w:cs="黑体"/>
          <w:sz w:val="32"/>
          <w:szCs w:val="32"/>
          <w:lang w:bidi="ar"/>
        </w:rPr>
        <w:t>八、</w:t>
      </w:r>
      <w:r>
        <w:rPr>
          <w:rStyle w:val="21"/>
          <w:rFonts w:hint="eastAsia" w:eastAsia="黑体" w:cs="黑体"/>
          <w:lang w:bidi="ar"/>
        </w:rPr>
        <w:t>政府性基金预算支出决算情况说明</w:t>
      </w:r>
      <w:bookmarkEnd w:id="34"/>
      <w:bookmarkEnd w:id="35"/>
    </w:p>
    <w:p w14:paraId="719C756B">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b/>
          <w:bCs/>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年度政府性基金预算财政拨款支出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万元，占本年支出合计的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。与上年度相比，政府性基金预算财政拨款支出增加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r>
        <w:rPr>
          <w:rFonts w:hint="eastAsia" w:ascii="Times New Roman" w:hAnsi="Times New Roman" w:eastAsia="仿宋_GB2312" w:cs="仿宋_GB2312"/>
          <w:b/>
          <w:bCs/>
          <w:sz w:val="32"/>
          <w:szCs w:val="32"/>
          <w:lang w:bidi="ar"/>
        </w:rPr>
        <w:t>（注：支出数与上年持平可以不写原因）</w:t>
      </w:r>
    </w:p>
    <w:p w14:paraId="36409868">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58ED1692">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1"/>
        <w:rPr>
          <w:rFonts w:eastAsia="黑体"/>
          <w:bCs/>
          <w:sz w:val="32"/>
          <w:szCs w:val="32"/>
        </w:rPr>
      </w:pPr>
      <w:bookmarkStart w:id="36" w:name="_Toc15396611"/>
      <w:bookmarkStart w:id="37" w:name="_Toc15377219"/>
      <w:r>
        <w:rPr>
          <w:rStyle w:val="21"/>
          <w:rFonts w:hint="eastAsia" w:eastAsia="黑体" w:cs="黑体"/>
          <w:lang w:bidi="ar"/>
        </w:rPr>
        <w:t>九、国有资本经营预算支出决算情况说明</w:t>
      </w:r>
      <w:bookmarkEnd w:id="36"/>
      <w:bookmarkEnd w:id="37"/>
    </w:p>
    <w:p w14:paraId="2C19CC7F">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年度国有资本经营预算财政拨款支出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万元，占本年支出合计的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。与上年度相比，国有资本经营预算财政拨款支出增加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r>
        <w:rPr>
          <w:rFonts w:hint="eastAsia" w:ascii="Times New Roman" w:hAnsi="Times New Roman" w:eastAsia="仿宋_GB2312" w:cs="仿宋_GB2312"/>
          <w:b/>
          <w:bCs/>
          <w:sz w:val="32"/>
          <w:szCs w:val="32"/>
          <w:lang w:bidi="ar"/>
        </w:rPr>
        <w:t>（注：支出数与上年持平可以不写原因）</w:t>
      </w:r>
    </w:p>
    <w:p w14:paraId="2A41590A">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055ED42D">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1"/>
        <w:rPr>
          <w:rFonts w:eastAsia="黑体"/>
          <w:bCs/>
          <w:sz w:val="32"/>
          <w:szCs w:val="32"/>
        </w:rPr>
      </w:pPr>
      <w:bookmarkStart w:id="38" w:name="_Toc15396612"/>
      <w:bookmarkStart w:id="39" w:name="_Toc15377221"/>
      <w:r>
        <w:rPr>
          <w:rStyle w:val="21"/>
          <w:rFonts w:hint="eastAsia" w:eastAsia="黑体" w:cs="黑体"/>
          <w:lang w:bidi="ar"/>
        </w:rPr>
        <w:t>十、其他重要事项的情况说明</w:t>
      </w:r>
      <w:bookmarkEnd w:id="38"/>
      <w:bookmarkEnd w:id="39"/>
    </w:p>
    <w:p w14:paraId="4A01826D">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40" w:name="_Toc15377222"/>
      <w:r>
        <w:rPr>
          <w:rFonts w:hint="eastAsia" w:ascii="Times New Roman" w:hAnsi="Times New Roman" w:eastAsia="楷体_GB2312" w:cs="楷体_GB2312"/>
          <w:b/>
          <w:sz w:val="32"/>
          <w:szCs w:val="32"/>
          <w:lang w:bidi="ar"/>
        </w:rPr>
        <w:t>（一）机关运行经费支出情况</w:t>
      </w:r>
      <w:bookmarkEnd w:id="40"/>
    </w:p>
    <w:p w14:paraId="34D9A711">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w:t>
      </w:r>
      <w:r>
        <w:rPr>
          <w:rFonts w:hint="eastAsia" w:ascii="仿宋_GB2312" w:hAnsi="仿宋_GB2312" w:eastAsia="仿宋_GB2312" w:cs="仿宋_GB2312"/>
          <w:sz w:val="32"/>
          <w:szCs w:val="32"/>
          <w:lang w:bidi="ar"/>
        </w:rPr>
        <w:t>九寨沟县勿角镇便民服务中心</w:t>
      </w:r>
      <w:r>
        <w:rPr>
          <w:rFonts w:hint="eastAsia" w:ascii="Times New Roman" w:hAnsi="Times New Roman" w:eastAsia="仿宋_GB2312" w:cs="仿宋_GB2312"/>
          <w:sz w:val="32"/>
          <w:szCs w:val="32"/>
          <w:lang w:bidi="ar"/>
        </w:rPr>
        <w:t>机关运行经费支出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万元，比上年度增加</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减少</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万元，增长</w:t>
      </w:r>
      <w:r>
        <w:rPr>
          <w:rFonts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bidi="ar"/>
        </w:rPr>
        <w:t>下降</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（或与上年度决算数持平）。</w:t>
      </w:r>
      <w:r>
        <w:rPr>
          <w:rFonts w:hint="eastAsia" w:ascii="Times New Roman" w:hAnsi="Times New Roman" w:eastAsia="仿宋_GB2312" w:cs="仿宋_GB2312"/>
          <w:b/>
          <w:bCs/>
          <w:sz w:val="32"/>
          <w:szCs w:val="32"/>
          <w:lang w:bidi="ar"/>
        </w:rPr>
        <w:t>（注：支出数与上年持平可以不写原因）</w:t>
      </w:r>
    </w:p>
    <w:p w14:paraId="151CB165">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73AD9CD8">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41" w:name="_Toc15377223"/>
      <w:r>
        <w:rPr>
          <w:rFonts w:hint="eastAsia" w:ascii="Times New Roman" w:hAnsi="Times New Roman" w:eastAsia="楷体_GB2312" w:cs="楷体_GB2312"/>
          <w:b/>
          <w:sz w:val="32"/>
          <w:szCs w:val="32"/>
          <w:lang w:bidi="ar"/>
        </w:rPr>
        <w:t>（二）政府采购支出情况</w:t>
      </w:r>
      <w:bookmarkEnd w:id="41"/>
    </w:p>
    <w:p w14:paraId="315947F8">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w:t>
      </w:r>
      <w:r>
        <w:rPr>
          <w:rFonts w:hint="eastAsia" w:ascii="仿宋_GB2312" w:hAnsi="仿宋_GB2312" w:eastAsia="仿宋_GB2312" w:cs="仿宋_GB2312"/>
          <w:sz w:val="32"/>
          <w:szCs w:val="32"/>
          <w:lang w:bidi="ar"/>
        </w:rPr>
        <w:t>九寨沟县勿角镇便民服务中心</w:t>
      </w:r>
      <w:r>
        <w:rPr>
          <w:rFonts w:hint="eastAsia" w:ascii="Times New Roman" w:hAnsi="Times New Roman" w:eastAsia="仿宋_GB2312" w:cs="仿宋_GB2312"/>
          <w:sz w:val="32"/>
          <w:szCs w:val="32"/>
          <w:lang w:bidi="ar"/>
        </w:rPr>
        <w:t>政府采购支出总额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万元，其中：政府采购货物支出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万元、政府采购工程支出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万元、政府采购服务支出</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万元。授予中小企业合同金额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万元，占政府采购支出总额的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，其中：授予小微企业合同金额</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万元，占政府采购支出总额的</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w:t>
      </w:r>
    </w:p>
    <w:p w14:paraId="65690E14">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p>
    <w:p w14:paraId="6B617556">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bookmarkStart w:id="42" w:name="_Toc15377224"/>
      <w:r>
        <w:rPr>
          <w:rFonts w:hint="eastAsia" w:ascii="Times New Roman" w:hAnsi="Times New Roman" w:eastAsia="楷体_GB2312" w:cs="楷体_GB2312"/>
          <w:b/>
          <w:sz w:val="32"/>
          <w:szCs w:val="32"/>
          <w:lang w:bidi="ar"/>
        </w:rPr>
        <w:t>（三）国有资产占有使用情况</w:t>
      </w:r>
      <w:bookmarkEnd w:id="42"/>
    </w:p>
    <w:p w14:paraId="132A8B57">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截至</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w:t>
      </w:r>
      <w:r>
        <w:rPr>
          <w:rFonts w:ascii="Times New Roman" w:hAnsi="Times New Roman" w:eastAsia="仿宋_GB2312" w:cs="仿宋_GB2312"/>
          <w:sz w:val="32"/>
          <w:szCs w:val="32"/>
          <w:lang w:bidi="ar"/>
        </w:rPr>
        <w:t>12</w:t>
      </w:r>
      <w:r>
        <w:rPr>
          <w:rFonts w:hint="eastAsia" w:ascii="Times New Roman" w:hAnsi="Times New Roman" w:eastAsia="仿宋_GB2312" w:cs="仿宋_GB2312"/>
          <w:sz w:val="32"/>
          <w:szCs w:val="32"/>
          <w:lang w:bidi="ar"/>
        </w:rPr>
        <w:t>月</w:t>
      </w:r>
      <w:r>
        <w:rPr>
          <w:rFonts w:ascii="Times New Roman" w:hAnsi="Times New Roman" w:eastAsia="仿宋_GB2312" w:cs="仿宋_GB2312"/>
          <w:sz w:val="32"/>
          <w:szCs w:val="32"/>
          <w:lang w:bidi="ar"/>
        </w:rPr>
        <w:t>31</w:t>
      </w:r>
      <w:r>
        <w:rPr>
          <w:rFonts w:hint="eastAsia" w:ascii="Times New Roman" w:hAnsi="Times New Roman" w:eastAsia="仿宋_GB2312" w:cs="仿宋_GB2312"/>
          <w:sz w:val="32"/>
          <w:szCs w:val="32"/>
          <w:lang w:bidi="ar"/>
        </w:rPr>
        <w:t>日，</w:t>
      </w:r>
      <w:r>
        <w:rPr>
          <w:rFonts w:hint="eastAsia" w:ascii="仿宋_GB2312" w:hAnsi="仿宋_GB2312" w:eastAsia="仿宋_GB2312" w:cs="仿宋_GB2312"/>
          <w:sz w:val="32"/>
          <w:szCs w:val="32"/>
          <w:lang w:bidi="ar"/>
        </w:rPr>
        <w:t>九寨沟县勿角镇便民服务中心</w:t>
      </w:r>
      <w:r>
        <w:rPr>
          <w:rFonts w:hint="eastAsia" w:ascii="Times New Roman" w:hAnsi="Times New Roman" w:eastAsia="仿宋_GB2312" w:cs="仿宋_GB2312"/>
          <w:sz w:val="32"/>
          <w:szCs w:val="32"/>
          <w:lang w:bidi="ar"/>
        </w:rPr>
        <w:t>共有车辆</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辆，其中：副部（省）级及以上领导用车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辆、主要负责人用车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辆、机要通信用车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辆、应急保障用车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辆、执法执勤用车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辆、特种专业技术用车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辆、离退休干部服务用车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辆、其他用车</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辆。单价</w:t>
      </w:r>
      <w:r>
        <w:rPr>
          <w:rFonts w:ascii="Times New Roman" w:hAnsi="Times New Roman" w:eastAsia="仿宋_GB2312" w:cs="仿宋_GB2312"/>
          <w:sz w:val="32"/>
          <w:szCs w:val="32"/>
          <w:lang w:bidi="ar"/>
        </w:rPr>
        <w:t>100</w:t>
      </w:r>
      <w:r>
        <w:rPr>
          <w:rFonts w:hint="eastAsia" w:ascii="Times New Roman" w:hAnsi="Times New Roman" w:eastAsia="仿宋_GB2312" w:cs="仿宋_GB2312"/>
          <w:sz w:val="32"/>
          <w:szCs w:val="32"/>
          <w:lang w:bidi="ar"/>
        </w:rPr>
        <w:t>万元（含）以上设备（不含车辆）</w:t>
      </w:r>
      <w:r>
        <w:rPr>
          <w:rFonts w:ascii="Times New Roman" w:hAnsi="Times New Roman" w:eastAsia="仿宋_GB2312" w:cs="仿宋_GB2312"/>
          <w:sz w:val="32"/>
          <w:szCs w:val="32"/>
          <w:lang w:bidi="ar"/>
        </w:rPr>
        <w:t>0</w:t>
      </w:r>
      <w:r>
        <w:rPr>
          <w:rFonts w:hint="eastAsia" w:ascii="Times New Roman" w:hAnsi="Times New Roman" w:eastAsia="仿宋_GB2312" w:cs="仿宋_GB2312"/>
          <w:sz w:val="32"/>
          <w:szCs w:val="32"/>
          <w:lang w:bidi="ar"/>
        </w:rPr>
        <w:t>台（套）。</w:t>
      </w:r>
    </w:p>
    <w:p w14:paraId="362D52A4">
      <w:pPr>
        <w:keepNext w:val="0"/>
        <w:keepLines w:val="0"/>
        <w:pageBreakBefore w:val="0"/>
        <w:widowControl w:val="0"/>
        <w:kinsoku/>
        <w:wordWrap/>
        <w:overflowPunct/>
        <w:topLinePunct w:val="0"/>
        <w:autoSpaceDE/>
        <w:autoSpaceDN/>
        <w:bidi w:val="0"/>
        <w:adjustRightInd/>
        <w:snapToGrid/>
        <w:spacing w:line="560" w:lineRule="exact"/>
        <w:ind w:left="0" w:firstLine="643" w:firstLineChars="200"/>
        <w:textAlignment w:val="auto"/>
        <w:outlineLvl w:val="2"/>
        <w:rPr>
          <w:rFonts w:eastAsia="楷体_GB2312" w:cs="楷体_GB2312"/>
          <w:b/>
          <w:sz w:val="32"/>
          <w:szCs w:val="32"/>
        </w:rPr>
      </w:pPr>
      <w:r>
        <w:rPr>
          <w:rFonts w:hint="eastAsia" w:ascii="Times New Roman" w:hAnsi="Times New Roman" w:eastAsia="楷体_GB2312" w:cs="楷体_GB2312"/>
          <w:b/>
          <w:sz w:val="32"/>
          <w:szCs w:val="32"/>
          <w:lang w:bidi="ar"/>
        </w:rPr>
        <w:t>（四）预算绩效管理情况</w:t>
      </w:r>
    </w:p>
    <w:p w14:paraId="1A15B559">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eastAsia="仿宋_GB2312" w:cs="仿宋_GB2312"/>
          <w:sz w:val="32"/>
          <w:szCs w:val="32"/>
        </w:rPr>
      </w:pPr>
      <w:r>
        <w:rPr>
          <w:rFonts w:hint="eastAsia" w:ascii="Times New Roman" w:hAnsi="Times New Roman" w:eastAsia="仿宋_GB2312" w:cs="仿宋_GB2312"/>
          <w:sz w:val="32"/>
          <w:szCs w:val="32"/>
          <w:lang w:bidi="ar"/>
        </w:rPr>
        <w:t>根据预算绩效管理要求，本部门在</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年度，组织对勿角镇马香村高原冷水鱼养殖建设项目等4</w:t>
      </w:r>
      <w:r>
        <w:rPr>
          <w:rFonts w:ascii="Times New Roman" w:hAnsi="Times New Roman" w:eastAsia="仿宋_GB2312" w:cs="仿宋_GB2312"/>
          <w:sz w:val="32"/>
          <w:szCs w:val="32"/>
          <w:lang w:bidi="ar"/>
        </w:rPr>
        <w:t>9</w:t>
      </w:r>
      <w:r>
        <w:rPr>
          <w:rFonts w:hint="eastAsia" w:ascii="Times New Roman" w:hAnsi="Times New Roman" w:eastAsia="仿宋_GB2312" w:cs="仿宋_GB2312"/>
          <w:sz w:val="32"/>
          <w:szCs w:val="32"/>
          <w:lang w:bidi="ar"/>
        </w:rPr>
        <w:t>个项目涉及金额</w:t>
      </w:r>
      <w:r>
        <w:rPr>
          <w:rFonts w:ascii="Times New Roman" w:hAnsi="Times New Roman" w:eastAsia="仿宋_GB2312" w:cs="仿宋_GB2312"/>
          <w:sz w:val="32"/>
          <w:szCs w:val="32"/>
          <w:lang w:bidi="ar"/>
        </w:rPr>
        <w:t>1995.37</w:t>
      </w:r>
      <w:r>
        <w:rPr>
          <w:rFonts w:hint="eastAsia" w:ascii="Times New Roman" w:hAnsi="Times New Roman" w:eastAsia="仿宋_GB2312" w:cs="仿宋_GB2312"/>
          <w:sz w:val="32"/>
          <w:szCs w:val="32"/>
          <w:lang w:bidi="ar"/>
        </w:rPr>
        <w:t>万元开展了事前绩效评估，对</w:t>
      </w:r>
      <w:r>
        <w:rPr>
          <w:rFonts w:ascii="Times New Roman" w:hAnsi="Times New Roman" w:eastAsia="仿宋_GB2312" w:cs="仿宋_GB2312"/>
          <w:sz w:val="32"/>
          <w:szCs w:val="32"/>
          <w:lang w:bidi="ar"/>
        </w:rPr>
        <w:t>49</w:t>
      </w:r>
      <w:r>
        <w:rPr>
          <w:rFonts w:hint="eastAsia" w:ascii="Times New Roman" w:hAnsi="Times New Roman" w:eastAsia="仿宋_GB2312" w:cs="仿宋_GB2312"/>
          <w:sz w:val="32"/>
          <w:szCs w:val="32"/>
          <w:lang w:bidi="ar"/>
        </w:rPr>
        <w:t>个项目编制了绩效目标，预算执行过程中，选取</w:t>
      </w:r>
      <w:r>
        <w:rPr>
          <w:rFonts w:ascii="Times New Roman" w:hAnsi="Times New Roman" w:eastAsia="仿宋_GB2312" w:cs="仿宋_GB2312"/>
          <w:sz w:val="32"/>
          <w:szCs w:val="32"/>
          <w:lang w:bidi="ar"/>
        </w:rPr>
        <w:t>14</w:t>
      </w:r>
      <w:r>
        <w:rPr>
          <w:rFonts w:hint="eastAsia" w:ascii="Times New Roman" w:hAnsi="Times New Roman" w:eastAsia="仿宋_GB2312" w:cs="仿宋_GB2312"/>
          <w:sz w:val="32"/>
          <w:szCs w:val="32"/>
          <w:lang w:bidi="ar"/>
        </w:rPr>
        <w:t>个项目开展绩效监控。</w:t>
      </w:r>
    </w:p>
    <w:p w14:paraId="4DDACF4E">
      <w:pPr>
        <w:keepNext w:val="0"/>
        <w:keepLines w:val="0"/>
        <w:pageBreakBefore w:val="0"/>
        <w:widowControl w:val="0"/>
        <w:kinsoku/>
        <w:wordWrap/>
        <w:overflowPunct/>
        <w:topLinePunct w:val="0"/>
        <w:autoSpaceDE/>
        <w:autoSpaceDN/>
        <w:bidi w:val="0"/>
        <w:adjustRightInd/>
        <w:snapToGrid/>
        <w:spacing w:line="560" w:lineRule="exact"/>
        <w:ind w:left="0" w:firstLine="640"/>
        <w:textAlignment w:val="auto"/>
        <w:rPr>
          <w:rFonts w:ascii="Times New Roman" w:hAnsi="Times New Roman" w:eastAsia="仿宋_GB2312" w:cs="仿宋_GB2312"/>
          <w:sz w:val="32"/>
          <w:szCs w:val="32"/>
          <w:lang w:bidi="ar"/>
        </w:rPr>
      </w:pPr>
      <w:r>
        <w:rPr>
          <w:rFonts w:hint="eastAsia" w:ascii="Times New Roman" w:hAnsi="Times New Roman" w:eastAsia="仿宋_GB2312" w:cs="仿宋_GB2312"/>
          <w:sz w:val="32"/>
          <w:szCs w:val="32"/>
          <w:lang w:bidi="ar"/>
        </w:rPr>
        <w:t>组织对</w:t>
      </w:r>
      <w:r>
        <w:rPr>
          <w:rFonts w:ascii="Times New Roman" w:hAnsi="Times New Roman" w:eastAsia="仿宋_GB2312" w:cs="仿宋_GB2312"/>
          <w:sz w:val="32"/>
          <w:szCs w:val="32"/>
          <w:lang w:bidi="ar"/>
        </w:rPr>
        <w:t>2025</w:t>
      </w:r>
      <w:r>
        <w:rPr>
          <w:rFonts w:hint="eastAsia" w:ascii="Times New Roman" w:hAnsi="Times New Roman" w:eastAsia="仿宋_GB2312" w:cs="仿宋_GB2312"/>
          <w:sz w:val="32"/>
          <w:szCs w:val="32"/>
          <w:lang w:bidi="ar"/>
        </w:rPr>
        <w:t>年度一般公共预算、政府性基金预算、国有资本经营预算、社会保险基金预算以及资本资产、债券资金等全面开展绩效自评，形成勿角镇部门整体（含部门预算项目）绩效自评报告，绩效自评得分为</w:t>
      </w:r>
      <w:r>
        <w:rPr>
          <w:rFonts w:ascii="Times New Roman" w:hAnsi="Times New Roman" w:eastAsia="仿宋_GB2312" w:cs="仿宋_GB2312"/>
          <w:sz w:val="32"/>
          <w:szCs w:val="32"/>
          <w:lang w:bidi="ar"/>
        </w:rPr>
        <w:t>94</w:t>
      </w:r>
      <w:r>
        <w:rPr>
          <w:rFonts w:hint="eastAsia" w:ascii="Times New Roman" w:hAnsi="Times New Roman" w:eastAsia="仿宋_GB2312" w:cs="仿宋_GB2312"/>
          <w:sz w:val="32"/>
          <w:szCs w:val="32"/>
          <w:lang w:bidi="ar"/>
        </w:rPr>
        <w:t>分，绩效自评报告详见附件。（注：如不涉及，可根据实际修改表述。）</w:t>
      </w:r>
    </w:p>
    <w:p w14:paraId="327F97F5">
      <w:pPr>
        <w:spacing w:line="560" w:lineRule="exact"/>
        <w:rPr>
          <w:rFonts w:eastAsia="仿宋_GB2312" w:cs="仿宋_GB2312"/>
          <w:sz w:val="32"/>
          <w:szCs w:val="32"/>
        </w:rPr>
      </w:pPr>
    </w:p>
    <w:p w14:paraId="14D775BF">
      <w:pPr>
        <w:spacing w:line="560" w:lineRule="exact"/>
        <w:rPr>
          <w:rFonts w:eastAsia="仿宋_GB2312" w:cs="仿宋_GB2312"/>
          <w:sz w:val="32"/>
          <w:szCs w:val="32"/>
        </w:rPr>
      </w:pPr>
    </w:p>
    <w:p w14:paraId="517BD15F">
      <w:pPr>
        <w:spacing w:line="560" w:lineRule="exact"/>
        <w:rPr>
          <w:rFonts w:eastAsia="仿宋_GB2312" w:cs="仿宋_GB2312"/>
          <w:sz w:val="32"/>
          <w:szCs w:val="32"/>
        </w:rPr>
      </w:pPr>
    </w:p>
    <w:p w14:paraId="05EE5DF7">
      <w:pPr>
        <w:spacing w:line="560" w:lineRule="exact"/>
        <w:rPr>
          <w:rFonts w:eastAsia="仿宋_GB2312" w:cs="仿宋_GB2312"/>
          <w:sz w:val="32"/>
          <w:szCs w:val="32"/>
        </w:rPr>
      </w:pPr>
    </w:p>
    <w:p w14:paraId="24C7536C">
      <w:pPr>
        <w:spacing w:line="560" w:lineRule="exact"/>
        <w:rPr>
          <w:rFonts w:eastAsia="仿宋_GB2312" w:cs="仿宋_GB2312"/>
          <w:sz w:val="32"/>
          <w:szCs w:val="32"/>
        </w:rPr>
      </w:pPr>
    </w:p>
    <w:p w14:paraId="6ECBB286">
      <w:pPr>
        <w:spacing w:line="560" w:lineRule="exact"/>
        <w:rPr>
          <w:rFonts w:eastAsia="仿宋_GB2312" w:cs="仿宋_GB2312"/>
          <w:sz w:val="32"/>
          <w:szCs w:val="32"/>
        </w:rPr>
      </w:pPr>
    </w:p>
    <w:p w14:paraId="23DEB123">
      <w:pPr>
        <w:spacing w:line="560" w:lineRule="exact"/>
        <w:rPr>
          <w:rFonts w:eastAsia="仿宋_GB2312" w:cs="仿宋_GB2312"/>
          <w:sz w:val="32"/>
          <w:szCs w:val="32"/>
        </w:rPr>
      </w:pPr>
    </w:p>
    <w:p w14:paraId="5ABE198F">
      <w:pPr>
        <w:spacing w:line="560" w:lineRule="exact"/>
        <w:rPr>
          <w:rFonts w:eastAsia="仿宋_GB2312" w:cs="仿宋_GB2312"/>
          <w:sz w:val="32"/>
          <w:szCs w:val="32"/>
        </w:rPr>
      </w:pPr>
    </w:p>
    <w:p w14:paraId="3A8077A6">
      <w:pPr>
        <w:spacing w:line="560" w:lineRule="exact"/>
        <w:rPr>
          <w:rFonts w:eastAsia="仿宋_GB2312" w:cs="仿宋_GB2312"/>
          <w:sz w:val="32"/>
          <w:szCs w:val="32"/>
        </w:rPr>
      </w:pPr>
    </w:p>
    <w:p w14:paraId="0C48D55C">
      <w:pPr>
        <w:spacing w:line="560" w:lineRule="exact"/>
        <w:rPr>
          <w:rFonts w:eastAsia="仿宋_GB2312" w:cs="仿宋_GB2312"/>
          <w:sz w:val="32"/>
          <w:szCs w:val="32"/>
        </w:rPr>
      </w:pPr>
    </w:p>
    <w:p w14:paraId="0B9FA287">
      <w:pPr>
        <w:spacing w:line="560" w:lineRule="exact"/>
        <w:rPr>
          <w:rFonts w:eastAsia="仿宋_GB2312" w:cs="仿宋_GB2312"/>
          <w:sz w:val="32"/>
          <w:szCs w:val="32"/>
        </w:rPr>
      </w:pPr>
    </w:p>
    <w:p w14:paraId="3A720AD4">
      <w:pPr>
        <w:spacing w:line="560" w:lineRule="exact"/>
        <w:rPr>
          <w:rFonts w:eastAsia="仿宋_GB2312" w:cs="仿宋_GB2312"/>
          <w:sz w:val="32"/>
          <w:szCs w:val="32"/>
        </w:rPr>
      </w:pPr>
    </w:p>
    <w:p w14:paraId="55B8B0E2">
      <w:pPr>
        <w:spacing w:line="560" w:lineRule="exact"/>
        <w:rPr>
          <w:rFonts w:eastAsia="仿宋_GB2312" w:cs="仿宋_GB2312"/>
          <w:sz w:val="32"/>
          <w:szCs w:val="32"/>
        </w:rPr>
      </w:pPr>
    </w:p>
    <w:p w14:paraId="1CFC237E">
      <w:pPr>
        <w:spacing w:line="560" w:lineRule="exact"/>
        <w:jc w:val="center"/>
        <w:outlineLvl w:val="0"/>
        <w:rPr>
          <w:rFonts w:eastAsia="黑体"/>
          <w:sz w:val="44"/>
          <w:szCs w:val="44"/>
        </w:rPr>
      </w:pPr>
      <w:bookmarkStart w:id="43" w:name="_Toc15377225"/>
      <w:bookmarkStart w:id="44" w:name="_Toc15396613"/>
      <w:r>
        <w:rPr>
          <w:rFonts w:hint="eastAsia" w:ascii="Times New Roman" w:hAnsi="Times New Roman" w:eastAsia="黑体" w:cs="黑体"/>
          <w:sz w:val="44"/>
          <w:szCs w:val="44"/>
          <w:lang w:bidi="ar"/>
        </w:rPr>
        <w:t>第三部分</w:t>
      </w:r>
      <w:r>
        <w:rPr>
          <w:rFonts w:ascii="Times New Roman" w:hAnsi="Times New Roman" w:eastAsia="黑体" w:cs="Times New Roman"/>
          <w:sz w:val="44"/>
          <w:szCs w:val="44"/>
          <w:lang w:bidi="ar"/>
        </w:rPr>
        <w:t xml:space="preserve">  </w:t>
      </w:r>
      <w:r>
        <w:rPr>
          <w:rFonts w:hint="eastAsia" w:ascii="Times New Roman" w:hAnsi="Times New Roman" w:eastAsia="黑体" w:cs="黑体"/>
          <w:sz w:val="44"/>
          <w:szCs w:val="44"/>
          <w:lang w:bidi="ar"/>
        </w:rPr>
        <w:t>名词解释</w:t>
      </w:r>
      <w:bookmarkEnd w:id="43"/>
      <w:bookmarkEnd w:id="44"/>
    </w:p>
    <w:p w14:paraId="61CFC221">
      <w:pPr>
        <w:spacing w:line="560" w:lineRule="exact"/>
        <w:jc w:val="left"/>
        <w:rPr>
          <w:b/>
          <w:sz w:val="44"/>
          <w:szCs w:val="44"/>
        </w:rPr>
      </w:pPr>
    </w:p>
    <w:p w14:paraId="59BF3DB4">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1.</w:t>
      </w:r>
      <w:r>
        <w:rPr>
          <w:rFonts w:hint="eastAsia" w:ascii="Times New Roman" w:hAnsi="Times New Roman" w:eastAsia="仿宋_GB2312" w:cs="仿宋_GB2312"/>
          <w:sz w:val="32"/>
          <w:szCs w:val="32"/>
          <w:lang w:bidi="ar"/>
        </w:rPr>
        <w:t>财政拨款收入：指单位从同级财政部门取得的财政预算资金。</w:t>
      </w:r>
    </w:p>
    <w:p w14:paraId="7653542C">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2.</w:t>
      </w:r>
      <w:r>
        <w:rPr>
          <w:rFonts w:hint="eastAsia" w:ascii="Times New Roman" w:hAnsi="Times New Roman" w:eastAsia="仿宋_GB2312" w:cs="仿宋_GB2312"/>
          <w:sz w:val="32"/>
          <w:szCs w:val="32"/>
          <w:lang w:bidi="ar"/>
        </w:rPr>
        <w:t>事业收入：指事业单位开展专业业务活动及辅助活动取得的收入。</w:t>
      </w:r>
    </w:p>
    <w:p w14:paraId="74786E1C">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3.</w:t>
      </w:r>
      <w:r>
        <w:rPr>
          <w:rFonts w:hint="eastAsia" w:ascii="Times New Roman" w:hAnsi="Times New Roman" w:eastAsia="仿宋_GB2312" w:cs="仿宋_GB2312"/>
          <w:sz w:val="32"/>
          <w:szCs w:val="32"/>
          <w:lang w:bidi="ar"/>
        </w:rPr>
        <w:t>经营收入：指事业单位在专业业务活动及其辅助活动之外开展非独立核算经营活动取得的收入。</w:t>
      </w:r>
    </w:p>
    <w:p w14:paraId="2A1400DA">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4.</w:t>
      </w:r>
      <w:r>
        <w:rPr>
          <w:rFonts w:hint="eastAsia" w:ascii="Times New Roman" w:hAnsi="Times New Roman" w:eastAsia="仿宋_GB2312" w:cs="仿宋_GB2312"/>
          <w:sz w:val="32"/>
          <w:szCs w:val="32"/>
          <w:lang w:bidi="ar"/>
        </w:rPr>
        <w:t>其他收入：指单位取得的除上述收入以外的各项收入。</w:t>
      </w:r>
      <w:r>
        <w:rPr>
          <w:rFonts w:ascii="Times New Roman" w:hAnsi="Times New Roman" w:eastAsia="仿宋_GB2312" w:cs="仿宋_GB2312"/>
          <w:sz w:val="32"/>
          <w:szCs w:val="32"/>
          <w:lang w:bidi="ar"/>
        </w:rPr>
        <w:t xml:space="preserve"> </w:t>
      </w:r>
    </w:p>
    <w:p w14:paraId="79FACEBA">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5.</w:t>
      </w:r>
      <w:r>
        <w:rPr>
          <w:rFonts w:hint="eastAsia" w:ascii="Times New Roman" w:hAnsi="Times New Roman" w:eastAsia="仿宋_GB2312" w:cs="仿宋_GB2312"/>
          <w:sz w:val="32"/>
          <w:szCs w:val="32"/>
          <w:lang w:bidi="ar"/>
        </w:rPr>
        <w:t>使用非财政拨款结余（含专用结余）：指事业单位使用以前年度积累的非财政拨款结余弥补当年收支差额的金额。</w:t>
      </w:r>
      <w:r>
        <w:rPr>
          <w:rFonts w:ascii="Times New Roman" w:hAnsi="Times New Roman" w:eastAsia="仿宋_GB2312" w:cs="仿宋_GB2312"/>
          <w:sz w:val="32"/>
          <w:szCs w:val="32"/>
          <w:lang w:bidi="ar"/>
        </w:rPr>
        <w:t xml:space="preserve"> </w:t>
      </w:r>
    </w:p>
    <w:p w14:paraId="34CDD4FF">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6.</w:t>
      </w:r>
      <w:r>
        <w:rPr>
          <w:rFonts w:hint="eastAsia" w:ascii="Times New Roman" w:hAnsi="Times New Roman" w:eastAsia="仿宋_GB2312" w:cs="仿宋_GB2312"/>
          <w:sz w:val="32"/>
          <w:szCs w:val="32"/>
          <w:lang w:bidi="ar"/>
        </w:rPr>
        <w:t>年初结转和结余：指以前年度尚未完成、结转到本年按有关规定继续使用的资金。</w:t>
      </w:r>
      <w:r>
        <w:rPr>
          <w:rFonts w:ascii="Times New Roman" w:hAnsi="Times New Roman" w:eastAsia="仿宋_GB2312" w:cs="仿宋_GB2312"/>
          <w:sz w:val="32"/>
          <w:szCs w:val="32"/>
          <w:lang w:bidi="ar"/>
        </w:rPr>
        <w:t xml:space="preserve"> </w:t>
      </w:r>
    </w:p>
    <w:p w14:paraId="09D1CE8E">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7.</w:t>
      </w:r>
      <w:r>
        <w:rPr>
          <w:rFonts w:hint="eastAsia" w:ascii="Times New Roman" w:hAnsi="Times New Roman" w:eastAsia="仿宋_GB2312" w:cs="仿宋_GB2312"/>
          <w:sz w:val="32"/>
          <w:szCs w:val="32"/>
          <w:lang w:bidi="ar"/>
        </w:rPr>
        <w:t>结余分配：指事业单位按照会计制度规定缴纳的所得税、提取的专用结余以及转入非财政拨款结余的金额等。</w:t>
      </w:r>
    </w:p>
    <w:p w14:paraId="4B3E4BAD">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8.</w:t>
      </w:r>
      <w:r>
        <w:rPr>
          <w:rFonts w:hint="eastAsia" w:ascii="Times New Roman" w:hAnsi="Times New Roman" w:eastAsia="仿宋_GB2312" w:cs="仿宋_GB2312"/>
          <w:sz w:val="32"/>
          <w:szCs w:val="32"/>
          <w:lang w:bidi="ar"/>
        </w:rPr>
        <w:t>年末结转和结余：指单位按有关规定结转到下年或以后年度继续使用的资金。</w:t>
      </w:r>
    </w:p>
    <w:p w14:paraId="09B22B89">
      <w:pPr>
        <w:spacing w:line="560" w:lineRule="exact"/>
        <w:ind w:firstLine="640"/>
        <w:rPr>
          <w:rFonts w:ascii="仿宋_GB2312" w:hAnsi="Times New Roman" w:eastAsia="仿宋_GB2312" w:cs="仿宋_GB2312"/>
          <w:sz w:val="32"/>
          <w:szCs w:val="32"/>
          <w:lang w:bidi="ar"/>
        </w:rPr>
      </w:pPr>
      <w:r>
        <w:rPr>
          <w:rFonts w:ascii="Times New Roman" w:hAnsi="Times New Roman" w:eastAsia="仿宋_GB2312" w:cs="仿宋_GB2312"/>
          <w:sz w:val="32"/>
          <w:szCs w:val="32"/>
          <w:lang w:bidi="ar"/>
        </w:rPr>
        <w:t>9.</w:t>
      </w:r>
      <w:r>
        <w:rPr>
          <w:rFonts w:hint="eastAsia" w:ascii="仿宋_GB2312" w:hAnsi="sans-serif" w:eastAsia="仿宋_GB2312" w:cs="仿宋_GB2312"/>
          <w:color w:val="000000"/>
          <w:kern w:val="0"/>
          <w:sz w:val="32"/>
          <w:szCs w:val="32"/>
          <w:shd w:val="clear" w:color="auto" w:fill="FFFFFF"/>
          <w:lang w:bidi="ar"/>
        </w:rPr>
        <w:t xml:space="preserve"> 一般公共服务（201）政府办公厅（室）及相关机构事务支出（03）事业运行（50）：指事业单位的基本支出</w:t>
      </w:r>
      <w:r>
        <w:rPr>
          <w:rFonts w:hint="eastAsia" w:ascii="仿宋_GB2312" w:hAnsi="Times New Roman" w:eastAsia="仿宋_GB2312" w:cs="仿宋_GB2312"/>
          <w:sz w:val="32"/>
          <w:szCs w:val="32"/>
          <w:lang w:bidi="ar"/>
        </w:rPr>
        <w:t>。</w:t>
      </w:r>
    </w:p>
    <w:p w14:paraId="4B254EBB">
      <w:pPr>
        <w:spacing w:line="560" w:lineRule="exact"/>
        <w:ind w:firstLine="640"/>
        <w:rPr>
          <w:rFonts w:ascii="仿宋_GB2312" w:hAnsi="sans-serif" w:eastAsia="仿宋_GB2312" w:cs="仿宋_GB2312"/>
          <w:color w:val="000000"/>
          <w:kern w:val="0"/>
          <w:sz w:val="32"/>
          <w:szCs w:val="32"/>
          <w:shd w:val="clear" w:color="auto" w:fill="FFFFFF"/>
          <w:lang w:bidi="ar"/>
        </w:rPr>
      </w:pPr>
      <w:r>
        <w:rPr>
          <w:rFonts w:ascii="Times New Roman" w:hAnsi="Times New Roman" w:eastAsia="仿宋_GB2312" w:cs="仿宋_GB2312"/>
          <w:sz w:val="32"/>
          <w:szCs w:val="32"/>
          <w:lang w:bidi="ar"/>
        </w:rPr>
        <w:t>10.</w:t>
      </w:r>
      <w:r>
        <w:rPr>
          <w:rFonts w:hint="eastAsia" w:ascii="仿宋_GB2312" w:hAnsi="sans-serif" w:eastAsia="仿宋_GB2312" w:cs="仿宋_GB2312"/>
          <w:color w:val="000000"/>
          <w:kern w:val="0"/>
          <w:sz w:val="32"/>
          <w:szCs w:val="32"/>
          <w:shd w:val="clear" w:color="auto" w:fill="FFFFFF"/>
          <w:lang w:bidi="ar"/>
        </w:rPr>
        <w:t xml:space="preserve"> 社会保障和就业支出（208）行政事业单位养老支出（05）机关事业单位基本养老保险缴费支出（05）：指机关事业范围实施养老制度有单位缴纳的基本养老保险费支出。</w:t>
      </w:r>
    </w:p>
    <w:p w14:paraId="5369ABFB">
      <w:pPr>
        <w:spacing w:line="560" w:lineRule="exact"/>
        <w:ind w:firstLine="640"/>
        <w:rPr>
          <w:rFonts w:ascii="仿宋_GB2312" w:hAnsi="sans-serif" w:eastAsia="仿宋_GB2312" w:cs="仿宋_GB2312"/>
          <w:color w:val="000000"/>
          <w:kern w:val="0"/>
          <w:sz w:val="32"/>
          <w:szCs w:val="32"/>
          <w:shd w:val="clear" w:color="auto" w:fill="FFFFFF"/>
          <w:lang w:bidi="ar"/>
        </w:rPr>
      </w:pPr>
      <w:r>
        <w:rPr>
          <w:rFonts w:ascii="Times New Roman" w:hAnsi="Times New Roman" w:eastAsia="仿宋_GB2312" w:cs="仿宋_GB2312"/>
          <w:sz w:val="32"/>
          <w:szCs w:val="32"/>
          <w:lang w:bidi="ar"/>
        </w:rPr>
        <w:t>11.</w:t>
      </w:r>
      <w:r>
        <w:rPr>
          <w:rFonts w:hint="eastAsia" w:ascii="仿宋_GB2312" w:hAnsi="sans-serif" w:eastAsia="仿宋_GB2312" w:cs="仿宋_GB2312"/>
          <w:color w:val="000000"/>
          <w:kern w:val="0"/>
          <w:sz w:val="32"/>
          <w:szCs w:val="32"/>
          <w:shd w:val="clear" w:color="auto" w:fill="FFFFFF"/>
          <w:lang w:bidi="ar"/>
        </w:rPr>
        <w:t xml:space="preserve"> 社会保障和就业支出（208）行政事业单位养老支出（05）机关事业单位职业年金缴费支出（06）：指机关事业范围实施职业年金制度有单位缴纳的职业年金支出。</w:t>
      </w:r>
    </w:p>
    <w:p w14:paraId="15A452D2">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12.</w:t>
      </w:r>
      <w:r>
        <w:rPr>
          <w:rFonts w:hint="eastAsia" w:ascii="仿宋_GB2312" w:hAnsi="sans-serif" w:eastAsia="仿宋_GB2312" w:cs="仿宋_GB2312"/>
          <w:color w:val="000000"/>
          <w:kern w:val="0"/>
          <w:sz w:val="32"/>
          <w:szCs w:val="32"/>
          <w:shd w:val="clear" w:color="auto" w:fill="FFFFFF"/>
          <w:lang w:bidi="ar"/>
        </w:rPr>
        <w:t xml:space="preserve"> 卫生健康支出（210）行政事业单位医疗（11）事业单位医疗（02）:指反映财政部门集中安排的行政单位基本医疗保险经费，未参加医疗保险的行政单位的公费医疗经费，按国家规定享受离休人员、老红军战士待遇人员的医疗经费。</w:t>
      </w:r>
    </w:p>
    <w:p w14:paraId="20BA315B">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13.</w:t>
      </w:r>
      <w:r>
        <w:rPr>
          <w:rFonts w:hint="eastAsia" w:ascii="仿宋_GB2312" w:hAnsi="sans-serif" w:eastAsia="仿宋_GB2312" w:cs="仿宋_GB2312"/>
          <w:color w:val="000000"/>
          <w:kern w:val="0"/>
          <w:sz w:val="32"/>
          <w:szCs w:val="32"/>
          <w:shd w:val="clear" w:color="auto" w:fill="FFFFFF"/>
          <w:lang w:bidi="ar"/>
        </w:rPr>
        <w:t xml:space="preserve"> 卫生健康支出（210）行政事业单位医疗（11）其他行政事业单位医疗支出（99）：指财政部门集中安排的公务员医疗补助。</w:t>
      </w:r>
    </w:p>
    <w:p w14:paraId="1814C364">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14.</w:t>
      </w:r>
      <w:r>
        <w:rPr>
          <w:rFonts w:hint="eastAsia" w:ascii="仿宋_GB2312" w:hAnsi="sans-serif" w:eastAsia="仿宋_GB2312" w:cs="仿宋_GB2312"/>
          <w:color w:val="000000"/>
          <w:kern w:val="0"/>
          <w:sz w:val="32"/>
          <w:szCs w:val="32"/>
          <w:shd w:val="clear" w:color="auto" w:fill="FFFFFF"/>
          <w:lang w:bidi="ar"/>
        </w:rPr>
        <w:t xml:space="preserve"> 住房保障支出（221）住房改革支出（02）住房公积金（01）：指行政事业单位按人力资源和社会保障部、财政部规定的基本工资和津补贴依规定比例为职工缴纳住房公积金。</w:t>
      </w:r>
    </w:p>
    <w:p w14:paraId="6F2A688E">
      <w:pPr>
        <w:spacing w:line="560" w:lineRule="exact"/>
        <w:ind w:firstLine="640"/>
        <w:rPr>
          <w:rFonts w:eastAsia="仿宋_GB2312" w:cs="仿宋_GB2312"/>
          <w:sz w:val="32"/>
          <w:szCs w:val="32"/>
        </w:rPr>
      </w:pPr>
      <w:r>
        <w:rPr>
          <w:rFonts w:hint="eastAsia" w:ascii="Times New Roman" w:hAnsi="Times New Roman" w:eastAsia="仿宋_GB2312" w:cs="仿宋_GB2312"/>
          <w:b/>
          <w:bCs/>
          <w:sz w:val="32"/>
          <w:szCs w:val="32"/>
          <w:lang w:bidi="ar"/>
        </w:rPr>
        <w:t>（注：解释本部门决算报表中涉及的全部功能分类科目至项级，不涉及的科目请自行删除。请参照《</w:t>
      </w:r>
      <w:r>
        <w:rPr>
          <w:rFonts w:ascii="Times New Roman" w:hAnsi="Times New Roman" w:eastAsia="仿宋_GB2312" w:cs="仿宋_GB2312"/>
          <w:b/>
          <w:bCs/>
          <w:sz w:val="32"/>
          <w:szCs w:val="32"/>
          <w:lang w:bidi="ar"/>
        </w:rPr>
        <w:t>2025</w:t>
      </w:r>
      <w:r>
        <w:rPr>
          <w:rFonts w:hint="eastAsia" w:ascii="Times New Roman" w:hAnsi="Times New Roman" w:eastAsia="仿宋_GB2312" w:cs="仿宋_GB2312"/>
          <w:b/>
          <w:bCs/>
          <w:sz w:val="32"/>
          <w:szCs w:val="32"/>
          <w:lang w:bidi="ar"/>
        </w:rPr>
        <w:t>年政府收支分类科目》增减内容）</w:t>
      </w:r>
    </w:p>
    <w:p w14:paraId="03EC3DEC">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15.</w:t>
      </w:r>
      <w:r>
        <w:rPr>
          <w:rFonts w:hint="eastAsia" w:ascii="Times New Roman" w:hAnsi="Times New Roman" w:eastAsia="仿宋_GB2312" w:cs="仿宋_GB2312"/>
          <w:sz w:val="32"/>
          <w:szCs w:val="32"/>
          <w:lang w:bidi="ar"/>
        </w:rPr>
        <w:t>基本支出：指为保障机构正常运转、完成日常工作任务而发生的人员支出和公用支出。</w:t>
      </w:r>
    </w:p>
    <w:p w14:paraId="5764EB1C">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16.</w:t>
      </w:r>
      <w:r>
        <w:rPr>
          <w:rFonts w:hint="eastAsia" w:ascii="Times New Roman" w:hAnsi="Times New Roman" w:eastAsia="仿宋_GB2312" w:cs="仿宋_GB2312"/>
          <w:sz w:val="32"/>
          <w:szCs w:val="32"/>
          <w:lang w:bidi="ar"/>
        </w:rPr>
        <w:t>项目支出：指在基本支出之外为完成特定行政任务和事业发展目标所发生的支出。</w:t>
      </w:r>
      <w:r>
        <w:rPr>
          <w:rFonts w:ascii="Times New Roman" w:hAnsi="Times New Roman" w:eastAsia="仿宋_GB2312" w:cs="仿宋_GB2312"/>
          <w:sz w:val="32"/>
          <w:szCs w:val="32"/>
          <w:lang w:bidi="ar"/>
        </w:rPr>
        <w:t xml:space="preserve"> </w:t>
      </w:r>
    </w:p>
    <w:p w14:paraId="10D0FB74">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17.</w:t>
      </w:r>
      <w:r>
        <w:rPr>
          <w:rFonts w:hint="eastAsia" w:ascii="Times New Roman" w:hAnsi="Times New Roman" w:eastAsia="仿宋_GB2312" w:cs="仿宋_GB2312"/>
          <w:sz w:val="32"/>
          <w:szCs w:val="32"/>
          <w:lang w:bidi="ar"/>
        </w:rPr>
        <w:t>经营支出：指事业单位在专业业务活动及其辅助活动之外开展非独立核算经营活动发生的支出。</w:t>
      </w:r>
    </w:p>
    <w:p w14:paraId="08F8890E">
      <w:pPr>
        <w:spacing w:line="560" w:lineRule="exact"/>
        <w:ind w:firstLine="640"/>
        <w:rPr>
          <w:rFonts w:eastAsia="仿宋_GB2312" w:cs="仿宋_GB2312"/>
          <w:sz w:val="32"/>
          <w:szCs w:val="32"/>
        </w:rPr>
      </w:pPr>
      <w:r>
        <w:rPr>
          <w:rFonts w:ascii="Times New Roman" w:hAnsi="Times New Roman" w:eastAsia="仿宋_GB2312" w:cs="仿宋_GB2312"/>
          <w:sz w:val="32"/>
          <w:szCs w:val="32"/>
          <w:lang w:bidi="ar"/>
        </w:rPr>
        <w:t>18.</w:t>
      </w:r>
      <w:r>
        <w:rPr>
          <w:rFonts w:hint="eastAsia" w:ascii="Times New Roman" w:hAnsi="Times New Roman" w:eastAsia="仿宋_GB2312" w:cs="仿宋_GB2312"/>
          <w:sz w:val="32"/>
          <w:szCs w:val="32"/>
          <w:lang w:bidi="ar"/>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1B77820">
      <w:pPr>
        <w:spacing w:line="560" w:lineRule="exact"/>
        <w:ind w:firstLine="640"/>
        <w:rPr>
          <w:rFonts w:hint="eastAsia" w:eastAsia="仿宋_GB2312" w:cs="仿宋_GB2312"/>
          <w:sz w:val="32"/>
          <w:szCs w:val="32"/>
        </w:rPr>
      </w:pPr>
      <w:r>
        <w:rPr>
          <w:rFonts w:ascii="Times New Roman" w:hAnsi="Times New Roman" w:eastAsia="仿宋_GB2312" w:cs="仿宋_GB2312"/>
          <w:sz w:val="32"/>
          <w:szCs w:val="32"/>
          <w:lang w:bidi="ar"/>
        </w:rPr>
        <w:t>19.</w:t>
      </w:r>
      <w:r>
        <w:rPr>
          <w:rFonts w:hint="eastAsia" w:ascii="Times New Roman" w:hAnsi="Times New Roman" w:eastAsia="仿宋_GB2312" w:cs="仿宋_GB2312"/>
          <w:sz w:val="32"/>
          <w:szCs w:val="32"/>
          <w:lang w:bidi="ar"/>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F4DF2DF">
      <w:pPr>
        <w:spacing w:line="560" w:lineRule="exact"/>
        <w:ind w:firstLine="640"/>
        <w:rPr>
          <w:rFonts w:eastAsia="仿宋_GB2312" w:cs="仿宋_GB2312"/>
          <w:b/>
          <w:bCs/>
          <w:sz w:val="32"/>
          <w:szCs w:val="32"/>
        </w:rPr>
      </w:pPr>
      <w:r>
        <w:rPr>
          <w:rFonts w:hint="eastAsia" w:ascii="Times New Roman" w:hAnsi="Times New Roman" w:eastAsia="仿宋_GB2312" w:cs="仿宋_GB2312"/>
          <w:b/>
          <w:bCs/>
          <w:sz w:val="32"/>
          <w:szCs w:val="32"/>
          <w:lang w:bidi="ar"/>
        </w:rPr>
        <w:t>（注：名词解释部分请根据各部门实际列支情况罗列，并根据本部门职责职能增减名词解释内容）</w:t>
      </w:r>
    </w:p>
    <w:p w14:paraId="36FF4C15">
      <w:pPr>
        <w:spacing w:line="560" w:lineRule="exact"/>
        <w:jc w:val="center"/>
        <w:rPr>
          <w:rFonts w:eastAsia="黑体"/>
          <w:bCs/>
          <w:sz w:val="44"/>
          <w:szCs w:val="44"/>
        </w:rPr>
      </w:pPr>
      <w:r>
        <w:rPr>
          <w:rFonts w:ascii="Times New Roman" w:hAnsi="Times New Roman" w:eastAsia="仿宋_GB2312" w:cs="仿宋_GB2312"/>
          <w:sz w:val="32"/>
          <w:szCs w:val="32"/>
          <w:lang w:bidi="ar"/>
        </w:rPr>
        <w:br w:type="page"/>
      </w:r>
      <w:bookmarkStart w:id="45" w:name="_Toc15396614"/>
      <w:bookmarkStart w:id="46" w:name="_Toc15377226"/>
      <w:r>
        <w:rPr>
          <w:rFonts w:hint="eastAsia" w:ascii="Times New Roman" w:hAnsi="Times New Roman" w:eastAsia="黑体" w:cs="黑体"/>
          <w:sz w:val="44"/>
          <w:szCs w:val="44"/>
          <w:lang w:bidi="ar"/>
        </w:rPr>
        <w:t>第四部分</w:t>
      </w:r>
      <w:r>
        <w:rPr>
          <w:rFonts w:ascii="Times New Roman" w:hAnsi="Times New Roman" w:eastAsia="黑体" w:cs="Times New Roman"/>
          <w:sz w:val="44"/>
          <w:szCs w:val="44"/>
          <w:lang w:bidi="ar"/>
        </w:rPr>
        <w:t xml:space="preserve">  </w:t>
      </w:r>
      <w:r>
        <w:rPr>
          <w:rFonts w:hint="eastAsia" w:ascii="Times New Roman" w:hAnsi="Times New Roman" w:eastAsia="黑体" w:cs="黑体"/>
          <w:sz w:val="44"/>
          <w:szCs w:val="44"/>
          <w:lang w:bidi="ar"/>
        </w:rPr>
        <w:t>附件</w:t>
      </w:r>
      <w:bookmarkEnd w:id="45"/>
    </w:p>
    <w:tbl>
      <w:tblPr>
        <w:tblStyle w:val="12"/>
        <w:tblW w:w="8550" w:type="dxa"/>
        <w:tblInd w:w="108" w:type="dxa"/>
        <w:tblLayout w:type="autofit"/>
        <w:tblCellMar>
          <w:top w:w="0" w:type="dxa"/>
          <w:left w:w="108" w:type="dxa"/>
          <w:bottom w:w="0" w:type="dxa"/>
          <w:right w:w="108" w:type="dxa"/>
        </w:tblCellMar>
      </w:tblPr>
      <w:tblGrid>
        <w:gridCol w:w="996"/>
        <w:gridCol w:w="1080"/>
        <w:gridCol w:w="1166"/>
        <w:gridCol w:w="1633"/>
        <w:gridCol w:w="1032"/>
        <w:gridCol w:w="1008"/>
        <w:gridCol w:w="948"/>
        <w:gridCol w:w="687"/>
      </w:tblGrid>
      <w:tr w14:paraId="6D706576">
        <w:tblPrEx>
          <w:tblCellMar>
            <w:top w:w="0" w:type="dxa"/>
            <w:left w:w="108" w:type="dxa"/>
            <w:bottom w:w="0" w:type="dxa"/>
            <w:right w:w="108" w:type="dxa"/>
          </w:tblCellMar>
        </w:tblPrEx>
        <w:trPr>
          <w:trHeight w:val="930" w:hRule="atLeast"/>
        </w:trPr>
        <w:tc>
          <w:tcPr>
            <w:tcW w:w="8550" w:type="dxa"/>
            <w:gridSpan w:val="8"/>
            <w:tcBorders>
              <w:top w:val="nil"/>
              <w:left w:val="nil"/>
              <w:bottom w:val="nil"/>
              <w:right w:val="nil"/>
            </w:tcBorders>
            <w:shd w:val="clear" w:color="auto" w:fill="auto"/>
            <w:vAlign w:val="center"/>
          </w:tcPr>
          <w:p w14:paraId="3EB629DA">
            <w:pPr>
              <w:widowControl/>
              <w:jc w:val="center"/>
              <w:rPr>
                <w:rFonts w:ascii="黑体" w:hAnsi="黑体" w:eastAsia="黑体" w:cs="宋体"/>
                <w:color w:val="000000"/>
                <w:kern w:val="0"/>
                <w:sz w:val="30"/>
                <w:szCs w:val="30"/>
              </w:rPr>
            </w:pPr>
            <w:r>
              <w:rPr>
                <w:rFonts w:hint="eastAsia" w:ascii="黑体" w:hAnsi="黑体" w:eastAsia="黑体" w:cs="宋体"/>
                <w:color w:val="000000"/>
                <w:kern w:val="0"/>
                <w:sz w:val="30"/>
                <w:szCs w:val="30"/>
              </w:rPr>
              <w:t>部门整体支出绩效目标表</w:t>
            </w:r>
          </w:p>
        </w:tc>
      </w:tr>
      <w:tr w14:paraId="445037AF">
        <w:tblPrEx>
          <w:tblCellMar>
            <w:top w:w="0" w:type="dxa"/>
            <w:left w:w="108" w:type="dxa"/>
            <w:bottom w:w="0" w:type="dxa"/>
            <w:right w:w="108" w:type="dxa"/>
          </w:tblCellMar>
        </w:tblPrEx>
        <w:trPr>
          <w:trHeight w:val="293" w:hRule="atLeast"/>
        </w:trPr>
        <w:tc>
          <w:tcPr>
            <w:tcW w:w="8550" w:type="dxa"/>
            <w:gridSpan w:val="8"/>
            <w:tcBorders>
              <w:top w:val="nil"/>
              <w:left w:val="nil"/>
              <w:bottom w:val="nil"/>
              <w:right w:val="nil"/>
            </w:tcBorders>
            <w:shd w:val="clear" w:color="auto" w:fill="auto"/>
            <w:vAlign w:val="center"/>
          </w:tcPr>
          <w:p w14:paraId="0BF154D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（2025年度）</w:t>
            </w:r>
          </w:p>
        </w:tc>
      </w:tr>
      <w:tr w14:paraId="2B57976E">
        <w:tblPrEx>
          <w:tblCellMar>
            <w:top w:w="0" w:type="dxa"/>
            <w:left w:w="108" w:type="dxa"/>
            <w:bottom w:w="0" w:type="dxa"/>
            <w:right w:w="108" w:type="dxa"/>
          </w:tblCellMar>
        </w:tblPrEx>
        <w:trPr>
          <w:trHeight w:val="293" w:hRule="atLeast"/>
        </w:trPr>
        <w:tc>
          <w:tcPr>
            <w:tcW w:w="8550" w:type="dxa"/>
            <w:gridSpan w:val="8"/>
            <w:tcBorders>
              <w:top w:val="nil"/>
              <w:left w:val="nil"/>
              <w:bottom w:val="single" w:color="000000" w:sz="4" w:space="0"/>
              <w:right w:val="nil"/>
            </w:tcBorders>
            <w:shd w:val="clear" w:color="auto" w:fill="auto"/>
            <w:vAlign w:val="center"/>
          </w:tcPr>
          <w:p w14:paraId="54751947">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金额单位：万元</w:t>
            </w:r>
          </w:p>
        </w:tc>
      </w:tr>
      <w:tr w14:paraId="600BB5BD">
        <w:tblPrEx>
          <w:tblCellMar>
            <w:top w:w="0" w:type="dxa"/>
            <w:left w:w="108" w:type="dxa"/>
            <w:bottom w:w="0" w:type="dxa"/>
            <w:right w:w="108" w:type="dxa"/>
          </w:tblCellMar>
        </w:tblPrEx>
        <w:trPr>
          <w:trHeight w:val="586" w:hRule="atLeast"/>
        </w:trPr>
        <w:tc>
          <w:tcPr>
            <w:tcW w:w="324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91A3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部门名称</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50C113">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勿角镇政府部门</w:t>
            </w:r>
          </w:p>
        </w:tc>
      </w:tr>
      <w:tr w14:paraId="43621F5E">
        <w:tblPrEx>
          <w:tblCellMar>
            <w:top w:w="0" w:type="dxa"/>
            <w:left w:w="108" w:type="dxa"/>
            <w:bottom w:w="0" w:type="dxa"/>
            <w:right w:w="108" w:type="dxa"/>
          </w:tblCellMar>
        </w:tblPrEx>
        <w:trPr>
          <w:trHeight w:val="409" w:hRule="atLeast"/>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80A92">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年度部门整体支出预算</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A66F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资金总额</w:t>
            </w:r>
          </w:p>
        </w:tc>
        <w:tc>
          <w:tcPr>
            <w:tcW w:w="2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E03F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财政拨款</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A6DC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r>
      <w:tr w14:paraId="0686EBF4">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265A3C48">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7558B">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1,257.91</w:t>
            </w:r>
          </w:p>
        </w:tc>
        <w:tc>
          <w:tcPr>
            <w:tcW w:w="2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9A8F5">
            <w:pPr>
              <w:widowControl/>
              <w:jc w:val="right"/>
              <w:rPr>
                <w:rFonts w:ascii="宋体" w:hAnsi="宋体" w:eastAsia="宋体" w:cs="宋体"/>
                <w:color w:val="000000"/>
                <w:kern w:val="0"/>
                <w:sz w:val="18"/>
                <w:szCs w:val="18"/>
              </w:rPr>
            </w:pPr>
            <w:r>
              <w:rPr>
                <w:rFonts w:hint="eastAsia" w:ascii="宋体" w:hAnsi="宋体" w:eastAsia="宋体" w:cs="宋体"/>
                <w:color w:val="000000"/>
                <w:kern w:val="0"/>
                <w:sz w:val="18"/>
                <w:szCs w:val="18"/>
              </w:rPr>
              <w:t>1,257.91</w:t>
            </w:r>
          </w:p>
        </w:tc>
        <w:tc>
          <w:tcPr>
            <w:tcW w:w="26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3BBC3">
            <w:pPr>
              <w:widowControl/>
              <w:jc w:val="right"/>
              <w:rPr>
                <w:rFonts w:ascii="宋体" w:hAnsi="宋体" w:eastAsia="宋体" w:cs="宋体"/>
                <w:color w:val="000000"/>
                <w:kern w:val="0"/>
                <w:sz w:val="18"/>
                <w:szCs w:val="18"/>
              </w:rPr>
            </w:pPr>
          </w:p>
        </w:tc>
      </w:tr>
      <w:tr w14:paraId="3E175933">
        <w:tblPrEx>
          <w:tblCellMar>
            <w:top w:w="0" w:type="dxa"/>
            <w:left w:w="108" w:type="dxa"/>
            <w:bottom w:w="0" w:type="dxa"/>
            <w:right w:w="108" w:type="dxa"/>
          </w:tblCellMar>
        </w:tblPrEx>
        <w:trPr>
          <w:trHeight w:val="1177" w:hRule="atLeast"/>
        </w:trPr>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A76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年度总体目标</w:t>
            </w:r>
          </w:p>
        </w:tc>
        <w:tc>
          <w:tcPr>
            <w:tcW w:w="755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D20603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职工工资福利、社会保险及住房公积金。2、日常公用经费满足日常工作正常运行。3、基层组织和公共服务运行经费，勿角8个行政村运行开展工作经费。4、食堂采购物资、厨师工资等，乡镇机关食堂伙食补助是为了满足乡镇基层工作人员伙食问题，能够提高基层工作人员的归属感和满意度，能够更好地为群众服务。5、持续深化全镇人大武装纪委群团安全工作常态化开展，为推动全镇经济、政治、文化、社会全面协调发展做出新贡献。</w:t>
            </w:r>
          </w:p>
        </w:tc>
      </w:tr>
      <w:tr w14:paraId="32620E01">
        <w:tblPrEx>
          <w:tblCellMar>
            <w:top w:w="0" w:type="dxa"/>
            <w:left w:w="108" w:type="dxa"/>
            <w:bottom w:w="0" w:type="dxa"/>
            <w:right w:w="108" w:type="dxa"/>
          </w:tblCellMar>
        </w:tblPrEx>
        <w:trPr>
          <w:trHeight w:val="586" w:hRule="atLeast"/>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5C23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年度主要任务</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84C6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任务名称</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592EB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主要内容</w:t>
            </w:r>
          </w:p>
        </w:tc>
      </w:tr>
      <w:tr w14:paraId="6CCFD328">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76C008F0">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3E87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食堂伙食补助经费</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99A15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食堂采购物资、厨师工资等</w:t>
            </w:r>
          </w:p>
        </w:tc>
      </w:tr>
      <w:tr w14:paraId="6EE13576">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7BE4A116">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04B71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职工工资福利、社会保险及住房公积金</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EFB43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在职职工工资福利、社会保险及住房公积金</w:t>
            </w:r>
          </w:p>
        </w:tc>
      </w:tr>
      <w:tr w14:paraId="10CC558D">
        <w:tblPrEx>
          <w:tblCellMar>
            <w:top w:w="0" w:type="dxa"/>
            <w:left w:w="108" w:type="dxa"/>
            <w:bottom w:w="0" w:type="dxa"/>
            <w:right w:w="108" w:type="dxa"/>
          </w:tblCellMar>
        </w:tblPrEx>
        <w:trPr>
          <w:trHeight w:val="419"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50CCD266">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B0677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日常公用经费</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7F682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办公费、差旅费、车辆运行维护费等日常公用经费</w:t>
            </w:r>
          </w:p>
        </w:tc>
      </w:tr>
      <w:tr w14:paraId="05F6FFC5">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09FAB58D">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3A5F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基本民生-村级公共服务经费补助</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D289A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勿角镇8个行政村运行开展工作经费</w:t>
            </w:r>
          </w:p>
        </w:tc>
      </w:tr>
      <w:tr w14:paraId="01E6DF8F">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6FBEDC0A">
            <w:pPr>
              <w:widowControl/>
              <w:jc w:val="left"/>
              <w:rPr>
                <w:rFonts w:ascii="宋体" w:hAnsi="宋体" w:eastAsia="宋体" w:cs="宋体"/>
                <w:color w:val="000000"/>
                <w:kern w:val="0"/>
                <w:sz w:val="18"/>
                <w:szCs w:val="18"/>
              </w:rPr>
            </w:pP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C63A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人大武装纪委群团安全工作经费</w:t>
            </w:r>
          </w:p>
        </w:tc>
        <w:tc>
          <w:tcPr>
            <w:tcW w:w="530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5870A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持续深化全镇人大武装纪委群团安全工作常态化开展，为推动全镇经济、政治、文化、社会全面协调发展做出新贡献。</w:t>
            </w:r>
          </w:p>
        </w:tc>
      </w:tr>
      <w:tr w14:paraId="6B482D20">
        <w:tblPrEx>
          <w:tblCellMar>
            <w:top w:w="0" w:type="dxa"/>
            <w:left w:w="108" w:type="dxa"/>
            <w:bottom w:w="0" w:type="dxa"/>
            <w:right w:w="108" w:type="dxa"/>
          </w:tblCellMar>
        </w:tblPrEx>
        <w:trPr>
          <w:trHeight w:val="586" w:hRule="atLeast"/>
        </w:trPr>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B347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年度绩效指标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5F9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3B0F">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9D6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EC1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绩效指标性质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D62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绩效指标值</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0E3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绩效度量单位</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4972B">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权重</w:t>
            </w:r>
          </w:p>
        </w:tc>
      </w:tr>
      <w:tr w14:paraId="5D815991">
        <w:tblPrEx>
          <w:tblCellMar>
            <w:top w:w="0" w:type="dxa"/>
            <w:left w:w="108" w:type="dxa"/>
            <w:bottom w:w="0" w:type="dxa"/>
            <w:right w:w="108" w:type="dxa"/>
          </w:tblCellMar>
        </w:tblPrEx>
        <w:trPr>
          <w:trHeight w:val="455"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4AF82307">
            <w:pPr>
              <w:widowControl/>
              <w:jc w:val="left"/>
              <w:rPr>
                <w:rFonts w:ascii="宋体" w:hAnsi="宋体" w:eastAsia="宋体" w:cs="宋体"/>
                <w:color w:val="000000"/>
                <w:kern w:val="0"/>
                <w:sz w:val="18"/>
                <w:szCs w:val="18"/>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4ADD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EDD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数量指标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678C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工资发放人数</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CB1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44EE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45</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203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人</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08A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r>
      <w:tr w14:paraId="6C5DD029">
        <w:tblPrEx>
          <w:tblCellMar>
            <w:top w:w="0" w:type="dxa"/>
            <w:left w:w="108" w:type="dxa"/>
            <w:bottom w:w="0" w:type="dxa"/>
            <w:right w:w="108" w:type="dxa"/>
          </w:tblCellMar>
        </w:tblPrEx>
        <w:trPr>
          <w:trHeight w:val="419"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4655FA86">
            <w:pPr>
              <w:widowControl/>
              <w:jc w:val="left"/>
              <w:rPr>
                <w:rFonts w:ascii="宋体" w:hAnsi="宋体" w:eastAsia="宋体" w:cs="宋体"/>
                <w:color w:val="000000"/>
                <w:kern w:val="0"/>
                <w:sz w:val="18"/>
                <w:szCs w:val="18"/>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6B78C144">
            <w:pPr>
              <w:widowControl/>
              <w:jc w:val="left"/>
              <w:rPr>
                <w:rFonts w:ascii="宋体" w:hAnsi="宋体" w:eastAsia="宋体" w:cs="宋体"/>
                <w:color w:val="000000"/>
                <w:kern w:val="0"/>
                <w:sz w:val="18"/>
                <w:szCs w:val="18"/>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B3EB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质量指标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093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工作完成质量</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083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定性</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67F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合格</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7932">
            <w:pPr>
              <w:widowControl/>
              <w:jc w:val="left"/>
              <w:rPr>
                <w:rFonts w:ascii="宋体" w:hAnsi="宋体" w:eastAsia="宋体" w:cs="宋体"/>
                <w:color w:val="000000"/>
                <w:kern w:val="0"/>
                <w:sz w:val="18"/>
                <w:szCs w:val="18"/>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66C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r>
      <w:tr w14:paraId="21B6629F">
        <w:tblPrEx>
          <w:tblCellMar>
            <w:top w:w="0" w:type="dxa"/>
            <w:left w:w="108" w:type="dxa"/>
            <w:bottom w:w="0" w:type="dxa"/>
            <w:right w:w="108" w:type="dxa"/>
          </w:tblCellMar>
        </w:tblPrEx>
        <w:trPr>
          <w:trHeight w:val="411"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66079600">
            <w:pPr>
              <w:widowControl/>
              <w:jc w:val="left"/>
              <w:rPr>
                <w:rFonts w:ascii="宋体" w:hAnsi="宋体" w:eastAsia="宋体" w:cs="宋体"/>
                <w:color w:val="000000"/>
                <w:kern w:val="0"/>
                <w:sz w:val="18"/>
                <w:szCs w:val="18"/>
              </w:rPr>
            </w:pPr>
          </w:p>
        </w:tc>
        <w:tc>
          <w:tcPr>
            <w:tcW w:w="1080" w:type="dxa"/>
            <w:vMerge w:val="continue"/>
            <w:tcBorders>
              <w:top w:val="single" w:color="000000" w:sz="4" w:space="0"/>
              <w:left w:val="single" w:color="000000" w:sz="4" w:space="0"/>
              <w:bottom w:val="single" w:color="000000" w:sz="4" w:space="0"/>
              <w:right w:val="single" w:color="000000" w:sz="4" w:space="0"/>
            </w:tcBorders>
            <w:vAlign w:val="center"/>
          </w:tcPr>
          <w:p w14:paraId="4C12676C">
            <w:pPr>
              <w:widowControl/>
              <w:jc w:val="left"/>
              <w:rPr>
                <w:rFonts w:ascii="宋体" w:hAnsi="宋体" w:eastAsia="宋体" w:cs="宋体"/>
                <w:color w:val="000000"/>
                <w:kern w:val="0"/>
                <w:sz w:val="18"/>
                <w:szCs w:val="18"/>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89E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时效指标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48F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项目完成时间</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F150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762E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D15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年</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E267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r>
      <w:tr w14:paraId="48EED162">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6CF23ADC">
            <w:pPr>
              <w:widowControl/>
              <w:jc w:val="left"/>
              <w:rPr>
                <w:rFonts w:ascii="宋体" w:hAnsi="宋体" w:eastAsia="宋体" w:cs="宋体"/>
                <w:color w:val="000000"/>
                <w:kern w:val="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069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F255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社会效益指标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AF23">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全镇工作正常有序开展</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B4D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定性</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A83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优</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5FCF">
            <w:pPr>
              <w:widowControl/>
              <w:jc w:val="left"/>
              <w:rPr>
                <w:rFonts w:ascii="宋体" w:hAnsi="宋体" w:eastAsia="宋体" w:cs="宋体"/>
                <w:color w:val="000000"/>
                <w:kern w:val="0"/>
                <w:sz w:val="18"/>
                <w:szCs w:val="18"/>
              </w:rPr>
            </w:pP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85E8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r>
      <w:tr w14:paraId="26CE4822">
        <w:tblPrEx>
          <w:tblCellMar>
            <w:top w:w="0" w:type="dxa"/>
            <w:left w:w="108" w:type="dxa"/>
            <w:bottom w:w="0" w:type="dxa"/>
            <w:right w:w="108" w:type="dxa"/>
          </w:tblCellMar>
        </w:tblPrEx>
        <w:trPr>
          <w:trHeight w:val="586"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0CE377DE">
            <w:pPr>
              <w:widowControl/>
              <w:jc w:val="left"/>
              <w:rPr>
                <w:rFonts w:ascii="宋体" w:hAnsi="宋体" w:eastAsia="宋体" w:cs="宋体"/>
                <w:color w:val="000000"/>
                <w:kern w:val="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3C4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6D48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服务对象满意度指标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3C7A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受益人员满意度</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73F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8EF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6BF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6CF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10</w:t>
            </w:r>
          </w:p>
        </w:tc>
      </w:tr>
      <w:tr w14:paraId="4D33C8BF">
        <w:tblPrEx>
          <w:tblCellMar>
            <w:top w:w="0" w:type="dxa"/>
            <w:left w:w="108" w:type="dxa"/>
            <w:bottom w:w="0" w:type="dxa"/>
            <w:right w:w="108" w:type="dxa"/>
          </w:tblCellMar>
        </w:tblPrEx>
        <w:trPr>
          <w:trHeight w:val="435" w:hRule="atLeast"/>
        </w:trPr>
        <w:tc>
          <w:tcPr>
            <w:tcW w:w="996" w:type="dxa"/>
            <w:vMerge w:val="continue"/>
            <w:tcBorders>
              <w:top w:val="single" w:color="000000" w:sz="4" w:space="0"/>
              <w:left w:val="single" w:color="000000" w:sz="4" w:space="0"/>
              <w:bottom w:val="single" w:color="000000" w:sz="4" w:space="0"/>
              <w:right w:val="single" w:color="000000" w:sz="4" w:space="0"/>
            </w:tcBorders>
            <w:vAlign w:val="center"/>
          </w:tcPr>
          <w:p w14:paraId="52B1FD7E">
            <w:pPr>
              <w:widowControl/>
              <w:jc w:val="left"/>
              <w:rPr>
                <w:rFonts w:ascii="宋体" w:hAnsi="宋体" w:eastAsia="宋体" w:cs="宋体"/>
                <w:color w:val="000000"/>
                <w:kern w:val="0"/>
                <w:sz w:val="18"/>
                <w:szCs w:val="18"/>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6AD0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DE3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经济成本指标</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08E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2025年运转成本</w:t>
            </w:r>
          </w:p>
        </w:tc>
        <w:tc>
          <w:tcPr>
            <w:tcW w:w="10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3316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173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1300</w:t>
            </w:r>
          </w:p>
        </w:tc>
        <w:tc>
          <w:tcPr>
            <w:tcW w:w="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8EBD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万元</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BCE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20</w:t>
            </w:r>
          </w:p>
        </w:tc>
      </w:tr>
    </w:tbl>
    <w:p w14:paraId="40728FC4">
      <w:pPr>
        <w:widowControl/>
        <w:spacing w:line="560" w:lineRule="exact"/>
        <w:jc w:val="center"/>
        <w:rPr>
          <w:rFonts w:eastAsia="仿宋"/>
        </w:rPr>
      </w:pPr>
      <w:bookmarkStart w:id="47" w:name="_Toc15396618"/>
      <w:r>
        <w:rPr>
          <w:rFonts w:hint="eastAsia" w:ascii="Times New Roman" w:hAnsi="Times New Roman" w:eastAsia="黑体" w:cs="黑体"/>
          <w:sz w:val="44"/>
          <w:szCs w:val="44"/>
          <w:lang w:bidi="ar"/>
        </w:rPr>
        <w:t>第</w:t>
      </w:r>
      <w:r>
        <w:rPr>
          <w:rStyle w:val="20"/>
          <w:rFonts w:hint="eastAsia" w:ascii="Times New Roman" w:hAnsi="Times New Roman" w:eastAsia="黑体" w:cs="黑体"/>
          <w:lang w:bidi="ar"/>
        </w:rPr>
        <w:t>五部分</w:t>
      </w:r>
      <w:r>
        <w:rPr>
          <w:rStyle w:val="20"/>
          <w:rFonts w:ascii="Times New Roman" w:hAnsi="Times New Roman" w:eastAsia="黑体" w:cs="Times New Roman"/>
          <w:lang w:bidi="ar"/>
        </w:rPr>
        <w:t xml:space="preserve"> </w:t>
      </w:r>
      <w:r>
        <w:rPr>
          <w:rStyle w:val="20"/>
          <w:rFonts w:hint="eastAsia" w:ascii="Times New Roman" w:hAnsi="Times New Roman" w:eastAsia="黑体" w:cs="黑体"/>
          <w:lang w:bidi="ar"/>
        </w:rPr>
        <w:t>附表</w:t>
      </w:r>
      <w:bookmarkEnd w:id="46"/>
      <w:bookmarkEnd w:id="47"/>
      <w:bookmarkStart w:id="48" w:name="_Toc15396619"/>
    </w:p>
    <w:p w14:paraId="31FC228C">
      <w:pPr>
        <w:pStyle w:val="10"/>
        <w:tabs>
          <w:tab w:val="right" w:leader="dot" w:pos="8296"/>
        </w:tabs>
        <w:adjustRightInd w:val="0"/>
        <w:snapToGrid w:val="0"/>
        <w:spacing w:line="560" w:lineRule="exact"/>
        <w:ind w:left="420" w:leftChars="200"/>
        <w:jc w:val="left"/>
        <w:rPr>
          <w:rFonts w:eastAsia="仿宋_GB2312" w:cs="仿宋_GB2312"/>
          <w:sz w:val="32"/>
          <w:szCs w:val="32"/>
        </w:rPr>
      </w:pPr>
    </w:p>
    <w:p w14:paraId="451C57FC">
      <w:pPr>
        <w:pStyle w:val="10"/>
        <w:tabs>
          <w:tab w:val="right" w:leader="dot" w:pos="8296"/>
        </w:tabs>
        <w:adjustRightInd w:val="0"/>
        <w:snapToGrid w:val="0"/>
        <w:spacing w:line="560" w:lineRule="exact"/>
        <w:ind w:left="420" w:leftChars="200"/>
        <w:jc w:val="left"/>
        <w:rPr>
          <w:rFonts w:eastAsia="仿宋_GB2312" w:cs="仿宋_GB2312"/>
          <w:sz w:val="32"/>
          <w:szCs w:val="32"/>
        </w:rPr>
      </w:pPr>
      <w:r>
        <w:rPr>
          <w:rFonts w:hint="eastAsia" w:ascii="Times New Roman" w:hAnsi="Times New Roman" w:eastAsia="仿宋_GB2312" w:cs="仿宋_GB2312"/>
          <w:sz w:val="32"/>
          <w:szCs w:val="32"/>
          <w:lang w:bidi="ar"/>
        </w:rPr>
        <w:t>一、收入支出决算总表</w:t>
      </w:r>
      <w:bookmarkEnd w:id="48"/>
    </w:p>
    <w:p w14:paraId="29D390E6">
      <w:pPr>
        <w:pStyle w:val="10"/>
        <w:tabs>
          <w:tab w:val="right" w:leader="dot" w:pos="8296"/>
        </w:tabs>
        <w:adjustRightInd w:val="0"/>
        <w:snapToGrid w:val="0"/>
        <w:spacing w:line="560" w:lineRule="exact"/>
        <w:ind w:left="420" w:leftChars="200"/>
        <w:jc w:val="left"/>
        <w:rPr>
          <w:rFonts w:eastAsia="仿宋_GB2312" w:cs="仿宋_GB2312"/>
          <w:sz w:val="32"/>
          <w:szCs w:val="32"/>
        </w:rPr>
      </w:pPr>
      <w:bookmarkStart w:id="49" w:name="_Toc15396620"/>
      <w:r>
        <w:rPr>
          <w:rFonts w:hint="eastAsia" w:ascii="Times New Roman" w:hAnsi="Times New Roman" w:eastAsia="仿宋_GB2312" w:cs="仿宋_GB2312"/>
          <w:sz w:val="32"/>
          <w:szCs w:val="32"/>
          <w:lang w:bidi="ar"/>
        </w:rPr>
        <w:t>二、收入决算表</w:t>
      </w:r>
      <w:bookmarkEnd w:id="49"/>
    </w:p>
    <w:p w14:paraId="72BC3AC0">
      <w:pPr>
        <w:pStyle w:val="10"/>
        <w:tabs>
          <w:tab w:val="right" w:leader="dot" w:pos="8296"/>
        </w:tabs>
        <w:adjustRightInd w:val="0"/>
        <w:snapToGrid w:val="0"/>
        <w:spacing w:line="560" w:lineRule="exact"/>
        <w:ind w:left="420" w:leftChars="200"/>
        <w:jc w:val="left"/>
        <w:rPr>
          <w:rFonts w:eastAsia="仿宋_GB2312" w:cs="仿宋_GB2312"/>
          <w:sz w:val="32"/>
          <w:szCs w:val="32"/>
        </w:rPr>
      </w:pPr>
      <w:bookmarkStart w:id="50" w:name="_Toc15396621"/>
      <w:r>
        <w:rPr>
          <w:rFonts w:hint="eastAsia" w:ascii="Times New Roman" w:hAnsi="Times New Roman" w:eastAsia="仿宋_GB2312" w:cs="仿宋_GB2312"/>
          <w:sz w:val="32"/>
          <w:szCs w:val="32"/>
          <w:lang w:bidi="ar"/>
        </w:rPr>
        <w:t>三、支出决算表</w:t>
      </w:r>
      <w:bookmarkEnd w:id="50"/>
    </w:p>
    <w:p w14:paraId="59113162">
      <w:pPr>
        <w:pStyle w:val="10"/>
        <w:tabs>
          <w:tab w:val="right" w:leader="dot" w:pos="8296"/>
        </w:tabs>
        <w:adjustRightInd w:val="0"/>
        <w:snapToGrid w:val="0"/>
        <w:spacing w:line="560" w:lineRule="exact"/>
        <w:ind w:left="420" w:leftChars="200"/>
        <w:jc w:val="left"/>
        <w:rPr>
          <w:rFonts w:eastAsia="仿宋_GB2312" w:cs="仿宋_GB2312"/>
          <w:sz w:val="32"/>
          <w:szCs w:val="32"/>
        </w:rPr>
      </w:pPr>
      <w:bookmarkStart w:id="51" w:name="_Toc15396622"/>
      <w:r>
        <w:rPr>
          <w:rFonts w:hint="eastAsia" w:ascii="Times New Roman" w:hAnsi="Times New Roman" w:eastAsia="仿宋_GB2312" w:cs="仿宋_GB2312"/>
          <w:sz w:val="32"/>
          <w:szCs w:val="32"/>
          <w:lang w:bidi="ar"/>
        </w:rPr>
        <w:t>四、财政拨款收入支出决算总表</w:t>
      </w:r>
      <w:bookmarkEnd w:id="51"/>
    </w:p>
    <w:p w14:paraId="1F135DB1">
      <w:pPr>
        <w:pStyle w:val="10"/>
        <w:tabs>
          <w:tab w:val="right" w:leader="dot" w:pos="8296"/>
        </w:tabs>
        <w:adjustRightInd w:val="0"/>
        <w:snapToGrid w:val="0"/>
        <w:spacing w:line="560" w:lineRule="exact"/>
        <w:ind w:left="420" w:leftChars="200"/>
        <w:jc w:val="left"/>
        <w:rPr>
          <w:rFonts w:eastAsia="仿宋_GB2312" w:cs="仿宋_GB2312"/>
          <w:sz w:val="32"/>
          <w:szCs w:val="32"/>
        </w:rPr>
      </w:pPr>
      <w:bookmarkStart w:id="52" w:name="_Toc15396623"/>
      <w:r>
        <w:rPr>
          <w:rFonts w:hint="eastAsia" w:ascii="Times New Roman" w:hAnsi="Times New Roman" w:eastAsia="仿宋_GB2312" w:cs="仿宋_GB2312"/>
          <w:sz w:val="32"/>
          <w:szCs w:val="32"/>
          <w:lang w:bidi="ar"/>
        </w:rPr>
        <w:t>五、财政拨款支出决算明细表</w:t>
      </w:r>
      <w:bookmarkEnd w:id="52"/>
      <w:bookmarkStart w:id="53" w:name="_Toc15396624"/>
    </w:p>
    <w:p w14:paraId="1BF3FC3A">
      <w:pPr>
        <w:pStyle w:val="10"/>
        <w:tabs>
          <w:tab w:val="right" w:leader="dot" w:pos="8296"/>
        </w:tabs>
        <w:adjustRightInd w:val="0"/>
        <w:snapToGrid w:val="0"/>
        <w:spacing w:line="560" w:lineRule="exact"/>
        <w:ind w:left="420" w:leftChars="200"/>
        <w:jc w:val="left"/>
        <w:rPr>
          <w:rFonts w:eastAsia="仿宋_GB2312" w:cs="仿宋_GB2312"/>
          <w:sz w:val="32"/>
          <w:szCs w:val="32"/>
        </w:rPr>
      </w:pPr>
      <w:r>
        <w:rPr>
          <w:rFonts w:hint="eastAsia" w:ascii="Times New Roman" w:hAnsi="Times New Roman" w:eastAsia="仿宋_GB2312" w:cs="仿宋_GB2312"/>
          <w:sz w:val="32"/>
          <w:szCs w:val="32"/>
          <w:lang w:bidi="ar"/>
        </w:rPr>
        <w:t>六、一般公共预算财政拨款支出决算表</w:t>
      </w:r>
      <w:bookmarkEnd w:id="53"/>
    </w:p>
    <w:p w14:paraId="149EDF99">
      <w:pPr>
        <w:pStyle w:val="10"/>
        <w:tabs>
          <w:tab w:val="right" w:leader="dot" w:pos="8296"/>
        </w:tabs>
        <w:adjustRightInd w:val="0"/>
        <w:snapToGrid w:val="0"/>
        <w:spacing w:line="560" w:lineRule="exact"/>
        <w:ind w:left="420" w:leftChars="200"/>
        <w:jc w:val="left"/>
        <w:rPr>
          <w:rFonts w:eastAsia="仿宋_GB2312" w:cs="仿宋_GB2312"/>
          <w:sz w:val="32"/>
          <w:szCs w:val="32"/>
        </w:rPr>
      </w:pPr>
      <w:bookmarkStart w:id="54" w:name="_Toc15396625"/>
      <w:r>
        <w:rPr>
          <w:rFonts w:hint="eastAsia" w:ascii="Times New Roman" w:hAnsi="Times New Roman" w:eastAsia="仿宋_GB2312" w:cs="仿宋_GB2312"/>
          <w:sz w:val="32"/>
          <w:szCs w:val="32"/>
          <w:lang w:bidi="ar"/>
        </w:rPr>
        <w:t>七、一般公共预算财政拨款支出决算明细表</w:t>
      </w:r>
      <w:bookmarkEnd w:id="54"/>
    </w:p>
    <w:p w14:paraId="13114436">
      <w:pPr>
        <w:pStyle w:val="10"/>
        <w:tabs>
          <w:tab w:val="right" w:leader="dot" w:pos="8296"/>
        </w:tabs>
        <w:adjustRightInd w:val="0"/>
        <w:snapToGrid w:val="0"/>
        <w:spacing w:line="560" w:lineRule="exact"/>
        <w:ind w:left="420" w:leftChars="200"/>
        <w:jc w:val="left"/>
        <w:rPr>
          <w:rFonts w:eastAsia="仿宋_GB2312" w:cs="仿宋_GB2312"/>
          <w:sz w:val="32"/>
          <w:szCs w:val="32"/>
        </w:rPr>
      </w:pPr>
      <w:bookmarkStart w:id="55" w:name="_Toc15396626"/>
      <w:r>
        <w:rPr>
          <w:rFonts w:hint="eastAsia" w:ascii="Times New Roman" w:hAnsi="Times New Roman" w:eastAsia="仿宋_GB2312" w:cs="仿宋_GB2312"/>
          <w:sz w:val="32"/>
          <w:szCs w:val="32"/>
          <w:lang w:bidi="ar"/>
        </w:rPr>
        <w:t>八、一般公共预算财政拨款基本支出决算表</w:t>
      </w:r>
      <w:bookmarkEnd w:id="55"/>
    </w:p>
    <w:p w14:paraId="06193562">
      <w:pPr>
        <w:pStyle w:val="10"/>
        <w:tabs>
          <w:tab w:val="right" w:leader="dot" w:pos="8296"/>
        </w:tabs>
        <w:adjustRightInd w:val="0"/>
        <w:snapToGrid w:val="0"/>
        <w:spacing w:line="560" w:lineRule="exact"/>
        <w:ind w:left="420" w:leftChars="200"/>
        <w:jc w:val="left"/>
        <w:rPr>
          <w:rFonts w:eastAsia="仿宋_GB2312" w:cs="仿宋_GB2312"/>
          <w:sz w:val="32"/>
          <w:szCs w:val="32"/>
        </w:rPr>
      </w:pPr>
      <w:bookmarkStart w:id="56" w:name="_Toc15396627"/>
      <w:r>
        <w:rPr>
          <w:rFonts w:hint="eastAsia" w:ascii="Times New Roman" w:hAnsi="Times New Roman" w:eastAsia="仿宋_GB2312" w:cs="仿宋_GB2312"/>
          <w:sz w:val="32"/>
          <w:szCs w:val="32"/>
          <w:lang w:bidi="ar"/>
        </w:rPr>
        <w:t>九、一般公共预算财政拨款项目支出决算表</w:t>
      </w:r>
      <w:bookmarkEnd w:id="56"/>
    </w:p>
    <w:p w14:paraId="687ECED7">
      <w:pPr>
        <w:pStyle w:val="10"/>
        <w:tabs>
          <w:tab w:val="right" w:leader="dot" w:pos="8296"/>
        </w:tabs>
        <w:adjustRightInd w:val="0"/>
        <w:snapToGrid w:val="0"/>
        <w:spacing w:line="560" w:lineRule="exact"/>
        <w:ind w:left="420" w:leftChars="200"/>
        <w:jc w:val="left"/>
        <w:rPr>
          <w:rFonts w:eastAsia="仿宋_GB2312" w:cs="仿宋_GB2312"/>
          <w:sz w:val="32"/>
          <w:szCs w:val="32"/>
        </w:rPr>
      </w:pPr>
      <w:bookmarkStart w:id="57" w:name="_Toc15396628"/>
      <w:r>
        <w:rPr>
          <w:rFonts w:hint="eastAsia" w:ascii="Times New Roman" w:hAnsi="Times New Roman" w:eastAsia="仿宋_GB2312" w:cs="仿宋_GB2312"/>
          <w:sz w:val="32"/>
          <w:szCs w:val="32"/>
          <w:lang w:bidi="ar"/>
        </w:rPr>
        <w:t>十、</w:t>
      </w:r>
      <w:bookmarkEnd w:id="57"/>
      <w:r>
        <w:rPr>
          <w:rFonts w:hint="eastAsia" w:ascii="Times New Roman" w:hAnsi="Times New Roman" w:eastAsia="仿宋_GB2312" w:cs="仿宋_GB2312"/>
          <w:sz w:val="32"/>
          <w:szCs w:val="32"/>
          <w:lang w:bidi="ar"/>
        </w:rPr>
        <w:t>政府性基金预算财政拨款收入支出决算表</w:t>
      </w:r>
    </w:p>
    <w:p w14:paraId="3C3893E6">
      <w:pPr>
        <w:pStyle w:val="10"/>
        <w:tabs>
          <w:tab w:val="right" w:leader="dot" w:pos="8296"/>
        </w:tabs>
        <w:adjustRightInd w:val="0"/>
        <w:snapToGrid w:val="0"/>
        <w:spacing w:line="560" w:lineRule="exact"/>
        <w:ind w:left="420" w:leftChars="200"/>
        <w:jc w:val="left"/>
        <w:rPr>
          <w:rFonts w:eastAsia="仿宋_GB2312" w:cs="仿宋_GB2312"/>
          <w:sz w:val="32"/>
          <w:szCs w:val="32"/>
        </w:rPr>
      </w:pPr>
      <w:bookmarkStart w:id="58" w:name="_Toc15396629"/>
      <w:r>
        <w:rPr>
          <w:rFonts w:hint="eastAsia" w:ascii="Times New Roman" w:hAnsi="Times New Roman" w:eastAsia="仿宋_GB2312" w:cs="仿宋_GB2312"/>
          <w:sz w:val="32"/>
          <w:szCs w:val="32"/>
          <w:lang w:bidi="ar"/>
        </w:rPr>
        <w:t>十一、</w:t>
      </w:r>
      <w:bookmarkEnd w:id="58"/>
      <w:r>
        <w:rPr>
          <w:rFonts w:hint="eastAsia" w:ascii="Times New Roman" w:hAnsi="Times New Roman" w:eastAsia="仿宋_GB2312" w:cs="仿宋_GB2312"/>
          <w:sz w:val="32"/>
          <w:szCs w:val="32"/>
          <w:lang w:bidi="ar"/>
        </w:rPr>
        <w:t>国有资本经营预算财政拨款收入支出决算表</w:t>
      </w:r>
    </w:p>
    <w:p w14:paraId="584E177C">
      <w:pPr>
        <w:pStyle w:val="10"/>
        <w:tabs>
          <w:tab w:val="right" w:leader="dot" w:pos="8296"/>
        </w:tabs>
        <w:adjustRightInd w:val="0"/>
        <w:snapToGrid w:val="0"/>
        <w:spacing w:line="560" w:lineRule="exact"/>
        <w:ind w:left="420" w:leftChars="200"/>
        <w:jc w:val="left"/>
        <w:rPr>
          <w:rFonts w:eastAsia="仿宋_GB2312" w:cs="仿宋_GB2312"/>
          <w:sz w:val="32"/>
          <w:szCs w:val="32"/>
        </w:rPr>
      </w:pPr>
      <w:bookmarkStart w:id="59" w:name="_Toc15396630"/>
      <w:r>
        <w:rPr>
          <w:rFonts w:hint="eastAsia" w:ascii="Times New Roman" w:hAnsi="Times New Roman" w:eastAsia="仿宋_GB2312" w:cs="仿宋_GB2312"/>
          <w:sz w:val="32"/>
          <w:szCs w:val="32"/>
          <w:lang w:bidi="ar"/>
        </w:rPr>
        <w:t>十二、</w:t>
      </w:r>
      <w:bookmarkEnd w:id="59"/>
      <w:r>
        <w:rPr>
          <w:rFonts w:hint="eastAsia" w:ascii="Times New Roman" w:hAnsi="Times New Roman" w:eastAsia="仿宋_GB2312" w:cs="仿宋_GB2312"/>
          <w:sz w:val="32"/>
          <w:szCs w:val="32"/>
          <w:lang w:bidi="ar"/>
        </w:rPr>
        <w:t>国有资本经营预算财政拨款支出决算表</w:t>
      </w:r>
    </w:p>
    <w:p w14:paraId="6BB705FB">
      <w:pPr>
        <w:pStyle w:val="10"/>
        <w:tabs>
          <w:tab w:val="right" w:leader="dot" w:pos="8296"/>
        </w:tabs>
        <w:adjustRightInd w:val="0"/>
        <w:snapToGrid w:val="0"/>
        <w:spacing w:line="560" w:lineRule="exact"/>
        <w:ind w:left="420" w:leftChars="200"/>
        <w:jc w:val="left"/>
      </w:pPr>
      <w:bookmarkStart w:id="60" w:name="_Toc15396631"/>
      <w:r>
        <w:rPr>
          <w:rFonts w:hint="eastAsia" w:ascii="Times New Roman" w:hAnsi="Times New Roman" w:eastAsia="仿宋_GB2312" w:cs="仿宋_GB2312"/>
          <w:sz w:val="32"/>
          <w:szCs w:val="32"/>
          <w:lang w:bidi="ar"/>
        </w:rPr>
        <w:t>十三、</w:t>
      </w:r>
      <w:bookmarkEnd w:id="60"/>
      <w:r>
        <w:rPr>
          <w:rFonts w:hint="eastAsia" w:ascii="Times New Roman" w:hAnsi="Times New Roman" w:eastAsia="仿宋_GB2312" w:cs="仿宋_GB2312"/>
          <w:sz w:val="32"/>
          <w:szCs w:val="32"/>
          <w:lang w:bidi="ar"/>
        </w:rPr>
        <w:t>财政拨款“三公”经费支出决算表</w:t>
      </w:r>
    </w:p>
    <w:p w14:paraId="3D0705E3">
      <w:pPr>
        <w:widowControl/>
        <w:spacing w:line="560" w:lineRule="exact"/>
        <w:ind w:firstLine="640" w:firstLineChars="200"/>
        <w:jc w:val="left"/>
        <w:rPr>
          <w:rFonts w:ascii="Times New Roman" w:hAnsi="Times New Roman" w:eastAsia="仿宋_GB2312" w:cs="仿宋_GB2312"/>
          <w:sz w:val="32"/>
          <w:szCs w:val="32"/>
          <w:lang w:bidi="ar"/>
        </w:rPr>
      </w:pPr>
    </w:p>
    <w:p w14:paraId="107961E4">
      <w:pPr>
        <w:spacing w:line="560" w:lineRule="exact"/>
        <w:jc w:val="center"/>
        <w:rPr>
          <w:rFonts w:ascii="Times New Roman" w:hAnsi="Times New Roman" w:eastAsia="方正小标宋简体" w:cs="Times New Roman"/>
          <w:sz w:val="52"/>
          <w:szCs w:val="52"/>
          <w:lang w:bidi="ar"/>
        </w:rPr>
      </w:pPr>
    </w:p>
    <w:sectPr>
      <w:footerReference r:id="rId5" w:type="default"/>
      <w:pgSz w:w="12240" w:h="15840"/>
      <w:pgMar w:top="1440" w:right="1800" w:bottom="1440" w:left="1800" w:header="720" w:footer="72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8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sans-serif">
    <w:altName w:val="Courier New"/>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4CA5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6C05C">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78A57">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350A5">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FC350A5">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EF46E9"/>
    <w:rsid w:val="00040A37"/>
    <w:rsid w:val="000665B0"/>
    <w:rsid w:val="001C4B4A"/>
    <w:rsid w:val="001E4CF2"/>
    <w:rsid w:val="001F34A6"/>
    <w:rsid w:val="00201DEE"/>
    <w:rsid w:val="00225248"/>
    <w:rsid w:val="00232AAD"/>
    <w:rsid w:val="00295458"/>
    <w:rsid w:val="00361651"/>
    <w:rsid w:val="003A44FF"/>
    <w:rsid w:val="003E2115"/>
    <w:rsid w:val="0044263F"/>
    <w:rsid w:val="00473DC6"/>
    <w:rsid w:val="00484960"/>
    <w:rsid w:val="004B56BE"/>
    <w:rsid w:val="004D0973"/>
    <w:rsid w:val="0052760A"/>
    <w:rsid w:val="00552001"/>
    <w:rsid w:val="005B4A63"/>
    <w:rsid w:val="005C7B89"/>
    <w:rsid w:val="006207DB"/>
    <w:rsid w:val="00642A61"/>
    <w:rsid w:val="00643A2C"/>
    <w:rsid w:val="00651116"/>
    <w:rsid w:val="0065304C"/>
    <w:rsid w:val="00661777"/>
    <w:rsid w:val="00682FA8"/>
    <w:rsid w:val="006A6178"/>
    <w:rsid w:val="00733A46"/>
    <w:rsid w:val="00754AF9"/>
    <w:rsid w:val="007725E0"/>
    <w:rsid w:val="00783BA3"/>
    <w:rsid w:val="00790B82"/>
    <w:rsid w:val="007A6EAC"/>
    <w:rsid w:val="00813DD0"/>
    <w:rsid w:val="008B4E9A"/>
    <w:rsid w:val="00900C3A"/>
    <w:rsid w:val="00A01CCD"/>
    <w:rsid w:val="00A33F46"/>
    <w:rsid w:val="00A341B8"/>
    <w:rsid w:val="00A40CFA"/>
    <w:rsid w:val="00A41EB4"/>
    <w:rsid w:val="00A71858"/>
    <w:rsid w:val="00AB3119"/>
    <w:rsid w:val="00AD4312"/>
    <w:rsid w:val="00B87772"/>
    <w:rsid w:val="00C65FD3"/>
    <w:rsid w:val="00CE6268"/>
    <w:rsid w:val="00CF07E3"/>
    <w:rsid w:val="00D46D5C"/>
    <w:rsid w:val="00D57BFC"/>
    <w:rsid w:val="00D757AB"/>
    <w:rsid w:val="00DB1E85"/>
    <w:rsid w:val="00DE35A5"/>
    <w:rsid w:val="00E105D7"/>
    <w:rsid w:val="00E137EE"/>
    <w:rsid w:val="00E24693"/>
    <w:rsid w:val="00E65EF7"/>
    <w:rsid w:val="00EA75A7"/>
    <w:rsid w:val="00F536C8"/>
    <w:rsid w:val="02B534B6"/>
    <w:rsid w:val="24EF46E9"/>
    <w:rsid w:val="4EE330CC"/>
    <w:rsid w:val="526B5AC6"/>
    <w:rsid w:val="684B5F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0"/>
    <w:qFormat/>
    <w:uiPriority w:val="0"/>
    <w:pPr>
      <w:keepNext/>
      <w:keepLines/>
      <w:spacing w:before="340" w:after="330"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1"/>
    <w:semiHidden/>
    <w:unhideWhenUsed/>
    <w:qFormat/>
    <w:uiPriority w:val="0"/>
    <w:pPr>
      <w:keepNext/>
      <w:keepLines/>
      <w:spacing w:before="260" w:after="260" w:line="415" w:lineRule="auto"/>
      <w:outlineLvl w:val="1"/>
    </w:pPr>
    <w:rPr>
      <w:rFonts w:ascii="Cambria" w:hAnsi="Cambria" w:eastAsia="宋体" w:cs="Times New Roman"/>
      <w:b/>
      <w:bCs/>
      <w:sz w:val="32"/>
      <w:szCs w:val="32"/>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2"/>
    <w:qFormat/>
    <w:uiPriority w:val="0"/>
    <w:pPr>
      <w:spacing w:beforeLines="30"/>
    </w:pPr>
    <w:rPr>
      <w:rFonts w:hint="eastAsia" w:ascii="仿宋_GB2312" w:hAnsi="Times New Roman" w:eastAsia="仿宋_GB2312" w:cs="Times New Roman"/>
      <w:kern w:val="0"/>
      <w:sz w:val="30"/>
    </w:rPr>
  </w:style>
  <w:style w:type="paragraph" w:styleId="5">
    <w:name w:val="Body Text Indent"/>
    <w:basedOn w:val="1"/>
    <w:link w:val="19"/>
    <w:uiPriority w:val="0"/>
    <w:pPr>
      <w:spacing w:after="120"/>
      <w:ind w:left="420" w:leftChars="200"/>
    </w:pPr>
  </w:style>
  <w:style w:type="paragraph" w:styleId="6">
    <w:name w:val="footer"/>
    <w:basedOn w:val="1"/>
    <w:link w:val="17"/>
    <w:uiPriority w:val="0"/>
    <w:pPr>
      <w:tabs>
        <w:tab w:val="center" w:pos="4153"/>
        <w:tab w:val="right" w:pos="8306"/>
      </w:tabs>
      <w:snapToGrid w:val="0"/>
      <w:jc w:val="left"/>
    </w:pPr>
    <w:rPr>
      <w:sz w:val="18"/>
    </w:rPr>
  </w:style>
  <w:style w:type="paragraph" w:styleId="7">
    <w:name w:val="toc 1"/>
    <w:basedOn w:val="1"/>
    <w:next w:val="1"/>
    <w:uiPriority w:val="0"/>
    <w:pPr>
      <w:tabs>
        <w:tab w:val="right" w:leader="dot" w:pos="8296"/>
      </w:tabs>
      <w:spacing w:before="93"/>
      <w:jc w:val="center"/>
    </w:pPr>
    <w:rPr>
      <w:rFonts w:hint="eastAsia" w:ascii="仿宋" w:hAnsi="仿宋" w:eastAsia="仿宋" w:cs="Times New Roman"/>
      <w:sz w:val="28"/>
      <w:szCs w:val="28"/>
    </w:rPr>
  </w:style>
  <w:style w:type="paragraph" w:styleId="8">
    <w:name w:val="footnote text"/>
    <w:basedOn w:val="1"/>
    <w:link w:val="15"/>
    <w:uiPriority w:val="0"/>
    <w:pPr>
      <w:snapToGrid w:val="0"/>
      <w:jc w:val="left"/>
    </w:pPr>
    <w:rPr>
      <w:sz w:val="18"/>
    </w:rPr>
  </w:style>
  <w:style w:type="paragraph" w:styleId="9">
    <w:name w:val="toc 2"/>
    <w:basedOn w:val="1"/>
    <w:next w:val="1"/>
    <w:uiPriority w:val="0"/>
    <w:pPr>
      <w:tabs>
        <w:tab w:val="right" w:leader="dot" w:pos="8296"/>
      </w:tabs>
      <w:ind w:left="420" w:leftChars="200"/>
    </w:pPr>
    <w:rPr>
      <w:rFonts w:ascii="Times New Roman" w:hAnsi="Times New Roman" w:eastAsia="宋体" w:cs="Times New Roman"/>
    </w:rPr>
  </w:style>
  <w:style w:type="paragraph" w:styleId="10">
    <w:name w:val="Normal (Web)"/>
    <w:basedOn w:val="1"/>
    <w:uiPriority w:val="0"/>
    <w:rPr>
      <w:sz w:val="24"/>
    </w:rPr>
  </w:style>
  <w:style w:type="paragraph" w:styleId="11">
    <w:name w:val="Body Text First Indent 2"/>
    <w:basedOn w:val="5"/>
    <w:next w:val="1"/>
    <w:link w:val="18"/>
    <w:uiPriority w:val="0"/>
    <w:pPr>
      <w:ind w:left="200" w:firstLine="420" w:firstLineChars="200"/>
    </w:pPr>
    <w:rPr>
      <w:rFonts w:hint="eastAsia" w:ascii="仿宋_GB2312" w:hAnsi="Times New Roman" w:eastAsia="宋体" w:cs="Times New Roman"/>
      <w:szCs w:val="32"/>
    </w:rPr>
  </w:style>
  <w:style w:type="character" w:styleId="14">
    <w:name w:val="Strong"/>
    <w:basedOn w:val="13"/>
    <w:qFormat/>
    <w:uiPriority w:val="0"/>
    <w:rPr>
      <w:b/>
    </w:rPr>
  </w:style>
  <w:style w:type="character" w:customStyle="1" w:styleId="15">
    <w:name w:val="脚注文本 字符"/>
    <w:basedOn w:val="13"/>
    <w:link w:val="8"/>
    <w:uiPriority w:val="0"/>
    <w:rPr>
      <w:kern w:val="2"/>
      <w:sz w:val="18"/>
      <w:szCs w:val="18"/>
    </w:rPr>
  </w:style>
  <w:style w:type="paragraph" w:customStyle="1" w:styleId="16">
    <w:name w:val="msolistparagraph"/>
    <w:basedOn w:val="1"/>
    <w:uiPriority w:val="0"/>
    <w:pPr>
      <w:ind w:firstLine="420" w:firstLineChars="200"/>
    </w:pPr>
    <w:rPr>
      <w:rFonts w:ascii="Times New Roman" w:hAnsi="Times New Roman" w:eastAsia="宋体" w:cs="Times New Roman"/>
    </w:rPr>
  </w:style>
  <w:style w:type="character" w:customStyle="1" w:styleId="17">
    <w:name w:val="页脚 字符"/>
    <w:basedOn w:val="13"/>
    <w:link w:val="6"/>
    <w:qFormat/>
    <w:uiPriority w:val="0"/>
    <w:rPr>
      <w:rFonts w:hint="default" w:ascii="Calibri" w:hAnsi="Calibri" w:cs="Calibri"/>
      <w:sz w:val="18"/>
      <w:szCs w:val="18"/>
    </w:rPr>
  </w:style>
  <w:style w:type="character" w:customStyle="1" w:styleId="18">
    <w:name w:val="正文首行缩进 2 字符"/>
    <w:basedOn w:val="19"/>
    <w:link w:val="11"/>
    <w:uiPriority w:val="0"/>
    <w:rPr>
      <w:rFonts w:hint="eastAsia" w:ascii="仿宋_GB2312" w:eastAsia="仿宋_GB2312" w:cs="仿宋_GB2312"/>
      <w:kern w:val="2"/>
      <w:sz w:val="21"/>
      <w:szCs w:val="32"/>
    </w:rPr>
  </w:style>
  <w:style w:type="character" w:customStyle="1" w:styleId="19">
    <w:name w:val="正文文本缩进 字符"/>
    <w:basedOn w:val="13"/>
    <w:link w:val="5"/>
    <w:uiPriority w:val="0"/>
    <w:rPr>
      <w:kern w:val="2"/>
      <w:sz w:val="21"/>
      <w:szCs w:val="24"/>
    </w:rPr>
  </w:style>
  <w:style w:type="character" w:customStyle="1" w:styleId="20">
    <w:name w:val="标题 1 字符"/>
    <w:basedOn w:val="13"/>
    <w:link w:val="2"/>
    <w:uiPriority w:val="0"/>
    <w:rPr>
      <w:b/>
      <w:bCs/>
      <w:kern w:val="44"/>
      <w:sz w:val="44"/>
      <w:szCs w:val="44"/>
    </w:rPr>
  </w:style>
  <w:style w:type="character" w:customStyle="1" w:styleId="21">
    <w:name w:val="标题 2 字符"/>
    <w:basedOn w:val="13"/>
    <w:link w:val="3"/>
    <w:qFormat/>
    <w:uiPriority w:val="0"/>
    <w:rPr>
      <w:rFonts w:hint="default" w:ascii="Cambria" w:hAnsi="Cambria" w:eastAsia="宋体" w:cs="Times New Roman"/>
      <w:b/>
      <w:bCs/>
      <w:kern w:val="2"/>
      <w:sz w:val="32"/>
      <w:szCs w:val="32"/>
    </w:rPr>
  </w:style>
  <w:style w:type="character" w:customStyle="1" w:styleId="22">
    <w:name w:val="正文文本 字符"/>
    <w:basedOn w:val="13"/>
    <w:link w:val="4"/>
    <w:qFormat/>
    <w:uiPriority w:val="0"/>
    <w:rPr>
      <w:rFonts w:hint="eastAsia" w:ascii="仿宋_GB2312" w:eastAsia="仿宋_GB2312" w:cs="仿宋_GB2312"/>
      <w:sz w:val="30"/>
      <w:szCs w:val="24"/>
    </w:rPr>
  </w:style>
  <w:style w:type="paragraph" w:customStyle="1" w:styleId="23">
    <w:name w:val="四号正文"/>
    <w:basedOn w:val="1"/>
    <w:qFormat/>
    <w:uiPriority w:val="0"/>
    <w:pPr>
      <w:spacing w:line="360" w:lineRule="auto"/>
    </w:pPr>
    <w:rPr>
      <w:rFonts w:ascii="??" w:hAnsi="??" w:eastAsia="宋体" w:cs="Times New Roman"/>
      <w:color w:val="000000"/>
      <w:kern w:val="0"/>
      <w:sz w:val="28"/>
      <w:szCs w:val="21"/>
    </w:rPr>
  </w:style>
  <w:style w:type="paragraph" w:styleId="2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收入、支出决算总计变动情况图（单位：万元）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305.38</c:v>
                </c:pt>
                <c:pt idx="1">
                  <c:v>325.38</c:v>
                </c:pt>
              </c:numCache>
            </c:numRef>
          </c:val>
        </c:ser>
        <c:dLbls>
          <c:showLegendKey val="0"/>
          <c:showVal val="0"/>
          <c:showCatName val="0"/>
          <c:showSerName val="0"/>
          <c:showPercent val="0"/>
          <c:showBubbleSize val="0"/>
        </c:dLbls>
        <c:gapWidth val="219"/>
        <c:overlap val="-27"/>
        <c:axId val="604960464"/>
        <c:axId val="604961448"/>
      </c:barChart>
      <c:catAx>
        <c:axId val="604960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961448"/>
        <c:crosses val="autoZero"/>
        <c:auto val="1"/>
        <c:lblAlgn val="ctr"/>
        <c:lblOffset val="100"/>
        <c:noMultiLvlLbl val="0"/>
      </c:catAx>
      <c:valAx>
        <c:axId val="604961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960464"/>
        <c:crosses val="autoZero"/>
        <c:crossBetween val="between"/>
      </c:valAx>
      <c:spPr>
        <a:noFill/>
        <a:ln>
          <a:noFill/>
        </a:ln>
        <a:effectLst/>
      </c:spPr>
    </c:plotArea>
    <c:plotVisOnly val="1"/>
    <c:dispBlanksAs val="gap"/>
    <c:showDLblsOverMax val="0"/>
    <c:extLst>
      <c:ext uri="{0b15fc19-7d7d-44ad-8c2d-2c3a37ce22c3}">
        <chartProps xmlns="https://web.wps.cn/et/2018/main" chartId="{bc19359b-e4e8-4985-b165-4e6944bad4f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收入决算结构图（单位：万元）</c:v>
                </c:pt>
              </c:strCache>
            </c:strRef>
          </c:tx>
          <c:spPr/>
          <c:explosion val="0"/>
          <c:dPt>
            <c:idx val="0"/>
            <c:bubble3D val="0"/>
            <c:spPr>
              <a:solidFill>
                <a:schemeClr val="accent1"/>
              </a:solidFill>
              <a:ln w="19050">
                <a:solidFill>
                  <a:schemeClr val="lt1"/>
                </a:solidFill>
              </a:ln>
              <a:effectLst/>
            </c:spPr>
          </c:dPt>
          <c:dLbls>
            <c:dLbl>
              <c:idx val="0"/>
              <c:layout>
                <c:manualLayout>
                  <c:x val="0.0321237803289856"/>
                  <c:y val="-0.18083439931019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c:v>
                </c:pt>
              </c:strCache>
            </c:strRef>
          </c:cat>
          <c:val>
            <c:numRef>
              <c:f>Sheet1!$B$2</c:f>
              <c:numCache>
                <c:formatCode>General</c:formatCode>
                <c:ptCount val="1"/>
                <c:pt idx="0">
                  <c:v>325.38</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574da415-84ba-4e70-8333-28c236088e4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支出决算结构图（单位：万元）</c:v>
                </c:pt>
              </c:strCache>
            </c:strRef>
          </c:tx>
          <c:spPr/>
          <c:explosion val="0"/>
          <c:dPt>
            <c:idx val="0"/>
            <c:bubble3D val="0"/>
            <c:spPr>
              <a:solidFill>
                <a:schemeClr val="accent1"/>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2025年</c:v>
                </c:pt>
              </c:strCache>
            </c:strRef>
          </c:cat>
          <c:val>
            <c:numRef>
              <c:f>Sheet1!$B$2</c:f>
              <c:numCache>
                <c:formatCode>General</c:formatCode>
                <c:ptCount val="1"/>
                <c:pt idx="0">
                  <c:v>325.38</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85b2d417-8532-499e-aacf-a30ae9daaeb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财政拨款收、支决算总计变动情况（单位：万元）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305.38</c:v>
                </c:pt>
                <c:pt idx="1">
                  <c:v>325.38</c:v>
                </c:pt>
              </c:numCache>
            </c:numRef>
          </c:val>
        </c:ser>
        <c:dLbls>
          <c:showLegendKey val="0"/>
          <c:showVal val="0"/>
          <c:showCatName val="0"/>
          <c:showSerName val="0"/>
          <c:showPercent val="0"/>
          <c:showBubbleSize val="0"/>
        </c:dLbls>
        <c:gapWidth val="219"/>
        <c:overlap val="-27"/>
        <c:axId val="662393672"/>
        <c:axId val="662399576"/>
      </c:barChart>
      <c:catAx>
        <c:axId val="662393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2399576"/>
        <c:crosses val="autoZero"/>
        <c:auto val="1"/>
        <c:lblAlgn val="ctr"/>
        <c:lblOffset val="100"/>
        <c:noMultiLvlLbl val="0"/>
      </c:catAx>
      <c:valAx>
        <c:axId val="6623995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2393672"/>
        <c:crosses val="autoZero"/>
        <c:crossBetween val="between"/>
      </c:valAx>
      <c:spPr>
        <a:noFill/>
        <a:ln>
          <a:noFill/>
        </a:ln>
        <a:effectLst/>
      </c:spPr>
    </c:plotArea>
    <c:plotVisOnly val="1"/>
    <c:dispBlanksAs val="gap"/>
    <c:showDLblsOverMax val="0"/>
    <c:extLst>
      <c:ext uri="{0b15fc19-7d7d-44ad-8c2d-2c3a37ce22c3}">
        <chartProps xmlns="https://web.wps.cn/et/2018/main" chartId="{eeb72474-9159-4223-978e-56435fd6a49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一般公共预算财政拨款支出决算变动情况（单位：万元）</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305.38</c:v>
                </c:pt>
                <c:pt idx="1">
                  <c:v>325.35</c:v>
                </c:pt>
              </c:numCache>
            </c:numRef>
          </c:val>
        </c:ser>
        <c:dLbls>
          <c:showLegendKey val="0"/>
          <c:showVal val="0"/>
          <c:showCatName val="0"/>
          <c:showSerName val="0"/>
          <c:showPercent val="0"/>
          <c:showBubbleSize val="0"/>
        </c:dLbls>
        <c:gapWidth val="219"/>
        <c:overlap val="-27"/>
        <c:axId val="660195160"/>
        <c:axId val="187777656"/>
      </c:barChart>
      <c:catAx>
        <c:axId val="660195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7777656"/>
        <c:crosses val="autoZero"/>
        <c:auto val="1"/>
        <c:lblAlgn val="ctr"/>
        <c:lblOffset val="100"/>
        <c:noMultiLvlLbl val="0"/>
      </c:catAx>
      <c:valAx>
        <c:axId val="187777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195160"/>
        <c:crosses val="autoZero"/>
        <c:crossBetween val="between"/>
      </c:valAx>
      <c:spPr>
        <a:noFill/>
        <a:ln>
          <a:noFill/>
        </a:ln>
        <a:effectLst/>
      </c:spPr>
    </c:plotArea>
    <c:plotVisOnly val="1"/>
    <c:dispBlanksAs val="gap"/>
    <c:showDLblsOverMax val="0"/>
    <c:extLst>
      <c:ext uri="{0b15fc19-7d7d-44ad-8c2d-2c3a37ce22c3}">
        <chartProps xmlns="https://web.wps.cn/et/2018/main" chartId="{99620064-e7c5-437e-9a15-4918c77f20c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lang="zh-CN" sz="12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一般公共预算财政拨款支出决算结构（单位：万元）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262741324001167"/>
                  <c:y val="-0.065410345048332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304411393020317"/>
                  <c:y val="0.0337881697714615"/>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2653834937299"/>
                  <c:y val="-0.00255073298764484"/>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7530864197531"/>
                  <c:y val="-0.0218804814032392"/>
                </c:manualLayout>
              </c:layout>
              <c:numFmt formatCode="General" sourceLinked="1"/>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15:layout>
                    <c:manualLayout>
                      <c:w val="0.0537037037037037"/>
                      <c:h val="0.0497967479674797"/>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242.37</c:v>
                </c:pt>
                <c:pt idx="1">
                  <c:v>40.59</c:v>
                </c:pt>
                <c:pt idx="2">
                  <c:v>17.21</c:v>
                </c:pt>
                <c:pt idx="3">
                  <c:v>25.2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905b56c-c677-45da-9a54-c1846f6dbd3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7536</Words>
  <Characters>7934</Characters>
  <Lines>59</Lines>
  <Paragraphs>16</Paragraphs>
  <TotalTime>11</TotalTime>
  <ScaleCrop>false</ScaleCrop>
  <LinksUpToDate>false</LinksUpToDate>
  <CharactersWithSpaces>7976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2026-09-23T01:40:00Z</dcterms:created>
  <dc:creator>晴F</dc:creator>
  <cp:lastModifiedBy>Black</cp:lastModifiedBy>
  <dcterms:modified xsi:type="dcterms:W3CDTF">2026-09-29T08:17:43Z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A423B1B19E1A4307862306ADDD4B255E_13</vt:lpwstr>
  </property>
  <property fmtid="{D5CDD505-2E9C-101B-9397-08002B2CF9AE}" pid="4" name="KSOTemplateDocerSaveRecord">
    <vt:lpwstr>eyJoZGlkIjoiYWJhMzRiYjBjYjlkNmMyNGIyYTRkZmFkYTdjZjY5Y2YiLCJ1c2VySWQiOiIyNjUwNjUwMDEifQ==</vt:lpwstr>
  </property>
</Properties>
</file>