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EB7D6C">
      <w:pPr>
        <w:spacing w:line="560" w:lineRule="exact"/>
        <w:jc w:val="center"/>
        <w:rPr>
          <w:rFonts w:ascii="Times New Roman" w:hAnsi="Times New Roman" w:eastAsia="方正小标宋简体" w:cs="Times New Roman"/>
          <w:sz w:val="44"/>
          <w:szCs w:val="44"/>
          <w:lang w:bidi="ar"/>
        </w:rPr>
      </w:pPr>
      <w:bookmarkStart w:id="0" w:name="_Toc15396598"/>
      <w:bookmarkStart w:id="1" w:name="_Toc15378442"/>
      <w:bookmarkStart w:id="2" w:name="_Toc15377426"/>
      <w:bookmarkStart w:id="3" w:name="_Toc15396476"/>
      <w:bookmarkStart w:id="4" w:name="_Toc15377194"/>
    </w:p>
    <w:p w14:paraId="59385FA9">
      <w:pPr>
        <w:spacing w:line="560" w:lineRule="exact"/>
        <w:jc w:val="center"/>
        <w:rPr>
          <w:rFonts w:ascii="Times New Roman" w:hAnsi="Times New Roman" w:eastAsia="方正小标宋简体" w:cs="Times New Roman"/>
          <w:sz w:val="44"/>
          <w:szCs w:val="44"/>
          <w:lang w:bidi="ar"/>
        </w:rPr>
      </w:pPr>
    </w:p>
    <w:p w14:paraId="02477061">
      <w:pPr>
        <w:spacing w:line="560" w:lineRule="exact"/>
        <w:jc w:val="center"/>
        <w:rPr>
          <w:rFonts w:ascii="Times New Roman" w:hAnsi="Times New Roman" w:eastAsia="方正小标宋简体" w:cs="Times New Roman"/>
          <w:sz w:val="44"/>
          <w:szCs w:val="44"/>
          <w:lang w:bidi="ar"/>
        </w:rPr>
      </w:pPr>
    </w:p>
    <w:p w14:paraId="3F33713B">
      <w:pPr>
        <w:spacing w:line="560" w:lineRule="exact"/>
        <w:jc w:val="center"/>
        <w:rPr>
          <w:rFonts w:ascii="Times New Roman" w:hAnsi="Times New Roman" w:eastAsia="方正小标宋简体" w:cs="Times New Roman"/>
          <w:sz w:val="44"/>
          <w:szCs w:val="44"/>
          <w:lang w:bidi="ar"/>
        </w:rPr>
      </w:pPr>
    </w:p>
    <w:p w14:paraId="3BE25C67">
      <w:pPr>
        <w:spacing w:line="560" w:lineRule="exact"/>
        <w:jc w:val="both"/>
        <w:rPr>
          <w:rFonts w:ascii="Times New Roman" w:hAnsi="Times New Roman" w:eastAsia="方正小标宋简体" w:cs="Times New Roman"/>
          <w:sz w:val="44"/>
          <w:szCs w:val="44"/>
          <w:lang w:bidi="ar"/>
        </w:rPr>
      </w:pPr>
    </w:p>
    <w:p w14:paraId="6E43D1DC">
      <w:pPr>
        <w:spacing w:line="560" w:lineRule="exact"/>
        <w:jc w:val="center"/>
        <w:rPr>
          <w:rFonts w:ascii="Times New Roman" w:hAnsi="Times New Roman" w:eastAsia="方正小标宋简体" w:cs="Times New Roman"/>
          <w:sz w:val="44"/>
          <w:szCs w:val="44"/>
          <w:lang w:bidi="ar"/>
        </w:rPr>
      </w:pPr>
    </w:p>
    <w:p w14:paraId="792CC35B">
      <w:pPr>
        <w:spacing w:line="560" w:lineRule="exact"/>
        <w:jc w:val="center"/>
        <w:rPr>
          <w:rFonts w:ascii="Times New Roman" w:hAnsi="Times New Roman" w:eastAsia="方正小标宋简体" w:cs="Times New Roman"/>
          <w:sz w:val="44"/>
          <w:szCs w:val="44"/>
          <w:lang w:bidi="ar"/>
        </w:rPr>
      </w:pPr>
    </w:p>
    <w:p w14:paraId="37CA4AED">
      <w:pPr>
        <w:keepNext w:val="0"/>
        <w:keepLines w:val="0"/>
        <w:pageBreakBefore w:val="0"/>
        <w:widowControl w:val="0"/>
        <w:kinsoku/>
        <w:wordWrap/>
        <w:overflowPunct/>
        <w:topLinePunct w:val="0"/>
        <w:autoSpaceDE/>
        <w:autoSpaceDN/>
        <w:bidi w:val="0"/>
        <w:adjustRightInd/>
        <w:snapToGrid/>
        <w:spacing w:line="560" w:lineRule="atLeast"/>
        <w:jc w:val="center"/>
        <w:textAlignment w:val="auto"/>
        <w:rPr>
          <w:rFonts w:ascii="Times New Roman" w:hAnsi="Times New Roman" w:eastAsia="方正小标宋简体" w:cs="Times New Roman"/>
          <w:sz w:val="72"/>
          <w:szCs w:val="72"/>
          <w:lang w:bidi="ar"/>
        </w:rPr>
      </w:pPr>
      <w:r>
        <w:rPr>
          <w:rFonts w:ascii="Times New Roman" w:hAnsi="Times New Roman" w:eastAsia="方正小标宋简体" w:cs="Times New Roman"/>
          <w:sz w:val="72"/>
          <w:szCs w:val="72"/>
          <w:lang w:bidi="ar"/>
        </w:rPr>
        <w:t>2025</w:t>
      </w:r>
      <w:r>
        <w:rPr>
          <w:rFonts w:hint="eastAsia" w:ascii="Times New Roman" w:hAnsi="Times New Roman" w:eastAsia="方正小标宋简体" w:cs="Times New Roman"/>
          <w:sz w:val="72"/>
          <w:szCs w:val="72"/>
          <w:lang w:bidi="ar"/>
        </w:rPr>
        <w:t>年度</w:t>
      </w:r>
    </w:p>
    <w:p w14:paraId="61D70DD0">
      <w:pPr>
        <w:keepNext w:val="0"/>
        <w:keepLines w:val="0"/>
        <w:pageBreakBefore w:val="0"/>
        <w:widowControl w:val="0"/>
        <w:kinsoku/>
        <w:wordWrap/>
        <w:overflowPunct/>
        <w:topLinePunct w:val="0"/>
        <w:autoSpaceDE/>
        <w:autoSpaceDN/>
        <w:bidi w:val="0"/>
        <w:adjustRightInd/>
        <w:snapToGrid/>
        <w:spacing w:line="560" w:lineRule="atLeast"/>
        <w:jc w:val="center"/>
        <w:textAlignment w:val="auto"/>
        <w:rPr>
          <w:rFonts w:hint="eastAsia" w:ascii="Times New Roman" w:hAnsi="Times New Roman" w:eastAsia="方正小标宋简体" w:cs="Times New Roman"/>
          <w:sz w:val="72"/>
          <w:szCs w:val="72"/>
          <w:lang w:bidi="ar"/>
        </w:rPr>
      </w:pPr>
      <w:r>
        <w:rPr>
          <w:rFonts w:hint="eastAsia" w:ascii="Times New Roman" w:hAnsi="Times New Roman" w:eastAsia="方正小标宋简体" w:cs="Times New Roman"/>
          <w:sz w:val="72"/>
          <w:szCs w:val="72"/>
          <w:lang w:bidi="ar"/>
        </w:rPr>
        <w:t>四川省</w:t>
      </w:r>
      <w:bookmarkStart w:id="5" w:name="_Toc15306268"/>
      <w:r>
        <w:rPr>
          <w:rFonts w:hint="eastAsia" w:ascii="Times New Roman" w:hAnsi="Times New Roman" w:eastAsia="方正小标宋简体" w:cs="Times New Roman"/>
          <w:sz w:val="72"/>
          <w:szCs w:val="72"/>
          <w:lang w:bidi="ar"/>
        </w:rPr>
        <w:t>九寨沟县</w:t>
      </w:r>
    </w:p>
    <w:p w14:paraId="364FA01F">
      <w:pPr>
        <w:keepNext w:val="0"/>
        <w:keepLines w:val="0"/>
        <w:pageBreakBefore w:val="0"/>
        <w:widowControl w:val="0"/>
        <w:kinsoku/>
        <w:wordWrap/>
        <w:overflowPunct/>
        <w:topLinePunct w:val="0"/>
        <w:autoSpaceDE/>
        <w:autoSpaceDN/>
        <w:bidi w:val="0"/>
        <w:adjustRightInd/>
        <w:snapToGrid/>
        <w:spacing w:line="560" w:lineRule="atLeast"/>
        <w:jc w:val="center"/>
        <w:textAlignment w:val="auto"/>
        <w:rPr>
          <w:rFonts w:ascii="Times New Roman" w:hAnsi="Times New Roman" w:eastAsia="方正小标宋简体" w:cs="Times New Roman"/>
          <w:sz w:val="72"/>
          <w:szCs w:val="72"/>
          <w:lang w:bidi="ar"/>
        </w:rPr>
      </w:pPr>
      <w:r>
        <w:rPr>
          <w:rFonts w:hint="eastAsia" w:ascii="Times New Roman" w:hAnsi="Times New Roman" w:eastAsia="方正小标宋简体" w:cs="Times New Roman"/>
          <w:sz w:val="72"/>
          <w:szCs w:val="72"/>
          <w:lang w:bidi="ar"/>
        </w:rPr>
        <w:t>勿角镇政府单位决算</w:t>
      </w:r>
      <w:bookmarkEnd w:id="0"/>
      <w:bookmarkEnd w:id="1"/>
      <w:bookmarkEnd w:id="2"/>
      <w:bookmarkEnd w:id="3"/>
      <w:bookmarkEnd w:id="4"/>
      <w:bookmarkEnd w:id="5"/>
    </w:p>
    <w:p w14:paraId="1D21C897">
      <w:pPr>
        <w:spacing w:line="560" w:lineRule="exact"/>
        <w:jc w:val="center"/>
        <w:rPr>
          <w:rFonts w:ascii="Times New Roman" w:hAnsi="Times New Roman" w:eastAsia="方正小标宋简体" w:cs="Times New Roman"/>
          <w:sz w:val="52"/>
          <w:szCs w:val="52"/>
          <w:lang w:bidi="ar"/>
        </w:rPr>
      </w:pPr>
    </w:p>
    <w:p w14:paraId="65E435BF">
      <w:pPr>
        <w:spacing w:line="560" w:lineRule="exact"/>
        <w:jc w:val="center"/>
        <w:rPr>
          <w:rFonts w:ascii="Times New Roman" w:hAnsi="Times New Roman" w:eastAsia="方正小标宋简体" w:cs="Times New Roman"/>
          <w:sz w:val="52"/>
          <w:szCs w:val="52"/>
          <w:lang w:bidi="ar"/>
        </w:rPr>
      </w:pPr>
    </w:p>
    <w:p w14:paraId="7D706CC3">
      <w:pPr>
        <w:spacing w:line="560" w:lineRule="exact"/>
        <w:jc w:val="center"/>
        <w:rPr>
          <w:rFonts w:ascii="Times New Roman" w:hAnsi="Times New Roman" w:eastAsia="方正小标宋简体" w:cs="Times New Roman"/>
          <w:sz w:val="52"/>
          <w:szCs w:val="52"/>
          <w:lang w:bidi="ar"/>
        </w:rPr>
      </w:pPr>
    </w:p>
    <w:p w14:paraId="4DD2A5FB">
      <w:pPr>
        <w:spacing w:line="560" w:lineRule="exact"/>
        <w:jc w:val="center"/>
        <w:rPr>
          <w:rFonts w:ascii="Times New Roman" w:hAnsi="Times New Roman" w:eastAsia="方正小标宋简体" w:cs="Times New Roman"/>
          <w:sz w:val="52"/>
          <w:szCs w:val="52"/>
          <w:lang w:bidi="ar"/>
        </w:rPr>
      </w:pPr>
    </w:p>
    <w:p w14:paraId="7401AA8A">
      <w:pPr>
        <w:spacing w:line="560" w:lineRule="exact"/>
        <w:jc w:val="center"/>
        <w:rPr>
          <w:rFonts w:ascii="Times New Roman" w:hAnsi="Times New Roman" w:eastAsia="方正小标宋简体" w:cs="Times New Roman"/>
          <w:sz w:val="52"/>
          <w:szCs w:val="52"/>
          <w:lang w:bidi="ar"/>
        </w:rPr>
      </w:pPr>
    </w:p>
    <w:p w14:paraId="64AA4CF9">
      <w:pPr>
        <w:spacing w:line="560" w:lineRule="exact"/>
        <w:jc w:val="center"/>
        <w:rPr>
          <w:rFonts w:ascii="Times New Roman" w:hAnsi="Times New Roman" w:eastAsia="方正小标宋简体" w:cs="Times New Roman"/>
          <w:sz w:val="52"/>
          <w:szCs w:val="52"/>
          <w:lang w:bidi="ar"/>
        </w:rPr>
      </w:pPr>
    </w:p>
    <w:p w14:paraId="7FDEE929">
      <w:pPr>
        <w:spacing w:line="560" w:lineRule="exact"/>
        <w:jc w:val="both"/>
        <w:rPr>
          <w:rFonts w:ascii="Times New Roman" w:hAnsi="Times New Roman" w:eastAsia="方正小标宋简体" w:cs="Times New Roman"/>
          <w:sz w:val="52"/>
          <w:szCs w:val="52"/>
          <w:lang w:bidi="ar"/>
        </w:rPr>
      </w:pPr>
    </w:p>
    <w:p w14:paraId="5F3E66FE">
      <w:pPr>
        <w:pageBreakBefore w:val="0"/>
        <w:widowControl/>
        <w:kinsoku/>
        <w:wordWrap/>
        <w:overflowPunct/>
        <w:topLinePunct w:val="0"/>
        <w:autoSpaceDE/>
        <w:autoSpaceDN/>
        <w:bidi w:val="0"/>
        <w:spacing w:line="560" w:lineRule="atLeast"/>
        <w:jc w:val="center"/>
        <w:textAlignment w:val="auto"/>
        <w:rPr>
          <w:rFonts w:hint="eastAsia" w:ascii="Times New Roman" w:hAnsi="Times New Roman" w:eastAsia="黑体" w:cs="黑体"/>
          <w:sz w:val="48"/>
          <w:szCs w:val="48"/>
          <w:lang w:bidi="ar"/>
        </w:rPr>
        <w:sectPr>
          <w:pgSz w:w="12240" w:h="15840"/>
          <w:pgMar w:top="1440" w:right="1800" w:bottom="1440" w:left="1800" w:header="720" w:footer="720" w:gutter="0"/>
          <w:pgNumType w:start="1"/>
          <w:cols w:space="425" w:num="1"/>
          <w:docGrid w:type="lines" w:linePitch="312" w:charSpace="0"/>
        </w:sectPr>
      </w:pPr>
    </w:p>
    <w:p w14:paraId="2FEC784D">
      <w:pPr>
        <w:pageBreakBefore w:val="0"/>
        <w:widowControl/>
        <w:kinsoku/>
        <w:wordWrap/>
        <w:overflowPunct/>
        <w:topLinePunct w:val="0"/>
        <w:autoSpaceDE/>
        <w:autoSpaceDN/>
        <w:bidi w:val="0"/>
        <w:spacing w:line="560" w:lineRule="atLeast"/>
        <w:jc w:val="center"/>
        <w:textAlignment w:val="auto"/>
        <w:rPr>
          <w:rFonts w:eastAsia="黑体"/>
          <w:sz w:val="48"/>
          <w:szCs w:val="48"/>
        </w:rPr>
      </w:pPr>
      <w:r>
        <w:rPr>
          <w:rFonts w:hint="eastAsia" w:ascii="Times New Roman" w:hAnsi="Times New Roman" w:eastAsia="黑体" w:cs="黑体"/>
          <w:sz w:val="48"/>
          <w:szCs w:val="48"/>
          <w:lang w:bidi="ar"/>
        </w:rPr>
        <w:t>目录</w:t>
      </w:r>
    </w:p>
    <w:p w14:paraId="3C84E84C">
      <w:pPr>
        <w:pageBreakBefore w:val="0"/>
        <w:widowControl/>
        <w:kinsoku/>
        <w:wordWrap/>
        <w:overflowPunct/>
        <w:topLinePunct w:val="0"/>
        <w:autoSpaceDE/>
        <w:autoSpaceDN/>
        <w:bidi w:val="0"/>
        <w:spacing w:line="560" w:lineRule="atLeast"/>
        <w:jc w:val="center"/>
        <w:textAlignment w:val="auto"/>
        <w:rPr>
          <w:rFonts w:eastAsia="黑体" w:cs="Times New Roman"/>
          <w:sz w:val="28"/>
          <w:szCs w:val="28"/>
        </w:rPr>
      </w:pPr>
    </w:p>
    <w:p w14:paraId="48F30033">
      <w:pPr>
        <w:pStyle w:val="9"/>
        <w:pageBreakBefore w:val="0"/>
        <w:widowControl/>
        <w:kinsoku/>
        <w:wordWrap/>
        <w:overflowPunct/>
        <w:topLinePunct w:val="0"/>
        <w:autoSpaceDE/>
        <w:autoSpaceDN/>
        <w:bidi w:val="0"/>
        <w:spacing w:line="560" w:lineRule="atLeast"/>
        <w:textAlignment w:val="auto"/>
        <w:rPr>
          <w:rFonts w:hint="default" w:ascii="Times New Roman" w:hAnsi="Times New Roman" w:eastAsia="仿宋_GB2312" w:cs="仿宋_GB2312"/>
          <w:sz w:val="32"/>
          <w:szCs w:val="32"/>
        </w:rPr>
      </w:pPr>
      <w:r>
        <w:rPr>
          <w:rFonts w:ascii="Times New Roman" w:hAnsi="Times New Roman" w:eastAsia="仿宋_GB2312" w:cs="仿宋_GB2312"/>
          <w:sz w:val="32"/>
          <w:szCs w:val="32"/>
        </w:rPr>
        <w:t>公开时间：</w:t>
      </w:r>
      <w:r>
        <w:rPr>
          <w:rFonts w:hint="default" w:ascii="Times New Roman" w:hAnsi="Times New Roman" w:eastAsia="仿宋_GB2312" w:cs="仿宋_GB2312"/>
          <w:sz w:val="32"/>
          <w:szCs w:val="32"/>
        </w:rPr>
        <w:t>2026</w:t>
      </w:r>
      <w:r>
        <w:rPr>
          <w:rFonts w:ascii="Times New Roman" w:hAnsi="Times New Roman" w:eastAsia="仿宋_GB2312" w:cs="仿宋_GB2312"/>
          <w:sz w:val="32"/>
          <w:szCs w:val="32"/>
        </w:rPr>
        <w:t>年</w:t>
      </w:r>
      <w:r>
        <w:rPr>
          <w:rFonts w:hint="eastAsia" w:ascii="Times New Roman" w:hAnsi="Times New Roman" w:eastAsia="仿宋_GB2312" w:cs="仿宋_GB2312"/>
          <w:sz w:val="32"/>
          <w:szCs w:val="32"/>
          <w:lang w:val="en-US" w:eastAsia="zh-CN"/>
        </w:rPr>
        <w:t>9</w:t>
      </w:r>
      <w:r>
        <w:rPr>
          <w:rFonts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29</w:t>
      </w:r>
      <w:r>
        <w:rPr>
          <w:rFonts w:ascii="Times New Roman" w:hAnsi="Times New Roman" w:eastAsia="仿宋_GB2312" w:cs="仿宋_GB2312"/>
          <w:sz w:val="32"/>
          <w:szCs w:val="32"/>
        </w:rPr>
        <w:t>日</w:t>
      </w:r>
    </w:p>
    <w:p w14:paraId="6BEF4D2B">
      <w:pPr>
        <w:pageBreakBefore w:val="0"/>
        <w:kinsoku/>
        <w:wordWrap/>
        <w:overflowPunct/>
        <w:topLinePunct w:val="0"/>
        <w:autoSpaceDE/>
        <w:autoSpaceDN/>
        <w:bidi w:val="0"/>
        <w:spacing w:line="560" w:lineRule="atLeast"/>
        <w:textAlignment w:val="auto"/>
      </w:pPr>
    </w:p>
    <w:p w14:paraId="0DCC04E7">
      <w:pPr>
        <w:pStyle w:val="9"/>
        <w:pageBreakBefore w:val="0"/>
        <w:widowControl/>
        <w:kinsoku/>
        <w:wordWrap/>
        <w:overflowPunct/>
        <w:topLinePunct w:val="0"/>
        <w:autoSpaceDE/>
        <w:autoSpaceDN/>
        <w:bidi w:val="0"/>
        <w:adjustRightInd w:val="0"/>
        <w:snapToGrid w:val="0"/>
        <w:spacing w:before="0" w:line="560" w:lineRule="atLeast"/>
        <w:jc w:val="left"/>
        <w:textAlignment w:val="auto"/>
        <w:rPr>
          <w:rFonts w:hint="default" w:ascii="Times New Roman" w:hAnsi="Times New Roman" w:eastAsia="黑体" w:cs="黑体"/>
          <w:sz w:val="32"/>
          <w:szCs w:val="32"/>
          <w:lang w:val="en-US" w:eastAsia="zh-CN"/>
        </w:rPr>
      </w:pPr>
      <w:r>
        <w:rPr>
          <w:rFonts w:ascii="Times New Roman" w:hAnsi="Times New Roman" w:eastAsia="黑体" w:cs="黑体"/>
          <w:sz w:val="32"/>
          <w:szCs w:val="32"/>
        </w:rPr>
        <w:t>第一部分</w:t>
      </w:r>
      <w:r>
        <w:rPr>
          <w:rFonts w:hint="default" w:ascii="Times New Roman" w:hAnsi="Times New Roman" w:eastAsia="黑体" w:cs="黑体"/>
          <w:sz w:val="32"/>
          <w:szCs w:val="32"/>
        </w:rPr>
        <w:t xml:space="preserve"> </w:t>
      </w:r>
      <w:r>
        <w:rPr>
          <w:rFonts w:ascii="Times New Roman" w:hAnsi="Times New Roman" w:eastAsia="黑体" w:cs="黑体"/>
          <w:sz w:val="32"/>
          <w:szCs w:val="32"/>
        </w:rPr>
        <w:t>部门概况</w:t>
      </w:r>
      <w:r>
        <w:rPr>
          <w:rFonts w:hint="default" w:ascii="Times New Roman" w:hAnsi="Times New Roman" w:eastAsia="黑体" w:cs="黑体"/>
          <w:sz w:val="32"/>
          <w:szCs w:val="32"/>
        </w:rPr>
        <w:t>………………………………………….…1</w:t>
      </w:r>
    </w:p>
    <w:p w14:paraId="1B8A3C83">
      <w:pPr>
        <w:pStyle w:val="9"/>
        <w:pageBreakBefore w:val="0"/>
        <w:widowControl/>
        <w:kinsoku/>
        <w:wordWrap/>
        <w:overflowPunct/>
        <w:topLinePunct w:val="0"/>
        <w:autoSpaceDE/>
        <w:autoSpaceDN/>
        <w:bidi w:val="0"/>
        <w:adjustRightInd w:val="0"/>
        <w:snapToGrid w:val="0"/>
        <w:spacing w:before="0" w:line="560" w:lineRule="atLeast"/>
        <w:ind w:firstLine="640" w:firstLineChars="200"/>
        <w:jc w:val="left"/>
        <w:textAlignment w:val="auto"/>
        <w:rPr>
          <w:rFonts w:eastAsia="仿宋_GB2312" w:cs="仿宋_GB2312"/>
          <w:sz w:val="32"/>
          <w:szCs w:val="32"/>
        </w:rPr>
      </w:pPr>
      <w:r>
        <w:rPr>
          <w:rFonts w:hint="eastAsia" w:eastAsia="仿宋_GB2312" w:cs="仿宋_GB2312"/>
          <w:sz w:val="32"/>
          <w:szCs w:val="32"/>
        </w:rPr>
        <w:t>一、部门职责</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default" w:ascii="Times New Roman" w:hAnsi="Times New Roman" w:eastAsia="黑体" w:cs="黑体"/>
          <w:sz w:val="32"/>
          <w:szCs w:val="32"/>
        </w:rPr>
        <w:t>1</w:t>
      </w:r>
    </w:p>
    <w:p w14:paraId="1E8919E9">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二、机构设置</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w:t>
      </w:r>
    </w:p>
    <w:p w14:paraId="6DE81AF7">
      <w:pPr>
        <w:pStyle w:val="9"/>
        <w:pageBreakBefore w:val="0"/>
        <w:widowControl/>
        <w:kinsoku/>
        <w:wordWrap/>
        <w:overflowPunct/>
        <w:topLinePunct w:val="0"/>
        <w:autoSpaceDE/>
        <w:autoSpaceDN/>
        <w:bidi w:val="0"/>
        <w:adjustRightInd w:val="0"/>
        <w:snapToGrid w:val="0"/>
        <w:spacing w:before="0" w:line="560" w:lineRule="atLeast"/>
        <w:jc w:val="left"/>
        <w:textAlignment w:val="auto"/>
        <w:rPr>
          <w:rFonts w:hint="default" w:ascii="Times New Roman" w:hAnsi="Times New Roman" w:eastAsia="黑体" w:cs="黑体"/>
          <w:sz w:val="32"/>
          <w:szCs w:val="32"/>
          <w:lang w:val="en-US"/>
        </w:rPr>
      </w:pPr>
      <w:r>
        <w:rPr>
          <w:rFonts w:ascii="Times New Roman" w:hAnsi="Times New Roman" w:eastAsia="黑体" w:cs="黑体"/>
          <w:sz w:val="32"/>
          <w:szCs w:val="32"/>
        </w:rPr>
        <w:t>第二部分</w:t>
      </w:r>
      <w:r>
        <w:rPr>
          <w:rFonts w:hint="default" w:ascii="Times New Roman" w:hAnsi="Times New Roman" w:eastAsia="黑体" w:cs="黑体"/>
          <w:sz w:val="32"/>
          <w:szCs w:val="32"/>
        </w:rPr>
        <w:t xml:space="preserve"> 2025</w:t>
      </w:r>
      <w:r>
        <w:rPr>
          <w:rFonts w:ascii="Times New Roman" w:hAnsi="Times New Roman" w:eastAsia="黑体" w:cs="黑体"/>
          <w:sz w:val="32"/>
          <w:szCs w:val="32"/>
        </w:rPr>
        <w:t>年度部门决算情况说明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..5</w:t>
      </w:r>
    </w:p>
    <w:p w14:paraId="6F781597">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eastAsia="仿宋_GB2312" w:cs="仿宋_GB2312"/>
          <w:sz w:val="32"/>
          <w:szCs w:val="32"/>
        </w:rPr>
      </w:pPr>
      <w:r>
        <w:rPr>
          <w:rFonts w:hint="eastAsia" w:eastAsia="仿宋_GB2312" w:cs="仿宋_GB2312"/>
          <w:sz w:val="32"/>
          <w:szCs w:val="32"/>
        </w:rPr>
        <w:t>一、收入支出决算总体情况说明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default" w:ascii="Times New Roman" w:hAnsi="Times New Roman" w:eastAsia="黑体" w:cs="黑体"/>
          <w:sz w:val="32"/>
          <w:szCs w:val="32"/>
        </w:rPr>
        <w:t>…</w:t>
      </w:r>
      <w:r>
        <w:rPr>
          <w:rFonts w:hint="eastAsia"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..5</w:t>
      </w:r>
    </w:p>
    <w:p w14:paraId="5416501E">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二、收入决算情况说明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5</w:t>
      </w:r>
    </w:p>
    <w:p w14:paraId="054D42AC">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三、支出决算情况说明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6</w:t>
      </w:r>
    </w:p>
    <w:p w14:paraId="23502886">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四、财政拨款收入支出决算总体情况说明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7</w:t>
      </w:r>
    </w:p>
    <w:p w14:paraId="165F63AA">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五、一般公共预算财政拨款支出决算情况说明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8</w:t>
      </w:r>
    </w:p>
    <w:p w14:paraId="31818459">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六、一般公共预算财政拨款基本支出决算情况说明</w:t>
      </w:r>
      <w:r>
        <w:rPr>
          <w:rFonts w:hint="default" w:ascii="Times New Roman" w:hAnsi="Times New Roman" w:eastAsia="黑体" w:cs="黑体"/>
          <w:sz w:val="32"/>
          <w:szCs w:val="32"/>
        </w:rPr>
        <w:t>.…</w:t>
      </w:r>
      <w:r>
        <w:rPr>
          <w:rFonts w:hint="eastAsia" w:eastAsia="黑体" w:cs="黑体"/>
          <w:sz w:val="32"/>
          <w:szCs w:val="32"/>
          <w:lang w:val="en-US" w:eastAsia="zh-CN"/>
        </w:rPr>
        <w:t>.12</w:t>
      </w:r>
    </w:p>
    <w:p w14:paraId="56CF6D15">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七、财政拨款“三公”经费支出决算情况说明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12</w:t>
      </w:r>
    </w:p>
    <w:p w14:paraId="2477ABAA">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八、政府性基金预算支出决算情况说明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...14</w:t>
      </w:r>
    </w:p>
    <w:p w14:paraId="676DD613">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九、国有资本经营预算支出决算情况说明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...15</w:t>
      </w:r>
    </w:p>
    <w:p w14:paraId="1FE8B8D2">
      <w:pPr>
        <w:pStyle w:val="11"/>
        <w:pageBreakBefore w:val="0"/>
        <w:widowControl/>
        <w:kinsoku/>
        <w:wordWrap/>
        <w:overflowPunct/>
        <w:topLinePunct w:val="0"/>
        <w:autoSpaceDE/>
        <w:autoSpaceDN/>
        <w:bidi w:val="0"/>
        <w:adjustRightInd w:val="0"/>
        <w:snapToGrid w:val="0"/>
        <w:spacing w:line="240" w:lineRule="auto"/>
        <w:ind w:left="0" w:leftChars="0" w:firstLine="640" w:firstLineChars="200"/>
        <w:jc w:val="left"/>
        <w:textAlignment w:val="auto"/>
        <w:rPr>
          <w:rFonts w:hint="default" w:ascii="Times New Roman" w:hAnsi="Times New Roman" w:eastAsia="黑体" w:cs="黑体"/>
          <w:sz w:val="32"/>
          <w:szCs w:val="32"/>
          <w:lang w:val="en-US"/>
        </w:rPr>
      </w:pPr>
      <w:r>
        <w:rPr>
          <w:rFonts w:hint="eastAsia" w:eastAsia="仿宋_GB2312" w:cs="仿宋_GB2312"/>
          <w:sz w:val="32"/>
          <w:szCs w:val="32"/>
        </w:rPr>
        <w:t>十、其他重要事项的情况说明</w:t>
      </w:r>
      <w:r>
        <w:rPr>
          <w:rFonts w:hint="default" w:ascii="Times New Roman" w:hAnsi="Times New Roman" w:eastAsia="黑体" w:cs="黑体"/>
          <w:sz w:val="32"/>
          <w:szCs w:val="32"/>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...15</w:t>
      </w:r>
      <w:r>
        <w:rPr>
          <w:rFonts w:ascii="Times New Roman" w:hAnsi="Times New Roman" w:eastAsia="黑体" w:cs="黑体"/>
          <w:sz w:val="32"/>
          <w:szCs w:val="32"/>
        </w:rPr>
        <w:t>第三部分</w:t>
      </w:r>
      <w:r>
        <w:rPr>
          <w:rFonts w:hint="default" w:ascii="Times New Roman" w:hAnsi="Times New Roman" w:eastAsia="黑体" w:cs="黑体"/>
          <w:sz w:val="32"/>
          <w:szCs w:val="32"/>
        </w:rPr>
        <w:t xml:space="preserve"> </w:t>
      </w:r>
      <w:r>
        <w:rPr>
          <w:rFonts w:ascii="Times New Roman" w:hAnsi="Times New Roman" w:eastAsia="黑体" w:cs="黑体"/>
          <w:sz w:val="32"/>
          <w:szCs w:val="32"/>
        </w:rPr>
        <w:t>名词解释</w:t>
      </w:r>
      <w:r>
        <w:rPr>
          <w:rFonts w:hint="default" w:ascii="Times New Roman" w:hAnsi="Times New Roman" w:eastAsia="黑体" w:cs="黑体"/>
          <w:sz w:val="32"/>
          <w:szCs w:val="32"/>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1</w:t>
      </w:r>
      <w:r>
        <w:rPr>
          <w:rFonts w:hint="eastAsia" w:eastAsia="黑体" w:cs="黑体"/>
          <w:sz w:val="32"/>
          <w:szCs w:val="32"/>
          <w:lang w:val="en-US" w:eastAsia="zh-CN"/>
        </w:rPr>
        <w:t>8</w:t>
      </w:r>
    </w:p>
    <w:p w14:paraId="7F6305DF">
      <w:pPr>
        <w:pStyle w:val="9"/>
        <w:pageBreakBefore w:val="0"/>
        <w:widowControl/>
        <w:kinsoku/>
        <w:wordWrap/>
        <w:overflowPunct/>
        <w:topLinePunct w:val="0"/>
        <w:autoSpaceDE/>
        <w:autoSpaceDN/>
        <w:bidi w:val="0"/>
        <w:adjustRightInd w:val="0"/>
        <w:snapToGrid w:val="0"/>
        <w:spacing w:before="0" w:line="560" w:lineRule="atLeast"/>
        <w:jc w:val="left"/>
        <w:textAlignment w:val="auto"/>
        <w:rPr>
          <w:rFonts w:hint="default" w:ascii="Times New Roman" w:hAnsi="Times New Roman" w:eastAsia="黑体" w:cs="黑体"/>
          <w:sz w:val="32"/>
          <w:szCs w:val="32"/>
          <w:lang w:val="en-US"/>
        </w:rPr>
      </w:pPr>
      <w:r>
        <w:rPr>
          <w:rFonts w:ascii="Times New Roman" w:hAnsi="Times New Roman" w:eastAsia="黑体" w:cs="黑体"/>
          <w:sz w:val="32"/>
          <w:szCs w:val="32"/>
        </w:rPr>
        <w:t>第四部分</w:t>
      </w:r>
      <w:r>
        <w:rPr>
          <w:rFonts w:hint="default" w:ascii="Times New Roman" w:hAnsi="Times New Roman" w:eastAsia="黑体" w:cs="黑体"/>
          <w:sz w:val="32"/>
          <w:szCs w:val="32"/>
        </w:rPr>
        <w:t xml:space="preserve"> </w:t>
      </w:r>
      <w:r>
        <w:rPr>
          <w:rFonts w:ascii="Times New Roman" w:hAnsi="Times New Roman" w:eastAsia="黑体" w:cs="黑体"/>
          <w:sz w:val="32"/>
          <w:szCs w:val="32"/>
        </w:rPr>
        <w:t>附件</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.......21</w:t>
      </w:r>
    </w:p>
    <w:p w14:paraId="7CBE9903">
      <w:pPr>
        <w:pStyle w:val="9"/>
        <w:pageBreakBefore w:val="0"/>
        <w:widowControl/>
        <w:kinsoku/>
        <w:wordWrap/>
        <w:overflowPunct/>
        <w:topLinePunct w:val="0"/>
        <w:autoSpaceDE/>
        <w:autoSpaceDN/>
        <w:bidi w:val="0"/>
        <w:adjustRightInd w:val="0"/>
        <w:snapToGrid w:val="0"/>
        <w:spacing w:before="0" w:line="560" w:lineRule="atLeast"/>
        <w:jc w:val="left"/>
        <w:textAlignment w:val="auto"/>
        <w:rPr>
          <w:rFonts w:hint="default" w:ascii="Times New Roman" w:hAnsi="Times New Roman" w:eastAsia="黑体" w:cs="黑体"/>
          <w:sz w:val="32"/>
          <w:szCs w:val="32"/>
          <w:lang w:val="en-US" w:eastAsia="zh-CN"/>
        </w:rPr>
      </w:pPr>
      <w:r>
        <w:rPr>
          <w:rFonts w:ascii="Times New Roman" w:hAnsi="Times New Roman" w:eastAsia="黑体" w:cs="黑体"/>
          <w:sz w:val="32"/>
          <w:szCs w:val="32"/>
        </w:rPr>
        <w:t>第五部分</w:t>
      </w:r>
      <w:r>
        <w:rPr>
          <w:rFonts w:hint="default" w:ascii="Times New Roman" w:hAnsi="Times New Roman" w:eastAsia="黑体" w:cs="黑体"/>
          <w:sz w:val="32"/>
          <w:szCs w:val="32"/>
        </w:rPr>
        <w:t xml:space="preserve"> </w:t>
      </w:r>
      <w:r>
        <w:rPr>
          <w:rFonts w:ascii="Times New Roman" w:hAnsi="Times New Roman" w:eastAsia="黑体" w:cs="黑体"/>
          <w:sz w:val="32"/>
          <w:szCs w:val="32"/>
        </w:rPr>
        <w:t>附表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34</w:t>
      </w:r>
    </w:p>
    <w:p w14:paraId="47B646BD">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一、收入支出决算总表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..34</w:t>
      </w:r>
    </w:p>
    <w:p w14:paraId="78D9E7B5">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二、收入决算表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34</w:t>
      </w:r>
    </w:p>
    <w:p w14:paraId="64A1A949">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eastAsia" w:eastAsia="仿宋_GB2312" w:cs="仿宋_GB2312"/>
          <w:sz w:val="32"/>
          <w:szCs w:val="32"/>
        </w:rPr>
        <w:sectPr>
          <w:footerReference r:id="rId3" w:type="default"/>
          <w:pgSz w:w="12240" w:h="15840"/>
          <w:pgMar w:top="1440" w:right="1800" w:bottom="1440" w:left="1800" w:header="720" w:footer="720" w:gutter="0"/>
          <w:pgNumType w:start="1"/>
          <w:cols w:space="425" w:num="1"/>
          <w:docGrid w:type="lines" w:linePitch="312" w:charSpace="0"/>
        </w:sectPr>
      </w:pPr>
    </w:p>
    <w:p w14:paraId="1F00D177">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三、支出决算表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34</w:t>
      </w:r>
    </w:p>
    <w:p w14:paraId="48A221A5">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四、财政拨款收入支出决算总表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34</w:t>
      </w:r>
    </w:p>
    <w:p w14:paraId="00A6D6FB">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五、财政拨款支出决算明细表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34</w:t>
      </w:r>
    </w:p>
    <w:p w14:paraId="29C04E8B">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六、一般公共预算财政拨款支出决算表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34</w:t>
      </w:r>
    </w:p>
    <w:p w14:paraId="32435C0F">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七、一般公共预算财政拨款支出决算明细表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34</w:t>
      </w:r>
    </w:p>
    <w:p w14:paraId="1113647D">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八、一般公共预算财政拨款基本支出决算明细表</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34</w:t>
      </w:r>
    </w:p>
    <w:p w14:paraId="42AD9FEC">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九、一般公共预算财政拨款项目支出决算表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34</w:t>
      </w:r>
    </w:p>
    <w:p w14:paraId="712DDBBC">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十、政府性基金预算财政拨款收入支出决算表</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34</w:t>
      </w:r>
    </w:p>
    <w:p w14:paraId="3E8082E1">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十一、国有资本经营预算财政拨款收入支出决算表</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34</w:t>
      </w:r>
    </w:p>
    <w:p w14:paraId="373E6126">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十二、国有资本经营预算财政拨款支出决算表</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34</w:t>
      </w:r>
    </w:p>
    <w:p w14:paraId="4881D73B">
      <w:pPr>
        <w:pageBreakBefore w:val="0"/>
        <w:widowControl/>
        <w:kinsoku/>
        <w:wordWrap/>
        <w:overflowPunct/>
        <w:topLinePunct w:val="0"/>
        <w:autoSpaceDE/>
        <w:autoSpaceDN/>
        <w:bidi w:val="0"/>
        <w:spacing w:line="560" w:lineRule="atLeast"/>
        <w:ind w:firstLine="640" w:firstLineChars="200"/>
        <w:jc w:val="left"/>
        <w:textAlignment w:val="auto"/>
        <w:rPr>
          <w:rFonts w:hint="default" w:ascii="Times New Roman" w:hAnsi="Times New Roman" w:eastAsia="仿宋_GB2312" w:cs="仿宋_GB2312"/>
          <w:sz w:val="32"/>
          <w:szCs w:val="32"/>
          <w:lang w:val="en-US" w:bidi="ar"/>
        </w:rPr>
      </w:pPr>
      <w:r>
        <w:rPr>
          <w:rFonts w:hint="eastAsia" w:ascii="Times New Roman" w:hAnsi="Times New Roman" w:eastAsia="仿宋_GB2312" w:cs="仿宋_GB2312"/>
          <w:sz w:val="32"/>
          <w:szCs w:val="32"/>
          <w:lang w:bidi="ar"/>
        </w:rPr>
        <w:t>十三、财政拨款“三公”经费支出决算表</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....................34</w:t>
      </w:r>
    </w:p>
    <w:p w14:paraId="7171E553">
      <w:pPr>
        <w:widowControl/>
        <w:spacing w:line="560" w:lineRule="exact"/>
        <w:ind w:firstLine="640" w:firstLineChars="200"/>
        <w:jc w:val="left"/>
        <w:rPr>
          <w:rFonts w:ascii="Times New Roman" w:hAnsi="Times New Roman" w:eastAsia="仿宋_GB2312" w:cs="仿宋_GB2312"/>
          <w:sz w:val="32"/>
          <w:szCs w:val="32"/>
          <w:lang w:bidi="ar"/>
        </w:rPr>
      </w:pPr>
    </w:p>
    <w:p w14:paraId="31E45625">
      <w:pPr>
        <w:widowControl/>
        <w:spacing w:line="560" w:lineRule="exact"/>
        <w:ind w:firstLine="640" w:firstLineChars="200"/>
        <w:jc w:val="left"/>
        <w:rPr>
          <w:rFonts w:ascii="Times New Roman" w:hAnsi="Times New Roman" w:eastAsia="仿宋_GB2312" w:cs="仿宋_GB2312"/>
          <w:sz w:val="32"/>
          <w:szCs w:val="32"/>
          <w:lang w:bidi="ar"/>
        </w:rPr>
      </w:pPr>
      <w:bookmarkStart w:id="68" w:name="_GoBack"/>
      <w:bookmarkEnd w:id="68"/>
    </w:p>
    <w:p w14:paraId="67C2AFCE">
      <w:pPr>
        <w:widowControl/>
        <w:spacing w:line="560" w:lineRule="exact"/>
        <w:ind w:firstLine="640" w:firstLineChars="200"/>
        <w:jc w:val="left"/>
        <w:rPr>
          <w:rFonts w:ascii="Times New Roman" w:hAnsi="Times New Roman" w:eastAsia="仿宋_GB2312" w:cs="仿宋_GB2312"/>
          <w:sz w:val="32"/>
          <w:szCs w:val="32"/>
          <w:lang w:bidi="ar"/>
        </w:rPr>
      </w:pPr>
    </w:p>
    <w:p w14:paraId="46DBBAA4">
      <w:pPr>
        <w:widowControl/>
        <w:spacing w:line="560" w:lineRule="exact"/>
        <w:ind w:firstLine="640" w:firstLineChars="200"/>
        <w:jc w:val="left"/>
        <w:rPr>
          <w:rFonts w:ascii="Times New Roman" w:hAnsi="Times New Roman" w:eastAsia="仿宋_GB2312" w:cs="仿宋_GB2312"/>
          <w:sz w:val="32"/>
          <w:szCs w:val="32"/>
          <w:lang w:bidi="ar"/>
        </w:rPr>
      </w:pPr>
    </w:p>
    <w:p w14:paraId="1D1B133F">
      <w:pPr>
        <w:widowControl/>
        <w:spacing w:line="560" w:lineRule="exact"/>
        <w:ind w:firstLine="640" w:firstLineChars="200"/>
        <w:jc w:val="left"/>
        <w:rPr>
          <w:rFonts w:ascii="Times New Roman" w:hAnsi="Times New Roman" w:eastAsia="仿宋_GB2312" w:cs="仿宋_GB2312"/>
          <w:sz w:val="32"/>
          <w:szCs w:val="32"/>
          <w:lang w:bidi="ar"/>
        </w:rPr>
      </w:pPr>
    </w:p>
    <w:p w14:paraId="7DC37CE7">
      <w:pPr>
        <w:widowControl/>
        <w:spacing w:line="560" w:lineRule="exact"/>
        <w:ind w:firstLine="640" w:firstLineChars="200"/>
        <w:jc w:val="left"/>
        <w:rPr>
          <w:rFonts w:ascii="Times New Roman" w:hAnsi="Times New Roman" w:eastAsia="仿宋_GB2312" w:cs="仿宋_GB2312"/>
          <w:sz w:val="32"/>
          <w:szCs w:val="32"/>
          <w:lang w:bidi="ar"/>
        </w:rPr>
      </w:pPr>
    </w:p>
    <w:p w14:paraId="34EAC73A">
      <w:pPr>
        <w:widowControl/>
        <w:spacing w:line="560" w:lineRule="exact"/>
        <w:ind w:firstLine="640" w:firstLineChars="200"/>
        <w:jc w:val="left"/>
        <w:rPr>
          <w:rFonts w:ascii="Times New Roman" w:hAnsi="Times New Roman" w:eastAsia="仿宋_GB2312" w:cs="仿宋_GB2312"/>
          <w:sz w:val="32"/>
          <w:szCs w:val="32"/>
          <w:lang w:bidi="ar"/>
        </w:rPr>
      </w:pPr>
    </w:p>
    <w:p w14:paraId="058EE3CC">
      <w:pPr>
        <w:widowControl/>
        <w:spacing w:line="560" w:lineRule="exact"/>
        <w:ind w:firstLine="640" w:firstLineChars="200"/>
        <w:jc w:val="left"/>
        <w:rPr>
          <w:rFonts w:ascii="Times New Roman" w:hAnsi="Times New Roman" w:eastAsia="仿宋_GB2312" w:cs="仿宋_GB2312"/>
          <w:sz w:val="32"/>
          <w:szCs w:val="32"/>
          <w:lang w:bidi="ar"/>
        </w:rPr>
      </w:pPr>
    </w:p>
    <w:p w14:paraId="4A206C00">
      <w:pPr>
        <w:widowControl/>
        <w:spacing w:line="560" w:lineRule="exact"/>
        <w:ind w:firstLine="640" w:firstLineChars="200"/>
        <w:jc w:val="left"/>
        <w:rPr>
          <w:rFonts w:ascii="Times New Roman" w:hAnsi="Times New Roman" w:eastAsia="仿宋_GB2312" w:cs="仿宋_GB2312"/>
          <w:sz w:val="32"/>
          <w:szCs w:val="32"/>
          <w:lang w:bidi="ar"/>
        </w:rPr>
      </w:pPr>
    </w:p>
    <w:p w14:paraId="317EC460">
      <w:pPr>
        <w:widowControl/>
        <w:spacing w:line="560" w:lineRule="exact"/>
        <w:ind w:firstLine="640" w:firstLineChars="200"/>
        <w:jc w:val="left"/>
        <w:rPr>
          <w:rFonts w:ascii="Times New Roman" w:hAnsi="Times New Roman" w:eastAsia="仿宋_GB2312" w:cs="仿宋_GB2312"/>
          <w:sz w:val="32"/>
          <w:szCs w:val="32"/>
          <w:lang w:bidi="ar"/>
        </w:rPr>
      </w:pPr>
    </w:p>
    <w:p w14:paraId="7D05B42C">
      <w:pPr>
        <w:widowControl/>
        <w:spacing w:line="560" w:lineRule="exact"/>
        <w:ind w:firstLine="640" w:firstLineChars="200"/>
        <w:jc w:val="left"/>
        <w:rPr>
          <w:rFonts w:ascii="Times New Roman" w:hAnsi="Times New Roman" w:eastAsia="仿宋_GB2312" w:cs="仿宋_GB2312"/>
          <w:sz w:val="32"/>
          <w:szCs w:val="32"/>
          <w:lang w:bidi="ar"/>
        </w:rPr>
      </w:pPr>
    </w:p>
    <w:p w14:paraId="4808330B">
      <w:pPr>
        <w:pStyle w:val="2"/>
        <w:widowControl/>
        <w:spacing w:before="0" w:after="0" w:line="560" w:lineRule="exact"/>
        <w:jc w:val="center"/>
        <w:rPr>
          <w:rFonts w:hint="eastAsia" w:hAnsi="方正小标宋简体" w:eastAsia="方正小标宋简体" w:cs="方正小标宋简体"/>
          <w:b w:val="0"/>
        </w:rPr>
        <w:sectPr>
          <w:footerReference r:id="rId4" w:type="default"/>
          <w:pgSz w:w="12240" w:h="15840"/>
          <w:pgMar w:top="1440" w:right="1800" w:bottom="1440" w:left="1800" w:header="720" w:footer="720" w:gutter="0"/>
          <w:pgNumType w:start="1"/>
          <w:cols w:space="425" w:num="1"/>
          <w:docGrid w:type="lines" w:linePitch="312" w:charSpace="0"/>
        </w:sectPr>
      </w:pPr>
    </w:p>
    <w:p w14:paraId="0E145CB2">
      <w:pPr>
        <w:pStyle w:val="2"/>
        <w:pageBreakBefore w:val="0"/>
        <w:widowControl/>
        <w:kinsoku/>
        <w:wordWrap/>
        <w:overflowPunct/>
        <w:topLinePunct w:val="0"/>
        <w:autoSpaceDE/>
        <w:autoSpaceDN/>
        <w:bidi w:val="0"/>
        <w:spacing w:before="0" w:after="0" w:line="560" w:lineRule="exact"/>
        <w:ind w:left="0"/>
        <w:jc w:val="center"/>
        <w:textAlignment w:val="auto"/>
        <w:rPr>
          <w:rFonts w:eastAsia="方正小标宋简体" w:cs="方正小标宋简体"/>
          <w:bCs w:val="0"/>
        </w:rPr>
      </w:pPr>
      <w:r>
        <w:rPr>
          <w:rFonts w:hint="eastAsia" w:hAnsi="方正小标宋简体" w:eastAsia="方正小标宋简体" w:cs="方正小标宋简体"/>
          <w:b w:val="0"/>
        </w:rPr>
        <w:t>第一部分</w:t>
      </w:r>
      <w:r>
        <w:rPr>
          <w:rFonts w:eastAsia="方正小标宋简体" w:cs="方正小标宋简体"/>
          <w:b w:val="0"/>
        </w:rPr>
        <w:t xml:space="preserve">  </w:t>
      </w:r>
      <w:r>
        <w:rPr>
          <w:rStyle w:val="22"/>
          <w:rFonts w:hint="eastAsia" w:hAnsi="方正小标宋简体" w:eastAsia="方正小标宋简体" w:cs="方正小标宋简体"/>
          <w:b/>
          <w:bCs/>
        </w:rPr>
        <w:t>部门概况</w:t>
      </w:r>
    </w:p>
    <w:p w14:paraId="4D6B457C">
      <w:pPr>
        <w:pageBreakBefore w:val="0"/>
        <w:widowControl/>
        <w:kinsoku/>
        <w:wordWrap/>
        <w:overflowPunct/>
        <w:topLinePunct w:val="0"/>
        <w:autoSpaceDE/>
        <w:autoSpaceDN/>
        <w:bidi w:val="0"/>
        <w:spacing w:line="560" w:lineRule="exact"/>
        <w:ind w:left="0"/>
        <w:jc w:val="left"/>
        <w:textAlignment w:val="auto"/>
        <w:rPr>
          <w:rFonts w:eastAsia="黑体"/>
          <w:sz w:val="32"/>
          <w:szCs w:val="32"/>
        </w:rPr>
      </w:pPr>
    </w:p>
    <w:p w14:paraId="4EAC1DD0">
      <w:pPr>
        <w:pStyle w:val="3"/>
        <w:pageBreakBefore w:val="0"/>
        <w:widowControl/>
        <w:numPr>
          <w:ilvl w:val="0"/>
          <w:numId w:val="1"/>
        </w:numPr>
        <w:kinsoku/>
        <w:wordWrap/>
        <w:overflowPunct/>
        <w:topLinePunct w:val="0"/>
        <w:autoSpaceDE/>
        <w:autoSpaceDN/>
        <w:bidi w:val="0"/>
        <w:spacing w:before="0" w:after="0" w:line="560" w:lineRule="exact"/>
        <w:ind w:left="0"/>
        <w:textAlignment w:val="auto"/>
        <w:rPr>
          <w:rFonts w:ascii="Times New Roman" w:hAnsi="Times New Roman" w:eastAsia="黑体" w:cs="黑体"/>
          <w:b w:val="0"/>
        </w:rPr>
      </w:pPr>
      <w:r>
        <w:rPr>
          <w:rFonts w:hint="eastAsia" w:ascii="Times New Roman" w:hAnsi="Times New Roman" w:eastAsia="黑体" w:cs="黑体"/>
          <w:b w:val="0"/>
        </w:rPr>
        <w:t>部门职责</w:t>
      </w:r>
    </w:p>
    <w:p w14:paraId="22853A99">
      <w:pPr>
        <w:pageBreakBefore w:val="0"/>
        <w:kinsoku/>
        <w:wordWrap/>
        <w:overflowPunct/>
        <w:topLinePunct w:val="0"/>
        <w:autoSpaceDE/>
        <w:autoSpaceDN/>
        <w:bidi w:val="0"/>
        <w:spacing w:line="560" w:lineRule="exact"/>
        <w:ind w:left="0" w:firstLine="643" w:firstLineChars="200"/>
        <w:textAlignment w:val="auto"/>
        <w:rPr>
          <w:rFonts w:eastAsia="仿宋_GB2312" w:cs="仿宋_GB2312"/>
          <w:sz w:val="32"/>
          <w:szCs w:val="32"/>
        </w:rPr>
      </w:pPr>
      <w:r>
        <w:rPr>
          <w:rFonts w:hint="eastAsia" w:ascii="Times New Roman" w:hAnsi="Times New Roman" w:eastAsia="仿宋_GB2312" w:cs="仿宋_GB2312"/>
          <w:b/>
          <w:sz w:val="32"/>
          <w:szCs w:val="32"/>
          <w:lang w:bidi="ar"/>
        </w:rPr>
        <w:t>（一）镇党委主要职责</w:t>
      </w:r>
    </w:p>
    <w:p w14:paraId="6C25C470">
      <w:pPr>
        <w:pageBreakBefore w:val="0"/>
        <w:kinsoku/>
        <w:wordWrap/>
        <w:overflowPunct/>
        <w:topLinePunct w:val="0"/>
        <w:autoSpaceDE/>
        <w:autoSpaceDN/>
        <w:bidi w:val="0"/>
        <w:spacing w:line="560" w:lineRule="exact"/>
        <w:ind w:left="0" w:firstLine="640" w:firstLineChars="200"/>
        <w:textAlignment w:val="auto"/>
        <w:rPr>
          <w:rFonts w:eastAsia="仿宋_GB2312" w:cs="仿宋_GB2312"/>
          <w:sz w:val="32"/>
          <w:szCs w:val="32"/>
        </w:rPr>
      </w:pPr>
      <w:r>
        <w:rPr>
          <w:rFonts w:hint="eastAsia" w:ascii="Times New Roman" w:hAnsi="Times New Roman" w:eastAsia="仿宋_GB2312" w:cs="仿宋_GB2312"/>
          <w:sz w:val="32"/>
          <w:szCs w:val="32"/>
          <w:lang w:bidi="ar"/>
        </w:rPr>
        <w:t>积极宣传、贯彻执行党的路线、方针、政策，负责领导本地区的工作，支持和保护行政组织、经济组织和群众自治组织充分行使职权；领导制定本镇的经济和社会发展规划并组织协调督促各部门贯彻实施，切实保证各项计划、目标的完成；负责镇领导班子的自身建设和对干部进行选拔、培养、使用、考核、监督工作；负责抓好党员的发展、教育、管理；严肃党纪，端正党风，抓好党的组织建设、作风建设、制度建设和思想建设；加强对村支部、镇企业支部、村民委员会的领导、监督和检查工作，充分发挥他们的作用；负责本地区的社会治安综合治理、精神文明建设、廉政工作和政治思想工作；负责本地区社会主义民主法制建设；负责对镇共青团、妇联和民兵工作的领导；协助管理上级有关部门驻镇干部；完成县委交办的其它工作。</w:t>
      </w:r>
    </w:p>
    <w:p w14:paraId="7FEDFA1D">
      <w:pPr>
        <w:pageBreakBefore w:val="0"/>
        <w:kinsoku/>
        <w:wordWrap/>
        <w:overflowPunct/>
        <w:topLinePunct w:val="0"/>
        <w:autoSpaceDE/>
        <w:autoSpaceDN/>
        <w:bidi w:val="0"/>
        <w:spacing w:line="560" w:lineRule="exact"/>
        <w:ind w:left="0" w:firstLine="643" w:firstLineChars="200"/>
        <w:textAlignment w:val="auto"/>
        <w:rPr>
          <w:rFonts w:eastAsia="仿宋_GB2312" w:cs="仿宋_GB2312"/>
          <w:b/>
          <w:sz w:val="32"/>
          <w:szCs w:val="32"/>
        </w:rPr>
      </w:pPr>
      <w:r>
        <w:rPr>
          <w:rFonts w:hint="eastAsia" w:ascii="Times New Roman" w:hAnsi="Times New Roman" w:eastAsia="仿宋_GB2312" w:cs="仿宋_GB2312"/>
          <w:b/>
          <w:sz w:val="32"/>
          <w:szCs w:val="32"/>
          <w:lang w:bidi="ar"/>
        </w:rPr>
        <w:t>（二）镇人大主席团主要职责</w:t>
      </w:r>
    </w:p>
    <w:p w14:paraId="67A12D6F">
      <w:pPr>
        <w:pageBreakBefore w:val="0"/>
        <w:kinsoku/>
        <w:wordWrap/>
        <w:overflowPunct/>
        <w:topLinePunct w:val="0"/>
        <w:autoSpaceDE/>
        <w:autoSpaceDN/>
        <w:bidi w:val="0"/>
        <w:spacing w:line="560" w:lineRule="exact"/>
        <w:ind w:left="0" w:firstLine="640" w:firstLineChars="200"/>
        <w:textAlignment w:val="auto"/>
        <w:rPr>
          <w:rFonts w:eastAsia="仿宋_GB2312" w:cs="仿宋_GB2312"/>
          <w:sz w:val="32"/>
          <w:szCs w:val="32"/>
        </w:rPr>
      </w:pPr>
      <w:r>
        <w:rPr>
          <w:rFonts w:hint="eastAsia" w:ascii="Times New Roman" w:hAnsi="Times New Roman" w:eastAsia="仿宋_GB2312" w:cs="仿宋_GB2312"/>
          <w:sz w:val="32"/>
          <w:szCs w:val="32"/>
          <w:lang w:bidi="ar"/>
        </w:rPr>
        <w:t>检查、督促宪法、法律、法规及本级和上级人民代表大会决议、决定在本镇遵守、执行；在职权范围内通过和发布决议；健全和完善镇人民代表大会制度，使人大工作逐步实现制度化、规范化、法制化；充分行使镇人民代表大会的职权，听取和审议本级政府社会经济工作情况的报告，并监督本级人民政府工作；决定本行政区域内的经济、文化、公共事业的建设计划；负责组织人大代表开展对镇政府的评议，检查监督本级政府及相关单位办理本级人民代表提出的建议、批评和意见；受理个别职务、人民代表的辞职和任免；主持选举人民代表，决定召开人民代表大会；完成本级人民代表大会和上级人大交办的其它工作。</w:t>
      </w:r>
    </w:p>
    <w:p w14:paraId="2D58E1C1">
      <w:pPr>
        <w:pageBreakBefore w:val="0"/>
        <w:kinsoku/>
        <w:wordWrap/>
        <w:overflowPunct/>
        <w:topLinePunct w:val="0"/>
        <w:autoSpaceDE/>
        <w:autoSpaceDN/>
        <w:bidi w:val="0"/>
        <w:spacing w:line="560" w:lineRule="exact"/>
        <w:ind w:left="0" w:firstLine="643" w:firstLineChars="200"/>
        <w:textAlignment w:val="auto"/>
        <w:rPr>
          <w:rFonts w:eastAsia="仿宋_GB2312" w:cs="仿宋_GB2312"/>
          <w:sz w:val="32"/>
          <w:szCs w:val="32"/>
        </w:rPr>
      </w:pPr>
      <w:r>
        <w:rPr>
          <w:rFonts w:hint="eastAsia" w:ascii="Times New Roman" w:hAnsi="Times New Roman" w:eastAsia="仿宋_GB2312" w:cs="仿宋_GB2312"/>
          <w:b/>
          <w:sz w:val="32"/>
          <w:szCs w:val="32"/>
          <w:lang w:bidi="ar"/>
        </w:rPr>
        <w:t>（三）镇政府主要职责</w:t>
      </w:r>
    </w:p>
    <w:p w14:paraId="45D96834">
      <w:pPr>
        <w:pageBreakBefore w:val="0"/>
        <w:kinsoku/>
        <w:wordWrap/>
        <w:overflowPunct/>
        <w:topLinePunct w:val="0"/>
        <w:autoSpaceDE/>
        <w:autoSpaceDN/>
        <w:bidi w:val="0"/>
        <w:spacing w:line="560" w:lineRule="exact"/>
        <w:ind w:left="0" w:firstLine="640" w:firstLineChars="200"/>
        <w:textAlignment w:val="auto"/>
        <w:rPr>
          <w:rFonts w:eastAsia="仿宋_GB2312" w:cs="仿宋_GB2312"/>
          <w:sz w:val="32"/>
          <w:szCs w:val="32"/>
        </w:rPr>
      </w:pPr>
      <w:r>
        <w:rPr>
          <w:rFonts w:hint="eastAsia" w:ascii="Times New Roman" w:hAnsi="Times New Roman" w:eastAsia="仿宋_GB2312" w:cs="仿宋_GB2312"/>
          <w:sz w:val="32"/>
          <w:szCs w:val="32"/>
          <w:lang w:bidi="ar"/>
        </w:rPr>
        <w:t>执行上级和本级党委、人民代表大会的决议、决定及命令，执行本行政区域内的国民经济和社会发展计划；认真宣传贯彻党的路线、方针、政策和国家的法律法规，稳定农村基本经济制度；坚持依法行政，推进政务公开，加强对村民委员会的指导，提高、培育村民委员会自治能力；加强民政、教育、科技、文化、卫生、计划生育、安全生产、劳动保障、国土资源的保护利用和镇村规划建设的社会管理；保护社会主义的全民所有的财产和劳动群众集体所有的财产，保护公民私人所有的合法财产，维护社会秩序，保障公民的人身权利、民主权利和其它权利；保护各种经济组织的合法权益；妥善处理本行政区域内的民族宗教事务，保障少数民族的权利和尊重少数民族的风俗习惯；保障宪法和法律赋予妇女的男女平等，同工同酬和婚姻自由等各种权利；办理上级人民政府交办的其它事项。</w:t>
      </w:r>
    </w:p>
    <w:p w14:paraId="407F6A7B">
      <w:pPr>
        <w:pageBreakBefore w:val="0"/>
        <w:kinsoku/>
        <w:wordWrap/>
        <w:overflowPunct/>
        <w:topLinePunct w:val="0"/>
        <w:autoSpaceDE/>
        <w:autoSpaceDN/>
        <w:bidi w:val="0"/>
        <w:spacing w:line="560" w:lineRule="exact"/>
        <w:ind w:left="0" w:firstLine="643" w:firstLineChars="200"/>
        <w:textAlignment w:val="auto"/>
        <w:rPr>
          <w:rFonts w:eastAsia="仿宋_GB2312" w:cs="仿宋_GB2312"/>
          <w:sz w:val="32"/>
          <w:szCs w:val="32"/>
        </w:rPr>
      </w:pPr>
      <w:r>
        <w:rPr>
          <w:rFonts w:hint="eastAsia" w:ascii="Times New Roman" w:hAnsi="Times New Roman" w:eastAsia="仿宋_GB2312" w:cs="仿宋_GB2312"/>
          <w:b/>
          <w:sz w:val="32"/>
          <w:szCs w:val="32"/>
          <w:lang w:bidi="ar"/>
        </w:rPr>
        <w:t>（四）镇纪委主要职责</w:t>
      </w:r>
    </w:p>
    <w:p w14:paraId="2EA2D282">
      <w:pPr>
        <w:pageBreakBefore w:val="0"/>
        <w:kinsoku/>
        <w:wordWrap/>
        <w:overflowPunct/>
        <w:topLinePunct w:val="0"/>
        <w:autoSpaceDE/>
        <w:autoSpaceDN/>
        <w:bidi w:val="0"/>
        <w:spacing w:line="560" w:lineRule="exact"/>
        <w:ind w:left="0" w:firstLine="640" w:firstLineChars="200"/>
        <w:textAlignment w:val="auto"/>
        <w:rPr>
          <w:rFonts w:ascii="Times New Roman" w:hAnsi="Times New Roman" w:eastAsia="仿宋_GB2312" w:cs="仿宋_GB2312"/>
          <w:sz w:val="32"/>
          <w:szCs w:val="32"/>
          <w:lang w:bidi="ar"/>
        </w:rPr>
      </w:pPr>
      <w:r>
        <w:rPr>
          <w:rFonts w:hint="eastAsia" w:ascii="Times New Roman" w:hAnsi="Times New Roman" w:eastAsia="仿宋_GB2312" w:cs="仿宋_GB2312"/>
          <w:sz w:val="32"/>
          <w:szCs w:val="32"/>
          <w:lang w:bidi="ar"/>
        </w:rPr>
        <w:t>协助党委对全镇党员干部进行党性、党纪、党风和清正廉洁教育，负责对党风廉政工作提出意见、制定措施、监督执行；检查、处理党员干部贯彻执行党的路线、方针、政策、决议情况和违纪案件，受理党员干部的申诉和群众对党员干部的检举、控告，组织实施全镇领导干部廉洁自律工作，对选拔任用党政领导干部工作实行检查监督；完成党委和上级纪委、监察局交办的其它工作。</w:t>
      </w:r>
    </w:p>
    <w:p w14:paraId="676B91FA">
      <w:pPr>
        <w:pageBreakBefore w:val="0"/>
        <w:kinsoku/>
        <w:wordWrap/>
        <w:overflowPunct/>
        <w:topLinePunct w:val="0"/>
        <w:autoSpaceDE/>
        <w:autoSpaceDN/>
        <w:bidi w:val="0"/>
        <w:spacing w:line="560" w:lineRule="exact"/>
        <w:ind w:left="0" w:firstLine="643" w:firstLineChars="200"/>
        <w:textAlignment w:val="auto"/>
        <w:rPr>
          <w:rFonts w:eastAsia="仿宋_GB2312" w:cs="仿宋_GB2312"/>
          <w:sz w:val="32"/>
          <w:szCs w:val="32"/>
        </w:rPr>
      </w:pPr>
      <w:r>
        <w:rPr>
          <w:rFonts w:hint="eastAsia" w:ascii="Times New Roman" w:hAnsi="Times New Roman" w:eastAsia="仿宋_GB2312" w:cs="仿宋_GB2312"/>
          <w:b/>
          <w:sz w:val="32"/>
          <w:szCs w:val="32"/>
          <w:lang w:bidi="ar"/>
        </w:rPr>
        <w:t>（五）镇人民武装部主要职责</w:t>
      </w:r>
    </w:p>
    <w:p w14:paraId="481253B0">
      <w:pPr>
        <w:pageBreakBefore w:val="0"/>
        <w:kinsoku/>
        <w:wordWrap/>
        <w:overflowPunct/>
        <w:topLinePunct w:val="0"/>
        <w:autoSpaceDE/>
        <w:autoSpaceDN/>
        <w:bidi w:val="0"/>
        <w:spacing w:line="560" w:lineRule="exact"/>
        <w:ind w:left="0" w:firstLine="640" w:firstLineChars="200"/>
        <w:textAlignment w:val="auto"/>
        <w:rPr>
          <w:rFonts w:ascii="Times New Roman" w:hAnsi="Times New Roman" w:eastAsia="仿宋_GB2312" w:cs="仿宋_GB2312"/>
          <w:sz w:val="32"/>
          <w:szCs w:val="32"/>
          <w:lang w:bidi="ar"/>
        </w:rPr>
      </w:pPr>
      <w:r>
        <w:rPr>
          <w:rFonts w:hint="eastAsia" w:ascii="Times New Roman" w:hAnsi="Times New Roman" w:eastAsia="仿宋_GB2312" w:cs="仿宋_GB2312"/>
          <w:sz w:val="32"/>
          <w:szCs w:val="32"/>
          <w:lang w:bidi="ar"/>
        </w:rPr>
        <w:t>贯彻上级关于民兵预备役工作的方针、政策、指导和规定；负责民兵的组织建设和武器装备管理；负责民兵预备役人员的政治教育，落实民兵参训人员；负责组织并带领民兵完成战备、治安执勤任务；负责民兵预备役人员的登记、统计工作；负责征兵工作；组织带领民兵参加两个文明建设；协助有关部门搞好拥军优属工作；战时负责组织动员民兵参军参战，支援前线，保卫后方等工作；负责抢险救灾工作以及上级临时交办的其他工作。</w:t>
      </w:r>
    </w:p>
    <w:p w14:paraId="75786D3C">
      <w:pPr>
        <w:pageBreakBefore w:val="0"/>
        <w:kinsoku/>
        <w:wordWrap/>
        <w:overflowPunct/>
        <w:topLinePunct w:val="0"/>
        <w:autoSpaceDE/>
        <w:autoSpaceDN/>
        <w:bidi w:val="0"/>
        <w:spacing w:line="560" w:lineRule="exact"/>
        <w:ind w:left="0" w:firstLine="420" w:firstLineChars="200"/>
        <w:textAlignment w:val="auto"/>
      </w:pPr>
    </w:p>
    <w:p w14:paraId="54274DB2">
      <w:pPr>
        <w:pStyle w:val="3"/>
        <w:pageBreakBefore w:val="0"/>
        <w:widowControl/>
        <w:kinsoku/>
        <w:wordWrap/>
        <w:overflowPunct/>
        <w:topLinePunct w:val="0"/>
        <w:autoSpaceDE/>
        <w:autoSpaceDN/>
        <w:bidi w:val="0"/>
        <w:spacing w:before="0" w:after="0" w:line="560" w:lineRule="exact"/>
        <w:ind w:left="0" w:firstLine="640" w:firstLineChars="200"/>
        <w:textAlignment w:val="auto"/>
        <w:rPr>
          <w:rFonts w:ascii="Times New Roman" w:hAnsi="Times New Roman"/>
          <w:b w:val="0"/>
          <w:bCs w:val="0"/>
        </w:rPr>
      </w:pPr>
      <w:bookmarkStart w:id="6" w:name="_Toc15377200"/>
      <w:bookmarkStart w:id="7" w:name="_Toc15396601"/>
      <w:r>
        <w:rPr>
          <w:rFonts w:hint="eastAsia" w:ascii="Times New Roman" w:hAnsi="Times New Roman" w:eastAsia="黑体" w:cs="黑体"/>
          <w:b w:val="0"/>
        </w:rPr>
        <w:t>二、机</w:t>
      </w:r>
      <w:r>
        <w:rPr>
          <w:rStyle w:val="23"/>
          <w:rFonts w:hint="eastAsia" w:ascii="Times New Roman" w:hAnsi="Times New Roman" w:eastAsia="黑体" w:cs="黑体"/>
          <w:b/>
          <w:bCs/>
        </w:rPr>
        <w:t>构设置</w:t>
      </w:r>
      <w:bookmarkEnd w:id="6"/>
      <w:bookmarkEnd w:id="7"/>
    </w:p>
    <w:p w14:paraId="28127290">
      <w:pPr>
        <w:pageBreakBefore w:val="0"/>
        <w:kinsoku/>
        <w:wordWrap/>
        <w:overflowPunct/>
        <w:topLinePunct w:val="0"/>
        <w:autoSpaceDE/>
        <w:autoSpaceDN/>
        <w:bidi w:val="0"/>
        <w:spacing w:line="560" w:lineRule="exact"/>
        <w:ind w:left="0" w:firstLine="640" w:firstLineChars="200"/>
        <w:textAlignment w:val="auto"/>
        <w:rPr>
          <w:rFonts w:eastAsia="仿宋_GB2312" w:cs="仿宋_GB2312"/>
          <w:sz w:val="32"/>
          <w:szCs w:val="32"/>
        </w:rPr>
      </w:pPr>
      <w:r>
        <w:rPr>
          <w:rFonts w:hint="eastAsia" w:ascii="仿宋_GB2312" w:hAnsi="仿宋_GB2312" w:eastAsia="仿宋_GB2312" w:cs="仿宋_GB2312"/>
          <w:sz w:val="32"/>
          <w:szCs w:val="32"/>
          <w:lang w:bidi="ar"/>
        </w:rPr>
        <w:t>九寨沟县勿角镇人民政府（本级）</w:t>
      </w:r>
      <w:r>
        <w:rPr>
          <w:rFonts w:hint="eastAsia" w:ascii="Times New Roman" w:hAnsi="Times New Roman" w:eastAsia="仿宋_GB2312" w:cs="仿宋_GB2312"/>
          <w:sz w:val="32"/>
          <w:szCs w:val="32"/>
          <w:lang w:bidi="ar"/>
        </w:rPr>
        <w:t>下属二级预算单位4个，其中行政单位</w:t>
      </w:r>
      <w:r>
        <w:rPr>
          <w:rFonts w:ascii="Times New Roman" w:hAnsi="Times New Roman" w:eastAsia="仿宋_GB2312" w:cs="仿宋_GB2312"/>
          <w:sz w:val="32"/>
          <w:szCs w:val="32"/>
          <w:lang w:bidi="ar"/>
        </w:rPr>
        <w:t>1</w:t>
      </w:r>
      <w:r>
        <w:rPr>
          <w:rFonts w:hint="eastAsia" w:ascii="Times New Roman" w:hAnsi="Times New Roman" w:eastAsia="仿宋_GB2312" w:cs="仿宋_GB2312"/>
          <w:sz w:val="32"/>
          <w:szCs w:val="32"/>
          <w:lang w:bidi="ar"/>
        </w:rPr>
        <w:t>个，参照公务员法管理的事业单位</w:t>
      </w:r>
      <w:r>
        <w:rPr>
          <w:rFonts w:ascii="Times New Roman" w:hAnsi="Times New Roman" w:eastAsia="仿宋_GB2312" w:cs="仿宋_GB2312"/>
          <w:bCs/>
          <w:sz w:val="32"/>
          <w:szCs w:val="32"/>
          <w:lang w:bidi="ar"/>
        </w:rPr>
        <w:t>0</w:t>
      </w:r>
      <w:r>
        <w:rPr>
          <w:rFonts w:hint="eastAsia" w:ascii="Times New Roman" w:hAnsi="Times New Roman" w:eastAsia="仿宋_GB2312" w:cs="仿宋_GB2312"/>
          <w:sz w:val="32"/>
          <w:szCs w:val="32"/>
          <w:lang w:bidi="ar"/>
        </w:rPr>
        <w:t>个，其他事业单位</w:t>
      </w:r>
      <w:r>
        <w:rPr>
          <w:rFonts w:ascii="Times New Roman" w:hAnsi="Times New Roman" w:eastAsia="仿宋_GB2312" w:cs="仿宋_GB2312"/>
          <w:sz w:val="32"/>
          <w:szCs w:val="32"/>
          <w:lang w:bidi="ar"/>
        </w:rPr>
        <w:t>1</w:t>
      </w:r>
      <w:r>
        <w:rPr>
          <w:rFonts w:hint="eastAsia" w:ascii="Times New Roman" w:hAnsi="Times New Roman" w:eastAsia="仿宋_GB2312" w:cs="仿宋_GB2312"/>
          <w:sz w:val="32"/>
          <w:szCs w:val="32"/>
          <w:lang w:bidi="ar"/>
        </w:rPr>
        <w:t>个。</w:t>
      </w:r>
    </w:p>
    <w:p w14:paraId="4ADBBAFB">
      <w:pPr>
        <w:pStyle w:val="4"/>
        <w:pageBreakBefore w:val="0"/>
        <w:widowControl/>
        <w:kinsoku/>
        <w:wordWrap/>
        <w:overflowPunct/>
        <w:topLinePunct w:val="0"/>
        <w:autoSpaceDE/>
        <w:autoSpaceDN/>
        <w:bidi w:val="0"/>
        <w:adjustRightInd w:val="0"/>
        <w:snapToGrid w:val="0"/>
        <w:spacing w:beforeLines="0" w:line="560" w:lineRule="exact"/>
        <w:ind w:left="0" w:firstLine="672" w:firstLineChars="210"/>
        <w:textAlignment w:val="auto"/>
        <w:rPr>
          <w:rFonts w:hint="default" w:ascii="Times New Roman" w:cs="仿宋_GB2312"/>
          <w:sz w:val="32"/>
          <w:szCs w:val="32"/>
        </w:rPr>
      </w:pPr>
      <w:r>
        <w:rPr>
          <w:rFonts w:ascii="Times New Roman" w:cs="仿宋_GB2312"/>
          <w:sz w:val="32"/>
          <w:szCs w:val="32"/>
        </w:rPr>
        <w:t>纳入</w:t>
      </w:r>
      <w:r>
        <w:rPr>
          <w:sz w:val="32"/>
          <w:szCs w:val="32"/>
        </w:rPr>
        <w:t>九寨沟县勿角镇人民政府</w:t>
      </w:r>
      <w:r>
        <w:rPr>
          <w:rFonts w:hAnsi="仿宋_GB2312" w:cs="仿宋_GB2312"/>
          <w:sz w:val="32"/>
          <w:szCs w:val="32"/>
        </w:rPr>
        <w:t>（本级）</w:t>
      </w:r>
      <w:r>
        <w:rPr>
          <w:rFonts w:hint="default" w:ascii="Times New Roman" w:cs="仿宋_GB2312"/>
          <w:sz w:val="32"/>
          <w:szCs w:val="32"/>
        </w:rPr>
        <w:t>2025</w:t>
      </w:r>
      <w:r>
        <w:rPr>
          <w:rFonts w:ascii="Times New Roman" w:cs="仿宋_GB2312"/>
          <w:sz w:val="32"/>
          <w:szCs w:val="32"/>
        </w:rPr>
        <w:t>年度部门决算编制范围的二级预算单位包括：</w:t>
      </w:r>
    </w:p>
    <w:p w14:paraId="36AD70C5">
      <w:pPr>
        <w:pStyle w:val="4"/>
        <w:pageBreakBefore w:val="0"/>
        <w:widowControl/>
        <w:kinsoku/>
        <w:wordWrap/>
        <w:overflowPunct/>
        <w:topLinePunct w:val="0"/>
        <w:autoSpaceDE/>
        <w:autoSpaceDN/>
        <w:bidi w:val="0"/>
        <w:adjustRightInd w:val="0"/>
        <w:snapToGrid w:val="0"/>
        <w:spacing w:beforeLines="0" w:line="560" w:lineRule="exact"/>
        <w:ind w:left="0" w:firstLine="640" w:firstLineChars="200"/>
        <w:textAlignment w:val="auto"/>
        <w:rPr>
          <w:rFonts w:hint="default" w:ascii="Times New Roman" w:cs="仿宋_GB2312"/>
          <w:sz w:val="32"/>
          <w:szCs w:val="32"/>
        </w:rPr>
      </w:pPr>
      <w:r>
        <w:rPr>
          <w:rFonts w:ascii="Times New Roman" w:cs="仿宋_GB2312"/>
          <w:sz w:val="32"/>
          <w:szCs w:val="32"/>
        </w:rPr>
        <w:t>1.九寨沟县勿角镇便民服务中心（勿角镇退役军人服务站）</w:t>
      </w:r>
    </w:p>
    <w:p w14:paraId="36CBFAA7">
      <w:pPr>
        <w:pStyle w:val="4"/>
        <w:pageBreakBefore w:val="0"/>
        <w:widowControl/>
        <w:kinsoku/>
        <w:wordWrap/>
        <w:overflowPunct/>
        <w:topLinePunct w:val="0"/>
        <w:autoSpaceDE/>
        <w:autoSpaceDN/>
        <w:bidi w:val="0"/>
        <w:adjustRightInd w:val="0"/>
        <w:snapToGrid w:val="0"/>
        <w:spacing w:beforeLines="0" w:line="560" w:lineRule="exact"/>
        <w:ind w:left="0" w:firstLine="640" w:firstLineChars="200"/>
        <w:textAlignment w:val="auto"/>
        <w:rPr>
          <w:rFonts w:hint="default" w:ascii="Times New Roman" w:cs="仿宋_GB2312"/>
          <w:sz w:val="32"/>
          <w:szCs w:val="32"/>
        </w:rPr>
      </w:pPr>
      <w:r>
        <w:rPr>
          <w:rFonts w:ascii="Times New Roman" w:cs="仿宋_GB2312"/>
          <w:sz w:val="32"/>
          <w:szCs w:val="32"/>
        </w:rPr>
        <w:t>2.九寨沟县勿角镇农业农村服务中心</w:t>
      </w:r>
    </w:p>
    <w:p w14:paraId="237D57B7">
      <w:pPr>
        <w:pStyle w:val="4"/>
        <w:pageBreakBefore w:val="0"/>
        <w:widowControl/>
        <w:kinsoku/>
        <w:wordWrap/>
        <w:overflowPunct/>
        <w:topLinePunct w:val="0"/>
        <w:autoSpaceDE/>
        <w:autoSpaceDN/>
        <w:bidi w:val="0"/>
        <w:adjustRightInd w:val="0"/>
        <w:snapToGrid w:val="0"/>
        <w:spacing w:beforeLines="0" w:line="560" w:lineRule="exact"/>
        <w:ind w:left="0" w:firstLine="640" w:firstLineChars="200"/>
        <w:textAlignment w:val="auto"/>
        <w:rPr>
          <w:rFonts w:hint="default" w:ascii="Times New Roman" w:cs="仿宋_GB2312"/>
          <w:sz w:val="32"/>
          <w:szCs w:val="32"/>
        </w:rPr>
      </w:pPr>
      <w:r>
        <w:rPr>
          <w:rFonts w:ascii="Times New Roman" w:cs="仿宋_GB2312"/>
          <w:sz w:val="32"/>
          <w:szCs w:val="32"/>
        </w:rPr>
        <w:t>3.九寨沟县勿角镇文化宣传旅游服务中心</w:t>
      </w:r>
    </w:p>
    <w:p w14:paraId="4544292C">
      <w:pPr>
        <w:widowControl/>
        <w:spacing w:line="560" w:lineRule="exact"/>
        <w:jc w:val="left"/>
        <w:rPr>
          <w:rFonts w:eastAsia="仿宋"/>
          <w:kern w:val="0"/>
          <w:sz w:val="32"/>
          <w:szCs w:val="32"/>
        </w:rPr>
      </w:pPr>
    </w:p>
    <w:p w14:paraId="6E494E16">
      <w:pPr>
        <w:widowControl/>
        <w:spacing w:line="560" w:lineRule="exact"/>
        <w:jc w:val="left"/>
        <w:rPr>
          <w:rFonts w:eastAsia="仿宋"/>
          <w:kern w:val="0"/>
          <w:sz w:val="32"/>
          <w:szCs w:val="32"/>
        </w:rPr>
      </w:pPr>
    </w:p>
    <w:p w14:paraId="4AB9A4D9">
      <w:pPr>
        <w:widowControl/>
        <w:spacing w:line="560" w:lineRule="exact"/>
        <w:jc w:val="left"/>
        <w:rPr>
          <w:rFonts w:eastAsia="仿宋"/>
          <w:kern w:val="0"/>
          <w:sz w:val="32"/>
          <w:szCs w:val="32"/>
        </w:rPr>
      </w:pPr>
    </w:p>
    <w:p w14:paraId="333D73F9">
      <w:pPr>
        <w:widowControl/>
        <w:spacing w:line="560" w:lineRule="exact"/>
        <w:jc w:val="left"/>
        <w:rPr>
          <w:rFonts w:eastAsia="仿宋"/>
          <w:kern w:val="0"/>
          <w:sz w:val="32"/>
          <w:szCs w:val="32"/>
        </w:rPr>
      </w:pPr>
    </w:p>
    <w:p w14:paraId="5362C35D">
      <w:pPr>
        <w:widowControl/>
        <w:spacing w:line="560" w:lineRule="exact"/>
        <w:jc w:val="left"/>
        <w:rPr>
          <w:rFonts w:eastAsia="仿宋"/>
          <w:kern w:val="0"/>
          <w:sz w:val="32"/>
          <w:szCs w:val="32"/>
        </w:rPr>
      </w:pPr>
    </w:p>
    <w:p w14:paraId="46423562">
      <w:pPr>
        <w:widowControl/>
        <w:spacing w:line="560" w:lineRule="exact"/>
        <w:jc w:val="left"/>
        <w:rPr>
          <w:rFonts w:eastAsia="仿宋"/>
          <w:kern w:val="0"/>
          <w:sz w:val="32"/>
          <w:szCs w:val="32"/>
        </w:rPr>
      </w:pPr>
    </w:p>
    <w:p w14:paraId="2C625971">
      <w:pPr>
        <w:widowControl/>
        <w:spacing w:line="560" w:lineRule="exact"/>
        <w:jc w:val="left"/>
        <w:rPr>
          <w:rFonts w:eastAsia="仿宋"/>
          <w:kern w:val="0"/>
          <w:sz w:val="32"/>
          <w:szCs w:val="32"/>
        </w:rPr>
      </w:pPr>
    </w:p>
    <w:p w14:paraId="4B60F2A8">
      <w:pPr>
        <w:widowControl/>
        <w:spacing w:line="560" w:lineRule="exact"/>
        <w:jc w:val="left"/>
        <w:rPr>
          <w:rFonts w:eastAsia="仿宋"/>
          <w:kern w:val="0"/>
          <w:sz w:val="32"/>
          <w:szCs w:val="32"/>
        </w:rPr>
      </w:pPr>
    </w:p>
    <w:p w14:paraId="33F2636A">
      <w:pPr>
        <w:widowControl/>
        <w:spacing w:line="560" w:lineRule="exact"/>
        <w:jc w:val="left"/>
        <w:rPr>
          <w:rFonts w:eastAsia="仿宋"/>
          <w:kern w:val="0"/>
          <w:sz w:val="32"/>
          <w:szCs w:val="32"/>
        </w:rPr>
      </w:pPr>
    </w:p>
    <w:p w14:paraId="1CE13D18">
      <w:pPr>
        <w:widowControl/>
        <w:spacing w:line="560" w:lineRule="exact"/>
        <w:jc w:val="left"/>
        <w:rPr>
          <w:rFonts w:eastAsia="仿宋"/>
          <w:kern w:val="0"/>
          <w:sz w:val="32"/>
          <w:szCs w:val="32"/>
        </w:rPr>
      </w:pPr>
    </w:p>
    <w:p w14:paraId="2DA61770">
      <w:pPr>
        <w:widowControl/>
        <w:spacing w:line="560" w:lineRule="exact"/>
        <w:jc w:val="left"/>
        <w:rPr>
          <w:rFonts w:eastAsia="仿宋"/>
          <w:kern w:val="0"/>
          <w:sz w:val="32"/>
          <w:szCs w:val="32"/>
        </w:rPr>
      </w:pPr>
    </w:p>
    <w:p w14:paraId="517346EA">
      <w:pPr>
        <w:widowControl/>
        <w:spacing w:line="560" w:lineRule="exact"/>
        <w:jc w:val="left"/>
        <w:rPr>
          <w:rFonts w:eastAsia="仿宋"/>
          <w:kern w:val="0"/>
          <w:sz w:val="32"/>
          <w:szCs w:val="32"/>
        </w:rPr>
      </w:pPr>
    </w:p>
    <w:p w14:paraId="4C8899AA">
      <w:pPr>
        <w:widowControl/>
        <w:spacing w:line="560" w:lineRule="exact"/>
        <w:jc w:val="left"/>
        <w:rPr>
          <w:rFonts w:eastAsia="仿宋"/>
          <w:kern w:val="0"/>
          <w:sz w:val="32"/>
          <w:szCs w:val="32"/>
        </w:rPr>
      </w:pPr>
    </w:p>
    <w:p w14:paraId="1D391FEF">
      <w:pPr>
        <w:widowControl/>
        <w:spacing w:line="560" w:lineRule="exact"/>
        <w:jc w:val="left"/>
        <w:rPr>
          <w:rFonts w:eastAsia="仿宋"/>
          <w:kern w:val="0"/>
          <w:sz w:val="32"/>
          <w:szCs w:val="32"/>
        </w:rPr>
      </w:pPr>
    </w:p>
    <w:p w14:paraId="308D584E">
      <w:pPr>
        <w:widowControl/>
        <w:spacing w:line="560" w:lineRule="exact"/>
        <w:jc w:val="left"/>
        <w:rPr>
          <w:rFonts w:eastAsia="仿宋"/>
          <w:kern w:val="0"/>
          <w:sz w:val="32"/>
          <w:szCs w:val="32"/>
        </w:rPr>
      </w:pPr>
    </w:p>
    <w:p w14:paraId="68B70F9D">
      <w:pPr>
        <w:widowControl/>
        <w:spacing w:line="560" w:lineRule="exact"/>
        <w:jc w:val="left"/>
        <w:rPr>
          <w:rFonts w:eastAsia="仿宋"/>
          <w:kern w:val="0"/>
          <w:sz w:val="32"/>
          <w:szCs w:val="32"/>
        </w:rPr>
      </w:pPr>
    </w:p>
    <w:p w14:paraId="15FA6FFE">
      <w:pPr>
        <w:widowControl/>
        <w:spacing w:line="560" w:lineRule="exact"/>
        <w:jc w:val="left"/>
        <w:rPr>
          <w:rFonts w:eastAsia="仿宋"/>
          <w:kern w:val="0"/>
          <w:sz w:val="32"/>
          <w:szCs w:val="32"/>
        </w:rPr>
      </w:pPr>
    </w:p>
    <w:p w14:paraId="794FDA7F">
      <w:pPr>
        <w:widowControl/>
        <w:spacing w:line="560" w:lineRule="exact"/>
        <w:jc w:val="left"/>
        <w:rPr>
          <w:rFonts w:eastAsia="仿宋"/>
          <w:kern w:val="0"/>
          <w:sz w:val="32"/>
          <w:szCs w:val="32"/>
        </w:rPr>
      </w:pPr>
    </w:p>
    <w:p w14:paraId="5ABDA287">
      <w:pPr>
        <w:widowControl/>
        <w:spacing w:line="560" w:lineRule="exact"/>
        <w:jc w:val="left"/>
        <w:rPr>
          <w:rFonts w:eastAsia="仿宋"/>
          <w:kern w:val="0"/>
          <w:sz w:val="32"/>
          <w:szCs w:val="32"/>
        </w:rPr>
      </w:pPr>
    </w:p>
    <w:p w14:paraId="15BCB81A">
      <w:pPr>
        <w:widowControl/>
        <w:spacing w:line="560" w:lineRule="exact"/>
        <w:jc w:val="left"/>
        <w:rPr>
          <w:rFonts w:eastAsia="仿宋"/>
          <w:kern w:val="0"/>
          <w:sz w:val="32"/>
          <w:szCs w:val="32"/>
        </w:rPr>
      </w:pPr>
    </w:p>
    <w:p w14:paraId="2241D8DA">
      <w:pPr>
        <w:widowControl/>
        <w:spacing w:line="560" w:lineRule="exact"/>
        <w:jc w:val="left"/>
        <w:rPr>
          <w:rFonts w:eastAsia="仿宋"/>
          <w:kern w:val="0"/>
          <w:sz w:val="32"/>
          <w:szCs w:val="32"/>
        </w:rPr>
      </w:pPr>
    </w:p>
    <w:p w14:paraId="1DF069B0">
      <w:pPr>
        <w:widowControl/>
        <w:spacing w:line="560" w:lineRule="exact"/>
        <w:jc w:val="left"/>
        <w:rPr>
          <w:rFonts w:eastAsia="仿宋"/>
          <w:kern w:val="0"/>
          <w:sz w:val="32"/>
          <w:szCs w:val="32"/>
        </w:rPr>
      </w:pPr>
    </w:p>
    <w:p w14:paraId="0169441A">
      <w:pPr>
        <w:pStyle w:val="2"/>
        <w:pageBreakBefore w:val="0"/>
        <w:widowControl/>
        <w:kinsoku/>
        <w:wordWrap/>
        <w:overflowPunct/>
        <w:topLinePunct w:val="0"/>
        <w:autoSpaceDE/>
        <w:autoSpaceDN/>
        <w:bidi w:val="0"/>
        <w:adjustRightInd/>
        <w:snapToGrid/>
        <w:spacing w:before="0" w:after="0" w:line="560" w:lineRule="exact"/>
        <w:jc w:val="center"/>
        <w:textAlignment w:val="auto"/>
        <w:rPr>
          <w:rFonts w:eastAsia="方正小标宋简体" w:cs="方正小标宋简体"/>
          <w:b w:val="0"/>
        </w:rPr>
      </w:pPr>
      <w:bookmarkStart w:id="8" w:name="_Toc15377204"/>
      <w:bookmarkStart w:id="9" w:name="_Toc15396602"/>
      <w:r>
        <w:rPr>
          <w:rFonts w:hint="eastAsia" w:hAnsi="方正小标宋简体" w:eastAsia="方正小标宋简体" w:cs="方正小标宋简体"/>
          <w:b w:val="0"/>
        </w:rPr>
        <w:t>第二部分</w:t>
      </w:r>
      <w:r>
        <w:rPr>
          <w:rFonts w:eastAsia="方正小标宋简体" w:cs="方正小标宋简体"/>
          <w:b w:val="0"/>
        </w:rPr>
        <w:t xml:space="preserve">  2025</w:t>
      </w:r>
      <w:r>
        <w:rPr>
          <w:rFonts w:hint="eastAsia" w:hAnsi="方正小标宋简体" w:eastAsia="方正小标宋简体" w:cs="方正小标宋简体"/>
          <w:b w:val="0"/>
        </w:rPr>
        <w:t>年度部门决算情况说明</w:t>
      </w:r>
      <w:bookmarkEnd w:id="8"/>
      <w:bookmarkEnd w:id="9"/>
    </w:p>
    <w:p w14:paraId="6825AD1A">
      <w:pPr>
        <w:pageBreakBefore w:val="0"/>
        <w:kinsoku/>
        <w:wordWrap/>
        <w:overflowPunct/>
        <w:topLinePunct w:val="0"/>
        <w:autoSpaceDE/>
        <w:autoSpaceDN/>
        <w:bidi w:val="0"/>
        <w:adjustRightInd/>
        <w:snapToGrid/>
        <w:spacing w:line="560" w:lineRule="exact"/>
        <w:textAlignment w:val="auto"/>
      </w:pPr>
    </w:p>
    <w:p w14:paraId="57749690">
      <w:pPr>
        <w:pStyle w:val="18"/>
        <w:pageBreakBefore w:val="0"/>
        <w:widowControl/>
        <w:kinsoku/>
        <w:wordWrap/>
        <w:overflowPunct/>
        <w:topLinePunct w:val="0"/>
        <w:autoSpaceDE/>
        <w:autoSpaceDN/>
        <w:bidi w:val="0"/>
        <w:adjustRightInd/>
        <w:snapToGrid/>
        <w:spacing w:line="560" w:lineRule="exact"/>
        <w:ind w:firstLine="640"/>
        <w:textAlignment w:val="auto"/>
        <w:outlineLvl w:val="1"/>
        <w:rPr>
          <w:rFonts w:eastAsia="黑体"/>
          <w:bCs/>
          <w:sz w:val="32"/>
          <w:szCs w:val="32"/>
        </w:rPr>
      </w:pPr>
      <w:bookmarkStart w:id="10" w:name="_Toc15377205"/>
      <w:bookmarkStart w:id="11" w:name="_Toc15396603"/>
      <w:r>
        <w:rPr>
          <w:rFonts w:hint="eastAsia" w:eastAsia="黑体" w:cs="黑体"/>
          <w:sz w:val="32"/>
          <w:szCs w:val="32"/>
        </w:rPr>
        <w:t>一、收</w:t>
      </w:r>
      <w:r>
        <w:rPr>
          <w:rStyle w:val="23"/>
          <w:rFonts w:hint="eastAsia" w:eastAsia="黑体" w:cs="黑体"/>
        </w:rPr>
        <w:t>入支出决算总体情况说明</w:t>
      </w:r>
      <w:bookmarkEnd w:id="10"/>
      <w:bookmarkEnd w:id="11"/>
    </w:p>
    <w:p w14:paraId="3DCBD45B">
      <w:pPr>
        <w:pStyle w:val="18"/>
        <w:pageBreakBefore w:val="0"/>
        <w:widowControl/>
        <w:kinsoku/>
        <w:wordWrap/>
        <w:overflowPunct/>
        <w:topLinePunct w:val="0"/>
        <w:autoSpaceDE/>
        <w:autoSpaceDN/>
        <w:bidi w:val="0"/>
        <w:adjustRightInd/>
        <w:snapToGrid/>
        <w:spacing w:line="560" w:lineRule="exact"/>
        <w:ind w:firstLine="640"/>
        <w:textAlignment w:val="auto"/>
        <w:outlineLvl w:val="1"/>
        <w:rPr>
          <w:rFonts w:eastAsia="仿宋_GB2312" w:cs="仿宋_GB2312"/>
          <w:sz w:val="32"/>
          <w:szCs w:val="32"/>
        </w:rPr>
      </w:pPr>
      <w:r>
        <w:rPr>
          <w:rFonts w:eastAsia="仿宋_GB2312" w:cs="仿宋_GB2312"/>
          <w:sz w:val="32"/>
          <w:szCs w:val="32"/>
        </w:rPr>
        <w:t>2025</w:t>
      </w:r>
      <w:r>
        <w:rPr>
          <w:rFonts w:hint="eastAsia" w:eastAsia="仿宋_GB2312" w:cs="仿宋_GB2312"/>
          <w:sz w:val="32"/>
          <w:szCs w:val="32"/>
        </w:rPr>
        <w:t>年度收入、支出总计均为</w:t>
      </w:r>
      <w:r>
        <w:rPr>
          <w:rFonts w:eastAsia="仿宋_GB2312" w:cs="仿宋_GB2312"/>
          <w:sz w:val="32"/>
          <w:szCs w:val="32"/>
        </w:rPr>
        <w:t>1995.37</w:t>
      </w:r>
      <w:r>
        <w:rPr>
          <w:rFonts w:hint="eastAsia" w:eastAsia="仿宋_GB2312" w:cs="仿宋_GB2312"/>
          <w:sz w:val="32"/>
          <w:szCs w:val="32"/>
        </w:rPr>
        <w:t>万元。与上年度相比，收入、支出总计各减少</w:t>
      </w:r>
      <w:r>
        <w:rPr>
          <w:rFonts w:eastAsia="仿宋_GB2312" w:cs="仿宋_GB2312"/>
          <w:sz w:val="32"/>
          <w:szCs w:val="32"/>
        </w:rPr>
        <w:t>43.51</w:t>
      </w:r>
      <w:r>
        <w:rPr>
          <w:rFonts w:hint="eastAsia" w:eastAsia="仿宋_GB2312" w:cs="仿宋_GB2312"/>
          <w:sz w:val="32"/>
          <w:szCs w:val="32"/>
        </w:rPr>
        <w:t>万元，下降</w:t>
      </w:r>
      <w:r>
        <w:rPr>
          <w:rFonts w:eastAsia="仿宋_GB2312" w:cs="仿宋_GB2312"/>
          <w:sz w:val="32"/>
          <w:szCs w:val="32"/>
        </w:rPr>
        <w:t>2.13%</w:t>
      </w:r>
      <w:r>
        <w:rPr>
          <w:rFonts w:hint="eastAsia" w:eastAsia="仿宋_GB2312" w:cs="仿宋_GB2312"/>
          <w:sz w:val="32"/>
          <w:szCs w:val="32"/>
        </w:rPr>
        <w:t>。主要变动原因是村（社区）森林防火奖补资金在年末下达时，未及时支付，同比减少，还有其他相关农业农村支出减少。</w:t>
      </w:r>
    </w:p>
    <w:p w14:paraId="6E021855">
      <w:pPr>
        <w:pStyle w:val="18"/>
        <w:widowControl/>
        <w:spacing w:line="560" w:lineRule="exact"/>
        <w:ind w:firstLine="640"/>
        <w:outlineLvl w:val="1"/>
        <w:rPr>
          <w:rFonts w:eastAsia="仿宋_GB2312" w:cs="仿宋_GB2312"/>
          <w:sz w:val="32"/>
          <w:szCs w:val="32"/>
        </w:rPr>
      </w:pPr>
      <w:r>
        <w:rPr>
          <w:rFonts w:eastAsia="仿宋_GB2312" w:cs="仿宋_GB2312"/>
          <w:sz w:val="32"/>
          <w:szCs w:val="32"/>
        </w:rPr>
        <w:drawing>
          <wp:anchor distT="0" distB="0" distL="114300" distR="114300" simplePos="0" relativeHeight="251659264" behindDoc="0" locked="0" layoutInCell="1" allowOverlap="1">
            <wp:simplePos x="0" y="0"/>
            <wp:positionH relativeFrom="column">
              <wp:posOffset>409575</wp:posOffset>
            </wp:positionH>
            <wp:positionV relativeFrom="paragraph">
              <wp:posOffset>158750</wp:posOffset>
            </wp:positionV>
            <wp:extent cx="5029200" cy="2962275"/>
            <wp:effectExtent l="0" t="0" r="0" b="9525"/>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17E3033E">
      <w:pPr>
        <w:pStyle w:val="18"/>
        <w:widowControl/>
        <w:spacing w:line="560" w:lineRule="exact"/>
        <w:ind w:firstLine="640"/>
        <w:outlineLvl w:val="1"/>
        <w:rPr>
          <w:rFonts w:eastAsia="仿宋_GB2312" w:cs="仿宋_GB2312"/>
          <w:sz w:val="32"/>
          <w:szCs w:val="32"/>
        </w:rPr>
      </w:pPr>
    </w:p>
    <w:p w14:paraId="4E4F05DE">
      <w:pPr>
        <w:pStyle w:val="18"/>
        <w:widowControl/>
        <w:spacing w:line="560" w:lineRule="exact"/>
        <w:ind w:firstLine="640"/>
        <w:outlineLvl w:val="1"/>
        <w:rPr>
          <w:rFonts w:eastAsia="仿宋_GB2312" w:cs="仿宋_GB2312"/>
          <w:sz w:val="32"/>
          <w:szCs w:val="32"/>
        </w:rPr>
      </w:pPr>
    </w:p>
    <w:p w14:paraId="631B888B">
      <w:pPr>
        <w:pStyle w:val="18"/>
        <w:widowControl/>
        <w:spacing w:line="560" w:lineRule="exact"/>
        <w:ind w:firstLine="640"/>
        <w:outlineLvl w:val="1"/>
        <w:rPr>
          <w:rFonts w:eastAsia="仿宋_GB2312" w:cs="仿宋_GB2312"/>
          <w:sz w:val="32"/>
          <w:szCs w:val="32"/>
        </w:rPr>
      </w:pPr>
    </w:p>
    <w:p w14:paraId="14B395F3">
      <w:pPr>
        <w:pStyle w:val="18"/>
        <w:widowControl/>
        <w:spacing w:line="560" w:lineRule="exact"/>
        <w:ind w:firstLine="640"/>
        <w:outlineLvl w:val="1"/>
        <w:rPr>
          <w:rFonts w:eastAsia="仿宋_GB2312" w:cs="仿宋_GB2312"/>
          <w:sz w:val="32"/>
          <w:szCs w:val="32"/>
        </w:rPr>
      </w:pPr>
    </w:p>
    <w:p w14:paraId="46E308B3">
      <w:pPr>
        <w:pStyle w:val="18"/>
        <w:widowControl/>
        <w:spacing w:line="560" w:lineRule="exact"/>
        <w:ind w:firstLine="640"/>
        <w:outlineLvl w:val="1"/>
        <w:rPr>
          <w:rFonts w:eastAsia="仿宋_GB2312" w:cs="仿宋_GB2312"/>
          <w:sz w:val="32"/>
          <w:szCs w:val="32"/>
        </w:rPr>
      </w:pPr>
    </w:p>
    <w:p w14:paraId="19B055AB">
      <w:pPr>
        <w:pStyle w:val="18"/>
        <w:widowControl/>
        <w:spacing w:line="560" w:lineRule="exact"/>
        <w:ind w:firstLine="640"/>
        <w:outlineLvl w:val="1"/>
        <w:rPr>
          <w:rFonts w:eastAsia="仿宋_GB2312" w:cs="仿宋_GB2312"/>
          <w:sz w:val="32"/>
          <w:szCs w:val="32"/>
        </w:rPr>
      </w:pPr>
    </w:p>
    <w:p w14:paraId="2453B15B">
      <w:pPr>
        <w:pStyle w:val="18"/>
        <w:widowControl/>
        <w:spacing w:line="560" w:lineRule="exact"/>
        <w:ind w:firstLine="640"/>
        <w:outlineLvl w:val="1"/>
        <w:rPr>
          <w:rFonts w:eastAsia="仿宋_GB2312" w:cs="仿宋_GB2312"/>
          <w:sz w:val="32"/>
          <w:szCs w:val="32"/>
        </w:rPr>
      </w:pPr>
    </w:p>
    <w:p w14:paraId="3DB96F56">
      <w:pPr>
        <w:pStyle w:val="18"/>
        <w:widowControl/>
        <w:spacing w:line="560" w:lineRule="exact"/>
        <w:ind w:firstLine="640"/>
        <w:outlineLvl w:val="1"/>
        <w:rPr>
          <w:rFonts w:eastAsia="仿宋_GB2312" w:cs="仿宋_GB2312"/>
          <w:sz w:val="32"/>
          <w:szCs w:val="32"/>
        </w:rPr>
      </w:pPr>
    </w:p>
    <w:p w14:paraId="0CD2F694">
      <w:pPr>
        <w:pStyle w:val="18"/>
        <w:widowControl/>
        <w:spacing w:line="560" w:lineRule="exact"/>
        <w:ind w:firstLine="739" w:firstLineChars="231"/>
        <w:outlineLvl w:val="1"/>
        <w:rPr>
          <w:rFonts w:eastAsia="仿宋_GB2312" w:cs="仿宋_GB2312"/>
          <w:sz w:val="32"/>
          <w:szCs w:val="32"/>
        </w:rPr>
      </w:pPr>
      <w:r>
        <w:rPr>
          <w:rFonts w:hint="eastAsia" w:eastAsia="仿宋_GB2312" w:cs="仿宋_GB2312"/>
          <w:sz w:val="32"/>
          <w:szCs w:val="32"/>
        </w:rPr>
        <w:t>（图</w:t>
      </w:r>
      <w:r>
        <w:rPr>
          <w:rFonts w:eastAsia="仿宋_GB2312" w:cs="仿宋_GB2312"/>
          <w:sz w:val="32"/>
          <w:szCs w:val="32"/>
        </w:rPr>
        <w:t>1</w:t>
      </w:r>
      <w:r>
        <w:rPr>
          <w:rFonts w:hint="eastAsia" w:eastAsia="仿宋_GB2312" w:cs="仿宋_GB2312"/>
          <w:sz w:val="32"/>
          <w:szCs w:val="32"/>
        </w:rPr>
        <w:t>：收入、支出决算总计变动情况图）（柱状图）</w:t>
      </w:r>
    </w:p>
    <w:p w14:paraId="6C4744A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eastAsia="仿宋_GB2312" w:cs="仿宋_GB2312"/>
          <w:sz w:val="32"/>
          <w:szCs w:val="32"/>
        </w:rPr>
      </w:pPr>
    </w:p>
    <w:p w14:paraId="572687F8">
      <w:pPr>
        <w:pStyle w:val="18"/>
        <w:keepNext w:val="0"/>
        <w:keepLines w:val="0"/>
        <w:pageBreakBefore w:val="0"/>
        <w:widowControl/>
        <w:kinsoku/>
        <w:wordWrap/>
        <w:overflowPunct/>
        <w:topLinePunct w:val="0"/>
        <w:autoSpaceDE/>
        <w:autoSpaceDN/>
        <w:bidi w:val="0"/>
        <w:adjustRightInd/>
        <w:snapToGrid/>
        <w:spacing w:line="560" w:lineRule="exact"/>
        <w:ind w:firstLine="640"/>
        <w:textAlignment w:val="auto"/>
        <w:outlineLvl w:val="1"/>
        <w:rPr>
          <w:rFonts w:eastAsia="黑体"/>
          <w:sz w:val="32"/>
          <w:szCs w:val="32"/>
        </w:rPr>
      </w:pPr>
      <w:bookmarkStart w:id="12" w:name="_Toc15396604"/>
      <w:bookmarkStart w:id="13" w:name="_Toc15377206"/>
      <w:r>
        <w:rPr>
          <w:rFonts w:hint="eastAsia" w:eastAsia="黑体" w:cs="黑体"/>
          <w:sz w:val="32"/>
          <w:szCs w:val="32"/>
        </w:rPr>
        <w:t>二、收入决算情况说明</w:t>
      </w:r>
      <w:bookmarkEnd w:id="12"/>
      <w:bookmarkEnd w:id="13"/>
    </w:p>
    <w:p w14:paraId="427A0590">
      <w:pPr>
        <w:pStyle w:val="18"/>
        <w:keepNext w:val="0"/>
        <w:keepLines w:val="0"/>
        <w:pageBreakBefore w:val="0"/>
        <w:widowControl/>
        <w:kinsoku/>
        <w:wordWrap/>
        <w:overflowPunct/>
        <w:topLinePunct w:val="0"/>
        <w:autoSpaceDE/>
        <w:autoSpaceDN/>
        <w:bidi w:val="0"/>
        <w:adjustRightInd/>
        <w:snapToGrid/>
        <w:spacing w:line="560" w:lineRule="exact"/>
        <w:ind w:firstLine="640"/>
        <w:textAlignment w:val="auto"/>
        <w:outlineLvl w:val="1"/>
        <w:rPr>
          <w:rFonts w:eastAsia="仿宋_GB2312" w:cs="仿宋_GB2312"/>
          <w:b/>
          <w:bCs/>
          <w:sz w:val="32"/>
          <w:szCs w:val="32"/>
        </w:rPr>
      </w:pPr>
      <w:r>
        <w:rPr>
          <w:rFonts w:eastAsia="仿宋_GB2312" w:cs="仿宋_GB2312"/>
          <w:sz w:val="32"/>
          <w:szCs w:val="32"/>
        </w:rPr>
        <w:t>2025</w:t>
      </w:r>
      <w:r>
        <w:rPr>
          <w:rFonts w:hint="eastAsia" w:eastAsia="仿宋_GB2312" w:cs="仿宋_GB2312"/>
          <w:sz w:val="32"/>
          <w:szCs w:val="32"/>
        </w:rPr>
        <w:t>年度本年收入合计</w:t>
      </w:r>
      <w:r>
        <w:rPr>
          <w:rFonts w:eastAsia="仿宋_GB2312" w:cs="仿宋_GB2312"/>
          <w:sz w:val="32"/>
          <w:szCs w:val="32"/>
        </w:rPr>
        <w:t>1995.37</w:t>
      </w:r>
      <w:r>
        <w:rPr>
          <w:rFonts w:hint="eastAsia" w:eastAsia="仿宋_GB2312" w:cs="仿宋_GB2312"/>
          <w:sz w:val="32"/>
          <w:szCs w:val="32"/>
        </w:rPr>
        <w:t>万元，其中：一般公共预算财政拨款收入</w:t>
      </w:r>
      <w:r>
        <w:rPr>
          <w:rFonts w:eastAsia="仿宋_GB2312" w:cs="仿宋_GB2312"/>
          <w:sz w:val="32"/>
          <w:szCs w:val="32"/>
        </w:rPr>
        <w:t>1995.37</w:t>
      </w:r>
      <w:r>
        <w:rPr>
          <w:rFonts w:hint="eastAsia" w:eastAsia="仿宋_GB2312" w:cs="仿宋_GB2312"/>
          <w:sz w:val="32"/>
          <w:szCs w:val="32"/>
        </w:rPr>
        <w:t>万元，占</w:t>
      </w:r>
      <w:r>
        <w:rPr>
          <w:rFonts w:eastAsia="仿宋_GB2312" w:cs="仿宋_GB2312"/>
          <w:sz w:val="32"/>
          <w:szCs w:val="32"/>
        </w:rPr>
        <w:t>100%</w:t>
      </w:r>
      <w:r>
        <w:rPr>
          <w:rFonts w:hint="eastAsia" w:eastAsia="仿宋_GB2312" w:cs="仿宋_GB2312"/>
          <w:sz w:val="32"/>
          <w:szCs w:val="32"/>
        </w:rPr>
        <w:t>；政府性基金预算财政拨款收入</w:t>
      </w:r>
      <w:r>
        <w:rPr>
          <w:rFonts w:eastAsia="仿宋_GB2312" w:cs="仿宋_GB2312"/>
          <w:sz w:val="32"/>
          <w:szCs w:val="32"/>
        </w:rPr>
        <w:t>0.00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；国有资本经营预算财政拨款收入</w:t>
      </w:r>
      <w:r>
        <w:rPr>
          <w:rFonts w:eastAsia="仿宋_GB2312" w:cs="仿宋_GB2312"/>
          <w:sz w:val="32"/>
          <w:szCs w:val="32"/>
        </w:rPr>
        <w:t>0.00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；上级补助收入</w:t>
      </w:r>
      <w:r>
        <w:rPr>
          <w:rFonts w:eastAsia="仿宋_GB2312" w:cs="仿宋_GB2312"/>
          <w:sz w:val="32"/>
          <w:szCs w:val="32"/>
        </w:rPr>
        <w:t>0.00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；事业收入</w:t>
      </w:r>
      <w:r>
        <w:rPr>
          <w:rFonts w:eastAsia="仿宋_GB2312" w:cs="仿宋_GB2312"/>
          <w:sz w:val="32"/>
          <w:szCs w:val="32"/>
        </w:rPr>
        <w:t>0.00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；经营收入</w:t>
      </w:r>
      <w:r>
        <w:rPr>
          <w:rFonts w:eastAsia="仿宋_GB2312" w:cs="仿宋_GB2312"/>
          <w:sz w:val="32"/>
          <w:szCs w:val="32"/>
        </w:rPr>
        <w:t>0.00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；附属单位上缴收入</w:t>
      </w:r>
      <w:r>
        <w:rPr>
          <w:rFonts w:eastAsia="仿宋_GB2312" w:cs="仿宋_GB2312"/>
          <w:sz w:val="32"/>
          <w:szCs w:val="32"/>
        </w:rPr>
        <w:t>0.00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；其他收入</w:t>
      </w:r>
      <w:r>
        <w:rPr>
          <w:rFonts w:eastAsia="仿宋_GB2312" w:cs="仿宋_GB2312"/>
          <w:sz w:val="32"/>
          <w:szCs w:val="32"/>
        </w:rPr>
        <w:t>0.00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w:t>
      </w:r>
      <w:r>
        <w:rPr>
          <w:rFonts w:hint="eastAsia" w:eastAsia="仿宋_GB2312" w:cs="仿宋_GB2312"/>
          <w:b/>
          <w:bCs/>
          <w:sz w:val="32"/>
          <w:szCs w:val="32"/>
        </w:rPr>
        <w:t>（注：仅罗列本部门涉及的收入）</w:t>
      </w:r>
    </w:p>
    <w:p w14:paraId="41E556B4">
      <w:pPr>
        <w:pStyle w:val="18"/>
        <w:widowControl/>
        <w:spacing w:line="560" w:lineRule="exact"/>
        <w:ind w:firstLine="643"/>
        <w:outlineLvl w:val="1"/>
        <w:rPr>
          <w:rFonts w:eastAsia="仿宋_GB2312" w:cs="仿宋_GB2312"/>
          <w:b/>
          <w:bCs/>
          <w:sz w:val="32"/>
          <w:szCs w:val="32"/>
        </w:rPr>
      </w:pPr>
    </w:p>
    <w:p w14:paraId="17E407D3">
      <w:pPr>
        <w:pStyle w:val="18"/>
        <w:widowControl/>
        <w:spacing w:line="560" w:lineRule="exact"/>
        <w:ind w:firstLine="643"/>
        <w:outlineLvl w:val="1"/>
        <w:rPr>
          <w:rFonts w:eastAsia="仿宋_GB2312" w:cs="仿宋_GB2312"/>
          <w:b/>
          <w:bCs/>
          <w:sz w:val="32"/>
          <w:szCs w:val="32"/>
        </w:rPr>
      </w:pPr>
    </w:p>
    <w:p w14:paraId="6699BDF9">
      <w:pPr>
        <w:pStyle w:val="18"/>
        <w:widowControl/>
        <w:spacing w:line="560" w:lineRule="exact"/>
        <w:ind w:firstLine="643"/>
        <w:outlineLvl w:val="1"/>
        <w:rPr>
          <w:rFonts w:eastAsia="仿宋_GB2312" w:cs="仿宋_GB2312"/>
          <w:b/>
          <w:bCs/>
          <w:sz w:val="32"/>
          <w:szCs w:val="32"/>
        </w:rPr>
      </w:pPr>
    </w:p>
    <w:p w14:paraId="01FF6E73">
      <w:pPr>
        <w:pStyle w:val="18"/>
        <w:widowControl/>
        <w:spacing w:line="560" w:lineRule="exact"/>
        <w:ind w:firstLine="643"/>
        <w:outlineLvl w:val="1"/>
        <w:rPr>
          <w:rFonts w:eastAsia="仿宋_GB2312" w:cs="仿宋_GB2312"/>
          <w:b/>
          <w:bCs/>
          <w:sz w:val="32"/>
          <w:szCs w:val="32"/>
        </w:rPr>
      </w:pPr>
    </w:p>
    <w:p w14:paraId="1B4B41C9">
      <w:pPr>
        <w:pStyle w:val="18"/>
        <w:widowControl/>
        <w:spacing w:line="560" w:lineRule="exact"/>
        <w:ind w:firstLine="643"/>
        <w:outlineLvl w:val="1"/>
        <w:rPr>
          <w:rFonts w:eastAsia="仿宋_GB2312" w:cs="仿宋_GB2312"/>
          <w:b/>
          <w:bCs/>
          <w:sz w:val="32"/>
          <w:szCs w:val="32"/>
        </w:rPr>
      </w:pPr>
    </w:p>
    <w:p w14:paraId="5348D1A6">
      <w:pPr>
        <w:pStyle w:val="18"/>
        <w:widowControl/>
        <w:spacing w:line="560" w:lineRule="exact"/>
        <w:ind w:firstLine="643"/>
        <w:outlineLvl w:val="1"/>
        <w:rPr>
          <w:rFonts w:eastAsia="仿宋_GB2312" w:cs="仿宋_GB2312"/>
          <w:b/>
          <w:bCs/>
          <w:sz w:val="32"/>
          <w:szCs w:val="32"/>
        </w:rPr>
      </w:pPr>
    </w:p>
    <w:p w14:paraId="29546BAA">
      <w:pPr>
        <w:pStyle w:val="18"/>
        <w:widowControl/>
        <w:spacing w:line="560" w:lineRule="exact"/>
        <w:ind w:firstLine="643"/>
        <w:outlineLvl w:val="1"/>
        <w:rPr>
          <w:rFonts w:eastAsia="仿宋_GB2312" w:cs="仿宋_GB2312"/>
          <w:b/>
          <w:bCs/>
          <w:sz w:val="32"/>
          <w:szCs w:val="32"/>
        </w:rPr>
      </w:pPr>
    </w:p>
    <w:p w14:paraId="3FF453EF">
      <w:pPr>
        <w:pStyle w:val="18"/>
        <w:widowControl/>
        <w:spacing w:line="560" w:lineRule="exact"/>
        <w:ind w:firstLine="643"/>
        <w:outlineLvl w:val="1"/>
        <w:rPr>
          <w:rFonts w:eastAsia="仿宋_GB2312" w:cs="仿宋_GB2312"/>
          <w:b/>
          <w:bCs/>
          <w:sz w:val="32"/>
          <w:szCs w:val="32"/>
        </w:rPr>
      </w:pPr>
      <w:r>
        <w:rPr>
          <w:rFonts w:eastAsia="仿宋_GB2312" w:cs="仿宋_GB2312"/>
          <w:b/>
          <w:bCs/>
          <w:sz w:val="32"/>
          <w:szCs w:val="32"/>
        </w:rPr>
        <w:drawing>
          <wp:anchor distT="0" distB="0" distL="114300" distR="114300" simplePos="0" relativeHeight="251660288" behindDoc="0" locked="0" layoutInCell="1" allowOverlap="1">
            <wp:simplePos x="0" y="0"/>
            <wp:positionH relativeFrom="column">
              <wp:posOffset>409575</wp:posOffset>
            </wp:positionH>
            <wp:positionV relativeFrom="paragraph">
              <wp:posOffset>-2438400</wp:posOffset>
            </wp:positionV>
            <wp:extent cx="4705350" cy="2733675"/>
            <wp:effectExtent l="0" t="0" r="0" b="9525"/>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5E973AA8">
      <w:pPr>
        <w:pStyle w:val="18"/>
        <w:widowControl/>
        <w:spacing w:line="560" w:lineRule="exact"/>
        <w:ind w:firstLine="1760" w:firstLineChars="550"/>
        <w:outlineLvl w:val="1"/>
        <w:rPr>
          <w:rFonts w:eastAsia="仿宋_GB2312" w:cs="仿宋_GB2312"/>
          <w:sz w:val="32"/>
          <w:szCs w:val="32"/>
        </w:rPr>
      </w:pPr>
      <w:r>
        <w:rPr>
          <w:rFonts w:hint="eastAsia" w:eastAsia="仿宋_GB2312" w:cs="仿宋_GB2312"/>
          <w:sz w:val="32"/>
          <w:szCs w:val="32"/>
        </w:rPr>
        <w:t>（图</w:t>
      </w:r>
      <w:r>
        <w:rPr>
          <w:rFonts w:eastAsia="仿宋_GB2312" w:cs="仿宋_GB2312"/>
          <w:sz w:val="32"/>
          <w:szCs w:val="32"/>
        </w:rPr>
        <w:t>2</w:t>
      </w:r>
      <w:r>
        <w:rPr>
          <w:rFonts w:hint="eastAsia" w:eastAsia="仿宋_GB2312" w:cs="仿宋_GB2312"/>
          <w:sz w:val="32"/>
          <w:szCs w:val="32"/>
        </w:rPr>
        <w:t>：收入决算结构图）（饼状图）</w:t>
      </w:r>
    </w:p>
    <w:p w14:paraId="36787107">
      <w:pPr>
        <w:spacing w:line="560" w:lineRule="exact"/>
        <w:ind w:firstLine="800" w:firstLineChars="250"/>
        <w:rPr>
          <w:rFonts w:eastAsia="仿宋_GB2312" w:cs="仿宋_GB2312"/>
          <w:sz w:val="32"/>
          <w:szCs w:val="32"/>
        </w:rPr>
      </w:pPr>
    </w:p>
    <w:p w14:paraId="5F2F47A2">
      <w:pPr>
        <w:pStyle w:val="18"/>
        <w:keepNext w:val="0"/>
        <w:keepLines w:val="0"/>
        <w:pageBreakBefore w:val="0"/>
        <w:widowControl/>
        <w:kinsoku/>
        <w:wordWrap/>
        <w:overflowPunct/>
        <w:topLinePunct w:val="0"/>
        <w:autoSpaceDE/>
        <w:autoSpaceDN/>
        <w:bidi w:val="0"/>
        <w:adjustRightInd/>
        <w:snapToGrid/>
        <w:spacing w:line="560" w:lineRule="exact"/>
        <w:ind w:firstLine="640"/>
        <w:textAlignment w:val="auto"/>
        <w:outlineLvl w:val="1"/>
        <w:rPr>
          <w:rFonts w:eastAsia="黑体"/>
          <w:bCs/>
          <w:sz w:val="32"/>
          <w:szCs w:val="32"/>
        </w:rPr>
      </w:pPr>
      <w:bookmarkStart w:id="14" w:name="_Toc15377207"/>
      <w:bookmarkStart w:id="15" w:name="_Toc15396605"/>
      <w:r>
        <w:rPr>
          <w:rFonts w:hint="eastAsia" w:eastAsia="黑体" w:cs="黑体"/>
          <w:sz w:val="32"/>
          <w:szCs w:val="32"/>
        </w:rPr>
        <w:t>三、支</w:t>
      </w:r>
      <w:r>
        <w:rPr>
          <w:rStyle w:val="23"/>
          <w:rFonts w:hint="eastAsia" w:eastAsia="黑体" w:cs="黑体"/>
        </w:rPr>
        <w:t>出决算情况说明</w:t>
      </w:r>
      <w:bookmarkEnd w:id="14"/>
      <w:bookmarkEnd w:id="15"/>
    </w:p>
    <w:p w14:paraId="21DDC99F">
      <w:pPr>
        <w:pStyle w:val="18"/>
        <w:keepNext w:val="0"/>
        <w:keepLines w:val="0"/>
        <w:pageBreakBefore w:val="0"/>
        <w:widowControl/>
        <w:kinsoku/>
        <w:wordWrap/>
        <w:overflowPunct/>
        <w:topLinePunct w:val="0"/>
        <w:autoSpaceDE/>
        <w:autoSpaceDN/>
        <w:bidi w:val="0"/>
        <w:adjustRightInd/>
        <w:snapToGrid/>
        <w:spacing w:line="560" w:lineRule="exact"/>
        <w:ind w:firstLine="640"/>
        <w:textAlignment w:val="auto"/>
        <w:outlineLvl w:val="1"/>
        <w:rPr>
          <w:rFonts w:eastAsia="仿宋_GB2312" w:cs="仿宋_GB2312"/>
          <w:b/>
          <w:bCs/>
          <w:sz w:val="32"/>
          <w:szCs w:val="32"/>
        </w:rPr>
      </w:pPr>
      <w:r>
        <w:rPr>
          <w:rFonts w:eastAsia="仿宋_GB2312" w:cs="仿宋_GB2312"/>
          <w:sz w:val="32"/>
          <w:szCs w:val="32"/>
        </w:rPr>
        <w:t>2025</w:t>
      </w:r>
      <w:r>
        <w:rPr>
          <w:rFonts w:hint="eastAsia" w:eastAsia="仿宋_GB2312" w:cs="仿宋_GB2312"/>
          <w:sz w:val="32"/>
          <w:szCs w:val="32"/>
        </w:rPr>
        <w:t>年度本年支出合计</w:t>
      </w:r>
      <w:r>
        <w:rPr>
          <w:rFonts w:eastAsia="仿宋_GB2312" w:cs="仿宋_GB2312"/>
          <w:sz w:val="32"/>
          <w:szCs w:val="32"/>
        </w:rPr>
        <w:t>1995.37</w:t>
      </w:r>
      <w:r>
        <w:rPr>
          <w:rFonts w:hint="eastAsia" w:eastAsia="仿宋_GB2312" w:cs="仿宋_GB2312"/>
          <w:sz w:val="32"/>
          <w:szCs w:val="32"/>
        </w:rPr>
        <w:t>万元，其中：基本支出</w:t>
      </w:r>
      <w:r>
        <w:rPr>
          <w:rFonts w:eastAsia="仿宋_GB2312" w:cs="仿宋_GB2312"/>
          <w:sz w:val="32"/>
          <w:szCs w:val="32"/>
        </w:rPr>
        <w:t>867.37</w:t>
      </w:r>
      <w:r>
        <w:rPr>
          <w:rFonts w:hint="eastAsia" w:eastAsia="仿宋_GB2312" w:cs="仿宋_GB2312"/>
          <w:sz w:val="32"/>
          <w:szCs w:val="32"/>
        </w:rPr>
        <w:t>万元，占</w:t>
      </w:r>
      <w:r>
        <w:rPr>
          <w:rFonts w:eastAsia="仿宋_GB2312" w:cs="仿宋_GB2312"/>
          <w:sz w:val="32"/>
          <w:szCs w:val="32"/>
        </w:rPr>
        <w:t>43.47%</w:t>
      </w:r>
      <w:r>
        <w:rPr>
          <w:rFonts w:hint="eastAsia" w:eastAsia="仿宋_GB2312" w:cs="仿宋_GB2312"/>
          <w:sz w:val="32"/>
          <w:szCs w:val="32"/>
        </w:rPr>
        <w:t>；项目支出</w:t>
      </w:r>
      <w:r>
        <w:rPr>
          <w:rFonts w:eastAsia="仿宋_GB2312" w:cs="仿宋_GB2312"/>
          <w:sz w:val="32"/>
          <w:szCs w:val="32"/>
        </w:rPr>
        <w:t>1127.99</w:t>
      </w:r>
      <w:r>
        <w:rPr>
          <w:rFonts w:hint="eastAsia" w:eastAsia="仿宋_GB2312" w:cs="仿宋_GB2312"/>
          <w:sz w:val="32"/>
          <w:szCs w:val="32"/>
        </w:rPr>
        <w:t>万元，占</w:t>
      </w:r>
      <w:r>
        <w:rPr>
          <w:rFonts w:eastAsia="仿宋_GB2312" w:cs="仿宋_GB2312"/>
          <w:sz w:val="32"/>
          <w:szCs w:val="32"/>
        </w:rPr>
        <w:t>56.53%</w:t>
      </w:r>
      <w:r>
        <w:rPr>
          <w:rFonts w:hint="eastAsia" w:eastAsia="仿宋_GB2312" w:cs="仿宋_GB2312"/>
          <w:sz w:val="32"/>
          <w:szCs w:val="32"/>
        </w:rPr>
        <w:t>；上缴上级支出</w:t>
      </w:r>
      <w:r>
        <w:rPr>
          <w:rFonts w:eastAsia="仿宋_GB2312" w:cs="仿宋_GB2312"/>
          <w:sz w:val="32"/>
          <w:szCs w:val="32"/>
        </w:rPr>
        <w:t>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；经营支出</w:t>
      </w:r>
      <w:r>
        <w:rPr>
          <w:rFonts w:eastAsia="仿宋_GB2312" w:cs="仿宋_GB2312"/>
          <w:sz w:val="32"/>
          <w:szCs w:val="32"/>
        </w:rPr>
        <w:t>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；对附属单位补助支出</w:t>
      </w:r>
      <w:r>
        <w:rPr>
          <w:rFonts w:eastAsia="仿宋_GB2312" w:cs="仿宋_GB2312"/>
          <w:sz w:val="32"/>
          <w:szCs w:val="32"/>
        </w:rPr>
        <w:t>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w:t>
      </w:r>
      <w:r>
        <w:rPr>
          <w:rFonts w:hint="eastAsia" w:eastAsia="仿宋_GB2312" w:cs="仿宋_GB2312"/>
          <w:b/>
          <w:bCs/>
          <w:sz w:val="32"/>
          <w:szCs w:val="32"/>
        </w:rPr>
        <w:t>（注：仅罗列本部门涉及的支出）</w:t>
      </w:r>
    </w:p>
    <w:p w14:paraId="4A7C286C">
      <w:pPr>
        <w:pStyle w:val="18"/>
        <w:keepNext w:val="0"/>
        <w:keepLines w:val="0"/>
        <w:pageBreakBefore w:val="0"/>
        <w:widowControl/>
        <w:kinsoku/>
        <w:wordWrap/>
        <w:overflowPunct/>
        <w:topLinePunct w:val="0"/>
        <w:autoSpaceDE/>
        <w:autoSpaceDN/>
        <w:bidi w:val="0"/>
        <w:adjustRightInd/>
        <w:snapToGrid/>
        <w:spacing w:line="560" w:lineRule="exact"/>
        <w:ind w:left="0" w:leftChars="0" w:firstLine="0" w:firstLineChars="0"/>
        <w:textAlignment w:val="auto"/>
        <w:outlineLvl w:val="1"/>
        <w:rPr>
          <w:rFonts w:eastAsia="仿宋_GB2312" w:cs="仿宋_GB2312"/>
          <w:sz w:val="32"/>
          <w:szCs w:val="32"/>
        </w:rPr>
      </w:pPr>
    </w:p>
    <w:p w14:paraId="41B8CEC8">
      <w:pPr>
        <w:pStyle w:val="18"/>
        <w:widowControl/>
        <w:spacing w:line="560" w:lineRule="exact"/>
        <w:ind w:firstLine="0" w:firstLineChars="0"/>
        <w:outlineLvl w:val="1"/>
        <w:rPr>
          <w:rFonts w:eastAsia="仿宋_GB2312" w:cs="仿宋_GB2312"/>
          <w:sz w:val="32"/>
          <w:szCs w:val="32"/>
        </w:rPr>
      </w:pPr>
    </w:p>
    <w:p w14:paraId="0F3836C3">
      <w:pPr>
        <w:pStyle w:val="18"/>
        <w:widowControl/>
        <w:spacing w:line="560" w:lineRule="exact"/>
        <w:ind w:left="0" w:leftChars="0" w:firstLine="0" w:firstLineChars="0"/>
        <w:outlineLvl w:val="1"/>
        <w:rPr>
          <w:rFonts w:eastAsia="仿宋_GB2312" w:cs="仿宋_GB2312"/>
          <w:sz w:val="32"/>
          <w:szCs w:val="32"/>
        </w:rPr>
      </w:pPr>
    </w:p>
    <w:p w14:paraId="719AFD3B">
      <w:pPr>
        <w:pStyle w:val="18"/>
        <w:widowControl/>
        <w:spacing w:line="560" w:lineRule="exact"/>
        <w:ind w:left="0" w:leftChars="0" w:firstLine="0" w:firstLineChars="0"/>
        <w:outlineLvl w:val="1"/>
        <w:rPr>
          <w:rFonts w:eastAsia="仿宋_GB2312" w:cs="仿宋_GB2312"/>
          <w:sz w:val="32"/>
          <w:szCs w:val="32"/>
        </w:rPr>
      </w:pPr>
    </w:p>
    <w:p w14:paraId="0FA39F8E">
      <w:pPr>
        <w:pStyle w:val="18"/>
        <w:widowControl/>
        <w:spacing w:line="560" w:lineRule="exact"/>
        <w:ind w:firstLine="640"/>
        <w:outlineLvl w:val="1"/>
        <w:rPr>
          <w:rFonts w:eastAsia="仿宋_GB2312" w:cs="仿宋_GB2312"/>
          <w:sz w:val="32"/>
          <w:szCs w:val="32"/>
        </w:rPr>
      </w:pPr>
      <w:r>
        <w:rPr>
          <w:rFonts w:eastAsia="仿宋_GB2312" w:cs="仿宋_GB2312"/>
          <w:sz w:val="32"/>
          <w:szCs w:val="32"/>
        </w:rPr>
        <w:drawing>
          <wp:anchor distT="0" distB="0" distL="114300" distR="114300" simplePos="0" relativeHeight="251662336" behindDoc="0" locked="0" layoutInCell="1" allowOverlap="1">
            <wp:simplePos x="0" y="0"/>
            <wp:positionH relativeFrom="column">
              <wp:posOffset>394335</wp:posOffset>
            </wp:positionH>
            <wp:positionV relativeFrom="paragraph">
              <wp:posOffset>256540</wp:posOffset>
            </wp:positionV>
            <wp:extent cx="4738370" cy="2884805"/>
            <wp:effectExtent l="4445" t="4445" r="12065" b="6350"/>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37E5CD94">
      <w:pPr>
        <w:pStyle w:val="18"/>
        <w:widowControl/>
        <w:spacing w:line="560" w:lineRule="exact"/>
        <w:ind w:firstLine="640"/>
        <w:outlineLvl w:val="1"/>
        <w:rPr>
          <w:rFonts w:eastAsia="仿宋_GB2312" w:cs="仿宋_GB2312"/>
          <w:sz w:val="32"/>
          <w:szCs w:val="32"/>
        </w:rPr>
      </w:pPr>
    </w:p>
    <w:p w14:paraId="2763FADB">
      <w:pPr>
        <w:pStyle w:val="18"/>
        <w:widowControl/>
        <w:spacing w:line="560" w:lineRule="exact"/>
        <w:ind w:firstLine="640"/>
        <w:outlineLvl w:val="1"/>
        <w:rPr>
          <w:rFonts w:eastAsia="仿宋_GB2312" w:cs="仿宋_GB2312"/>
          <w:sz w:val="32"/>
          <w:szCs w:val="32"/>
        </w:rPr>
      </w:pPr>
    </w:p>
    <w:p w14:paraId="015DCF50">
      <w:pPr>
        <w:pStyle w:val="18"/>
        <w:widowControl/>
        <w:spacing w:line="560" w:lineRule="exact"/>
        <w:ind w:firstLine="640"/>
        <w:outlineLvl w:val="1"/>
        <w:rPr>
          <w:rFonts w:eastAsia="仿宋_GB2312" w:cs="仿宋_GB2312"/>
          <w:sz w:val="32"/>
          <w:szCs w:val="32"/>
        </w:rPr>
      </w:pPr>
    </w:p>
    <w:p w14:paraId="63CACA42">
      <w:pPr>
        <w:pStyle w:val="18"/>
        <w:widowControl/>
        <w:spacing w:line="560" w:lineRule="exact"/>
        <w:ind w:firstLine="640"/>
        <w:outlineLvl w:val="1"/>
        <w:rPr>
          <w:rFonts w:eastAsia="仿宋_GB2312" w:cs="仿宋_GB2312"/>
          <w:sz w:val="32"/>
          <w:szCs w:val="32"/>
        </w:rPr>
      </w:pPr>
    </w:p>
    <w:p w14:paraId="1ED51D14">
      <w:pPr>
        <w:pStyle w:val="18"/>
        <w:widowControl/>
        <w:spacing w:line="560" w:lineRule="exact"/>
        <w:ind w:firstLine="640"/>
        <w:outlineLvl w:val="1"/>
        <w:rPr>
          <w:rFonts w:eastAsia="仿宋_GB2312" w:cs="仿宋_GB2312"/>
          <w:sz w:val="32"/>
          <w:szCs w:val="32"/>
        </w:rPr>
      </w:pPr>
    </w:p>
    <w:p w14:paraId="54C23E46">
      <w:pPr>
        <w:pStyle w:val="18"/>
        <w:widowControl/>
        <w:spacing w:line="560" w:lineRule="exact"/>
        <w:ind w:firstLine="640"/>
        <w:outlineLvl w:val="1"/>
        <w:rPr>
          <w:rFonts w:eastAsia="仿宋_GB2312" w:cs="仿宋_GB2312"/>
          <w:sz w:val="32"/>
          <w:szCs w:val="32"/>
        </w:rPr>
      </w:pPr>
    </w:p>
    <w:p w14:paraId="03524DFF">
      <w:pPr>
        <w:pStyle w:val="18"/>
        <w:widowControl/>
        <w:spacing w:line="560" w:lineRule="exact"/>
        <w:ind w:firstLine="640"/>
        <w:outlineLvl w:val="1"/>
        <w:rPr>
          <w:rFonts w:eastAsia="仿宋_GB2312" w:cs="仿宋_GB2312"/>
          <w:sz w:val="32"/>
          <w:szCs w:val="32"/>
        </w:rPr>
      </w:pPr>
    </w:p>
    <w:p w14:paraId="26006AAE">
      <w:pPr>
        <w:pStyle w:val="18"/>
        <w:widowControl/>
        <w:spacing w:line="560" w:lineRule="exact"/>
        <w:ind w:firstLine="640"/>
        <w:outlineLvl w:val="1"/>
        <w:rPr>
          <w:rFonts w:eastAsia="仿宋_GB2312" w:cs="仿宋_GB2312"/>
          <w:sz w:val="32"/>
          <w:szCs w:val="32"/>
        </w:rPr>
      </w:pPr>
    </w:p>
    <w:p w14:paraId="6239D624">
      <w:pPr>
        <w:pStyle w:val="18"/>
        <w:widowControl/>
        <w:spacing w:line="560" w:lineRule="exact"/>
        <w:ind w:firstLine="1920" w:firstLineChars="600"/>
        <w:outlineLvl w:val="1"/>
        <w:rPr>
          <w:rFonts w:eastAsia="仿宋_GB2312" w:cs="仿宋_GB2312"/>
          <w:sz w:val="32"/>
          <w:szCs w:val="32"/>
        </w:rPr>
      </w:pPr>
      <w:r>
        <w:rPr>
          <w:rFonts w:hint="eastAsia" w:eastAsia="仿宋_GB2312" w:cs="仿宋_GB2312"/>
          <w:sz w:val="32"/>
          <w:szCs w:val="32"/>
        </w:rPr>
        <w:t>（图</w:t>
      </w:r>
      <w:r>
        <w:rPr>
          <w:rFonts w:eastAsia="仿宋_GB2312" w:cs="仿宋_GB2312"/>
          <w:sz w:val="32"/>
          <w:szCs w:val="32"/>
        </w:rPr>
        <w:t>3</w:t>
      </w:r>
      <w:r>
        <w:rPr>
          <w:rFonts w:hint="eastAsia" w:eastAsia="仿宋_GB2312" w:cs="仿宋_GB2312"/>
          <w:sz w:val="32"/>
          <w:szCs w:val="32"/>
        </w:rPr>
        <w:t>：支出决算结构图）（饼状图）</w:t>
      </w:r>
    </w:p>
    <w:p w14:paraId="3B3A89B5">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eastAsia="仿宋_GB2312" w:cs="仿宋_GB2312"/>
          <w:sz w:val="32"/>
          <w:szCs w:val="32"/>
        </w:rPr>
      </w:pPr>
    </w:p>
    <w:p w14:paraId="447647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eastAsia="黑体"/>
          <w:bCs/>
          <w:sz w:val="32"/>
          <w:szCs w:val="32"/>
        </w:rPr>
      </w:pPr>
      <w:bookmarkStart w:id="16" w:name="_Toc15396606"/>
      <w:bookmarkStart w:id="17" w:name="_Toc15377208"/>
      <w:r>
        <w:rPr>
          <w:rFonts w:hint="eastAsia" w:ascii="Times New Roman" w:hAnsi="Times New Roman" w:eastAsia="黑体" w:cs="黑体"/>
          <w:sz w:val="32"/>
          <w:szCs w:val="32"/>
          <w:lang w:bidi="ar"/>
        </w:rPr>
        <w:t>四、财</w:t>
      </w:r>
      <w:r>
        <w:rPr>
          <w:rStyle w:val="23"/>
          <w:rFonts w:hint="eastAsia" w:eastAsia="黑体" w:cs="黑体"/>
          <w:lang w:bidi="ar"/>
        </w:rPr>
        <w:t>政拨款收入支出决算总体情况说明</w:t>
      </w:r>
      <w:bookmarkEnd w:id="16"/>
      <w:bookmarkEnd w:id="17"/>
    </w:p>
    <w:p w14:paraId="3854617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Times New Roman" w:hAnsi="Times New Roman" w:eastAsia="仿宋_GB2312" w:cs="仿宋_GB2312"/>
          <w:sz w:val="32"/>
          <w:szCs w:val="32"/>
          <w:lang w:bidi="ar"/>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年度财政拨款收入、支出总计均为</w:t>
      </w:r>
      <w:r>
        <w:rPr>
          <w:rFonts w:ascii="Times New Roman" w:hAnsi="Times New Roman" w:eastAsia="仿宋_GB2312" w:cs="仿宋_GB2312"/>
          <w:sz w:val="32"/>
          <w:szCs w:val="32"/>
          <w:lang w:bidi="ar"/>
        </w:rPr>
        <w:t>1995.37</w:t>
      </w:r>
      <w:r>
        <w:rPr>
          <w:rFonts w:hint="eastAsia" w:ascii="Times New Roman" w:hAnsi="Times New Roman" w:eastAsia="仿宋_GB2312" w:cs="仿宋_GB2312"/>
          <w:sz w:val="32"/>
          <w:szCs w:val="32"/>
          <w:lang w:bidi="ar"/>
        </w:rPr>
        <w:t>万元。与上年度相比，财政拨款收入、支出总计各减少</w:t>
      </w:r>
      <w:r>
        <w:rPr>
          <w:rFonts w:ascii="Times New Roman" w:hAnsi="Times New Roman" w:eastAsia="仿宋_GB2312" w:cs="仿宋_GB2312"/>
          <w:sz w:val="32"/>
          <w:szCs w:val="32"/>
          <w:lang w:bidi="ar"/>
        </w:rPr>
        <w:t>43.51</w:t>
      </w:r>
      <w:r>
        <w:rPr>
          <w:rFonts w:hint="eastAsia" w:ascii="Times New Roman" w:hAnsi="Times New Roman" w:eastAsia="仿宋_GB2312" w:cs="仿宋_GB2312"/>
          <w:sz w:val="32"/>
          <w:szCs w:val="32"/>
          <w:lang w:bidi="ar"/>
        </w:rPr>
        <w:t>万元，下降2</w:t>
      </w:r>
      <w:r>
        <w:rPr>
          <w:rFonts w:ascii="Times New Roman" w:hAnsi="Times New Roman" w:eastAsia="仿宋_GB2312" w:cs="仿宋_GB2312"/>
          <w:sz w:val="32"/>
          <w:szCs w:val="32"/>
          <w:lang w:bidi="ar"/>
        </w:rPr>
        <w:t>.13%</w:t>
      </w:r>
      <w:r>
        <w:rPr>
          <w:rFonts w:hint="eastAsia" w:ascii="Times New Roman" w:hAnsi="Times New Roman" w:eastAsia="仿宋_GB2312" w:cs="仿宋_GB2312"/>
          <w:sz w:val="32"/>
          <w:szCs w:val="32"/>
          <w:lang w:bidi="ar"/>
        </w:rPr>
        <w:t>。主要变动原因是农林水相关收入减少。</w:t>
      </w:r>
    </w:p>
    <w:p w14:paraId="1D03BACB">
      <w:pPr>
        <w:spacing w:line="560" w:lineRule="exact"/>
        <w:ind w:firstLine="640"/>
        <w:rPr>
          <w:rFonts w:ascii="Times New Roman" w:hAnsi="Times New Roman" w:eastAsia="仿宋_GB2312" w:cs="仿宋_GB2312"/>
          <w:sz w:val="32"/>
          <w:szCs w:val="32"/>
          <w:lang w:bidi="ar"/>
        </w:rPr>
      </w:pPr>
      <w:r>
        <w:rPr>
          <w:rFonts w:ascii="Times New Roman" w:hAnsi="Times New Roman" w:eastAsia="仿宋_GB2312" w:cs="仿宋_GB2312"/>
          <w:sz w:val="32"/>
          <w:szCs w:val="32"/>
        </w:rPr>
        <w:drawing>
          <wp:anchor distT="0" distB="0" distL="114300" distR="114300" simplePos="0" relativeHeight="251663360" behindDoc="0" locked="0" layoutInCell="1" allowOverlap="1">
            <wp:simplePos x="0" y="0"/>
            <wp:positionH relativeFrom="column">
              <wp:posOffset>419100</wp:posOffset>
            </wp:positionH>
            <wp:positionV relativeFrom="paragraph">
              <wp:posOffset>133350</wp:posOffset>
            </wp:positionV>
            <wp:extent cx="4667250" cy="2333625"/>
            <wp:effectExtent l="0" t="0" r="0" b="9525"/>
            <wp:wrapNone/>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2F75FF6C">
      <w:pPr>
        <w:spacing w:line="560" w:lineRule="exact"/>
        <w:ind w:firstLine="640"/>
        <w:rPr>
          <w:rFonts w:ascii="Times New Roman" w:hAnsi="Times New Roman" w:eastAsia="仿宋_GB2312" w:cs="仿宋_GB2312"/>
          <w:sz w:val="32"/>
          <w:szCs w:val="32"/>
          <w:lang w:bidi="ar"/>
        </w:rPr>
      </w:pPr>
    </w:p>
    <w:p w14:paraId="64395953">
      <w:pPr>
        <w:spacing w:line="560" w:lineRule="exact"/>
        <w:ind w:firstLine="640"/>
        <w:rPr>
          <w:rFonts w:ascii="Times New Roman" w:hAnsi="Times New Roman" w:eastAsia="仿宋_GB2312" w:cs="仿宋_GB2312"/>
          <w:sz w:val="32"/>
          <w:szCs w:val="32"/>
          <w:lang w:bidi="ar"/>
        </w:rPr>
      </w:pPr>
    </w:p>
    <w:p w14:paraId="26330292">
      <w:pPr>
        <w:spacing w:line="560" w:lineRule="exact"/>
        <w:ind w:firstLine="640"/>
        <w:rPr>
          <w:rFonts w:ascii="Times New Roman" w:hAnsi="Times New Roman" w:eastAsia="仿宋_GB2312" w:cs="仿宋_GB2312"/>
          <w:sz w:val="32"/>
          <w:szCs w:val="32"/>
          <w:lang w:bidi="ar"/>
        </w:rPr>
      </w:pPr>
    </w:p>
    <w:p w14:paraId="429B5129">
      <w:pPr>
        <w:spacing w:line="560" w:lineRule="exact"/>
        <w:ind w:firstLine="640"/>
        <w:rPr>
          <w:rFonts w:ascii="Times New Roman" w:hAnsi="Times New Roman" w:eastAsia="仿宋_GB2312" w:cs="仿宋_GB2312"/>
          <w:sz w:val="32"/>
          <w:szCs w:val="32"/>
          <w:lang w:bidi="ar"/>
        </w:rPr>
      </w:pPr>
    </w:p>
    <w:p w14:paraId="291B361E">
      <w:pPr>
        <w:spacing w:line="560" w:lineRule="exact"/>
        <w:ind w:firstLine="640"/>
        <w:rPr>
          <w:rFonts w:ascii="Times New Roman" w:hAnsi="Times New Roman" w:eastAsia="仿宋_GB2312" w:cs="仿宋_GB2312"/>
          <w:sz w:val="32"/>
          <w:szCs w:val="32"/>
          <w:lang w:bidi="ar"/>
        </w:rPr>
      </w:pPr>
    </w:p>
    <w:p w14:paraId="4CD0E4AB">
      <w:pPr>
        <w:spacing w:line="560" w:lineRule="exact"/>
        <w:ind w:firstLine="640"/>
        <w:rPr>
          <w:rFonts w:ascii="Times New Roman" w:hAnsi="Times New Roman" w:eastAsia="仿宋_GB2312" w:cs="仿宋_GB2312"/>
          <w:sz w:val="32"/>
          <w:szCs w:val="32"/>
          <w:lang w:bidi="ar"/>
        </w:rPr>
      </w:pPr>
    </w:p>
    <w:p w14:paraId="40CB147D">
      <w:pPr>
        <w:spacing w:line="560" w:lineRule="exact"/>
        <w:ind w:firstLine="480" w:firstLineChars="150"/>
        <w:rPr>
          <w:rFonts w:eastAsia="仿宋_GB2312" w:cs="仿宋_GB2312"/>
          <w:sz w:val="32"/>
          <w:szCs w:val="32"/>
        </w:rPr>
      </w:pPr>
      <w:r>
        <w:rPr>
          <w:rFonts w:hint="eastAsia" w:ascii="Times New Roman" w:hAnsi="Times New Roman" w:eastAsia="仿宋_GB2312" w:cs="仿宋_GB2312"/>
          <w:sz w:val="32"/>
          <w:szCs w:val="32"/>
          <w:lang w:bidi="ar"/>
        </w:rPr>
        <w:t>（图</w:t>
      </w:r>
      <w:r>
        <w:rPr>
          <w:rFonts w:ascii="Times New Roman" w:hAnsi="Times New Roman" w:eastAsia="仿宋_GB2312" w:cs="仿宋_GB2312"/>
          <w:sz w:val="32"/>
          <w:szCs w:val="32"/>
          <w:lang w:bidi="ar"/>
        </w:rPr>
        <w:t>4</w:t>
      </w:r>
      <w:r>
        <w:rPr>
          <w:rFonts w:hint="eastAsia" w:ascii="Times New Roman" w:hAnsi="Times New Roman" w:eastAsia="仿宋_GB2312" w:cs="仿宋_GB2312"/>
          <w:sz w:val="32"/>
          <w:szCs w:val="32"/>
          <w:lang w:bidi="ar"/>
        </w:rPr>
        <w:t>：</w:t>
      </w:r>
      <w:bookmarkStart w:id="18" w:name="OLE_LINK10"/>
      <w:bookmarkStart w:id="19" w:name="OLE_LINK9"/>
      <w:r>
        <w:rPr>
          <w:rFonts w:hint="eastAsia" w:ascii="Times New Roman" w:hAnsi="Times New Roman" w:eastAsia="仿宋_GB2312" w:cs="仿宋_GB2312"/>
          <w:sz w:val="32"/>
          <w:szCs w:val="32"/>
          <w:lang w:bidi="ar"/>
        </w:rPr>
        <w:t>财政拨款收、支决算总计变动情况</w:t>
      </w:r>
      <w:bookmarkEnd w:id="18"/>
      <w:bookmarkEnd w:id="19"/>
      <w:r>
        <w:rPr>
          <w:rFonts w:hint="eastAsia" w:ascii="Times New Roman" w:hAnsi="Times New Roman" w:eastAsia="仿宋_GB2312" w:cs="仿宋_GB2312"/>
          <w:sz w:val="32"/>
          <w:szCs w:val="32"/>
          <w:lang w:bidi="ar"/>
        </w:rPr>
        <w:t>）（柱状图）</w:t>
      </w:r>
    </w:p>
    <w:p w14:paraId="4B8547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eastAsia="黑体"/>
          <w:bCs/>
          <w:sz w:val="32"/>
          <w:szCs w:val="32"/>
        </w:rPr>
      </w:pPr>
      <w:bookmarkStart w:id="20" w:name="_Toc15377209"/>
      <w:bookmarkStart w:id="21" w:name="_Toc15396607"/>
      <w:r>
        <w:rPr>
          <w:rFonts w:hint="eastAsia" w:ascii="Times New Roman" w:hAnsi="Times New Roman" w:eastAsia="黑体" w:cs="黑体"/>
          <w:sz w:val="32"/>
          <w:szCs w:val="32"/>
          <w:lang w:bidi="ar"/>
        </w:rPr>
        <w:t>五、</w:t>
      </w:r>
      <w:r>
        <w:rPr>
          <w:rFonts w:hint="eastAsia" w:ascii="Times New Roman" w:hAnsi="Times New Roman" w:eastAsia="黑体" w:cs="黑体"/>
          <w:b/>
          <w:sz w:val="32"/>
          <w:szCs w:val="32"/>
          <w:lang w:bidi="ar"/>
        </w:rPr>
        <w:t>一</w:t>
      </w:r>
      <w:r>
        <w:rPr>
          <w:rStyle w:val="23"/>
          <w:rFonts w:hint="eastAsia" w:eastAsia="黑体" w:cs="黑体"/>
          <w:lang w:bidi="ar"/>
        </w:rPr>
        <w:t>般公共预算财政拨款支出决算情况说明</w:t>
      </w:r>
      <w:bookmarkEnd w:id="20"/>
      <w:bookmarkEnd w:id="21"/>
    </w:p>
    <w:p w14:paraId="20D89F0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bookmarkStart w:id="22" w:name="_Toc15377210"/>
      <w:r>
        <w:rPr>
          <w:rFonts w:hint="eastAsia" w:ascii="Times New Roman" w:hAnsi="Times New Roman" w:eastAsia="楷体_GB2312" w:cs="楷体_GB2312"/>
          <w:b/>
          <w:sz w:val="32"/>
          <w:szCs w:val="32"/>
          <w:lang w:bidi="ar"/>
        </w:rPr>
        <w:t>（一）一般公共预算财政拨款支出决算总体情况</w:t>
      </w:r>
      <w:bookmarkEnd w:id="22"/>
    </w:p>
    <w:p w14:paraId="7F13C17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年度一般公共预算财政拨款支出</w:t>
      </w:r>
      <w:r>
        <w:rPr>
          <w:rFonts w:ascii="Times New Roman" w:hAnsi="Times New Roman" w:eastAsia="仿宋_GB2312" w:cs="仿宋_GB2312"/>
          <w:sz w:val="32"/>
          <w:szCs w:val="32"/>
          <w:lang w:bidi="ar"/>
        </w:rPr>
        <w:t>1995.37</w:t>
      </w:r>
      <w:r>
        <w:rPr>
          <w:rFonts w:hint="eastAsia" w:ascii="Times New Roman" w:hAnsi="Times New Roman" w:eastAsia="仿宋_GB2312" w:cs="仿宋_GB2312"/>
          <w:sz w:val="32"/>
          <w:szCs w:val="32"/>
          <w:lang w:bidi="ar"/>
        </w:rPr>
        <w:t>万元，占本年支出合计的</w:t>
      </w:r>
      <w:r>
        <w:rPr>
          <w:rFonts w:ascii="Times New Roman" w:hAnsi="Times New Roman" w:eastAsia="仿宋_GB2312" w:cs="仿宋_GB2312"/>
          <w:sz w:val="32"/>
          <w:szCs w:val="32"/>
          <w:lang w:bidi="ar"/>
        </w:rPr>
        <w:t>100%</w:t>
      </w:r>
      <w:r>
        <w:rPr>
          <w:rFonts w:hint="eastAsia" w:ascii="Times New Roman" w:hAnsi="Times New Roman" w:eastAsia="仿宋_GB2312" w:cs="仿宋_GB2312"/>
          <w:sz w:val="32"/>
          <w:szCs w:val="32"/>
          <w:lang w:bidi="ar"/>
        </w:rPr>
        <w:t>。与上年度相比，一般公共预算财政拨款支出减少4</w:t>
      </w:r>
      <w:r>
        <w:rPr>
          <w:rFonts w:ascii="Times New Roman" w:hAnsi="Times New Roman" w:eastAsia="仿宋_GB2312" w:cs="仿宋_GB2312"/>
          <w:sz w:val="32"/>
          <w:szCs w:val="32"/>
          <w:lang w:bidi="ar"/>
        </w:rPr>
        <w:t>3.51</w:t>
      </w:r>
      <w:r>
        <w:rPr>
          <w:rFonts w:hint="eastAsia" w:ascii="Times New Roman" w:hAnsi="Times New Roman" w:eastAsia="仿宋_GB2312" w:cs="仿宋_GB2312"/>
          <w:sz w:val="32"/>
          <w:szCs w:val="32"/>
          <w:lang w:bidi="ar"/>
        </w:rPr>
        <w:t>万元，下降2</w:t>
      </w:r>
      <w:r>
        <w:rPr>
          <w:rFonts w:ascii="Times New Roman" w:hAnsi="Times New Roman" w:eastAsia="仿宋_GB2312" w:cs="仿宋_GB2312"/>
          <w:sz w:val="32"/>
          <w:szCs w:val="32"/>
          <w:lang w:bidi="ar"/>
        </w:rPr>
        <w:t>.13%</w:t>
      </w:r>
      <w:r>
        <w:rPr>
          <w:rFonts w:hint="eastAsia" w:ascii="Times New Roman" w:hAnsi="Times New Roman" w:eastAsia="仿宋_GB2312" w:cs="仿宋_GB2312"/>
          <w:sz w:val="32"/>
          <w:szCs w:val="32"/>
          <w:lang w:bidi="ar"/>
        </w:rPr>
        <w:t>。主要变动原因是</w:t>
      </w:r>
      <w:r>
        <w:rPr>
          <w:rFonts w:hint="eastAsia" w:eastAsia="仿宋_GB2312" w:cs="仿宋_GB2312"/>
          <w:sz w:val="32"/>
          <w:szCs w:val="32"/>
        </w:rPr>
        <w:t>村（社区）森林防火奖补资金在年末下达时，未及时支付，同比减少，还有其他农业农村相关支出减少。</w:t>
      </w:r>
    </w:p>
    <w:p w14:paraId="2D4140FD">
      <w:pPr>
        <w:spacing w:line="560" w:lineRule="exact"/>
        <w:ind w:firstLine="640"/>
        <w:rPr>
          <w:rFonts w:eastAsia="仿宋_GB2312" w:cs="仿宋_GB2312"/>
          <w:sz w:val="32"/>
          <w:szCs w:val="32"/>
        </w:rPr>
      </w:pPr>
      <w:r>
        <w:rPr>
          <w:rFonts w:hint="eastAsia" w:eastAsia="仿宋_GB2312" w:cs="仿宋_GB2312"/>
          <w:sz w:val="32"/>
          <w:szCs w:val="32"/>
        </w:rPr>
        <w:drawing>
          <wp:anchor distT="0" distB="0" distL="114300" distR="114300" simplePos="0" relativeHeight="251664384" behindDoc="0" locked="0" layoutInCell="1" allowOverlap="1">
            <wp:simplePos x="0" y="0"/>
            <wp:positionH relativeFrom="column">
              <wp:posOffset>371475</wp:posOffset>
            </wp:positionH>
            <wp:positionV relativeFrom="paragraph">
              <wp:posOffset>120650</wp:posOffset>
            </wp:positionV>
            <wp:extent cx="4819650" cy="2990850"/>
            <wp:effectExtent l="0" t="0" r="0" b="0"/>
            <wp:wrapNone/>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77362EE1">
      <w:pPr>
        <w:spacing w:line="560" w:lineRule="exact"/>
        <w:ind w:firstLine="640"/>
        <w:rPr>
          <w:rFonts w:eastAsia="仿宋_GB2312" w:cs="仿宋_GB2312"/>
          <w:sz w:val="32"/>
          <w:szCs w:val="32"/>
        </w:rPr>
      </w:pPr>
    </w:p>
    <w:p w14:paraId="558BAB9B">
      <w:pPr>
        <w:spacing w:line="560" w:lineRule="exact"/>
        <w:ind w:firstLine="640"/>
        <w:rPr>
          <w:rFonts w:eastAsia="仿宋_GB2312" w:cs="仿宋_GB2312"/>
          <w:sz w:val="32"/>
          <w:szCs w:val="32"/>
        </w:rPr>
      </w:pPr>
    </w:p>
    <w:p w14:paraId="2F4787E4">
      <w:pPr>
        <w:spacing w:line="560" w:lineRule="exact"/>
        <w:ind w:firstLine="640"/>
        <w:rPr>
          <w:rFonts w:eastAsia="仿宋_GB2312" w:cs="仿宋_GB2312"/>
          <w:sz w:val="32"/>
          <w:szCs w:val="32"/>
        </w:rPr>
      </w:pPr>
    </w:p>
    <w:p w14:paraId="1BBB2F66">
      <w:pPr>
        <w:spacing w:line="560" w:lineRule="exact"/>
        <w:ind w:firstLine="640"/>
        <w:rPr>
          <w:rFonts w:eastAsia="仿宋_GB2312" w:cs="仿宋_GB2312"/>
          <w:sz w:val="32"/>
          <w:szCs w:val="32"/>
        </w:rPr>
      </w:pPr>
    </w:p>
    <w:p w14:paraId="28F37151">
      <w:pPr>
        <w:spacing w:line="560" w:lineRule="exact"/>
        <w:ind w:firstLine="640"/>
        <w:rPr>
          <w:rFonts w:eastAsia="仿宋_GB2312" w:cs="仿宋_GB2312"/>
          <w:sz w:val="32"/>
          <w:szCs w:val="32"/>
        </w:rPr>
      </w:pPr>
    </w:p>
    <w:p w14:paraId="547B5BBA">
      <w:pPr>
        <w:spacing w:line="560" w:lineRule="exact"/>
        <w:ind w:firstLine="640"/>
        <w:rPr>
          <w:rFonts w:eastAsia="仿宋_GB2312" w:cs="仿宋_GB2312"/>
          <w:sz w:val="32"/>
          <w:szCs w:val="32"/>
        </w:rPr>
      </w:pPr>
    </w:p>
    <w:p w14:paraId="50337825">
      <w:pPr>
        <w:spacing w:line="560" w:lineRule="exact"/>
        <w:ind w:firstLine="640"/>
        <w:rPr>
          <w:rFonts w:eastAsia="仿宋_GB2312" w:cs="仿宋_GB2312"/>
          <w:sz w:val="32"/>
          <w:szCs w:val="32"/>
        </w:rPr>
      </w:pPr>
    </w:p>
    <w:p w14:paraId="2B528A01">
      <w:pPr>
        <w:spacing w:line="560" w:lineRule="exact"/>
        <w:ind w:firstLine="640"/>
        <w:rPr>
          <w:rFonts w:eastAsia="仿宋_GB2312" w:cs="仿宋_GB2312"/>
          <w:sz w:val="32"/>
          <w:szCs w:val="32"/>
        </w:rPr>
      </w:pPr>
    </w:p>
    <w:p w14:paraId="4824B0E5">
      <w:pPr>
        <w:spacing w:line="560" w:lineRule="exact"/>
        <w:rPr>
          <w:rFonts w:eastAsia="仿宋_GB2312" w:cs="仿宋_GB2312"/>
          <w:sz w:val="32"/>
          <w:szCs w:val="32"/>
        </w:rPr>
      </w:pPr>
      <w:r>
        <w:rPr>
          <w:rFonts w:hint="eastAsia" w:ascii="Times New Roman" w:hAnsi="Times New Roman" w:eastAsia="仿宋_GB2312" w:cs="仿宋_GB2312"/>
          <w:sz w:val="32"/>
          <w:szCs w:val="32"/>
          <w:lang w:bidi="ar"/>
        </w:rPr>
        <w:t>（图</w:t>
      </w:r>
      <w:r>
        <w:rPr>
          <w:rFonts w:ascii="Times New Roman" w:hAnsi="Times New Roman" w:eastAsia="仿宋_GB2312" w:cs="仿宋_GB2312"/>
          <w:sz w:val="32"/>
          <w:szCs w:val="32"/>
          <w:lang w:bidi="ar"/>
        </w:rPr>
        <w:t>5</w:t>
      </w:r>
      <w:r>
        <w:rPr>
          <w:rFonts w:hint="eastAsia" w:ascii="Times New Roman" w:hAnsi="Times New Roman" w:eastAsia="仿宋_GB2312" w:cs="仿宋_GB2312"/>
          <w:sz w:val="32"/>
          <w:szCs w:val="32"/>
          <w:lang w:bidi="ar"/>
        </w:rPr>
        <w:t>：一般公共预算财政拨款支出决算变动情况）（柱状图）</w:t>
      </w:r>
    </w:p>
    <w:p w14:paraId="05BD4A1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p>
    <w:p w14:paraId="4E3D71A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bookmarkStart w:id="23" w:name="_Toc15377211"/>
      <w:r>
        <w:rPr>
          <w:rFonts w:hint="eastAsia" w:ascii="Times New Roman" w:hAnsi="Times New Roman" w:eastAsia="楷体_GB2312" w:cs="楷体_GB2312"/>
          <w:b/>
          <w:sz w:val="32"/>
          <w:szCs w:val="32"/>
          <w:lang w:bidi="ar"/>
        </w:rPr>
        <w:t>（二）一般公共预算财政拨款支出决算结构情况</w:t>
      </w:r>
      <w:bookmarkEnd w:id="23"/>
    </w:p>
    <w:p w14:paraId="3173FC4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Times New Roman" w:hAnsi="Times New Roman" w:eastAsia="仿宋_GB2312" w:cs="仿宋_GB2312"/>
          <w:b/>
          <w:bCs/>
          <w:sz w:val="32"/>
          <w:szCs w:val="32"/>
          <w:lang w:bidi="ar"/>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年度一般公共预算财政拨款支出</w:t>
      </w:r>
      <w:r>
        <w:rPr>
          <w:rFonts w:ascii="Times New Roman" w:hAnsi="Times New Roman" w:eastAsia="仿宋_GB2312" w:cs="仿宋_GB2312"/>
          <w:sz w:val="32"/>
          <w:szCs w:val="32"/>
          <w:lang w:bidi="ar"/>
        </w:rPr>
        <w:t>1995.37</w:t>
      </w:r>
      <w:r>
        <w:rPr>
          <w:rFonts w:hint="eastAsia" w:ascii="Times New Roman" w:hAnsi="Times New Roman" w:eastAsia="仿宋_GB2312" w:cs="仿宋_GB2312"/>
          <w:sz w:val="32"/>
          <w:szCs w:val="32"/>
          <w:lang w:bidi="ar"/>
        </w:rPr>
        <w:t>万元，主要用于以下方面：一般公共服务支出</w:t>
      </w:r>
      <w:r>
        <w:rPr>
          <w:rFonts w:ascii="Times New Roman" w:hAnsi="Times New Roman" w:eastAsia="仿宋_GB2312" w:cs="仿宋_GB2312"/>
          <w:sz w:val="32"/>
          <w:szCs w:val="32"/>
          <w:lang w:bidi="ar"/>
        </w:rPr>
        <w:t>672.51</w:t>
      </w:r>
      <w:r>
        <w:rPr>
          <w:rFonts w:hint="eastAsia" w:ascii="Times New Roman" w:hAnsi="Times New Roman" w:eastAsia="仿宋_GB2312" w:cs="仿宋_GB2312"/>
          <w:sz w:val="32"/>
          <w:szCs w:val="32"/>
          <w:lang w:bidi="ar"/>
        </w:rPr>
        <w:t>万元，占</w:t>
      </w:r>
      <w:r>
        <w:rPr>
          <w:rFonts w:ascii="Times New Roman" w:hAnsi="Times New Roman" w:eastAsia="仿宋_GB2312" w:cs="仿宋_GB2312"/>
          <w:sz w:val="32"/>
          <w:szCs w:val="32"/>
          <w:lang w:bidi="ar"/>
        </w:rPr>
        <w:t>33.7%</w:t>
      </w:r>
      <w:r>
        <w:rPr>
          <w:rFonts w:hint="eastAsia" w:ascii="Times New Roman" w:hAnsi="Times New Roman" w:eastAsia="仿宋_GB2312" w:cs="仿宋_GB2312"/>
          <w:sz w:val="32"/>
          <w:szCs w:val="32"/>
          <w:lang w:bidi="ar"/>
        </w:rPr>
        <w:t>；文化旅游体育与传媒支出</w:t>
      </w:r>
      <w:r>
        <w:rPr>
          <w:rFonts w:ascii="Times New Roman" w:hAnsi="Times New Roman" w:eastAsia="仿宋_GB2312" w:cs="仿宋_GB2312"/>
          <w:sz w:val="32"/>
          <w:szCs w:val="32"/>
          <w:lang w:bidi="ar"/>
        </w:rPr>
        <w:t>4.7</w:t>
      </w:r>
      <w:r>
        <w:rPr>
          <w:rFonts w:hint="eastAsia" w:ascii="Times New Roman" w:hAnsi="Times New Roman" w:eastAsia="仿宋_GB2312" w:cs="仿宋_GB2312"/>
          <w:sz w:val="32"/>
          <w:szCs w:val="32"/>
          <w:lang w:bidi="ar"/>
        </w:rPr>
        <w:t>万元，占</w:t>
      </w:r>
      <w:r>
        <w:rPr>
          <w:rFonts w:ascii="Times New Roman" w:hAnsi="Times New Roman" w:eastAsia="仿宋_GB2312" w:cs="仿宋_GB2312"/>
          <w:sz w:val="32"/>
          <w:szCs w:val="32"/>
          <w:lang w:bidi="ar"/>
        </w:rPr>
        <w:t>0.24%</w:t>
      </w:r>
      <w:r>
        <w:rPr>
          <w:rFonts w:hint="eastAsia" w:ascii="Times New Roman" w:hAnsi="Times New Roman" w:eastAsia="仿宋_GB2312" w:cs="仿宋_GB2312"/>
          <w:sz w:val="32"/>
          <w:szCs w:val="32"/>
          <w:lang w:bidi="ar"/>
        </w:rPr>
        <w:t>；社会保障和就业支出</w:t>
      </w:r>
      <w:r>
        <w:rPr>
          <w:rFonts w:ascii="Times New Roman" w:hAnsi="Times New Roman" w:eastAsia="仿宋_GB2312" w:cs="仿宋_GB2312"/>
          <w:sz w:val="32"/>
          <w:szCs w:val="32"/>
          <w:lang w:bidi="ar"/>
        </w:rPr>
        <w:t>107.21</w:t>
      </w:r>
      <w:r>
        <w:rPr>
          <w:rFonts w:hint="eastAsia" w:ascii="Times New Roman" w:hAnsi="Times New Roman" w:eastAsia="仿宋_GB2312" w:cs="仿宋_GB2312"/>
          <w:sz w:val="32"/>
          <w:szCs w:val="32"/>
          <w:lang w:bidi="ar"/>
        </w:rPr>
        <w:t>万元，占</w:t>
      </w:r>
      <w:r>
        <w:rPr>
          <w:rFonts w:ascii="Times New Roman" w:hAnsi="Times New Roman" w:eastAsia="仿宋_GB2312" w:cs="仿宋_GB2312"/>
          <w:sz w:val="32"/>
          <w:szCs w:val="32"/>
          <w:lang w:bidi="ar"/>
        </w:rPr>
        <w:t>5.37%</w:t>
      </w:r>
      <w:r>
        <w:rPr>
          <w:rFonts w:hint="eastAsia" w:ascii="Times New Roman" w:hAnsi="Times New Roman" w:eastAsia="仿宋_GB2312" w:cs="仿宋_GB2312"/>
          <w:sz w:val="32"/>
          <w:szCs w:val="32"/>
          <w:lang w:bidi="ar"/>
        </w:rPr>
        <w:t>；</w:t>
      </w:r>
      <w:bookmarkStart w:id="24" w:name="OLE_LINK1"/>
      <w:bookmarkStart w:id="25" w:name="OLE_LINK2"/>
      <w:r>
        <w:rPr>
          <w:rFonts w:hint="eastAsia" w:ascii="Times New Roman" w:hAnsi="Times New Roman" w:eastAsia="仿宋_GB2312" w:cs="仿宋_GB2312"/>
          <w:sz w:val="32"/>
          <w:szCs w:val="32"/>
          <w:lang w:bidi="ar"/>
        </w:rPr>
        <w:t>卫生健康支出</w:t>
      </w:r>
      <w:bookmarkEnd w:id="24"/>
      <w:bookmarkEnd w:id="25"/>
      <w:r>
        <w:rPr>
          <w:rFonts w:ascii="Times New Roman" w:hAnsi="Times New Roman" w:eastAsia="仿宋_GB2312" w:cs="仿宋_GB2312"/>
          <w:sz w:val="32"/>
          <w:szCs w:val="32"/>
          <w:lang w:bidi="ar"/>
        </w:rPr>
        <w:t>43.91</w:t>
      </w:r>
      <w:r>
        <w:rPr>
          <w:rFonts w:hint="eastAsia" w:ascii="Times New Roman" w:hAnsi="Times New Roman" w:eastAsia="仿宋_GB2312" w:cs="仿宋_GB2312"/>
          <w:sz w:val="32"/>
          <w:szCs w:val="32"/>
          <w:lang w:bidi="ar"/>
        </w:rPr>
        <w:t>万元，占</w:t>
      </w:r>
      <w:r>
        <w:rPr>
          <w:rFonts w:ascii="Times New Roman" w:hAnsi="Times New Roman" w:eastAsia="仿宋_GB2312" w:cs="仿宋_GB2312"/>
          <w:sz w:val="32"/>
          <w:szCs w:val="32"/>
          <w:lang w:bidi="ar"/>
        </w:rPr>
        <w:t>2.2%</w:t>
      </w:r>
      <w:r>
        <w:rPr>
          <w:rFonts w:hint="eastAsia" w:ascii="Times New Roman" w:hAnsi="Times New Roman" w:eastAsia="仿宋_GB2312" w:cs="仿宋_GB2312"/>
          <w:sz w:val="32"/>
          <w:szCs w:val="32"/>
          <w:lang w:bidi="ar"/>
        </w:rPr>
        <w:t>；节能环保支出4</w:t>
      </w:r>
      <w:r>
        <w:rPr>
          <w:rFonts w:ascii="Times New Roman" w:hAnsi="Times New Roman" w:eastAsia="仿宋_GB2312" w:cs="仿宋_GB2312"/>
          <w:sz w:val="32"/>
          <w:szCs w:val="32"/>
          <w:lang w:bidi="ar"/>
        </w:rPr>
        <w:t>.26</w:t>
      </w:r>
      <w:r>
        <w:rPr>
          <w:rFonts w:hint="eastAsia" w:ascii="Times New Roman" w:hAnsi="Times New Roman" w:eastAsia="仿宋_GB2312" w:cs="仿宋_GB2312"/>
          <w:sz w:val="32"/>
          <w:szCs w:val="32"/>
          <w:lang w:bidi="ar"/>
        </w:rPr>
        <w:t>万元，占</w:t>
      </w:r>
      <w:r>
        <w:rPr>
          <w:rFonts w:ascii="Times New Roman" w:hAnsi="Times New Roman" w:eastAsia="仿宋_GB2312" w:cs="仿宋_GB2312"/>
          <w:sz w:val="32"/>
          <w:szCs w:val="32"/>
          <w:lang w:bidi="ar"/>
        </w:rPr>
        <w:t>0.21</w:t>
      </w:r>
      <w:r>
        <w:rPr>
          <w:rFonts w:hint="eastAsia" w:ascii="Times New Roman" w:hAnsi="Times New Roman" w:eastAsia="仿宋_GB2312" w:cs="仿宋_GB2312"/>
          <w:sz w:val="32"/>
          <w:szCs w:val="32"/>
          <w:lang w:bidi="ar"/>
        </w:rPr>
        <w:t>%；城乡社区支出8</w:t>
      </w:r>
      <w:r>
        <w:rPr>
          <w:rFonts w:ascii="Times New Roman" w:hAnsi="Times New Roman" w:eastAsia="仿宋_GB2312" w:cs="仿宋_GB2312"/>
          <w:sz w:val="32"/>
          <w:szCs w:val="32"/>
          <w:lang w:bidi="ar"/>
        </w:rPr>
        <w:t>.07</w:t>
      </w:r>
      <w:r>
        <w:rPr>
          <w:rFonts w:hint="eastAsia" w:ascii="Times New Roman" w:hAnsi="Times New Roman" w:eastAsia="仿宋_GB2312" w:cs="仿宋_GB2312"/>
          <w:sz w:val="32"/>
          <w:szCs w:val="32"/>
          <w:lang w:bidi="ar"/>
        </w:rPr>
        <w:t>万元，占0</w:t>
      </w:r>
      <w:r>
        <w:rPr>
          <w:rFonts w:ascii="Times New Roman" w:hAnsi="Times New Roman" w:eastAsia="仿宋_GB2312" w:cs="仿宋_GB2312"/>
          <w:sz w:val="32"/>
          <w:szCs w:val="32"/>
          <w:lang w:bidi="ar"/>
        </w:rPr>
        <w:t>.4</w:t>
      </w:r>
      <w:r>
        <w:rPr>
          <w:rFonts w:hint="eastAsia" w:ascii="Times New Roman" w:hAnsi="Times New Roman" w:eastAsia="仿宋_GB2312" w:cs="仿宋_GB2312"/>
          <w:sz w:val="32"/>
          <w:szCs w:val="32"/>
          <w:lang w:bidi="ar"/>
        </w:rPr>
        <w:t>%；农林水支出1</w:t>
      </w:r>
      <w:r>
        <w:rPr>
          <w:rFonts w:ascii="Times New Roman" w:hAnsi="Times New Roman" w:eastAsia="仿宋_GB2312" w:cs="仿宋_GB2312"/>
          <w:sz w:val="32"/>
          <w:szCs w:val="32"/>
          <w:lang w:bidi="ar"/>
        </w:rPr>
        <w:t>095.11</w:t>
      </w:r>
      <w:r>
        <w:rPr>
          <w:rFonts w:hint="eastAsia" w:ascii="Times New Roman" w:hAnsi="Times New Roman" w:eastAsia="仿宋_GB2312" w:cs="仿宋_GB2312"/>
          <w:sz w:val="32"/>
          <w:szCs w:val="32"/>
          <w:lang w:bidi="ar"/>
        </w:rPr>
        <w:t>万元，占5</w:t>
      </w:r>
      <w:r>
        <w:rPr>
          <w:rFonts w:ascii="Times New Roman" w:hAnsi="Times New Roman" w:eastAsia="仿宋_GB2312" w:cs="仿宋_GB2312"/>
          <w:sz w:val="32"/>
          <w:szCs w:val="32"/>
          <w:lang w:bidi="ar"/>
        </w:rPr>
        <w:t>4.88</w:t>
      </w:r>
      <w:r>
        <w:rPr>
          <w:rFonts w:hint="eastAsia" w:ascii="Times New Roman" w:hAnsi="Times New Roman" w:eastAsia="仿宋_GB2312" w:cs="仿宋_GB2312"/>
          <w:sz w:val="32"/>
          <w:szCs w:val="32"/>
          <w:lang w:bidi="ar"/>
        </w:rPr>
        <w:t>%；住房保障支出</w:t>
      </w:r>
      <w:r>
        <w:rPr>
          <w:rFonts w:ascii="Times New Roman" w:hAnsi="Times New Roman" w:eastAsia="仿宋_GB2312" w:cs="仿宋_GB2312"/>
          <w:sz w:val="32"/>
          <w:szCs w:val="32"/>
          <w:lang w:bidi="ar"/>
        </w:rPr>
        <w:t>59.35</w:t>
      </w:r>
      <w:r>
        <w:rPr>
          <w:rFonts w:hint="eastAsia" w:ascii="Times New Roman" w:hAnsi="Times New Roman" w:eastAsia="仿宋_GB2312" w:cs="仿宋_GB2312"/>
          <w:sz w:val="32"/>
          <w:szCs w:val="32"/>
          <w:lang w:bidi="ar"/>
        </w:rPr>
        <w:t>万元，占</w:t>
      </w:r>
      <w:r>
        <w:rPr>
          <w:rFonts w:ascii="Times New Roman" w:hAnsi="Times New Roman" w:eastAsia="仿宋_GB2312" w:cs="仿宋_GB2312"/>
          <w:sz w:val="32"/>
          <w:szCs w:val="32"/>
          <w:lang w:bidi="ar"/>
        </w:rPr>
        <w:t>2.97%</w:t>
      </w:r>
      <w:r>
        <w:rPr>
          <w:rFonts w:hint="eastAsia" w:ascii="Times New Roman" w:hAnsi="Times New Roman" w:eastAsia="仿宋_GB2312" w:cs="仿宋_GB2312"/>
          <w:sz w:val="32"/>
          <w:szCs w:val="32"/>
          <w:lang w:bidi="ar"/>
        </w:rPr>
        <w:t>；灾害防治及应急管理支出</w:t>
      </w:r>
      <w:r>
        <w:rPr>
          <w:rFonts w:ascii="Times New Roman" w:hAnsi="Times New Roman" w:eastAsia="仿宋_GB2312" w:cs="仿宋_GB2312"/>
          <w:sz w:val="32"/>
          <w:szCs w:val="32"/>
          <w:lang w:bidi="ar"/>
        </w:rPr>
        <w:t>0.25</w:t>
      </w:r>
      <w:r>
        <w:rPr>
          <w:rFonts w:hint="eastAsia" w:ascii="Times New Roman" w:hAnsi="Times New Roman" w:eastAsia="仿宋_GB2312" w:cs="仿宋_GB2312"/>
          <w:sz w:val="32"/>
          <w:szCs w:val="32"/>
          <w:lang w:bidi="ar"/>
        </w:rPr>
        <w:t>万元，占0</w:t>
      </w:r>
      <w:r>
        <w:rPr>
          <w:rFonts w:ascii="Times New Roman" w:hAnsi="Times New Roman" w:eastAsia="仿宋_GB2312" w:cs="仿宋_GB2312"/>
          <w:sz w:val="32"/>
          <w:szCs w:val="32"/>
          <w:lang w:bidi="ar"/>
        </w:rPr>
        <w:t>.01%</w:t>
      </w:r>
      <w:r>
        <w:rPr>
          <w:rFonts w:hint="eastAsia" w:ascii="Times New Roman" w:hAnsi="Times New Roman" w:eastAsia="仿宋_GB2312" w:cs="仿宋_GB2312"/>
          <w:sz w:val="32"/>
          <w:szCs w:val="32"/>
          <w:lang w:bidi="ar"/>
        </w:rPr>
        <w:t>。</w:t>
      </w:r>
      <w:r>
        <w:rPr>
          <w:rFonts w:hint="eastAsia" w:ascii="Times New Roman" w:hAnsi="Times New Roman" w:eastAsia="仿宋_GB2312" w:cs="仿宋_GB2312"/>
          <w:b/>
          <w:bCs/>
          <w:sz w:val="32"/>
          <w:szCs w:val="32"/>
          <w:lang w:bidi="ar"/>
        </w:rPr>
        <w:t>（注：仅罗列本部门涉及的全部功能分类科目，至类级）</w:t>
      </w:r>
    </w:p>
    <w:p w14:paraId="70C4B1D2">
      <w:pPr>
        <w:spacing w:line="560" w:lineRule="exact"/>
        <w:ind w:firstLine="640"/>
        <w:rPr>
          <w:rFonts w:ascii="Times New Roman" w:hAnsi="Times New Roman" w:eastAsia="仿宋_GB2312" w:cs="仿宋_GB2312"/>
          <w:b/>
          <w:bCs/>
          <w:sz w:val="32"/>
          <w:szCs w:val="32"/>
          <w:lang w:bidi="ar"/>
        </w:rPr>
      </w:pPr>
      <w:r>
        <w:rPr>
          <w:rFonts w:hint="eastAsia" w:eastAsia="仿宋_GB2312" w:cs="仿宋_GB2312"/>
          <w:b/>
          <w:bCs/>
          <w:sz w:val="32"/>
          <w:szCs w:val="32"/>
        </w:rPr>
        <w:drawing>
          <wp:anchor distT="0" distB="0" distL="114300" distR="114300" simplePos="0" relativeHeight="251660288" behindDoc="0" locked="0" layoutInCell="1" allowOverlap="1">
            <wp:simplePos x="0" y="0"/>
            <wp:positionH relativeFrom="column">
              <wp:posOffset>342900</wp:posOffset>
            </wp:positionH>
            <wp:positionV relativeFrom="paragraph">
              <wp:posOffset>12065</wp:posOffset>
            </wp:positionV>
            <wp:extent cx="5133975" cy="3476625"/>
            <wp:effectExtent l="0" t="0" r="9525" b="9525"/>
            <wp:wrapNone/>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61A3E201">
      <w:pPr>
        <w:spacing w:line="560" w:lineRule="exact"/>
        <w:ind w:firstLine="640"/>
        <w:rPr>
          <w:rFonts w:ascii="Times New Roman" w:hAnsi="Times New Roman" w:eastAsia="仿宋_GB2312" w:cs="仿宋_GB2312"/>
          <w:b/>
          <w:bCs/>
          <w:sz w:val="32"/>
          <w:szCs w:val="32"/>
          <w:lang w:bidi="ar"/>
        </w:rPr>
      </w:pPr>
    </w:p>
    <w:p w14:paraId="262282B9">
      <w:pPr>
        <w:spacing w:line="560" w:lineRule="exact"/>
        <w:ind w:firstLine="640"/>
        <w:rPr>
          <w:rFonts w:ascii="Times New Roman" w:hAnsi="Times New Roman" w:eastAsia="仿宋_GB2312" w:cs="仿宋_GB2312"/>
          <w:b/>
          <w:bCs/>
          <w:sz w:val="32"/>
          <w:szCs w:val="32"/>
          <w:lang w:bidi="ar"/>
        </w:rPr>
      </w:pPr>
    </w:p>
    <w:p w14:paraId="653A935A">
      <w:pPr>
        <w:spacing w:line="560" w:lineRule="exact"/>
        <w:ind w:firstLine="640"/>
        <w:rPr>
          <w:rFonts w:ascii="Times New Roman" w:hAnsi="Times New Roman" w:eastAsia="仿宋_GB2312" w:cs="仿宋_GB2312"/>
          <w:b/>
          <w:bCs/>
          <w:sz w:val="32"/>
          <w:szCs w:val="32"/>
          <w:lang w:bidi="ar"/>
        </w:rPr>
      </w:pPr>
    </w:p>
    <w:p w14:paraId="45EF006E">
      <w:pPr>
        <w:spacing w:line="560" w:lineRule="exact"/>
        <w:ind w:firstLine="640"/>
        <w:rPr>
          <w:rFonts w:ascii="Times New Roman" w:hAnsi="Times New Roman" w:eastAsia="仿宋_GB2312" w:cs="仿宋_GB2312"/>
          <w:b/>
          <w:bCs/>
          <w:sz w:val="32"/>
          <w:szCs w:val="32"/>
          <w:lang w:bidi="ar"/>
        </w:rPr>
      </w:pPr>
    </w:p>
    <w:p w14:paraId="29945C9B">
      <w:pPr>
        <w:spacing w:line="560" w:lineRule="exact"/>
        <w:ind w:firstLine="640"/>
        <w:rPr>
          <w:rFonts w:ascii="Times New Roman" w:hAnsi="Times New Roman" w:eastAsia="仿宋_GB2312" w:cs="仿宋_GB2312"/>
          <w:b/>
          <w:bCs/>
          <w:sz w:val="32"/>
          <w:szCs w:val="32"/>
          <w:lang w:bidi="ar"/>
        </w:rPr>
      </w:pPr>
    </w:p>
    <w:p w14:paraId="20A2A51A">
      <w:pPr>
        <w:spacing w:line="560" w:lineRule="exact"/>
        <w:ind w:firstLine="640"/>
        <w:rPr>
          <w:rFonts w:ascii="Times New Roman" w:hAnsi="Times New Roman" w:eastAsia="仿宋_GB2312" w:cs="仿宋_GB2312"/>
          <w:b/>
          <w:bCs/>
          <w:sz w:val="32"/>
          <w:szCs w:val="32"/>
          <w:lang w:bidi="ar"/>
        </w:rPr>
      </w:pPr>
    </w:p>
    <w:p w14:paraId="3A92F7A0">
      <w:pPr>
        <w:spacing w:line="560" w:lineRule="exact"/>
        <w:ind w:firstLine="640"/>
        <w:rPr>
          <w:rFonts w:ascii="Times New Roman" w:hAnsi="Times New Roman" w:eastAsia="仿宋_GB2312" w:cs="仿宋_GB2312"/>
          <w:b/>
          <w:bCs/>
          <w:sz w:val="32"/>
          <w:szCs w:val="32"/>
          <w:lang w:bidi="ar"/>
        </w:rPr>
      </w:pPr>
    </w:p>
    <w:p w14:paraId="32C38C83">
      <w:pPr>
        <w:spacing w:line="560" w:lineRule="exact"/>
        <w:ind w:firstLine="640"/>
        <w:rPr>
          <w:rFonts w:ascii="Times New Roman" w:hAnsi="Times New Roman" w:eastAsia="仿宋_GB2312" w:cs="仿宋_GB2312"/>
          <w:b/>
          <w:bCs/>
          <w:sz w:val="32"/>
          <w:szCs w:val="32"/>
          <w:lang w:bidi="ar"/>
        </w:rPr>
      </w:pPr>
    </w:p>
    <w:p w14:paraId="731FCA83">
      <w:pPr>
        <w:spacing w:line="560" w:lineRule="exact"/>
        <w:ind w:firstLine="640"/>
        <w:rPr>
          <w:rFonts w:eastAsia="仿宋_GB2312" w:cs="仿宋_GB2312"/>
          <w:b/>
          <w:bCs/>
          <w:sz w:val="32"/>
          <w:szCs w:val="32"/>
        </w:rPr>
      </w:pPr>
    </w:p>
    <w:p w14:paraId="2CAF6A60">
      <w:pPr>
        <w:spacing w:line="560" w:lineRule="exact"/>
        <w:ind w:firstLine="640" w:firstLineChars="200"/>
        <w:rPr>
          <w:rFonts w:eastAsia="仿宋_GB2312" w:cs="仿宋_GB2312"/>
          <w:sz w:val="32"/>
          <w:szCs w:val="32"/>
        </w:rPr>
      </w:pPr>
      <w:r>
        <w:rPr>
          <w:rFonts w:hint="eastAsia" w:ascii="Times New Roman" w:hAnsi="Times New Roman" w:eastAsia="仿宋_GB2312" w:cs="仿宋_GB2312"/>
          <w:sz w:val="32"/>
          <w:szCs w:val="32"/>
          <w:lang w:bidi="ar"/>
        </w:rPr>
        <w:t>（图</w:t>
      </w:r>
      <w:r>
        <w:rPr>
          <w:rFonts w:ascii="Times New Roman" w:hAnsi="Times New Roman" w:eastAsia="仿宋_GB2312" w:cs="仿宋_GB2312"/>
          <w:sz w:val="32"/>
          <w:szCs w:val="32"/>
          <w:lang w:bidi="ar"/>
        </w:rPr>
        <w:t>6</w:t>
      </w:r>
      <w:r>
        <w:rPr>
          <w:rFonts w:hint="eastAsia" w:ascii="Times New Roman" w:hAnsi="Times New Roman" w:eastAsia="仿宋_GB2312" w:cs="仿宋_GB2312"/>
          <w:sz w:val="32"/>
          <w:szCs w:val="32"/>
          <w:lang w:bidi="ar"/>
        </w:rPr>
        <w:t>：一般公共预算财政拨款支出决算结构）（饼状图）</w:t>
      </w:r>
    </w:p>
    <w:p w14:paraId="3B1EB64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p>
    <w:p w14:paraId="07A2B3C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bookmarkStart w:id="26" w:name="_Toc15377212"/>
      <w:r>
        <w:rPr>
          <w:rFonts w:hint="eastAsia" w:ascii="Times New Roman" w:hAnsi="Times New Roman" w:eastAsia="楷体_GB2312" w:cs="楷体_GB2312"/>
          <w:b/>
          <w:sz w:val="32"/>
          <w:szCs w:val="32"/>
          <w:lang w:bidi="ar"/>
        </w:rPr>
        <w:t>（三）一般公共预算财政拨款支出决算具体情况</w:t>
      </w:r>
      <w:bookmarkEnd w:id="26"/>
    </w:p>
    <w:p w14:paraId="4D3F742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bookmarkStart w:id="27" w:name="_Toc15377444"/>
      <w:bookmarkStart w:id="28" w:name="_Toc15377213"/>
      <w:bookmarkStart w:id="29" w:name="_Toc15378460"/>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年度一般公共预算支出决算数为</w:t>
      </w:r>
      <w:r>
        <w:rPr>
          <w:rFonts w:ascii="Times New Roman" w:hAnsi="Times New Roman" w:eastAsia="仿宋_GB2312" w:cs="仿宋_GB2312"/>
          <w:sz w:val="32"/>
          <w:szCs w:val="32"/>
          <w:lang w:bidi="ar"/>
        </w:rPr>
        <w:t>1995.37</w:t>
      </w:r>
      <w:r>
        <w:rPr>
          <w:rFonts w:hint="eastAsia" w:ascii="Times New Roman" w:hAnsi="Times New Roman" w:eastAsia="仿宋_GB2312" w:cs="仿宋_GB2312"/>
          <w:sz w:val="32"/>
          <w:szCs w:val="32"/>
          <w:lang w:bidi="ar"/>
        </w:rPr>
        <w:t>，完成预算</w:t>
      </w:r>
      <w:r>
        <w:rPr>
          <w:rFonts w:ascii="Times New Roman" w:hAnsi="Times New Roman" w:eastAsia="仿宋_GB2312" w:cs="仿宋_GB2312"/>
          <w:sz w:val="32"/>
          <w:szCs w:val="32"/>
          <w:lang w:bidi="ar"/>
        </w:rPr>
        <w:t>100%</w:t>
      </w:r>
      <w:r>
        <w:rPr>
          <w:rFonts w:hint="eastAsia" w:ascii="Times New Roman" w:hAnsi="Times New Roman" w:eastAsia="仿宋_GB2312" w:cs="仿宋_GB2312"/>
          <w:sz w:val="32"/>
          <w:szCs w:val="32"/>
          <w:lang w:bidi="ar"/>
        </w:rPr>
        <w:t>。其中：</w:t>
      </w:r>
      <w:bookmarkEnd w:id="27"/>
      <w:bookmarkEnd w:id="28"/>
      <w:bookmarkEnd w:id="29"/>
    </w:p>
    <w:p w14:paraId="0B6E75B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Times New Roman" w:hAnsi="Times New Roman" w:eastAsia="仿宋_GB2312" w:cs="仿宋_GB2312"/>
          <w:sz w:val="32"/>
          <w:szCs w:val="32"/>
          <w:lang w:bidi="ar"/>
        </w:rPr>
      </w:pPr>
      <w:r>
        <w:rPr>
          <w:rFonts w:ascii="Times New Roman" w:hAnsi="Times New Roman" w:eastAsia="仿宋_GB2312" w:cs="仿宋_GB2312"/>
          <w:b/>
          <w:sz w:val="32"/>
          <w:szCs w:val="32"/>
          <w:lang w:bidi="ar"/>
        </w:rPr>
        <w:t>1.</w:t>
      </w:r>
      <w:r>
        <w:rPr>
          <w:rFonts w:hint="eastAsia" w:ascii="Times New Roman" w:hAnsi="Times New Roman" w:eastAsia="仿宋_GB2312" w:cs="仿宋_GB2312"/>
          <w:b/>
          <w:sz w:val="32"/>
          <w:szCs w:val="32"/>
          <w:lang w:bidi="ar"/>
        </w:rPr>
        <w:t>一般公共服务支出：</w:t>
      </w:r>
      <w:r>
        <w:rPr>
          <w:rFonts w:hint="eastAsia" w:ascii="Times New Roman" w:hAnsi="Times New Roman" w:eastAsia="仿宋_GB2312" w:cs="仿宋_GB2312"/>
          <w:sz w:val="32"/>
          <w:szCs w:val="32"/>
          <w:lang w:bidi="ar"/>
        </w:rPr>
        <w:t>一般公共服务（201）政府办公厅（室）及相关机构事务（03）行政运行（01）：支出决算为</w:t>
      </w:r>
      <w:r>
        <w:rPr>
          <w:rFonts w:ascii="Times New Roman" w:hAnsi="Times New Roman" w:eastAsia="仿宋_GB2312" w:cs="仿宋_GB2312"/>
          <w:sz w:val="32"/>
          <w:szCs w:val="32"/>
          <w:lang w:bidi="ar"/>
        </w:rPr>
        <w:t>662.51</w:t>
      </w:r>
      <w:r>
        <w:rPr>
          <w:rFonts w:hint="eastAsia" w:ascii="Times New Roman" w:hAnsi="Times New Roman" w:eastAsia="仿宋_GB2312" w:cs="仿宋_GB2312"/>
          <w:sz w:val="32"/>
          <w:szCs w:val="32"/>
          <w:lang w:bidi="ar"/>
        </w:rPr>
        <w:t>万元，完成预算</w:t>
      </w:r>
      <w:r>
        <w:rPr>
          <w:rFonts w:ascii="Times New Roman" w:hAnsi="Times New Roman" w:eastAsia="仿宋_GB2312" w:cs="仿宋_GB2312"/>
          <w:sz w:val="32"/>
          <w:szCs w:val="32"/>
          <w:lang w:bidi="ar"/>
        </w:rPr>
        <w:t>100%</w:t>
      </w:r>
      <w:r>
        <w:rPr>
          <w:rFonts w:hint="eastAsia" w:ascii="Times New Roman" w:hAnsi="Times New Roman" w:eastAsia="仿宋_GB2312" w:cs="仿宋_GB2312"/>
          <w:sz w:val="32"/>
          <w:szCs w:val="32"/>
          <w:lang w:bidi="ar"/>
        </w:rPr>
        <w:t>，决算数等于预算数。一般公共服务（201）政府办公厅（室）及相关机构事务（03）其他政府办公厅（室）及相关机构事务支出（99）:支出决算为</w:t>
      </w:r>
      <w:r>
        <w:rPr>
          <w:rFonts w:ascii="Times New Roman" w:hAnsi="Times New Roman" w:eastAsia="仿宋_GB2312" w:cs="仿宋_GB2312"/>
          <w:sz w:val="32"/>
          <w:szCs w:val="32"/>
          <w:lang w:bidi="ar"/>
        </w:rPr>
        <w:t>10</w:t>
      </w:r>
      <w:r>
        <w:rPr>
          <w:rFonts w:hint="eastAsia" w:ascii="Times New Roman" w:hAnsi="Times New Roman" w:eastAsia="仿宋_GB2312" w:cs="仿宋_GB2312"/>
          <w:sz w:val="32"/>
          <w:szCs w:val="32"/>
          <w:lang w:bidi="ar"/>
        </w:rPr>
        <w:t>万元，完成预算100%，决算数等于预算数。</w:t>
      </w:r>
    </w:p>
    <w:p w14:paraId="6B80481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2.</w:t>
      </w:r>
      <w:r>
        <w:rPr>
          <w:rFonts w:hint="eastAsia" w:ascii="仿宋" w:hAnsi="仿宋" w:eastAsia="仿宋" w:cs="仿宋"/>
          <w:bCs/>
          <w:sz w:val="32"/>
          <w:szCs w:val="32"/>
          <w:lang w:bidi="ar"/>
        </w:rPr>
        <w:t xml:space="preserve"> </w:t>
      </w:r>
      <w:r>
        <w:rPr>
          <w:rStyle w:val="16"/>
          <w:rFonts w:hint="eastAsia" w:ascii="仿宋" w:hAnsi="仿宋" w:eastAsia="仿宋" w:cs="仿宋"/>
          <w:bCs/>
          <w:sz w:val="32"/>
          <w:szCs w:val="32"/>
          <w:lang w:bidi="ar"/>
        </w:rPr>
        <w:t>文化旅游体育与传媒支出：</w:t>
      </w:r>
      <w:r>
        <w:rPr>
          <w:rFonts w:hint="eastAsia" w:ascii="Times New Roman" w:hAnsi="Times New Roman" w:eastAsia="仿宋_GB2312" w:cs="仿宋_GB2312"/>
          <w:sz w:val="32"/>
          <w:szCs w:val="32"/>
          <w:lang w:bidi="ar"/>
        </w:rPr>
        <w:t>文化旅游体育与传媒</w:t>
      </w:r>
      <w:r>
        <w:rPr>
          <w:rStyle w:val="16"/>
          <w:rFonts w:hint="eastAsia" w:ascii="仿宋" w:hAnsi="仿宋" w:eastAsia="仿宋" w:cs="仿宋"/>
          <w:b w:val="0"/>
          <w:bCs/>
          <w:sz w:val="32"/>
          <w:szCs w:val="32"/>
          <w:lang w:bidi="ar"/>
        </w:rPr>
        <w:t>（207）文化和旅游（01）群众活动（0</w:t>
      </w:r>
      <w:r>
        <w:rPr>
          <w:rStyle w:val="16"/>
          <w:rFonts w:ascii="仿宋" w:hAnsi="仿宋" w:eastAsia="仿宋" w:cs="仿宋"/>
          <w:b w:val="0"/>
          <w:bCs/>
          <w:sz w:val="32"/>
          <w:szCs w:val="32"/>
          <w:lang w:bidi="ar"/>
        </w:rPr>
        <w:t>9</w:t>
      </w:r>
      <w:r>
        <w:rPr>
          <w:rStyle w:val="16"/>
          <w:rFonts w:hint="eastAsia" w:ascii="仿宋" w:hAnsi="仿宋" w:eastAsia="仿宋" w:cs="仿宋"/>
          <w:b w:val="0"/>
          <w:bCs/>
          <w:sz w:val="32"/>
          <w:szCs w:val="32"/>
          <w:lang w:bidi="ar"/>
        </w:rPr>
        <w:t>）</w:t>
      </w:r>
      <w:r>
        <w:rPr>
          <w:rFonts w:hint="eastAsia" w:ascii="Times New Roman" w:hAnsi="Times New Roman" w:eastAsia="仿宋_GB2312" w:cs="仿宋_GB2312"/>
          <w:b/>
          <w:sz w:val="32"/>
          <w:szCs w:val="32"/>
          <w:lang w:bidi="ar"/>
        </w:rPr>
        <w:t>：</w:t>
      </w:r>
      <w:r>
        <w:rPr>
          <w:rFonts w:hint="eastAsia" w:ascii="Times New Roman" w:hAnsi="Times New Roman" w:eastAsia="仿宋_GB2312" w:cs="仿宋_GB2312"/>
          <w:sz w:val="32"/>
          <w:szCs w:val="32"/>
          <w:lang w:bidi="ar"/>
        </w:rPr>
        <w:t>支出决算为</w:t>
      </w:r>
      <w:r>
        <w:rPr>
          <w:rFonts w:ascii="Times New Roman" w:hAnsi="Times New Roman" w:eastAsia="仿宋_GB2312" w:cs="仿宋_GB2312"/>
          <w:sz w:val="32"/>
          <w:szCs w:val="32"/>
          <w:lang w:bidi="ar"/>
        </w:rPr>
        <w:t>0.4</w:t>
      </w:r>
      <w:r>
        <w:rPr>
          <w:rFonts w:hint="eastAsia" w:ascii="Times New Roman" w:hAnsi="Times New Roman" w:eastAsia="仿宋_GB2312" w:cs="仿宋_GB2312"/>
          <w:sz w:val="32"/>
          <w:szCs w:val="32"/>
          <w:lang w:bidi="ar"/>
        </w:rPr>
        <w:t>万元；完成预算</w:t>
      </w:r>
      <w:r>
        <w:rPr>
          <w:rFonts w:ascii="Times New Roman" w:hAnsi="Times New Roman" w:eastAsia="仿宋_GB2312" w:cs="仿宋_GB2312"/>
          <w:sz w:val="32"/>
          <w:szCs w:val="32"/>
          <w:lang w:bidi="ar"/>
        </w:rPr>
        <w:t>100%</w:t>
      </w:r>
      <w:r>
        <w:rPr>
          <w:rFonts w:hint="eastAsia" w:ascii="Times New Roman" w:hAnsi="Times New Roman" w:eastAsia="仿宋_GB2312" w:cs="仿宋_GB2312"/>
          <w:sz w:val="32"/>
          <w:szCs w:val="32"/>
          <w:lang w:bidi="ar"/>
        </w:rPr>
        <w:t>，决算数等于预算数。文化旅游体育与传媒</w:t>
      </w:r>
      <w:r>
        <w:rPr>
          <w:rStyle w:val="16"/>
          <w:rFonts w:hint="eastAsia" w:ascii="仿宋" w:hAnsi="仿宋" w:eastAsia="仿宋" w:cs="仿宋"/>
          <w:b w:val="0"/>
          <w:bCs/>
          <w:sz w:val="32"/>
          <w:szCs w:val="32"/>
          <w:lang w:bidi="ar"/>
        </w:rPr>
        <w:t>（207）文化和旅游（01）其他文化和旅游支出（</w:t>
      </w:r>
      <w:r>
        <w:rPr>
          <w:rStyle w:val="16"/>
          <w:rFonts w:ascii="仿宋" w:hAnsi="仿宋" w:eastAsia="仿宋" w:cs="仿宋"/>
          <w:b w:val="0"/>
          <w:bCs/>
          <w:sz w:val="32"/>
          <w:szCs w:val="32"/>
          <w:lang w:bidi="ar"/>
        </w:rPr>
        <w:t>9</w:t>
      </w:r>
      <w:r>
        <w:rPr>
          <w:rStyle w:val="16"/>
          <w:rFonts w:hint="eastAsia" w:ascii="仿宋" w:hAnsi="仿宋" w:eastAsia="仿宋" w:cs="仿宋"/>
          <w:b w:val="0"/>
          <w:bCs/>
          <w:sz w:val="32"/>
          <w:szCs w:val="32"/>
          <w:lang w:bidi="ar"/>
        </w:rPr>
        <w:t>9）</w:t>
      </w:r>
      <w:r>
        <w:rPr>
          <w:rFonts w:hint="eastAsia" w:ascii="Times New Roman" w:hAnsi="Times New Roman" w:eastAsia="仿宋_GB2312" w:cs="仿宋_GB2312"/>
          <w:b/>
          <w:sz w:val="32"/>
          <w:szCs w:val="32"/>
          <w:lang w:bidi="ar"/>
        </w:rPr>
        <w:t>：</w:t>
      </w:r>
      <w:r>
        <w:rPr>
          <w:rFonts w:hint="eastAsia" w:ascii="Times New Roman" w:hAnsi="Times New Roman" w:eastAsia="仿宋_GB2312" w:cs="仿宋_GB2312"/>
          <w:sz w:val="32"/>
          <w:szCs w:val="32"/>
          <w:lang w:bidi="ar"/>
        </w:rPr>
        <w:t>支出决算为</w:t>
      </w:r>
      <w:r>
        <w:rPr>
          <w:rFonts w:ascii="Times New Roman" w:hAnsi="Times New Roman" w:eastAsia="仿宋_GB2312" w:cs="仿宋_GB2312"/>
          <w:sz w:val="32"/>
          <w:szCs w:val="32"/>
          <w:lang w:bidi="ar"/>
        </w:rPr>
        <w:t>4.3</w:t>
      </w:r>
      <w:r>
        <w:rPr>
          <w:rFonts w:hint="eastAsia" w:ascii="Times New Roman" w:hAnsi="Times New Roman" w:eastAsia="仿宋_GB2312" w:cs="仿宋_GB2312"/>
          <w:sz w:val="32"/>
          <w:szCs w:val="32"/>
          <w:lang w:bidi="ar"/>
        </w:rPr>
        <w:t>万元，完成预算</w:t>
      </w:r>
      <w:r>
        <w:rPr>
          <w:rFonts w:ascii="Times New Roman" w:hAnsi="Times New Roman" w:eastAsia="仿宋_GB2312" w:cs="仿宋_GB2312"/>
          <w:sz w:val="32"/>
          <w:szCs w:val="32"/>
          <w:lang w:bidi="ar"/>
        </w:rPr>
        <w:t>100%</w:t>
      </w:r>
      <w:r>
        <w:rPr>
          <w:rFonts w:hint="eastAsia" w:ascii="Times New Roman" w:hAnsi="Times New Roman" w:eastAsia="仿宋_GB2312" w:cs="仿宋_GB2312"/>
          <w:sz w:val="32"/>
          <w:szCs w:val="32"/>
          <w:lang w:bidi="ar"/>
        </w:rPr>
        <w:t>，决算数等于预算数。</w:t>
      </w:r>
    </w:p>
    <w:p w14:paraId="017A1EB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3.</w:t>
      </w:r>
      <w:r>
        <w:rPr>
          <w:rFonts w:hint="eastAsia" w:ascii="Times New Roman" w:hAnsi="Times New Roman" w:eastAsia="仿宋_GB2312" w:cs="仿宋_GB2312"/>
          <w:b/>
          <w:sz w:val="32"/>
          <w:szCs w:val="32"/>
          <w:lang w:bidi="ar"/>
        </w:rPr>
        <w:t xml:space="preserve"> 社会保障和就业支出：</w:t>
      </w:r>
      <w:r>
        <w:rPr>
          <w:rFonts w:hint="eastAsia" w:ascii="仿宋_GB2312" w:hAnsi="sans-serif" w:eastAsia="仿宋_GB2312" w:cs="仿宋_GB2312"/>
          <w:color w:val="000000"/>
          <w:kern w:val="0"/>
          <w:sz w:val="32"/>
          <w:szCs w:val="32"/>
          <w:shd w:val="clear" w:color="auto" w:fill="FFFFFF"/>
          <w:lang w:bidi="ar"/>
        </w:rPr>
        <w:t>社会保障和就业支出（208）人力资源和社会保障管理事务（0</w:t>
      </w:r>
      <w:r>
        <w:rPr>
          <w:rFonts w:ascii="仿宋_GB2312" w:hAnsi="sans-serif" w:eastAsia="仿宋_GB2312" w:cs="仿宋_GB2312"/>
          <w:color w:val="000000"/>
          <w:kern w:val="0"/>
          <w:sz w:val="32"/>
          <w:szCs w:val="32"/>
          <w:shd w:val="clear" w:color="auto" w:fill="FFFFFF"/>
          <w:lang w:bidi="ar"/>
        </w:rPr>
        <w:t>1</w:t>
      </w:r>
      <w:r>
        <w:rPr>
          <w:rFonts w:hint="eastAsia" w:ascii="仿宋_GB2312" w:hAnsi="sans-serif" w:eastAsia="仿宋_GB2312" w:cs="仿宋_GB2312"/>
          <w:color w:val="000000"/>
          <w:kern w:val="0"/>
          <w:sz w:val="32"/>
          <w:szCs w:val="32"/>
          <w:shd w:val="clear" w:color="auto" w:fill="FFFFFF"/>
          <w:lang w:bidi="ar"/>
        </w:rPr>
        <w:t>）其他人力资源和社会保障管理事务支出（</w:t>
      </w:r>
      <w:r>
        <w:rPr>
          <w:rFonts w:ascii="仿宋_GB2312" w:hAnsi="sans-serif" w:eastAsia="仿宋_GB2312" w:cs="仿宋_GB2312"/>
          <w:color w:val="000000"/>
          <w:kern w:val="0"/>
          <w:sz w:val="32"/>
          <w:szCs w:val="32"/>
          <w:shd w:val="clear" w:color="auto" w:fill="FFFFFF"/>
          <w:lang w:bidi="ar"/>
        </w:rPr>
        <w:t>99</w:t>
      </w:r>
      <w:r>
        <w:rPr>
          <w:rFonts w:hint="eastAsia" w:ascii="仿宋_GB2312" w:hAnsi="sans-serif" w:eastAsia="仿宋_GB2312" w:cs="仿宋_GB2312"/>
          <w:color w:val="000000"/>
          <w:kern w:val="0"/>
          <w:sz w:val="32"/>
          <w:szCs w:val="32"/>
          <w:shd w:val="clear" w:color="auto" w:fill="FFFFFF"/>
          <w:lang w:bidi="ar"/>
        </w:rPr>
        <w:t>）:支出决算为</w:t>
      </w:r>
      <w:r>
        <w:rPr>
          <w:rFonts w:ascii="仿宋_GB2312" w:hAnsi="sans-serif" w:eastAsia="仿宋_GB2312" w:cs="仿宋_GB2312"/>
          <w:color w:val="000000"/>
          <w:kern w:val="0"/>
          <w:sz w:val="32"/>
          <w:szCs w:val="32"/>
          <w:shd w:val="clear" w:color="auto" w:fill="FFFFFF"/>
          <w:lang w:bidi="ar"/>
        </w:rPr>
        <w:t>4.6</w:t>
      </w:r>
      <w:r>
        <w:rPr>
          <w:rFonts w:hint="eastAsia" w:ascii="仿宋_GB2312" w:hAnsi="sans-serif" w:eastAsia="仿宋_GB2312" w:cs="仿宋_GB2312"/>
          <w:color w:val="000000"/>
          <w:kern w:val="0"/>
          <w:sz w:val="32"/>
          <w:szCs w:val="32"/>
          <w:shd w:val="clear" w:color="auto" w:fill="FFFFFF"/>
          <w:lang w:bidi="ar"/>
        </w:rPr>
        <w:t>万元，完成预算100%，决算数等于预算数。社会保障和就业支出（208）行政事业单位养老支出（05）机关事业单位基本养老保险缴费支出（0</w:t>
      </w:r>
      <w:r>
        <w:rPr>
          <w:rFonts w:ascii="仿宋_GB2312" w:hAnsi="sans-serif" w:eastAsia="仿宋_GB2312" w:cs="仿宋_GB2312"/>
          <w:color w:val="000000"/>
          <w:kern w:val="0"/>
          <w:sz w:val="32"/>
          <w:szCs w:val="32"/>
          <w:shd w:val="clear" w:color="auto" w:fill="FFFFFF"/>
          <w:lang w:bidi="ar"/>
        </w:rPr>
        <w:t>5</w:t>
      </w:r>
      <w:r>
        <w:rPr>
          <w:rFonts w:hint="eastAsia" w:ascii="仿宋_GB2312" w:hAnsi="sans-serif" w:eastAsia="仿宋_GB2312" w:cs="仿宋_GB2312"/>
          <w:color w:val="000000"/>
          <w:kern w:val="0"/>
          <w:sz w:val="32"/>
          <w:szCs w:val="32"/>
          <w:shd w:val="clear" w:color="auto" w:fill="FFFFFF"/>
          <w:lang w:bidi="ar"/>
        </w:rPr>
        <w:t>）:支出决算为</w:t>
      </w:r>
      <w:r>
        <w:rPr>
          <w:rFonts w:ascii="仿宋_GB2312" w:hAnsi="sans-serif" w:eastAsia="仿宋_GB2312" w:cs="仿宋_GB2312"/>
          <w:color w:val="000000"/>
          <w:kern w:val="0"/>
          <w:sz w:val="32"/>
          <w:szCs w:val="32"/>
          <w:shd w:val="clear" w:color="auto" w:fill="FFFFFF"/>
          <w:lang w:bidi="ar"/>
        </w:rPr>
        <w:t>68.56</w:t>
      </w:r>
      <w:r>
        <w:rPr>
          <w:rFonts w:hint="eastAsia" w:ascii="仿宋_GB2312" w:hAnsi="sans-serif" w:eastAsia="仿宋_GB2312" w:cs="仿宋_GB2312"/>
          <w:color w:val="000000"/>
          <w:kern w:val="0"/>
          <w:sz w:val="32"/>
          <w:szCs w:val="32"/>
          <w:shd w:val="clear" w:color="auto" w:fill="FFFFFF"/>
          <w:lang w:bidi="ar"/>
        </w:rPr>
        <w:t>万元，完成预算100%，决算数等于预算数。社会保障和就业支出（208）行政事业单位养老支出（05）机关事业单位职业年金缴费支出（0</w:t>
      </w:r>
      <w:r>
        <w:rPr>
          <w:rFonts w:ascii="仿宋_GB2312" w:hAnsi="sans-serif" w:eastAsia="仿宋_GB2312" w:cs="仿宋_GB2312"/>
          <w:color w:val="000000"/>
          <w:kern w:val="0"/>
          <w:sz w:val="32"/>
          <w:szCs w:val="32"/>
          <w:shd w:val="clear" w:color="auto" w:fill="FFFFFF"/>
          <w:lang w:bidi="ar"/>
        </w:rPr>
        <w:t>6</w:t>
      </w:r>
      <w:r>
        <w:rPr>
          <w:rFonts w:hint="eastAsia" w:ascii="仿宋_GB2312" w:hAnsi="sans-serif" w:eastAsia="仿宋_GB2312" w:cs="仿宋_GB2312"/>
          <w:color w:val="000000"/>
          <w:kern w:val="0"/>
          <w:sz w:val="32"/>
          <w:szCs w:val="32"/>
          <w:shd w:val="clear" w:color="auto" w:fill="FFFFFF"/>
          <w:lang w:bidi="ar"/>
        </w:rPr>
        <w:t>）:支出决算为</w:t>
      </w:r>
      <w:r>
        <w:rPr>
          <w:rFonts w:ascii="仿宋_GB2312" w:hAnsi="sans-serif" w:eastAsia="仿宋_GB2312" w:cs="仿宋_GB2312"/>
          <w:color w:val="000000"/>
          <w:kern w:val="0"/>
          <w:sz w:val="32"/>
          <w:szCs w:val="32"/>
          <w:shd w:val="clear" w:color="auto" w:fill="FFFFFF"/>
          <w:lang w:bidi="ar"/>
        </w:rPr>
        <w:t>34.04</w:t>
      </w:r>
      <w:r>
        <w:rPr>
          <w:rFonts w:hint="eastAsia" w:ascii="仿宋_GB2312" w:hAnsi="sans-serif" w:eastAsia="仿宋_GB2312" w:cs="仿宋_GB2312"/>
          <w:color w:val="000000"/>
          <w:kern w:val="0"/>
          <w:sz w:val="32"/>
          <w:szCs w:val="32"/>
          <w:shd w:val="clear" w:color="auto" w:fill="FFFFFF"/>
          <w:lang w:bidi="ar"/>
        </w:rPr>
        <w:t>万元，完成预算100%，决算数等于预算数。</w:t>
      </w:r>
    </w:p>
    <w:p w14:paraId="00CECC2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4.</w:t>
      </w:r>
      <w:r>
        <w:rPr>
          <w:rFonts w:hint="eastAsia" w:ascii="Times New Roman" w:hAnsi="Times New Roman" w:eastAsia="仿宋_GB2312" w:cs="仿宋_GB2312"/>
          <w:b/>
          <w:sz w:val="32"/>
          <w:szCs w:val="32"/>
          <w:lang w:bidi="ar"/>
        </w:rPr>
        <w:t xml:space="preserve"> 卫生健康支出：</w:t>
      </w:r>
      <w:r>
        <w:rPr>
          <w:rFonts w:hint="eastAsia" w:ascii="仿宋_GB2312" w:hAnsi="sans-serif" w:eastAsia="仿宋_GB2312" w:cs="仿宋_GB2312"/>
          <w:color w:val="000000"/>
          <w:kern w:val="0"/>
          <w:sz w:val="32"/>
          <w:szCs w:val="32"/>
          <w:shd w:val="clear" w:color="auto" w:fill="FFFFFF"/>
          <w:lang w:bidi="ar"/>
        </w:rPr>
        <w:t>卫生健康（210）公共卫生（04）重大公共卫生服务（09）:支出决算为1万元，完成预算100%，决算数等于预算数。卫生健康（210）行政事业单位医疗（11）行政单位医疗（01）:支出决算为</w:t>
      </w:r>
      <w:r>
        <w:rPr>
          <w:rFonts w:ascii="仿宋_GB2312" w:hAnsi="sans-serif" w:eastAsia="仿宋_GB2312" w:cs="仿宋_GB2312"/>
          <w:color w:val="000000"/>
          <w:kern w:val="0"/>
          <w:sz w:val="32"/>
          <w:szCs w:val="32"/>
          <w:shd w:val="clear" w:color="auto" w:fill="FFFFFF"/>
          <w:lang w:bidi="ar"/>
        </w:rPr>
        <w:t>35.44</w:t>
      </w:r>
      <w:r>
        <w:rPr>
          <w:rFonts w:hint="eastAsia" w:ascii="仿宋_GB2312" w:hAnsi="sans-serif" w:eastAsia="仿宋_GB2312" w:cs="仿宋_GB2312"/>
          <w:color w:val="000000"/>
          <w:kern w:val="0"/>
          <w:sz w:val="32"/>
          <w:szCs w:val="32"/>
          <w:shd w:val="clear" w:color="auto" w:fill="FFFFFF"/>
          <w:lang w:bidi="ar"/>
        </w:rPr>
        <w:t>万元，完成预算100%，决算数等于预算数。卫生健康（210）行政事业单位医疗（11）公务员医疗补助（03）:支出决算为</w:t>
      </w:r>
      <w:r>
        <w:rPr>
          <w:rFonts w:ascii="仿宋_GB2312" w:hAnsi="sans-serif" w:eastAsia="仿宋_GB2312" w:cs="仿宋_GB2312"/>
          <w:color w:val="000000"/>
          <w:kern w:val="0"/>
          <w:sz w:val="32"/>
          <w:szCs w:val="32"/>
          <w:shd w:val="clear" w:color="auto" w:fill="FFFFFF"/>
          <w:lang w:bidi="ar"/>
        </w:rPr>
        <w:t>7.46</w:t>
      </w:r>
      <w:r>
        <w:rPr>
          <w:rFonts w:hint="eastAsia" w:ascii="仿宋_GB2312" w:hAnsi="sans-serif" w:eastAsia="仿宋_GB2312" w:cs="仿宋_GB2312"/>
          <w:color w:val="000000"/>
          <w:kern w:val="0"/>
          <w:sz w:val="32"/>
          <w:szCs w:val="32"/>
          <w:shd w:val="clear" w:color="auto" w:fill="FFFFFF"/>
          <w:lang w:bidi="ar"/>
        </w:rPr>
        <w:t>万元，完成预算100%，决算数等于预算数。</w:t>
      </w:r>
    </w:p>
    <w:p w14:paraId="0A687F21">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5.</w:t>
      </w:r>
      <w:r>
        <w:rPr>
          <w:rFonts w:hint="eastAsia" w:ascii="仿宋" w:hAnsi="仿宋" w:eastAsia="仿宋" w:cs="仿宋"/>
          <w:b/>
          <w:sz w:val="32"/>
          <w:szCs w:val="32"/>
          <w:lang w:bidi="ar"/>
        </w:rPr>
        <w:t xml:space="preserve"> 节能环保</w:t>
      </w:r>
      <w:r>
        <w:rPr>
          <w:rStyle w:val="16"/>
          <w:rFonts w:hint="eastAsia" w:ascii="仿宋" w:hAnsi="仿宋" w:eastAsia="仿宋" w:cs="仿宋"/>
          <w:bCs/>
          <w:sz w:val="32"/>
          <w:szCs w:val="32"/>
          <w:lang w:bidi="ar"/>
        </w:rPr>
        <w:t>支出</w:t>
      </w:r>
      <w:r>
        <w:rPr>
          <w:rFonts w:hint="eastAsia" w:ascii="仿宋" w:hAnsi="仿宋" w:eastAsia="仿宋" w:cs="仿宋"/>
          <w:b/>
          <w:sz w:val="32"/>
          <w:szCs w:val="32"/>
          <w:lang w:bidi="ar"/>
        </w:rPr>
        <w:t>：</w:t>
      </w:r>
      <w:r>
        <w:rPr>
          <w:rFonts w:hint="eastAsia" w:ascii="仿宋_GB2312" w:hAnsi="sans-serif" w:eastAsia="仿宋_GB2312" w:cs="仿宋_GB2312"/>
          <w:color w:val="000000"/>
          <w:kern w:val="0"/>
          <w:sz w:val="32"/>
          <w:szCs w:val="32"/>
          <w:shd w:val="clear" w:color="auto" w:fill="FFFFFF"/>
          <w:lang w:bidi="ar"/>
        </w:rPr>
        <w:t>节能环保支出（21</w:t>
      </w:r>
      <w:r>
        <w:rPr>
          <w:rFonts w:ascii="仿宋_GB2312" w:hAnsi="sans-serif" w:eastAsia="仿宋_GB2312" w:cs="仿宋_GB2312"/>
          <w:color w:val="000000"/>
          <w:kern w:val="0"/>
          <w:sz w:val="32"/>
          <w:szCs w:val="32"/>
          <w:shd w:val="clear" w:color="auto" w:fill="FFFFFF"/>
          <w:lang w:bidi="ar"/>
        </w:rPr>
        <w:t>1</w:t>
      </w:r>
      <w:r>
        <w:rPr>
          <w:rFonts w:hint="eastAsia" w:ascii="仿宋_GB2312" w:hAnsi="sans-serif" w:eastAsia="仿宋_GB2312" w:cs="仿宋_GB2312"/>
          <w:color w:val="000000"/>
          <w:kern w:val="0"/>
          <w:sz w:val="32"/>
          <w:szCs w:val="32"/>
          <w:shd w:val="clear" w:color="auto" w:fill="FFFFFF"/>
          <w:lang w:bidi="ar"/>
        </w:rPr>
        <w:t>）自然生态保护（0</w:t>
      </w:r>
      <w:r>
        <w:rPr>
          <w:rFonts w:ascii="仿宋_GB2312" w:hAnsi="sans-serif" w:eastAsia="仿宋_GB2312" w:cs="仿宋_GB2312"/>
          <w:color w:val="000000"/>
          <w:kern w:val="0"/>
          <w:sz w:val="32"/>
          <w:szCs w:val="32"/>
          <w:shd w:val="clear" w:color="auto" w:fill="FFFFFF"/>
          <w:lang w:bidi="ar"/>
        </w:rPr>
        <w:t>4</w:t>
      </w:r>
      <w:r>
        <w:rPr>
          <w:rFonts w:hint="eastAsia" w:ascii="仿宋_GB2312" w:hAnsi="sans-serif" w:eastAsia="仿宋_GB2312" w:cs="仿宋_GB2312"/>
          <w:color w:val="000000"/>
          <w:kern w:val="0"/>
          <w:sz w:val="32"/>
          <w:szCs w:val="32"/>
          <w:shd w:val="clear" w:color="auto" w:fill="FFFFFF"/>
          <w:lang w:bidi="ar"/>
        </w:rPr>
        <w:t>）农村环境保护（0</w:t>
      </w:r>
      <w:r>
        <w:rPr>
          <w:rFonts w:ascii="仿宋_GB2312" w:hAnsi="sans-serif" w:eastAsia="仿宋_GB2312" w:cs="仿宋_GB2312"/>
          <w:color w:val="000000"/>
          <w:kern w:val="0"/>
          <w:sz w:val="32"/>
          <w:szCs w:val="32"/>
          <w:shd w:val="clear" w:color="auto" w:fill="FFFFFF"/>
          <w:lang w:bidi="ar"/>
        </w:rPr>
        <w:t>2</w:t>
      </w:r>
      <w:r>
        <w:rPr>
          <w:rFonts w:hint="eastAsia" w:ascii="仿宋_GB2312" w:hAnsi="sans-serif" w:eastAsia="仿宋_GB2312" w:cs="仿宋_GB2312"/>
          <w:color w:val="000000"/>
          <w:kern w:val="0"/>
          <w:sz w:val="32"/>
          <w:szCs w:val="32"/>
          <w:shd w:val="clear" w:color="auto" w:fill="FFFFFF"/>
          <w:lang w:bidi="ar"/>
        </w:rPr>
        <w:t>）支出决算为</w:t>
      </w:r>
      <w:r>
        <w:rPr>
          <w:rFonts w:ascii="仿宋_GB2312" w:hAnsi="sans-serif" w:eastAsia="仿宋_GB2312" w:cs="仿宋_GB2312"/>
          <w:color w:val="000000"/>
          <w:kern w:val="0"/>
          <w:sz w:val="32"/>
          <w:szCs w:val="32"/>
          <w:shd w:val="clear" w:color="auto" w:fill="FFFFFF"/>
          <w:lang w:bidi="ar"/>
        </w:rPr>
        <w:t>4.26</w:t>
      </w:r>
      <w:r>
        <w:rPr>
          <w:rFonts w:hint="eastAsia" w:ascii="仿宋_GB2312" w:hAnsi="sans-serif" w:eastAsia="仿宋_GB2312" w:cs="仿宋_GB2312"/>
          <w:color w:val="000000"/>
          <w:kern w:val="0"/>
          <w:sz w:val="32"/>
          <w:szCs w:val="32"/>
          <w:shd w:val="clear" w:color="auto" w:fill="FFFFFF"/>
          <w:lang w:bidi="ar"/>
        </w:rPr>
        <w:t>万元，完成预算100%，决算数等于预算数。</w:t>
      </w:r>
    </w:p>
    <w:p w14:paraId="797903B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sans-serif" w:eastAsia="仿宋_GB2312" w:cs="仿宋_GB2312"/>
          <w:color w:val="000000"/>
          <w:kern w:val="0"/>
          <w:sz w:val="32"/>
          <w:szCs w:val="32"/>
          <w:shd w:val="clear" w:color="auto" w:fill="FFFFFF"/>
          <w:lang w:bidi="ar"/>
        </w:rPr>
      </w:pPr>
      <w:r>
        <w:rPr>
          <w:rFonts w:ascii="Times New Roman" w:hAnsi="Times New Roman" w:eastAsia="仿宋_GB2312" w:cs="仿宋_GB2312"/>
          <w:sz w:val="32"/>
          <w:szCs w:val="32"/>
          <w:lang w:bidi="ar"/>
        </w:rPr>
        <w:t>6.</w:t>
      </w:r>
      <w:r>
        <w:rPr>
          <w:rFonts w:hint="eastAsia" w:ascii="仿宋" w:hAnsi="仿宋" w:eastAsia="仿宋" w:cs="仿宋"/>
          <w:b/>
          <w:sz w:val="32"/>
          <w:szCs w:val="32"/>
          <w:lang w:bidi="ar"/>
        </w:rPr>
        <w:t xml:space="preserve"> 城乡社区</w:t>
      </w:r>
      <w:r>
        <w:rPr>
          <w:rStyle w:val="16"/>
          <w:rFonts w:hint="eastAsia" w:ascii="仿宋" w:hAnsi="仿宋" w:eastAsia="仿宋" w:cs="仿宋"/>
          <w:bCs/>
          <w:sz w:val="32"/>
          <w:szCs w:val="32"/>
          <w:lang w:bidi="ar"/>
        </w:rPr>
        <w:t>支出</w:t>
      </w:r>
      <w:r>
        <w:rPr>
          <w:rFonts w:hint="eastAsia" w:ascii="仿宋" w:hAnsi="仿宋" w:eastAsia="仿宋" w:cs="仿宋"/>
          <w:b/>
          <w:sz w:val="32"/>
          <w:szCs w:val="32"/>
          <w:lang w:bidi="ar"/>
        </w:rPr>
        <w:t>：</w:t>
      </w:r>
      <w:r>
        <w:rPr>
          <w:rFonts w:hint="eastAsia" w:ascii="仿宋_GB2312" w:hAnsi="sans-serif" w:eastAsia="仿宋_GB2312" w:cs="仿宋_GB2312"/>
          <w:color w:val="000000"/>
          <w:kern w:val="0"/>
          <w:sz w:val="32"/>
          <w:szCs w:val="32"/>
          <w:shd w:val="clear" w:color="auto" w:fill="FFFFFF"/>
          <w:lang w:bidi="ar"/>
        </w:rPr>
        <w:t>城乡社区支出（212）城乡社区环境卫生（05）城乡社区环境卫生（01）支出决算为</w:t>
      </w:r>
      <w:r>
        <w:rPr>
          <w:rFonts w:ascii="仿宋_GB2312" w:hAnsi="sans-serif" w:eastAsia="仿宋_GB2312" w:cs="仿宋_GB2312"/>
          <w:color w:val="000000"/>
          <w:kern w:val="0"/>
          <w:sz w:val="32"/>
          <w:szCs w:val="32"/>
          <w:shd w:val="clear" w:color="auto" w:fill="FFFFFF"/>
          <w:lang w:bidi="ar"/>
        </w:rPr>
        <w:t>8.07</w:t>
      </w:r>
      <w:r>
        <w:rPr>
          <w:rFonts w:hint="eastAsia" w:ascii="仿宋_GB2312" w:hAnsi="sans-serif" w:eastAsia="仿宋_GB2312" w:cs="仿宋_GB2312"/>
          <w:color w:val="000000"/>
          <w:kern w:val="0"/>
          <w:sz w:val="32"/>
          <w:szCs w:val="32"/>
          <w:shd w:val="clear" w:color="auto" w:fill="FFFFFF"/>
          <w:lang w:bidi="ar"/>
        </w:rPr>
        <w:t>万元，完成预算100%，决算数等于预算数。</w:t>
      </w:r>
    </w:p>
    <w:p w14:paraId="01BBF3E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hint="eastAsia" w:ascii="仿宋_GB2312" w:hAnsi="sans-serif" w:eastAsia="仿宋_GB2312" w:cs="仿宋_GB2312"/>
          <w:color w:val="000000"/>
          <w:kern w:val="0"/>
          <w:sz w:val="32"/>
          <w:szCs w:val="32"/>
          <w:shd w:val="clear" w:color="auto" w:fill="FFFFFF"/>
          <w:lang w:bidi="ar"/>
        </w:rPr>
        <w:t>7</w:t>
      </w:r>
      <w:r>
        <w:rPr>
          <w:rFonts w:ascii="仿宋_GB2312" w:hAnsi="sans-serif" w:eastAsia="仿宋_GB2312" w:cs="仿宋_GB2312"/>
          <w:color w:val="000000"/>
          <w:kern w:val="0"/>
          <w:sz w:val="32"/>
          <w:szCs w:val="32"/>
          <w:shd w:val="clear" w:color="auto" w:fill="FFFFFF"/>
          <w:lang w:bidi="ar"/>
        </w:rPr>
        <w:t>.</w:t>
      </w:r>
      <w:r>
        <w:rPr>
          <w:rFonts w:hint="eastAsia" w:ascii="仿宋" w:hAnsi="仿宋" w:eastAsia="仿宋" w:cs="仿宋"/>
          <w:b/>
          <w:sz w:val="32"/>
          <w:szCs w:val="32"/>
          <w:lang w:bidi="ar"/>
        </w:rPr>
        <w:t xml:space="preserve"> 农林水</w:t>
      </w:r>
      <w:r>
        <w:rPr>
          <w:rStyle w:val="16"/>
          <w:rFonts w:hint="eastAsia" w:ascii="仿宋" w:hAnsi="仿宋" w:eastAsia="仿宋" w:cs="仿宋"/>
          <w:bCs/>
          <w:sz w:val="32"/>
          <w:szCs w:val="32"/>
          <w:lang w:bidi="ar"/>
        </w:rPr>
        <w:t>支出</w:t>
      </w:r>
      <w:r>
        <w:rPr>
          <w:rFonts w:hint="eastAsia" w:ascii="仿宋" w:hAnsi="仿宋" w:eastAsia="仿宋" w:cs="仿宋"/>
          <w:b/>
          <w:sz w:val="32"/>
          <w:szCs w:val="32"/>
          <w:lang w:bidi="ar"/>
        </w:rPr>
        <w:t>：</w:t>
      </w:r>
      <w:r>
        <w:rPr>
          <w:rFonts w:hint="eastAsia" w:ascii="仿宋_GB2312" w:hAnsi="sans-serif" w:eastAsia="仿宋_GB2312" w:cs="仿宋_GB2312"/>
          <w:color w:val="000000"/>
          <w:kern w:val="0"/>
          <w:sz w:val="32"/>
          <w:szCs w:val="32"/>
          <w:shd w:val="clear" w:color="auto" w:fill="FFFFFF"/>
          <w:lang w:bidi="ar"/>
        </w:rPr>
        <w:t>农林水支出（213）农业农村（01）农业生产发展（2</w:t>
      </w:r>
      <w:r>
        <w:rPr>
          <w:rFonts w:ascii="仿宋_GB2312" w:hAnsi="sans-serif" w:eastAsia="仿宋_GB2312" w:cs="仿宋_GB2312"/>
          <w:color w:val="000000"/>
          <w:kern w:val="0"/>
          <w:sz w:val="32"/>
          <w:szCs w:val="32"/>
          <w:shd w:val="clear" w:color="auto" w:fill="FFFFFF"/>
          <w:lang w:bidi="ar"/>
        </w:rPr>
        <w:t>2</w:t>
      </w:r>
      <w:r>
        <w:rPr>
          <w:rFonts w:hint="eastAsia" w:ascii="仿宋_GB2312" w:hAnsi="sans-serif" w:eastAsia="仿宋_GB2312" w:cs="仿宋_GB2312"/>
          <w:color w:val="000000"/>
          <w:kern w:val="0"/>
          <w:sz w:val="32"/>
          <w:szCs w:val="32"/>
          <w:shd w:val="clear" w:color="auto" w:fill="FFFFFF"/>
          <w:lang w:bidi="ar"/>
        </w:rPr>
        <w:t>）:支出决算为</w:t>
      </w:r>
      <w:r>
        <w:rPr>
          <w:rFonts w:ascii="仿宋_GB2312" w:hAnsi="sans-serif" w:eastAsia="仿宋_GB2312" w:cs="仿宋_GB2312"/>
          <w:color w:val="000000"/>
          <w:kern w:val="0"/>
          <w:sz w:val="32"/>
          <w:szCs w:val="32"/>
          <w:shd w:val="clear" w:color="auto" w:fill="FFFFFF"/>
          <w:lang w:bidi="ar"/>
        </w:rPr>
        <w:t>1.89</w:t>
      </w:r>
      <w:r>
        <w:rPr>
          <w:rFonts w:hint="eastAsia" w:ascii="仿宋_GB2312" w:hAnsi="sans-serif" w:eastAsia="仿宋_GB2312" w:cs="仿宋_GB2312"/>
          <w:color w:val="000000"/>
          <w:kern w:val="0"/>
          <w:sz w:val="32"/>
          <w:szCs w:val="32"/>
          <w:shd w:val="clear" w:color="auto" w:fill="FFFFFF"/>
          <w:lang w:bidi="ar"/>
        </w:rPr>
        <w:t>万元，完成预算100%，决算数等于预算数。农林水支出（213）林业和草原（02）森林草原防灾减灾（34）:支出决算为</w:t>
      </w:r>
      <w:r>
        <w:rPr>
          <w:rFonts w:ascii="仿宋_GB2312" w:hAnsi="sans-serif" w:eastAsia="仿宋_GB2312" w:cs="仿宋_GB2312"/>
          <w:color w:val="000000"/>
          <w:kern w:val="0"/>
          <w:sz w:val="32"/>
          <w:szCs w:val="32"/>
          <w:shd w:val="clear" w:color="auto" w:fill="FFFFFF"/>
          <w:lang w:bidi="ar"/>
        </w:rPr>
        <w:t>1.74</w:t>
      </w:r>
      <w:r>
        <w:rPr>
          <w:rFonts w:hint="eastAsia" w:ascii="仿宋_GB2312" w:hAnsi="sans-serif" w:eastAsia="仿宋_GB2312" w:cs="仿宋_GB2312"/>
          <w:color w:val="000000"/>
          <w:kern w:val="0"/>
          <w:sz w:val="32"/>
          <w:szCs w:val="32"/>
          <w:shd w:val="clear" w:color="auto" w:fill="FFFFFF"/>
          <w:lang w:bidi="ar"/>
        </w:rPr>
        <w:t>万元：完成预算100%，决算数等于预算数；农林水支出（213）巩固脱贫攻坚成果衔接乡村振兴（05）其他巩固脱贫攻坚成果衔接乡村振兴支出（99）：支出决算为</w:t>
      </w:r>
      <w:r>
        <w:rPr>
          <w:rFonts w:ascii="仿宋_GB2312" w:hAnsi="sans-serif" w:eastAsia="仿宋_GB2312" w:cs="仿宋_GB2312"/>
          <w:color w:val="000000"/>
          <w:kern w:val="0"/>
          <w:sz w:val="32"/>
          <w:szCs w:val="32"/>
          <w:shd w:val="clear" w:color="auto" w:fill="FFFFFF"/>
          <w:lang w:bidi="ar"/>
        </w:rPr>
        <w:t>806.25</w:t>
      </w:r>
      <w:r>
        <w:rPr>
          <w:rFonts w:hint="eastAsia" w:ascii="仿宋_GB2312" w:hAnsi="sans-serif" w:eastAsia="仿宋_GB2312" w:cs="仿宋_GB2312"/>
          <w:color w:val="000000"/>
          <w:kern w:val="0"/>
          <w:sz w:val="32"/>
          <w:szCs w:val="32"/>
          <w:shd w:val="clear" w:color="auto" w:fill="FFFFFF"/>
          <w:lang w:bidi="ar"/>
        </w:rPr>
        <w:t>万元，完成预算100%，决算数等于预算数。农林水支出（213）农村综合改革（07）对村民委员会和村党支部的补助（05）:支出决算为</w:t>
      </w:r>
      <w:r>
        <w:rPr>
          <w:rFonts w:ascii="仿宋_GB2312" w:hAnsi="sans-serif" w:eastAsia="仿宋_GB2312" w:cs="仿宋_GB2312"/>
          <w:color w:val="000000"/>
          <w:kern w:val="0"/>
          <w:sz w:val="32"/>
          <w:szCs w:val="32"/>
          <w:shd w:val="clear" w:color="auto" w:fill="FFFFFF"/>
          <w:lang w:bidi="ar"/>
        </w:rPr>
        <w:t>285.23</w:t>
      </w:r>
      <w:r>
        <w:rPr>
          <w:rFonts w:hint="eastAsia" w:ascii="仿宋_GB2312" w:hAnsi="sans-serif" w:eastAsia="仿宋_GB2312" w:cs="仿宋_GB2312"/>
          <w:color w:val="000000"/>
          <w:kern w:val="0"/>
          <w:sz w:val="32"/>
          <w:szCs w:val="32"/>
          <w:shd w:val="clear" w:color="auto" w:fill="FFFFFF"/>
          <w:lang w:bidi="ar"/>
        </w:rPr>
        <w:t>万元，完成预算100%，决算数等于预算数。</w:t>
      </w:r>
    </w:p>
    <w:p w14:paraId="5041B00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Times New Roman" w:hAnsi="Times New Roman" w:eastAsia="仿宋_GB2312" w:cs="仿宋_GB2312"/>
          <w:sz w:val="32"/>
          <w:szCs w:val="32"/>
          <w:lang w:bidi="ar"/>
        </w:rPr>
        <w:t>8</w:t>
      </w:r>
      <w:r>
        <w:rPr>
          <w:rFonts w:ascii="Times New Roman" w:hAnsi="Times New Roman" w:eastAsia="仿宋_GB2312" w:cs="仿宋_GB2312"/>
          <w:sz w:val="32"/>
          <w:szCs w:val="32"/>
          <w:lang w:bidi="ar"/>
        </w:rPr>
        <w:t>.</w:t>
      </w:r>
      <w:r>
        <w:rPr>
          <w:rFonts w:hint="eastAsia" w:ascii="仿宋" w:hAnsi="仿宋" w:eastAsia="仿宋" w:cs="仿宋"/>
          <w:b/>
          <w:sz w:val="32"/>
          <w:szCs w:val="32"/>
          <w:lang w:bidi="ar"/>
        </w:rPr>
        <w:t xml:space="preserve"> 住房保障住房</w:t>
      </w:r>
      <w:r>
        <w:rPr>
          <w:rStyle w:val="16"/>
          <w:rFonts w:hint="eastAsia" w:ascii="仿宋" w:hAnsi="仿宋" w:eastAsia="仿宋" w:cs="仿宋"/>
          <w:bCs/>
          <w:sz w:val="32"/>
          <w:szCs w:val="32"/>
          <w:lang w:bidi="ar"/>
        </w:rPr>
        <w:t>支出</w:t>
      </w:r>
      <w:r>
        <w:rPr>
          <w:rFonts w:hint="eastAsia" w:ascii="仿宋" w:hAnsi="仿宋" w:eastAsia="仿宋" w:cs="仿宋"/>
          <w:b/>
          <w:sz w:val="32"/>
          <w:szCs w:val="32"/>
          <w:lang w:bidi="ar"/>
        </w:rPr>
        <w:t>：</w:t>
      </w:r>
      <w:r>
        <w:rPr>
          <w:rFonts w:hint="eastAsia" w:ascii="仿宋_GB2312" w:hAnsi="sans-serif" w:eastAsia="仿宋_GB2312" w:cs="仿宋_GB2312"/>
          <w:color w:val="000000"/>
          <w:kern w:val="0"/>
          <w:sz w:val="32"/>
          <w:szCs w:val="32"/>
          <w:shd w:val="clear" w:color="auto" w:fill="FFFFFF"/>
          <w:lang w:bidi="ar"/>
        </w:rPr>
        <w:t>住房保障支出（221）住房改革支出（02）住房公积金（01）:支出决算为</w:t>
      </w:r>
      <w:r>
        <w:rPr>
          <w:rFonts w:ascii="仿宋_GB2312" w:hAnsi="sans-serif" w:eastAsia="仿宋_GB2312" w:cs="仿宋_GB2312"/>
          <w:color w:val="000000"/>
          <w:kern w:val="0"/>
          <w:sz w:val="32"/>
          <w:szCs w:val="32"/>
          <w:shd w:val="clear" w:color="auto" w:fill="FFFFFF"/>
          <w:lang w:bidi="ar"/>
        </w:rPr>
        <w:t>59.35</w:t>
      </w:r>
      <w:r>
        <w:rPr>
          <w:rFonts w:hint="eastAsia" w:ascii="仿宋_GB2312" w:hAnsi="sans-serif" w:eastAsia="仿宋_GB2312" w:cs="仿宋_GB2312"/>
          <w:color w:val="000000"/>
          <w:kern w:val="0"/>
          <w:sz w:val="32"/>
          <w:szCs w:val="32"/>
          <w:shd w:val="clear" w:color="auto" w:fill="FFFFFF"/>
          <w:lang w:bidi="ar"/>
        </w:rPr>
        <w:t>万元，完成预算100%，决算数等于预算数。</w:t>
      </w:r>
    </w:p>
    <w:p w14:paraId="4F133B0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hint="eastAsia" w:ascii="仿宋_GB2312" w:hAnsi="sans-serif" w:eastAsia="仿宋_GB2312" w:cs="仿宋_GB2312"/>
          <w:color w:val="000000"/>
          <w:kern w:val="0"/>
          <w:sz w:val="32"/>
          <w:szCs w:val="32"/>
          <w:shd w:val="clear" w:color="auto" w:fill="FFFFFF"/>
          <w:lang w:bidi="ar"/>
        </w:rPr>
        <w:t>9</w:t>
      </w:r>
      <w:r>
        <w:rPr>
          <w:rFonts w:ascii="仿宋_GB2312" w:hAnsi="sans-serif" w:eastAsia="仿宋_GB2312" w:cs="仿宋_GB2312"/>
          <w:color w:val="000000"/>
          <w:kern w:val="0"/>
          <w:sz w:val="32"/>
          <w:szCs w:val="32"/>
          <w:shd w:val="clear" w:color="auto" w:fill="FFFFFF"/>
          <w:lang w:bidi="ar"/>
        </w:rPr>
        <w:t>.</w:t>
      </w:r>
      <w:r>
        <w:rPr>
          <w:rFonts w:hint="eastAsia" w:ascii="仿宋" w:hAnsi="仿宋" w:eastAsia="仿宋" w:cs="仿宋"/>
          <w:b/>
          <w:sz w:val="32"/>
          <w:szCs w:val="32"/>
        </w:rPr>
        <w:t xml:space="preserve"> 灾害防治及应急管理</w:t>
      </w:r>
      <w:r>
        <w:rPr>
          <w:rStyle w:val="16"/>
          <w:rFonts w:hint="eastAsia" w:ascii="仿宋" w:hAnsi="仿宋" w:eastAsia="仿宋" w:cs="仿宋"/>
          <w:bCs/>
          <w:sz w:val="32"/>
          <w:szCs w:val="32"/>
        </w:rPr>
        <w:t>支出</w:t>
      </w:r>
      <w:r>
        <w:rPr>
          <w:rFonts w:hint="eastAsia" w:ascii="仿宋" w:hAnsi="仿宋" w:eastAsia="仿宋" w:cs="仿宋"/>
          <w:b/>
          <w:sz w:val="32"/>
          <w:szCs w:val="32"/>
        </w:rPr>
        <w:t>：</w:t>
      </w:r>
      <w:r>
        <w:rPr>
          <w:rFonts w:hint="eastAsia" w:ascii="仿宋" w:hAnsi="仿宋" w:eastAsia="仿宋" w:cs="仿宋"/>
          <w:sz w:val="32"/>
          <w:szCs w:val="32"/>
        </w:rPr>
        <w:t>灾害防治及应急管理</w:t>
      </w:r>
      <w:r>
        <w:rPr>
          <w:rStyle w:val="16"/>
          <w:rFonts w:hint="eastAsia" w:ascii="仿宋" w:hAnsi="仿宋" w:eastAsia="仿宋" w:cs="仿宋"/>
          <w:b w:val="0"/>
          <w:bCs/>
          <w:sz w:val="32"/>
          <w:szCs w:val="32"/>
        </w:rPr>
        <w:t>支出</w:t>
      </w:r>
      <w:r>
        <w:rPr>
          <w:rFonts w:hint="eastAsia" w:ascii="仿宋_GB2312" w:hAnsi="sans-serif" w:eastAsia="仿宋_GB2312" w:cs="仿宋_GB2312"/>
          <w:color w:val="000000"/>
          <w:kern w:val="0"/>
          <w:sz w:val="32"/>
          <w:szCs w:val="32"/>
          <w:shd w:val="clear" w:color="auto" w:fill="FFFFFF"/>
        </w:rPr>
        <w:t>（224）自然灾害防治（06）地质灾害防治（0</w:t>
      </w:r>
      <w:r>
        <w:rPr>
          <w:rFonts w:ascii="仿宋_GB2312" w:hAnsi="sans-serif" w:eastAsia="仿宋_GB2312" w:cs="仿宋_GB2312"/>
          <w:color w:val="000000"/>
          <w:kern w:val="0"/>
          <w:sz w:val="32"/>
          <w:szCs w:val="32"/>
          <w:shd w:val="clear" w:color="auto" w:fill="FFFFFF"/>
        </w:rPr>
        <w:t>1</w:t>
      </w:r>
      <w:r>
        <w:rPr>
          <w:rFonts w:hint="eastAsia" w:ascii="仿宋_GB2312" w:hAnsi="sans-serif" w:eastAsia="仿宋_GB2312" w:cs="仿宋_GB2312"/>
          <w:color w:val="000000"/>
          <w:kern w:val="0"/>
          <w:sz w:val="32"/>
          <w:szCs w:val="32"/>
          <w:shd w:val="clear" w:color="auto" w:fill="FFFFFF"/>
        </w:rPr>
        <w:t>）:支出决算为</w:t>
      </w:r>
      <w:r>
        <w:rPr>
          <w:rFonts w:ascii="仿宋_GB2312" w:hAnsi="sans-serif" w:eastAsia="仿宋_GB2312" w:cs="仿宋_GB2312"/>
          <w:color w:val="000000"/>
          <w:kern w:val="0"/>
          <w:sz w:val="32"/>
          <w:szCs w:val="32"/>
          <w:shd w:val="clear" w:color="auto" w:fill="FFFFFF"/>
        </w:rPr>
        <w:t>0.25</w:t>
      </w:r>
      <w:r>
        <w:rPr>
          <w:rFonts w:hint="eastAsia" w:ascii="仿宋_GB2312" w:hAnsi="sans-serif" w:eastAsia="仿宋_GB2312" w:cs="仿宋_GB2312"/>
          <w:color w:val="000000"/>
          <w:kern w:val="0"/>
          <w:sz w:val="32"/>
          <w:szCs w:val="32"/>
          <w:shd w:val="clear" w:color="auto" w:fill="FFFFFF"/>
        </w:rPr>
        <w:t>万元，完成预算100%，决算数等于预算数。</w:t>
      </w:r>
    </w:p>
    <w:p w14:paraId="4FC2D17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b/>
          <w:bCs/>
          <w:sz w:val="32"/>
          <w:szCs w:val="32"/>
        </w:rPr>
      </w:pPr>
      <w:r>
        <w:rPr>
          <w:rFonts w:hint="eastAsia" w:ascii="Times New Roman" w:hAnsi="Times New Roman" w:eastAsia="仿宋_GB2312" w:cs="仿宋_GB2312"/>
          <w:b/>
          <w:bCs/>
          <w:sz w:val="32"/>
          <w:szCs w:val="32"/>
          <w:lang w:bidi="ar"/>
        </w:rPr>
        <w:t>（注：仅罗列本部门涉及的全部功能分类科目，至项级。上述“预算”口径为全年预算数。增减变动原因为决算数</w:t>
      </w:r>
      <w:r>
        <w:rPr>
          <w:rFonts w:ascii="Times New Roman" w:hAnsi="Times New Roman" w:eastAsia="仿宋_GB2312" w:cs="仿宋_GB2312"/>
          <w:b/>
          <w:bCs/>
          <w:sz w:val="32"/>
          <w:szCs w:val="32"/>
          <w:lang w:bidi="ar"/>
        </w:rPr>
        <w:t>&lt;</w:t>
      </w:r>
      <w:r>
        <w:rPr>
          <w:rFonts w:hint="eastAsia" w:ascii="Times New Roman" w:hAnsi="Times New Roman" w:eastAsia="仿宋_GB2312" w:cs="仿宋_GB2312"/>
          <w:b/>
          <w:bCs/>
          <w:sz w:val="32"/>
          <w:szCs w:val="32"/>
          <w:lang w:bidi="ar"/>
        </w:rPr>
        <w:t>项级</w:t>
      </w:r>
      <w:r>
        <w:rPr>
          <w:rFonts w:ascii="Times New Roman" w:hAnsi="Times New Roman" w:eastAsia="仿宋_GB2312" w:cs="仿宋_GB2312"/>
          <w:b/>
          <w:bCs/>
          <w:sz w:val="32"/>
          <w:szCs w:val="32"/>
          <w:lang w:bidi="ar"/>
        </w:rPr>
        <w:t>&gt;</w:t>
      </w:r>
      <w:r>
        <w:rPr>
          <w:rFonts w:hint="eastAsia" w:ascii="Times New Roman" w:hAnsi="Times New Roman" w:eastAsia="仿宋_GB2312" w:cs="仿宋_GB2312"/>
          <w:b/>
          <w:bCs/>
          <w:sz w:val="32"/>
          <w:szCs w:val="32"/>
          <w:lang w:bidi="ar"/>
        </w:rPr>
        <w:t>和全年预算数</w:t>
      </w:r>
      <w:r>
        <w:rPr>
          <w:rFonts w:ascii="Times New Roman" w:hAnsi="Times New Roman" w:eastAsia="仿宋_GB2312" w:cs="仿宋_GB2312"/>
          <w:b/>
          <w:bCs/>
          <w:sz w:val="32"/>
          <w:szCs w:val="32"/>
          <w:lang w:bidi="ar"/>
        </w:rPr>
        <w:t>&lt;</w:t>
      </w:r>
      <w:r>
        <w:rPr>
          <w:rFonts w:hint="eastAsia" w:ascii="Times New Roman" w:hAnsi="Times New Roman" w:eastAsia="仿宋_GB2312" w:cs="仿宋_GB2312"/>
          <w:b/>
          <w:bCs/>
          <w:sz w:val="32"/>
          <w:szCs w:val="32"/>
          <w:lang w:bidi="ar"/>
        </w:rPr>
        <w:t>项级</w:t>
      </w:r>
      <w:r>
        <w:rPr>
          <w:rFonts w:ascii="Times New Roman" w:hAnsi="Times New Roman" w:eastAsia="仿宋_GB2312" w:cs="仿宋_GB2312"/>
          <w:b/>
          <w:bCs/>
          <w:sz w:val="32"/>
          <w:szCs w:val="32"/>
          <w:lang w:bidi="ar"/>
        </w:rPr>
        <w:t>&gt;</w:t>
      </w:r>
      <w:r>
        <w:rPr>
          <w:rFonts w:hint="eastAsia" w:ascii="Times New Roman" w:hAnsi="Times New Roman" w:eastAsia="仿宋_GB2312" w:cs="仿宋_GB2312"/>
          <w:b/>
          <w:bCs/>
          <w:sz w:val="32"/>
          <w:szCs w:val="32"/>
          <w:lang w:bidi="ar"/>
        </w:rPr>
        <w:t>比较，与预算数持平可以不写原因）</w:t>
      </w:r>
    </w:p>
    <w:p w14:paraId="146AD52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p>
    <w:p w14:paraId="5B1A9F0D">
      <w:pPr>
        <w:keepNext w:val="0"/>
        <w:keepLines w:val="0"/>
        <w:pageBreakBefore w:val="0"/>
        <w:widowControl w:val="0"/>
        <w:tabs>
          <w:tab w:val="right" w:pos="8306"/>
        </w:tabs>
        <w:kinsoku/>
        <w:wordWrap/>
        <w:overflowPunct/>
        <w:topLinePunct w:val="0"/>
        <w:autoSpaceDE/>
        <w:autoSpaceDN/>
        <w:bidi w:val="0"/>
        <w:adjustRightInd/>
        <w:snapToGrid/>
        <w:spacing w:line="560" w:lineRule="exact"/>
        <w:ind w:firstLine="640"/>
        <w:textAlignment w:val="auto"/>
        <w:outlineLvl w:val="1"/>
        <w:rPr>
          <w:sz w:val="32"/>
          <w:szCs w:val="32"/>
        </w:rPr>
      </w:pPr>
      <w:bookmarkStart w:id="30" w:name="_Toc15396608"/>
      <w:bookmarkStart w:id="31" w:name="_Toc15377214"/>
      <w:r>
        <w:rPr>
          <w:rFonts w:hint="eastAsia" w:ascii="Times New Roman" w:hAnsi="Times New Roman" w:eastAsia="黑体" w:cs="黑体"/>
          <w:sz w:val="32"/>
          <w:szCs w:val="32"/>
          <w:lang w:bidi="ar"/>
        </w:rPr>
        <w:t>六</w:t>
      </w:r>
      <w:r>
        <w:rPr>
          <w:rFonts w:hint="eastAsia" w:ascii="Times New Roman" w:hAnsi="Times New Roman" w:eastAsia="黑体" w:cs="黑体"/>
          <w:b/>
          <w:sz w:val="32"/>
          <w:szCs w:val="32"/>
          <w:lang w:bidi="ar"/>
        </w:rPr>
        <w:t>、一</w:t>
      </w:r>
      <w:r>
        <w:rPr>
          <w:rStyle w:val="23"/>
          <w:rFonts w:hint="eastAsia" w:eastAsia="黑体" w:cs="黑体"/>
          <w:lang w:bidi="ar"/>
        </w:rPr>
        <w:t>般公共预算财政拨款基本支出决算情况说明</w:t>
      </w:r>
      <w:bookmarkEnd w:id="30"/>
      <w:bookmarkEnd w:id="31"/>
      <w:r>
        <w:rPr>
          <w:rStyle w:val="23"/>
          <w:rFonts w:eastAsia="黑体"/>
          <w:lang w:bidi="ar"/>
        </w:rPr>
        <w:tab/>
      </w:r>
    </w:p>
    <w:p w14:paraId="604BBB44">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年度一般公共预算财政拨款基本支出</w:t>
      </w:r>
      <w:r>
        <w:rPr>
          <w:rFonts w:ascii="Times New Roman" w:hAnsi="Times New Roman" w:eastAsia="仿宋_GB2312" w:cs="仿宋_GB2312"/>
          <w:sz w:val="32"/>
          <w:szCs w:val="32"/>
          <w:lang w:bidi="ar"/>
        </w:rPr>
        <w:t>867.37</w:t>
      </w:r>
      <w:r>
        <w:rPr>
          <w:rFonts w:hint="eastAsia" w:ascii="Times New Roman" w:hAnsi="Times New Roman" w:eastAsia="仿宋_GB2312" w:cs="仿宋_GB2312"/>
          <w:sz w:val="32"/>
          <w:szCs w:val="32"/>
          <w:lang w:bidi="ar"/>
        </w:rPr>
        <w:t>万元，其中：</w:t>
      </w:r>
    </w:p>
    <w:p w14:paraId="71641CA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hint="eastAsia" w:ascii="Times New Roman" w:hAnsi="Times New Roman" w:eastAsia="仿宋_GB2312" w:cs="仿宋_GB2312"/>
          <w:sz w:val="32"/>
          <w:szCs w:val="32"/>
          <w:lang w:bidi="ar"/>
        </w:rPr>
        <w:t>人员经费</w:t>
      </w:r>
      <w:r>
        <w:rPr>
          <w:rFonts w:ascii="Times New Roman" w:hAnsi="Times New Roman" w:eastAsia="仿宋_GB2312" w:cs="仿宋_GB2312"/>
          <w:sz w:val="32"/>
          <w:szCs w:val="32"/>
          <w:lang w:bidi="ar"/>
        </w:rPr>
        <w:t>774.97</w:t>
      </w:r>
      <w:r>
        <w:rPr>
          <w:rFonts w:hint="eastAsia" w:ascii="Times New Roman" w:hAnsi="Times New Roman" w:eastAsia="仿宋_GB2312" w:cs="仿宋_GB2312"/>
          <w:sz w:val="32"/>
          <w:szCs w:val="32"/>
          <w:lang w:bidi="ar"/>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Times New Roman" w:hAnsi="Times New Roman" w:eastAsia="仿宋_GB2312" w:cs="仿宋_GB2312"/>
          <w:sz w:val="32"/>
          <w:szCs w:val="32"/>
          <w:lang w:bidi="ar"/>
        </w:rPr>
        <w:br w:type="textWrapping"/>
      </w:r>
      <w:r>
        <w:rPr>
          <w:rFonts w:hint="eastAsia" w:ascii="Times New Roman" w:hAnsi="Times New Roman" w:eastAsia="仿宋_GB2312" w:cs="仿宋_GB2312"/>
          <w:sz w:val="32"/>
          <w:szCs w:val="32"/>
          <w:lang w:bidi="ar"/>
        </w:rPr>
        <w:t>　　公用经费</w:t>
      </w:r>
      <w:r>
        <w:rPr>
          <w:rFonts w:ascii="Times New Roman" w:hAnsi="Times New Roman" w:eastAsia="仿宋_GB2312" w:cs="仿宋_GB2312"/>
          <w:sz w:val="32"/>
          <w:szCs w:val="32"/>
          <w:lang w:bidi="ar"/>
        </w:rPr>
        <w:t>92.4</w:t>
      </w:r>
      <w:r>
        <w:rPr>
          <w:rFonts w:hint="eastAsia" w:ascii="Times New Roman" w:hAnsi="Times New Roman" w:eastAsia="仿宋_GB2312" w:cs="仿宋_GB2312"/>
          <w:sz w:val="32"/>
          <w:szCs w:val="32"/>
          <w:lang w:bidi="ar"/>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6663CF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b/>
          <w:bCs/>
          <w:sz w:val="32"/>
          <w:szCs w:val="32"/>
        </w:rPr>
      </w:pPr>
      <w:r>
        <w:rPr>
          <w:rFonts w:hint="eastAsia" w:ascii="Times New Roman" w:hAnsi="Times New Roman" w:eastAsia="仿宋_GB2312" w:cs="仿宋_GB2312"/>
          <w:b/>
          <w:bCs/>
          <w:sz w:val="32"/>
          <w:szCs w:val="32"/>
          <w:lang w:bidi="ar"/>
        </w:rPr>
        <w:t>（注：仅罗列本部门实际支出涉及的经济分类科目）</w:t>
      </w:r>
    </w:p>
    <w:p w14:paraId="66D08AAC">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p>
    <w:p w14:paraId="73E0497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1"/>
        <w:rPr>
          <w:rFonts w:eastAsia="黑体"/>
          <w:bCs/>
          <w:sz w:val="32"/>
          <w:szCs w:val="32"/>
        </w:rPr>
      </w:pPr>
      <w:bookmarkStart w:id="32" w:name="_Toc15377215"/>
      <w:bookmarkStart w:id="33" w:name="_Toc15396609"/>
      <w:r>
        <w:rPr>
          <w:rFonts w:hint="eastAsia" w:ascii="Times New Roman" w:hAnsi="Times New Roman" w:eastAsia="黑体" w:cs="黑体"/>
          <w:sz w:val="32"/>
          <w:szCs w:val="32"/>
          <w:lang w:bidi="ar"/>
        </w:rPr>
        <w:t>七、</w:t>
      </w:r>
      <w:r>
        <w:rPr>
          <w:rStyle w:val="23"/>
          <w:rFonts w:hint="eastAsia" w:eastAsia="黑体" w:cs="黑体"/>
          <w:lang w:bidi="ar"/>
        </w:rPr>
        <w:t>财政拨款“三公”经费支出决算情况说明</w:t>
      </w:r>
      <w:bookmarkEnd w:id="32"/>
      <w:bookmarkEnd w:id="33"/>
    </w:p>
    <w:p w14:paraId="1743FA6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bookmarkStart w:id="34" w:name="_Toc15377216"/>
      <w:r>
        <w:rPr>
          <w:rFonts w:hint="eastAsia" w:ascii="Times New Roman" w:hAnsi="Times New Roman" w:eastAsia="楷体_GB2312" w:cs="楷体_GB2312"/>
          <w:b/>
          <w:sz w:val="32"/>
          <w:szCs w:val="32"/>
          <w:lang w:bidi="ar"/>
        </w:rPr>
        <w:t>（一）财政拨款“三公”经费支出决算总体情况说明</w:t>
      </w:r>
      <w:bookmarkEnd w:id="34"/>
    </w:p>
    <w:p w14:paraId="2E23573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年度财政拨款“三公”经费支出决算为</w:t>
      </w:r>
      <w:r>
        <w:rPr>
          <w:rFonts w:ascii="Times New Roman" w:hAnsi="Times New Roman" w:eastAsia="仿宋_GB2312" w:cs="仿宋_GB2312"/>
          <w:sz w:val="32"/>
          <w:szCs w:val="32"/>
          <w:lang w:bidi="ar"/>
        </w:rPr>
        <w:t>9</w:t>
      </w:r>
      <w:r>
        <w:rPr>
          <w:rFonts w:hint="eastAsia" w:ascii="Times New Roman" w:hAnsi="Times New Roman" w:eastAsia="仿宋_GB2312" w:cs="仿宋_GB2312"/>
          <w:sz w:val="32"/>
          <w:szCs w:val="32"/>
          <w:lang w:bidi="ar"/>
        </w:rPr>
        <w:t>万元，完成预算</w:t>
      </w:r>
      <w:r>
        <w:rPr>
          <w:rFonts w:ascii="Times New Roman" w:hAnsi="Times New Roman" w:eastAsia="仿宋_GB2312" w:cs="仿宋_GB2312"/>
          <w:sz w:val="32"/>
          <w:szCs w:val="32"/>
          <w:lang w:bidi="ar"/>
        </w:rPr>
        <w:t>100%</w:t>
      </w:r>
      <w:r>
        <w:rPr>
          <w:rFonts w:hint="eastAsia" w:ascii="Times New Roman" w:hAnsi="Times New Roman" w:eastAsia="仿宋_GB2312" w:cs="仿宋_GB2312"/>
          <w:sz w:val="32"/>
          <w:szCs w:val="32"/>
          <w:lang w:bidi="ar"/>
        </w:rPr>
        <w:t>，较上年度增加</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减少</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万元，增长</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下降</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。决算数与预算数持平。</w:t>
      </w:r>
    </w:p>
    <w:p w14:paraId="3C4F1FF4">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b/>
          <w:bCs/>
          <w:sz w:val="32"/>
          <w:szCs w:val="32"/>
        </w:rPr>
      </w:pPr>
      <w:r>
        <w:rPr>
          <w:rFonts w:hint="eastAsia" w:ascii="Times New Roman" w:hAnsi="Times New Roman" w:eastAsia="仿宋_GB2312" w:cs="仿宋_GB2312"/>
          <w:b/>
          <w:bCs/>
          <w:sz w:val="32"/>
          <w:szCs w:val="32"/>
          <w:lang w:bidi="ar"/>
        </w:rPr>
        <w:t>（注：上述“预算”口径为全年预算数，包括一般公共预算和政府性基金预算财政拨款支出决算情况，与预算数持平可以不写原因）</w:t>
      </w:r>
    </w:p>
    <w:p w14:paraId="2E04F73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bookmarkStart w:id="35" w:name="_Toc15377217"/>
      <w:r>
        <w:rPr>
          <w:rFonts w:hint="eastAsia" w:ascii="Times New Roman" w:hAnsi="Times New Roman" w:eastAsia="楷体_GB2312" w:cs="楷体_GB2312"/>
          <w:b/>
          <w:sz w:val="32"/>
          <w:szCs w:val="32"/>
          <w:lang w:bidi="ar"/>
        </w:rPr>
        <w:t>（二）财政拨款“三公”经费支出决算具体情况说明</w:t>
      </w:r>
      <w:bookmarkEnd w:id="35"/>
    </w:p>
    <w:p w14:paraId="6F4C34B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Times New Roman" w:hAnsi="Times New Roman" w:eastAsia="仿宋_GB2312" w:cs="仿宋_GB2312"/>
          <w:sz w:val="32"/>
          <w:szCs w:val="32"/>
          <w:lang w:bidi="ar"/>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年度财政拨款“三公”经费支出决算中，因公出国（境）费支出决算</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万元，占0</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；公务用车购置及运行维护费支出决算</w:t>
      </w:r>
      <w:r>
        <w:rPr>
          <w:rFonts w:ascii="Times New Roman" w:hAnsi="Times New Roman" w:eastAsia="仿宋_GB2312" w:cs="仿宋_GB2312"/>
          <w:sz w:val="32"/>
          <w:szCs w:val="32"/>
          <w:lang w:bidi="ar"/>
        </w:rPr>
        <w:t>9</w:t>
      </w:r>
      <w:r>
        <w:rPr>
          <w:rFonts w:hint="eastAsia" w:ascii="Times New Roman" w:hAnsi="Times New Roman" w:eastAsia="仿宋_GB2312" w:cs="仿宋_GB2312"/>
          <w:sz w:val="32"/>
          <w:szCs w:val="32"/>
          <w:lang w:bidi="ar"/>
        </w:rPr>
        <w:t>万元，占0</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w:t>
      </w:r>
      <w:bookmarkStart w:id="36" w:name="OLE_LINK12"/>
      <w:bookmarkStart w:id="37" w:name="OLE_LINK11"/>
      <w:r>
        <w:rPr>
          <w:rFonts w:hint="eastAsia" w:ascii="Times New Roman" w:hAnsi="Times New Roman" w:eastAsia="仿宋_GB2312" w:cs="仿宋_GB2312"/>
          <w:sz w:val="32"/>
          <w:szCs w:val="32"/>
          <w:lang w:bidi="ar"/>
        </w:rPr>
        <w:t>公务接待费支出决算</w:t>
      </w:r>
      <w:bookmarkEnd w:id="36"/>
      <w:bookmarkEnd w:id="37"/>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万元，占0</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。具体情况如下：</w:t>
      </w:r>
    </w:p>
    <w:p w14:paraId="36E5E161">
      <w:pPr>
        <w:spacing w:line="560" w:lineRule="exact"/>
        <w:ind w:firstLine="640"/>
        <w:rPr>
          <w:rFonts w:ascii="Times New Roman" w:hAnsi="Times New Roman" w:eastAsia="仿宋_GB2312" w:cs="仿宋_GB2312"/>
          <w:sz w:val="32"/>
          <w:szCs w:val="32"/>
          <w:lang w:bidi="ar"/>
        </w:rPr>
      </w:pPr>
      <w:r>
        <w:rPr>
          <w:rFonts w:hint="eastAsia" w:eastAsia="仿宋_GB2312" w:cs="仿宋_GB2312"/>
          <w:sz w:val="32"/>
          <w:szCs w:val="32"/>
        </w:rPr>
        <w:drawing>
          <wp:anchor distT="0" distB="0" distL="114300" distR="114300" simplePos="0" relativeHeight="251661312" behindDoc="0" locked="0" layoutInCell="1" allowOverlap="1">
            <wp:simplePos x="0" y="0"/>
            <wp:positionH relativeFrom="column">
              <wp:posOffset>390525</wp:posOffset>
            </wp:positionH>
            <wp:positionV relativeFrom="paragraph">
              <wp:posOffset>12700</wp:posOffset>
            </wp:positionV>
            <wp:extent cx="4829175" cy="2800350"/>
            <wp:effectExtent l="0" t="0" r="9525" b="0"/>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32A06FD9">
      <w:pPr>
        <w:spacing w:line="560" w:lineRule="exact"/>
        <w:ind w:firstLine="640"/>
        <w:rPr>
          <w:rFonts w:ascii="Times New Roman" w:hAnsi="Times New Roman" w:eastAsia="仿宋_GB2312" w:cs="仿宋_GB2312"/>
          <w:sz w:val="32"/>
          <w:szCs w:val="32"/>
          <w:lang w:bidi="ar"/>
        </w:rPr>
      </w:pPr>
    </w:p>
    <w:p w14:paraId="378E9B88">
      <w:pPr>
        <w:spacing w:line="560" w:lineRule="exact"/>
        <w:ind w:firstLine="640"/>
        <w:rPr>
          <w:rFonts w:ascii="Times New Roman" w:hAnsi="Times New Roman" w:eastAsia="仿宋_GB2312" w:cs="仿宋_GB2312"/>
          <w:sz w:val="32"/>
          <w:szCs w:val="32"/>
          <w:lang w:bidi="ar"/>
        </w:rPr>
      </w:pPr>
    </w:p>
    <w:p w14:paraId="6EDBE0E1">
      <w:pPr>
        <w:spacing w:line="560" w:lineRule="exact"/>
        <w:ind w:firstLine="640"/>
        <w:rPr>
          <w:rFonts w:ascii="Times New Roman" w:hAnsi="Times New Roman" w:eastAsia="仿宋_GB2312" w:cs="仿宋_GB2312"/>
          <w:sz w:val="32"/>
          <w:szCs w:val="32"/>
          <w:lang w:bidi="ar"/>
        </w:rPr>
      </w:pPr>
    </w:p>
    <w:p w14:paraId="668D6A5E">
      <w:pPr>
        <w:spacing w:line="560" w:lineRule="exact"/>
        <w:ind w:firstLine="640"/>
        <w:rPr>
          <w:rFonts w:ascii="Times New Roman" w:hAnsi="Times New Roman" w:eastAsia="仿宋_GB2312" w:cs="仿宋_GB2312"/>
          <w:sz w:val="32"/>
          <w:szCs w:val="32"/>
          <w:lang w:bidi="ar"/>
        </w:rPr>
      </w:pPr>
    </w:p>
    <w:p w14:paraId="7A68B2E9">
      <w:pPr>
        <w:spacing w:line="560" w:lineRule="exact"/>
        <w:ind w:firstLine="640"/>
        <w:rPr>
          <w:rFonts w:ascii="Times New Roman" w:hAnsi="Times New Roman" w:eastAsia="仿宋_GB2312" w:cs="仿宋_GB2312"/>
          <w:sz w:val="32"/>
          <w:szCs w:val="32"/>
          <w:lang w:bidi="ar"/>
        </w:rPr>
      </w:pPr>
    </w:p>
    <w:p w14:paraId="4A8821B0">
      <w:pPr>
        <w:spacing w:line="560" w:lineRule="exact"/>
        <w:ind w:firstLine="640"/>
        <w:rPr>
          <w:rFonts w:ascii="Times New Roman" w:hAnsi="Times New Roman" w:eastAsia="仿宋_GB2312" w:cs="仿宋_GB2312"/>
          <w:sz w:val="32"/>
          <w:szCs w:val="32"/>
          <w:lang w:bidi="ar"/>
        </w:rPr>
      </w:pPr>
    </w:p>
    <w:p w14:paraId="7235BE66">
      <w:pPr>
        <w:spacing w:line="560" w:lineRule="exact"/>
        <w:ind w:firstLine="640"/>
        <w:rPr>
          <w:rFonts w:ascii="Times New Roman" w:hAnsi="Times New Roman" w:eastAsia="仿宋_GB2312" w:cs="仿宋_GB2312"/>
          <w:sz w:val="32"/>
          <w:szCs w:val="32"/>
          <w:lang w:bidi="ar"/>
        </w:rPr>
      </w:pPr>
    </w:p>
    <w:p w14:paraId="7AE2F98A">
      <w:pPr>
        <w:spacing w:line="560" w:lineRule="exact"/>
        <w:ind w:firstLine="800" w:firstLineChars="250"/>
        <w:rPr>
          <w:rFonts w:eastAsia="仿宋_GB2312" w:cs="仿宋_GB2312"/>
          <w:sz w:val="32"/>
          <w:szCs w:val="32"/>
        </w:rPr>
      </w:pPr>
      <w:r>
        <w:rPr>
          <w:rFonts w:hint="eastAsia" w:ascii="Times New Roman" w:hAnsi="Times New Roman" w:eastAsia="仿宋_GB2312" w:cs="仿宋_GB2312"/>
          <w:sz w:val="32"/>
          <w:szCs w:val="32"/>
          <w:lang w:bidi="ar"/>
        </w:rPr>
        <w:t>（图</w:t>
      </w:r>
      <w:r>
        <w:rPr>
          <w:rFonts w:ascii="Times New Roman" w:hAnsi="Times New Roman" w:eastAsia="仿宋_GB2312" w:cs="仿宋_GB2312"/>
          <w:sz w:val="32"/>
          <w:szCs w:val="32"/>
          <w:lang w:bidi="ar"/>
        </w:rPr>
        <w:t>7</w:t>
      </w:r>
      <w:r>
        <w:rPr>
          <w:rFonts w:hint="eastAsia" w:ascii="Times New Roman" w:hAnsi="Times New Roman" w:eastAsia="仿宋_GB2312" w:cs="仿宋_GB2312"/>
          <w:sz w:val="32"/>
          <w:szCs w:val="32"/>
          <w:lang w:bidi="ar"/>
        </w:rPr>
        <w:t>：财政拨款“三公”经费支出结构）（饼状图）</w:t>
      </w:r>
    </w:p>
    <w:p w14:paraId="79631324">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ascii="Times New Roman" w:hAnsi="Times New Roman" w:eastAsia="仿宋_GB2312" w:cs="仿宋_GB2312"/>
          <w:b/>
          <w:bCs/>
          <w:sz w:val="32"/>
          <w:szCs w:val="32"/>
          <w:lang w:bidi="ar"/>
        </w:rPr>
      </w:pPr>
    </w:p>
    <w:p w14:paraId="760071E5">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ascii="Times New Roman" w:hAnsi="Times New Roman" w:eastAsia="仿宋_GB2312" w:cs="仿宋_GB2312"/>
          <w:b/>
          <w:bCs/>
          <w:sz w:val="32"/>
          <w:szCs w:val="32"/>
          <w:lang w:bidi="ar"/>
        </w:rPr>
        <w:t>1.</w:t>
      </w:r>
      <w:r>
        <w:rPr>
          <w:rFonts w:hint="eastAsia" w:ascii="Times New Roman" w:hAnsi="Times New Roman" w:eastAsia="仿宋_GB2312" w:cs="仿宋_GB2312"/>
          <w:b/>
          <w:bCs/>
          <w:sz w:val="32"/>
          <w:szCs w:val="32"/>
          <w:lang w:bidi="ar"/>
        </w:rPr>
        <w:t>因公出国（境）经费支出</w:t>
      </w:r>
      <w:r>
        <w:rPr>
          <w:rFonts w:ascii="Times New Roman" w:hAnsi="Times New Roman" w:eastAsia="仿宋_GB2312" w:cs="仿宋_GB2312"/>
          <w:b/>
          <w:bCs/>
          <w:sz w:val="32"/>
          <w:szCs w:val="32"/>
          <w:lang w:bidi="ar"/>
        </w:rPr>
        <w:t>0</w:t>
      </w:r>
      <w:r>
        <w:rPr>
          <w:rFonts w:hint="eastAsia" w:ascii="Times New Roman" w:hAnsi="Times New Roman" w:eastAsia="仿宋_GB2312" w:cs="仿宋_GB2312"/>
          <w:b/>
          <w:bCs/>
          <w:sz w:val="32"/>
          <w:szCs w:val="32"/>
          <w:lang w:bidi="ar"/>
        </w:rPr>
        <w:t>万元，完成预算</w:t>
      </w:r>
      <w:r>
        <w:rPr>
          <w:rFonts w:ascii="Times New Roman" w:hAnsi="Times New Roman" w:eastAsia="仿宋_GB2312" w:cs="仿宋_GB2312"/>
          <w:b/>
          <w:bCs/>
          <w:sz w:val="32"/>
          <w:szCs w:val="32"/>
          <w:lang w:bidi="ar"/>
        </w:rPr>
        <w:t>0%</w:t>
      </w:r>
      <w:r>
        <w:rPr>
          <w:rFonts w:hint="eastAsia" w:ascii="Times New Roman" w:hAnsi="Times New Roman" w:eastAsia="仿宋_GB2312" w:cs="仿宋_GB2312"/>
          <w:b/>
          <w:bCs/>
          <w:sz w:val="32"/>
          <w:szCs w:val="32"/>
          <w:lang w:bidi="ar"/>
        </w:rPr>
        <w:t>。</w:t>
      </w:r>
      <w:r>
        <w:rPr>
          <w:rFonts w:hint="eastAsia" w:ascii="Times New Roman" w:hAnsi="Times New Roman" w:eastAsia="仿宋_GB2312" w:cs="仿宋_GB2312"/>
          <w:sz w:val="32"/>
          <w:szCs w:val="32"/>
          <w:lang w:bidi="ar"/>
        </w:rPr>
        <w:t>全年安排因公出国（境）团组</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次，出国（境）</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人。因公出国（境）支出决算比上年度增加</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减少</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万元，增长</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下降</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w:t>
      </w:r>
    </w:p>
    <w:p w14:paraId="031AF265">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ascii="Times New Roman" w:hAnsi="Times New Roman" w:eastAsia="仿宋_GB2312" w:cs="仿宋_GB2312"/>
          <w:b/>
          <w:bCs/>
          <w:sz w:val="32"/>
          <w:szCs w:val="32"/>
          <w:lang w:bidi="ar"/>
        </w:rPr>
        <w:t>2.</w:t>
      </w:r>
      <w:r>
        <w:rPr>
          <w:rFonts w:hint="eastAsia" w:ascii="Times New Roman" w:hAnsi="Times New Roman" w:eastAsia="仿宋_GB2312" w:cs="仿宋_GB2312"/>
          <w:b/>
          <w:bCs/>
          <w:sz w:val="32"/>
          <w:szCs w:val="32"/>
          <w:lang w:bidi="ar"/>
        </w:rPr>
        <w:t>公务用车购置及运行维护费支出</w:t>
      </w:r>
      <w:r>
        <w:rPr>
          <w:rFonts w:ascii="Times New Roman" w:hAnsi="Times New Roman" w:eastAsia="仿宋_GB2312" w:cs="仿宋_GB2312"/>
          <w:b/>
          <w:bCs/>
          <w:sz w:val="32"/>
          <w:szCs w:val="32"/>
          <w:lang w:bidi="ar"/>
        </w:rPr>
        <w:t>9</w:t>
      </w:r>
      <w:r>
        <w:rPr>
          <w:rFonts w:hint="eastAsia" w:ascii="Times New Roman" w:hAnsi="Times New Roman" w:eastAsia="仿宋_GB2312" w:cs="仿宋_GB2312"/>
          <w:b/>
          <w:bCs/>
          <w:sz w:val="32"/>
          <w:szCs w:val="32"/>
          <w:lang w:bidi="ar"/>
        </w:rPr>
        <w:t>万元，完成预算</w:t>
      </w:r>
      <w:r>
        <w:rPr>
          <w:rFonts w:ascii="Times New Roman" w:hAnsi="Times New Roman" w:eastAsia="仿宋_GB2312" w:cs="仿宋_GB2312"/>
          <w:b/>
          <w:bCs/>
          <w:sz w:val="32"/>
          <w:szCs w:val="32"/>
          <w:lang w:bidi="ar"/>
        </w:rPr>
        <w:t>100%</w:t>
      </w:r>
      <w:r>
        <w:rPr>
          <w:rFonts w:hint="eastAsia" w:ascii="Times New Roman" w:hAnsi="Times New Roman" w:eastAsia="仿宋_GB2312" w:cs="仿宋_GB2312"/>
          <w:b/>
          <w:bCs/>
          <w:sz w:val="32"/>
          <w:szCs w:val="32"/>
          <w:lang w:bidi="ar"/>
        </w:rPr>
        <w:t>。</w:t>
      </w:r>
      <w:r>
        <w:rPr>
          <w:rFonts w:hint="eastAsia" w:ascii="Times New Roman" w:hAnsi="Times New Roman" w:eastAsia="仿宋_GB2312" w:cs="仿宋_GB2312"/>
          <w:sz w:val="32"/>
          <w:szCs w:val="32"/>
          <w:lang w:bidi="ar"/>
        </w:rPr>
        <w:t>公务用车购置及运行维护费支出决算比上年度增加</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减少</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万元，增长</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下降</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w:t>
      </w:r>
    </w:p>
    <w:p w14:paraId="3A0D5397">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ascii="Times New Roman" w:hAnsi="Times New Roman" w:eastAsia="仿宋_GB2312" w:cs="仿宋_GB2312"/>
          <w:sz w:val="32"/>
          <w:szCs w:val="32"/>
          <w:lang w:bidi="ar"/>
        </w:rPr>
      </w:pPr>
      <w:r>
        <w:rPr>
          <w:rFonts w:hint="eastAsia" w:ascii="Times New Roman" w:hAnsi="Times New Roman" w:eastAsia="仿宋_GB2312" w:cs="仿宋_GB2312"/>
          <w:sz w:val="32"/>
          <w:szCs w:val="32"/>
          <w:lang w:bidi="ar"/>
        </w:rPr>
        <w:t>其中：公务用车购置支出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万元。全年按规定更新购置公务用车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辆，其中：轿车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辆、金额</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万元，越野车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辆、金额</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万元，载客汽车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辆、金额</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万元。截至</w:t>
      </w: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w:t>
      </w:r>
      <w:r>
        <w:rPr>
          <w:rFonts w:ascii="Times New Roman" w:hAnsi="Times New Roman" w:eastAsia="仿宋_GB2312" w:cs="仿宋_GB2312"/>
          <w:sz w:val="32"/>
          <w:szCs w:val="32"/>
          <w:lang w:bidi="ar"/>
        </w:rPr>
        <w:t>12</w:t>
      </w:r>
      <w:r>
        <w:rPr>
          <w:rFonts w:hint="eastAsia" w:ascii="Times New Roman" w:hAnsi="Times New Roman" w:eastAsia="仿宋_GB2312" w:cs="仿宋_GB2312"/>
          <w:sz w:val="32"/>
          <w:szCs w:val="32"/>
          <w:lang w:bidi="ar"/>
        </w:rPr>
        <w:t>月</w:t>
      </w:r>
      <w:r>
        <w:rPr>
          <w:rFonts w:ascii="Times New Roman" w:hAnsi="Times New Roman" w:eastAsia="仿宋_GB2312" w:cs="仿宋_GB2312"/>
          <w:sz w:val="32"/>
          <w:szCs w:val="32"/>
          <w:lang w:bidi="ar"/>
        </w:rPr>
        <w:t>31</w:t>
      </w:r>
      <w:r>
        <w:rPr>
          <w:rFonts w:hint="eastAsia" w:ascii="Times New Roman" w:hAnsi="Times New Roman" w:eastAsia="仿宋_GB2312" w:cs="仿宋_GB2312"/>
          <w:sz w:val="32"/>
          <w:szCs w:val="32"/>
          <w:lang w:bidi="ar"/>
        </w:rPr>
        <w:t>日，单位共有公务用车</w:t>
      </w:r>
      <w:r>
        <w:rPr>
          <w:rFonts w:ascii="Times New Roman" w:hAnsi="Times New Roman" w:eastAsia="仿宋_GB2312" w:cs="仿宋_GB2312"/>
          <w:sz w:val="32"/>
          <w:szCs w:val="32"/>
          <w:lang w:bidi="ar"/>
        </w:rPr>
        <w:t>11</w:t>
      </w:r>
      <w:r>
        <w:rPr>
          <w:rFonts w:hint="eastAsia" w:ascii="Times New Roman" w:hAnsi="Times New Roman" w:eastAsia="仿宋_GB2312" w:cs="仿宋_GB2312"/>
          <w:sz w:val="32"/>
          <w:szCs w:val="32"/>
          <w:lang w:bidi="ar"/>
        </w:rPr>
        <w:t>辆，其中：轿车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辆、越野车</w:t>
      </w:r>
      <w:r>
        <w:rPr>
          <w:rFonts w:ascii="Times New Roman" w:hAnsi="Times New Roman" w:eastAsia="仿宋_GB2312" w:cs="仿宋_GB2312"/>
          <w:sz w:val="32"/>
          <w:szCs w:val="32"/>
          <w:lang w:bidi="ar"/>
        </w:rPr>
        <w:t>7</w:t>
      </w:r>
      <w:r>
        <w:rPr>
          <w:rFonts w:hint="eastAsia" w:ascii="Times New Roman" w:hAnsi="Times New Roman" w:eastAsia="仿宋_GB2312" w:cs="仿宋_GB2312"/>
          <w:sz w:val="32"/>
          <w:szCs w:val="32"/>
          <w:lang w:bidi="ar"/>
        </w:rPr>
        <w:t>辆、载客汽车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辆、皮卡车2辆、垃圾车2辆。</w:t>
      </w:r>
    </w:p>
    <w:p w14:paraId="60DF40EE">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hint="eastAsia" w:ascii="Times New Roman" w:hAnsi="Times New Roman" w:eastAsia="仿宋_GB2312" w:cs="仿宋_GB2312"/>
          <w:sz w:val="32"/>
          <w:szCs w:val="32"/>
          <w:lang w:bidi="ar"/>
        </w:rPr>
        <w:t>公务用车运行维护费支出</w:t>
      </w:r>
      <w:r>
        <w:rPr>
          <w:rFonts w:ascii="Times New Roman" w:hAnsi="Times New Roman" w:eastAsia="仿宋_GB2312" w:cs="仿宋_GB2312"/>
          <w:sz w:val="32"/>
          <w:szCs w:val="32"/>
          <w:lang w:bidi="ar"/>
        </w:rPr>
        <w:t>9</w:t>
      </w:r>
      <w:r>
        <w:rPr>
          <w:rFonts w:hint="eastAsia" w:ascii="Times New Roman" w:hAnsi="Times New Roman" w:eastAsia="仿宋_GB2312" w:cs="仿宋_GB2312"/>
          <w:sz w:val="32"/>
          <w:szCs w:val="32"/>
          <w:lang w:bidi="ar"/>
        </w:rPr>
        <w:t>万元。主要用于所需的公务用车燃料费、维修费、过路过桥费、保险费等支出。</w:t>
      </w:r>
    </w:p>
    <w:p w14:paraId="26B79827">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ascii="Times New Roman" w:hAnsi="Times New Roman" w:eastAsia="仿宋_GB2312" w:cs="仿宋_GB2312"/>
          <w:b/>
          <w:bCs/>
          <w:sz w:val="32"/>
          <w:szCs w:val="32"/>
          <w:lang w:bidi="ar"/>
        </w:rPr>
        <w:t>3.</w:t>
      </w:r>
      <w:r>
        <w:rPr>
          <w:rFonts w:hint="eastAsia" w:ascii="Times New Roman" w:hAnsi="Times New Roman" w:eastAsia="仿宋_GB2312" w:cs="仿宋_GB2312"/>
          <w:b/>
          <w:bCs/>
          <w:sz w:val="32"/>
          <w:szCs w:val="32"/>
          <w:lang w:bidi="ar"/>
        </w:rPr>
        <w:t>公务接待费支出</w:t>
      </w:r>
      <w:r>
        <w:rPr>
          <w:rFonts w:ascii="Times New Roman" w:hAnsi="Times New Roman" w:eastAsia="仿宋_GB2312" w:cs="仿宋_GB2312"/>
          <w:b/>
          <w:bCs/>
          <w:sz w:val="32"/>
          <w:szCs w:val="32"/>
          <w:lang w:bidi="ar"/>
        </w:rPr>
        <w:t>0</w:t>
      </w:r>
      <w:r>
        <w:rPr>
          <w:rFonts w:hint="eastAsia" w:ascii="Times New Roman" w:hAnsi="Times New Roman" w:eastAsia="仿宋_GB2312" w:cs="仿宋_GB2312"/>
          <w:b/>
          <w:bCs/>
          <w:sz w:val="32"/>
          <w:szCs w:val="32"/>
          <w:lang w:bidi="ar"/>
        </w:rPr>
        <w:t>万元，完成预算</w:t>
      </w:r>
      <w:r>
        <w:rPr>
          <w:rFonts w:ascii="Times New Roman" w:hAnsi="Times New Roman" w:eastAsia="仿宋_GB2312" w:cs="仿宋_GB2312"/>
          <w:b/>
          <w:bCs/>
          <w:sz w:val="32"/>
          <w:szCs w:val="32"/>
          <w:lang w:bidi="ar"/>
        </w:rPr>
        <w:t>0%</w:t>
      </w:r>
      <w:r>
        <w:rPr>
          <w:rFonts w:hint="eastAsia" w:ascii="Times New Roman" w:hAnsi="Times New Roman" w:eastAsia="仿宋_GB2312" w:cs="仿宋_GB2312"/>
          <w:b/>
          <w:bCs/>
          <w:sz w:val="32"/>
          <w:szCs w:val="32"/>
          <w:lang w:bidi="ar"/>
        </w:rPr>
        <w:t>。</w:t>
      </w:r>
      <w:r>
        <w:rPr>
          <w:rFonts w:hint="eastAsia" w:ascii="Times New Roman" w:hAnsi="Times New Roman" w:eastAsia="仿宋_GB2312" w:cs="仿宋_GB2312"/>
          <w:sz w:val="32"/>
          <w:szCs w:val="32"/>
          <w:lang w:bidi="ar"/>
        </w:rPr>
        <w:t>公务接待费支出决算比上年度增加</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减少</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万元，增长</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下降</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。其中：</w:t>
      </w:r>
    </w:p>
    <w:p w14:paraId="520E9A9C">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hint="eastAsia" w:ascii="Times New Roman" w:hAnsi="Times New Roman" w:eastAsia="仿宋_GB2312" w:cs="仿宋_GB2312"/>
          <w:sz w:val="32"/>
          <w:szCs w:val="32"/>
          <w:lang w:bidi="ar"/>
        </w:rPr>
        <w:t>国内公务接待支出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万元，国内公务接待</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批次，</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人次（不包括陪同人员），共计支出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w:t>
      </w:r>
    </w:p>
    <w:p w14:paraId="5DC9EB43">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hint="eastAsia" w:ascii="Times New Roman" w:hAnsi="Times New Roman" w:eastAsia="仿宋_GB2312" w:cs="仿宋_GB2312"/>
          <w:sz w:val="32"/>
          <w:szCs w:val="32"/>
          <w:lang w:bidi="ar"/>
        </w:rPr>
        <w:t>外事接待支出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万元，外事接待</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批次，</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人次（不包括陪同人员），共计支出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w:t>
      </w:r>
    </w:p>
    <w:p w14:paraId="55CF2FCF">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bookmarkStart w:id="38" w:name="_Toc15396610"/>
      <w:bookmarkStart w:id="39" w:name="_Toc15377218"/>
    </w:p>
    <w:p w14:paraId="5774E657">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outlineLvl w:val="1"/>
        <w:rPr>
          <w:rFonts w:eastAsia="黑体"/>
          <w:sz w:val="32"/>
          <w:szCs w:val="32"/>
        </w:rPr>
      </w:pPr>
      <w:r>
        <w:rPr>
          <w:rFonts w:hint="eastAsia" w:ascii="Times New Roman" w:hAnsi="Times New Roman" w:eastAsia="黑体" w:cs="黑体"/>
          <w:sz w:val="32"/>
          <w:szCs w:val="32"/>
          <w:lang w:bidi="ar"/>
        </w:rPr>
        <w:t>八、</w:t>
      </w:r>
      <w:r>
        <w:rPr>
          <w:rStyle w:val="23"/>
          <w:rFonts w:hint="eastAsia" w:eastAsia="黑体" w:cs="黑体"/>
          <w:lang w:bidi="ar"/>
        </w:rPr>
        <w:t>政府性基金预算支出决算情况说明</w:t>
      </w:r>
      <w:bookmarkEnd w:id="38"/>
      <w:bookmarkEnd w:id="39"/>
    </w:p>
    <w:p w14:paraId="719C756B">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b/>
          <w:bCs/>
          <w:sz w:val="32"/>
          <w:szCs w:val="32"/>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年度政府性基金预算财政拨款支出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万元，占本年支出合计的</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。与上年度相比，政府性基金预算财政拨款支出增加</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减少</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万元，增长</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下降</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w:t>
      </w:r>
    </w:p>
    <w:p w14:paraId="36409868">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p>
    <w:p w14:paraId="58ED1692">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outlineLvl w:val="1"/>
        <w:rPr>
          <w:rFonts w:eastAsia="黑体"/>
          <w:bCs/>
          <w:sz w:val="32"/>
          <w:szCs w:val="32"/>
        </w:rPr>
      </w:pPr>
      <w:bookmarkStart w:id="40" w:name="_Toc15396611"/>
      <w:bookmarkStart w:id="41" w:name="_Toc15377219"/>
      <w:r>
        <w:rPr>
          <w:rStyle w:val="23"/>
          <w:rFonts w:hint="eastAsia" w:eastAsia="黑体" w:cs="黑体"/>
          <w:lang w:bidi="ar"/>
        </w:rPr>
        <w:t>九、国有资本经营预算支出决算情况说明</w:t>
      </w:r>
      <w:bookmarkEnd w:id="40"/>
      <w:bookmarkEnd w:id="41"/>
    </w:p>
    <w:p w14:paraId="2C19CC7F">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年度国有资本经营预算财政拨款支出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万元，占本年支出合计的</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。与上年度相比，国有资本经营预算财政拨款支出增加</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减少</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万元，增长</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下降</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w:t>
      </w:r>
    </w:p>
    <w:p w14:paraId="2A41590A">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p>
    <w:p w14:paraId="055ED42D">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outlineLvl w:val="1"/>
        <w:rPr>
          <w:rFonts w:eastAsia="黑体"/>
          <w:bCs/>
          <w:sz w:val="32"/>
          <w:szCs w:val="32"/>
        </w:rPr>
      </w:pPr>
      <w:bookmarkStart w:id="42" w:name="_Toc15396612"/>
      <w:bookmarkStart w:id="43" w:name="_Toc15377221"/>
      <w:r>
        <w:rPr>
          <w:rStyle w:val="23"/>
          <w:rFonts w:hint="eastAsia" w:eastAsia="黑体" w:cs="黑体"/>
          <w:lang w:bidi="ar"/>
        </w:rPr>
        <w:t>十、其他重要事项的情况说明</w:t>
      </w:r>
      <w:bookmarkEnd w:id="42"/>
      <w:bookmarkEnd w:id="43"/>
    </w:p>
    <w:p w14:paraId="4A01826D">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outlineLvl w:val="2"/>
        <w:rPr>
          <w:rFonts w:eastAsia="楷体_GB2312" w:cs="楷体_GB2312"/>
          <w:b/>
          <w:sz w:val="32"/>
          <w:szCs w:val="32"/>
        </w:rPr>
      </w:pPr>
      <w:bookmarkStart w:id="44" w:name="_Toc15377222"/>
      <w:r>
        <w:rPr>
          <w:rFonts w:hint="eastAsia" w:ascii="Times New Roman" w:hAnsi="Times New Roman" w:eastAsia="楷体_GB2312" w:cs="楷体_GB2312"/>
          <w:b/>
          <w:sz w:val="32"/>
          <w:szCs w:val="32"/>
          <w:lang w:bidi="ar"/>
        </w:rPr>
        <w:t>（一）机关运行经费支出情况</w:t>
      </w:r>
      <w:bookmarkEnd w:id="44"/>
    </w:p>
    <w:p w14:paraId="34D9A711">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w:t>
      </w:r>
      <w:r>
        <w:rPr>
          <w:rFonts w:hint="eastAsia" w:ascii="仿宋_GB2312" w:hAnsi="仿宋_GB2312" w:eastAsia="仿宋_GB2312" w:cs="仿宋_GB2312"/>
          <w:sz w:val="32"/>
          <w:szCs w:val="32"/>
          <w:lang w:bidi="ar"/>
        </w:rPr>
        <w:t>九寨沟县勿角镇人民政府（本级）</w:t>
      </w:r>
      <w:r>
        <w:rPr>
          <w:rFonts w:hint="eastAsia" w:ascii="Times New Roman" w:hAnsi="Times New Roman" w:eastAsia="仿宋_GB2312" w:cs="仿宋_GB2312"/>
          <w:sz w:val="32"/>
          <w:szCs w:val="32"/>
          <w:lang w:bidi="ar"/>
        </w:rPr>
        <w:t>机关运行经费支出</w:t>
      </w:r>
      <w:r>
        <w:rPr>
          <w:rFonts w:ascii="Times New Roman" w:hAnsi="Times New Roman" w:eastAsia="仿宋_GB2312" w:cs="仿宋_GB2312"/>
          <w:sz w:val="32"/>
          <w:szCs w:val="32"/>
          <w:lang w:bidi="ar"/>
        </w:rPr>
        <w:t>92.4</w:t>
      </w:r>
      <w:r>
        <w:rPr>
          <w:rFonts w:hint="eastAsia" w:ascii="Times New Roman" w:hAnsi="Times New Roman" w:eastAsia="仿宋_GB2312" w:cs="仿宋_GB2312"/>
          <w:sz w:val="32"/>
          <w:szCs w:val="32"/>
          <w:lang w:bidi="ar"/>
        </w:rPr>
        <w:t>万元，比上年度增加</w:t>
      </w:r>
      <w:r>
        <w:rPr>
          <w:rFonts w:ascii="Times New Roman" w:hAnsi="Times New Roman" w:eastAsia="仿宋_GB2312" w:cs="仿宋_GB2312"/>
          <w:sz w:val="32"/>
          <w:szCs w:val="32"/>
          <w:lang w:bidi="ar"/>
        </w:rPr>
        <w:t>10.93</w:t>
      </w:r>
      <w:r>
        <w:rPr>
          <w:rFonts w:hint="eastAsia" w:ascii="Times New Roman" w:hAnsi="Times New Roman" w:eastAsia="仿宋_GB2312" w:cs="仿宋_GB2312"/>
          <w:sz w:val="32"/>
          <w:szCs w:val="32"/>
          <w:lang w:bidi="ar"/>
        </w:rPr>
        <w:t>万元，增长1</w:t>
      </w:r>
      <w:r>
        <w:rPr>
          <w:rFonts w:ascii="Times New Roman" w:hAnsi="Times New Roman" w:eastAsia="仿宋_GB2312" w:cs="仿宋_GB2312"/>
          <w:sz w:val="32"/>
          <w:szCs w:val="32"/>
          <w:lang w:bidi="ar"/>
        </w:rPr>
        <w:t>3.42%</w:t>
      </w:r>
      <w:r>
        <w:rPr>
          <w:rFonts w:hint="eastAsia" w:ascii="Times New Roman" w:hAnsi="Times New Roman" w:eastAsia="仿宋_GB2312" w:cs="仿宋_GB2312"/>
          <w:sz w:val="32"/>
          <w:szCs w:val="32"/>
          <w:lang w:bidi="ar"/>
        </w:rPr>
        <w:t>。主要原因是水电、其他交通费用及其他商品和服务支出等费用增加。</w:t>
      </w:r>
    </w:p>
    <w:p w14:paraId="151CB165">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p>
    <w:p w14:paraId="73AD9CD8">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outlineLvl w:val="2"/>
        <w:rPr>
          <w:rFonts w:eastAsia="楷体_GB2312" w:cs="楷体_GB2312"/>
          <w:b/>
          <w:sz w:val="32"/>
          <w:szCs w:val="32"/>
        </w:rPr>
      </w:pPr>
      <w:bookmarkStart w:id="45" w:name="_Toc15377223"/>
      <w:r>
        <w:rPr>
          <w:rFonts w:hint="eastAsia" w:ascii="Times New Roman" w:hAnsi="Times New Roman" w:eastAsia="楷体_GB2312" w:cs="楷体_GB2312"/>
          <w:b/>
          <w:sz w:val="32"/>
          <w:szCs w:val="32"/>
          <w:lang w:bidi="ar"/>
        </w:rPr>
        <w:t>（二）政府采购支出情况</w:t>
      </w:r>
      <w:bookmarkEnd w:id="45"/>
    </w:p>
    <w:p w14:paraId="315947F8">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w:t>
      </w:r>
      <w:r>
        <w:rPr>
          <w:rFonts w:hint="eastAsia" w:ascii="仿宋_GB2312" w:hAnsi="仿宋_GB2312" w:eastAsia="仿宋_GB2312" w:cs="仿宋_GB2312"/>
          <w:sz w:val="32"/>
          <w:szCs w:val="32"/>
          <w:lang w:bidi="ar"/>
        </w:rPr>
        <w:t>九寨沟县勿角镇人民政府（本级）</w:t>
      </w:r>
      <w:r>
        <w:rPr>
          <w:rFonts w:hint="eastAsia" w:ascii="Times New Roman" w:hAnsi="Times New Roman" w:eastAsia="仿宋_GB2312" w:cs="仿宋_GB2312"/>
          <w:sz w:val="32"/>
          <w:szCs w:val="32"/>
          <w:lang w:bidi="ar"/>
        </w:rPr>
        <w:t>政府采购支出总额</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万元，其中：政府采购货物支出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万元、政府采购工程支出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万元、政府采购服务支出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万元。授予中小企业合同金额</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万元，占政府采购支出总额的</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，其中：授予小微企业合同金额</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万元，占政府采购支出总额的</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w:t>
      </w:r>
    </w:p>
    <w:p w14:paraId="65690E14">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p>
    <w:p w14:paraId="6B617556">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outlineLvl w:val="2"/>
        <w:rPr>
          <w:rFonts w:eastAsia="楷体_GB2312" w:cs="楷体_GB2312"/>
          <w:b/>
          <w:sz w:val="32"/>
          <w:szCs w:val="32"/>
        </w:rPr>
      </w:pPr>
      <w:bookmarkStart w:id="46" w:name="_Toc15377224"/>
      <w:r>
        <w:rPr>
          <w:rFonts w:hint="eastAsia" w:ascii="Times New Roman" w:hAnsi="Times New Roman" w:eastAsia="楷体_GB2312" w:cs="楷体_GB2312"/>
          <w:b/>
          <w:sz w:val="32"/>
          <w:szCs w:val="32"/>
          <w:lang w:bidi="ar"/>
        </w:rPr>
        <w:t>（三）国有资产占有使用情况</w:t>
      </w:r>
      <w:bookmarkEnd w:id="46"/>
    </w:p>
    <w:p w14:paraId="7003EFFD">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hint="eastAsia" w:ascii="Times New Roman" w:hAnsi="Times New Roman" w:eastAsia="仿宋_GB2312" w:cs="仿宋_GB2312"/>
          <w:sz w:val="32"/>
          <w:szCs w:val="32"/>
          <w:lang w:bidi="ar"/>
        </w:rPr>
        <w:t>截至</w:t>
      </w: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w:t>
      </w:r>
      <w:r>
        <w:rPr>
          <w:rFonts w:ascii="Times New Roman" w:hAnsi="Times New Roman" w:eastAsia="仿宋_GB2312" w:cs="仿宋_GB2312"/>
          <w:sz w:val="32"/>
          <w:szCs w:val="32"/>
          <w:lang w:bidi="ar"/>
        </w:rPr>
        <w:t>12</w:t>
      </w:r>
      <w:r>
        <w:rPr>
          <w:rFonts w:hint="eastAsia" w:ascii="Times New Roman" w:hAnsi="Times New Roman" w:eastAsia="仿宋_GB2312" w:cs="仿宋_GB2312"/>
          <w:sz w:val="32"/>
          <w:szCs w:val="32"/>
          <w:lang w:bidi="ar"/>
        </w:rPr>
        <w:t>月</w:t>
      </w:r>
      <w:r>
        <w:rPr>
          <w:rFonts w:ascii="Times New Roman" w:hAnsi="Times New Roman" w:eastAsia="仿宋_GB2312" w:cs="仿宋_GB2312"/>
          <w:sz w:val="32"/>
          <w:szCs w:val="32"/>
          <w:lang w:bidi="ar"/>
        </w:rPr>
        <w:t>31</w:t>
      </w:r>
      <w:r>
        <w:rPr>
          <w:rFonts w:hint="eastAsia" w:ascii="Times New Roman" w:hAnsi="Times New Roman" w:eastAsia="仿宋_GB2312" w:cs="仿宋_GB2312"/>
          <w:sz w:val="32"/>
          <w:szCs w:val="32"/>
          <w:lang w:bidi="ar"/>
        </w:rPr>
        <w:t>日，</w:t>
      </w:r>
      <w:r>
        <w:rPr>
          <w:rFonts w:hint="eastAsia" w:ascii="仿宋_GB2312" w:hAnsi="仿宋_GB2312" w:eastAsia="仿宋_GB2312" w:cs="仿宋_GB2312"/>
          <w:sz w:val="32"/>
          <w:szCs w:val="32"/>
          <w:lang w:bidi="ar"/>
        </w:rPr>
        <w:t>九寨沟县勿角镇人民政府（本级）</w:t>
      </w:r>
      <w:r>
        <w:rPr>
          <w:rFonts w:hint="eastAsia" w:ascii="Times New Roman" w:hAnsi="Times New Roman" w:eastAsia="仿宋_GB2312" w:cs="仿宋_GB2312"/>
          <w:sz w:val="32"/>
          <w:szCs w:val="32"/>
          <w:lang w:bidi="ar"/>
        </w:rPr>
        <w:t>共有车辆1</w:t>
      </w:r>
      <w:r>
        <w:rPr>
          <w:rFonts w:ascii="Times New Roman" w:hAnsi="Times New Roman" w:eastAsia="仿宋_GB2312" w:cs="仿宋_GB2312"/>
          <w:sz w:val="32"/>
          <w:szCs w:val="32"/>
          <w:lang w:bidi="ar"/>
        </w:rPr>
        <w:t>1</w:t>
      </w:r>
      <w:r>
        <w:rPr>
          <w:rFonts w:hint="eastAsia" w:ascii="Times New Roman" w:hAnsi="Times New Roman" w:eastAsia="仿宋_GB2312" w:cs="仿宋_GB2312"/>
          <w:sz w:val="32"/>
          <w:szCs w:val="32"/>
          <w:lang w:bidi="ar"/>
        </w:rPr>
        <w:t>辆，其中：副部（省）级及以上领导用车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辆、主要负责人用车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辆、机要通信用车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辆、应急保障用车</w:t>
      </w:r>
      <w:r>
        <w:rPr>
          <w:rFonts w:ascii="Times New Roman" w:hAnsi="Times New Roman" w:eastAsia="仿宋_GB2312" w:cs="仿宋_GB2312"/>
          <w:sz w:val="32"/>
          <w:szCs w:val="32"/>
          <w:lang w:bidi="ar"/>
        </w:rPr>
        <w:t>3</w:t>
      </w:r>
      <w:r>
        <w:rPr>
          <w:rFonts w:hint="eastAsia" w:ascii="Times New Roman" w:hAnsi="Times New Roman" w:eastAsia="仿宋_GB2312" w:cs="仿宋_GB2312"/>
          <w:sz w:val="32"/>
          <w:szCs w:val="32"/>
          <w:lang w:bidi="ar"/>
        </w:rPr>
        <w:t>辆、执法执勤用车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辆、特种专业技术用车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辆、离退休干部服务用车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辆、其他用车</w:t>
      </w:r>
      <w:r>
        <w:rPr>
          <w:rFonts w:ascii="Times New Roman" w:hAnsi="Times New Roman" w:eastAsia="仿宋_GB2312" w:cs="仿宋_GB2312"/>
          <w:sz w:val="32"/>
          <w:szCs w:val="32"/>
          <w:lang w:bidi="ar"/>
        </w:rPr>
        <w:t>8</w:t>
      </w:r>
      <w:r>
        <w:rPr>
          <w:rFonts w:hint="eastAsia" w:ascii="Times New Roman" w:hAnsi="Times New Roman" w:eastAsia="仿宋_GB2312" w:cs="仿宋_GB2312"/>
          <w:sz w:val="32"/>
          <w:szCs w:val="32"/>
          <w:lang w:bidi="ar"/>
        </w:rPr>
        <w:t>辆，其他用车主要是用于</w:t>
      </w:r>
      <w:r>
        <w:rPr>
          <w:rFonts w:hint="eastAsia" w:ascii="仿宋_GB2312" w:hAnsi="仿宋_GB2312" w:eastAsia="仿宋_GB2312" w:cs="仿宋_GB2312"/>
          <w:sz w:val="32"/>
          <w:szCs w:val="32"/>
          <w:lang w:bidi="ar"/>
        </w:rPr>
        <w:t>垃圾清运、宣传</w:t>
      </w:r>
      <w:r>
        <w:rPr>
          <w:rFonts w:hint="eastAsia" w:ascii="Times New Roman" w:hAnsi="Times New Roman" w:eastAsia="仿宋_GB2312" w:cs="仿宋_GB2312"/>
          <w:sz w:val="32"/>
          <w:szCs w:val="32"/>
          <w:lang w:bidi="ar"/>
        </w:rPr>
        <w:t>。</w:t>
      </w:r>
    </w:p>
    <w:p w14:paraId="132A8B57">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p>
    <w:p w14:paraId="362D52A4">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outlineLvl w:val="2"/>
        <w:rPr>
          <w:rFonts w:eastAsia="楷体_GB2312" w:cs="楷体_GB2312"/>
          <w:b/>
          <w:sz w:val="32"/>
          <w:szCs w:val="32"/>
        </w:rPr>
      </w:pPr>
      <w:r>
        <w:rPr>
          <w:rFonts w:hint="eastAsia" w:ascii="Times New Roman" w:hAnsi="Times New Roman" w:eastAsia="楷体_GB2312" w:cs="楷体_GB2312"/>
          <w:b/>
          <w:sz w:val="32"/>
          <w:szCs w:val="32"/>
          <w:lang w:bidi="ar"/>
        </w:rPr>
        <w:t>（四）预算绩效管理情况</w:t>
      </w:r>
    </w:p>
    <w:p w14:paraId="1C7C0876">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bookmarkStart w:id="47" w:name="OLE_LINK13"/>
      <w:r>
        <w:rPr>
          <w:rFonts w:hint="eastAsia" w:ascii="Times New Roman" w:hAnsi="Times New Roman" w:eastAsia="仿宋_GB2312" w:cs="仿宋_GB2312"/>
          <w:sz w:val="32"/>
          <w:szCs w:val="32"/>
          <w:lang w:bidi="ar"/>
        </w:rPr>
        <w:t>根据预算绩效管理要求，本部门在</w:t>
      </w: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年度，组织对勿角镇马香村高原冷水鱼养殖建设项目等4</w:t>
      </w:r>
      <w:r>
        <w:rPr>
          <w:rFonts w:ascii="Times New Roman" w:hAnsi="Times New Roman" w:eastAsia="仿宋_GB2312" w:cs="仿宋_GB2312"/>
          <w:sz w:val="32"/>
          <w:szCs w:val="32"/>
          <w:lang w:bidi="ar"/>
        </w:rPr>
        <w:t>9</w:t>
      </w:r>
      <w:r>
        <w:rPr>
          <w:rFonts w:hint="eastAsia" w:ascii="Times New Roman" w:hAnsi="Times New Roman" w:eastAsia="仿宋_GB2312" w:cs="仿宋_GB2312"/>
          <w:sz w:val="32"/>
          <w:szCs w:val="32"/>
          <w:lang w:bidi="ar"/>
        </w:rPr>
        <w:t>个项目涉及金额</w:t>
      </w:r>
      <w:r>
        <w:rPr>
          <w:rFonts w:ascii="Times New Roman" w:hAnsi="Times New Roman" w:eastAsia="仿宋_GB2312" w:cs="仿宋_GB2312"/>
          <w:sz w:val="32"/>
          <w:szCs w:val="32"/>
          <w:lang w:bidi="ar"/>
        </w:rPr>
        <w:t>1995.37</w:t>
      </w:r>
      <w:r>
        <w:rPr>
          <w:rFonts w:hint="eastAsia" w:ascii="Times New Roman" w:hAnsi="Times New Roman" w:eastAsia="仿宋_GB2312" w:cs="仿宋_GB2312"/>
          <w:sz w:val="32"/>
          <w:szCs w:val="32"/>
          <w:lang w:bidi="ar"/>
        </w:rPr>
        <w:t>万元开展了事前绩效评估，对</w:t>
      </w:r>
      <w:r>
        <w:rPr>
          <w:rFonts w:ascii="Times New Roman" w:hAnsi="Times New Roman" w:eastAsia="仿宋_GB2312" w:cs="仿宋_GB2312"/>
          <w:sz w:val="32"/>
          <w:szCs w:val="32"/>
          <w:lang w:bidi="ar"/>
        </w:rPr>
        <w:t>49</w:t>
      </w:r>
      <w:r>
        <w:rPr>
          <w:rFonts w:hint="eastAsia" w:ascii="Times New Roman" w:hAnsi="Times New Roman" w:eastAsia="仿宋_GB2312" w:cs="仿宋_GB2312"/>
          <w:sz w:val="32"/>
          <w:szCs w:val="32"/>
          <w:lang w:bidi="ar"/>
        </w:rPr>
        <w:t>个项目编制了绩效目标，预算执行过程中，选取</w:t>
      </w:r>
      <w:r>
        <w:rPr>
          <w:rFonts w:ascii="Times New Roman" w:hAnsi="Times New Roman" w:eastAsia="仿宋_GB2312" w:cs="仿宋_GB2312"/>
          <w:sz w:val="32"/>
          <w:szCs w:val="32"/>
          <w:lang w:bidi="ar"/>
        </w:rPr>
        <w:t>14</w:t>
      </w:r>
      <w:r>
        <w:rPr>
          <w:rFonts w:hint="eastAsia" w:ascii="Times New Roman" w:hAnsi="Times New Roman" w:eastAsia="仿宋_GB2312" w:cs="仿宋_GB2312"/>
          <w:sz w:val="32"/>
          <w:szCs w:val="32"/>
          <w:lang w:bidi="ar"/>
        </w:rPr>
        <w:t>个项目开展绩效监控。</w:t>
      </w:r>
    </w:p>
    <w:p w14:paraId="6000E787">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ascii="Times New Roman" w:hAnsi="Times New Roman" w:eastAsia="仿宋_GB2312" w:cs="仿宋_GB2312"/>
          <w:sz w:val="32"/>
          <w:szCs w:val="32"/>
          <w:lang w:bidi="ar"/>
        </w:rPr>
      </w:pPr>
      <w:r>
        <w:rPr>
          <w:rFonts w:hint="eastAsia" w:ascii="Times New Roman" w:hAnsi="Times New Roman" w:eastAsia="仿宋_GB2312" w:cs="仿宋_GB2312"/>
          <w:sz w:val="32"/>
          <w:szCs w:val="32"/>
          <w:lang w:bidi="ar"/>
        </w:rPr>
        <w:t>组织对</w:t>
      </w: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年度一般公共预算、政府性基金预算、国有资本经营预算、社会保险基金预算以及资本资产、债券资金等全面开展绩效自评，形成勿角镇部门整体（含部门预算项目）绩效自评报告，绩效自评得分为</w:t>
      </w:r>
      <w:r>
        <w:rPr>
          <w:rFonts w:ascii="Times New Roman" w:hAnsi="Times New Roman" w:eastAsia="仿宋_GB2312" w:cs="仿宋_GB2312"/>
          <w:sz w:val="32"/>
          <w:szCs w:val="32"/>
          <w:lang w:bidi="ar"/>
        </w:rPr>
        <w:t>94</w:t>
      </w:r>
      <w:r>
        <w:rPr>
          <w:rFonts w:hint="eastAsia" w:ascii="Times New Roman" w:hAnsi="Times New Roman" w:eastAsia="仿宋_GB2312" w:cs="仿宋_GB2312"/>
          <w:sz w:val="32"/>
          <w:szCs w:val="32"/>
          <w:lang w:bidi="ar"/>
        </w:rPr>
        <w:t>分，绩效自评报告详见附件。（注：如不涉及，可根据实际修改表述。）</w:t>
      </w:r>
    </w:p>
    <w:bookmarkEnd w:id="47"/>
    <w:p w14:paraId="327F97F5">
      <w:pPr>
        <w:spacing w:line="560" w:lineRule="exact"/>
        <w:ind w:firstLine="640"/>
        <w:rPr>
          <w:rFonts w:eastAsia="仿宋_GB2312" w:cs="仿宋_GB2312"/>
          <w:sz w:val="32"/>
          <w:szCs w:val="32"/>
        </w:rPr>
      </w:pPr>
    </w:p>
    <w:p w14:paraId="2D768AC5">
      <w:pPr>
        <w:spacing w:line="560" w:lineRule="exact"/>
        <w:ind w:firstLine="640"/>
        <w:rPr>
          <w:rFonts w:eastAsia="仿宋_GB2312" w:cs="仿宋_GB2312"/>
          <w:sz w:val="32"/>
          <w:szCs w:val="32"/>
        </w:rPr>
      </w:pPr>
    </w:p>
    <w:p w14:paraId="1842134E">
      <w:pPr>
        <w:spacing w:line="560" w:lineRule="exact"/>
        <w:ind w:firstLine="640"/>
        <w:rPr>
          <w:rFonts w:eastAsia="仿宋_GB2312" w:cs="仿宋_GB2312"/>
          <w:sz w:val="32"/>
          <w:szCs w:val="32"/>
        </w:rPr>
      </w:pPr>
    </w:p>
    <w:p w14:paraId="5FDC2B41">
      <w:pPr>
        <w:spacing w:line="560" w:lineRule="exact"/>
        <w:ind w:firstLine="640"/>
        <w:rPr>
          <w:rFonts w:eastAsia="仿宋_GB2312" w:cs="仿宋_GB2312"/>
          <w:sz w:val="32"/>
          <w:szCs w:val="32"/>
        </w:rPr>
      </w:pPr>
    </w:p>
    <w:p w14:paraId="2EB8D197">
      <w:pPr>
        <w:spacing w:line="560" w:lineRule="exact"/>
        <w:ind w:firstLine="640"/>
        <w:rPr>
          <w:rFonts w:eastAsia="仿宋_GB2312" w:cs="仿宋_GB2312"/>
          <w:sz w:val="32"/>
          <w:szCs w:val="32"/>
        </w:rPr>
      </w:pPr>
    </w:p>
    <w:p w14:paraId="2F8BFEBB">
      <w:pPr>
        <w:spacing w:line="560" w:lineRule="exact"/>
        <w:ind w:firstLine="640"/>
        <w:rPr>
          <w:rFonts w:eastAsia="仿宋_GB2312" w:cs="仿宋_GB2312"/>
          <w:sz w:val="32"/>
          <w:szCs w:val="32"/>
        </w:rPr>
      </w:pPr>
    </w:p>
    <w:p w14:paraId="0BA1D60E">
      <w:pPr>
        <w:spacing w:line="560" w:lineRule="exact"/>
        <w:ind w:firstLine="640"/>
        <w:rPr>
          <w:rFonts w:eastAsia="仿宋_GB2312" w:cs="仿宋_GB2312"/>
          <w:sz w:val="32"/>
          <w:szCs w:val="32"/>
        </w:rPr>
      </w:pPr>
    </w:p>
    <w:p w14:paraId="408469EB">
      <w:pPr>
        <w:spacing w:line="560" w:lineRule="exact"/>
        <w:ind w:firstLine="640"/>
        <w:rPr>
          <w:rFonts w:eastAsia="仿宋_GB2312" w:cs="仿宋_GB2312"/>
          <w:sz w:val="32"/>
          <w:szCs w:val="32"/>
        </w:rPr>
      </w:pPr>
    </w:p>
    <w:p w14:paraId="6465A0E3">
      <w:pPr>
        <w:spacing w:line="560" w:lineRule="exact"/>
        <w:ind w:firstLine="640"/>
        <w:rPr>
          <w:rFonts w:eastAsia="仿宋_GB2312" w:cs="仿宋_GB2312"/>
          <w:sz w:val="32"/>
          <w:szCs w:val="32"/>
        </w:rPr>
      </w:pPr>
    </w:p>
    <w:p w14:paraId="1CFC237E">
      <w:pPr>
        <w:keepNext w:val="0"/>
        <w:keepLines w:val="0"/>
        <w:pageBreakBefore w:val="0"/>
        <w:kinsoku/>
        <w:wordWrap/>
        <w:overflowPunct/>
        <w:topLinePunct w:val="0"/>
        <w:autoSpaceDE/>
        <w:autoSpaceDN/>
        <w:bidi w:val="0"/>
        <w:spacing w:beforeAutospacing="0" w:afterAutospacing="0" w:line="560" w:lineRule="exact"/>
        <w:ind w:left="0"/>
        <w:jc w:val="center"/>
        <w:textAlignment w:val="auto"/>
        <w:outlineLvl w:val="0"/>
        <w:rPr>
          <w:rFonts w:eastAsia="黑体"/>
          <w:sz w:val="44"/>
          <w:szCs w:val="44"/>
        </w:rPr>
      </w:pPr>
      <w:bookmarkStart w:id="48" w:name="_Toc15377225"/>
      <w:bookmarkStart w:id="49" w:name="_Toc15396613"/>
      <w:r>
        <w:rPr>
          <w:rFonts w:hint="eastAsia" w:ascii="Times New Roman" w:hAnsi="Times New Roman" w:eastAsia="黑体" w:cs="黑体"/>
          <w:sz w:val="44"/>
          <w:szCs w:val="44"/>
          <w:lang w:bidi="ar"/>
        </w:rPr>
        <w:t>第三部分</w:t>
      </w:r>
      <w:r>
        <w:rPr>
          <w:rFonts w:ascii="Times New Roman" w:hAnsi="Times New Roman" w:eastAsia="黑体" w:cs="Times New Roman"/>
          <w:sz w:val="44"/>
          <w:szCs w:val="44"/>
          <w:lang w:bidi="ar"/>
        </w:rPr>
        <w:t xml:space="preserve">  </w:t>
      </w:r>
      <w:r>
        <w:rPr>
          <w:rFonts w:hint="eastAsia" w:ascii="Times New Roman" w:hAnsi="Times New Roman" w:eastAsia="黑体" w:cs="黑体"/>
          <w:sz w:val="44"/>
          <w:szCs w:val="44"/>
          <w:lang w:bidi="ar"/>
        </w:rPr>
        <w:t>名词解释</w:t>
      </w:r>
      <w:bookmarkEnd w:id="48"/>
      <w:bookmarkEnd w:id="49"/>
    </w:p>
    <w:p w14:paraId="61CFC221">
      <w:pPr>
        <w:keepNext w:val="0"/>
        <w:keepLines w:val="0"/>
        <w:pageBreakBefore w:val="0"/>
        <w:kinsoku/>
        <w:wordWrap/>
        <w:overflowPunct/>
        <w:topLinePunct w:val="0"/>
        <w:autoSpaceDE/>
        <w:autoSpaceDN/>
        <w:bidi w:val="0"/>
        <w:spacing w:beforeAutospacing="0" w:afterAutospacing="0" w:line="560" w:lineRule="exact"/>
        <w:ind w:left="0"/>
        <w:jc w:val="left"/>
        <w:textAlignment w:val="auto"/>
        <w:rPr>
          <w:b/>
          <w:sz w:val="44"/>
          <w:szCs w:val="44"/>
        </w:rPr>
      </w:pPr>
    </w:p>
    <w:p w14:paraId="59BF3DB4">
      <w:pPr>
        <w:keepNext w:val="0"/>
        <w:keepLines w:val="0"/>
        <w:pageBreakBefore w:val="0"/>
        <w:kinsoku/>
        <w:wordWrap/>
        <w:overflowPunct/>
        <w:topLinePunct w:val="0"/>
        <w:autoSpaceDE/>
        <w:autoSpaceDN/>
        <w:bidi w:val="0"/>
        <w:spacing w:beforeAutospacing="0" w:afterAutospacing="0"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1.</w:t>
      </w:r>
      <w:r>
        <w:rPr>
          <w:rFonts w:hint="eastAsia" w:ascii="Times New Roman" w:hAnsi="Times New Roman" w:eastAsia="仿宋_GB2312" w:cs="仿宋_GB2312"/>
          <w:sz w:val="32"/>
          <w:szCs w:val="32"/>
          <w:lang w:bidi="ar"/>
        </w:rPr>
        <w:t>财政拨款收入：指单位从同级财政部门取得的财政预算资金。</w:t>
      </w:r>
    </w:p>
    <w:p w14:paraId="7653542C">
      <w:pPr>
        <w:keepNext w:val="0"/>
        <w:keepLines w:val="0"/>
        <w:pageBreakBefore w:val="0"/>
        <w:kinsoku/>
        <w:wordWrap/>
        <w:overflowPunct/>
        <w:topLinePunct w:val="0"/>
        <w:autoSpaceDE/>
        <w:autoSpaceDN/>
        <w:bidi w:val="0"/>
        <w:spacing w:beforeAutospacing="0" w:afterAutospacing="0"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2.</w:t>
      </w:r>
      <w:r>
        <w:rPr>
          <w:rFonts w:hint="eastAsia" w:ascii="Times New Roman" w:hAnsi="Times New Roman" w:eastAsia="仿宋_GB2312" w:cs="仿宋_GB2312"/>
          <w:sz w:val="32"/>
          <w:szCs w:val="32"/>
          <w:lang w:bidi="ar"/>
        </w:rPr>
        <w:t>事业收入：指事业单位开展专业业务活动及辅助活动取得的收入。</w:t>
      </w:r>
    </w:p>
    <w:p w14:paraId="74786E1C">
      <w:pPr>
        <w:keepNext w:val="0"/>
        <w:keepLines w:val="0"/>
        <w:pageBreakBefore w:val="0"/>
        <w:kinsoku/>
        <w:wordWrap/>
        <w:overflowPunct/>
        <w:topLinePunct w:val="0"/>
        <w:autoSpaceDE/>
        <w:autoSpaceDN/>
        <w:bidi w:val="0"/>
        <w:spacing w:beforeAutospacing="0" w:afterAutospacing="0"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3.</w:t>
      </w:r>
      <w:r>
        <w:rPr>
          <w:rFonts w:hint="eastAsia" w:ascii="Times New Roman" w:hAnsi="Times New Roman" w:eastAsia="仿宋_GB2312" w:cs="仿宋_GB2312"/>
          <w:sz w:val="32"/>
          <w:szCs w:val="32"/>
          <w:lang w:bidi="ar"/>
        </w:rPr>
        <w:t>经营收入：指事业单位在专业业务活动及其辅助活动之外开展非独立核算经营活动取得的收入。</w:t>
      </w:r>
    </w:p>
    <w:p w14:paraId="2A1400DA">
      <w:pPr>
        <w:keepNext w:val="0"/>
        <w:keepLines w:val="0"/>
        <w:pageBreakBefore w:val="0"/>
        <w:kinsoku/>
        <w:wordWrap/>
        <w:overflowPunct/>
        <w:topLinePunct w:val="0"/>
        <w:autoSpaceDE/>
        <w:autoSpaceDN/>
        <w:bidi w:val="0"/>
        <w:spacing w:beforeAutospacing="0" w:afterAutospacing="0"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4.</w:t>
      </w:r>
      <w:r>
        <w:rPr>
          <w:rFonts w:hint="eastAsia" w:ascii="Times New Roman" w:hAnsi="Times New Roman" w:eastAsia="仿宋_GB2312" w:cs="仿宋_GB2312"/>
          <w:sz w:val="32"/>
          <w:szCs w:val="32"/>
          <w:lang w:bidi="ar"/>
        </w:rPr>
        <w:t>其他收入：指单位取得的除上述收入以外的各项收入。</w:t>
      </w:r>
      <w:r>
        <w:rPr>
          <w:rFonts w:ascii="Times New Roman" w:hAnsi="Times New Roman" w:eastAsia="仿宋_GB2312" w:cs="仿宋_GB2312"/>
          <w:sz w:val="32"/>
          <w:szCs w:val="32"/>
          <w:lang w:bidi="ar"/>
        </w:rPr>
        <w:t xml:space="preserve"> </w:t>
      </w:r>
    </w:p>
    <w:p w14:paraId="79FACEBA">
      <w:pPr>
        <w:keepNext w:val="0"/>
        <w:keepLines w:val="0"/>
        <w:pageBreakBefore w:val="0"/>
        <w:kinsoku/>
        <w:wordWrap/>
        <w:overflowPunct/>
        <w:topLinePunct w:val="0"/>
        <w:autoSpaceDE/>
        <w:autoSpaceDN/>
        <w:bidi w:val="0"/>
        <w:spacing w:beforeAutospacing="0" w:afterAutospacing="0"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5.</w:t>
      </w:r>
      <w:r>
        <w:rPr>
          <w:rFonts w:hint="eastAsia" w:ascii="Times New Roman" w:hAnsi="Times New Roman" w:eastAsia="仿宋_GB2312" w:cs="仿宋_GB2312"/>
          <w:sz w:val="32"/>
          <w:szCs w:val="32"/>
          <w:lang w:bidi="ar"/>
        </w:rPr>
        <w:t>使用非财政拨款结余（含专用结余）：指事业单位使用以前年度积累的非财政拨款结余弥补当年收支差额的金额。</w:t>
      </w:r>
      <w:r>
        <w:rPr>
          <w:rFonts w:ascii="Times New Roman" w:hAnsi="Times New Roman" w:eastAsia="仿宋_GB2312" w:cs="仿宋_GB2312"/>
          <w:sz w:val="32"/>
          <w:szCs w:val="32"/>
          <w:lang w:bidi="ar"/>
        </w:rPr>
        <w:t xml:space="preserve"> </w:t>
      </w:r>
    </w:p>
    <w:p w14:paraId="34CDD4FF">
      <w:pPr>
        <w:keepNext w:val="0"/>
        <w:keepLines w:val="0"/>
        <w:pageBreakBefore w:val="0"/>
        <w:kinsoku/>
        <w:wordWrap/>
        <w:overflowPunct/>
        <w:topLinePunct w:val="0"/>
        <w:autoSpaceDE/>
        <w:autoSpaceDN/>
        <w:bidi w:val="0"/>
        <w:spacing w:beforeAutospacing="0" w:afterAutospacing="0"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6.</w:t>
      </w:r>
      <w:r>
        <w:rPr>
          <w:rFonts w:hint="eastAsia" w:ascii="Times New Roman" w:hAnsi="Times New Roman" w:eastAsia="仿宋_GB2312" w:cs="仿宋_GB2312"/>
          <w:sz w:val="32"/>
          <w:szCs w:val="32"/>
          <w:lang w:bidi="ar"/>
        </w:rPr>
        <w:t>年初结转和结余：指以前年度尚未完成、结转到本年按有关规定继续使用的资金。</w:t>
      </w:r>
      <w:r>
        <w:rPr>
          <w:rFonts w:ascii="Times New Roman" w:hAnsi="Times New Roman" w:eastAsia="仿宋_GB2312" w:cs="仿宋_GB2312"/>
          <w:sz w:val="32"/>
          <w:szCs w:val="32"/>
          <w:lang w:bidi="ar"/>
        </w:rPr>
        <w:t xml:space="preserve"> </w:t>
      </w:r>
    </w:p>
    <w:p w14:paraId="09D1CE8E">
      <w:pPr>
        <w:keepNext w:val="0"/>
        <w:keepLines w:val="0"/>
        <w:pageBreakBefore w:val="0"/>
        <w:kinsoku/>
        <w:wordWrap/>
        <w:overflowPunct/>
        <w:topLinePunct w:val="0"/>
        <w:autoSpaceDE/>
        <w:autoSpaceDN/>
        <w:bidi w:val="0"/>
        <w:spacing w:beforeAutospacing="0" w:afterAutospacing="0"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7.</w:t>
      </w:r>
      <w:r>
        <w:rPr>
          <w:rFonts w:hint="eastAsia" w:ascii="Times New Roman" w:hAnsi="Times New Roman" w:eastAsia="仿宋_GB2312" w:cs="仿宋_GB2312"/>
          <w:sz w:val="32"/>
          <w:szCs w:val="32"/>
          <w:lang w:bidi="ar"/>
        </w:rPr>
        <w:t>结余分配：指事业单位按照会计制度规定缴纳的所得税、提取的专用结余以及转入非财政拨款结余的金额等。</w:t>
      </w:r>
    </w:p>
    <w:p w14:paraId="4B3E4BAD">
      <w:pPr>
        <w:keepNext w:val="0"/>
        <w:keepLines w:val="0"/>
        <w:pageBreakBefore w:val="0"/>
        <w:kinsoku/>
        <w:wordWrap/>
        <w:overflowPunct/>
        <w:topLinePunct w:val="0"/>
        <w:autoSpaceDE/>
        <w:autoSpaceDN/>
        <w:bidi w:val="0"/>
        <w:spacing w:beforeAutospacing="0" w:afterAutospacing="0"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8.</w:t>
      </w:r>
      <w:r>
        <w:rPr>
          <w:rFonts w:hint="eastAsia" w:ascii="Times New Roman" w:hAnsi="Times New Roman" w:eastAsia="仿宋_GB2312" w:cs="仿宋_GB2312"/>
          <w:sz w:val="32"/>
          <w:szCs w:val="32"/>
          <w:lang w:bidi="ar"/>
        </w:rPr>
        <w:t>年末结转和结余：指单位按有关规定结转到下年或以后年度继续使用的资金。</w:t>
      </w:r>
    </w:p>
    <w:p w14:paraId="25127D9B">
      <w:pPr>
        <w:keepNext w:val="0"/>
        <w:keepLines w:val="0"/>
        <w:pageBreakBefore w:val="0"/>
        <w:widowControl/>
        <w:kinsoku/>
        <w:wordWrap/>
        <w:overflowPunct/>
        <w:topLinePunct w:val="0"/>
        <w:autoSpaceDE/>
        <w:autoSpaceDN/>
        <w:bidi w:val="0"/>
        <w:spacing w:beforeAutospacing="0" w:afterAutospacing="0" w:line="560" w:lineRule="exact"/>
        <w:ind w:left="0" w:firstLine="640" w:firstLineChars="200"/>
        <w:jc w:val="left"/>
        <w:textAlignment w:val="auto"/>
        <w:rPr>
          <w:rFonts w:hint="eastAsia" w:ascii="仿宋_GB2312" w:hAnsi="sans-serif" w:eastAsia="仿宋_GB2312" w:cs="仿宋_GB2312"/>
          <w:color w:val="000000"/>
          <w:kern w:val="0"/>
          <w:sz w:val="32"/>
          <w:szCs w:val="32"/>
          <w:shd w:val="clear" w:color="auto" w:fill="FFFFFF"/>
        </w:rPr>
      </w:pPr>
      <w:r>
        <w:rPr>
          <w:rFonts w:hint="eastAsia" w:ascii="仿宋_GB2312" w:hAnsi="Times New Roman" w:eastAsia="仿宋_GB2312" w:cs="仿宋_GB2312"/>
          <w:sz w:val="32"/>
          <w:szCs w:val="32"/>
          <w:lang w:bidi="ar"/>
        </w:rPr>
        <w:t>9.</w:t>
      </w:r>
      <w:r>
        <w:rPr>
          <w:rFonts w:hint="eastAsia" w:ascii="仿宋_GB2312" w:hAnsi="sans-serif" w:eastAsia="仿宋_GB2312" w:cs="仿宋_GB2312"/>
          <w:color w:val="000000"/>
          <w:kern w:val="0"/>
          <w:sz w:val="32"/>
          <w:szCs w:val="32"/>
          <w:shd w:val="clear" w:color="auto" w:fill="FFFFFF"/>
          <w:lang w:bidi="ar"/>
        </w:rPr>
        <w:t xml:space="preserve"> 一般公共服务（201）政府办公厅（室）及相关机构事务支出（03）行政运行（01）：指行政单位的基本支出。</w:t>
      </w:r>
    </w:p>
    <w:p w14:paraId="33174A13">
      <w:pPr>
        <w:keepNext w:val="0"/>
        <w:keepLines w:val="0"/>
        <w:pageBreakBefore w:val="0"/>
        <w:kinsoku/>
        <w:wordWrap/>
        <w:overflowPunct/>
        <w:topLinePunct w:val="0"/>
        <w:autoSpaceDE/>
        <w:autoSpaceDN/>
        <w:bidi w:val="0"/>
        <w:spacing w:beforeAutospacing="0" w:afterAutospacing="0" w:line="560" w:lineRule="exact"/>
        <w:ind w:left="0" w:firstLine="640" w:firstLineChars="200"/>
        <w:jc w:val="left"/>
        <w:textAlignment w:val="auto"/>
        <w:rPr>
          <w:rFonts w:ascii="仿宋_GB2312" w:eastAsia="仿宋_GB2312" w:cs="仿宋_GB2312"/>
          <w:sz w:val="32"/>
          <w:szCs w:val="32"/>
        </w:rPr>
      </w:pPr>
      <w:r>
        <w:rPr>
          <w:rFonts w:hint="eastAsia" w:ascii="仿宋_GB2312" w:hAnsi="Times New Roman" w:eastAsia="仿宋_GB2312" w:cs="仿宋_GB2312"/>
          <w:sz w:val="32"/>
          <w:szCs w:val="32"/>
          <w:lang w:bidi="ar"/>
        </w:rPr>
        <w:t>1</w:t>
      </w:r>
      <w:r>
        <w:rPr>
          <w:rFonts w:ascii="仿宋_GB2312" w:hAnsi="Times New Roman" w:eastAsia="仿宋_GB2312" w:cs="仿宋_GB2312"/>
          <w:sz w:val="32"/>
          <w:szCs w:val="32"/>
          <w:lang w:bidi="ar"/>
        </w:rPr>
        <w:t>0.</w:t>
      </w:r>
      <w:r>
        <w:rPr>
          <w:rFonts w:hint="eastAsia" w:ascii="仿宋_GB2312" w:hAnsi="sans-serif" w:eastAsia="仿宋_GB2312" w:cs="仿宋_GB2312"/>
          <w:color w:val="000000"/>
          <w:kern w:val="0"/>
          <w:sz w:val="32"/>
          <w:szCs w:val="32"/>
          <w:shd w:val="clear" w:color="auto" w:fill="FFFFFF"/>
          <w:lang w:bidi="ar"/>
        </w:rPr>
        <w:t>一般公共服务（201）政府办公厅（室）及相关机构事务支出（03）其他政府办公厅（室）及相关机构事务支出（</w:t>
      </w:r>
      <w:r>
        <w:rPr>
          <w:rFonts w:ascii="仿宋_GB2312" w:hAnsi="sans-serif" w:eastAsia="仿宋_GB2312" w:cs="仿宋_GB2312"/>
          <w:color w:val="000000"/>
          <w:kern w:val="0"/>
          <w:sz w:val="32"/>
          <w:szCs w:val="32"/>
          <w:shd w:val="clear" w:color="auto" w:fill="FFFFFF"/>
          <w:lang w:bidi="ar"/>
        </w:rPr>
        <w:t>99</w:t>
      </w:r>
      <w:r>
        <w:rPr>
          <w:rFonts w:hint="eastAsia" w:ascii="仿宋_GB2312" w:hAnsi="sans-serif" w:eastAsia="仿宋_GB2312" w:cs="仿宋_GB2312"/>
          <w:color w:val="000000"/>
          <w:kern w:val="0"/>
          <w:sz w:val="32"/>
          <w:szCs w:val="32"/>
          <w:shd w:val="clear" w:color="auto" w:fill="FFFFFF"/>
          <w:lang w:bidi="ar"/>
        </w:rPr>
        <w:t>）：指除行政运行、事业运行等项目以外的其他政府办公厅（室）及相关机构事务支出</w:t>
      </w:r>
      <w:r>
        <w:rPr>
          <w:rFonts w:hint="eastAsia" w:ascii="仿宋_GB2312" w:hAnsi="Times New Roman" w:eastAsia="仿宋_GB2312" w:cs="仿宋_GB2312"/>
          <w:sz w:val="32"/>
          <w:szCs w:val="32"/>
          <w:lang w:bidi="ar"/>
        </w:rPr>
        <w:t>。</w:t>
      </w:r>
    </w:p>
    <w:p w14:paraId="51697115">
      <w:pPr>
        <w:keepNext w:val="0"/>
        <w:keepLines w:val="0"/>
        <w:pageBreakBefore w:val="0"/>
        <w:kinsoku/>
        <w:wordWrap/>
        <w:overflowPunct/>
        <w:topLinePunct w:val="0"/>
        <w:autoSpaceDE/>
        <w:autoSpaceDN/>
        <w:bidi w:val="0"/>
        <w:spacing w:beforeAutospacing="0" w:afterAutospacing="0" w:line="560" w:lineRule="exact"/>
        <w:ind w:left="0" w:firstLine="640" w:firstLineChars="200"/>
        <w:jc w:val="left"/>
        <w:textAlignment w:val="auto"/>
        <w:rPr>
          <w:rFonts w:hint="eastAsia" w:ascii="仿宋_GB2312" w:hAnsi="sans-serif" w:eastAsia="仿宋_GB2312" w:cs="仿宋_GB2312"/>
          <w:color w:val="000000"/>
          <w:kern w:val="0"/>
          <w:sz w:val="32"/>
          <w:szCs w:val="32"/>
          <w:shd w:val="clear" w:color="auto" w:fill="FFFFFF"/>
        </w:rPr>
      </w:pPr>
      <w:r>
        <w:rPr>
          <w:rFonts w:hint="eastAsia" w:ascii="仿宋_GB2312" w:hAnsi="sans-serif" w:eastAsia="仿宋_GB2312" w:cs="仿宋_GB2312"/>
          <w:color w:val="000000"/>
          <w:kern w:val="0"/>
          <w:sz w:val="32"/>
          <w:szCs w:val="32"/>
          <w:shd w:val="clear" w:color="auto" w:fill="FFFFFF"/>
          <w:lang w:bidi="ar"/>
        </w:rPr>
        <w:t>11.</w:t>
      </w:r>
      <w:r>
        <w:rPr>
          <w:rStyle w:val="16"/>
          <w:rFonts w:hint="eastAsia" w:ascii="仿宋" w:hAnsi="仿宋" w:eastAsia="仿宋" w:cs="仿宋"/>
          <w:b w:val="0"/>
          <w:bCs/>
          <w:sz w:val="32"/>
          <w:szCs w:val="32"/>
          <w:lang w:bidi="ar"/>
        </w:rPr>
        <w:t xml:space="preserve"> 文化旅游体育与传媒（207）文化和旅游（01）群众文化（0</w:t>
      </w:r>
      <w:r>
        <w:rPr>
          <w:rStyle w:val="16"/>
          <w:rFonts w:ascii="仿宋" w:hAnsi="仿宋" w:eastAsia="仿宋" w:cs="仿宋"/>
          <w:b w:val="0"/>
          <w:bCs/>
          <w:sz w:val="32"/>
          <w:szCs w:val="32"/>
          <w:lang w:bidi="ar"/>
        </w:rPr>
        <w:t>9</w:t>
      </w:r>
      <w:r>
        <w:rPr>
          <w:rStyle w:val="16"/>
          <w:rFonts w:hint="eastAsia" w:ascii="仿宋" w:hAnsi="仿宋" w:eastAsia="仿宋" w:cs="仿宋"/>
          <w:b w:val="0"/>
          <w:bCs/>
          <w:sz w:val="32"/>
          <w:szCs w:val="32"/>
          <w:lang w:bidi="ar"/>
        </w:rPr>
        <w:t>）</w:t>
      </w:r>
      <w:r>
        <w:rPr>
          <w:rFonts w:hint="eastAsia" w:ascii="仿宋_GB2312" w:hAnsi="sans-serif" w:eastAsia="仿宋_GB2312" w:cs="仿宋_GB2312"/>
          <w:b/>
          <w:color w:val="000000"/>
          <w:kern w:val="0"/>
          <w:sz w:val="32"/>
          <w:szCs w:val="32"/>
          <w:shd w:val="clear" w:color="auto" w:fill="FFFFFF"/>
          <w:lang w:bidi="ar"/>
        </w:rPr>
        <w:t>：</w:t>
      </w:r>
      <w:r>
        <w:rPr>
          <w:rFonts w:hint="eastAsia" w:ascii="仿宋_GB2312" w:hAnsi="sans-serif" w:eastAsia="仿宋_GB2312" w:cs="仿宋_GB2312"/>
          <w:color w:val="000000"/>
          <w:kern w:val="0"/>
          <w:sz w:val="32"/>
          <w:szCs w:val="32"/>
          <w:shd w:val="clear" w:color="auto" w:fill="FFFFFF"/>
          <w:lang w:bidi="ar"/>
        </w:rPr>
        <w:t>指群众文化支出。</w:t>
      </w:r>
    </w:p>
    <w:p w14:paraId="37B69BF2">
      <w:pPr>
        <w:keepNext w:val="0"/>
        <w:keepLines w:val="0"/>
        <w:pageBreakBefore w:val="0"/>
        <w:kinsoku/>
        <w:wordWrap/>
        <w:overflowPunct/>
        <w:topLinePunct w:val="0"/>
        <w:autoSpaceDE/>
        <w:autoSpaceDN/>
        <w:bidi w:val="0"/>
        <w:spacing w:beforeAutospacing="0" w:afterAutospacing="0" w:line="560" w:lineRule="exact"/>
        <w:ind w:left="0" w:firstLine="640" w:firstLineChars="200"/>
        <w:jc w:val="left"/>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color w:val="000000"/>
          <w:kern w:val="0"/>
          <w:sz w:val="32"/>
          <w:szCs w:val="32"/>
          <w:shd w:val="clear" w:color="auto" w:fill="FFFFFF"/>
          <w:lang w:bidi="ar"/>
        </w:rPr>
        <w:t>12.</w:t>
      </w:r>
      <w:r>
        <w:rPr>
          <w:rFonts w:hint="eastAsia" w:ascii="仿宋_GB2312" w:hAnsi="sans-serif" w:eastAsia="仿宋_GB2312" w:cs="仿宋_GB2312"/>
          <w:b/>
          <w:color w:val="000000"/>
          <w:kern w:val="0"/>
          <w:sz w:val="32"/>
          <w:szCs w:val="32"/>
          <w:shd w:val="clear" w:color="auto" w:fill="FFFFFF"/>
          <w:lang w:bidi="ar"/>
        </w:rPr>
        <w:t xml:space="preserve"> </w:t>
      </w:r>
      <w:r>
        <w:rPr>
          <w:rFonts w:hint="eastAsia" w:ascii="仿宋_GB2312" w:hAnsi="sans-serif" w:eastAsia="仿宋_GB2312" w:cs="仿宋_GB2312"/>
          <w:color w:val="000000"/>
          <w:kern w:val="0"/>
          <w:sz w:val="32"/>
          <w:szCs w:val="32"/>
          <w:shd w:val="clear" w:color="auto" w:fill="FFFFFF"/>
          <w:lang w:bidi="ar"/>
        </w:rPr>
        <w:t>文化旅游体育与传媒（207）文化和旅游（01）其他文化和旅游支出（</w:t>
      </w:r>
      <w:r>
        <w:rPr>
          <w:rFonts w:ascii="仿宋_GB2312" w:hAnsi="sans-serif" w:eastAsia="仿宋_GB2312" w:cs="仿宋_GB2312"/>
          <w:color w:val="000000"/>
          <w:kern w:val="0"/>
          <w:sz w:val="32"/>
          <w:szCs w:val="32"/>
          <w:shd w:val="clear" w:color="auto" w:fill="FFFFFF"/>
          <w:lang w:bidi="ar"/>
        </w:rPr>
        <w:t>99</w:t>
      </w:r>
      <w:r>
        <w:rPr>
          <w:rFonts w:hint="eastAsia" w:ascii="仿宋_GB2312" w:hAnsi="sans-serif" w:eastAsia="仿宋_GB2312" w:cs="仿宋_GB2312"/>
          <w:color w:val="000000"/>
          <w:kern w:val="0"/>
          <w:sz w:val="32"/>
          <w:szCs w:val="32"/>
          <w:shd w:val="clear" w:color="auto" w:fill="FFFFFF"/>
          <w:lang w:bidi="ar"/>
        </w:rPr>
        <w:t>）：指除群众文化、文化活动及文化创作与保护等项目以外其他用于文化和旅游方面的支出。</w:t>
      </w:r>
    </w:p>
    <w:p w14:paraId="38DC6C7E">
      <w:pPr>
        <w:keepNext w:val="0"/>
        <w:keepLines w:val="0"/>
        <w:pageBreakBefore w:val="0"/>
        <w:kinsoku/>
        <w:wordWrap/>
        <w:overflowPunct/>
        <w:topLinePunct w:val="0"/>
        <w:autoSpaceDE/>
        <w:autoSpaceDN/>
        <w:bidi w:val="0"/>
        <w:spacing w:beforeAutospacing="0" w:afterAutospacing="0" w:line="560" w:lineRule="exact"/>
        <w:ind w:left="0" w:firstLine="640" w:firstLineChars="200"/>
        <w:jc w:val="left"/>
        <w:textAlignment w:val="auto"/>
        <w:rPr>
          <w:rFonts w:hint="eastAsia" w:ascii="仿宋_GB2312" w:hAnsi="sans-serif" w:eastAsia="仿宋_GB2312" w:cs="仿宋_GB2312"/>
          <w:color w:val="000000"/>
          <w:kern w:val="0"/>
          <w:sz w:val="32"/>
          <w:szCs w:val="32"/>
          <w:shd w:val="clear" w:color="auto" w:fill="FFFFFF"/>
        </w:rPr>
      </w:pPr>
      <w:r>
        <w:rPr>
          <w:rFonts w:hint="eastAsia" w:ascii="仿宋_GB2312" w:hAnsi="sans-serif" w:eastAsia="仿宋_GB2312" w:cs="仿宋_GB2312"/>
          <w:color w:val="000000"/>
          <w:kern w:val="0"/>
          <w:sz w:val="32"/>
          <w:szCs w:val="32"/>
          <w:shd w:val="clear" w:color="auto" w:fill="FFFFFF"/>
          <w:lang w:bidi="ar"/>
        </w:rPr>
        <w:t>1</w:t>
      </w:r>
      <w:r>
        <w:rPr>
          <w:rFonts w:ascii="仿宋_GB2312" w:hAnsi="sans-serif" w:eastAsia="仿宋_GB2312" w:cs="仿宋_GB2312"/>
          <w:color w:val="000000"/>
          <w:kern w:val="0"/>
          <w:sz w:val="32"/>
          <w:szCs w:val="32"/>
          <w:shd w:val="clear" w:color="auto" w:fill="FFFFFF"/>
          <w:lang w:bidi="ar"/>
        </w:rPr>
        <w:t>3</w:t>
      </w:r>
      <w:r>
        <w:rPr>
          <w:rFonts w:hint="eastAsia" w:ascii="仿宋_GB2312" w:hAnsi="sans-serif" w:eastAsia="仿宋_GB2312" w:cs="仿宋_GB2312"/>
          <w:color w:val="000000"/>
          <w:kern w:val="0"/>
          <w:sz w:val="32"/>
          <w:szCs w:val="32"/>
          <w:shd w:val="clear" w:color="auto" w:fill="FFFFFF"/>
          <w:lang w:bidi="ar"/>
        </w:rPr>
        <w:t>社会保障和就业支出（208）人力资源和社会保障管理事务支出（0</w:t>
      </w:r>
      <w:r>
        <w:rPr>
          <w:rFonts w:ascii="仿宋_GB2312" w:hAnsi="sans-serif" w:eastAsia="仿宋_GB2312" w:cs="仿宋_GB2312"/>
          <w:color w:val="000000"/>
          <w:kern w:val="0"/>
          <w:sz w:val="32"/>
          <w:szCs w:val="32"/>
          <w:shd w:val="clear" w:color="auto" w:fill="FFFFFF"/>
          <w:lang w:bidi="ar"/>
        </w:rPr>
        <w:t>1</w:t>
      </w:r>
      <w:r>
        <w:rPr>
          <w:rFonts w:hint="eastAsia" w:ascii="仿宋_GB2312" w:hAnsi="sans-serif" w:eastAsia="仿宋_GB2312" w:cs="仿宋_GB2312"/>
          <w:color w:val="000000"/>
          <w:kern w:val="0"/>
          <w:sz w:val="32"/>
          <w:szCs w:val="32"/>
          <w:shd w:val="clear" w:color="auto" w:fill="FFFFFF"/>
          <w:lang w:bidi="ar"/>
        </w:rPr>
        <w:t>）其他人力资源和社会保障管理事务支出（</w:t>
      </w:r>
      <w:r>
        <w:rPr>
          <w:rFonts w:ascii="仿宋_GB2312" w:hAnsi="sans-serif" w:eastAsia="仿宋_GB2312" w:cs="仿宋_GB2312"/>
          <w:color w:val="000000"/>
          <w:kern w:val="0"/>
          <w:sz w:val="32"/>
          <w:szCs w:val="32"/>
          <w:shd w:val="clear" w:color="auto" w:fill="FFFFFF"/>
          <w:lang w:bidi="ar"/>
        </w:rPr>
        <w:t>99</w:t>
      </w:r>
      <w:r>
        <w:rPr>
          <w:rFonts w:hint="eastAsia" w:ascii="仿宋_GB2312" w:hAnsi="sans-serif" w:eastAsia="仿宋_GB2312" w:cs="仿宋_GB2312"/>
          <w:color w:val="000000"/>
          <w:kern w:val="0"/>
          <w:sz w:val="32"/>
          <w:szCs w:val="32"/>
          <w:shd w:val="clear" w:color="auto" w:fill="FFFFFF"/>
          <w:lang w:bidi="ar"/>
        </w:rPr>
        <w:t>）：指除政府特殊津贴、引进人才费用等项目以外用于其他人力资源和社会保障管理事务方面的支出。</w:t>
      </w:r>
    </w:p>
    <w:p w14:paraId="661E4550">
      <w:pPr>
        <w:keepNext w:val="0"/>
        <w:keepLines w:val="0"/>
        <w:pageBreakBefore w:val="0"/>
        <w:kinsoku/>
        <w:wordWrap/>
        <w:overflowPunct/>
        <w:topLinePunct w:val="0"/>
        <w:autoSpaceDE/>
        <w:autoSpaceDN/>
        <w:bidi w:val="0"/>
        <w:spacing w:beforeAutospacing="0" w:afterAutospacing="0" w:line="560" w:lineRule="exact"/>
        <w:ind w:left="0" w:firstLine="640" w:firstLineChars="200"/>
        <w:jc w:val="left"/>
        <w:textAlignment w:val="auto"/>
        <w:rPr>
          <w:rFonts w:hint="eastAsia" w:ascii="仿宋_GB2312" w:hAnsi="sans-serif" w:eastAsia="仿宋_GB2312" w:cs="仿宋_GB2312"/>
          <w:color w:val="000000"/>
          <w:kern w:val="0"/>
          <w:sz w:val="32"/>
          <w:szCs w:val="32"/>
          <w:shd w:val="clear" w:color="auto" w:fill="FFFFFF"/>
        </w:rPr>
      </w:pPr>
      <w:r>
        <w:rPr>
          <w:rFonts w:hint="eastAsia" w:ascii="仿宋_GB2312" w:hAnsi="sans-serif" w:eastAsia="仿宋_GB2312" w:cs="仿宋_GB2312"/>
          <w:color w:val="000000"/>
          <w:kern w:val="0"/>
          <w:sz w:val="32"/>
          <w:szCs w:val="32"/>
          <w:shd w:val="clear" w:color="auto" w:fill="FFFFFF"/>
          <w:lang w:bidi="ar"/>
        </w:rPr>
        <w:t>1</w:t>
      </w:r>
      <w:r>
        <w:rPr>
          <w:rFonts w:ascii="仿宋_GB2312" w:hAnsi="sans-serif" w:eastAsia="仿宋_GB2312" w:cs="仿宋_GB2312"/>
          <w:color w:val="000000"/>
          <w:kern w:val="0"/>
          <w:sz w:val="32"/>
          <w:szCs w:val="32"/>
          <w:shd w:val="clear" w:color="auto" w:fill="FFFFFF"/>
          <w:lang w:bidi="ar"/>
        </w:rPr>
        <w:t>4</w:t>
      </w:r>
      <w:r>
        <w:rPr>
          <w:rFonts w:hint="eastAsia" w:ascii="仿宋_GB2312" w:hAnsi="sans-serif" w:eastAsia="仿宋_GB2312" w:cs="仿宋_GB2312"/>
          <w:color w:val="000000"/>
          <w:kern w:val="0"/>
          <w:sz w:val="32"/>
          <w:szCs w:val="32"/>
          <w:shd w:val="clear" w:color="auto" w:fill="FFFFFF"/>
          <w:lang w:bidi="ar"/>
        </w:rPr>
        <w:t>.社会保障和就业支出（208）行政事业单位养老支出（05）机关事业单位基本养老保险缴费支出（05）：指机关事业范围实施养老制度有单位缴纳的基本养老保险费支出。</w:t>
      </w:r>
    </w:p>
    <w:p w14:paraId="3255ECB3">
      <w:pPr>
        <w:keepNext w:val="0"/>
        <w:keepLines w:val="0"/>
        <w:pageBreakBefore w:val="0"/>
        <w:widowControl/>
        <w:kinsoku/>
        <w:wordWrap/>
        <w:overflowPunct/>
        <w:topLinePunct w:val="0"/>
        <w:autoSpaceDE/>
        <w:autoSpaceDN/>
        <w:bidi w:val="0"/>
        <w:spacing w:beforeAutospacing="0" w:afterAutospacing="0" w:line="560" w:lineRule="exact"/>
        <w:ind w:left="0" w:firstLine="640" w:firstLineChars="200"/>
        <w:jc w:val="left"/>
        <w:textAlignment w:val="auto"/>
        <w:rPr>
          <w:rFonts w:hint="eastAsia" w:ascii="仿宋_GB2312" w:hAnsi="sans-serif" w:eastAsia="仿宋_GB2312" w:cs="仿宋_GB2312"/>
          <w:color w:val="000000"/>
          <w:kern w:val="0"/>
          <w:sz w:val="32"/>
          <w:szCs w:val="32"/>
          <w:shd w:val="clear" w:color="auto" w:fill="FFFFFF"/>
        </w:rPr>
      </w:pPr>
      <w:r>
        <w:rPr>
          <w:rFonts w:hint="eastAsia" w:ascii="仿宋_GB2312" w:hAnsi="sans-serif" w:eastAsia="仿宋_GB2312" w:cs="仿宋_GB2312"/>
          <w:color w:val="000000"/>
          <w:kern w:val="0"/>
          <w:sz w:val="32"/>
          <w:szCs w:val="32"/>
          <w:shd w:val="clear" w:color="auto" w:fill="FFFFFF"/>
          <w:lang w:bidi="ar"/>
        </w:rPr>
        <w:t>1</w:t>
      </w:r>
      <w:r>
        <w:rPr>
          <w:rFonts w:ascii="仿宋_GB2312" w:hAnsi="sans-serif" w:eastAsia="仿宋_GB2312" w:cs="仿宋_GB2312"/>
          <w:color w:val="000000"/>
          <w:kern w:val="0"/>
          <w:sz w:val="32"/>
          <w:szCs w:val="32"/>
          <w:shd w:val="clear" w:color="auto" w:fill="FFFFFF"/>
          <w:lang w:bidi="ar"/>
        </w:rPr>
        <w:t>5</w:t>
      </w:r>
      <w:r>
        <w:rPr>
          <w:rFonts w:hint="eastAsia" w:ascii="仿宋_GB2312" w:hAnsi="sans-serif" w:eastAsia="仿宋_GB2312" w:cs="仿宋_GB2312"/>
          <w:color w:val="000000"/>
          <w:kern w:val="0"/>
          <w:sz w:val="32"/>
          <w:szCs w:val="32"/>
          <w:shd w:val="clear" w:color="auto" w:fill="FFFFFF"/>
          <w:lang w:bidi="ar"/>
        </w:rPr>
        <w:t>.社会保障和就业支出（208）行政事业单位养老支出（05）机关事业单位职业年金缴费支出（06）：指机关事业范围实施职业年金制度有单位缴纳的职业年金支出。</w:t>
      </w:r>
    </w:p>
    <w:p w14:paraId="25665251">
      <w:pPr>
        <w:keepNext w:val="0"/>
        <w:keepLines w:val="0"/>
        <w:pageBreakBefore w:val="0"/>
        <w:widowControl/>
        <w:kinsoku/>
        <w:wordWrap/>
        <w:overflowPunct/>
        <w:topLinePunct w:val="0"/>
        <w:autoSpaceDE/>
        <w:autoSpaceDN/>
        <w:bidi w:val="0"/>
        <w:spacing w:beforeAutospacing="0" w:afterAutospacing="0" w:line="560" w:lineRule="exact"/>
        <w:ind w:left="0" w:firstLine="640" w:firstLineChars="200"/>
        <w:jc w:val="left"/>
        <w:textAlignment w:val="auto"/>
        <w:rPr>
          <w:rFonts w:hint="eastAsia" w:ascii="仿宋_GB2312" w:hAnsi="sans-serif" w:eastAsia="仿宋_GB2312" w:cs="仿宋_GB2312"/>
          <w:color w:val="000000"/>
          <w:kern w:val="0"/>
          <w:sz w:val="32"/>
          <w:szCs w:val="32"/>
          <w:shd w:val="clear" w:color="auto" w:fill="FFFFFF"/>
        </w:rPr>
      </w:pPr>
      <w:r>
        <w:rPr>
          <w:rFonts w:hint="eastAsia" w:ascii="仿宋_GB2312" w:hAnsi="sans-serif" w:eastAsia="仿宋_GB2312" w:cs="仿宋_GB2312"/>
          <w:color w:val="000000"/>
          <w:kern w:val="0"/>
          <w:sz w:val="32"/>
          <w:szCs w:val="32"/>
          <w:shd w:val="clear" w:color="auto" w:fill="FFFFFF"/>
          <w:lang w:bidi="ar"/>
        </w:rPr>
        <w:t>1</w:t>
      </w:r>
      <w:r>
        <w:rPr>
          <w:rFonts w:ascii="仿宋_GB2312" w:hAnsi="sans-serif" w:eastAsia="仿宋_GB2312" w:cs="仿宋_GB2312"/>
          <w:color w:val="000000"/>
          <w:kern w:val="0"/>
          <w:sz w:val="32"/>
          <w:szCs w:val="32"/>
          <w:shd w:val="clear" w:color="auto" w:fill="FFFFFF"/>
          <w:lang w:bidi="ar"/>
        </w:rPr>
        <w:t>6</w:t>
      </w:r>
      <w:r>
        <w:rPr>
          <w:rFonts w:hint="eastAsia" w:ascii="仿宋_GB2312" w:hAnsi="sans-serif" w:eastAsia="仿宋_GB2312" w:cs="仿宋_GB2312"/>
          <w:color w:val="000000"/>
          <w:kern w:val="0"/>
          <w:sz w:val="32"/>
          <w:szCs w:val="32"/>
          <w:shd w:val="clear" w:color="auto" w:fill="FFFFFF"/>
          <w:lang w:bidi="ar"/>
        </w:rPr>
        <w:t>.卫生健康支出（210）公共卫生（04）重大公共卫生专项支出（09）:指重大疾病、重大感染预防控制等重大公共卫生方面的支出。</w:t>
      </w:r>
    </w:p>
    <w:p w14:paraId="6170A53F">
      <w:pPr>
        <w:keepNext w:val="0"/>
        <w:keepLines w:val="0"/>
        <w:pageBreakBefore w:val="0"/>
        <w:widowControl/>
        <w:kinsoku/>
        <w:wordWrap/>
        <w:overflowPunct/>
        <w:topLinePunct w:val="0"/>
        <w:autoSpaceDE/>
        <w:autoSpaceDN/>
        <w:bidi w:val="0"/>
        <w:spacing w:beforeAutospacing="0" w:afterAutospacing="0" w:line="560" w:lineRule="exact"/>
        <w:ind w:left="0" w:firstLine="640" w:firstLineChars="200"/>
        <w:jc w:val="left"/>
        <w:textAlignment w:val="auto"/>
        <w:rPr>
          <w:rFonts w:hint="eastAsia" w:ascii="仿宋_GB2312" w:hAnsi="sans-serif" w:eastAsia="仿宋_GB2312" w:cs="仿宋_GB2312"/>
          <w:color w:val="000000"/>
          <w:kern w:val="0"/>
          <w:sz w:val="32"/>
          <w:szCs w:val="32"/>
          <w:shd w:val="clear" w:color="auto" w:fill="FFFFFF"/>
        </w:rPr>
      </w:pPr>
      <w:r>
        <w:rPr>
          <w:rFonts w:hint="eastAsia" w:ascii="仿宋_GB2312" w:hAnsi="sans-serif" w:eastAsia="仿宋_GB2312" w:cs="仿宋_GB2312"/>
          <w:color w:val="000000"/>
          <w:kern w:val="0"/>
          <w:sz w:val="32"/>
          <w:szCs w:val="32"/>
          <w:shd w:val="clear" w:color="auto" w:fill="FFFFFF"/>
          <w:lang w:bidi="ar"/>
        </w:rPr>
        <w:t>1</w:t>
      </w:r>
      <w:r>
        <w:rPr>
          <w:rFonts w:ascii="仿宋_GB2312" w:hAnsi="sans-serif" w:eastAsia="仿宋_GB2312" w:cs="仿宋_GB2312"/>
          <w:color w:val="000000"/>
          <w:kern w:val="0"/>
          <w:sz w:val="32"/>
          <w:szCs w:val="32"/>
          <w:shd w:val="clear" w:color="auto" w:fill="FFFFFF"/>
          <w:lang w:bidi="ar"/>
        </w:rPr>
        <w:t>7</w:t>
      </w:r>
      <w:r>
        <w:rPr>
          <w:rFonts w:hint="eastAsia" w:ascii="仿宋_GB2312" w:hAnsi="sans-serif" w:eastAsia="仿宋_GB2312" w:cs="仿宋_GB2312"/>
          <w:color w:val="000000"/>
          <w:kern w:val="0"/>
          <w:sz w:val="32"/>
          <w:szCs w:val="32"/>
          <w:shd w:val="clear" w:color="auto" w:fill="FFFFFF"/>
          <w:lang w:bidi="ar"/>
        </w:rPr>
        <w:t>. 卫生健康支出（210）行政单位医疗（11）行政单位医疗（01）:指反映财政部门集中安排的行政单位基本医疗保险经费，未参加医疗保险的行政单位的公费医疗经费，按国家规定享受离休人员、老红军战士待遇人员的医疗经费。</w:t>
      </w:r>
    </w:p>
    <w:p w14:paraId="39804817">
      <w:pPr>
        <w:keepNext w:val="0"/>
        <w:keepLines w:val="0"/>
        <w:pageBreakBefore w:val="0"/>
        <w:widowControl/>
        <w:kinsoku/>
        <w:wordWrap/>
        <w:overflowPunct/>
        <w:topLinePunct w:val="0"/>
        <w:autoSpaceDE/>
        <w:autoSpaceDN/>
        <w:bidi w:val="0"/>
        <w:spacing w:beforeAutospacing="0" w:afterAutospacing="0" w:line="560" w:lineRule="exact"/>
        <w:ind w:left="0" w:firstLine="640" w:firstLineChars="200"/>
        <w:jc w:val="left"/>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color w:val="000000"/>
          <w:kern w:val="0"/>
          <w:sz w:val="32"/>
          <w:szCs w:val="32"/>
          <w:shd w:val="clear" w:color="auto" w:fill="FFFFFF"/>
          <w:lang w:bidi="ar"/>
        </w:rPr>
        <w:t>1</w:t>
      </w:r>
      <w:r>
        <w:rPr>
          <w:rFonts w:ascii="仿宋_GB2312" w:hAnsi="sans-serif" w:eastAsia="仿宋_GB2312" w:cs="仿宋_GB2312"/>
          <w:color w:val="000000"/>
          <w:kern w:val="0"/>
          <w:sz w:val="32"/>
          <w:szCs w:val="32"/>
          <w:shd w:val="clear" w:color="auto" w:fill="FFFFFF"/>
          <w:lang w:bidi="ar"/>
        </w:rPr>
        <w:t>8</w:t>
      </w:r>
      <w:r>
        <w:rPr>
          <w:rFonts w:hint="eastAsia" w:ascii="仿宋_GB2312" w:hAnsi="sans-serif" w:eastAsia="仿宋_GB2312" w:cs="仿宋_GB2312"/>
          <w:color w:val="000000"/>
          <w:kern w:val="0"/>
          <w:sz w:val="32"/>
          <w:szCs w:val="32"/>
          <w:shd w:val="clear" w:color="auto" w:fill="FFFFFF"/>
          <w:lang w:bidi="ar"/>
        </w:rPr>
        <w:t>. 卫生健康支出（210）行政事业单位医疗（11）公务员医疗补助（03）：指财政部门集中安排的公务员医疗补助。</w:t>
      </w:r>
    </w:p>
    <w:p w14:paraId="4C146C43">
      <w:pPr>
        <w:keepNext w:val="0"/>
        <w:keepLines w:val="0"/>
        <w:pageBreakBefore w:val="0"/>
        <w:widowControl/>
        <w:kinsoku/>
        <w:wordWrap/>
        <w:overflowPunct/>
        <w:topLinePunct w:val="0"/>
        <w:autoSpaceDE/>
        <w:autoSpaceDN/>
        <w:bidi w:val="0"/>
        <w:spacing w:beforeAutospacing="0" w:afterAutospacing="0" w:line="560" w:lineRule="exact"/>
        <w:ind w:left="0" w:firstLine="640" w:firstLineChars="200"/>
        <w:jc w:val="left"/>
        <w:textAlignment w:val="auto"/>
        <w:rPr>
          <w:rFonts w:hint="eastAsia" w:ascii="仿宋_GB2312" w:hAnsi="sans-serif" w:eastAsia="仿宋_GB2312" w:cs="仿宋_GB2312"/>
          <w:color w:val="000000"/>
          <w:kern w:val="0"/>
          <w:sz w:val="32"/>
          <w:szCs w:val="32"/>
          <w:shd w:val="clear" w:color="auto" w:fill="FFFFFF"/>
        </w:rPr>
      </w:pPr>
      <w:r>
        <w:rPr>
          <w:rFonts w:hint="eastAsia" w:ascii="仿宋_GB2312" w:hAnsi="sans-serif" w:eastAsia="仿宋_GB2312" w:cs="仿宋_GB2312"/>
          <w:color w:val="000000"/>
          <w:kern w:val="0"/>
          <w:sz w:val="32"/>
          <w:szCs w:val="32"/>
          <w:shd w:val="clear" w:color="auto" w:fill="FFFFFF"/>
          <w:lang w:bidi="ar"/>
        </w:rPr>
        <w:t>1</w:t>
      </w:r>
      <w:r>
        <w:rPr>
          <w:rFonts w:ascii="仿宋_GB2312" w:hAnsi="sans-serif" w:eastAsia="仿宋_GB2312" w:cs="仿宋_GB2312"/>
          <w:color w:val="000000"/>
          <w:kern w:val="0"/>
          <w:sz w:val="32"/>
          <w:szCs w:val="32"/>
          <w:shd w:val="clear" w:color="auto" w:fill="FFFFFF"/>
          <w:lang w:bidi="ar"/>
        </w:rPr>
        <w:t>9.</w:t>
      </w:r>
      <w:r>
        <w:rPr>
          <w:rFonts w:hint="eastAsia" w:ascii="仿宋_GB2312" w:hAnsi="sans-serif" w:eastAsia="仿宋_GB2312" w:cs="仿宋_GB2312"/>
          <w:color w:val="000000"/>
          <w:kern w:val="0"/>
          <w:sz w:val="32"/>
          <w:szCs w:val="32"/>
          <w:shd w:val="clear" w:color="auto" w:fill="FFFFFF"/>
          <w:lang w:bidi="ar"/>
        </w:rPr>
        <w:t xml:space="preserve"> 节能环保支出（21</w:t>
      </w:r>
      <w:r>
        <w:rPr>
          <w:rFonts w:ascii="仿宋_GB2312" w:hAnsi="sans-serif" w:eastAsia="仿宋_GB2312" w:cs="仿宋_GB2312"/>
          <w:color w:val="000000"/>
          <w:kern w:val="0"/>
          <w:sz w:val="32"/>
          <w:szCs w:val="32"/>
          <w:shd w:val="clear" w:color="auto" w:fill="FFFFFF"/>
          <w:lang w:bidi="ar"/>
        </w:rPr>
        <w:t>1</w:t>
      </w:r>
      <w:r>
        <w:rPr>
          <w:rFonts w:hint="eastAsia" w:ascii="仿宋_GB2312" w:hAnsi="sans-serif" w:eastAsia="仿宋_GB2312" w:cs="仿宋_GB2312"/>
          <w:color w:val="000000"/>
          <w:kern w:val="0"/>
          <w:sz w:val="32"/>
          <w:szCs w:val="32"/>
          <w:shd w:val="clear" w:color="auto" w:fill="FFFFFF"/>
          <w:lang w:bidi="ar"/>
        </w:rPr>
        <w:t>）自然生态保护（0</w:t>
      </w:r>
      <w:r>
        <w:rPr>
          <w:rFonts w:ascii="仿宋_GB2312" w:hAnsi="sans-serif" w:eastAsia="仿宋_GB2312" w:cs="仿宋_GB2312"/>
          <w:color w:val="000000"/>
          <w:kern w:val="0"/>
          <w:sz w:val="32"/>
          <w:szCs w:val="32"/>
          <w:shd w:val="clear" w:color="auto" w:fill="FFFFFF"/>
          <w:lang w:bidi="ar"/>
        </w:rPr>
        <w:t>4</w:t>
      </w:r>
      <w:r>
        <w:rPr>
          <w:rFonts w:hint="eastAsia" w:ascii="仿宋_GB2312" w:hAnsi="sans-serif" w:eastAsia="仿宋_GB2312" w:cs="仿宋_GB2312"/>
          <w:color w:val="000000"/>
          <w:kern w:val="0"/>
          <w:sz w:val="32"/>
          <w:szCs w:val="32"/>
          <w:shd w:val="clear" w:color="auto" w:fill="FFFFFF"/>
          <w:lang w:bidi="ar"/>
        </w:rPr>
        <w:t>）农村环境保护（0</w:t>
      </w:r>
      <w:r>
        <w:rPr>
          <w:rFonts w:ascii="仿宋_GB2312" w:hAnsi="sans-serif" w:eastAsia="仿宋_GB2312" w:cs="仿宋_GB2312"/>
          <w:color w:val="000000"/>
          <w:kern w:val="0"/>
          <w:sz w:val="32"/>
          <w:szCs w:val="32"/>
          <w:shd w:val="clear" w:color="auto" w:fill="FFFFFF"/>
          <w:lang w:bidi="ar"/>
        </w:rPr>
        <w:t>2</w:t>
      </w:r>
      <w:r>
        <w:rPr>
          <w:rFonts w:hint="eastAsia" w:ascii="仿宋_GB2312" w:hAnsi="sans-serif" w:eastAsia="仿宋_GB2312" w:cs="仿宋_GB2312"/>
          <w:color w:val="000000"/>
          <w:kern w:val="0"/>
          <w:sz w:val="32"/>
          <w:szCs w:val="32"/>
          <w:shd w:val="clear" w:color="auto" w:fill="FFFFFF"/>
          <w:lang w:bidi="ar"/>
        </w:rPr>
        <w:t>）：指用于农村环境保护方面的支出。</w:t>
      </w:r>
    </w:p>
    <w:p w14:paraId="6CC403DF">
      <w:pPr>
        <w:keepNext w:val="0"/>
        <w:keepLines w:val="0"/>
        <w:pageBreakBefore w:val="0"/>
        <w:widowControl/>
        <w:kinsoku/>
        <w:wordWrap/>
        <w:overflowPunct/>
        <w:topLinePunct w:val="0"/>
        <w:autoSpaceDE/>
        <w:autoSpaceDN/>
        <w:bidi w:val="0"/>
        <w:spacing w:beforeAutospacing="0" w:afterAutospacing="0" w:line="560" w:lineRule="exact"/>
        <w:ind w:left="0" w:firstLine="640" w:firstLineChars="200"/>
        <w:jc w:val="left"/>
        <w:textAlignment w:val="auto"/>
        <w:rPr>
          <w:rFonts w:hint="eastAsia" w:ascii="仿宋_GB2312" w:hAnsi="sans-serif" w:eastAsia="仿宋_GB2312" w:cs="仿宋_GB2312"/>
          <w:color w:val="000000"/>
          <w:kern w:val="0"/>
          <w:sz w:val="32"/>
          <w:szCs w:val="32"/>
          <w:shd w:val="clear" w:color="auto" w:fill="FFFFFF"/>
        </w:rPr>
      </w:pPr>
      <w:r>
        <w:rPr>
          <w:rFonts w:ascii="仿宋_GB2312" w:hAnsi="sans-serif" w:eastAsia="仿宋_GB2312" w:cs="仿宋_GB2312"/>
          <w:color w:val="000000"/>
          <w:kern w:val="0"/>
          <w:sz w:val="32"/>
          <w:szCs w:val="32"/>
          <w:shd w:val="clear" w:color="auto" w:fill="FFFFFF"/>
          <w:lang w:bidi="ar"/>
        </w:rPr>
        <w:t>20</w:t>
      </w:r>
      <w:r>
        <w:rPr>
          <w:rFonts w:hint="eastAsia" w:ascii="仿宋_GB2312" w:hAnsi="sans-serif" w:eastAsia="仿宋_GB2312" w:cs="仿宋_GB2312"/>
          <w:color w:val="000000"/>
          <w:kern w:val="0"/>
          <w:sz w:val="32"/>
          <w:szCs w:val="32"/>
          <w:shd w:val="clear" w:color="auto" w:fill="FFFFFF"/>
          <w:lang w:bidi="ar"/>
        </w:rPr>
        <w:t>.城乡社区支出（212）城乡环境卫生（05）城乡环境卫生（01）：指城乡社区道路清扫、垃圾清运与处理、公厕建设与维护、园林绿化等方面的支出。</w:t>
      </w:r>
    </w:p>
    <w:p w14:paraId="36D567B1">
      <w:pPr>
        <w:keepNext w:val="0"/>
        <w:keepLines w:val="0"/>
        <w:pageBreakBefore w:val="0"/>
        <w:kinsoku/>
        <w:wordWrap/>
        <w:overflowPunct/>
        <w:topLinePunct w:val="0"/>
        <w:autoSpaceDE/>
        <w:autoSpaceDN/>
        <w:bidi w:val="0"/>
        <w:spacing w:beforeAutospacing="0" w:afterAutospacing="0" w:line="560" w:lineRule="exact"/>
        <w:ind w:left="0" w:firstLine="640" w:firstLineChars="200"/>
        <w:jc w:val="left"/>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color w:val="000000"/>
          <w:kern w:val="0"/>
          <w:sz w:val="32"/>
          <w:szCs w:val="32"/>
          <w:shd w:val="clear" w:color="auto" w:fill="FFFFFF"/>
          <w:lang w:bidi="ar"/>
        </w:rPr>
        <w:t>2</w:t>
      </w:r>
      <w:r>
        <w:rPr>
          <w:rFonts w:ascii="仿宋_GB2312" w:hAnsi="sans-serif" w:eastAsia="仿宋_GB2312" w:cs="仿宋_GB2312"/>
          <w:color w:val="000000"/>
          <w:kern w:val="0"/>
          <w:sz w:val="32"/>
          <w:szCs w:val="32"/>
          <w:shd w:val="clear" w:color="auto" w:fill="FFFFFF"/>
          <w:lang w:bidi="ar"/>
        </w:rPr>
        <w:t>1</w:t>
      </w:r>
      <w:r>
        <w:rPr>
          <w:rFonts w:hint="eastAsia" w:ascii="仿宋_GB2312" w:hAnsi="sans-serif" w:eastAsia="仿宋_GB2312" w:cs="仿宋_GB2312"/>
          <w:color w:val="000000"/>
          <w:kern w:val="0"/>
          <w:sz w:val="32"/>
          <w:szCs w:val="32"/>
          <w:shd w:val="clear" w:color="auto" w:fill="FFFFFF"/>
          <w:lang w:bidi="ar"/>
        </w:rPr>
        <w:t>.农林水支出（213）农业农村（01）农业生产发展（2</w:t>
      </w:r>
      <w:r>
        <w:rPr>
          <w:rFonts w:ascii="仿宋_GB2312" w:hAnsi="sans-serif" w:eastAsia="仿宋_GB2312" w:cs="仿宋_GB2312"/>
          <w:color w:val="000000"/>
          <w:kern w:val="0"/>
          <w:sz w:val="32"/>
          <w:szCs w:val="32"/>
          <w:shd w:val="clear" w:color="auto" w:fill="FFFFFF"/>
          <w:lang w:bidi="ar"/>
        </w:rPr>
        <w:t>2</w:t>
      </w:r>
      <w:r>
        <w:rPr>
          <w:rFonts w:hint="eastAsia" w:ascii="仿宋_GB2312" w:hAnsi="sans-serif" w:eastAsia="仿宋_GB2312" w:cs="仿宋_GB2312"/>
          <w:color w:val="000000"/>
          <w:kern w:val="0"/>
          <w:sz w:val="32"/>
          <w:szCs w:val="32"/>
          <w:shd w:val="clear" w:color="auto" w:fill="FFFFFF"/>
          <w:lang w:bidi="ar"/>
        </w:rPr>
        <w:t>）：指用于耕地地力保护、适度规模经营、农机购置补贴、优势特色主导产业发展、畜牧水产发展 农村一二三产业融合等方面支出。</w:t>
      </w:r>
    </w:p>
    <w:p w14:paraId="33F7B782">
      <w:pPr>
        <w:keepNext w:val="0"/>
        <w:keepLines w:val="0"/>
        <w:pageBreakBefore w:val="0"/>
        <w:kinsoku/>
        <w:wordWrap/>
        <w:overflowPunct/>
        <w:topLinePunct w:val="0"/>
        <w:autoSpaceDE/>
        <w:autoSpaceDN/>
        <w:bidi w:val="0"/>
        <w:spacing w:beforeAutospacing="0" w:afterAutospacing="0" w:line="560" w:lineRule="exact"/>
        <w:ind w:left="0" w:firstLine="640" w:firstLineChars="200"/>
        <w:jc w:val="left"/>
        <w:textAlignment w:val="auto"/>
        <w:rPr>
          <w:rFonts w:hint="eastAsia" w:ascii="仿宋_GB2312" w:hAnsi="sans-serif" w:eastAsia="仿宋_GB2312" w:cs="仿宋_GB2312"/>
          <w:color w:val="000000"/>
          <w:kern w:val="0"/>
          <w:sz w:val="32"/>
          <w:szCs w:val="32"/>
          <w:shd w:val="clear" w:color="auto" w:fill="FFFFFF"/>
        </w:rPr>
      </w:pPr>
      <w:r>
        <w:rPr>
          <w:rFonts w:hint="eastAsia" w:ascii="仿宋_GB2312" w:hAnsi="sans-serif" w:eastAsia="仿宋_GB2312" w:cs="仿宋_GB2312"/>
          <w:color w:val="000000"/>
          <w:kern w:val="0"/>
          <w:sz w:val="32"/>
          <w:szCs w:val="32"/>
          <w:shd w:val="clear" w:color="auto" w:fill="FFFFFF"/>
          <w:lang w:bidi="ar"/>
        </w:rPr>
        <w:t>2</w:t>
      </w:r>
      <w:r>
        <w:rPr>
          <w:rFonts w:ascii="仿宋_GB2312" w:hAnsi="sans-serif" w:eastAsia="仿宋_GB2312" w:cs="仿宋_GB2312"/>
          <w:color w:val="000000"/>
          <w:kern w:val="0"/>
          <w:sz w:val="32"/>
          <w:szCs w:val="32"/>
          <w:shd w:val="clear" w:color="auto" w:fill="FFFFFF"/>
          <w:lang w:bidi="ar"/>
        </w:rPr>
        <w:t>2</w:t>
      </w:r>
      <w:r>
        <w:rPr>
          <w:rFonts w:hint="eastAsia" w:ascii="仿宋_GB2312" w:hAnsi="sans-serif" w:eastAsia="仿宋_GB2312" w:cs="仿宋_GB2312"/>
          <w:color w:val="000000"/>
          <w:kern w:val="0"/>
          <w:sz w:val="32"/>
          <w:szCs w:val="32"/>
          <w:shd w:val="clear" w:color="auto" w:fill="FFFFFF"/>
          <w:lang w:bidi="ar"/>
        </w:rPr>
        <w:t>.农林水支出（213）林业和草原（02）森林草原防灾减灾（34）：指森林草原防灾减灾方面的支出。</w:t>
      </w:r>
    </w:p>
    <w:p w14:paraId="4147D7A2">
      <w:pPr>
        <w:keepNext w:val="0"/>
        <w:keepLines w:val="0"/>
        <w:pageBreakBefore w:val="0"/>
        <w:kinsoku/>
        <w:wordWrap/>
        <w:overflowPunct/>
        <w:topLinePunct w:val="0"/>
        <w:autoSpaceDE/>
        <w:autoSpaceDN/>
        <w:bidi w:val="0"/>
        <w:spacing w:beforeAutospacing="0" w:afterAutospacing="0" w:line="560" w:lineRule="exact"/>
        <w:ind w:left="0" w:firstLine="640" w:firstLineChars="200"/>
        <w:jc w:val="left"/>
        <w:textAlignment w:val="auto"/>
        <w:rPr>
          <w:rFonts w:hint="eastAsia" w:ascii="仿宋_GB2312" w:hAnsi="sans-serif" w:eastAsia="仿宋_GB2312" w:cs="仿宋_GB2312"/>
          <w:color w:val="000000"/>
          <w:kern w:val="0"/>
          <w:sz w:val="32"/>
          <w:szCs w:val="32"/>
          <w:shd w:val="clear" w:color="auto" w:fill="FFFFFF"/>
        </w:rPr>
      </w:pPr>
      <w:r>
        <w:rPr>
          <w:rFonts w:hint="eastAsia" w:ascii="仿宋_GB2312" w:hAnsi="sans-serif" w:eastAsia="仿宋_GB2312" w:cs="仿宋_GB2312"/>
          <w:color w:val="000000"/>
          <w:kern w:val="0"/>
          <w:sz w:val="32"/>
          <w:szCs w:val="32"/>
          <w:shd w:val="clear" w:color="auto" w:fill="FFFFFF"/>
          <w:lang w:bidi="ar"/>
        </w:rPr>
        <w:t>2</w:t>
      </w:r>
      <w:r>
        <w:rPr>
          <w:rFonts w:ascii="仿宋_GB2312" w:hAnsi="sans-serif" w:eastAsia="仿宋_GB2312" w:cs="仿宋_GB2312"/>
          <w:color w:val="000000"/>
          <w:kern w:val="0"/>
          <w:sz w:val="32"/>
          <w:szCs w:val="32"/>
          <w:shd w:val="clear" w:color="auto" w:fill="FFFFFF"/>
          <w:lang w:bidi="ar"/>
        </w:rPr>
        <w:t>3</w:t>
      </w:r>
      <w:r>
        <w:rPr>
          <w:rFonts w:hint="eastAsia" w:ascii="仿宋_GB2312" w:hAnsi="sans-serif" w:eastAsia="仿宋_GB2312" w:cs="仿宋_GB2312"/>
          <w:color w:val="000000"/>
          <w:kern w:val="0"/>
          <w:sz w:val="32"/>
          <w:szCs w:val="32"/>
          <w:shd w:val="clear" w:color="auto" w:fill="FFFFFF"/>
          <w:lang w:bidi="ar"/>
        </w:rPr>
        <w:t>.农林水支出（213）巩固脱贫攻坚成果衔接乡村振兴（05）其他巩固脱贫攻坚成果衔接乡村振兴支（99）：指用于其他巩固脱贫攻坚成果衔接乡村振的兴支出。</w:t>
      </w:r>
    </w:p>
    <w:p w14:paraId="7C2840C8">
      <w:pPr>
        <w:pStyle w:val="10"/>
        <w:keepNext w:val="0"/>
        <w:keepLines w:val="0"/>
        <w:pageBreakBefore w:val="0"/>
        <w:widowControl/>
        <w:kinsoku/>
        <w:wordWrap/>
        <w:overflowPunct/>
        <w:topLinePunct w:val="0"/>
        <w:autoSpaceDE/>
        <w:autoSpaceDN/>
        <w:bidi w:val="0"/>
        <w:spacing w:beforeAutospacing="0" w:afterAutospacing="0" w:line="560" w:lineRule="exact"/>
        <w:ind w:left="0" w:firstLine="640" w:firstLineChars="200"/>
        <w:textAlignment w:val="auto"/>
        <w:rPr>
          <w:rFonts w:hint="eastAsia" w:ascii="仿宋_GB2312" w:hAnsi="sans-serif" w:eastAsia="仿宋_GB2312" w:cs="仿宋_GB2312"/>
          <w:color w:val="000000"/>
          <w:kern w:val="0"/>
          <w:sz w:val="32"/>
          <w:szCs w:val="32"/>
          <w:shd w:val="clear" w:color="auto" w:fill="FFFFFF"/>
        </w:rPr>
      </w:pPr>
      <w:r>
        <w:rPr>
          <w:rFonts w:hint="eastAsia" w:ascii="仿宋_GB2312" w:hAnsi="sans-serif" w:eastAsia="仿宋_GB2312" w:cs="仿宋_GB2312"/>
          <w:color w:val="000000"/>
          <w:kern w:val="0"/>
          <w:sz w:val="32"/>
          <w:szCs w:val="32"/>
          <w:shd w:val="clear" w:color="auto" w:fill="FFFFFF"/>
        </w:rPr>
        <w:t>2</w:t>
      </w:r>
      <w:r>
        <w:rPr>
          <w:rFonts w:ascii="仿宋_GB2312" w:hAnsi="sans-serif" w:eastAsia="仿宋_GB2312" w:cs="仿宋_GB2312"/>
          <w:color w:val="000000"/>
          <w:kern w:val="0"/>
          <w:sz w:val="32"/>
          <w:szCs w:val="32"/>
          <w:shd w:val="clear" w:color="auto" w:fill="FFFFFF"/>
        </w:rPr>
        <w:t>4</w:t>
      </w:r>
      <w:r>
        <w:rPr>
          <w:rFonts w:hint="eastAsia" w:ascii="仿宋_GB2312" w:hAnsi="sans-serif" w:eastAsia="仿宋_GB2312" w:cs="仿宋_GB2312"/>
          <w:color w:val="000000"/>
          <w:kern w:val="0"/>
          <w:sz w:val="32"/>
          <w:szCs w:val="32"/>
          <w:shd w:val="clear" w:color="auto" w:fill="FFFFFF"/>
        </w:rPr>
        <w:t>.农林水支出（213）农村综合改革（07）对村民委员会和村党支部的补助（05）：指对村民委员会和村党支部的补助。</w:t>
      </w:r>
    </w:p>
    <w:p w14:paraId="2F4A3E2E">
      <w:pPr>
        <w:keepNext w:val="0"/>
        <w:keepLines w:val="0"/>
        <w:pageBreakBefore w:val="0"/>
        <w:kinsoku/>
        <w:wordWrap/>
        <w:overflowPunct/>
        <w:topLinePunct w:val="0"/>
        <w:autoSpaceDE/>
        <w:autoSpaceDN/>
        <w:bidi w:val="0"/>
        <w:spacing w:beforeAutospacing="0" w:afterAutospacing="0" w:line="560" w:lineRule="exact"/>
        <w:ind w:left="0" w:firstLine="640" w:firstLineChars="200"/>
        <w:textAlignment w:val="auto"/>
        <w:rPr>
          <w:rFonts w:hint="eastAsia" w:ascii="仿宋_GB2312" w:hAnsi="sans-serif" w:eastAsia="仿宋_GB2312" w:cs="仿宋_GB2312"/>
          <w:color w:val="000000"/>
          <w:kern w:val="0"/>
          <w:sz w:val="32"/>
          <w:szCs w:val="32"/>
          <w:shd w:val="clear" w:color="auto" w:fill="FFFFFF"/>
        </w:rPr>
      </w:pPr>
      <w:r>
        <w:rPr>
          <w:rFonts w:hint="eastAsia" w:ascii="仿宋_GB2312" w:hAnsi="sans-serif" w:eastAsia="仿宋_GB2312" w:cs="仿宋_GB2312"/>
          <w:color w:val="000000"/>
          <w:kern w:val="0"/>
          <w:sz w:val="32"/>
          <w:szCs w:val="32"/>
          <w:shd w:val="clear" w:color="auto" w:fill="FFFFFF"/>
          <w:lang w:bidi="ar"/>
        </w:rPr>
        <w:t>2</w:t>
      </w:r>
      <w:r>
        <w:rPr>
          <w:rFonts w:ascii="仿宋_GB2312" w:hAnsi="sans-serif" w:eastAsia="仿宋_GB2312" w:cs="仿宋_GB2312"/>
          <w:color w:val="000000"/>
          <w:kern w:val="0"/>
          <w:sz w:val="32"/>
          <w:szCs w:val="32"/>
          <w:shd w:val="clear" w:color="auto" w:fill="FFFFFF"/>
          <w:lang w:bidi="ar"/>
        </w:rPr>
        <w:t>5</w:t>
      </w:r>
      <w:r>
        <w:rPr>
          <w:rFonts w:hint="eastAsia" w:ascii="仿宋_GB2312" w:hAnsi="sans-serif" w:eastAsia="仿宋_GB2312" w:cs="仿宋_GB2312"/>
          <w:color w:val="000000"/>
          <w:kern w:val="0"/>
          <w:sz w:val="32"/>
          <w:szCs w:val="32"/>
          <w:shd w:val="clear" w:color="auto" w:fill="FFFFFF"/>
          <w:lang w:bidi="ar"/>
        </w:rPr>
        <w:t>.住房保障支出（221）住房改革支出（02）住房公积金（01）：指行政事业单位按人力资源和社会保障部、财政部规定的基本工资和津补贴依规定比例为职工缴纳住房公积金。</w:t>
      </w:r>
    </w:p>
    <w:p w14:paraId="634ED3FA">
      <w:pPr>
        <w:keepNext w:val="0"/>
        <w:keepLines w:val="0"/>
        <w:pageBreakBefore w:val="0"/>
        <w:kinsoku/>
        <w:wordWrap/>
        <w:overflowPunct/>
        <w:topLinePunct w:val="0"/>
        <w:autoSpaceDE/>
        <w:autoSpaceDN/>
        <w:bidi w:val="0"/>
        <w:spacing w:beforeAutospacing="0" w:afterAutospacing="0" w:line="560" w:lineRule="exact"/>
        <w:ind w:left="0" w:firstLine="640"/>
        <w:textAlignment w:val="auto"/>
        <w:rPr>
          <w:rFonts w:eastAsia="仿宋_GB2312" w:cs="仿宋_GB2312"/>
          <w:sz w:val="32"/>
          <w:szCs w:val="32"/>
        </w:rPr>
      </w:pPr>
      <w:r>
        <w:rPr>
          <w:rFonts w:hint="eastAsia" w:ascii="仿宋_GB2312" w:hAnsi="sans-serif" w:eastAsia="仿宋_GB2312" w:cs="仿宋_GB2312"/>
          <w:color w:val="000000"/>
          <w:kern w:val="0"/>
          <w:sz w:val="32"/>
          <w:szCs w:val="32"/>
          <w:shd w:val="clear" w:color="auto" w:fill="FFFFFF"/>
        </w:rPr>
        <w:t>2</w:t>
      </w:r>
      <w:r>
        <w:rPr>
          <w:rFonts w:ascii="仿宋_GB2312" w:hAnsi="sans-serif" w:eastAsia="仿宋_GB2312" w:cs="仿宋_GB2312"/>
          <w:color w:val="000000"/>
          <w:kern w:val="0"/>
          <w:sz w:val="32"/>
          <w:szCs w:val="32"/>
          <w:shd w:val="clear" w:color="auto" w:fill="FFFFFF"/>
        </w:rPr>
        <w:t>6</w:t>
      </w:r>
      <w:r>
        <w:rPr>
          <w:rFonts w:hint="eastAsia" w:ascii="仿宋_GB2312" w:hAnsi="sans-serif" w:eastAsia="仿宋_GB2312" w:cs="仿宋_GB2312"/>
          <w:color w:val="000000"/>
          <w:kern w:val="0"/>
          <w:sz w:val="32"/>
          <w:szCs w:val="32"/>
          <w:shd w:val="clear" w:color="auto" w:fill="FFFFFF"/>
        </w:rPr>
        <w:t>.灾害防治及应急管理支出（224）自然灾害防治（06）地质灾害防治（0</w:t>
      </w:r>
      <w:r>
        <w:rPr>
          <w:rFonts w:ascii="仿宋_GB2312" w:hAnsi="sans-serif" w:eastAsia="仿宋_GB2312" w:cs="仿宋_GB2312"/>
          <w:color w:val="000000"/>
          <w:kern w:val="0"/>
          <w:sz w:val="32"/>
          <w:szCs w:val="32"/>
          <w:shd w:val="clear" w:color="auto" w:fill="FFFFFF"/>
        </w:rPr>
        <w:t>1</w:t>
      </w:r>
      <w:r>
        <w:rPr>
          <w:rFonts w:hint="eastAsia" w:ascii="仿宋_GB2312" w:hAnsi="sans-serif" w:eastAsia="仿宋_GB2312" w:cs="仿宋_GB2312"/>
          <w:color w:val="000000"/>
          <w:kern w:val="0"/>
          <w:sz w:val="32"/>
          <w:szCs w:val="32"/>
          <w:shd w:val="clear" w:color="auto" w:fill="FFFFFF"/>
        </w:rPr>
        <w:t>）:指用于防治地质灾害方面的支出。</w:t>
      </w:r>
    </w:p>
    <w:p w14:paraId="6F2A688E">
      <w:pPr>
        <w:keepNext w:val="0"/>
        <w:keepLines w:val="0"/>
        <w:pageBreakBefore w:val="0"/>
        <w:kinsoku/>
        <w:wordWrap/>
        <w:overflowPunct/>
        <w:topLinePunct w:val="0"/>
        <w:autoSpaceDE/>
        <w:autoSpaceDN/>
        <w:bidi w:val="0"/>
        <w:spacing w:beforeAutospacing="0" w:afterAutospacing="0" w:line="560" w:lineRule="exact"/>
        <w:ind w:left="0" w:firstLine="640"/>
        <w:textAlignment w:val="auto"/>
        <w:rPr>
          <w:rFonts w:eastAsia="仿宋_GB2312" w:cs="仿宋_GB2312"/>
          <w:sz w:val="32"/>
          <w:szCs w:val="32"/>
        </w:rPr>
      </w:pPr>
      <w:r>
        <w:rPr>
          <w:rFonts w:hint="eastAsia" w:ascii="Times New Roman" w:hAnsi="Times New Roman" w:eastAsia="仿宋_GB2312" w:cs="仿宋_GB2312"/>
          <w:b/>
          <w:bCs/>
          <w:sz w:val="32"/>
          <w:szCs w:val="32"/>
          <w:lang w:bidi="ar"/>
        </w:rPr>
        <w:t>（注：解释本部门决算报表中涉及的全部功能分类科目至项级，不涉及的科目请自行删除。请参照《</w:t>
      </w:r>
      <w:r>
        <w:rPr>
          <w:rFonts w:ascii="Times New Roman" w:hAnsi="Times New Roman" w:eastAsia="仿宋_GB2312" w:cs="仿宋_GB2312"/>
          <w:b/>
          <w:bCs/>
          <w:sz w:val="32"/>
          <w:szCs w:val="32"/>
          <w:lang w:bidi="ar"/>
        </w:rPr>
        <w:t>2025</w:t>
      </w:r>
      <w:r>
        <w:rPr>
          <w:rFonts w:hint="eastAsia" w:ascii="Times New Roman" w:hAnsi="Times New Roman" w:eastAsia="仿宋_GB2312" w:cs="仿宋_GB2312"/>
          <w:b/>
          <w:bCs/>
          <w:sz w:val="32"/>
          <w:szCs w:val="32"/>
          <w:lang w:bidi="ar"/>
        </w:rPr>
        <w:t>年政府收支分类科目》增减内容）</w:t>
      </w:r>
    </w:p>
    <w:p w14:paraId="03EC3DEC">
      <w:pPr>
        <w:keepNext w:val="0"/>
        <w:keepLines w:val="0"/>
        <w:pageBreakBefore w:val="0"/>
        <w:kinsoku/>
        <w:wordWrap/>
        <w:overflowPunct/>
        <w:topLinePunct w:val="0"/>
        <w:autoSpaceDE/>
        <w:autoSpaceDN/>
        <w:bidi w:val="0"/>
        <w:spacing w:beforeAutospacing="0" w:afterAutospacing="0"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27.</w:t>
      </w:r>
      <w:r>
        <w:rPr>
          <w:rFonts w:hint="eastAsia" w:ascii="Times New Roman" w:hAnsi="Times New Roman" w:eastAsia="仿宋_GB2312" w:cs="仿宋_GB2312"/>
          <w:sz w:val="32"/>
          <w:szCs w:val="32"/>
          <w:lang w:bidi="ar"/>
        </w:rPr>
        <w:t>基本支出：指为保障机构正常运转、完成日常工作任务而发生的人员支出和公用支出。</w:t>
      </w:r>
    </w:p>
    <w:p w14:paraId="5764EB1C">
      <w:pPr>
        <w:keepNext w:val="0"/>
        <w:keepLines w:val="0"/>
        <w:pageBreakBefore w:val="0"/>
        <w:kinsoku/>
        <w:wordWrap/>
        <w:overflowPunct/>
        <w:topLinePunct w:val="0"/>
        <w:autoSpaceDE/>
        <w:autoSpaceDN/>
        <w:bidi w:val="0"/>
        <w:spacing w:beforeAutospacing="0" w:afterAutospacing="0"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28.</w:t>
      </w:r>
      <w:r>
        <w:rPr>
          <w:rFonts w:hint="eastAsia" w:ascii="Times New Roman" w:hAnsi="Times New Roman" w:eastAsia="仿宋_GB2312" w:cs="仿宋_GB2312"/>
          <w:sz w:val="32"/>
          <w:szCs w:val="32"/>
          <w:lang w:bidi="ar"/>
        </w:rPr>
        <w:t>项目支出：指在基本支出之外为完成特定行政任务和事业发展目标所发生的支出。</w:t>
      </w:r>
      <w:r>
        <w:rPr>
          <w:rFonts w:ascii="Times New Roman" w:hAnsi="Times New Roman" w:eastAsia="仿宋_GB2312" w:cs="仿宋_GB2312"/>
          <w:sz w:val="32"/>
          <w:szCs w:val="32"/>
          <w:lang w:bidi="ar"/>
        </w:rPr>
        <w:t xml:space="preserve"> </w:t>
      </w:r>
    </w:p>
    <w:p w14:paraId="10D0FB74">
      <w:pPr>
        <w:keepNext w:val="0"/>
        <w:keepLines w:val="0"/>
        <w:pageBreakBefore w:val="0"/>
        <w:kinsoku/>
        <w:wordWrap/>
        <w:overflowPunct/>
        <w:topLinePunct w:val="0"/>
        <w:autoSpaceDE/>
        <w:autoSpaceDN/>
        <w:bidi w:val="0"/>
        <w:spacing w:beforeAutospacing="0" w:afterAutospacing="0"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29.</w:t>
      </w:r>
      <w:r>
        <w:rPr>
          <w:rFonts w:hint="eastAsia" w:ascii="Times New Roman" w:hAnsi="Times New Roman" w:eastAsia="仿宋_GB2312" w:cs="仿宋_GB2312"/>
          <w:sz w:val="32"/>
          <w:szCs w:val="32"/>
          <w:lang w:bidi="ar"/>
        </w:rPr>
        <w:t>经营支出：指事业单位在专业业务活动及其辅助活动之外开展非独立核算经营活动发生的支出。</w:t>
      </w:r>
    </w:p>
    <w:p w14:paraId="08F8890E">
      <w:pPr>
        <w:keepNext w:val="0"/>
        <w:keepLines w:val="0"/>
        <w:pageBreakBefore w:val="0"/>
        <w:kinsoku/>
        <w:wordWrap/>
        <w:overflowPunct/>
        <w:topLinePunct w:val="0"/>
        <w:autoSpaceDE/>
        <w:autoSpaceDN/>
        <w:bidi w:val="0"/>
        <w:spacing w:beforeAutospacing="0" w:afterAutospacing="0"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30.</w:t>
      </w:r>
      <w:r>
        <w:rPr>
          <w:rFonts w:hint="eastAsia" w:ascii="Times New Roman" w:hAnsi="Times New Roman" w:eastAsia="仿宋_GB2312" w:cs="仿宋_GB2312"/>
          <w:sz w:val="32"/>
          <w:szCs w:val="32"/>
          <w:lang w:bidi="ar"/>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1B77820">
      <w:pPr>
        <w:keepNext w:val="0"/>
        <w:keepLines w:val="0"/>
        <w:pageBreakBefore w:val="0"/>
        <w:kinsoku/>
        <w:wordWrap/>
        <w:overflowPunct/>
        <w:topLinePunct w:val="0"/>
        <w:autoSpaceDE/>
        <w:autoSpaceDN/>
        <w:bidi w:val="0"/>
        <w:spacing w:beforeAutospacing="0" w:afterAutospacing="0"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31.</w:t>
      </w:r>
      <w:r>
        <w:rPr>
          <w:rFonts w:hint="eastAsia" w:ascii="Times New Roman" w:hAnsi="Times New Roman" w:eastAsia="仿宋_GB2312" w:cs="仿宋_GB2312"/>
          <w:sz w:val="32"/>
          <w:szCs w:val="32"/>
          <w:lang w:bidi="ar"/>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F4DF2DF">
      <w:pPr>
        <w:keepNext w:val="0"/>
        <w:keepLines w:val="0"/>
        <w:pageBreakBefore w:val="0"/>
        <w:kinsoku/>
        <w:wordWrap/>
        <w:overflowPunct/>
        <w:topLinePunct w:val="0"/>
        <w:autoSpaceDE/>
        <w:autoSpaceDN/>
        <w:bidi w:val="0"/>
        <w:spacing w:beforeAutospacing="0" w:afterAutospacing="0" w:line="560" w:lineRule="exact"/>
        <w:ind w:left="0" w:firstLine="640"/>
        <w:textAlignment w:val="auto"/>
        <w:rPr>
          <w:rFonts w:eastAsia="仿宋_GB2312" w:cs="仿宋_GB2312"/>
          <w:b/>
          <w:bCs/>
          <w:sz w:val="32"/>
          <w:szCs w:val="32"/>
        </w:rPr>
      </w:pPr>
      <w:r>
        <w:rPr>
          <w:rFonts w:hint="eastAsia" w:ascii="Times New Roman" w:hAnsi="Times New Roman" w:eastAsia="仿宋_GB2312" w:cs="仿宋_GB2312"/>
          <w:b/>
          <w:bCs/>
          <w:sz w:val="32"/>
          <w:szCs w:val="32"/>
          <w:lang w:bidi="ar"/>
        </w:rPr>
        <w:t>（注：名词解释部分请根据各部门实际列支情况罗列，并根据本部门职责职能增减名词解释内容）</w:t>
      </w:r>
    </w:p>
    <w:p w14:paraId="36FF4C15">
      <w:pPr>
        <w:keepNext w:val="0"/>
        <w:keepLines w:val="0"/>
        <w:pageBreakBefore w:val="0"/>
        <w:kinsoku/>
        <w:wordWrap/>
        <w:overflowPunct/>
        <w:topLinePunct w:val="0"/>
        <w:autoSpaceDE/>
        <w:autoSpaceDN/>
        <w:bidi w:val="0"/>
        <w:spacing w:beforeAutospacing="0" w:afterAutospacing="0" w:line="560" w:lineRule="exact"/>
        <w:ind w:left="0"/>
        <w:jc w:val="center"/>
        <w:textAlignment w:val="auto"/>
        <w:rPr>
          <w:rFonts w:eastAsia="黑体"/>
          <w:bCs/>
          <w:sz w:val="44"/>
          <w:szCs w:val="44"/>
        </w:rPr>
      </w:pPr>
      <w:r>
        <w:rPr>
          <w:rFonts w:ascii="Times New Roman" w:hAnsi="Times New Roman" w:eastAsia="仿宋_GB2312" w:cs="仿宋_GB2312"/>
          <w:sz w:val="32"/>
          <w:szCs w:val="32"/>
          <w:lang w:bidi="ar"/>
        </w:rPr>
        <w:br w:type="page"/>
      </w:r>
      <w:bookmarkStart w:id="50" w:name="_Toc15396614"/>
      <w:bookmarkStart w:id="51" w:name="_Toc15377226"/>
      <w:r>
        <w:rPr>
          <w:rFonts w:hint="eastAsia" w:ascii="Times New Roman" w:hAnsi="Times New Roman" w:eastAsia="黑体" w:cs="黑体"/>
          <w:sz w:val="44"/>
          <w:szCs w:val="44"/>
          <w:lang w:bidi="ar"/>
        </w:rPr>
        <w:t>第四部分</w:t>
      </w:r>
      <w:r>
        <w:rPr>
          <w:rFonts w:ascii="Times New Roman" w:hAnsi="Times New Roman" w:eastAsia="黑体" w:cs="Times New Roman"/>
          <w:sz w:val="44"/>
          <w:szCs w:val="44"/>
          <w:lang w:bidi="ar"/>
        </w:rPr>
        <w:t xml:space="preserve">  </w:t>
      </w:r>
      <w:r>
        <w:rPr>
          <w:rFonts w:hint="eastAsia" w:ascii="Times New Roman" w:hAnsi="Times New Roman" w:eastAsia="黑体" w:cs="黑体"/>
          <w:sz w:val="44"/>
          <w:szCs w:val="44"/>
          <w:lang w:bidi="ar"/>
        </w:rPr>
        <w:t>附件</w:t>
      </w:r>
      <w:bookmarkEnd w:id="50"/>
    </w:p>
    <w:p w14:paraId="448BD8B7">
      <w:pPr>
        <w:keepNext w:val="0"/>
        <w:keepLines w:val="0"/>
        <w:pageBreakBefore w:val="0"/>
        <w:kinsoku/>
        <w:wordWrap/>
        <w:overflowPunct/>
        <w:topLinePunct w:val="0"/>
        <w:autoSpaceDE/>
        <w:autoSpaceDN/>
        <w:bidi w:val="0"/>
        <w:spacing w:beforeAutospacing="0" w:afterAutospacing="0" w:line="560" w:lineRule="exact"/>
        <w:ind w:left="0"/>
        <w:jc w:val="left"/>
        <w:textAlignment w:val="auto"/>
        <w:outlineLvl w:val="0"/>
        <w:rPr>
          <w:rFonts w:eastAsia="黑体" w:cs="黑体"/>
          <w:color w:val="FF0000"/>
          <w:sz w:val="32"/>
          <w:szCs w:val="32"/>
        </w:rPr>
      </w:pPr>
    </w:p>
    <w:p w14:paraId="413D2D99">
      <w:pPr>
        <w:keepNext w:val="0"/>
        <w:keepLines w:val="0"/>
        <w:pageBreakBefore w:val="0"/>
        <w:kinsoku/>
        <w:wordWrap/>
        <w:overflowPunct/>
        <w:topLinePunct w:val="0"/>
        <w:autoSpaceDE/>
        <w:autoSpaceDN/>
        <w:bidi w:val="0"/>
        <w:spacing w:beforeAutospacing="0" w:afterAutospacing="0" w:line="560" w:lineRule="exact"/>
        <w:ind w:left="0"/>
        <w:jc w:val="left"/>
        <w:textAlignment w:val="auto"/>
        <w:outlineLvl w:val="0"/>
        <w:rPr>
          <w:rFonts w:eastAsia="黑体" w:cs="方正小标宋简体"/>
          <w:sz w:val="44"/>
          <w:szCs w:val="44"/>
        </w:rPr>
      </w:pPr>
      <w:r>
        <w:rPr>
          <w:rFonts w:hint="eastAsia" w:ascii="Times New Roman" w:hAnsi="Times New Roman" w:eastAsia="黑体" w:cs="黑体"/>
          <w:sz w:val="32"/>
          <w:szCs w:val="32"/>
          <w:lang w:bidi="ar"/>
        </w:rPr>
        <w:t>附件</w:t>
      </w:r>
      <w:r>
        <w:rPr>
          <w:rFonts w:ascii="Times New Roman" w:hAnsi="Times New Roman" w:eastAsia="黑体" w:cs="黑体"/>
          <w:sz w:val="32"/>
          <w:szCs w:val="32"/>
          <w:lang w:bidi="ar"/>
        </w:rPr>
        <w:t>1</w:t>
      </w:r>
    </w:p>
    <w:p w14:paraId="12CBE09F">
      <w:pPr>
        <w:pStyle w:val="12"/>
        <w:keepNext w:val="0"/>
        <w:keepLines w:val="0"/>
        <w:pageBreakBefore w:val="0"/>
        <w:widowControl/>
        <w:kinsoku/>
        <w:wordWrap/>
        <w:overflowPunct/>
        <w:topLinePunct w:val="0"/>
        <w:autoSpaceDE/>
        <w:autoSpaceDN/>
        <w:bidi w:val="0"/>
        <w:spacing w:beforeAutospacing="0" w:afterAutospacing="0" w:line="560" w:lineRule="exact"/>
        <w:ind w:left="0"/>
        <w:jc w:val="center"/>
        <w:textAlignment w:val="auto"/>
        <w:rPr>
          <w:rFonts w:eastAsia="方正小标宋简体"/>
          <w:bCs/>
          <w:sz w:val="44"/>
          <w:szCs w:val="44"/>
          <w:shd w:val="clear" w:color="auto" w:fill="FFFFFF"/>
        </w:rPr>
      </w:pPr>
    </w:p>
    <w:p w14:paraId="7020FE22">
      <w:pPr>
        <w:pStyle w:val="12"/>
        <w:keepNext w:val="0"/>
        <w:keepLines w:val="0"/>
        <w:pageBreakBefore w:val="0"/>
        <w:widowControl/>
        <w:kinsoku/>
        <w:wordWrap/>
        <w:overflowPunct/>
        <w:topLinePunct w:val="0"/>
        <w:autoSpaceDE/>
        <w:autoSpaceDN/>
        <w:bidi w:val="0"/>
        <w:spacing w:beforeAutospacing="0" w:afterAutospacing="0" w:line="560" w:lineRule="exact"/>
        <w:ind w:left="0"/>
        <w:jc w:val="center"/>
        <w:textAlignment w:val="auto"/>
        <w:rPr>
          <w:rFonts w:eastAsia="方正小标宋简体"/>
          <w:bCs/>
          <w:sz w:val="44"/>
          <w:szCs w:val="44"/>
          <w:shd w:val="clear" w:color="auto" w:fill="FFFFFF"/>
        </w:rPr>
      </w:pPr>
      <w:r>
        <w:rPr>
          <w:rFonts w:hint="eastAsia" w:ascii="Times New Roman" w:hAnsi="方正小标宋简体" w:eastAsia="方正小标宋简体" w:cs="方正小标宋简体"/>
          <w:bCs/>
          <w:sz w:val="44"/>
          <w:szCs w:val="44"/>
          <w:shd w:val="clear" w:color="auto" w:fill="FFFFFF"/>
        </w:rPr>
        <w:t>部门预算绩效评价报告范本</w:t>
      </w:r>
    </w:p>
    <w:p w14:paraId="4BCEDE22">
      <w:pPr>
        <w:pStyle w:val="12"/>
        <w:keepNext w:val="0"/>
        <w:keepLines w:val="0"/>
        <w:pageBreakBefore w:val="0"/>
        <w:widowControl/>
        <w:kinsoku/>
        <w:wordWrap/>
        <w:overflowPunct/>
        <w:topLinePunct w:val="0"/>
        <w:autoSpaceDE/>
        <w:autoSpaceDN/>
        <w:bidi w:val="0"/>
        <w:spacing w:beforeAutospacing="0" w:afterAutospacing="0" w:line="560" w:lineRule="exact"/>
        <w:ind w:left="0"/>
        <w:jc w:val="center"/>
        <w:textAlignment w:val="auto"/>
        <w:rPr>
          <w:rFonts w:eastAsia="仿宋_GB2312"/>
          <w:sz w:val="32"/>
          <w:szCs w:val="32"/>
          <w:shd w:val="clear" w:color="auto" w:fill="FFFFFF"/>
        </w:rPr>
      </w:pPr>
      <w:r>
        <w:rPr>
          <w:rFonts w:hint="eastAsia" w:ascii="Times New Roman" w:eastAsia="仿宋_GB2312" w:cs="仿宋_GB2312"/>
          <w:sz w:val="32"/>
          <w:szCs w:val="32"/>
          <w:shd w:val="clear" w:color="auto" w:fill="FFFFFF"/>
        </w:rPr>
        <w:t>（报告范围包括机关和下属单位）</w:t>
      </w:r>
    </w:p>
    <w:p w14:paraId="5E405AD9">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480" w:firstLineChars="200"/>
        <w:jc w:val="left"/>
        <w:textAlignment w:val="auto"/>
        <w:rPr>
          <w:rFonts w:eastAsia="黑体"/>
          <w:color w:val="000000"/>
          <w:kern w:val="0"/>
          <w:szCs w:val="32"/>
          <w:shd w:val="clear" w:color="auto" w:fill="FFFFFF"/>
        </w:rPr>
      </w:pPr>
    </w:p>
    <w:p w14:paraId="78F2202F">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jc w:val="left"/>
        <w:textAlignment w:val="auto"/>
        <w:rPr>
          <w:rFonts w:eastAsia="黑体"/>
          <w:color w:val="000000"/>
          <w:kern w:val="0"/>
          <w:sz w:val="32"/>
          <w:szCs w:val="32"/>
          <w:shd w:val="clear" w:color="auto" w:fill="FFFFFF"/>
          <w:lang w:val="zh-CN"/>
        </w:rPr>
      </w:pPr>
      <w:r>
        <w:rPr>
          <w:rFonts w:hint="eastAsia" w:ascii="Times New Roman" w:hAnsi="Times New Roman" w:eastAsia="黑体" w:cs="黑体"/>
          <w:color w:val="000000"/>
          <w:kern w:val="0"/>
          <w:sz w:val="32"/>
          <w:szCs w:val="32"/>
          <w:shd w:val="clear" w:color="auto" w:fill="FFFFFF"/>
          <w:lang w:val="zh-CN"/>
        </w:rPr>
        <w:t>一、部门（单位）基本情况</w:t>
      </w:r>
    </w:p>
    <w:p w14:paraId="260E0C58">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3" w:firstLineChars="200"/>
        <w:jc w:val="left"/>
        <w:textAlignment w:val="auto"/>
        <w:rPr>
          <w:rFonts w:ascii="Times New Roman" w:eastAsia="楷体_GB2312" w:cs="楷体_GB2312"/>
          <w:b/>
          <w:sz w:val="32"/>
          <w:szCs w:val="32"/>
          <w:lang w:val="zh-CN"/>
        </w:rPr>
      </w:pPr>
      <w:r>
        <w:rPr>
          <w:rFonts w:hint="eastAsia" w:ascii="Times New Roman" w:eastAsia="楷体_GB2312" w:cs="楷体_GB2312"/>
          <w:b/>
          <w:sz w:val="32"/>
          <w:szCs w:val="32"/>
          <w:lang w:val="zh-CN"/>
        </w:rPr>
        <w:t>（一）机构组成</w:t>
      </w:r>
    </w:p>
    <w:p w14:paraId="087CFE0E">
      <w:pPr>
        <w:keepNext w:val="0"/>
        <w:keepLines w:val="0"/>
        <w:pageBreakBefore w:val="0"/>
        <w:kinsoku/>
        <w:wordWrap/>
        <w:overflowPunct/>
        <w:topLinePunct w:val="0"/>
        <w:autoSpaceDE/>
        <w:autoSpaceDN/>
        <w:bidi w:val="0"/>
        <w:spacing w:beforeAutospacing="0" w:afterAutospacing="0" w:line="560" w:lineRule="exact"/>
        <w:ind w:left="0" w:firstLine="640" w:firstLineChars="200"/>
        <w:textAlignment w:val="auto"/>
        <w:rPr>
          <w:rFonts w:ascii="Times New Roman" w:hAnsi="Times New Roman" w:eastAsia="仿宋_GB2312" w:cs="仿宋_GB2312"/>
          <w:sz w:val="32"/>
          <w:szCs w:val="32"/>
          <w:lang w:bidi="ar"/>
        </w:rPr>
      </w:pPr>
      <w:r>
        <w:rPr>
          <w:rFonts w:hint="eastAsia" w:ascii="Times New Roman" w:hAnsi="Times New Roman" w:eastAsia="仿宋_GB2312" w:cs="仿宋_GB2312"/>
          <w:sz w:val="32"/>
          <w:szCs w:val="32"/>
          <w:lang w:bidi="ar"/>
        </w:rPr>
        <w:t>勿角镇人民政府行政单位一个，下属机构3个，内设机构7个。具体如下：</w:t>
      </w:r>
    </w:p>
    <w:p w14:paraId="5E42D560">
      <w:pPr>
        <w:keepNext w:val="0"/>
        <w:keepLines w:val="0"/>
        <w:pageBreakBefore w:val="0"/>
        <w:kinsoku/>
        <w:wordWrap/>
        <w:overflowPunct/>
        <w:topLinePunct w:val="0"/>
        <w:autoSpaceDE/>
        <w:autoSpaceDN/>
        <w:bidi w:val="0"/>
        <w:spacing w:beforeAutospacing="0" w:afterAutospacing="0" w:line="560" w:lineRule="exact"/>
        <w:ind w:left="0" w:firstLine="640" w:firstLineChars="200"/>
        <w:textAlignment w:val="auto"/>
        <w:rPr>
          <w:rFonts w:ascii="Times New Roman" w:hAnsi="Times New Roman" w:eastAsia="仿宋_GB2312" w:cs="仿宋_GB2312"/>
          <w:sz w:val="32"/>
          <w:szCs w:val="32"/>
          <w:lang w:bidi="ar"/>
        </w:rPr>
      </w:pPr>
      <w:r>
        <w:rPr>
          <w:rFonts w:hint="eastAsia" w:ascii="Times New Roman" w:hAnsi="Times New Roman" w:eastAsia="仿宋_GB2312" w:cs="仿宋_GB2312"/>
          <w:sz w:val="32"/>
          <w:szCs w:val="32"/>
          <w:lang w:bidi="ar"/>
        </w:rPr>
        <w:t>下属机构3个：勿角镇便民服务中心、九寨沟县勿角镇农业农村服务中心、九寨沟县勿角镇文化宣传旅游服务中心。</w:t>
      </w:r>
    </w:p>
    <w:p w14:paraId="1EEE49E8">
      <w:pPr>
        <w:keepNext w:val="0"/>
        <w:keepLines w:val="0"/>
        <w:pageBreakBefore w:val="0"/>
        <w:kinsoku/>
        <w:wordWrap/>
        <w:overflowPunct/>
        <w:topLinePunct w:val="0"/>
        <w:autoSpaceDE/>
        <w:autoSpaceDN/>
        <w:bidi w:val="0"/>
        <w:spacing w:beforeAutospacing="0" w:afterAutospacing="0" w:line="560" w:lineRule="exact"/>
        <w:ind w:left="0" w:firstLine="640" w:firstLineChars="200"/>
        <w:textAlignment w:val="auto"/>
        <w:rPr>
          <w:rFonts w:ascii="Times New Roman" w:hAnsi="Times New Roman" w:eastAsia="仿宋_GB2312" w:cs="仿宋_GB2312"/>
          <w:sz w:val="32"/>
          <w:szCs w:val="32"/>
          <w:lang w:bidi="ar"/>
        </w:rPr>
      </w:pPr>
      <w:r>
        <w:rPr>
          <w:rFonts w:hint="eastAsia" w:ascii="Times New Roman" w:hAnsi="Times New Roman" w:eastAsia="仿宋_GB2312" w:cs="仿宋_GB2312"/>
          <w:sz w:val="32"/>
          <w:szCs w:val="32"/>
          <w:lang w:bidi="ar"/>
        </w:rPr>
        <w:t>内设机构7个：党建工作办公室(党政办公室)、维护稳定办公室(群众工作办公室)、经济发展和乡村振兴办公室、社会事务和应急管理办公室(安全生产监督管理办公室)、村镇规划建设管理办公室(生态环境办公室)、综合行政执法办公室、财政工作办公室。</w:t>
      </w:r>
    </w:p>
    <w:p w14:paraId="4652C8C3">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3" w:firstLineChars="200"/>
        <w:jc w:val="left"/>
        <w:textAlignment w:val="auto"/>
        <w:rPr>
          <w:rFonts w:ascii="Times New Roman" w:eastAsia="楷体_GB2312" w:cs="楷体_GB2312"/>
          <w:b/>
          <w:sz w:val="32"/>
          <w:szCs w:val="32"/>
          <w:lang w:val="zh-CN"/>
        </w:rPr>
      </w:pPr>
      <w:r>
        <w:rPr>
          <w:rFonts w:hint="eastAsia" w:ascii="Times New Roman" w:eastAsia="楷体_GB2312" w:cs="楷体_GB2312"/>
          <w:b/>
          <w:sz w:val="32"/>
          <w:szCs w:val="32"/>
          <w:lang w:val="zh-CN"/>
        </w:rPr>
        <w:t>（二）机构职能</w:t>
      </w:r>
    </w:p>
    <w:p w14:paraId="1186E005">
      <w:pPr>
        <w:keepNext w:val="0"/>
        <w:keepLines w:val="0"/>
        <w:pageBreakBefore w:val="0"/>
        <w:kinsoku/>
        <w:wordWrap/>
        <w:overflowPunct/>
        <w:topLinePunct w:val="0"/>
        <w:autoSpaceDE/>
        <w:autoSpaceDN/>
        <w:bidi w:val="0"/>
        <w:spacing w:beforeAutospacing="0" w:afterAutospacing="0" w:line="560" w:lineRule="exact"/>
        <w:ind w:left="0" w:firstLine="643" w:firstLineChars="200"/>
        <w:textAlignment w:val="auto"/>
        <w:rPr>
          <w:rFonts w:hint="eastAsia" w:ascii="仿宋_GB2312" w:hAnsi="sans-serif" w:eastAsia="仿宋_GB2312" w:cs="仿宋_GB2312"/>
          <w:b/>
          <w:color w:val="000000"/>
          <w:kern w:val="0"/>
          <w:sz w:val="32"/>
          <w:szCs w:val="32"/>
          <w:shd w:val="clear" w:color="auto" w:fill="FFFFFF"/>
          <w:lang w:bidi="ar"/>
        </w:rPr>
      </w:pPr>
      <w:bookmarkStart w:id="52" w:name="OLE_LINK3"/>
      <w:r>
        <w:rPr>
          <w:rFonts w:hint="eastAsia" w:ascii="仿宋_GB2312" w:hAnsi="sans-serif" w:eastAsia="仿宋_GB2312" w:cs="仿宋_GB2312"/>
          <w:b/>
          <w:color w:val="000000"/>
          <w:kern w:val="0"/>
          <w:sz w:val="32"/>
          <w:szCs w:val="32"/>
          <w:shd w:val="clear" w:color="auto" w:fill="FFFFFF"/>
          <w:lang w:bidi="ar"/>
        </w:rPr>
        <w:t>1、主要职能</w:t>
      </w:r>
      <w:bookmarkEnd w:id="52"/>
    </w:p>
    <w:p w14:paraId="7E4CE067">
      <w:pPr>
        <w:keepNext w:val="0"/>
        <w:keepLines w:val="0"/>
        <w:pageBreakBefore w:val="0"/>
        <w:kinsoku/>
        <w:wordWrap/>
        <w:overflowPunct/>
        <w:topLinePunct w:val="0"/>
        <w:autoSpaceDE/>
        <w:autoSpaceDN/>
        <w:bidi w:val="0"/>
        <w:spacing w:beforeAutospacing="0" w:afterAutospacing="0" w:line="560" w:lineRule="exact"/>
        <w:ind w:left="0" w:firstLine="643" w:firstLineChars="200"/>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b/>
          <w:color w:val="000000"/>
          <w:kern w:val="0"/>
          <w:sz w:val="32"/>
          <w:szCs w:val="32"/>
          <w:shd w:val="clear" w:color="auto" w:fill="FFFFFF"/>
          <w:lang w:bidi="ar"/>
        </w:rPr>
        <w:t>（1）镇党委主要职责</w:t>
      </w:r>
    </w:p>
    <w:p w14:paraId="6649BF49">
      <w:pPr>
        <w:keepNext w:val="0"/>
        <w:keepLines w:val="0"/>
        <w:pageBreakBefore w:val="0"/>
        <w:kinsoku/>
        <w:wordWrap/>
        <w:overflowPunct/>
        <w:topLinePunct w:val="0"/>
        <w:autoSpaceDE/>
        <w:autoSpaceDN/>
        <w:bidi w:val="0"/>
        <w:spacing w:beforeAutospacing="0" w:afterAutospacing="0" w:line="560" w:lineRule="exact"/>
        <w:ind w:left="0" w:firstLine="640" w:firstLineChars="200"/>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color w:val="000000"/>
          <w:kern w:val="0"/>
          <w:sz w:val="32"/>
          <w:szCs w:val="32"/>
          <w:shd w:val="clear" w:color="auto" w:fill="FFFFFF"/>
          <w:lang w:bidi="ar"/>
        </w:rPr>
        <w:t>积极宣传、贯彻执行党的路线、方针、政策，负责领导本地区的工作，支持和保护行政组织、经济组织和群众自治组织充分行使职权；领导制定本镇的经济和社会发展规划并组织协调督促各部门贯彻实施，切实保证各项计划、目标的完成；负责镇领导班子的自身建设和对干部进行选拔、培养、使用、考核、监督工作；负责抓好党员的发展、教育、管理；严肃党纪，端正党风，抓好党的组织建设、作风建设、制度建设和思想建设；加强对村支部、镇企业支部、村民委员会的领导、监督和检查工作，充分发挥他们的作用；负责本地区的社会治安综合治理、精神文明建设、廉政工作和政治思想工作；负责本地区社会主义民主法制建设；负责对镇共青团、妇联和民兵工作的领导；协助管理上级有关部门驻镇干部；完成县委交办的其它工作。</w:t>
      </w:r>
    </w:p>
    <w:p w14:paraId="363C34B4">
      <w:pPr>
        <w:keepNext w:val="0"/>
        <w:keepLines w:val="0"/>
        <w:pageBreakBefore w:val="0"/>
        <w:kinsoku/>
        <w:wordWrap/>
        <w:overflowPunct/>
        <w:topLinePunct w:val="0"/>
        <w:autoSpaceDE/>
        <w:autoSpaceDN/>
        <w:bidi w:val="0"/>
        <w:spacing w:beforeAutospacing="0" w:afterAutospacing="0" w:line="560" w:lineRule="exact"/>
        <w:ind w:left="0" w:firstLine="643" w:firstLineChars="200"/>
        <w:textAlignment w:val="auto"/>
        <w:rPr>
          <w:rFonts w:hint="eastAsia" w:ascii="仿宋_GB2312" w:hAnsi="sans-serif" w:eastAsia="仿宋_GB2312" w:cs="仿宋_GB2312"/>
          <w:b/>
          <w:color w:val="000000"/>
          <w:kern w:val="0"/>
          <w:sz w:val="32"/>
          <w:szCs w:val="32"/>
          <w:shd w:val="clear" w:color="auto" w:fill="FFFFFF"/>
          <w:lang w:bidi="ar"/>
        </w:rPr>
      </w:pPr>
      <w:r>
        <w:rPr>
          <w:rFonts w:hint="eastAsia" w:ascii="仿宋_GB2312" w:hAnsi="sans-serif" w:eastAsia="仿宋_GB2312" w:cs="仿宋_GB2312"/>
          <w:b/>
          <w:color w:val="000000"/>
          <w:kern w:val="0"/>
          <w:sz w:val="32"/>
          <w:szCs w:val="32"/>
          <w:shd w:val="clear" w:color="auto" w:fill="FFFFFF"/>
          <w:lang w:bidi="ar"/>
        </w:rPr>
        <w:t>（2）镇人大主席团主要职责</w:t>
      </w:r>
    </w:p>
    <w:p w14:paraId="3EBEA76C">
      <w:pPr>
        <w:keepNext w:val="0"/>
        <w:keepLines w:val="0"/>
        <w:pageBreakBefore w:val="0"/>
        <w:kinsoku/>
        <w:wordWrap/>
        <w:overflowPunct/>
        <w:topLinePunct w:val="0"/>
        <w:autoSpaceDE/>
        <w:autoSpaceDN/>
        <w:bidi w:val="0"/>
        <w:spacing w:beforeAutospacing="0" w:afterAutospacing="0" w:line="560" w:lineRule="exact"/>
        <w:ind w:left="0" w:firstLine="640" w:firstLineChars="200"/>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color w:val="000000"/>
          <w:kern w:val="0"/>
          <w:sz w:val="32"/>
          <w:szCs w:val="32"/>
          <w:shd w:val="clear" w:color="auto" w:fill="FFFFFF"/>
          <w:lang w:bidi="ar"/>
        </w:rPr>
        <w:t>检查、督促宪法、法律、法规及本级和上级人民代表大会决议、决定在本镇遵守、执行；在职权范围内通过和发布决议；健全和完善镇人民代表大会制度，使人大工作逐步实现制度化、规范化、法制化；充分行使镇人民代表大会的职权，听取和审议本级政府社会经济工作情况的报告，并监督本级人民政府工作；决定本行政区域内的经济、文化、公共事业的建设计划；负责组织人大代表开展对镇政府的评议，检查监督本级政府及相关单位办理本级人民代表提出的建议、批评和意见；受理个别职务、人民代表的辞职和任免；主持选举人民代表，决定召开人民代表大会；完成本级人民代表大会和上级人大交办的其它工作。</w:t>
      </w:r>
    </w:p>
    <w:p w14:paraId="33299F65">
      <w:pPr>
        <w:keepNext w:val="0"/>
        <w:keepLines w:val="0"/>
        <w:pageBreakBefore w:val="0"/>
        <w:kinsoku/>
        <w:wordWrap/>
        <w:overflowPunct/>
        <w:topLinePunct w:val="0"/>
        <w:autoSpaceDE/>
        <w:autoSpaceDN/>
        <w:bidi w:val="0"/>
        <w:spacing w:beforeAutospacing="0" w:afterAutospacing="0" w:line="560" w:lineRule="exact"/>
        <w:ind w:left="0" w:firstLine="643" w:firstLineChars="200"/>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b/>
          <w:color w:val="000000"/>
          <w:kern w:val="0"/>
          <w:sz w:val="32"/>
          <w:szCs w:val="32"/>
          <w:shd w:val="clear" w:color="auto" w:fill="FFFFFF"/>
          <w:lang w:bidi="ar"/>
        </w:rPr>
        <w:t>（3）镇政府主要职责</w:t>
      </w:r>
    </w:p>
    <w:p w14:paraId="20C7CCF9">
      <w:pPr>
        <w:keepNext w:val="0"/>
        <w:keepLines w:val="0"/>
        <w:pageBreakBefore w:val="0"/>
        <w:kinsoku/>
        <w:wordWrap/>
        <w:overflowPunct/>
        <w:topLinePunct w:val="0"/>
        <w:autoSpaceDE/>
        <w:autoSpaceDN/>
        <w:bidi w:val="0"/>
        <w:spacing w:beforeAutospacing="0" w:afterAutospacing="0" w:line="560" w:lineRule="exact"/>
        <w:ind w:firstLine="640" w:firstLineChars="200"/>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color w:val="000000"/>
          <w:kern w:val="0"/>
          <w:sz w:val="32"/>
          <w:szCs w:val="32"/>
          <w:shd w:val="clear" w:color="auto" w:fill="FFFFFF"/>
          <w:lang w:bidi="ar"/>
        </w:rPr>
        <w:t>执行上级和本级党委、人民代表大会的决议、决定及命令，执行本行政区域内的国民经济和社会发展计划；认真宣传贯彻党的路线、方针、政策和国家的法律法规，稳定农村基本经济制度；坚持依法行政，推进政务公开，加强对村民委员会的指导，提高、培育村民委员会自治能力；加强民政、教育、科技、文化、卫生、计划生育、安全生产、劳动保障、国土资源的保护利用和镇村规划建设的社会管理；保护社会主义的全民所有的财产和劳动群众集体所有的财产，保护公民私人所有的合法财产，维护社会秩序，保障公民的人身权利、民主权利和其它权利；保护各种经济组织的合法权益；妥善处理本行政区域内的民族宗教事务，保障少数民族的权利和尊重少数民族的风俗习惯；保障宪法和法律赋予妇女的男女平等，同工同酬和婚姻自由等各种权利；办理上级人民政府交办的其它事项。</w:t>
      </w:r>
    </w:p>
    <w:p w14:paraId="5F394DB4">
      <w:pPr>
        <w:keepNext w:val="0"/>
        <w:keepLines w:val="0"/>
        <w:pageBreakBefore w:val="0"/>
        <w:kinsoku/>
        <w:wordWrap/>
        <w:overflowPunct/>
        <w:topLinePunct w:val="0"/>
        <w:autoSpaceDE/>
        <w:autoSpaceDN/>
        <w:bidi w:val="0"/>
        <w:spacing w:beforeAutospacing="0" w:afterAutospacing="0" w:line="560" w:lineRule="exact"/>
        <w:ind w:left="0" w:firstLine="643" w:firstLineChars="200"/>
        <w:textAlignment w:val="auto"/>
        <w:rPr>
          <w:rFonts w:hint="eastAsia" w:ascii="仿宋_GB2312" w:hAnsi="sans-serif" w:eastAsia="仿宋_GB2312" w:cs="仿宋_GB2312"/>
          <w:b/>
          <w:color w:val="000000"/>
          <w:kern w:val="0"/>
          <w:sz w:val="32"/>
          <w:szCs w:val="32"/>
          <w:shd w:val="clear" w:color="auto" w:fill="FFFFFF"/>
          <w:lang w:bidi="ar"/>
        </w:rPr>
      </w:pPr>
      <w:r>
        <w:rPr>
          <w:rFonts w:hint="eastAsia" w:ascii="仿宋_GB2312" w:hAnsi="sans-serif" w:eastAsia="仿宋_GB2312" w:cs="仿宋_GB2312"/>
          <w:b/>
          <w:color w:val="000000"/>
          <w:kern w:val="0"/>
          <w:sz w:val="32"/>
          <w:szCs w:val="32"/>
          <w:shd w:val="clear" w:color="auto" w:fill="FFFFFF"/>
          <w:lang w:bidi="ar"/>
        </w:rPr>
        <w:t>（四）镇纪委主要职责</w:t>
      </w:r>
    </w:p>
    <w:p w14:paraId="2C0F2002">
      <w:pPr>
        <w:keepNext w:val="0"/>
        <w:keepLines w:val="0"/>
        <w:pageBreakBefore w:val="0"/>
        <w:kinsoku/>
        <w:wordWrap/>
        <w:overflowPunct/>
        <w:topLinePunct w:val="0"/>
        <w:autoSpaceDE/>
        <w:autoSpaceDN/>
        <w:bidi w:val="0"/>
        <w:spacing w:beforeAutospacing="0" w:afterAutospacing="0" w:line="560" w:lineRule="exact"/>
        <w:ind w:left="0" w:firstLine="640" w:firstLineChars="200"/>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color w:val="000000"/>
          <w:kern w:val="0"/>
          <w:sz w:val="32"/>
          <w:szCs w:val="32"/>
          <w:shd w:val="clear" w:color="auto" w:fill="FFFFFF"/>
          <w:lang w:bidi="ar"/>
        </w:rPr>
        <w:t>协助党委对全镇党员干部进行党性、党纪、党风和清正廉洁教育，负责对党风廉政工作提出意见、制定措施、监督执行；检查、处理党员干部贯彻执行党的路线、方针、政策、决议情况和违纪案件，受理党员干部的申诉和群众对党员干部的检举、控告，组织实施全镇领导干部廉洁自律工作，对选拔任用党政领导干部工作实行检查监督；完成党委和上级纪委、监察局交办的其它工作。</w:t>
      </w:r>
    </w:p>
    <w:p w14:paraId="15674D1C">
      <w:pPr>
        <w:keepNext w:val="0"/>
        <w:keepLines w:val="0"/>
        <w:pageBreakBefore w:val="0"/>
        <w:kinsoku/>
        <w:wordWrap/>
        <w:overflowPunct/>
        <w:topLinePunct w:val="0"/>
        <w:autoSpaceDE/>
        <w:autoSpaceDN/>
        <w:bidi w:val="0"/>
        <w:spacing w:beforeAutospacing="0" w:afterAutospacing="0" w:line="560" w:lineRule="exact"/>
        <w:ind w:left="0" w:firstLine="643" w:firstLineChars="200"/>
        <w:textAlignment w:val="auto"/>
        <w:rPr>
          <w:rFonts w:hint="eastAsia" w:ascii="仿宋_GB2312" w:hAnsi="sans-serif" w:eastAsia="仿宋_GB2312" w:cs="仿宋_GB2312"/>
          <w:b/>
          <w:color w:val="000000"/>
          <w:kern w:val="0"/>
          <w:sz w:val="32"/>
          <w:szCs w:val="32"/>
          <w:shd w:val="clear" w:color="auto" w:fill="FFFFFF"/>
          <w:lang w:bidi="ar"/>
        </w:rPr>
      </w:pPr>
    </w:p>
    <w:p w14:paraId="5B4BC55E">
      <w:pPr>
        <w:keepNext w:val="0"/>
        <w:keepLines w:val="0"/>
        <w:pageBreakBefore w:val="0"/>
        <w:kinsoku/>
        <w:wordWrap/>
        <w:overflowPunct/>
        <w:topLinePunct w:val="0"/>
        <w:autoSpaceDE/>
        <w:autoSpaceDN/>
        <w:bidi w:val="0"/>
        <w:spacing w:beforeAutospacing="0" w:afterAutospacing="0" w:line="560" w:lineRule="exact"/>
        <w:ind w:left="0" w:firstLine="643" w:firstLineChars="200"/>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b/>
          <w:color w:val="000000"/>
          <w:kern w:val="0"/>
          <w:sz w:val="32"/>
          <w:szCs w:val="32"/>
          <w:shd w:val="clear" w:color="auto" w:fill="FFFFFF"/>
          <w:lang w:bidi="ar"/>
        </w:rPr>
        <w:t>（5）镇人民武装部主要职责</w:t>
      </w:r>
    </w:p>
    <w:p w14:paraId="04DF7C6C">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color w:val="000000"/>
          <w:kern w:val="0"/>
          <w:sz w:val="32"/>
          <w:szCs w:val="32"/>
          <w:shd w:val="clear" w:color="auto" w:fill="FFFFFF"/>
          <w:lang w:bidi="ar"/>
        </w:rPr>
        <w:t>贯彻上级关于民兵预备役工作的方针、政策、指导和规定；负责民兵的组织建设和武器装备管理；负责民兵预备役人员的政治教育，落实民兵参训人员；负责组织并带领民兵完成战备、治安执勤任务；负责民兵预备役人员的登记、统计工作；负责征兵工作；组织带领民兵参加两个文明建设；协助有关部门搞好拥军优属工作；战时负责组织动员民兵参军参战，支援前线，保卫后方等工作；负责抢险救灾工作以及上级临时交办的其他工作。</w:t>
      </w:r>
    </w:p>
    <w:p w14:paraId="0CB4E379">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3" w:firstLineChars="200"/>
        <w:contextualSpacing/>
        <w:jc w:val="left"/>
        <w:textAlignment w:val="auto"/>
        <w:rPr>
          <w:rFonts w:hint="eastAsia" w:ascii="仿宋_GB2312" w:hAnsi="sans-serif" w:eastAsia="仿宋_GB2312" w:cs="仿宋_GB2312"/>
          <w:b/>
          <w:color w:val="000000"/>
          <w:kern w:val="0"/>
          <w:sz w:val="32"/>
          <w:szCs w:val="32"/>
          <w:shd w:val="clear" w:color="auto" w:fill="FFFFFF"/>
          <w:lang w:bidi="ar"/>
        </w:rPr>
      </w:pPr>
      <w:r>
        <w:rPr>
          <w:rFonts w:hint="eastAsia" w:ascii="仿宋_GB2312" w:hAnsi="sans-serif" w:eastAsia="仿宋_GB2312" w:cs="仿宋_GB2312"/>
          <w:b/>
          <w:color w:val="000000"/>
          <w:kern w:val="0"/>
          <w:sz w:val="32"/>
          <w:szCs w:val="32"/>
          <w:shd w:val="clear" w:color="auto" w:fill="FFFFFF"/>
          <w:lang w:bidi="ar"/>
        </w:rPr>
        <w:t>2、2025年</w:t>
      </w:r>
      <w:r>
        <w:rPr>
          <w:rFonts w:ascii="仿宋_GB2312" w:hAnsi="sans-serif" w:eastAsia="仿宋_GB2312" w:cs="仿宋_GB2312"/>
          <w:b/>
          <w:color w:val="000000"/>
          <w:kern w:val="0"/>
          <w:sz w:val="32"/>
          <w:szCs w:val="32"/>
          <w:shd w:val="clear" w:color="auto" w:fill="FFFFFF"/>
          <w:lang w:bidi="ar"/>
        </w:rPr>
        <w:t>工作总结</w:t>
      </w:r>
    </w:p>
    <w:p w14:paraId="12876131">
      <w:pPr>
        <w:keepNext w:val="0"/>
        <w:keepLines w:val="0"/>
        <w:pageBreakBefore w:val="0"/>
        <w:kinsoku/>
        <w:wordWrap/>
        <w:overflowPunct/>
        <w:topLinePunct w:val="0"/>
        <w:autoSpaceDE/>
        <w:autoSpaceDN/>
        <w:bidi w:val="0"/>
        <w:spacing w:beforeAutospacing="0" w:afterAutospacing="0" w:line="560" w:lineRule="exact"/>
        <w:ind w:left="0" w:firstLine="643" w:firstLineChars="200"/>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b/>
          <w:color w:val="000000"/>
          <w:kern w:val="0"/>
          <w:sz w:val="32"/>
          <w:szCs w:val="32"/>
          <w:shd w:val="clear" w:color="auto" w:fill="FFFFFF"/>
          <w:lang w:bidi="ar"/>
        </w:rPr>
        <w:t>（一）因地制宜抓发展，经济建设成效显著。</w:t>
      </w:r>
      <w:r>
        <w:rPr>
          <w:rFonts w:hint="eastAsia" w:ascii="仿宋_GB2312" w:hAnsi="sans-serif" w:eastAsia="仿宋_GB2312" w:cs="仿宋_GB2312"/>
          <w:color w:val="000000"/>
          <w:kern w:val="0"/>
          <w:sz w:val="32"/>
          <w:szCs w:val="32"/>
          <w:shd w:val="clear" w:color="auto" w:fill="FFFFFF"/>
          <w:lang w:bidi="ar"/>
        </w:rPr>
        <w:t>一是</w:t>
      </w:r>
      <w:r>
        <w:rPr>
          <w:rFonts w:ascii="仿宋_GB2312" w:hAnsi="sans-serif" w:eastAsia="仿宋_GB2312" w:cs="仿宋_GB2312"/>
          <w:color w:val="000000"/>
          <w:kern w:val="0"/>
          <w:sz w:val="32"/>
          <w:szCs w:val="32"/>
          <w:shd w:val="clear" w:color="auto" w:fill="FFFFFF"/>
          <w:lang w:bidi="ar"/>
        </w:rPr>
        <w:t>项目建设劲头更足</w:t>
      </w:r>
      <w:r>
        <w:rPr>
          <w:rFonts w:hint="eastAsia" w:ascii="仿宋_GB2312" w:hAnsi="sans-serif" w:eastAsia="仿宋_GB2312" w:cs="仿宋_GB2312"/>
          <w:color w:val="000000"/>
          <w:kern w:val="0"/>
          <w:sz w:val="32"/>
          <w:szCs w:val="32"/>
          <w:shd w:val="clear" w:color="auto" w:fill="FFFFFF"/>
          <w:lang w:bidi="ar"/>
        </w:rPr>
        <w:t>。坚持把项目建设作为拉动经济增长的重要举措，</w:t>
      </w:r>
      <w:r>
        <w:rPr>
          <w:rFonts w:ascii="仿宋_GB2312" w:hAnsi="sans-serif" w:eastAsia="仿宋_GB2312" w:cs="仿宋_GB2312"/>
          <w:color w:val="000000"/>
          <w:kern w:val="0"/>
          <w:sz w:val="32"/>
          <w:szCs w:val="32"/>
          <w:shd w:val="clear" w:color="auto" w:fill="FFFFFF"/>
          <w:lang w:bidi="ar"/>
        </w:rPr>
        <w:t>谋划包装英各村特色民宿、甲勿村特色民宿等项目</w:t>
      </w:r>
      <w:r>
        <w:rPr>
          <w:rFonts w:hint="eastAsia" w:ascii="仿宋_GB2312" w:hAnsi="sans-serif" w:eastAsia="仿宋_GB2312" w:cs="仿宋_GB2312"/>
          <w:color w:val="000000"/>
          <w:kern w:val="0"/>
          <w:sz w:val="32"/>
          <w:szCs w:val="32"/>
          <w:shd w:val="clear" w:color="auto" w:fill="FFFFFF"/>
          <w:lang w:bidi="ar"/>
        </w:rPr>
        <w:t>3</w:t>
      </w:r>
      <w:r>
        <w:rPr>
          <w:rFonts w:ascii="仿宋_GB2312" w:hAnsi="sans-serif" w:eastAsia="仿宋_GB2312" w:cs="仿宋_GB2312"/>
          <w:color w:val="000000"/>
          <w:kern w:val="0"/>
          <w:sz w:val="32"/>
          <w:szCs w:val="32"/>
          <w:shd w:val="clear" w:color="auto" w:fill="FFFFFF"/>
          <w:lang w:bidi="ar"/>
        </w:rPr>
        <w:t>个，先后</w:t>
      </w:r>
      <w:r>
        <w:rPr>
          <w:rFonts w:hint="eastAsia" w:ascii="仿宋_GB2312" w:hAnsi="sans-serif" w:eastAsia="仿宋_GB2312" w:cs="仿宋_GB2312"/>
          <w:color w:val="000000"/>
          <w:kern w:val="0"/>
          <w:sz w:val="32"/>
          <w:szCs w:val="32"/>
          <w:shd w:val="clear" w:color="auto" w:fill="FFFFFF"/>
          <w:lang w:bidi="ar"/>
        </w:rPr>
        <w:t>争取涉农整合、东西部协作、省内对口帮扶等各类专项资金6192.6万</w:t>
      </w:r>
      <w:r>
        <w:rPr>
          <w:rFonts w:ascii="仿宋_GB2312" w:hAnsi="sans-serif" w:eastAsia="仿宋_GB2312" w:cs="仿宋_GB2312"/>
          <w:color w:val="000000"/>
          <w:kern w:val="0"/>
          <w:sz w:val="32"/>
          <w:szCs w:val="32"/>
          <w:shd w:val="clear" w:color="auto" w:fill="FFFFFF"/>
          <w:lang w:bidi="ar"/>
        </w:rPr>
        <w:t>元</w:t>
      </w:r>
      <w:r>
        <w:rPr>
          <w:rFonts w:hint="eastAsia" w:ascii="仿宋_GB2312" w:hAnsi="sans-serif" w:eastAsia="仿宋_GB2312" w:cs="仿宋_GB2312"/>
          <w:color w:val="000000"/>
          <w:kern w:val="0"/>
          <w:sz w:val="32"/>
          <w:szCs w:val="32"/>
          <w:shd w:val="clear" w:color="auto" w:fill="FFFFFF"/>
          <w:lang w:bidi="ar"/>
        </w:rPr>
        <w:t>、</w:t>
      </w:r>
      <w:r>
        <w:rPr>
          <w:rFonts w:ascii="仿宋_GB2312" w:hAnsi="sans-serif" w:eastAsia="仿宋_GB2312" w:cs="仿宋_GB2312"/>
          <w:color w:val="000000"/>
          <w:kern w:val="0"/>
          <w:sz w:val="32"/>
          <w:szCs w:val="32"/>
          <w:shd w:val="clear" w:color="auto" w:fill="FFFFFF"/>
          <w:lang w:bidi="ar"/>
        </w:rPr>
        <w:t>实施</w:t>
      </w:r>
      <w:r>
        <w:rPr>
          <w:rFonts w:hint="eastAsia" w:ascii="仿宋_GB2312" w:hAnsi="sans-serif" w:eastAsia="仿宋_GB2312" w:cs="仿宋_GB2312"/>
          <w:color w:val="000000"/>
          <w:kern w:val="0"/>
          <w:sz w:val="32"/>
          <w:szCs w:val="32"/>
          <w:shd w:val="clear" w:color="auto" w:fill="FFFFFF"/>
          <w:lang w:bidi="ar"/>
        </w:rPr>
        <w:t>基础设施、产业发展、地灾治理、污水管网等33</w:t>
      </w:r>
      <w:r>
        <w:rPr>
          <w:rFonts w:ascii="仿宋_GB2312" w:hAnsi="sans-serif" w:eastAsia="仿宋_GB2312" w:cs="仿宋_GB2312"/>
          <w:color w:val="000000"/>
          <w:kern w:val="0"/>
          <w:sz w:val="32"/>
          <w:szCs w:val="32"/>
          <w:shd w:val="clear" w:color="auto" w:fill="FFFFFF"/>
          <w:lang w:bidi="ar"/>
        </w:rPr>
        <w:t>个重大项目，全面提升</w:t>
      </w:r>
      <w:r>
        <w:rPr>
          <w:rFonts w:hint="eastAsia" w:ascii="仿宋_GB2312" w:hAnsi="sans-serif" w:eastAsia="仿宋_GB2312" w:cs="仿宋_GB2312"/>
          <w:color w:val="000000"/>
          <w:kern w:val="0"/>
          <w:sz w:val="32"/>
          <w:szCs w:val="32"/>
          <w:shd w:val="clear" w:color="auto" w:fill="FFFFFF"/>
          <w:lang w:bidi="ar"/>
        </w:rPr>
        <w:t>了</w:t>
      </w:r>
      <w:r>
        <w:rPr>
          <w:rFonts w:ascii="仿宋_GB2312" w:hAnsi="sans-serif" w:eastAsia="仿宋_GB2312" w:cs="仿宋_GB2312"/>
          <w:color w:val="000000"/>
          <w:kern w:val="0"/>
          <w:sz w:val="32"/>
          <w:szCs w:val="32"/>
          <w:shd w:val="clear" w:color="auto" w:fill="FFFFFF"/>
          <w:lang w:bidi="ar"/>
        </w:rPr>
        <w:t>水、电、路等基础设施水平，发展后劲持续增强。</w:t>
      </w:r>
      <w:r>
        <w:rPr>
          <w:rFonts w:hint="eastAsia" w:ascii="仿宋_GB2312" w:hAnsi="sans-serif" w:eastAsia="仿宋_GB2312" w:cs="仿宋_GB2312"/>
          <w:color w:val="000000"/>
          <w:kern w:val="0"/>
          <w:sz w:val="32"/>
          <w:szCs w:val="32"/>
          <w:shd w:val="clear" w:color="auto" w:fill="FFFFFF"/>
          <w:lang w:bidi="ar"/>
        </w:rPr>
        <w:t>2025年，我镇共实施</w:t>
      </w:r>
      <w:r>
        <w:rPr>
          <w:rFonts w:ascii="仿宋_GB2312" w:hAnsi="sans-serif" w:eastAsia="仿宋_GB2312" w:cs="仿宋_GB2312"/>
          <w:color w:val="000000"/>
          <w:kern w:val="0"/>
          <w:sz w:val="32"/>
          <w:szCs w:val="32"/>
          <w:shd w:val="clear" w:color="auto" w:fill="FFFFFF"/>
          <w:lang w:bidi="ar"/>
        </w:rPr>
        <w:t>英各村独蒜兰高效繁育发展示范项目</w:t>
      </w:r>
      <w:r>
        <w:rPr>
          <w:rFonts w:hint="eastAsia" w:ascii="仿宋_GB2312" w:hAnsi="sans-serif" w:eastAsia="仿宋_GB2312" w:cs="仿宋_GB2312"/>
          <w:color w:val="000000"/>
          <w:kern w:val="0"/>
          <w:sz w:val="32"/>
          <w:szCs w:val="32"/>
          <w:shd w:val="clear" w:color="auto" w:fill="FFFFFF"/>
          <w:lang w:bidi="ar"/>
        </w:rPr>
        <w:t>、</w:t>
      </w:r>
      <w:r>
        <w:rPr>
          <w:rFonts w:ascii="仿宋_GB2312" w:hAnsi="sans-serif" w:eastAsia="仿宋_GB2312" w:cs="仿宋_GB2312"/>
          <w:color w:val="000000"/>
          <w:kern w:val="0"/>
          <w:sz w:val="32"/>
          <w:szCs w:val="32"/>
          <w:shd w:val="clear" w:color="auto" w:fill="FFFFFF"/>
          <w:lang w:bidi="ar"/>
        </w:rPr>
        <w:t>勿角镇蓝莓产业建设项目</w:t>
      </w:r>
      <w:r>
        <w:rPr>
          <w:rFonts w:hint="eastAsia" w:ascii="仿宋_GB2312" w:hAnsi="sans-serif" w:eastAsia="仿宋_GB2312" w:cs="仿宋_GB2312"/>
          <w:color w:val="000000"/>
          <w:kern w:val="0"/>
          <w:sz w:val="32"/>
          <w:szCs w:val="32"/>
          <w:shd w:val="clear" w:color="auto" w:fill="FFFFFF"/>
          <w:lang w:bidi="ar"/>
        </w:rPr>
        <w:t>、</w:t>
      </w:r>
      <w:r>
        <w:rPr>
          <w:rFonts w:ascii="仿宋_GB2312" w:hAnsi="sans-serif" w:eastAsia="仿宋_GB2312" w:cs="仿宋_GB2312"/>
          <w:color w:val="000000"/>
          <w:kern w:val="0"/>
          <w:sz w:val="32"/>
          <w:szCs w:val="32"/>
          <w:shd w:val="clear" w:color="auto" w:fill="FFFFFF"/>
          <w:lang w:bidi="ar"/>
        </w:rPr>
        <w:t>勿角镇产业道路建设项</w:t>
      </w:r>
      <w:r>
        <w:rPr>
          <w:rFonts w:hint="eastAsia" w:ascii="仿宋_GB2312" w:hAnsi="sans-serif" w:eastAsia="仿宋_GB2312" w:cs="仿宋_GB2312"/>
          <w:color w:val="000000"/>
          <w:kern w:val="0"/>
          <w:sz w:val="32"/>
          <w:szCs w:val="32"/>
          <w:shd w:val="clear" w:color="auto" w:fill="FFFFFF"/>
          <w:lang w:bidi="ar"/>
        </w:rPr>
        <w:t>目等8个项目，总投资2000万元，截止目前，所有项目已全部完工，均已进入竣工验收、审计结算阶段。二是</w:t>
      </w:r>
      <w:r>
        <w:rPr>
          <w:rFonts w:ascii="仿宋_GB2312" w:hAnsi="sans-serif" w:eastAsia="仿宋_GB2312" w:cs="仿宋_GB2312"/>
          <w:color w:val="000000"/>
          <w:kern w:val="0"/>
          <w:sz w:val="32"/>
          <w:szCs w:val="32"/>
          <w:shd w:val="clear" w:color="auto" w:fill="FFFFFF"/>
          <w:lang w:bidi="ar"/>
        </w:rPr>
        <w:t>农业产业根基更实</w:t>
      </w:r>
      <w:r>
        <w:rPr>
          <w:rFonts w:hint="eastAsia" w:ascii="仿宋_GB2312" w:hAnsi="sans-serif" w:eastAsia="仿宋_GB2312" w:cs="仿宋_GB2312"/>
          <w:color w:val="000000"/>
          <w:kern w:val="0"/>
          <w:sz w:val="32"/>
          <w:szCs w:val="32"/>
          <w:shd w:val="clear" w:color="auto" w:fill="FFFFFF"/>
          <w:lang w:bidi="ar"/>
        </w:rPr>
        <w:t>。</w:t>
      </w:r>
      <w:r>
        <w:rPr>
          <w:rFonts w:ascii="仿宋_GB2312" w:hAnsi="sans-serif" w:eastAsia="仿宋_GB2312" w:cs="仿宋_GB2312"/>
          <w:color w:val="000000"/>
          <w:kern w:val="0"/>
          <w:sz w:val="32"/>
          <w:szCs w:val="32"/>
          <w:shd w:val="clear" w:color="auto" w:fill="FFFFFF"/>
          <w:lang w:bidi="ar"/>
        </w:rPr>
        <w:t>集中力量打造蓝莓、兰草、中蜂、高原冷水鱼等精品农业产业，新扩建蓝莓种植规模20亩，开展“订单式”蔬菜种植，完成全县首例高端品牌蜂蜜运营项目，成功培育新品种独蒜兰，全镇农业产业发展水平稳步提升。</w:t>
      </w:r>
      <w:r>
        <w:rPr>
          <w:rFonts w:hint="eastAsia" w:ascii="仿宋_GB2312" w:hAnsi="sans-serif" w:eastAsia="仿宋_GB2312" w:cs="仿宋_GB2312"/>
          <w:color w:val="000000"/>
          <w:kern w:val="0"/>
          <w:sz w:val="32"/>
          <w:szCs w:val="32"/>
          <w:shd w:val="clear" w:color="auto" w:fill="FFFFFF"/>
          <w:lang w:bidi="ar"/>
        </w:rPr>
        <w:t>2025年，全镇现有集体经济项目16个，截止目前增收15万元，8个行政村</w:t>
      </w:r>
      <w:r>
        <w:rPr>
          <w:rFonts w:ascii="仿宋_GB2312" w:hAnsi="sans-serif" w:eastAsia="仿宋_GB2312" w:cs="仿宋_GB2312"/>
          <w:color w:val="000000"/>
          <w:kern w:val="0"/>
          <w:sz w:val="32"/>
          <w:szCs w:val="32"/>
          <w:shd w:val="clear" w:color="auto" w:fill="FFFFFF"/>
          <w:lang w:bidi="ar"/>
        </w:rPr>
        <w:t>3800</w:t>
      </w:r>
      <w:r>
        <w:rPr>
          <w:rFonts w:hint="eastAsia" w:ascii="仿宋_GB2312" w:hAnsi="sans-serif" w:eastAsia="仿宋_GB2312" w:cs="仿宋_GB2312"/>
          <w:color w:val="000000"/>
          <w:kern w:val="0"/>
          <w:sz w:val="32"/>
          <w:szCs w:val="32"/>
          <w:shd w:val="clear" w:color="auto" w:fill="FFFFFF"/>
          <w:lang w:bidi="ar"/>
        </w:rPr>
        <w:t>余名群众预计发放集体经济年终分红12万元。三是</w:t>
      </w:r>
      <w:r>
        <w:rPr>
          <w:rFonts w:ascii="仿宋_GB2312" w:hAnsi="sans-serif" w:eastAsia="仿宋_GB2312" w:cs="仿宋_GB2312"/>
          <w:color w:val="000000"/>
          <w:kern w:val="0"/>
          <w:sz w:val="32"/>
          <w:szCs w:val="32"/>
          <w:shd w:val="clear" w:color="auto" w:fill="FFFFFF"/>
          <w:lang w:bidi="ar"/>
        </w:rPr>
        <w:t>文旅发展底色更靓。充分挖掘自然环境、民俗文化等资源优势，优化完善《勿角镇乡村旅游发展规划》，</w:t>
      </w:r>
      <w:r>
        <w:rPr>
          <w:rFonts w:hint="eastAsia" w:ascii="仿宋_GB2312" w:hAnsi="sans-serif" w:eastAsia="仿宋_GB2312" w:cs="仿宋_GB2312"/>
          <w:color w:val="000000"/>
          <w:kern w:val="0"/>
          <w:sz w:val="32"/>
          <w:szCs w:val="32"/>
          <w:shd w:val="clear" w:color="auto" w:fill="FFFFFF"/>
          <w:lang w:bidi="ar"/>
        </w:rPr>
        <w:t>组建</w:t>
      </w:r>
      <w:r>
        <w:rPr>
          <w:rFonts w:ascii="仿宋_GB2312" w:hAnsi="sans-serif" w:eastAsia="仿宋_GB2312" w:cs="仿宋_GB2312"/>
          <w:color w:val="000000"/>
          <w:kern w:val="0"/>
          <w:sz w:val="32"/>
          <w:szCs w:val="32"/>
          <w:shd w:val="clear" w:color="auto" w:fill="FFFFFF"/>
          <w:lang w:bidi="ar"/>
        </w:rPr>
        <w:t>本土白马文化演艺人员</w:t>
      </w:r>
      <w:r>
        <w:rPr>
          <w:rFonts w:hint="eastAsia" w:ascii="仿宋_GB2312" w:hAnsi="sans-serif" w:eastAsia="仿宋_GB2312" w:cs="仿宋_GB2312"/>
          <w:color w:val="000000"/>
          <w:kern w:val="0"/>
          <w:sz w:val="32"/>
          <w:szCs w:val="32"/>
          <w:shd w:val="clear" w:color="auto" w:fill="FFFFFF"/>
          <w:lang w:bidi="ar"/>
        </w:rPr>
        <w:t>队伍</w:t>
      </w:r>
      <w:r>
        <w:rPr>
          <w:rFonts w:ascii="仿宋_GB2312" w:hAnsi="sans-serif" w:eastAsia="仿宋_GB2312" w:cs="仿宋_GB2312"/>
          <w:color w:val="000000"/>
          <w:kern w:val="0"/>
          <w:sz w:val="32"/>
          <w:szCs w:val="32"/>
          <w:shd w:val="clear" w:color="auto" w:fill="FFFFFF"/>
          <w:lang w:bidi="ar"/>
        </w:rPr>
        <w:t>60人，常态化在甲勿海•熊猫园景区进行展演，</w:t>
      </w:r>
      <w:r>
        <w:rPr>
          <w:rFonts w:hint="eastAsia" w:ascii="仿宋_GB2312" w:hAnsi="sans-serif" w:eastAsia="仿宋_GB2312" w:cs="仿宋_GB2312"/>
          <w:color w:val="000000"/>
          <w:kern w:val="0"/>
          <w:sz w:val="32"/>
          <w:szCs w:val="32"/>
          <w:shd w:val="clear" w:color="auto" w:fill="FFFFFF"/>
          <w:lang w:bidi="ar"/>
        </w:rPr>
        <w:t>助力</w:t>
      </w:r>
      <w:r>
        <w:rPr>
          <w:rFonts w:ascii="仿宋_GB2312" w:hAnsi="sans-serif" w:eastAsia="仿宋_GB2312" w:cs="仿宋_GB2312"/>
          <w:color w:val="000000"/>
          <w:kern w:val="0"/>
          <w:sz w:val="32"/>
          <w:szCs w:val="32"/>
          <w:shd w:val="clear" w:color="auto" w:fill="FFFFFF"/>
          <w:lang w:bidi="ar"/>
        </w:rPr>
        <w:t>甲勿海•熊猫园成功创建国家4A级景区。</w:t>
      </w:r>
      <w:r>
        <w:rPr>
          <w:rFonts w:hint="eastAsia" w:ascii="仿宋_GB2312" w:hAnsi="sans-serif" w:eastAsia="仿宋_GB2312" w:cs="仿宋_GB2312"/>
          <w:color w:val="000000"/>
          <w:kern w:val="0"/>
          <w:sz w:val="32"/>
          <w:szCs w:val="32"/>
          <w:shd w:val="clear" w:color="auto" w:fill="FFFFFF"/>
          <w:lang w:bidi="ar"/>
        </w:rPr>
        <w:t>2025年，聚焦</w:t>
      </w:r>
      <w:r>
        <w:rPr>
          <w:rFonts w:ascii="仿宋_GB2312" w:hAnsi="sans-serif" w:eastAsia="仿宋_GB2312" w:cs="仿宋_GB2312"/>
          <w:color w:val="000000"/>
          <w:kern w:val="0"/>
          <w:sz w:val="32"/>
          <w:szCs w:val="32"/>
          <w:shd w:val="clear" w:color="auto" w:fill="FFFFFF"/>
          <w:lang w:bidi="ar"/>
        </w:rPr>
        <w:t>“五一”“国庆”等旅游旺季，设</w:t>
      </w:r>
      <w:r>
        <w:rPr>
          <w:rFonts w:hint="eastAsia" w:ascii="仿宋_GB2312" w:hAnsi="sans-serif" w:eastAsia="仿宋_GB2312" w:cs="仿宋_GB2312"/>
          <w:color w:val="000000"/>
          <w:kern w:val="0"/>
          <w:sz w:val="32"/>
          <w:szCs w:val="32"/>
          <w:shd w:val="clear" w:color="auto" w:fill="FFFFFF"/>
          <w:lang w:bidi="ar"/>
        </w:rPr>
        <w:t>置</w:t>
      </w:r>
      <w:r>
        <w:rPr>
          <w:rFonts w:ascii="仿宋_GB2312" w:hAnsi="sans-serif" w:eastAsia="仿宋_GB2312" w:cs="仿宋_GB2312"/>
          <w:color w:val="000000"/>
          <w:kern w:val="0"/>
          <w:sz w:val="32"/>
          <w:szCs w:val="32"/>
          <w:shd w:val="clear" w:color="auto" w:fill="FFFFFF"/>
          <w:lang w:bidi="ar"/>
        </w:rPr>
        <w:t>志愿服务点，常态化开展旅游咨询、秩序维护、文明劝导、交通保畅</w:t>
      </w:r>
      <w:r>
        <w:rPr>
          <w:rFonts w:hint="eastAsia" w:ascii="仿宋_GB2312" w:hAnsi="sans-serif" w:eastAsia="仿宋_GB2312" w:cs="仿宋_GB2312"/>
          <w:color w:val="000000"/>
          <w:kern w:val="0"/>
          <w:sz w:val="32"/>
          <w:szCs w:val="32"/>
          <w:shd w:val="clear" w:color="auto" w:fill="FFFFFF"/>
          <w:lang w:bidi="ar"/>
        </w:rPr>
        <w:t>、文旅宣传</w:t>
      </w:r>
      <w:r>
        <w:rPr>
          <w:rFonts w:ascii="仿宋_GB2312" w:hAnsi="sans-serif" w:eastAsia="仿宋_GB2312" w:cs="仿宋_GB2312"/>
          <w:color w:val="000000"/>
          <w:kern w:val="0"/>
          <w:sz w:val="32"/>
          <w:szCs w:val="32"/>
          <w:shd w:val="clear" w:color="auto" w:fill="FFFFFF"/>
          <w:lang w:bidi="ar"/>
        </w:rPr>
        <w:t>等志愿服务</w:t>
      </w:r>
      <w:r>
        <w:rPr>
          <w:rFonts w:hint="eastAsia" w:ascii="仿宋_GB2312" w:hAnsi="sans-serif" w:eastAsia="仿宋_GB2312" w:cs="仿宋_GB2312"/>
          <w:color w:val="000000"/>
          <w:kern w:val="0"/>
          <w:sz w:val="32"/>
          <w:szCs w:val="32"/>
          <w:shd w:val="clear" w:color="auto" w:fill="FFFFFF"/>
          <w:lang w:bidi="ar"/>
        </w:rPr>
        <w:t>20</w:t>
      </w:r>
      <w:r>
        <w:rPr>
          <w:rFonts w:ascii="仿宋_GB2312" w:hAnsi="sans-serif" w:eastAsia="仿宋_GB2312" w:cs="仿宋_GB2312"/>
          <w:color w:val="000000"/>
          <w:kern w:val="0"/>
          <w:sz w:val="32"/>
          <w:szCs w:val="32"/>
          <w:shd w:val="clear" w:color="auto" w:fill="FFFFFF"/>
          <w:lang w:bidi="ar"/>
        </w:rPr>
        <w:t>次，</w:t>
      </w:r>
      <w:r>
        <w:rPr>
          <w:rFonts w:hint="eastAsia" w:ascii="仿宋_GB2312" w:hAnsi="sans-serif" w:eastAsia="仿宋_GB2312" w:cs="仿宋_GB2312"/>
          <w:color w:val="000000"/>
          <w:kern w:val="0"/>
          <w:sz w:val="32"/>
          <w:szCs w:val="32"/>
          <w:shd w:val="clear" w:color="auto" w:fill="FFFFFF"/>
          <w:lang w:bidi="ar"/>
        </w:rPr>
        <w:t>有效应对了九绵高速全线通车后给我镇</w:t>
      </w:r>
      <w:r>
        <w:rPr>
          <w:rFonts w:ascii="仿宋_GB2312" w:hAnsi="sans-serif" w:eastAsia="仿宋_GB2312" w:cs="仿宋_GB2312"/>
          <w:color w:val="000000"/>
          <w:kern w:val="0"/>
          <w:sz w:val="32"/>
          <w:szCs w:val="32"/>
          <w:shd w:val="clear" w:color="auto" w:fill="FFFFFF"/>
          <w:lang w:bidi="ar"/>
        </w:rPr>
        <w:t>旅游安全服务保障工作带来</w:t>
      </w:r>
      <w:r>
        <w:rPr>
          <w:rFonts w:hint="eastAsia" w:ascii="仿宋_GB2312" w:hAnsi="sans-serif" w:eastAsia="仿宋_GB2312" w:cs="仿宋_GB2312"/>
          <w:color w:val="000000"/>
          <w:kern w:val="0"/>
          <w:sz w:val="32"/>
          <w:szCs w:val="32"/>
          <w:shd w:val="clear" w:color="auto" w:fill="FFFFFF"/>
          <w:lang w:bidi="ar"/>
        </w:rPr>
        <w:t>的</w:t>
      </w:r>
      <w:r>
        <w:rPr>
          <w:rFonts w:ascii="仿宋_GB2312" w:hAnsi="sans-serif" w:eastAsia="仿宋_GB2312" w:cs="仿宋_GB2312"/>
          <w:color w:val="000000"/>
          <w:kern w:val="0"/>
          <w:sz w:val="32"/>
          <w:szCs w:val="32"/>
          <w:shd w:val="clear" w:color="auto" w:fill="FFFFFF"/>
          <w:lang w:bidi="ar"/>
        </w:rPr>
        <w:t>更大压力</w:t>
      </w:r>
      <w:r>
        <w:rPr>
          <w:rFonts w:hint="eastAsia" w:ascii="仿宋_GB2312" w:hAnsi="sans-serif" w:eastAsia="仿宋_GB2312" w:cs="仿宋_GB2312"/>
          <w:color w:val="000000"/>
          <w:kern w:val="0"/>
          <w:sz w:val="32"/>
          <w:szCs w:val="32"/>
          <w:shd w:val="clear" w:color="auto" w:fill="FFFFFF"/>
          <w:lang w:bidi="ar"/>
        </w:rPr>
        <w:t>。</w:t>
      </w:r>
    </w:p>
    <w:p w14:paraId="6EA84C2C">
      <w:pPr>
        <w:keepNext w:val="0"/>
        <w:keepLines w:val="0"/>
        <w:pageBreakBefore w:val="0"/>
        <w:kinsoku/>
        <w:wordWrap/>
        <w:overflowPunct/>
        <w:topLinePunct w:val="0"/>
        <w:autoSpaceDE/>
        <w:autoSpaceDN/>
        <w:bidi w:val="0"/>
        <w:adjustRightInd w:val="0"/>
        <w:snapToGrid w:val="0"/>
        <w:spacing w:beforeAutospacing="0" w:afterAutospacing="0" w:line="560" w:lineRule="exact"/>
        <w:ind w:left="0" w:firstLine="643" w:firstLineChars="200"/>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b/>
          <w:color w:val="000000"/>
          <w:kern w:val="0"/>
          <w:sz w:val="32"/>
          <w:szCs w:val="32"/>
          <w:shd w:val="clear" w:color="auto" w:fill="FFFFFF"/>
          <w:lang w:bidi="ar"/>
        </w:rPr>
        <w:t>（二）常态长效抓治理，城乡品质全面提升。</w:t>
      </w:r>
      <w:r>
        <w:rPr>
          <w:rFonts w:ascii="仿宋_GB2312" w:hAnsi="sans-serif" w:eastAsia="仿宋_GB2312" w:cs="仿宋_GB2312"/>
          <w:color w:val="000000"/>
          <w:kern w:val="0"/>
          <w:sz w:val="32"/>
          <w:szCs w:val="32"/>
          <w:shd w:val="clear" w:color="auto" w:fill="FFFFFF"/>
          <w:lang w:bidi="ar"/>
        </w:rPr>
        <w:t>一是城乡人居环境全面优化。</w:t>
      </w:r>
      <w:r>
        <w:rPr>
          <w:rFonts w:hint="eastAsia" w:ascii="仿宋_GB2312" w:hAnsi="sans-serif" w:eastAsia="仿宋_GB2312" w:cs="仿宋_GB2312"/>
          <w:color w:val="000000"/>
          <w:kern w:val="0"/>
          <w:sz w:val="32"/>
          <w:szCs w:val="32"/>
          <w:shd w:val="clear" w:color="auto" w:fill="FFFFFF"/>
          <w:lang w:bidi="ar"/>
        </w:rPr>
        <w:t>聚集农村生活垃圾治理、厕所革命、生活污水治理和村容村貌提升等重点领域，持续开展全域环境整治行动，</w:t>
      </w:r>
      <w:r>
        <w:rPr>
          <w:rFonts w:ascii="仿宋_GB2312" w:hAnsi="sans-serif" w:eastAsia="仿宋_GB2312" w:cs="仿宋_GB2312"/>
          <w:color w:val="000000"/>
          <w:kern w:val="0"/>
          <w:sz w:val="32"/>
          <w:szCs w:val="32"/>
          <w:shd w:val="clear" w:color="auto" w:fill="FFFFFF"/>
          <w:lang w:bidi="ar"/>
        </w:rPr>
        <w:t>依法依规拆除公路沿线乱搭乱建、有碍观瞻、违规建筑物114处，全面营造远者来近者悦的城乡环境。</w:t>
      </w:r>
      <w:r>
        <w:rPr>
          <w:rFonts w:hint="eastAsia" w:ascii="仿宋_GB2312" w:hAnsi="sans-serif" w:eastAsia="仿宋_GB2312" w:cs="仿宋_GB2312"/>
          <w:color w:val="000000"/>
          <w:kern w:val="0"/>
          <w:sz w:val="32"/>
          <w:szCs w:val="32"/>
          <w:shd w:val="clear" w:color="auto" w:fill="FFFFFF"/>
          <w:lang w:bidi="ar"/>
        </w:rPr>
        <w:t>2025年，坚持</w:t>
      </w:r>
      <w:r>
        <w:rPr>
          <w:rFonts w:ascii="仿宋_GB2312" w:hAnsi="sans-serif" w:eastAsia="仿宋_GB2312" w:cs="仿宋_GB2312"/>
          <w:color w:val="000000"/>
          <w:kern w:val="0"/>
          <w:sz w:val="32"/>
          <w:szCs w:val="32"/>
          <w:shd w:val="clear" w:color="auto" w:fill="FFFFFF"/>
          <w:lang w:bidi="ar"/>
        </w:rPr>
        <w:t>常态化开展城乡环境质量提升工作，每周开展1次全域环境卫生整治，累计清理生活垃圾、建筑垃圾10余吨，清除卫生死角112处，农村面貌和人居环境</w:t>
      </w:r>
      <w:r>
        <w:rPr>
          <w:rFonts w:hint="eastAsia" w:ascii="仿宋_GB2312" w:hAnsi="sans-serif" w:eastAsia="仿宋_GB2312" w:cs="仿宋_GB2312"/>
          <w:color w:val="000000"/>
          <w:kern w:val="0"/>
          <w:sz w:val="32"/>
          <w:szCs w:val="32"/>
          <w:shd w:val="clear" w:color="auto" w:fill="FFFFFF"/>
          <w:lang w:bidi="ar"/>
        </w:rPr>
        <w:t>显著</w:t>
      </w:r>
      <w:r>
        <w:rPr>
          <w:rFonts w:ascii="仿宋_GB2312" w:hAnsi="sans-serif" w:eastAsia="仿宋_GB2312" w:cs="仿宋_GB2312"/>
          <w:color w:val="000000"/>
          <w:kern w:val="0"/>
          <w:sz w:val="32"/>
          <w:szCs w:val="32"/>
          <w:shd w:val="clear" w:color="auto" w:fill="FFFFFF"/>
          <w:lang w:bidi="ar"/>
        </w:rPr>
        <w:t>改善</w:t>
      </w:r>
      <w:r>
        <w:rPr>
          <w:rFonts w:hint="eastAsia" w:ascii="仿宋_GB2312" w:hAnsi="sans-serif" w:eastAsia="仿宋_GB2312" w:cs="仿宋_GB2312"/>
          <w:color w:val="000000"/>
          <w:kern w:val="0"/>
          <w:sz w:val="32"/>
          <w:szCs w:val="32"/>
          <w:shd w:val="clear" w:color="auto" w:fill="FFFFFF"/>
          <w:lang w:bidi="ar"/>
        </w:rPr>
        <w:t>。</w:t>
      </w:r>
      <w:r>
        <w:rPr>
          <w:rFonts w:ascii="仿宋_GB2312" w:hAnsi="sans-serif" w:eastAsia="仿宋_GB2312" w:cs="仿宋_GB2312"/>
          <w:color w:val="000000"/>
          <w:kern w:val="0"/>
          <w:sz w:val="32"/>
          <w:szCs w:val="32"/>
          <w:shd w:val="clear" w:color="auto" w:fill="FFFFFF"/>
          <w:lang w:bidi="ar"/>
        </w:rPr>
        <w:t>二是生态保护修复不断向好。坚持把生态文明建设摆在突出位置，</w:t>
      </w:r>
      <w:r>
        <w:rPr>
          <w:rFonts w:hint="eastAsia" w:ascii="仿宋_GB2312" w:hAnsi="sans-serif" w:eastAsia="仿宋_GB2312" w:cs="仿宋_GB2312"/>
          <w:color w:val="000000"/>
          <w:kern w:val="0"/>
          <w:sz w:val="32"/>
          <w:szCs w:val="32"/>
          <w:shd w:val="clear" w:color="auto" w:fill="FFFFFF"/>
          <w:lang w:bidi="ar"/>
        </w:rPr>
        <w:t>严格落实生态环境保护责任，</w:t>
      </w:r>
      <w:r>
        <w:rPr>
          <w:rFonts w:ascii="仿宋_GB2312" w:hAnsi="sans-serif" w:eastAsia="仿宋_GB2312" w:cs="仿宋_GB2312"/>
          <w:color w:val="000000"/>
          <w:kern w:val="0"/>
          <w:sz w:val="32"/>
          <w:szCs w:val="32"/>
          <w:shd w:val="clear" w:color="auto" w:fill="FFFFFF"/>
          <w:lang w:bidi="ar"/>
        </w:rPr>
        <w:t>做深做实“林长制”“河湖长制”，严格管控乱砍滥伐、乱排乱放等行为，提高乡村污水收集和处理能力，加强农业面源污染防治</w:t>
      </w:r>
      <w:r>
        <w:rPr>
          <w:rFonts w:hint="eastAsia" w:ascii="仿宋_GB2312" w:hAnsi="sans-serif" w:eastAsia="仿宋_GB2312" w:cs="仿宋_GB2312"/>
          <w:color w:val="000000"/>
          <w:kern w:val="0"/>
          <w:sz w:val="32"/>
          <w:szCs w:val="32"/>
          <w:shd w:val="clear" w:color="auto" w:fill="FFFFFF"/>
          <w:lang w:bidi="ar"/>
        </w:rPr>
        <w:t>，高质量完成各类环保督察问题整改。2025年，</w:t>
      </w:r>
      <w:r>
        <w:rPr>
          <w:rFonts w:ascii="仿宋_GB2312" w:hAnsi="sans-serif" w:eastAsia="仿宋_GB2312" w:cs="仿宋_GB2312"/>
          <w:color w:val="000000"/>
          <w:kern w:val="0"/>
          <w:sz w:val="32"/>
          <w:szCs w:val="32"/>
          <w:shd w:val="clear" w:color="auto" w:fill="FFFFFF"/>
          <w:lang w:bidi="ar"/>
        </w:rPr>
        <w:t>深入开展河湖“清四乱”等行动，集中清理河道、边沟共计32公里，全力保障镇域“河畅、水清、岸绿、景美”的生态环境。</w:t>
      </w:r>
      <w:r>
        <w:rPr>
          <w:rFonts w:hint="eastAsia" w:ascii="仿宋_GB2312" w:hAnsi="sans-serif" w:eastAsia="仿宋_GB2312" w:cs="仿宋_GB2312"/>
          <w:color w:val="000000"/>
          <w:kern w:val="0"/>
          <w:sz w:val="32"/>
          <w:szCs w:val="32"/>
          <w:shd w:val="clear" w:color="auto" w:fill="FFFFFF"/>
          <w:lang w:bidi="ar"/>
        </w:rPr>
        <w:t>三是绿色生活理念深入人心。积极倡导低碳生活方式，通过村公告栏、微信群、入户宣传等形式，向群众普及节水节电、垃圾分类、低碳出行等知识，引导大家养成绿色消费习惯。同时，在我镇推行无纸化办公，减少纸质文件印发，推广电子审批、线上沟通，降低办公能耗，鼓励干部职工带头践行绿色出行，全镇绿色发展氛围日益浓厚。2025年，通过发放宣传资料、举办活动等多种形式广泛宣传环保知识10场次，群众生态文明意识普遍增强，为建设生态宜居乡镇注入了强劲动力。</w:t>
      </w:r>
    </w:p>
    <w:p w14:paraId="497F16BD">
      <w:pPr>
        <w:keepNext w:val="0"/>
        <w:keepLines w:val="0"/>
        <w:pageBreakBefore w:val="0"/>
        <w:kinsoku/>
        <w:wordWrap/>
        <w:overflowPunct/>
        <w:topLinePunct w:val="0"/>
        <w:autoSpaceDE/>
        <w:autoSpaceDN/>
        <w:bidi w:val="0"/>
        <w:spacing w:beforeAutospacing="0" w:afterAutospacing="0" w:line="560" w:lineRule="exact"/>
        <w:ind w:left="0" w:firstLine="643" w:firstLineChars="200"/>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b/>
          <w:color w:val="000000"/>
          <w:kern w:val="0"/>
          <w:sz w:val="32"/>
          <w:szCs w:val="32"/>
          <w:shd w:val="clear" w:color="auto" w:fill="FFFFFF"/>
          <w:lang w:bidi="ar"/>
        </w:rPr>
        <w:t>（三）千方百计抓民生，民生福祉不断增强。</w:t>
      </w:r>
      <w:r>
        <w:rPr>
          <w:rFonts w:ascii="仿宋_GB2312" w:hAnsi="sans-serif" w:eastAsia="仿宋_GB2312" w:cs="仿宋_GB2312"/>
          <w:color w:val="000000"/>
          <w:kern w:val="0"/>
          <w:sz w:val="32"/>
          <w:szCs w:val="32"/>
          <w:shd w:val="clear" w:color="auto" w:fill="FFFFFF"/>
          <w:lang w:bidi="ar"/>
        </w:rPr>
        <w:t>一是深入实施乡村振兴。始终把防返贫动态监测和帮扶工作作为重中之重，健立健全“镇班子成员+镇乡村振兴专干+驻村工作队”月研判、月总结、月督查机制，</w:t>
      </w:r>
      <w:r>
        <w:rPr>
          <w:rFonts w:hint="eastAsia" w:ascii="仿宋_GB2312" w:hAnsi="sans-serif" w:eastAsia="仿宋_GB2312" w:cs="仿宋_GB2312"/>
          <w:color w:val="000000"/>
          <w:kern w:val="0"/>
          <w:sz w:val="32"/>
          <w:szCs w:val="32"/>
          <w:shd w:val="clear" w:color="auto" w:fill="FFFFFF"/>
          <w:lang w:bidi="ar"/>
        </w:rPr>
        <w:t>全覆盖</w:t>
      </w:r>
      <w:r>
        <w:rPr>
          <w:rFonts w:ascii="仿宋_GB2312" w:hAnsi="sans-serif" w:eastAsia="仿宋_GB2312" w:cs="仿宋_GB2312"/>
          <w:color w:val="000000"/>
          <w:kern w:val="0"/>
          <w:sz w:val="32"/>
          <w:szCs w:val="32"/>
          <w:shd w:val="clear" w:color="auto" w:fill="FFFFFF"/>
          <w:lang w:bidi="ar"/>
        </w:rPr>
        <w:t>开展大排查</w:t>
      </w:r>
      <w:r>
        <w:rPr>
          <w:rFonts w:hint="eastAsia" w:ascii="仿宋_GB2312" w:hAnsi="sans-serif" w:eastAsia="仿宋_GB2312" w:cs="仿宋_GB2312"/>
          <w:color w:val="000000"/>
          <w:kern w:val="0"/>
          <w:sz w:val="32"/>
          <w:szCs w:val="32"/>
          <w:shd w:val="clear" w:color="auto" w:fill="FFFFFF"/>
          <w:lang w:bidi="ar"/>
        </w:rPr>
        <w:t>6</w:t>
      </w:r>
      <w:r>
        <w:rPr>
          <w:rFonts w:ascii="仿宋_GB2312" w:hAnsi="sans-serif" w:eastAsia="仿宋_GB2312" w:cs="仿宋_GB2312"/>
          <w:color w:val="000000"/>
          <w:kern w:val="0"/>
          <w:sz w:val="32"/>
          <w:szCs w:val="32"/>
          <w:shd w:val="clear" w:color="auto" w:fill="FFFFFF"/>
          <w:lang w:bidi="ar"/>
        </w:rPr>
        <w:t>轮次，全过程分析研判增收情况，落实产业到户补助、交通补助</w:t>
      </w:r>
      <w:r>
        <w:rPr>
          <w:rFonts w:hint="eastAsia" w:ascii="仿宋_GB2312" w:hAnsi="sans-serif" w:eastAsia="仿宋_GB2312" w:cs="仿宋_GB2312"/>
          <w:color w:val="000000"/>
          <w:kern w:val="0"/>
          <w:sz w:val="32"/>
          <w:szCs w:val="32"/>
          <w:shd w:val="clear" w:color="auto" w:fill="FFFFFF"/>
          <w:lang w:bidi="ar"/>
        </w:rPr>
        <w:t>等</w:t>
      </w:r>
      <w:r>
        <w:rPr>
          <w:rFonts w:ascii="仿宋_GB2312" w:hAnsi="sans-serif" w:eastAsia="仿宋_GB2312" w:cs="仿宋_GB2312"/>
          <w:color w:val="000000"/>
          <w:kern w:val="0"/>
          <w:sz w:val="32"/>
          <w:szCs w:val="32"/>
          <w:shd w:val="clear" w:color="auto" w:fill="FFFFFF"/>
          <w:lang w:bidi="ar"/>
        </w:rPr>
        <w:t>救助基金</w:t>
      </w:r>
      <w:r>
        <w:rPr>
          <w:rFonts w:hint="eastAsia" w:ascii="仿宋_GB2312" w:hAnsi="sans-serif" w:eastAsia="仿宋_GB2312" w:cs="仿宋_GB2312"/>
          <w:color w:val="000000"/>
          <w:kern w:val="0"/>
          <w:sz w:val="32"/>
          <w:szCs w:val="32"/>
          <w:shd w:val="clear" w:color="auto" w:fill="FFFFFF"/>
          <w:lang w:bidi="ar"/>
        </w:rPr>
        <w:t>148人次、发放75200元</w:t>
      </w:r>
      <w:r>
        <w:rPr>
          <w:rFonts w:ascii="仿宋_GB2312" w:hAnsi="sans-serif" w:eastAsia="仿宋_GB2312" w:cs="仿宋_GB2312"/>
          <w:color w:val="000000"/>
          <w:kern w:val="0"/>
          <w:sz w:val="32"/>
          <w:szCs w:val="32"/>
          <w:shd w:val="clear" w:color="auto" w:fill="FFFFFF"/>
          <w:lang w:bidi="ar"/>
        </w:rPr>
        <w:t>，坚决守住不发生规模性返贫底线。</w:t>
      </w:r>
      <w:r>
        <w:rPr>
          <w:rFonts w:hint="eastAsia" w:ascii="仿宋_GB2312" w:hAnsi="sans-serif" w:eastAsia="仿宋_GB2312" w:cs="仿宋_GB2312"/>
          <w:color w:val="000000"/>
          <w:kern w:val="0"/>
          <w:sz w:val="32"/>
          <w:szCs w:val="32"/>
          <w:shd w:val="clear" w:color="auto" w:fill="FFFFFF"/>
          <w:lang w:bidi="ar"/>
        </w:rPr>
        <w:t>2025年，</w:t>
      </w:r>
      <w:r>
        <w:rPr>
          <w:rFonts w:ascii="仿宋_GB2312" w:hAnsi="sans-serif" w:eastAsia="仿宋_GB2312" w:cs="仿宋_GB2312"/>
          <w:color w:val="000000"/>
          <w:kern w:val="0"/>
          <w:sz w:val="32"/>
          <w:szCs w:val="32"/>
          <w:shd w:val="clear" w:color="auto" w:fill="FFFFFF"/>
          <w:lang w:bidi="ar"/>
        </w:rPr>
        <w:t>对县级部门推送存在返贫致贫风险、省级推送存在因病风险农户</w:t>
      </w:r>
      <w:r>
        <w:rPr>
          <w:rFonts w:hint="eastAsia" w:ascii="仿宋_GB2312" w:hAnsi="sans-serif" w:eastAsia="仿宋_GB2312" w:cs="仿宋_GB2312"/>
          <w:color w:val="000000"/>
          <w:kern w:val="0"/>
          <w:sz w:val="32"/>
          <w:szCs w:val="32"/>
          <w:shd w:val="clear" w:color="auto" w:fill="FFFFFF"/>
          <w:lang w:bidi="ar"/>
        </w:rPr>
        <w:t>34人次，</w:t>
      </w:r>
      <w:r>
        <w:rPr>
          <w:rFonts w:ascii="仿宋_GB2312" w:hAnsi="sans-serif" w:eastAsia="仿宋_GB2312" w:cs="仿宋_GB2312"/>
          <w:color w:val="000000"/>
          <w:kern w:val="0"/>
          <w:sz w:val="32"/>
          <w:szCs w:val="32"/>
          <w:shd w:val="clear" w:color="auto" w:fill="FFFFFF"/>
          <w:lang w:bidi="ar"/>
        </w:rPr>
        <w:t>开展</w:t>
      </w:r>
      <w:r>
        <w:rPr>
          <w:rFonts w:hint="eastAsia" w:ascii="仿宋_GB2312" w:hAnsi="sans-serif" w:eastAsia="仿宋_GB2312" w:cs="仿宋_GB2312"/>
          <w:color w:val="000000"/>
          <w:kern w:val="0"/>
          <w:sz w:val="32"/>
          <w:szCs w:val="32"/>
          <w:shd w:val="clear" w:color="auto" w:fill="FFFFFF"/>
          <w:lang w:bidi="ar"/>
        </w:rPr>
        <w:t>13</w:t>
      </w:r>
      <w:r>
        <w:rPr>
          <w:rFonts w:ascii="仿宋_GB2312" w:hAnsi="sans-serif" w:eastAsia="仿宋_GB2312" w:cs="仿宋_GB2312"/>
          <w:color w:val="000000"/>
          <w:kern w:val="0"/>
          <w:sz w:val="32"/>
          <w:szCs w:val="32"/>
          <w:shd w:val="clear" w:color="auto" w:fill="FFFFFF"/>
          <w:lang w:bidi="ar"/>
        </w:rPr>
        <w:t>轮入户核实排查，共复核风险线索信息</w:t>
      </w:r>
      <w:r>
        <w:rPr>
          <w:rFonts w:hint="eastAsia" w:ascii="仿宋_GB2312" w:hAnsi="sans-serif" w:eastAsia="仿宋_GB2312" w:cs="仿宋_GB2312"/>
          <w:color w:val="000000"/>
          <w:kern w:val="0"/>
          <w:sz w:val="32"/>
          <w:szCs w:val="32"/>
          <w:shd w:val="clear" w:color="auto" w:fill="FFFFFF"/>
          <w:lang w:bidi="ar"/>
        </w:rPr>
        <w:t>34</w:t>
      </w:r>
      <w:r>
        <w:rPr>
          <w:rFonts w:ascii="仿宋_GB2312" w:hAnsi="sans-serif" w:eastAsia="仿宋_GB2312" w:cs="仿宋_GB2312"/>
          <w:color w:val="000000"/>
          <w:kern w:val="0"/>
          <w:sz w:val="32"/>
          <w:szCs w:val="32"/>
          <w:shd w:val="clear" w:color="auto" w:fill="FFFFFF"/>
          <w:lang w:bidi="ar"/>
        </w:rPr>
        <w:t>条。截至目前，全镇无新增监测对象，无返贫致贫隐患。二是千方百计助民增收。成立“爱心勿角”困难群众帮扶基金，争取避险搬迁政策资金</w:t>
      </w:r>
      <w:r>
        <w:rPr>
          <w:rFonts w:hint="eastAsia" w:ascii="仿宋_GB2312" w:hAnsi="sans-serif" w:eastAsia="仿宋_GB2312" w:cs="仿宋_GB2312"/>
          <w:color w:val="000000"/>
          <w:kern w:val="0"/>
          <w:sz w:val="32"/>
          <w:szCs w:val="32"/>
          <w:shd w:val="clear" w:color="auto" w:fill="FFFFFF"/>
          <w:lang w:bidi="ar"/>
        </w:rPr>
        <w:t>780余</w:t>
      </w:r>
      <w:r>
        <w:rPr>
          <w:rFonts w:ascii="仿宋_GB2312" w:hAnsi="sans-serif" w:eastAsia="仿宋_GB2312" w:cs="仿宋_GB2312"/>
          <w:color w:val="000000"/>
          <w:kern w:val="0"/>
          <w:sz w:val="32"/>
          <w:szCs w:val="32"/>
          <w:shd w:val="clear" w:color="auto" w:fill="FFFFFF"/>
          <w:lang w:bidi="ar"/>
        </w:rPr>
        <w:t>万元，完成</w:t>
      </w:r>
      <w:r>
        <w:rPr>
          <w:rFonts w:hint="eastAsia" w:ascii="仿宋_GB2312" w:hAnsi="sans-serif" w:eastAsia="仿宋_GB2312" w:cs="仿宋_GB2312"/>
          <w:color w:val="000000"/>
          <w:kern w:val="0"/>
          <w:sz w:val="32"/>
          <w:szCs w:val="32"/>
          <w:shd w:val="clear" w:color="auto" w:fill="FFFFFF"/>
          <w:lang w:bidi="ar"/>
        </w:rPr>
        <w:t>51</w:t>
      </w:r>
      <w:r>
        <w:rPr>
          <w:rFonts w:ascii="仿宋_GB2312" w:hAnsi="sans-serif" w:eastAsia="仿宋_GB2312" w:cs="仿宋_GB2312"/>
          <w:color w:val="000000"/>
          <w:kern w:val="0"/>
          <w:sz w:val="32"/>
          <w:szCs w:val="32"/>
          <w:shd w:val="clear" w:color="auto" w:fill="FFFFFF"/>
          <w:lang w:bidi="ar"/>
        </w:rPr>
        <w:t>户农房重建工作，动员</w:t>
      </w:r>
      <w:r>
        <w:rPr>
          <w:rFonts w:hint="eastAsia" w:ascii="仿宋_GB2312" w:hAnsi="sans-serif" w:eastAsia="仿宋_GB2312" w:cs="仿宋_GB2312"/>
          <w:color w:val="000000"/>
          <w:kern w:val="0"/>
          <w:sz w:val="32"/>
          <w:szCs w:val="32"/>
          <w:shd w:val="clear" w:color="auto" w:fill="FFFFFF"/>
          <w:lang w:bidi="ar"/>
        </w:rPr>
        <w:t>800</w:t>
      </w:r>
      <w:r>
        <w:rPr>
          <w:rFonts w:ascii="仿宋_GB2312" w:hAnsi="sans-serif" w:eastAsia="仿宋_GB2312" w:cs="仿宋_GB2312"/>
          <w:color w:val="000000"/>
          <w:kern w:val="0"/>
          <w:sz w:val="32"/>
          <w:szCs w:val="32"/>
          <w:shd w:val="clear" w:color="auto" w:fill="FFFFFF"/>
          <w:lang w:bidi="ar"/>
        </w:rPr>
        <w:t>余名群众参加就业培训和就业招聘，实现对外劳务输出</w:t>
      </w:r>
      <w:r>
        <w:rPr>
          <w:rFonts w:hint="eastAsia" w:ascii="仿宋_GB2312" w:hAnsi="sans-serif" w:eastAsia="仿宋_GB2312" w:cs="仿宋_GB2312"/>
          <w:color w:val="000000"/>
          <w:kern w:val="0"/>
          <w:sz w:val="32"/>
          <w:szCs w:val="32"/>
          <w:shd w:val="clear" w:color="auto" w:fill="FFFFFF"/>
          <w:lang w:bidi="ar"/>
        </w:rPr>
        <w:t>5995</w:t>
      </w:r>
      <w:r>
        <w:rPr>
          <w:rFonts w:ascii="仿宋_GB2312" w:hAnsi="sans-serif" w:eastAsia="仿宋_GB2312" w:cs="仿宋_GB2312"/>
          <w:color w:val="000000"/>
          <w:kern w:val="0"/>
          <w:sz w:val="32"/>
          <w:szCs w:val="32"/>
          <w:shd w:val="clear" w:color="auto" w:fill="FFFFFF"/>
          <w:lang w:bidi="ar"/>
        </w:rPr>
        <w:t>人</w:t>
      </w:r>
      <w:r>
        <w:rPr>
          <w:rFonts w:hint="eastAsia" w:ascii="仿宋_GB2312" w:hAnsi="sans-serif" w:eastAsia="仿宋_GB2312" w:cs="仿宋_GB2312"/>
          <w:color w:val="000000"/>
          <w:kern w:val="0"/>
          <w:sz w:val="32"/>
          <w:szCs w:val="32"/>
          <w:shd w:val="clear" w:color="auto" w:fill="FFFFFF"/>
          <w:lang w:bidi="ar"/>
        </w:rPr>
        <w:t>次</w:t>
      </w:r>
      <w:r>
        <w:rPr>
          <w:rFonts w:ascii="仿宋_GB2312" w:hAnsi="sans-serif" w:eastAsia="仿宋_GB2312" w:cs="仿宋_GB2312"/>
          <w:color w:val="000000"/>
          <w:kern w:val="0"/>
          <w:sz w:val="32"/>
          <w:szCs w:val="32"/>
          <w:shd w:val="clear" w:color="auto" w:fill="FFFFFF"/>
          <w:lang w:bidi="ar"/>
        </w:rPr>
        <w:t>，劳务总收入</w:t>
      </w:r>
      <w:r>
        <w:rPr>
          <w:rFonts w:hint="eastAsia" w:ascii="仿宋_GB2312" w:hAnsi="sans-serif" w:eastAsia="仿宋_GB2312" w:cs="仿宋_GB2312"/>
          <w:color w:val="000000"/>
          <w:kern w:val="0"/>
          <w:sz w:val="32"/>
          <w:szCs w:val="32"/>
          <w:shd w:val="clear" w:color="auto" w:fill="FFFFFF"/>
          <w:lang w:bidi="ar"/>
        </w:rPr>
        <w:t>1.1亿</w:t>
      </w:r>
      <w:r>
        <w:rPr>
          <w:rFonts w:ascii="仿宋_GB2312" w:hAnsi="sans-serif" w:eastAsia="仿宋_GB2312" w:cs="仿宋_GB2312"/>
          <w:color w:val="000000"/>
          <w:kern w:val="0"/>
          <w:sz w:val="32"/>
          <w:szCs w:val="32"/>
          <w:shd w:val="clear" w:color="auto" w:fill="FFFFFF"/>
          <w:lang w:bidi="ar"/>
        </w:rPr>
        <w:t>元。202</w:t>
      </w:r>
      <w:r>
        <w:rPr>
          <w:rFonts w:hint="eastAsia" w:ascii="仿宋_GB2312" w:hAnsi="sans-serif" w:eastAsia="仿宋_GB2312" w:cs="仿宋_GB2312"/>
          <w:color w:val="000000"/>
          <w:kern w:val="0"/>
          <w:sz w:val="32"/>
          <w:szCs w:val="32"/>
          <w:shd w:val="clear" w:color="auto" w:fill="FFFFFF"/>
          <w:lang w:bidi="ar"/>
        </w:rPr>
        <w:t>5</w:t>
      </w:r>
      <w:r>
        <w:rPr>
          <w:rFonts w:ascii="仿宋_GB2312" w:hAnsi="sans-serif" w:eastAsia="仿宋_GB2312" w:cs="仿宋_GB2312"/>
          <w:color w:val="000000"/>
          <w:kern w:val="0"/>
          <w:sz w:val="32"/>
          <w:szCs w:val="32"/>
          <w:shd w:val="clear" w:color="auto" w:fill="FFFFFF"/>
          <w:lang w:bidi="ar"/>
        </w:rPr>
        <w:t>年，</w:t>
      </w:r>
      <w:r>
        <w:rPr>
          <w:rFonts w:hint="eastAsia" w:ascii="仿宋_GB2312" w:hAnsi="sans-serif" w:eastAsia="仿宋_GB2312" w:cs="仿宋_GB2312"/>
          <w:color w:val="000000"/>
          <w:kern w:val="0"/>
          <w:sz w:val="32"/>
          <w:szCs w:val="32"/>
          <w:shd w:val="clear" w:color="auto" w:fill="FFFFFF"/>
          <w:lang w:bidi="ar"/>
        </w:rPr>
        <w:t>通过实施</w:t>
      </w:r>
      <w:r>
        <w:rPr>
          <w:rFonts w:ascii="仿宋_GB2312" w:hAnsi="sans-serif" w:eastAsia="仿宋_GB2312" w:cs="仿宋_GB2312"/>
          <w:color w:val="000000"/>
          <w:kern w:val="0"/>
          <w:sz w:val="32"/>
          <w:szCs w:val="32"/>
          <w:shd w:val="clear" w:color="auto" w:fill="FFFFFF"/>
          <w:lang w:bidi="ar"/>
        </w:rPr>
        <w:t>勿角镇2025年中央财政以工代赈项目</w:t>
      </w:r>
      <w:r>
        <w:rPr>
          <w:rFonts w:hint="eastAsia" w:ascii="仿宋_GB2312" w:hAnsi="sans-serif" w:eastAsia="仿宋_GB2312" w:cs="仿宋_GB2312"/>
          <w:color w:val="000000"/>
          <w:kern w:val="0"/>
          <w:sz w:val="32"/>
          <w:szCs w:val="32"/>
          <w:shd w:val="clear" w:color="auto" w:fill="FFFFFF"/>
          <w:lang w:bidi="ar"/>
        </w:rPr>
        <w:t>和</w:t>
      </w:r>
      <w:r>
        <w:rPr>
          <w:rFonts w:ascii="仿宋_GB2312" w:hAnsi="sans-serif" w:eastAsia="仿宋_GB2312" w:cs="仿宋_GB2312"/>
          <w:color w:val="000000"/>
          <w:kern w:val="0"/>
          <w:sz w:val="32"/>
          <w:szCs w:val="32"/>
          <w:shd w:val="clear" w:color="auto" w:fill="FFFFFF"/>
          <w:lang w:bidi="ar"/>
        </w:rPr>
        <w:t>勿角镇产业道路建设、新阳村内道路改造</w:t>
      </w:r>
      <w:r>
        <w:rPr>
          <w:rFonts w:hint="eastAsia" w:ascii="仿宋_GB2312" w:hAnsi="sans-serif" w:eastAsia="仿宋_GB2312" w:cs="仿宋_GB2312"/>
          <w:color w:val="000000"/>
          <w:kern w:val="0"/>
          <w:sz w:val="32"/>
          <w:szCs w:val="32"/>
          <w:shd w:val="clear" w:color="auto" w:fill="FFFFFF"/>
          <w:lang w:bidi="ar"/>
        </w:rPr>
        <w:t>2个推广以工</w:t>
      </w:r>
      <w:r>
        <w:rPr>
          <w:rFonts w:ascii="仿宋_GB2312" w:hAnsi="sans-serif" w:eastAsia="仿宋_GB2312" w:cs="仿宋_GB2312"/>
          <w:color w:val="000000"/>
          <w:kern w:val="0"/>
          <w:sz w:val="32"/>
          <w:szCs w:val="32"/>
          <w:shd w:val="clear" w:color="auto" w:fill="FFFFFF"/>
          <w:lang w:bidi="ar"/>
        </w:rPr>
        <w:t>代赈</w:t>
      </w:r>
      <w:r>
        <w:rPr>
          <w:rFonts w:hint="eastAsia" w:ascii="仿宋_GB2312" w:hAnsi="sans-serif" w:eastAsia="仿宋_GB2312" w:cs="仿宋_GB2312"/>
          <w:color w:val="000000"/>
          <w:kern w:val="0"/>
          <w:sz w:val="32"/>
          <w:szCs w:val="32"/>
          <w:shd w:val="clear" w:color="auto" w:fill="FFFFFF"/>
          <w:lang w:bidi="ar"/>
        </w:rPr>
        <w:t>项目，预计带动281人次务工、放发劳务报酬280余万元，</w:t>
      </w:r>
      <w:r>
        <w:rPr>
          <w:rFonts w:ascii="仿宋_GB2312" w:hAnsi="sans-serif" w:eastAsia="仿宋_GB2312" w:cs="仿宋_GB2312"/>
          <w:color w:val="000000"/>
          <w:kern w:val="0"/>
          <w:sz w:val="32"/>
          <w:szCs w:val="32"/>
          <w:shd w:val="clear" w:color="auto" w:fill="FFFFFF"/>
          <w:lang w:bidi="ar"/>
        </w:rPr>
        <w:t>群众收入稳步增长。三是大力发展社会事业。聚焦医疗、教育等群众急难愁盼问题，组织医疗保险、养老保险等政策讲解暨培训会</w:t>
      </w:r>
      <w:r>
        <w:rPr>
          <w:rFonts w:hint="eastAsia" w:ascii="仿宋_GB2312" w:hAnsi="sans-serif" w:eastAsia="仿宋_GB2312" w:cs="仿宋_GB2312"/>
          <w:color w:val="000000"/>
          <w:kern w:val="0"/>
          <w:sz w:val="32"/>
          <w:szCs w:val="32"/>
          <w:shd w:val="clear" w:color="auto" w:fill="FFFFFF"/>
          <w:lang w:bidi="ar"/>
        </w:rPr>
        <w:t>32</w:t>
      </w:r>
      <w:r>
        <w:rPr>
          <w:rFonts w:ascii="仿宋_GB2312" w:hAnsi="sans-serif" w:eastAsia="仿宋_GB2312" w:cs="仿宋_GB2312"/>
          <w:color w:val="000000"/>
          <w:kern w:val="0"/>
          <w:sz w:val="32"/>
          <w:szCs w:val="32"/>
          <w:shd w:val="clear" w:color="auto" w:fill="FFFFFF"/>
          <w:lang w:bidi="ar"/>
        </w:rPr>
        <w:t>次，解答百姓问题及政策咨询约</w:t>
      </w:r>
      <w:r>
        <w:rPr>
          <w:rFonts w:hint="eastAsia" w:ascii="仿宋_GB2312" w:hAnsi="sans-serif" w:eastAsia="仿宋_GB2312" w:cs="仿宋_GB2312"/>
          <w:color w:val="000000"/>
          <w:kern w:val="0"/>
          <w:sz w:val="32"/>
          <w:szCs w:val="32"/>
          <w:shd w:val="clear" w:color="auto" w:fill="FFFFFF"/>
          <w:lang w:bidi="ar"/>
        </w:rPr>
        <w:t>600余</w:t>
      </w:r>
      <w:r>
        <w:rPr>
          <w:rFonts w:ascii="仿宋_GB2312" w:hAnsi="sans-serif" w:eastAsia="仿宋_GB2312" w:cs="仿宋_GB2312"/>
          <w:color w:val="000000"/>
          <w:kern w:val="0"/>
          <w:sz w:val="32"/>
          <w:szCs w:val="32"/>
          <w:shd w:val="clear" w:color="auto" w:fill="FFFFFF"/>
          <w:lang w:bidi="ar"/>
        </w:rPr>
        <w:t>人次，申请发放残疾人轮椅、助听器等辅助用具</w:t>
      </w:r>
      <w:r>
        <w:rPr>
          <w:rFonts w:hint="eastAsia" w:ascii="仿宋_GB2312" w:hAnsi="sans-serif" w:eastAsia="仿宋_GB2312" w:cs="仿宋_GB2312"/>
          <w:color w:val="000000"/>
          <w:kern w:val="0"/>
          <w:sz w:val="32"/>
          <w:szCs w:val="32"/>
          <w:shd w:val="clear" w:color="auto" w:fill="FFFFFF"/>
          <w:lang w:bidi="ar"/>
        </w:rPr>
        <w:t>40</w:t>
      </w:r>
      <w:r>
        <w:rPr>
          <w:rFonts w:ascii="仿宋_GB2312" w:hAnsi="sans-serif" w:eastAsia="仿宋_GB2312" w:cs="仿宋_GB2312"/>
          <w:color w:val="000000"/>
          <w:kern w:val="0"/>
          <w:sz w:val="32"/>
          <w:szCs w:val="32"/>
          <w:shd w:val="clear" w:color="auto" w:fill="FFFFFF"/>
          <w:lang w:bidi="ar"/>
        </w:rPr>
        <w:t>件，开展义诊巡诊活动</w:t>
      </w:r>
      <w:r>
        <w:rPr>
          <w:rFonts w:hint="eastAsia" w:ascii="仿宋_GB2312" w:hAnsi="sans-serif" w:eastAsia="仿宋_GB2312" w:cs="仿宋_GB2312"/>
          <w:color w:val="000000"/>
          <w:kern w:val="0"/>
          <w:sz w:val="32"/>
          <w:szCs w:val="32"/>
          <w:shd w:val="clear" w:color="auto" w:fill="FFFFFF"/>
          <w:lang w:bidi="ar"/>
        </w:rPr>
        <w:t>30</w:t>
      </w:r>
      <w:r>
        <w:rPr>
          <w:rFonts w:ascii="仿宋_GB2312" w:hAnsi="sans-serif" w:eastAsia="仿宋_GB2312" w:cs="仿宋_GB2312"/>
          <w:color w:val="000000"/>
          <w:kern w:val="0"/>
          <w:sz w:val="32"/>
          <w:szCs w:val="32"/>
          <w:shd w:val="clear" w:color="auto" w:fill="FFFFFF"/>
          <w:lang w:bidi="ar"/>
        </w:rPr>
        <w:t>次，补助在校学生</w:t>
      </w:r>
      <w:r>
        <w:rPr>
          <w:rFonts w:hint="eastAsia" w:ascii="仿宋_GB2312" w:hAnsi="sans-serif" w:eastAsia="仿宋_GB2312" w:cs="仿宋_GB2312"/>
          <w:color w:val="000000"/>
          <w:kern w:val="0"/>
          <w:sz w:val="32"/>
          <w:szCs w:val="32"/>
          <w:shd w:val="clear" w:color="auto" w:fill="FFFFFF"/>
          <w:lang w:bidi="ar"/>
        </w:rPr>
        <w:t>243</w:t>
      </w:r>
      <w:r>
        <w:rPr>
          <w:rFonts w:ascii="仿宋_GB2312" w:hAnsi="sans-serif" w:eastAsia="仿宋_GB2312" w:cs="仿宋_GB2312"/>
          <w:color w:val="000000"/>
          <w:kern w:val="0"/>
          <w:sz w:val="32"/>
          <w:szCs w:val="32"/>
          <w:shd w:val="clear" w:color="auto" w:fill="FFFFFF"/>
          <w:lang w:bidi="ar"/>
        </w:rPr>
        <w:t>人</w:t>
      </w:r>
      <w:r>
        <w:rPr>
          <w:rFonts w:hint="eastAsia" w:ascii="仿宋_GB2312" w:hAnsi="sans-serif" w:eastAsia="仿宋_GB2312" w:cs="仿宋_GB2312"/>
          <w:color w:val="000000"/>
          <w:kern w:val="0"/>
          <w:sz w:val="32"/>
          <w:szCs w:val="32"/>
          <w:shd w:val="clear" w:color="auto" w:fill="FFFFFF"/>
          <w:lang w:bidi="ar"/>
        </w:rPr>
        <w:t>次、发放36.45万元</w:t>
      </w:r>
      <w:r>
        <w:rPr>
          <w:rFonts w:ascii="仿宋_GB2312" w:hAnsi="sans-serif" w:eastAsia="仿宋_GB2312" w:cs="仿宋_GB2312"/>
          <w:color w:val="000000"/>
          <w:kern w:val="0"/>
          <w:sz w:val="32"/>
          <w:szCs w:val="32"/>
          <w:shd w:val="clear" w:color="auto" w:fill="FFFFFF"/>
          <w:lang w:bidi="ar"/>
        </w:rPr>
        <w:t>，群众获得感幸福感安全感更加充实、更有保障。</w:t>
      </w:r>
      <w:r>
        <w:rPr>
          <w:rFonts w:hint="eastAsia" w:ascii="仿宋_GB2312" w:hAnsi="sans-serif" w:eastAsia="仿宋_GB2312" w:cs="仿宋_GB2312"/>
          <w:color w:val="000000"/>
          <w:kern w:val="0"/>
          <w:sz w:val="32"/>
          <w:szCs w:val="32"/>
          <w:shd w:val="clear" w:color="auto" w:fill="FFFFFF"/>
          <w:lang w:bidi="ar"/>
        </w:rPr>
        <w:t>2025年，</w:t>
      </w:r>
      <w:r>
        <w:rPr>
          <w:rFonts w:ascii="仿宋_GB2312" w:hAnsi="sans-serif" w:eastAsia="仿宋_GB2312" w:cs="仿宋_GB2312"/>
          <w:color w:val="000000"/>
          <w:kern w:val="0"/>
          <w:sz w:val="32"/>
          <w:szCs w:val="32"/>
          <w:shd w:val="clear" w:color="auto" w:fill="FFFFFF"/>
          <w:lang w:bidi="ar"/>
        </w:rPr>
        <w:t>全镇城乡居民医疗保险参保率达</w:t>
      </w:r>
      <w:r>
        <w:rPr>
          <w:rFonts w:hint="eastAsia" w:ascii="仿宋_GB2312" w:hAnsi="sans-serif" w:eastAsia="仿宋_GB2312" w:cs="仿宋_GB2312"/>
          <w:color w:val="000000"/>
          <w:kern w:val="0"/>
          <w:sz w:val="32"/>
          <w:szCs w:val="32"/>
          <w:shd w:val="clear" w:color="auto" w:fill="FFFFFF"/>
          <w:lang w:bidi="ar"/>
        </w:rPr>
        <w:t>95</w:t>
      </w:r>
      <w:r>
        <w:rPr>
          <w:rFonts w:ascii="仿宋_GB2312" w:hAnsi="sans-serif" w:eastAsia="仿宋_GB2312" w:cs="仿宋_GB2312"/>
          <w:color w:val="000000"/>
          <w:kern w:val="0"/>
          <w:sz w:val="32"/>
          <w:szCs w:val="32"/>
          <w:shd w:val="clear" w:color="auto" w:fill="FFFFFF"/>
          <w:lang w:bidi="ar"/>
        </w:rPr>
        <w:t>%以上</w:t>
      </w:r>
      <w:r>
        <w:rPr>
          <w:rFonts w:hint="eastAsia" w:ascii="仿宋_GB2312" w:hAnsi="sans-serif" w:eastAsia="仿宋_GB2312" w:cs="仿宋_GB2312"/>
          <w:color w:val="000000"/>
          <w:kern w:val="0"/>
          <w:sz w:val="32"/>
          <w:szCs w:val="32"/>
          <w:shd w:val="clear" w:color="auto" w:fill="FFFFFF"/>
          <w:lang w:bidi="ar"/>
        </w:rPr>
        <w:t>；</w:t>
      </w:r>
      <w:r>
        <w:rPr>
          <w:rFonts w:ascii="仿宋_GB2312" w:hAnsi="sans-serif" w:eastAsia="仿宋_GB2312" w:cs="仿宋_GB2312"/>
          <w:color w:val="000000"/>
          <w:kern w:val="0"/>
          <w:sz w:val="32"/>
          <w:szCs w:val="32"/>
          <w:shd w:val="clear" w:color="auto" w:fill="FFFFFF"/>
          <w:lang w:bidi="ar"/>
        </w:rPr>
        <w:t>城乡居民养老保险参保率达</w:t>
      </w:r>
      <w:r>
        <w:rPr>
          <w:rFonts w:hint="eastAsia" w:ascii="仿宋_GB2312" w:hAnsi="sans-serif" w:eastAsia="仿宋_GB2312" w:cs="仿宋_GB2312"/>
          <w:color w:val="000000"/>
          <w:kern w:val="0"/>
          <w:sz w:val="32"/>
          <w:szCs w:val="32"/>
          <w:shd w:val="clear" w:color="auto" w:fill="FFFFFF"/>
          <w:lang w:bidi="ar"/>
        </w:rPr>
        <w:t>90</w:t>
      </w:r>
      <w:r>
        <w:rPr>
          <w:rFonts w:ascii="仿宋_GB2312" w:hAnsi="sans-serif" w:eastAsia="仿宋_GB2312" w:cs="仿宋_GB2312"/>
          <w:color w:val="000000"/>
          <w:kern w:val="0"/>
          <w:sz w:val="32"/>
          <w:szCs w:val="32"/>
          <w:shd w:val="clear" w:color="auto" w:fill="FFFFFF"/>
          <w:lang w:bidi="ar"/>
        </w:rPr>
        <w:t>%以上。</w:t>
      </w:r>
    </w:p>
    <w:p w14:paraId="2B983A16">
      <w:pPr>
        <w:keepNext w:val="0"/>
        <w:keepLines w:val="0"/>
        <w:pageBreakBefore w:val="0"/>
        <w:kinsoku/>
        <w:wordWrap/>
        <w:overflowPunct/>
        <w:topLinePunct w:val="0"/>
        <w:autoSpaceDE/>
        <w:autoSpaceDN/>
        <w:bidi w:val="0"/>
        <w:spacing w:beforeAutospacing="0" w:afterAutospacing="0" w:line="560" w:lineRule="exact"/>
        <w:ind w:left="0" w:firstLine="643" w:firstLineChars="200"/>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b/>
          <w:color w:val="000000"/>
          <w:kern w:val="0"/>
          <w:sz w:val="32"/>
          <w:szCs w:val="32"/>
          <w:shd w:val="clear" w:color="auto" w:fill="FFFFFF"/>
          <w:lang w:bidi="ar"/>
        </w:rPr>
        <w:t>（四）全力以赴抓稳定，社会大局安定有序。</w:t>
      </w:r>
      <w:r>
        <w:rPr>
          <w:rFonts w:ascii="仿宋_GB2312" w:hAnsi="sans-serif" w:eastAsia="仿宋_GB2312" w:cs="仿宋_GB2312"/>
          <w:color w:val="000000"/>
          <w:kern w:val="0"/>
          <w:sz w:val="32"/>
          <w:szCs w:val="32"/>
          <w:shd w:val="clear" w:color="auto" w:fill="FFFFFF"/>
          <w:lang w:bidi="ar"/>
        </w:rPr>
        <w:t>一是社会</w:t>
      </w:r>
      <w:r>
        <w:rPr>
          <w:rFonts w:hint="eastAsia" w:ascii="仿宋_GB2312" w:hAnsi="sans-serif" w:eastAsia="仿宋_GB2312" w:cs="仿宋_GB2312"/>
          <w:color w:val="000000"/>
          <w:kern w:val="0"/>
          <w:sz w:val="32"/>
          <w:szCs w:val="32"/>
          <w:shd w:val="clear" w:color="auto" w:fill="FFFFFF"/>
          <w:lang w:bidi="ar"/>
        </w:rPr>
        <w:t>大局和谐</w:t>
      </w:r>
      <w:r>
        <w:rPr>
          <w:rFonts w:ascii="仿宋_GB2312" w:hAnsi="sans-serif" w:eastAsia="仿宋_GB2312" w:cs="仿宋_GB2312"/>
          <w:color w:val="000000"/>
          <w:kern w:val="0"/>
          <w:sz w:val="32"/>
          <w:szCs w:val="32"/>
          <w:shd w:val="clear" w:color="auto" w:fill="FFFFFF"/>
          <w:lang w:bidi="ar"/>
        </w:rPr>
        <w:t>稳定。</w:t>
      </w:r>
      <w:r>
        <w:rPr>
          <w:rFonts w:hint="eastAsia" w:ascii="仿宋_GB2312" w:hAnsi="sans-serif" w:eastAsia="仿宋_GB2312" w:cs="仿宋_GB2312"/>
          <w:color w:val="000000"/>
          <w:kern w:val="0"/>
          <w:sz w:val="32"/>
          <w:szCs w:val="32"/>
          <w:shd w:val="clear" w:color="auto" w:fill="FFFFFF"/>
          <w:lang w:bidi="ar"/>
        </w:rPr>
        <w:t>坚持和发展新时代“枫桥经验”，深化“微网实格”治理，</w:t>
      </w:r>
      <w:r>
        <w:rPr>
          <w:rFonts w:ascii="仿宋_GB2312" w:hAnsi="sans-serif" w:eastAsia="仿宋_GB2312" w:cs="仿宋_GB2312"/>
          <w:color w:val="000000"/>
          <w:kern w:val="0"/>
          <w:sz w:val="32"/>
          <w:szCs w:val="32"/>
          <w:shd w:val="clear" w:color="auto" w:fill="FFFFFF"/>
          <w:lang w:bidi="ar"/>
        </w:rPr>
        <w:t>扎实开展矛盾纠纷排查化解专项行动，常态化开展扫黑除恶斗争，依法打击治理黄赌毒、盗抢骗等突出违法犯罪，全力维护社会安全稳定。</w:t>
      </w:r>
      <w:r>
        <w:rPr>
          <w:rFonts w:hint="eastAsia" w:ascii="仿宋_GB2312" w:hAnsi="sans-serif" w:eastAsia="仿宋_GB2312" w:cs="仿宋_GB2312"/>
          <w:color w:val="000000"/>
          <w:kern w:val="0"/>
          <w:sz w:val="32"/>
          <w:szCs w:val="32"/>
          <w:shd w:val="clear" w:color="auto" w:fill="FFFFFF"/>
          <w:lang w:bidi="ar"/>
        </w:rPr>
        <w:t>2025年，</w:t>
      </w:r>
      <w:r>
        <w:rPr>
          <w:rFonts w:ascii="仿宋_GB2312" w:hAnsi="sans-serif" w:eastAsia="仿宋_GB2312" w:cs="仿宋_GB2312"/>
          <w:color w:val="000000"/>
          <w:kern w:val="0"/>
          <w:sz w:val="32"/>
          <w:szCs w:val="32"/>
          <w:shd w:val="clear" w:color="auto" w:fill="FFFFFF"/>
          <w:lang w:bidi="ar"/>
        </w:rPr>
        <w:t>聚焦3月敏感期等重要时间节点，</w:t>
      </w:r>
      <w:r>
        <w:rPr>
          <w:rFonts w:hint="eastAsia" w:ascii="仿宋_GB2312" w:hAnsi="sans-serif" w:eastAsia="仿宋_GB2312" w:cs="仿宋_GB2312"/>
          <w:color w:val="000000"/>
          <w:kern w:val="0"/>
          <w:sz w:val="32"/>
          <w:szCs w:val="32"/>
          <w:shd w:val="clear" w:color="auto" w:fill="FFFFFF"/>
          <w:lang w:bidi="ar"/>
        </w:rPr>
        <w:t>深入</w:t>
      </w:r>
      <w:r>
        <w:rPr>
          <w:rFonts w:ascii="仿宋_GB2312" w:hAnsi="sans-serif" w:eastAsia="仿宋_GB2312" w:cs="仿宋_GB2312"/>
          <w:color w:val="000000"/>
          <w:kern w:val="0"/>
          <w:sz w:val="32"/>
          <w:szCs w:val="32"/>
          <w:shd w:val="clear" w:color="auto" w:fill="FFFFFF"/>
          <w:lang w:bidi="ar"/>
        </w:rPr>
        <w:t>开展矛盾纠纷排查化解</w:t>
      </w:r>
      <w:r>
        <w:rPr>
          <w:rFonts w:hint="eastAsia" w:ascii="仿宋_GB2312" w:hAnsi="sans-serif" w:eastAsia="仿宋_GB2312" w:cs="仿宋_GB2312"/>
          <w:color w:val="000000"/>
          <w:kern w:val="0"/>
          <w:sz w:val="32"/>
          <w:szCs w:val="32"/>
          <w:shd w:val="clear" w:color="auto" w:fill="FFFFFF"/>
          <w:lang w:bidi="ar"/>
        </w:rPr>
        <w:t>工作</w:t>
      </w:r>
      <w:r>
        <w:rPr>
          <w:rFonts w:ascii="仿宋_GB2312" w:hAnsi="sans-serif" w:eastAsia="仿宋_GB2312" w:cs="仿宋_GB2312"/>
          <w:color w:val="000000"/>
          <w:kern w:val="0"/>
          <w:sz w:val="32"/>
          <w:szCs w:val="32"/>
          <w:shd w:val="clear" w:color="auto" w:fill="FFFFFF"/>
          <w:lang w:bidi="ar"/>
        </w:rPr>
        <w:t>，查调处矛盾纠纷</w:t>
      </w:r>
      <w:r>
        <w:rPr>
          <w:rFonts w:hint="eastAsia" w:ascii="仿宋_GB2312" w:hAnsi="sans-serif" w:eastAsia="仿宋_GB2312" w:cs="仿宋_GB2312"/>
          <w:color w:val="000000"/>
          <w:kern w:val="0"/>
          <w:sz w:val="32"/>
          <w:szCs w:val="32"/>
          <w:shd w:val="clear" w:color="auto" w:fill="FFFFFF"/>
          <w:lang w:bidi="ar"/>
        </w:rPr>
        <w:t>5</w:t>
      </w:r>
      <w:r>
        <w:rPr>
          <w:rFonts w:ascii="仿宋_GB2312" w:hAnsi="sans-serif" w:eastAsia="仿宋_GB2312" w:cs="仿宋_GB2312"/>
          <w:color w:val="000000"/>
          <w:kern w:val="0"/>
          <w:sz w:val="32"/>
          <w:szCs w:val="32"/>
          <w:shd w:val="clear" w:color="auto" w:fill="FFFFFF"/>
          <w:lang w:bidi="ar"/>
        </w:rPr>
        <w:t>起，调解成功</w:t>
      </w:r>
      <w:r>
        <w:rPr>
          <w:rFonts w:hint="eastAsia" w:ascii="仿宋_GB2312" w:hAnsi="sans-serif" w:eastAsia="仿宋_GB2312" w:cs="仿宋_GB2312"/>
          <w:color w:val="000000"/>
          <w:kern w:val="0"/>
          <w:sz w:val="32"/>
          <w:szCs w:val="32"/>
          <w:shd w:val="clear" w:color="auto" w:fill="FFFFFF"/>
          <w:lang w:bidi="ar"/>
        </w:rPr>
        <w:t>5</w:t>
      </w:r>
      <w:r>
        <w:rPr>
          <w:rFonts w:ascii="仿宋_GB2312" w:hAnsi="sans-serif" w:eastAsia="仿宋_GB2312" w:cs="仿宋_GB2312"/>
          <w:color w:val="000000"/>
          <w:kern w:val="0"/>
          <w:sz w:val="32"/>
          <w:szCs w:val="32"/>
          <w:shd w:val="clear" w:color="auto" w:fill="FFFFFF"/>
          <w:lang w:bidi="ar"/>
        </w:rPr>
        <w:t>起，最大限度减少上访事件和不稳定因素。二是</w:t>
      </w:r>
      <w:r>
        <w:rPr>
          <w:rFonts w:hint="eastAsia" w:ascii="仿宋_GB2312" w:hAnsi="sans-serif" w:eastAsia="仿宋_GB2312" w:cs="仿宋_GB2312"/>
          <w:color w:val="000000"/>
          <w:kern w:val="0"/>
          <w:sz w:val="32"/>
          <w:szCs w:val="32"/>
          <w:shd w:val="clear" w:color="auto" w:fill="FFFFFF"/>
          <w:lang w:bidi="ar"/>
        </w:rPr>
        <w:t>防灾减灾基础夯实</w:t>
      </w:r>
      <w:r>
        <w:rPr>
          <w:rFonts w:ascii="仿宋_GB2312" w:hAnsi="sans-serif" w:eastAsia="仿宋_GB2312" w:cs="仿宋_GB2312"/>
          <w:color w:val="000000"/>
          <w:kern w:val="0"/>
          <w:sz w:val="32"/>
          <w:szCs w:val="32"/>
          <w:shd w:val="clear" w:color="auto" w:fill="FFFFFF"/>
          <w:lang w:bidi="ar"/>
        </w:rPr>
        <w:t>。紧盯森林草原防灭火、防汛减灾等重点领域，</w:t>
      </w:r>
      <w:r>
        <w:rPr>
          <w:rFonts w:hint="eastAsia" w:ascii="仿宋_GB2312" w:hAnsi="sans-serif" w:eastAsia="仿宋_GB2312" w:cs="仿宋_GB2312"/>
          <w:color w:val="000000"/>
          <w:kern w:val="0"/>
          <w:sz w:val="32"/>
          <w:szCs w:val="32"/>
          <w:shd w:val="clear" w:color="auto" w:fill="FFFFFF"/>
          <w:lang w:bidi="ar"/>
        </w:rPr>
        <w:t>建立健全应急预案体系，加强地质灾害、森林火灾等风险监测预警和应急演练，科学</w:t>
      </w:r>
      <w:r>
        <w:rPr>
          <w:rFonts w:ascii="仿宋_GB2312" w:hAnsi="sans-serif" w:eastAsia="仿宋_GB2312" w:cs="仿宋_GB2312"/>
          <w:color w:val="000000"/>
          <w:kern w:val="0"/>
          <w:sz w:val="32"/>
          <w:szCs w:val="32"/>
          <w:shd w:val="clear" w:color="auto" w:fill="FFFFFF"/>
          <w:lang w:bidi="ar"/>
        </w:rPr>
        <w:t>应对</w:t>
      </w:r>
      <w:r>
        <w:rPr>
          <w:rFonts w:hint="eastAsia" w:ascii="仿宋_GB2312" w:hAnsi="sans-serif" w:eastAsia="仿宋_GB2312" w:cs="仿宋_GB2312"/>
          <w:color w:val="000000"/>
          <w:kern w:val="0"/>
          <w:sz w:val="32"/>
          <w:szCs w:val="32"/>
          <w:shd w:val="clear" w:color="auto" w:fill="FFFFFF"/>
          <w:lang w:bidi="ar"/>
        </w:rPr>
        <w:t>2024年</w:t>
      </w:r>
      <w:r>
        <w:rPr>
          <w:rFonts w:ascii="仿宋_GB2312" w:hAnsi="sans-serif" w:eastAsia="仿宋_GB2312" w:cs="仿宋_GB2312"/>
          <w:color w:val="000000"/>
          <w:kern w:val="0"/>
          <w:sz w:val="32"/>
          <w:szCs w:val="32"/>
          <w:shd w:val="clear" w:color="auto" w:fill="FFFFFF"/>
          <w:lang w:bidi="ar"/>
        </w:rPr>
        <w:t>“7·16”“7·24”强降雨灾害，因提前预防、及时预警、果断处置，成功防范住甲勿口泥石流重大灾害隐患，并安全转移群众和疏散游客1500余名，创造了“雨情大灾情小”的成效。</w:t>
      </w:r>
      <w:r>
        <w:rPr>
          <w:rFonts w:hint="eastAsia" w:ascii="仿宋_GB2312" w:hAnsi="sans-serif" w:eastAsia="仿宋_GB2312" w:cs="仿宋_GB2312"/>
          <w:color w:val="000000"/>
          <w:kern w:val="0"/>
          <w:sz w:val="32"/>
          <w:szCs w:val="32"/>
          <w:shd w:val="clear" w:color="auto" w:fill="FFFFFF"/>
          <w:lang w:bidi="ar"/>
        </w:rPr>
        <w:t>2025年，结合我镇</w:t>
      </w:r>
      <w:r>
        <w:rPr>
          <w:rFonts w:ascii="仿宋_GB2312" w:hAnsi="sans-serif" w:eastAsia="仿宋_GB2312" w:cs="仿宋_GB2312"/>
          <w:color w:val="000000"/>
          <w:kern w:val="0"/>
          <w:sz w:val="32"/>
          <w:szCs w:val="32"/>
          <w:shd w:val="clear" w:color="auto" w:fill="FFFFFF"/>
          <w:lang w:bidi="ar"/>
        </w:rPr>
        <w:t>森林草原防灭火、防汛减灾</w:t>
      </w:r>
      <w:r>
        <w:rPr>
          <w:rFonts w:hint="eastAsia" w:ascii="仿宋_GB2312" w:hAnsi="sans-serif" w:eastAsia="仿宋_GB2312" w:cs="仿宋_GB2312"/>
          <w:color w:val="000000"/>
          <w:kern w:val="0"/>
          <w:sz w:val="32"/>
          <w:szCs w:val="32"/>
          <w:shd w:val="clear" w:color="auto" w:fill="FFFFFF"/>
          <w:lang w:bidi="ar"/>
        </w:rPr>
        <w:t>实际，</w:t>
      </w:r>
      <w:r>
        <w:rPr>
          <w:rFonts w:ascii="仿宋_GB2312" w:hAnsi="sans-serif" w:eastAsia="仿宋_GB2312" w:cs="仿宋_GB2312"/>
          <w:color w:val="000000"/>
          <w:kern w:val="0"/>
          <w:sz w:val="32"/>
          <w:szCs w:val="32"/>
          <w:shd w:val="clear" w:color="auto" w:fill="FFFFFF"/>
          <w:lang w:bidi="ar"/>
        </w:rPr>
        <w:t>优化</w:t>
      </w:r>
      <w:r>
        <w:rPr>
          <w:rFonts w:hint="eastAsia" w:ascii="仿宋_GB2312" w:hAnsi="sans-serif" w:eastAsia="仿宋_GB2312" w:cs="仿宋_GB2312"/>
          <w:color w:val="000000"/>
          <w:kern w:val="0"/>
          <w:sz w:val="32"/>
          <w:szCs w:val="32"/>
          <w:shd w:val="clear" w:color="auto" w:fill="FFFFFF"/>
          <w:lang w:bidi="ar"/>
        </w:rPr>
        <w:t>完善</w:t>
      </w:r>
      <w:r>
        <w:rPr>
          <w:rFonts w:ascii="仿宋_GB2312" w:hAnsi="sans-serif" w:eastAsia="仿宋_GB2312" w:cs="仿宋_GB2312"/>
          <w:color w:val="000000"/>
          <w:kern w:val="0"/>
          <w:sz w:val="32"/>
          <w:szCs w:val="32"/>
          <w:shd w:val="clear" w:color="auto" w:fill="FFFFFF"/>
          <w:lang w:bidi="ar"/>
        </w:rPr>
        <w:t>镇级应急预案</w:t>
      </w:r>
      <w:r>
        <w:rPr>
          <w:rFonts w:hint="eastAsia" w:ascii="仿宋_GB2312" w:hAnsi="sans-serif" w:eastAsia="仿宋_GB2312" w:cs="仿宋_GB2312"/>
          <w:color w:val="000000"/>
          <w:kern w:val="0"/>
          <w:sz w:val="32"/>
          <w:szCs w:val="32"/>
          <w:shd w:val="clear" w:color="auto" w:fill="FFFFFF"/>
          <w:lang w:bidi="ar"/>
        </w:rPr>
        <w:t>9</w:t>
      </w:r>
      <w:r>
        <w:rPr>
          <w:rFonts w:ascii="仿宋_GB2312" w:hAnsi="sans-serif" w:eastAsia="仿宋_GB2312" w:cs="仿宋_GB2312"/>
          <w:color w:val="000000"/>
          <w:kern w:val="0"/>
          <w:sz w:val="32"/>
          <w:szCs w:val="32"/>
          <w:shd w:val="clear" w:color="auto" w:fill="FFFFFF"/>
          <w:lang w:bidi="ar"/>
        </w:rPr>
        <w:t>份，开展应急演练</w:t>
      </w:r>
      <w:r>
        <w:rPr>
          <w:rFonts w:hint="eastAsia" w:ascii="仿宋_GB2312" w:hAnsi="sans-serif" w:eastAsia="仿宋_GB2312" w:cs="仿宋_GB2312"/>
          <w:color w:val="000000"/>
          <w:kern w:val="0"/>
          <w:sz w:val="32"/>
          <w:szCs w:val="32"/>
          <w:shd w:val="clear" w:color="auto" w:fill="FFFFFF"/>
          <w:lang w:bidi="ar"/>
        </w:rPr>
        <w:t>30余</w:t>
      </w:r>
      <w:r>
        <w:rPr>
          <w:rFonts w:ascii="仿宋_GB2312" w:hAnsi="sans-serif" w:eastAsia="仿宋_GB2312" w:cs="仿宋_GB2312"/>
          <w:color w:val="000000"/>
          <w:kern w:val="0"/>
          <w:sz w:val="32"/>
          <w:szCs w:val="32"/>
          <w:shd w:val="clear" w:color="auto" w:fill="FFFFFF"/>
          <w:lang w:bidi="ar"/>
        </w:rPr>
        <w:t>次，排查整改隐患</w:t>
      </w:r>
      <w:r>
        <w:rPr>
          <w:rFonts w:hint="eastAsia" w:ascii="仿宋_GB2312" w:hAnsi="sans-serif" w:eastAsia="仿宋_GB2312" w:cs="仿宋_GB2312"/>
          <w:color w:val="000000"/>
          <w:kern w:val="0"/>
          <w:sz w:val="32"/>
          <w:szCs w:val="32"/>
          <w:shd w:val="clear" w:color="auto" w:fill="FFFFFF"/>
          <w:lang w:bidi="ar"/>
        </w:rPr>
        <w:t>20余</w:t>
      </w:r>
      <w:r>
        <w:rPr>
          <w:rFonts w:ascii="仿宋_GB2312" w:hAnsi="sans-serif" w:eastAsia="仿宋_GB2312" w:cs="仿宋_GB2312"/>
          <w:color w:val="000000"/>
          <w:kern w:val="0"/>
          <w:sz w:val="32"/>
          <w:szCs w:val="32"/>
          <w:shd w:val="clear" w:color="auto" w:fill="FFFFFF"/>
          <w:lang w:bidi="ar"/>
        </w:rPr>
        <w:t>处，防灾减灾救灾能力不断提升</w:t>
      </w:r>
      <w:r>
        <w:rPr>
          <w:rFonts w:hint="eastAsia" w:ascii="仿宋_GB2312" w:hAnsi="sans-serif" w:eastAsia="仿宋_GB2312" w:cs="仿宋_GB2312"/>
          <w:color w:val="000000"/>
          <w:kern w:val="0"/>
          <w:sz w:val="32"/>
          <w:szCs w:val="32"/>
          <w:shd w:val="clear" w:color="auto" w:fill="FFFFFF"/>
          <w:lang w:bidi="ar"/>
        </w:rPr>
        <w:t>。</w:t>
      </w:r>
      <w:r>
        <w:rPr>
          <w:rFonts w:ascii="仿宋_GB2312" w:hAnsi="sans-serif" w:eastAsia="仿宋_GB2312" w:cs="仿宋_GB2312"/>
          <w:color w:val="000000"/>
          <w:kern w:val="0"/>
          <w:sz w:val="32"/>
          <w:szCs w:val="32"/>
          <w:shd w:val="clear" w:color="auto" w:fill="FFFFFF"/>
          <w:lang w:bidi="ar"/>
        </w:rPr>
        <w:t>三是安全生产</w:t>
      </w:r>
      <w:r>
        <w:rPr>
          <w:rFonts w:hint="eastAsia" w:ascii="仿宋_GB2312" w:hAnsi="sans-serif" w:eastAsia="仿宋_GB2312" w:cs="仿宋_GB2312"/>
          <w:color w:val="000000"/>
          <w:kern w:val="0"/>
          <w:sz w:val="32"/>
          <w:szCs w:val="32"/>
          <w:shd w:val="clear" w:color="auto" w:fill="FFFFFF"/>
          <w:lang w:bidi="ar"/>
        </w:rPr>
        <w:t>态势平稳</w:t>
      </w:r>
      <w:r>
        <w:rPr>
          <w:rFonts w:ascii="仿宋_GB2312" w:hAnsi="sans-serif" w:eastAsia="仿宋_GB2312" w:cs="仿宋_GB2312"/>
          <w:color w:val="000000"/>
          <w:kern w:val="0"/>
          <w:sz w:val="32"/>
          <w:szCs w:val="32"/>
          <w:shd w:val="clear" w:color="auto" w:fill="FFFFFF"/>
          <w:lang w:bidi="ar"/>
        </w:rPr>
        <w:t>。</w:t>
      </w:r>
      <w:r>
        <w:rPr>
          <w:rFonts w:hint="eastAsia" w:ascii="仿宋_GB2312" w:hAnsi="sans-serif" w:eastAsia="仿宋_GB2312" w:cs="仿宋_GB2312"/>
          <w:color w:val="000000"/>
          <w:kern w:val="0"/>
          <w:sz w:val="32"/>
          <w:szCs w:val="32"/>
          <w:shd w:val="clear" w:color="auto" w:fill="FFFFFF"/>
          <w:lang w:bidi="ar"/>
        </w:rPr>
        <w:t>积极构建“网格化”责任体系，签订责任书200余份，明确8行政村及辖区内企业安全责任，常态化开展“拉网式”隐患排查，累计整改隐患140余处，组建9支应急救援队、更新救援设备430件、开展演练180余次，连续五年未发生较大及以上安全生产事故。2025年，</w:t>
      </w:r>
      <w:r>
        <w:rPr>
          <w:rFonts w:ascii="仿宋_GB2312" w:hAnsi="sans-serif" w:eastAsia="仿宋_GB2312" w:cs="仿宋_GB2312"/>
          <w:color w:val="000000"/>
          <w:kern w:val="0"/>
          <w:sz w:val="32"/>
          <w:szCs w:val="32"/>
          <w:shd w:val="clear" w:color="auto" w:fill="FFFFFF"/>
          <w:lang w:bidi="ar"/>
        </w:rPr>
        <w:t>聚焦道路交通、在建工地、城镇燃气</w:t>
      </w:r>
      <w:r>
        <w:rPr>
          <w:rFonts w:hint="eastAsia" w:ascii="仿宋_GB2312" w:hAnsi="sans-serif" w:eastAsia="仿宋_GB2312" w:cs="仿宋_GB2312"/>
          <w:color w:val="000000"/>
          <w:kern w:val="0"/>
          <w:sz w:val="32"/>
          <w:szCs w:val="32"/>
          <w:shd w:val="clear" w:color="auto" w:fill="FFFFFF"/>
          <w:lang w:bidi="ar"/>
        </w:rPr>
        <w:t>、消防</w:t>
      </w:r>
      <w:r>
        <w:rPr>
          <w:rFonts w:ascii="仿宋_GB2312" w:hAnsi="sans-serif" w:eastAsia="仿宋_GB2312" w:cs="仿宋_GB2312"/>
          <w:color w:val="000000"/>
          <w:kern w:val="0"/>
          <w:sz w:val="32"/>
          <w:szCs w:val="32"/>
          <w:shd w:val="clear" w:color="auto" w:fill="FFFFFF"/>
          <w:lang w:bidi="ar"/>
        </w:rPr>
        <w:t>等重点领域，统筹镇村干部和网格员等力量，采取“边查边整改、边查边宣传”方式地毯式开展排查工作</w:t>
      </w:r>
      <w:r>
        <w:rPr>
          <w:rFonts w:hint="eastAsia" w:ascii="仿宋_GB2312" w:hAnsi="sans-serif" w:eastAsia="仿宋_GB2312" w:cs="仿宋_GB2312"/>
          <w:color w:val="000000"/>
          <w:kern w:val="0"/>
          <w:sz w:val="32"/>
          <w:szCs w:val="32"/>
          <w:shd w:val="clear" w:color="auto" w:fill="FFFFFF"/>
          <w:lang w:bidi="ar"/>
        </w:rPr>
        <w:t>7</w:t>
      </w:r>
      <w:r>
        <w:rPr>
          <w:rFonts w:ascii="仿宋_GB2312" w:hAnsi="sans-serif" w:eastAsia="仿宋_GB2312" w:cs="仿宋_GB2312"/>
          <w:color w:val="000000"/>
          <w:kern w:val="0"/>
          <w:sz w:val="32"/>
          <w:szCs w:val="32"/>
          <w:shd w:val="clear" w:color="auto" w:fill="FFFFFF"/>
          <w:lang w:bidi="ar"/>
        </w:rPr>
        <w:t>轮次，督促整改问题</w:t>
      </w:r>
      <w:r>
        <w:rPr>
          <w:rFonts w:hint="eastAsia" w:ascii="仿宋_GB2312" w:hAnsi="sans-serif" w:eastAsia="仿宋_GB2312" w:cs="仿宋_GB2312"/>
          <w:color w:val="000000"/>
          <w:kern w:val="0"/>
          <w:sz w:val="32"/>
          <w:szCs w:val="32"/>
          <w:shd w:val="clear" w:color="auto" w:fill="FFFFFF"/>
          <w:lang w:bidi="ar"/>
        </w:rPr>
        <w:t>50个</w:t>
      </w:r>
      <w:r>
        <w:rPr>
          <w:rFonts w:ascii="仿宋_GB2312" w:hAnsi="sans-serif" w:eastAsia="仿宋_GB2312" w:cs="仿宋_GB2312"/>
          <w:color w:val="000000"/>
          <w:kern w:val="0"/>
          <w:sz w:val="32"/>
          <w:szCs w:val="32"/>
          <w:shd w:val="clear" w:color="auto" w:fill="FFFFFF"/>
          <w:lang w:bidi="ar"/>
        </w:rPr>
        <w:t>，努力保障了人民群众生命财产安全。</w:t>
      </w:r>
    </w:p>
    <w:p w14:paraId="4349E7D3">
      <w:pPr>
        <w:keepNext w:val="0"/>
        <w:keepLines w:val="0"/>
        <w:pageBreakBefore w:val="0"/>
        <w:kinsoku/>
        <w:wordWrap/>
        <w:overflowPunct/>
        <w:topLinePunct w:val="0"/>
        <w:autoSpaceDE/>
        <w:autoSpaceDN/>
        <w:bidi w:val="0"/>
        <w:spacing w:beforeAutospacing="0" w:afterAutospacing="0" w:line="560" w:lineRule="exact"/>
        <w:ind w:left="0" w:firstLine="643" w:firstLineChars="200"/>
        <w:textAlignment w:val="auto"/>
        <w:rPr>
          <w:rFonts w:ascii="Times New Roman" w:hAnsi="Times New Roman" w:eastAsia="楷体_GB2312" w:cs="楷体_GB2312"/>
          <w:b/>
          <w:bCs/>
          <w:color w:val="000000"/>
          <w:kern w:val="0"/>
          <w:sz w:val="32"/>
          <w:szCs w:val="32"/>
          <w:shd w:val="clear" w:color="auto" w:fill="FFFFFF"/>
          <w:lang w:val="zh-CN" w:bidi="ar"/>
        </w:rPr>
      </w:pPr>
      <w:r>
        <w:rPr>
          <w:rFonts w:hint="eastAsia" w:ascii="仿宋_GB2312" w:hAnsi="sans-serif" w:eastAsia="仿宋_GB2312" w:cs="仿宋_GB2312"/>
          <w:b/>
          <w:color w:val="000000"/>
          <w:kern w:val="0"/>
          <w:sz w:val="32"/>
          <w:szCs w:val="32"/>
          <w:shd w:val="clear" w:color="auto" w:fill="FFFFFF"/>
          <w:lang w:bidi="ar"/>
        </w:rPr>
        <w:t>（五）持之以恒抓作风，自身建设切实加强。</w:t>
      </w:r>
      <w:r>
        <w:rPr>
          <w:rFonts w:ascii="仿宋_GB2312" w:hAnsi="sans-serif" w:eastAsia="仿宋_GB2312" w:cs="仿宋_GB2312"/>
          <w:color w:val="000000"/>
          <w:kern w:val="0"/>
          <w:sz w:val="32"/>
          <w:szCs w:val="32"/>
          <w:shd w:val="clear" w:color="auto" w:fill="FFFFFF"/>
          <w:lang w:bidi="ar"/>
        </w:rPr>
        <w:t>一是坚持依法行政。不断增强法治思维，定期组织全体干部职工深入学习法律法规，自觉接受镇人大和人民群众监督，严格执行“三重一大”议事决策、重大事项请示报告等制度，重大事项必经公众参与、专家论证、风险评估等环节，保证决策科学民主。二是坚持高效施政。大力倡导“马上就办、真抓实干”，持续优化政务服务，简化办事流程，主动公开政务信息，建立健全工作落实机制，实行重点工作台账管理，推动民生工程、产业发展等重点任务高效落地，群众满意率均达100%。三是坚持廉洁从政。严格落实中央八项规定及其实施细则精神，严防“四风”问题，严控“三公”经费和一般性支出，强化乡村振兴、项目建设等重点领域监督，持续优化风清气正政治生态环境。</w:t>
      </w:r>
    </w:p>
    <w:p w14:paraId="7A7E02DE">
      <w:pPr>
        <w:keepNext w:val="0"/>
        <w:keepLines w:val="0"/>
        <w:pageBreakBefore w:val="0"/>
        <w:kinsoku/>
        <w:wordWrap/>
        <w:overflowPunct/>
        <w:topLinePunct w:val="0"/>
        <w:autoSpaceDE/>
        <w:autoSpaceDN/>
        <w:bidi w:val="0"/>
        <w:spacing w:beforeAutospacing="0" w:afterAutospacing="0" w:line="560" w:lineRule="exact"/>
        <w:ind w:left="0" w:firstLine="643" w:firstLineChars="200"/>
        <w:jc w:val="left"/>
        <w:textAlignment w:val="auto"/>
        <w:rPr>
          <w:rFonts w:ascii="Times New Roman" w:hAnsi="Times New Roman" w:eastAsia="楷体_GB2312" w:cs="楷体_GB2312"/>
          <w:b/>
          <w:bCs/>
          <w:color w:val="000000"/>
          <w:kern w:val="0"/>
          <w:sz w:val="32"/>
          <w:szCs w:val="32"/>
          <w:shd w:val="clear" w:color="auto" w:fill="FFFFFF"/>
          <w:lang w:val="zh-CN" w:bidi="ar"/>
        </w:rPr>
      </w:pPr>
      <w:r>
        <w:rPr>
          <w:rFonts w:hint="eastAsia" w:ascii="Times New Roman" w:hAnsi="Times New Roman" w:eastAsia="楷体_GB2312" w:cs="楷体_GB2312"/>
          <w:b/>
          <w:bCs/>
          <w:color w:val="000000"/>
          <w:kern w:val="0"/>
          <w:sz w:val="32"/>
          <w:szCs w:val="32"/>
          <w:shd w:val="clear" w:color="auto" w:fill="FFFFFF"/>
          <w:lang w:val="zh-CN" w:bidi="ar"/>
        </w:rPr>
        <w:t>（三）人员概况</w:t>
      </w:r>
    </w:p>
    <w:p w14:paraId="6864E0E5">
      <w:pPr>
        <w:keepNext w:val="0"/>
        <w:keepLines w:val="0"/>
        <w:pageBreakBefore w:val="0"/>
        <w:kinsoku/>
        <w:wordWrap/>
        <w:overflowPunct/>
        <w:topLinePunct w:val="0"/>
        <w:autoSpaceDE/>
        <w:autoSpaceDN/>
        <w:bidi w:val="0"/>
        <w:spacing w:beforeAutospacing="0" w:afterAutospacing="0" w:line="560" w:lineRule="exact"/>
        <w:ind w:left="0" w:firstLine="640" w:firstLineChars="200"/>
        <w:jc w:val="left"/>
        <w:textAlignment w:val="auto"/>
        <w:rPr>
          <w:rFonts w:hint="eastAsia" w:ascii="仿宋_GB2312" w:hAnsi="sans-serif" w:eastAsia="仿宋_GB2312" w:cs="仿宋_GB2312"/>
          <w:color w:val="000000"/>
          <w:kern w:val="0"/>
          <w:sz w:val="32"/>
          <w:szCs w:val="32"/>
          <w:shd w:val="clear" w:color="auto" w:fill="FFFFFF"/>
          <w:lang w:bidi="ar"/>
        </w:rPr>
      </w:pPr>
      <w:r>
        <w:rPr>
          <w:rFonts w:ascii="仿宋_GB2312" w:hAnsi="sans-serif" w:eastAsia="仿宋_GB2312" w:cs="仿宋_GB2312"/>
          <w:color w:val="000000"/>
          <w:kern w:val="0"/>
          <w:sz w:val="32"/>
          <w:szCs w:val="32"/>
          <w:shd w:val="clear" w:color="auto" w:fill="FFFFFF"/>
          <w:lang w:bidi="ar"/>
        </w:rPr>
        <w:t>截至202</w:t>
      </w:r>
      <w:r>
        <w:rPr>
          <w:rFonts w:hint="eastAsia" w:ascii="仿宋_GB2312" w:hAnsi="sans-serif" w:eastAsia="仿宋_GB2312" w:cs="仿宋_GB2312"/>
          <w:color w:val="000000"/>
          <w:kern w:val="0"/>
          <w:sz w:val="32"/>
          <w:szCs w:val="32"/>
          <w:shd w:val="clear" w:color="auto" w:fill="FFFFFF"/>
          <w:lang w:bidi="ar"/>
        </w:rPr>
        <w:t>5</w:t>
      </w:r>
      <w:r>
        <w:rPr>
          <w:rFonts w:ascii="仿宋_GB2312" w:hAnsi="sans-serif" w:eastAsia="仿宋_GB2312" w:cs="仿宋_GB2312"/>
          <w:color w:val="000000"/>
          <w:kern w:val="0"/>
          <w:sz w:val="32"/>
          <w:szCs w:val="32"/>
          <w:shd w:val="clear" w:color="auto" w:fill="FFFFFF"/>
          <w:lang w:bidi="ar"/>
        </w:rPr>
        <w:t>年末，</w:t>
      </w:r>
      <w:r>
        <w:rPr>
          <w:rFonts w:hint="eastAsia" w:ascii="仿宋_GB2312" w:hAnsi="sans-serif" w:eastAsia="仿宋_GB2312" w:cs="仿宋_GB2312"/>
          <w:color w:val="000000"/>
          <w:kern w:val="0"/>
          <w:sz w:val="32"/>
          <w:szCs w:val="32"/>
          <w:shd w:val="clear" w:color="auto" w:fill="FFFFFF"/>
          <w:lang w:bidi="ar"/>
        </w:rPr>
        <w:t>勿角镇人民政府行政编制32个、工勤编制</w:t>
      </w:r>
      <w:r>
        <w:rPr>
          <w:rFonts w:ascii="仿宋_GB2312" w:hAnsi="sans-serif" w:eastAsia="仿宋_GB2312" w:cs="仿宋_GB2312"/>
          <w:color w:val="000000"/>
          <w:kern w:val="0"/>
          <w:sz w:val="32"/>
          <w:szCs w:val="32"/>
          <w:shd w:val="clear" w:color="auto" w:fill="FFFFFF"/>
          <w:lang w:bidi="ar"/>
        </w:rPr>
        <w:t>3</w:t>
      </w:r>
      <w:r>
        <w:rPr>
          <w:rFonts w:hint="eastAsia" w:ascii="仿宋_GB2312" w:hAnsi="sans-serif" w:eastAsia="仿宋_GB2312" w:cs="仿宋_GB2312"/>
          <w:color w:val="000000"/>
          <w:kern w:val="0"/>
          <w:sz w:val="32"/>
          <w:szCs w:val="32"/>
          <w:shd w:val="clear" w:color="auto" w:fill="FFFFFF"/>
          <w:lang w:bidi="ar"/>
        </w:rPr>
        <w:t>个、事业编制18个。本单位本年度年末实有人数为53人，比上年增加7人；年末实有离退休人数为0人，比上年增加0人。年末实有其他人数为0人，比上年增加0人</w:t>
      </w:r>
      <w:r>
        <w:rPr>
          <w:rFonts w:ascii="仿宋_GB2312" w:hAnsi="sans-serif" w:eastAsia="仿宋_GB2312" w:cs="仿宋_GB2312"/>
          <w:color w:val="000000"/>
          <w:kern w:val="0"/>
          <w:sz w:val="32"/>
          <w:szCs w:val="32"/>
          <w:shd w:val="clear" w:color="auto" w:fill="FFFFFF"/>
          <w:lang w:bidi="ar"/>
        </w:rPr>
        <w:t>。</w:t>
      </w:r>
    </w:p>
    <w:p w14:paraId="55D8BD43">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jc w:val="left"/>
        <w:textAlignment w:val="auto"/>
        <w:rPr>
          <w:rFonts w:eastAsia="黑体"/>
          <w:color w:val="000000"/>
          <w:kern w:val="0"/>
          <w:sz w:val="32"/>
          <w:szCs w:val="32"/>
          <w:shd w:val="clear" w:color="auto" w:fill="FFFFFF"/>
          <w:lang w:val="zh-CN"/>
        </w:rPr>
      </w:pPr>
      <w:r>
        <w:rPr>
          <w:rFonts w:hint="eastAsia" w:ascii="Times New Roman" w:hAnsi="Times New Roman" w:eastAsia="黑体" w:cs="黑体"/>
          <w:color w:val="000000"/>
          <w:kern w:val="0"/>
          <w:sz w:val="32"/>
          <w:szCs w:val="32"/>
          <w:shd w:val="clear" w:color="auto" w:fill="FFFFFF"/>
          <w:lang w:val="zh-CN"/>
        </w:rPr>
        <w:t>二、部门资金收支情况</w:t>
      </w:r>
    </w:p>
    <w:p w14:paraId="32E875F8">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3" w:firstLineChars="200"/>
        <w:jc w:val="left"/>
        <w:textAlignment w:val="auto"/>
        <w:rPr>
          <w:rFonts w:eastAsia="仿宋_GB2312" w:cs="仿宋_GB2312"/>
          <w:sz w:val="32"/>
          <w:szCs w:val="32"/>
        </w:rPr>
      </w:pPr>
      <w:r>
        <w:rPr>
          <w:rFonts w:hint="eastAsia" w:ascii="Times New Roman" w:eastAsia="楷体_GB2312" w:cs="楷体_GB2312"/>
          <w:b/>
          <w:bCs/>
          <w:color w:val="000000"/>
          <w:kern w:val="0"/>
          <w:sz w:val="32"/>
          <w:szCs w:val="32"/>
          <w:shd w:val="clear" w:color="auto" w:fill="FFFFFF"/>
          <w:lang w:val="zh-CN"/>
        </w:rPr>
        <w:t>（一）收入情况</w:t>
      </w:r>
    </w:p>
    <w:p w14:paraId="7D5963AD">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color w:val="000000"/>
          <w:kern w:val="0"/>
          <w:sz w:val="32"/>
          <w:szCs w:val="32"/>
          <w:shd w:val="clear" w:color="auto" w:fill="FFFFFF"/>
          <w:lang w:bidi="ar"/>
        </w:rPr>
        <w:t>本单位本年度收入全年预算数为</w:t>
      </w:r>
      <w:r>
        <w:rPr>
          <w:rFonts w:ascii="仿宋_GB2312" w:hAnsi="sans-serif" w:eastAsia="仿宋_GB2312" w:cs="仿宋_GB2312"/>
          <w:color w:val="000000"/>
          <w:kern w:val="0"/>
          <w:sz w:val="32"/>
          <w:szCs w:val="32"/>
          <w:shd w:val="clear" w:color="auto" w:fill="FFFFFF"/>
          <w:lang w:bidi="ar"/>
        </w:rPr>
        <w:t>1995.37</w:t>
      </w:r>
      <w:r>
        <w:rPr>
          <w:rFonts w:hint="eastAsia" w:ascii="仿宋_GB2312" w:hAnsi="sans-serif" w:eastAsia="仿宋_GB2312" w:cs="仿宋_GB2312"/>
          <w:color w:val="000000"/>
          <w:kern w:val="0"/>
          <w:sz w:val="32"/>
          <w:szCs w:val="32"/>
          <w:shd w:val="clear" w:color="auto" w:fill="FFFFFF"/>
          <w:lang w:bidi="ar"/>
        </w:rPr>
        <w:t>万元，收入决算数为</w:t>
      </w:r>
      <w:r>
        <w:rPr>
          <w:rFonts w:ascii="仿宋_GB2312" w:hAnsi="sans-serif" w:eastAsia="仿宋_GB2312" w:cs="仿宋_GB2312"/>
          <w:color w:val="000000"/>
          <w:kern w:val="0"/>
          <w:sz w:val="32"/>
          <w:szCs w:val="32"/>
          <w:shd w:val="clear" w:color="auto" w:fill="FFFFFF"/>
          <w:lang w:bidi="ar"/>
        </w:rPr>
        <w:t>1995.37</w:t>
      </w:r>
      <w:r>
        <w:rPr>
          <w:rFonts w:hint="eastAsia" w:ascii="仿宋_GB2312" w:hAnsi="sans-serif" w:eastAsia="仿宋_GB2312" w:cs="仿宋_GB2312"/>
          <w:color w:val="000000"/>
          <w:kern w:val="0"/>
          <w:sz w:val="32"/>
          <w:szCs w:val="32"/>
          <w:shd w:val="clear" w:color="auto" w:fill="FFFFFF"/>
          <w:lang w:bidi="ar"/>
        </w:rPr>
        <w:t>万元，预算完成度为100%。</w:t>
      </w:r>
    </w:p>
    <w:p w14:paraId="6EA9F604">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3" w:firstLineChars="200"/>
        <w:jc w:val="left"/>
        <w:textAlignment w:val="auto"/>
        <w:rPr>
          <w:rFonts w:ascii="Times New Roman" w:eastAsia="楷体_GB2312" w:cs="楷体_GB2312"/>
          <w:b/>
          <w:bCs/>
          <w:color w:val="000000"/>
          <w:kern w:val="0"/>
          <w:sz w:val="32"/>
          <w:szCs w:val="32"/>
          <w:shd w:val="clear" w:color="auto" w:fill="FFFFFF"/>
          <w:lang w:val="zh-CN"/>
        </w:rPr>
      </w:pPr>
      <w:r>
        <w:rPr>
          <w:rFonts w:hint="eastAsia" w:ascii="Times New Roman" w:eastAsia="楷体_GB2312" w:cs="楷体_GB2312"/>
          <w:b/>
          <w:bCs/>
          <w:color w:val="000000"/>
          <w:kern w:val="0"/>
          <w:sz w:val="32"/>
          <w:szCs w:val="32"/>
          <w:shd w:val="clear" w:color="auto" w:fill="FFFFFF"/>
          <w:lang w:val="zh-CN"/>
        </w:rPr>
        <w:t>（二）支出情况</w:t>
      </w:r>
    </w:p>
    <w:p w14:paraId="039D8529">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jc w:val="left"/>
        <w:textAlignment w:val="auto"/>
        <w:rPr>
          <w:szCs w:val="32"/>
          <w:lang w:val="zh-CN"/>
        </w:rPr>
      </w:pPr>
      <w:r>
        <w:rPr>
          <w:rFonts w:hint="eastAsia" w:ascii="仿宋_GB2312" w:hAnsi="sans-serif" w:eastAsia="仿宋_GB2312" w:cs="仿宋_GB2312"/>
          <w:color w:val="000000"/>
          <w:kern w:val="0"/>
          <w:sz w:val="32"/>
          <w:szCs w:val="32"/>
          <w:shd w:val="clear" w:color="auto" w:fill="FFFFFF"/>
          <w:lang w:bidi="ar"/>
        </w:rPr>
        <w:t>本单位本年度支出全年预算数为</w:t>
      </w:r>
      <w:r>
        <w:rPr>
          <w:rFonts w:ascii="仿宋_GB2312" w:hAnsi="sans-serif" w:eastAsia="仿宋_GB2312" w:cs="仿宋_GB2312"/>
          <w:color w:val="000000"/>
          <w:kern w:val="0"/>
          <w:sz w:val="32"/>
          <w:szCs w:val="32"/>
          <w:shd w:val="clear" w:color="auto" w:fill="FFFFFF"/>
          <w:lang w:bidi="ar"/>
        </w:rPr>
        <w:t>1995.37</w:t>
      </w:r>
      <w:r>
        <w:rPr>
          <w:rFonts w:hint="eastAsia" w:ascii="仿宋_GB2312" w:hAnsi="sans-serif" w:eastAsia="仿宋_GB2312" w:cs="仿宋_GB2312"/>
          <w:color w:val="000000"/>
          <w:kern w:val="0"/>
          <w:sz w:val="32"/>
          <w:szCs w:val="32"/>
          <w:shd w:val="clear" w:color="auto" w:fill="FFFFFF"/>
          <w:lang w:bidi="ar"/>
        </w:rPr>
        <w:t>万元，支出决算数为</w:t>
      </w:r>
      <w:r>
        <w:rPr>
          <w:rFonts w:ascii="仿宋_GB2312" w:hAnsi="sans-serif" w:eastAsia="仿宋_GB2312" w:cs="仿宋_GB2312"/>
          <w:color w:val="000000"/>
          <w:kern w:val="0"/>
          <w:sz w:val="32"/>
          <w:szCs w:val="32"/>
          <w:shd w:val="clear" w:color="auto" w:fill="FFFFFF"/>
          <w:lang w:bidi="ar"/>
        </w:rPr>
        <w:t>1995.37</w:t>
      </w:r>
      <w:r>
        <w:rPr>
          <w:rFonts w:hint="eastAsia" w:ascii="仿宋_GB2312" w:hAnsi="sans-serif" w:eastAsia="仿宋_GB2312" w:cs="仿宋_GB2312"/>
          <w:color w:val="000000"/>
          <w:kern w:val="0"/>
          <w:sz w:val="32"/>
          <w:szCs w:val="32"/>
          <w:shd w:val="clear" w:color="auto" w:fill="FFFFFF"/>
          <w:lang w:bidi="ar"/>
        </w:rPr>
        <w:t>万元，预算完成度为100%。</w:t>
      </w:r>
    </w:p>
    <w:p w14:paraId="4176E3BF">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3" w:firstLineChars="200"/>
        <w:jc w:val="left"/>
        <w:textAlignment w:val="auto"/>
        <w:rPr>
          <w:rFonts w:eastAsia="仿宋_GB2312" w:cs="仿宋_GB2312"/>
          <w:sz w:val="32"/>
          <w:szCs w:val="32"/>
        </w:rPr>
      </w:pPr>
      <w:r>
        <w:rPr>
          <w:rFonts w:hint="eastAsia" w:ascii="Times New Roman" w:eastAsia="楷体_GB2312" w:cs="楷体_GB2312"/>
          <w:b/>
          <w:bCs/>
          <w:color w:val="000000"/>
          <w:kern w:val="0"/>
          <w:sz w:val="32"/>
          <w:szCs w:val="32"/>
          <w:shd w:val="clear" w:color="auto" w:fill="FFFFFF"/>
          <w:lang w:val="zh-CN"/>
        </w:rPr>
        <w:t>（三）结余分配和结转结余情况。</w:t>
      </w:r>
    </w:p>
    <w:p w14:paraId="27ABAD5D">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jc w:val="left"/>
        <w:textAlignment w:val="auto"/>
        <w:rPr>
          <w:rFonts w:eastAsia="仿宋_GB2312"/>
          <w:color w:val="000000"/>
          <w:kern w:val="0"/>
          <w:szCs w:val="32"/>
          <w:shd w:val="clear" w:color="auto" w:fill="FFFFFF"/>
          <w:lang w:val="zh-CN"/>
        </w:rPr>
      </w:pPr>
      <w:r>
        <w:rPr>
          <w:rFonts w:hint="eastAsia" w:ascii="仿宋_GB2312" w:hAnsi="sans-serif" w:eastAsia="仿宋_GB2312" w:cs="仿宋_GB2312"/>
          <w:color w:val="000000"/>
          <w:kern w:val="0"/>
          <w:sz w:val="32"/>
          <w:szCs w:val="32"/>
          <w:shd w:val="clear" w:color="auto" w:fill="FFFFFF"/>
          <w:lang w:bidi="ar"/>
        </w:rPr>
        <w:t>本单位本年度结</w:t>
      </w:r>
      <w:r>
        <w:rPr>
          <w:rFonts w:hint="eastAsia" w:ascii="Times New Roman" w:eastAsia="仿宋_GB2312" w:cs="仿宋_GB2312"/>
          <w:sz w:val="32"/>
          <w:szCs w:val="32"/>
        </w:rPr>
        <w:t>转结余为0。</w:t>
      </w:r>
    </w:p>
    <w:p w14:paraId="4410DF1F">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jc w:val="left"/>
        <w:textAlignment w:val="auto"/>
        <w:rPr>
          <w:rFonts w:eastAsia="黑体"/>
          <w:color w:val="000000"/>
          <w:kern w:val="0"/>
          <w:sz w:val="32"/>
          <w:szCs w:val="32"/>
          <w:shd w:val="clear" w:color="auto" w:fill="FFFFFF"/>
          <w:lang w:val="zh-CN"/>
        </w:rPr>
      </w:pPr>
      <w:r>
        <w:rPr>
          <w:rFonts w:hint="eastAsia" w:ascii="Times New Roman" w:hAnsi="Times New Roman" w:eastAsia="黑体" w:cs="黑体"/>
          <w:color w:val="000000"/>
          <w:kern w:val="0"/>
          <w:sz w:val="32"/>
          <w:szCs w:val="32"/>
          <w:shd w:val="clear" w:color="auto" w:fill="FFFFFF"/>
          <w:lang w:val="zh-CN"/>
        </w:rPr>
        <w:t>三、部门预算绩效分析</w:t>
      </w:r>
    </w:p>
    <w:p w14:paraId="1641927F">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3" w:firstLineChars="200"/>
        <w:jc w:val="left"/>
        <w:textAlignment w:val="auto"/>
        <w:rPr>
          <w:rFonts w:eastAsia="仿宋_GB2312" w:cs="仿宋_GB2312"/>
          <w:sz w:val="32"/>
          <w:szCs w:val="32"/>
          <w:lang w:val="zh-CN"/>
        </w:rPr>
      </w:pPr>
      <w:r>
        <w:rPr>
          <w:rFonts w:hint="eastAsia" w:ascii="Times New Roman" w:eastAsia="楷体_GB2312" w:cs="楷体_GB2312"/>
          <w:b/>
          <w:bCs/>
          <w:color w:val="000000"/>
          <w:kern w:val="0"/>
          <w:sz w:val="32"/>
          <w:szCs w:val="32"/>
          <w:shd w:val="clear" w:color="auto" w:fill="FFFFFF"/>
          <w:lang w:val="zh-CN"/>
        </w:rPr>
        <w:t>（一）部门预算总体绩效分析。</w:t>
      </w:r>
      <w:r>
        <w:rPr>
          <w:rFonts w:hint="eastAsia" w:ascii="Times New Roman" w:eastAsia="仿宋_GB2312" w:cs="仿宋_GB2312"/>
          <w:sz w:val="32"/>
          <w:szCs w:val="32"/>
          <w:lang w:val="zh-CN"/>
        </w:rPr>
        <w:t>根据部门预算绩效评价指标体系“总体绩效”涉及二、三级指标进行逐项绩效分析并评分，依次包括履职效能、预算管理、财务管理、资产管理、采购管理等情况。</w:t>
      </w:r>
    </w:p>
    <w:p w14:paraId="2FCC9FBD">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jc w:val="left"/>
        <w:textAlignment w:val="auto"/>
        <w:rPr>
          <w:rFonts w:eastAsia="仿宋_GB2312" w:cs="仿宋_GB2312"/>
          <w:sz w:val="32"/>
          <w:szCs w:val="32"/>
          <w:lang w:val="zh-CN"/>
        </w:rPr>
      </w:pPr>
      <w:r>
        <w:rPr>
          <w:rFonts w:eastAsia="仿宋_GB2312" w:cs="仿宋_GB2312"/>
          <w:sz w:val="32"/>
          <w:szCs w:val="32"/>
        </w:rPr>
        <w:t>1.</w:t>
      </w:r>
      <w:r>
        <w:rPr>
          <w:rFonts w:hint="eastAsia" w:ascii="Times New Roman" w:eastAsia="仿宋_GB2312" w:cs="仿宋_GB2312"/>
          <w:sz w:val="32"/>
          <w:szCs w:val="32"/>
          <w:lang w:val="zh-CN"/>
        </w:rPr>
        <w:t>履职效能。</w:t>
      </w:r>
      <w:r>
        <w:rPr>
          <w:rFonts w:hint="eastAsia" w:ascii="Times New Roman" w:eastAsia="仿宋_GB2312" w:cs="仿宋_GB2312"/>
          <w:sz w:val="32"/>
          <w:szCs w:val="32"/>
        </w:rPr>
        <w:t>本年度紧紧围绕乡镇党委政府中心工作，扎实做好基层治理、民生保障、乡村振兴、生态保护等各项履职任务。年度既定工作目标基本完成，政策落地见效，群众满意度稳步提升。综上，根据评分标准，该项指标得分</w:t>
      </w:r>
      <w:r>
        <w:rPr>
          <w:rFonts w:ascii="Times New Roman" w:eastAsia="仿宋_GB2312" w:cs="仿宋_GB2312"/>
          <w:sz w:val="32"/>
          <w:szCs w:val="32"/>
        </w:rPr>
        <w:t>15</w:t>
      </w:r>
      <w:r>
        <w:rPr>
          <w:rFonts w:hint="eastAsia" w:ascii="Times New Roman" w:eastAsia="仿宋_GB2312" w:cs="仿宋_GB2312"/>
          <w:sz w:val="32"/>
          <w:szCs w:val="32"/>
        </w:rPr>
        <w:t>分。</w:t>
      </w:r>
    </w:p>
    <w:p w14:paraId="63E5F7FC">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jc w:val="left"/>
        <w:textAlignment w:val="auto"/>
        <w:rPr>
          <w:rFonts w:eastAsia="仿宋_GB2312" w:cs="仿宋_GB2312"/>
          <w:sz w:val="32"/>
          <w:szCs w:val="32"/>
          <w:lang w:val="zh-CN"/>
        </w:rPr>
      </w:pPr>
      <w:r>
        <w:rPr>
          <w:rFonts w:eastAsia="仿宋_GB2312" w:cs="仿宋_GB2312"/>
          <w:sz w:val="32"/>
          <w:szCs w:val="32"/>
        </w:rPr>
        <w:t>2.</w:t>
      </w:r>
      <w:r>
        <w:rPr>
          <w:rFonts w:hint="eastAsia" w:ascii="Times New Roman" w:eastAsia="仿宋_GB2312" w:cs="仿宋_GB2312"/>
          <w:sz w:val="32"/>
          <w:szCs w:val="32"/>
          <w:lang w:val="zh-CN"/>
        </w:rPr>
        <w:t>预算管理。严格执行年度部门预算，强化预算编制、执行、调整全流程管控。预算编制完整性、规范性较好，预算执行进度总体可控。</w:t>
      </w:r>
      <w:r>
        <w:rPr>
          <w:rFonts w:hint="eastAsia" w:ascii="Times New Roman" w:eastAsia="仿宋_GB2312" w:cs="仿宋_GB2312"/>
          <w:sz w:val="32"/>
          <w:szCs w:val="32"/>
        </w:rPr>
        <w:t>综上，根据评分标准，该项指标</w:t>
      </w:r>
      <w:r>
        <w:rPr>
          <w:rFonts w:hint="eastAsia" w:ascii="Times New Roman" w:eastAsia="仿宋_GB2312" w:cs="仿宋_GB2312"/>
          <w:sz w:val="32"/>
          <w:szCs w:val="32"/>
          <w:lang w:val="zh-CN"/>
        </w:rPr>
        <w:t>得分</w:t>
      </w:r>
      <w:r>
        <w:rPr>
          <w:rFonts w:ascii="Times New Roman" w:eastAsia="仿宋_GB2312" w:cs="仿宋_GB2312"/>
          <w:sz w:val="32"/>
          <w:szCs w:val="32"/>
          <w:lang w:val="zh-CN"/>
        </w:rPr>
        <w:t>23</w:t>
      </w:r>
      <w:r>
        <w:rPr>
          <w:rFonts w:hint="eastAsia" w:ascii="Times New Roman" w:eastAsia="仿宋_GB2312" w:cs="仿宋_GB2312"/>
          <w:sz w:val="32"/>
          <w:szCs w:val="32"/>
          <w:lang w:val="zh-CN"/>
        </w:rPr>
        <w:t>分。</w:t>
      </w:r>
    </w:p>
    <w:p w14:paraId="2242B342">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jc w:val="left"/>
        <w:textAlignment w:val="auto"/>
        <w:rPr>
          <w:rFonts w:eastAsia="仿宋_GB2312" w:cs="仿宋_GB2312"/>
          <w:sz w:val="32"/>
          <w:szCs w:val="32"/>
          <w:lang w:val="zh-CN"/>
        </w:rPr>
      </w:pPr>
      <w:r>
        <w:rPr>
          <w:rFonts w:eastAsia="仿宋_GB2312" w:cs="仿宋_GB2312"/>
          <w:sz w:val="32"/>
          <w:szCs w:val="32"/>
        </w:rPr>
        <w:t>3.</w:t>
      </w:r>
      <w:r>
        <w:rPr>
          <w:rFonts w:hint="eastAsia" w:ascii="Times New Roman" w:eastAsia="仿宋_GB2312" w:cs="仿宋_GB2312"/>
          <w:sz w:val="32"/>
          <w:szCs w:val="32"/>
          <w:lang w:val="zh-CN"/>
        </w:rPr>
        <w:t>财务管理。严格遵守财经法律法规，规范资金拨付、账务核算，落实内控制度，会计资料真实完整。</w:t>
      </w:r>
      <w:r>
        <w:rPr>
          <w:rFonts w:hint="eastAsia" w:ascii="Times New Roman" w:eastAsia="仿宋_GB2312" w:cs="仿宋_GB2312"/>
          <w:sz w:val="32"/>
          <w:szCs w:val="32"/>
        </w:rPr>
        <w:t>综上，根据评分标准，该项指标</w:t>
      </w:r>
      <w:r>
        <w:rPr>
          <w:rFonts w:hint="eastAsia" w:ascii="Times New Roman" w:eastAsia="仿宋_GB2312" w:cs="仿宋_GB2312"/>
          <w:sz w:val="32"/>
          <w:szCs w:val="32"/>
          <w:lang w:val="zh-CN"/>
        </w:rPr>
        <w:t>得分10分。</w:t>
      </w:r>
    </w:p>
    <w:p w14:paraId="361921AE">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jc w:val="left"/>
        <w:textAlignment w:val="auto"/>
        <w:rPr>
          <w:rFonts w:eastAsia="仿宋_GB2312" w:cs="仿宋_GB2312"/>
          <w:sz w:val="32"/>
          <w:szCs w:val="32"/>
          <w:lang w:val="zh-CN"/>
        </w:rPr>
      </w:pPr>
      <w:r>
        <w:rPr>
          <w:rFonts w:eastAsia="仿宋_GB2312" w:cs="仿宋_GB2312"/>
          <w:sz w:val="32"/>
          <w:szCs w:val="32"/>
        </w:rPr>
        <w:t>4.</w:t>
      </w:r>
      <w:r>
        <w:rPr>
          <w:rFonts w:hint="eastAsia" w:ascii="Times New Roman" w:eastAsia="仿宋_GB2312" w:cs="仿宋_GB2312"/>
          <w:sz w:val="32"/>
          <w:szCs w:val="32"/>
          <w:lang w:val="zh-CN"/>
        </w:rPr>
        <w:t>资产管理。落实行政事业单位资产管理制度，做好资产登记、领用、处置台账管理，定期开展资产盘点，保障国有资产安全完整。</w:t>
      </w:r>
      <w:r>
        <w:rPr>
          <w:rFonts w:hint="eastAsia" w:ascii="Times New Roman" w:eastAsia="仿宋_GB2312" w:cs="仿宋_GB2312"/>
          <w:sz w:val="32"/>
          <w:szCs w:val="32"/>
        </w:rPr>
        <w:t>综上，根据评分标准，该项指标</w:t>
      </w:r>
      <w:r>
        <w:rPr>
          <w:rFonts w:hint="eastAsia" w:ascii="Times New Roman" w:eastAsia="仿宋_GB2312" w:cs="仿宋_GB2312"/>
          <w:sz w:val="32"/>
          <w:szCs w:val="32"/>
          <w:lang w:val="zh-CN"/>
        </w:rPr>
        <w:t>得分</w:t>
      </w:r>
      <w:r>
        <w:rPr>
          <w:rFonts w:ascii="Times New Roman" w:eastAsia="仿宋_GB2312" w:cs="仿宋_GB2312"/>
          <w:sz w:val="32"/>
          <w:szCs w:val="32"/>
          <w:lang w:val="zh-CN"/>
        </w:rPr>
        <w:t>7</w:t>
      </w:r>
      <w:r>
        <w:rPr>
          <w:rFonts w:hint="eastAsia" w:ascii="Times New Roman" w:eastAsia="仿宋_GB2312" w:cs="仿宋_GB2312"/>
          <w:sz w:val="32"/>
          <w:szCs w:val="32"/>
          <w:lang w:val="zh-CN"/>
        </w:rPr>
        <w:t>分。</w:t>
      </w:r>
    </w:p>
    <w:p w14:paraId="51B69D5E">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jc w:val="left"/>
        <w:textAlignment w:val="auto"/>
        <w:rPr>
          <w:rFonts w:ascii="Times New Roman" w:eastAsia="仿宋_GB2312" w:cs="仿宋_GB2312"/>
          <w:sz w:val="32"/>
          <w:szCs w:val="32"/>
          <w:lang w:val="zh-CN"/>
        </w:rPr>
      </w:pPr>
      <w:r>
        <w:rPr>
          <w:rFonts w:eastAsia="仿宋_GB2312" w:cs="仿宋_GB2312"/>
          <w:sz w:val="32"/>
          <w:szCs w:val="32"/>
        </w:rPr>
        <w:t>5.</w:t>
      </w:r>
      <w:r>
        <w:rPr>
          <w:rFonts w:hint="eastAsia" w:ascii="Times New Roman" w:eastAsia="仿宋_GB2312" w:cs="仿宋_GB2312"/>
          <w:sz w:val="32"/>
          <w:szCs w:val="32"/>
          <w:lang w:val="zh-CN"/>
        </w:rPr>
        <w:t>采购管理。严格执行政府采购相关规定，达到限额标准项目按程序开展采购，采购流程合规。</w:t>
      </w:r>
      <w:r>
        <w:rPr>
          <w:rFonts w:hint="eastAsia" w:ascii="Times New Roman" w:eastAsia="仿宋_GB2312" w:cs="仿宋_GB2312"/>
          <w:sz w:val="32"/>
          <w:szCs w:val="32"/>
        </w:rPr>
        <w:t>综上，根据评分标准，该项指标</w:t>
      </w:r>
      <w:r>
        <w:rPr>
          <w:rFonts w:hint="eastAsia" w:ascii="Times New Roman" w:eastAsia="仿宋_GB2312" w:cs="仿宋_GB2312"/>
          <w:sz w:val="32"/>
          <w:szCs w:val="32"/>
          <w:lang w:val="zh-CN"/>
        </w:rPr>
        <w:t>得分5分。</w:t>
      </w:r>
    </w:p>
    <w:p w14:paraId="71695187">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3" w:firstLineChars="200"/>
        <w:jc w:val="left"/>
        <w:textAlignment w:val="auto"/>
        <w:rPr>
          <w:rFonts w:eastAsia="仿宋_GB2312" w:cs="仿宋_GB2312"/>
          <w:sz w:val="32"/>
          <w:szCs w:val="32"/>
        </w:rPr>
      </w:pPr>
      <w:r>
        <w:rPr>
          <w:rFonts w:hint="eastAsia" w:ascii="Times New Roman" w:eastAsia="楷体_GB2312" w:cs="楷体_GB2312"/>
          <w:b/>
          <w:bCs/>
          <w:color w:val="000000"/>
          <w:kern w:val="0"/>
          <w:sz w:val="32"/>
          <w:szCs w:val="32"/>
          <w:shd w:val="clear" w:color="auto" w:fill="FFFFFF"/>
          <w:lang w:val="zh-CN"/>
        </w:rPr>
        <w:t>（二）部门预算项目绩效分析。</w:t>
      </w:r>
      <w:r>
        <w:rPr>
          <w:rFonts w:hint="eastAsia" w:ascii="Times New Roman" w:eastAsia="仿宋_GB2312" w:cs="仿宋_GB2312"/>
          <w:sz w:val="32"/>
          <w:szCs w:val="32"/>
          <w:lang w:val="zh-CN"/>
        </w:rPr>
        <w:t>填报以下数据，并根据部门预算绩效评价指标体系“项目绩效”涉及二、三级指标进行逐项绩效分析并评分，依次包括项目</w:t>
      </w:r>
      <w:r>
        <w:rPr>
          <w:rFonts w:hint="eastAsia" w:ascii="Times New Roman" w:eastAsia="仿宋_GB2312" w:cs="仿宋_GB2312"/>
          <w:sz w:val="32"/>
          <w:szCs w:val="32"/>
        </w:rPr>
        <w:t>决策、项目执行、目标实现等情况。</w:t>
      </w:r>
    </w:p>
    <w:p w14:paraId="05B782F4">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eastAsia="仿宋_GB2312" w:cs="仿宋_GB2312"/>
          <w:sz w:val="32"/>
          <w:szCs w:val="32"/>
          <w:lang w:val="zh-CN"/>
        </w:rPr>
      </w:pPr>
      <w:r>
        <w:rPr>
          <w:rFonts w:hint="eastAsia" w:ascii="Times New Roman" w:eastAsia="仿宋_GB2312" w:cs="仿宋_GB2312"/>
          <w:sz w:val="32"/>
          <w:szCs w:val="32"/>
        </w:rPr>
        <w:t>常年项目绩效分析。</w:t>
      </w:r>
      <w:r>
        <w:rPr>
          <w:rFonts w:hint="eastAsia" w:ascii="Times New Roman" w:eastAsia="仿宋_GB2312" w:cs="仿宋_GB2312"/>
          <w:sz w:val="32"/>
          <w:szCs w:val="32"/>
          <w:lang w:val="zh-CN"/>
        </w:rPr>
        <w:t>该类项目总数</w:t>
      </w:r>
      <w:r>
        <w:rPr>
          <w:rFonts w:eastAsia="仿宋_GB2312" w:cs="仿宋_GB2312"/>
          <w:sz w:val="32"/>
          <w:szCs w:val="32"/>
        </w:rPr>
        <w:t>14</w:t>
      </w:r>
      <w:r>
        <w:rPr>
          <w:rFonts w:hint="eastAsia" w:ascii="Times New Roman" w:eastAsia="仿宋_GB2312" w:cs="仿宋_GB2312"/>
          <w:sz w:val="32"/>
          <w:szCs w:val="32"/>
          <w:lang w:val="zh-CN"/>
        </w:rPr>
        <w:t>个，涉及预算总金额</w:t>
      </w:r>
      <w:r>
        <w:rPr>
          <w:rFonts w:eastAsia="仿宋_GB2312" w:cs="仿宋_GB2312"/>
          <w:sz w:val="32"/>
          <w:szCs w:val="32"/>
        </w:rPr>
        <w:t>1329.21</w:t>
      </w:r>
      <w:r>
        <w:rPr>
          <w:rFonts w:hint="eastAsia" w:ascii="Times New Roman" w:eastAsia="仿宋_GB2312" w:cs="仿宋_GB2312"/>
          <w:sz w:val="32"/>
          <w:szCs w:val="32"/>
          <w:lang w:val="zh-CN"/>
        </w:rPr>
        <w:t>万元，</w:t>
      </w:r>
      <w:r>
        <w:rPr>
          <w:rFonts w:eastAsia="仿宋_GB2312" w:cs="仿宋_GB2312"/>
          <w:sz w:val="32"/>
          <w:szCs w:val="32"/>
          <w:lang w:val="zh-CN"/>
        </w:rPr>
        <w:t>1</w:t>
      </w:r>
      <w:r>
        <w:rPr>
          <w:rFonts w:hint="eastAsia" w:ascii="Times New Roman" w:eastAsia="仿宋_GB2312" w:cs="仿宋_GB2312"/>
          <w:sz w:val="32"/>
          <w:szCs w:val="32"/>
          <w:lang w:val="zh-CN"/>
        </w:rPr>
        <w:t>—</w:t>
      </w:r>
      <w:r>
        <w:rPr>
          <w:rFonts w:eastAsia="仿宋_GB2312" w:cs="仿宋_GB2312"/>
          <w:sz w:val="32"/>
          <w:szCs w:val="32"/>
          <w:lang w:val="zh-CN"/>
        </w:rPr>
        <w:t>1</w:t>
      </w:r>
      <w:r>
        <w:rPr>
          <w:rFonts w:eastAsia="仿宋_GB2312" w:cs="仿宋_GB2312"/>
          <w:sz w:val="32"/>
          <w:szCs w:val="32"/>
        </w:rPr>
        <w:t>2</w:t>
      </w:r>
      <w:r>
        <w:rPr>
          <w:rFonts w:hint="eastAsia" w:ascii="Times New Roman" w:eastAsia="仿宋_GB2312" w:cs="仿宋_GB2312"/>
          <w:sz w:val="32"/>
          <w:szCs w:val="32"/>
          <w:lang w:val="zh-CN"/>
        </w:rPr>
        <w:t>月预算执行总体进度为</w:t>
      </w:r>
      <w:r>
        <w:rPr>
          <w:rFonts w:eastAsia="仿宋_GB2312" w:cs="仿宋_GB2312"/>
          <w:sz w:val="32"/>
          <w:szCs w:val="32"/>
        </w:rPr>
        <w:t>100</w:t>
      </w:r>
      <w:r>
        <w:rPr>
          <w:rFonts w:eastAsia="仿宋_GB2312" w:cs="仿宋_GB2312"/>
          <w:sz w:val="32"/>
          <w:szCs w:val="32"/>
          <w:lang w:val="zh-CN"/>
        </w:rPr>
        <w:t>%</w:t>
      </w:r>
      <w:r>
        <w:rPr>
          <w:rFonts w:hint="eastAsia" w:ascii="Times New Roman" w:eastAsia="仿宋_GB2312" w:cs="仿宋_GB2312"/>
          <w:sz w:val="32"/>
          <w:szCs w:val="32"/>
          <w:lang w:val="zh-CN"/>
        </w:rPr>
        <w:t>，其中：预算结余率大于</w:t>
      </w:r>
      <w:r>
        <w:rPr>
          <w:rFonts w:eastAsia="仿宋_GB2312" w:cs="仿宋_GB2312"/>
          <w:sz w:val="32"/>
          <w:szCs w:val="32"/>
        </w:rPr>
        <w:t>10%</w:t>
      </w:r>
      <w:r>
        <w:rPr>
          <w:rFonts w:hint="eastAsia" w:ascii="Times New Roman" w:eastAsia="仿宋_GB2312" w:cs="仿宋_GB2312"/>
          <w:sz w:val="32"/>
          <w:szCs w:val="32"/>
          <w:lang w:val="zh-CN"/>
        </w:rPr>
        <w:t>的项目共计</w:t>
      </w:r>
      <w:r>
        <w:rPr>
          <w:rFonts w:eastAsia="仿宋_GB2312" w:cs="仿宋_GB2312"/>
          <w:sz w:val="32"/>
          <w:szCs w:val="32"/>
        </w:rPr>
        <w:t>0</w:t>
      </w:r>
      <w:r>
        <w:rPr>
          <w:rFonts w:hint="eastAsia" w:ascii="Times New Roman" w:eastAsia="仿宋_GB2312" w:cs="仿宋_GB2312"/>
          <w:sz w:val="32"/>
          <w:szCs w:val="32"/>
          <w:lang w:val="zh-CN"/>
        </w:rPr>
        <w:t>个。</w:t>
      </w:r>
    </w:p>
    <w:p w14:paraId="1BCD70DC">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eastAsia="仿宋_GB2312" w:cs="仿宋_GB2312"/>
          <w:sz w:val="32"/>
          <w:szCs w:val="32"/>
          <w:lang w:val="zh-CN"/>
        </w:rPr>
      </w:pPr>
      <w:r>
        <w:rPr>
          <w:rFonts w:hint="eastAsia" w:ascii="Times New Roman" w:eastAsia="仿宋_GB2312" w:cs="仿宋_GB2312"/>
          <w:sz w:val="32"/>
          <w:szCs w:val="32"/>
        </w:rPr>
        <w:t>阶段（一次性）项目绩效分析。</w:t>
      </w:r>
      <w:r>
        <w:rPr>
          <w:rFonts w:hint="eastAsia" w:ascii="Times New Roman" w:eastAsia="仿宋_GB2312" w:cs="仿宋_GB2312"/>
          <w:sz w:val="32"/>
          <w:szCs w:val="32"/>
          <w:lang w:val="zh-CN"/>
        </w:rPr>
        <w:t>该类项目总数</w:t>
      </w:r>
      <w:r>
        <w:rPr>
          <w:rFonts w:eastAsia="仿宋_GB2312" w:cs="仿宋_GB2312"/>
          <w:sz w:val="32"/>
          <w:szCs w:val="32"/>
        </w:rPr>
        <w:t>0</w:t>
      </w:r>
      <w:r>
        <w:rPr>
          <w:rFonts w:hint="eastAsia" w:ascii="Times New Roman" w:eastAsia="仿宋_GB2312" w:cs="仿宋_GB2312"/>
          <w:sz w:val="32"/>
          <w:szCs w:val="32"/>
          <w:lang w:val="zh-CN"/>
        </w:rPr>
        <w:t>个，涉及预算总金额</w:t>
      </w:r>
      <w:r>
        <w:rPr>
          <w:rFonts w:eastAsia="仿宋_GB2312" w:cs="仿宋_GB2312"/>
          <w:sz w:val="32"/>
          <w:szCs w:val="32"/>
        </w:rPr>
        <w:t>0</w:t>
      </w:r>
      <w:r>
        <w:rPr>
          <w:rFonts w:hint="eastAsia" w:ascii="Times New Roman" w:eastAsia="仿宋_GB2312" w:cs="仿宋_GB2312"/>
          <w:sz w:val="32"/>
          <w:szCs w:val="32"/>
          <w:lang w:val="zh-CN"/>
        </w:rPr>
        <w:t>万元，</w:t>
      </w:r>
      <w:r>
        <w:rPr>
          <w:rFonts w:eastAsia="仿宋_GB2312" w:cs="仿宋_GB2312"/>
          <w:sz w:val="32"/>
          <w:szCs w:val="32"/>
          <w:lang w:val="zh-CN"/>
        </w:rPr>
        <w:t>1</w:t>
      </w:r>
      <w:r>
        <w:rPr>
          <w:rFonts w:hint="eastAsia" w:ascii="Times New Roman" w:eastAsia="仿宋_GB2312" w:cs="仿宋_GB2312"/>
          <w:sz w:val="32"/>
          <w:szCs w:val="32"/>
          <w:lang w:val="zh-CN"/>
        </w:rPr>
        <w:t>—</w:t>
      </w:r>
      <w:r>
        <w:rPr>
          <w:rFonts w:eastAsia="仿宋_GB2312" w:cs="仿宋_GB2312"/>
          <w:sz w:val="32"/>
          <w:szCs w:val="32"/>
          <w:lang w:val="zh-CN"/>
        </w:rPr>
        <w:t>1</w:t>
      </w:r>
      <w:r>
        <w:rPr>
          <w:rFonts w:eastAsia="仿宋_GB2312" w:cs="仿宋_GB2312"/>
          <w:sz w:val="32"/>
          <w:szCs w:val="32"/>
        </w:rPr>
        <w:t>2</w:t>
      </w:r>
      <w:r>
        <w:rPr>
          <w:rFonts w:hint="eastAsia" w:ascii="Times New Roman" w:eastAsia="仿宋_GB2312" w:cs="仿宋_GB2312"/>
          <w:sz w:val="32"/>
          <w:szCs w:val="32"/>
          <w:lang w:val="zh-CN"/>
        </w:rPr>
        <w:t>月预算执行总体进度为</w:t>
      </w:r>
      <w:r>
        <w:rPr>
          <w:rFonts w:eastAsia="仿宋_GB2312" w:cs="仿宋_GB2312"/>
          <w:sz w:val="32"/>
          <w:szCs w:val="32"/>
        </w:rPr>
        <w:t>0</w:t>
      </w:r>
      <w:r>
        <w:rPr>
          <w:rFonts w:eastAsia="仿宋_GB2312" w:cs="仿宋_GB2312"/>
          <w:sz w:val="32"/>
          <w:szCs w:val="32"/>
          <w:lang w:val="zh-CN"/>
        </w:rPr>
        <w:t>%</w:t>
      </w:r>
      <w:r>
        <w:rPr>
          <w:rFonts w:hint="eastAsia" w:ascii="Times New Roman" w:eastAsia="仿宋_GB2312" w:cs="仿宋_GB2312"/>
          <w:sz w:val="32"/>
          <w:szCs w:val="32"/>
          <w:lang w:val="zh-CN"/>
        </w:rPr>
        <w:t>，其中：预算结余率大于</w:t>
      </w:r>
      <w:r>
        <w:rPr>
          <w:rFonts w:eastAsia="仿宋_GB2312" w:cs="仿宋_GB2312"/>
          <w:sz w:val="32"/>
          <w:szCs w:val="32"/>
        </w:rPr>
        <w:t>10%</w:t>
      </w:r>
      <w:r>
        <w:rPr>
          <w:rFonts w:hint="eastAsia" w:ascii="Times New Roman" w:eastAsia="仿宋_GB2312" w:cs="仿宋_GB2312"/>
          <w:sz w:val="32"/>
          <w:szCs w:val="32"/>
          <w:lang w:val="zh-CN"/>
        </w:rPr>
        <w:t>的项目共计</w:t>
      </w:r>
      <w:r>
        <w:rPr>
          <w:rFonts w:eastAsia="仿宋_GB2312" w:cs="仿宋_GB2312"/>
          <w:sz w:val="32"/>
          <w:szCs w:val="32"/>
        </w:rPr>
        <w:t>0</w:t>
      </w:r>
      <w:r>
        <w:rPr>
          <w:rFonts w:hint="eastAsia" w:ascii="Times New Roman" w:eastAsia="仿宋_GB2312" w:cs="仿宋_GB2312"/>
          <w:sz w:val="32"/>
          <w:szCs w:val="32"/>
          <w:lang w:val="zh-CN"/>
        </w:rPr>
        <w:t>个。</w:t>
      </w:r>
    </w:p>
    <w:p w14:paraId="092EA402">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eastAsia="仿宋_GB2312" w:cs="仿宋_GB2312"/>
          <w:sz w:val="32"/>
          <w:szCs w:val="32"/>
          <w:lang w:val="zh-CN"/>
        </w:rPr>
      </w:pPr>
      <w:r>
        <w:rPr>
          <w:rFonts w:eastAsia="仿宋_GB2312" w:cs="仿宋_GB2312"/>
          <w:sz w:val="32"/>
          <w:szCs w:val="32"/>
        </w:rPr>
        <w:t>1.</w:t>
      </w:r>
      <w:r>
        <w:rPr>
          <w:rFonts w:hint="eastAsia" w:ascii="Times New Roman" w:eastAsia="仿宋_GB2312" w:cs="仿宋_GB2312"/>
          <w:sz w:val="32"/>
          <w:szCs w:val="32"/>
          <w:lang w:val="zh-CN"/>
        </w:rPr>
        <w:t>项目决策。项目立项严格履行集体研究、申报评审等决策程序，立项资料完整规范；项目绩效目标结合乡镇工作实际科学设定，指标清晰可衡量；所有项目按要求纳入项目库管理。</w:t>
      </w:r>
      <w:r>
        <w:rPr>
          <w:rFonts w:hint="eastAsia" w:ascii="Times New Roman" w:eastAsia="仿宋_GB2312" w:cs="仿宋_GB2312"/>
          <w:sz w:val="32"/>
          <w:szCs w:val="32"/>
        </w:rPr>
        <w:t>综上，根据评分标准，该项指标</w:t>
      </w:r>
      <w:r>
        <w:rPr>
          <w:rFonts w:hint="eastAsia" w:ascii="Times New Roman" w:eastAsia="仿宋_GB2312" w:cs="仿宋_GB2312"/>
          <w:sz w:val="32"/>
          <w:szCs w:val="32"/>
          <w:lang w:val="zh-CN"/>
        </w:rPr>
        <w:t>得分</w:t>
      </w:r>
      <w:r>
        <w:rPr>
          <w:rFonts w:ascii="Times New Roman" w:eastAsia="仿宋_GB2312" w:cs="仿宋_GB2312"/>
          <w:sz w:val="32"/>
          <w:szCs w:val="32"/>
          <w:lang w:val="zh-CN"/>
        </w:rPr>
        <w:t>12</w:t>
      </w:r>
      <w:r>
        <w:rPr>
          <w:rFonts w:hint="eastAsia" w:ascii="Times New Roman" w:eastAsia="仿宋_GB2312" w:cs="仿宋_GB2312"/>
          <w:sz w:val="32"/>
          <w:szCs w:val="32"/>
          <w:lang w:val="zh-CN"/>
        </w:rPr>
        <w:t>分。</w:t>
      </w:r>
    </w:p>
    <w:p w14:paraId="0877A6C9">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eastAsia="仿宋_GB2312" w:cs="仿宋_GB2312"/>
          <w:sz w:val="32"/>
          <w:szCs w:val="32"/>
          <w:lang w:val="zh-CN"/>
        </w:rPr>
      </w:pPr>
      <w:r>
        <w:rPr>
          <w:rFonts w:eastAsia="仿宋_GB2312" w:cs="仿宋_GB2312"/>
          <w:sz w:val="32"/>
          <w:szCs w:val="32"/>
        </w:rPr>
        <w:t>2.</w:t>
      </w:r>
      <w:r>
        <w:rPr>
          <w:rFonts w:hint="eastAsia" w:ascii="Times New Roman" w:eastAsia="仿宋_GB2312" w:cs="仿宋_GB2312"/>
          <w:sz w:val="32"/>
          <w:szCs w:val="32"/>
        </w:rPr>
        <w:t>项目执行</w:t>
      </w:r>
      <w:r>
        <w:rPr>
          <w:rFonts w:hint="eastAsia" w:ascii="Times New Roman" w:eastAsia="仿宋_GB2312" w:cs="仿宋_GB2312"/>
          <w:sz w:val="32"/>
          <w:szCs w:val="32"/>
          <w:lang w:val="zh-CN"/>
        </w:rPr>
        <w:t>。项目资金拨付与项目实施进度基本保持同向匹配，资金专款专用，项目总体按计划推进实施。</w:t>
      </w:r>
      <w:r>
        <w:rPr>
          <w:rFonts w:hint="eastAsia" w:ascii="Times New Roman" w:eastAsia="仿宋_GB2312" w:cs="仿宋_GB2312"/>
          <w:sz w:val="32"/>
          <w:szCs w:val="32"/>
        </w:rPr>
        <w:t>综上，根据评分标准，该项指标</w:t>
      </w:r>
      <w:r>
        <w:rPr>
          <w:rFonts w:hint="eastAsia" w:ascii="Times New Roman" w:eastAsia="仿宋_GB2312" w:cs="仿宋_GB2312"/>
          <w:sz w:val="32"/>
          <w:szCs w:val="32"/>
          <w:lang w:val="zh-CN"/>
        </w:rPr>
        <w:t>得分</w:t>
      </w:r>
      <w:r>
        <w:rPr>
          <w:rFonts w:ascii="Times New Roman" w:eastAsia="仿宋_GB2312" w:cs="仿宋_GB2312"/>
          <w:sz w:val="32"/>
          <w:szCs w:val="32"/>
          <w:lang w:val="zh-CN"/>
        </w:rPr>
        <w:t>12</w:t>
      </w:r>
      <w:r>
        <w:rPr>
          <w:rFonts w:hint="eastAsia" w:ascii="Times New Roman" w:eastAsia="仿宋_GB2312" w:cs="仿宋_GB2312"/>
          <w:sz w:val="32"/>
          <w:szCs w:val="32"/>
          <w:lang w:val="zh-CN"/>
        </w:rPr>
        <w:t>分。</w:t>
      </w:r>
    </w:p>
    <w:p w14:paraId="7B79DE8D">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eastAsia="仿宋_GB2312" w:cs="仿宋_GB2312"/>
          <w:sz w:val="32"/>
          <w:szCs w:val="32"/>
          <w:lang w:val="zh-CN"/>
        </w:rPr>
      </w:pPr>
      <w:r>
        <w:rPr>
          <w:rFonts w:eastAsia="仿宋_GB2312" w:cs="仿宋_GB2312"/>
          <w:sz w:val="32"/>
          <w:szCs w:val="32"/>
        </w:rPr>
        <w:t>3.</w:t>
      </w:r>
      <w:r>
        <w:rPr>
          <w:rFonts w:hint="eastAsia" w:ascii="Times New Roman" w:eastAsia="仿宋_GB2312" w:cs="仿宋_GB2312"/>
          <w:sz w:val="32"/>
          <w:szCs w:val="32"/>
          <w:lang w:val="zh-CN"/>
        </w:rPr>
        <w:t>目标实现。本年度大部分项目绩效目标如期完成，有效保障乡村振兴、民生服务、基层治理等工作落地。项目实施后社会效益明显，惠及辖区群众。</w:t>
      </w:r>
      <w:r>
        <w:rPr>
          <w:rFonts w:hint="eastAsia" w:ascii="Times New Roman" w:eastAsia="仿宋_GB2312" w:cs="仿宋_GB2312"/>
          <w:sz w:val="32"/>
          <w:szCs w:val="32"/>
        </w:rPr>
        <w:t>综上，根据评分标准，该项指标</w:t>
      </w:r>
      <w:r>
        <w:rPr>
          <w:rFonts w:hint="eastAsia" w:ascii="Times New Roman" w:eastAsia="仿宋_GB2312" w:cs="仿宋_GB2312"/>
          <w:sz w:val="32"/>
          <w:szCs w:val="32"/>
          <w:lang w:val="zh-CN"/>
        </w:rPr>
        <w:t>得分</w:t>
      </w:r>
      <w:r>
        <w:rPr>
          <w:rFonts w:ascii="Times New Roman" w:eastAsia="仿宋_GB2312" w:cs="仿宋_GB2312"/>
          <w:sz w:val="32"/>
          <w:szCs w:val="32"/>
          <w:lang w:val="zh-CN"/>
        </w:rPr>
        <w:t>10</w:t>
      </w:r>
      <w:r>
        <w:rPr>
          <w:rFonts w:hint="eastAsia" w:ascii="Times New Roman" w:eastAsia="仿宋_GB2312" w:cs="仿宋_GB2312"/>
          <w:sz w:val="32"/>
          <w:szCs w:val="32"/>
          <w:lang w:val="zh-CN"/>
        </w:rPr>
        <w:t>分。</w:t>
      </w:r>
    </w:p>
    <w:p w14:paraId="2F35EC06">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eastAsia="仿宋_GB2312" w:cs="仿宋_GB2312"/>
          <w:sz w:val="32"/>
          <w:szCs w:val="32"/>
        </w:rPr>
      </w:pPr>
      <w:r>
        <w:rPr>
          <w:rFonts w:hint="eastAsia" w:ascii="Times New Roman" w:eastAsia="仿宋_GB2312" w:cs="仿宋_GB2312"/>
          <w:sz w:val="32"/>
          <w:szCs w:val="32"/>
        </w:rPr>
        <w:t>省级部门对</w:t>
      </w:r>
      <w:r>
        <w:rPr>
          <w:rFonts w:eastAsia="仿宋_GB2312" w:cs="仿宋_GB2312"/>
          <w:sz w:val="32"/>
          <w:szCs w:val="32"/>
        </w:rPr>
        <w:t>2025</w:t>
      </w:r>
      <w:r>
        <w:rPr>
          <w:rFonts w:hint="eastAsia" w:ascii="Times New Roman" w:eastAsia="仿宋_GB2312" w:cs="仿宋_GB2312"/>
          <w:sz w:val="32"/>
          <w:szCs w:val="32"/>
        </w:rPr>
        <w:t>年度一般公共预算、政府性基金预算、国有资本经营预算安排的常年项目、阶段项目绩效目标完成情况，以及债券资金、政府购买服务有关情况进行梳理阐述。不涉及</w:t>
      </w:r>
    </w:p>
    <w:p w14:paraId="3F3BD088">
      <w:pPr>
        <w:keepNext w:val="0"/>
        <w:keepLines w:val="0"/>
        <w:pageBreakBefore w:val="0"/>
        <w:kinsoku/>
        <w:wordWrap/>
        <w:overflowPunct/>
        <w:topLinePunct w:val="0"/>
        <w:autoSpaceDE/>
        <w:autoSpaceDN/>
        <w:bidi w:val="0"/>
        <w:snapToGrid w:val="0"/>
        <w:spacing w:beforeAutospacing="0" w:afterAutospacing="0" w:line="560" w:lineRule="exact"/>
        <w:ind w:left="0" w:firstLine="643" w:firstLineChars="200"/>
        <w:textAlignment w:val="auto"/>
        <w:rPr>
          <w:rFonts w:ascii="Times New Roman" w:eastAsia="楷体_GB2312" w:cs="楷体_GB2312"/>
          <w:b/>
          <w:bCs/>
          <w:color w:val="000000"/>
          <w:kern w:val="0"/>
          <w:sz w:val="32"/>
          <w:szCs w:val="32"/>
          <w:shd w:val="clear" w:color="auto" w:fill="FFFFFF"/>
          <w:lang w:val="zh-CN"/>
        </w:rPr>
      </w:pPr>
      <w:r>
        <w:rPr>
          <w:rFonts w:hint="eastAsia" w:ascii="Times New Roman" w:eastAsia="楷体_GB2312" w:cs="楷体_GB2312"/>
          <w:b/>
          <w:bCs/>
          <w:color w:val="000000"/>
          <w:kern w:val="0"/>
          <w:sz w:val="32"/>
          <w:szCs w:val="32"/>
          <w:shd w:val="clear" w:color="auto" w:fill="FFFFFF"/>
          <w:lang w:val="zh-CN"/>
        </w:rPr>
        <w:t>（</w:t>
      </w:r>
      <w:r>
        <w:rPr>
          <w:rFonts w:hint="eastAsia" w:ascii="Times New Roman" w:eastAsia="楷体_GB2312" w:cs="楷体_GB2312"/>
          <w:b/>
          <w:bCs/>
          <w:color w:val="000000"/>
          <w:kern w:val="0"/>
          <w:sz w:val="32"/>
          <w:szCs w:val="32"/>
          <w:shd w:val="clear" w:color="auto" w:fill="FFFFFF"/>
        </w:rPr>
        <w:t>三</w:t>
      </w:r>
      <w:r>
        <w:rPr>
          <w:rFonts w:hint="eastAsia" w:ascii="Times New Roman" w:eastAsia="楷体_GB2312" w:cs="楷体_GB2312"/>
          <w:b/>
          <w:bCs/>
          <w:color w:val="000000"/>
          <w:kern w:val="0"/>
          <w:sz w:val="32"/>
          <w:szCs w:val="32"/>
          <w:shd w:val="clear" w:color="auto" w:fill="FFFFFF"/>
          <w:lang w:val="zh-CN"/>
        </w:rPr>
        <w:t>）绩效结果应用情况。</w:t>
      </w:r>
    </w:p>
    <w:p w14:paraId="336249EA">
      <w:pPr>
        <w:keepNext w:val="0"/>
        <w:keepLines w:val="0"/>
        <w:pageBreakBefore w:val="0"/>
        <w:kinsoku/>
        <w:wordWrap/>
        <w:overflowPunct/>
        <w:topLinePunct w:val="0"/>
        <w:autoSpaceDE/>
        <w:autoSpaceDN/>
        <w:bidi w:val="0"/>
        <w:snapToGrid w:val="0"/>
        <w:spacing w:beforeAutospacing="0" w:afterAutospacing="0" w:line="560" w:lineRule="exact"/>
        <w:ind w:left="0" w:firstLine="640" w:firstLineChars="200"/>
        <w:textAlignment w:val="auto"/>
        <w:rPr>
          <w:rFonts w:eastAsia="仿宋_GB2312" w:cs="仿宋_GB2312"/>
          <w:sz w:val="32"/>
          <w:szCs w:val="32"/>
        </w:rPr>
      </w:pPr>
      <w:r>
        <w:rPr>
          <w:rFonts w:ascii="Times New Roman" w:hAnsi="Times New Roman" w:eastAsia="仿宋_GB2312" w:cs="仿宋_GB2312"/>
          <w:sz w:val="32"/>
          <w:szCs w:val="32"/>
          <w:lang w:bidi="ar"/>
        </w:rPr>
        <w:t>1</w:t>
      </w:r>
      <w:r>
        <w:rPr>
          <w:rFonts w:hint="eastAsia" w:ascii="Times New Roman" w:hAnsi="Times New Roman" w:eastAsia="仿宋_GB2312" w:cs="仿宋_GB2312"/>
          <w:sz w:val="32"/>
          <w:szCs w:val="32"/>
          <w:lang w:bidi="ar"/>
        </w:rPr>
        <w:t>、内部应用情况：将绩效评价结果与预算安排、政策调整和管理改进紧密结合。此外，评价结果用于改进项目管理，识别问题并优化流程，提升资金使用效率。</w:t>
      </w:r>
    </w:p>
    <w:p w14:paraId="5CBA5D7D">
      <w:pPr>
        <w:keepNext w:val="0"/>
        <w:keepLines w:val="0"/>
        <w:pageBreakBefore w:val="0"/>
        <w:kinsoku/>
        <w:wordWrap/>
        <w:overflowPunct/>
        <w:topLinePunct w:val="0"/>
        <w:autoSpaceDE/>
        <w:autoSpaceDN/>
        <w:bidi w:val="0"/>
        <w:snapToGrid w:val="0"/>
        <w:spacing w:beforeAutospacing="0" w:afterAutospacing="0" w:line="560" w:lineRule="exact"/>
        <w:ind w:left="0" w:firstLine="640" w:firstLineChars="200"/>
        <w:textAlignment w:val="auto"/>
        <w:rPr>
          <w:rFonts w:eastAsia="仿宋_GB2312" w:cs="仿宋_GB2312"/>
          <w:sz w:val="32"/>
          <w:szCs w:val="32"/>
        </w:rPr>
      </w:pPr>
      <w:r>
        <w:rPr>
          <w:rFonts w:ascii="Times New Roman" w:hAnsi="Times New Roman" w:eastAsia="仿宋_GB2312" w:cs="仿宋_GB2312"/>
          <w:sz w:val="32"/>
          <w:szCs w:val="32"/>
          <w:lang w:bidi="ar"/>
        </w:rPr>
        <w:t>2</w:t>
      </w:r>
      <w:r>
        <w:rPr>
          <w:rFonts w:hint="eastAsia" w:ascii="Times New Roman" w:hAnsi="Times New Roman" w:eastAsia="仿宋_GB2312" w:cs="仿宋_GB2312"/>
          <w:sz w:val="32"/>
          <w:szCs w:val="32"/>
          <w:lang w:bidi="ar"/>
        </w:rPr>
        <w:t>、信息公开情况：通过相关报告和通知等形式公开绩效评价工作情况，包括评价项目的安排和结果，但信息公开的详细程度和渠道的多样性仍有提升空间。</w:t>
      </w:r>
    </w:p>
    <w:p w14:paraId="1216EFA7">
      <w:pPr>
        <w:keepNext w:val="0"/>
        <w:keepLines w:val="0"/>
        <w:pageBreakBefore w:val="0"/>
        <w:kinsoku/>
        <w:wordWrap/>
        <w:overflowPunct/>
        <w:topLinePunct w:val="0"/>
        <w:autoSpaceDE/>
        <w:autoSpaceDN/>
        <w:bidi w:val="0"/>
        <w:snapToGrid w:val="0"/>
        <w:spacing w:beforeAutospacing="0" w:afterAutospacing="0" w:line="560" w:lineRule="exact"/>
        <w:ind w:left="0" w:firstLine="640" w:firstLineChars="200"/>
        <w:textAlignment w:val="auto"/>
        <w:rPr>
          <w:rFonts w:ascii="Times New Roman" w:hAnsi="Times New Roman" w:eastAsia="仿宋_GB2312" w:cs="仿宋_GB2312"/>
          <w:sz w:val="32"/>
          <w:szCs w:val="32"/>
          <w:lang w:bidi="ar"/>
        </w:rPr>
      </w:pPr>
      <w:r>
        <w:rPr>
          <w:rFonts w:ascii="Times New Roman" w:hAnsi="Times New Roman" w:eastAsia="仿宋_GB2312" w:cs="仿宋_GB2312"/>
          <w:sz w:val="32"/>
          <w:szCs w:val="32"/>
          <w:lang w:bidi="ar"/>
        </w:rPr>
        <w:t>3</w:t>
      </w:r>
      <w:r>
        <w:rPr>
          <w:rFonts w:hint="eastAsia" w:ascii="Times New Roman" w:hAnsi="Times New Roman" w:eastAsia="仿宋_GB2312" w:cs="仿宋_GB2312"/>
          <w:sz w:val="32"/>
          <w:szCs w:val="32"/>
          <w:lang w:bidi="ar"/>
        </w:rPr>
        <w:t>、整体反馈情况：重视绩效评价结果的反馈和整改，建立考核机制。通过“清单制</w:t>
      </w:r>
      <w:r>
        <w:rPr>
          <w:rFonts w:ascii="Times New Roman" w:hAnsi="Times New Roman" w:eastAsia="仿宋_GB2312" w:cs="仿宋_GB2312"/>
          <w:sz w:val="32"/>
          <w:szCs w:val="32"/>
          <w:lang w:bidi="ar"/>
        </w:rPr>
        <w:t xml:space="preserve"> +</w:t>
      </w:r>
      <w:r>
        <w:rPr>
          <w:rFonts w:hint="eastAsia" w:ascii="Times New Roman" w:hAnsi="Times New Roman" w:eastAsia="仿宋_GB2312" w:cs="仿宋_GB2312"/>
          <w:sz w:val="32"/>
          <w:szCs w:val="32"/>
          <w:lang w:bidi="ar"/>
        </w:rPr>
        <w:t>责任制</w:t>
      </w:r>
      <w:r>
        <w:rPr>
          <w:rFonts w:ascii="Times New Roman" w:hAnsi="Times New Roman" w:eastAsia="仿宋_GB2312" w:cs="仿宋_GB2312"/>
          <w:sz w:val="32"/>
          <w:szCs w:val="32"/>
          <w:lang w:bidi="ar"/>
        </w:rPr>
        <w:t xml:space="preserve"> +</w:t>
      </w:r>
      <w:r>
        <w:rPr>
          <w:rFonts w:hint="eastAsia" w:ascii="Times New Roman" w:hAnsi="Times New Roman" w:eastAsia="仿宋_GB2312" w:cs="仿宋_GB2312"/>
          <w:sz w:val="32"/>
          <w:szCs w:val="32"/>
          <w:lang w:bidi="ar"/>
        </w:rPr>
        <w:t>时限制</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销号制”督促整改，确保问题得到落实。</w:t>
      </w:r>
    </w:p>
    <w:p w14:paraId="29EE5E39">
      <w:pPr>
        <w:keepNext w:val="0"/>
        <w:keepLines w:val="0"/>
        <w:pageBreakBefore w:val="0"/>
        <w:kinsoku/>
        <w:wordWrap/>
        <w:overflowPunct/>
        <w:topLinePunct w:val="0"/>
        <w:autoSpaceDE/>
        <w:autoSpaceDN/>
        <w:bidi w:val="0"/>
        <w:snapToGrid w:val="0"/>
        <w:spacing w:beforeAutospacing="0" w:afterAutospacing="0" w:line="560" w:lineRule="exact"/>
        <w:ind w:left="0" w:firstLine="640" w:firstLineChars="200"/>
        <w:textAlignment w:val="auto"/>
        <w:rPr>
          <w:rFonts w:eastAsia="仿宋_GB2312" w:cs="仿宋_GB2312"/>
          <w:sz w:val="32"/>
          <w:szCs w:val="32"/>
        </w:rPr>
      </w:pPr>
      <w:r>
        <w:rPr>
          <w:rFonts w:hint="eastAsia" w:ascii="Times New Roman" w:hAnsi="Times New Roman" w:eastAsia="仿宋_GB2312" w:cs="仿宋_GB2312"/>
          <w:sz w:val="32"/>
          <w:szCs w:val="32"/>
          <w:lang w:bidi="ar"/>
        </w:rPr>
        <w:t>建议进一步完善信息公开渠道，提高公众参与度，并加强反馈机制的建设，以更好地服务于财政资金的管理和使用。</w:t>
      </w:r>
    </w:p>
    <w:p w14:paraId="3D5B5744">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jc w:val="left"/>
        <w:textAlignment w:val="auto"/>
        <w:rPr>
          <w:rFonts w:eastAsia="黑体"/>
          <w:color w:val="000000"/>
          <w:kern w:val="0"/>
          <w:sz w:val="32"/>
          <w:szCs w:val="32"/>
          <w:shd w:val="clear" w:color="auto" w:fill="FFFFFF"/>
          <w:lang w:val="zh-CN"/>
        </w:rPr>
      </w:pPr>
      <w:r>
        <w:rPr>
          <w:rFonts w:hint="eastAsia" w:ascii="Times New Roman" w:hAnsi="Times New Roman" w:eastAsia="黑体" w:cs="黑体"/>
          <w:color w:val="000000"/>
          <w:kern w:val="0"/>
          <w:sz w:val="32"/>
          <w:szCs w:val="32"/>
          <w:shd w:val="clear" w:color="auto" w:fill="FFFFFF"/>
          <w:lang w:val="zh-CN"/>
        </w:rPr>
        <w:t>四、评价结论及建议</w:t>
      </w:r>
    </w:p>
    <w:p w14:paraId="3B12A4D8">
      <w:pPr>
        <w:keepNext w:val="0"/>
        <w:keepLines w:val="0"/>
        <w:pageBreakBefore w:val="0"/>
        <w:kinsoku/>
        <w:wordWrap/>
        <w:overflowPunct/>
        <w:topLinePunct w:val="0"/>
        <w:autoSpaceDE/>
        <w:autoSpaceDN/>
        <w:bidi w:val="0"/>
        <w:spacing w:beforeAutospacing="0" w:afterAutospacing="0" w:line="560" w:lineRule="exact"/>
        <w:ind w:left="0" w:firstLine="640"/>
        <w:textAlignment w:val="auto"/>
        <w:rPr>
          <w:rFonts w:ascii="Times New Roman" w:eastAsia="仿宋_GB2312" w:cs="仿宋_GB2312"/>
          <w:sz w:val="32"/>
          <w:szCs w:val="32"/>
        </w:rPr>
      </w:pPr>
      <w:r>
        <w:rPr>
          <w:rFonts w:hint="eastAsia" w:ascii="Times New Roman" w:eastAsia="楷体_GB2312" w:cs="楷体_GB2312"/>
          <w:b/>
          <w:bCs/>
          <w:color w:val="000000"/>
          <w:kern w:val="0"/>
          <w:sz w:val="32"/>
          <w:szCs w:val="32"/>
          <w:shd w:val="clear" w:color="auto" w:fill="FFFFFF"/>
          <w:lang w:val="zh-CN"/>
        </w:rPr>
        <w:t>（一）评价结论。</w:t>
      </w:r>
      <w:r>
        <w:rPr>
          <w:rFonts w:hint="eastAsia" w:ascii="Times New Roman" w:eastAsia="仿宋_GB2312" w:cs="仿宋_GB2312"/>
          <w:sz w:val="32"/>
          <w:szCs w:val="32"/>
        </w:rPr>
        <w:t>勿角镇积极推进</w:t>
      </w:r>
      <w:r>
        <w:rPr>
          <w:rFonts w:eastAsia="仿宋_GB2312" w:cs="仿宋_GB2312"/>
          <w:sz w:val="32"/>
          <w:szCs w:val="32"/>
        </w:rPr>
        <w:t>2025</w:t>
      </w:r>
      <w:r>
        <w:rPr>
          <w:rFonts w:hint="eastAsia" w:ascii="Times New Roman" w:eastAsia="仿宋_GB2312" w:cs="仿宋_GB2312"/>
          <w:sz w:val="32"/>
          <w:szCs w:val="32"/>
        </w:rPr>
        <w:t>年预算绩效评价工作，</w:t>
      </w:r>
      <w:r>
        <w:rPr>
          <w:rFonts w:hint="eastAsia" w:ascii="Times New Roman" w:hAnsi="Times New Roman" w:eastAsia="仿宋_GB2312" w:cs="仿宋_GB2312"/>
          <w:sz w:val="32"/>
          <w:szCs w:val="32"/>
          <w:lang w:bidi="ar"/>
        </w:rPr>
        <w:t>对4</w:t>
      </w:r>
      <w:r>
        <w:rPr>
          <w:rFonts w:ascii="Times New Roman" w:hAnsi="Times New Roman" w:eastAsia="仿宋_GB2312" w:cs="仿宋_GB2312"/>
          <w:sz w:val="32"/>
          <w:szCs w:val="32"/>
          <w:lang w:bidi="ar"/>
        </w:rPr>
        <w:t>9</w:t>
      </w:r>
      <w:r>
        <w:rPr>
          <w:rFonts w:hint="eastAsia" w:ascii="Times New Roman" w:hAnsi="Times New Roman" w:eastAsia="仿宋_GB2312" w:cs="仿宋_GB2312"/>
          <w:sz w:val="32"/>
          <w:szCs w:val="32"/>
          <w:lang w:bidi="ar"/>
        </w:rPr>
        <w:t>个</w:t>
      </w:r>
      <w:r>
        <w:rPr>
          <w:rFonts w:hint="eastAsia" w:ascii="Times New Roman" w:eastAsia="仿宋_GB2312" w:cs="仿宋_GB2312"/>
          <w:sz w:val="32"/>
          <w:szCs w:val="32"/>
        </w:rPr>
        <w:t>特定目标类</w:t>
      </w:r>
      <w:r>
        <w:rPr>
          <w:rFonts w:hint="eastAsia" w:ascii="Times New Roman" w:hAnsi="Times New Roman" w:eastAsia="仿宋_GB2312" w:cs="仿宋_GB2312"/>
          <w:sz w:val="32"/>
          <w:szCs w:val="32"/>
          <w:lang w:bidi="ar"/>
        </w:rPr>
        <w:t>项目进行了绩效评价，</w:t>
      </w:r>
      <w:r>
        <w:rPr>
          <w:rFonts w:hint="eastAsia" w:ascii="Times New Roman" w:eastAsia="仿宋_GB2312" w:cs="仿宋_GB2312"/>
          <w:sz w:val="32"/>
          <w:szCs w:val="32"/>
        </w:rPr>
        <w:t>评价结果与预算安排、政策调整和管理改进相结合。综上，根据评分标准，部门预算总体绩效评分为</w:t>
      </w:r>
      <w:r>
        <w:rPr>
          <w:rFonts w:eastAsia="仿宋_GB2312" w:cs="仿宋_GB2312"/>
          <w:sz w:val="32"/>
          <w:szCs w:val="32"/>
        </w:rPr>
        <w:t>94</w:t>
      </w:r>
      <w:r>
        <w:rPr>
          <w:rFonts w:hint="eastAsia" w:ascii="Times New Roman" w:eastAsia="仿宋_GB2312" w:cs="仿宋_GB2312"/>
          <w:sz w:val="32"/>
          <w:szCs w:val="32"/>
        </w:rPr>
        <w:t>分。</w:t>
      </w:r>
    </w:p>
    <w:p w14:paraId="0EE15A66">
      <w:pPr>
        <w:keepNext w:val="0"/>
        <w:keepLines w:val="0"/>
        <w:pageBreakBefore w:val="0"/>
        <w:kinsoku/>
        <w:wordWrap/>
        <w:overflowPunct/>
        <w:topLinePunct w:val="0"/>
        <w:autoSpaceDE/>
        <w:autoSpaceDN/>
        <w:bidi w:val="0"/>
        <w:spacing w:beforeAutospacing="0" w:afterAutospacing="0" w:line="560" w:lineRule="exact"/>
        <w:ind w:left="0" w:firstLine="640"/>
        <w:textAlignment w:val="auto"/>
        <w:rPr>
          <w:rFonts w:ascii="Times New Roman" w:eastAsia="仿宋_GB2312" w:cs="仿宋_GB2312"/>
          <w:sz w:val="32"/>
          <w:szCs w:val="32"/>
        </w:rPr>
      </w:pPr>
      <w:r>
        <w:rPr>
          <w:rFonts w:hint="eastAsia" w:ascii="Times New Roman" w:eastAsia="楷体_GB2312" w:cs="楷体_GB2312"/>
          <w:b/>
          <w:bCs/>
          <w:color w:val="000000"/>
          <w:kern w:val="0"/>
          <w:sz w:val="32"/>
          <w:szCs w:val="32"/>
          <w:shd w:val="clear" w:color="auto" w:fill="FFFFFF"/>
          <w:lang w:val="zh-CN"/>
        </w:rPr>
        <w:t>（二）存在问题。</w:t>
      </w:r>
      <w:r>
        <w:rPr>
          <w:rFonts w:hint="eastAsia" w:ascii="Times New Roman" w:eastAsia="仿宋_GB2312" w:cs="仿宋_GB2312"/>
          <w:sz w:val="32"/>
          <w:szCs w:val="32"/>
        </w:rPr>
        <w:t>信息公开不足：信息公开的详细程度和渠道的多样性有待提升，公众获取信息的便利性不足；绩效目标管理薄弱：部分领域的绩效目标设置不完整或不合理，影响了评价的准确性和有效性。</w:t>
      </w:r>
    </w:p>
    <w:p w14:paraId="084C2DB3">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3" w:firstLineChars="200"/>
        <w:jc w:val="left"/>
        <w:textAlignment w:val="auto"/>
        <w:outlineLvl w:val="1"/>
        <w:rPr>
          <w:rFonts w:ascii="Times New Roman" w:eastAsia="楷体_GB2312" w:cs="楷体_GB2312"/>
          <w:b/>
          <w:bCs/>
          <w:color w:val="000000"/>
          <w:kern w:val="0"/>
          <w:sz w:val="32"/>
          <w:szCs w:val="32"/>
          <w:shd w:val="clear" w:color="auto" w:fill="FFFFFF"/>
          <w:lang w:val="zh-CN"/>
        </w:rPr>
      </w:pPr>
      <w:r>
        <w:rPr>
          <w:rFonts w:hint="eastAsia" w:ascii="Times New Roman" w:eastAsia="楷体_GB2312" w:cs="楷体_GB2312"/>
          <w:b/>
          <w:bCs/>
          <w:color w:val="000000"/>
          <w:kern w:val="0"/>
          <w:sz w:val="32"/>
          <w:szCs w:val="32"/>
          <w:shd w:val="clear" w:color="auto" w:fill="FFFFFF"/>
          <w:lang w:val="zh-CN"/>
        </w:rPr>
        <w:t>（三）改进建议。</w:t>
      </w:r>
      <w:bookmarkStart w:id="53" w:name="_Hlk110546638"/>
    </w:p>
    <w:p w14:paraId="1276DCC1">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jc w:val="left"/>
        <w:textAlignment w:val="auto"/>
        <w:outlineLvl w:val="1"/>
        <w:rPr>
          <w:rFonts w:ascii="Times New Roman" w:eastAsia="仿宋_GB2312" w:cs="仿宋_GB2312"/>
          <w:sz w:val="32"/>
          <w:szCs w:val="32"/>
        </w:rPr>
      </w:pPr>
      <w:r>
        <w:rPr>
          <w:rFonts w:eastAsia="仿宋_GB2312" w:cs="仿宋_GB2312"/>
          <w:sz w:val="32"/>
          <w:szCs w:val="32"/>
        </w:rPr>
        <w:t>1</w:t>
      </w:r>
      <w:r>
        <w:rPr>
          <w:rFonts w:hint="eastAsia" w:ascii="Times New Roman" w:eastAsia="仿宋_GB2312" w:cs="仿宋_GB2312"/>
          <w:sz w:val="32"/>
          <w:szCs w:val="32"/>
        </w:rPr>
        <w:t>、加强信息公开：丰富信息公开渠道，确保公众能够方便获取绩效评价结果，提高财政资金使用的透明度。</w:t>
      </w:r>
    </w:p>
    <w:p w14:paraId="79695C5E">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jc w:val="left"/>
        <w:textAlignment w:val="auto"/>
        <w:outlineLvl w:val="1"/>
        <w:rPr>
          <w:rFonts w:ascii="Times New Roman" w:eastAsia="仿宋_GB2312" w:cs="仿宋_GB2312"/>
          <w:sz w:val="32"/>
          <w:szCs w:val="32"/>
        </w:rPr>
      </w:pPr>
      <w:r>
        <w:rPr>
          <w:rFonts w:eastAsia="仿宋_GB2312" w:cs="仿宋_GB2312"/>
          <w:sz w:val="32"/>
          <w:szCs w:val="32"/>
        </w:rPr>
        <w:t>2</w:t>
      </w:r>
      <w:r>
        <w:rPr>
          <w:rFonts w:hint="eastAsia" w:ascii="Times New Roman" w:eastAsia="仿宋_GB2312" w:cs="仿宋_GB2312"/>
          <w:sz w:val="32"/>
          <w:szCs w:val="32"/>
        </w:rPr>
        <w:t>、提升绩效目标管理：通过培训和指导，提高绩效目标设定的质量，使其更具完整性和合理性。</w:t>
      </w:r>
    </w:p>
    <w:bookmarkEnd w:id="53"/>
    <w:p w14:paraId="1F536968">
      <w:pPr>
        <w:pStyle w:val="13"/>
        <w:keepNext w:val="0"/>
        <w:keepLines w:val="0"/>
        <w:pageBreakBefore w:val="0"/>
        <w:widowControl/>
        <w:kinsoku/>
        <w:wordWrap/>
        <w:overflowPunct/>
        <w:topLinePunct w:val="0"/>
        <w:autoSpaceDE/>
        <w:autoSpaceDN/>
        <w:bidi w:val="0"/>
        <w:spacing w:beforeAutospacing="0" w:after="0" w:afterAutospacing="0" w:line="560" w:lineRule="exact"/>
        <w:ind w:left="0" w:leftChars="0" w:firstLine="640"/>
        <w:textAlignment w:val="auto"/>
        <w:rPr>
          <w:rFonts w:hint="default" w:ascii="Times New Roman" w:eastAsia="仿宋_GB2312"/>
          <w:sz w:val="32"/>
          <w:lang w:val="zh-CN" w:bidi="ar"/>
        </w:rPr>
      </w:pPr>
    </w:p>
    <w:p w14:paraId="2698A28E">
      <w:pPr>
        <w:pStyle w:val="13"/>
        <w:keepNext w:val="0"/>
        <w:keepLines w:val="0"/>
        <w:pageBreakBefore w:val="0"/>
        <w:widowControl/>
        <w:kinsoku/>
        <w:wordWrap/>
        <w:overflowPunct/>
        <w:topLinePunct w:val="0"/>
        <w:autoSpaceDE/>
        <w:autoSpaceDN/>
        <w:bidi w:val="0"/>
        <w:spacing w:beforeAutospacing="0" w:after="0" w:afterAutospacing="0" w:line="560" w:lineRule="exact"/>
        <w:ind w:left="0" w:leftChars="0" w:firstLine="640"/>
        <w:textAlignment w:val="auto"/>
        <w:rPr>
          <w:rFonts w:hint="default" w:ascii="Times New Roman" w:eastAsia="仿宋_GB2312"/>
          <w:sz w:val="32"/>
          <w:lang w:val="zh-CN" w:bidi="ar"/>
        </w:rPr>
      </w:pPr>
    </w:p>
    <w:p w14:paraId="61F180BE">
      <w:pPr>
        <w:pStyle w:val="13"/>
        <w:keepNext w:val="0"/>
        <w:keepLines w:val="0"/>
        <w:pageBreakBefore w:val="0"/>
        <w:widowControl/>
        <w:kinsoku/>
        <w:wordWrap/>
        <w:overflowPunct/>
        <w:topLinePunct w:val="0"/>
        <w:autoSpaceDE/>
        <w:autoSpaceDN/>
        <w:bidi w:val="0"/>
        <w:spacing w:beforeAutospacing="0" w:after="0" w:afterAutospacing="0" w:line="560" w:lineRule="exact"/>
        <w:ind w:left="0" w:leftChars="0" w:firstLine="640"/>
        <w:textAlignment w:val="auto"/>
        <w:rPr>
          <w:rFonts w:hint="default" w:ascii="Times New Roman" w:eastAsia="仿宋_GB2312"/>
          <w:sz w:val="32"/>
          <w:lang w:val="zh-CN" w:bidi="ar"/>
        </w:rPr>
      </w:pPr>
    </w:p>
    <w:p w14:paraId="5170EC4E">
      <w:pPr>
        <w:pStyle w:val="13"/>
        <w:keepNext w:val="0"/>
        <w:keepLines w:val="0"/>
        <w:pageBreakBefore w:val="0"/>
        <w:widowControl/>
        <w:kinsoku/>
        <w:wordWrap/>
        <w:overflowPunct/>
        <w:topLinePunct w:val="0"/>
        <w:autoSpaceDE/>
        <w:autoSpaceDN/>
        <w:bidi w:val="0"/>
        <w:spacing w:beforeAutospacing="0" w:after="0" w:afterAutospacing="0" w:line="560" w:lineRule="exact"/>
        <w:ind w:left="0" w:leftChars="0" w:firstLine="640"/>
        <w:textAlignment w:val="auto"/>
        <w:rPr>
          <w:rFonts w:hint="default" w:ascii="Times New Roman" w:eastAsia="仿宋_GB2312"/>
          <w:sz w:val="32"/>
          <w:lang w:val="zh-CN" w:bidi="ar"/>
        </w:rPr>
      </w:pPr>
    </w:p>
    <w:p w14:paraId="7777D87B">
      <w:pPr>
        <w:pStyle w:val="13"/>
        <w:keepNext w:val="0"/>
        <w:keepLines w:val="0"/>
        <w:pageBreakBefore w:val="0"/>
        <w:widowControl/>
        <w:kinsoku/>
        <w:wordWrap/>
        <w:overflowPunct/>
        <w:topLinePunct w:val="0"/>
        <w:autoSpaceDE/>
        <w:autoSpaceDN/>
        <w:bidi w:val="0"/>
        <w:spacing w:beforeAutospacing="0" w:after="0" w:afterAutospacing="0" w:line="560" w:lineRule="exact"/>
        <w:ind w:left="0" w:leftChars="0" w:firstLine="0" w:firstLineChars="0"/>
        <w:textAlignment w:val="auto"/>
        <w:rPr>
          <w:rFonts w:hint="default" w:ascii="Times New Roman" w:eastAsia="仿宋_GB2312"/>
          <w:sz w:val="32"/>
          <w:lang w:val="zh-CN" w:bidi="ar"/>
        </w:rPr>
      </w:pPr>
    </w:p>
    <w:p w14:paraId="6390E8F1">
      <w:pPr>
        <w:pStyle w:val="13"/>
        <w:widowControl/>
        <w:spacing w:line="560" w:lineRule="exact"/>
        <w:ind w:left="0" w:leftChars="0" w:firstLine="640"/>
        <w:rPr>
          <w:rFonts w:hint="default" w:ascii="Times New Roman" w:eastAsia="仿宋_GB2312"/>
          <w:sz w:val="32"/>
          <w:lang w:val="zh-CN" w:bidi="ar"/>
        </w:rPr>
      </w:pPr>
      <w:r>
        <w:rPr>
          <w:rFonts w:ascii="Times New Roman" w:eastAsia="仿宋_GB2312"/>
          <w:sz w:val="32"/>
          <w:lang w:val="zh-CN" w:bidi="ar"/>
        </w:rPr>
        <w:t>附表：</w:t>
      </w:r>
      <w:r>
        <w:rPr>
          <w:rFonts w:ascii="Times New Roman" w:eastAsia="仿宋_GB2312"/>
          <w:sz w:val="32"/>
          <w:lang w:bidi="ar"/>
        </w:rPr>
        <w:t>部门预算项目支出绩效自评表（</w:t>
      </w:r>
      <w:r>
        <w:rPr>
          <w:rFonts w:hint="default" w:ascii="Times New Roman" w:eastAsia="仿宋_GB2312"/>
          <w:sz w:val="32"/>
          <w:lang w:bidi="ar"/>
        </w:rPr>
        <w:t>2025</w:t>
      </w:r>
      <w:r>
        <w:rPr>
          <w:rFonts w:ascii="Times New Roman" w:eastAsia="仿宋_GB2312"/>
          <w:sz w:val="32"/>
          <w:lang w:bidi="ar"/>
        </w:rPr>
        <w:t>年度）</w:t>
      </w:r>
    </w:p>
    <w:tbl>
      <w:tblPr>
        <w:tblStyle w:val="14"/>
        <w:tblW w:w="8550" w:type="dxa"/>
        <w:tblInd w:w="108" w:type="dxa"/>
        <w:tblLayout w:type="autofit"/>
        <w:tblCellMar>
          <w:top w:w="0" w:type="dxa"/>
          <w:left w:w="108" w:type="dxa"/>
          <w:bottom w:w="0" w:type="dxa"/>
          <w:right w:w="108" w:type="dxa"/>
        </w:tblCellMar>
      </w:tblPr>
      <w:tblGrid>
        <w:gridCol w:w="996"/>
        <w:gridCol w:w="1080"/>
        <w:gridCol w:w="1166"/>
        <w:gridCol w:w="1633"/>
        <w:gridCol w:w="1032"/>
        <w:gridCol w:w="1008"/>
        <w:gridCol w:w="948"/>
        <w:gridCol w:w="687"/>
      </w:tblGrid>
      <w:tr w14:paraId="3DA078B5">
        <w:tblPrEx>
          <w:tblCellMar>
            <w:top w:w="0" w:type="dxa"/>
            <w:left w:w="108" w:type="dxa"/>
            <w:bottom w:w="0" w:type="dxa"/>
            <w:right w:w="108" w:type="dxa"/>
          </w:tblCellMar>
        </w:tblPrEx>
        <w:trPr>
          <w:trHeight w:val="930" w:hRule="atLeast"/>
        </w:trPr>
        <w:tc>
          <w:tcPr>
            <w:tcW w:w="8550" w:type="dxa"/>
            <w:gridSpan w:val="8"/>
            <w:tcBorders>
              <w:top w:val="nil"/>
              <w:left w:val="nil"/>
              <w:bottom w:val="nil"/>
              <w:right w:val="nil"/>
            </w:tcBorders>
            <w:shd w:val="clear" w:color="auto" w:fill="auto"/>
            <w:vAlign w:val="center"/>
          </w:tcPr>
          <w:p w14:paraId="400291CF">
            <w:pPr>
              <w:widowControl/>
              <w:jc w:val="center"/>
              <w:rPr>
                <w:rFonts w:ascii="黑体" w:hAnsi="黑体" w:eastAsia="黑体" w:cs="宋体"/>
                <w:color w:val="000000"/>
                <w:kern w:val="0"/>
                <w:sz w:val="30"/>
                <w:szCs w:val="30"/>
              </w:rPr>
            </w:pPr>
            <w:r>
              <w:rPr>
                <w:rFonts w:hint="eastAsia" w:ascii="黑体" w:hAnsi="黑体" w:eastAsia="黑体" w:cs="宋体"/>
                <w:color w:val="000000"/>
                <w:kern w:val="0"/>
                <w:sz w:val="30"/>
                <w:szCs w:val="30"/>
              </w:rPr>
              <w:t>部门整体支出绩效目标表</w:t>
            </w:r>
          </w:p>
        </w:tc>
      </w:tr>
      <w:tr w14:paraId="4AC52AEF">
        <w:tblPrEx>
          <w:tblCellMar>
            <w:top w:w="0" w:type="dxa"/>
            <w:left w:w="108" w:type="dxa"/>
            <w:bottom w:w="0" w:type="dxa"/>
            <w:right w:w="108" w:type="dxa"/>
          </w:tblCellMar>
        </w:tblPrEx>
        <w:trPr>
          <w:trHeight w:val="293" w:hRule="atLeast"/>
        </w:trPr>
        <w:tc>
          <w:tcPr>
            <w:tcW w:w="8550" w:type="dxa"/>
            <w:gridSpan w:val="8"/>
            <w:tcBorders>
              <w:top w:val="nil"/>
              <w:left w:val="nil"/>
              <w:bottom w:val="nil"/>
              <w:right w:val="nil"/>
            </w:tcBorders>
            <w:shd w:val="clear" w:color="auto" w:fill="auto"/>
            <w:vAlign w:val="center"/>
          </w:tcPr>
          <w:p w14:paraId="50438EA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（2025年度）</w:t>
            </w:r>
          </w:p>
        </w:tc>
      </w:tr>
      <w:tr w14:paraId="50E59BA9">
        <w:tblPrEx>
          <w:tblCellMar>
            <w:top w:w="0" w:type="dxa"/>
            <w:left w:w="108" w:type="dxa"/>
            <w:bottom w:w="0" w:type="dxa"/>
            <w:right w:w="108" w:type="dxa"/>
          </w:tblCellMar>
        </w:tblPrEx>
        <w:trPr>
          <w:trHeight w:val="293" w:hRule="atLeast"/>
        </w:trPr>
        <w:tc>
          <w:tcPr>
            <w:tcW w:w="8550" w:type="dxa"/>
            <w:gridSpan w:val="8"/>
            <w:tcBorders>
              <w:top w:val="nil"/>
              <w:left w:val="nil"/>
              <w:bottom w:val="single" w:color="000000" w:sz="4" w:space="0"/>
              <w:right w:val="nil"/>
            </w:tcBorders>
            <w:shd w:val="clear" w:color="auto" w:fill="auto"/>
            <w:vAlign w:val="center"/>
          </w:tcPr>
          <w:p w14:paraId="090CF37C">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金额单位：万元</w:t>
            </w:r>
          </w:p>
        </w:tc>
      </w:tr>
      <w:tr w14:paraId="6C867A10">
        <w:tblPrEx>
          <w:tblCellMar>
            <w:top w:w="0" w:type="dxa"/>
            <w:left w:w="108" w:type="dxa"/>
            <w:bottom w:w="0" w:type="dxa"/>
            <w:right w:w="108" w:type="dxa"/>
          </w:tblCellMar>
        </w:tblPrEx>
        <w:trPr>
          <w:trHeight w:val="586" w:hRule="atLeast"/>
        </w:trPr>
        <w:tc>
          <w:tcPr>
            <w:tcW w:w="32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91846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部门名称</w:t>
            </w:r>
          </w:p>
        </w:tc>
        <w:tc>
          <w:tcPr>
            <w:tcW w:w="530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912D5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勿角镇政府部门</w:t>
            </w:r>
          </w:p>
        </w:tc>
      </w:tr>
      <w:tr w14:paraId="7B753D09">
        <w:tblPrEx>
          <w:tblCellMar>
            <w:top w:w="0" w:type="dxa"/>
            <w:left w:w="108" w:type="dxa"/>
            <w:bottom w:w="0" w:type="dxa"/>
            <w:right w:w="108" w:type="dxa"/>
          </w:tblCellMar>
        </w:tblPrEx>
        <w:trPr>
          <w:trHeight w:val="409" w:hRule="atLeast"/>
        </w:trPr>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05AED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年度部门整体支出预算</w:t>
            </w: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1292F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资金总额</w:t>
            </w:r>
          </w:p>
        </w:tc>
        <w:tc>
          <w:tcPr>
            <w:tcW w:w="26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9D654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财政拨款</w:t>
            </w:r>
          </w:p>
        </w:tc>
        <w:tc>
          <w:tcPr>
            <w:tcW w:w="26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4404B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其他资金</w:t>
            </w:r>
          </w:p>
        </w:tc>
      </w:tr>
      <w:tr w14:paraId="41F1D6EC">
        <w:tblPrEx>
          <w:tblCellMar>
            <w:top w:w="0" w:type="dxa"/>
            <w:left w:w="108" w:type="dxa"/>
            <w:bottom w:w="0" w:type="dxa"/>
            <w:right w:w="108" w:type="dxa"/>
          </w:tblCellMar>
        </w:tblPrEx>
        <w:trPr>
          <w:trHeight w:val="586"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5BB385C4">
            <w:pPr>
              <w:widowControl/>
              <w:jc w:val="left"/>
              <w:rPr>
                <w:rFonts w:ascii="宋体" w:hAnsi="宋体" w:eastAsia="宋体" w:cs="宋体"/>
                <w:color w:val="000000"/>
                <w:kern w:val="0"/>
                <w:sz w:val="18"/>
                <w:szCs w:val="18"/>
              </w:rPr>
            </w:pP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1FA804">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1,257.91</w:t>
            </w:r>
          </w:p>
        </w:tc>
        <w:tc>
          <w:tcPr>
            <w:tcW w:w="26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7D65F1">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1,257.91</w:t>
            </w:r>
          </w:p>
        </w:tc>
        <w:tc>
          <w:tcPr>
            <w:tcW w:w="26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BC82C7">
            <w:pPr>
              <w:widowControl/>
              <w:jc w:val="right"/>
              <w:rPr>
                <w:rFonts w:ascii="宋体" w:hAnsi="宋体" w:eastAsia="宋体" w:cs="宋体"/>
                <w:color w:val="000000"/>
                <w:kern w:val="0"/>
                <w:sz w:val="18"/>
                <w:szCs w:val="18"/>
              </w:rPr>
            </w:pPr>
          </w:p>
        </w:tc>
      </w:tr>
      <w:tr w14:paraId="4433B141">
        <w:tblPrEx>
          <w:tblCellMar>
            <w:top w:w="0" w:type="dxa"/>
            <w:left w:w="108" w:type="dxa"/>
            <w:bottom w:w="0" w:type="dxa"/>
            <w:right w:w="108" w:type="dxa"/>
          </w:tblCellMar>
        </w:tblPrEx>
        <w:trPr>
          <w:trHeight w:val="1177"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EF246">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年度总体目标</w:t>
            </w:r>
          </w:p>
        </w:tc>
        <w:tc>
          <w:tcPr>
            <w:tcW w:w="755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F315FC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职工工资福利、社会保险及住房公积金。2、日常公用经费满足日常工作正常运行。3、基层组织和公共服务运行经费，勿角8个行政村运行开展工作经费。4、食堂采购物资、厨师工资等，乡镇机关食堂伙食补助是为了满足乡镇基层工作人员伙食问题，能够提高基层工作人员的归属感和满意度，能够更好地为群众服务。5、持续深化全镇人大武装纪委群团安全工作常态化开展，为推动全镇经济、政治、文化、社会全面协调发展做出新贡献。</w:t>
            </w:r>
          </w:p>
        </w:tc>
      </w:tr>
      <w:tr w14:paraId="73A01B8A">
        <w:tblPrEx>
          <w:tblCellMar>
            <w:top w:w="0" w:type="dxa"/>
            <w:left w:w="108" w:type="dxa"/>
            <w:bottom w:w="0" w:type="dxa"/>
            <w:right w:w="108" w:type="dxa"/>
          </w:tblCellMar>
        </w:tblPrEx>
        <w:trPr>
          <w:trHeight w:val="586" w:hRule="atLeast"/>
        </w:trPr>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23D64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年度主要任务</w:t>
            </w: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E0C042">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任务名称</w:t>
            </w:r>
          </w:p>
        </w:tc>
        <w:tc>
          <w:tcPr>
            <w:tcW w:w="530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3C629E">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主要内容</w:t>
            </w:r>
          </w:p>
        </w:tc>
      </w:tr>
      <w:tr w14:paraId="565BE03C">
        <w:tblPrEx>
          <w:tblCellMar>
            <w:top w:w="0" w:type="dxa"/>
            <w:left w:w="108" w:type="dxa"/>
            <w:bottom w:w="0" w:type="dxa"/>
            <w:right w:w="108" w:type="dxa"/>
          </w:tblCellMar>
        </w:tblPrEx>
        <w:trPr>
          <w:trHeight w:val="586"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604D7CA9">
            <w:pPr>
              <w:widowControl/>
              <w:jc w:val="left"/>
              <w:rPr>
                <w:rFonts w:ascii="宋体" w:hAnsi="宋体" w:eastAsia="宋体" w:cs="宋体"/>
                <w:color w:val="000000"/>
                <w:kern w:val="0"/>
                <w:sz w:val="18"/>
                <w:szCs w:val="18"/>
              </w:rPr>
            </w:pP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B43F3B">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食堂伙食补助经费</w:t>
            </w:r>
          </w:p>
        </w:tc>
        <w:tc>
          <w:tcPr>
            <w:tcW w:w="530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EA7A1F">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食堂采购物资、厨师工资等</w:t>
            </w:r>
          </w:p>
        </w:tc>
      </w:tr>
      <w:tr w14:paraId="70E1BBBD">
        <w:tblPrEx>
          <w:tblCellMar>
            <w:top w:w="0" w:type="dxa"/>
            <w:left w:w="108" w:type="dxa"/>
            <w:bottom w:w="0" w:type="dxa"/>
            <w:right w:w="108" w:type="dxa"/>
          </w:tblCellMar>
        </w:tblPrEx>
        <w:trPr>
          <w:trHeight w:val="586"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1DB64A12">
            <w:pPr>
              <w:widowControl/>
              <w:jc w:val="left"/>
              <w:rPr>
                <w:rFonts w:ascii="宋体" w:hAnsi="宋体" w:eastAsia="宋体" w:cs="宋体"/>
                <w:color w:val="000000"/>
                <w:kern w:val="0"/>
                <w:sz w:val="18"/>
                <w:szCs w:val="18"/>
              </w:rPr>
            </w:pP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445A1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职工工资福利、社会保险及住房公积金</w:t>
            </w:r>
          </w:p>
        </w:tc>
        <w:tc>
          <w:tcPr>
            <w:tcW w:w="530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4053F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在职职工工资福利、社会保险及住房公积金</w:t>
            </w:r>
          </w:p>
        </w:tc>
      </w:tr>
      <w:tr w14:paraId="75CBE102">
        <w:tblPrEx>
          <w:tblCellMar>
            <w:top w:w="0" w:type="dxa"/>
            <w:left w:w="108" w:type="dxa"/>
            <w:bottom w:w="0" w:type="dxa"/>
            <w:right w:w="108" w:type="dxa"/>
          </w:tblCellMar>
        </w:tblPrEx>
        <w:trPr>
          <w:trHeight w:val="419"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1EEC246B">
            <w:pPr>
              <w:widowControl/>
              <w:jc w:val="left"/>
              <w:rPr>
                <w:rFonts w:ascii="宋体" w:hAnsi="宋体" w:eastAsia="宋体" w:cs="宋体"/>
                <w:color w:val="000000"/>
                <w:kern w:val="0"/>
                <w:sz w:val="18"/>
                <w:szCs w:val="18"/>
              </w:rPr>
            </w:pP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3DDFEE">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日常公用经费</w:t>
            </w:r>
          </w:p>
        </w:tc>
        <w:tc>
          <w:tcPr>
            <w:tcW w:w="530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C49D1B">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办公费、差旅费、车辆运行维护费等日常公用经费</w:t>
            </w:r>
          </w:p>
        </w:tc>
      </w:tr>
      <w:tr w14:paraId="5A3DD110">
        <w:tblPrEx>
          <w:tblCellMar>
            <w:top w:w="0" w:type="dxa"/>
            <w:left w:w="108" w:type="dxa"/>
            <w:bottom w:w="0" w:type="dxa"/>
            <w:right w:w="108" w:type="dxa"/>
          </w:tblCellMar>
        </w:tblPrEx>
        <w:trPr>
          <w:trHeight w:val="586"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2983FF84">
            <w:pPr>
              <w:widowControl/>
              <w:jc w:val="left"/>
              <w:rPr>
                <w:rFonts w:ascii="宋体" w:hAnsi="宋体" w:eastAsia="宋体" w:cs="宋体"/>
                <w:color w:val="000000"/>
                <w:kern w:val="0"/>
                <w:sz w:val="18"/>
                <w:szCs w:val="18"/>
              </w:rPr>
            </w:pP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EE331C">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基本民生-村级公共服务经费补助</w:t>
            </w:r>
          </w:p>
        </w:tc>
        <w:tc>
          <w:tcPr>
            <w:tcW w:w="530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2B8FF1">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勿角镇8个行政村运行开展工作经费</w:t>
            </w:r>
          </w:p>
        </w:tc>
      </w:tr>
      <w:tr w14:paraId="54528B9E">
        <w:tblPrEx>
          <w:tblCellMar>
            <w:top w:w="0" w:type="dxa"/>
            <w:left w:w="108" w:type="dxa"/>
            <w:bottom w:w="0" w:type="dxa"/>
            <w:right w:w="108" w:type="dxa"/>
          </w:tblCellMar>
        </w:tblPrEx>
        <w:trPr>
          <w:trHeight w:val="586"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108A3BB7">
            <w:pPr>
              <w:widowControl/>
              <w:jc w:val="left"/>
              <w:rPr>
                <w:rFonts w:ascii="宋体" w:hAnsi="宋体" w:eastAsia="宋体" w:cs="宋体"/>
                <w:color w:val="000000"/>
                <w:kern w:val="0"/>
                <w:sz w:val="18"/>
                <w:szCs w:val="18"/>
              </w:rPr>
            </w:pP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219A5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人大武装纪委群团安全工作经费</w:t>
            </w:r>
          </w:p>
        </w:tc>
        <w:tc>
          <w:tcPr>
            <w:tcW w:w="530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2B0B0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持续深化全镇人大武装纪委群团安全工作常态化开展，为推动全镇经济、政治、文化、社会全面协调发展做出新贡献。</w:t>
            </w:r>
          </w:p>
        </w:tc>
      </w:tr>
      <w:tr w14:paraId="134689F0">
        <w:tblPrEx>
          <w:tblCellMar>
            <w:top w:w="0" w:type="dxa"/>
            <w:left w:w="108" w:type="dxa"/>
            <w:bottom w:w="0" w:type="dxa"/>
            <w:right w:w="108" w:type="dxa"/>
          </w:tblCellMar>
        </w:tblPrEx>
        <w:trPr>
          <w:trHeight w:val="586" w:hRule="atLeast"/>
        </w:trPr>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C30D4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年度绩效指标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157A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一级指标</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D5D7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二级指标</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875D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三级指标</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E062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绩效指标性质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018A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绩效指标值</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C2B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绩效度量单位</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E022E">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权重</w:t>
            </w:r>
          </w:p>
        </w:tc>
      </w:tr>
      <w:tr w14:paraId="6B1B37D1">
        <w:tblPrEx>
          <w:tblCellMar>
            <w:top w:w="0" w:type="dxa"/>
            <w:left w:w="108" w:type="dxa"/>
            <w:bottom w:w="0" w:type="dxa"/>
            <w:right w:w="108" w:type="dxa"/>
          </w:tblCellMar>
        </w:tblPrEx>
        <w:trPr>
          <w:trHeight w:val="455"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14266CE5">
            <w:pPr>
              <w:widowControl/>
              <w:jc w:val="left"/>
              <w:rPr>
                <w:rFonts w:ascii="宋体" w:hAnsi="宋体" w:eastAsia="宋体" w:cs="宋体"/>
                <w:color w:val="000000"/>
                <w:kern w:val="0"/>
                <w:sz w:val="18"/>
                <w:szCs w:val="18"/>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2C4338">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产出指标</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B6D6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数量指标</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0A26B">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工资发放人数</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3BDD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681D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45</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04A2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人</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8CE3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r>
      <w:tr w14:paraId="7608B25D">
        <w:tblPrEx>
          <w:tblCellMar>
            <w:top w:w="0" w:type="dxa"/>
            <w:left w:w="108" w:type="dxa"/>
            <w:bottom w:w="0" w:type="dxa"/>
            <w:right w:w="108" w:type="dxa"/>
          </w:tblCellMar>
        </w:tblPrEx>
        <w:trPr>
          <w:trHeight w:val="419"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0E393D19">
            <w:pPr>
              <w:widowControl/>
              <w:jc w:val="left"/>
              <w:rPr>
                <w:rFonts w:ascii="宋体" w:hAnsi="宋体" w:eastAsia="宋体" w:cs="宋体"/>
                <w:color w:val="000000"/>
                <w:kern w:val="0"/>
                <w:sz w:val="18"/>
                <w:szCs w:val="18"/>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44E99869">
            <w:pPr>
              <w:widowControl/>
              <w:jc w:val="left"/>
              <w:rPr>
                <w:rFonts w:ascii="宋体" w:hAnsi="宋体" w:eastAsia="宋体" w:cs="宋体"/>
                <w:color w:val="000000"/>
                <w:kern w:val="0"/>
                <w:sz w:val="18"/>
                <w:szCs w:val="18"/>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8D40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质量指标</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BE3BF">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工作完成质量</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CD4E1">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定性</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F81F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合格</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90252">
            <w:pPr>
              <w:widowControl/>
              <w:jc w:val="left"/>
              <w:rPr>
                <w:rFonts w:ascii="宋体" w:hAnsi="宋体" w:eastAsia="宋体" w:cs="宋体"/>
                <w:color w:val="000000"/>
                <w:kern w:val="0"/>
                <w:sz w:val="18"/>
                <w:szCs w:val="18"/>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AE2B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20</w:t>
            </w:r>
          </w:p>
        </w:tc>
      </w:tr>
      <w:tr w14:paraId="18A35637">
        <w:tblPrEx>
          <w:tblCellMar>
            <w:top w:w="0" w:type="dxa"/>
            <w:left w:w="108" w:type="dxa"/>
            <w:bottom w:w="0" w:type="dxa"/>
            <w:right w:w="108" w:type="dxa"/>
          </w:tblCellMar>
        </w:tblPrEx>
        <w:trPr>
          <w:trHeight w:val="411"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46AF8DD9">
            <w:pPr>
              <w:widowControl/>
              <w:jc w:val="left"/>
              <w:rPr>
                <w:rFonts w:ascii="宋体" w:hAnsi="宋体" w:eastAsia="宋体" w:cs="宋体"/>
                <w:color w:val="000000"/>
                <w:kern w:val="0"/>
                <w:sz w:val="18"/>
                <w:szCs w:val="18"/>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57E1A59B">
            <w:pPr>
              <w:widowControl/>
              <w:jc w:val="left"/>
              <w:rPr>
                <w:rFonts w:ascii="宋体" w:hAnsi="宋体" w:eastAsia="宋体" w:cs="宋体"/>
                <w:color w:val="000000"/>
                <w:kern w:val="0"/>
                <w:sz w:val="18"/>
                <w:szCs w:val="18"/>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B1B1B">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时效指标</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8E9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项目完成时间</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9D7A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3D0C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C4BD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年</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634C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r>
      <w:tr w14:paraId="69D579C8">
        <w:tblPrEx>
          <w:tblCellMar>
            <w:top w:w="0" w:type="dxa"/>
            <w:left w:w="108" w:type="dxa"/>
            <w:bottom w:w="0" w:type="dxa"/>
            <w:right w:w="108" w:type="dxa"/>
          </w:tblCellMar>
        </w:tblPrEx>
        <w:trPr>
          <w:trHeight w:val="586"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4D2F3DFE">
            <w:pPr>
              <w:widowControl/>
              <w:jc w:val="left"/>
              <w:rPr>
                <w:rFonts w:ascii="宋体" w:hAnsi="宋体" w:eastAsia="宋体" w:cs="宋体"/>
                <w:color w:val="000000"/>
                <w:kern w:val="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A1417">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效益指标</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16F88">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社会效益指标</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0583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全镇工作正常有序开展</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555C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定性</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9842C">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优</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058A3">
            <w:pPr>
              <w:widowControl/>
              <w:jc w:val="left"/>
              <w:rPr>
                <w:rFonts w:ascii="宋体" w:hAnsi="宋体" w:eastAsia="宋体" w:cs="宋体"/>
                <w:color w:val="000000"/>
                <w:kern w:val="0"/>
                <w:sz w:val="18"/>
                <w:szCs w:val="18"/>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53817">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20</w:t>
            </w:r>
          </w:p>
        </w:tc>
      </w:tr>
      <w:tr w14:paraId="30E385E6">
        <w:tblPrEx>
          <w:tblCellMar>
            <w:top w:w="0" w:type="dxa"/>
            <w:left w:w="108" w:type="dxa"/>
            <w:bottom w:w="0" w:type="dxa"/>
            <w:right w:w="108" w:type="dxa"/>
          </w:tblCellMar>
        </w:tblPrEx>
        <w:trPr>
          <w:trHeight w:val="586"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3DADED09">
            <w:pPr>
              <w:widowControl/>
              <w:jc w:val="left"/>
              <w:rPr>
                <w:rFonts w:ascii="宋体" w:hAnsi="宋体" w:eastAsia="宋体" w:cs="宋体"/>
                <w:color w:val="000000"/>
                <w:kern w:val="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B440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满意度指标</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D2DD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服务对象满意度指标</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34EAB">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受益人员满意度</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DC23F">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1D9B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95</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9C11C">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2062C">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r>
      <w:tr w14:paraId="74674A35">
        <w:tblPrEx>
          <w:tblCellMar>
            <w:top w:w="0" w:type="dxa"/>
            <w:left w:w="108" w:type="dxa"/>
            <w:bottom w:w="0" w:type="dxa"/>
            <w:right w:w="108" w:type="dxa"/>
          </w:tblCellMar>
        </w:tblPrEx>
        <w:trPr>
          <w:trHeight w:val="435"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2394A013">
            <w:pPr>
              <w:widowControl/>
              <w:jc w:val="left"/>
              <w:rPr>
                <w:rFonts w:ascii="宋体" w:hAnsi="宋体" w:eastAsia="宋体" w:cs="宋体"/>
                <w:color w:val="000000"/>
                <w:kern w:val="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DB26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成本指标</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0CC9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经济成本指标</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4994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2025年运转成本</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971B8">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C5E6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1300</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EAF5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万元</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8BA1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20</w:t>
            </w:r>
          </w:p>
        </w:tc>
      </w:tr>
    </w:tbl>
    <w:p w14:paraId="40728FC4">
      <w:pPr>
        <w:widowControl/>
        <w:spacing w:line="560" w:lineRule="exact"/>
        <w:jc w:val="center"/>
        <w:rPr>
          <w:rFonts w:eastAsia="仿宋"/>
        </w:rPr>
      </w:pPr>
      <w:bookmarkStart w:id="54" w:name="_Toc15396618"/>
      <w:r>
        <w:rPr>
          <w:rFonts w:hint="eastAsia" w:ascii="Times New Roman" w:hAnsi="Times New Roman" w:eastAsia="黑体" w:cs="黑体"/>
          <w:sz w:val="44"/>
          <w:szCs w:val="44"/>
          <w:lang w:bidi="ar"/>
        </w:rPr>
        <w:t>第</w:t>
      </w:r>
      <w:r>
        <w:rPr>
          <w:rStyle w:val="22"/>
          <w:rFonts w:hint="eastAsia" w:ascii="Times New Roman" w:hAnsi="Times New Roman" w:eastAsia="黑体" w:cs="黑体"/>
          <w:lang w:bidi="ar"/>
        </w:rPr>
        <w:t>五部分</w:t>
      </w:r>
      <w:r>
        <w:rPr>
          <w:rStyle w:val="22"/>
          <w:rFonts w:ascii="Times New Roman" w:hAnsi="Times New Roman" w:eastAsia="黑体" w:cs="Times New Roman"/>
          <w:lang w:bidi="ar"/>
        </w:rPr>
        <w:t xml:space="preserve"> </w:t>
      </w:r>
      <w:r>
        <w:rPr>
          <w:rStyle w:val="22"/>
          <w:rFonts w:hint="eastAsia" w:ascii="Times New Roman" w:hAnsi="Times New Roman" w:eastAsia="黑体" w:cs="黑体"/>
          <w:lang w:bidi="ar"/>
        </w:rPr>
        <w:t>附表</w:t>
      </w:r>
      <w:bookmarkEnd w:id="51"/>
      <w:bookmarkEnd w:id="54"/>
      <w:bookmarkStart w:id="55" w:name="_Toc15396619"/>
    </w:p>
    <w:p w14:paraId="31FC228C">
      <w:pPr>
        <w:pStyle w:val="12"/>
        <w:tabs>
          <w:tab w:val="right" w:leader="dot" w:pos="8296"/>
        </w:tabs>
        <w:adjustRightInd w:val="0"/>
        <w:snapToGrid w:val="0"/>
        <w:spacing w:line="560" w:lineRule="exact"/>
        <w:ind w:left="420" w:leftChars="200"/>
        <w:jc w:val="left"/>
        <w:rPr>
          <w:rFonts w:eastAsia="仿宋_GB2312" w:cs="仿宋_GB2312"/>
          <w:sz w:val="32"/>
          <w:szCs w:val="32"/>
        </w:rPr>
      </w:pPr>
    </w:p>
    <w:p w14:paraId="451C57FC">
      <w:pPr>
        <w:pStyle w:val="12"/>
        <w:tabs>
          <w:tab w:val="right" w:leader="dot" w:pos="8296"/>
        </w:tabs>
        <w:adjustRightInd w:val="0"/>
        <w:snapToGrid w:val="0"/>
        <w:spacing w:line="560" w:lineRule="exact"/>
        <w:ind w:left="420" w:leftChars="200"/>
        <w:jc w:val="left"/>
        <w:rPr>
          <w:rFonts w:eastAsia="仿宋_GB2312" w:cs="仿宋_GB2312"/>
          <w:sz w:val="32"/>
          <w:szCs w:val="32"/>
        </w:rPr>
      </w:pPr>
      <w:r>
        <w:rPr>
          <w:rFonts w:hint="eastAsia" w:ascii="Times New Roman" w:hAnsi="Times New Roman" w:eastAsia="仿宋_GB2312" w:cs="仿宋_GB2312"/>
          <w:sz w:val="32"/>
          <w:szCs w:val="32"/>
          <w:lang w:bidi="ar"/>
        </w:rPr>
        <w:t>一、收入支出决算总表</w:t>
      </w:r>
      <w:bookmarkEnd w:id="55"/>
    </w:p>
    <w:p w14:paraId="29D390E6">
      <w:pPr>
        <w:pStyle w:val="12"/>
        <w:tabs>
          <w:tab w:val="right" w:leader="dot" w:pos="8296"/>
        </w:tabs>
        <w:adjustRightInd w:val="0"/>
        <w:snapToGrid w:val="0"/>
        <w:spacing w:line="560" w:lineRule="exact"/>
        <w:ind w:left="420" w:leftChars="200"/>
        <w:jc w:val="left"/>
        <w:rPr>
          <w:rFonts w:eastAsia="仿宋_GB2312" w:cs="仿宋_GB2312"/>
          <w:sz w:val="32"/>
          <w:szCs w:val="32"/>
        </w:rPr>
      </w:pPr>
      <w:bookmarkStart w:id="56" w:name="_Toc15396620"/>
      <w:r>
        <w:rPr>
          <w:rFonts w:hint="eastAsia" w:ascii="Times New Roman" w:hAnsi="Times New Roman" w:eastAsia="仿宋_GB2312" w:cs="仿宋_GB2312"/>
          <w:sz w:val="32"/>
          <w:szCs w:val="32"/>
          <w:lang w:bidi="ar"/>
        </w:rPr>
        <w:t>二、收入决算表</w:t>
      </w:r>
      <w:bookmarkEnd w:id="56"/>
    </w:p>
    <w:p w14:paraId="72BC3AC0">
      <w:pPr>
        <w:pStyle w:val="12"/>
        <w:tabs>
          <w:tab w:val="right" w:leader="dot" w:pos="8296"/>
        </w:tabs>
        <w:adjustRightInd w:val="0"/>
        <w:snapToGrid w:val="0"/>
        <w:spacing w:line="560" w:lineRule="exact"/>
        <w:ind w:left="420" w:leftChars="200"/>
        <w:jc w:val="left"/>
        <w:rPr>
          <w:rFonts w:eastAsia="仿宋_GB2312" w:cs="仿宋_GB2312"/>
          <w:sz w:val="32"/>
          <w:szCs w:val="32"/>
        </w:rPr>
      </w:pPr>
      <w:bookmarkStart w:id="57" w:name="_Toc15396621"/>
      <w:r>
        <w:rPr>
          <w:rFonts w:hint="eastAsia" w:ascii="Times New Roman" w:hAnsi="Times New Roman" w:eastAsia="仿宋_GB2312" w:cs="仿宋_GB2312"/>
          <w:sz w:val="32"/>
          <w:szCs w:val="32"/>
          <w:lang w:bidi="ar"/>
        </w:rPr>
        <w:t>三、支出决算表</w:t>
      </w:r>
      <w:bookmarkEnd w:id="57"/>
    </w:p>
    <w:p w14:paraId="59113162">
      <w:pPr>
        <w:pStyle w:val="12"/>
        <w:tabs>
          <w:tab w:val="right" w:leader="dot" w:pos="8296"/>
        </w:tabs>
        <w:adjustRightInd w:val="0"/>
        <w:snapToGrid w:val="0"/>
        <w:spacing w:line="560" w:lineRule="exact"/>
        <w:ind w:left="420" w:leftChars="200"/>
        <w:jc w:val="left"/>
        <w:rPr>
          <w:rFonts w:eastAsia="仿宋_GB2312" w:cs="仿宋_GB2312"/>
          <w:sz w:val="32"/>
          <w:szCs w:val="32"/>
        </w:rPr>
      </w:pPr>
      <w:bookmarkStart w:id="58" w:name="_Toc15396622"/>
      <w:r>
        <w:rPr>
          <w:rFonts w:hint="eastAsia" w:ascii="Times New Roman" w:hAnsi="Times New Roman" w:eastAsia="仿宋_GB2312" w:cs="仿宋_GB2312"/>
          <w:sz w:val="32"/>
          <w:szCs w:val="32"/>
          <w:lang w:bidi="ar"/>
        </w:rPr>
        <w:t>四、财政拨款收入支出决算总表</w:t>
      </w:r>
      <w:bookmarkEnd w:id="58"/>
    </w:p>
    <w:p w14:paraId="1F135DB1">
      <w:pPr>
        <w:pStyle w:val="12"/>
        <w:tabs>
          <w:tab w:val="right" w:leader="dot" w:pos="8296"/>
        </w:tabs>
        <w:adjustRightInd w:val="0"/>
        <w:snapToGrid w:val="0"/>
        <w:spacing w:line="560" w:lineRule="exact"/>
        <w:ind w:left="420" w:leftChars="200"/>
        <w:jc w:val="left"/>
        <w:rPr>
          <w:rFonts w:eastAsia="仿宋_GB2312" w:cs="仿宋_GB2312"/>
          <w:sz w:val="32"/>
          <w:szCs w:val="32"/>
        </w:rPr>
      </w:pPr>
      <w:bookmarkStart w:id="59" w:name="_Toc15396623"/>
      <w:r>
        <w:rPr>
          <w:rFonts w:hint="eastAsia" w:ascii="Times New Roman" w:hAnsi="Times New Roman" w:eastAsia="仿宋_GB2312" w:cs="仿宋_GB2312"/>
          <w:sz w:val="32"/>
          <w:szCs w:val="32"/>
          <w:lang w:bidi="ar"/>
        </w:rPr>
        <w:t>五、财政拨款支出决算明细表</w:t>
      </w:r>
      <w:bookmarkEnd w:id="59"/>
      <w:bookmarkStart w:id="60" w:name="_Toc15396624"/>
    </w:p>
    <w:p w14:paraId="1BF3FC3A">
      <w:pPr>
        <w:pStyle w:val="12"/>
        <w:tabs>
          <w:tab w:val="right" w:leader="dot" w:pos="8296"/>
        </w:tabs>
        <w:adjustRightInd w:val="0"/>
        <w:snapToGrid w:val="0"/>
        <w:spacing w:line="560" w:lineRule="exact"/>
        <w:ind w:left="420" w:leftChars="200"/>
        <w:jc w:val="left"/>
        <w:rPr>
          <w:rFonts w:eastAsia="仿宋_GB2312" w:cs="仿宋_GB2312"/>
          <w:sz w:val="32"/>
          <w:szCs w:val="32"/>
        </w:rPr>
      </w:pPr>
      <w:r>
        <w:rPr>
          <w:rFonts w:hint="eastAsia" w:ascii="Times New Roman" w:hAnsi="Times New Roman" w:eastAsia="仿宋_GB2312" w:cs="仿宋_GB2312"/>
          <w:sz w:val="32"/>
          <w:szCs w:val="32"/>
          <w:lang w:bidi="ar"/>
        </w:rPr>
        <w:t>六、一般公共预算财政拨款支出决算表</w:t>
      </w:r>
      <w:bookmarkEnd w:id="60"/>
    </w:p>
    <w:p w14:paraId="149EDF99">
      <w:pPr>
        <w:pStyle w:val="12"/>
        <w:tabs>
          <w:tab w:val="right" w:leader="dot" w:pos="8296"/>
        </w:tabs>
        <w:adjustRightInd w:val="0"/>
        <w:snapToGrid w:val="0"/>
        <w:spacing w:line="560" w:lineRule="exact"/>
        <w:ind w:left="420" w:leftChars="200"/>
        <w:jc w:val="left"/>
        <w:rPr>
          <w:rFonts w:eastAsia="仿宋_GB2312" w:cs="仿宋_GB2312"/>
          <w:sz w:val="32"/>
          <w:szCs w:val="32"/>
        </w:rPr>
      </w:pPr>
      <w:bookmarkStart w:id="61" w:name="_Toc15396625"/>
      <w:r>
        <w:rPr>
          <w:rFonts w:hint="eastAsia" w:ascii="Times New Roman" w:hAnsi="Times New Roman" w:eastAsia="仿宋_GB2312" w:cs="仿宋_GB2312"/>
          <w:sz w:val="32"/>
          <w:szCs w:val="32"/>
          <w:lang w:bidi="ar"/>
        </w:rPr>
        <w:t>七、一般公共预算财政拨款支出决算明细表</w:t>
      </w:r>
      <w:bookmarkEnd w:id="61"/>
    </w:p>
    <w:p w14:paraId="13114436">
      <w:pPr>
        <w:pStyle w:val="12"/>
        <w:tabs>
          <w:tab w:val="right" w:leader="dot" w:pos="8296"/>
        </w:tabs>
        <w:adjustRightInd w:val="0"/>
        <w:snapToGrid w:val="0"/>
        <w:spacing w:line="560" w:lineRule="exact"/>
        <w:ind w:left="420" w:leftChars="200"/>
        <w:jc w:val="left"/>
        <w:rPr>
          <w:rFonts w:eastAsia="仿宋_GB2312" w:cs="仿宋_GB2312"/>
          <w:sz w:val="32"/>
          <w:szCs w:val="32"/>
        </w:rPr>
      </w:pPr>
      <w:bookmarkStart w:id="62" w:name="_Toc15396626"/>
      <w:r>
        <w:rPr>
          <w:rFonts w:hint="eastAsia" w:ascii="Times New Roman" w:hAnsi="Times New Roman" w:eastAsia="仿宋_GB2312" w:cs="仿宋_GB2312"/>
          <w:sz w:val="32"/>
          <w:szCs w:val="32"/>
          <w:lang w:bidi="ar"/>
        </w:rPr>
        <w:t>八、一般公共预算财政拨款基本支出决算表</w:t>
      </w:r>
      <w:bookmarkEnd w:id="62"/>
    </w:p>
    <w:p w14:paraId="06193562">
      <w:pPr>
        <w:pStyle w:val="12"/>
        <w:tabs>
          <w:tab w:val="right" w:leader="dot" w:pos="8296"/>
        </w:tabs>
        <w:adjustRightInd w:val="0"/>
        <w:snapToGrid w:val="0"/>
        <w:spacing w:line="560" w:lineRule="exact"/>
        <w:ind w:left="420" w:leftChars="200"/>
        <w:jc w:val="left"/>
        <w:rPr>
          <w:rFonts w:eastAsia="仿宋_GB2312" w:cs="仿宋_GB2312"/>
          <w:sz w:val="32"/>
          <w:szCs w:val="32"/>
        </w:rPr>
      </w:pPr>
      <w:bookmarkStart w:id="63" w:name="_Toc15396627"/>
      <w:r>
        <w:rPr>
          <w:rFonts w:hint="eastAsia" w:ascii="Times New Roman" w:hAnsi="Times New Roman" w:eastAsia="仿宋_GB2312" w:cs="仿宋_GB2312"/>
          <w:sz w:val="32"/>
          <w:szCs w:val="32"/>
          <w:lang w:bidi="ar"/>
        </w:rPr>
        <w:t>九、一般公共预算财政拨款项目支出决算表</w:t>
      </w:r>
      <w:bookmarkEnd w:id="63"/>
    </w:p>
    <w:p w14:paraId="687ECED7">
      <w:pPr>
        <w:pStyle w:val="12"/>
        <w:tabs>
          <w:tab w:val="right" w:leader="dot" w:pos="8296"/>
        </w:tabs>
        <w:adjustRightInd w:val="0"/>
        <w:snapToGrid w:val="0"/>
        <w:spacing w:line="560" w:lineRule="exact"/>
        <w:ind w:left="420" w:leftChars="200"/>
        <w:jc w:val="left"/>
        <w:rPr>
          <w:rFonts w:eastAsia="仿宋_GB2312" w:cs="仿宋_GB2312"/>
          <w:sz w:val="32"/>
          <w:szCs w:val="32"/>
        </w:rPr>
      </w:pPr>
      <w:bookmarkStart w:id="64" w:name="_Toc15396628"/>
      <w:r>
        <w:rPr>
          <w:rFonts w:hint="eastAsia" w:ascii="Times New Roman" w:hAnsi="Times New Roman" w:eastAsia="仿宋_GB2312" w:cs="仿宋_GB2312"/>
          <w:sz w:val="32"/>
          <w:szCs w:val="32"/>
          <w:lang w:bidi="ar"/>
        </w:rPr>
        <w:t>十、</w:t>
      </w:r>
      <w:bookmarkEnd w:id="64"/>
      <w:r>
        <w:rPr>
          <w:rFonts w:hint="eastAsia" w:ascii="Times New Roman" w:hAnsi="Times New Roman" w:eastAsia="仿宋_GB2312" w:cs="仿宋_GB2312"/>
          <w:sz w:val="32"/>
          <w:szCs w:val="32"/>
          <w:lang w:bidi="ar"/>
        </w:rPr>
        <w:t>政府性基金预算财政拨款收入支出决算表</w:t>
      </w:r>
    </w:p>
    <w:p w14:paraId="3C3893E6">
      <w:pPr>
        <w:pStyle w:val="12"/>
        <w:tabs>
          <w:tab w:val="right" w:leader="dot" w:pos="8296"/>
        </w:tabs>
        <w:adjustRightInd w:val="0"/>
        <w:snapToGrid w:val="0"/>
        <w:spacing w:line="560" w:lineRule="exact"/>
        <w:ind w:left="420" w:leftChars="200"/>
        <w:jc w:val="left"/>
        <w:rPr>
          <w:rFonts w:eastAsia="仿宋_GB2312" w:cs="仿宋_GB2312"/>
          <w:sz w:val="32"/>
          <w:szCs w:val="32"/>
        </w:rPr>
      </w:pPr>
      <w:bookmarkStart w:id="65" w:name="_Toc15396629"/>
      <w:r>
        <w:rPr>
          <w:rFonts w:hint="eastAsia" w:ascii="Times New Roman" w:hAnsi="Times New Roman" w:eastAsia="仿宋_GB2312" w:cs="仿宋_GB2312"/>
          <w:sz w:val="32"/>
          <w:szCs w:val="32"/>
          <w:lang w:bidi="ar"/>
        </w:rPr>
        <w:t>十一、</w:t>
      </w:r>
      <w:bookmarkEnd w:id="65"/>
      <w:r>
        <w:rPr>
          <w:rFonts w:hint="eastAsia" w:ascii="Times New Roman" w:hAnsi="Times New Roman" w:eastAsia="仿宋_GB2312" w:cs="仿宋_GB2312"/>
          <w:sz w:val="32"/>
          <w:szCs w:val="32"/>
          <w:lang w:bidi="ar"/>
        </w:rPr>
        <w:t>国有资本经营预算财政拨款收入支出决算表</w:t>
      </w:r>
    </w:p>
    <w:p w14:paraId="584E177C">
      <w:pPr>
        <w:pStyle w:val="12"/>
        <w:tabs>
          <w:tab w:val="right" w:leader="dot" w:pos="8296"/>
        </w:tabs>
        <w:adjustRightInd w:val="0"/>
        <w:snapToGrid w:val="0"/>
        <w:spacing w:line="560" w:lineRule="exact"/>
        <w:ind w:left="420" w:leftChars="200"/>
        <w:jc w:val="left"/>
        <w:rPr>
          <w:rFonts w:eastAsia="仿宋_GB2312" w:cs="仿宋_GB2312"/>
          <w:sz w:val="32"/>
          <w:szCs w:val="32"/>
        </w:rPr>
      </w:pPr>
      <w:bookmarkStart w:id="66" w:name="_Toc15396630"/>
      <w:r>
        <w:rPr>
          <w:rFonts w:hint="eastAsia" w:ascii="Times New Roman" w:hAnsi="Times New Roman" w:eastAsia="仿宋_GB2312" w:cs="仿宋_GB2312"/>
          <w:sz w:val="32"/>
          <w:szCs w:val="32"/>
          <w:lang w:bidi="ar"/>
        </w:rPr>
        <w:t>十二、</w:t>
      </w:r>
      <w:bookmarkEnd w:id="66"/>
      <w:r>
        <w:rPr>
          <w:rFonts w:hint="eastAsia" w:ascii="Times New Roman" w:hAnsi="Times New Roman" w:eastAsia="仿宋_GB2312" w:cs="仿宋_GB2312"/>
          <w:sz w:val="32"/>
          <w:szCs w:val="32"/>
          <w:lang w:bidi="ar"/>
        </w:rPr>
        <w:t>国有资本经营预算财政拨款支出决算表</w:t>
      </w:r>
    </w:p>
    <w:p w14:paraId="6BB705FB">
      <w:pPr>
        <w:pStyle w:val="12"/>
        <w:tabs>
          <w:tab w:val="right" w:leader="dot" w:pos="8296"/>
        </w:tabs>
        <w:adjustRightInd w:val="0"/>
        <w:snapToGrid w:val="0"/>
        <w:spacing w:line="560" w:lineRule="exact"/>
        <w:ind w:left="420" w:leftChars="200"/>
        <w:jc w:val="left"/>
      </w:pPr>
      <w:bookmarkStart w:id="67" w:name="_Toc15396631"/>
      <w:r>
        <w:rPr>
          <w:rFonts w:hint="eastAsia" w:ascii="Times New Roman" w:hAnsi="Times New Roman" w:eastAsia="仿宋_GB2312" w:cs="仿宋_GB2312"/>
          <w:sz w:val="32"/>
          <w:szCs w:val="32"/>
          <w:lang w:bidi="ar"/>
        </w:rPr>
        <w:t>十三、</w:t>
      </w:r>
      <w:bookmarkEnd w:id="67"/>
      <w:r>
        <w:rPr>
          <w:rFonts w:hint="eastAsia" w:ascii="Times New Roman" w:hAnsi="Times New Roman" w:eastAsia="仿宋_GB2312" w:cs="仿宋_GB2312"/>
          <w:sz w:val="32"/>
          <w:szCs w:val="32"/>
          <w:lang w:bidi="ar"/>
        </w:rPr>
        <w:t>财政拨款“三公”经费支出决算表</w:t>
      </w:r>
    </w:p>
    <w:p w14:paraId="3D0705E3">
      <w:pPr>
        <w:widowControl/>
        <w:spacing w:line="560" w:lineRule="exact"/>
        <w:ind w:firstLine="640" w:firstLineChars="200"/>
        <w:jc w:val="left"/>
        <w:rPr>
          <w:rFonts w:ascii="Times New Roman" w:hAnsi="Times New Roman" w:eastAsia="仿宋_GB2312" w:cs="仿宋_GB2312"/>
          <w:sz w:val="32"/>
          <w:szCs w:val="32"/>
          <w:lang w:bidi="ar"/>
        </w:rPr>
      </w:pPr>
    </w:p>
    <w:p w14:paraId="107961E4">
      <w:pPr>
        <w:spacing w:line="560" w:lineRule="exact"/>
        <w:jc w:val="center"/>
        <w:rPr>
          <w:rFonts w:ascii="Times New Roman" w:hAnsi="Times New Roman" w:eastAsia="方正小标宋简体" w:cs="Times New Roman"/>
          <w:sz w:val="52"/>
          <w:szCs w:val="52"/>
          <w:lang w:bidi="ar"/>
        </w:rPr>
      </w:pPr>
    </w:p>
    <w:sectPr>
      <w:footerReference r:id="rId5" w:type="default"/>
      <w:pgSz w:w="12240" w:h="15840"/>
      <w:pgMar w:top="1440" w:right="1800" w:bottom="1440" w:left="1800" w:header="720" w:footer="720"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8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sans-serif">
    <w:altName w:val="Times New Ro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D2C57">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983B3">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38FD0">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78FEC8">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D78FEC8">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634387"/>
    <w:multiLevelType w:val="multilevel"/>
    <w:tmpl w:val="18634387"/>
    <w:lvl w:ilvl="0" w:tentative="0">
      <w:start w:val="1"/>
      <w:numFmt w:val="japaneseCounting"/>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EF46E9"/>
    <w:rsid w:val="0000371C"/>
    <w:rsid w:val="0002488A"/>
    <w:rsid w:val="00024FFA"/>
    <w:rsid w:val="000264A4"/>
    <w:rsid w:val="00027C9A"/>
    <w:rsid w:val="000368AB"/>
    <w:rsid w:val="00037BEF"/>
    <w:rsid w:val="0004074B"/>
    <w:rsid w:val="00046A0C"/>
    <w:rsid w:val="00084DBD"/>
    <w:rsid w:val="000B12A1"/>
    <w:rsid w:val="000C34C5"/>
    <w:rsid w:val="001006FA"/>
    <w:rsid w:val="00101123"/>
    <w:rsid w:val="0010208B"/>
    <w:rsid w:val="001110D1"/>
    <w:rsid w:val="00114702"/>
    <w:rsid w:val="00127E39"/>
    <w:rsid w:val="001825B2"/>
    <w:rsid w:val="00196EEF"/>
    <w:rsid w:val="001D00FB"/>
    <w:rsid w:val="002001FC"/>
    <w:rsid w:val="00207D29"/>
    <w:rsid w:val="0022262F"/>
    <w:rsid w:val="002659B7"/>
    <w:rsid w:val="002768DA"/>
    <w:rsid w:val="002B7F5D"/>
    <w:rsid w:val="002C2B61"/>
    <w:rsid w:val="002C5E8A"/>
    <w:rsid w:val="002D2CE7"/>
    <w:rsid w:val="002E636A"/>
    <w:rsid w:val="002F3305"/>
    <w:rsid w:val="00301485"/>
    <w:rsid w:val="0030642C"/>
    <w:rsid w:val="00311297"/>
    <w:rsid w:val="00371993"/>
    <w:rsid w:val="003A17BB"/>
    <w:rsid w:val="003E1305"/>
    <w:rsid w:val="003E2527"/>
    <w:rsid w:val="004001EA"/>
    <w:rsid w:val="00401F6B"/>
    <w:rsid w:val="004219A9"/>
    <w:rsid w:val="004254EE"/>
    <w:rsid w:val="0043505D"/>
    <w:rsid w:val="00454E2F"/>
    <w:rsid w:val="004746D1"/>
    <w:rsid w:val="004961D3"/>
    <w:rsid w:val="004A036F"/>
    <w:rsid w:val="004A4DB9"/>
    <w:rsid w:val="00513D84"/>
    <w:rsid w:val="00571CBB"/>
    <w:rsid w:val="00590863"/>
    <w:rsid w:val="00591875"/>
    <w:rsid w:val="005F4270"/>
    <w:rsid w:val="006136F2"/>
    <w:rsid w:val="00615ADD"/>
    <w:rsid w:val="00625859"/>
    <w:rsid w:val="006461D0"/>
    <w:rsid w:val="006473D7"/>
    <w:rsid w:val="00647A67"/>
    <w:rsid w:val="00666867"/>
    <w:rsid w:val="00671DBF"/>
    <w:rsid w:val="0069254A"/>
    <w:rsid w:val="006D6B99"/>
    <w:rsid w:val="00707481"/>
    <w:rsid w:val="007156CA"/>
    <w:rsid w:val="007453E0"/>
    <w:rsid w:val="00752B75"/>
    <w:rsid w:val="0075563E"/>
    <w:rsid w:val="0078485F"/>
    <w:rsid w:val="007E1A3C"/>
    <w:rsid w:val="00821F3C"/>
    <w:rsid w:val="008257D5"/>
    <w:rsid w:val="00853559"/>
    <w:rsid w:val="00874CBC"/>
    <w:rsid w:val="00964F9A"/>
    <w:rsid w:val="009A08B2"/>
    <w:rsid w:val="009A3452"/>
    <w:rsid w:val="009A6C90"/>
    <w:rsid w:val="009B6B74"/>
    <w:rsid w:val="00A047C7"/>
    <w:rsid w:val="00A44974"/>
    <w:rsid w:val="00A74AF7"/>
    <w:rsid w:val="00AA6AD0"/>
    <w:rsid w:val="00AB1FC8"/>
    <w:rsid w:val="00AD4760"/>
    <w:rsid w:val="00B01993"/>
    <w:rsid w:val="00B03908"/>
    <w:rsid w:val="00B04E3B"/>
    <w:rsid w:val="00B116D9"/>
    <w:rsid w:val="00B14D91"/>
    <w:rsid w:val="00B21217"/>
    <w:rsid w:val="00B955AC"/>
    <w:rsid w:val="00BA270B"/>
    <w:rsid w:val="00BB7491"/>
    <w:rsid w:val="00BD28F0"/>
    <w:rsid w:val="00BE45EE"/>
    <w:rsid w:val="00C11BDF"/>
    <w:rsid w:val="00C136DF"/>
    <w:rsid w:val="00C429AB"/>
    <w:rsid w:val="00C9208B"/>
    <w:rsid w:val="00D046ED"/>
    <w:rsid w:val="00D56BBF"/>
    <w:rsid w:val="00D658C7"/>
    <w:rsid w:val="00DA3C9F"/>
    <w:rsid w:val="00DC55DA"/>
    <w:rsid w:val="00DD7695"/>
    <w:rsid w:val="00E450B2"/>
    <w:rsid w:val="00E67FFC"/>
    <w:rsid w:val="00E812E9"/>
    <w:rsid w:val="00E9794F"/>
    <w:rsid w:val="00EA3D2B"/>
    <w:rsid w:val="00EB32CC"/>
    <w:rsid w:val="00ED11AF"/>
    <w:rsid w:val="00ED573D"/>
    <w:rsid w:val="00ED5FBD"/>
    <w:rsid w:val="00EE7A01"/>
    <w:rsid w:val="00F01026"/>
    <w:rsid w:val="00F03DF2"/>
    <w:rsid w:val="00F251FE"/>
    <w:rsid w:val="00F644B3"/>
    <w:rsid w:val="00F80D41"/>
    <w:rsid w:val="00F923D5"/>
    <w:rsid w:val="00FB3AAA"/>
    <w:rsid w:val="00FB4128"/>
    <w:rsid w:val="00FC596A"/>
    <w:rsid w:val="00FD6E68"/>
    <w:rsid w:val="00FE0E96"/>
    <w:rsid w:val="00FE1BF4"/>
    <w:rsid w:val="00FE5320"/>
    <w:rsid w:val="00FF4AED"/>
    <w:rsid w:val="12383880"/>
    <w:rsid w:val="23A47B8B"/>
    <w:rsid w:val="24EF46E9"/>
    <w:rsid w:val="26BC5744"/>
    <w:rsid w:val="2E8B6C29"/>
    <w:rsid w:val="3BBA06A4"/>
    <w:rsid w:val="562468CA"/>
    <w:rsid w:val="5A4D7A39"/>
    <w:rsid w:val="6E7066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2"/>
    <w:qFormat/>
    <w:uiPriority w:val="0"/>
    <w:pPr>
      <w:keepNext/>
      <w:keepLines/>
      <w:spacing w:before="340" w:after="330"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3"/>
    <w:unhideWhenUsed/>
    <w:qFormat/>
    <w:uiPriority w:val="0"/>
    <w:pPr>
      <w:keepNext/>
      <w:keepLines/>
      <w:spacing w:before="260" w:after="260" w:line="415" w:lineRule="auto"/>
      <w:outlineLvl w:val="1"/>
    </w:pPr>
    <w:rPr>
      <w:rFonts w:ascii="Cambria" w:hAnsi="Cambria" w:eastAsia="宋体" w:cs="Times New Roman"/>
      <w:b/>
      <w:bCs/>
      <w:sz w:val="32"/>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24"/>
    <w:qFormat/>
    <w:uiPriority w:val="0"/>
    <w:pPr>
      <w:spacing w:beforeLines="30"/>
    </w:pPr>
    <w:rPr>
      <w:rFonts w:hint="eastAsia" w:ascii="仿宋_GB2312" w:hAnsi="Times New Roman" w:eastAsia="仿宋_GB2312" w:cs="Times New Roman"/>
      <w:kern w:val="0"/>
      <w:sz w:val="30"/>
    </w:rPr>
  </w:style>
  <w:style w:type="paragraph" w:styleId="5">
    <w:name w:val="Body Text Indent"/>
    <w:basedOn w:val="1"/>
    <w:link w:val="21"/>
    <w:qFormat/>
    <w:uiPriority w:val="0"/>
    <w:pPr>
      <w:spacing w:after="120"/>
      <w:ind w:left="420" w:leftChars="200"/>
    </w:pPr>
  </w:style>
  <w:style w:type="paragraph" w:styleId="6">
    <w:name w:val="Balloon Text"/>
    <w:basedOn w:val="1"/>
    <w:link w:val="28"/>
    <w:qFormat/>
    <w:uiPriority w:val="0"/>
    <w:rPr>
      <w:sz w:val="18"/>
      <w:szCs w:val="18"/>
    </w:rPr>
  </w:style>
  <w:style w:type="paragraph" w:styleId="7">
    <w:name w:val="footer"/>
    <w:basedOn w:val="1"/>
    <w:link w:val="19"/>
    <w:qFormat/>
    <w:uiPriority w:val="0"/>
    <w:pPr>
      <w:tabs>
        <w:tab w:val="center" w:pos="4153"/>
        <w:tab w:val="right" w:pos="8306"/>
      </w:tabs>
      <w:snapToGrid w:val="0"/>
      <w:jc w:val="left"/>
    </w:pPr>
    <w:rPr>
      <w:sz w:val="18"/>
    </w:rPr>
  </w:style>
  <w:style w:type="paragraph" w:styleId="8">
    <w:name w:val="header"/>
    <w:basedOn w:val="1"/>
    <w:link w:val="27"/>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9">
    <w:name w:val="toc 1"/>
    <w:basedOn w:val="1"/>
    <w:next w:val="1"/>
    <w:qFormat/>
    <w:uiPriority w:val="0"/>
    <w:pPr>
      <w:tabs>
        <w:tab w:val="right" w:leader="dot" w:pos="8296"/>
      </w:tabs>
      <w:spacing w:before="93"/>
      <w:jc w:val="center"/>
    </w:pPr>
    <w:rPr>
      <w:rFonts w:hint="eastAsia" w:ascii="仿宋" w:hAnsi="仿宋" w:eastAsia="仿宋" w:cs="Times New Roman"/>
      <w:sz w:val="28"/>
      <w:szCs w:val="28"/>
    </w:rPr>
  </w:style>
  <w:style w:type="paragraph" w:styleId="10">
    <w:name w:val="footnote text"/>
    <w:basedOn w:val="1"/>
    <w:link w:val="17"/>
    <w:qFormat/>
    <w:uiPriority w:val="0"/>
    <w:pPr>
      <w:snapToGrid w:val="0"/>
      <w:jc w:val="left"/>
    </w:pPr>
    <w:rPr>
      <w:sz w:val="18"/>
    </w:rPr>
  </w:style>
  <w:style w:type="paragraph" w:styleId="11">
    <w:name w:val="toc 2"/>
    <w:basedOn w:val="1"/>
    <w:next w:val="1"/>
    <w:qFormat/>
    <w:uiPriority w:val="0"/>
    <w:pPr>
      <w:tabs>
        <w:tab w:val="right" w:leader="dot" w:pos="8296"/>
      </w:tabs>
      <w:ind w:left="420" w:leftChars="200"/>
    </w:pPr>
    <w:rPr>
      <w:rFonts w:ascii="Times New Roman" w:hAnsi="Times New Roman" w:eastAsia="宋体" w:cs="Times New Roman"/>
    </w:rPr>
  </w:style>
  <w:style w:type="paragraph" w:styleId="12">
    <w:name w:val="Normal (Web)"/>
    <w:basedOn w:val="1"/>
    <w:qFormat/>
    <w:uiPriority w:val="0"/>
    <w:rPr>
      <w:sz w:val="24"/>
    </w:rPr>
  </w:style>
  <w:style w:type="paragraph" w:styleId="13">
    <w:name w:val="Body Text First Indent 2"/>
    <w:basedOn w:val="5"/>
    <w:next w:val="1"/>
    <w:link w:val="20"/>
    <w:qFormat/>
    <w:uiPriority w:val="0"/>
    <w:pPr>
      <w:ind w:left="200" w:firstLine="420" w:firstLineChars="200"/>
    </w:pPr>
    <w:rPr>
      <w:rFonts w:hint="eastAsia" w:ascii="仿宋_GB2312" w:hAnsi="Times New Roman" w:eastAsia="宋体" w:cs="Times New Roman"/>
      <w:szCs w:val="32"/>
    </w:rPr>
  </w:style>
  <w:style w:type="character" w:styleId="16">
    <w:name w:val="Strong"/>
    <w:basedOn w:val="15"/>
    <w:qFormat/>
    <w:uiPriority w:val="0"/>
    <w:rPr>
      <w:b/>
    </w:rPr>
  </w:style>
  <w:style w:type="character" w:customStyle="1" w:styleId="17">
    <w:name w:val="脚注文本 字符"/>
    <w:basedOn w:val="15"/>
    <w:link w:val="10"/>
    <w:qFormat/>
    <w:uiPriority w:val="0"/>
    <w:rPr>
      <w:kern w:val="2"/>
      <w:sz w:val="18"/>
      <w:szCs w:val="18"/>
    </w:rPr>
  </w:style>
  <w:style w:type="paragraph" w:customStyle="1" w:styleId="18">
    <w:name w:val="msolistparagraph"/>
    <w:basedOn w:val="1"/>
    <w:qFormat/>
    <w:uiPriority w:val="0"/>
    <w:pPr>
      <w:ind w:firstLine="420" w:firstLineChars="200"/>
    </w:pPr>
    <w:rPr>
      <w:rFonts w:ascii="Times New Roman" w:hAnsi="Times New Roman" w:eastAsia="宋体" w:cs="Times New Roman"/>
    </w:rPr>
  </w:style>
  <w:style w:type="character" w:customStyle="1" w:styleId="19">
    <w:name w:val="页脚 字符"/>
    <w:basedOn w:val="15"/>
    <w:link w:val="7"/>
    <w:qFormat/>
    <w:uiPriority w:val="0"/>
    <w:rPr>
      <w:rFonts w:hint="default" w:ascii="Calibri" w:hAnsi="Calibri" w:cs="Calibri"/>
      <w:sz w:val="18"/>
      <w:szCs w:val="18"/>
    </w:rPr>
  </w:style>
  <w:style w:type="character" w:customStyle="1" w:styleId="20">
    <w:name w:val="正文首行缩进 2 字符"/>
    <w:basedOn w:val="21"/>
    <w:link w:val="13"/>
    <w:qFormat/>
    <w:uiPriority w:val="0"/>
    <w:rPr>
      <w:rFonts w:hint="eastAsia" w:ascii="仿宋_GB2312" w:eastAsia="仿宋_GB2312" w:cs="仿宋_GB2312"/>
      <w:kern w:val="2"/>
      <w:sz w:val="21"/>
      <w:szCs w:val="32"/>
    </w:rPr>
  </w:style>
  <w:style w:type="character" w:customStyle="1" w:styleId="21">
    <w:name w:val="正文文本缩进 字符"/>
    <w:basedOn w:val="15"/>
    <w:link w:val="5"/>
    <w:qFormat/>
    <w:uiPriority w:val="0"/>
    <w:rPr>
      <w:kern w:val="2"/>
      <w:sz w:val="21"/>
      <w:szCs w:val="24"/>
    </w:rPr>
  </w:style>
  <w:style w:type="character" w:customStyle="1" w:styleId="22">
    <w:name w:val="标题 1 字符"/>
    <w:basedOn w:val="15"/>
    <w:link w:val="2"/>
    <w:qFormat/>
    <w:uiPriority w:val="0"/>
    <w:rPr>
      <w:b/>
      <w:bCs/>
      <w:kern w:val="44"/>
      <w:sz w:val="44"/>
      <w:szCs w:val="44"/>
    </w:rPr>
  </w:style>
  <w:style w:type="character" w:customStyle="1" w:styleId="23">
    <w:name w:val="标题 2 字符"/>
    <w:basedOn w:val="15"/>
    <w:link w:val="3"/>
    <w:qFormat/>
    <w:uiPriority w:val="0"/>
    <w:rPr>
      <w:rFonts w:hint="default" w:ascii="Cambria" w:hAnsi="Cambria" w:eastAsia="宋体" w:cs="Times New Roman"/>
      <w:b/>
      <w:bCs/>
      <w:kern w:val="2"/>
      <w:sz w:val="32"/>
      <w:szCs w:val="32"/>
    </w:rPr>
  </w:style>
  <w:style w:type="character" w:customStyle="1" w:styleId="24">
    <w:name w:val="正文文本 字符"/>
    <w:basedOn w:val="15"/>
    <w:link w:val="4"/>
    <w:qFormat/>
    <w:uiPriority w:val="0"/>
    <w:rPr>
      <w:rFonts w:hint="eastAsia" w:ascii="仿宋_GB2312" w:eastAsia="仿宋_GB2312" w:cs="仿宋_GB2312"/>
      <w:sz w:val="30"/>
      <w:szCs w:val="24"/>
    </w:rPr>
  </w:style>
  <w:style w:type="paragraph" w:customStyle="1" w:styleId="25">
    <w:name w:val="四号正文"/>
    <w:basedOn w:val="1"/>
    <w:qFormat/>
    <w:uiPriority w:val="0"/>
    <w:pPr>
      <w:spacing w:line="360" w:lineRule="auto"/>
    </w:pPr>
    <w:rPr>
      <w:rFonts w:ascii="??" w:hAnsi="??" w:eastAsia="宋体" w:cs="Times New Roman"/>
      <w:color w:val="000000"/>
      <w:kern w:val="0"/>
      <w:sz w:val="28"/>
      <w:szCs w:val="21"/>
    </w:rPr>
  </w:style>
  <w:style w:type="paragraph" w:styleId="26">
    <w:name w:val="List Paragraph"/>
    <w:basedOn w:val="1"/>
    <w:qFormat/>
    <w:uiPriority w:val="99"/>
    <w:pPr>
      <w:ind w:firstLine="420" w:firstLineChars="200"/>
    </w:pPr>
  </w:style>
  <w:style w:type="character" w:customStyle="1" w:styleId="27">
    <w:name w:val="页眉 字符"/>
    <w:basedOn w:val="15"/>
    <w:link w:val="8"/>
    <w:qFormat/>
    <w:uiPriority w:val="0"/>
    <w:rPr>
      <w:kern w:val="2"/>
      <w:sz w:val="18"/>
      <w:szCs w:val="18"/>
    </w:rPr>
  </w:style>
  <w:style w:type="character" w:customStyle="1" w:styleId="28">
    <w:name w:val="批注框文本 字符"/>
    <w:basedOn w:val="15"/>
    <w:link w:val="6"/>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2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收入、支出决算总计变动情况图（单位：万元）</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2038.88</c:v>
                </c:pt>
                <c:pt idx="1">
                  <c:v>1995.37</c:v>
                </c:pt>
              </c:numCache>
            </c:numRef>
          </c:val>
        </c:ser>
        <c:dLbls>
          <c:showLegendKey val="0"/>
          <c:showVal val="0"/>
          <c:showCatName val="0"/>
          <c:showSerName val="0"/>
          <c:showPercent val="0"/>
          <c:showBubbleSize val="0"/>
        </c:dLbls>
        <c:gapWidth val="219"/>
        <c:overlap val="-27"/>
        <c:axId val="685450232"/>
        <c:axId val="685449904"/>
      </c:barChart>
      <c:catAx>
        <c:axId val="685450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5449904"/>
        <c:crosses val="autoZero"/>
        <c:auto val="1"/>
        <c:lblAlgn val="ctr"/>
        <c:lblOffset val="100"/>
        <c:noMultiLvlLbl val="0"/>
      </c:catAx>
      <c:valAx>
        <c:axId val="685449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5450232"/>
        <c:crosses val="autoZero"/>
        <c:crossBetween val="between"/>
      </c:valAx>
      <c:spPr>
        <a:noFill/>
        <a:ln>
          <a:noFill/>
        </a:ln>
        <a:effectLst/>
      </c:spPr>
    </c:plotArea>
    <c:plotVisOnly val="1"/>
    <c:dispBlanksAs val="gap"/>
    <c:showDLblsOverMax val="0"/>
    <c:extLst>
      <c:ext uri="{0b15fc19-7d7d-44ad-8c2d-2c3a37ce22c3}">
        <chartProps xmlns="https://web.wps.cn/et/2018/main" chartId="{9bec244a-2c49-4080-8e2e-9ebdd19ae6d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2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收入决算结构图（单位：万元）</c:v>
                </c:pt>
              </c:strCache>
            </c:strRef>
          </c:tx>
          <c:spPr/>
          <c:explosion val="0"/>
          <c:dPt>
            <c:idx val="0"/>
            <c:bubble3D val="0"/>
            <c:spPr>
              <a:solidFill>
                <a:schemeClr val="accent1"/>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1995.37</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992b98bc-c0ef-434f-8f6e-c87e5787efa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2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支出决算结构图（单位：万元）</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867.37</c:v>
                </c:pt>
                <c:pt idx="1">
                  <c:v>1127.99</c:v>
                </c:pt>
                <c:pt idx="2">
                  <c:v>0</c:v>
                </c:pt>
                <c:pt idx="3">
                  <c:v>0</c:v>
                </c:pt>
                <c:pt idx="4">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6a7f543-93b2-4e94-9668-f43b1d9cc67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200" b="0" i="0" u="none" strike="noStrike" baseline="0">
                <a:effectLst/>
              </a:rPr>
              <a:t>财政拨款收、支决算总计变动情况</a:t>
            </a:r>
            <a:r>
              <a:rPr lang="zh-CN" altLang="en-US" sz="1200" b="0" i="0" u="none" strike="noStrike" baseline="0">
                <a:effectLst/>
              </a:rPr>
              <a:t>（单位：万元）</a:t>
            </a:r>
            <a:endParaRPr lang="en-US" altLang="zh-CN" sz="1200"/>
          </a:p>
        </c:rich>
      </c:tx>
      <c:layout>
        <c:manualLayout>
          <c:xMode val="edge"/>
          <c:yMode val="edge"/>
          <c:x val="0.135374149659864"/>
          <c:y val="0.0272108843537415"/>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2038.88</c:v>
                </c:pt>
                <c:pt idx="1">
                  <c:v>1995.37</c:v>
                </c:pt>
              </c:numCache>
            </c:numRef>
          </c:val>
        </c:ser>
        <c:dLbls>
          <c:showLegendKey val="0"/>
          <c:showVal val="0"/>
          <c:showCatName val="0"/>
          <c:showSerName val="0"/>
          <c:showPercent val="0"/>
          <c:showBubbleSize val="0"/>
        </c:dLbls>
        <c:gapWidth val="219"/>
        <c:overlap val="-27"/>
        <c:axId val="692912200"/>
        <c:axId val="692911544"/>
      </c:barChart>
      <c:catAx>
        <c:axId val="692912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911544"/>
        <c:crosses val="autoZero"/>
        <c:auto val="1"/>
        <c:lblAlgn val="ctr"/>
        <c:lblOffset val="100"/>
        <c:noMultiLvlLbl val="0"/>
      </c:catAx>
      <c:valAx>
        <c:axId val="6929115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912200"/>
        <c:crosses val="autoZero"/>
        <c:crossBetween val="between"/>
      </c:valAx>
      <c:spPr>
        <a:noFill/>
        <a:ln>
          <a:noFill/>
        </a:ln>
        <a:effectLst/>
      </c:spPr>
    </c:plotArea>
    <c:plotVisOnly val="1"/>
    <c:dispBlanksAs val="gap"/>
    <c:showDLblsOverMax val="0"/>
    <c:extLst>
      <c:ext uri="{0b15fc19-7d7d-44ad-8c2d-2c3a37ce22c3}">
        <chartProps xmlns="https://web.wps.cn/et/2018/main" chartId="{87f351e8-1746-44d0-80a0-1e242628a5e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2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一般公共预算财政拨款支出决算变动情况（单位：万元）</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2038.88</c:v>
                </c:pt>
                <c:pt idx="1">
                  <c:v>1995.37</c:v>
                </c:pt>
              </c:numCache>
            </c:numRef>
          </c:val>
        </c:ser>
        <c:dLbls>
          <c:showLegendKey val="0"/>
          <c:showVal val="0"/>
          <c:showCatName val="0"/>
          <c:showSerName val="0"/>
          <c:showPercent val="0"/>
          <c:showBubbleSize val="0"/>
        </c:dLbls>
        <c:gapWidth val="219"/>
        <c:overlap val="-27"/>
        <c:axId val="973997256"/>
        <c:axId val="973996928"/>
      </c:barChart>
      <c:catAx>
        <c:axId val="973997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3996928"/>
        <c:crosses val="autoZero"/>
        <c:auto val="1"/>
        <c:lblAlgn val="ctr"/>
        <c:lblOffset val="100"/>
        <c:noMultiLvlLbl val="0"/>
      </c:catAx>
      <c:valAx>
        <c:axId val="9739969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3997256"/>
        <c:crosses val="autoZero"/>
        <c:crossBetween val="between"/>
      </c:valAx>
      <c:spPr>
        <a:noFill/>
        <a:ln>
          <a:noFill/>
        </a:ln>
        <a:effectLst/>
      </c:spPr>
    </c:plotArea>
    <c:plotVisOnly val="1"/>
    <c:dispBlanksAs val="gap"/>
    <c:showDLblsOverMax val="0"/>
    <c:extLst>
      <c:ext uri="{0b15fc19-7d7d-44ad-8c2d-2c3a37ce22c3}">
        <chartProps xmlns="https://web.wps.cn/et/2018/main" chartId="{5279e255-00ca-4d1b-a4d1-8d843c06a9c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2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一般公共预算财政拨款支出决算结构（单位：万元）</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Pt>
            <c:idx val="8"/>
            <c:bubble3D val="0"/>
            <c:spPr>
              <a:solidFill>
                <a:schemeClr val="accent3">
                  <a:lumMod val="60000"/>
                </a:schemeClr>
              </a:solidFill>
              <a:ln w="19050">
                <a:solidFill>
                  <a:schemeClr val="lt1"/>
                </a:solidFill>
              </a:ln>
              <a:effectLst/>
            </c:spPr>
          </c:dPt>
          <c:dLbls>
            <c:dLbl>
              <c:idx val="0"/>
              <c:layout>
                <c:manualLayout>
                  <c:x val="0.0233293890211775"/>
                  <c:y val="-0.005781181461906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257845042097011"/>
                  <c:y val="-0.01475252579728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一般公共服务支出</c:v>
                </c:pt>
                <c:pt idx="1">
                  <c:v>文化旅游体育与传媒支出</c:v>
                </c:pt>
                <c:pt idx="2">
                  <c:v>社会保障和就业支出</c:v>
                </c:pt>
                <c:pt idx="3">
                  <c:v>卫生健康支出</c:v>
                </c:pt>
                <c:pt idx="4">
                  <c:v>节能环保支出</c:v>
                </c:pt>
                <c:pt idx="5">
                  <c:v>城乡社区支出</c:v>
                </c:pt>
                <c:pt idx="6">
                  <c:v>农林水支出</c:v>
                </c:pt>
                <c:pt idx="7">
                  <c:v>住房保障支出</c:v>
                </c:pt>
                <c:pt idx="8">
                  <c:v>灾害防治及应急管理支出</c:v>
                </c:pt>
              </c:strCache>
            </c:strRef>
          </c:cat>
          <c:val>
            <c:numRef>
              <c:f>Sheet1!$B$2:$B$10</c:f>
              <c:numCache>
                <c:formatCode>General</c:formatCode>
                <c:ptCount val="9"/>
                <c:pt idx="0">
                  <c:v>672.51</c:v>
                </c:pt>
                <c:pt idx="1">
                  <c:v>4.7</c:v>
                </c:pt>
                <c:pt idx="2">
                  <c:v>107.21</c:v>
                </c:pt>
                <c:pt idx="3">
                  <c:v>43.91</c:v>
                </c:pt>
                <c:pt idx="4">
                  <c:v>4.26</c:v>
                </c:pt>
                <c:pt idx="5">
                  <c:v>8.07</c:v>
                </c:pt>
                <c:pt idx="6">
                  <c:v>1095.11</c:v>
                </c:pt>
                <c:pt idx="7">
                  <c:v>59.35</c:v>
                </c:pt>
                <c:pt idx="8">
                  <c:v>0.25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0b4c6f0-705b-4200-9f83-3319250f948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2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财政拨款“三公”经费支出结构（单位：万元）</c:v>
                </c:pt>
              </c:strCache>
            </c:strRef>
          </c:tx>
          <c:spPr/>
          <c:explosion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483244032365777"/>
                  <c:y val="0.0061378042030460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14070622828951"/>
                  <c:y val="-0.034458549824129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5160985054383"/>
                  <c:y val="-0.0029328476797543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公务接待费支出决算</c:v>
                </c:pt>
              </c:strCache>
            </c:strRef>
          </c:cat>
          <c:val>
            <c:numRef>
              <c:f>Sheet1!$B$2:$B$4</c:f>
              <c:numCache>
                <c:formatCode>General</c:formatCode>
                <c:ptCount val="3"/>
                <c:pt idx="0">
                  <c:v>0</c:v>
                </c:pt>
                <c:pt idx="1">
                  <c:v>9</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93a3c39-4c7a-4a1c-8c35-253ebd82765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37</Pages>
  <Words>14391</Words>
  <Characters>15270</Characters>
  <Lines>117</Lines>
  <Paragraphs>33</Paragraphs>
  <TotalTime>13</TotalTime>
  <ScaleCrop>false</ScaleCrop>
  <LinksUpToDate>false</LinksUpToDate>
  <CharactersWithSpaces>15308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2026-09-23T01:40:00Z</dcterms:created>
  <dc:creator>晴F</dc:creator>
  <cp:lastModifiedBy>Black</cp:lastModifiedBy>
  <cp:lastPrinted>2026-09-28T02:06:00Z</cp:lastPrinted>
  <dcterms:modified xsi:type="dcterms:W3CDTF">2026-09-29T08:04:29Z</dcterms:modified>
  <cp:revision>111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2D0C9DBFBCB94E10A8D0326C94CCD78B_11</vt:lpwstr>
  </property>
  <property fmtid="{D5CDD505-2E9C-101B-9397-08002B2CF9AE}" pid="4" name="KSOTemplateDocerSaveRecord">
    <vt:lpwstr>eyJoZGlkIjoiYWJhMzRiYjBjYjlkNmMyNGIyYTRkZmFkYTdjZjY5Y2YiLCJ1c2VySWQiOiIyNjUwNjUwMDEifQ==</vt:lpwstr>
  </property>
</Properties>
</file>