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214A3">
      <w:pPr>
        <w:spacing w:line="600" w:lineRule="exact"/>
        <w:jc w:val="center"/>
        <w:outlineLvl w:val="9"/>
        <w:rPr>
          <w:rFonts w:ascii="方正小标宋简体" w:hAnsi="宋体" w:eastAsia="方正小标宋简体"/>
          <w:sz w:val="72"/>
          <w:szCs w:val="72"/>
        </w:rPr>
      </w:pPr>
      <w:bookmarkStart w:id="0" w:name="_Toc15396475"/>
      <w:bookmarkStart w:id="1" w:name="_Toc15377193"/>
      <w:bookmarkStart w:id="2" w:name="_Toc15378441"/>
      <w:bookmarkStart w:id="3" w:name="_Toc15396597"/>
      <w:bookmarkStart w:id="4" w:name="_Toc15377425"/>
      <w:bookmarkStart w:id="5" w:name="_Toc15306267"/>
    </w:p>
    <w:p w14:paraId="0B33F2C7">
      <w:pPr>
        <w:pStyle w:val="5"/>
        <w:spacing w:before="93"/>
      </w:pPr>
    </w:p>
    <w:p w14:paraId="71733D73">
      <w:pPr>
        <w:spacing w:line="600" w:lineRule="exact"/>
        <w:jc w:val="center"/>
        <w:outlineLvl w:val="9"/>
        <w:rPr>
          <w:rFonts w:ascii="方正小标宋简体" w:hAnsi="宋体" w:eastAsia="方正小标宋简体"/>
          <w:sz w:val="72"/>
          <w:szCs w:val="72"/>
        </w:rPr>
      </w:pPr>
    </w:p>
    <w:p w14:paraId="5DDADDB6">
      <w:pPr>
        <w:spacing w:line="600" w:lineRule="exact"/>
        <w:jc w:val="center"/>
        <w:outlineLvl w:val="9"/>
        <w:rPr>
          <w:rFonts w:ascii="方正小标宋简体" w:hAnsi="宋体" w:eastAsia="方正小标宋简体"/>
          <w:sz w:val="72"/>
          <w:szCs w:val="72"/>
        </w:rPr>
      </w:pPr>
    </w:p>
    <w:p w14:paraId="69364BE8">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21026"/>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bookmarkEnd w:id="6"/>
    </w:p>
    <w:p w14:paraId="3CC4B2A0">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eastAsia="zh-CN"/>
        </w:rPr>
      </w:pPr>
      <w:bookmarkStart w:id="7" w:name="_Toc15119"/>
      <w:bookmarkStart w:id="8" w:name="_Toc15377426"/>
      <w:bookmarkStart w:id="9" w:name="_Toc15396598"/>
      <w:bookmarkStart w:id="10" w:name="_Toc15377194"/>
      <w:bookmarkStart w:id="11" w:name="_Toc15396476"/>
      <w:bookmarkStart w:id="12" w:name="_Toc15378442"/>
      <w:r>
        <w:rPr>
          <w:rFonts w:hint="eastAsia" w:ascii="方正小标宋简体" w:hAnsi="方正小标宋简体" w:eastAsia="方正小标宋简体" w:cs="方正小标宋简体"/>
          <w:sz w:val="72"/>
          <w:szCs w:val="72"/>
        </w:rPr>
        <w:t>四川省</w:t>
      </w:r>
      <w:bookmarkEnd w:id="5"/>
      <w:bookmarkStart w:id="13" w:name="_Toc15306268"/>
      <w:r>
        <w:rPr>
          <w:rFonts w:hint="eastAsia" w:ascii="方正小标宋简体" w:hAnsi="方正小标宋简体" w:eastAsia="方正小标宋简体" w:cs="方正小标宋简体"/>
          <w:sz w:val="72"/>
          <w:szCs w:val="72"/>
          <w:lang w:eastAsia="zh-CN"/>
        </w:rPr>
        <w:t>阿坝州九寨沟县</w:t>
      </w:r>
      <w:bookmarkEnd w:id="7"/>
    </w:p>
    <w:p w14:paraId="5F67CDD0">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4" w:name="_Toc30618"/>
      <w:r>
        <w:rPr>
          <w:rFonts w:hint="eastAsia" w:ascii="方正小标宋简体" w:hAnsi="方正小标宋简体" w:eastAsia="方正小标宋简体" w:cs="方正小标宋简体"/>
          <w:sz w:val="72"/>
          <w:szCs w:val="72"/>
          <w:lang w:eastAsia="zh-CN"/>
        </w:rPr>
        <w:t>郭元乡人民政府</w:t>
      </w:r>
      <w:r>
        <w:rPr>
          <w:rFonts w:hint="eastAsia" w:ascii="方正小标宋简体" w:hAnsi="方正小标宋简体" w:eastAsia="方正小标宋简体" w:cs="方正小标宋简体"/>
          <w:sz w:val="72"/>
          <w:szCs w:val="72"/>
        </w:rPr>
        <w:t>部门决算</w:t>
      </w:r>
      <w:bookmarkEnd w:id="8"/>
      <w:bookmarkEnd w:id="9"/>
      <w:bookmarkEnd w:id="10"/>
      <w:bookmarkEnd w:id="11"/>
      <w:bookmarkEnd w:id="12"/>
      <w:bookmarkEnd w:id="13"/>
      <w:bookmarkEnd w:id="14"/>
    </w:p>
    <w:p w14:paraId="3658783B">
      <w:pPr>
        <w:widowControl/>
        <w:jc w:val="center"/>
        <w:rPr>
          <w:rFonts w:ascii="黑体" w:hAnsi="黑体" w:eastAsia="黑体" w:cstheme="minorBidi"/>
          <w:sz w:val="28"/>
          <w:szCs w:val="28"/>
        </w:rPr>
      </w:pPr>
      <w:r>
        <w:rPr>
          <w:rFonts w:ascii="方正小标宋简体" w:hAnsi="宋体" w:eastAsia="方正小标宋简体"/>
          <w:sz w:val="36"/>
          <w:szCs w:val="36"/>
        </w:rPr>
        <w:br w:type="page"/>
      </w:r>
    </w:p>
    <w:p w14:paraId="0B68F8B0">
      <w:pPr>
        <w:pStyle w:val="12"/>
      </w:pPr>
      <w:r>
        <w:rPr>
          <w:rFonts w:hint="eastAsia"/>
        </w:rPr>
        <w:t>公开时间：2023年</w:t>
      </w:r>
      <w:r>
        <w:rPr>
          <w:rFonts w:hint="eastAsia"/>
          <w:lang w:val="en-US" w:eastAsia="zh-CN"/>
        </w:rPr>
        <w:t>10</w:t>
      </w:r>
      <w:r>
        <w:rPr>
          <w:rFonts w:hint="eastAsia"/>
        </w:rPr>
        <w:t>月</w:t>
      </w:r>
      <w:r>
        <w:rPr>
          <w:rFonts w:hint="eastAsia"/>
          <w:lang w:val="en-US" w:eastAsia="zh-CN"/>
        </w:rPr>
        <w:t>5</w:t>
      </w:r>
      <w:r>
        <w:rPr>
          <w:rFonts w:hint="eastAsia"/>
        </w:rPr>
        <w:t xml:space="preserve"> 日</w:t>
      </w:r>
    </w:p>
    <w:sdt>
      <w:sdtPr>
        <w:rPr>
          <w:rFonts w:ascii="宋体" w:hAnsi="宋体" w:eastAsia="宋体" w:cs="Times New Roman"/>
          <w:kern w:val="2"/>
          <w:sz w:val="21"/>
          <w:szCs w:val="24"/>
          <w:lang w:val="en-US" w:eastAsia="zh-CN" w:bidi="ar-SA"/>
        </w:rPr>
        <w:id w:val="147453415"/>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14:paraId="4573B5AF">
          <w:pPr>
            <w:spacing w:before="0" w:beforeLines="0" w:after="0" w:afterLines="0" w:line="240" w:lineRule="auto"/>
            <w:ind w:left="0" w:leftChars="0" w:right="0" w:rightChars="0" w:firstLine="0" w:firstLineChars="0"/>
            <w:jc w:val="center"/>
          </w:pPr>
          <w:r>
            <w:rPr>
              <w:rFonts w:hint="eastAsia" w:ascii="宋体" w:hAnsi="宋体" w:cs="Times New Roman"/>
              <w:kern w:val="2"/>
              <w:sz w:val="21"/>
              <w:szCs w:val="24"/>
              <w:lang w:val="en-US" w:eastAsia="zh-CN" w:bidi="ar-SA"/>
            </w:rPr>
            <w:t>目录</w:t>
          </w:r>
        </w:p>
        <w:p w14:paraId="052BDEB3">
          <w:pPr>
            <w:pStyle w:val="34"/>
            <w:tabs>
              <w:tab w:val="right" w:leader="dot" w:pos="8306"/>
            </w:tabs>
            <w:rPr>
              <w:b/>
            </w:rPr>
          </w:pPr>
          <w:r>
            <w:fldChar w:fldCharType="begin"/>
          </w:r>
          <w:r>
            <w:instrText xml:space="preserve">TOC \o "1-2" \h \u </w:instrText>
          </w:r>
          <w:r>
            <w:fldChar w:fldCharType="separate"/>
          </w:r>
          <w:r>
            <w:rPr>
              <w:b/>
            </w:rPr>
            <w:fldChar w:fldCharType="begin"/>
          </w:r>
          <w:r>
            <w:rPr>
              <w:b/>
            </w:rPr>
            <w:instrText xml:space="preserve"> HYPERLINK \l _Toc21026 </w:instrText>
          </w:r>
          <w:r>
            <w:rPr>
              <w:b/>
            </w:rPr>
            <w:fldChar w:fldCharType="separate"/>
          </w:r>
          <w:r>
            <w:rPr>
              <w:rFonts w:hint="eastAsia" w:ascii="方正小标宋简体" w:hAnsi="方正小标宋简体" w:eastAsia="方正小标宋简体" w:cs="方正小标宋简体"/>
              <w:b/>
              <w:szCs w:val="72"/>
            </w:rPr>
            <w:t>2023年度</w:t>
          </w:r>
          <w:r>
            <w:rPr>
              <w:b/>
            </w:rPr>
            <w:tab/>
          </w:r>
          <w:r>
            <w:rPr>
              <w:b/>
            </w:rPr>
            <w:fldChar w:fldCharType="begin"/>
          </w:r>
          <w:r>
            <w:rPr>
              <w:b/>
            </w:rPr>
            <w:instrText xml:space="preserve"> PAGEREF _Toc21026 \h </w:instrText>
          </w:r>
          <w:r>
            <w:rPr>
              <w:b/>
            </w:rPr>
            <w:fldChar w:fldCharType="separate"/>
          </w:r>
          <w:r>
            <w:rPr>
              <w:b/>
            </w:rPr>
            <w:t>1</w:t>
          </w:r>
          <w:r>
            <w:rPr>
              <w:b/>
            </w:rPr>
            <w:fldChar w:fldCharType="end"/>
          </w:r>
          <w:r>
            <w:rPr>
              <w:b/>
            </w:rPr>
            <w:fldChar w:fldCharType="end"/>
          </w:r>
        </w:p>
        <w:p w14:paraId="46FDA98D">
          <w:pPr>
            <w:pStyle w:val="34"/>
            <w:tabs>
              <w:tab w:val="right" w:leader="dot" w:pos="8306"/>
            </w:tabs>
            <w:rPr>
              <w:b/>
            </w:rPr>
          </w:pPr>
          <w:r>
            <w:rPr>
              <w:b/>
            </w:rPr>
            <w:fldChar w:fldCharType="begin"/>
          </w:r>
          <w:r>
            <w:rPr>
              <w:b/>
            </w:rPr>
            <w:instrText xml:space="preserve"> HYPERLINK \l _Toc15119 </w:instrText>
          </w:r>
          <w:r>
            <w:rPr>
              <w:b/>
            </w:rPr>
            <w:fldChar w:fldCharType="separate"/>
          </w:r>
          <w:r>
            <w:rPr>
              <w:rFonts w:hint="eastAsia" w:ascii="方正小标宋简体" w:hAnsi="方正小标宋简体" w:eastAsia="方正小标宋简体" w:cs="方正小标宋简体"/>
              <w:b/>
              <w:szCs w:val="72"/>
            </w:rPr>
            <w:t>四川省</w:t>
          </w:r>
          <w:r>
            <w:rPr>
              <w:rFonts w:hint="eastAsia" w:ascii="方正小标宋简体" w:hAnsi="方正小标宋简体" w:eastAsia="方正小标宋简体" w:cs="方正小标宋简体"/>
              <w:b/>
              <w:szCs w:val="72"/>
              <w:lang w:eastAsia="zh-CN"/>
            </w:rPr>
            <w:t>阿坝州九寨沟县</w:t>
          </w:r>
          <w:r>
            <w:rPr>
              <w:b/>
            </w:rPr>
            <w:tab/>
          </w:r>
          <w:r>
            <w:rPr>
              <w:b/>
            </w:rPr>
            <w:fldChar w:fldCharType="begin"/>
          </w:r>
          <w:r>
            <w:rPr>
              <w:b/>
            </w:rPr>
            <w:instrText xml:space="preserve"> PAGEREF _Toc15119 \h </w:instrText>
          </w:r>
          <w:r>
            <w:rPr>
              <w:b/>
            </w:rPr>
            <w:fldChar w:fldCharType="separate"/>
          </w:r>
          <w:r>
            <w:rPr>
              <w:b/>
            </w:rPr>
            <w:t>1</w:t>
          </w:r>
          <w:r>
            <w:rPr>
              <w:b/>
            </w:rPr>
            <w:fldChar w:fldCharType="end"/>
          </w:r>
          <w:r>
            <w:rPr>
              <w:b/>
            </w:rPr>
            <w:fldChar w:fldCharType="end"/>
          </w:r>
        </w:p>
        <w:p w14:paraId="46BE6F84">
          <w:pPr>
            <w:pStyle w:val="34"/>
            <w:tabs>
              <w:tab w:val="right" w:leader="dot" w:pos="8306"/>
            </w:tabs>
            <w:rPr>
              <w:b/>
            </w:rPr>
          </w:pPr>
          <w:r>
            <w:rPr>
              <w:b/>
            </w:rPr>
            <w:fldChar w:fldCharType="begin"/>
          </w:r>
          <w:r>
            <w:rPr>
              <w:b/>
            </w:rPr>
            <w:instrText xml:space="preserve"> HYPERLINK \l _Toc30618 </w:instrText>
          </w:r>
          <w:r>
            <w:rPr>
              <w:b/>
            </w:rPr>
            <w:fldChar w:fldCharType="separate"/>
          </w:r>
          <w:r>
            <w:rPr>
              <w:rFonts w:hint="eastAsia" w:ascii="方正小标宋简体" w:hAnsi="方正小标宋简体" w:eastAsia="方正小标宋简体" w:cs="方正小标宋简体"/>
              <w:b/>
              <w:szCs w:val="72"/>
              <w:lang w:eastAsia="zh-CN"/>
            </w:rPr>
            <w:t>郭元乡人民政府</w:t>
          </w:r>
          <w:r>
            <w:rPr>
              <w:rFonts w:hint="eastAsia" w:ascii="方正小标宋简体" w:hAnsi="方正小标宋简体" w:eastAsia="方正小标宋简体" w:cs="方正小标宋简体"/>
              <w:b/>
              <w:szCs w:val="72"/>
            </w:rPr>
            <w:t>部门决算</w:t>
          </w:r>
          <w:r>
            <w:rPr>
              <w:b/>
            </w:rPr>
            <w:tab/>
          </w:r>
          <w:r>
            <w:rPr>
              <w:b/>
            </w:rPr>
            <w:fldChar w:fldCharType="begin"/>
          </w:r>
          <w:r>
            <w:rPr>
              <w:b/>
            </w:rPr>
            <w:instrText xml:space="preserve"> PAGEREF _Toc30618 \h </w:instrText>
          </w:r>
          <w:r>
            <w:rPr>
              <w:b/>
            </w:rPr>
            <w:fldChar w:fldCharType="separate"/>
          </w:r>
          <w:r>
            <w:rPr>
              <w:b/>
            </w:rPr>
            <w:t>1</w:t>
          </w:r>
          <w:r>
            <w:rPr>
              <w:b/>
            </w:rPr>
            <w:fldChar w:fldCharType="end"/>
          </w:r>
          <w:r>
            <w:rPr>
              <w:b/>
            </w:rPr>
            <w:fldChar w:fldCharType="end"/>
          </w:r>
        </w:p>
        <w:p w14:paraId="7C3CC43B">
          <w:pPr>
            <w:pStyle w:val="34"/>
            <w:tabs>
              <w:tab w:val="right" w:leader="dot" w:pos="8306"/>
            </w:tabs>
            <w:rPr>
              <w:b/>
            </w:rPr>
          </w:pPr>
          <w:r>
            <w:rPr>
              <w:b/>
            </w:rPr>
            <w:fldChar w:fldCharType="begin"/>
          </w:r>
          <w:r>
            <w:rPr>
              <w:b/>
            </w:rPr>
            <w:instrText xml:space="preserve"> HYPERLINK \l _Toc19894 </w:instrText>
          </w:r>
          <w:r>
            <w:rPr>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_Toc19894 \h </w:instrText>
          </w:r>
          <w:r>
            <w:rPr>
              <w:b/>
            </w:rPr>
            <w:fldChar w:fldCharType="separate"/>
          </w:r>
          <w:r>
            <w:rPr>
              <w:b/>
            </w:rPr>
            <w:t>3</w:t>
          </w:r>
          <w:r>
            <w:rPr>
              <w:b/>
            </w:rPr>
            <w:fldChar w:fldCharType="end"/>
          </w:r>
          <w:r>
            <w:rPr>
              <w:b/>
            </w:rPr>
            <w:fldChar w:fldCharType="end"/>
          </w:r>
        </w:p>
        <w:p w14:paraId="74B77EA1">
          <w:pPr>
            <w:pStyle w:val="35"/>
            <w:tabs>
              <w:tab w:val="right" w:leader="dot" w:pos="8306"/>
            </w:tabs>
          </w:pPr>
          <w:r>
            <w:fldChar w:fldCharType="begin"/>
          </w:r>
          <w:r>
            <w:instrText xml:space="preserve"> HYPERLINK \l _Toc4889 </w:instrText>
          </w:r>
          <w:r>
            <w:fldChar w:fldCharType="separate"/>
          </w:r>
          <w:r>
            <w:rPr>
              <w:rFonts w:hint="eastAsia" w:ascii="黑体" w:hAnsi="黑体" w:eastAsia="黑体"/>
            </w:rPr>
            <w:t>一、 部门职责</w:t>
          </w:r>
          <w:r>
            <w:tab/>
          </w:r>
          <w:r>
            <w:fldChar w:fldCharType="begin"/>
          </w:r>
          <w:r>
            <w:instrText xml:space="preserve"> PAGEREF _Toc4889 \h </w:instrText>
          </w:r>
          <w:r>
            <w:fldChar w:fldCharType="separate"/>
          </w:r>
          <w:r>
            <w:t>3</w:t>
          </w:r>
          <w:r>
            <w:fldChar w:fldCharType="end"/>
          </w:r>
          <w:r>
            <w:fldChar w:fldCharType="end"/>
          </w:r>
        </w:p>
        <w:p w14:paraId="4FAA3057">
          <w:pPr>
            <w:pStyle w:val="35"/>
            <w:tabs>
              <w:tab w:val="right" w:leader="dot" w:pos="8306"/>
            </w:tabs>
          </w:pPr>
          <w:r>
            <w:fldChar w:fldCharType="begin"/>
          </w:r>
          <w:r>
            <w:instrText xml:space="preserve"> HYPERLINK \l _Toc27388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_Toc27388 \h </w:instrText>
          </w:r>
          <w:r>
            <w:fldChar w:fldCharType="separate"/>
          </w:r>
          <w:r>
            <w:t>6</w:t>
          </w:r>
          <w:r>
            <w:fldChar w:fldCharType="end"/>
          </w:r>
          <w:r>
            <w:fldChar w:fldCharType="end"/>
          </w:r>
        </w:p>
        <w:p w14:paraId="33ECE4F1">
          <w:pPr>
            <w:pStyle w:val="34"/>
            <w:tabs>
              <w:tab w:val="right" w:leader="dot" w:pos="8306"/>
            </w:tabs>
            <w:rPr>
              <w:b/>
            </w:rPr>
          </w:pPr>
          <w:r>
            <w:rPr>
              <w:b/>
            </w:rPr>
            <w:fldChar w:fldCharType="begin"/>
          </w:r>
          <w:r>
            <w:rPr>
              <w:b/>
            </w:rPr>
            <w:instrText xml:space="preserve"> HYPERLINK \l _Toc11673 </w:instrText>
          </w:r>
          <w:r>
            <w:rPr>
              <w:b/>
            </w:rPr>
            <w:fldChar w:fldCharType="separate"/>
          </w:r>
          <w:r>
            <w:rPr>
              <w:rFonts w:hint="eastAsia" w:ascii="黑体" w:hAnsi="黑体" w:eastAsia="黑体"/>
              <w:b/>
            </w:rPr>
            <w:t>第二部分 2023年度</w:t>
          </w:r>
          <w:r>
            <w:rPr>
              <w:rFonts w:hint="eastAsia" w:ascii="黑体" w:hAnsi="黑体" w:eastAsia="黑体"/>
              <w:b/>
              <w:bCs/>
            </w:rPr>
            <w:t>部门决算情况说明</w:t>
          </w:r>
          <w:r>
            <w:rPr>
              <w:b/>
            </w:rPr>
            <w:tab/>
          </w:r>
          <w:r>
            <w:rPr>
              <w:b/>
            </w:rPr>
            <w:fldChar w:fldCharType="begin"/>
          </w:r>
          <w:r>
            <w:rPr>
              <w:b/>
            </w:rPr>
            <w:instrText xml:space="preserve"> PAGEREF _Toc11673 \h </w:instrText>
          </w:r>
          <w:r>
            <w:rPr>
              <w:b/>
            </w:rPr>
            <w:fldChar w:fldCharType="separate"/>
          </w:r>
          <w:r>
            <w:rPr>
              <w:b/>
            </w:rPr>
            <w:t>7</w:t>
          </w:r>
          <w:r>
            <w:rPr>
              <w:b/>
            </w:rPr>
            <w:fldChar w:fldCharType="end"/>
          </w:r>
          <w:r>
            <w:rPr>
              <w:b/>
            </w:rPr>
            <w:fldChar w:fldCharType="end"/>
          </w:r>
        </w:p>
        <w:p w14:paraId="68A4EDAF">
          <w:pPr>
            <w:pStyle w:val="35"/>
            <w:tabs>
              <w:tab w:val="right" w:leader="dot" w:pos="8306"/>
            </w:tabs>
          </w:pPr>
          <w:r>
            <w:fldChar w:fldCharType="begin"/>
          </w:r>
          <w:r>
            <w:instrText xml:space="preserve"> HYPERLINK \l _Toc32671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_Toc32671 \h </w:instrText>
          </w:r>
          <w:r>
            <w:fldChar w:fldCharType="separate"/>
          </w:r>
          <w:r>
            <w:t>7</w:t>
          </w:r>
          <w:r>
            <w:fldChar w:fldCharType="end"/>
          </w:r>
          <w:r>
            <w:fldChar w:fldCharType="end"/>
          </w:r>
        </w:p>
        <w:p w14:paraId="26312962">
          <w:pPr>
            <w:pStyle w:val="35"/>
            <w:tabs>
              <w:tab w:val="right" w:leader="dot" w:pos="8306"/>
            </w:tabs>
          </w:pPr>
          <w:r>
            <w:fldChar w:fldCharType="begin"/>
          </w:r>
          <w:r>
            <w:instrText xml:space="preserve"> HYPERLINK \l _Toc4584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_Toc4584 \h </w:instrText>
          </w:r>
          <w:r>
            <w:fldChar w:fldCharType="separate"/>
          </w:r>
          <w:r>
            <w:t>7</w:t>
          </w:r>
          <w:r>
            <w:fldChar w:fldCharType="end"/>
          </w:r>
          <w:r>
            <w:fldChar w:fldCharType="end"/>
          </w:r>
        </w:p>
        <w:p w14:paraId="4400D82A">
          <w:pPr>
            <w:pStyle w:val="35"/>
            <w:tabs>
              <w:tab w:val="right" w:leader="dot" w:pos="8306"/>
            </w:tabs>
          </w:pPr>
          <w:r>
            <w:fldChar w:fldCharType="begin"/>
          </w:r>
          <w:r>
            <w:instrText xml:space="preserve"> HYPERLINK \l _Toc19292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_Toc19292 \h </w:instrText>
          </w:r>
          <w:r>
            <w:fldChar w:fldCharType="separate"/>
          </w:r>
          <w:r>
            <w:t>8</w:t>
          </w:r>
          <w:r>
            <w:fldChar w:fldCharType="end"/>
          </w:r>
          <w:r>
            <w:fldChar w:fldCharType="end"/>
          </w:r>
        </w:p>
        <w:p w14:paraId="0380484C">
          <w:pPr>
            <w:pStyle w:val="35"/>
            <w:tabs>
              <w:tab w:val="right" w:leader="dot" w:pos="8306"/>
            </w:tabs>
          </w:pPr>
          <w:r>
            <w:fldChar w:fldCharType="begin"/>
          </w:r>
          <w:r>
            <w:instrText xml:space="preserve"> HYPERLINK \l _Toc7002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_Toc7002 \h </w:instrText>
          </w:r>
          <w:r>
            <w:fldChar w:fldCharType="separate"/>
          </w:r>
          <w:r>
            <w:t>9</w:t>
          </w:r>
          <w:r>
            <w:fldChar w:fldCharType="end"/>
          </w:r>
          <w:r>
            <w:fldChar w:fldCharType="end"/>
          </w:r>
        </w:p>
        <w:p w14:paraId="71227BCD">
          <w:pPr>
            <w:pStyle w:val="35"/>
            <w:tabs>
              <w:tab w:val="right" w:leader="dot" w:pos="8306"/>
            </w:tabs>
          </w:pPr>
          <w:r>
            <w:fldChar w:fldCharType="begin"/>
          </w:r>
          <w:r>
            <w:instrText xml:space="preserve"> HYPERLINK \l _Toc17495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_Toc17495 \h </w:instrText>
          </w:r>
          <w:r>
            <w:fldChar w:fldCharType="separate"/>
          </w:r>
          <w:r>
            <w:t>9</w:t>
          </w:r>
          <w:r>
            <w:fldChar w:fldCharType="end"/>
          </w:r>
          <w:r>
            <w:fldChar w:fldCharType="end"/>
          </w:r>
        </w:p>
        <w:p w14:paraId="67A100F9">
          <w:pPr>
            <w:pStyle w:val="35"/>
            <w:tabs>
              <w:tab w:val="right" w:leader="dot" w:pos="8306"/>
            </w:tabs>
          </w:pPr>
          <w:r>
            <w:fldChar w:fldCharType="begin"/>
          </w:r>
          <w:r>
            <w:instrText xml:space="preserve"> HYPERLINK \l _Toc3399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_Toc3399 \h </w:instrText>
          </w:r>
          <w:r>
            <w:fldChar w:fldCharType="separate"/>
          </w:r>
          <w:r>
            <w:t>13</w:t>
          </w:r>
          <w:r>
            <w:fldChar w:fldCharType="end"/>
          </w:r>
          <w:r>
            <w:fldChar w:fldCharType="end"/>
          </w:r>
        </w:p>
        <w:p w14:paraId="41908550">
          <w:pPr>
            <w:pStyle w:val="35"/>
            <w:tabs>
              <w:tab w:val="right" w:leader="dot" w:pos="8306"/>
            </w:tabs>
          </w:pPr>
          <w:r>
            <w:fldChar w:fldCharType="begin"/>
          </w:r>
          <w:r>
            <w:instrText xml:space="preserve"> HYPERLINK \l _Toc13690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_Toc13690 \h </w:instrText>
          </w:r>
          <w:r>
            <w:fldChar w:fldCharType="separate"/>
          </w:r>
          <w:r>
            <w:t>14</w:t>
          </w:r>
          <w:r>
            <w:fldChar w:fldCharType="end"/>
          </w:r>
          <w:r>
            <w:fldChar w:fldCharType="end"/>
          </w:r>
        </w:p>
        <w:p w14:paraId="0C70DF47">
          <w:pPr>
            <w:pStyle w:val="35"/>
            <w:tabs>
              <w:tab w:val="right" w:leader="dot" w:pos="8306"/>
            </w:tabs>
          </w:pPr>
          <w:r>
            <w:fldChar w:fldCharType="begin"/>
          </w:r>
          <w:r>
            <w:instrText xml:space="preserve"> HYPERLINK \l _Toc23135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_Toc23135 \h </w:instrText>
          </w:r>
          <w:r>
            <w:fldChar w:fldCharType="separate"/>
          </w:r>
          <w:r>
            <w:t>15</w:t>
          </w:r>
          <w:r>
            <w:fldChar w:fldCharType="end"/>
          </w:r>
          <w:r>
            <w:fldChar w:fldCharType="end"/>
          </w:r>
        </w:p>
        <w:p w14:paraId="4C77C252">
          <w:pPr>
            <w:pStyle w:val="35"/>
            <w:tabs>
              <w:tab w:val="right" w:leader="dot" w:pos="8306"/>
            </w:tabs>
          </w:pPr>
          <w:r>
            <w:fldChar w:fldCharType="begin"/>
          </w:r>
          <w:r>
            <w:instrText xml:space="preserve"> HYPERLINK \l _Toc28320 </w:instrText>
          </w:r>
          <w:r>
            <w:fldChar w:fldCharType="separate"/>
          </w:r>
          <w:r>
            <w:rPr>
              <w:rFonts w:hint="eastAsia" w:ascii="黑体" w:hAnsi="黑体" w:eastAsia="黑体"/>
            </w:rPr>
            <w:t>九、 国有资本经营预算支出决算情况说明</w:t>
          </w:r>
          <w:r>
            <w:tab/>
          </w:r>
          <w:r>
            <w:fldChar w:fldCharType="begin"/>
          </w:r>
          <w:r>
            <w:instrText xml:space="preserve"> PAGEREF _Toc28320 \h </w:instrText>
          </w:r>
          <w:r>
            <w:fldChar w:fldCharType="separate"/>
          </w:r>
          <w:r>
            <w:t>15</w:t>
          </w:r>
          <w:r>
            <w:fldChar w:fldCharType="end"/>
          </w:r>
          <w:r>
            <w:fldChar w:fldCharType="end"/>
          </w:r>
        </w:p>
        <w:p w14:paraId="54FAD4E3">
          <w:pPr>
            <w:pStyle w:val="35"/>
            <w:tabs>
              <w:tab w:val="right" w:leader="dot" w:pos="8306"/>
            </w:tabs>
          </w:pPr>
          <w:r>
            <w:fldChar w:fldCharType="begin"/>
          </w:r>
          <w:r>
            <w:instrText xml:space="preserve"> HYPERLINK \l _Toc22205 </w:instrText>
          </w:r>
          <w:r>
            <w:fldChar w:fldCharType="separate"/>
          </w:r>
          <w:r>
            <w:rPr>
              <w:rFonts w:hint="eastAsia" w:ascii="黑体" w:hAnsi="黑体" w:eastAsia="黑体"/>
            </w:rPr>
            <w:t>十、 其他重要事项的情况说明</w:t>
          </w:r>
          <w:r>
            <w:tab/>
          </w:r>
          <w:r>
            <w:fldChar w:fldCharType="begin"/>
          </w:r>
          <w:r>
            <w:instrText xml:space="preserve"> PAGEREF _Toc22205 \h </w:instrText>
          </w:r>
          <w:r>
            <w:fldChar w:fldCharType="separate"/>
          </w:r>
          <w:r>
            <w:t>16</w:t>
          </w:r>
          <w:r>
            <w:fldChar w:fldCharType="end"/>
          </w:r>
          <w:r>
            <w:fldChar w:fldCharType="end"/>
          </w:r>
        </w:p>
        <w:p w14:paraId="1DC6768C">
          <w:pPr>
            <w:pStyle w:val="34"/>
            <w:tabs>
              <w:tab w:val="right" w:leader="dot" w:pos="8306"/>
            </w:tabs>
            <w:rPr>
              <w:b/>
            </w:rPr>
          </w:pPr>
          <w:r>
            <w:rPr>
              <w:b/>
            </w:rPr>
            <w:fldChar w:fldCharType="begin"/>
          </w:r>
          <w:r>
            <w:rPr>
              <w:b/>
            </w:rPr>
            <w:instrText xml:space="preserve"> HYPERLINK \l _Toc26292 </w:instrText>
          </w:r>
          <w:r>
            <w:rPr>
              <w:b/>
            </w:rPr>
            <w:fldChar w:fldCharType="separate"/>
          </w:r>
          <w:r>
            <w:rPr>
              <w:rFonts w:hint="eastAsia"/>
              <w:b/>
            </w:rPr>
            <w:t>第三部分 名词解释</w:t>
          </w:r>
          <w:r>
            <w:rPr>
              <w:b/>
            </w:rPr>
            <w:tab/>
          </w:r>
          <w:r>
            <w:rPr>
              <w:b/>
            </w:rPr>
            <w:fldChar w:fldCharType="begin"/>
          </w:r>
          <w:r>
            <w:rPr>
              <w:b/>
            </w:rPr>
            <w:instrText xml:space="preserve"> PAGEREF _Toc26292 \h </w:instrText>
          </w:r>
          <w:r>
            <w:rPr>
              <w:b/>
            </w:rPr>
            <w:fldChar w:fldCharType="separate"/>
          </w:r>
          <w:r>
            <w:rPr>
              <w:b/>
            </w:rPr>
            <w:t>17</w:t>
          </w:r>
          <w:r>
            <w:rPr>
              <w:b/>
            </w:rPr>
            <w:fldChar w:fldCharType="end"/>
          </w:r>
          <w:r>
            <w:rPr>
              <w:b/>
            </w:rPr>
            <w:fldChar w:fldCharType="end"/>
          </w:r>
        </w:p>
        <w:p w14:paraId="3AD575BD">
          <w:pPr>
            <w:pStyle w:val="35"/>
            <w:tabs>
              <w:tab w:val="right" w:leader="dot" w:pos="8306"/>
            </w:tabs>
          </w:pPr>
          <w:r>
            <w:fldChar w:fldCharType="begin"/>
          </w:r>
          <w:r>
            <w:instrText xml:space="preserve"> HYPERLINK \l _Toc31000 </w:instrText>
          </w:r>
          <w:r>
            <w:fldChar w:fldCharType="separate"/>
          </w:r>
          <w:r>
            <w:rPr>
              <w:rFonts w:hint="eastAsia" w:ascii="仿宋_GB2312" w:eastAsia="仿宋_GB2312"/>
              <w:szCs w:val="32"/>
            </w:rPr>
            <w:t>1.财政拨款收入：指单位从同级财政部门取得的财政预算资金。</w:t>
          </w:r>
          <w:r>
            <w:tab/>
          </w:r>
          <w:r>
            <w:fldChar w:fldCharType="begin"/>
          </w:r>
          <w:r>
            <w:instrText xml:space="preserve"> PAGEREF _Toc31000 \h </w:instrText>
          </w:r>
          <w:r>
            <w:fldChar w:fldCharType="separate"/>
          </w:r>
          <w:r>
            <w:t>17</w:t>
          </w:r>
          <w:r>
            <w:fldChar w:fldCharType="end"/>
          </w:r>
          <w:r>
            <w:fldChar w:fldCharType="end"/>
          </w:r>
        </w:p>
        <w:p w14:paraId="73D65435">
          <w:pPr>
            <w:pStyle w:val="34"/>
            <w:tabs>
              <w:tab w:val="right" w:leader="dot" w:pos="8306"/>
            </w:tabs>
            <w:rPr>
              <w:b/>
            </w:rPr>
          </w:pPr>
          <w:r>
            <w:rPr>
              <w:b/>
            </w:rPr>
            <w:fldChar w:fldCharType="begin"/>
          </w:r>
          <w:r>
            <w:rPr>
              <w:b/>
            </w:rPr>
            <w:instrText xml:space="preserve"> HYPERLINK \l _Toc27009 </w:instrText>
          </w:r>
          <w:r>
            <w:rPr>
              <w:b/>
            </w:rPr>
            <w:fldChar w:fldCharType="separate"/>
          </w:r>
          <w:r>
            <w:rPr>
              <w:rFonts w:hint="eastAsia" w:ascii="黑体" w:hAnsi="黑体" w:eastAsia="黑体"/>
              <w:b/>
            </w:rPr>
            <w:t>第四部分 附件</w:t>
          </w:r>
          <w:r>
            <w:rPr>
              <w:b/>
            </w:rPr>
            <w:tab/>
          </w:r>
          <w:r>
            <w:rPr>
              <w:b/>
            </w:rPr>
            <w:fldChar w:fldCharType="begin"/>
          </w:r>
          <w:r>
            <w:rPr>
              <w:b/>
            </w:rPr>
            <w:instrText xml:space="preserve"> PAGEREF _Toc27009 \h </w:instrText>
          </w:r>
          <w:r>
            <w:rPr>
              <w:b/>
            </w:rPr>
            <w:fldChar w:fldCharType="separate"/>
          </w:r>
          <w:r>
            <w:rPr>
              <w:b/>
            </w:rPr>
            <w:t>21</w:t>
          </w:r>
          <w:r>
            <w:rPr>
              <w:b/>
            </w:rPr>
            <w:fldChar w:fldCharType="end"/>
          </w:r>
          <w:r>
            <w:rPr>
              <w:b/>
            </w:rPr>
            <w:fldChar w:fldCharType="end"/>
          </w:r>
        </w:p>
        <w:p w14:paraId="4851B723">
          <w:pPr>
            <w:pStyle w:val="35"/>
            <w:tabs>
              <w:tab w:val="right" w:leader="dot" w:pos="8306"/>
            </w:tabs>
          </w:pPr>
          <w:r>
            <w:fldChar w:fldCharType="begin"/>
          </w:r>
          <w:r>
            <w:instrText xml:space="preserve"> HYPERLINK \l _Toc5686 </w:instrText>
          </w:r>
          <w:r>
            <w:fldChar w:fldCharType="separate"/>
          </w:r>
          <w:r>
            <w:rPr>
              <w:rFonts w:hint="eastAsia" w:ascii="黑体" w:hAnsi="黑体" w:eastAsia="黑体"/>
              <w:szCs w:val="32"/>
            </w:rPr>
            <w:t>附件1</w:t>
          </w:r>
          <w:r>
            <w:rPr>
              <w:rFonts w:hint="eastAsia" w:ascii="黑体" w:hAnsi="黑体" w:eastAsia="黑体"/>
              <w:szCs w:val="32"/>
              <w:lang w:val="en-US" w:eastAsia="zh-CN"/>
            </w:rPr>
            <w:t>2023年郭元乡部门整体支出绩效评价报告</w:t>
          </w:r>
          <w:r>
            <w:tab/>
          </w:r>
          <w:r>
            <w:fldChar w:fldCharType="begin"/>
          </w:r>
          <w:r>
            <w:instrText xml:space="preserve"> PAGEREF _Toc5686 \h </w:instrText>
          </w:r>
          <w:r>
            <w:fldChar w:fldCharType="separate"/>
          </w:r>
          <w:r>
            <w:t>21</w:t>
          </w:r>
          <w:r>
            <w:fldChar w:fldCharType="end"/>
          </w:r>
          <w:r>
            <w:fldChar w:fldCharType="end"/>
          </w:r>
        </w:p>
        <w:p w14:paraId="68FBAA32">
          <w:pPr>
            <w:pStyle w:val="35"/>
            <w:tabs>
              <w:tab w:val="right" w:leader="dot" w:pos="8306"/>
            </w:tabs>
          </w:pPr>
          <w:r>
            <w:fldChar w:fldCharType="begin"/>
          </w:r>
          <w:r>
            <w:instrText xml:space="preserve"> HYPERLINK \l _Toc30776 </w:instrText>
          </w:r>
          <w:r>
            <w:fldChar w:fldCharType="separate"/>
          </w:r>
          <w:r>
            <w:rPr>
              <w:rFonts w:hint="eastAsia" w:ascii="黑体" w:hAnsi="黑体" w:eastAsia="黑体"/>
              <w:szCs w:val="32"/>
            </w:rPr>
            <w:t>一、部门（单位）基本情况</w:t>
          </w:r>
          <w:r>
            <w:tab/>
          </w:r>
          <w:r>
            <w:fldChar w:fldCharType="begin"/>
          </w:r>
          <w:r>
            <w:instrText xml:space="preserve"> PAGEREF _Toc30776 \h </w:instrText>
          </w:r>
          <w:r>
            <w:fldChar w:fldCharType="separate"/>
          </w:r>
          <w:r>
            <w:t>21</w:t>
          </w:r>
          <w:r>
            <w:fldChar w:fldCharType="end"/>
          </w:r>
          <w:r>
            <w:fldChar w:fldCharType="end"/>
          </w:r>
        </w:p>
        <w:p w14:paraId="29B3C84E">
          <w:pPr>
            <w:pStyle w:val="35"/>
            <w:tabs>
              <w:tab w:val="right" w:leader="dot" w:pos="8306"/>
            </w:tabs>
          </w:pPr>
          <w:r>
            <w:fldChar w:fldCharType="begin"/>
          </w:r>
          <w:r>
            <w:instrText xml:space="preserve"> HYPERLINK \l _Toc13313 </w:instrText>
          </w:r>
          <w:r>
            <w:fldChar w:fldCharType="separate"/>
          </w:r>
          <w:r>
            <w:rPr>
              <w:rFonts w:hint="eastAsia" w:ascii="黑体" w:hAnsi="黑体" w:eastAsia="黑体"/>
              <w:szCs w:val="32"/>
            </w:rPr>
            <w:t>二、部门资金收支情况</w:t>
          </w:r>
          <w:r>
            <w:tab/>
          </w:r>
          <w:r>
            <w:fldChar w:fldCharType="begin"/>
          </w:r>
          <w:r>
            <w:instrText xml:space="preserve"> PAGEREF _Toc13313 \h </w:instrText>
          </w:r>
          <w:r>
            <w:fldChar w:fldCharType="separate"/>
          </w:r>
          <w:r>
            <w:t>22</w:t>
          </w:r>
          <w:r>
            <w:fldChar w:fldCharType="end"/>
          </w:r>
          <w:r>
            <w:fldChar w:fldCharType="end"/>
          </w:r>
        </w:p>
        <w:p w14:paraId="7C6ED0A8">
          <w:pPr>
            <w:pStyle w:val="35"/>
            <w:tabs>
              <w:tab w:val="right" w:leader="dot" w:pos="8306"/>
            </w:tabs>
          </w:pPr>
          <w:r>
            <w:fldChar w:fldCharType="begin"/>
          </w:r>
          <w:r>
            <w:instrText xml:space="preserve"> HYPERLINK \l _Toc19629 </w:instrText>
          </w:r>
          <w:r>
            <w:fldChar w:fldCharType="separate"/>
          </w:r>
          <w:r>
            <w:rPr>
              <w:rFonts w:hint="eastAsia" w:ascii="黑体" w:hAnsi="黑体" w:eastAsia="黑体" w:cs="黑体"/>
              <w:szCs w:val="32"/>
            </w:rPr>
            <w:t>三、部门整体预算绩效管理情况</w:t>
          </w:r>
          <w:r>
            <w:tab/>
          </w:r>
          <w:r>
            <w:fldChar w:fldCharType="begin"/>
          </w:r>
          <w:r>
            <w:instrText xml:space="preserve"> PAGEREF _Toc19629 \h </w:instrText>
          </w:r>
          <w:r>
            <w:fldChar w:fldCharType="separate"/>
          </w:r>
          <w:r>
            <w:t>23</w:t>
          </w:r>
          <w:r>
            <w:fldChar w:fldCharType="end"/>
          </w:r>
          <w:r>
            <w:fldChar w:fldCharType="end"/>
          </w:r>
        </w:p>
        <w:p w14:paraId="6D02FE0B">
          <w:pPr>
            <w:pStyle w:val="35"/>
            <w:tabs>
              <w:tab w:val="right" w:leader="dot" w:pos="8306"/>
            </w:tabs>
          </w:pPr>
          <w:r>
            <w:fldChar w:fldCharType="begin"/>
          </w:r>
          <w:r>
            <w:instrText xml:space="preserve"> HYPERLINK \l _Toc2628 </w:instrText>
          </w:r>
          <w:r>
            <w:fldChar w:fldCharType="separate"/>
          </w:r>
          <w:r>
            <w:rPr>
              <w:rFonts w:hint="eastAsia" w:ascii="黑体" w:hAnsi="黑体" w:eastAsia="黑体"/>
              <w:szCs w:val="32"/>
            </w:rPr>
            <w:t>四、评价结论及建议</w:t>
          </w:r>
          <w:r>
            <w:tab/>
          </w:r>
          <w:r>
            <w:fldChar w:fldCharType="begin"/>
          </w:r>
          <w:r>
            <w:instrText xml:space="preserve"> PAGEREF _Toc2628 \h </w:instrText>
          </w:r>
          <w:r>
            <w:fldChar w:fldCharType="separate"/>
          </w:r>
          <w:r>
            <w:t>23</w:t>
          </w:r>
          <w:r>
            <w:fldChar w:fldCharType="end"/>
          </w:r>
          <w:r>
            <w:fldChar w:fldCharType="end"/>
          </w:r>
        </w:p>
        <w:p w14:paraId="7C598E08">
          <w:pPr>
            <w:pStyle w:val="34"/>
            <w:tabs>
              <w:tab w:val="right" w:leader="dot" w:pos="8306"/>
            </w:tabs>
            <w:rPr>
              <w:b/>
            </w:rPr>
          </w:pPr>
          <w:r>
            <w:rPr>
              <w:b/>
            </w:rPr>
            <w:fldChar w:fldCharType="begin"/>
          </w:r>
          <w:r>
            <w:rPr>
              <w:b/>
            </w:rPr>
            <w:instrText xml:space="preserve"> HYPERLINK \l _Toc14239 </w:instrText>
          </w:r>
          <w:r>
            <w:rPr>
              <w:b/>
            </w:rPr>
            <w:fldChar w:fldCharType="separate"/>
          </w:r>
          <w:r>
            <w:rPr>
              <w:b/>
              <w:szCs w:val="27"/>
            </w:rPr>
            <w:t>部门（郭元乡）整体支出绩效目标</w:t>
          </w:r>
          <w:r>
            <w:rPr>
              <w:b/>
            </w:rPr>
            <w:tab/>
          </w:r>
          <w:r>
            <w:rPr>
              <w:b/>
            </w:rPr>
            <w:fldChar w:fldCharType="begin"/>
          </w:r>
          <w:r>
            <w:rPr>
              <w:b/>
            </w:rPr>
            <w:instrText xml:space="preserve"> PAGEREF _Toc14239 \h </w:instrText>
          </w:r>
          <w:r>
            <w:rPr>
              <w:b/>
            </w:rPr>
            <w:fldChar w:fldCharType="separate"/>
          </w:r>
          <w:r>
            <w:rPr>
              <w:b/>
            </w:rPr>
            <w:t>25</w:t>
          </w:r>
          <w:r>
            <w:rPr>
              <w:b/>
            </w:rPr>
            <w:fldChar w:fldCharType="end"/>
          </w:r>
          <w:r>
            <w:rPr>
              <w:b/>
            </w:rPr>
            <w:fldChar w:fldCharType="end"/>
          </w:r>
        </w:p>
        <w:p w14:paraId="7178F19B">
          <w:pPr>
            <w:pStyle w:val="34"/>
            <w:tabs>
              <w:tab w:val="right" w:leader="dot" w:pos="8306"/>
            </w:tabs>
            <w:rPr>
              <w:b/>
            </w:rPr>
          </w:pPr>
          <w:r>
            <w:rPr>
              <w:b/>
            </w:rPr>
            <w:fldChar w:fldCharType="begin"/>
          </w:r>
          <w:r>
            <w:rPr>
              <w:b/>
            </w:rPr>
            <w:instrText xml:space="preserve"> HYPERLINK \l _Toc18012 </w:instrText>
          </w:r>
          <w:r>
            <w:rPr>
              <w:b/>
            </w:rPr>
            <w:fldChar w:fldCharType="separate"/>
          </w:r>
          <w:r>
            <w:rPr>
              <w:rFonts w:hint="eastAsia" w:ascii="黑体" w:hAnsi="黑体" w:eastAsia="黑体"/>
              <w:b/>
            </w:rPr>
            <w:t>第五部分 附表</w:t>
          </w:r>
          <w:r>
            <w:rPr>
              <w:b/>
            </w:rPr>
            <w:tab/>
          </w:r>
          <w:r>
            <w:rPr>
              <w:b/>
            </w:rPr>
            <w:fldChar w:fldCharType="begin"/>
          </w:r>
          <w:r>
            <w:rPr>
              <w:b/>
            </w:rPr>
            <w:instrText xml:space="preserve"> PAGEREF _Toc18012 \h </w:instrText>
          </w:r>
          <w:r>
            <w:rPr>
              <w:b/>
            </w:rPr>
            <w:fldChar w:fldCharType="separate"/>
          </w:r>
          <w:r>
            <w:rPr>
              <w:b/>
            </w:rPr>
            <w:t>26</w:t>
          </w:r>
          <w:r>
            <w:rPr>
              <w:b/>
            </w:rPr>
            <w:fldChar w:fldCharType="end"/>
          </w:r>
          <w:r>
            <w:rPr>
              <w:b/>
            </w:rPr>
            <w:fldChar w:fldCharType="end"/>
          </w:r>
        </w:p>
        <w:p w14:paraId="01456BA3">
          <w:pPr>
            <w:pStyle w:val="35"/>
            <w:tabs>
              <w:tab w:val="right" w:leader="dot" w:pos="8306"/>
            </w:tabs>
            <w:rPr>
              <w:rFonts w:hint="eastAsia" w:eastAsia="宋体"/>
              <w:lang w:val="en-US" w:eastAsia="zh-CN"/>
            </w:rPr>
          </w:pPr>
          <w:r>
            <w:rPr>
              <w:b/>
            </w:rPr>
            <w:fldChar w:fldCharType="end"/>
          </w:r>
          <w:r>
            <w:fldChar w:fldCharType="begin"/>
          </w:r>
          <w:r>
            <w:instrText xml:space="preserve"> HYPERLINK \l _Toc30776 </w:instrText>
          </w:r>
          <w:r>
            <w:fldChar w:fldCharType="separate"/>
          </w:r>
          <w:r>
            <w:rPr>
              <w:rFonts w:hint="eastAsia" w:ascii="黑体" w:hAnsi="黑体" w:eastAsia="黑体"/>
              <w:szCs w:val="32"/>
            </w:rPr>
            <w:t>一、</w:t>
          </w:r>
          <w:r>
            <w:rPr>
              <w:rFonts w:hint="eastAsia" w:ascii="黑体" w:hAnsi="黑体" w:eastAsia="黑体"/>
              <w:szCs w:val="32"/>
              <w:lang w:eastAsia="zh-CN"/>
            </w:rPr>
            <w:t>收入支出决算总表</w:t>
          </w:r>
          <w:r>
            <w:tab/>
          </w:r>
          <w:r>
            <w:rPr>
              <w:rFonts w:hint="eastAsia"/>
              <w:lang w:val="en-US" w:eastAsia="zh-CN"/>
            </w:rPr>
            <w:t>2</w:t>
          </w:r>
          <w:r>
            <w:fldChar w:fldCharType="end"/>
          </w:r>
          <w:r>
            <w:rPr>
              <w:rFonts w:hint="eastAsia"/>
              <w:lang w:val="en-US" w:eastAsia="zh-CN"/>
            </w:rPr>
            <w:t>6</w:t>
          </w:r>
        </w:p>
        <w:p w14:paraId="0FFCBEDE">
          <w:pPr>
            <w:pStyle w:val="35"/>
            <w:tabs>
              <w:tab w:val="right" w:leader="dot" w:pos="8306"/>
            </w:tabs>
            <w:rPr>
              <w:rFonts w:hint="eastAsia" w:eastAsia="宋体"/>
              <w:lang w:val="en-US" w:eastAsia="zh-CN"/>
            </w:rPr>
          </w:pPr>
          <w:r>
            <w:fldChar w:fldCharType="begin"/>
          </w:r>
          <w:r>
            <w:instrText xml:space="preserve"> HYPERLINK \l _Toc13313 </w:instrText>
          </w:r>
          <w:r>
            <w:fldChar w:fldCharType="separate"/>
          </w:r>
          <w:r>
            <w:rPr>
              <w:rFonts w:hint="eastAsia" w:ascii="黑体" w:hAnsi="黑体" w:eastAsia="黑体"/>
              <w:szCs w:val="32"/>
            </w:rPr>
            <w:t>二、</w:t>
          </w:r>
          <w:r>
            <w:rPr>
              <w:rFonts w:hint="eastAsia" w:ascii="黑体" w:hAnsi="黑体" w:eastAsia="黑体"/>
              <w:szCs w:val="32"/>
              <w:lang w:eastAsia="zh-CN"/>
            </w:rPr>
            <w:t>收入决算表</w:t>
          </w:r>
          <w:r>
            <w:tab/>
          </w:r>
          <w:r>
            <w:rPr>
              <w:rFonts w:hint="eastAsia"/>
              <w:lang w:val="en-US" w:eastAsia="zh-CN"/>
            </w:rPr>
            <w:t>2</w:t>
          </w:r>
          <w:r>
            <w:fldChar w:fldCharType="end"/>
          </w:r>
          <w:r>
            <w:rPr>
              <w:rFonts w:hint="eastAsia"/>
              <w:lang w:val="en-US" w:eastAsia="zh-CN"/>
            </w:rPr>
            <w:t>6</w:t>
          </w:r>
        </w:p>
        <w:p w14:paraId="0A85C034">
          <w:pPr>
            <w:pStyle w:val="35"/>
            <w:tabs>
              <w:tab w:val="right" w:leader="dot" w:pos="8306"/>
            </w:tabs>
            <w:rPr>
              <w:b/>
            </w:rPr>
          </w:pPr>
          <w:r>
            <w:fldChar w:fldCharType="begin"/>
          </w:r>
          <w:r>
            <w:instrText xml:space="preserve"> HYPERLINK \l _Toc19629 </w:instrText>
          </w:r>
          <w:r>
            <w:fldChar w:fldCharType="separate"/>
          </w:r>
          <w:r>
            <w:rPr>
              <w:rFonts w:hint="eastAsia" w:ascii="黑体" w:hAnsi="黑体" w:eastAsia="黑体" w:cs="黑体"/>
              <w:szCs w:val="32"/>
            </w:rPr>
            <w:t>三、</w:t>
          </w:r>
          <w:r>
            <w:rPr>
              <w:rFonts w:hint="eastAsia" w:ascii="黑体" w:hAnsi="黑体" w:eastAsia="黑体" w:cs="黑体"/>
              <w:szCs w:val="32"/>
              <w:lang w:eastAsia="zh-CN"/>
            </w:rPr>
            <w:t>支出决算表</w:t>
          </w:r>
          <w:r>
            <w:tab/>
          </w:r>
          <w:r>
            <w:rPr>
              <w:rFonts w:hint="eastAsia"/>
              <w:lang w:val="en-US" w:eastAsia="zh-CN"/>
            </w:rPr>
            <w:t>2</w:t>
          </w:r>
          <w:r>
            <w:fldChar w:fldCharType="end"/>
          </w:r>
          <w:r>
            <w:rPr>
              <w:rFonts w:hint="eastAsia"/>
              <w:lang w:val="en-US" w:eastAsia="zh-CN"/>
            </w:rPr>
            <w:t>6</w:t>
          </w:r>
        </w:p>
      </w:sdtContent>
    </w:sdt>
    <w:p w14:paraId="13296DA1">
      <w:pPr>
        <w:pStyle w:val="35"/>
        <w:tabs>
          <w:tab w:val="right" w:leader="dot" w:pos="8306"/>
        </w:tabs>
        <w:rPr>
          <w:rFonts w:hint="eastAsia" w:eastAsia="宋体"/>
          <w:lang w:val="en-US" w:eastAsia="zh-CN"/>
        </w:rPr>
      </w:pPr>
      <w:r>
        <w:fldChar w:fldCharType="begin"/>
      </w:r>
      <w:r>
        <w:instrText xml:space="preserve"> HYPERLINK \l _Toc30776 </w:instrText>
      </w:r>
      <w:r>
        <w:fldChar w:fldCharType="separate"/>
      </w:r>
      <w:r>
        <w:rPr>
          <w:rFonts w:hint="eastAsia" w:ascii="黑体" w:hAnsi="黑体" w:eastAsia="黑体"/>
          <w:szCs w:val="32"/>
          <w:lang w:eastAsia="zh-CN"/>
        </w:rPr>
        <w:t>四</w:t>
      </w:r>
      <w:r>
        <w:rPr>
          <w:rFonts w:hint="eastAsia" w:ascii="黑体" w:hAnsi="黑体" w:eastAsia="黑体"/>
          <w:szCs w:val="32"/>
        </w:rPr>
        <w:t>、</w:t>
      </w:r>
      <w:r>
        <w:rPr>
          <w:rFonts w:hint="eastAsia" w:ascii="黑体" w:hAnsi="黑体" w:eastAsia="黑体"/>
          <w:szCs w:val="32"/>
          <w:lang w:eastAsia="zh-CN"/>
        </w:rPr>
        <w:t>财政拨款收入支出决算总表</w:t>
      </w:r>
      <w:r>
        <w:tab/>
      </w:r>
      <w:r>
        <w:rPr>
          <w:rFonts w:hint="eastAsia"/>
          <w:lang w:val="en-US" w:eastAsia="zh-CN"/>
        </w:rPr>
        <w:t>2</w:t>
      </w:r>
      <w:r>
        <w:fldChar w:fldCharType="end"/>
      </w:r>
      <w:r>
        <w:rPr>
          <w:rFonts w:hint="eastAsia"/>
          <w:lang w:val="en-US" w:eastAsia="zh-CN"/>
        </w:rPr>
        <w:t>6</w:t>
      </w:r>
    </w:p>
    <w:p w14:paraId="2AC5694D">
      <w:pPr>
        <w:pStyle w:val="35"/>
        <w:tabs>
          <w:tab w:val="right" w:leader="dot" w:pos="8306"/>
        </w:tabs>
        <w:rPr>
          <w:rFonts w:hint="eastAsia" w:eastAsia="宋体"/>
          <w:lang w:val="en-US" w:eastAsia="zh-CN"/>
        </w:rPr>
      </w:pPr>
      <w:r>
        <w:fldChar w:fldCharType="begin"/>
      </w:r>
      <w:r>
        <w:instrText xml:space="preserve"> HYPERLINK \l _Toc13313 </w:instrText>
      </w:r>
      <w:r>
        <w:fldChar w:fldCharType="separate"/>
      </w:r>
      <w:r>
        <w:rPr>
          <w:rFonts w:hint="eastAsia"/>
          <w:lang w:eastAsia="zh-CN"/>
        </w:rPr>
        <w:t>五</w:t>
      </w:r>
      <w:r>
        <w:rPr>
          <w:rFonts w:hint="eastAsia" w:ascii="黑体" w:hAnsi="黑体" w:eastAsia="黑体"/>
          <w:szCs w:val="32"/>
        </w:rPr>
        <w:t>、</w:t>
      </w:r>
      <w:r>
        <w:rPr>
          <w:rFonts w:hint="eastAsia" w:ascii="黑体" w:hAnsi="黑体" w:eastAsia="黑体"/>
          <w:szCs w:val="32"/>
          <w:lang w:eastAsia="zh-CN"/>
        </w:rPr>
        <w:t>财政拨款支出决算明细表</w:t>
      </w:r>
      <w:r>
        <w:tab/>
      </w:r>
      <w:r>
        <w:rPr>
          <w:rFonts w:hint="eastAsia"/>
          <w:lang w:val="en-US" w:eastAsia="zh-CN"/>
        </w:rPr>
        <w:t>2</w:t>
      </w:r>
      <w:r>
        <w:fldChar w:fldCharType="end"/>
      </w:r>
      <w:r>
        <w:rPr>
          <w:rFonts w:hint="eastAsia"/>
          <w:lang w:val="en-US" w:eastAsia="zh-CN"/>
        </w:rPr>
        <w:t>6</w:t>
      </w:r>
    </w:p>
    <w:p w14:paraId="587637AC">
      <w:pPr>
        <w:pStyle w:val="35"/>
        <w:tabs>
          <w:tab w:val="right" w:leader="dot" w:pos="8306"/>
        </w:tabs>
        <w:rPr>
          <w:rFonts w:hint="eastAsia" w:eastAsia="宋体"/>
          <w:lang w:val="en-US" w:eastAsia="zh-CN"/>
        </w:rPr>
      </w:pPr>
      <w:r>
        <w:fldChar w:fldCharType="begin"/>
      </w:r>
      <w:r>
        <w:instrText xml:space="preserve"> HYPERLINK \l _Toc19629 </w:instrText>
      </w:r>
      <w:r>
        <w:fldChar w:fldCharType="separate"/>
      </w:r>
      <w:r>
        <w:rPr>
          <w:rFonts w:hint="eastAsia"/>
          <w:lang w:eastAsia="zh-CN"/>
        </w:rPr>
        <w:t>六</w:t>
      </w:r>
      <w:r>
        <w:rPr>
          <w:rFonts w:hint="eastAsia" w:ascii="黑体" w:hAnsi="黑体" w:eastAsia="黑体" w:cs="黑体"/>
          <w:szCs w:val="32"/>
        </w:rPr>
        <w:t>、</w:t>
      </w:r>
      <w:r>
        <w:rPr>
          <w:rFonts w:hint="eastAsia" w:ascii="黑体" w:hAnsi="黑体" w:eastAsia="黑体" w:cs="黑体"/>
          <w:szCs w:val="32"/>
          <w:lang w:eastAsia="zh-CN"/>
        </w:rPr>
        <w:t>一般公共预算财政拨款支出决算表</w:t>
      </w:r>
      <w:r>
        <w:tab/>
      </w:r>
      <w:r>
        <w:rPr>
          <w:rFonts w:hint="eastAsia"/>
          <w:lang w:val="en-US" w:eastAsia="zh-CN"/>
        </w:rPr>
        <w:t>2</w:t>
      </w:r>
      <w:r>
        <w:fldChar w:fldCharType="end"/>
      </w:r>
      <w:r>
        <w:rPr>
          <w:rFonts w:hint="eastAsia"/>
          <w:lang w:val="en-US" w:eastAsia="zh-CN"/>
        </w:rPr>
        <w:t>6</w:t>
      </w:r>
    </w:p>
    <w:p w14:paraId="528CBBC1">
      <w:pPr>
        <w:pStyle w:val="35"/>
        <w:tabs>
          <w:tab w:val="right" w:leader="dot" w:pos="8306"/>
        </w:tabs>
        <w:rPr>
          <w:rFonts w:hint="eastAsia" w:eastAsia="宋体"/>
          <w:lang w:val="en-US" w:eastAsia="zh-CN"/>
        </w:rPr>
      </w:pPr>
      <w:r>
        <w:fldChar w:fldCharType="begin"/>
      </w:r>
      <w:r>
        <w:instrText xml:space="preserve"> HYPERLINK \l _Toc30776 </w:instrText>
      </w:r>
      <w:r>
        <w:fldChar w:fldCharType="separate"/>
      </w:r>
      <w:r>
        <w:rPr>
          <w:rFonts w:hint="eastAsia"/>
          <w:lang w:eastAsia="zh-CN"/>
        </w:rPr>
        <w:t>七</w:t>
      </w:r>
      <w:r>
        <w:rPr>
          <w:rFonts w:hint="eastAsia" w:ascii="黑体" w:hAnsi="黑体" w:eastAsia="黑体"/>
          <w:szCs w:val="32"/>
        </w:rPr>
        <w:t>、</w:t>
      </w:r>
      <w:r>
        <w:rPr>
          <w:rFonts w:hint="eastAsia" w:ascii="黑体" w:hAnsi="黑体" w:eastAsia="黑体" w:cs="黑体"/>
          <w:szCs w:val="32"/>
          <w:lang w:eastAsia="zh-CN"/>
        </w:rPr>
        <w:t>一般公共预算财政拨款支出决算明细表</w:t>
      </w:r>
      <w:r>
        <w:tab/>
      </w:r>
      <w:r>
        <w:rPr>
          <w:rFonts w:hint="eastAsia"/>
          <w:lang w:val="en-US" w:eastAsia="zh-CN"/>
        </w:rPr>
        <w:t>2</w:t>
      </w:r>
      <w:r>
        <w:fldChar w:fldCharType="end"/>
      </w:r>
      <w:r>
        <w:rPr>
          <w:rFonts w:hint="eastAsia"/>
          <w:lang w:val="en-US" w:eastAsia="zh-CN"/>
        </w:rPr>
        <w:t>6</w:t>
      </w:r>
    </w:p>
    <w:p w14:paraId="50C9C473">
      <w:pPr>
        <w:pStyle w:val="35"/>
        <w:tabs>
          <w:tab w:val="right" w:leader="dot" w:pos="8306"/>
        </w:tabs>
        <w:rPr>
          <w:rFonts w:hint="eastAsia" w:eastAsia="宋体"/>
          <w:lang w:val="en-US" w:eastAsia="zh-CN"/>
        </w:rPr>
      </w:pPr>
      <w:r>
        <w:fldChar w:fldCharType="begin"/>
      </w:r>
      <w:r>
        <w:instrText xml:space="preserve"> HYPERLINK \l _Toc13313 </w:instrText>
      </w:r>
      <w:r>
        <w:fldChar w:fldCharType="separate"/>
      </w:r>
      <w:r>
        <w:rPr>
          <w:rFonts w:hint="eastAsia" w:ascii="黑体" w:hAnsi="黑体" w:eastAsia="黑体"/>
          <w:szCs w:val="32"/>
          <w:lang w:eastAsia="zh-CN"/>
        </w:rPr>
        <w:t>八</w:t>
      </w:r>
      <w:r>
        <w:rPr>
          <w:rFonts w:hint="eastAsia" w:ascii="黑体" w:hAnsi="黑体" w:eastAsia="黑体"/>
          <w:szCs w:val="32"/>
        </w:rPr>
        <w:t>、</w:t>
      </w:r>
      <w:r>
        <w:rPr>
          <w:rFonts w:hint="eastAsia" w:ascii="黑体" w:hAnsi="黑体" w:eastAsia="黑体" w:cs="黑体"/>
          <w:szCs w:val="32"/>
          <w:lang w:eastAsia="zh-CN"/>
        </w:rPr>
        <w:t>一般公共预算财政拨款基本支出决算表</w:t>
      </w:r>
      <w:r>
        <w:tab/>
      </w:r>
      <w:r>
        <w:rPr>
          <w:rFonts w:hint="eastAsia"/>
          <w:lang w:val="en-US" w:eastAsia="zh-CN"/>
        </w:rPr>
        <w:t>2</w:t>
      </w:r>
      <w:r>
        <w:fldChar w:fldCharType="end"/>
      </w:r>
      <w:r>
        <w:rPr>
          <w:rFonts w:hint="eastAsia"/>
          <w:lang w:val="en-US" w:eastAsia="zh-CN"/>
        </w:rPr>
        <w:t>6</w:t>
      </w:r>
    </w:p>
    <w:p w14:paraId="583C849B">
      <w:pPr>
        <w:pStyle w:val="35"/>
        <w:tabs>
          <w:tab w:val="right" w:leader="dot" w:pos="8306"/>
        </w:tabs>
        <w:rPr>
          <w:b/>
        </w:rPr>
      </w:pPr>
      <w:r>
        <w:fldChar w:fldCharType="begin"/>
      </w:r>
      <w:r>
        <w:instrText xml:space="preserve"> HYPERLINK \l _Toc19629 </w:instrText>
      </w:r>
      <w:r>
        <w:fldChar w:fldCharType="separate"/>
      </w:r>
      <w:r>
        <w:rPr>
          <w:rFonts w:hint="eastAsia" w:ascii="黑体" w:hAnsi="黑体" w:eastAsia="黑体" w:cs="黑体"/>
          <w:szCs w:val="32"/>
          <w:lang w:eastAsia="zh-CN"/>
        </w:rPr>
        <w:t>九</w:t>
      </w:r>
      <w:r>
        <w:rPr>
          <w:rFonts w:hint="eastAsia" w:ascii="黑体" w:hAnsi="黑体" w:eastAsia="黑体" w:cs="黑体"/>
          <w:szCs w:val="32"/>
        </w:rPr>
        <w:t>、</w:t>
      </w:r>
      <w:r>
        <w:rPr>
          <w:rFonts w:hint="eastAsia" w:ascii="黑体" w:hAnsi="黑体" w:eastAsia="黑体" w:cs="黑体"/>
          <w:szCs w:val="32"/>
          <w:lang w:eastAsia="zh-CN"/>
        </w:rPr>
        <w:t>一般公共预算财政拨款项目支出决算表</w:t>
      </w:r>
      <w:r>
        <w:tab/>
      </w:r>
      <w:r>
        <w:rPr>
          <w:rFonts w:hint="eastAsia"/>
          <w:lang w:val="en-US" w:eastAsia="zh-CN"/>
        </w:rPr>
        <w:t>2</w:t>
      </w:r>
      <w:r>
        <w:fldChar w:fldCharType="end"/>
      </w:r>
      <w:r>
        <w:rPr>
          <w:rFonts w:hint="eastAsia"/>
          <w:lang w:val="en-US" w:eastAsia="zh-CN"/>
        </w:rPr>
        <w:t>6</w:t>
      </w:r>
    </w:p>
    <w:p w14:paraId="64A5B7CE">
      <w:pPr>
        <w:pStyle w:val="35"/>
        <w:tabs>
          <w:tab w:val="right" w:leader="dot" w:pos="8306"/>
        </w:tabs>
        <w:rPr>
          <w:rFonts w:hint="eastAsia" w:eastAsia="宋体"/>
          <w:lang w:val="en-US" w:eastAsia="zh-CN"/>
        </w:rPr>
      </w:pPr>
      <w:r>
        <w:fldChar w:fldCharType="begin"/>
      </w:r>
      <w:r>
        <w:instrText xml:space="preserve"> HYPERLINK \l _Toc30776 </w:instrText>
      </w:r>
      <w:r>
        <w:fldChar w:fldCharType="separate"/>
      </w:r>
      <w:r>
        <w:rPr>
          <w:rFonts w:hint="eastAsia" w:ascii="黑体" w:hAnsi="黑体" w:eastAsia="黑体"/>
          <w:szCs w:val="32"/>
          <w:lang w:eastAsia="zh-CN"/>
        </w:rPr>
        <w:t>十</w:t>
      </w:r>
      <w:r>
        <w:rPr>
          <w:rFonts w:hint="eastAsia" w:ascii="黑体" w:hAnsi="黑体" w:eastAsia="黑体"/>
          <w:szCs w:val="32"/>
        </w:rPr>
        <w:t>、</w:t>
      </w:r>
      <w:r>
        <w:rPr>
          <w:rFonts w:hint="eastAsia" w:ascii="黑体" w:hAnsi="黑体" w:eastAsia="黑体"/>
          <w:szCs w:val="32"/>
          <w:lang w:eastAsia="zh-CN"/>
        </w:rPr>
        <w:t>政府性基金预算财政拨款收入支出决算表</w:t>
      </w:r>
      <w:r>
        <w:tab/>
      </w:r>
      <w:r>
        <w:rPr>
          <w:rFonts w:hint="eastAsia"/>
          <w:lang w:val="en-US" w:eastAsia="zh-CN"/>
        </w:rPr>
        <w:t>2</w:t>
      </w:r>
      <w:r>
        <w:fldChar w:fldCharType="end"/>
      </w:r>
      <w:r>
        <w:rPr>
          <w:rFonts w:hint="eastAsia"/>
          <w:lang w:val="en-US" w:eastAsia="zh-CN"/>
        </w:rPr>
        <w:t>6</w:t>
      </w:r>
    </w:p>
    <w:p w14:paraId="52D0AF50">
      <w:pPr>
        <w:pStyle w:val="35"/>
        <w:tabs>
          <w:tab w:val="right" w:leader="dot" w:pos="8306"/>
        </w:tabs>
        <w:rPr>
          <w:rFonts w:hint="eastAsia" w:eastAsia="宋体"/>
          <w:lang w:val="en-US" w:eastAsia="zh-CN"/>
        </w:rPr>
      </w:pPr>
      <w:r>
        <w:fldChar w:fldCharType="begin"/>
      </w:r>
      <w:r>
        <w:instrText xml:space="preserve"> HYPERLINK \l _Toc13313 </w:instrText>
      </w:r>
      <w:r>
        <w:fldChar w:fldCharType="separate"/>
      </w:r>
      <w:r>
        <w:rPr>
          <w:rFonts w:hint="eastAsia"/>
          <w:lang w:eastAsia="zh-CN"/>
        </w:rPr>
        <w:t>十一</w:t>
      </w:r>
      <w:r>
        <w:rPr>
          <w:rFonts w:hint="eastAsia" w:ascii="黑体" w:hAnsi="黑体" w:eastAsia="黑体"/>
          <w:szCs w:val="32"/>
        </w:rPr>
        <w:t>、</w:t>
      </w:r>
      <w:r>
        <w:rPr>
          <w:rFonts w:hint="eastAsia" w:ascii="黑体" w:hAnsi="黑体" w:eastAsia="黑体"/>
          <w:szCs w:val="32"/>
          <w:lang w:eastAsia="zh-CN"/>
        </w:rPr>
        <w:t>国有资本经营预算财政拨款收入支出决算表</w:t>
      </w:r>
      <w:r>
        <w:tab/>
      </w:r>
      <w:r>
        <w:rPr>
          <w:rFonts w:hint="eastAsia"/>
          <w:lang w:val="en-US" w:eastAsia="zh-CN"/>
        </w:rPr>
        <w:t>2</w:t>
      </w:r>
      <w:r>
        <w:fldChar w:fldCharType="end"/>
      </w:r>
      <w:r>
        <w:rPr>
          <w:rFonts w:hint="eastAsia"/>
          <w:lang w:val="en-US" w:eastAsia="zh-CN"/>
        </w:rPr>
        <w:t>6</w:t>
      </w:r>
    </w:p>
    <w:p w14:paraId="4C5C0D97">
      <w:pPr>
        <w:pStyle w:val="35"/>
        <w:tabs>
          <w:tab w:val="right" w:leader="dot" w:pos="8306"/>
        </w:tabs>
        <w:rPr>
          <w:rFonts w:hint="eastAsia" w:eastAsia="宋体"/>
          <w:lang w:val="en-US" w:eastAsia="zh-CN"/>
        </w:rPr>
      </w:pPr>
      <w:r>
        <w:fldChar w:fldCharType="begin"/>
      </w:r>
      <w:r>
        <w:instrText xml:space="preserve"> HYPERLINK \l _Toc19629 </w:instrText>
      </w:r>
      <w:r>
        <w:fldChar w:fldCharType="separate"/>
      </w:r>
      <w:r>
        <w:rPr>
          <w:rFonts w:hint="eastAsia"/>
          <w:lang w:eastAsia="zh-CN"/>
        </w:rPr>
        <w:t>十二</w:t>
      </w:r>
      <w:r>
        <w:rPr>
          <w:rFonts w:hint="eastAsia" w:ascii="黑体" w:hAnsi="黑体" w:eastAsia="黑体" w:cs="黑体"/>
          <w:szCs w:val="32"/>
        </w:rPr>
        <w:t>、</w:t>
      </w:r>
      <w:r>
        <w:rPr>
          <w:rFonts w:hint="eastAsia" w:ascii="黑体" w:hAnsi="黑体" w:eastAsia="黑体" w:cs="黑体"/>
          <w:szCs w:val="32"/>
          <w:lang w:eastAsia="zh-CN"/>
        </w:rPr>
        <w:t>国有资本经营预算财政拨款支出决算表</w:t>
      </w:r>
      <w:r>
        <w:tab/>
      </w:r>
      <w:r>
        <w:rPr>
          <w:rFonts w:hint="eastAsia"/>
          <w:lang w:val="en-US" w:eastAsia="zh-CN"/>
        </w:rPr>
        <w:t>2</w:t>
      </w:r>
      <w:r>
        <w:fldChar w:fldCharType="end"/>
      </w:r>
      <w:r>
        <w:rPr>
          <w:rFonts w:hint="eastAsia"/>
          <w:lang w:val="en-US" w:eastAsia="zh-CN"/>
        </w:rPr>
        <w:t>7</w:t>
      </w:r>
    </w:p>
    <w:p w14:paraId="14F6C3FE">
      <w:pPr>
        <w:pStyle w:val="35"/>
        <w:tabs>
          <w:tab w:val="right" w:leader="dot" w:pos="8306"/>
        </w:tabs>
        <w:rPr>
          <w:rFonts w:hint="eastAsia" w:eastAsia="宋体"/>
          <w:lang w:val="en-US" w:eastAsia="zh-CN"/>
        </w:rPr>
      </w:pPr>
      <w:r>
        <w:fldChar w:fldCharType="begin"/>
      </w:r>
      <w:r>
        <w:instrText xml:space="preserve"> HYPERLINK \l _Toc19629 </w:instrText>
      </w:r>
      <w:r>
        <w:fldChar w:fldCharType="separate"/>
      </w:r>
      <w:r>
        <w:rPr>
          <w:rFonts w:hint="eastAsia"/>
          <w:lang w:eastAsia="zh-CN"/>
        </w:rPr>
        <w:t>十三</w:t>
      </w:r>
      <w:r>
        <w:rPr>
          <w:rFonts w:hint="eastAsia" w:ascii="黑体" w:hAnsi="黑体" w:eastAsia="黑体" w:cs="黑体"/>
          <w:szCs w:val="32"/>
        </w:rPr>
        <w:t>、</w:t>
      </w:r>
      <w:r>
        <w:rPr>
          <w:rFonts w:hint="eastAsia" w:ascii="黑体" w:hAnsi="黑体" w:eastAsia="黑体" w:cs="黑体"/>
          <w:szCs w:val="32"/>
          <w:lang w:eastAsia="zh-CN"/>
        </w:rPr>
        <w:t>财政拨款“三公”经费支出决算表</w:t>
      </w:r>
      <w:r>
        <w:tab/>
      </w:r>
      <w:r>
        <w:rPr>
          <w:rFonts w:hint="eastAsia"/>
          <w:lang w:val="en-US" w:eastAsia="zh-CN"/>
        </w:rPr>
        <w:t>2</w:t>
      </w:r>
      <w:r>
        <w:fldChar w:fldCharType="end"/>
      </w:r>
      <w:r>
        <w:rPr>
          <w:rFonts w:hint="eastAsia"/>
          <w:lang w:val="en-US" w:eastAsia="zh-CN"/>
        </w:rPr>
        <w:t>7</w:t>
      </w:r>
    </w:p>
    <w:p w14:paraId="0D5B0481">
      <w:pPr>
        <w:rPr>
          <w:b/>
        </w:rPr>
      </w:pPr>
    </w:p>
    <w:p w14:paraId="64339F92">
      <w:pPr>
        <w:widowControl/>
        <w:spacing w:line="440" w:lineRule="exact"/>
        <w:jc w:val="left"/>
        <w:rPr>
          <w:rFonts w:ascii="仿宋" w:hAnsi="仿宋" w:eastAsia="仿宋"/>
          <w:bCs/>
          <w:kern w:val="44"/>
          <w:sz w:val="24"/>
        </w:rPr>
      </w:pPr>
      <w:bookmarkStart w:id="15" w:name="_Toc15396599"/>
      <w:bookmarkStart w:id="16" w:name="_Toc15377196"/>
      <w:r>
        <w:rPr>
          <w:rFonts w:ascii="仿宋" w:hAnsi="仿宋" w:eastAsia="仿宋"/>
          <w:b/>
          <w:sz w:val="24"/>
        </w:rPr>
        <w:br w:type="page"/>
      </w:r>
    </w:p>
    <w:p w14:paraId="5DD34E8D">
      <w:pPr>
        <w:pStyle w:val="2"/>
        <w:jc w:val="center"/>
        <w:rPr>
          <w:rStyle w:val="27"/>
          <w:rFonts w:ascii="黑体" w:hAnsi="黑体" w:eastAsia="黑体"/>
          <w:b/>
          <w:bCs w:val="0"/>
        </w:rPr>
      </w:pPr>
      <w:bookmarkStart w:id="17" w:name="_Toc19894"/>
      <w:r>
        <w:rPr>
          <w:rFonts w:hint="eastAsia" w:ascii="黑体" w:hAnsi="黑体" w:eastAsia="黑体"/>
          <w:b w:val="0"/>
        </w:rPr>
        <w:t xml:space="preserve">第一部分 </w:t>
      </w:r>
      <w:r>
        <w:rPr>
          <w:rStyle w:val="27"/>
          <w:rFonts w:hint="eastAsia" w:ascii="黑体" w:hAnsi="黑体" w:eastAsia="黑体"/>
          <w:b w:val="0"/>
          <w:bCs w:val="0"/>
        </w:rPr>
        <w:t>部门概况</w:t>
      </w:r>
      <w:bookmarkEnd w:id="15"/>
      <w:bookmarkEnd w:id="16"/>
      <w:bookmarkEnd w:id="17"/>
    </w:p>
    <w:p w14:paraId="293F9275">
      <w:pPr>
        <w:widowControl/>
        <w:jc w:val="left"/>
        <w:rPr>
          <w:rFonts w:ascii="黑体" w:eastAsia="黑体"/>
          <w:sz w:val="32"/>
          <w:szCs w:val="32"/>
        </w:rPr>
      </w:pPr>
    </w:p>
    <w:p w14:paraId="5FDCC456">
      <w:pPr>
        <w:pStyle w:val="3"/>
        <w:numPr>
          <w:ilvl w:val="0"/>
          <w:numId w:val="1"/>
        </w:numPr>
        <w:rPr>
          <w:rFonts w:hint="eastAsia" w:ascii="黑体" w:hAnsi="黑体" w:eastAsia="黑体"/>
          <w:b w:val="0"/>
        </w:rPr>
      </w:pPr>
      <w:bookmarkStart w:id="18" w:name="_Toc4889"/>
      <w:r>
        <w:rPr>
          <w:rFonts w:hint="eastAsia" w:ascii="黑体" w:hAnsi="黑体" w:eastAsia="黑体"/>
          <w:b w:val="0"/>
        </w:rPr>
        <w:t>部门职责</w:t>
      </w:r>
      <w:bookmarkEnd w:id="18"/>
    </w:p>
    <w:p w14:paraId="0D53D22C">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（一）主要职能</w:t>
      </w:r>
      <w:r>
        <w:rPr>
          <w:rFonts w:hint="eastAsia" w:ascii="仿宋_GB2312" w:hAnsi="仿宋_GB2312" w:eastAsia="仿宋_GB2312" w:cs="仿宋_GB2312"/>
          <w:sz w:val="32"/>
          <w:szCs w:val="32"/>
        </w:rPr>
        <w:t>。</w:t>
      </w:r>
    </w:p>
    <w:p w14:paraId="1DBCCC91">
      <w:pPr>
        <w:ind w:firstLine="643" w:firstLineChars="200"/>
        <w:jc w:val="both"/>
        <w:rPr>
          <w:rFonts w:hint="eastAsia" w:ascii="仿宋_GB2312" w:hAnsi="仿宋" w:eastAsia="仿宋_GB2312"/>
          <w:sz w:val="32"/>
          <w:szCs w:val="32"/>
          <w:highlight w:val="none"/>
        </w:rPr>
      </w:pPr>
      <w:r>
        <w:rPr>
          <w:rFonts w:hint="eastAsia" w:ascii="楷体" w:hAnsi="楷体" w:eastAsia="楷体"/>
          <w:b/>
          <w:sz w:val="32"/>
          <w:szCs w:val="32"/>
          <w:highlight w:val="none"/>
          <w:lang w:val="en-US" w:eastAsia="zh-CN"/>
        </w:rPr>
        <w:t>1、</w:t>
      </w:r>
      <w:r>
        <w:rPr>
          <w:rFonts w:hint="eastAsia" w:ascii="楷体" w:hAnsi="楷体" w:eastAsia="楷体"/>
          <w:b/>
          <w:sz w:val="32"/>
          <w:szCs w:val="32"/>
          <w:highlight w:val="none"/>
          <w:lang w:eastAsia="zh-CN"/>
        </w:rPr>
        <w:t>乡党委主要职责。</w:t>
      </w:r>
      <w:r>
        <w:rPr>
          <w:rFonts w:hint="eastAsia" w:ascii="仿宋_GB2312" w:hAnsi="仿宋" w:eastAsia="仿宋_GB2312"/>
          <w:sz w:val="32"/>
          <w:szCs w:val="32"/>
          <w:highlight w:val="none"/>
        </w:rPr>
        <w:t>宣传和贯彻执行党的路线方针政策和党中央、省委、州委、县委及乡党员代表大会（党员大会）的决议；讨论和决定本乡经济建设、政治建设、文化建设、社会建设、生态文明建设和党的建设以及乡村振兴中的重大问题；领导乡政权机关、群团组织和其他各类组织，加强指导和规范，支持和保证这些机关和组织依照国家法律法规以及各自章程履行职责；加强乡党委自身建设和村党组织建设，以及其他隶属乡党委的党组织建设，抓好发展党员工作，加强党员队伍建设；维护和执行党的纪律，监督党员干部和其他任何工作人员严格遵守国家法律法规；按照干部管理权限，负责对干部的教育、培训、选拔、考核和监督工作；协助管理上级有关部门驻乡单位的干部；做好人才服务和引进工作；领导本乡的基层治理，加强社会主义民主法治建设和精神文明建设，加强社会治安综合治理，做好生态环保、美丽乡村建设、民</w:t>
      </w:r>
    </w:p>
    <w:p w14:paraId="689C99A3">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生保障、脱贫致富、民族宗教等工作；完成县委交办的其他工作。</w:t>
      </w:r>
    </w:p>
    <w:p w14:paraId="481509FF">
      <w:pPr>
        <w:ind w:firstLine="643" w:firstLineChars="200"/>
        <w:jc w:val="both"/>
        <w:rPr>
          <w:rFonts w:hint="eastAsia" w:ascii="仿宋_GB2312" w:hAnsi="仿宋" w:eastAsia="仿宋_GB2312"/>
          <w:sz w:val="32"/>
          <w:szCs w:val="32"/>
          <w:highlight w:val="none"/>
        </w:rPr>
      </w:pPr>
      <w:r>
        <w:rPr>
          <w:rFonts w:hint="eastAsia" w:ascii="楷体" w:hAnsi="楷体" w:eastAsia="楷体"/>
          <w:b/>
          <w:sz w:val="32"/>
          <w:szCs w:val="32"/>
          <w:highlight w:val="none"/>
          <w:lang w:val="en-US" w:eastAsia="zh-CN"/>
        </w:rPr>
        <w:t>2、</w:t>
      </w:r>
      <w:r>
        <w:rPr>
          <w:rFonts w:hint="eastAsia" w:ascii="楷体" w:hAnsi="楷体" w:eastAsia="楷体"/>
          <w:b/>
          <w:sz w:val="32"/>
          <w:szCs w:val="32"/>
          <w:highlight w:val="none"/>
          <w:lang w:eastAsia="zh-CN"/>
        </w:rPr>
        <w:t>乡人民代表大会主要职责。</w:t>
      </w:r>
      <w:r>
        <w:rPr>
          <w:rFonts w:hint="eastAsia" w:ascii="仿宋_GB2312" w:hAnsi="仿宋" w:eastAsia="仿宋_GB2312"/>
          <w:sz w:val="32"/>
          <w:szCs w:val="32"/>
          <w:highlight w:val="none"/>
        </w:rPr>
        <w:t>在本行政区域内，保证宪法、法律、行政法规和县人民代表大会及其常务委员会决议的遵守和执行；在职权范围内通过和发布决议；根据国家计划，决定本行政区域内的经济、文化事业和公共事业的建设计划；审查和批准本行政区域内的财政预算和预算执行情况的报告；决定本行政区域内的民政工作的实施计划；选举本级人民代表大会主席、副主席；选举乡长、副乡长；听取和审查乡人民政府的工作报告；撤销乡人民政府的不适当的决定和命令；保护社会主义的全民所有的财产和劳动群众集体所有的财产，保护公民私人所有的合法财产，维护社会秩序，保障公民的人身权利、民主权利和其他权利；保护各种经济组织的合法权益；保障少数民族的权利；保障宪法和法律赋予妇女的男女平等、同工同酬和婚姻自由等各项权利；完成乡人民代表大会和县人民代表大会常务委员会交办的其他工作。</w:t>
      </w:r>
    </w:p>
    <w:p w14:paraId="2E3F7C38">
      <w:pPr>
        <w:ind w:firstLine="643" w:firstLineChars="200"/>
        <w:jc w:val="both"/>
        <w:rPr>
          <w:rFonts w:hint="eastAsia" w:ascii="仿宋_GB2312" w:hAnsi="仿宋" w:eastAsia="仿宋_GB2312"/>
          <w:sz w:val="32"/>
          <w:szCs w:val="32"/>
          <w:highlight w:val="none"/>
        </w:rPr>
      </w:pPr>
      <w:r>
        <w:rPr>
          <w:rFonts w:hint="eastAsia" w:ascii="楷体" w:hAnsi="楷体" w:eastAsia="楷体"/>
          <w:b/>
          <w:sz w:val="32"/>
          <w:szCs w:val="32"/>
          <w:highlight w:val="none"/>
          <w:lang w:val="en-US" w:eastAsia="zh-CN"/>
        </w:rPr>
        <w:t>3、</w:t>
      </w:r>
      <w:r>
        <w:rPr>
          <w:rFonts w:hint="eastAsia" w:ascii="楷体" w:hAnsi="楷体" w:eastAsia="楷体"/>
          <w:b/>
          <w:sz w:val="32"/>
          <w:szCs w:val="32"/>
          <w:highlight w:val="none"/>
          <w:lang w:eastAsia="zh-CN"/>
        </w:rPr>
        <w:t>乡政府主要职责。</w:t>
      </w:r>
      <w:r>
        <w:rPr>
          <w:rFonts w:hint="eastAsia" w:ascii="仿宋_GB2312" w:hAnsi="仿宋" w:eastAsia="仿宋_GB2312"/>
          <w:sz w:val="32"/>
          <w:szCs w:val="32"/>
          <w:highlight w:val="none"/>
        </w:rPr>
        <w:t>执行本级人民代表大会的决议和上级国家行政机关的决定和命令，发布决定和命令；执行本行政区域内的经济和社会发展计划、预算，管理本行政区域内的经济、教育、科学、文化、卫生健康、体育事业和财政、民政、公安、司法行政等行政工作；保护社会主义的全民所有的财产和劳动群众集体所有的财产，保护公民私人所有的合法财产，维护社会秩序，保障公民的人身权利、民主权利和其他权利；保护各种经济组织的合法权益；保障少数民族的权利和尊重少数民族的风俗习惯；保障宪法和法律赋予妇女的男女平等、同工同酬和婚姻自由等各项权利；完成县委、县政府交办的其他工作。</w:t>
      </w:r>
    </w:p>
    <w:p w14:paraId="4D88B998">
      <w:pPr>
        <w:ind w:firstLine="643" w:firstLineChars="200"/>
        <w:jc w:val="both"/>
        <w:rPr>
          <w:rFonts w:hint="eastAsia" w:ascii="仿宋_GB2312" w:hAnsi="仿宋" w:eastAsia="仿宋_GB2312"/>
          <w:sz w:val="32"/>
          <w:szCs w:val="32"/>
          <w:highlight w:val="none"/>
        </w:rPr>
      </w:pPr>
      <w:r>
        <w:rPr>
          <w:rFonts w:hint="eastAsia" w:ascii="楷体" w:hAnsi="楷体" w:eastAsia="楷体"/>
          <w:b/>
          <w:sz w:val="32"/>
          <w:szCs w:val="32"/>
          <w:highlight w:val="none"/>
          <w:lang w:val="en-US" w:eastAsia="zh-CN"/>
        </w:rPr>
        <w:t>4、</w:t>
      </w:r>
      <w:r>
        <w:rPr>
          <w:rFonts w:hint="eastAsia" w:ascii="楷体" w:hAnsi="楷体" w:eastAsia="楷体"/>
          <w:b/>
          <w:sz w:val="32"/>
          <w:szCs w:val="32"/>
          <w:highlight w:val="none"/>
          <w:lang w:eastAsia="zh-CN"/>
        </w:rPr>
        <w:t>乡纪委（监察室）主要职责。</w:t>
      </w:r>
      <w:r>
        <w:rPr>
          <w:rFonts w:hint="eastAsia" w:ascii="仿宋_GB2312" w:hAnsi="仿宋" w:eastAsia="仿宋_GB2312"/>
          <w:sz w:val="32"/>
          <w:szCs w:val="32"/>
          <w:highlight w:val="none"/>
        </w:rPr>
        <w:t>在同级党委和上级纪委监委的领导下，协助同级党委加强党风廉政建设和组织协调反腐败工作，对党的路线方针政策、决议决定执行情况和重大决策部署贯彻落实情况进行监督检查；对党员干部勤政廉政、履行职责、作风状态和行使权力情况进行监督，审查基层党组织、副科级以下党员违反党章和其他党内法规的案件，受理党员干部及其他监察对象涉嫌违纪违法的信访举报；受理党员的控告和申诉，保障党员的权利；开展党纪党规宣传教育；对乡纪检监察干部和村务监督委员会及成员进行业务指导；按照管理权限依法对公职人员及有关人员履行监督、调查、处置职责，受理监察对象不服政务处分的复审；完成上级纪检监察机关交办的其他工作。</w:t>
      </w:r>
    </w:p>
    <w:p w14:paraId="6118AEAD">
      <w:pPr>
        <w:ind w:firstLine="643" w:firstLineChars="200"/>
        <w:jc w:val="both"/>
        <w:rPr>
          <w:rFonts w:hint="eastAsia" w:ascii="仿宋_GB2312" w:hAnsi="仿宋" w:eastAsia="仿宋_GB2312"/>
          <w:sz w:val="32"/>
          <w:szCs w:val="32"/>
          <w:highlight w:val="none"/>
        </w:rPr>
      </w:pPr>
      <w:r>
        <w:rPr>
          <w:rFonts w:hint="eastAsia" w:ascii="楷体" w:hAnsi="楷体" w:eastAsia="楷体"/>
          <w:b/>
          <w:sz w:val="32"/>
          <w:szCs w:val="32"/>
          <w:highlight w:val="none"/>
          <w:lang w:val="en-US" w:eastAsia="zh-CN"/>
        </w:rPr>
        <w:t>5、</w:t>
      </w:r>
      <w:r>
        <w:rPr>
          <w:rFonts w:hint="eastAsia" w:ascii="楷体" w:hAnsi="楷体" w:eastAsia="楷体"/>
          <w:b/>
          <w:sz w:val="32"/>
          <w:szCs w:val="32"/>
          <w:highlight w:val="none"/>
          <w:lang w:eastAsia="zh-CN"/>
        </w:rPr>
        <w:t>乡人民武装部主要职责。</w:t>
      </w:r>
      <w:r>
        <w:rPr>
          <w:rFonts w:hint="eastAsia" w:ascii="仿宋_GB2312" w:hAnsi="仿宋" w:eastAsia="仿宋_GB2312"/>
          <w:sz w:val="32"/>
          <w:szCs w:val="32"/>
          <w:highlight w:val="none"/>
        </w:rPr>
        <w:t>宣传贯彻落实关于人民武装工作的方针、政策、法规制度；协助统计调查国防动员潜力、征用民用资源、组织国防勤务等有关工作；负责民兵的组织建设和装备管理；负责民兵预备役人员的政治教育，落实民兵参训人员；负责组织并带领民兵完成战备、治安执勤任务；负责民兵预备役人员的登记、统计工作；负责征兵工作；组织带领民兵参加两个文明建设；协助有关部门做好拥军优属工作；战时负责组织动员民兵参军参战，支援前线，保卫后方等工作；负责抢险救灾及上级交办的其他工作。</w:t>
      </w:r>
    </w:p>
    <w:p w14:paraId="7A53F6AF">
      <w:pPr>
        <w:numPr>
          <w:ilvl w:val="0"/>
          <w:numId w:val="0"/>
        </w:numPr>
      </w:pPr>
    </w:p>
    <w:p w14:paraId="468367BD">
      <w:pPr>
        <w:pStyle w:val="3"/>
        <w:rPr>
          <w:rStyle w:val="28"/>
          <w:b w:val="0"/>
          <w:bCs w:val="0"/>
        </w:rPr>
      </w:pPr>
      <w:bookmarkStart w:id="19" w:name="_Toc27388"/>
      <w:bookmarkStart w:id="20" w:name="_Toc15396601"/>
      <w:bookmarkStart w:id="21" w:name="_Toc15377200"/>
      <w:r>
        <w:rPr>
          <w:rFonts w:hint="eastAsia" w:ascii="黑体" w:eastAsia="黑体"/>
          <w:b w:val="0"/>
        </w:rPr>
        <w:t>二、</w:t>
      </w:r>
      <w:r>
        <w:rPr>
          <w:rFonts w:hint="eastAsia" w:ascii="黑体" w:hAnsi="黑体" w:eastAsia="黑体"/>
          <w:b w:val="0"/>
        </w:rPr>
        <w:t>机</w:t>
      </w:r>
      <w:r>
        <w:rPr>
          <w:rStyle w:val="28"/>
          <w:rFonts w:hint="eastAsia" w:ascii="黑体" w:hAnsi="黑体" w:eastAsia="黑体"/>
          <w:b w:val="0"/>
          <w:bCs w:val="0"/>
        </w:rPr>
        <w:t>构设置</w:t>
      </w:r>
      <w:bookmarkEnd w:id="19"/>
      <w:bookmarkEnd w:id="20"/>
      <w:bookmarkEnd w:id="21"/>
    </w:p>
    <w:p w14:paraId="4DB8C335">
      <w:pPr>
        <w:ind w:firstLine="800" w:firstLineChars="250"/>
        <w:rPr>
          <w:rFonts w:hint="eastAsia" w:ascii="仿宋" w:hAnsi="仿宋" w:eastAsia="仿宋_GB2312"/>
          <w:sz w:val="32"/>
          <w:szCs w:val="32"/>
          <w:lang w:eastAsia="zh-CN"/>
        </w:rPr>
      </w:pPr>
      <w:r>
        <w:rPr>
          <w:sz w:val="32"/>
          <w:szCs w:val="32"/>
        </w:rPr>
        <w:t>四川省阿坝州九寨沟县郭元乡人民政府</w:t>
      </w:r>
      <w:r>
        <w:rPr>
          <w:rFonts w:hint="eastAsia" w:ascii="仿宋" w:hAnsi="仿宋" w:eastAsia="仿宋"/>
          <w:sz w:val="32"/>
          <w:szCs w:val="32"/>
        </w:rPr>
        <w:t>下属二级预算单位</w:t>
      </w:r>
      <w:r>
        <w:rPr>
          <w:rFonts w:hint="eastAsia" w:eastAsia="仿宋"/>
          <w:sz w:val="32"/>
          <w:szCs w:val="32"/>
          <w:lang w:val="en-US" w:eastAsia="zh-CN"/>
        </w:rPr>
        <w:t>2</w:t>
      </w:r>
      <w:r>
        <w:rPr>
          <w:rFonts w:hint="eastAsia" w:ascii="仿宋" w:hAnsi="仿宋" w:eastAsia="仿宋"/>
          <w:sz w:val="32"/>
          <w:szCs w:val="32"/>
        </w:rPr>
        <w:t>个，</w:t>
      </w:r>
      <w:r>
        <w:rPr>
          <w:rFonts w:hint="eastAsia" w:ascii="仿宋_GB2312" w:hAnsi="仿宋" w:eastAsia="仿宋_GB2312"/>
          <w:sz w:val="32"/>
          <w:szCs w:val="32"/>
          <w:highlight w:val="none"/>
        </w:rPr>
        <w:t>下属机构</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个，内设机构</w:t>
      </w:r>
      <w:r>
        <w:rPr>
          <w:rFonts w:hint="eastAsia" w:ascii="仿宋_GB2312" w:hAnsi="仿宋" w:eastAsia="仿宋_GB2312"/>
          <w:sz w:val="32"/>
          <w:szCs w:val="32"/>
          <w:highlight w:val="none"/>
          <w:lang w:val="en-US" w:eastAsia="zh-CN"/>
        </w:rPr>
        <w:t>4</w:t>
      </w:r>
      <w:r>
        <w:rPr>
          <w:rFonts w:hint="eastAsia" w:ascii="仿宋_GB2312" w:hAnsi="仿宋" w:eastAsia="仿宋_GB2312"/>
          <w:sz w:val="32"/>
          <w:szCs w:val="32"/>
          <w:highlight w:val="none"/>
        </w:rPr>
        <w:t>个</w:t>
      </w:r>
      <w:r>
        <w:rPr>
          <w:rFonts w:hint="eastAsia" w:ascii="仿宋_GB2312" w:hAnsi="仿宋" w:eastAsia="仿宋_GB2312"/>
          <w:sz w:val="32"/>
          <w:szCs w:val="32"/>
          <w:highlight w:val="none"/>
          <w:lang w:eastAsia="zh-CN"/>
        </w:rPr>
        <w:t>。</w:t>
      </w:r>
    </w:p>
    <w:p w14:paraId="35A2309E">
      <w:pPr>
        <w:pStyle w:val="5"/>
        <w:adjustRightInd w:val="0"/>
        <w:snapToGrid w:val="0"/>
        <w:spacing w:before="93" w:line="600" w:lineRule="exact"/>
        <w:ind w:firstLine="672" w:firstLineChars="210"/>
        <w:rPr>
          <w:rFonts w:ascii="仿宋" w:hAnsi="仿宋" w:eastAsia="仿宋"/>
          <w:sz w:val="32"/>
          <w:szCs w:val="32"/>
        </w:rPr>
      </w:pPr>
      <w:r>
        <w:rPr>
          <w:rFonts w:hint="eastAsia" w:ascii="仿宋" w:hAnsi="仿宋" w:eastAsia="仿宋"/>
          <w:sz w:val="32"/>
          <w:szCs w:val="32"/>
        </w:rPr>
        <w:t>纳入</w:t>
      </w:r>
      <w:r>
        <w:rPr>
          <w:rFonts w:ascii="Times New Roman" w:eastAsia="宋体"/>
          <w:kern w:val="2"/>
          <w:sz w:val="32"/>
          <w:szCs w:val="32"/>
        </w:rPr>
        <w:t>四川省阿坝州九寨沟县郭元乡人民政府</w:t>
      </w:r>
      <w:r>
        <w:rPr>
          <w:rFonts w:hint="eastAsia" w:ascii="仿宋" w:hAnsi="仿宋" w:eastAsia="仿宋"/>
          <w:sz w:val="32"/>
          <w:szCs w:val="32"/>
        </w:rPr>
        <w:t>2023年度部门决算编制范围的二级预算单位包括：</w:t>
      </w:r>
    </w:p>
    <w:p w14:paraId="5E10FE85">
      <w:pPr>
        <w:pStyle w:val="5"/>
        <w:numPr>
          <w:ilvl w:val="0"/>
          <w:numId w:val="2"/>
        </w:numPr>
        <w:adjustRightInd w:val="0"/>
        <w:snapToGrid w:val="0"/>
        <w:spacing w:before="93" w:line="600" w:lineRule="exact"/>
        <w:outlineLvl w:val="2"/>
        <w:rPr>
          <w:rFonts w:ascii="仿宋" w:hAnsi="仿宋" w:eastAsia="仿宋"/>
          <w:sz w:val="32"/>
          <w:szCs w:val="32"/>
        </w:rPr>
      </w:pPr>
      <w:bookmarkStart w:id="22" w:name="_Toc15306276"/>
      <w:bookmarkStart w:id="23" w:name="_Toc15377202"/>
      <w:bookmarkStart w:id="24" w:name="_Toc15377433"/>
      <w:bookmarkStart w:id="25" w:name="_Toc15378449"/>
      <w:r>
        <w:rPr>
          <w:rFonts w:hint="eastAsia" w:ascii="仿宋" w:hAnsi="仿宋" w:eastAsia="仿宋"/>
          <w:sz w:val="32"/>
          <w:szCs w:val="32"/>
          <w:lang w:eastAsia="zh-CN"/>
        </w:rPr>
        <w:t>郭元乡人民政府</w:t>
      </w:r>
      <w:bookmarkEnd w:id="22"/>
      <w:bookmarkEnd w:id="23"/>
      <w:bookmarkEnd w:id="24"/>
      <w:bookmarkEnd w:id="25"/>
    </w:p>
    <w:p w14:paraId="03B1A41E">
      <w:pPr>
        <w:pStyle w:val="5"/>
        <w:numPr>
          <w:ilvl w:val="0"/>
          <w:numId w:val="2"/>
        </w:numPr>
        <w:adjustRightInd w:val="0"/>
        <w:snapToGrid w:val="0"/>
        <w:spacing w:before="93" w:line="600" w:lineRule="exact"/>
        <w:outlineLvl w:val="2"/>
        <w:rPr>
          <w:rFonts w:ascii="仿宋" w:hAnsi="仿宋" w:eastAsia="仿宋"/>
          <w:sz w:val="32"/>
          <w:szCs w:val="32"/>
        </w:rPr>
      </w:pPr>
      <w:r>
        <w:rPr>
          <w:rFonts w:hint="eastAsia" w:ascii="仿宋" w:hAnsi="仿宋" w:eastAsia="仿宋"/>
          <w:sz w:val="32"/>
          <w:szCs w:val="32"/>
          <w:lang w:eastAsia="zh-CN"/>
        </w:rPr>
        <w:t>郭元乡便民服务中心</w:t>
      </w:r>
    </w:p>
    <w:p w14:paraId="0728E5CA">
      <w:pPr>
        <w:widowControl/>
        <w:jc w:val="left"/>
        <w:rPr>
          <w:rFonts w:ascii="仿宋" w:hAnsi="仿宋" w:eastAsia="仿宋"/>
          <w:kern w:val="0"/>
          <w:sz w:val="32"/>
          <w:szCs w:val="32"/>
        </w:rPr>
      </w:pPr>
      <w:r>
        <w:rPr>
          <w:rFonts w:ascii="仿宋" w:hAnsi="仿宋" w:eastAsia="仿宋"/>
          <w:sz w:val="32"/>
          <w:szCs w:val="32"/>
        </w:rPr>
        <w:br w:type="page"/>
      </w:r>
    </w:p>
    <w:p w14:paraId="42D63421">
      <w:pPr>
        <w:pStyle w:val="2"/>
        <w:ind w:right="440"/>
        <w:jc w:val="center"/>
        <w:rPr>
          <w:rStyle w:val="27"/>
          <w:rFonts w:ascii="黑体" w:hAnsi="黑体" w:eastAsia="黑体"/>
          <w:b w:val="0"/>
          <w:bCs/>
        </w:rPr>
      </w:pPr>
      <w:bookmarkStart w:id="26" w:name="_Toc11673"/>
      <w:bookmarkStart w:id="27" w:name="_Toc15396602"/>
      <w:bookmarkStart w:id="28" w:name="_Toc15377204"/>
      <w:r>
        <w:rPr>
          <w:rFonts w:hint="eastAsia" w:ascii="黑体" w:hAnsi="黑体" w:eastAsia="黑体"/>
          <w:b w:val="0"/>
        </w:rPr>
        <w:t>第二部分 2023年度</w:t>
      </w:r>
      <w:r>
        <w:rPr>
          <w:rStyle w:val="27"/>
          <w:rFonts w:hint="eastAsia" w:ascii="黑体" w:hAnsi="黑体" w:eastAsia="黑体"/>
          <w:b w:val="0"/>
          <w:bCs/>
        </w:rPr>
        <w:t>部门决算情况说明</w:t>
      </w:r>
      <w:bookmarkEnd w:id="26"/>
      <w:bookmarkEnd w:id="27"/>
      <w:bookmarkEnd w:id="28"/>
    </w:p>
    <w:p w14:paraId="75E5A0C4"/>
    <w:p w14:paraId="498BA29B">
      <w:pPr>
        <w:pStyle w:val="26"/>
        <w:numPr>
          <w:ilvl w:val="0"/>
          <w:numId w:val="3"/>
        </w:numPr>
        <w:spacing w:line="600" w:lineRule="exact"/>
        <w:ind w:firstLineChars="0"/>
        <w:outlineLvl w:val="1"/>
        <w:rPr>
          <w:rStyle w:val="28"/>
          <w:rFonts w:ascii="黑体" w:hAnsi="黑体" w:eastAsia="黑体"/>
          <w:b w:val="0"/>
        </w:rPr>
      </w:pPr>
      <w:bookmarkStart w:id="29" w:name="_Toc15396603"/>
      <w:bookmarkStart w:id="30" w:name="_Toc15377205"/>
      <w:bookmarkStart w:id="31" w:name="_Toc32671"/>
      <w:r>
        <w:rPr>
          <w:rFonts w:hint="eastAsia" w:ascii="黑体" w:hAnsi="黑体" w:eastAsia="黑体"/>
          <w:sz w:val="32"/>
          <w:szCs w:val="32"/>
        </w:rPr>
        <w:t>收</w:t>
      </w:r>
      <w:r>
        <w:rPr>
          <w:rStyle w:val="28"/>
          <w:rFonts w:hint="eastAsia" w:ascii="黑体" w:hAnsi="黑体" w:eastAsia="黑体"/>
          <w:b w:val="0"/>
        </w:rPr>
        <w:t>入支出决算总体情况说明</w:t>
      </w:r>
      <w:bookmarkEnd w:id="29"/>
      <w:bookmarkEnd w:id="30"/>
      <w:bookmarkEnd w:id="31"/>
    </w:p>
    <w:p w14:paraId="16678710">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2023年度收、支总计均为</w:t>
      </w:r>
      <w:r>
        <w:rPr>
          <w:rFonts w:hint="eastAsia"/>
          <w:sz w:val="32"/>
          <w:szCs w:val="32"/>
        </w:rPr>
        <w:t>1462.51</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w:t>
      </w:r>
      <w:r>
        <w:rPr>
          <w:rFonts w:hint="eastAsia" w:ascii="仿宋" w:hAnsi="仿宋" w:eastAsia="仿宋"/>
          <w:sz w:val="32"/>
          <w:szCs w:val="32"/>
          <w:lang w:eastAsia="zh-CN"/>
        </w:rPr>
        <w:t>入</w:t>
      </w:r>
      <w:r>
        <w:rPr>
          <w:rFonts w:hint="eastAsia" w:ascii="仿宋" w:hAnsi="仿宋" w:eastAsia="仿宋"/>
          <w:sz w:val="32"/>
          <w:szCs w:val="32"/>
        </w:rPr>
        <w:t>减少</w:t>
      </w:r>
      <w:r>
        <w:rPr>
          <w:rFonts w:hint="eastAsia" w:ascii="仿宋" w:hAnsi="仿宋" w:eastAsia="仿宋"/>
          <w:sz w:val="32"/>
          <w:szCs w:val="32"/>
          <w:lang w:val="en-US" w:eastAsia="zh-CN"/>
        </w:rPr>
        <w:t>468.65</w:t>
      </w:r>
      <w:r>
        <w:rPr>
          <w:rFonts w:hint="eastAsia" w:ascii="仿宋" w:hAnsi="仿宋" w:eastAsia="仿宋"/>
          <w:sz w:val="32"/>
          <w:szCs w:val="32"/>
        </w:rPr>
        <w:t>万元，下降</w:t>
      </w:r>
      <w:r>
        <w:rPr>
          <w:rFonts w:hint="eastAsia" w:ascii="仿宋" w:hAnsi="仿宋" w:eastAsia="仿宋"/>
          <w:sz w:val="32"/>
          <w:szCs w:val="32"/>
          <w:lang w:val="en-US" w:eastAsia="zh-CN"/>
        </w:rPr>
        <w:t>24.27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eastAsia="zh-CN"/>
        </w:rPr>
        <w:t>支出减少</w:t>
      </w:r>
      <w:r>
        <w:rPr>
          <w:rFonts w:hint="eastAsia" w:ascii="仿宋" w:hAnsi="仿宋" w:eastAsia="仿宋"/>
          <w:sz w:val="32"/>
          <w:szCs w:val="32"/>
          <w:lang w:val="en-US" w:eastAsia="zh-CN"/>
        </w:rPr>
        <w:t>468.65万元，下降24.27%。</w:t>
      </w:r>
      <w:r>
        <w:rPr>
          <w:rFonts w:hint="eastAsia" w:ascii="仿宋" w:hAnsi="仿宋" w:eastAsia="仿宋"/>
          <w:sz w:val="32"/>
          <w:szCs w:val="32"/>
        </w:rPr>
        <w:t>主要变动原因是</w:t>
      </w:r>
      <w:r>
        <w:rPr>
          <w:rFonts w:hint="eastAsia" w:ascii="仿宋_GB2312" w:hAnsi="仿宋_GB2312" w:eastAsia="仿宋_GB2312" w:cs="仿宋_GB2312"/>
          <w:sz w:val="32"/>
          <w:szCs w:val="32"/>
          <w:lang w:eastAsia="zh-CN"/>
        </w:rPr>
        <w:t>项目建设减少</w:t>
      </w:r>
      <w:r>
        <w:rPr>
          <w:rFonts w:hint="eastAsia" w:ascii="仿宋" w:hAnsi="仿宋" w:eastAsia="仿宋"/>
          <w:sz w:val="32"/>
          <w:szCs w:val="32"/>
        </w:rPr>
        <w:t>。</w:t>
      </w:r>
    </w:p>
    <w:p w14:paraId="48B9D229">
      <w:pPr>
        <w:spacing w:line="600" w:lineRule="exact"/>
        <w:jc w:val="left"/>
        <w:rPr>
          <w:rFonts w:hint="eastAsia" w:ascii="仿宋" w:hAnsi="仿宋" w:eastAsia="仿宋"/>
          <w:sz w:val="32"/>
          <w:szCs w:val="32"/>
        </w:rPr>
      </w:pPr>
    </w:p>
    <w:p w14:paraId="7E95A8A8">
      <w:pPr>
        <w:spacing w:line="240" w:lineRule="auto"/>
        <w:ind w:firstLine="640" w:firstLineChars="200"/>
        <w:jc w:val="left"/>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4803140" cy="3128645"/>
            <wp:effectExtent l="0" t="0" r="16510" b="14605"/>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6"/>
                    <a:stretch>
                      <a:fillRect/>
                    </a:stretch>
                  </pic:blipFill>
                  <pic:spPr>
                    <a:xfrm>
                      <a:off x="0" y="0"/>
                      <a:ext cx="4803140" cy="3128645"/>
                    </a:xfrm>
                    <a:prstGeom prst="rect">
                      <a:avLst/>
                    </a:prstGeom>
                  </pic:spPr>
                </pic:pic>
              </a:graphicData>
            </a:graphic>
          </wp:inline>
        </w:drawing>
      </w:r>
    </w:p>
    <w:p w14:paraId="6243DF52">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7685CA5D">
      <w:pPr>
        <w:spacing w:line="600" w:lineRule="exact"/>
        <w:ind w:firstLine="640" w:firstLineChars="200"/>
        <w:jc w:val="left"/>
        <w:rPr>
          <w:rFonts w:ascii="仿宋_GB2312" w:eastAsia="仿宋_GB2312"/>
          <w:sz w:val="32"/>
          <w:szCs w:val="32"/>
        </w:rPr>
      </w:pPr>
    </w:p>
    <w:p w14:paraId="1C5D0F7D">
      <w:pPr>
        <w:pStyle w:val="26"/>
        <w:numPr>
          <w:ilvl w:val="0"/>
          <w:numId w:val="3"/>
        </w:numPr>
        <w:spacing w:line="600" w:lineRule="exact"/>
        <w:ind w:firstLineChars="0"/>
        <w:outlineLvl w:val="1"/>
        <w:rPr>
          <w:rStyle w:val="28"/>
          <w:rFonts w:ascii="黑体" w:hAnsi="黑体" w:eastAsia="黑体"/>
          <w:b w:val="0"/>
        </w:rPr>
      </w:pPr>
      <w:bookmarkStart w:id="32" w:name="_Toc4584"/>
      <w:bookmarkStart w:id="33" w:name="_Toc15377206"/>
      <w:bookmarkStart w:id="34" w:name="_Toc15396604"/>
      <w:r>
        <w:rPr>
          <w:rFonts w:hint="eastAsia" w:ascii="黑体" w:hAnsi="黑体" w:eastAsia="黑体"/>
          <w:sz w:val="32"/>
          <w:szCs w:val="32"/>
        </w:rPr>
        <w:t>收</w:t>
      </w:r>
      <w:r>
        <w:rPr>
          <w:rStyle w:val="28"/>
          <w:rFonts w:hint="eastAsia" w:ascii="黑体" w:hAnsi="黑体" w:eastAsia="黑体"/>
          <w:b w:val="0"/>
        </w:rPr>
        <w:t>入决算情况说明</w:t>
      </w:r>
      <w:bookmarkEnd w:id="32"/>
      <w:bookmarkEnd w:id="33"/>
      <w:bookmarkEnd w:id="34"/>
    </w:p>
    <w:p w14:paraId="1C95D135">
      <w:pPr>
        <w:spacing w:line="600" w:lineRule="exact"/>
        <w:ind w:firstLine="640" w:firstLineChars="200"/>
        <w:jc w:val="left"/>
        <w:outlineLvl w:val="1"/>
        <w:rPr>
          <w:rFonts w:ascii="仿宋" w:hAnsi="仿宋" w:eastAsia="仿宋"/>
          <w:sz w:val="32"/>
          <w:szCs w:val="32"/>
        </w:rPr>
      </w:pPr>
      <w:bookmarkStart w:id="35" w:name="_Toc49"/>
      <w:r>
        <w:rPr>
          <w:rFonts w:hint="eastAsia" w:ascii="仿宋" w:hAnsi="仿宋" w:eastAsia="仿宋"/>
          <w:sz w:val="32"/>
          <w:szCs w:val="32"/>
        </w:rPr>
        <w:t>2023年度本年收入合计</w:t>
      </w:r>
      <w:r>
        <w:rPr>
          <w:sz w:val="32"/>
          <w:szCs w:val="32"/>
        </w:rPr>
        <w:t>1404.87</w:t>
      </w:r>
      <w:r>
        <w:rPr>
          <w:rFonts w:hint="eastAsia" w:ascii="仿宋" w:hAnsi="仿宋" w:eastAsia="仿宋"/>
          <w:sz w:val="32"/>
          <w:szCs w:val="32"/>
        </w:rPr>
        <w:t>万元，其中：一般公共预算财政拨款收入</w:t>
      </w:r>
      <w:r>
        <w:rPr>
          <w:sz w:val="32"/>
          <w:szCs w:val="32"/>
        </w:rPr>
        <w:t>1404.87</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5"/>
    </w:p>
    <w:p w14:paraId="7D3CCEBF">
      <w:pPr>
        <w:spacing w:line="600" w:lineRule="exact"/>
        <w:outlineLvl w:val="9"/>
        <w:rPr>
          <w:rFonts w:ascii="仿宋" w:hAnsi="仿宋" w:eastAsia="仿宋"/>
          <w:sz w:val="32"/>
          <w:szCs w:val="32"/>
        </w:rPr>
      </w:pPr>
    </w:p>
    <w:p w14:paraId="059E5F4A">
      <w:pPr>
        <w:spacing w:line="240" w:lineRule="auto"/>
        <w:ind w:firstLine="640" w:firstLineChars="200"/>
        <w:outlineLvl w:val="9"/>
        <w:rPr>
          <w:rFonts w:ascii="仿宋" w:hAnsi="仿宋" w:eastAsia="仿宋"/>
          <w:sz w:val="32"/>
          <w:szCs w:val="32"/>
        </w:rPr>
      </w:pPr>
      <w:r>
        <w:rPr>
          <w:rFonts w:hint="eastAsia" w:ascii="仿宋" w:hAnsi="仿宋" w:eastAsia="仿宋"/>
          <w:sz w:val="32"/>
          <w:szCs w:val="32"/>
          <w:lang w:eastAsia="zh-CN"/>
        </w:rPr>
        <w:drawing>
          <wp:inline distT="0" distB="0" distL="114300" distR="114300">
            <wp:extent cx="2858135" cy="1767205"/>
            <wp:effectExtent l="0" t="0" r="18415" b="4445"/>
            <wp:docPr id="5" name="图片 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
                    <pic:cNvPicPr>
                      <a:picLocks noChangeAspect="1"/>
                    </pic:cNvPicPr>
                  </pic:nvPicPr>
                  <pic:blipFill>
                    <a:blip r:embed="rId7"/>
                    <a:stretch>
                      <a:fillRect/>
                    </a:stretch>
                  </pic:blipFill>
                  <pic:spPr>
                    <a:xfrm>
                      <a:off x="0" y="0"/>
                      <a:ext cx="2858135" cy="1767205"/>
                    </a:xfrm>
                    <a:prstGeom prst="rect">
                      <a:avLst/>
                    </a:prstGeom>
                  </pic:spPr>
                </pic:pic>
              </a:graphicData>
            </a:graphic>
          </wp:inline>
        </w:drawing>
      </w:r>
    </w:p>
    <w:p w14:paraId="0B26D6F8">
      <w:pPr>
        <w:spacing w:line="600" w:lineRule="exact"/>
        <w:ind w:firstLine="640" w:firstLineChars="200"/>
        <w:rPr>
          <w:rFonts w:ascii="仿宋_GB2312" w:eastAsia="仿宋_GB2312"/>
          <w:sz w:val="32"/>
          <w:szCs w:val="32"/>
        </w:rPr>
      </w:pPr>
      <w:r>
        <w:rPr>
          <w:rFonts w:hint="eastAsia" w:ascii="仿宋" w:hAnsi="仿宋" w:eastAsia="仿宋"/>
          <w:sz w:val="32"/>
          <w:szCs w:val="32"/>
        </w:rPr>
        <w:t>（图2：收入决算结构图）（饼状图）</w:t>
      </w:r>
    </w:p>
    <w:p w14:paraId="2F45E496">
      <w:pPr>
        <w:pStyle w:val="26"/>
        <w:numPr>
          <w:ilvl w:val="0"/>
          <w:numId w:val="3"/>
        </w:numPr>
        <w:spacing w:line="600" w:lineRule="exact"/>
        <w:ind w:firstLineChars="0"/>
        <w:outlineLvl w:val="1"/>
        <w:rPr>
          <w:rStyle w:val="28"/>
          <w:rFonts w:ascii="黑体" w:hAnsi="黑体" w:eastAsia="黑体"/>
          <w:b w:val="0"/>
        </w:rPr>
      </w:pPr>
      <w:bookmarkStart w:id="36" w:name="_Toc19292"/>
      <w:bookmarkStart w:id="37" w:name="_Toc15396605"/>
      <w:bookmarkStart w:id="38" w:name="_Toc15377207"/>
      <w:r>
        <w:rPr>
          <w:rFonts w:hint="eastAsia" w:ascii="黑体" w:hAnsi="黑体" w:eastAsia="黑体"/>
          <w:sz w:val="32"/>
          <w:szCs w:val="32"/>
        </w:rPr>
        <w:t>支</w:t>
      </w:r>
      <w:r>
        <w:rPr>
          <w:rStyle w:val="28"/>
          <w:rFonts w:hint="eastAsia" w:ascii="黑体" w:hAnsi="黑体" w:eastAsia="黑体"/>
          <w:b w:val="0"/>
        </w:rPr>
        <w:t>出决算情况说明</w:t>
      </w:r>
      <w:bookmarkEnd w:id="36"/>
      <w:bookmarkEnd w:id="37"/>
      <w:bookmarkEnd w:id="38"/>
    </w:p>
    <w:p w14:paraId="24564DF9">
      <w:pPr>
        <w:spacing w:line="600" w:lineRule="exact"/>
        <w:ind w:firstLine="640" w:firstLineChars="200"/>
        <w:outlineLvl w:val="1"/>
        <w:rPr>
          <w:rFonts w:ascii="仿宋" w:hAnsi="仿宋" w:eastAsia="仿宋"/>
          <w:sz w:val="32"/>
          <w:szCs w:val="32"/>
          <w:shd w:val="pct10" w:color="auto" w:fill="FFFFFF"/>
        </w:rPr>
      </w:pPr>
      <w:bookmarkStart w:id="39" w:name="_Toc22386"/>
      <w:r>
        <w:rPr>
          <w:rFonts w:hint="eastAsia" w:ascii="仿宋" w:hAnsi="仿宋" w:eastAsia="仿宋"/>
          <w:sz w:val="32"/>
          <w:szCs w:val="32"/>
        </w:rPr>
        <w:t>2023年度本年支出合计</w:t>
      </w:r>
      <w:r>
        <w:rPr>
          <w:sz w:val="32"/>
          <w:szCs w:val="32"/>
        </w:rPr>
        <w:t>1462.51</w:t>
      </w:r>
      <w:r>
        <w:rPr>
          <w:rFonts w:hint="eastAsia" w:ascii="仿宋" w:hAnsi="仿宋" w:eastAsia="仿宋"/>
          <w:sz w:val="32"/>
          <w:szCs w:val="32"/>
        </w:rPr>
        <w:t>万元，其中：基本支出</w:t>
      </w:r>
      <w:r>
        <w:rPr>
          <w:sz w:val="32"/>
          <w:szCs w:val="32"/>
        </w:rPr>
        <w:t>737.14</w:t>
      </w:r>
      <w:r>
        <w:rPr>
          <w:rFonts w:hint="eastAsia" w:ascii="仿宋" w:hAnsi="仿宋" w:eastAsia="仿宋"/>
          <w:sz w:val="32"/>
          <w:szCs w:val="32"/>
        </w:rPr>
        <w:t>万元，占</w:t>
      </w:r>
      <w:r>
        <w:rPr>
          <w:sz w:val="32"/>
          <w:szCs w:val="32"/>
        </w:rPr>
        <w:t>50.4</w:t>
      </w:r>
      <w:r>
        <w:rPr>
          <w:rFonts w:ascii="仿宋" w:hAnsi="仿宋" w:eastAsia="仿宋"/>
          <w:sz w:val="32"/>
          <w:szCs w:val="32"/>
        </w:rPr>
        <w:t>%</w:t>
      </w:r>
      <w:r>
        <w:rPr>
          <w:rFonts w:hint="eastAsia" w:ascii="仿宋" w:hAnsi="仿宋" w:eastAsia="仿宋"/>
          <w:sz w:val="32"/>
          <w:szCs w:val="32"/>
        </w:rPr>
        <w:t>；项目支出</w:t>
      </w:r>
      <w:r>
        <w:rPr>
          <w:sz w:val="32"/>
          <w:szCs w:val="32"/>
        </w:rPr>
        <w:t>725.37</w:t>
      </w:r>
      <w:r>
        <w:rPr>
          <w:rFonts w:hint="eastAsia" w:ascii="仿宋" w:hAnsi="仿宋" w:eastAsia="仿宋"/>
          <w:sz w:val="32"/>
          <w:szCs w:val="32"/>
        </w:rPr>
        <w:t>万元，占</w:t>
      </w:r>
      <w:r>
        <w:rPr>
          <w:sz w:val="32"/>
          <w:szCs w:val="32"/>
        </w:rPr>
        <w:t>49.59</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9"/>
    </w:p>
    <w:p w14:paraId="22F9F0C0">
      <w:pPr>
        <w:spacing w:line="240" w:lineRule="auto"/>
        <w:ind w:firstLine="640"/>
        <w:rPr>
          <w:rFonts w:ascii="仿宋" w:hAnsi="仿宋" w:eastAsia="仿宋"/>
          <w:sz w:val="32"/>
          <w:szCs w:val="32"/>
          <w:shd w:val="pct10" w:color="auto" w:fill="FFFFFF"/>
        </w:rPr>
      </w:pPr>
      <w:r>
        <w:rPr>
          <w:rFonts w:hint="eastAsia" w:ascii="仿宋" w:hAnsi="仿宋" w:eastAsia="仿宋"/>
          <w:sz w:val="32"/>
          <w:szCs w:val="32"/>
          <w:shd w:val="pct10" w:color="auto" w:fill="FFFFFF"/>
          <w:lang w:eastAsia="zh-CN"/>
        </w:rPr>
        <w:drawing>
          <wp:inline distT="0" distB="0" distL="114300" distR="114300">
            <wp:extent cx="3212465" cy="2834640"/>
            <wp:effectExtent l="0" t="0" r="6985" b="3810"/>
            <wp:docPr id="6" name="图片 6"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3"/>
                    <pic:cNvPicPr>
                      <a:picLocks noChangeAspect="1"/>
                    </pic:cNvPicPr>
                  </pic:nvPicPr>
                  <pic:blipFill>
                    <a:blip r:embed="rId8"/>
                    <a:stretch>
                      <a:fillRect/>
                    </a:stretch>
                  </pic:blipFill>
                  <pic:spPr>
                    <a:xfrm>
                      <a:off x="0" y="0"/>
                      <a:ext cx="3212465" cy="2834640"/>
                    </a:xfrm>
                    <a:prstGeom prst="rect">
                      <a:avLst/>
                    </a:prstGeom>
                  </pic:spPr>
                </pic:pic>
              </a:graphicData>
            </a:graphic>
          </wp:inline>
        </w:drawing>
      </w:r>
    </w:p>
    <w:p w14:paraId="7607FE5B">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14:paraId="07572B18">
      <w:pPr>
        <w:spacing w:line="600" w:lineRule="exact"/>
        <w:ind w:firstLine="640" w:firstLineChars="200"/>
        <w:rPr>
          <w:rFonts w:ascii="仿宋_GB2312" w:eastAsia="仿宋_GB2312"/>
          <w:sz w:val="32"/>
          <w:szCs w:val="32"/>
        </w:rPr>
      </w:pPr>
    </w:p>
    <w:p w14:paraId="279BCC85">
      <w:pPr>
        <w:spacing w:line="600" w:lineRule="exact"/>
        <w:ind w:firstLine="640" w:firstLineChars="200"/>
        <w:outlineLvl w:val="1"/>
        <w:rPr>
          <w:rStyle w:val="28"/>
          <w:rFonts w:ascii="黑体" w:hAnsi="黑体" w:eastAsia="黑体"/>
          <w:b w:val="0"/>
        </w:rPr>
      </w:pPr>
      <w:bookmarkStart w:id="40" w:name="_Toc7002"/>
      <w:bookmarkStart w:id="41" w:name="_Toc15377208"/>
      <w:bookmarkStart w:id="42" w:name="_Toc15396606"/>
      <w:r>
        <w:rPr>
          <w:rFonts w:hint="eastAsia" w:ascii="黑体" w:hAnsi="黑体" w:eastAsia="黑体"/>
          <w:sz w:val="32"/>
          <w:szCs w:val="32"/>
        </w:rPr>
        <w:t>四、财</w:t>
      </w:r>
      <w:r>
        <w:rPr>
          <w:rStyle w:val="28"/>
          <w:rFonts w:hint="eastAsia" w:ascii="黑体" w:hAnsi="黑体" w:eastAsia="黑体"/>
          <w:b w:val="0"/>
        </w:rPr>
        <w:t>政拨款收入支出决算总体情况说明</w:t>
      </w:r>
      <w:bookmarkEnd w:id="40"/>
      <w:bookmarkEnd w:id="41"/>
      <w:bookmarkEnd w:id="42"/>
    </w:p>
    <w:p w14:paraId="3137786F">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sz w:val="32"/>
          <w:szCs w:val="32"/>
        </w:rPr>
        <w:t>1462.51</w:t>
      </w:r>
      <w:r>
        <w:rPr>
          <w:rFonts w:hint="eastAsia" w:ascii="仿宋" w:hAnsi="仿宋" w:eastAsia="仿宋"/>
          <w:sz w:val="32"/>
          <w:szCs w:val="32"/>
        </w:rPr>
        <w:t>万元。与2022年度相比，财政拨款收</w:t>
      </w:r>
      <w:r>
        <w:rPr>
          <w:rFonts w:hint="eastAsia" w:ascii="仿宋" w:hAnsi="仿宋" w:eastAsia="仿宋"/>
          <w:sz w:val="32"/>
          <w:szCs w:val="32"/>
          <w:lang w:eastAsia="zh-CN"/>
        </w:rPr>
        <w:t>入</w:t>
      </w:r>
      <w:r>
        <w:rPr>
          <w:rFonts w:hint="eastAsia" w:ascii="仿宋" w:hAnsi="仿宋" w:eastAsia="仿宋"/>
          <w:sz w:val="32"/>
          <w:szCs w:val="32"/>
        </w:rPr>
        <w:t>减少</w:t>
      </w:r>
      <w:r>
        <w:rPr>
          <w:rFonts w:hint="eastAsia" w:ascii="仿宋" w:hAnsi="仿宋" w:eastAsia="仿宋"/>
          <w:sz w:val="32"/>
          <w:szCs w:val="32"/>
          <w:lang w:val="en-US" w:eastAsia="zh-CN"/>
        </w:rPr>
        <w:t>468.65</w:t>
      </w:r>
      <w:r>
        <w:rPr>
          <w:rFonts w:hint="eastAsia" w:ascii="仿宋" w:hAnsi="仿宋" w:eastAsia="仿宋"/>
          <w:sz w:val="32"/>
          <w:szCs w:val="32"/>
        </w:rPr>
        <w:t>万元，下降</w:t>
      </w:r>
      <w:r>
        <w:rPr>
          <w:rFonts w:hint="eastAsia" w:ascii="仿宋" w:hAnsi="仿宋" w:eastAsia="仿宋"/>
          <w:sz w:val="32"/>
          <w:szCs w:val="32"/>
          <w:lang w:val="en-US" w:eastAsia="zh-CN"/>
        </w:rPr>
        <w:t>24.27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eastAsia="zh-CN"/>
        </w:rPr>
        <w:t>支出减少</w:t>
      </w:r>
      <w:r>
        <w:rPr>
          <w:rFonts w:hint="eastAsia" w:ascii="仿宋" w:hAnsi="仿宋" w:eastAsia="仿宋"/>
          <w:sz w:val="32"/>
          <w:szCs w:val="32"/>
          <w:lang w:val="en-US" w:eastAsia="zh-CN"/>
        </w:rPr>
        <w:t>468.65万元，下降24.27%。</w:t>
      </w:r>
      <w:r>
        <w:rPr>
          <w:rFonts w:hint="eastAsia" w:ascii="仿宋" w:hAnsi="仿宋" w:eastAsia="仿宋"/>
          <w:sz w:val="32"/>
          <w:szCs w:val="32"/>
        </w:rPr>
        <w:t>主要变动原因是</w:t>
      </w:r>
      <w:r>
        <w:rPr>
          <w:rFonts w:hint="eastAsia" w:ascii="仿宋_GB2312" w:hAnsi="仿宋_GB2312" w:eastAsia="仿宋_GB2312" w:cs="仿宋_GB2312"/>
          <w:sz w:val="32"/>
          <w:szCs w:val="32"/>
          <w:lang w:eastAsia="zh-CN"/>
        </w:rPr>
        <w:t>项目建设减少</w:t>
      </w:r>
      <w:r>
        <w:rPr>
          <w:rFonts w:hint="eastAsia" w:ascii="仿宋" w:hAnsi="仿宋" w:eastAsia="仿宋"/>
          <w:sz w:val="32"/>
          <w:szCs w:val="32"/>
        </w:rPr>
        <w:t>。</w:t>
      </w:r>
    </w:p>
    <w:p w14:paraId="02B8B516">
      <w:pPr>
        <w:spacing w:line="240" w:lineRule="auto"/>
        <w:rPr>
          <w:rFonts w:ascii="仿宋" w:hAnsi="仿宋" w:eastAsia="仿宋"/>
          <w:sz w:val="32"/>
          <w:szCs w:val="32"/>
        </w:rPr>
      </w:pPr>
      <w:r>
        <w:rPr>
          <w:rFonts w:hint="eastAsia" w:ascii="仿宋" w:hAnsi="仿宋" w:eastAsia="仿宋"/>
          <w:sz w:val="32"/>
          <w:szCs w:val="32"/>
          <w:lang w:eastAsia="zh-CN"/>
        </w:rPr>
        <w:drawing>
          <wp:inline distT="0" distB="0" distL="114300" distR="114300">
            <wp:extent cx="3329305" cy="2827655"/>
            <wp:effectExtent l="0" t="0" r="4445" b="10795"/>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1"/>
                    <pic:cNvPicPr>
                      <a:picLocks noChangeAspect="1"/>
                    </pic:cNvPicPr>
                  </pic:nvPicPr>
                  <pic:blipFill>
                    <a:blip r:embed="rId6"/>
                    <a:stretch>
                      <a:fillRect/>
                    </a:stretch>
                  </pic:blipFill>
                  <pic:spPr>
                    <a:xfrm>
                      <a:off x="0" y="0"/>
                      <a:ext cx="3329305" cy="2827655"/>
                    </a:xfrm>
                    <a:prstGeom prst="rect">
                      <a:avLst/>
                    </a:prstGeom>
                  </pic:spPr>
                </pic:pic>
              </a:graphicData>
            </a:graphic>
          </wp:inline>
        </w:drawing>
      </w:r>
    </w:p>
    <w:p w14:paraId="4B7BA1D7">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14:paraId="7B711481">
      <w:pPr>
        <w:spacing w:line="600" w:lineRule="exact"/>
        <w:ind w:firstLine="640"/>
        <w:rPr>
          <w:rFonts w:ascii="仿宋" w:hAnsi="仿宋" w:eastAsia="仿宋"/>
          <w:b/>
          <w:sz w:val="32"/>
          <w:szCs w:val="32"/>
        </w:rPr>
      </w:pPr>
    </w:p>
    <w:p w14:paraId="0D3FBB0F">
      <w:pPr>
        <w:spacing w:line="600" w:lineRule="exact"/>
        <w:ind w:firstLine="640" w:firstLineChars="200"/>
        <w:outlineLvl w:val="1"/>
        <w:rPr>
          <w:rStyle w:val="28"/>
          <w:rFonts w:ascii="黑体" w:hAnsi="黑体" w:eastAsia="黑体"/>
          <w:b w:val="0"/>
        </w:rPr>
      </w:pPr>
      <w:bookmarkStart w:id="43" w:name="_Toc15396607"/>
      <w:bookmarkStart w:id="44" w:name="_Toc17495"/>
      <w:bookmarkStart w:id="45" w:name="_Toc15377209"/>
      <w:r>
        <w:rPr>
          <w:rFonts w:hint="eastAsia" w:ascii="黑体" w:hAnsi="黑体" w:eastAsia="黑体"/>
          <w:sz w:val="32"/>
          <w:szCs w:val="32"/>
        </w:rPr>
        <w:t>五、</w:t>
      </w:r>
      <w:r>
        <w:rPr>
          <w:rFonts w:hint="eastAsia" w:ascii="黑体" w:hAnsi="黑体" w:eastAsia="黑体"/>
          <w:b/>
          <w:sz w:val="32"/>
          <w:szCs w:val="32"/>
        </w:rPr>
        <w:t>一</w:t>
      </w:r>
      <w:r>
        <w:rPr>
          <w:rStyle w:val="28"/>
          <w:rFonts w:hint="eastAsia" w:ascii="黑体" w:hAnsi="黑体" w:eastAsia="黑体"/>
          <w:b w:val="0"/>
        </w:rPr>
        <w:t>般公共预算财政拨款支出决算情况说明</w:t>
      </w:r>
      <w:bookmarkEnd w:id="43"/>
      <w:bookmarkEnd w:id="44"/>
      <w:bookmarkEnd w:id="45"/>
    </w:p>
    <w:p w14:paraId="67694277">
      <w:pPr>
        <w:spacing w:line="600" w:lineRule="exact"/>
        <w:ind w:firstLine="643" w:firstLineChars="200"/>
        <w:outlineLvl w:val="2"/>
        <w:rPr>
          <w:rFonts w:ascii="仿宋" w:hAnsi="仿宋" w:eastAsia="仿宋"/>
          <w:b/>
          <w:sz w:val="32"/>
          <w:szCs w:val="32"/>
        </w:rPr>
      </w:pPr>
      <w:bookmarkStart w:id="46" w:name="_Toc15377210"/>
      <w:r>
        <w:rPr>
          <w:rFonts w:hint="eastAsia" w:ascii="仿宋" w:hAnsi="仿宋" w:eastAsia="仿宋"/>
          <w:b/>
          <w:sz w:val="32"/>
          <w:szCs w:val="32"/>
        </w:rPr>
        <w:t>（一）一般公共预算财政拨款支出决算总体情况</w:t>
      </w:r>
      <w:bookmarkEnd w:id="46"/>
    </w:p>
    <w:p w14:paraId="6D86118D">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1462.51</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。与2022年度相比，一般公共预算财政拨款支出减少</w:t>
      </w:r>
      <w:r>
        <w:rPr>
          <w:rFonts w:hint="eastAsia" w:ascii="仿宋" w:hAnsi="仿宋" w:eastAsia="仿宋"/>
          <w:sz w:val="32"/>
          <w:szCs w:val="32"/>
          <w:lang w:val="en-US" w:eastAsia="zh-CN"/>
        </w:rPr>
        <w:t>468.65</w:t>
      </w:r>
      <w:r>
        <w:rPr>
          <w:rFonts w:hint="eastAsia" w:ascii="仿宋" w:hAnsi="仿宋" w:eastAsia="仿宋"/>
          <w:sz w:val="32"/>
          <w:szCs w:val="32"/>
        </w:rPr>
        <w:t>万元，下降</w:t>
      </w:r>
      <w:r>
        <w:rPr>
          <w:rFonts w:hint="eastAsia" w:ascii="仿宋" w:hAnsi="仿宋" w:eastAsia="仿宋"/>
          <w:sz w:val="32"/>
          <w:szCs w:val="32"/>
          <w:lang w:val="en-US" w:eastAsia="zh-CN"/>
        </w:rPr>
        <w:t>24.27</w:t>
      </w:r>
      <w:r>
        <w:rPr>
          <w:rFonts w:ascii="仿宋" w:hAnsi="仿宋" w:eastAsia="仿宋"/>
          <w:sz w:val="32"/>
          <w:szCs w:val="32"/>
        </w:rPr>
        <w:t>%</w:t>
      </w:r>
      <w:r>
        <w:rPr>
          <w:rFonts w:hint="eastAsia" w:ascii="仿宋" w:hAnsi="仿宋" w:eastAsia="仿宋"/>
          <w:sz w:val="32"/>
          <w:szCs w:val="32"/>
        </w:rPr>
        <w:t>。主要变动原因</w:t>
      </w:r>
      <w:r>
        <w:rPr>
          <w:rFonts w:hint="eastAsia" w:ascii="仿宋" w:hAnsi="仿宋" w:eastAsia="仿宋"/>
          <w:sz w:val="32"/>
          <w:szCs w:val="32"/>
          <w:lang w:eastAsia="zh-CN"/>
        </w:rPr>
        <w:t>是</w:t>
      </w:r>
      <w:r>
        <w:rPr>
          <w:rFonts w:hint="eastAsia" w:ascii="仿宋_GB2312" w:hAnsi="仿宋_GB2312" w:eastAsia="仿宋_GB2312" w:cs="仿宋_GB2312"/>
          <w:sz w:val="32"/>
          <w:szCs w:val="32"/>
          <w:lang w:eastAsia="zh-CN"/>
        </w:rPr>
        <w:t>项目建设减少</w:t>
      </w:r>
      <w:r>
        <w:rPr>
          <w:rFonts w:hint="eastAsia" w:ascii="仿宋" w:hAnsi="仿宋" w:eastAsia="仿宋"/>
          <w:sz w:val="32"/>
          <w:szCs w:val="32"/>
        </w:rPr>
        <w:t>。</w:t>
      </w:r>
    </w:p>
    <w:p w14:paraId="25C62AD2">
      <w:pPr>
        <w:spacing w:line="600" w:lineRule="exact"/>
        <w:rPr>
          <w:rFonts w:ascii="仿宋" w:hAnsi="仿宋" w:eastAsia="仿宋"/>
          <w:sz w:val="32"/>
          <w:szCs w:val="32"/>
        </w:rPr>
      </w:pPr>
    </w:p>
    <w:p w14:paraId="607F3B99">
      <w:pPr>
        <w:spacing w:line="240" w:lineRule="auto"/>
        <w:ind w:firstLine="640" w:firstLineChars="200"/>
        <w:rPr>
          <w:rFonts w:ascii="仿宋" w:hAnsi="仿宋" w:eastAsia="仿宋"/>
          <w:sz w:val="32"/>
          <w:szCs w:val="32"/>
        </w:rPr>
      </w:pPr>
      <w:r>
        <w:rPr>
          <w:rFonts w:hint="eastAsia" w:ascii="仿宋" w:hAnsi="仿宋" w:eastAsia="仿宋"/>
          <w:sz w:val="32"/>
          <w:szCs w:val="32"/>
          <w:lang w:eastAsia="zh-CN"/>
        </w:rPr>
        <w:drawing>
          <wp:inline distT="0" distB="0" distL="114300" distR="114300">
            <wp:extent cx="4401820" cy="2510790"/>
            <wp:effectExtent l="0" t="0" r="17780" b="3810"/>
            <wp:docPr id="8" name="图片 8"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4"/>
                    <pic:cNvPicPr>
                      <a:picLocks noChangeAspect="1"/>
                    </pic:cNvPicPr>
                  </pic:nvPicPr>
                  <pic:blipFill>
                    <a:blip r:embed="rId9"/>
                    <a:stretch>
                      <a:fillRect/>
                    </a:stretch>
                  </pic:blipFill>
                  <pic:spPr>
                    <a:xfrm>
                      <a:off x="0" y="0"/>
                      <a:ext cx="4401820" cy="2510790"/>
                    </a:xfrm>
                    <a:prstGeom prst="rect">
                      <a:avLst/>
                    </a:prstGeom>
                  </pic:spPr>
                </pic:pic>
              </a:graphicData>
            </a:graphic>
          </wp:inline>
        </w:drawing>
      </w:r>
    </w:p>
    <w:p w14:paraId="0FDF13D7">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6A1A1509">
      <w:pPr>
        <w:spacing w:line="600" w:lineRule="exact"/>
        <w:ind w:firstLine="640" w:firstLineChars="200"/>
        <w:rPr>
          <w:rFonts w:ascii="仿宋" w:hAnsi="仿宋" w:eastAsia="仿宋"/>
          <w:sz w:val="32"/>
          <w:szCs w:val="32"/>
        </w:rPr>
      </w:pPr>
    </w:p>
    <w:p w14:paraId="77D64149">
      <w:pPr>
        <w:spacing w:line="600" w:lineRule="exact"/>
        <w:ind w:firstLine="643" w:firstLineChars="200"/>
        <w:outlineLvl w:val="2"/>
        <w:rPr>
          <w:rFonts w:ascii="仿宋" w:hAnsi="仿宋" w:eastAsia="仿宋"/>
          <w:b/>
          <w:sz w:val="32"/>
          <w:szCs w:val="32"/>
        </w:rPr>
      </w:pPr>
      <w:bookmarkStart w:id="47" w:name="_Toc15377211"/>
      <w:r>
        <w:rPr>
          <w:rFonts w:hint="eastAsia" w:ascii="仿宋" w:hAnsi="仿宋" w:eastAsia="仿宋"/>
          <w:b/>
          <w:sz w:val="32"/>
          <w:szCs w:val="32"/>
        </w:rPr>
        <w:t>（二）一般公共预算财政拨款支出决算结构情况</w:t>
      </w:r>
      <w:bookmarkEnd w:id="47"/>
    </w:p>
    <w:p w14:paraId="2AA4D091">
      <w:pPr>
        <w:spacing w:line="600" w:lineRule="exact"/>
        <w:ind w:firstLine="640"/>
        <w:rPr>
          <w:rFonts w:hint="default" w:ascii="仿宋" w:hAnsi="仿宋" w:eastAsia="仿宋"/>
          <w:b/>
          <w:sz w:val="32"/>
          <w:szCs w:val="32"/>
          <w:lang w:val="en-US" w:eastAsia="zh-CN"/>
        </w:rPr>
      </w:pPr>
      <w:r>
        <w:rPr>
          <w:rFonts w:hint="eastAsia" w:ascii="仿宋" w:hAnsi="仿宋" w:eastAsia="仿宋"/>
          <w:sz w:val="32"/>
          <w:szCs w:val="32"/>
        </w:rPr>
        <w:t>2023年度一般公共预算财政拨款支出</w:t>
      </w:r>
      <w:r>
        <w:rPr>
          <w:sz w:val="32"/>
          <w:szCs w:val="32"/>
        </w:rPr>
        <w:t>1462.51</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562.94</w:t>
      </w:r>
      <w:r>
        <w:rPr>
          <w:rFonts w:hint="eastAsia" w:ascii="仿宋" w:hAnsi="仿宋" w:eastAsia="仿宋"/>
          <w:sz w:val="32"/>
          <w:szCs w:val="32"/>
        </w:rPr>
        <w:t>万元，占</w:t>
      </w:r>
      <w:r>
        <w:rPr>
          <w:rFonts w:hint="eastAsia" w:ascii="仿宋" w:hAnsi="仿宋" w:eastAsia="仿宋"/>
          <w:sz w:val="32"/>
          <w:szCs w:val="32"/>
          <w:lang w:val="en-US" w:eastAsia="zh-CN"/>
        </w:rPr>
        <w:t>38.49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b/>
          <w:bCs/>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4.56</w:t>
      </w:r>
      <w:r>
        <w:rPr>
          <w:rFonts w:hint="eastAsia" w:ascii="仿宋" w:hAnsi="仿宋" w:eastAsia="仿宋"/>
          <w:b/>
          <w:bCs/>
          <w:sz w:val="32"/>
          <w:szCs w:val="32"/>
        </w:rPr>
        <w:t>万元，占</w:t>
      </w:r>
      <w:r>
        <w:rPr>
          <w:rFonts w:hint="eastAsia" w:ascii="仿宋" w:hAnsi="仿宋" w:eastAsia="仿宋"/>
          <w:b/>
          <w:bCs/>
          <w:sz w:val="32"/>
          <w:szCs w:val="32"/>
          <w:lang w:val="en-US" w:eastAsia="zh-CN"/>
        </w:rPr>
        <w:t>0.31</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92.41</w:t>
      </w:r>
      <w:r>
        <w:rPr>
          <w:rFonts w:hint="eastAsia" w:ascii="仿宋" w:hAnsi="仿宋" w:eastAsia="仿宋"/>
          <w:sz w:val="32"/>
          <w:szCs w:val="32"/>
        </w:rPr>
        <w:t>万元，占</w:t>
      </w:r>
      <w:r>
        <w:rPr>
          <w:rFonts w:hint="eastAsia" w:ascii="仿宋" w:hAnsi="仿宋" w:eastAsia="仿宋"/>
          <w:sz w:val="32"/>
          <w:szCs w:val="32"/>
          <w:lang w:val="en-US" w:eastAsia="zh-CN"/>
        </w:rPr>
        <w:t>6.32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58.33</w:t>
      </w:r>
      <w:r>
        <w:rPr>
          <w:rFonts w:hint="eastAsia" w:ascii="仿宋" w:hAnsi="仿宋" w:eastAsia="仿宋"/>
          <w:sz w:val="32"/>
          <w:szCs w:val="32"/>
        </w:rPr>
        <w:t>万元，占</w:t>
      </w:r>
      <w:r>
        <w:rPr>
          <w:rFonts w:hint="eastAsia" w:ascii="仿宋" w:hAnsi="仿宋" w:eastAsia="仿宋"/>
          <w:sz w:val="32"/>
          <w:szCs w:val="32"/>
          <w:lang w:val="en-US" w:eastAsia="zh-CN"/>
        </w:rPr>
        <w:t>3.99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49.75</w:t>
      </w:r>
      <w:r>
        <w:rPr>
          <w:rFonts w:hint="eastAsia" w:ascii="仿宋" w:hAnsi="仿宋" w:eastAsia="仿宋"/>
          <w:sz w:val="32"/>
          <w:szCs w:val="32"/>
        </w:rPr>
        <w:t>万元，占</w:t>
      </w:r>
      <w:r>
        <w:rPr>
          <w:rFonts w:hint="eastAsia" w:ascii="仿宋" w:hAnsi="仿宋" w:eastAsia="仿宋"/>
          <w:sz w:val="32"/>
          <w:szCs w:val="32"/>
          <w:lang w:val="en-US" w:eastAsia="zh-CN"/>
        </w:rPr>
        <w:t>3.4</w:t>
      </w:r>
      <w:r>
        <w:rPr>
          <w:rFonts w:ascii="仿宋" w:hAnsi="仿宋" w:eastAsia="仿宋"/>
          <w:sz w:val="32"/>
          <w:szCs w:val="32"/>
        </w:rPr>
        <w:t>%</w:t>
      </w:r>
      <w:r>
        <w:rPr>
          <w:rFonts w:hint="eastAsia" w:ascii="仿宋" w:hAnsi="仿宋" w:eastAsia="仿宋"/>
          <w:sz w:val="32"/>
          <w:szCs w:val="32"/>
          <w:lang w:eastAsia="zh-CN"/>
        </w:rPr>
        <w:t>；城</w:t>
      </w:r>
      <w:r>
        <w:rPr>
          <w:rFonts w:hint="eastAsia" w:ascii="仿宋" w:hAnsi="仿宋" w:eastAsia="仿宋"/>
          <w:b/>
          <w:bCs/>
          <w:sz w:val="32"/>
          <w:szCs w:val="32"/>
          <w:lang w:eastAsia="zh-CN"/>
        </w:rPr>
        <w:t>乡社区支出</w:t>
      </w:r>
      <w:r>
        <w:rPr>
          <w:rFonts w:hint="eastAsia" w:ascii="仿宋" w:hAnsi="仿宋" w:eastAsia="仿宋"/>
          <w:sz w:val="32"/>
          <w:szCs w:val="32"/>
          <w:lang w:val="en-US" w:eastAsia="zh-CN"/>
        </w:rPr>
        <w:t>5万元，占0.34%；</w:t>
      </w:r>
      <w:r>
        <w:rPr>
          <w:rFonts w:hint="eastAsia" w:ascii="仿宋" w:hAnsi="仿宋" w:eastAsia="仿宋"/>
          <w:b/>
          <w:bCs/>
          <w:sz w:val="32"/>
          <w:szCs w:val="32"/>
          <w:lang w:val="en-US" w:eastAsia="zh-CN"/>
        </w:rPr>
        <w:t>农林水支出</w:t>
      </w:r>
      <w:r>
        <w:rPr>
          <w:rFonts w:hint="eastAsia" w:ascii="仿宋" w:hAnsi="仿宋" w:eastAsia="仿宋"/>
          <w:sz w:val="32"/>
          <w:szCs w:val="32"/>
          <w:lang w:val="en-US" w:eastAsia="zh-CN"/>
        </w:rPr>
        <w:t>667.96万元，占45.67%；</w:t>
      </w:r>
      <w:r>
        <w:rPr>
          <w:rFonts w:hint="eastAsia" w:ascii="仿宋" w:hAnsi="仿宋" w:eastAsia="仿宋"/>
          <w:b/>
          <w:bCs/>
          <w:sz w:val="32"/>
          <w:szCs w:val="32"/>
          <w:lang w:val="en-US" w:eastAsia="zh-CN"/>
        </w:rPr>
        <w:t>灾害防治及应急管理支出</w:t>
      </w:r>
      <w:r>
        <w:rPr>
          <w:rFonts w:hint="eastAsia" w:ascii="仿宋" w:hAnsi="仿宋" w:eastAsia="仿宋"/>
          <w:sz w:val="32"/>
          <w:szCs w:val="32"/>
          <w:lang w:val="en-US" w:eastAsia="zh-CN"/>
        </w:rPr>
        <w:t>21.55万元，占1.47%。</w:t>
      </w:r>
    </w:p>
    <w:p w14:paraId="19128DEE">
      <w:pPr>
        <w:spacing w:line="240" w:lineRule="auto"/>
        <w:ind w:firstLine="640"/>
        <w:rPr>
          <w:rFonts w:ascii="仿宋" w:hAnsi="仿宋" w:eastAsia="仿宋"/>
          <w:sz w:val="32"/>
          <w:szCs w:val="32"/>
        </w:rPr>
      </w:pPr>
      <w:r>
        <w:rPr>
          <w:rFonts w:hint="eastAsia" w:ascii="仿宋" w:hAnsi="仿宋" w:eastAsia="仿宋"/>
          <w:b/>
          <w:sz w:val="32"/>
          <w:szCs w:val="32"/>
          <w:lang w:eastAsia="zh-CN"/>
        </w:rPr>
        <w:drawing>
          <wp:inline distT="0" distB="0" distL="114300" distR="114300">
            <wp:extent cx="3870325" cy="1790700"/>
            <wp:effectExtent l="0" t="0" r="15875" b="0"/>
            <wp:docPr id="9" name="图片 9" descr="图片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5png"/>
                    <pic:cNvPicPr>
                      <a:picLocks noChangeAspect="1"/>
                    </pic:cNvPicPr>
                  </pic:nvPicPr>
                  <pic:blipFill>
                    <a:blip r:embed="rId10"/>
                    <a:stretch>
                      <a:fillRect/>
                    </a:stretch>
                  </pic:blipFill>
                  <pic:spPr>
                    <a:xfrm>
                      <a:off x="0" y="0"/>
                      <a:ext cx="3870325" cy="1790700"/>
                    </a:xfrm>
                    <a:prstGeom prst="rect">
                      <a:avLst/>
                    </a:prstGeom>
                  </pic:spPr>
                </pic:pic>
              </a:graphicData>
            </a:graphic>
          </wp:inline>
        </w:drawing>
      </w:r>
    </w:p>
    <w:p w14:paraId="60733ACB">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14:paraId="2B88E0A9">
      <w:pPr>
        <w:spacing w:line="600" w:lineRule="exact"/>
        <w:ind w:firstLine="640" w:firstLineChars="200"/>
        <w:rPr>
          <w:rFonts w:ascii="仿宋" w:hAnsi="仿宋" w:eastAsia="仿宋"/>
          <w:sz w:val="32"/>
          <w:szCs w:val="32"/>
        </w:rPr>
      </w:pPr>
    </w:p>
    <w:p w14:paraId="2935BFF7">
      <w:pPr>
        <w:spacing w:line="600" w:lineRule="exact"/>
        <w:ind w:firstLine="643" w:firstLineChars="200"/>
        <w:outlineLvl w:val="2"/>
        <w:rPr>
          <w:rFonts w:ascii="仿宋" w:hAnsi="仿宋" w:eastAsia="仿宋"/>
          <w:b/>
          <w:sz w:val="32"/>
          <w:szCs w:val="32"/>
        </w:rPr>
      </w:pPr>
      <w:bookmarkStart w:id="48" w:name="_Toc15377212"/>
      <w:r>
        <w:rPr>
          <w:rFonts w:hint="eastAsia" w:ascii="仿宋" w:hAnsi="仿宋" w:eastAsia="仿宋"/>
          <w:b/>
          <w:sz w:val="32"/>
          <w:szCs w:val="32"/>
        </w:rPr>
        <w:t>（三）一般公共预算财政拨款支出决算具体情况</w:t>
      </w:r>
      <w:bookmarkEnd w:id="48"/>
    </w:p>
    <w:p w14:paraId="777C6469">
      <w:pPr>
        <w:spacing w:line="600" w:lineRule="exact"/>
        <w:ind w:firstLine="643" w:firstLineChars="200"/>
        <w:outlineLvl w:val="1"/>
        <w:rPr>
          <w:rFonts w:ascii="仿宋" w:hAnsi="仿宋" w:eastAsia="仿宋"/>
          <w:sz w:val="32"/>
          <w:szCs w:val="32"/>
        </w:rPr>
      </w:pPr>
      <w:bookmarkStart w:id="49" w:name="_Toc15377213"/>
      <w:bookmarkStart w:id="50" w:name="_Toc15378460"/>
      <w:bookmarkStart w:id="51" w:name="_Toc15377444"/>
      <w:bookmarkStart w:id="52" w:name="_Toc9142"/>
      <w:r>
        <w:rPr>
          <w:rFonts w:hint="eastAsia" w:ascii="仿宋" w:hAnsi="仿宋" w:eastAsia="仿宋"/>
          <w:b/>
          <w:sz w:val="32"/>
          <w:szCs w:val="32"/>
        </w:rPr>
        <w:t>2023年度一般公共预算支出决算数为</w:t>
      </w:r>
      <w:r>
        <w:rPr>
          <w:sz w:val="32"/>
          <w:szCs w:val="32"/>
        </w:rPr>
        <w:t>1462.51</w:t>
      </w:r>
      <w:r>
        <w:rPr>
          <w:rFonts w:hint="eastAsia" w:ascii="仿宋" w:hAnsi="仿宋" w:eastAsia="仿宋"/>
          <w:sz w:val="32"/>
          <w:szCs w:val="32"/>
        </w:rPr>
        <w:t>，</w:t>
      </w:r>
      <w:r>
        <w:rPr>
          <w:rStyle w:val="16"/>
          <w:rFonts w:hint="eastAsia" w:ascii="仿宋" w:hAnsi="仿宋" w:eastAsia="仿宋"/>
          <w:bCs/>
          <w:sz w:val="32"/>
          <w:szCs w:val="32"/>
        </w:rPr>
        <w:t>完成预算</w:t>
      </w:r>
      <w:r>
        <w:rPr>
          <w:rStyle w:val="16"/>
          <w:rFonts w:hint="eastAsia" w:ascii="仿宋" w:hAnsi="仿宋" w:eastAsia="仿宋"/>
          <w:bCs/>
          <w:sz w:val="32"/>
          <w:szCs w:val="32"/>
          <w:lang w:val="en-US" w:eastAsia="zh-CN"/>
        </w:rPr>
        <w:t>100</w:t>
      </w:r>
      <w:r>
        <w:rPr>
          <w:rStyle w:val="16"/>
          <w:rFonts w:ascii="仿宋" w:hAnsi="仿宋" w:eastAsia="仿宋"/>
          <w:bCs/>
          <w:sz w:val="32"/>
          <w:szCs w:val="32"/>
        </w:rPr>
        <w:t>%</w:t>
      </w:r>
      <w:r>
        <w:rPr>
          <w:rStyle w:val="16"/>
          <w:rFonts w:hint="eastAsia" w:ascii="仿宋" w:hAnsi="仿宋" w:eastAsia="仿宋"/>
          <w:bCs/>
          <w:sz w:val="32"/>
          <w:szCs w:val="32"/>
        </w:rPr>
        <w:t>。其中：</w:t>
      </w:r>
      <w:bookmarkEnd w:id="49"/>
      <w:bookmarkEnd w:id="50"/>
      <w:bookmarkEnd w:id="51"/>
      <w:bookmarkEnd w:id="52"/>
    </w:p>
    <w:p w14:paraId="195A50E8">
      <w:pPr>
        <w:numPr>
          <w:ilvl w:val="0"/>
          <w:numId w:val="4"/>
        </w:num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rPr>
        <w:t>一般公共服务（</w:t>
      </w:r>
      <w:r>
        <w:rPr>
          <w:rStyle w:val="16"/>
          <w:rFonts w:hint="eastAsia" w:ascii="仿宋" w:hAnsi="仿宋" w:eastAsia="仿宋"/>
          <w:bCs/>
          <w:sz w:val="32"/>
          <w:szCs w:val="32"/>
          <w:lang w:val="en-US" w:eastAsia="zh-CN"/>
        </w:rPr>
        <w:t>201</w:t>
      </w:r>
      <w:r>
        <w:rPr>
          <w:rStyle w:val="16"/>
          <w:rFonts w:hint="eastAsia" w:ascii="仿宋" w:hAnsi="仿宋" w:eastAsia="仿宋"/>
          <w:bCs/>
          <w:sz w:val="32"/>
          <w:szCs w:val="32"/>
        </w:rPr>
        <w:t>）</w:t>
      </w:r>
      <w:r>
        <w:rPr>
          <w:rStyle w:val="16"/>
          <w:rFonts w:hint="eastAsia" w:ascii="仿宋" w:hAnsi="仿宋" w:eastAsia="仿宋"/>
          <w:bCs/>
          <w:sz w:val="32"/>
          <w:szCs w:val="32"/>
          <w:lang w:eastAsia="zh-CN"/>
        </w:rPr>
        <w:t>政府办公厅（室）</w:t>
      </w:r>
      <w:r>
        <w:rPr>
          <w:rStyle w:val="16"/>
          <w:rFonts w:hint="eastAsia" w:ascii="仿宋" w:hAnsi="仿宋" w:eastAsia="仿宋"/>
          <w:bCs/>
          <w:color w:val="000000"/>
          <w:sz w:val="32"/>
          <w:szCs w:val="32"/>
          <w:lang w:val="en-US" w:eastAsia="zh-CN"/>
        </w:rPr>
        <w:t>及相关机构事务支出</w:t>
      </w:r>
      <w:r>
        <w:rPr>
          <w:rStyle w:val="16"/>
          <w:rFonts w:hint="eastAsia" w:ascii="仿宋" w:hAnsi="仿宋" w:eastAsia="仿宋"/>
          <w:bCs/>
          <w:sz w:val="32"/>
          <w:szCs w:val="32"/>
        </w:rPr>
        <w:t>（</w:t>
      </w:r>
      <w:r>
        <w:rPr>
          <w:rStyle w:val="16"/>
          <w:rFonts w:hint="eastAsia" w:ascii="仿宋" w:hAnsi="仿宋" w:eastAsia="仿宋"/>
          <w:bCs/>
          <w:sz w:val="32"/>
          <w:szCs w:val="32"/>
          <w:lang w:val="en-US" w:eastAsia="zh-CN"/>
        </w:rPr>
        <w:t>03</w:t>
      </w:r>
      <w:r>
        <w:rPr>
          <w:rStyle w:val="16"/>
          <w:rFonts w:hint="eastAsia" w:ascii="仿宋" w:hAnsi="仿宋" w:eastAsia="仿宋"/>
          <w:bCs/>
          <w:sz w:val="32"/>
          <w:szCs w:val="32"/>
        </w:rPr>
        <w:t>）</w:t>
      </w:r>
      <w:r>
        <w:rPr>
          <w:rStyle w:val="16"/>
          <w:rFonts w:hint="eastAsia" w:ascii="仿宋" w:hAnsi="仿宋" w:eastAsia="仿宋"/>
          <w:bCs/>
          <w:color w:val="000000"/>
          <w:sz w:val="32"/>
          <w:szCs w:val="32"/>
          <w:lang w:val="en-US" w:eastAsia="zh-CN"/>
        </w:rPr>
        <w:t>行政运行（01）</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371.25</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4E34CD5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16"/>
          <w:rFonts w:hint="eastAsia" w:ascii="仿宋" w:hAnsi="仿宋" w:eastAsia="仿宋"/>
          <w:b w:val="0"/>
          <w:bCs/>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一般公共服务（201）财政事务（03）事业运行（50）: 支出决算为</w:t>
      </w:r>
      <w:r>
        <w:rPr>
          <w:rFonts w:hint="eastAsia" w:ascii="仿宋_GB2312" w:hAnsi="仿宋_GB2312" w:eastAsia="仿宋_GB2312" w:cs="仿宋_GB2312"/>
          <w:sz w:val="32"/>
          <w:szCs w:val="32"/>
          <w:lang w:val="en-US" w:eastAsia="zh-CN"/>
        </w:rPr>
        <w:t>176.31</w:t>
      </w:r>
      <w:r>
        <w:rPr>
          <w:rFonts w:hint="eastAsia" w:ascii="仿宋_GB2312" w:hAnsi="仿宋_GB2312" w:eastAsia="仿宋_GB2312" w:cs="仿宋_GB2312"/>
          <w:sz w:val="32"/>
          <w:szCs w:val="32"/>
        </w:rPr>
        <w:t>万元，完成预算100%，决算数等于预算数。</w:t>
      </w:r>
    </w:p>
    <w:p w14:paraId="50C1D852">
      <w:pPr>
        <w:spacing w:line="600" w:lineRule="exact"/>
        <w:ind w:firstLine="643" w:firstLineChars="200"/>
        <w:rPr>
          <w:rFonts w:ascii="仿宋" w:hAnsi="仿宋" w:eastAsia="仿宋"/>
          <w:b/>
          <w:sz w:val="32"/>
          <w:szCs w:val="32"/>
        </w:rPr>
      </w:pPr>
      <w:r>
        <w:rPr>
          <w:rStyle w:val="16"/>
          <w:rFonts w:hint="eastAsia" w:ascii="仿宋" w:hAnsi="仿宋" w:eastAsia="仿宋"/>
          <w:bCs/>
          <w:sz w:val="32"/>
          <w:szCs w:val="32"/>
          <w:lang w:val="en-US" w:eastAsia="zh-CN"/>
        </w:rPr>
        <w:t>3</w:t>
      </w:r>
      <w:r>
        <w:rPr>
          <w:rStyle w:val="16"/>
          <w:rFonts w:ascii="仿宋" w:hAnsi="仿宋" w:eastAsia="仿宋"/>
          <w:bCs/>
          <w:sz w:val="32"/>
          <w:szCs w:val="32"/>
        </w:rPr>
        <w:t>.</w:t>
      </w:r>
      <w:r>
        <w:rPr>
          <w:rStyle w:val="16"/>
          <w:rFonts w:hint="eastAsia" w:ascii="仿宋" w:hAnsi="仿宋" w:eastAsia="仿宋"/>
          <w:bCs/>
          <w:sz w:val="32"/>
          <w:szCs w:val="32"/>
        </w:rPr>
        <w:t>文化旅游体育与传媒（</w:t>
      </w:r>
      <w:r>
        <w:rPr>
          <w:rStyle w:val="16"/>
          <w:rFonts w:hint="eastAsia" w:ascii="仿宋" w:hAnsi="仿宋" w:eastAsia="仿宋"/>
          <w:bCs/>
          <w:sz w:val="32"/>
          <w:szCs w:val="32"/>
          <w:lang w:val="en-US" w:eastAsia="zh-CN"/>
        </w:rPr>
        <w:t>207</w:t>
      </w:r>
      <w:r>
        <w:rPr>
          <w:rStyle w:val="16"/>
          <w:rFonts w:hint="eastAsia" w:ascii="仿宋" w:hAnsi="仿宋" w:eastAsia="仿宋"/>
          <w:bCs/>
          <w:sz w:val="32"/>
          <w:szCs w:val="32"/>
        </w:rPr>
        <w:t>）</w:t>
      </w:r>
      <w:r>
        <w:rPr>
          <w:rStyle w:val="16"/>
          <w:rFonts w:hint="eastAsia" w:ascii="仿宋" w:hAnsi="仿宋" w:eastAsia="仿宋"/>
          <w:bCs/>
          <w:sz w:val="32"/>
          <w:szCs w:val="32"/>
          <w:lang w:eastAsia="zh-CN"/>
        </w:rPr>
        <w:t>文化和旅游</w:t>
      </w:r>
      <w:r>
        <w:rPr>
          <w:rStyle w:val="16"/>
          <w:rFonts w:hint="eastAsia" w:ascii="仿宋" w:hAnsi="仿宋" w:eastAsia="仿宋"/>
          <w:bCs/>
          <w:sz w:val="32"/>
          <w:szCs w:val="32"/>
        </w:rPr>
        <w:t>（</w:t>
      </w:r>
      <w:r>
        <w:rPr>
          <w:rStyle w:val="16"/>
          <w:rFonts w:hint="eastAsia" w:ascii="仿宋" w:hAnsi="仿宋" w:eastAsia="仿宋"/>
          <w:bCs/>
          <w:sz w:val="32"/>
          <w:szCs w:val="32"/>
          <w:lang w:val="en-US" w:eastAsia="zh-CN"/>
        </w:rPr>
        <w:t>01</w:t>
      </w:r>
      <w:r>
        <w:rPr>
          <w:rStyle w:val="16"/>
          <w:rFonts w:hint="eastAsia" w:ascii="仿宋" w:hAnsi="仿宋" w:eastAsia="仿宋"/>
          <w:bCs/>
          <w:sz w:val="32"/>
          <w:szCs w:val="32"/>
        </w:rPr>
        <w:t>）</w:t>
      </w:r>
      <w:r>
        <w:rPr>
          <w:rStyle w:val="16"/>
          <w:rFonts w:hint="eastAsia" w:ascii="仿宋" w:hAnsi="仿宋" w:eastAsia="仿宋"/>
          <w:bCs/>
          <w:sz w:val="32"/>
          <w:szCs w:val="32"/>
          <w:lang w:eastAsia="zh-CN"/>
        </w:rPr>
        <w:t>群众文化</w:t>
      </w:r>
      <w:r>
        <w:rPr>
          <w:rStyle w:val="16"/>
          <w:rFonts w:hint="eastAsia" w:ascii="仿宋" w:hAnsi="仿宋" w:eastAsia="仿宋"/>
          <w:bCs/>
          <w:sz w:val="32"/>
          <w:szCs w:val="32"/>
        </w:rPr>
        <w:t>（</w:t>
      </w:r>
      <w:r>
        <w:rPr>
          <w:rStyle w:val="16"/>
          <w:rFonts w:hint="eastAsia" w:ascii="仿宋" w:hAnsi="仿宋" w:eastAsia="仿宋"/>
          <w:bCs/>
          <w:sz w:val="32"/>
          <w:szCs w:val="32"/>
          <w:lang w:val="en-US" w:eastAsia="zh-CN"/>
        </w:rPr>
        <w:t>09</w:t>
      </w:r>
      <w:r>
        <w:rPr>
          <w:rStyle w:val="16"/>
          <w:rFonts w:hint="eastAsia" w:ascii="仿宋" w:hAnsi="仿宋" w:eastAsia="仿宋"/>
          <w:bCs/>
          <w:sz w:val="32"/>
          <w:szCs w:val="32"/>
        </w:rPr>
        <w:t>）</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4.56</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4BB87D83">
      <w:pPr>
        <w:spacing w:line="600" w:lineRule="exact"/>
        <w:ind w:firstLine="643" w:firstLineChars="200"/>
        <w:rPr>
          <w:rStyle w:val="16"/>
          <w:rFonts w:hint="eastAsia" w:ascii="仿宋" w:hAnsi="仿宋" w:eastAsia="仿宋"/>
          <w:b w:val="0"/>
          <w:bCs/>
          <w:sz w:val="32"/>
          <w:szCs w:val="32"/>
          <w:lang w:eastAsia="zh-CN"/>
        </w:rPr>
      </w:pPr>
      <w:r>
        <w:rPr>
          <w:rStyle w:val="16"/>
          <w:rFonts w:hint="eastAsia" w:ascii="仿宋" w:hAnsi="仿宋" w:eastAsia="仿宋"/>
          <w:bCs/>
          <w:sz w:val="32"/>
          <w:szCs w:val="32"/>
          <w:lang w:val="en-US" w:eastAsia="zh-CN"/>
        </w:rPr>
        <w:t>4</w:t>
      </w:r>
      <w:r>
        <w:rPr>
          <w:rStyle w:val="16"/>
          <w:rFonts w:ascii="仿宋" w:hAnsi="仿宋" w:eastAsia="仿宋"/>
          <w:bCs/>
          <w:sz w:val="32"/>
          <w:szCs w:val="32"/>
        </w:rPr>
        <w:t>.</w:t>
      </w:r>
      <w:r>
        <w:rPr>
          <w:rStyle w:val="16"/>
          <w:rFonts w:hint="eastAsia" w:ascii="仿宋" w:hAnsi="仿宋" w:eastAsia="仿宋"/>
          <w:bCs/>
          <w:sz w:val="32"/>
          <w:szCs w:val="32"/>
        </w:rPr>
        <w:t>社会保障和就业（</w:t>
      </w:r>
      <w:r>
        <w:rPr>
          <w:rStyle w:val="16"/>
          <w:rFonts w:hint="eastAsia" w:ascii="仿宋" w:hAnsi="仿宋" w:eastAsia="仿宋"/>
          <w:bCs/>
          <w:sz w:val="32"/>
          <w:szCs w:val="32"/>
          <w:lang w:val="en-US" w:eastAsia="zh-CN"/>
        </w:rPr>
        <w:t>208</w:t>
      </w:r>
      <w:r>
        <w:rPr>
          <w:rStyle w:val="16"/>
          <w:rFonts w:hint="eastAsia" w:ascii="仿宋" w:hAnsi="仿宋" w:eastAsia="仿宋"/>
          <w:bCs/>
          <w:sz w:val="32"/>
          <w:szCs w:val="32"/>
        </w:rPr>
        <w:t>）</w:t>
      </w:r>
      <w:r>
        <w:rPr>
          <w:rStyle w:val="16"/>
          <w:rFonts w:hint="eastAsia" w:ascii="仿宋" w:hAnsi="仿宋" w:eastAsia="仿宋"/>
          <w:bCs/>
          <w:color w:val="000000"/>
          <w:sz w:val="32"/>
          <w:szCs w:val="32"/>
          <w:lang w:eastAsia="zh-CN"/>
        </w:rPr>
        <w:t>行政事业单位养老支出</w:t>
      </w:r>
      <w:r>
        <w:rPr>
          <w:rStyle w:val="16"/>
          <w:rFonts w:hint="eastAsia" w:ascii="仿宋" w:hAnsi="仿宋" w:eastAsia="仿宋"/>
          <w:bCs/>
          <w:sz w:val="32"/>
          <w:szCs w:val="32"/>
        </w:rPr>
        <w:t>（</w:t>
      </w:r>
      <w:r>
        <w:rPr>
          <w:rStyle w:val="16"/>
          <w:rFonts w:hint="eastAsia" w:ascii="仿宋" w:hAnsi="仿宋" w:eastAsia="仿宋"/>
          <w:bCs/>
          <w:sz w:val="32"/>
          <w:szCs w:val="32"/>
          <w:lang w:val="en-US" w:eastAsia="zh-CN"/>
        </w:rPr>
        <w:t>05</w:t>
      </w:r>
      <w:r>
        <w:rPr>
          <w:rStyle w:val="16"/>
          <w:rFonts w:hint="eastAsia" w:ascii="仿宋" w:hAnsi="仿宋" w:eastAsia="仿宋"/>
          <w:bCs/>
          <w:sz w:val="32"/>
          <w:szCs w:val="32"/>
        </w:rPr>
        <w:t>）</w:t>
      </w:r>
      <w:r>
        <w:rPr>
          <w:rStyle w:val="16"/>
          <w:rFonts w:hint="eastAsia" w:ascii="仿宋" w:hAnsi="仿宋" w:eastAsia="仿宋"/>
          <w:bCs/>
          <w:color w:val="000000"/>
          <w:sz w:val="32"/>
          <w:szCs w:val="32"/>
          <w:lang w:eastAsia="zh-CN"/>
        </w:rPr>
        <w:t>机关事业单位基本养老保险缴费支出</w:t>
      </w:r>
      <w:r>
        <w:rPr>
          <w:rStyle w:val="16"/>
          <w:rFonts w:hint="eastAsia" w:ascii="仿宋" w:hAnsi="仿宋" w:eastAsia="仿宋"/>
          <w:bCs/>
          <w:sz w:val="32"/>
          <w:szCs w:val="32"/>
        </w:rPr>
        <w:t>（</w:t>
      </w:r>
      <w:r>
        <w:rPr>
          <w:rStyle w:val="16"/>
          <w:rFonts w:hint="eastAsia" w:ascii="仿宋" w:hAnsi="仿宋" w:eastAsia="仿宋"/>
          <w:bCs/>
          <w:sz w:val="32"/>
          <w:szCs w:val="32"/>
          <w:lang w:val="en-US" w:eastAsia="zh-CN"/>
        </w:rPr>
        <w:t>05</w:t>
      </w:r>
      <w:r>
        <w:rPr>
          <w:rStyle w:val="16"/>
          <w:rFonts w:hint="eastAsia" w:ascii="仿宋" w:hAnsi="仿宋" w:eastAsia="仿宋"/>
          <w:bCs/>
          <w:sz w:val="32"/>
          <w:szCs w:val="32"/>
        </w:rPr>
        <w:t>）</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61.75</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r>
        <w:rPr>
          <w:rStyle w:val="16"/>
          <w:rFonts w:hint="eastAsia" w:ascii="仿宋" w:hAnsi="仿宋" w:eastAsia="仿宋"/>
          <w:b w:val="0"/>
          <w:bCs/>
          <w:sz w:val="32"/>
          <w:szCs w:val="32"/>
          <w:lang w:eastAsia="zh-CN"/>
        </w:rPr>
        <w:t>。</w:t>
      </w:r>
    </w:p>
    <w:p w14:paraId="1868E86E">
      <w:pPr>
        <w:pageBreakBefore w:val="0"/>
        <w:kinsoku/>
        <w:wordWrap/>
        <w:overflowPunct/>
        <w:topLinePunct w:val="0"/>
        <w:bidi w:val="0"/>
        <w:spacing w:line="576" w:lineRule="atLeast"/>
        <w:ind w:firstLine="640" w:firstLineChars="200"/>
        <w:rPr>
          <w:rStyle w:val="16"/>
          <w:rFonts w:hint="eastAsia" w:ascii="仿宋" w:hAnsi="仿宋" w:eastAsia="仿宋"/>
          <w:b w:val="0"/>
          <w:bCs/>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 w:hAnsi="仿宋" w:eastAsia="仿宋"/>
          <w:b/>
          <w:bCs/>
          <w:color w:val="000000"/>
          <w:sz w:val="32"/>
          <w:szCs w:val="32"/>
          <w:lang w:eastAsia="zh-CN"/>
        </w:rPr>
        <w:t>社会保障和就业支出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行政事业单位养老支出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机关事业单位职业年金缴费支出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06</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30.65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04CC67CB">
      <w:pPr>
        <w:spacing w:line="600" w:lineRule="exact"/>
        <w:ind w:firstLine="643" w:firstLineChars="200"/>
        <w:rPr>
          <w:rFonts w:hint="eastAsia" w:ascii="仿宋" w:hAnsi="仿宋" w:eastAsia="仿宋"/>
          <w:b/>
          <w:sz w:val="32"/>
          <w:szCs w:val="32"/>
          <w:lang w:eastAsia="zh-CN"/>
        </w:rPr>
      </w:pPr>
      <w:r>
        <w:rPr>
          <w:rStyle w:val="16"/>
          <w:rFonts w:ascii="仿宋" w:hAnsi="仿宋" w:eastAsia="仿宋"/>
          <w:bCs/>
          <w:sz w:val="32"/>
          <w:szCs w:val="32"/>
        </w:rPr>
        <w:t>6.</w:t>
      </w:r>
      <w:r>
        <w:rPr>
          <w:rFonts w:hint="eastAsia" w:ascii="仿宋" w:hAnsi="仿宋" w:eastAsia="仿宋"/>
          <w:b/>
          <w:bCs/>
          <w:sz w:val="32"/>
          <w:szCs w:val="32"/>
        </w:rPr>
        <w:t>卫生健康</w:t>
      </w:r>
      <w:r>
        <w:rPr>
          <w:rStyle w:val="16"/>
          <w:rFonts w:hint="eastAsia" w:ascii="仿宋" w:hAnsi="仿宋" w:eastAsia="仿宋"/>
          <w:bCs/>
          <w:sz w:val="32"/>
          <w:szCs w:val="32"/>
        </w:rPr>
        <w:t>（</w:t>
      </w:r>
      <w:r>
        <w:rPr>
          <w:rStyle w:val="16"/>
          <w:rFonts w:hint="eastAsia" w:ascii="仿宋" w:hAnsi="仿宋" w:eastAsia="仿宋"/>
          <w:bCs/>
          <w:sz w:val="32"/>
          <w:szCs w:val="32"/>
          <w:lang w:val="en-US" w:eastAsia="zh-CN"/>
        </w:rPr>
        <w:t>210</w:t>
      </w:r>
      <w:r>
        <w:rPr>
          <w:rStyle w:val="16"/>
          <w:rFonts w:hint="eastAsia" w:ascii="仿宋" w:hAnsi="仿宋" w:eastAsia="仿宋"/>
          <w:bCs/>
          <w:sz w:val="32"/>
          <w:szCs w:val="32"/>
        </w:rPr>
        <w:t>）</w:t>
      </w:r>
      <w:r>
        <w:rPr>
          <w:rStyle w:val="16"/>
          <w:rFonts w:hint="eastAsia" w:ascii="仿宋" w:hAnsi="仿宋" w:eastAsia="仿宋"/>
          <w:bCs/>
          <w:color w:val="000000"/>
          <w:sz w:val="32"/>
          <w:szCs w:val="32"/>
          <w:lang w:eastAsia="zh-CN"/>
        </w:rPr>
        <w:t>公共卫生</w:t>
      </w:r>
      <w:r>
        <w:rPr>
          <w:rStyle w:val="16"/>
          <w:rFonts w:hint="eastAsia" w:ascii="仿宋" w:hAnsi="仿宋" w:eastAsia="仿宋"/>
          <w:bCs/>
          <w:sz w:val="32"/>
          <w:szCs w:val="32"/>
        </w:rPr>
        <w:t>（</w:t>
      </w:r>
      <w:r>
        <w:rPr>
          <w:rStyle w:val="16"/>
          <w:rFonts w:hint="eastAsia" w:ascii="仿宋" w:hAnsi="仿宋" w:eastAsia="仿宋"/>
          <w:bCs/>
          <w:sz w:val="32"/>
          <w:szCs w:val="32"/>
          <w:lang w:val="en-US" w:eastAsia="zh-CN"/>
        </w:rPr>
        <w:t>04</w:t>
      </w:r>
      <w:r>
        <w:rPr>
          <w:rStyle w:val="16"/>
          <w:rFonts w:hint="eastAsia" w:ascii="仿宋" w:hAnsi="仿宋" w:eastAsia="仿宋"/>
          <w:bCs/>
          <w:sz w:val="32"/>
          <w:szCs w:val="32"/>
        </w:rPr>
        <w:t>）</w:t>
      </w:r>
      <w:r>
        <w:rPr>
          <w:rStyle w:val="16"/>
          <w:rFonts w:hint="eastAsia" w:ascii="仿宋" w:hAnsi="仿宋" w:eastAsia="仿宋"/>
          <w:bCs/>
          <w:color w:val="000000"/>
          <w:sz w:val="32"/>
          <w:szCs w:val="32"/>
          <w:lang w:eastAsia="zh-CN"/>
        </w:rPr>
        <w:t>其他公共卫生支出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w:t>
      </w:r>
      <w:r>
        <w:rPr>
          <w:rStyle w:val="16"/>
          <w:rFonts w:ascii="仿宋" w:hAnsi="仿宋" w:eastAsia="仿宋"/>
          <w:bCs/>
          <w:sz w:val="32"/>
          <w:szCs w:val="32"/>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16.32</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r>
        <w:rPr>
          <w:rStyle w:val="16"/>
          <w:rFonts w:hint="eastAsia" w:ascii="仿宋" w:hAnsi="仿宋" w:eastAsia="仿宋"/>
          <w:b w:val="0"/>
          <w:bCs/>
          <w:sz w:val="32"/>
          <w:szCs w:val="32"/>
          <w:lang w:eastAsia="zh-CN"/>
        </w:rPr>
        <w:t>。</w:t>
      </w:r>
    </w:p>
    <w:p w14:paraId="43C51759">
      <w:pPr>
        <w:ind w:firstLine="643"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7.</w:t>
      </w:r>
      <w:r>
        <w:rPr>
          <w:rStyle w:val="16"/>
          <w:rFonts w:hint="eastAsia" w:ascii="仿宋" w:hAnsi="仿宋" w:eastAsia="仿宋"/>
          <w:bCs/>
          <w:color w:val="000000"/>
          <w:sz w:val="32"/>
          <w:szCs w:val="32"/>
          <w:lang w:eastAsia="zh-CN"/>
        </w:rPr>
        <w:t>卫生健康支出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行政事业单位医疗</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行政单位医疗</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21.73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val="en-US" w:eastAsia="zh-CN"/>
        </w:rPr>
        <w:t>。</w:t>
      </w:r>
    </w:p>
    <w:p w14:paraId="51069354">
      <w:pPr>
        <w:pStyle w:val="7"/>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.卫生健康（210）行政事业单位医疗（11）事业单位医疗（02）: 支出决算为</w:t>
      </w:r>
      <w:r>
        <w:rPr>
          <w:rFonts w:hint="eastAsia" w:hAnsi="仿宋_GB2312" w:eastAsia="仿宋_GB2312" w:cs="仿宋_GB2312"/>
          <w:sz w:val="32"/>
          <w:szCs w:val="32"/>
          <w:lang w:val="en-US" w:eastAsia="zh-CN"/>
        </w:rPr>
        <w:t>12.37</w:t>
      </w:r>
      <w:r>
        <w:rPr>
          <w:rFonts w:hint="eastAsia" w:ascii="仿宋_GB2312" w:hAnsi="仿宋_GB2312" w:eastAsia="仿宋_GB2312" w:cs="仿宋_GB2312"/>
          <w:sz w:val="32"/>
          <w:szCs w:val="32"/>
        </w:rPr>
        <w:t>万元，完成预算100%，决算数等于预算数。</w:t>
      </w:r>
    </w:p>
    <w:p w14:paraId="087F3F73">
      <w:pPr>
        <w:pStyle w:val="5"/>
        <w:pageBreakBefore w:val="0"/>
        <w:kinsoku/>
        <w:wordWrap/>
        <w:overflowPunct/>
        <w:topLinePunct w:val="0"/>
        <w:bidi w:val="0"/>
        <w:spacing w:line="576" w:lineRule="atLeast"/>
        <w:ind w:firstLine="643"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9.</w:t>
      </w:r>
      <w:r>
        <w:rPr>
          <w:rStyle w:val="16"/>
          <w:rFonts w:hint="eastAsia" w:ascii="仿宋" w:hAnsi="仿宋" w:eastAsia="仿宋"/>
          <w:bCs/>
          <w:color w:val="000000"/>
          <w:sz w:val="32"/>
          <w:szCs w:val="32"/>
          <w:lang w:eastAsia="zh-CN"/>
        </w:rPr>
        <w:t>卫生健康支出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行政事业单位医疗</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公务员医疗补助</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03</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7.25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val="en-US" w:eastAsia="zh-CN"/>
        </w:rPr>
        <w:t>。</w:t>
      </w:r>
    </w:p>
    <w:p w14:paraId="58F01A49">
      <w:pPr>
        <w:pStyle w:val="5"/>
        <w:pageBreakBefore w:val="0"/>
        <w:kinsoku/>
        <w:wordWrap/>
        <w:overflowPunct/>
        <w:topLinePunct w:val="0"/>
        <w:bidi w:val="0"/>
        <w:spacing w:line="576" w:lineRule="atLeast"/>
        <w:ind w:firstLine="643"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10.</w:t>
      </w:r>
      <w:r>
        <w:rPr>
          <w:rStyle w:val="16"/>
          <w:rFonts w:hint="eastAsia" w:ascii="仿宋" w:hAnsi="仿宋" w:eastAsia="仿宋"/>
          <w:bCs/>
          <w:color w:val="000000"/>
          <w:sz w:val="32"/>
          <w:szCs w:val="32"/>
          <w:lang w:eastAsia="zh-CN"/>
        </w:rPr>
        <w:t>卫生健康支出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行政事业单位医疗</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其他行政事业单位医疗支出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0.66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val="en-US" w:eastAsia="zh-CN"/>
        </w:rPr>
        <w:t>。</w:t>
      </w:r>
    </w:p>
    <w:p w14:paraId="1BD19031">
      <w:pPr>
        <w:pStyle w:val="5"/>
        <w:pageBreakBefore w:val="0"/>
        <w:kinsoku/>
        <w:wordWrap/>
        <w:overflowPunct/>
        <w:topLinePunct w:val="0"/>
        <w:bidi w:val="0"/>
        <w:spacing w:line="576" w:lineRule="atLeast"/>
        <w:ind w:firstLine="643"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lang w:eastAsia="zh-CN"/>
        </w:rPr>
        <w:t>城乡社区支出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212</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城乡社区管理事务</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城管执法</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04</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val="en-US" w:eastAsia="zh-CN"/>
        </w:rPr>
        <w:t>。</w:t>
      </w:r>
    </w:p>
    <w:p w14:paraId="5FA8464E">
      <w:pPr>
        <w:pStyle w:val="5"/>
        <w:pageBreakBefore w:val="0"/>
        <w:kinsoku/>
        <w:wordWrap/>
        <w:overflowPunct/>
        <w:topLinePunct w:val="0"/>
        <w:bidi w:val="0"/>
        <w:spacing w:line="576" w:lineRule="atLeast"/>
        <w:ind w:firstLine="643"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12.</w:t>
      </w:r>
      <w:r>
        <w:rPr>
          <w:rStyle w:val="16"/>
          <w:rFonts w:hint="eastAsia" w:ascii="仿宋" w:hAnsi="仿宋" w:eastAsia="仿宋"/>
          <w:bCs/>
          <w:color w:val="000000"/>
          <w:sz w:val="32"/>
          <w:szCs w:val="32"/>
          <w:lang w:eastAsia="zh-CN"/>
        </w:rPr>
        <w:t>农林水支出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213</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农业农村</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其他农业农村支出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val="en-US" w:eastAsia="zh-CN"/>
        </w:rPr>
        <w:t>。</w:t>
      </w:r>
    </w:p>
    <w:p w14:paraId="1B5E3680">
      <w:pPr>
        <w:pStyle w:val="5"/>
        <w:pageBreakBefore w:val="0"/>
        <w:kinsoku/>
        <w:wordWrap/>
        <w:overflowPunct/>
        <w:topLinePunct w:val="0"/>
        <w:bidi w:val="0"/>
        <w:spacing w:line="576" w:lineRule="atLeast"/>
        <w:ind w:firstLine="643"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13.</w:t>
      </w:r>
      <w:r>
        <w:rPr>
          <w:rStyle w:val="16"/>
          <w:rFonts w:hint="eastAsia" w:ascii="仿宋" w:hAnsi="仿宋" w:eastAsia="仿宋"/>
          <w:bCs/>
          <w:color w:val="000000"/>
          <w:sz w:val="32"/>
          <w:szCs w:val="32"/>
          <w:lang w:eastAsia="zh-CN"/>
        </w:rPr>
        <w:t>农林水支出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213</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巩固脱贫衔接乡村振兴</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其他巩固脱贫衔接乡村振兴支出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239.26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val="en-US" w:eastAsia="zh-CN"/>
        </w:rPr>
        <w:t>。</w:t>
      </w:r>
    </w:p>
    <w:p w14:paraId="2A430A64">
      <w:pPr>
        <w:pStyle w:val="5"/>
        <w:pageBreakBefore w:val="0"/>
        <w:kinsoku/>
        <w:wordWrap/>
        <w:overflowPunct/>
        <w:topLinePunct w:val="0"/>
        <w:bidi w:val="0"/>
        <w:spacing w:line="576" w:lineRule="atLeast"/>
        <w:ind w:firstLine="643"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14.</w:t>
      </w:r>
      <w:r>
        <w:rPr>
          <w:rStyle w:val="16"/>
          <w:rFonts w:hint="eastAsia" w:ascii="仿宋" w:hAnsi="仿宋" w:eastAsia="仿宋"/>
          <w:bCs/>
          <w:color w:val="000000"/>
          <w:sz w:val="32"/>
          <w:szCs w:val="32"/>
          <w:lang w:eastAsia="zh-CN"/>
        </w:rPr>
        <w:t>农林水支出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213</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农村综合改革</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07</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对村民委员会和村党支部的补助</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235.89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val="en-US" w:eastAsia="zh-CN"/>
        </w:rPr>
        <w:t>。</w:t>
      </w:r>
    </w:p>
    <w:p w14:paraId="3308F67A">
      <w:pPr>
        <w:pStyle w:val="5"/>
        <w:pageBreakBefore w:val="0"/>
        <w:kinsoku/>
        <w:wordWrap/>
        <w:overflowPunct/>
        <w:topLinePunct w:val="0"/>
        <w:bidi w:val="0"/>
        <w:spacing w:line="576" w:lineRule="atLeast"/>
        <w:ind w:firstLine="643" w:firstLineChars="200"/>
        <w:rPr>
          <w:rStyle w:val="16"/>
          <w:rFonts w:hint="default" w:ascii="仿宋" w:hAnsi="仿宋" w:eastAsia="仿宋"/>
          <w:b w:val="0"/>
          <w:bCs/>
          <w:color w:val="000000"/>
          <w:sz w:val="32"/>
          <w:szCs w:val="32"/>
          <w:lang w:val="en-US" w:eastAsia="zh-CN"/>
        </w:rPr>
      </w:pPr>
      <w:r>
        <w:rPr>
          <w:rStyle w:val="16"/>
          <w:rFonts w:hint="eastAsia" w:ascii="仿宋" w:hAnsi="仿宋" w:eastAsia="仿宋"/>
          <w:b/>
          <w:bCs w:val="0"/>
          <w:color w:val="000000"/>
          <w:sz w:val="32"/>
          <w:szCs w:val="32"/>
          <w:lang w:val="en-US" w:eastAsia="zh-CN"/>
        </w:rPr>
        <w:t>15</w:t>
      </w:r>
      <w:r>
        <w:rPr>
          <w:rStyle w:val="16"/>
          <w:rFonts w:hint="eastAsia" w:ascii="仿宋" w:hAnsi="仿宋" w:eastAsia="仿宋"/>
          <w:b w:val="0"/>
          <w:bCs/>
          <w:color w:val="000000"/>
          <w:sz w:val="32"/>
          <w:szCs w:val="32"/>
          <w:lang w:val="en-US" w:eastAsia="zh-CN"/>
        </w:rPr>
        <w:t>.</w:t>
      </w:r>
      <w:r>
        <w:rPr>
          <w:rStyle w:val="16"/>
          <w:rFonts w:hint="eastAsia" w:ascii="仿宋" w:hAnsi="仿宋" w:eastAsia="仿宋"/>
          <w:bCs/>
          <w:color w:val="000000"/>
          <w:sz w:val="32"/>
          <w:szCs w:val="32"/>
          <w:lang w:eastAsia="zh-CN"/>
        </w:rPr>
        <w:t>农林水支出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213</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其他农林水支出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其他农林水支出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187.82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val="en-US" w:eastAsia="zh-CN"/>
        </w:rPr>
        <w:t>。</w:t>
      </w:r>
    </w:p>
    <w:p w14:paraId="5BC01293">
      <w:pPr>
        <w:pStyle w:val="5"/>
        <w:pageBreakBefore w:val="0"/>
        <w:kinsoku/>
        <w:wordWrap/>
        <w:overflowPunct/>
        <w:topLinePunct w:val="0"/>
        <w:bidi w:val="0"/>
        <w:spacing w:line="576" w:lineRule="atLeast"/>
        <w:ind w:firstLine="643"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16.</w:t>
      </w:r>
      <w:r>
        <w:rPr>
          <w:rStyle w:val="16"/>
          <w:rFonts w:hint="eastAsia" w:ascii="仿宋" w:hAnsi="仿宋" w:eastAsia="仿宋"/>
          <w:bCs/>
          <w:color w:val="000000"/>
          <w:sz w:val="32"/>
          <w:szCs w:val="32"/>
          <w:lang w:eastAsia="zh-CN"/>
        </w:rPr>
        <w:t>住房保障支出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221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住房改革支出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住房公积金</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49.75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val="en-US" w:eastAsia="zh-CN"/>
        </w:rPr>
        <w:t>。</w:t>
      </w:r>
    </w:p>
    <w:p w14:paraId="4AAE3010">
      <w:pPr>
        <w:spacing w:line="600" w:lineRule="exact"/>
        <w:ind w:firstLine="640" w:firstLineChars="200"/>
        <w:rPr>
          <w:rFonts w:ascii="仿宋" w:hAnsi="仿宋" w:eastAsia="仿宋"/>
          <w:sz w:val="32"/>
          <w:szCs w:val="32"/>
        </w:rPr>
      </w:pPr>
    </w:p>
    <w:p w14:paraId="1697FDAC">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w:t>
      </w:r>
    </w:p>
    <w:p w14:paraId="4EFF09CE">
      <w:pPr>
        <w:spacing w:line="600" w:lineRule="exact"/>
        <w:ind w:firstLine="640"/>
        <w:rPr>
          <w:rFonts w:ascii="仿宋" w:hAnsi="仿宋" w:eastAsia="仿宋"/>
          <w:b/>
          <w:sz w:val="32"/>
          <w:szCs w:val="32"/>
        </w:rPr>
      </w:pPr>
    </w:p>
    <w:p w14:paraId="417BD6DA">
      <w:pPr>
        <w:tabs>
          <w:tab w:val="right" w:pos="8306"/>
        </w:tabs>
        <w:spacing w:line="600" w:lineRule="exact"/>
        <w:ind w:firstLine="640"/>
        <w:outlineLvl w:val="1"/>
        <w:rPr>
          <w:rStyle w:val="28"/>
        </w:rPr>
      </w:pPr>
      <w:bookmarkStart w:id="53" w:name="_Toc15396608"/>
      <w:bookmarkStart w:id="54" w:name="_Toc15377214"/>
      <w:bookmarkStart w:id="55" w:name="_Toc3399"/>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8"/>
          <w:rFonts w:hint="eastAsia" w:ascii="黑体" w:hAnsi="黑体" w:eastAsia="黑体"/>
          <w:b w:val="0"/>
        </w:rPr>
        <w:t>般公共预算财政拨款基本支出决算情况说明</w:t>
      </w:r>
      <w:bookmarkEnd w:id="53"/>
      <w:bookmarkEnd w:id="54"/>
      <w:bookmarkEnd w:id="55"/>
      <w:r>
        <w:rPr>
          <w:rStyle w:val="28"/>
          <w:rFonts w:ascii="黑体" w:hAnsi="黑体" w:eastAsia="黑体"/>
          <w:b w:val="0"/>
        </w:rPr>
        <w:tab/>
      </w:r>
    </w:p>
    <w:p w14:paraId="3050FAA2">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737.14</w:t>
      </w:r>
      <w:r>
        <w:rPr>
          <w:rFonts w:hint="eastAsia" w:ascii="仿宋" w:hAnsi="仿宋" w:eastAsia="仿宋"/>
          <w:sz w:val="32"/>
          <w:szCs w:val="32"/>
        </w:rPr>
        <w:t>万元，其中：</w:t>
      </w:r>
    </w:p>
    <w:p w14:paraId="345F480B">
      <w:pPr>
        <w:spacing w:line="600" w:lineRule="exact"/>
        <w:ind w:firstLine="645"/>
        <w:rPr>
          <w:rFonts w:ascii="仿宋" w:hAnsi="仿宋" w:eastAsia="仿宋"/>
          <w:sz w:val="32"/>
          <w:szCs w:val="32"/>
        </w:rPr>
      </w:pPr>
      <w:r>
        <w:rPr>
          <w:rFonts w:hint="eastAsia" w:ascii="仿宋" w:hAnsi="仿宋" w:eastAsia="仿宋"/>
          <w:sz w:val="32"/>
          <w:szCs w:val="32"/>
        </w:rPr>
        <w:t>人员经费</w:t>
      </w:r>
      <w:r>
        <w:rPr>
          <w:sz w:val="32"/>
          <w:szCs w:val="32"/>
        </w:rPr>
        <w:t>686.93</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sz w:val="32"/>
          <w:szCs w:val="32"/>
        </w:rPr>
        <w:t>50.21</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B535DE4">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w:t>
      </w:r>
    </w:p>
    <w:p w14:paraId="7A48F3F9">
      <w:pPr>
        <w:spacing w:line="600" w:lineRule="exact"/>
        <w:ind w:firstLine="640"/>
        <w:rPr>
          <w:rFonts w:ascii="仿宋" w:hAnsi="仿宋" w:eastAsia="仿宋"/>
          <w:b/>
          <w:sz w:val="32"/>
          <w:szCs w:val="32"/>
        </w:rPr>
      </w:pPr>
    </w:p>
    <w:p w14:paraId="490B4F92">
      <w:pPr>
        <w:spacing w:line="600" w:lineRule="exact"/>
        <w:ind w:firstLine="640"/>
        <w:outlineLvl w:val="1"/>
        <w:rPr>
          <w:rStyle w:val="28"/>
          <w:rFonts w:ascii="黑体" w:hAnsi="黑体" w:eastAsia="黑体"/>
          <w:b w:val="0"/>
        </w:rPr>
      </w:pPr>
      <w:bookmarkStart w:id="56" w:name="_Toc15377215"/>
      <w:bookmarkStart w:id="57" w:name="_Toc15396609"/>
      <w:bookmarkStart w:id="58" w:name="_Toc13690"/>
      <w:r>
        <w:rPr>
          <w:rFonts w:hint="eastAsia" w:ascii="黑体" w:eastAsia="黑体"/>
          <w:sz w:val="32"/>
          <w:szCs w:val="32"/>
        </w:rPr>
        <w:t>七、</w:t>
      </w:r>
      <w:r>
        <w:rPr>
          <w:rStyle w:val="28"/>
          <w:rFonts w:hint="eastAsia" w:ascii="黑体" w:hAnsi="黑体" w:eastAsia="黑体"/>
          <w:b w:val="0"/>
        </w:rPr>
        <w:t>财政拨款</w:t>
      </w:r>
      <w:r>
        <w:rPr>
          <w:rStyle w:val="28"/>
          <w:rFonts w:hint="eastAsia" w:ascii="黑体" w:hAnsi="黑体" w:eastAsia="黑体"/>
        </w:rPr>
        <w:t>“</w:t>
      </w:r>
      <w:r>
        <w:rPr>
          <w:rStyle w:val="28"/>
          <w:rFonts w:hint="eastAsia" w:ascii="黑体" w:hAnsi="黑体" w:eastAsia="黑体"/>
          <w:b w:val="0"/>
        </w:rPr>
        <w:t>三公”经费支出决算情况说明</w:t>
      </w:r>
      <w:bookmarkEnd w:id="56"/>
      <w:bookmarkEnd w:id="57"/>
      <w:bookmarkEnd w:id="58"/>
    </w:p>
    <w:p w14:paraId="4C1FD28B">
      <w:pPr>
        <w:spacing w:line="600" w:lineRule="exact"/>
        <w:ind w:firstLine="640"/>
        <w:outlineLvl w:val="2"/>
        <w:rPr>
          <w:rFonts w:ascii="仿宋" w:hAnsi="仿宋" w:eastAsia="仿宋"/>
          <w:b/>
          <w:sz w:val="32"/>
          <w:szCs w:val="32"/>
        </w:rPr>
      </w:pPr>
      <w:bookmarkStart w:id="59" w:name="_Toc15377216"/>
      <w:r>
        <w:rPr>
          <w:rFonts w:hint="eastAsia" w:ascii="仿宋" w:hAnsi="仿宋" w:eastAsia="仿宋"/>
          <w:b/>
          <w:sz w:val="32"/>
          <w:szCs w:val="32"/>
        </w:rPr>
        <w:t>（一）“三公”经费财政拨款支出决算总体情况说明</w:t>
      </w:r>
      <w:bookmarkEnd w:id="59"/>
    </w:p>
    <w:p w14:paraId="7FF7B1A5">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sz w:val="32"/>
          <w:szCs w:val="32"/>
        </w:rPr>
        <w:t>6.49</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0.1</w:t>
      </w:r>
      <w:r>
        <w:rPr>
          <w:rFonts w:hint="eastAsia" w:ascii="仿宋" w:hAnsi="仿宋" w:eastAsia="仿宋"/>
          <w:sz w:val="32"/>
          <w:szCs w:val="32"/>
        </w:rPr>
        <w:t>万元，下降</w:t>
      </w:r>
      <w:r>
        <w:rPr>
          <w:rFonts w:hint="eastAsia" w:ascii="仿宋" w:hAnsi="仿宋" w:eastAsia="仿宋"/>
          <w:sz w:val="32"/>
          <w:szCs w:val="32"/>
          <w:lang w:val="en-US" w:eastAsia="zh-CN"/>
        </w:rPr>
        <w:t>1.52</w:t>
      </w:r>
      <w:r>
        <w:rPr>
          <w:rFonts w:hint="eastAsia" w:ascii="仿宋" w:hAnsi="仿宋" w:eastAsia="仿宋"/>
          <w:sz w:val="32"/>
          <w:szCs w:val="32"/>
        </w:rPr>
        <w:t>%。决算与预算数持平。</w:t>
      </w:r>
      <w:bookmarkStart w:id="83" w:name="_GoBack"/>
      <w:bookmarkEnd w:id="83"/>
    </w:p>
    <w:p w14:paraId="7E1452B7">
      <w:pPr>
        <w:spacing w:line="600" w:lineRule="exact"/>
        <w:ind w:firstLine="640"/>
        <w:outlineLvl w:val="2"/>
        <w:rPr>
          <w:rFonts w:ascii="仿宋" w:hAnsi="仿宋" w:eastAsia="仿宋"/>
          <w:b/>
          <w:sz w:val="32"/>
          <w:szCs w:val="32"/>
        </w:rPr>
      </w:pPr>
      <w:bookmarkStart w:id="60" w:name="_Toc15377217"/>
      <w:r>
        <w:rPr>
          <w:rFonts w:hint="eastAsia" w:ascii="仿宋" w:hAnsi="仿宋" w:eastAsia="仿宋"/>
          <w:b/>
          <w:sz w:val="32"/>
          <w:szCs w:val="32"/>
        </w:rPr>
        <w:t>（二）“三公”经费财政拨款支出决算具体情况说明</w:t>
      </w:r>
      <w:bookmarkEnd w:id="60"/>
    </w:p>
    <w:p w14:paraId="33300556">
      <w:pPr>
        <w:spacing w:line="600" w:lineRule="exact"/>
        <w:ind w:firstLine="640"/>
        <w:rPr>
          <w:rFonts w:hint="eastAsia"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6</w:t>
      </w:r>
      <w:r>
        <w:rPr>
          <w:rFonts w:hint="eastAsia" w:ascii="仿宋" w:hAnsi="仿宋" w:eastAsia="仿宋"/>
          <w:sz w:val="32"/>
          <w:szCs w:val="32"/>
        </w:rPr>
        <w:t>万元，占</w:t>
      </w:r>
      <w:r>
        <w:rPr>
          <w:sz w:val="32"/>
          <w:szCs w:val="32"/>
        </w:rPr>
        <w:t>92.44</w:t>
      </w:r>
      <w:r>
        <w:rPr>
          <w:rFonts w:ascii="仿宋" w:hAnsi="仿宋" w:eastAsia="仿宋"/>
          <w:sz w:val="32"/>
          <w:szCs w:val="32"/>
        </w:rPr>
        <w:t>%</w:t>
      </w:r>
      <w:r>
        <w:rPr>
          <w:rFonts w:hint="eastAsia" w:ascii="仿宋" w:hAnsi="仿宋" w:eastAsia="仿宋"/>
          <w:sz w:val="32"/>
          <w:szCs w:val="32"/>
        </w:rPr>
        <w:t>；公务接待费支出决算</w:t>
      </w:r>
      <w:r>
        <w:rPr>
          <w:sz w:val="32"/>
          <w:szCs w:val="32"/>
        </w:rPr>
        <w:t>0.49</w:t>
      </w:r>
      <w:r>
        <w:rPr>
          <w:rFonts w:hint="eastAsia" w:ascii="仿宋" w:hAnsi="仿宋" w:eastAsia="仿宋"/>
          <w:sz w:val="32"/>
          <w:szCs w:val="32"/>
        </w:rPr>
        <w:t>万元，占</w:t>
      </w:r>
      <w:r>
        <w:rPr>
          <w:sz w:val="32"/>
          <w:szCs w:val="32"/>
        </w:rPr>
        <w:t>7.55</w:t>
      </w:r>
      <w:r>
        <w:rPr>
          <w:rFonts w:ascii="仿宋" w:hAnsi="仿宋" w:eastAsia="仿宋"/>
          <w:sz w:val="32"/>
          <w:szCs w:val="32"/>
        </w:rPr>
        <w:t>%</w:t>
      </w:r>
      <w:r>
        <w:rPr>
          <w:rFonts w:hint="eastAsia" w:ascii="仿宋" w:hAnsi="仿宋" w:eastAsia="仿宋"/>
          <w:sz w:val="32"/>
          <w:szCs w:val="32"/>
        </w:rPr>
        <w:t>。具体情况如下：</w:t>
      </w:r>
    </w:p>
    <w:p w14:paraId="2735029B">
      <w:pPr>
        <w:spacing w:line="240" w:lineRule="auto"/>
        <w:ind w:firstLine="640"/>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2440305" cy="1898015"/>
            <wp:effectExtent l="0" t="0" r="17145" b="6985"/>
            <wp:docPr id="10" name="图片 10"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6"/>
                    <pic:cNvPicPr>
                      <a:picLocks noChangeAspect="1"/>
                    </pic:cNvPicPr>
                  </pic:nvPicPr>
                  <pic:blipFill>
                    <a:blip r:embed="rId11"/>
                    <a:stretch>
                      <a:fillRect/>
                    </a:stretch>
                  </pic:blipFill>
                  <pic:spPr>
                    <a:xfrm>
                      <a:off x="0" y="0"/>
                      <a:ext cx="2440305" cy="1898015"/>
                    </a:xfrm>
                    <a:prstGeom prst="rect">
                      <a:avLst/>
                    </a:prstGeom>
                  </pic:spPr>
                </pic:pic>
              </a:graphicData>
            </a:graphic>
          </wp:inline>
        </w:drawing>
      </w:r>
    </w:p>
    <w:p w14:paraId="54308A52">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14:paraId="5DBC2B2F">
      <w:pPr>
        <w:numPr>
          <w:ilvl w:val="0"/>
          <w:numId w:val="5"/>
        </w:numPr>
        <w:spacing w:line="600" w:lineRule="exact"/>
        <w:ind w:firstLine="640"/>
        <w:rPr>
          <w:rFonts w:ascii="仿宋_GB2312" w:eastAsia="仿宋_GB2312"/>
          <w:sz w:val="32"/>
          <w:szCs w:val="32"/>
        </w:rPr>
      </w:pP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sz w:val="32"/>
          <w:szCs w:val="32"/>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人。因公出国（境）支出决算比2022年增加</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5EE77447">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6</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sz w:val="32"/>
          <w:szCs w:val="32"/>
        </w:rPr>
        <w:t>100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4D946463">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万元，主要用于…。截至2023年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2</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14:paraId="334E5886">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6</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（具体工作）等所需的公务用车燃料费、维修费、过路过桥费、保险费等支出。</w:t>
      </w:r>
    </w:p>
    <w:p w14:paraId="73033D42">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0.49</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sz w:val="32"/>
          <w:szCs w:val="32"/>
        </w:rPr>
        <w:t>100%</w:t>
      </w:r>
      <w:r>
        <w:rPr>
          <w:rStyle w:val="16"/>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hint="eastAsia" w:ascii="仿宋_GB2312" w:eastAsia="仿宋_GB2312"/>
          <w:sz w:val="32"/>
          <w:szCs w:val="32"/>
          <w:lang w:val="en-US" w:eastAsia="zh-CN"/>
        </w:rPr>
        <w:t>0.1</w:t>
      </w:r>
      <w:r>
        <w:rPr>
          <w:rFonts w:hint="eastAsia" w:ascii="仿宋_GB2312" w:eastAsia="仿宋_GB2312"/>
          <w:sz w:val="32"/>
          <w:szCs w:val="32"/>
        </w:rPr>
        <w:t>万元，增长</w:t>
      </w:r>
      <w:r>
        <w:rPr>
          <w:rFonts w:hint="eastAsia" w:ascii="仿宋_GB2312" w:eastAsia="仿宋_GB2312"/>
          <w:sz w:val="32"/>
          <w:szCs w:val="32"/>
          <w:lang w:val="en-US" w:eastAsia="zh-CN"/>
        </w:rPr>
        <w:t>1.56</w:t>
      </w:r>
      <w:r>
        <w:rPr>
          <w:rFonts w:ascii="仿宋_GB2312" w:eastAsia="仿宋_GB2312"/>
          <w:sz w:val="32"/>
          <w:szCs w:val="32"/>
        </w:rPr>
        <w:t>%</w:t>
      </w:r>
      <w:r>
        <w:rPr>
          <w:rFonts w:hint="eastAsia" w:ascii="仿宋_GB2312" w:eastAsia="仿宋_GB2312"/>
          <w:sz w:val="32"/>
          <w:szCs w:val="32"/>
        </w:rPr>
        <w:t>。</w:t>
      </w:r>
    </w:p>
    <w:p w14:paraId="1BB6825D">
      <w:pPr>
        <w:keepNext w:val="0"/>
        <w:keepLines w:val="0"/>
        <w:pageBreakBefore w:val="0"/>
        <w:widowControl/>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0.49</w:t>
      </w:r>
      <w:r>
        <w:rPr>
          <w:rFonts w:hint="eastAsia" w:ascii="仿宋_GB2312" w:eastAsia="仿宋_GB2312"/>
          <w:sz w:val="32"/>
          <w:szCs w:val="32"/>
        </w:rPr>
        <w:t>万元，主要用于执行公务、开展业务活动开支的交通费、住宿费、用餐费等。国内公务接待</w:t>
      </w:r>
      <w:r>
        <w:rPr>
          <w:rFonts w:hint="eastAsia" w:ascii="仿宋_GB2312" w:eastAsia="仿宋_GB2312"/>
          <w:sz w:val="32"/>
          <w:szCs w:val="32"/>
          <w:lang w:val="en-US" w:eastAsia="zh-CN"/>
        </w:rPr>
        <w:t>2</w:t>
      </w:r>
      <w:r>
        <w:rPr>
          <w:rFonts w:hint="eastAsia" w:ascii="仿宋_GB2312" w:eastAsia="仿宋_GB2312"/>
          <w:sz w:val="32"/>
          <w:szCs w:val="32"/>
        </w:rPr>
        <w:t>批次，</w:t>
      </w:r>
      <w:r>
        <w:rPr>
          <w:rFonts w:hint="eastAsia" w:ascii="仿宋_GB2312" w:eastAsia="仿宋_GB2312"/>
          <w:sz w:val="32"/>
          <w:szCs w:val="32"/>
          <w:lang w:val="en-US" w:eastAsia="zh-CN"/>
        </w:rPr>
        <w:t>81</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0.49</w:t>
      </w:r>
      <w:r>
        <w:rPr>
          <w:rFonts w:hint="eastAsia" w:ascii="仿宋_GB2312" w:eastAsia="仿宋_GB2312"/>
          <w:sz w:val="32"/>
          <w:szCs w:val="32"/>
        </w:rPr>
        <w:t>万元</w:t>
      </w:r>
      <w:r>
        <w:rPr>
          <w:rFonts w:hint="eastAsia" w:ascii="仿宋_GB2312" w:eastAsia="仿宋_GB2312"/>
          <w:sz w:val="32"/>
          <w:szCs w:val="32"/>
          <w:lang w:eastAsia="zh-CN"/>
        </w:rPr>
        <w:t>。</w:t>
      </w:r>
    </w:p>
    <w:p w14:paraId="65EC8F9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4AB18782">
      <w:pPr>
        <w:spacing w:line="600" w:lineRule="exact"/>
        <w:ind w:firstLine="640"/>
        <w:outlineLvl w:val="9"/>
        <w:rPr>
          <w:rFonts w:ascii="黑体" w:eastAsia="黑体"/>
          <w:sz w:val="32"/>
          <w:szCs w:val="32"/>
        </w:rPr>
      </w:pPr>
      <w:bookmarkStart w:id="61" w:name="_Toc15377218"/>
      <w:bookmarkStart w:id="62" w:name="_Toc15396610"/>
    </w:p>
    <w:p w14:paraId="0A580CD7">
      <w:pPr>
        <w:spacing w:line="600" w:lineRule="exact"/>
        <w:ind w:firstLine="640"/>
        <w:outlineLvl w:val="1"/>
        <w:rPr>
          <w:rStyle w:val="28"/>
          <w:rFonts w:ascii="黑体" w:hAnsi="黑体" w:eastAsia="黑体"/>
        </w:rPr>
      </w:pPr>
      <w:bookmarkStart w:id="63" w:name="_Toc23135"/>
      <w:r>
        <w:rPr>
          <w:rFonts w:hint="eastAsia" w:ascii="黑体" w:eastAsia="黑体"/>
          <w:sz w:val="32"/>
          <w:szCs w:val="32"/>
        </w:rPr>
        <w:t>八、</w:t>
      </w:r>
      <w:r>
        <w:rPr>
          <w:rStyle w:val="28"/>
          <w:rFonts w:hint="eastAsia" w:ascii="黑体" w:hAnsi="黑体" w:eastAsia="黑体"/>
          <w:b w:val="0"/>
        </w:rPr>
        <w:t>政府性基金预算支出决算情况说明</w:t>
      </w:r>
      <w:bookmarkEnd w:id="61"/>
      <w:bookmarkEnd w:id="62"/>
      <w:bookmarkEnd w:id="63"/>
    </w:p>
    <w:p w14:paraId="582FE751">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0</w:t>
      </w:r>
      <w:r>
        <w:rPr>
          <w:rFonts w:hint="eastAsia" w:ascii="仿宋_GB2312" w:eastAsia="仿宋_GB2312"/>
          <w:sz w:val="32"/>
          <w:szCs w:val="32"/>
        </w:rPr>
        <w:t>万元。</w:t>
      </w:r>
    </w:p>
    <w:p w14:paraId="094558F2">
      <w:pPr>
        <w:spacing w:line="600" w:lineRule="exact"/>
        <w:ind w:firstLine="640"/>
        <w:rPr>
          <w:rFonts w:ascii="仿宋_GB2312" w:eastAsia="仿宋_GB2312"/>
          <w:sz w:val="32"/>
          <w:szCs w:val="32"/>
        </w:rPr>
      </w:pPr>
    </w:p>
    <w:p w14:paraId="4D0F7882">
      <w:pPr>
        <w:numPr>
          <w:ilvl w:val="0"/>
          <w:numId w:val="6"/>
        </w:numPr>
        <w:spacing w:line="600" w:lineRule="exact"/>
        <w:ind w:firstLine="640"/>
        <w:outlineLvl w:val="1"/>
        <w:rPr>
          <w:rStyle w:val="28"/>
          <w:rFonts w:ascii="黑体" w:hAnsi="黑体" w:eastAsia="黑体"/>
          <w:b w:val="0"/>
        </w:rPr>
      </w:pPr>
      <w:bookmarkStart w:id="64" w:name="_Toc15377219"/>
      <w:bookmarkStart w:id="65" w:name="_Toc15396611"/>
      <w:bookmarkStart w:id="66" w:name="_Toc28320"/>
      <w:r>
        <w:rPr>
          <w:rStyle w:val="28"/>
          <w:rFonts w:hint="eastAsia" w:ascii="黑体" w:hAnsi="黑体" w:eastAsia="黑体"/>
          <w:b w:val="0"/>
        </w:rPr>
        <w:t>国有资本经营预算支出决算情况说明</w:t>
      </w:r>
      <w:bookmarkEnd w:id="64"/>
      <w:bookmarkEnd w:id="65"/>
      <w:bookmarkEnd w:id="66"/>
    </w:p>
    <w:p w14:paraId="33FD8F92">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14:paraId="4AE31ADF">
      <w:pPr>
        <w:spacing w:line="580" w:lineRule="exact"/>
        <w:jc w:val="center"/>
        <w:rPr>
          <w:rFonts w:ascii="方正小标宋简体" w:hAnsi="方正小标宋简体" w:eastAsia="方正小标宋简体" w:cs="方正小标宋简体"/>
          <w:sz w:val="44"/>
          <w:szCs w:val="44"/>
        </w:rPr>
      </w:pPr>
    </w:p>
    <w:p w14:paraId="5069B210">
      <w:pPr>
        <w:numPr>
          <w:ilvl w:val="0"/>
          <w:numId w:val="6"/>
        </w:numPr>
        <w:spacing w:line="600" w:lineRule="exact"/>
        <w:ind w:firstLine="640"/>
        <w:outlineLvl w:val="1"/>
        <w:rPr>
          <w:rStyle w:val="28"/>
          <w:rFonts w:ascii="黑体" w:hAnsi="黑体" w:eastAsia="黑体"/>
          <w:b w:val="0"/>
        </w:rPr>
      </w:pPr>
      <w:bookmarkStart w:id="67" w:name="_Toc15396612"/>
      <w:bookmarkStart w:id="68" w:name="_Toc15377221"/>
      <w:bookmarkStart w:id="69" w:name="_Toc22205"/>
      <w:r>
        <w:rPr>
          <w:rStyle w:val="28"/>
          <w:rFonts w:hint="eastAsia" w:ascii="黑体" w:hAnsi="黑体" w:eastAsia="黑体"/>
          <w:b w:val="0"/>
        </w:rPr>
        <w:t>其他重要事项的情况说明</w:t>
      </w:r>
      <w:bookmarkEnd w:id="67"/>
      <w:bookmarkEnd w:id="68"/>
      <w:bookmarkEnd w:id="69"/>
    </w:p>
    <w:p w14:paraId="10597C93">
      <w:pPr>
        <w:spacing w:line="600" w:lineRule="exact"/>
        <w:ind w:firstLine="643" w:firstLineChars="200"/>
        <w:outlineLvl w:val="2"/>
        <w:rPr>
          <w:rFonts w:ascii="仿宋" w:hAnsi="仿宋" w:eastAsia="仿宋"/>
          <w:sz w:val="32"/>
          <w:szCs w:val="32"/>
        </w:rPr>
      </w:pPr>
      <w:bookmarkStart w:id="70" w:name="_Toc15377222"/>
      <w:r>
        <w:rPr>
          <w:rFonts w:hint="eastAsia" w:ascii="仿宋" w:hAnsi="仿宋" w:eastAsia="仿宋"/>
          <w:b/>
          <w:sz w:val="32"/>
          <w:szCs w:val="32"/>
        </w:rPr>
        <w:t>（一）机关运行经费支出情况</w:t>
      </w:r>
      <w:bookmarkEnd w:id="70"/>
    </w:p>
    <w:p w14:paraId="6A06971D">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四川省阿坝州九寨沟县郭元乡人民政府</w:t>
      </w:r>
      <w:r>
        <w:rPr>
          <w:rFonts w:hint="eastAsia" w:ascii="仿宋_GB2312" w:eastAsia="仿宋_GB2312"/>
          <w:sz w:val="32"/>
          <w:szCs w:val="32"/>
        </w:rPr>
        <w:t>机关运行经费支出</w:t>
      </w:r>
      <w:r>
        <w:rPr>
          <w:sz w:val="32"/>
          <w:szCs w:val="32"/>
        </w:rPr>
        <w:t>41.59</w:t>
      </w:r>
      <w:r>
        <w:rPr>
          <w:rFonts w:hint="eastAsia" w:ascii="仿宋_GB2312" w:eastAsia="仿宋_GB2312"/>
          <w:sz w:val="32"/>
          <w:szCs w:val="32"/>
        </w:rPr>
        <w:t>万元，比2022年度增加</w:t>
      </w:r>
      <w:r>
        <w:rPr>
          <w:rFonts w:hint="eastAsia" w:ascii="仿宋_GB2312" w:eastAsia="仿宋_GB2312"/>
          <w:sz w:val="32"/>
          <w:szCs w:val="32"/>
          <w:lang w:val="en-US" w:eastAsia="zh-CN"/>
        </w:rPr>
        <w:t>8.09</w:t>
      </w:r>
      <w:r>
        <w:rPr>
          <w:rFonts w:hint="eastAsia" w:ascii="仿宋_GB2312" w:eastAsia="仿宋_GB2312"/>
          <w:sz w:val="32"/>
          <w:szCs w:val="32"/>
        </w:rPr>
        <w:t>万元，增长</w:t>
      </w:r>
      <w:r>
        <w:rPr>
          <w:rFonts w:hint="eastAsia" w:ascii="仿宋_GB2312" w:eastAsia="仿宋_GB2312"/>
          <w:sz w:val="32"/>
          <w:szCs w:val="32"/>
          <w:lang w:val="en-US" w:eastAsia="zh-CN"/>
        </w:rPr>
        <w:t>24.1</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主要原因是</w:t>
      </w:r>
      <w:r>
        <w:rPr>
          <w:rFonts w:hint="eastAsia" w:ascii="仿宋_GB2312" w:eastAsia="仿宋_GB2312"/>
          <w:sz w:val="32"/>
          <w:szCs w:val="32"/>
          <w:lang w:eastAsia="zh-CN"/>
        </w:rPr>
        <w:t>本年度机关人员增加</w:t>
      </w:r>
      <w:r>
        <w:rPr>
          <w:rFonts w:hint="eastAsia" w:ascii="仿宋_GB2312" w:eastAsia="仿宋_GB2312"/>
          <w:sz w:val="32"/>
          <w:szCs w:val="32"/>
        </w:rPr>
        <w:t>。</w:t>
      </w:r>
    </w:p>
    <w:p w14:paraId="140ACB16">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2714E835">
      <w:pPr>
        <w:autoSpaceDE w:val="0"/>
        <w:autoSpaceDN w:val="0"/>
        <w:adjustRightInd w:val="0"/>
        <w:spacing w:line="600" w:lineRule="exact"/>
        <w:ind w:firstLine="643" w:firstLineChars="200"/>
        <w:jc w:val="left"/>
        <w:outlineLvl w:val="2"/>
        <w:rPr>
          <w:rFonts w:ascii="仿宋" w:hAnsi="仿宋" w:eastAsia="仿宋"/>
          <w:b/>
          <w:sz w:val="32"/>
          <w:szCs w:val="32"/>
        </w:rPr>
      </w:pPr>
      <w:bookmarkStart w:id="71" w:name="_Toc15377223"/>
      <w:r>
        <w:rPr>
          <w:rFonts w:hint="eastAsia" w:ascii="仿宋" w:hAnsi="仿宋" w:eastAsia="仿宋"/>
          <w:b/>
          <w:sz w:val="32"/>
          <w:szCs w:val="32"/>
        </w:rPr>
        <w:t>（二）政府采购支出情况</w:t>
      </w:r>
      <w:bookmarkEnd w:id="71"/>
    </w:p>
    <w:p w14:paraId="736973E1">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四川省阿坝州九寨沟县郭元乡人民政府</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36244536">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647C35FD">
      <w:pPr>
        <w:autoSpaceDE w:val="0"/>
        <w:autoSpaceDN w:val="0"/>
        <w:adjustRightInd w:val="0"/>
        <w:spacing w:line="600" w:lineRule="exact"/>
        <w:ind w:firstLine="643" w:firstLineChars="200"/>
        <w:jc w:val="left"/>
        <w:outlineLvl w:val="2"/>
        <w:rPr>
          <w:rFonts w:ascii="仿宋" w:hAnsi="仿宋" w:eastAsia="仿宋"/>
          <w:b/>
          <w:sz w:val="32"/>
          <w:szCs w:val="32"/>
        </w:rPr>
      </w:pPr>
      <w:bookmarkStart w:id="72" w:name="_Toc15377224"/>
      <w:r>
        <w:rPr>
          <w:rFonts w:hint="eastAsia" w:ascii="仿宋" w:hAnsi="仿宋" w:eastAsia="仿宋"/>
          <w:b/>
          <w:sz w:val="32"/>
          <w:szCs w:val="32"/>
        </w:rPr>
        <w:t>（三）国有资产占有使用情况</w:t>
      </w:r>
      <w:bookmarkEnd w:id="72"/>
    </w:p>
    <w:p w14:paraId="71A82854">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四川省阿坝州九寨沟县郭元乡人民政府</w:t>
      </w:r>
      <w:r>
        <w:rPr>
          <w:rFonts w:hint="eastAsia" w:ascii="仿宋_GB2312" w:eastAsia="仿宋_GB2312"/>
          <w:sz w:val="32"/>
          <w:szCs w:val="32"/>
        </w:rPr>
        <w:t>共有车辆</w:t>
      </w:r>
      <w:r>
        <w:rPr>
          <w:rFonts w:ascii="仿宋_GB2312" w:eastAsia="仿宋_GB2312"/>
          <w:sz w:val="32"/>
          <w:szCs w:val="32"/>
        </w:rPr>
        <w:t>2</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2</w:t>
      </w:r>
      <w:r>
        <w:rPr>
          <w:rFonts w:hint="eastAsia" w:ascii="仿宋_GB2312" w:eastAsia="仿宋_GB2312"/>
          <w:sz w:val="32"/>
          <w:szCs w:val="32"/>
        </w:rPr>
        <w:t>辆，其他用车主要是用于</w:t>
      </w:r>
      <w:r>
        <w:rPr>
          <w:rFonts w:hint="eastAsia" w:ascii="仿宋_GB2312" w:hAnsi="仿宋_GB2312" w:eastAsia="仿宋_GB2312" w:cs="仿宋_GB2312"/>
          <w:sz w:val="32"/>
          <w:szCs w:val="32"/>
          <w:lang w:eastAsia="zh-CN"/>
        </w:rPr>
        <w:t>乡政府日常工作开展。</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6DFCC4EA">
      <w:pPr>
        <w:autoSpaceDE w:val="0"/>
        <w:autoSpaceDN w:val="0"/>
        <w:adjustRightInd w:val="0"/>
        <w:spacing w:line="600" w:lineRule="exact"/>
        <w:ind w:firstLine="643" w:firstLineChars="200"/>
        <w:jc w:val="left"/>
        <w:rPr>
          <w:rFonts w:hint="eastAsia"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表，按部门决算报表填报数据罗列车辆情况。）</w:t>
      </w:r>
    </w:p>
    <w:p w14:paraId="7497A452">
      <w:pPr>
        <w:autoSpaceDE w:val="0"/>
        <w:autoSpaceDN w:val="0"/>
        <w:adjustRightInd w:val="0"/>
        <w:spacing w:line="600" w:lineRule="exact"/>
        <w:ind w:firstLine="643" w:firstLineChars="200"/>
        <w:jc w:val="left"/>
        <w:rPr>
          <w:rFonts w:ascii="仿宋" w:hAnsi="仿宋" w:eastAsia="仿宋"/>
          <w:b/>
          <w:sz w:val="32"/>
          <w:szCs w:val="32"/>
        </w:rPr>
      </w:pPr>
      <w:r>
        <w:rPr>
          <w:rFonts w:hint="eastAsia" w:ascii="仿宋" w:hAnsi="仿宋" w:eastAsia="仿宋"/>
          <w:b/>
          <w:sz w:val="32"/>
          <w:szCs w:val="32"/>
        </w:rPr>
        <w:t>（四）预算绩效管理情况</w:t>
      </w:r>
    </w:p>
    <w:p w14:paraId="2F8503D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w:t>
      </w:r>
      <w:r>
        <w:rPr>
          <w:rFonts w:hint="eastAsia" w:ascii="仿宋_GB2312" w:hAnsi="仿宋_GB2312" w:eastAsia="仿宋_GB2312" w:cs="仿宋_GB2312"/>
          <w:sz w:val="32"/>
          <w:szCs w:val="32"/>
          <w:lang w:eastAsia="zh-CN"/>
        </w:rPr>
        <w:t>郭元乡伙食团生活补助</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个项目开展绩效监控。</w:t>
      </w:r>
    </w:p>
    <w:p w14:paraId="0DA76A8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郭元乡</w:t>
      </w:r>
      <w:r>
        <w:rPr>
          <w:rFonts w:hint="eastAsia" w:ascii="仿宋_GB2312" w:hAnsi="仿宋_GB2312" w:eastAsia="仿宋_GB2312" w:cs="仿宋_GB2312"/>
          <w:sz w:val="32"/>
          <w:szCs w:val="32"/>
        </w:rPr>
        <w:t>部门整体（含部门预算项目）绩效自评报告、</w:t>
      </w:r>
      <w:r>
        <w:rPr>
          <w:rFonts w:hint="eastAsia" w:ascii="仿宋_GB2312" w:hAnsi="仿宋_GB2312" w:eastAsia="仿宋_GB2312" w:cs="仿宋_GB2312"/>
          <w:sz w:val="32"/>
          <w:szCs w:val="32"/>
          <w:lang w:eastAsia="zh-CN"/>
        </w:rPr>
        <w:t>郭元乡</w:t>
      </w:r>
      <w:r>
        <w:rPr>
          <w:rFonts w:hint="eastAsia" w:ascii="仿宋_GB2312" w:hAnsi="仿宋_GB2312" w:eastAsia="仿宋_GB2312" w:cs="仿宋_GB2312"/>
          <w:sz w:val="32"/>
          <w:szCs w:val="32"/>
        </w:rPr>
        <w:t>专项预算项目绩效自评报告，其中，</w:t>
      </w:r>
      <w:r>
        <w:rPr>
          <w:rFonts w:hint="eastAsia" w:ascii="仿宋_GB2312" w:hAnsi="仿宋_GB2312" w:eastAsia="仿宋_GB2312" w:cs="仿宋_GB2312"/>
          <w:sz w:val="32"/>
          <w:szCs w:val="32"/>
          <w:lang w:eastAsia="zh-CN"/>
        </w:rPr>
        <w:t>郭元乡</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sz w:val="32"/>
          <w:szCs w:val="32"/>
          <w:lang w:eastAsia="zh-CN"/>
        </w:rPr>
        <w:t>见附后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郭元乡专</w:t>
      </w:r>
      <w:r>
        <w:rPr>
          <w:rFonts w:hint="eastAsia" w:ascii="仿宋_GB2312" w:hAnsi="仿宋_GB2312" w:eastAsia="仿宋_GB2312" w:cs="仿宋_GB2312"/>
          <w:sz w:val="32"/>
          <w:szCs w:val="32"/>
        </w:rPr>
        <w:t>项预算项目绩效自评得分</w:t>
      </w:r>
      <w:r>
        <w:rPr>
          <w:rFonts w:hint="eastAsia" w:ascii="仿宋_GB2312" w:hAnsi="仿宋_GB2312" w:eastAsia="仿宋_GB2312" w:cs="仿宋_GB2312"/>
          <w:sz w:val="32"/>
          <w:szCs w:val="32"/>
          <w:lang w:val="en-US" w:eastAsia="zh-CN"/>
        </w:rPr>
        <w:t>95分</w:t>
      </w:r>
      <w:r>
        <w:rPr>
          <w:rFonts w:hint="eastAsia" w:ascii="仿宋_GB2312" w:hAnsi="仿宋_GB2312" w:eastAsia="仿宋_GB2312" w:cs="仿宋_GB2312"/>
          <w:sz w:val="32"/>
          <w:szCs w:val="32"/>
        </w:rPr>
        <w:t>。绩效自评报告详见附件。</w:t>
      </w:r>
    </w:p>
    <w:p w14:paraId="1B4D3A83">
      <w:pPr>
        <w:spacing w:line="580" w:lineRule="exact"/>
        <w:ind w:firstLine="640" w:firstLineChars="200"/>
        <w:rPr>
          <w:rFonts w:ascii="仿宋_GB2312" w:hAnsi="仿宋_GB2312" w:eastAsia="仿宋_GB2312" w:cs="仿宋_GB2312"/>
          <w:sz w:val="32"/>
          <w:szCs w:val="32"/>
        </w:rPr>
      </w:pPr>
    </w:p>
    <w:p w14:paraId="24CFFCAD">
      <w:pPr>
        <w:pStyle w:val="2"/>
        <w:jc w:val="center"/>
      </w:pPr>
      <w:bookmarkStart w:id="73" w:name="_Toc26292"/>
      <w:r>
        <w:rPr>
          <w:rFonts w:hint="eastAsia"/>
        </w:rPr>
        <w:t>第三部分 名词解释</w:t>
      </w:r>
      <w:bookmarkEnd w:id="73"/>
    </w:p>
    <w:p w14:paraId="549EF6D5"/>
    <w:p w14:paraId="3365927D">
      <w:pPr>
        <w:ind w:firstLine="640" w:firstLineChars="200"/>
        <w:outlineLvl w:val="1"/>
        <w:rPr>
          <w:rFonts w:ascii="仿宋_GB2312" w:eastAsia="仿宋_GB2312"/>
          <w:sz w:val="32"/>
          <w:szCs w:val="32"/>
        </w:rPr>
      </w:pPr>
      <w:bookmarkStart w:id="74" w:name="_Toc31000"/>
      <w:r>
        <w:rPr>
          <w:rFonts w:hint="eastAsia" w:ascii="仿宋_GB2312" w:eastAsia="仿宋_GB2312"/>
          <w:sz w:val="32"/>
          <w:szCs w:val="32"/>
        </w:rPr>
        <w:t>1.财政拨款收入：指单位从同级财政部门取得的财政预算资金。</w:t>
      </w:r>
      <w:bookmarkEnd w:id="74"/>
    </w:p>
    <w:p w14:paraId="77BCACAB">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Times New Roman" w:eastAsia="仿宋_GB2312" w:cs="Times New Roman"/>
          <w:color w:val="000000"/>
          <w:sz w:val="32"/>
          <w:szCs w:val="32"/>
        </w:rPr>
        <w:t>一般公共服务</w:t>
      </w:r>
      <w:r>
        <w:rPr>
          <w:rFonts w:hint="default" w:ascii="仿宋_GB2312" w:hAnsi="Times New Roman" w:eastAsia="仿宋_GB2312" w:cs="Times New Roman"/>
          <w:color w:val="000000"/>
          <w:sz w:val="32"/>
          <w:szCs w:val="32"/>
          <w:lang w:val="en-US"/>
        </w:rPr>
        <w:t>(201)</w:t>
      </w:r>
      <w:r>
        <w:rPr>
          <w:rFonts w:hint="eastAsia" w:ascii="仿宋_GB2312" w:hAnsi="Times New Roman" w:eastAsia="仿宋_GB2312" w:cs="Times New Roman"/>
          <w:color w:val="000000"/>
          <w:sz w:val="32"/>
          <w:szCs w:val="32"/>
          <w:lang w:val="en-US" w:eastAsia="zh-CN"/>
        </w:rPr>
        <w:t>政府办公厅（室）及相关机构事务支出（03）行政运行（01）</w:t>
      </w:r>
      <w:r>
        <w:rPr>
          <w:rFonts w:hint="eastAsia" w:ascii="仿宋_GB2312" w:hAnsi="Times New Roman" w:eastAsia="仿宋_GB2312" w:cs="Times New Roman"/>
          <w:color w:val="000000"/>
          <w:sz w:val="32"/>
          <w:szCs w:val="32"/>
        </w:rPr>
        <w:t xml:space="preserve">: </w:t>
      </w:r>
      <w:r>
        <w:rPr>
          <w:rFonts w:hint="eastAsia" w:ascii="仿宋_GB2312" w:hAnsi="Times New Roman" w:eastAsia="仿宋_GB2312" w:cs="Times New Roman"/>
          <w:color w:val="000000"/>
          <w:sz w:val="32"/>
          <w:szCs w:val="32"/>
          <w:lang w:eastAsia="zh-CN"/>
        </w:rPr>
        <w:t>指反映行政单位（包括实</w:t>
      </w:r>
      <w:r>
        <w:rPr>
          <w:rFonts w:hint="eastAsia" w:ascii="仿宋_GB2312" w:eastAsia="仿宋_GB2312" w:cs="Times New Roman"/>
          <w:color w:val="000000"/>
          <w:sz w:val="32"/>
          <w:szCs w:val="32"/>
          <w:lang w:eastAsia="zh-CN"/>
        </w:rPr>
        <w:t>行</w:t>
      </w:r>
      <w:r>
        <w:rPr>
          <w:rFonts w:hint="eastAsia" w:ascii="仿宋_GB2312" w:hAnsi="Times New Roman" w:eastAsia="仿宋_GB2312" w:cs="Times New Roman"/>
          <w:color w:val="000000"/>
          <w:sz w:val="32"/>
          <w:szCs w:val="32"/>
          <w:lang w:eastAsia="zh-CN"/>
        </w:rPr>
        <w:t>公务员管理的事业单位）的基本支出</w:t>
      </w:r>
      <w:r>
        <w:rPr>
          <w:rFonts w:hint="eastAsia" w:ascii="仿宋_GB2312" w:hAnsi="Times New Roman" w:eastAsia="仿宋_GB2312" w:cs="Times New Roman"/>
          <w:color w:val="000000"/>
          <w:sz w:val="32"/>
          <w:szCs w:val="32"/>
        </w:rPr>
        <w:t>。</w:t>
      </w:r>
    </w:p>
    <w:p w14:paraId="3AB0645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.一般公共服务(201)政府办公厅（室）及相关机构事务支出（03）事业运行（50）: 指反映事业单位的基本支出，不包括行政单位（包括实行公务员管理的事业单位）后勤服务中心、医务室等附属事业单位。</w:t>
      </w:r>
    </w:p>
    <w:p w14:paraId="7F424ECD">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lang w:val="en-US" w:eastAsia="zh-CN"/>
        </w:rPr>
        <w:t>5</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社会保障和就业支出</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208</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行政事业单位养老支出</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05</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机关事业单位基本养老保险缴费支出</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05</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指反映机关事业单位实施养老保险制度由单位缴纳的基本养老保险费支出</w:t>
      </w:r>
      <w:r>
        <w:rPr>
          <w:rFonts w:hint="eastAsia" w:ascii="仿宋_GB2312" w:hAnsi="Times New Roman" w:eastAsia="仿宋_GB2312" w:cs="Times New Roman"/>
          <w:color w:val="000000"/>
          <w:sz w:val="32"/>
          <w:szCs w:val="32"/>
        </w:rPr>
        <w:t>。</w:t>
      </w:r>
    </w:p>
    <w:p w14:paraId="2A0C76E5">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lang w:val="en-US" w:eastAsia="zh-CN"/>
        </w:rPr>
        <w:t>6</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社会保障和就业支出</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208</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行政事业单位养老支出</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05</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机关事业单位职业年金缴费支出</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06</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指反映机关事业单位实施养老保险制度由单位缴纳的职业年金支出</w:t>
      </w:r>
      <w:r>
        <w:rPr>
          <w:rFonts w:hint="eastAsia" w:ascii="仿宋_GB2312" w:hAnsi="Times New Roman" w:eastAsia="仿宋_GB2312" w:cs="Times New Roman"/>
          <w:color w:val="000000"/>
          <w:sz w:val="32"/>
          <w:szCs w:val="32"/>
        </w:rPr>
        <w:t>。</w:t>
      </w:r>
    </w:p>
    <w:p w14:paraId="1ED3CEF6">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7</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lang w:val="en-US" w:eastAsia="zh-CN"/>
        </w:rPr>
        <w:t>210</w:t>
      </w:r>
      <w:r>
        <w:rPr>
          <w:rFonts w:hint="eastAsia" w:ascii="仿宋_GB2312" w:hAnsi="Times New Roman" w:eastAsia="仿宋_GB2312" w:cs="Times New Roman"/>
          <w:color w:val="000000"/>
          <w:sz w:val="32"/>
          <w:szCs w:val="32"/>
          <w:lang w:eastAsia="zh-CN"/>
        </w:rPr>
        <w:t>）公共卫生（</w:t>
      </w:r>
      <w:r>
        <w:rPr>
          <w:rFonts w:hint="eastAsia" w:ascii="仿宋_GB2312" w:hAnsi="Times New Roman" w:eastAsia="仿宋_GB2312" w:cs="Times New Roman"/>
          <w:color w:val="000000"/>
          <w:sz w:val="32"/>
          <w:szCs w:val="32"/>
          <w:lang w:val="en-US" w:eastAsia="zh-CN"/>
        </w:rPr>
        <w:t>04</w:t>
      </w:r>
      <w:r>
        <w:rPr>
          <w:rFonts w:hint="eastAsia" w:ascii="仿宋_GB2312" w:hAnsi="Times New Roman" w:eastAsia="仿宋_GB2312" w:cs="Times New Roman"/>
          <w:color w:val="000000"/>
          <w:sz w:val="32"/>
          <w:szCs w:val="32"/>
          <w:lang w:eastAsia="zh-CN"/>
        </w:rPr>
        <w:t>）重大公共卫生服务（</w:t>
      </w:r>
      <w:r>
        <w:rPr>
          <w:rFonts w:hint="eastAsia" w:ascii="仿宋_GB2312" w:hAnsi="Times New Roman" w:eastAsia="仿宋_GB2312" w:cs="Times New Roman"/>
          <w:color w:val="000000"/>
          <w:sz w:val="32"/>
          <w:szCs w:val="32"/>
          <w:lang w:val="en-US" w:eastAsia="zh-CN"/>
        </w:rPr>
        <w:t>09</w:t>
      </w:r>
      <w:r>
        <w:rPr>
          <w:rFonts w:hint="eastAsia" w:ascii="仿宋_GB2312" w:hAnsi="Times New Roman" w:eastAsia="仿宋_GB2312" w:cs="Times New Roman"/>
          <w:color w:val="000000"/>
          <w:sz w:val="32"/>
          <w:szCs w:val="32"/>
          <w:lang w:eastAsia="zh-CN"/>
        </w:rPr>
        <w:t>）:指反映重大疾病、重大传染病预防控制等重大公共卫生服务项目支出。</w:t>
      </w:r>
    </w:p>
    <w:p w14:paraId="3784950D">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8.</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lang w:val="en-US" w:eastAsia="zh-CN"/>
        </w:rPr>
        <w:t>210</w:t>
      </w:r>
      <w:r>
        <w:rPr>
          <w:rFonts w:hint="eastAsia" w:ascii="仿宋_GB2312" w:hAnsi="Times New Roman" w:eastAsia="仿宋_GB2312" w:cs="Times New Roman"/>
          <w:color w:val="000000"/>
          <w:sz w:val="32"/>
          <w:szCs w:val="32"/>
          <w:lang w:eastAsia="zh-CN"/>
        </w:rPr>
        <w:t>）公共卫生（</w:t>
      </w:r>
      <w:r>
        <w:rPr>
          <w:rFonts w:hint="eastAsia" w:ascii="仿宋_GB2312" w:hAnsi="Times New Roman" w:eastAsia="仿宋_GB2312" w:cs="Times New Roman"/>
          <w:color w:val="000000"/>
          <w:sz w:val="32"/>
          <w:szCs w:val="32"/>
          <w:lang w:val="en-US" w:eastAsia="zh-CN"/>
        </w:rPr>
        <w:t>04</w:t>
      </w:r>
      <w:r>
        <w:rPr>
          <w:rFonts w:hint="eastAsia" w:ascii="仿宋_GB2312" w:hAnsi="Times New Roman" w:eastAsia="仿宋_GB2312" w:cs="Times New Roman"/>
          <w:color w:val="000000"/>
          <w:sz w:val="32"/>
          <w:szCs w:val="32"/>
          <w:lang w:eastAsia="zh-CN"/>
        </w:rPr>
        <w:t>）其他公共卫生支出（</w:t>
      </w:r>
      <w:r>
        <w:rPr>
          <w:rFonts w:hint="eastAsia" w:ascii="仿宋_GB2312" w:hAnsi="Times New Roman" w:eastAsia="仿宋_GB2312" w:cs="Times New Roman"/>
          <w:color w:val="000000"/>
          <w:sz w:val="32"/>
          <w:szCs w:val="32"/>
          <w:lang w:val="en-US" w:eastAsia="zh-CN"/>
        </w:rPr>
        <w:t>99</w:t>
      </w:r>
      <w:r>
        <w:rPr>
          <w:rFonts w:hint="eastAsia" w:ascii="仿宋_GB2312" w:hAnsi="Times New Roman" w:eastAsia="仿宋_GB2312" w:cs="Times New Roman"/>
          <w:color w:val="000000"/>
          <w:sz w:val="32"/>
          <w:szCs w:val="32"/>
          <w:lang w:eastAsia="zh-CN"/>
        </w:rPr>
        <w:t>）:指反映除上述项目以外其他用于计划生育管理事务方面的支出</w:t>
      </w:r>
      <w:r>
        <w:rPr>
          <w:rFonts w:hint="eastAsia" w:ascii="仿宋_GB2312" w:hAnsi="Times New Roman" w:eastAsia="仿宋_GB2312" w:cs="Times New Roman"/>
          <w:color w:val="000000"/>
          <w:sz w:val="32"/>
          <w:szCs w:val="32"/>
          <w:lang w:val="en-US" w:eastAsia="zh-CN"/>
        </w:rPr>
        <w:t>。</w:t>
      </w:r>
    </w:p>
    <w:p w14:paraId="4C5A67E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9.</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lang w:val="en-US" w:eastAsia="zh-CN"/>
        </w:rPr>
        <w:t>210</w:t>
      </w:r>
      <w:r>
        <w:rPr>
          <w:rFonts w:hint="eastAsia" w:ascii="仿宋_GB2312" w:hAnsi="Times New Roman" w:eastAsia="仿宋_GB2312" w:cs="Times New Roman"/>
          <w:color w:val="000000"/>
          <w:sz w:val="32"/>
          <w:szCs w:val="32"/>
          <w:lang w:eastAsia="zh-CN"/>
        </w:rPr>
        <w:t>）行政事业单位医疗（</w:t>
      </w:r>
      <w:r>
        <w:rPr>
          <w:rFonts w:hint="eastAsia" w:ascii="仿宋_GB2312" w:hAnsi="Times New Roman"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eastAsia="zh-CN"/>
        </w:rPr>
        <w:t>）行政单位医疗（</w:t>
      </w:r>
      <w:r>
        <w:rPr>
          <w:rFonts w:hint="eastAsia" w:ascii="仿宋_GB2312" w:hAnsi="Times New Roman" w:eastAsia="仿宋_GB2312" w:cs="Times New Roman"/>
          <w:color w:val="000000"/>
          <w:sz w:val="32"/>
          <w:szCs w:val="32"/>
          <w:lang w:val="en-US" w:eastAsia="zh-CN"/>
        </w:rPr>
        <w:t>01</w:t>
      </w:r>
      <w:r>
        <w:rPr>
          <w:rFonts w:hint="eastAsia" w:ascii="仿宋_GB2312" w:hAnsi="Times New Roman" w:eastAsia="仿宋_GB2312" w:cs="Times New Roman"/>
          <w:color w:val="000000"/>
          <w:sz w:val="32"/>
          <w:szCs w:val="32"/>
          <w:lang w:eastAsia="zh-CN"/>
        </w:rPr>
        <w:t>）:指反映财政部门安排的行政单位（包括实行公务员管理的事业单位，下同）基本医疗保险费经费，未参加医疗保险的行政单位的公费医疗经费，按照国家规定享受离休人员、红军老战士待遇人员的医疗经费</w:t>
      </w:r>
      <w:r>
        <w:rPr>
          <w:rFonts w:hint="eastAsia" w:ascii="仿宋_GB2312" w:hAnsi="Times New Roman" w:eastAsia="仿宋_GB2312" w:cs="Times New Roman"/>
          <w:color w:val="000000"/>
          <w:sz w:val="32"/>
          <w:szCs w:val="32"/>
          <w:lang w:val="en-US" w:eastAsia="zh-CN"/>
        </w:rPr>
        <w:t>。</w:t>
      </w:r>
    </w:p>
    <w:p w14:paraId="3BD27AB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.卫生健康支出（210）行政事业单位医疗（11）</w:t>
      </w:r>
      <w:r>
        <w:rPr>
          <w:rFonts w:hint="eastAsia" w:ascii="仿宋_GB2312" w:hAnsi="仿宋_GB2312" w:eastAsia="仿宋_GB2312" w:cs="仿宋_GB2312"/>
          <w:sz w:val="32"/>
          <w:szCs w:val="32"/>
          <w:lang w:eastAsia="zh-CN"/>
        </w:rPr>
        <w:t>事业</w:t>
      </w:r>
      <w:r>
        <w:rPr>
          <w:rFonts w:hint="eastAsia" w:ascii="仿宋_GB2312" w:hAnsi="仿宋_GB2312" w:eastAsia="仿宋_GB2312" w:cs="仿宋_GB2312"/>
          <w:sz w:val="32"/>
          <w:szCs w:val="32"/>
        </w:rPr>
        <w:t>单位医疗（0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反映财政部门安排的事业单位基本医疗保险缴费经费，未参加医疗保险的事业单位的公费医疗经费，按照国家规定享受离休人员待遇的医疗经费</w:t>
      </w:r>
      <w:r>
        <w:rPr>
          <w:rFonts w:hint="eastAsia" w:ascii="仿宋_GB2312" w:hAnsi="仿宋_GB2312" w:eastAsia="仿宋_GB2312" w:cs="仿宋_GB2312"/>
          <w:sz w:val="32"/>
          <w:szCs w:val="32"/>
        </w:rPr>
        <w:t>。</w:t>
      </w:r>
    </w:p>
    <w:p w14:paraId="6D0B82FF">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val="en-US" w:eastAsia="zh-CN"/>
        </w:rPr>
        <w:t>.</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lang w:val="en-US" w:eastAsia="zh-CN"/>
        </w:rPr>
        <w:t>210</w:t>
      </w:r>
      <w:r>
        <w:rPr>
          <w:rFonts w:hint="eastAsia" w:ascii="仿宋_GB2312" w:hAnsi="Times New Roman" w:eastAsia="仿宋_GB2312" w:cs="Times New Roman"/>
          <w:color w:val="000000"/>
          <w:sz w:val="32"/>
          <w:szCs w:val="32"/>
          <w:lang w:eastAsia="zh-CN"/>
        </w:rPr>
        <w:t>）行政事业单位医疗（</w:t>
      </w:r>
      <w:r>
        <w:rPr>
          <w:rFonts w:hint="eastAsia" w:ascii="仿宋_GB2312" w:hAnsi="Times New Roman"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eastAsia="zh-CN"/>
        </w:rPr>
        <w:t>）公务员医疗补助（</w:t>
      </w:r>
      <w:r>
        <w:rPr>
          <w:rFonts w:hint="eastAsia" w:ascii="仿宋_GB2312" w:hAnsi="Times New Roman" w:eastAsia="仿宋_GB2312" w:cs="Times New Roman"/>
          <w:color w:val="000000"/>
          <w:sz w:val="32"/>
          <w:szCs w:val="32"/>
          <w:lang w:val="en-US" w:eastAsia="zh-CN"/>
        </w:rPr>
        <w:t>03</w:t>
      </w:r>
      <w:r>
        <w:rPr>
          <w:rFonts w:hint="eastAsia" w:ascii="仿宋_GB2312" w:hAnsi="Times New Roman" w:eastAsia="仿宋_GB2312" w:cs="Times New Roman"/>
          <w:color w:val="000000"/>
          <w:sz w:val="32"/>
          <w:szCs w:val="32"/>
          <w:lang w:eastAsia="zh-CN"/>
        </w:rPr>
        <w:t>）:反映财政部门安排的公务员医疗补助经费</w:t>
      </w:r>
      <w:r>
        <w:rPr>
          <w:rFonts w:hint="eastAsia" w:ascii="仿宋_GB2312" w:hAnsi="Times New Roman" w:eastAsia="仿宋_GB2312" w:cs="Times New Roman"/>
          <w:color w:val="000000"/>
          <w:sz w:val="32"/>
          <w:szCs w:val="32"/>
          <w:lang w:val="en-US" w:eastAsia="zh-CN"/>
        </w:rPr>
        <w:t>。</w:t>
      </w:r>
    </w:p>
    <w:p w14:paraId="411AFA9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lang w:val="en-US"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.卫生健康支出（210）行政事业单位医疗（11）</w:t>
      </w:r>
      <w:r>
        <w:rPr>
          <w:rFonts w:hint="eastAsia" w:ascii="仿宋_GB2312" w:hAnsi="仿宋_GB2312" w:eastAsia="仿宋_GB2312" w:cs="仿宋_GB2312"/>
          <w:sz w:val="32"/>
          <w:szCs w:val="32"/>
          <w:lang w:eastAsia="zh-CN"/>
        </w:rPr>
        <w:t>其他行政事业单位医疗支出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）:反映</w:t>
      </w:r>
      <w:r>
        <w:rPr>
          <w:rFonts w:hint="eastAsia" w:ascii="仿宋_GB2312" w:hAnsi="仿宋_GB2312" w:eastAsia="仿宋_GB2312" w:cs="仿宋_GB2312"/>
          <w:sz w:val="32"/>
          <w:szCs w:val="32"/>
          <w:lang w:eastAsia="zh-CN"/>
        </w:rPr>
        <w:t>除上述项目以外的其他用于行政事业单位医疗方面的支出。</w:t>
      </w:r>
    </w:p>
    <w:p w14:paraId="257BE180">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Times New Roman" w:eastAsia="仿宋_GB2312" w:cs="Times New Roman"/>
          <w:color w:val="000000"/>
          <w:sz w:val="32"/>
          <w:szCs w:val="32"/>
          <w:lang w:val="en-US" w:eastAsia="zh-CN"/>
        </w:rPr>
        <w:t>13.</w:t>
      </w:r>
      <w:r>
        <w:rPr>
          <w:rFonts w:hint="eastAsia" w:ascii="仿宋_GB2312" w:hAnsi="Times New Roman" w:eastAsia="仿宋_GB2312" w:cs="Times New Roman"/>
          <w:color w:val="000000"/>
          <w:sz w:val="32"/>
          <w:szCs w:val="32"/>
          <w:lang w:eastAsia="zh-CN"/>
        </w:rPr>
        <w:t>城乡社区支出（</w:t>
      </w:r>
      <w:r>
        <w:rPr>
          <w:rFonts w:hint="eastAsia" w:ascii="仿宋_GB2312" w:hAnsi="Times New Roman" w:eastAsia="仿宋_GB2312" w:cs="Times New Roman"/>
          <w:color w:val="000000"/>
          <w:sz w:val="32"/>
          <w:szCs w:val="32"/>
          <w:lang w:val="en-US" w:eastAsia="zh-CN"/>
        </w:rPr>
        <w:t>212</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eastAsia="zh-CN"/>
        </w:rPr>
        <w:t>城乡社区管理事务</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01</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eastAsia="zh-CN"/>
        </w:rPr>
        <w:t>城管执法</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01</w:t>
      </w:r>
      <w:r>
        <w:rPr>
          <w:rFonts w:hint="eastAsia" w:ascii="仿宋_GB2312" w:hAnsi="Times New Roman" w:eastAsia="仿宋_GB2312" w:cs="Times New Roman"/>
          <w:color w:val="000000"/>
          <w:sz w:val="32"/>
          <w:szCs w:val="32"/>
          <w:lang w:eastAsia="zh-CN"/>
        </w:rPr>
        <w:t>）:</w:t>
      </w:r>
      <w:r>
        <w:rPr>
          <w:rFonts w:hint="eastAsia" w:ascii="仿宋_GB2312" w:hAnsi="宋体" w:eastAsia="仿宋_GB2312" w:cs="Times New Roman"/>
          <w:color w:val="000000"/>
          <w:sz w:val="32"/>
          <w:szCs w:val="32"/>
          <w:lang w:eastAsia="zh-CN"/>
        </w:rPr>
        <w:t>反映城市管理综合行政执法、加强城市市容和环境卫生管理等方面的支出。</w:t>
      </w:r>
    </w:p>
    <w:p w14:paraId="3770DA45">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14.</w:t>
      </w:r>
      <w:r>
        <w:rPr>
          <w:rFonts w:hint="eastAsia" w:ascii="仿宋_GB2312" w:hAnsi="Times New Roman" w:eastAsia="仿宋_GB2312" w:cs="Times New Roman"/>
          <w:color w:val="000000"/>
          <w:sz w:val="32"/>
          <w:szCs w:val="32"/>
          <w:lang w:eastAsia="zh-CN"/>
        </w:rPr>
        <w:t>农林水支出（</w:t>
      </w:r>
      <w:r>
        <w:rPr>
          <w:rFonts w:hint="eastAsia" w:ascii="仿宋_GB2312" w:hAnsi="Times New Roman" w:eastAsia="仿宋_GB2312" w:cs="Times New Roman"/>
          <w:color w:val="000000"/>
          <w:sz w:val="32"/>
          <w:szCs w:val="32"/>
          <w:lang w:val="en-US" w:eastAsia="zh-CN"/>
        </w:rPr>
        <w:t>213</w:t>
      </w:r>
      <w:r>
        <w:rPr>
          <w:rFonts w:hint="eastAsia" w:ascii="仿宋_GB2312" w:hAnsi="Times New Roman" w:eastAsia="仿宋_GB2312" w:cs="Times New Roman"/>
          <w:color w:val="000000"/>
          <w:sz w:val="32"/>
          <w:szCs w:val="32"/>
          <w:lang w:eastAsia="zh-CN"/>
        </w:rPr>
        <w:t>）农业农村（</w:t>
      </w:r>
      <w:r>
        <w:rPr>
          <w:rFonts w:hint="eastAsia" w:ascii="仿宋_GB2312" w:hAnsi="Times New Roman" w:eastAsia="仿宋_GB2312" w:cs="Times New Roman"/>
          <w:color w:val="000000"/>
          <w:sz w:val="32"/>
          <w:szCs w:val="32"/>
          <w:lang w:val="en-US" w:eastAsia="zh-CN"/>
        </w:rPr>
        <w:t>01</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eastAsia="zh-CN"/>
        </w:rPr>
        <w:t>其他农业农村支出</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99</w:t>
      </w:r>
      <w:r>
        <w:rPr>
          <w:rFonts w:hint="eastAsia" w:ascii="仿宋_GB2312" w:hAnsi="Times New Roman" w:eastAsia="仿宋_GB2312" w:cs="Times New Roman"/>
          <w:color w:val="000000"/>
          <w:sz w:val="32"/>
          <w:szCs w:val="32"/>
          <w:lang w:eastAsia="zh-CN"/>
        </w:rPr>
        <w:t>）:反映</w:t>
      </w:r>
      <w:r>
        <w:rPr>
          <w:rFonts w:hint="eastAsia" w:ascii="仿宋_GB2312" w:eastAsia="仿宋_GB2312" w:cs="Times New Roman"/>
          <w:color w:val="000000"/>
          <w:sz w:val="32"/>
          <w:szCs w:val="32"/>
          <w:lang w:eastAsia="zh-CN"/>
        </w:rPr>
        <w:t>除上述项目以外其他用于农业农村方面的支出</w:t>
      </w:r>
      <w:r>
        <w:rPr>
          <w:rFonts w:hint="eastAsia" w:ascii="仿宋_GB2312" w:hAnsi="Times New Roman" w:eastAsia="仿宋_GB2312" w:cs="Times New Roman"/>
          <w:color w:val="000000"/>
          <w:sz w:val="32"/>
          <w:szCs w:val="32"/>
          <w:lang w:val="en-US" w:eastAsia="zh-CN"/>
        </w:rPr>
        <w:t>。</w:t>
      </w:r>
    </w:p>
    <w:p w14:paraId="1C5B587A">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lang w:val="en-US" w:eastAsia="zh-CN"/>
        </w:rPr>
        <w:t>.</w:t>
      </w:r>
      <w:r>
        <w:rPr>
          <w:rFonts w:hint="eastAsia" w:ascii="仿宋_GB2312" w:hAnsi="Times New Roman" w:eastAsia="仿宋_GB2312" w:cs="Times New Roman"/>
          <w:color w:val="000000"/>
          <w:sz w:val="32"/>
          <w:szCs w:val="32"/>
          <w:lang w:eastAsia="zh-CN"/>
        </w:rPr>
        <w:t>农林水支出（</w:t>
      </w:r>
      <w:r>
        <w:rPr>
          <w:rFonts w:hint="eastAsia" w:ascii="仿宋_GB2312" w:hAnsi="Times New Roman" w:eastAsia="仿宋_GB2312" w:cs="Times New Roman"/>
          <w:color w:val="000000"/>
          <w:sz w:val="32"/>
          <w:szCs w:val="32"/>
          <w:lang w:val="en-US" w:eastAsia="zh-CN"/>
        </w:rPr>
        <w:t>213</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eastAsia="zh-CN"/>
        </w:rPr>
        <w:t>林业和草原</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02</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eastAsia="zh-CN"/>
        </w:rPr>
        <w:t>其他林业和草原支出</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34</w:t>
      </w:r>
      <w:r>
        <w:rPr>
          <w:rFonts w:hint="eastAsia" w:ascii="仿宋_GB2312" w:hAnsi="Times New Roman" w:eastAsia="仿宋_GB2312" w:cs="Times New Roman"/>
          <w:color w:val="000000"/>
          <w:sz w:val="32"/>
          <w:szCs w:val="32"/>
          <w:lang w:eastAsia="zh-CN"/>
        </w:rPr>
        <w:t>）:反映</w:t>
      </w:r>
      <w:r>
        <w:rPr>
          <w:rFonts w:hint="eastAsia" w:ascii="仿宋_GB2312" w:eastAsia="仿宋_GB2312" w:cs="Times New Roman"/>
          <w:color w:val="000000"/>
          <w:sz w:val="32"/>
          <w:szCs w:val="32"/>
          <w:lang w:eastAsia="zh-CN"/>
        </w:rPr>
        <w:t>用于病虫害等有害生物灾害、森林草原防火、野生动物疫病灾害等方面的支出。</w:t>
      </w:r>
    </w:p>
    <w:p w14:paraId="4957E1F9">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16</w:t>
      </w:r>
      <w:r>
        <w:rPr>
          <w:rFonts w:hint="eastAsia" w:ascii="仿宋_GB2312" w:hAnsi="Times New Roman" w:eastAsia="仿宋_GB2312" w:cs="Times New Roman"/>
          <w:color w:val="000000"/>
          <w:sz w:val="32"/>
          <w:szCs w:val="32"/>
          <w:lang w:val="en-US" w:eastAsia="zh-CN"/>
        </w:rPr>
        <w:t>.</w:t>
      </w:r>
      <w:r>
        <w:rPr>
          <w:rFonts w:hint="eastAsia" w:ascii="仿宋_GB2312" w:hAnsi="Times New Roman" w:eastAsia="仿宋_GB2312" w:cs="Times New Roman"/>
          <w:color w:val="000000"/>
          <w:sz w:val="32"/>
          <w:szCs w:val="32"/>
          <w:lang w:eastAsia="zh-CN"/>
        </w:rPr>
        <w:t>农林水支出（</w:t>
      </w:r>
      <w:r>
        <w:rPr>
          <w:rFonts w:hint="eastAsia" w:ascii="仿宋_GB2312" w:hAnsi="Times New Roman" w:eastAsia="仿宋_GB2312" w:cs="Times New Roman"/>
          <w:color w:val="000000"/>
          <w:sz w:val="32"/>
          <w:szCs w:val="32"/>
          <w:lang w:val="en-US" w:eastAsia="zh-CN"/>
        </w:rPr>
        <w:t>213</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eastAsia="zh-CN"/>
        </w:rPr>
        <w:t>林业和草原</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02</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eastAsia="zh-CN"/>
        </w:rPr>
        <w:t>林业和草原减灾</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99</w:t>
      </w:r>
      <w:r>
        <w:rPr>
          <w:rFonts w:hint="eastAsia" w:ascii="仿宋_GB2312" w:hAnsi="Times New Roman" w:eastAsia="仿宋_GB2312" w:cs="Times New Roman"/>
          <w:color w:val="000000"/>
          <w:sz w:val="32"/>
          <w:szCs w:val="32"/>
          <w:lang w:eastAsia="zh-CN"/>
        </w:rPr>
        <w:t>）:反映</w:t>
      </w:r>
      <w:r>
        <w:rPr>
          <w:rFonts w:hint="eastAsia" w:ascii="仿宋_GB2312" w:eastAsia="仿宋_GB2312" w:cs="Times New Roman"/>
          <w:color w:val="000000"/>
          <w:sz w:val="32"/>
          <w:szCs w:val="32"/>
          <w:lang w:eastAsia="zh-CN"/>
        </w:rPr>
        <w:t>除上述项目以外其他用于林业和草原方面的支出。</w:t>
      </w:r>
    </w:p>
    <w:p w14:paraId="4721ACF9">
      <w:pPr>
        <w:pageBreakBefore w:val="0"/>
        <w:kinsoku/>
        <w:wordWrap/>
        <w:overflowPunct/>
        <w:topLinePunct w:val="0"/>
        <w:bidi w:val="0"/>
        <w:spacing w:line="576" w:lineRule="atLeast"/>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17</w:t>
      </w:r>
      <w:r>
        <w:rPr>
          <w:rFonts w:hint="eastAsia" w:ascii="仿宋_GB2312" w:hAnsi="Times New Roman" w:eastAsia="仿宋_GB2312" w:cs="Times New Roman"/>
          <w:color w:val="000000"/>
          <w:sz w:val="32"/>
          <w:szCs w:val="32"/>
          <w:lang w:val="en-US" w:eastAsia="zh-CN"/>
        </w:rPr>
        <w:t>.</w:t>
      </w:r>
      <w:r>
        <w:rPr>
          <w:rFonts w:hint="eastAsia" w:ascii="仿宋_GB2312" w:hAnsi="Times New Roman" w:eastAsia="仿宋_GB2312" w:cs="Times New Roman"/>
          <w:color w:val="000000"/>
          <w:sz w:val="32"/>
          <w:szCs w:val="32"/>
          <w:lang w:eastAsia="zh-CN"/>
        </w:rPr>
        <w:t>农林水支出（</w:t>
      </w:r>
      <w:r>
        <w:rPr>
          <w:rFonts w:hint="eastAsia" w:ascii="仿宋_GB2312" w:hAnsi="Times New Roman" w:eastAsia="仿宋_GB2312" w:cs="Times New Roman"/>
          <w:color w:val="000000"/>
          <w:sz w:val="32"/>
          <w:szCs w:val="32"/>
          <w:lang w:val="en-US" w:eastAsia="zh-CN"/>
        </w:rPr>
        <w:t>213</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eastAsia="zh-CN"/>
        </w:rPr>
        <w:t>水利</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03</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eastAsia="zh-CN"/>
        </w:rPr>
        <w:t>防汛</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14</w:t>
      </w:r>
      <w:r>
        <w:rPr>
          <w:rFonts w:hint="eastAsia" w:ascii="仿宋_GB2312" w:hAnsi="Times New Roman" w:eastAsia="仿宋_GB2312" w:cs="Times New Roman"/>
          <w:color w:val="000000"/>
          <w:sz w:val="32"/>
          <w:szCs w:val="32"/>
          <w:lang w:eastAsia="zh-CN"/>
        </w:rPr>
        <w:t>）:反映</w:t>
      </w:r>
      <w:r>
        <w:rPr>
          <w:rFonts w:hint="eastAsia" w:ascii="仿宋_GB2312" w:eastAsia="仿宋_GB2312" w:cs="Times New Roman"/>
          <w:color w:val="000000"/>
          <w:sz w:val="32"/>
          <w:szCs w:val="32"/>
          <w:lang w:eastAsia="zh-CN"/>
        </w:rPr>
        <w:t>防汛业务支出。有关事项包括防汛物资购置管护，防汛通讯设备、网络系统、车船设备运行维护，防汛值班、水情报汛、防汛指挥系统运行维护、水毁修复以及防汛组织（如防汛预案编制、检查、演习、宣传、会议等），防汛调用民工及劳动保护，水利设施灾后重建，退田还湖，蓄滞洪区补偿、水情、雨情、决策支持，防汛视频会商，应急度汛，山洪灾害防治等。</w:t>
      </w:r>
    </w:p>
    <w:p w14:paraId="6AA80998">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18.</w:t>
      </w:r>
      <w:r>
        <w:rPr>
          <w:rFonts w:hint="eastAsia" w:ascii="仿宋_GB2312" w:hAnsi="Times New Roman" w:eastAsia="仿宋_GB2312" w:cs="Times New Roman"/>
          <w:color w:val="000000"/>
          <w:sz w:val="32"/>
          <w:szCs w:val="32"/>
          <w:lang w:eastAsia="zh-CN"/>
        </w:rPr>
        <w:t>农林水支出（</w:t>
      </w:r>
      <w:r>
        <w:rPr>
          <w:rFonts w:hint="eastAsia" w:ascii="仿宋_GB2312" w:hAnsi="Times New Roman" w:eastAsia="仿宋_GB2312" w:cs="Times New Roman"/>
          <w:color w:val="000000"/>
          <w:sz w:val="32"/>
          <w:szCs w:val="32"/>
          <w:lang w:val="en-US" w:eastAsia="zh-CN"/>
        </w:rPr>
        <w:t>213</w:t>
      </w:r>
      <w:r>
        <w:rPr>
          <w:rFonts w:hint="eastAsia" w:ascii="仿宋_GB2312" w:hAnsi="Times New Roman" w:eastAsia="仿宋_GB2312" w:cs="Times New Roman"/>
          <w:color w:val="000000"/>
          <w:sz w:val="32"/>
          <w:szCs w:val="32"/>
          <w:lang w:eastAsia="zh-CN"/>
        </w:rPr>
        <w:t>）农村综合改革（</w:t>
      </w:r>
      <w:r>
        <w:rPr>
          <w:rFonts w:hint="eastAsia" w:ascii="仿宋_GB2312" w:hAnsi="Times New Roman" w:eastAsia="仿宋_GB2312" w:cs="Times New Roman"/>
          <w:color w:val="000000"/>
          <w:sz w:val="32"/>
          <w:szCs w:val="32"/>
          <w:lang w:val="en-US" w:eastAsia="zh-CN"/>
        </w:rPr>
        <w:t>05</w:t>
      </w:r>
      <w:r>
        <w:rPr>
          <w:rFonts w:hint="eastAsia" w:ascii="仿宋_GB2312" w:hAnsi="Times New Roman" w:eastAsia="仿宋_GB2312" w:cs="Times New Roman"/>
          <w:color w:val="000000"/>
          <w:sz w:val="32"/>
          <w:szCs w:val="32"/>
          <w:lang w:eastAsia="zh-CN"/>
        </w:rPr>
        <w:t>）其他巩固脱贫衔接乡村振兴支出（</w:t>
      </w:r>
      <w:r>
        <w:rPr>
          <w:rFonts w:hint="eastAsia" w:ascii="仿宋_GB2312" w:hAnsi="Times New Roman" w:eastAsia="仿宋_GB2312" w:cs="Times New Roman"/>
          <w:color w:val="000000"/>
          <w:sz w:val="32"/>
          <w:szCs w:val="32"/>
          <w:lang w:val="en-US" w:eastAsia="zh-CN"/>
        </w:rPr>
        <w:t>99</w:t>
      </w:r>
      <w:r>
        <w:rPr>
          <w:rFonts w:hint="eastAsia" w:ascii="仿宋_GB2312" w:hAnsi="Times New Roman" w:eastAsia="仿宋_GB2312" w:cs="Times New Roman"/>
          <w:color w:val="000000"/>
          <w:sz w:val="32"/>
          <w:szCs w:val="32"/>
          <w:lang w:eastAsia="zh-CN"/>
        </w:rPr>
        <w:t>）:反映除上述项目以外其他用于巩固脱贫攻坚成果同乡村振兴有效衔接方面的支出</w:t>
      </w:r>
      <w:r>
        <w:rPr>
          <w:rFonts w:hint="eastAsia" w:ascii="仿宋_GB2312" w:hAnsi="Times New Roman" w:eastAsia="仿宋_GB2312" w:cs="Times New Roman"/>
          <w:color w:val="000000"/>
          <w:sz w:val="32"/>
          <w:szCs w:val="32"/>
          <w:lang w:val="en-US" w:eastAsia="zh-CN"/>
        </w:rPr>
        <w:t>。</w:t>
      </w:r>
    </w:p>
    <w:p w14:paraId="081E34EE">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19.</w:t>
      </w:r>
      <w:r>
        <w:rPr>
          <w:rFonts w:hint="eastAsia" w:ascii="仿宋_GB2312" w:hAnsi="Times New Roman" w:eastAsia="仿宋_GB2312" w:cs="Times New Roman"/>
          <w:color w:val="000000"/>
          <w:sz w:val="32"/>
          <w:szCs w:val="32"/>
          <w:lang w:eastAsia="zh-CN"/>
        </w:rPr>
        <w:t>农林水支出（</w:t>
      </w:r>
      <w:r>
        <w:rPr>
          <w:rFonts w:hint="eastAsia" w:ascii="仿宋_GB2312" w:hAnsi="Times New Roman" w:eastAsia="仿宋_GB2312" w:cs="Times New Roman"/>
          <w:color w:val="000000"/>
          <w:sz w:val="32"/>
          <w:szCs w:val="32"/>
          <w:lang w:val="en-US" w:eastAsia="zh-CN"/>
        </w:rPr>
        <w:t>213</w:t>
      </w:r>
      <w:r>
        <w:rPr>
          <w:rFonts w:hint="eastAsia" w:ascii="仿宋_GB2312" w:hAnsi="Times New Roman" w:eastAsia="仿宋_GB2312" w:cs="Times New Roman"/>
          <w:color w:val="000000"/>
          <w:sz w:val="32"/>
          <w:szCs w:val="32"/>
          <w:lang w:eastAsia="zh-CN"/>
        </w:rPr>
        <w:t>）农村综合改革（</w:t>
      </w:r>
      <w:r>
        <w:rPr>
          <w:rFonts w:hint="eastAsia" w:ascii="仿宋_GB2312" w:hAnsi="Times New Roman" w:eastAsia="仿宋_GB2312" w:cs="Times New Roman"/>
          <w:color w:val="000000"/>
          <w:sz w:val="32"/>
          <w:szCs w:val="32"/>
          <w:lang w:val="en-US" w:eastAsia="zh-CN"/>
        </w:rPr>
        <w:t>07</w:t>
      </w:r>
      <w:r>
        <w:rPr>
          <w:rFonts w:hint="eastAsia" w:ascii="仿宋_GB2312" w:hAnsi="Times New Roman" w:eastAsia="仿宋_GB2312" w:cs="Times New Roman"/>
          <w:color w:val="000000"/>
          <w:sz w:val="32"/>
          <w:szCs w:val="32"/>
          <w:lang w:eastAsia="zh-CN"/>
        </w:rPr>
        <w:t>）农对村民委员会和村党支部的补助（</w:t>
      </w:r>
      <w:r>
        <w:rPr>
          <w:rFonts w:hint="eastAsia" w:ascii="仿宋_GB2312" w:hAnsi="Times New Roman" w:eastAsia="仿宋_GB2312" w:cs="Times New Roman"/>
          <w:color w:val="000000"/>
          <w:sz w:val="32"/>
          <w:szCs w:val="32"/>
          <w:lang w:val="en-US" w:eastAsia="zh-CN"/>
        </w:rPr>
        <w:t>05</w:t>
      </w:r>
      <w:r>
        <w:rPr>
          <w:rFonts w:hint="eastAsia" w:ascii="仿宋_GB2312" w:hAnsi="Times New Roman" w:eastAsia="仿宋_GB2312" w:cs="Times New Roman"/>
          <w:color w:val="000000"/>
          <w:sz w:val="32"/>
          <w:szCs w:val="32"/>
          <w:lang w:eastAsia="zh-CN"/>
        </w:rPr>
        <w:t>）:反映各级财政对村民委员会和村党支部的补助支出，以及支持建立县级基本财力保障机制安排的村级组织运转奖补资金</w:t>
      </w:r>
      <w:r>
        <w:rPr>
          <w:rFonts w:hint="eastAsia" w:ascii="仿宋_GB2312" w:hAnsi="Times New Roman" w:eastAsia="仿宋_GB2312" w:cs="Times New Roman"/>
          <w:color w:val="000000"/>
          <w:sz w:val="32"/>
          <w:szCs w:val="32"/>
          <w:lang w:val="en-US" w:eastAsia="zh-CN"/>
        </w:rPr>
        <w:t>。</w:t>
      </w:r>
    </w:p>
    <w:p w14:paraId="627800BF">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20.</w:t>
      </w:r>
      <w:r>
        <w:rPr>
          <w:rFonts w:hint="eastAsia" w:ascii="仿宋_GB2312" w:hAnsi="Times New Roman" w:eastAsia="仿宋_GB2312" w:cs="Times New Roman"/>
          <w:color w:val="000000"/>
          <w:sz w:val="32"/>
          <w:szCs w:val="32"/>
          <w:lang w:eastAsia="zh-CN"/>
        </w:rPr>
        <w:t>住房保障支出（</w:t>
      </w:r>
      <w:r>
        <w:rPr>
          <w:rFonts w:hint="eastAsia" w:ascii="仿宋_GB2312" w:hAnsi="Times New Roman" w:eastAsia="仿宋_GB2312" w:cs="Times New Roman"/>
          <w:color w:val="000000"/>
          <w:sz w:val="32"/>
          <w:szCs w:val="32"/>
          <w:lang w:val="en-US" w:eastAsia="zh-CN"/>
        </w:rPr>
        <w:t>221</w:t>
      </w:r>
      <w:r>
        <w:rPr>
          <w:rFonts w:hint="eastAsia" w:ascii="仿宋_GB2312" w:hAnsi="Times New Roman" w:eastAsia="仿宋_GB2312" w:cs="Times New Roman"/>
          <w:color w:val="000000"/>
          <w:sz w:val="32"/>
          <w:szCs w:val="32"/>
          <w:lang w:eastAsia="zh-CN"/>
        </w:rPr>
        <w:t>）住房改革支出（</w:t>
      </w:r>
      <w:r>
        <w:rPr>
          <w:rFonts w:hint="eastAsia" w:ascii="仿宋_GB2312" w:hAnsi="Times New Roman" w:eastAsia="仿宋_GB2312" w:cs="Times New Roman"/>
          <w:color w:val="000000"/>
          <w:sz w:val="32"/>
          <w:szCs w:val="32"/>
          <w:lang w:val="en-US" w:eastAsia="zh-CN"/>
        </w:rPr>
        <w:t>02</w:t>
      </w:r>
      <w:r>
        <w:rPr>
          <w:rFonts w:hint="eastAsia" w:ascii="仿宋_GB2312" w:hAnsi="Times New Roman" w:eastAsia="仿宋_GB2312" w:cs="Times New Roman"/>
          <w:color w:val="000000"/>
          <w:sz w:val="32"/>
          <w:szCs w:val="32"/>
          <w:lang w:eastAsia="zh-CN"/>
        </w:rPr>
        <w:t>）住房公积金（</w:t>
      </w:r>
      <w:r>
        <w:rPr>
          <w:rFonts w:hint="eastAsia" w:ascii="仿宋_GB2312" w:hAnsi="Times New Roman" w:eastAsia="仿宋_GB2312" w:cs="Times New Roman"/>
          <w:color w:val="000000"/>
          <w:sz w:val="32"/>
          <w:szCs w:val="32"/>
          <w:lang w:val="en-US" w:eastAsia="zh-CN"/>
        </w:rPr>
        <w:t>01</w:t>
      </w:r>
      <w:r>
        <w:rPr>
          <w:rFonts w:hint="eastAsia" w:ascii="仿宋_GB2312" w:hAnsi="Times New Roman" w:eastAsia="仿宋_GB2312" w:cs="Times New Roman"/>
          <w:color w:val="000000"/>
          <w:sz w:val="32"/>
          <w:szCs w:val="32"/>
          <w:lang w:eastAsia="zh-CN"/>
        </w:rPr>
        <w:t>）:反映行政事业单位按人力资源和社会保障部、财政部规定的基本工资和津贴补贴以及规定比例为职工缴纳的住房公积金</w:t>
      </w:r>
      <w:r>
        <w:rPr>
          <w:rFonts w:hint="eastAsia" w:ascii="仿宋_GB2312" w:hAnsi="Times New Roman" w:eastAsia="仿宋_GB2312" w:cs="Times New Roman"/>
          <w:color w:val="000000"/>
          <w:sz w:val="32"/>
          <w:szCs w:val="32"/>
          <w:lang w:val="en-US" w:eastAsia="zh-CN"/>
        </w:rPr>
        <w:t>。</w:t>
      </w:r>
    </w:p>
    <w:p w14:paraId="31C299B3">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21</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14:paraId="0CAC59D6">
      <w:pPr>
        <w:pageBreakBefore w:val="0"/>
        <w:kinsoku/>
        <w:wordWrap/>
        <w:overflowPunct/>
        <w:topLinePunct w:val="0"/>
        <w:bidi w:val="0"/>
        <w:spacing w:line="576" w:lineRule="atLeast"/>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22</w:t>
      </w:r>
      <w:r>
        <w:rPr>
          <w:rFonts w:hint="eastAsia" w:ascii="仿宋_GB2312" w:hAnsi="Times New Roman" w:eastAsia="仿宋_GB2312" w:cs="Times New Roman"/>
          <w:color w:val="000000"/>
          <w:sz w:val="32"/>
          <w:szCs w:val="32"/>
          <w:lang w:eastAsia="zh-CN"/>
        </w:rPr>
        <w:t xml:space="preserve">.项目支出：指在基本支出之外为完成特定行政任务和事业发展目标所发生的支出。 </w:t>
      </w:r>
    </w:p>
    <w:p w14:paraId="6CB33272">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Times New Roman"/>
          <w:color w:val="000000"/>
          <w:sz w:val="32"/>
          <w:szCs w:val="32"/>
          <w:lang w:val="en-US" w:eastAsia="zh-CN"/>
        </w:rPr>
        <w:t>23</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w:t>
      </w:r>
      <w:r>
        <w:rPr>
          <w:rFonts w:hint="eastAsia" w:ascii="仿宋_GB2312" w:eastAsia="仿宋_GB2312"/>
          <w:color w:val="000000"/>
          <w:sz w:val="32"/>
          <w:szCs w:val="32"/>
        </w:rPr>
        <w:t>类公务接待（含外宾接待）支出。</w:t>
      </w:r>
    </w:p>
    <w:p w14:paraId="29C1F652">
      <w:pPr>
        <w:pStyle w:val="25"/>
        <w:pageBreakBefore w:val="0"/>
        <w:kinsoku/>
        <w:wordWrap/>
        <w:overflowPunct/>
        <w:topLinePunct w:val="0"/>
        <w:bidi w:val="0"/>
        <w:spacing w:line="576"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ascii="仿宋_GB2312" w:eastAsia="仿宋_GB2312"/>
          <w:color w:val="000000"/>
          <w:sz w:val="32"/>
          <w:szCs w:val="32"/>
        </w:rPr>
        <w:t>.</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EE1D0CF">
      <w:pPr>
        <w:ind w:firstLine="643" w:firstLineChars="200"/>
        <w:rPr>
          <w:rFonts w:ascii="仿宋" w:hAnsi="仿宋" w:eastAsia="仿宋"/>
          <w:b/>
          <w:sz w:val="32"/>
          <w:szCs w:val="32"/>
        </w:rPr>
      </w:pPr>
    </w:p>
    <w:p w14:paraId="16F40136">
      <w:pPr>
        <w:pStyle w:val="2"/>
        <w:jc w:val="center"/>
        <w:rPr>
          <w:rFonts w:ascii="黑体" w:hAnsi="黑体" w:eastAsia="黑体"/>
          <w:b w:val="0"/>
        </w:rPr>
      </w:pPr>
      <w:bookmarkStart w:id="75" w:name="_Toc27009"/>
      <w:r>
        <w:rPr>
          <w:rFonts w:hint="eastAsia" w:ascii="黑体" w:hAnsi="黑体" w:eastAsia="黑体"/>
          <w:b w:val="0"/>
        </w:rPr>
        <w:t>第四部分 附件</w:t>
      </w:r>
      <w:bookmarkEnd w:id="75"/>
    </w:p>
    <w:p w14:paraId="1A672A2F"/>
    <w:p w14:paraId="2138FE49">
      <w:pPr>
        <w:outlineLvl w:val="1"/>
        <w:rPr>
          <w:rFonts w:ascii="黑体" w:hAnsi="黑体" w:eastAsia="黑体"/>
          <w:sz w:val="32"/>
          <w:szCs w:val="32"/>
        </w:rPr>
      </w:pPr>
      <w:bookmarkStart w:id="76" w:name="_Toc5686"/>
      <w:r>
        <w:rPr>
          <w:rFonts w:hint="eastAsia" w:ascii="黑体" w:hAnsi="黑体" w:eastAsia="黑体"/>
          <w:sz w:val="32"/>
          <w:szCs w:val="32"/>
        </w:rPr>
        <w:t>附件1</w:t>
      </w:r>
      <w:bookmarkEnd w:id="76"/>
    </w:p>
    <w:p w14:paraId="59D24B08">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2022年部门整体支出绩效评价报告</w:t>
      </w:r>
    </w:p>
    <w:p w14:paraId="2331901C">
      <w:pPr>
        <w:jc w:val="center"/>
        <w:rPr>
          <w:rFonts w:ascii="仿宋_GB2312" w:eastAsia="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郭元乡人民政府</w:t>
      </w:r>
      <w:r>
        <w:rPr>
          <w:rFonts w:hint="eastAsia" w:ascii="仿宋_GB2312" w:hAnsi="仿宋_GB2312" w:eastAsia="仿宋_GB2312" w:cs="仿宋_GB2312"/>
          <w:sz w:val="32"/>
          <w:szCs w:val="32"/>
        </w:rPr>
        <w:t>）</w:t>
      </w:r>
    </w:p>
    <w:p w14:paraId="6460A5F6"/>
    <w:p w14:paraId="4772CBE6">
      <w:pPr>
        <w:outlineLvl w:val="1"/>
        <w:rPr>
          <w:rFonts w:ascii="黑体" w:hAnsi="黑体" w:eastAsia="黑体"/>
          <w:sz w:val="32"/>
          <w:szCs w:val="32"/>
        </w:rPr>
      </w:pPr>
      <w:bookmarkStart w:id="77" w:name="_Toc30776"/>
      <w:r>
        <w:rPr>
          <w:rFonts w:hint="eastAsia" w:ascii="黑体" w:hAnsi="黑体" w:eastAsia="黑体"/>
          <w:sz w:val="32"/>
          <w:szCs w:val="32"/>
        </w:rPr>
        <w:t>一、部门（单位）基本情况</w:t>
      </w:r>
      <w:bookmarkEnd w:id="77"/>
    </w:p>
    <w:p w14:paraId="2C16F64C">
      <w:pPr>
        <w:ind w:firstLine="643" w:firstLineChars="200"/>
        <w:rPr>
          <w:rFonts w:hint="eastAsia" w:ascii="仿宋_GB2312" w:hAnsi="仿宋_GB2312" w:eastAsia="仿宋_GB2312" w:cs="仿宋_GB2312"/>
          <w:sz w:val="32"/>
          <w:szCs w:val="32"/>
          <w:lang w:val="en-US" w:eastAsia="zh-CN"/>
        </w:rPr>
      </w:pPr>
      <w:r>
        <w:rPr>
          <w:rFonts w:hint="eastAsia" w:ascii="楷体_GB2312" w:eastAsia="楷体_GB2312"/>
          <w:b/>
          <w:sz w:val="32"/>
          <w:szCs w:val="32"/>
        </w:rPr>
        <w:t>（一）机构组成。</w:t>
      </w:r>
      <w:r>
        <w:rPr>
          <w:rFonts w:hint="eastAsia" w:ascii="仿宋_GB2312" w:hAnsi="仿宋_GB2312" w:eastAsia="仿宋_GB2312" w:cs="仿宋_GB2312"/>
          <w:sz w:val="32"/>
          <w:szCs w:val="32"/>
          <w:lang w:val="zh-CN"/>
        </w:rPr>
        <w:t>郭元乡人民政府为独立的党政机关，机构级别为正科级。目前下属机构数</w:t>
      </w:r>
      <w:r>
        <w:rPr>
          <w:rFonts w:hint="eastAsia" w:ascii="仿宋_GB2312" w:hAnsi="仿宋_GB2312" w:eastAsia="仿宋_GB2312" w:cs="仿宋_GB2312"/>
          <w:sz w:val="32"/>
          <w:szCs w:val="32"/>
          <w:lang w:val="en-US" w:eastAsia="zh-CN"/>
        </w:rPr>
        <w:t>5个，分别为：党建工作办、维护稳定和综合行政执法办、经济发展和乡村振兴办、社会事务和应急管理办、财政工作办。</w:t>
      </w:r>
    </w:p>
    <w:p w14:paraId="75C03C6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下属事业机构数4个，分别为：九寨沟县郭元乡便民服务中心（挂九寨沟县郭元乡退役军人服务站、九寨沟县郭元乡农民工服务中心牌子）（编制数为4人，实有人数4人）；</w:t>
      </w:r>
    </w:p>
    <w:p w14:paraId="7AA68BE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九寨沟县郭元乡党群服务中心（编制数为2人，实有人数2人）；</w:t>
      </w:r>
    </w:p>
    <w:p w14:paraId="0C408B3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九寨沟县郭元乡文化旅游服务中心（编制数为2人，实有人数2人）；</w:t>
      </w:r>
    </w:p>
    <w:p w14:paraId="34A3390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九寨沟县郭元乡农业农村服务中心（编制数为6人，实有人数5人）。</w:t>
      </w:r>
    </w:p>
    <w:p w14:paraId="1A5B642E">
      <w:pPr>
        <w:numPr>
          <w:ilvl w:val="0"/>
          <w:numId w:val="7"/>
        </w:numPr>
        <w:ind w:firstLine="643" w:firstLineChars="200"/>
        <w:rPr>
          <w:rFonts w:hint="eastAsia" w:ascii="楷体_GB2312" w:eastAsia="楷体_GB2312"/>
          <w:b/>
          <w:sz w:val="32"/>
          <w:szCs w:val="32"/>
        </w:rPr>
      </w:pPr>
      <w:r>
        <w:rPr>
          <w:rFonts w:hint="eastAsia" w:ascii="楷体_GB2312" w:eastAsia="楷体_GB2312"/>
          <w:b/>
          <w:sz w:val="32"/>
          <w:szCs w:val="32"/>
        </w:rPr>
        <w:t>机构职能。</w:t>
      </w:r>
    </w:p>
    <w:p w14:paraId="13CB7ABC">
      <w:pPr>
        <w:ind w:firstLine="640" w:firstLineChars="200"/>
        <w:rPr>
          <w:rFonts w:hint="eastAsia" w:ascii="楷体_GB2312" w:eastAsia="楷体_GB2312"/>
          <w:b/>
          <w:sz w:val="32"/>
          <w:szCs w:val="32"/>
        </w:rPr>
      </w:pPr>
      <w:r>
        <w:rPr>
          <w:rFonts w:hint="eastAsia" w:ascii="仿宋_GB2312" w:hAnsi="仿宋_GB2312" w:eastAsia="仿宋_GB2312" w:cs="仿宋_GB2312"/>
          <w:sz w:val="32"/>
          <w:szCs w:val="32"/>
          <w:lang w:val="zh-CN" w:eastAsia="zh-CN"/>
        </w:rPr>
        <w:t>贯彻执行国家有关财政管理等方面的法律、法规和规章等，编制乡镇年度财政预算草案并执行，管理和监督乡镇各项财政收支，监督各类专项资金等。</w:t>
      </w:r>
    </w:p>
    <w:p w14:paraId="774CCBEC">
      <w:pPr>
        <w:ind w:firstLine="643" w:firstLineChars="200"/>
        <w:rPr>
          <w:rFonts w:hint="eastAsia" w:ascii="仿宋_GB2312" w:hAnsi="仿宋_GB2312" w:eastAsia="仿宋_GB2312" w:cs="仿宋_GB2312"/>
          <w:sz w:val="32"/>
          <w:szCs w:val="32"/>
          <w:lang w:val="en-US" w:eastAsia="zh-CN"/>
        </w:rPr>
      </w:pPr>
      <w:r>
        <w:rPr>
          <w:rFonts w:hint="eastAsia" w:ascii="楷体_GB2312" w:eastAsia="楷体_GB2312"/>
          <w:b/>
          <w:sz w:val="32"/>
          <w:szCs w:val="32"/>
        </w:rPr>
        <w:t>（三）人员概况。</w:t>
      </w:r>
      <w:r>
        <w:rPr>
          <w:rFonts w:hint="eastAsia" w:ascii="仿宋_GB2312" w:eastAsia="仿宋_GB2312"/>
          <w:sz w:val="32"/>
          <w:szCs w:val="32"/>
        </w:rPr>
        <w:t>截至2023年末，</w:t>
      </w:r>
      <w:r>
        <w:rPr>
          <w:rFonts w:hint="eastAsia" w:ascii="仿宋_GB2312" w:hAnsi="仿宋_GB2312" w:eastAsia="仿宋_GB2312" w:cs="仿宋_GB2312"/>
          <w:sz w:val="32"/>
          <w:szCs w:val="32"/>
          <w:lang w:eastAsia="zh-CN"/>
        </w:rPr>
        <w:t>郭元乡人民政府编制为正科级机构，现目前行政编制数为</w:t>
      </w:r>
      <w:r>
        <w:rPr>
          <w:rFonts w:hint="eastAsia" w:ascii="仿宋_GB2312" w:hAnsi="仿宋_GB2312" w:eastAsia="仿宋_GB2312" w:cs="仿宋_GB2312"/>
          <w:sz w:val="32"/>
          <w:szCs w:val="32"/>
          <w:lang w:val="en-US" w:eastAsia="zh-CN"/>
        </w:rPr>
        <w:t>22名，实有在岗人数22人；行政工勤编制1人，实有在岗人数1人；事业编制13人，实有在岗人数13人。</w:t>
      </w:r>
    </w:p>
    <w:p w14:paraId="71F70250">
      <w:pPr>
        <w:ind w:firstLine="640" w:firstLineChars="200"/>
        <w:rPr>
          <w:rFonts w:ascii="仿宋_GB2312" w:eastAsia="仿宋_GB2312"/>
          <w:sz w:val="32"/>
          <w:szCs w:val="32"/>
        </w:rPr>
      </w:pPr>
    </w:p>
    <w:p w14:paraId="28D22510">
      <w:pPr>
        <w:outlineLvl w:val="1"/>
        <w:rPr>
          <w:rFonts w:ascii="黑体" w:hAnsi="黑体" w:eastAsia="黑体"/>
          <w:sz w:val="32"/>
          <w:szCs w:val="32"/>
        </w:rPr>
      </w:pPr>
      <w:bookmarkStart w:id="78" w:name="_Toc13313"/>
      <w:r>
        <w:rPr>
          <w:rFonts w:hint="eastAsia" w:ascii="黑体" w:hAnsi="黑体" w:eastAsia="黑体"/>
          <w:sz w:val="32"/>
          <w:szCs w:val="32"/>
        </w:rPr>
        <w:t>二、部门资金收支情况</w:t>
      </w:r>
      <w:bookmarkEnd w:id="78"/>
    </w:p>
    <w:p w14:paraId="020CBF82">
      <w:pPr>
        <w:ind w:firstLine="643" w:firstLineChars="200"/>
        <w:rPr>
          <w:rFonts w:hint="eastAsia" w:ascii="仿宋_GB2312" w:hAnsi="仿宋_GB2312" w:eastAsia="仿宋_GB2312" w:cs="仿宋_GB2312"/>
          <w:sz w:val="32"/>
          <w:szCs w:val="32"/>
          <w:lang w:val="en-US" w:eastAsia="zh-CN"/>
        </w:rPr>
      </w:pPr>
      <w:r>
        <w:rPr>
          <w:rFonts w:hint="eastAsia" w:ascii="楷体_GB2312" w:eastAsia="楷体_GB2312"/>
          <w:b/>
          <w:sz w:val="32"/>
          <w:szCs w:val="32"/>
        </w:rPr>
        <w:t>（一）收入情况。</w:t>
      </w:r>
      <w:r>
        <w:rPr>
          <w:rFonts w:hint="eastAsia" w:ascii="仿宋_GB2312" w:hAnsi="仿宋_GB2312" w:eastAsia="仿宋_GB2312" w:cs="仿宋_GB2312"/>
          <w:sz w:val="32"/>
          <w:szCs w:val="32"/>
          <w:lang w:val="zh-CN"/>
        </w:rPr>
        <w:t>截止</w:t>
      </w:r>
      <w:r>
        <w:rPr>
          <w:rFonts w:hint="eastAsia" w:ascii="仿宋_GB2312" w:hAnsi="仿宋_GB2312" w:eastAsia="仿宋_GB2312" w:cs="仿宋_GB2312"/>
          <w:sz w:val="32"/>
          <w:szCs w:val="32"/>
          <w:lang w:val="en-US" w:eastAsia="zh-CN"/>
        </w:rPr>
        <w:t>2023年12月，我乡部门财政收入资金共计14625114.39元。</w:t>
      </w:r>
    </w:p>
    <w:p w14:paraId="4E19A5A9">
      <w:pPr>
        <w:ind w:firstLine="643" w:firstLineChars="200"/>
        <w:rPr>
          <w:rFonts w:hint="eastAsia" w:ascii="仿宋_GB2312" w:hAnsi="仿宋_GB2312" w:eastAsia="仿宋_GB2312" w:cs="仿宋_GB2312"/>
          <w:sz w:val="32"/>
          <w:szCs w:val="32"/>
          <w:lang w:val="zh-CN"/>
        </w:rPr>
      </w:pPr>
      <w:r>
        <w:rPr>
          <w:rFonts w:hint="eastAsia" w:ascii="楷体_GB2312" w:eastAsia="楷体_GB2312"/>
          <w:b/>
          <w:sz w:val="32"/>
          <w:szCs w:val="32"/>
        </w:rPr>
        <w:t>（二）支出情况。</w:t>
      </w:r>
      <w:r>
        <w:rPr>
          <w:rFonts w:hint="eastAsia" w:ascii="仿宋_GB2312" w:hAnsi="仿宋_GB2312" w:eastAsia="仿宋_GB2312" w:cs="仿宋_GB2312"/>
          <w:sz w:val="32"/>
          <w:szCs w:val="32"/>
          <w:lang w:val="zh-CN"/>
        </w:rPr>
        <w:t>截止</w:t>
      </w:r>
      <w:r>
        <w:rPr>
          <w:rFonts w:hint="eastAsia" w:ascii="仿宋_GB2312" w:hAnsi="仿宋_GB2312" w:eastAsia="仿宋_GB2312" w:cs="仿宋_GB2312"/>
          <w:sz w:val="32"/>
          <w:szCs w:val="32"/>
          <w:lang w:val="en-US" w:eastAsia="zh-CN"/>
        </w:rPr>
        <w:t>2022年12月累计已支付14625114.39元，</w:t>
      </w:r>
      <w:r>
        <w:rPr>
          <w:rFonts w:hint="eastAsia" w:ascii="仿宋_GB2312" w:hAnsi="仿宋_GB2312" w:eastAsia="仿宋_GB2312" w:cs="仿宋_GB2312"/>
          <w:sz w:val="32"/>
          <w:szCs w:val="32"/>
          <w:lang w:val="zh-CN"/>
        </w:rPr>
        <w:t>均按照程序正常支付。</w:t>
      </w:r>
    </w:p>
    <w:p w14:paraId="734C5BB0">
      <w:pPr>
        <w:ind w:firstLine="640" w:firstLineChars="200"/>
        <w:outlineLvl w:val="1"/>
        <w:rPr>
          <w:rFonts w:hint="eastAsia" w:ascii="仿宋_GB2312" w:hAnsi="仿宋_GB2312" w:eastAsia="仿宋_GB2312" w:cs="仿宋_GB2312"/>
          <w:sz w:val="32"/>
          <w:szCs w:val="32"/>
        </w:rPr>
      </w:pPr>
      <w:bookmarkStart w:id="79" w:name="_Toc19629"/>
      <w:r>
        <w:rPr>
          <w:rFonts w:hint="eastAsia" w:ascii="黑体" w:hAnsi="黑体" w:eastAsia="黑体" w:cs="黑体"/>
          <w:sz w:val="32"/>
          <w:szCs w:val="32"/>
        </w:rPr>
        <w:t>三、部门整体预算绩效管理情况</w:t>
      </w:r>
      <w:bookmarkEnd w:id="79"/>
    </w:p>
    <w:p w14:paraId="49CC5B2D">
      <w:pPr>
        <w:ind w:firstLine="964" w:firstLineChars="30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（一）部门预算项目绩效管理。</w:t>
      </w:r>
    </w:p>
    <w:p w14:paraId="65CE714C">
      <w:pPr>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我乡</w:t>
      </w:r>
      <w:r>
        <w:rPr>
          <w:rFonts w:hint="eastAsia" w:ascii="仿宋_GB2312" w:hAnsi="仿宋_GB2312" w:eastAsia="仿宋_GB2312" w:cs="仿宋_GB2312"/>
          <w:sz w:val="32"/>
          <w:szCs w:val="32"/>
          <w:lang w:val="en-US" w:eastAsia="zh-CN"/>
        </w:rPr>
        <w:t>2023年年初部门预算项目绩效管理按照</w:t>
      </w:r>
      <w:r>
        <w:rPr>
          <w:rFonts w:hint="eastAsia" w:ascii="仿宋_GB2312" w:hAnsi="仿宋_GB2312" w:eastAsia="仿宋_GB2312" w:cs="仿宋_GB2312"/>
          <w:sz w:val="32"/>
          <w:szCs w:val="32"/>
          <w:lang w:val="zh-CN"/>
        </w:rPr>
        <w:t>部门绩效目标制定、其中部门项</w:t>
      </w:r>
      <w:r>
        <w:rPr>
          <w:rFonts w:hint="eastAsia" w:ascii="仿宋_GB2312" w:hAnsi="仿宋_GB2312" w:eastAsia="仿宋_GB2312" w:cs="仿宋_GB2312"/>
          <w:sz w:val="32"/>
          <w:szCs w:val="32"/>
          <w:lang w:val="en-US" w:eastAsia="zh-CN"/>
        </w:rPr>
        <w:t>20个，资金已到账20个；转移性项目年初无，后期增加2个。</w:t>
      </w:r>
      <w:r>
        <w:rPr>
          <w:rFonts w:hint="eastAsia" w:ascii="仿宋_GB2312" w:hAnsi="仿宋_GB2312" w:eastAsia="仿宋_GB2312" w:cs="仿宋_GB2312"/>
          <w:sz w:val="32"/>
          <w:szCs w:val="32"/>
          <w:lang w:val="zh-CN"/>
        </w:rPr>
        <w:t>所有资金到位项目均严格按照程序支付，无违规记录等情况。</w:t>
      </w:r>
    </w:p>
    <w:p w14:paraId="56AE9649">
      <w:pPr>
        <w:ind w:firstLine="643" w:firstLineChars="20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（二）结果应用情况。</w:t>
      </w:r>
    </w:p>
    <w:p w14:paraId="07C07883">
      <w:pPr>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2022年度我乡部门预算项目绩效在</w:t>
      </w:r>
      <w:r>
        <w:rPr>
          <w:rFonts w:hint="eastAsia" w:ascii="仿宋_GB2312" w:hAnsi="仿宋_GB2312" w:eastAsia="仿宋_GB2312" w:cs="仿宋_GB2312"/>
          <w:sz w:val="32"/>
          <w:szCs w:val="32"/>
          <w:lang w:val="zh-CN"/>
        </w:rPr>
        <w:t>内部应用、自评公开、问题整改和应用反馈等情况均严格按照实际情况进行执行。</w:t>
      </w:r>
    </w:p>
    <w:p w14:paraId="06A03C8C">
      <w:pP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自评质量</w:t>
      </w:r>
    </w:p>
    <w:p w14:paraId="1372F21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2022年度我乡部门预算项目绩效在年初几个项目确定入库是制定的</w:t>
      </w:r>
      <w:r>
        <w:rPr>
          <w:rFonts w:hint="eastAsia" w:ascii="仿宋_GB2312" w:hAnsi="仿宋_GB2312" w:eastAsia="仿宋_GB2312" w:cs="仿宋_GB2312"/>
          <w:sz w:val="32"/>
          <w:szCs w:val="32"/>
        </w:rPr>
        <w:t>评价部门整体支出自评</w:t>
      </w:r>
      <w:r>
        <w:rPr>
          <w:rFonts w:hint="eastAsia" w:ascii="仿宋_GB2312" w:hAnsi="仿宋_GB2312" w:eastAsia="仿宋_GB2312" w:cs="仿宋_GB2312"/>
          <w:sz w:val="32"/>
          <w:szCs w:val="32"/>
          <w:lang w:eastAsia="zh-CN"/>
        </w:rPr>
        <w:t>符合我乡个项目建设</w:t>
      </w:r>
      <w:r>
        <w:rPr>
          <w:rFonts w:hint="eastAsia" w:ascii="仿宋_GB2312" w:hAnsi="仿宋_GB2312" w:eastAsia="仿宋_GB2312" w:cs="仿宋_GB2312"/>
          <w:sz w:val="32"/>
          <w:szCs w:val="32"/>
        </w:rPr>
        <w:t>。</w:t>
      </w:r>
    </w:p>
    <w:p w14:paraId="779FDEA2">
      <w:pPr>
        <w:ind w:firstLine="640" w:firstLineChars="200"/>
        <w:outlineLvl w:val="1"/>
        <w:rPr>
          <w:rFonts w:ascii="黑体" w:hAnsi="黑体" w:eastAsia="黑体"/>
          <w:sz w:val="32"/>
          <w:szCs w:val="32"/>
        </w:rPr>
      </w:pPr>
      <w:bookmarkStart w:id="80" w:name="_Toc2628"/>
      <w:r>
        <w:rPr>
          <w:rFonts w:hint="eastAsia" w:ascii="黑体" w:hAnsi="黑体" w:eastAsia="黑体"/>
          <w:sz w:val="32"/>
          <w:szCs w:val="32"/>
        </w:rPr>
        <w:t>四、评价结论及建议</w:t>
      </w:r>
      <w:bookmarkEnd w:id="80"/>
    </w:p>
    <w:p w14:paraId="70AE39F8">
      <w:pPr>
        <w:ind w:firstLine="643" w:firstLineChars="200"/>
        <w:rPr>
          <w:rFonts w:hint="eastAsia" w:ascii="楷体_GB2312" w:eastAsia="楷体_GB2312"/>
          <w:b/>
          <w:sz w:val="32"/>
          <w:szCs w:val="32"/>
        </w:rPr>
      </w:pPr>
      <w:r>
        <w:rPr>
          <w:rFonts w:hint="eastAsia" w:ascii="楷体_GB2312" w:eastAsia="楷体_GB2312"/>
          <w:b/>
          <w:sz w:val="32"/>
          <w:szCs w:val="32"/>
        </w:rPr>
        <w:t>（一）评价结论。</w:t>
      </w:r>
    </w:p>
    <w:p w14:paraId="148F0AC1">
      <w:pPr>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我乡</w:t>
      </w:r>
      <w:r>
        <w:rPr>
          <w:rFonts w:hint="eastAsia" w:ascii="仿宋_GB2312" w:hAnsi="仿宋_GB2312" w:eastAsia="仿宋_GB2312" w:cs="仿宋_GB2312"/>
          <w:sz w:val="32"/>
          <w:szCs w:val="32"/>
          <w:lang w:val="en-US" w:eastAsia="zh-CN"/>
        </w:rPr>
        <w:t>2023年度</w:t>
      </w:r>
      <w:r>
        <w:rPr>
          <w:rFonts w:hint="eastAsia" w:ascii="仿宋_GB2312" w:hAnsi="仿宋_GB2312" w:eastAsia="仿宋_GB2312" w:cs="仿宋_GB2312"/>
          <w:sz w:val="32"/>
          <w:szCs w:val="32"/>
          <w:lang w:val="zh-CN"/>
        </w:rPr>
        <w:t>绩效评价工作执行情况良好，申报预算时，均严格按照县财政局的要求分类、分级进行，资金的支付也均严格按照年初预算编制情况以及县级相关部门支付进度要求进行支付，预算动态调整及时，预算情况完成良好，无违规情况等发生。</w:t>
      </w:r>
    </w:p>
    <w:p w14:paraId="05B3CEA1">
      <w:pPr>
        <w:ind w:firstLine="643" w:firstLineChars="200"/>
        <w:rPr>
          <w:rFonts w:hint="eastAsia" w:ascii="楷体_GB2312" w:eastAsia="楷体_GB2312"/>
          <w:b/>
          <w:sz w:val="32"/>
          <w:szCs w:val="32"/>
        </w:rPr>
      </w:pPr>
      <w:r>
        <w:rPr>
          <w:rFonts w:hint="eastAsia" w:ascii="楷体_GB2312" w:eastAsia="楷体_GB2312"/>
          <w:b/>
          <w:sz w:val="32"/>
          <w:szCs w:val="32"/>
        </w:rPr>
        <w:t>（二）存在问题。</w:t>
      </w:r>
    </w:p>
    <w:p w14:paraId="7E1751C4">
      <w:pPr>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一是因人员变动较大，我乡</w:t>
      </w:r>
      <w:r>
        <w:rPr>
          <w:rFonts w:hint="eastAsia" w:ascii="仿宋_GB2312" w:hAnsi="仿宋_GB2312" w:eastAsia="仿宋_GB2312" w:cs="仿宋_GB2312"/>
          <w:sz w:val="32"/>
          <w:szCs w:val="32"/>
          <w:lang w:val="en-US" w:eastAsia="zh-CN"/>
        </w:rPr>
        <w:t>2023年人员数较比2022年增多，但因相关预算是在一体化系统中按照在职人员按比例测算，导致部分保险、工资等人员经费后期可能不足。二是部分项目资金拨付到账较晚，部分项目项目因施工及前期项目资料的制作等原因，导致报账进度相对缓慢，我乡领导已多次召开专题会议，督促各项目按进度拨付项目资金，确保项目保质保量按期完成。</w:t>
      </w:r>
    </w:p>
    <w:p w14:paraId="634E0F08">
      <w:pPr>
        <w:numPr>
          <w:ilvl w:val="0"/>
          <w:numId w:val="7"/>
        </w:numPr>
        <w:ind w:left="0" w:leftChars="0" w:firstLine="643" w:firstLineChars="200"/>
        <w:rPr>
          <w:rFonts w:hint="eastAsia" w:ascii="楷体_GB2312" w:eastAsia="楷体_GB2312"/>
          <w:b/>
          <w:sz w:val="32"/>
          <w:szCs w:val="32"/>
        </w:rPr>
      </w:pPr>
      <w:r>
        <w:rPr>
          <w:rFonts w:hint="eastAsia" w:ascii="楷体_GB2312" w:eastAsia="楷体_GB2312"/>
          <w:b/>
          <w:sz w:val="32"/>
          <w:szCs w:val="32"/>
        </w:rPr>
        <w:t>改进建议。</w:t>
      </w:r>
    </w:p>
    <w:p w14:paraId="2AF81FC0">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为扎实做好我乡项目、政策推进力度，我乡一是利用班子会、职工会等积极宣传各项政策，确保按照时间节点有序推进；二是在部分项目资金经过我乡拨付，但业主部门不归属我乡时，建议县级部门有统一的管理部门，督查资金按时按质拨付。</w:t>
      </w:r>
    </w:p>
    <w:p w14:paraId="65D0C8F5">
      <w:pPr>
        <w:ind w:firstLine="640" w:firstLineChars="200"/>
        <w:rPr>
          <w:rFonts w:eastAsia="仿宋_GB2312"/>
          <w:sz w:val="32"/>
          <w:szCs w:val="32"/>
          <w:lang w:val="zh-CN"/>
        </w:rPr>
      </w:pPr>
    </w:p>
    <w:p w14:paraId="1907A11F">
      <w:pPr>
        <w:rPr>
          <w:rFonts w:hint="eastAsia" w:ascii="黑体" w:hAnsi="黑体" w:eastAsia="黑体"/>
          <w:sz w:val="24"/>
          <w:szCs w:val="24"/>
          <w:lang w:eastAsia="zh-CN"/>
        </w:rPr>
      </w:pPr>
      <w:r>
        <w:rPr>
          <w:rFonts w:hint="eastAsia" w:ascii="黑体" w:hAnsi="黑体" w:eastAsia="黑体"/>
          <w:sz w:val="24"/>
          <w:szCs w:val="24"/>
          <w:lang w:eastAsia="zh-CN"/>
        </w:rPr>
        <w:t>附表：部门整体支出绩效目标完成情况自评表</w:t>
      </w:r>
    </w:p>
    <w:p w14:paraId="1B1A49BA">
      <w:pPr>
        <w:rPr>
          <w:rFonts w:hint="eastAsia" w:ascii="黑体" w:hAnsi="黑体" w:eastAsia="黑体"/>
          <w:sz w:val="32"/>
          <w:szCs w:val="32"/>
        </w:rPr>
      </w:pPr>
    </w:p>
    <w:p w14:paraId="56540A66">
      <w:pPr>
        <w:rPr>
          <w:rFonts w:hint="eastAsia" w:ascii="黑体" w:hAnsi="黑体" w:eastAsia="黑体"/>
          <w:sz w:val="32"/>
          <w:szCs w:val="32"/>
        </w:rPr>
      </w:pPr>
    </w:p>
    <w:p w14:paraId="18EE5556">
      <w:pPr>
        <w:rPr>
          <w:rFonts w:hint="eastAsia" w:ascii="黑体" w:hAnsi="黑体" w:eastAsia="黑体"/>
          <w:sz w:val="32"/>
          <w:szCs w:val="32"/>
        </w:rPr>
      </w:pPr>
    </w:p>
    <w:p w14:paraId="303A1EF5">
      <w:pPr>
        <w:rPr>
          <w:rFonts w:hint="eastAsia" w:ascii="黑体" w:hAnsi="黑体" w:eastAsia="黑体"/>
          <w:sz w:val="32"/>
          <w:szCs w:val="32"/>
        </w:rPr>
      </w:pPr>
    </w:p>
    <w:p w14:paraId="7E386970">
      <w:pPr>
        <w:rPr>
          <w:rFonts w:hint="eastAsia" w:ascii="黑体" w:hAnsi="黑体" w:eastAsia="黑体"/>
          <w:sz w:val="32"/>
          <w:szCs w:val="32"/>
        </w:rPr>
      </w:pPr>
    </w:p>
    <w:p w14:paraId="70CEC0B6">
      <w:pPr>
        <w:spacing w:line="578" w:lineRule="exact"/>
        <w:ind w:firstLine="420" w:firstLineChars="200"/>
      </w:pPr>
      <w:r>
        <w:rPr>
          <w:rFonts w:hint="eastAsia" w:ascii="黑体" w:hAnsi="黑体" w:eastAsia="黑体" w:cs="黑体"/>
        </w:rPr>
        <w:t>附表</w:t>
      </w:r>
    </w:p>
    <w:tbl>
      <w:tblPr>
        <w:tblStyle w:val="14"/>
        <w:tblW w:w="10560" w:type="dxa"/>
        <w:jc w:val="center"/>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14:paraId="22172FEB">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1749AF59">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14:paraId="064A1FE9">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6B8331B4">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（2023年度）</w:t>
            </w:r>
          </w:p>
        </w:tc>
      </w:tr>
      <w:tr w14:paraId="651AF782">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3C895FD8">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7D185B7A">
        <w:tblPrEx>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778CB0">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CDDEC6">
            <w:pPr>
              <w:pStyle w:val="2"/>
              <w:widowControl/>
              <w:spacing w:beforeAutospacing="0" w:after="225" w:afterAutospacing="0"/>
              <w:jc w:val="center"/>
              <w:rPr>
                <w:rFonts w:hint="default" w:ascii="Times New Roman" w:hAnsi="Times New Roman"/>
                <w:color w:val="000000"/>
                <w:sz w:val="24"/>
                <w:szCs w:val="24"/>
              </w:rPr>
            </w:pPr>
            <w:bookmarkStart w:id="81" w:name="_Toc14239"/>
            <w:r>
              <w:rPr>
                <w:color w:val="606266"/>
                <w:sz w:val="27"/>
                <w:szCs w:val="27"/>
              </w:rPr>
              <w:t>部门（郭元乡）整体支出绩效目标</w:t>
            </w:r>
            <w:bookmarkEnd w:id="81"/>
            <w:r>
              <w:rPr>
                <w:color w:val="606266"/>
                <w:sz w:val="27"/>
                <w:szCs w:val="27"/>
              </w:rPr>
              <w:t xml:space="preserve"> </w:t>
            </w:r>
          </w:p>
        </w:tc>
      </w:tr>
      <w:tr w14:paraId="5E90A2D4">
        <w:tblPrEx>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5FD84">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CC2D0">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31B50">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C603CC">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14:paraId="030D3AF0">
        <w:tblPrEx>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2460A">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4247F">
            <w:pPr>
              <w:widowControl/>
              <w:spacing w:line="300" w:lineRule="exact"/>
              <w:jc w:val="center"/>
              <w:textAlignment w:val="center"/>
              <w:rPr>
                <w:rFonts w:eastAsia="宋体"/>
                <w:color w:val="000000"/>
                <w:sz w:val="24"/>
              </w:rPr>
            </w:pPr>
            <w:r>
              <w:rPr>
                <w:rFonts w:hint="eastAsia" w:ascii="宋体" w:hAnsi="宋体" w:cs="宋体"/>
                <w:color w:val="000000"/>
                <w:szCs w:val="32"/>
              </w:rPr>
              <w:t>1462.51</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E0CB0">
            <w:pPr>
              <w:widowControl/>
              <w:spacing w:line="300" w:lineRule="exact"/>
              <w:jc w:val="center"/>
              <w:textAlignment w:val="center"/>
              <w:rPr>
                <w:rFonts w:eastAsia="宋体"/>
                <w:color w:val="000000"/>
                <w:sz w:val="24"/>
              </w:rPr>
            </w:pPr>
            <w:r>
              <w:rPr>
                <w:rFonts w:hint="eastAsia" w:ascii="宋体" w:hAnsi="宋体" w:cs="宋体"/>
                <w:color w:val="000000"/>
                <w:szCs w:val="32"/>
              </w:rPr>
              <w:t>1462.51</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A230F3">
            <w:pPr>
              <w:widowControl/>
              <w:spacing w:line="300" w:lineRule="exact"/>
              <w:jc w:val="center"/>
              <w:textAlignment w:val="center"/>
              <w:rPr>
                <w:rFonts w:eastAsia="宋体"/>
                <w:color w:val="000000"/>
                <w:sz w:val="24"/>
              </w:rPr>
            </w:pPr>
            <w:r>
              <w:rPr>
                <w:rFonts w:hint="eastAsia" w:eastAsia="宋体"/>
                <w:color w:val="000000"/>
                <w:kern w:val="0"/>
                <w:sz w:val="24"/>
                <w:lang w:bidi="ar"/>
              </w:rPr>
              <w:t>0</w:t>
            </w:r>
          </w:p>
        </w:tc>
      </w:tr>
      <w:tr w14:paraId="7DBFE4F3">
        <w:tblPrEx>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99C2E">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14:paraId="4F107689">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7805D1">
            <w:pPr>
              <w:widowControl/>
              <w:spacing w:line="300" w:lineRule="exact"/>
              <w:jc w:val="left"/>
              <w:textAlignment w:val="center"/>
              <w:rPr>
                <w:rFonts w:eastAsia="宋体"/>
                <w:color w:val="000000"/>
                <w:sz w:val="24"/>
              </w:rPr>
            </w:pPr>
            <w:r>
              <w:rPr>
                <w:rFonts w:ascii="宋体" w:hAnsi="宋体" w:eastAsia="宋体" w:cs="宋体"/>
                <w:sz w:val="24"/>
              </w:rPr>
              <w:t>郭元乡人民政府为独立的党政机关，机构级别为正科级，下属机构数5个，下属事业机构数4个。编制数位37人，现在编人数34人。 整体绩效目标为贯彻执行国家有关财政管理等方面的法律、法规和规章等，编制乡镇年度财政预算草案并执行，管理和监督乡镇财政收支，监督各类专项资金等。严格落实上级各部门安排的各项工作任务，在规定时间内完成年度工作目标，扎实推进郭元乡各项工作有序发展，创造美丽、和谐新郭元。</w:t>
            </w:r>
          </w:p>
        </w:tc>
      </w:tr>
      <w:tr w14:paraId="41F179E1">
        <w:tblPrEx>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DE0A2">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14:paraId="09E65CCA">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0B4294">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EAEBD5">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14:paraId="02F8F419">
        <w:tblPrEx>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59FBE">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E0DD6">
            <w:pPr>
              <w:widowControl/>
              <w:spacing w:line="300" w:lineRule="exact"/>
              <w:jc w:val="left"/>
              <w:textAlignment w:val="center"/>
              <w:rPr>
                <w:rFonts w:eastAsia="宋体"/>
                <w:color w:val="000000"/>
                <w:sz w:val="24"/>
              </w:rPr>
            </w:pPr>
            <w:r>
              <w:rPr>
                <w:rFonts w:hint="eastAsia" w:ascii="宋体" w:hAnsi="宋体" w:eastAsia="宋体" w:cs="宋体"/>
                <w:sz w:val="24"/>
              </w:rPr>
              <w:t>按时按资金用途等及时支付资金</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FCB204">
            <w:pPr>
              <w:widowControl/>
              <w:spacing w:line="300" w:lineRule="exact"/>
              <w:jc w:val="left"/>
              <w:textAlignment w:val="center"/>
              <w:rPr>
                <w:rFonts w:eastAsia="宋体"/>
                <w:color w:val="000000"/>
                <w:sz w:val="24"/>
              </w:rPr>
            </w:pPr>
            <w:r>
              <w:rPr>
                <w:rFonts w:eastAsia="宋体"/>
                <w:color w:val="000000"/>
                <w:kern w:val="0"/>
                <w:sz w:val="24"/>
                <w:lang w:bidi="ar"/>
              </w:rPr>
              <w:t>一是保证按时支付干部职工工资、保险等基本支出；二是对于支付群众的资金，及时按程序拨付；三是监督完善项目支付。</w:t>
            </w:r>
          </w:p>
        </w:tc>
      </w:tr>
      <w:tr w14:paraId="0E575A57">
        <w:tblPrEx>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68AFF">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3333C">
            <w:pPr>
              <w:widowControl/>
              <w:spacing w:line="300" w:lineRule="exact"/>
              <w:jc w:val="left"/>
              <w:rPr>
                <w:rFonts w:eastAsia="宋体"/>
                <w:color w:val="000000"/>
                <w:sz w:val="24"/>
              </w:rPr>
            </w:pPr>
            <w:r>
              <w:rPr>
                <w:rFonts w:eastAsia="宋体"/>
                <w:color w:val="000000"/>
                <w:sz w:val="24"/>
              </w:rPr>
              <w:t>在规定时间内完成我乡整体支出目标</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06EAFB">
            <w:pPr>
              <w:widowControl/>
              <w:spacing w:line="300" w:lineRule="exact"/>
              <w:jc w:val="left"/>
              <w:rPr>
                <w:rFonts w:eastAsia="宋体"/>
                <w:color w:val="000000"/>
                <w:sz w:val="24"/>
              </w:rPr>
            </w:pPr>
            <w:r>
              <w:rPr>
                <w:rFonts w:eastAsia="宋体"/>
                <w:color w:val="000000"/>
                <w:sz w:val="24"/>
              </w:rPr>
              <w:t>在2023年年底前，严格按程序完成基本支出和项目支出的资金支付。</w:t>
            </w:r>
          </w:p>
        </w:tc>
      </w:tr>
      <w:tr w14:paraId="1EEE23C6">
        <w:tblPrEx>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B1B50">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00FA1">
            <w:pPr>
              <w:widowControl/>
              <w:spacing w:line="300" w:lineRule="exact"/>
              <w:jc w:val="left"/>
              <w:rPr>
                <w:rFonts w:eastAsia="宋体"/>
                <w:color w:val="000000"/>
                <w:sz w:val="24"/>
              </w:rPr>
            </w:pPr>
            <w:r>
              <w:rPr>
                <w:rFonts w:eastAsia="宋体"/>
                <w:color w:val="000000"/>
                <w:sz w:val="24"/>
              </w:rPr>
              <w:t>要保障质量完成工作任务</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FB0424">
            <w:pPr>
              <w:widowControl/>
              <w:spacing w:line="300" w:lineRule="exact"/>
              <w:jc w:val="left"/>
              <w:rPr>
                <w:rFonts w:eastAsia="宋体"/>
                <w:color w:val="000000"/>
                <w:sz w:val="24"/>
              </w:rPr>
            </w:pPr>
            <w:r>
              <w:rPr>
                <w:rFonts w:eastAsia="宋体"/>
                <w:color w:val="000000"/>
                <w:sz w:val="24"/>
              </w:rPr>
              <w:t>在资金支付过程中，各项资金均要有分管领导结合实际工作情况</w:t>
            </w:r>
          </w:p>
          <w:p w14:paraId="50930D52">
            <w:pPr>
              <w:widowControl/>
              <w:spacing w:line="300" w:lineRule="exact"/>
              <w:jc w:val="left"/>
              <w:rPr>
                <w:rFonts w:eastAsia="宋体"/>
                <w:color w:val="000000"/>
                <w:sz w:val="24"/>
              </w:rPr>
            </w:pPr>
            <w:r>
              <w:rPr>
                <w:rFonts w:eastAsia="宋体"/>
                <w:color w:val="000000"/>
                <w:sz w:val="24"/>
              </w:rPr>
              <w:t>审批同意之后方可再执行财务报销程序，尤其对于项目建设，分管领导与主要领导严把质量关，确保资金用之有效，用之合理。</w:t>
            </w:r>
          </w:p>
        </w:tc>
      </w:tr>
      <w:tr w14:paraId="3B7703B9">
        <w:tblPrEx>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FFED09">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14:paraId="27098D03">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86D6">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E2F5">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2471">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2600">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14:paraId="73345650">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0B79">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22FD">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21D3AAF8">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1EFA">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14:paraId="57D9E350">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14:paraId="2202B04F">
        <w:tblPrEx>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EF300">
            <w:pPr>
              <w:widowControl/>
              <w:spacing w:line="300" w:lineRule="exact"/>
              <w:jc w:val="center"/>
              <w:rPr>
                <w:rFonts w:eastAsia="宋体"/>
                <w:color w:val="000000"/>
                <w:sz w:val="24"/>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577F555A">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1D40">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EEAF">
            <w:pPr>
              <w:widowControl/>
              <w:spacing w:line="300" w:lineRule="exact"/>
              <w:jc w:val="left"/>
              <w:rPr>
                <w:rFonts w:eastAsia="宋体"/>
                <w:color w:val="000000"/>
                <w:sz w:val="24"/>
              </w:rPr>
            </w:pPr>
            <w:r>
              <w:rPr>
                <w:rFonts w:ascii="宋体" w:hAnsi="宋体" w:eastAsia="宋体" w:cs="宋体"/>
                <w:sz w:val="24"/>
              </w:rPr>
              <w:t>确保在2023年度内保障保量完成干部职工工资发放、村干部生活补助、项目资金的支付等工作。</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6F23">
            <w:pPr>
              <w:widowControl/>
              <w:spacing w:line="300" w:lineRule="exact"/>
              <w:jc w:val="left"/>
              <w:rPr>
                <w:rFonts w:eastAsia="宋体"/>
                <w:color w:val="000000"/>
                <w:sz w:val="24"/>
              </w:rPr>
            </w:pPr>
            <w:r>
              <w:rPr>
                <w:rFonts w:ascii="宋体" w:hAnsi="宋体" w:eastAsia="宋体" w:cs="宋体"/>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4403">
            <w:pPr>
              <w:widowControl/>
              <w:spacing w:line="300" w:lineRule="exact"/>
              <w:jc w:val="left"/>
              <w:rPr>
                <w:rFonts w:eastAsia="宋体"/>
                <w:color w:val="000000"/>
                <w:sz w:val="24"/>
              </w:rPr>
            </w:pPr>
            <w:r>
              <w:rPr>
                <w:rFonts w:hint="eastAsia" w:eastAsia="宋体"/>
                <w:color w:val="000000"/>
                <w:sz w:val="24"/>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4D6F">
            <w:pPr>
              <w:widowControl/>
              <w:spacing w:line="300" w:lineRule="exact"/>
              <w:jc w:val="left"/>
              <w:rPr>
                <w:rFonts w:eastAsia="宋体"/>
                <w:color w:val="000000"/>
                <w:sz w:val="24"/>
              </w:rPr>
            </w:pPr>
            <w:r>
              <w:rPr>
                <w:rFonts w:hint="eastAsia" w:eastAsia="宋体"/>
                <w:color w:val="000000"/>
                <w:sz w:val="24"/>
              </w:rPr>
              <w:t>项</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8A9A">
            <w:pPr>
              <w:widowControl/>
              <w:spacing w:line="300" w:lineRule="exact"/>
              <w:jc w:val="left"/>
              <w:rPr>
                <w:rFonts w:eastAsia="宋体"/>
                <w:color w:val="000000"/>
                <w:sz w:val="24"/>
              </w:rPr>
            </w:pPr>
            <w:r>
              <w:rPr>
                <w:rFonts w:hint="eastAsia" w:eastAsia="宋体"/>
                <w:color w:val="000000"/>
                <w:sz w:val="24"/>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C04A">
            <w:pPr>
              <w:widowControl/>
              <w:spacing w:line="300" w:lineRule="exact"/>
              <w:jc w:val="left"/>
              <w:rPr>
                <w:rFonts w:eastAsia="宋体"/>
                <w:color w:val="000000"/>
                <w:sz w:val="24"/>
              </w:rPr>
            </w:pPr>
          </w:p>
        </w:tc>
      </w:tr>
      <w:tr w14:paraId="38D91CF4">
        <w:tblPrEx>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94ABF">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AD76D">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D693">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FFE3C">
            <w:pPr>
              <w:widowControl/>
              <w:spacing w:line="300" w:lineRule="exact"/>
              <w:jc w:val="left"/>
              <w:rPr>
                <w:rFonts w:eastAsia="宋体"/>
                <w:color w:val="000000"/>
                <w:sz w:val="24"/>
              </w:rPr>
            </w:pPr>
            <w:r>
              <w:rPr>
                <w:rFonts w:ascii="宋体" w:hAnsi="宋体" w:eastAsia="宋体" w:cs="宋体"/>
                <w:sz w:val="24"/>
              </w:rPr>
              <w:t>2023年度内完成</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C80F">
            <w:pPr>
              <w:widowControl/>
              <w:spacing w:line="300" w:lineRule="exact"/>
              <w:jc w:val="left"/>
              <w:rPr>
                <w:rFonts w:eastAsia="宋体"/>
                <w:color w:val="000000"/>
                <w:sz w:val="24"/>
              </w:rPr>
            </w:pPr>
            <w:r>
              <w:rPr>
                <w:rFonts w:ascii="宋体" w:hAnsi="宋体" w:eastAsia="宋体" w:cs="宋体"/>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1D21">
            <w:pPr>
              <w:widowControl/>
              <w:spacing w:line="300" w:lineRule="exact"/>
              <w:jc w:val="left"/>
              <w:rPr>
                <w:rFonts w:eastAsia="宋体"/>
                <w:color w:val="000000"/>
                <w:sz w:val="24"/>
              </w:rPr>
            </w:pPr>
            <w:r>
              <w:rPr>
                <w:rFonts w:hint="eastAsia" w:eastAsia="宋体"/>
                <w:color w:val="000000"/>
                <w:sz w:val="24"/>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AF49">
            <w:pPr>
              <w:widowControl/>
              <w:spacing w:line="300" w:lineRule="exact"/>
              <w:jc w:val="left"/>
              <w:rPr>
                <w:rFonts w:eastAsia="宋体"/>
                <w:color w:val="000000"/>
                <w:sz w:val="24"/>
              </w:rPr>
            </w:pPr>
            <w:r>
              <w:rPr>
                <w:rFonts w:hint="eastAsia" w:eastAsia="宋体"/>
                <w:color w:val="000000"/>
                <w:sz w:val="24"/>
              </w:rPr>
              <w:t>年</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66048">
            <w:pPr>
              <w:widowControl/>
              <w:spacing w:line="300" w:lineRule="exact"/>
              <w:jc w:val="left"/>
              <w:rPr>
                <w:rFonts w:eastAsia="宋体"/>
                <w:color w:val="000000"/>
                <w:sz w:val="24"/>
              </w:rPr>
            </w:pPr>
            <w:r>
              <w:rPr>
                <w:rFonts w:hint="eastAsia" w:eastAsia="宋体"/>
                <w:color w:val="000000"/>
                <w:sz w:val="24"/>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DFD3">
            <w:pPr>
              <w:widowControl/>
              <w:spacing w:line="300" w:lineRule="exact"/>
              <w:jc w:val="left"/>
              <w:rPr>
                <w:rFonts w:eastAsia="宋体"/>
                <w:color w:val="000000"/>
                <w:sz w:val="24"/>
              </w:rPr>
            </w:pPr>
          </w:p>
        </w:tc>
      </w:tr>
      <w:tr w14:paraId="59023E77">
        <w:tblPrEx>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B6685">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C997">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14:paraId="21335A1E">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14:paraId="55942D95">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2FFC">
            <w:pPr>
              <w:widowControl/>
              <w:spacing w:line="300" w:lineRule="exact"/>
              <w:jc w:val="left"/>
              <w:rPr>
                <w:rFonts w:eastAsia="宋体"/>
                <w:color w:val="000000"/>
                <w:sz w:val="24"/>
              </w:rPr>
            </w:pPr>
            <w:r>
              <w:rPr>
                <w:rFonts w:ascii="宋体" w:hAnsi="宋体" w:eastAsia="宋体" w:cs="宋体"/>
                <w:sz w:val="24"/>
              </w:rPr>
              <w:t>有效维护郭元乡辖区内建设，对群众生活环境提升起到良好的经济基础。</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C33C">
            <w:pPr>
              <w:widowControl/>
              <w:spacing w:line="300" w:lineRule="exact"/>
              <w:jc w:val="left"/>
              <w:rPr>
                <w:rFonts w:eastAsia="宋体"/>
                <w:color w:val="000000"/>
                <w:sz w:val="24"/>
              </w:rPr>
            </w:pPr>
            <w:r>
              <w:rPr>
                <w:rFonts w:ascii="Arial" w:hAnsi="Arial" w:eastAsia="宋体" w:cs="Arial"/>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FD4A">
            <w:pPr>
              <w:widowControl/>
              <w:spacing w:line="300" w:lineRule="exact"/>
              <w:jc w:val="left"/>
              <w:rPr>
                <w:rFonts w:eastAsia="宋体"/>
                <w:color w:val="000000"/>
                <w:sz w:val="24"/>
              </w:rPr>
            </w:pPr>
            <w:r>
              <w:rPr>
                <w:rFonts w:hint="eastAsia" w:eastAsia="宋体"/>
                <w:color w:val="000000"/>
                <w:sz w:val="24"/>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9DA1F">
            <w:pPr>
              <w:widowControl/>
              <w:spacing w:line="300" w:lineRule="exact"/>
              <w:jc w:val="left"/>
              <w:rPr>
                <w:rFonts w:eastAsia="宋体"/>
                <w:color w:val="000000"/>
                <w:sz w:val="24"/>
              </w:rPr>
            </w:pPr>
            <w:r>
              <w:rPr>
                <w:rFonts w:hint="eastAsia" w:eastAsia="宋体"/>
                <w:color w:val="000000"/>
                <w:sz w:val="24"/>
              </w:rPr>
              <w:t>处</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DAE5">
            <w:pPr>
              <w:widowControl/>
              <w:spacing w:line="300" w:lineRule="exact"/>
              <w:jc w:val="left"/>
              <w:rPr>
                <w:rFonts w:eastAsia="宋体"/>
                <w:color w:val="000000"/>
                <w:sz w:val="24"/>
              </w:rPr>
            </w:pPr>
            <w:r>
              <w:rPr>
                <w:rFonts w:hint="eastAsia" w:eastAsia="宋体"/>
                <w:color w:val="000000"/>
                <w:sz w:val="24"/>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E785">
            <w:pPr>
              <w:widowControl/>
              <w:spacing w:line="300" w:lineRule="exact"/>
              <w:jc w:val="left"/>
              <w:rPr>
                <w:rFonts w:eastAsia="宋体"/>
                <w:color w:val="000000"/>
                <w:sz w:val="24"/>
              </w:rPr>
            </w:pPr>
          </w:p>
        </w:tc>
      </w:tr>
      <w:tr w14:paraId="336C928E">
        <w:tblPrEx>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47F90">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DF31">
            <w:pPr>
              <w:widowControl/>
              <w:spacing w:line="300" w:lineRule="exact"/>
              <w:jc w:val="center"/>
              <w:textAlignment w:val="center"/>
              <w:rPr>
                <w:rFonts w:eastAsia="宋体"/>
                <w:color w:val="000000"/>
                <w:kern w:val="0"/>
                <w:sz w:val="24"/>
                <w:lang w:bidi="ar"/>
              </w:rPr>
            </w:pPr>
            <w:r>
              <w:rPr>
                <w:rFonts w:hint="eastAsia" w:eastAsia="宋体"/>
                <w:color w:val="000000"/>
                <w:kern w:val="0"/>
                <w:sz w:val="24"/>
                <w:lang w:bidi="ar"/>
              </w:rPr>
              <w:t>成本指标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4C36">
            <w:pPr>
              <w:widowControl/>
              <w:spacing w:line="300" w:lineRule="exact"/>
              <w:jc w:val="center"/>
              <w:textAlignment w:val="center"/>
              <w:rPr>
                <w:rFonts w:eastAsia="宋体"/>
                <w:color w:val="000000"/>
                <w:kern w:val="0"/>
                <w:sz w:val="24"/>
                <w:lang w:bidi="ar"/>
              </w:rPr>
            </w:pPr>
            <w:r>
              <w:rPr>
                <w:rFonts w:hint="eastAsia" w:eastAsia="宋体"/>
                <w:color w:val="000000"/>
                <w:kern w:val="0"/>
                <w:sz w:val="24"/>
                <w:lang w:bidi="ar"/>
              </w:rPr>
              <w:t>经济成本指标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C66D7">
            <w:pPr>
              <w:widowControl/>
              <w:spacing w:line="300" w:lineRule="exact"/>
              <w:jc w:val="left"/>
              <w:rPr>
                <w:rFonts w:ascii="宋体" w:hAnsi="宋体" w:eastAsia="宋体" w:cs="宋体"/>
                <w:sz w:val="24"/>
              </w:rPr>
            </w:pPr>
            <w:r>
              <w:rPr>
                <w:rFonts w:ascii="宋体" w:hAnsi="宋体" w:eastAsia="宋体" w:cs="宋体"/>
                <w:sz w:val="24"/>
              </w:rPr>
              <w:t>2023年预计基本支出724.87万元，项目支出110万元。</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49C7">
            <w:pPr>
              <w:widowControl/>
              <w:spacing w:line="300" w:lineRule="exact"/>
              <w:jc w:val="left"/>
              <w:rPr>
                <w:rFonts w:eastAsia="宋体"/>
                <w:color w:val="000000"/>
                <w:sz w:val="24"/>
              </w:rPr>
            </w:pPr>
            <w:r>
              <w:rPr>
                <w:rFonts w:ascii="宋体" w:hAnsi="宋体" w:eastAsia="宋体" w:cs="宋体"/>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64254">
            <w:pPr>
              <w:widowControl/>
              <w:spacing w:line="300" w:lineRule="exact"/>
              <w:jc w:val="left"/>
              <w:rPr>
                <w:rFonts w:eastAsia="宋体"/>
                <w:color w:val="000000"/>
                <w:sz w:val="24"/>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6644">
            <w:pPr>
              <w:widowControl/>
              <w:spacing w:line="300" w:lineRule="exact"/>
              <w:jc w:val="left"/>
              <w:rPr>
                <w:rFonts w:eastAsia="宋体"/>
                <w:color w:val="000000"/>
                <w:sz w:val="24"/>
              </w:rPr>
            </w:pPr>
            <w:r>
              <w:rPr>
                <w:rFonts w:hint="eastAsia" w:eastAsia="宋体"/>
                <w:color w:val="000000"/>
                <w:sz w:val="24"/>
              </w:rPr>
              <w:t>万元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3A32">
            <w:pPr>
              <w:widowControl/>
              <w:spacing w:line="300" w:lineRule="exact"/>
              <w:jc w:val="left"/>
              <w:rPr>
                <w:rFonts w:eastAsia="宋体"/>
                <w:color w:val="000000"/>
                <w:sz w:val="24"/>
              </w:rPr>
            </w:pPr>
            <w:r>
              <w:rPr>
                <w:rFonts w:hint="eastAsia" w:eastAsia="宋体"/>
                <w:color w:val="000000"/>
                <w:sz w:val="24"/>
              </w:rPr>
              <w:t>30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1E0D">
            <w:pPr>
              <w:widowControl/>
              <w:spacing w:line="300" w:lineRule="exact"/>
              <w:jc w:val="left"/>
              <w:rPr>
                <w:rFonts w:eastAsia="宋体"/>
                <w:color w:val="000000"/>
                <w:sz w:val="24"/>
              </w:rPr>
            </w:pPr>
          </w:p>
        </w:tc>
      </w:tr>
      <w:tr w14:paraId="0FA86915">
        <w:tblPrEx>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647D3">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3243">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892F">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F660">
            <w:pPr>
              <w:widowControl/>
              <w:spacing w:line="300" w:lineRule="exact"/>
              <w:jc w:val="left"/>
              <w:rPr>
                <w:rFonts w:eastAsia="宋体"/>
                <w:color w:val="000000"/>
                <w:sz w:val="24"/>
              </w:rPr>
            </w:pPr>
            <w:r>
              <w:rPr>
                <w:rFonts w:ascii="宋体" w:hAnsi="宋体" w:eastAsia="宋体" w:cs="宋体"/>
                <w:sz w:val="24"/>
              </w:rPr>
              <w:t>在解决群众切实利益的同时，有效提升群众满意度。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08D3">
            <w:pPr>
              <w:widowControl/>
              <w:spacing w:line="300" w:lineRule="exact"/>
              <w:jc w:val="left"/>
              <w:rPr>
                <w:rFonts w:eastAsia="宋体"/>
                <w:color w:val="000000"/>
                <w:sz w:val="24"/>
              </w:rPr>
            </w:pPr>
            <w:r>
              <w:rPr>
                <w:rFonts w:ascii="Arial" w:hAnsi="Arial" w:eastAsia="宋体" w:cs="Arial"/>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E823">
            <w:pPr>
              <w:widowControl/>
              <w:spacing w:line="300" w:lineRule="exact"/>
              <w:jc w:val="left"/>
              <w:rPr>
                <w:rFonts w:eastAsia="宋体"/>
                <w:color w:val="000000"/>
                <w:sz w:val="24"/>
              </w:rPr>
            </w:pPr>
            <w:r>
              <w:rPr>
                <w:rFonts w:hint="eastAsia" w:eastAsia="宋体"/>
                <w:color w:val="000000"/>
                <w:sz w:val="24"/>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42154">
            <w:pPr>
              <w:widowControl/>
              <w:spacing w:line="300" w:lineRule="exact"/>
              <w:jc w:val="left"/>
              <w:rPr>
                <w:rFonts w:eastAsia="宋体"/>
                <w:color w:val="000000"/>
                <w:sz w:val="24"/>
              </w:rPr>
            </w:pPr>
            <w:r>
              <w:rPr>
                <w:rFonts w:hint="eastAsia" w:eastAsia="宋体"/>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673A3">
            <w:pPr>
              <w:widowControl/>
              <w:spacing w:line="300" w:lineRule="exact"/>
              <w:jc w:val="left"/>
              <w:rPr>
                <w:rFonts w:eastAsia="宋体"/>
                <w:color w:val="000000"/>
                <w:sz w:val="24"/>
              </w:rPr>
            </w:pPr>
            <w:r>
              <w:rPr>
                <w:rFonts w:hint="eastAsia" w:eastAsia="宋体"/>
                <w:color w:val="000000"/>
                <w:sz w:val="24"/>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A517">
            <w:pPr>
              <w:widowControl/>
              <w:spacing w:line="300" w:lineRule="exact"/>
              <w:jc w:val="left"/>
              <w:rPr>
                <w:rFonts w:eastAsia="宋体"/>
                <w:color w:val="000000"/>
                <w:sz w:val="24"/>
              </w:rPr>
            </w:pPr>
          </w:p>
        </w:tc>
      </w:tr>
    </w:tbl>
    <w:p w14:paraId="2DD5E5D7">
      <w:pPr>
        <w:pStyle w:val="2"/>
        <w:jc w:val="center"/>
        <w:rPr>
          <w:rFonts w:ascii="黑体" w:hAnsi="黑体" w:eastAsia="黑体"/>
        </w:rPr>
      </w:pPr>
      <w:bookmarkStart w:id="82" w:name="_Toc18012"/>
      <w:r>
        <w:rPr>
          <w:rFonts w:hint="eastAsia" w:ascii="黑体" w:hAnsi="黑体" w:eastAsia="黑体"/>
        </w:rPr>
        <w:t>第五部分 附表</w:t>
      </w:r>
      <w:bookmarkEnd w:id="82"/>
    </w:p>
    <w:p w14:paraId="4EAFD4C6">
      <w:pPr>
        <w:rPr>
          <w:rFonts w:ascii="仿宋" w:hAnsi="仿宋" w:eastAsia="仿宋"/>
          <w:sz w:val="32"/>
          <w:szCs w:val="32"/>
        </w:rPr>
      </w:pPr>
      <w:r>
        <w:rPr>
          <w:rFonts w:hint="eastAsia" w:ascii="仿宋" w:hAnsi="仿宋" w:eastAsia="仿宋"/>
          <w:sz w:val="32"/>
          <w:szCs w:val="32"/>
        </w:rPr>
        <w:t>一、收入支出决算总表</w:t>
      </w:r>
    </w:p>
    <w:p w14:paraId="272690A9">
      <w:pPr>
        <w:rPr>
          <w:rFonts w:ascii="仿宋" w:hAnsi="仿宋" w:eastAsia="仿宋"/>
          <w:sz w:val="32"/>
          <w:szCs w:val="32"/>
        </w:rPr>
      </w:pPr>
      <w:r>
        <w:rPr>
          <w:rFonts w:hint="eastAsia" w:ascii="仿宋" w:hAnsi="仿宋" w:eastAsia="仿宋"/>
          <w:sz w:val="32"/>
          <w:szCs w:val="32"/>
        </w:rPr>
        <w:t>二、收入决算表</w:t>
      </w:r>
    </w:p>
    <w:p w14:paraId="7F78FC3E">
      <w:pPr>
        <w:rPr>
          <w:rFonts w:ascii="仿宋" w:hAnsi="仿宋" w:eastAsia="仿宋"/>
          <w:sz w:val="32"/>
          <w:szCs w:val="32"/>
        </w:rPr>
      </w:pPr>
      <w:r>
        <w:rPr>
          <w:rFonts w:hint="eastAsia" w:ascii="仿宋" w:hAnsi="仿宋" w:eastAsia="仿宋"/>
          <w:sz w:val="32"/>
          <w:szCs w:val="32"/>
        </w:rPr>
        <w:t>三、支出决算表</w:t>
      </w:r>
    </w:p>
    <w:p w14:paraId="2441D9B6">
      <w:pPr>
        <w:rPr>
          <w:rFonts w:ascii="仿宋" w:hAnsi="仿宋" w:eastAsia="仿宋"/>
          <w:sz w:val="32"/>
          <w:szCs w:val="32"/>
        </w:rPr>
      </w:pPr>
      <w:r>
        <w:rPr>
          <w:rFonts w:hint="eastAsia" w:ascii="仿宋" w:hAnsi="仿宋" w:eastAsia="仿宋"/>
          <w:sz w:val="32"/>
          <w:szCs w:val="32"/>
        </w:rPr>
        <w:t>四、财政拨款收入支出决算总表</w:t>
      </w:r>
    </w:p>
    <w:p w14:paraId="582C1EAA">
      <w:pPr>
        <w:rPr>
          <w:rFonts w:ascii="仿宋" w:hAnsi="仿宋" w:eastAsia="仿宋"/>
          <w:sz w:val="32"/>
          <w:szCs w:val="32"/>
        </w:rPr>
      </w:pPr>
      <w:r>
        <w:rPr>
          <w:rFonts w:hint="eastAsia" w:ascii="仿宋" w:hAnsi="仿宋" w:eastAsia="仿宋"/>
          <w:sz w:val="32"/>
          <w:szCs w:val="32"/>
        </w:rPr>
        <w:t>五、财政拨款支出决算明细表</w:t>
      </w:r>
    </w:p>
    <w:p w14:paraId="302938E2">
      <w:pPr>
        <w:rPr>
          <w:rFonts w:ascii="仿宋" w:hAnsi="仿宋" w:eastAsia="仿宋"/>
          <w:sz w:val="32"/>
          <w:szCs w:val="32"/>
        </w:rPr>
      </w:pPr>
      <w:r>
        <w:rPr>
          <w:rFonts w:hint="eastAsia" w:ascii="仿宋" w:hAnsi="仿宋" w:eastAsia="仿宋"/>
          <w:sz w:val="32"/>
          <w:szCs w:val="32"/>
        </w:rPr>
        <w:t>六、一般公共预算财政拨款支出决算表</w:t>
      </w:r>
    </w:p>
    <w:p w14:paraId="2955E31A">
      <w:pPr>
        <w:rPr>
          <w:rFonts w:ascii="仿宋" w:hAnsi="仿宋" w:eastAsia="仿宋"/>
          <w:sz w:val="32"/>
          <w:szCs w:val="32"/>
        </w:rPr>
      </w:pPr>
      <w:r>
        <w:rPr>
          <w:rFonts w:hint="eastAsia" w:ascii="仿宋" w:hAnsi="仿宋" w:eastAsia="仿宋"/>
          <w:sz w:val="32"/>
          <w:szCs w:val="32"/>
        </w:rPr>
        <w:t>七、一般公共预算财政拨款支出决算明细表</w:t>
      </w:r>
    </w:p>
    <w:p w14:paraId="45C5BA41">
      <w:pPr>
        <w:rPr>
          <w:rFonts w:ascii="仿宋" w:hAnsi="仿宋" w:eastAsia="仿宋"/>
          <w:sz w:val="32"/>
          <w:szCs w:val="32"/>
        </w:rPr>
      </w:pPr>
      <w:r>
        <w:rPr>
          <w:rFonts w:hint="eastAsia" w:ascii="仿宋" w:hAnsi="仿宋" w:eastAsia="仿宋"/>
          <w:sz w:val="32"/>
          <w:szCs w:val="32"/>
        </w:rPr>
        <w:t>八、一般公共预算财政拨款基本支出决算表</w:t>
      </w:r>
    </w:p>
    <w:p w14:paraId="686C05B6">
      <w:pPr>
        <w:rPr>
          <w:rFonts w:ascii="仿宋" w:hAnsi="仿宋" w:eastAsia="仿宋"/>
          <w:sz w:val="32"/>
          <w:szCs w:val="32"/>
        </w:rPr>
      </w:pPr>
      <w:r>
        <w:rPr>
          <w:rFonts w:hint="eastAsia" w:ascii="仿宋" w:hAnsi="仿宋" w:eastAsia="仿宋"/>
          <w:sz w:val="32"/>
          <w:szCs w:val="32"/>
        </w:rPr>
        <w:t>九、一般公共预算财政拨款项目支出决算表</w:t>
      </w:r>
    </w:p>
    <w:p w14:paraId="47964B7C">
      <w:pPr>
        <w:rPr>
          <w:rFonts w:ascii="仿宋" w:hAnsi="仿宋" w:eastAsia="仿宋"/>
          <w:sz w:val="32"/>
          <w:szCs w:val="32"/>
        </w:rPr>
      </w:pPr>
      <w:r>
        <w:rPr>
          <w:rFonts w:hint="eastAsia" w:ascii="仿宋" w:hAnsi="仿宋" w:eastAsia="仿宋"/>
          <w:sz w:val="32"/>
          <w:szCs w:val="32"/>
        </w:rPr>
        <w:t>十、政府性基金预算财政拨款收入支出决算表</w:t>
      </w:r>
    </w:p>
    <w:p w14:paraId="7648E957">
      <w:pPr>
        <w:rPr>
          <w:rFonts w:ascii="仿宋" w:hAnsi="仿宋" w:eastAsia="仿宋"/>
          <w:sz w:val="32"/>
          <w:szCs w:val="32"/>
        </w:rPr>
      </w:pPr>
      <w:r>
        <w:rPr>
          <w:rFonts w:hint="eastAsia" w:ascii="仿宋" w:hAnsi="仿宋" w:eastAsia="仿宋"/>
          <w:sz w:val="32"/>
          <w:szCs w:val="32"/>
        </w:rPr>
        <w:t>十一、国有资本经营预算财政拨款收入支出决算表</w:t>
      </w:r>
    </w:p>
    <w:p w14:paraId="63159D54">
      <w:pPr>
        <w:rPr>
          <w:rFonts w:ascii="仿宋" w:hAnsi="仿宋" w:eastAsia="仿宋"/>
          <w:sz w:val="32"/>
          <w:szCs w:val="32"/>
        </w:rPr>
      </w:pPr>
      <w:r>
        <w:rPr>
          <w:rFonts w:hint="eastAsia" w:ascii="仿宋" w:hAnsi="仿宋" w:eastAsia="仿宋"/>
          <w:sz w:val="32"/>
          <w:szCs w:val="32"/>
        </w:rPr>
        <w:t>十二、国有资本经营预算财政拨款支出决算表</w:t>
      </w:r>
    </w:p>
    <w:p w14:paraId="60848EE9">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766B10EF">
        <w:pPr>
          <w:pStyle w:val="10"/>
          <w:jc w:val="center"/>
        </w:pPr>
        <w:r>
          <w:fldChar w:fldCharType="begin"/>
        </w:r>
        <w:r>
          <w:instrText xml:space="preserve">PAGE   \* MERGEFORMAT</w:instrText>
        </w:r>
        <w:r>
          <w:fldChar w:fldCharType="separate"/>
        </w:r>
        <w:r>
          <w:rPr>
            <w:lang w:val="zh-CN"/>
          </w:rPr>
          <w:t>2</w:t>
        </w:r>
        <w:r>
          <w:fldChar w:fldCharType="end"/>
        </w:r>
      </w:p>
    </w:sdtContent>
  </w:sdt>
  <w:p w14:paraId="22AA20A7">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FC5E5">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00C0E54"/>
    <w:multiLevelType w:val="singleLevel"/>
    <w:tmpl w:val="400C0E54"/>
    <w:lvl w:ilvl="0" w:tentative="0">
      <w:start w:val="1"/>
      <w:numFmt w:val="decimal"/>
      <w:lvlText w:val="%1."/>
      <w:lvlJc w:val="left"/>
      <w:pPr>
        <w:tabs>
          <w:tab w:val="left" w:pos="312"/>
        </w:tabs>
      </w:pPr>
    </w:lvl>
  </w:abstractNum>
  <w:abstractNum w:abstractNumId="3">
    <w:nsid w:val="4C6375A6"/>
    <w:multiLevelType w:val="singleLevel"/>
    <w:tmpl w:val="4C6375A6"/>
    <w:lvl w:ilvl="0" w:tentative="0">
      <w:start w:val="1"/>
      <w:numFmt w:val="decimal"/>
      <w:lvlText w:val="%1."/>
      <w:lvlJc w:val="left"/>
      <w:pPr>
        <w:tabs>
          <w:tab w:val="left" w:pos="312"/>
        </w:tabs>
      </w:pPr>
    </w:lvl>
  </w:abstractNum>
  <w:abstractNum w:abstractNumId="4">
    <w:nsid w:val="5BC06EE4"/>
    <w:multiLevelType w:val="singleLevel"/>
    <w:tmpl w:val="5BC06EE4"/>
    <w:lvl w:ilvl="0" w:tentative="0">
      <w:start w:val="1"/>
      <w:numFmt w:val="chineseCounting"/>
      <w:suff w:val="nothing"/>
      <w:lvlText w:val="%1、"/>
      <w:lvlJc w:val="left"/>
      <w:rPr>
        <w:rFonts w:hint="eastAsia"/>
      </w:rPr>
    </w:lvl>
  </w:abstractNum>
  <w:abstractNum w:abstractNumId="5">
    <w:nsid w:val="5F30F90E"/>
    <w:multiLevelType w:val="singleLevel"/>
    <w:tmpl w:val="5F30F90E"/>
    <w:lvl w:ilvl="0" w:tentative="0">
      <w:start w:val="2"/>
      <w:numFmt w:val="chineseCounting"/>
      <w:suff w:val="nothing"/>
      <w:lvlText w:val="（%1）"/>
      <w:lvlJc w:val="left"/>
      <w:rPr>
        <w:rFonts w:hint="eastAsia"/>
      </w:rPr>
    </w:lvl>
  </w:abstractNum>
  <w:abstractNum w:abstractNumId="6">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4"/>
  </w:num>
  <w:num w:numId="2">
    <w:abstractNumId w:val="6"/>
  </w:num>
  <w:num w:numId="3">
    <w:abstractNumId w:val="1"/>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kNTdmZDE2ZWUzYmQ4OGNhYzViNDZjMjQ0NDU4ZDY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57C4F"/>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996F6E"/>
    <w:rsid w:val="07DFD8BA"/>
    <w:rsid w:val="0A2032A3"/>
    <w:rsid w:val="0D35B1ED"/>
    <w:rsid w:val="0E7ED1F5"/>
    <w:rsid w:val="0EDE07AF"/>
    <w:rsid w:val="0F98263C"/>
    <w:rsid w:val="101860EC"/>
    <w:rsid w:val="10C055FF"/>
    <w:rsid w:val="118107EC"/>
    <w:rsid w:val="12306E6A"/>
    <w:rsid w:val="13D50BC4"/>
    <w:rsid w:val="13F5616D"/>
    <w:rsid w:val="1497428F"/>
    <w:rsid w:val="16BB723D"/>
    <w:rsid w:val="17F9714D"/>
    <w:rsid w:val="1918F934"/>
    <w:rsid w:val="1B155DAE"/>
    <w:rsid w:val="1BE8440E"/>
    <w:rsid w:val="1D155CEE"/>
    <w:rsid w:val="1DFBC4B3"/>
    <w:rsid w:val="1E740ACF"/>
    <w:rsid w:val="1F19C781"/>
    <w:rsid w:val="1F33FCE5"/>
    <w:rsid w:val="1F7F7398"/>
    <w:rsid w:val="1FD2DB6F"/>
    <w:rsid w:val="1FF35744"/>
    <w:rsid w:val="1FF6BC77"/>
    <w:rsid w:val="1FF9236D"/>
    <w:rsid w:val="215F5FD5"/>
    <w:rsid w:val="21ED6F7D"/>
    <w:rsid w:val="21F64F5F"/>
    <w:rsid w:val="2333840E"/>
    <w:rsid w:val="23860B96"/>
    <w:rsid w:val="240371BF"/>
    <w:rsid w:val="257C638F"/>
    <w:rsid w:val="29FD04D3"/>
    <w:rsid w:val="2BFF7BC6"/>
    <w:rsid w:val="2C791F9C"/>
    <w:rsid w:val="2C8A61B5"/>
    <w:rsid w:val="2CD59C95"/>
    <w:rsid w:val="2DF04E50"/>
    <w:rsid w:val="2EFD05E5"/>
    <w:rsid w:val="2F040D46"/>
    <w:rsid w:val="2F4F95CE"/>
    <w:rsid w:val="2FACAFDD"/>
    <w:rsid w:val="2FAE5751"/>
    <w:rsid w:val="2FB1A395"/>
    <w:rsid w:val="2FCF0B76"/>
    <w:rsid w:val="2FD9A7D8"/>
    <w:rsid w:val="319F7F4E"/>
    <w:rsid w:val="3304709D"/>
    <w:rsid w:val="351A4692"/>
    <w:rsid w:val="36AA5135"/>
    <w:rsid w:val="36BE0DA7"/>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0325F1C"/>
    <w:rsid w:val="43782494"/>
    <w:rsid w:val="44E268DA"/>
    <w:rsid w:val="457F4F6B"/>
    <w:rsid w:val="4737FB58"/>
    <w:rsid w:val="47ECCB02"/>
    <w:rsid w:val="47FA6A3F"/>
    <w:rsid w:val="49D7AE48"/>
    <w:rsid w:val="4A3F6C7E"/>
    <w:rsid w:val="4A627F82"/>
    <w:rsid w:val="4A991DBA"/>
    <w:rsid w:val="4B0E749A"/>
    <w:rsid w:val="4B4F25DA"/>
    <w:rsid w:val="4B4F4E22"/>
    <w:rsid w:val="4BBB4781"/>
    <w:rsid w:val="4BD709A5"/>
    <w:rsid w:val="4BDD9BFF"/>
    <w:rsid w:val="4BE068DB"/>
    <w:rsid w:val="4C276021"/>
    <w:rsid w:val="4D577224"/>
    <w:rsid w:val="4D6D45BC"/>
    <w:rsid w:val="4DBF1CEB"/>
    <w:rsid w:val="4DBF6A6B"/>
    <w:rsid w:val="4DF6A672"/>
    <w:rsid w:val="4EAB630A"/>
    <w:rsid w:val="4ECE2238"/>
    <w:rsid w:val="4F7EA413"/>
    <w:rsid w:val="4F8B5736"/>
    <w:rsid w:val="4FAB812F"/>
    <w:rsid w:val="4FE9BD67"/>
    <w:rsid w:val="4FEE4C07"/>
    <w:rsid w:val="4FFB052F"/>
    <w:rsid w:val="53404248"/>
    <w:rsid w:val="537E6D0A"/>
    <w:rsid w:val="53AB6B88"/>
    <w:rsid w:val="53F74C96"/>
    <w:rsid w:val="5583522D"/>
    <w:rsid w:val="57BD3DD4"/>
    <w:rsid w:val="57F9CD1E"/>
    <w:rsid w:val="5AB726E7"/>
    <w:rsid w:val="5AF92295"/>
    <w:rsid w:val="5AF9D8E9"/>
    <w:rsid w:val="5BDD38BD"/>
    <w:rsid w:val="5BDD79E6"/>
    <w:rsid w:val="5BEFC772"/>
    <w:rsid w:val="5BFF5DFC"/>
    <w:rsid w:val="5C6F0B1B"/>
    <w:rsid w:val="5CD71FC4"/>
    <w:rsid w:val="5CE87AD8"/>
    <w:rsid w:val="5D1F11B5"/>
    <w:rsid w:val="5D3647F9"/>
    <w:rsid w:val="5DA644D4"/>
    <w:rsid w:val="5DAE1B18"/>
    <w:rsid w:val="5DE7D9E5"/>
    <w:rsid w:val="5ECEC941"/>
    <w:rsid w:val="5EFF8FC6"/>
    <w:rsid w:val="5F5BA39A"/>
    <w:rsid w:val="5F7D3B79"/>
    <w:rsid w:val="5F7F4610"/>
    <w:rsid w:val="5FBF9FF3"/>
    <w:rsid w:val="5FCD4E2C"/>
    <w:rsid w:val="5FEF394A"/>
    <w:rsid w:val="5FF67715"/>
    <w:rsid w:val="6194500D"/>
    <w:rsid w:val="61CA71D5"/>
    <w:rsid w:val="627EE9EA"/>
    <w:rsid w:val="62C84EFE"/>
    <w:rsid w:val="62C87CEB"/>
    <w:rsid w:val="62D87E0B"/>
    <w:rsid w:val="63B23AA5"/>
    <w:rsid w:val="647F5392"/>
    <w:rsid w:val="64E322C4"/>
    <w:rsid w:val="65C6708D"/>
    <w:rsid w:val="65FB93B9"/>
    <w:rsid w:val="6633C463"/>
    <w:rsid w:val="67D55B77"/>
    <w:rsid w:val="67EE7F84"/>
    <w:rsid w:val="686F5F53"/>
    <w:rsid w:val="6AFFCEAF"/>
    <w:rsid w:val="6B96E9E6"/>
    <w:rsid w:val="6BCE57B5"/>
    <w:rsid w:val="6BE75F78"/>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DE676D"/>
    <w:rsid w:val="73FA497D"/>
    <w:rsid w:val="744731E5"/>
    <w:rsid w:val="748053B6"/>
    <w:rsid w:val="74BBD01D"/>
    <w:rsid w:val="74ED5379"/>
    <w:rsid w:val="75DEEEC2"/>
    <w:rsid w:val="76107B3E"/>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5"/>
    <w:link w:val="2"/>
    <w:qFormat/>
    <w:uiPriority w:val="9"/>
    <w:rPr>
      <w:rFonts w:ascii="Times New Roman" w:hAnsi="Times New Roman"/>
      <w:b/>
      <w:bCs/>
      <w:kern w:val="44"/>
      <w:sz w:val="44"/>
      <w:szCs w:val="44"/>
    </w:rPr>
  </w:style>
  <w:style w:type="character" w:customStyle="1" w:styleId="28">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5"/>
    <w:link w:val="9"/>
    <w:semiHidden/>
    <w:qFormat/>
    <w:uiPriority w:val="99"/>
    <w:rPr>
      <w:rFonts w:ascii="Times New Roman" w:hAnsi="Times New Roman"/>
      <w:kern w:val="2"/>
      <w:sz w:val="18"/>
      <w:szCs w:val="18"/>
    </w:rPr>
  </w:style>
  <w:style w:type="character" w:customStyle="1" w:styleId="31">
    <w:name w:val="标题 3 Char"/>
    <w:basedOn w:val="15"/>
    <w:link w:val="4"/>
    <w:qFormat/>
    <w:uiPriority w:val="9"/>
    <w:rPr>
      <w:rFonts w:ascii="Times New Roman" w:hAnsi="Times New Roman"/>
      <w:b/>
      <w:bCs/>
      <w:kern w:val="2"/>
      <w:sz w:val="32"/>
      <w:szCs w:val="32"/>
    </w:rPr>
  </w:style>
  <w:style w:type="paragraph" w:customStyle="1" w:styleId="32">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四号正文"/>
    <w:basedOn w:val="1"/>
    <w:qFormat/>
    <w:uiPriority w:val="0"/>
    <w:pPr>
      <w:spacing w:line="360" w:lineRule="auto"/>
    </w:pPr>
    <w:rPr>
      <w:rFonts w:ascii="??" w:hAnsi="??"/>
      <w:color w:val="000000"/>
      <w:kern w:val="0"/>
      <w:sz w:val="28"/>
      <w:szCs w:val="21"/>
      <w:lang w:val="zh-CN"/>
    </w:rPr>
  </w:style>
  <w:style w:type="paragraph" w:customStyle="1" w:styleId="34">
    <w:name w:val="WPSOffice手动目录 1"/>
    <w:qFormat/>
    <w:uiPriority w:val="0"/>
    <w:pPr>
      <w:ind w:leftChars="0"/>
    </w:pPr>
    <w:rPr>
      <w:rFonts w:asciiTheme="minorHAnsi" w:hAnsiTheme="minorHAnsi" w:eastAsiaTheme="minorEastAsia" w:cstheme="minorBidi"/>
      <w:sz w:val="20"/>
      <w:szCs w:val="20"/>
    </w:rPr>
  </w:style>
  <w:style w:type="paragraph" w:customStyle="1" w:styleId="35">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27</Pages>
  <Words>2220</Words>
  <Characters>2266</Characters>
  <Lines>61</Lines>
  <Paragraphs>17</Paragraphs>
  <TotalTime>7</TotalTime>
  <ScaleCrop>false</ScaleCrop>
  <LinksUpToDate>false</LinksUpToDate>
  <CharactersWithSpaces>2319</CharactersWithSpaces>
  <Application>WPS Office_12.1.0.21541_F1E327BC-269C-435d-A152-05C5408002CA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2024-10-16T02:02:00Z</dcterms:created>
  <dc:creator>曹颖</dc:creator>
  <cp:lastModifiedBy>Administrator</cp:lastModifiedBy>
  <cp:lastPrinted>2023-08-03T10:35:00Z</cp:lastPrinted>
  <dcterms:modified xsi:type="dcterms:W3CDTF">2025-06-27T03:38:11Z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E237749D7DCF4CD3A5F737F01ABD621E_12</vt:lpwstr>
  </property>
  <property fmtid="{D5CDD505-2E9C-101B-9397-08002B2CF9AE}" pid="4" name="KSOTemplateDocerSaveRecord">
    <vt:lpwstr>eyJoZGlkIjoiZTRkNTdmZDE2ZWUzYmQ4OGNhYzViNDZjMjQ0NDU4ZDYifQ==</vt:lpwstr>
  </property>
</Properties>
</file>