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pPr>
        <w:rPr>
          <w:rFonts w:ascii="方正小标宋简体" w:hAnsi="黑体" w:eastAsia="方正小标宋简体"/>
          <w:sz w:val="84"/>
          <w:szCs w:val="84"/>
        </w:rPr>
      </w:pPr>
    </w:p>
    <w:p>
      <w:pPr>
        <w:rPr>
          <w:rFonts w:ascii="方正小标宋简体" w:hAnsi="黑体" w:eastAsia="方正小标宋简体"/>
          <w:sz w:val="84"/>
          <w:szCs w:val="84"/>
        </w:rPr>
      </w:pPr>
    </w:p>
    <w:p>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w:t>
      </w:r>
    </w:p>
    <w:p>
      <w:pPr>
        <w:jc w:val="center"/>
        <w:rPr>
          <w:rFonts w:ascii="方正小标宋简体" w:hAnsi="黑体" w:eastAsia="方正小标宋简体"/>
          <w:sz w:val="84"/>
          <w:szCs w:val="84"/>
        </w:rPr>
      </w:pPr>
      <w:bookmarkStart w:id="0" w:name="_GoBack"/>
      <w:r>
        <w:rPr>
          <w:rFonts w:hint="eastAsia" w:ascii="方正小标宋简体" w:hAnsi="黑体" w:eastAsia="方正小标宋简体"/>
          <w:sz w:val="84"/>
          <w:szCs w:val="84"/>
        </w:rPr>
        <w:t>双河镇便民服务中心202</w:t>
      </w:r>
      <w:r>
        <w:rPr>
          <w:rFonts w:hint="eastAsia" w:ascii="方正小标宋简体" w:hAnsi="黑体" w:eastAsia="方正小标宋简体"/>
          <w:sz w:val="84"/>
          <w:szCs w:val="84"/>
          <w:lang w:val="en-US" w:eastAsia="zh-CN"/>
        </w:rPr>
        <w:t>4</w:t>
      </w:r>
      <w:r>
        <w:rPr>
          <w:rFonts w:hint="eastAsia" w:ascii="方正小标宋简体" w:hAnsi="黑体" w:eastAsia="方正小标宋简体"/>
          <w:sz w:val="84"/>
          <w:szCs w:val="84"/>
        </w:rPr>
        <w:t>年单位预算</w:t>
      </w:r>
      <w:r>
        <w:rPr>
          <w:rFonts w:hint="eastAsia" w:ascii="方正小标宋简体" w:hAnsi="黑体" w:eastAsia="方正小标宋简体"/>
          <w:sz w:val="84"/>
          <w:szCs w:val="84"/>
          <w:lang w:val="en-US" w:eastAsia="zh-CN"/>
        </w:rPr>
        <w:t>公开</w:t>
      </w:r>
    </w:p>
    <w:bookmarkEnd w:id="0"/>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jc w:val="center"/>
        <w:rPr>
          <w:rFonts w:ascii="方正小标宋简体" w:eastAsia="方正小标宋简体"/>
          <w:sz w:val="32"/>
          <w:szCs w:val="32"/>
        </w:rPr>
      </w:pPr>
      <w:r>
        <w:rPr>
          <w:rFonts w:hint="eastAsia" w:ascii="方正小标宋简体" w:eastAsia="方正小标宋简体"/>
          <w:sz w:val="44"/>
          <w:szCs w:val="44"/>
        </w:rPr>
        <w:t>目录</w:t>
      </w:r>
    </w:p>
    <w:p>
      <w:pPr>
        <w:rPr>
          <w:rFonts w:ascii="黑体" w:hAnsi="黑体" w:eastAsia="黑体"/>
          <w:sz w:val="32"/>
          <w:szCs w:val="32"/>
        </w:rPr>
      </w:pPr>
      <w:r>
        <w:rPr>
          <w:rFonts w:hint="eastAsia" w:ascii="黑体" w:hAnsi="黑体" w:eastAsia="黑体"/>
          <w:sz w:val="32"/>
          <w:szCs w:val="32"/>
        </w:rPr>
        <w:t>第一部分  双河镇概况</w:t>
      </w:r>
    </w:p>
    <w:p>
      <w:pPr>
        <w:rPr>
          <w:rFonts w:ascii="仿宋_GB2312" w:hAnsi="仿宋" w:eastAsia="仿宋_GB2312"/>
          <w:sz w:val="32"/>
          <w:szCs w:val="32"/>
        </w:rPr>
      </w:pPr>
      <w:r>
        <w:rPr>
          <w:rFonts w:hint="eastAsia" w:ascii="仿宋_GB2312" w:hAnsi="仿宋" w:eastAsia="仿宋_GB2312"/>
          <w:sz w:val="32"/>
          <w:szCs w:val="32"/>
        </w:rPr>
        <w:t>一、双河镇职能简介</w:t>
      </w:r>
    </w:p>
    <w:p>
      <w:pPr>
        <w:rPr>
          <w:rFonts w:ascii="仿宋_GB2312" w:hAnsi="仿宋" w:eastAsia="仿宋_GB2312"/>
          <w:sz w:val="32"/>
          <w:szCs w:val="32"/>
        </w:rPr>
      </w:pPr>
      <w:r>
        <w:rPr>
          <w:rFonts w:hint="eastAsia" w:ascii="仿宋_GB2312" w:hAnsi="仿宋" w:eastAsia="仿宋_GB2312"/>
          <w:sz w:val="32"/>
          <w:szCs w:val="32"/>
        </w:rPr>
        <w:t>二、双河镇</w:t>
      </w:r>
      <w:r>
        <w:rPr>
          <w:rFonts w:hint="eastAsia" w:ascii="仿宋_GB2312" w:hAnsi="仿宋" w:eastAsia="仿宋_GB2312"/>
          <w:sz w:val="32"/>
          <w:szCs w:val="32"/>
          <w:lang w:eastAsia="zh-CN"/>
        </w:rPr>
        <w:t>2024</w:t>
      </w:r>
      <w:r>
        <w:rPr>
          <w:rFonts w:hint="eastAsia" w:ascii="仿宋_GB2312" w:hAnsi="仿宋" w:eastAsia="仿宋_GB2312"/>
          <w:sz w:val="32"/>
          <w:szCs w:val="32"/>
        </w:rPr>
        <w:t>年重点工作</w:t>
      </w:r>
    </w:p>
    <w:p>
      <w:pPr>
        <w:rPr>
          <w:rFonts w:ascii="黑体" w:hAnsi="黑体" w:eastAsia="黑体"/>
          <w:sz w:val="32"/>
          <w:szCs w:val="32"/>
        </w:rPr>
      </w:pPr>
      <w:r>
        <w:rPr>
          <w:rFonts w:hint="eastAsia" w:ascii="黑体" w:hAnsi="黑体" w:eastAsia="黑体"/>
          <w:sz w:val="32"/>
          <w:szCs w:val="32"/>
        </w:rPr>
        <w:t>第二部分  双河镇</w:t>
      </w:r>
      <w:r>
        <w:rPr>
          <w:rFonts w:hint="eastAsia" w:ascii="黑体" w:hAnsi="黑体" w:eastAsia="黑体"/>
          <w:sz w:val="32"/>
          <w:szCs w:val="32"/>
          <w:lang w:eastAsia="zh-CN"/>
        </w:rPr>
        <w:t>2024</w:t>
      </w:r>
      <w:r>
        <w:rPr>
          <w:rFonts w:hint="eastAsia" w:ascii="黑体" w:hAnsi="黑体" w:eastAsia="黑体"/>
          <w:sz w:val="32"/>
          <w:szCs w:val="32"/>
        </w:rPr>
        <w:t>年单位预算表</w:t>
      </w:r>
    </w:p>
    <w:p>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收支总表</w:t>
      </w:r>
    </w:p>
    <w:p>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收入总表</w:t>
      </w:r>
    </w:p>
    <w:p>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支出总表</w:t>
      </w:r>
    </w:p>
    <w:p>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政府性基金支出预算表</w:t>
      </w:r>
    </w:p>
    <w:p>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预算项目绩效目标表</w:t>
      </w:r>
    </w:p>
    <w:p>
      <w:pPr>
        <w:rPr>
          <w:rFonts w:ascii="黑体" w:hAnsi="黑体" w:eastAsia="黑体"/>
          <w:sz w:val="32"/>
          <w:szCs w:val="32"/>
        </w:rPr>
      </w:pPr>
      <w:r>
        <w:rPr>
          <w:rFonts w:hint="eastAsia" w:ascii="黑体" w:hAnsi="黑体" w:eastAsia="黑体"/>
          <w:sz w:val="32"/>
          <w:szCs w:val="32"/>
        </w:rPr>
        <w:t>第三部分  双河镇</w:t>
      </w:r>
      <w:r>
        <w:rPr>
          <w:rFonts w:hint="eastAsia" w:ascii="黑体" w:hAnsi="黑体" w:eastAsia="黑体"/>
          <w:sz w:val="32"/>
          <w:szCs w:val="32"/>
          <w:lang w:eastAsia="zh-CN"/>
        </w:rPr>
        <w:t>2024</w:t>
      </w:r>
      <w:r>
        <w:rPr>
          <w:rFonts w:hint="eastAsia" w:ascii="黑体" w:hAnsi="黑体" w:eastAsia="黑体"/>
          <w:sz w:val="32"/>
          <w:szCs w:val="32"/>
        </w:rPr>
        <w:t>年单位预算情况说明</w:t>
      </w:r>
    </w:p>
    <w:p>
      <w:pPr>
        <w:rPr>
          <w:rFonts w:ascii="黑体" w:hAnsi="黑体" w:eastAsia="黑体"/>
          <w:sz w:val="32"/>
          <w:szCs w:val="32"/>
        </w:rPr>
      </w:pPr>
      <w:r>
        <w:rPr>
          <w:rFonts w:hint="eastAsia" w:ascii="黑体" w:hAnsi="黑体" w:eastAsia="黑体"/>
          <w:sz w:val="32"/>
          <w:szCs w:val="32"/>
        </w:rPr>
        <w:t>第四部分  名词解释</w:t>
      </w:r>
    </w:p>
    <w:p>
      <w:pPr>
        <w:rPr>
          <w:rFonts w:ascii="方正小标宋简体" w:hAnsi="黑体" w:eastAsia="方正小标宋简体"/>
          <w:sz w:val="44"/>
          <w:szCs w:val="44"/>
        </w:rPr>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双河镇概况</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双河镇职能</w:t>
      </w:r>
      <w:r>
        <w:rPr>
          <w:rFonts w:ascii="黑体" w:hAnsi="黑体" w:eastAsia="黑体"/>
          <w:sz w:val="32"/>
          <w:szCs w:val="32"/>
        </w:rPr>
        <w:t>简介</w:t>
      </w:r>
    </w:p>
    <w:p>
      <w:pPr>
        <w:pStyle w:val="4"/>
        <w:adjustRightInd w:val="0"/>
        <w:snapToGrid w:val="0"/>
        <w:spacing w:beforeLines="0" w:line="560" w:lineRule="exact"/>
        <w:ind w:firstLine="675" w:firstLineChars="210"/>
        <w:rPr>
          <w:b/>
          <w:bCs/>
          <w:kern w:val="2"/>
          <w:sz w:val="32"/>
          <w:szCs w:val="32"/>
          <w:shd w:val="clear" w:color="auto" w:fill="FFFFFF"/>
        </w:rPr>
      </w:pPr>
      <w:r>
        <w:rPr>
          <w:rFonts w:hint="eastAsia"/>
          <w:b/>
          <w:bCs/>
          <w:kern w:val="2"/>
          <w:sz w:val="32"/>
          <w:szCs w:val="32"/>
          <w:shd w:val="clear" w:color="auto" w:fill="FFFFFF"/>
        </w:rPr>
        <w:t>（一）主要职能</w:t>
      </w:r>
    </w:p>
    <w:p>
      <w:pPr>
        <w:spacing w:line="560" w:lineRule="exact"/>
        <w:rPr>
          <w:rFonts w:ascii="仿宋_GB2312" w:eastAsia="仿宋_GB2312" w:cs="仿宋_GB2312"/>
          <w:bCs/>
          <w:kern w:val="0"/>
          <w:sz w:val="32"/>
          <w:szCs w:val="32"/>
        </w:rPr>
      </w:pPr>
      <w:r>
        <w:rPr>
          <w:rFonts w:hint="eastAsia" w:ascii="仿宋_GB2312" w:eastAsia="仿宋_GB2312" w:cs="仿宋_GB2312"/>
          <w:b/>
          <w:kern w:val="0"/>
          <w:sz w:val="32"/>
          <w:szCs w:val="32"/>
          <w:lang w:val="en-US" w:eastAsia="zh-CN"/>
        </w:rPr>
        <w:t xml:space="preserve">    </w:t>
      </w:r>
      <w:r>
        <w:rPr>
          <w:rFonts w:hint="eastAsia" w:ascii="仿宋_GB2312" w:eastAsia="仿宋_GB2312" w:cs="仿宋_GB2312"/>
          <w:b/>
          <w:kern w:val="0"/>
          <w:sz w:val="32"/>
          <w:szCs w:val="32"/>
        </w:rPr>
        <w:t>1、县双河镇便民服务中心</w:t>
      </w:r>
      <w:r>
        <w:rPr>
          <w:rFonts w:hint="eastAsia" w:ascii="仿宋_GB2312" w:eastAsia="仿宋_GB2312" w:cs="仿宋_GB2312"/>
          <w:bCs/>
          <w:kern w:val="0"/>
          <w:sz w:val="32"/>
          <w:szCs w:val="32"/>
        </w:rPr>
        <w:t>（挂县双河镇退役军人服务站、县双河镇农民工服务中心牌子）。宣传并贯彻落实政务服务、农民工服务等法律法规和方针政策。负责便民服务体系标准化、规范化建设，优化办事流程，拟订服务管理制度并组织实施，落实“最多跑一次”改革向基层延伸各项工作。负责便民服务窗口工作人员的管理，协助派驻到镇部门的行政审批及公共服务事项进驻窗口事宜。指导村(社区）便民服务点业务工作。承担退役军人就业创业扶持、拥军优属、优抚帮扶、走访慰问、信访接待、权益保障等退役军人服务工作。牵头负责外出务工人员联络、农民工输出、培训、维权、回引及返乡创业服务等工作。承担镇党委、政府交办的其他工作任务。核定事业编制5名，其中：主任1名（股级）。</w:t>
      </w:r>
    </w:p>
    <w:p>
      <w:pPr>
        <w:spacing w:line="560" w:lineRule="exact"/>
        <w:rPr>
          <w:rFonts w:ascii="仿宋_GB2312" w:eastAsia="仿宋_GB2312" w:cs="仿宋_GB2312"/>
          <w:bCs/>
          <w:kern w:val="0"/>
          <w:sz w:val="32"/>
          <w:szCs w:val="32"/>
        </w:rPr>
      </w:pPr>
      <w:r>
        <w:rPr>
          <w:rFonts w:hint="eastAsia" w:ascii="仿宋_GB2312" w:eastAsia="仿宋_GB2312" w:cs="仿宋_GB2312"/>
          <w:b/>
          <w:kern w:val="0"/>
          <w:sz w:val="32"/>
          <w:szCs w:val="32"/>
          <w:lang w:val="en-US" w:eastAsia="zh-CN"/>
        </w:rPr>
        <w:t xml:space="preserve">    </w:t>
      </w:r>
      <w:r>
        <w:rPr>
          <w:rFonts w:hint="eastAsia" w:ascii="仿宋_GB2312" w:eastAsia="仿宋_GB2312" w:cs="仿宋_GB2312"/>
          <w:b/>
          <w:kern w:val="0"/>
          <w:sz w:val="32"/>
          <w:szCs w:val="32"/>
        </w:rPr>
        <w:t>2、县双河镇党群服务中心。</w:t>
      </w:r>
      <w:r>
        <w:rPr>
          <w:rFonts w:hint="eastAsia" w:ascii="仿宋_GB2312" w:eastAsia="仿宋_GB2312" w:cs="仿宋_GB2312"/>
          <w:bCs/>
          <w:kern w:val="0"/>
          <w:sz w:val="32"/>
          <w:szCs w:val="32"/>
        </w:rPr>
        <w:t>主要承担辖区基层党组织和群团组织日常工作，负责党员、干部、群众团体管理服务等工作。 承担镇党委、政府交办的其他工作任务。核定事业编制3名，其中：主任1名（股级）。</w:t>
      </w:r>
    </w:p>
    <w:p>
      <w:pPr>
        <w:spacing w:line="560" w:lineRule="exact"/>
        <w:rPr>
          <w:rFonts w:ascii="仿宋_GB2312" w:eastAsia="仿宋_GB2312" w:cs="仿宋_GB2312"/>
          <w:bCs/>
          <w:kern w:val="0"/>
          <w:sz w:val="32"/>
          <w:szCs w:val="32"/>
        </w:rPr>
      </w:pPr>
      <w:r>
        <w:rPr>
          <w:rFonts w:hint="eastAsia" w:ascii="仿宋_GB2312" w:eastAsia="仿宋_GB2312" w:cs="仿宋_GB2312"/>
          <w:b/>
          <w:kern w:val="0"/>
          <w:sz w:val="32"/>
          <w:szCs w:val="32"/>
          <w:lang w:val="en-US" w:eastAsia="zh-CN"/>
        </w:rPr>
        <w:t xml:space="preserve">    </w:t>
      </w:r>
      <w:r>
        <w:rPr>
          <w:rFonts w:hint="eastAsia" w:ascii="仿宋_GB2312" w:eastAsia="仿宋_GB2312" w:cs="仿宋_GB2312"/>
          <w:b/>
          <w:kern w:val="0"/>
          <w:sz w:val="32"/>
          <w:szCs w:val="32"/>
        </w:rPr>
        <w:t>3、县双河镇文化旅游服务中心。</w:t>
      </w:r>
      <w:r>
        <w:rPr>
          <w:rFonts w:hint="eastAsia" w:ascii="仿宋_GB2312" w:eastAsia="仿宋_GB2312" w:cs="仿宋_GB2312"/>
          <w:bCs/>
          <w:kern w:val="0"/>
          <w:sz w:val="32"/>
          <w:szCs w:val="32"/>
        </w:rPr>
        <w:t>宣传并贯彻落实宣传思想、精神文明建设、文化、旅游等法律法规和方针政策。承担基层新时代文明实践活动服务工作，做好理论宣讲、教育服务、文化服务、科技服务、健康服务、法律服务、志愿服务等工作。拟订年度公益性文化项目实施计划，组织开展多种形式的文娱体育活动和宣传文化阵地建设。负责对乡村文化、文艺、体育等活动的指导、协调和宣传工作。拟订旅游发展项目实施计划，搞好旅游发展等服务工作。负责广播影视设施设备维护、信息上报等服务工作。组织实施电视“村村通”、广播“村村响”、无线数字电视工程建设等工作。承担镇党委、政府交办的其他工作任务。核定事业编制4名，其中：主任1名（股级）。</w:t>
      </w:r>
    </w:p>
    <w:p>
      <w:pPr>
        <w:spacing w:line="560" w:lineRule="exact"/>
        <w:ind w:firstLine="321" w:firstLineChars="100"/>
        <w:rPr>
          <w:rFonts w:ascii="仿宋_GB2312" w:hAnsi="仿宋" w:eastAsia="仿宋_GB2312"/>
          <w:sz w:val="32"/>
          <w:szCs w:val="32"/>
        </w:rPr>
      </w:pPr>
      <w:r>
        <w:rPr>
          <w:rFonts w:hint="eastAsia" w:ascii="仿宋_GB2312" w:eastAsia="仿宋_GB2312" w:cs="仿宋_GB2312"/>
          <w:b/>
          <w:kern w:val="0"/>
          <w:sz w:val="32"/>
          <w:szCs w:val="32"/>
          <w:lang w:val="en-US" w:eastAsia="zh-CN"/>
        </w:rPr>
        <w:t xml:space="preserve">  </w:t>
      </w:r>
      <w:r>
        <w:rPr>
          <w:rFonts w:hint="eastAsia" w:ascii="仿宋_GB2312" w:eastAsia="仿宋_GB2312" w:cs="仿宋_GB2312"/>
          <w:b/>
          <w:kern w:val="0"/>
          <w:sz w:val="32"/>
          <w:szCs w:val="32"/>
        </w:rPr>
        <w:t>4、县双河镇农业农村服务中心。</w:t>
      </w:r>
      <w:r>
        <w:rPr>
          <w:rFonts w:hint="eastAsia" w:ascii="仿宋_GB2312" w:eastAsia="仿宋_GB2312" w:cs="仿宋_GB2312"/>
          <w:bCs/>
          <w:kern w:val="0"/>
          <w:sz w:val="32"/>
          <w:szCs w:val="32"/>
        </w:rPr>
        <w:t>宣传并贯彻落实涉农法律法规和方针政策。负责农业、林业、水利、渔业、畜牧业、农业机械等技术、品种、机具等的示范、推广，负责农业公共信息和培训教育等服务工作。负责农田水利建设、农产品及相关生产资料和投入品质量安全监测等服务性、技术性工作。负责林业、农业苗情、灾害、病虫害和动物疫病的监测、预报防治和处置。承担组织指导农业产业发展、林业生产、农业机械管理、水产发展、农林水资源保护、水土保持预防及水土流失治理等服务工作。负责新农村建设、乡村振兴、农村经济发展、农村体制改革、农村土地承包、扶贫开发和综合治理等工作。负责乡道、村道建设规划编制并组织实施，负责乡道、村道的养护、路域环境整治及村道的路政管理、大中修等工作。负责村级资金核拨和监督管理。负责综合统计工作。承担镇党委、政府交办的其他工作任务。核定事业编制6名，其中：主任1名（股级）。</w:t>
      </w:r>
    </w:p>
    <w:p>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双河镇202</w:t>
      </w:r>
      <w:r>
        <w:rPr>
          <w:rFonts w:hint="eastAsia" w:ascii="黑体" w:hAnsi="黑体" w:eastAsia="黑体"/>
          <w:sz w:val="32"/>
          <w:szCs w:val="32"/>
          <w:lang w:val="en-US" w:eastAsia="zh-CN"/>
        </w:rPr>
        <w:t>4</w:t>
      </w:r>
      <w:r>
        <w:rPr>
          <w:rFonts w:hint="eastAsia" w:ascii="黑体" w:hAnsi="黑体" w:eastAsia="黑体"/>
          <w:sz w:val="32"/>
          <w:szCs w:val="32"/>
        </w:rPr>
        <w:t>年重点工作</w:t>
      </w:r>
    </w:p>
    <w:p>
      <w:pPr>
        <w:pStyle w:val="2"/>
        <w:widowControl w:val="0"/>
        <w:spacing w:line="576" w:lineRule="exact"/>
        <w:ind w:left="0" w:leftChars="0" w:firstLine="640"/>
        <w:jc w:val="both"/>
        <w:rPr>
          <w:rFonts w:hint="eastAsia" w:ascii="仿宋_GB2312" w:hAnsi="仿宋_GB2312" w:eastAsia="仿宋_GB2312" w:cs="仿宋_GB2312"/>
          <w:b w:val="0"/>
          <w:bCs w:val="0"/>
          <w:sz w:val="32"/>
          <w:szCs w:val="32"/>
          <w:u w:val="none"/>
          <w:lang w:bidi="ar"/>
        </w:rPr>
      </w:pPr>
      <w:r>
        <w:rPr>
          <w:rFonts w:hint="eastAsia" w:ascii="仿宋_GB2312" w:hAnsi="仿宋_GB2312" w:eastAsia="仿宋_GB2312" w:cs="仿宋_GB2312"/>
          <w:b/>
          <w:bCs/>
          <w:kern w:val="2"/>
          <w:sz w:val="32"/>
          <w:szCs w:val="32"/>
          <w:u w:val="none"/>
          <w:lang w:val="en-US" w:eastAsia="zh-CN" w:bidi="ar"/>
        </w:rPr>
        <w:t>一是强化政治建设，持续增强党建动力。</w:t>
      </w:r>
      <w:r>
        <w:rPr>
          <w:rFonts w:hint="eastAsia" w:ascii="仿宋_GB2312" w:hAnsi="仿宋_GB2312" w:eastAsia="仿宋_GB2312" w:cs="仿宋_GB2312"/>
          <w:b w:val="0"/>
          <w:bCs w:val="0"/>
          <w:sz w:val="32"/>
          <w:szCs w:val="32"/>
          <w:u w:val="none"/>
          <w:lang w:bidi="ar"/>
        </w:rPr>
        <w:t>坚持以习近平新时代中国特色社会主义思想为指导，积极教育引导党员干部深刻领悟“两个确立”的决定性意义，增强“四个意识”、坚定“四个自信”、做到“两个维护”。常态开展“立足岗位作贡献”“学习身边榜样”“我为群众办实事”等活动，激发干部比学赶超意识，不断提升工作质效。</w:t>
      </w:r>
    </w:p>
    <w:p>
      <w:pPr>
        <w:pStyle w:val="2"/>
        <w:widowControl w:val="0"/>
        <w:spacing w:line="576" w:lineRule="exact"/>
        <w:ind w:left="0" w:leftChars="0" w:firstLine="640"/>
        <w:jc w:val="both"/>
        <w:rPr>
          <w:rFonts w:hint="eastAsia" w:ascii="仿宋_GB2312" w:hAnsi="仿宋_GB2312" w:eastAsia="仿宋_GB2312" w:cs="仿宋_GB2312"/>
          <w:b w:val="0"/>
          <w:bCs w:val="0"/>
          <w:sz w:val="32"/>
          <w:szCs w:val="32"/>
          <w:u w:val="none"/>
          <w:lang w:bidi="ar"/>
        </w:rPr>
      </w:pPr>
      <w:r>
        <w:rPr>
          <w:rFonts w:hint="eastAsia" w:ascii="仿宋_GB2312" w:hAnsi="仿宋_GB2312" w:eastAsia="仿宋_GB2312" w:cs="仿宋_GB2312"/>
          <w:b/>
          <w:bCs/>
          <w:kern w:val="2"/>
          <w:sz w:val="32"/>
          <w:szCs w:val="32"/>
          <w:u w:val="none"/>
          <w:lang w:val="en-US" w:eastAsia="zh-CN" w:bidi="ar"/>
        </w:rPr>
        <w:t>二是强化基层组织，做实人才队伍建设。</w:t>
      </w:r>
      <w:r>
        <w:rPr>
          <w:rFonts w:hint="eastAsia" w:ascii="仿宋_GB2312" w:hAnsi="仿宋_GB2312" w:eastAsia="仿宋_GB2312" w:cs="仿宋_GB2312"/>
          <w:b w:val="0"/>
          <w:bCs w:val="0"/>
          <w:sz w:val="32"/>
          <w:szCs w:val="32"/>
          <w:u w:val="none"/>
          <w:lang w:bidi="ar"/>
        </w:rPr>
        <w:t>注重挖掘农旅特色，不断丰富党建工作内涵，精心打造特色党建品牌。加强支部建设、增强党员意识，比拼争创“五好党支部”。</w:t>
      </w:r>
      <w:r>
        <w:rPr>
          <w:rFonts w:hint="eastAsia" w:ascii="仿宋_GB2312" w:hAnsi="仿宋_GB2312" w:eastAsia="仿宋_GB2312" w:cs="仿宋_GB2312"/>
          <w:b w:val="0"/>
          <w:bCs w:val="0"/>
          <w:color w:val="auto"/>
          <w:spacing w:val="-6"/>
          <w:sz w:val="32"/>
          <w:szCs w:val="32"/>
          <w:lang w:eastAsia="zh-CN"/>
        </w:rPr>
        <w:t>严格执行职工“积分考核”管理制度，</w:t>
      </w:r>
      <w:r>
        <w:rPr>
          <w:rFonts w:hint="eastAsia" w:ascii="仿宋_GB2312" w:hAnsi="仿宋_GB2312" w:eastAsia="仿宋_GB2312" w:cs="仿宋_GB2312"/>
          <w:b w:val="0"/>
          <w:bCs w:val="0"/>
          <w:color w:val="000000"/>
          <w:kern w:val="2"/>
          <w:sz w:val="32"/>
          <w:szCs w:val="32"/>
        </w:rPr>
        <w:t>树立担当作为的鲜明导向，营造干事创业良好氛围。</w:t>
      </w:r>
    </w:p>
    <w:p>
      <w:pPr>
        <w:pStyle w:val="2"/>
        <w:widowControl w:val="0"/>
        <w:spacing w:line="576" w:lineRule="exact"/>
        <w:ind w:left="0" w:leftChars="0" w:firstLine="640"/>
        <w:jc w:val="both"/>
        <w:rPr>
          <w:rFonts w:ascii="方正小标宋简体" w:hAnsi="黑体" w:eastAsia="方正小标宋简体"/>
          <w:sz w:val="44"/>
          <w:szCs w:val="44"/>
        </w:rPr>
      </w:pPr>
      <w:r>
        <w:rPr>
          <w:rFonts w:hint="eastAsia" w:ascii="仿宋_GB2312" w:hAnsi="仿宋_GB2312" w:eastAsia="仿宋_GB2312" w:cs="仿宋_GB2312"/>
          <w:b/>
          <w:bCs/>
          <w:kern w:val="2"/>
          <w:sz w:val="32"/>
          <w:szCs w:val="32"/>
          <w:u w:val="none"/>
          <w:lang w:val="en-US" w:eastAsia="zh-CN" w:bidi="ar"/>
        </w:rPr>
        <w:t>三是明确目标定位，全力推动产业发展。</w:t>
      </w:r>
      <w:r>
        <w:rPr>
          <w:rFonts w:hint="eastAsia" w:ascii="仿宋_GB2312" w:hAnsi="仿宋_GB2312" w:eastAsia="仿宋_GB2312" w:cs="仿宋_GB2312"/>
          <w:b w:val="0"/>
          <w:bCs w:val="0"/>
          <w:color w:val="auto"/>
          <w:spacing w:val="-6"/>
          <w:sz w:val="32"/>
          <w:szCs w:val="32"/>
        </w:rPr>
        <w:t>锚定</w:t>
      </w:r>
      <w:r>
        <w:rPr>
          <w:rFonts w:hint="eastAsia" w:ascii="仿宋_GB2312" w:hAnsi="仿宋_GB2312" w:eastAsia="仿宋_GB2312" w:cs="仿宋_GB2312"/>
          <w:b w:val="0"/>
          <w:bCs w:val="0"/>
          <w:color w:val="auto"/>
          <w:spacing w:val="-6"/>
          <w:sz w:val="32"/>
          <w:szCs w:val="32"/>
          <w:lang w:eastAsia="zh-CN"/>
        </w:rPr>
        <w:t>县委五届四次全会提出的“旅游度假和现代物流中心”建设目标</w:t>
      </w:r>
      <w:r>
        <w:rPr>
          <w:rFonts w:hint="eastAsia" w:ascii="仿宋_GB2312" w:hAnsi="仿宋_GB2312" w:eastAsia="仿宋_GB2312" w:cs="仿宋_GB2312"/>
          <w:b w:val="0"/>
          <w:bCs w:val="0"/>
          <w:sz w:val="32"/>
          <w:szCs w:val="32"/>
          <w:u w:val="none"/>
          <w:lang w:bidi="ar"/>
        </w:rPr>
        <w:t>，</w:t>
      </w:r>
      <w:r>
        <w:rPr>
          <w:rFonts w:hint="eastAsia" w:ascii="仿宋_GB2312" w:hAnsi="仿宋_GB2312" w:eastAsia="仿宋_GB2312" w:cs="仿宋_GB2312"/>
          <w:b w:val="0"/>
          <w:bCs w:val="0"/>
          <w:sz w:val="32"/>
          <w:szCs w:val="32"/>
          <w:u w:val="none"/>
          <w:lang w:eastAsia="zh-CN" w:bidi="ar"/>
        </w:rPr>
        <w:t>抢抓高速通车重大发展机遇</w:t>
      </w:r>
      <w:r>
        <w:rPr>
          <w:rFonts w:hint="eastAsia" w:ascii="仿宋_GB2312" w:hAnsi="仿宋_GB2312" w:eastAsia="仿宋_GB2312" w:cs="仿宋_GB2312"/>
          <w:b w:val="0"/>
          <w:bCs w:val="0"/>
          <w:sz w:val="32"/>
          <w:szCs w:val="32"/>
          <w:u w:val="none"/>
          <w:lang w:bidi="ar"/>
        </w:rPr>
        <w:t>，积极争取项目建设，推动葡萄园区、李子园区争创省四星级和州五星级示范园区，助力构建现代产业体系；以全域旅游为切入点，打好农旅融合牌，积极构建以绿色生态产品为卖点，全力拓宽农旅消费渠道，不断丰富旅游业态。全面推动双河工作搭上“九绵高速”快车道，为加快建设“世界生态旅游目的地”贡献双河力量。</w:t>
      </w: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pStyle w:val="2"/>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双河镇</w:t>
      </w:r>
      <w:r>
        <w:rPr>
          <w:rFonts w:hint="eastAsia" w:ascii="方正小标宋简体" w:hAnsi="黑体" w:eastAsia="方正小标宋简体"/>
          <w:sz w:val="44"/>
          <w:szCs w:val="44"/>
          <w:lang w:eastAsia="zh-CN"/>
        </w:rPr>
        <w:t>2024</w:t>
      </w:r>
      <w:r>
        <w:rPr>
          <w:rFonts w:hint="eastAsia" w:ascii="方正小标宋简体" w:hAnsi="黑体" w:eastAsia="方正小标宋简体"/>
          <w:sz w:val="44"/>
          <w:szCs w:val="44"/>
        </w:rPr>
        <w:t>年单位</w:t>
      </w:r>
      <w:r>
        <w:rPr>
          <w:rFonts w:ascii="方正小标宋简体" w:hAnsi="黑体" w:eastAsia="方正小标宋简体"/>
          <w:sz w:val="44"/>
          <w:szCs w:val="44"/>
        </w:rPr>
        <w:t>预算表</w:t>
      </w:r>
    </w:p>
    <w:p>
      <w:pPr>
        <w:jc w:val="center"/>
        <w:rPr>
          <w:rFonts w:ascii="方正小标宋简体" w:hAnsi="黑体" w:eastAsia="方正小标宋简体"/>
          <w:sz w:val="44"/>
          <w:szCs w:val="44"/>
        </w:rPr>
        <w:sectPr>
          <w:footerReference r:id="rId3" w:type="default"/>
          <w:pgSz w:w="11906" w:h="16838"/>
          <w:pgMar w:top="1440" w:right="1800" w:bottom="1440" w:left="1800" w:header="851" w:footer="992" w:gutter="0"/>
          <w:cols w:space="425" w:num="1"/>
          <w:docGrid w:type="lines" w:linePitch="312" w:charSpace="0"/>
        </w:sectPr>
      </w:pPr>
    </w:p>
    <w:tbl>
      <w:tblPr>
        <w:tblStyle w:val="11"/>
        <w:tblW w:w="13770" w:type="dxa"/>
        <w:tblInd w:w="0" w:type="dxa"/>
        <w:tblLayout w:type="fixed"/>
        <w:tblCellMar>
          <w:top w:w="15" w:type="dxa"/>
          <w:left w:w="15" w:type="dxa"/>
          <w:bottom w:w="15" w:type="dxa"/>
          <w:right w:w="15" w:type="dxa"/>
        </w:tblCellMar>
      </w:tblPr>
      <w:tblGrid>
        <w:gridCol w:w="4120"/>
        <w:gridCol w:w="13"/>
        <w:gridCol w:w="2737"/>
        <w:gridCol w:w="15"/>
        <w:gridCol w:w="1421"/>
        <w:gridCol w:w="4133"/>
        <w:gridCol w:w="6"/>
        <w:gridCol w:w="1322"/>
        <w:gridCol w:w="3"/>
      </w:tblGrid>
      <w:tr>
        <w:tblPrEx>
          <w:tblLayout w:type="fixed"/>
          <w:tblCellMar>
            <w:top w:w="15" w:type="dxa"/>
            <w:left w:w="15" w:type="dxa"/>
            <w:bottom w:w="15" w:type="dxa"/>
            <w:right w:w="15" w:type="dxa"/>
          </w:tblCellMar>
        </w:tblPrEx>
        <w:trPr>
          <w:gridAfter w:val="1"/>
          <w:wAfter w:w="3" w:type="dxa"/>
          <w:trHeight w:val="270" w:hRule="atLeast"/>
        </w:trPr>
        <w:tc>
          <w:tcPr>
            <w:tcW w:w="413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41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13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28"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表1</w:t>
            </w:r>
          </w:p>
        </w:tc>
      </w:tr>
      <w:tr>
        <w:tblPrEx>
          <w:tblLayout w:type="fixed"/>
          <w:tblCellMar>
            <w:top w:w="15" w:type="dxa"/>
            <w:left w:w="15" w:type="dxa"/>
            <w:bottom w:w="15" w:type="dxa"/>
            <w:right w:w="15" w:type="dxa"/>
          </w:tblCellMar>
        </w:tblPrEx>
        <w:trPr>
          <w:gridAfter w:val="1"/>
          <w:wAfter w:w="3" w:type="dxa"/>
          <w:trHeight w:val="390" w:hRule="atLeast"/>
        </w:trPr>
        <w:tc>
          <w:tcPr>
            <w:tcW w:w="13767"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黑体" w:hAnsi="宋体" w:eastAsia="黑体" w:cs="黑体"/>
                <w:b/>
                <w:color w:val="000000"/>
                <w:sz w:val="32"/>
                <w:szCs w:val="32"/>
              </w:rPr>
            </w:pPr>
            <w:r>
              <w:rPr>
                <w:rFonts w:hint="eastAsia" w:ascii="黑体" w:hAnsi="宋体" w:eastAsia="黑体" w:cs="黑体"/>
                <w:b/>
                <w:color w:val="000000"/>
                <w:kern w:val="0"/>
                <w:sz w:val="32"/>
                <w:szCs w:val="32"/>
              </w:rPr>
              <w:t>部门收支总表</w:t>
            </w:r>
          </w:p>
        </w:tc>
      </w:tr>
      <w:tr>
        <w:tblPrEx>
          <w:tblLayout w:type="fixed"/>
          <w:tblCellMar>
            <w:top w:w="15" w:type="dxa"/>
            <w:left w:w="15" w:type="dxa"/>
            <w:bottom w:w="15" w:type="dxa"/>
            <w:right w:w="15" w:type="dxa"/>
          </w:tblCellMar>
        </w:tblPrEx>
        <w:trPr>
          <w:gridAfter w:val="1"/>
          <w:wAfter w:w="3" w:type="dxa"/>
          <w:trHeight w:val="330" w:hRule="atLeast"/>
        </w:trPr>
        <w:tc>
          <w:tcPr>
            <w:tcW w:w="4133" w:type="dxa"/>
            <w:gridSpan w:val="2"/>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2737"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897" w:type="dxa"/>
            <w:gridSpan w:val="5"/>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gridAfter w:val="1"/>
          <w:wAfter w:w="3" w:type="dxa"/>
          <w:trHeight w:val="420" w:hRule="atLeast"/>
        </w:trPr>
        <w:tc>
          <w:tcPr>
            <w:tcW w:w="6870"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6897" w:type="dxa"/>
            <w:gridSpan w:val="5"/>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r>
      <w:tr>
        <w:tblPrEx>
          <w:tblLayout w:type="fixed"/>
          <w:tblCellMar>
            <w:top w:w="15" w:type="dxa"/>
            <w:left w:w="15" w:type="dxa"/>
            <w:bottom w:w="15" w:type="dxa"/>
            <w:right w:w="15" w:type="dxa"/>
          </w:tblCellMar>
        </w:tblPrEx>
        <w:trPr>
          <w:gridAfter w:val="1"/>
          <w:wAfter w:w="3" w:type="dxa"/>
          <w:trHeight w:val="420" w:hRule="atLeast"/>
        </w:trPr>
        <w:tc>
          <w:tcPr>
            <w:tcW w:w="4133"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2737"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5569"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328"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 xml:space="preserve">一、一般公共预算拨款收入 </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339.91</w:t>
            </w: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一、一般公共服务支出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 xml:space="preserve">二、政府性基金预算拨款收入 </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二、外交支出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 xml:space="preserve">三、国有资本经营预算拨款收入 </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三、国防支出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 xml:space="preserve">四、事业收入 </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四、公共安全支出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 xml:space="preserve">五、事业单位经营收入 </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五、教育支出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 xml:space="preserve">六、其他收入 </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六、科学技术支出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七、文化旅游体育与传媒支出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八、社会保障和就业支出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九、社会保险基金支出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十、卫生健康支出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十一、节能环保支出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十二、城乡社区支出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十三、农林水支出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十四、交通运输支出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十五、资源勘探工业信息等支出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十六、商业服务业等支出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十七、金融支出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十八、援助其他地区支出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十九、自然资源海洋气象等支出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二十、住房保障支出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二十一、粮油物资储备支出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二十二、国有资本经营预算支出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二十三、灾害防治及应急管理支出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二十四、预备费</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二十五、其他支出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二十六、转移性支出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二十七、债务还本支出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二十八、债务付息支出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二十九、债务发行费用支出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color w:val="000000"/>
                <w:sz w:val="22"/>
                <w:szCs w:val="22"/>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9"/>
                <w:lang w:val="en-US" w:eastAsia="zh-CN" w:bidi="ar"/>
              </w:rPr>
              <w:t>三十、抗疫特别国债安排的支出</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ascii="Dialog . bold" w:hAnsi="Dialog . bold" w:eastAsia="Dialog . bold" w:cs="Dialog . bold"/>
                <w:b/>
                <w:i w:val="0"/>
                <w:color w:val="000000"/>
                <w:kern w:val="0"/>
                <w:sz w:val="22"/>
                <w:szCs w:val="22"/>
                <w:u w:val="none"/>
                <w:lang w:val="en-US" w:eastAsia="zh-CN" w:bidi="ar"/>
              </w:rPr>
              <w:t>本 年 收 入 合 计</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339.91</w:t>
            </w: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ascii="Dialog . bold" w:hAnsi="Dialog . bold" w:eastAsia="Dialog . bold" w:cs="Dialog . bold"/>
                <w:b/>
                <w:i w:val="0"/>
                <w:color w:val="000000"/>
                <w:kern w:val="0"/>
                <w:sz w:val="22"/>
                <w:szCs w:val="22"/>
                <w:u w:val="none"/>
                <w:lang w:val="en-US" w:eastAsia="zh-CN" w:bidi="ar"/>
              </w:rPr>
              <w:t>本 年 支 出 合 计</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339.91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七、用事业基金弥补收支差额</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三十一、事业单位结余分配 </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八、上年结转</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其中：转入事业基金</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Hiragino Sans GB" w:hAnsi="Hiragino Sans GB" w:eastAsia="Hiragino Sans GB" w:cs="Hiragino Sans GB"/>
                <w:i w:val="0"/>
                <w:color w:val="000000"/>
                <w:sz w:val="18"/>
                <w:szCs w:val="18"/>
                <w:u w:val="none"/>
              </w:rPr>
            </w:pP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default" w:ascii="Hiragino Sans GB" w:hAnsi="Hiragino Sans GB" w:eastAsia="Hiragino Sans GB" w:cs="Hiragino Sans GB"/>
                <w:i w:val="0"/>
                <w:color w:val="000000"/>
                <w:sz w:val="18"/>
                <w:szCs w:val="18"/>
                <w:u w:val="none"/>
              </w:rPr>
            </w:pP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三十二、结转下年</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412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  总  计</w:t>
            </w:r>
          </w:p>
        </w:tc>
        <w:tc>
          <w:tcPr>
            <w:tcW w:w="276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339.91</w:t>
            </w:r>
          </w:p>
        </w:tc>
        <w:tc>
          <w:tcPr>
            <w:tcW w:w="55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  总  计</w:t>
            </w:r>
          </w:p>
        </w:tc>
        <w:tc>
          <w:tcPr>
            <w:tcW w:w="132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339.91</w:t>
            </w:r>
          </w:p>
        </w:tc>
      </w:tr>
    </w:tbl>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2"/>
        <w:rPr>
          <w:rFonts w:ascii="方正小标宋简体" w:hAnsi="黑体" w:eastAsia="方正小标宋简体"/>
          <w:sz w:val="44"/>
          <w:szCs w:val="44"/>
        </w:rPr>
      </w:pPr>
    </w:p>
    <w:tbl>
      <w:tblPr>
        <w:tblStyle w:val="11"/>
        <w:tblW w:w="14625" w:type="dxa"/>
        <w:tblInd w:w="0" w:type="dxa"/>
        <w:tblLayout w:type="fixed"/>
        <w:tblCellMar>
          <w:top w:w="15" w:type="dxa"/>
          <w:left w:w="15" w:type="dxa"/>
          <w:bottom w:w="15" w:type="dxa"/>
          <w:right w:w="15" w:type="dxa"/>
        </w:tblCellMar>
      </w:tblPr>
      <w:tblGrid>
        <w:gridCol w:w="1050"/>
        <w:gridCol w:w="2130"/>
        <w:gridCol w:w="1260"/>
        <w:gridCol w:w="885"/>
        <w:gridCol w:w="1305"/>
        <w:gridCol w:w="435"/>
        <w:gridCol w:w="1080"/>
        <w:gridCol w:w="1080"/>
        <w:gridCol w:w="1080"/>
        <w:gridCol w:w="1080"/>
        <w:gridCol w:w="1080"/>
        <w:gridCol w:w="1080"/>
        <w:gridCol w:w="1080"/>
      </w:tblGrid>
      <w:tr>
        <w:tblPrEx>
          <w:tblLayout w:type="fixed"/>
        </w:tblPrEx>
        <w:trPr>
          <w:trHeight w:val="285" w:hRule="atLeast"/>
        </w:trPr>
        <w:tc>
          <w:tcPr>
            <w:tcW w:w="105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1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0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18"/>
                <w:szCs w:val="18"/>
              </w:rPr>
            </w:pPr>
            <w:r>
              <w:rPr>
                <w:rFonts w:ascii="宋体" w:hAnsi="宋体" w:eastAsia="宋体" w:cs="宋体"/>
                <w:color w:val="000000"/>
                <w:kern w:val="0"/>
                <w:sz w:val="18"/>
                <w:szCs w:val="18"/>
              </w:rPr>
              <w:t>表2</w:t>
            </w: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592" w:hRule="atLeast"/>
        </w:trPr>
        <w:tc>
          <w:tcPr>
            <w:tcW w:w="14625" w:type="dxa"/>
            <w:gridSpan w:val="13"/>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部门收入总表</w:t>
            </w:r>
          </w:p>
        </w:tc>
      </w:tr>
      <w:tr>
        <w:tblPrEx>
          <w:tblLayout w:type="fixed"/>
          <w:tblCellMar>
            <w:top w:w="15" w:type="dxa"/>
            <w:left w:w="15" w:type="dxa"/>
            <w:bottom w:w="15" w:type="dxa"/>
            <w:right w:w="15" w:type="dxa"/>
          </w:tblCellMar>
        </w:tblPrEx>
        <w:trPr>
          <w:trHeight w:val="330" w:hRule="atLeast"/>
        </w:trPr>
        <w:tc>
          <w:tcPr>
            <w:tcW w:w="4440"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r>
              <w:rPr>
                <w:rFonts w:hint="eastAsia" w:ascii="宋体" w:hAnsi="宋体" w:eastAsia="宋体" w:cs="宋体"/>
                <w:color w:val="000000"/>
                <w:kern w:val="0"/>
                <w:sz w:val="22"/>
              </w:rPr>
              <w:t>部门：九寨沟县双河镇便民服务中心</w:t>
            </w:r>
          </w:p>
        </w:tc>
        <w:tc>
          <w:tcPr>
            <w:tcW w:w="88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0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3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240" w:type="dxa"/>
            <w:gridSpan w:val="3"/>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318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2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88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上年结转</w:t>
            </w:r>
          </w:p>
        </w:tc>
        <w:tc>
          <w:tcPr>
            <w:tcW w:w="13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一般公共预算拨款收入</w:t>
            </w:r>
          </w:p>
        </w:tc>
        <w:tc>
          <w:tcPr>
            <w:tcW w:w="4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政府性基金预算拨款收入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国有资本经营预算拨款收入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事业收入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 xml:space="preserve">事业单位经营收入 </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其他收入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上级补助收入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附属单位上缴收入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用事业基金弥补收支差额</w:t>
            </w:r>
          </w:p>
        </w:tc>
      </w:tr>
      <w:tr>
        <w:tblPrEx>
          <w:tblLayout w:type="fixed"/>
          <w:tblCellMar>
            <w:top w:w="15" w:type="dxa"/>
            <w:left w:w="15" w:type="dxa"/>
            <w:bottom w:w="15" w:type="dxa"/>
            <w:right w:w="15" w:type="dxa"/>
          </w:tblCellMar>
        </w:tblPrEx>
        <w:trPr>
          <w:trHeight w:val="420" w:hRule="atLeast"/>
        </w:trPr>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21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2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88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4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2357" w:hRule="atLeast"/>
        </w:trPr>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1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88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4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105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21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26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339.91</w:t>
            </w:r>
          </w:p>
        </w:tc>
        <w:tc>
          <w:tcPr>
            <w:tcW w:w="88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b/>
                <w:color w:val="000000"/>
                <w:sz w:val="22"/>
              </w:rPr>
            </w:pPr>
          </w:p>
        </w:tc>
        <w:tc>
          <w:tcPr>
            <w:tcW w:w="130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339.91</w:t>
            </w:r>
          </w:p>
        </w:tc>
        <w:tc>
          <w:tcPr>
            <w:tcW w:w="43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105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26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88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130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43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05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21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双河镇便民服务中心</w:t>
            </w:r>
          </w:p>
        </w:tc>
        <w:tc>
          <w:tcPr>
            <w:tcW w:w="126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4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
        <w:rPr>
          <w:rFonts w:ascii="方正小标宋简体" w:hAnsi="黑体" w:eastAsia="方正小标宋简体"/>
          <w:sz w:val="44"/>
          <w:szCs w:val="44"/>
        </w:rPr>
        <w:br w:type="page"/>
      </w:r>
    </w:p>
    <w:tbl>
      <w:tblPr>
        <w:tblStyle w:val="11"/>
        <w:tblW w:w="12990" w:type="dxa"/>
        <w:tblInd w:w="0" w:type="dxa"/>
        <w:tblLayout w:type="fixed"/>
        <w:tblCellMar>
          <w:top w:w="15" w:type="dxa"/>
          <w:left w:w="15" w:type="dxa"/>
          <w:bottom w:w="15" w:type="dxa"/>
          <w:right w:w="15" w:type="dxa"/>
        </w:tblCellMar>
      </w:tblPr>
      <w:tblGrid>
        <w:gridCol w:w="735"/>
        <w:gridCol w:w="1080"/>
        <w:gridCol w:w="1080"/>
        <w:gridCol w:w="1035"/>
        <w:gridCol w:w="3945"/>
        <w:gridCol w:w="1125"/>
        <w:gridCol w:w="1275"/>
        <w:gridCol w:w="1065"/>
        <w:gridCol w:w="555"/>
        <w:gridCol w:w="1095"/>
      </w:tblGrid>
      <w:tr>
        <w:tblPrEx>
          <w:tblLayout w:type="fixed"/>
          <w:tblCellMar>
            <w:top w:w="15" w:type="dxa"/>
            <w:left w:w="15" w:type="dxa"/>
            <w:bottom w:w="15" w:type="dxa"/>
            <w:right w:w="15" w:type="dxa"/>
          </w:tblCellMar>
        </w:tblPrEx>
        <w:trPr>
          <w:trHeight w:val="285" w:hRule="atLeast"/>
        </w:trPr>
        <w:tc>
          <w:tcPr>
            <w:tcW w:w="289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0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94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2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7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65"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表3</w:t>
            </w:r>
          </w:p>
        </w:tc>
        <w:tc>
          <w:tcPr>
            <w:tcW w:w="5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95" w:type="dxa"/>
            <w:tcBorders>
              <w:top w:val="single" w:color="FFFFFF" w:sz="4" w:space="0"/>
              <w:left w:val="single" w:color="FFFFFF" w:sz="4" w:space="0"/>
              <w:bottom w:val="single" w:color="FFFFFF" w:sz="4" w:space="0"/>
              <w:right w:val="single" w:color="FFFFFF"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2990"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部门支出总表</w:t>
            </w:r>
          </w:p>
        </w:tc>
      </w:tr>
      <w:tr>
        <w:tblPrEx>
          <w:tblLayout w:type="fixed"/>
          <w:tblCellMar>
            <w:top w:w="15" w:type="dxa"/>
            <w:left w:w="15" w:type="dxa"/>
            <w:bottom w:w="15" w:type="dxa"/>
            <w:right w:w="15" w:type="dxa"/>
          </w:tblCellMar>
        </w:tblPrEx>
        <w:trPr>
          <w:trHeight w:val="330" w:hRule="atLeast"/>
        </w:trPr>
        <w:tc>
          <w:tcPr>
            <w:tcW w:w="7875"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112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7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15" w:type="dxa"/>
            <w:gridSpan w:val="3"/>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7875"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1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27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10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5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上缴上级支出</w:t>
            </w:r>
          </w:p>
        </w:tc>
        <w:tc>
          <w:tcPr>
            <w:tcW w:w="10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对附属单位补助支出</w:t>
            </w:r>
          </w:p>
        </w:tc>
      </w:tr>
      <w:tr>
        <w:tblPrEx>
          <w:tblLayout w:type="fixed"/>
          <w:tblCellMar>
            <w:top w:w="15" w:type="dxa"/>
            <w:left w:w="15" w:type="dxa"/>
            <w:bottom w:w="15" w:type="dxa"/>
            <w:right w:w="15" w:type="dxa"/>
          </w:tblCellMar>
        </w:tblPrEx>
        <w:trPr>
          <w:trHeight w:val="420" w:hRule="atLeast"/>
        </w:trPr>
        <w:tc>
          <w:tcPr>
            <w:tcW w:w="289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0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394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5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420" w:hRule="atLeast"/>
        </w:trPr>
        <w:tc>
          <w:tcPr>
            <w:tcW w:w="735"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0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94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5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3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394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12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339.91</w:t>
            </w:r>
          </w:p>
        </w:tc>
        <w:tc>
          <w:tcPr>
            <w:tcW w:w="127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339.91</w:t>
            </w:r>
          </w:p>
        </w:tc>
        <w:tc>
          <w:tcPr>
            <w:tcW w:w="106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55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9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12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127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106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55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9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双河镇便民服务中心</w:t>
            </w:r>
          </w:p>
        </w:tc>
        <w:tc>
          <w:tcPr>
            <w:tcW w:w="112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127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106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55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9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事业运行</w:t>
            </w:r>
          </w:p>
        </w:tc>
        <w:tc>
          <w:tcPr>
            <w:tcW w:w="112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127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55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9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机关事业单位基本养老保险缴费支出</w:t>
            </w:r>
          </w:p>
        </w:tc>
        <w:tc>
          <w:tcPr>
            <w:tcW w:w="112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35.35</w:t>
            </w:r>
          </w:p>
        </w:tc>
        <w:tc>
          <w:tcPr>
            <w:tcW w:w="127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35.35</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55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9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机关事业单位职业年金缴费支出</w:t>
            </w:r>
          </w:p>
        </w:tc>
        <w:tc>
          <w:tcPr>
            <w:tcW w:w="112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20.71</w:t>
            </w:r>
          </w:p>
        </w:tc>
        <w:tc>
          <w:tcPr>
            <w:tcW w:w="127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20.71</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55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9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事业单位医疗</w:t>
            </w:r>
          </w:p>
        </w:tc>
        <w:tc>
          <w:tcPr>
            <w:tcW w:w="112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127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55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9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0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住房公积金</w:t>
            </w:r>
          </w:p>
        </w:tc>
        <w:tc>
          <w:tcPr>
            <w:tcW w:w="112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31.08</w:t>
            </w:r>
          </w:p>
        </w:tc>
        <w:tc>
          <w:tcPr>
            <w:tcW w:w="127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31.08</w:t>
            </w:r>
          </w:p>
        </w:tc>
        <w:tc>
          <w:tcPr>
            <w:tcW w:w="10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55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9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仿宋_GB2312" w:hAnsi="黑体" w:eastAsia="仿宋_GB2312"/>
          <w:sz w:val="32"/>
          <w:szCs w:val="32"/>
        </w:rPr>
      </w:pPr>
    </w:p>
    <w:p>
      <w:pPr>
        <w:pStyle w:val="2"/>
        <w:rPr>
          <w:rFonts w:ascii="仿宋_GB2312" w:hAnsi="黑体" w:eastAsia="仿宋_GB2312"/>
          <w:sz w:val="32"/>
          <w:szCs w:val="32"/>
        </w:rPr>
      </w:pPr>
    </w:p>
    <w:p>
      <w:pPr/>
    </w:p>
    <w:tbl>
      <w:tblPr>
        <w:tblStyle w:val="11"/>
        <w:tblW w:w="13766" w:type="dxa"/>
        <w:tblInd w:w="0" w:type="dxa"/>
        <w:tblLayout w:type="fixed"/>
        <w:tblCellMar>
          <w:top w:w="15" w:type="dxa"/>
          <w:left w:w="15" w:type="dxa"/>
          <w:bottom w:w="15" w:type="dxa"/>
          <w:right w:w="15" w:type="dxa"/>
        </w:tblCellMar>
      </w:tblPr>
      <w:tblGrid>
        <w:gridCol w:w="1930"/>
        <w:gridCol w:w="491"/>
        <w:gridCol w:w="1529"/>
        <w:gridCol w:w="1833"/>
        <w:gridCol w:w="849"/>
        <w:gridCol w:w="972"/>
        <w:gridCol w:w="385"/>
        <w:gridCol w:w="348"/>
        <w:gridCol w:w="2461"/>
        <w:gridCol w:w="2968"/>
      </w:tblGrid>
      <w:tr>
        <w:tblPrEx>
          <w:tblLayout w:type="fixed"/>
          <w:tblCellMar>
            <w:top w:w="15" w:type="dxa"/>
            <w:left w:w="15" w:type="dxa"/>
            <w:bottom w:w="15" w:type="dxa"/>
            <w:right w:w="15" w:type="dxa"/>
          </w:tblCellMar>
        </w:tblPrEx>
        <w:trPr>
          <w:trHeight w:val="270" w:hRule="atLeast"/>
        </w:trPr>
        <w:tc>
          <w:tcPr>
            <w:tcW w:w="19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02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83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4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p>
        </w:tc>
        <w:tc>
          <w:tcPr>
            <w:tcW w:w="3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77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ascii="宋体" w:hAnsi="宋体" w:eastAsia="宋体" w:cs="宋体"/>
                <w:color w:val="000000"/>
                <w:kern w:val="0"/>
                <w:sz w:val="22"/>
              </w:rPr>
              <w:br w:type="textWrapping"/>
            </w:r>
            <w:r>
              <w:rPr>
                <w:rFonts w:hint="eastAsia" w:ascii="宋体" w:hAnsi="宋体" w:eastAsia="宋体" w:cs="宋体"/>
                <w:color w:val="000000"/>
                <w:kern w:val="0"/>
                <w:sz w:val="22"/>
              </w:rPr>
              <w:t>表4</w:t>
            </w:r>
          </w:p>
        </w:tc>
      </w:tr>
      <w:tr>
        <w:tblPrEx>
          <w:tblLayout w:type="fixed"/>
          <w:tblCellMar>
            <w:top w:w="15" w:type="dxa"/>
            <w:left w:w="15" w:type="dxa"/>
            <w:bottom w:w="15" w:type="dxa"/>
            <w:right w:w="15" w:type="dxa"/>
          </w:tblCellMar>
        </w:tblPrEx>
        <w:trPr>
          <w:trHeight w:val="390" w:hRule="atLeast"/>
        </w:trPr>
        <w:tc>
          <w:tcPr>
            <w:tcW w:w="13766"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黑体" w:hAnsi="宋体" w:eastAsia="黑体" w:cs="黑体"/>
                <w:b/>
                <w:color w:val="000000"/>
                <w:sz w:val="32"/>
                <w:szCs w:val="32"/>
              </w:rPr>
            </w:pPr>
            <w:r>
              <w:rPr>
                <w:rFonts w:hint="eastAsia" w:ascii="黑体" w:hAnsi="宋体" w:eastAsia="黑体" w:cs="黑体"/>
                <w:b/>
                <w:color w:val="000000"/>
                <w:kern w:val="0"/>
                <w:sz w:val="32"/>
                <w:szCs w:val="32"/>
              </w:rPr>
              <w:t>财政拨款收支预算总表</w:t>
            </w:r>
          </w:p>
        </w:tc>
      </w:tr>
      <w:tr>
        <w:tblPrEx>
          <w:tblLayout w:type="fixed"/>
          <w:tblCellMar>
            <w:top w:w="15" w:type="dxa"/>
            <w:left w:w="15" w:type="dxa"/>
            <w:bottom w:w="15" w:type="dxa"/>
            <w:right w:w="15" w:type="dxa"/>
          </w:tblCellMar>
        </w:tblPrEx>
        <w:trPr>
          <w:trHeight w:val="330" w:hRule="atLeast"/>
        </w:trPr>
        <w:tc>
          <w:tcPr>
            <w:tcW w:w="3950" w:type="dxa"/>
            <w:gridSpan w:val="3"/>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183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49"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7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8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777" w:type="dxa"/>
            <w:gridSpan w:val="3"/>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3950"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9816" w:type="dxa"/>
            <w:gridSpan w:val="7"/>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r>
      <w:tr>
        <w:tblPrEx>
          <w:tblLayout w:type="fixed"/>
          <w:tblCellMar>
            <w:top w:w="15" w:type="dxa"/>
            <w:left w:w="15" w:type="dxa"/>
            <w:bottom w:w="15" w:type="dxa"/>
            <w:right w:w="15" w:type="dxa"/>
          </w:tblCellMar>
        </w:tblPrEx>
        <w:trPr>
          <w:trHeight w:val="42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529"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183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849"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705"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w:t>
            </w:r>
          </w:p>
        </w:tc>
        <w:tc>
          <w:tcPr>
            <w:tcW w:w="2461"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政府性基金预算</w:t>
            </w:r>
          </w:p>
        </w:tc>
        <w:tc>
          <w:tcPr>
            <w:tcW w:w="2968"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w:t>
            </w: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一、本年收入</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一般公共服务支出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外交支出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国防支出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一、上年结转</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公共安全支出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教育支出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科学技术支出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文化旅游体育与传媒支出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社会保障和就业支出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56.06</w:t>
            </w: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56.06</w:t>
            </w: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社会保险基金支出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卫生健康支出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节能环保支出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城乡社区支出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农林水支出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交通运输支出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资源勘探工业信息等支出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商业服务业等支出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金融支出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援助其他地区支出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自然资源海洋气象等支出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住房保障支出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31.08</w:t>
            </w: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31.08</w:t>
            </w: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粮油物资储备支出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国有资本经营预算支出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灾害防治及应急管理支出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其他支出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债务还本支出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债务付息支出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债务发行费用支出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42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5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抗疫特别国债安排的支出</w:t>
            </w:r>
          </w:p>
        </w:tc>
        <w:tc>
          <w:tcPr>
            <w:tcW w:w="84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05"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461"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6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bl>
    <w:p>
      <w:pPr>
        <w:rPr>
          <w:rFonts w:ascii="仿宋_GB2312" w:hAnsi="黑体" w:eastAsia="仿宋_GB2312"/>
          <w:sz w:val="32"/>
          <w:szCs w:val="32"/>
        </w:rPr>
      </w:pPr>
    </w:p>
    <w:p>
      <w:pPr>
        <w:pStyle w:val="2"/>
        <w:ind w:firstLine="640"/>
        <w:rPr>
          <w:rFonts w:ascii="仿宋_GB2312" w:hAnsi="黑体" w:eastAsia="仿宋_GB2312"/>
          <w:sz w:val="32"/>
          <w:szCs w:val="32"/>
        </w:rPr>
      </w:pPr>
    </w:p>
    <w:p>
      <w:pPr>
        <w:rPr>
          <w:rFonts w:ascii="仿宋_GB2312" w:hAnsi="黑体" w:eastAsia="仿宋_GB2312"/>
          <w:sz w:val="32"/>
          <w:szCs w:val="32"/>
        </w:rPr>
      </w:pPr>
    </w:p>
    <w:p>
      <w:pPr>
        <w:pStyle w:val="2"/>
        <w:ind w:firstLine="640"/>
        <w:rPr>
          <w:rFonts w:ascii="仿宋_GB2312" w:hAnsi="黑体" w:eastAsia="仿宋_GB2312"/>
          <w:sz w:val="32"/>
          <w:szCs w:val="32"/>
        </w:rPr>
      </w:pPr>
    </w:p>
    <w:p>
      <w:pPr>
        <w:rPr>
          <w:rFonts w:ascii="仿宋_GB2312" w:hAnsi="黑体" w:eastAsia="仿宋_GB2312"/>
          <w:sz w:val="32"/>
          <w:szCs w:val="32"/>
        </w:rPr>
      </w:pPr>
    </w:p>
    <w:p>
      <w:pPr>
        <w:pStyle w:val="2"/>
        <w:ind w:firstLine="640"/>
        <w:rPr>
          <w:rFonts w:ascii="仿宋_GB2312" w:hAnsi="黑体" w:eastAsia="仿宋_GB2312"/>
          <w:sz w:val="32"/>
          <w:szCs w:val="32"/>
        </w:rPr>
      </w:pPr>
    </w:p>
    <w:p>
      <w:pPr>
        <w:rPr>
          <w:rFonts w:ascii="仿宋_GB2312" w:hAnsi="黑体" w:eastAsia="仿宋_GB2312"/>
          <w:sz w:val="32"/>
          <w:szCs w:val="32"/>
        </w:rPr>
      </w:pPr>
    </w:p>
    <w:p>
      <w:pPr>
        <w:pStyle w:val="2"/>
        <w:ind w:firstLine="640"/>
        <w:rPr>
          <w:rFonts w:ascii="仿宋_GB2312" w:hAnsi="黑体" w:eastAsia="仿宋_GB2312"/>
          <w:sz w:val="32"/>
          <w:szCs w:val="32"/>
        </w:rPr>
      </w:pPr>
    </w:p>
    <w:p>
      <w:pPr/>
    </w:p>
    <w:p>
      <w:pPr>
        <w:pStyle w:val="2"/>
      </w:pPr>
    </w:p>
    <w:p>
      <w:pPr/>
    </w:p>
    <w:tbl>
      <w:tblPr>
        <w:tblStyle w:val="11"/>
        <w:tblW w:w="13978" w:type="dxa"/>
        <w:tblInd w:w="0" w:type="dxa"/>
        <w:tblLayout w:type="fixed"/>
        <w:tblCellMar>
          <w:top w:w="15" w:type="dxa"/>
          <w:left w:w="15" w:type="dxa"/>
          <w:bottom w:w="15" w:type="dxa"/>
          <w:right w:w="15" w:type="dxa"/>
        </w:tblCellMar>
      </w:tblPr>
      <w:tblGrid>
        <w:gridCol w:w="366"/>
        <w:gridCol w:w="263"/>
        <w:gridCol w:w="700"/>
        <w:gridCol w:w="555"/>
        <w:gridCol w:w="708"/>
        <w:gridCol w:w="711"/>
        <w:gridCol w:w="706"/>
        <w:gridCol w:w="710"/>
        <w:gridCol w:w="289"/>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510"/>
        <w:gridCol w:w="252"/>
      </w:tblGrid>
      <w:tr>
        <w:tblPrEx>
          <w:tblLayout w:type="fixed"/>
          <w:tblCellMar>
            <w:top w:w="15" w:type="dxa"/>
            <w:left w:w="15" w:type="dxa"/>
            <w:bottom w:w="15" w:type="dxa"/>
            <w:right w:w="15" w:type="dxa"/>
          </w:tblCellMar>
        </w:tblPrEx>
        <w:trPr>
          <w:trHeight w:val="285" w:hRule="atLeast"/>
        </w:trPr>
        <w:tc>
          <w:tcPr>
            <w:tcW w:w="629"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70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0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1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0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8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0"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rPr>
              <w:t>表5</w:t>
            </w:r>
          </w:p>
        </w:tc>
        <w:tc>
          <w:tcPr>
            <w:tcW w:w="30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2" w:type="dxa"/>
            <w:tcBorders>
              <w:top w:val="single" w:color="FFFFFF" w:sz="4" w:space="0"/>
              <w:left w:val="single" w:color="FFFFFF" w:sz="4" w:space="0"/>
              <w:bottom w:val="single" w:color="FFFFFF" w:sz="4" w:space="0"/>
              <w:right w:val="single" w:color="FFFFFF"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3978" w:type="dxa"/>
            <w:gridSpan w:val="3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财政拨款支出预算表（部门经济分类科目）</w:t>
            </w:r>
          </w:p>
        </w:tc>
      </w:tr>
      <w:tr>
        <w:tblPrEx>
          <w:tblLayout w:type="fixed"/>
          <w:tblCellMar>
            <w:top w:w="15" w:type="dxa"/>
            <w:left w:w="15" w:type="dxa"/>
            <w:bottom w:w="15" w:type="dxa"/>
            <w:right w:w="15" w:type="dxa"/>
          </w:tblCellMar>
        </w:tblPrEx>
        <w:trPr>
          <w:trHeight w:val="330" w:hRule="atLeast"/>
        </w:trPr>
        <w:tc>
          <w:tcPr>
            <w:tcW w:w="4009" w:type="dxa"/>
            <w:gridSpan w:val="7"/>
            <w:tcBorders>
              <w:top w:val="single" w:color="FFFFFF" w:sz="4" w:space="0"/>
              <w:left w:val="single" w:color="FFFFFF" w:sz="4" w:space="0"/>
              <w:right w:val="single" w:color="FFFFFF"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71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89"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42" w:type="dxa"/>
            <w:gridSpan w:val="9"/>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c>
          <w:tcPr>
            <w:tcW w:w="25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420" w:hRule="atLeast"/>
        </w:trPr>
        <w:tc>
          <w:tcPr>
            <w:tcW w:w="1884" w:type="dxa"/>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708"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4240" w:type="dxa"/>
            <w:gridSpan w:val="10"/>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省级当年财政拨款安排</w:t>
            </w:r>
          </w:p>
        </w:tc>
        <w:tc>
          <w:tcPr>
            <w:tcW w:w="3040" w:type="dxa"/>
            <w:gridSpan w:val="10"/>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中央提前通知专项转移支付等</w:t>
            </w:r>
          </w:p>
        </w:tc>
        <w:tc>
          <w:tcPr>
            <w:tcW w:w="4106" w:type="dxa"/>
            <w:gridSpan w:val="1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上年结转安排</w:t>
            </w:r>
          </w:p>
        </w:tc>
      </w:tr>
      <w:tr>
        <w:tblPrEx>
          <w:tblLayout w:type="fixed"/>
          <w:tblCellMar>
            <w:top w:w="15" w:type="dxa"/>
            <w:left w:w="15" w:type="dxa"/>
            <w:bottom w:w="15" w:type="dxa"/>
            <w:right w:w="15" w:type="dxa"/>
          </w:tblCellMar>
        </w:tblPrEx>
        <w:trPr>
          <w:trHeight w:val="420" w:hRule="atLeast"/>
        </w:trPr>
        <w:tc>
          <w:tcPr>
            <w:tcW w:w="629"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700"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555"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708"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711"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705"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91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政府性基金安排</w:t>
            </w:r>
          </w:p>
        </w:tc>
        <w:tc>
          <w:tcPr>
            <w:tcW w:w="91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国有资本经营预算安排</w:t>
            </w:r>
          </w:p>
        </w:tc>
        <w:tc>
          <w:tcPr>
            <w:tcW w:w="304"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91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91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政府性基金安排</w:t>
            </w:r>
          </w:p>
        </w:tc>
        <w:tc>
          <w:tcPr>
            <w:tcW w:w="91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国有资本经营预算安排</w:t>
            </w:r>
          </w:p>
        </w:tc>
        <w:tc>
          <w:tcPr>
            <w:tcW w:w="304"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91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91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政府性基金安排</w:t>
            </w:r>
          </w:p>
        </w:tc>
        <w:tc>
          <w:tcPr>
            <w:tcW w:w="91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国有资本经营预算安排</w:t>
            </w:r>
          </w:p>
        </w:tc>
        <w:tc>
          <w:tcPr>
            <w:tcW w:w="106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上年应返还额度结转</w:t>
            </w:r>
          </w:p>
        </w:tc>
      </w:tr>
      <w:tr>
        <w:tblPrEx>
          <w:tblLayout w:type="fixed"/>
          <w:tblCellMar>
            <w:top w:w="15" w:type="dxa"/>
            <w:left w:w="15" w:type="dxa"/>
            <w:bottom w:w="15" w:type="dxa"/>
            <w:right w:w="15" w:type="dxa"/>
          </w:tblCellMar>
        </w:tblPrEx>
        <w:trPr>
          <w:trHeight w:val="420" w:hRule="atLeast"/>
        </w:trPr>
        <w:tc>
          <w:tcPr>
            <w:tcW w:w="366"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26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700"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555"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708"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711"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706"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710"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89"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304"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304"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30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510"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5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0"/>
                <w:szCs w:val="16"/>
              </w:rPr>
            </w:pP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0"/>
                <w:szCs w:val="16"/>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0"/>
                <w:szCs w:val="16"/>
              </w:rPr>
            </w:pPr>
          </w:p>
        </w:tc>
        <w:tc>
          <w:tcPr>
            <w:tcW w:w="55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color w:val="000000"/>
                <w:sz w:val="20"/>
                <w:szCs w:val="20"/>
              </w:rPr>
            </w:pPr>
            <w:r>
              <w:rPr>
                <w:rFonts w:hint="eastAsia" w:asciiTheme="minorEastAsia" w:hAnsiTheme="minorEastAsia" w:eastAsiaTheme="minorEastAsia" w:cstheme="minorEastAsia"/>
                <w:b/>
                <w:i w:val="0"/>
                <w:color w:val="000000"/>
                <w:kern w:val="0"/>
                <w:sz w:val="20"/>
                <w:szCs w:val="20"/>
                <w:u w:val="none"/>
                <w:lang w:val="en-US" w:eastAsia="zh-CN" w:bidi="ar"/>
              </w:rPr>
              <w:t>合    计</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0"/>
                <w:szCs w:val="20"/>
              </w:rPr>
            </w:pPr>
            <w:r>
              <w:rPr>
                <w:rFonts w:hint="eastAsia" w:asciiTheme="minorEastAsia" w:hAnsiTheme="minorEastAsia" w:eastAsiaTheme="minorEastAsia" w:cstheme="minorEastAsia"/>
                <w:b/>
                <w:i w:val="0"/>
                <w:color w:val="000000"/>
                <w:kern w:val="0"/>
                <w:sz w:val="20"/>
                <w:szCs w:val="20"/>
                <w:u w:val="none"/>
                <w:lang w:val="en-US" w:eastAsia="zh-CN" w:bidi="ar"/>
              </w:rPr>
              <w:t>339.91</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0"/>
                <w:szCs w:val="20"/>
              </w:rPr>
            </w:pPr>
            <w:r>
              <w:rPr>
                <w:rFonts w:hint="eastAsia" w:asciiTheme="minorEastAsia" w:hAnsiTheme="minorEastAsia" w:eastAsiaTheme="minorEastAsia" w:cstheme="minorEastAsia"/>
                <w:b/>
                <w:i w:val="0"/>
                <w:color w:val="000000"/>
                <w:kern w:val="0"/>
                <w:sz w:val="20"/>
                <w:szCs w:val="20"/>
                <w:u w:val="none"/>
                <w:lang w:val="en-US" w:eastAsia="zh-CN" w:bidi="ar"/>
              </w:rPr>
              <w:t>339.91</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0"/>
                <w:szCs w:val="20"/>
              </w:rPr>
            </w:pPr>
            <w:r>
              <w:rPr>
                <w:rFonts w:hint="eastAsia" w:asciiTheme="minorEastAsia" w:hAnsiTheme="minorEastAsia" w:eastAsiaTheme="minorEastAsia" w:cstheme="minorEastAsia"/>
                <w:b/>
                <w:i w:val="0"/>
                <w:color w:val="000000"/>
                <w:kern w:val="0"/>
                <w:sz w:val="20"/>
                <w:szCs w:val="20"/>
                <w:u w:val="none"/>
                <w:lang w:val="en-US" w:eastAsia="zh-CN" w:bidi="ar"/>
              </w:rPr>
              <w:t>339.91</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0"/>
                <w:szCs w:val="20"/>
              </w:rPr>
            </w:pPr>
            <w:r>
              <w:rPr>
                <w:rFonts w:hint="eastAsia" w:asciiTheme="minorEastAsia" w:hAnsiTheme="minorEastAsia" w:eastAsiaTheme="minorEastAsia" w:cstheme="minorEastAsia"/>
                <w:b/>
                <w:i w:val="0"/>
                <w:color w:val="000000"/>
                <w:kern w:val="0"/>
                <w:sz w:val="20"/>
                <w:szCs w:val="20"/>
                <w:u w:val="none"/>
                <w:lang w:val="en-US" w:eastAsia="zh-CN" w:bidi="ar"/>
              </w:rPr>
              <w:t>339.91</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0"/>
                <w:szCs w:val="16"/>
              </w:rPr>
            </w:pP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0"/>
                <w:szCs w:val="16"/>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0"/>
                <w:szCs w:val="16"/>
              </w:rPr>
            </w:pP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0"/>
                <w:szCs w:val="16"/>
              </w:rPr>
            </w:pP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339.91</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339.91</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339.91</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339.91</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0"/>
                <w:szCs w:val="16"/>
              </w:rPr>
            </w:pP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0"/>
                <w:szCs w:val="16"/>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0"/>
                <w:szCs w:val="16"/>
              </w:rPr>
            </w:pP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双河镇便民服务中心</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339.91</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339.91</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339.91</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339.91</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0"/>
                <w:szCs w:val="16"/>
              </w:rPr>
            </w:pP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0"/>
                <w:szCs w:val="16"/>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0"/>
                <w:szCs w:val="16"/>
              </w:rPr>
            </w:pP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工资福利支出</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325.89</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325.89</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325.89</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325.89</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基本工资</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65.53</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65.53</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65.53</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65.53</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津贴补贴</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23.37</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23.37</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23.37</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23.37</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艰苦边远地区津贴</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15.31</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15.31</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15.31</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15.31</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高海拔地区折算工龄补贴</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0.11</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0.11</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0.11</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0.11</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乡镇工作补贴</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5.10</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5.10</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5.10</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5.10</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其他国家津补贴</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2.85</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2.85</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2.85</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2.85</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03</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奖金</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64.08</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64.08</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64.08</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64.08</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03</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年终一次性奖金</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5.46</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5.46</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5.46</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5.46</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03</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基础绩效奖</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58.62</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58.62</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58.62</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58.62</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07</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绩效工资</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57.77</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57.77</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57.77</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57.77</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08</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机关事业单位基本养老保险缴费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35.35</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35.35</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35.35</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35.35</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09</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职业年金缴费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20.71</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20.71</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20.71</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20.71</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10</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职工基本医疗保险缴费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18.12</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18.12</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18.12</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18.12</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其他社会保障缴费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9.87</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9.87</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9.87</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9.87</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工伤保险</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0.88</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0.88</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0.88</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0.88</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失业保险</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1.21</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1.21</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1.21</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1.21</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残保金</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3.44</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3.44</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3.44</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3.44</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其他社会保险费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4.33</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4.33</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4.33</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4.33</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301</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13</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住房公积金</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31.08</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31.08</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31.08</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31.08</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0"/>
                <w:szCs w:val="16"/>
              </w:rPr>
            </w:pP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0"/>
                <w:szCs w:val="16"/>
              </w:rPr>
            </w:pP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0"/>
                <w:szCs w:val="16"/>
              </w:rPr>
            </w:pP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商品和服务支出</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14.03</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14.03</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14.03</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14.03</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302</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办公费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2.00</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2.00</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2.00</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2.00</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302</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印刷费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0.10</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0.10</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0.10</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0.10</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302</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05</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水费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0.03</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0.03</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0.03</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0.03</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302</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06</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电费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0.20</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0.20</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0.20</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0.20</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7"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302</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07</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邮电费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0.04</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0.04</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0.04</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0.04</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302</w:t>
            </w:r>
          </w:p>
        </w:tc>
        <w:tc>
          <w:tcPr>
            <w:tcW w:w="26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08</w:t>
            </w:r>
          </w:p>
        </w:tc>
        <w:tc>
          <w:tcPr>
            <w:tcW w:w="7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308003</w:t>
            </w:r>
          </w:p>
        </w:tc>
        <w:tc>
          <w:tcPr>
            <w:tcW w:w="55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 xml:space="preserve">   取暖费</w:t>
            </w:r>
          </w:p>
        </w:tc>
        <w:tc>
          <w:tcPr>
            <w:tcW w:w="7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1.00</w:t>
            </w:r>
          </w:p>
        </w:tc>
        <w:tc>
          <w:tcPr>
            <w:tcW w:w="71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1.00</w:t>
            </w:r>
          </w:p>
        </w:tc>
        <w:tc>
          <w:tcPr>
            <w:tcW w:w="70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1.00</w:t>
            </w:r>
          </w:p>
        </w:tc>
        <w:tc>
          <w:tcPr>
            <w:tcW w:w="7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color w:val="000000"/>
                <w:kern w:val="0"/>
                <w:sz w:val="20"/>
                <w:szCs w:val="20"/>
                <w:u w:val="none"/>
                <w:lang w:val="en-US" w:eastAsia="zh-CN" w:bidi="ar"/>
              </w:rPr>
              <w:t>1.00</w:t>
            </w:r>
          </w:p>
        </w:tc>
        <w:tc>
          <w:tcPr>
            <w:tcW w:w="28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51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bl>
    <w:p>
      <w:pPr>
        <w:pStyle w:val="2"/>
      </w:pPr>
    </w:p>
    <w:p>
      <w:pPr/>
    </w:p>
    <w:tbl>
      <w:tblPr>
        <w:tblStyle w:val="11"/>
        <w:tblW w:w="13217" w:type="dxa"/>
        <w:tblInd w:w="0" w:type="dxa"/>
        <w:tblLayout w:type="fixed"/>
        <w:tblCellMar>
          <w:top w:w="15" w:type="dxa"/>
          <w:left w:w="15" w:type="dxa"/>
          <w:bottom w:w="15" w:type="dxa"/>
          <w:right w:w="15" w:type="dxa"/>
        </w:tblCellMar>
      </w:tblPr>
      <w:tblGrid>
        <w:gridCol w:w="479"/>
        <w:gridCol w:w="433"/>
        <w:gridCol w:w="1074"/>
        <w:gridCol w:w="955"/>
        <w:gridCol w:w="3846"/>
        <w:gridCol w:w="898"/>
        <w:gridCol w:w="641"/>
        <w:gridCol w:w="2071"/>
        <w:gridCol w:w="2820"/>
      </w:tblGrid>
      <w:tr>
        <w:tblPrEx>
          <w:tblLayout w:type="fixed"/>
          <w:tblCellMar>
            <w:top w:w="15" w:type="dxa"/>
            <w:left w:w="15" w:type="dxa"/>
            <w:bottom w:w="15" w:type="dxa"/>
            <w:right w:w="15" w:type="dxa"/>
          </w:tblCellMar>
        </w:tblPrEx>
        <w:trPr>
          <w:trHeight w:val="285" w:hRule="atLeast"/>
        </w:trPr>
        <w:tc>
          <w:tcPr>
            <w:tcW w:w="1986"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9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84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430"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表6</w:t>
            </w:r>
          </w:p>
        </w:tc>
      </w:tr>
      <w:tr>
        <w:tblPrEx>
          <w:tblLayout w:type="fixed"/>
          <w:tblCellMar>
            <w:top w:w="15" w:type="dxa"/>
            <w:left w:w="15" w:type="dxa"/>
            <w:bottom w:w="15" w:type="dxa"/>
            <w:right w:w="15" w:type="dxa"/>
          </w:tblCellMar>
        </w:tblPrEx>
        <w:trPr>
          <w:trHeight w:val="390" w:hRule="atLeast"/>
        </w:trPr>
        <w:tc>
          <w:tcPr>
            <w:tcW w:w="13217" w:type="dxa"/>
            <w:gridSpan w:val="9"/>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一般公共预算支出预算表</w:t>
            </w:r>
          </w:p>
        </w:tc>
      </w:tr>
      <w:tr>
        <w:tblPrEx>
          <w:tblLayout w:type="fixed"/>
          <w:tblCellMar>
            <w:top w:w="15" w:type="dxa"/>
            <w:left w:w="15" w:type="dxa"/>
            <w:bottom w:w="15" w:type="dxa"/>
            <w:right w:w="15" w:type="dxa"/>
          </w:tblCellMar>
        </w:tblPrEx>
        <w:trPr>
          <w:trHeight w:val="330" w:hRule="atLeast"/>
        </w:trPr>
        <w:tc>
          <w:tcPr>
            <w:tcW w:w="6787"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89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12"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820" w:type="dxa"/>
            <w:tcBorders>
              <w:top w:val="single" w:color="FFFFFF" w:sz="4" w:space="0"/>
              <w:left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6787"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539"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207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当年财政拨款安排</w:t>
            </w:r>
          </w:p>
        </w:tc>
        <w:tc>
          <w:tcPr>
            <w:tcW w:w="28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上年结转安排</w:t>
            </w:r>
          </w:p>
        </w:tc>
      </w:tr>
      <w:tr>
        <w:tblPrEx>
          <w:tblLayout w:type="fixed"/>
          <w:tblCellMar>
            <w:top w:w="15" w:type="dxa"/>
            <w:left w:w="15" w:type="dxa"/>
            <w:bottom w:w="15" w:type="dxa"/>
            <w:right w:w="15" w:type="dxa"/>
          </w:tblCellMar>
        </w:tblPrEx>
        <w:trPr>
          <w:trHeight w:val="420" w:hRule="atLeast"/>
        </w:trPr>
        <w:tc>
          <w:tcPr>
            <w:tcW w:w="1986"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9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384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539"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07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8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420" w:hRule="atLeast"/>
        </w:trPr>
        <w:tc>
          <w:tcPr>
            <w:tcW w:w="479"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433"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74"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9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84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539"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07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8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479"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433"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74"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95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3846"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53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339.91</w:t>
            </w:r>
          </w:p>
        </w:tc>
        <w:tc>
          <w:tcPr>
            <w:tcW w:w="207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339.91</w:t>
            </w:r>
          </w:p>
        </w:tc>
        <w:tc>
          <w:tcPr>
            <w:tcW w:w="282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479"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3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7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9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846"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3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207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282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79"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3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7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9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846"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双河镇政府部门</w:t>
            </w:r>
          </w:p>
        </w:tc>
        <w:tc>
          <w:tcPr>
            <w:tcW w:w="153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207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282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79"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43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7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事业运行</w:t>
            </w:r>
          </w:p>
        </w:tc>
        <w:tc>
          <w:tcPr>
            <w:tcW w:w="153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207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28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79"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3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7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机关事业单位基本养老保险缴费支出</w:t>
            </w:r>
          </w:p>
        </w:tc>
        <w:tc>
          <w:tcPr>
            <w:tcW w:w="153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35.35</w:t>
            </w:r>
          </w:p>
        </w:tc>
        <w:tc>
          <w:tcPr>
            <w:tcW w:w="207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35.35</w:t>
            </w:r>
          </w:p>
        </w:tc>
        <w:tc>
          <w:tcPr>
            <w:tcW w:w="28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79"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3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7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机关事业单位职业年金缴费支出</w:t>
            </w:r>
          </w:p>
        </w:tc>
        <w:tc>
          <w:tcPr>
            <w:tcW w:w="153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20.71</w:t>
            </w:r>
          </w:p>
        </w:tc>
        <w:tc>
          <w:tcPr>
            <w:tcW w:w="207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20.71</w:t>
            </w:r>
          </w:p>
        </w:tc>
        <w:tc>
          <w:tcPr>
            <w:tcW w:w="28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79"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3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107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事业单位医疗</w:t>
            </w:r>
          </w:p>
        </w:tc>
        <w:tc>
          <w:tcPr>
            <w:tcW w:w="153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207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28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79"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w:t>
            </w:r>
          </w:p>
        </w:tc>
        <w:tc>
          <w:tcPr>
            <w:tcW w:w="43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07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9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846"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住房公积金</w:t>
            </w:r>
          </w:p>
        </w:tc>
        <w:tc>
          <w:tcPr>
            <w:tcW w:w="153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31.08</w:t>
            </w:r>
          </w:p>
        </w:tc>
        <w:tc>
          <w:tcPr>
            <w:tcW w:w="207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31.08</w:t>
            </w:r>
          </w:p>
        </w:tc>
        <w:tc>
          <w:tcPr>
            <w:tcW w:w="282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pStyle w:val="2"/>
      </w:pPr>
    </w:p>
    <w:p>
      <w:pPr/>
    </w:p>
    <w:p>
      <w:pPr>
        <w:pStyle w:val="2"/>
      </w:pPr>
    </w:p>
    <w:p>
      <w:pPr/>
    </w:p>
    <w:p>
      <w:pPr>
        <w:pStyle w:val="2"/>
      </w:pPr>
    </w:p>
    <w:p>
      <w:pPr/>
    </w:p>
    <w:tbl>
      <w:tblPr>
        <w:tblStyle w:val="11"/>
        <w:tblW w:w="12822" w:type="dxa"/>
        <w:tblInd w:w="0" w:type="dxa"/>
        <w:tblLayout w:type="fixed"/>
        <w:tblCellMar>
          <w:top w:w="15" w:type="dxa"/>
          <w:left w:w="15" w:type="dxa"/>
          <w:bottom w:w="15" w:type="dxa"/>
          <w:right w:w="15" w:type="dxa"/>
        </w:tblCellMar>
      </w:tblPr>
      <w:tblGrid>
        <w:gridCol w:w="714"/>
        <w:gridCol w:w="1034"/>
        <w:gridCol w:w="1901"/>
        <w:gridCol w:w="4678"/>
        <w:gridCol w:w="1896"/>
        <w:gridCol w:w="1059"/>
        <w:gridCol w:w="1540"/>
      </w:tblGrid>
      <w:tr>
        <w:tblPrEx>
          <w:tblLayout w:type="fixed"/>
          <w:tblCellMar>
            <w:top w:w="15" w:type="dxa"/>
            <w:left w:w="15" w:type="dxa"/>
            <w:bottom w:w="15" w:type="dxa"/>
            <w:right w:w="15" w:type="dxa"/>
          </w:tblCellMar>
        </w:tblPrEx>
        <w:trPr>
          <w:trHeight w:val="285" w:hRule="atLeast"/>
        </w:trPr>
        <w:tc>
          <w:tcPr>
            <w:tcW w:w="1748"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90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67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89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5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540"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4"/>
                <w:szCs w:val="24"/>
              </w:rPr>
            </w:pPr>
            <w:r>
              <w:rPr>
                <w:rFonts w:ascii="宋体" w:hAnsi="宋体" w:eastAsia="宋体" w:cs="宋体"/>
                <w:color w:val="000000"/>
                <w:kern w:val="0"/>
                <w:sz w:val="24"/>
                <w:szCs w:val="24"/>
              </w:rPr>
              <w:t>表7</w:t>
            </w:r>
          </w:p>
        </w:tc>
      </w:tr>
      <w:tr>
        <w:tblPrEx>
          <w:tblLayout w:type="fixed"/>
          <w:tblCellMar>
            <w:top w:w="15" w:type="dxa"/>
            <w:left w:w="15" w:type="dxa"/>
            <w:bottom w:w="15" w:type="dxa"/>
            <w:right w:w="15" w:type="dxa"/>
          </w:tblCellMar>
        </w:tblPrEx>
        <w:trPr>
          <w:trHeight w:val="390" w:hRule="atLeast"/>
        </w:trPr>
        <w:tc>
          <w:tcPr>
            <w:tcW w:w="12822"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一般公共预算基本支出预算表</w:t>
            </w:r>
          </w:p>
        </w:tc>
      </w:tr>
      <w:tr>
        <w:tblPrEx>
          <w:tblLayout w:type="fixed"/>
          <w:tblCellMar>
            <w:top w:w="15" w:type="dxa"/>
            <w:left w:w="15" w:type="dxa"/>
            <w:bottom w:w="15" w:type="dxa"/>
            <w:right w:w="15" w:type="dxa"/>
          </w:tblCellMar>
        </w:tblPrEx>
        <w:trPr>
          <w:trHeight w:val="330" w:hRule="atLeast"/>
        </w:trPr>
        <w:tc>
          <w:tcPr>
            <w:tcW w:w="8327" w:type="dxa"/>
            <w:gridSpan w:val="4"/>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1896" w:type="dxa"/>
            <w:shd w:val="clear" w:color="auto" w:fill="auto"/>
            <w:vAlign w:val="center"/>
          </w:tcPr>
          <w:p>
            <w:pPr>
              <w:rPr>
                <w:rFonts w:ascii="宋体" w:hAnsi="宋体" w:eastAsia="宋体" w:cs="宋体"/>
                <w:color w:val="000000"/>
                <w:sz w:val="22"/>
              </w:rPr>
            </w:pPr>
          </w:p>
        </w:tc>
        <w:tc>
          <w:tcPr>
            <w:tcW w:w="1059"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540" w:type="dxa"/>
            <w:tcBorders>
              <w:top w:val="single" w:color="FFFFFF" w:sz="4" w:space="0"/>
              <w:left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8327" w:type="dxa"/>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4495"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r>
      <w:tr>
        <w:tblPrEx>
          <w:tblLayout w:type="fixed"/>
          <w:tblCellMar>
            <w:top w:w="15" w:type="dxa"/>
            <w:left w:w="15" w:type="dxa"/>
            <w:bottom w:w="15" w:type="dxa"/>
            <w:right w:w="15" w:type="dxa"/>
          </w:tblCellMar>
        </w:tblPrEx>
        <w:trPr>
          <w:trHeight w:val="420" w:hRule="atLeast"/>
        </w:trPr>
        <w:tc>
          <w:tcPr>
            <w:tcW w:w="1748"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901"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4678"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896"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059"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人员经费</w:t>
            </w:r>
          </w:p>
        </w:tc>
        <w:tc>
          <w:tcPr>
            <w:tcW w:w="1540"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公用经费</w:t>
            </w:r>
          </w:p>
        </w:tc>
      </w:tr>
      <w:tr>
        <w:tblPrEx>
          <w:tblLayout w:type="fixed"/>
          <w:tblCellMar>
            <w:top w:w="15" w:type="dxa"/>
            <w:left w:w="15" w:type="dxa"/>
            <w:bottom w:w="15" w:type="dxa"/>
            <w:right w:w="15" w:type="dxa"/>
          </w:tblCellMar>
        </w:tblPrEx>
        <w:trPr>
          <w:trHeight w:val="420" w:hRule="atLeast"/>
        </w:trPr>
        <w:tc>
          <w:tcPr>
            <w:tcW w:w="71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34"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901"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4678"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1896"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1059"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1540"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4678"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339.91</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325.89</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14.03</w:t>
            </w: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339.91</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双河镇便民服务中心</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339.91</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工资福利支出</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30101</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65.53</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65.53</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23.37</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23.37</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3010202</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15.31</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15.31</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3010203</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0.11</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0.11</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3010205</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乡镇工作补贴</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5.10</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5.10</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3010207</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2.85</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2.85</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30103</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64.08</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64.08</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3010301</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5.46</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5.46</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3010302</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58.62</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58.62</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30107</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57.77</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57.77</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30108</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35.35</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35.35</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30109</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20.71</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20.71</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30110</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18.12</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18.12</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9.87</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9.87</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3011201</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0.88</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0.88</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3011202</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1.21</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1.21</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3011206</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残保金</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3.44</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3.44</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3011299</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其他社会保险费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4.33</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4.33</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30113</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31.08</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31.08</w:t>
            </w: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30201</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2.00</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2.00</w:t>
            </w: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30202</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0.10</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0.10</w:t>
            </w: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30205</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水费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30206</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30207</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r>
      <w:tr>
        <w:tblPrEx>
          <w:tblLayout w:type="fixed"/>
          <w:tblCellMar>
            <w:top w:w="15" w:type="dxa"/>
            <w:left w:w="15" w:type="dxa"/>
            <w:bottom w:w="15" w:type="dxa"/>
            <w:right w:w="15" w:type="dxa"/>
          </w:tblCellMar>
        </w:tblPrEx>
        <w:trPr>
          <w:trHeight w:val="390" w:hRule="atLeast"/>
        </w:trPr>
        <w:tc>
          <w:tcPr>
            <w:tcW w:w="71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103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190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30208</w:t>
            </w:r>
          </w:p>
        </w:tc>
        <w:tc>
          <w:tcPr>
            <w:tcW w:w="467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取暖费</w:t>
            </w:r>
          </w:p>
        </w:tc>
        <w:tc>
          <w:tcPr>
            <w:tcW w:w="189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1.00</w:t>
            </w:r>
          </w:p>
        </w:tc>
        <w:tc>
          <w:tcPr>
            <w:tcW w:w="105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54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1.00</w:t>
            </w:r>
          </w:p>
        </w:tc>
      </w:tr>
    </w:tbl>
    <w:p>
      <w:pPr/>
    </w:p>
    <w:p>
      <w:pPr>
        <w:pStyle w:val="2"/>
      </w:pPr>
    </w:p>
    <w:p>
      <w:pPr>
        <w:rPr>
          <w:rFonts w:hint="eastAsia"/>
        </w:rPr>
      </w:pPr>
    </w:p>
    <w:tbl>
      <w:tblPr>
        <w:tblStyle w:val="11"/>
        <w:tblW w:w="13766" w:type="dxa"/>
        <w:tblInd w:w="0" w:type="dxa"/>
        <w:tblLayout w:type="fixed"/>
        <w:tblCellMar>
          <w:top w:w="15" w:type="dxa"/>
          <w:left w:w="15" w:type="dxa"/>
          <w:bottom w:w="15" w:type="dxa"/>
          <w:right w:w="15" w:type="dxa"/>
        </w:tblCellMar>
      </w:tblPr>
      <w:tblGrid>
        <w:gridCol w:w="735"/>
        <w:gridCol w:w="1080"/>
        <w:gridCol w:w="1080"/>
        <w:gridCol w:w="1590"/>
        <w:gridCol w:w="1380"/>
        <w:gridCol w:w="3540"/>
        <w:gridCol w:w="1118"/>
        <w:gridCol w:w="3243"/>
      </w:tblGrid>
      <w:tr>
        <w:tblPrEx>
          <w:tblLayout w:type="fixed"/>
          <w:tblCellMar>
            <w:top w:w="15" w:type="dxa"/>
            <w:left w:w="15" w:type="dxa"/>
            <w:bottom w:w="15" w:type="dxa"/>
            <w:right w:w="15" w:type="dxa"/>
          </w:tblCellMar>
        </w:tblPrEx>
        <w:trPr>
          <w:trHeight w:val="285" w:hRule="atLeast"/>
        </w:trPr>
        <w:tc>
          <w:tcPr>
            <w:tcW w:w="289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5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92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361"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表8</w:t>
            </w:r>
          </w:p>
        </w:tc>
      </w:tr>
      <w:tr>
        <w:tblPrEx>
          <w:tblLayout w:type="fixed"/>
          <w:tblCellMar>
            <w:top w:w="15" w:type="dxa"/>
            <w:left w:w="15" w:type="dxa"/>
            <w:bottom w:w="15" w:type="dxa"/>
            <w:right w:w="15" w:type="dxa"/>
          </w:tblCellMar>
        </w:tblPrEx>
        <w:trPr>
          <w:trHeight w:val="390" w:hRule="atLeast"/>
        </w:trPr>
        <w:tc>
          <w:tcPr>
            <w:tcW w:w="13766"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一般公共预算项目支出预算表</w:t>
            </w:r>
          </w:p>
        </w:tc>
      </w:tr>
      <w:tr>
        <w:tblPrEx>
          <w:tblLayout w:type="fixed"/>
          <w:tblCellMar>
            <w:top w:w="15" w:type="dxa"/>
            <w:left w:w="15" w:type="dxa"/>
            <w:bottom w:w="15" w:type="dxa"/>
            <w:right w:w="15" w:type="dxa"/>
          </w:tblCellMar>
        </w:tblPrEx>
        <w:trPr>
          <w:trHeight w:val="330" w:hRule="atLeast"/>
        </w:trPr>
        <w:tc>
          <w:tcPr>
            <w:tcW w:w="10523" w:type="dxa"/>
            <w:gridSpan w:val="7"/>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3243"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289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2970"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4658"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324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金额</w:t>
            </w:r>
          </w:p>
        </w:tc>
      </w:tr>
      <w:tr>
        <w:tblPrEx>
          <w:tblLayout w:type="fixed"/>
          <w:tblCellMar>
            <w:top w:w="15" w:type="dxa"/>
            <w:left w:w="15" w:type="dxa"/>
            <w:bottom w:w="15" w:type="dxa"/>
            <w:right w:w="15" w:type="dxa"/>
          </w:tblCellMar>
        </w:tblPrEx>
        <w:trPr>
          <w:trHeight w:val="420" w:hRule="atLeast"/>
        </w:trPr>
        <w:tc>
          <w:tcPr>
            <w:tcW w:w="735"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2970"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4658"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24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2970"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4658"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324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97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658"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r>
              <w:rPr>
                <w:rFonts w:hint="eastAsia" w:ascii="宋体" w:hAnsi="宋体" w:eastAsia="宋体" w:cs="宋体"/>
                <w:color w:val="000000"/>
                <w:sz w:val="22"/>
              </w:rPr>
              <w:t>此表无数据</w:t>
            </w:r>
          </w:p>
        </w:tc>
        <w:tc>
          <w:tcPr>
            <w:tcW w:w="324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97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658"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324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97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658"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324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97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658"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324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p>
    <w:p>
      <w:pPr>
        <w:pStyle w:val="2"/>
      </w:pPr>
    </w:p>
    <w:p>
      <w:pPr/>
    </w:p>
    <w:p>
      <w:pPr>
        <w:pStyle w:val="2"/>
      </w:pPr>
    </w:p>
    <w:p>
      <w:pPr/>
    </w:p>
    <w:p>
      <w:pPr>
        <w:pStyle w:val="2"/>
      </w:pPr>
    </w:p>
    <w:p>
      <w:pPr/>
    </w:p>
    <w:p>
      <w:pPr>
        <w:pStyle w:val="2"/>
      </w:pPr>
    </w:p>
    <w:p>
      <w:pPr/>
    </w:p>
    <w:p>
      <w:pPr>
        <w:pStyle w:val="2"/>
      </w:pPr>
    </w:p>
    <w:p>
      <w:pPr/>
    </w:p>
    <w:p>
      <w:pPr>
        <w:rPr>
          <w:rFonts w:hint="eastAsia"/>
        </w:rPr>
      </w:pPr>
    </w:p>
    <w:tbl>
      <w:tblPr>
        <w:tblStyle w:val="11"/>
        <w:tblW w:w="13766" w:type="dxa"/>
        <w:tblInd w:w="0" w:type="dxa"/>
        <w:tblLayout w:type="fixed"/>
        <w:tblCellMar>
          <w:top w:w="15" w:type="dxa"/>
          <w:left w:w="15" w:type="dxa"/>
          <w:bottom w:w="15" w:type="dxa"/>
          <w:right w:w="15" w:type="dxa"/>
        </w:tblCellMar>
      </w:tblPr>
      <w:tblGrid>
        <w:gridCol w:w="1125"/>
        <w:gridCol w:w="2430"/>
        <w:gridCol w:w="555"/>
        <w:gridCol w:w="1620"/>
        <w:gridCol w:w="1140"/>
        <w:gridCol w:w="1785"/>
        <w:gridCol w:w="210"/>
        <w:gridCol w:w="1560"/>
        <w:gridCol w:w="510"/>
        <w:gridCol w:w="2831"/>
      </w:tblGrid>
      <w:tr>
        <w:tblPrEx>
          <w:tblLayout w:type="fixed"/>
          <w:tblCellMar>
            <w:top w:w="15" w:type="dxa"/>
            <w:left w:w="15" w:type="dxa"/>
            <w:bottom w:w="15" w:type="dxa"/>
            <w:right w:w="15" w:type="dxa"/>
          </w:tblCellMar>
        </w:tblPrEx>
        <w:trPr>
          <w:trHeight w:val="285" w:hRule="atLeast"/>
        </w:trPr>
        <w:tc>
          <w:tcPr>
            <w:tcW w:w="112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4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62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4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7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341"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表9</w:t>
            </w:r>
          </w:p>
        </w:tc>
      </w:tr>
      <w:tr>
        <w:tblPrEx>
          <w:tblLayout w:type="fixed"/>
          <w:tblCellMar>
            <w:top w:w="15" w:type="dxa"/>
            <w:left w:w="15" w:type="dxa"/>
            <w:bottom w:w="15" w:type="dxa"/>
            <w:right w:w="15" w:type="dxa"/>
          </w:tblCellMar>
        </w:tblPrEx>
        <w:trPr>
          <w:trHeight w:val="390" w:hRule="atLeast"/>
        </w:trPr>
        <w:tc>
          <w:tcPr>
            <w:tcW w:w="13766"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textAlignment w:val="center"/>
              <w:rPr>
                <w:rFonts w:ascii="宋体" w:hAnsi="宋体" w:eastAsia="宋体" w:cs="宋体"/>
                <w:b/>
                <w:color w:val="000000"/>
                <w:kern w:val="0"/>
                <w:sz w:val="32"/>
                <w:szCs w:val="32"/>
              </w:rPr>
            </w:pPr>
          </w:p>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一般公共预算“三公”经费支出预算表</w:t>
            </w:r>
          </w:p>
        </w:tc>
      </w:tr>
      <w:tr>
        <w:tblPrEx>
          <w:tblLayout w:type="fixed"/>
          <w:tblCellMar>
            <w:top w:w="15" w:type="dxa"/>
            <w:left w:w="15" w:type="dxa"/>
            <w:bottom w:w="15" w:type="dxa"/>
            <w:right w:w="15" w:type="dxa"/>
          </w:tblCellMar>
        </w:tblPrEx>
        <w:trPr>
          <w:trHeight w:val="330" w:hRule="atLeast"/>
        </w:trPr>
        <w:tc>
          <w:tcPr>
            <w:tcW w:w="3555" w:type="dxa"/>
            <w:gridSpan w:val="2"/>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555"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620"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140"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785"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770" w:type="dxa"/>
            <w:gridSpan w:val="2"/>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3341" w:type="dxa"/>
            <w:gridSpan w:val="2"/>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11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单位编码</w:t>
            </w:r>
          </w:p>
        </w:tc>
        <w:tc>
          <w:tcPr>
            <w:tcW w:w="24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0211" w:type="dxa"/>
            <w:gridSpan w:val="8"/>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当年财政拨款预算安排</w:t>
            </w:r>
          </w:p>
        </w:tc>
      </w:tr>
      <w:tr>
        <w:tblPrEx>
          <w:tblLayout w:type="fixed"/>
          <w:tblCellMar>
            <w:top w:w="15" w:type="dxa"/>
            <w:left w:w="15" w:type="dxa"/>
            <w:bottom w:w="15" w:type="dxa"/>
            <w:right w:w="15" w:type="dxa"/>
          </w:tblCellMar>
        </w:tblPrEx>
        <w:trPr>
          <w:trHeight w:val="420" w:hRule="atLeast"/>
        </w:trPr>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4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5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6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因公出国（境）费用</w:t>
            </w:r>
          </w:p>
        </w:tc>
        <w:tc>
          <w:tcPr>
            <w:tcW w:w="5205"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公务用车购置及运行费</w:t>
            </w:r>
          </w:p>
        </w:tc>
        <w:tc>
          <w:tcPr>
            <w:tcW w:w="283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公务接待费</w:t>
            </w:r>
          </w:p>
        </w:tc>
      </w:tr>
      <w:tr>
        <w:tblPrEx>
          <w:tblLayout w:type="fixed"/>
          <w:tblCellMar>
            <w:top w:w="15" w:type="dxa"/>
            <w:left w:w="15" w:type="dxa"/>
            <w:bottom w:w="15" w:type="dxa"/>
            <w:right w:w="15" w:type="dxa"/>
          </w:tblCellMar>
        </w:tblPrEx>
        <w:trPr>
          <w:trHeight w:val="420" w:hRule="atLeast"/>
        </w:trPr>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4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5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6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14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1995"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公务用车购置费</w:t>
            </w:r>
          </w:p>
        </w:tc>
        <w:tc>
          <w:tcPr>
            <w:tcW w:w="207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公务用车运行费</w:t>
            </w:r>
          </w:p>
        </w:tc>
        <w:tc>
          <w:tcPr>
            <w:tcW w:w="283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112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24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55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0.28</w:t>
            </w:r>
          </w:p>
        </w:tc>
        <w:tc>
          <w:tcPr>
            <w:tcW w:w="162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b/>
                <w:color w:val="000000"/>
                <w:sz w:val="22"/>
              </w:rPr>
            </w:pPr>
          </w:p>
        </w:tc>
        <w:tc>
          <w:tcPr>
            <w:tcW w:w="114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b/>
                <w:color w:val="000000"/>
                <w:sz w:val="22"/>
              </w:rPr>
            </w:pPr>
          </w:p>
        </w:tc>
        <w:tc>
          <w:tcPr>
            <w:tcW w:w="1995"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b/>
                <w:color w:val="000000"/>
                <w:sz w:val="22"/>
              </w:rPr>
            </w:pPr>
          </w:p>
        </w:tc>
        <w:tc>
          <w:tcPr>
            <w:tcW w:w="2070"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b/>
                <w:color w:val="000000"/>
                <w:sz w:val="22"/>
              </w:rPr>
            </w:pPr>
          </w:p>
        </w:tc>
        <w:tc>
          <w:tcPr>
            <w:tcW w:w="283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0.28</w:t>
            </w:r>
          </w:p>
        </w:tc>
      </w:tr>
      <w:tr>
        <w:tblPrEx>
          <w:tblLayout w:type="fixed"/>
          <w:tblCellMar>
            <w:top w:w="15" w:type="dxa"/>
            <w:left w:w="15" w:type="dxa"/>
            <w:bottom w:w="15" w:type="dxa"/>
            <w:right w:w="15" w:type="dxa"/>
          </w:tblCellMar>
        </w:tblPrEx>
        <w:trPr>
          <w:trHeight w:val="390" w:hRule="atLeast"/>
        </w:trPr>
        <w:tc>
          <w:tcPr>
            <w:tcW w:w="112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4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5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0.28</w:t>
            </w:r>
          </w:p>
        </w:tc>
        <w:tc>
          <w:tcPr>
            <w:tcW w:w="162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114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1995"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2070"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283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0.28</w:t>
            </w:r>
          </w:p>
        </w:tc>
      </w:tr>
      <w:tr>
        <w:tblPrEx>
          <w:tblLayout w:type="fixed"/>
          <w:tblCellMar>
            <w:top w:w="15" w:type="dxa"/>
            <w:left w:w="15" w:type="dxa"/>
            <w:bottom w:w="15" w:type="dxa"/>
            <w:right w:w="15" w:type="dxa"/>
          </w:tblCellMar>
        </w:tblPrEx>
        <w:trPr>
          <w:trHeight w:val="390" w:hRule="atLeast"/>
        </w:trPr>
        <w:tc>
          <w:tcPr>
            <w:tcW w:w="112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24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双河镇便民服务中心</w:t>
            </w:r>
          </w:p>
        </w:tc>
        <w:tc>
          <w:tcPr>
            <w:tcW w:w="5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0.28</w:t>
            </w:r>
          </w:p>
        </w:tc>
        <w:tc>
          <w:tcPr>
            <w:tcW w:w="16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14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995"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070"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83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0.28</w:t>
            </w:r>
          </w:p>
        </w:tc>
      </w:tr>
    </w:tbl>
    <w:p>
      <w:pPr>
        <w:pStyle w:val="2"/>
      </w:pPr>
    </w:p>
    <w:p>
      <w:pPr/>
    </w:p>
    <w:p>
      <w:pPr>
        <w:pStyle w:val="2"/>
      </w:pPr>
    </w:p>
    <w:p>
      <w:pPr/>
    </w:p>
    <w:p>
      <w:pPr>
        <w:pStyle w:val="2"/>
      </w:pPr>
    </w:p>
    <w:p>
      <w:pPr/>
    </w:p>
    <w:p>
      <w:pPr>
        <w:pStyle w:val="2"/>
      </w:pPr>
    </w:p>
    <w:p>
      <w:pPr/>
    </w:p>
    <w:p>
      <w:pPr/>
    </w:p>
    <w:p>
      <w:pPr/>
    </w:p>
    <w:tbl>
      <w:tblPr>
        <w:tblStyle w:val="11"/>
        <w:tblW w:w="13756" w:type="dxa"/>
        <w:tblInd w:w="0" w:type="dxa"/>
        <w:tblLayout w:type="fixed"/>
        <w:tblCellMar>
          <w:top w:w="15" w:type="dxa"/>
          <w:left w:w="15" w:type="dxa"/>
          <w:bottom w:w="15" w:type="dxa"/>
          <w:right w:w="15" w:type="dxa"/>
        </w:tblCellMar>
      </w:tblPr>
      <w:tblGrid>
        <w:gridCol w:w="494"/>
        <w:gridCol w:w="434"/>
        <w:gridCol w:w="494"/>
        <w:gridCol w:w="1123"/>
        <w:gridCol w:w="2830"/>
        <w:gridCol w:w="1332"/>
        <w:gridCol w:w="700"/>
        <w:gridCol w:w="587"/>
        <w:gridCol w:w="2350"/>
        <w:gridCol w:w="3412"/>
      </w:tblGrid>
      <w:tr>
        <w:tblPrEx>
          <w:tblLayout w:type="fixed"/>
          <w:tblCellMar>
            <w:top w:w="15" w:type="dxa"/>
            <w:left w:w="15" w:type="dxa"/>
            <w:bottom w:w="15" w:type="dxa"/>
            <w:right w:w="15" w:type="dxa"/>
          </w:tblCellMar>
        </w:tblPrEx>
        <w:trPr>
          <w:trHeight w:val="285" w:hRule="atLeast"/>
        </w:trPr>
        <w:tc>
          <w:tcPr>
            <w:tcW w:w="1422"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12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8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3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87"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762"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表10</w:t>
            </w:r>
          </w:p>
        </w:tc>
      </w:tr>
      <w:tr>
        <w:tblPrEx>
          <w:tblLayout w:type="fixed"/>
          <w:tblCellMar>
            <w:top w:w="15" w:type="dxa"/>
            <w:left w:w="15" w:type="dxa"/>
            <w:bottom w:w="15" w:type="dxa"/>
            <w:right w:w="15" w:type="dxa"/>
          </w:tblCellMar>
        </w:tblPrEx>
        <w:trPr>
          <w:trHeight w:val="390" w:hRule="atLeast"/>
        </w:trPr>
        <w:tc>
          <w:tcPr>
            <w:tcW w:w="13756"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textAlignment w:val="center"/>
              <w:rPr>
                <w:rFonts w:ascii="宋体" w:hAnsi="宋体" w:eastAsia="宋体" w:cs="宋体"/>
                <w:b/>
                <w:color w:val="000000"/>
                <w:kern w:val="0"/>
                <w:sz w:val="32"/>
                <w:szCs w:val="32"/>
              </w:rPr>
            </w:pPr>
          </w:p>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政府性基金支出预算表</w:t>
            </w:r>
          </w:p>
        </w:tc>
      </w:tr>
      <w:tr>
        <w:tblPrEx>
          <w:tblLayout w:type="fixed"/>
          <w:tblCellMar>
            <w:top w:w="15" w:type="dxa"/>
            <w:left w:w="15" w:type="dxa"/>
            <w:bottom w:w="15" w:type="dxa"/>
            <w:right w:w="15" w:type="dxa"/>
          </w:tblCellMar>
        </w:tblPrEx>
        <w:trPr>
          <w:trHeight w:val="330" w:hRule="atLeast"/>
        </w:trPr>
        <w:tc>
          <w:tcPr>
            <w:tcW w:w="5375"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133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87"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762" w:type="dxa"/>
            <w:gridSpan w:val="2"/>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5375"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8381"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本年政府性基金预算支出</w:t>
            </w:r>
          </w:p>
        </w:tc>
      </w:tr>
      <w:tr>
        <w:tblPrEx>
          <w:tblLayout w:type="fixed"/>
          <w:tblCellMar>
            <w:top w:w="15" w:type="dxa"/>
            <w:left w:w="15" w:type="dxa"/>
            <w:bottom w:w="15" w:type="dxa"/>
            <w:right w:w="15" w:type="dxa"/>
          </w:tblCellMar>
        </w:tblPrEx>
        <w:trPr>
          <w:trHeight w:val="420" w:hRule="atLeast"/>
        </w:trPr>
        <w:tc>
          <w:tcPr>
            <w:tcW w:w="1422"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12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28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2032"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2937"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41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420" w:hRule="atLeast"/>
        </w:trPr>
        <w:tc>
          <w:tcPr>
            <w:tcW w:w="494"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434"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494"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12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8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032"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937"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41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49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43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49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12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2830"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2032"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2937"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341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4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3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83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032"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color w:val="000000"/>
                <w:sz w:val="22"/>
              </w:rPr>
              <w:t>此表无数据</w:t>
            </w:r>
          </w:p>
        </w:tc>
        <w:tc>
          <w:tcPr>
            <w:tcW w:w="2937"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341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3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83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032"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937"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341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3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2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83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2032"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937"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341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pStyle w:val="2"/>
      </w:pPr>
    </w:p>
    <w:p>
      <w:pPr/>
    </w:p>
    <w:tbl>
      <w:tblPr>
        <w:tblStyle w:val="11"/>
        <w:tblW w:w="12805" w:type="dxa"/>
        <w:tblInd w:w="0" w:type="dxa"/>
        <w:tblLayout w:type="fixed"/>
        <w:tblCellMar>
          <w:top w:w="15" w:type="dxa"/>
          <w:left w:w="15" w:type="dxa"/>
          <w:bottom w:w="15" w:type="dxa"/>
          <w:right w:w="15" w:type="dxa"/>
        </w:tblCellMar>
      </w:tblPr>
      <w:tblGrid>
        <w:gridCol w:w="1125"/>
        <w:gridCol w:w="2055"/>
        <w:gridCol w:w="765"/>
        <w:gridCol w:w="1590"/>
        <w:gridCol w:w="810"/>
        <w:gridCol w:w="1740"/>
        <w:gridCol w:w="1725"/>
        <w:gridCol w:w="407"/>
        <w:gridCol w:w="2588"/>
      </w:tblGrid>
      <w:tr>
        <w:tblPrEx>
          <w:tblLayout w:type="fixed"/>
          <w:tblCellMar>
            <w:top w:w="15" w:type="dxa"/>
            <w:left w:w="15" w:type="dxa"/>
            <w:bottom w:w="15" w:type="dxa"/>
            <w:right w:w="15" w:type="dxa"/>
          </w:tblCellMar>
        </w:tblPrEx>
        <w:trPr>
          <w:trHeight w:val="285" w:hRule="atLeast"/>
        </w:trPr>
        <w:tc>
          <w:tcPr>
            <w:tcW w:w="112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0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p>
            <w:pPr>
              <w:rPr>
                <w:rFonts w:ascii="宋体" w:hAnsi="宋体" w:eastAsia="宋体" w:cs="宋体"/>
                <w:color w:val="000000"/>
                <w:sz w:val="18"/>
                <w:szCs w:val="18"/>
              </w:rPr>
            </w:pPr>
          </w:p>
        </w:tc>
        <w:tc>
          <w:tcPr>
            <w:tcW w:w="76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5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4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2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9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pStyle w:val="2"/>
              <w:ind w:firstLine="440"/>
              <w:rPr>
                <w:rFonts w:ascii="宋体" w:hAnsi="宋体" w:eastAsia="宋体" w:cs="宋体"/>
                <w:color w:val="000000"/>
                <w:sz w:val="22"/>
              </w:rPr>
            </w:pPr>
          </w:p>
          <w:p>
            <w:pPr>
              <w:rPr>
                <w:rFonts w:ascii="宋体" w:hAnsi="宋体" w:eastAsia="宋体" w:cs="宋体"/>
                <w:color w:val="000000"/>
                <w:kern w:val="0"/>
                <w:sz w:val="22"/>
              </w:rPr>
            </w:pPr>
          </w:p>
          <w:p>
            <w:pPr>
              <w:pStyle w:val="2"/>
            </w:pPr>
          </w:p>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表11</w:t>
            </w:r>
          </w:p>
        </w:tc>
      </w:tr>
      <w:tr>
        <w:tblPrEx>
          <w:tblLayout w:type="fixed"/>
          <w:tblCellMar>
            <w:top w:w="15" w:type="dxa"/>
            <w:left w:w="15" w:type="dxa"/>
            <w:bottom w:w="15" w:type="dxa"/>
            <w:right w:w="15" w:type="dxa"/>
          </w:tblCellMar>
        </w:tblPrEx>
        <w:trPr>
          <w:trHeight w:val="390" w:hRule="atLeast"/>
        </w:trPr>
        <w:tc>
          <w:tcPr>
            <w:tcW w:w="12805" w:type="dxa"/>
            <w:gridSpan w:val="9"/>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政府性基金预算“三公”经费支出预算表</w:t>
            </w:r>
          </w:p>
        </w:tc>
      </w:tr>
      <w:tr>
        <w:tblPrEx>
          <w:tblLayout w:type="fixed"/>
          <w:tblCellMar>
            <w:top w:w="15" w:type="dxa"/>
            <w:left w:w="15" w:type="dxa"/>
            <w:bottom w:w="15" w:type="dxa"/>
            <w:right w:w="15" w:type="dxa"/>
          </w:tblCellMar>
        </w:tblPrEx>
        <w:trPr>
          <w:trHeight w:val="330" w:hRule="atLeast"/>
        </w:trPr>
        <w:tc>
          <w:tcPr>
            <w:tcW w:w="3945" w:type="dxa"/>
            <w:gridSpan w:val="3"/>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1590"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810"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740"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725"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2995" w:type="dxa"/>
            <w:gridSpan w:val="2"/>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11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单位编码</w:t>
            </w:r>
          </w:p>
        </w:tc>
        <w:tc>
          <w:tcPr>
            <w:tcW w:w="20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9625" w:type="dxa"/>
            <w:gridSpan w:val="7"/>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当年财政拨款预算安排</w:t>
            </w:r>
          </w:p>
        </w:tc>
      </w:tr>
      <w:tr>
        <w:tblPrEx>
          <w:tblLayout w:type="fixed"/>
          <w:tblCellMar>
            <w:top w:w="15" w:type="dxa"/>
            <w:left w:w="15" w:type="dxa"/>
            <w:bottom w:w="15" w:type="dxa"/>
            <w:right w:w="15" w:type="dxa"/>
          </w:tblCellMar>
        </w:tblPrEx>
        <w:trPr>
          <w:trHeight w:val="420" w:hRule="atLeast"/>
        </w:trPr>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0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7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5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因公出国（境）费用</w:t>
            </w:r>
          </w:p>
        </w:tc>
        <w:tc>
          <w:tcPr>
            <w:tcW w:w="4682" w:type="dxa"/>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公务用车购置及运行费</w:t>
            </w:r>
          </w:p>
        </w:tc>
        <w:tc>
          <w:tcPr>
            <w:tcW w:w="258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公务接待费</w:t>
            </w:r>
          </w:p>
        </w:tc>
      </w:tr>
      <w:tr>
        <w:tblPrEx>
          <w:tblLayout w:type="fixed"/>
          <w:tblCellMar>
            <w:top w:w="15" w:type="dxa"/>
            <w:left w:w="15" w:type="dxa"/>
            <w:bottom w:w="15" w:type="dxa"/>
            <w:right w:w="15" w:type="dxa"/>
          </w:tblCellMar>
        </w:tblPrEx>
        <w:trPr>
          <w:trHeight w:val="420" w:hRule="atLeast"/>
        </w:trPr>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0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7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5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81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174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公务用车购置费</w:t>
            </w:r>
          </w:p>
        </w:tc>
        <w:tc>
          <w:tcPr>
            <w:tcW w:w="2132"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公务用车运行费</w:t>
            </w:r>
          </w:p>
        </w:tc>
        <w:tc>
          <w:tcPr>
            <w:tcW w:w="258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112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2055"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76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59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81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74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2132"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258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112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05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76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59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81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4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color w:val="000000"/>
                <w:sz w:val="22"/>
              </w:rPr>
              <w:t>此表无数据</w:t>
            </w:r>
          </w:p>
        </w:tc>
        <w:tc>
          <w:tcPr>
            <w:tcW w:w="2132"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58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12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05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7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8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7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132"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58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pStyle w:val="2"/>
      </w:pPr>
    </w:p>
    <w:p>
      <w:pPr/>
    </w:p>
    <w:p>
      <w:pPr>
        <w:pStyle w:val="2"/>
      </w:pPr>
    </w:p>
    <w:p>
      <w:pPr/>
    </w:p>
    <w:p>
      <w:pPr>
        <w:pStyle w:val="2"/>
      </w:pPr>
    </w:p>
    <w:p>
      <w:pPr/>
    </w:p>
    <w:p>
      <w:pPr>
        <w:pStyle w:val="2"/>
      </w:pPr>
    </w:p>
    <w:p>
      <w:pPr/>
    </w:p>
    <w:p>
      <w:pPr>
        <w:pStyle w:val="2"/>
      </w:pPr>
    </w:p>
    <w:p>
      <w:pPr/>
    </w:p>
    <w:p>
      <w:pPr>
        <w:pStyle w:val="2"/>
      </w:pPr>
    </w:p>
    <w:p>
      <w:pPr/>
    </w:p>
    <w:p>
      <w:pPr>
        <w:pStyle w:val="2"/>
      </w:pPr>
    </w:p>
    <w:tbl>
      <w:tblPr>
        <w:tblStyle w:val="11"/>
        <w:tblW w:w="12837" w:type="dxa"/>
        <w:tblInd w:w="0" w:type="dxa"/>
        <w:tblLayout w:type="fixed"/>
        <w:tblCellMar>
          <w:top w:w="15" w:type="dxa"/>
          <w:left w:w="15" w:type="dxa"/>
          <w:bottom w:w="15" w:type="dxa"/>
          <w:right w:w="15" w:type="dxa"/>
        </w:tblCellMar>
      </w:tblPr>
      <w:tblGrid>
        <w:gridCol w:w="506"/>
        <w:gridCol w:w="418"/>
        <w:gridCol w:w="506"/>
        <w:gridCol w:w="1011"/>
        <w:gridCol w:w="223"/>
        <w:gridCol w:w="1843"/>
        <w:gridCol w:w="386"/>
        <w:gridCol w:w="877"/>
        <w:gridCol w:w="581"/>
        <w:gridCol w:w="489"/>
        <w:gridCol w:w="3134"/>
        <w:gridCol w:w="2863"/>
      </w:tblGrid>
      <w:tr>
        <w:tblPrEx>
          <w:tblLayout w:type="fixed"/>
          <w:tblCellMar>
            <w:top w:w="15" w:type="dxa"/>
            <w:left w:w="15" w:type="dxa"/>
            <w:bottom w:w="15" w:type="dxa"/>
            <w:right w:w="15" w:type="dxa"/>
          </w:tblCellMar>
        </w:tblPrEx>
        <w:trPr>
          <w:trHeight w:val="285" w:hRule="atLeast"/>
        </w:trPr>
        <w:tc>
          <w:tcPr>
            <w:tcW w:w="143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01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066"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26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07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5997"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表12</w:t>
            </w:r>
          </w:p>
        </w:tc>
      </w:tr>
      <w:tr>
        <w:tblPrEx>
          <w:tblLayout w:type="fixed"/>
          <w:tblCellMar>
            <w:top w:w="15" w:type="dxa"/>
            <w:left w:w="15" w:type="dxa"/>
            <w:bottom w:w="15" w:type="dxa"/>
            <w:right w:w="15" w:type="dxa"/>
          </w:tblCellMar>
        </w:tblPrEx>
        <w:trPr>
          <w:trHeight w:val="390" w:hRule="atLeast"/>
        </w:trPr>
        <w:tc>
          <w:tcPr>
            <w:tcW w:w="12837"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国有资本经营预算支出预算表</w:t>
            </w:r>
          </w:p>
        </w:tc>
      </w:tr>
      <w:tr>
        <w:tblPrEx>
          <w:tblLayout w:type="fixed"/>
          <w:tblCellMar>
            <w:top w:w="15" w:type="dxa"/>
            <w:left w:w="15" w:type="dxa"/>
            <w:bottom w:w="15" w:type="dxa"/>
            <w:right w:w="15" w:type="dxa"/>
          </w:tblCellMar>
        </w:tblPrEx>
        <w:trPr>
          <w:trHeight w:val="330" w:hRule="atLeast"/>
        </w:trPr>
        <w:tc>
          <w:tcPr>
            <w:tcW w:w="4893" w:type="dxa"/>
            <w:gridSpan w:val="7"/>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部门：九寨沟县双河镇便民服务中心</w:t>
            </w:r>
          </w:p>
        </w:tc>
        <w:tc>
          <w:tcPr>
            <w:tcW w:w="877"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70"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997" w:type="dxa"/>
            <w:gridSpan w:val="2"/>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4893" w:type="dxa"/>
            <w:gridSpan w:val="7"/>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7944"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本年国有资本经营预算支出</w:t>
            </w:r>
          </w:p>
        </w:tc>
      </w:tr>
      <w:tr>
        <w:tblPrEx>
          <w:tblLayout w:type="fixed"/>
          <w:tblCellMar>
            <w:top w:w="15" w:type="dxa"/>
            <w:left w:w="15" w:type="dxa"/>
            <w:bottom w:w="15" w:type="dxa"/>
            <w:right w:w="15" w:type="dxa"/>
          </w:tblCellMar>
        </w:tblPrEx>
        <w:trPr>
          <w:trHeight w:val="420" w:hRule="atLeast"/>
        </w:trPr>
        <w:tc>
          <w:tcPr>
            <w:tcW w:w="1430"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234"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2229"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458"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3623"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86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420" w:hRule="atLeast"/>
        </w:trPr>
        <w:tc>
          <w:tcPr>
            <w:tcW w:w="50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41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50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234"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229"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458"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623"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86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50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41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50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234"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2229"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458"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3623"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286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5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5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23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22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r>
              <w:rPr>
                <w:rFonts w:hint="eastAsia" w:ascii="宋体" w:hAnsi="宋体" w:eastAsia="宋体" w:cs="宋体"/>
                <w:color w:val="000000"/>
                <w:sz w:val="22"/>
              </w:rPr>
              <w:t>此表无数据</w:t>
            </w:r>
          </w:p>
        </w:tc>
        <w:tc>
          <w:tcPr>
            <w:tcW w:w="1458"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3623"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86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5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23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22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458"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3623"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86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50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23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229"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1458"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3623"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86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pStyle w:val="2"/>
      </w:pPr>
    </w:p>
    <w:p>
      <w:pPr/>
    </w:p>
    <w:p>
      <w:pPr/>
    </w:p>
    <w:p>
      <w:pPr/>
    </w:p>
    <w:p>
      <w:pPr/>
    </w:p>
    <w:p>
      <w:pPr/>
    </w:p>
    <w:p>
      <w:pPr/>
    </w:p>
    <w:p>
      <w:pPr/>
    </w:p>
    <w:p>
      <w:pPr/>
    </w:p>
    <w:p>
      <w:pPr/>
    </w:p>
    <w:p>
      <w:pPr/>
    </w:p>
    <w:tbl>
      <w:tblPr>
        <w:tblStyle w:val="11"/>
        <w:tblW w:w="13605" w:type="dxa"/>
        <w:tblInd w:w="78" w:type="dxa"/>
        <w:tblLayout w:type="fixed"/>
        <w:tblCellMar>
          <w:top w:w="0" w:type="dxa"/>
          <w:left w:w="108" w:type="dxa"/>
          <w:bottom w:w="0" w:type="dxa"/>
          <w:right w:w="108" w:type="dxa"/>
        </w:tblCellMar>
      </w:tblPr>
      <w:tblGrid>
        <w:gridCol w:w="2130"/>
        <w:gridCol w:w="1605"/>
        <w:gridCol w:w="1365"/>
        <w:gridCol w:w="1575"/>
        <w:gridCol w:w="885"/>
        <w:gridCol w:w="900"/>
        <w:gridCol w:w="1065"/>
        <w:gridCol w:w="900"/>
        <w:gridCol w:w="675"/>
        <w:gridCol w:w="885"/>
        <w:gridCol w:w="510"/>
        <w:gridCol w:w="1110"/>
      </w:tblGrid>
      <w:tr>
        <w:tblPrEx>
          <w:tblLayout w:type="fixed"/>
          <w:tblCellMar>
            <w:top w:w="0" w:type="dxa"/>
            <w:left w:w="108" w:type="dxa"/>
            <w:bottom w:w="0" w:type="dxa"/>
            <w:right w:w="108" w:type="dxa"/>
          </w:tblCellMar>
        </w:tblPrEx>
        <w:trPr>
          <w:trHeight w:val="327" w:hRule="atLeast"/>
        </w:trPr>
        <w:tc>
          <w:tcPr>
            <w:tcW w:w="2130" w:type="dxa"/>
            <w:tcBorders>
              <w:top w:val="nil"/>
              <w:left w:val="nil"/>
              <w:bottom w:val="nil"/>
              <w:right w:val="nil"/>
              <w:tl2br w:val="nil"/>
              <w:tr2bl w:val="nil"/>
            </w:tcBorders>
          </w:tcPr>
          <w:p>
            <w:pPr>
              <w:jc w:val="right"/>
              <w:rPr>
                <w:rFonts w:ascii="等线" w:hAnsi="等线" w:eastAsia="等线"/>
                <w:color w:val="000000"/>
                <w:sz w:val="22"/>
              </w:rPr>
            </w:pPr>
          </w:p>
        </w:tc>
        <w:tc>
          <w:tcPr>
            <w:tcW w:w="1605" w:type="dxa"/>
            <w:tcBorders>
              <w:top w:val="nil"/>
              <w:left w:val="nil"/>
              <w:bottom w:val="nil"/>
              <w:right w:val="nil"/>
              <w:tl2br w:val="nil"/>
              <w:tr2bl w:val="nil"/>
            </w:tcBorders>
          </w:tcPr>
          <w:p>
            <w:pPr>
              <w:jc w:val="right"/>
              <w:rPr>
                <w:rFonts w:ascii="等线" w:hAnsi="等线" w:eastAsia="等线"/>
                <w:color w:val="000000"/>
                <w:sz w:val="22"/>
              </w:rPr>
            </w:pPr>
          </w:p>
        </w:tc>
        <w:tc>
          <w:tcPr>
            <w:tcW w:w="1365" w:type="dxa"/>
            <w:tcBorders>
              <w:top w:val="single" w:color="FFFFFF" w:sz="6" w:space="0"/>
              <w:left w:val="single" w:color="FFFFFF" w:sz="6" w:space="0"/>
              <w:bottom w:val="single" w:color="FFFFFF" w:sz="6" w:space="0"/>
              <w:right w:val="single" w:color="FFFFFF" w:sz="6" w:space="0"/>
              <w:tl2br w:val="nil"/>
              <w:tr2bl w:val="nil"/>
            </w:tcBorders>
          </w:tcPr>
          <w:p>
            <w:pPr>
              <w:jc w:val="right"/>
              <w:rPr>
                <w:rFonts w:ascii="宋体" w:hAnsi="宋体"/>
                <w:color w:val="C0C0C0"/>
                <w:sz w:val="18"/>
              </w:rPr>
            </w:pPr>
          </w:p>
        </w:tc>
        <w:tc>
          <w:tcPr>
            <w:tcW w:w="1575" w:type="dxa"/>
            <w:tcBorders>
              <w:top w:val="single" w:color="FFFFFF" w:sz="6" w:space="0"/>
              <w:left w:val="single" w:color="FFFFFF" w:sz="6" w:space="0"/>
              <w:bottom w:val="single" w:color="FFFFFF" w:sz="6" w:space="0"/>
              <w:right w:val="single" w:color="FFFFFF" w:sz="6" w:space="0"/>
              <w:tl2br w:val="nil"/>
              <w:tr2bl w:val="nil"/>
            </w:tcBorders>
          </w:tcPr>
          <w:p>
            <w:pPr>
              <w:jc w:val="right"/>
              <w:rPr>
                <w:rFonts w:ascii="宋体" w:hAnsi="宋体"/>
                <w:color w:val="C0C0C0"/>
                <w:sz w:val="18"/>
              </w:rPr>
            </w:pPr>
          </w:p>
        </w:tc>
        <w:tc>
          <w:tcPr>
            <w:tcW w:w="885" w:type="dxa"/>
            <w:tcBorders>
              <w:top w:val="single" w:color="FFFFFF" w:sz="6" w:space="0"/>
              <w:left w:val="single" w:color="FFFFFF" w:sz="6" w:space="0"/>
              <w:bottom w:val="single" w:color="FFFFFF" w:sz="6" w:space="0"/>
              <w:right w:val="single" w:color="FFFFFF" w:sz="6" w:space="0"/>
              <w:tl2br w:val="nil"/>
              <w:tr2bl w:val="nil"/>
            </w:tcBorders>
          </w:tcPr>
          <w:p>
            <w:pPr>
              <w:jc w:val="right"/>
              <w:rPr>
                <w:rFonts w:ascii="宋体" w:hAnsi="宋体"/>
                <w:color w:val="C0C0C0"/>
                <w:sz w:val="18"/>
              </w:rPr>
            </w:pPr>
          </w:p>
        </w:tc>
        <w:tc>
          <w:tcPr>
            <w:tcW w:w="900" w:type="dxa"/>
            <w:tcBorders>
              <w:top w:val="nil"/>
              <w:left w:val="nil"/>
              <w:bottom w:val="nil"/>
              <w:right w:val="nil"/>
              <w:tl2br w:val="nil"/>
              <w:tr2bl w:val="nil"/>
            </w:tcBorders>
          </w:tcPr>
          <w:p>
            <w:pPr>
              <w:jc w:val="right"/>
              <w:rPr>
                <w:rFonts w:ascii="宋体" w:hAnsi="宋体"/>
                <w:color w:val="C0C0C0"/>
                <w:sz w:val="18"/>
              </w:rPr>
            </w:pPr>
          </w:p>
        </w:tc>
        <w:tc>
          <w:tcPr>
            <w:tcW w:w="1065" w:type="dxa"/>
            <w:tcBorders>
              <w:top w:val="single" w:color="FFFFFF" w:sz="6" w:space="0"/>
              <w:left w:val="single" w:color="FFFFFF" w:sz="6" w:space="0"/>
              <w:bottom w:val="single" w:color="FFFFFF" w:sz="6" w:space="0"/>
              <w:right w:val="single" w:color="FFFFFF" w:sz="6" w:space="0"/>
              <w:tl2br w:val="nil"/>
              <w:tr2bl w:val="nil"/>
            </w:tcBorders>
          </w:tcPr>
          <w:p>
            <w:pPr>
              <w:jc w:val="right"/>
              <w:rPr>
                <w:rFonts w:ascii="宋体" w:hAnsi="宋体"/>
                <w:color w:val="C0C0C0"/>
                <w:sz w:val="18"/>
              </w:rPr>
            </w:pPr>
          </w:p>
        </w:tc>
        <w:tc>
          <w:tcPr>
            <w:tcW w:w="900" w:type="dxa"/>
            <w:tcBorders>
              <w:top w:val="nil"/>
              <w:left w:val="nil"/>
              <w:bottom w:val="nil"/>
              <w:right w:val="nil"/>
              <w:tl2br w:val="nil"/>
              <w:tr2bl w:val="nil"/>
            </w:tcBorders>
          </w:tcPr>
          <w:p>
            <w:pPr>
              <w:jc w:val="right"/>
              <w:rPr>
                <w:rFonts w:ascii="宋体" w:hAnsi="宋体"/>
                <w:color w:val="C0C0C0"/>
                <w:sz w:val="18"/>
              </w:rPr>
            </w:pPr>
          </w:p>
        </w:tc>
        <w:tc>
          <w:tcPr>
            <w:tcW w:w="675" w:type="dxa"/>
            <w:tcBorders>
              <w:top w:val="nil"/>
              <w:left w:val="nil"/>
              <w:bottom w:val="nil"/>
              <w:right w:val="nil"/>
              <w:tl2br w:val="nil"/>
              <w:tr2bl w:val="nil"/>
            </w:tcBorders>
          </w:tcPr>
          <w:p>
            <w:pPr>
              <w:jc w:val="right"/>
              <w:rPr>
                <w:rFonts w:ascii="宋体" w:hAnsi="宋体"/>
                <w:color w:val="C0C0C0"/>
                <w:sz w:val="18"/>
              </w:rPr>
            </w:pPr>
          </w:p>
        </w:tc>
        <w:tc>
          <w:tcPr>
            <w:tcW w:w="885" w:type="dxa"/>
            <w:tcBorders>
              <w:top w:val="nil"/>
              <w:left w:val="nil"/>
              <w:bottom w:val="nil"/>
              <w:right w:val="nil"/>
              <w:tl2br w:val="nil"/>
              <w:tr2bl w:val="nil"/>
            </w:tcBorders>
          </w:tcPr>
          <w:p>
            <w:pPr>
              <w:jc w:val="right"/>
              <w:rPr>
                <w:rFonts w:ascii="宋体" w:hAnsi="宋体"/>
                <w:color w:val="C0C0C0"/>
                <w:sz w:val="18"/>
              </w:rPr>
            </w:pPr>
          </w:p>
        </w:tc>
        <w:tc>
          <w:tcPr>
            <w:tcW w:w="510" w:type="dxa"/>
            <w:tcBorders>
              <w:top w:val="nil"/>
              <w:left w:val="nil"/>
              <w:bottom w:val="nil"/>
              <w:right w:val="nil"/>
              <w:tl2br w:val="nil"/>
              <w:tr2bl w:val="nil"/>
            </w:tcBorders>
          </w:tcPr>
          <w:p>
            <w:pPr>
              <w:jc w:val="right"/>
              <w:rPr>
                <w:rFonts w:ascii="宋体" w:hAnsi="宋体"/>
                <w:color w:val="C0C0C0"/>
                <w:sz w:val="18"/>
              </w:rPr>
            </w:pPr>
          </w:p>
        </w:tc>
        <w:tc>
          <w:tcPr>
            <w:tcW w:w="1110" w:type="dxa"/>
            <w:tcBorders>
              <w:top w:val="single" w:color="FFFFFF" w:sz="6" w:space="0"/>
              <w:left w:val="single" w:color="FFFFFF" w:sz="6" w:space="0"/>
              <w:bottom w:val="single" w:color="FFFFFF" w:sz="6" w:space="0"/>
              <w:right w:val="single" w:color="FFFFFF" w:sz="6" w:space="0"/>
              <w:tl2br w:val="nil"/>
              <w:tr2bl w:val="nil"/>
            </w:tcBorders>
          </w:tcPr>
          <w:p>
            <w:pPr>
              <w:jc w:val="right"/>
              <w:rPr>
                <w:rFonts w:ascii="宋体" w:hAnsi="宋体"/>
                <w:color w:val="C0C0C0"/>
                <w:sz w:val="18"/>
              </w:rPr>
            </w:pPr>
          </w:p>
        </w:tc>
      </w:tr>
      <w:tr>
        <w:tblPrEx>
          <w:tblLayout w:type="fixed"/>
          <w:tblCellMar>
            <w:top w:w="0" w:type="dxa"/>
            <w:left w:w="108" w:type="dxa"/>
            <w:bottom w:w="0" w:type="dxa"/>
            <w:right w:w="108" w:type="dxa"/>
          </w:tblCellMar>
        </w:tblPrEx>
        <w:trPr>
          <w:trHeight w:val="390" w:hRule="atLeast"/>
        </w:trPr>
        <w:tc>
          <w:tcPr>
            <w:tcW w:w="12495" w:type="dxa"/>
            <w:gridSpan w:val="11"/>
            <w:tcBorders>
              <w:top w:val="single" w:color="FFFFFF" w:sz="6" w:space="0"/>
              <w:left w:val="single" w:color="FFFFFF" w:sz="6" w:space="0"/>
              <w:bottom w:val="single" w:color="FFFFFF" w:sz="6" w:space="0"/>
              <w:right w:val="single" w:color="FFFFFF" w:sz="6" w:space="0"/>
              <w:tl2br w:val="nil"/>
              <w:tr2bl w:val="nil"/>
            </w:tcBorders>
          </w:tcPr>
          <w:p>
            <w:pPr>
              <w:jc w:val="center"/>
              <w:rPr>
                <w:rFonts w:ascii="宋体" w:hAnsi="宋体"/>
                <w:b/>
                <w:color w:val="000000"/>
                <w:sz w:val="30"/>
              </w:rPr>
            </w:pPr>
            <w:r>
              <w:rPr>
                <w:rFonts w:hint="eastAsia" w:ascii="宋体" w:hAnsi="宋体"/>
                <w:bCs/>
                <w:color w:val="000000"/>
                <w:sz w:val="24"/>
                <w:szCs w:val="20"/>
              </w:rPr>
              <w:t xml:space="preserve">                                                                                                表13</w:t>
            </w:r>
          </w:p>
          <w:p>
            <w:pPr>
              <w:jc w:val="center"/>
              <w:rPr>
                <w:rFonts w:ascii="宋体" w:hAnsi="宋体"/>
                <w:b/>
                <w:color w:val="000000"/>
                <w:sz w:val="30"/>
              </w:rPr>
            </w:pPr>
            <w:r>
              <w:rPr>
                <w:rFonts w:hint="eastAsia" w:ascii="宋体" w:hAnsi="宋体"/>
                <w:b/>
                <w:color w:val="000000"/>
                <w:sz w:val="30"/>
              </w:rPr>
              <w:t>部门预算项目绩效目标申报表（</w:t>
            </w:r>
            <w:r>
              <w:rPr>
                <w:rFonts w:hint="eastAsia" w:ascii="宋体" w:hAnsi="宋体"/>
                <w:b/>
                <w:color w:val="000000"/>
                <w:sz w:val="30"/>
                <w:lang w:eastAsia="zh-CN"/>
              </w:rPr>
              <w:t>2024</w:t>
            </w:r>
            <w:r>
              <w:rPr>
                <w:rFonts w:hint="eastAsia" w:ascii="宋体" w:hAnsi="宋体"/>
                <w:b/>
                <w:color w:val="000000"/>
                <w:sz w:val="30"/>
              </w:rPr>
              <w:t>年度）</w:t>
            </w:r>
          </w:p>
        </w:tc>
        <w:tc>
          <w:tcPr>
            <w:tcW w:w="1110" w:type="dxa"/>
            <w:tcBorders>
              <w:top w:val="single" w:color="FFFFFF" w:sz="6" w:space="0"/>
              <w:left w:val="single" w:color="FFFFFF" w:sz="6" w:space="0"/>
              <w:bottom w:val="single" w:color="FFFFFF" w:sz="6" w:space="0"/>
              <w:right w:val="single" w:color="FFFFFF" w:sz="6" w:space="0"/>
              <w:tl2br w:val="nil"/>
              <w:tr2bl w:val="nil"/>
            </w:tcBorders>
          </w:tcPr>
          <w:p>
            <w:pPr>
              <w:jc w:val="center"/>
              <w:rPr>
                <w:rFonts w:ascii="宋体" w:hAnsi="宋体"/>
                <w:b/>
                <w:color w:val="000000"/>
                <w:sz w:val="30"/>
              </w:rPr>
            </w:pPr>
          </w:p>
        </w:tc>
      </w:tr>
      <w:tr>
        <w:tblPrEx>
          <w:tblLayout w:type="fixed"/>
          <w:tblCellMar>
            <w:top w:w="0" w:type="dxa"/>
            <w:left w:w="108" w:type="dxa"/>
            <w:bottom w:w="0" w:type="dxa"/>
            <w:right w:w="108" w:type="dxa"/>
          </w:tblCellMar>
        </w:tblPrEx>
        <w:trPr>
          <w:trHeight w:val="390" w:hRule="atLeast"/>
        </w:trPr>
        <w:tc>
          <w:tcPr>
            <w:tcW w:w="2130" w:type="dxa"/>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p>
        </w:tc>
        <w:tc>
          <w:tcPr>
            <w:tcW w:w="1605" w:type="dxa"/>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p>
        </w:tc>
        <w:tc>
          <w:tcPr>
            <w:tcW w:w="1365" w:type="dxa"/>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p>
        </w:tc>
        <w:tc>
          <w:tcPr>
            <w:tcW w:w="1575" w:type="dxa"/>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p>
        </w:tc>
        <w:tc>
          <w:tcPr>
            <w:tcW w:w="885" w:type="dxa"/>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p>
        </w:tc>
        <w:tc>
          <w:tcPr>
            <w:tcW w:w="900" w:type="dxa"/>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p>
        </w:tc>
        <w:tc>
          <w:tcPr>
            <w:tcW w:w="1065" w:type="dxa"/>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p>
        </w:tc>
        <w:tc>
          <w:tcPr>
            <w:tcW w:w="900" w:type="dxa"/>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p>
        </w:tc>
        <w:tc>
          <w:tcPr>
            <w:tcW w:w="2070" w:type="dxa"/>
            <w:gridSpan w:val="3"/>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r>
              <w:rPr>
                <w:rFonts w:hint="eastAsia" w:ascii="宋体" w:hAnsi="宋体"/>
                <w:color w:val="000000"/>
                <w:sz w:val="22"/>
              </w:rPr>
              <w:t>金额单位：万元</w:t>
            </w:r>
          </w:p>
        </w:tc>
        <w:tc>
          <w:tcPr>
            <w:tcW w:w="1110" w:type="dxa"/>
            <w:tcBorders>
              <w:top w:val="single" w:color="FFFFFF" w:sz="6" w:space="0"/>
              <w:left w:val="single" w:color="FFFFFF" w:sz="6" w:space="0"/>
              <w:bottom w:val="nil"/>
              <w:right w:val="single" w:color="FFFFFF" w:sz="6" w:space="0"/>
              <w:tl2br w:val="nil"/>
              <w:tr2bl w:val="nil"/>
            </w:tcBorders>
          </w:tcPr>
          <w:p>
            <w:pPr>
              <w:jc w:val="right"/>
              <w:rPr>
                <w:rFonts w:ascii="宋体" w:hAnsi="宋体"/>
                <w:color w:val="000000"/>
                <w:sz w:val="22"/>
              </w:rPr>
            </w:pPr>
          </w:p>
        </w:tc>
      </w:tr>
      <w:tr>
        <w:tblPrEx>
          <w:tblLayout w:type="fixed"/>
          <w:tblCellMar>
            <w:top w:w="0" w:type="dxa"/>
            <w:left w:w="108" w:type="dxa"/>
            <w:bottom w:w="0" w:type="dxa"/>
            <w:right w:w="108" w:type="dxa"/>
          </w:tblCellMar>
        </w:tblPrEx>
        <w:trPr>
          <w:trHeight w:val="488" w:hRule="atLeast"/>
        </w:trPr>
        <w:tc>
          <w:tcPr>
            <w:tcW w:w="2130"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单位名称</w:t>
            </w:r>
          </w:p>
        </w:tc>
        <w:tc>
          <w:tcPr>
            <w:tcW w:w="1605"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项目名称</w:t>
            </w:r>
          </w:p>
        </w:tc>
        <w:tc>
          <w:tcPr>
            <w:tcW w:w="1365"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预算数</w:t>
            </w:r>
          </w:p>
        </w:tc>
        <w:tc>
          <w:tcPr>
            <w:tcW w:w="1575"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年度目标</w:t>
            </w:r>
          </w:p>
        </w:tc>
        <w:tc>
          <w:tcPr>
            <w:tcW w:w="885"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一级指标</w:t>
            </w:r>
          </w:p>
        </w:tc>
        <w:tc>
          <w:tcPr>
            <w:tcW w:w="900"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二级指标</w:t>
            </w:r>
          </w:p>
        </w:tc>
        <w:tc>
          <w:tcPr>
            <w:tcW w:w="1065"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三级指标</w:t>
            </w:r>
          </w:p>
        </w:tc>
        <w:tc>
          <w:tcPr>
            <w:tcW w:w="900"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指标性质</w:t>
            </w:r>
          </w:p>
        </w:tc>
        <w:tc>
          <w:tcPr>
            <w:tcW w:w="675"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指标值</w:t>
            </w:r>
          </w:p>
        </w:tc>
        <w:tc>
          <w:tcPr>
            <w:tcW w:w="885"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度量单位</w:t>
            </w:r>
          </w:p>
        </w:tc>
        <w:tc>
          <w:tcPr>
            <w:tcW w:w="510"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权重</w:t>
            </w:r>
          </w:p>
        </w:tc>
        <w:tc>
          <w:tcPr>
            <w:tcW w:w="1110" w:type="dxa"/>
            <w:tcBorders>
              <w:top w:val="single" w:color="000000" w:sz="6" w:space="0"/>
              <w:left w:val="single" w:color="000000" w:sz="6" w:space="0"/>
              <w:bottom w:val="single" w:color="000000" w:sz="6" w:space="0"/>
              <w:right w:val="single" w:color="000000" w:sz="6" w:space="0"/>
              <w:tl2br w:val="nil"/>
              <w:tr2bl w:val="nil"/>
            </w:tcBorders>
            <w:shd w:val="solid" w:color="FFFFFF" w:fill="FFFFFF"/>
          </w:tcPr>
          <w:p>
            <w:pPr>
              <w:jc w:val="center"/>
              <w:rPr>
                <w:rFonts w:ascii="宋体" w:hAnsi="宋体"/>
                <w:b/>
                <w:color w:val="000000"/>
                <w:sz w:val="18"/>
              </w:rPr>
            </w:pPr>
            <w:r>
              <w:rPr>
                <w:rFonts w:hint="eastAsia" w:ascii="宋体" w:hAnsi="宋体"/>
                <w:b/>
                <w:color w:val="000000"/>
                <w:sz w:val="18"/>
              </w:rPr>
              <w:t>指标方向性</w:t>
            </w:r>
          </w:p>
        </w:tc>
      </w:tr>
      <w:tr>
        <w:tblPrEx>
          <w:tblLayout w:type="fixed"/>
          <w:tblCellMar>
            <w:top w:w="0" w:type="dxa"/>
            <w:left w:w="108" w:type="dxa"/>
            <w:bottom w:w="0" w:type="dxa"/>
            <w:right w:w="108" w:type="dxa"/>
          </w:tblCellMar>
        </w:tblPrEx>
        <w:trPr>
          <w:trHeight w:val="1350" w:hRule="atLeast"/>
        </w:trPr>
        <w:tc>
          <w:tcPr>
            <w:tcW w:w="2130"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308003-双河镇便民服务中心</w:t>
            </w:r>
          </w:p>
        </w:tc>
        <w:tc>
          <w:tcPr>
            <w:tcW w:w="160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工会经费和福利费</w:t>
            </w:r>
          </w:p>
        </w:tc>
        <w:tc>
          <w:tcPr>
            <w:tcW w:w="136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6.45</w:t>
            </w:r>
          </w:p>
        </w:tc>
        <w:tc>
          <w:tcPr>
            <w:tcW w:w="157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575"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邮电费</w:t>
            </w:r>
          </w:p>
        </w:tc>
        <w:tc>
          <w:tcPr>
            <w:tcW w:w="136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0.04</w:t>
            </w:r>
          </w:p>
        </w:tc>
        <w:tc>
          <w:tcPr>
            <w:tcW w:w="157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trHeight w:val="13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575"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会议和培训费</w:t>
            </w:r>
          </w:p>
        </w:tc>
        <w:tc>
          <w:tcPr>
            <w:tcW w:w="136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1.03</w:t>
            </w:r>
          </w:p>
        </w:tc>
        <w:tc>
          <w:tcPr>
            <w:tcW w:w="157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575"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3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3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办公印刷和接待费</w:t>
            </w:r>
          </w:p>
        </w:tc>
        <w:tc>
          <w:tcPr>
            <w:tcW w:w="136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2.38</w:t>
            </w:r>
          </w:p>
        </w:tc>
        <w:tc>
          <w:tcPr>
            <w:tcW w:w="157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trHeight w:val="1575"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3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差旅费</w:t>
            </w:r>
          </w:p>
        </w:tc>
        <w:tc>
          <w:tcPr>
            <w:tcW w:w="136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2.90</w:t>
            </w:r>
          </w:p>
        </w:tc>
        <w:tc>
          <w:tcPr>
            <w:tcW w:w="157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575"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3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取暖费</w:t>
            </w:r>
          </w:p>
        </w:tc>
        <w:tc>
          <w:tcPr>
            <w:tcW w:w="136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57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trHeight w:val="1575"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575"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水电费</w:t>
            </w:r>
          </w:p>
        </w:tc>
        <w:tc>
          <w:tcPr>
            <w:tcW w:w="136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0.23</w:t>
            </w:r>
          </w:p>
        </w:tc>
        <w:tc>
          <w:tcPr>
            <w:tcW w:w="1575" w:type="dxa"/>
            <w:vMerge w:val="restart"/>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13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trHeight w:val="450" w:hRule="atLeast"/>
        </w:trPr>
        <w:tc>
          <w:tcPr>
            <w:tcW w:w="2130"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60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136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right"/>
              <w:rPr>
                <w:rFonts w:hint="eastAsia" w:asciiTheme="minorEastAsia" w:hAnsiTheme="minorEastAsia" w:eastAsiaTheme="minorEastAsia" w:cstheme="minorEastAsia"/>
                <w:color w:val="000000"/>
                <w:sz w:val="18"/>
              </w:rPr>
            </w:pPr>
          </w:p>
        </w:tc>
        <w:tc>
          <w:tcPr>
            <w:tcW w:w="1575" w:type="dxa"/>
            <w:vMerge w:val="continue"/>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jc w:val="left"/>
              <w:rPr>
                <w:rFonts w:hint="eastAsia" w:asciiTheme="minorEastAsia" w:hAnsiTheme="minorEastAsia" w:eastAsiaTheme="minorEastAsia" w:cstheme="minorEastAsia"/>
                <w:color w:val="000000"/>
                <w:sz w:val="18"/>
              </w:rPr>
            </w:pP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106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90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67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885"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5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1110" w:type="dxa"/>
            <w:tcBorders>
              <w:top w:val="single" w:color="000000" w:sz="6" w:space="0"/>
              <w:left w:val="single" w:color="000000" w:sz="6" w:space="0"/>
              <w:bottom w:val="single" w:color="000000" w:sz="6" w:space="0"/>
              <w:right w:val="single" w:color="000000" w:sz="6" w:space="0"/>
              <w:tl2br w:val="nil"/>
              <w:tr2bl w:val="nil"/>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bl>
    <w:p>
      <w:pPr>
        <w:pStyle w:val="2"/>
        <w:sectPr>
          <w:pgSz w:w="16838" w:h="11906" w:orient="landscape"/>
          <w:pgMar w:top="1800" w:right="1440" w:bottom="1800" w:left="1440" w:header="851" w:footer="992" w:gutter="0"/>
          <w:cols w:space="425" w:num="1"/>
          <w:docGrid w:type="lines" w:linePitch="312" w:charSpace="0"/>
        </w:sectPr>
      </w:pPr>
    </w:p>
    <w:p>
      <w:pPr>
        <w:pStyle w:val="2"/>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双河镇</w:t>
      </w:r>
      <w:r>
        <w:rPr>
          <w:rFonts w:hint="eastAsia" w:ascii="方正小标宋简体" w:hAnsi="黑体" w:eastAsia="方正小标宋简体"/>
          <w:sz w:val="44"/>
          <w:szCs w:val="44"/>
          <w:lang w:eastAsia="zh-CN"/>
        </w:rPr>
        <w:t>2024</w:t>
      </w:r>
      <w:r>
        <w:rPr>
          <w:rFonts w:hint="eastAsia" w:ascii="方正小标宋简体" w:hAnsi="黑体" w:eastAsia="方正小标宋简体"/>
          <w:sz w:val="44"/>
          <w:szCs w:val="44"/>
        </w:rPr>
        <w:t>年单位</w:t>
      </w:r>
      <w:r>
        <w:rPr>
          <w:rFonts w:ascii="方正小标宋简体" w:hAnsi="黑体" w:eastAsia="方正小标宋简体"/>
          <w:sz w:val="44"/>
          <w:szCs w:val="44"/>
        </w:rPr>
        <w:t>预算</w:t>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情况说明</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一、收支预算情况说明</w:t>
      </w:r>
    </w:p>
    <w:p>
      <w:pPr>
        <w:spacing w:line="560" w:lineRule="exact"/>
        <w:rPr>
          <w:rFonts w:ascii="仿宋_GB2312" w:hAnsi="黑体" w:eastAsia="仿宋_GB2312"/>
          <w:sz w:val="32"/>
          <w:szCs w:val="32"/>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按照综合预算的原则，双河镇所有收入和支出均纳入部门预算管理。收入包括：一般公共预算拨款收入；支出包括：一般公共服务支出、社会保障和就业支出、医疗卫生与计划生育支出、住房保障支出。双河镇</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339.91</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23.39</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spacing w:line="560" w:lineRule="exact"/>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339.91</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339.91</w:t>
      </w:r>
      <w:r>
        <w:rPr>
          <w:rFonts w:hint="eastAsia" w:ascii="仿宋_GB2312" w:hAnsi="黑体" w:eastAsia="仿宋_GB2312"/>
          <w:sz w:val="32"/>
          <w:szCs w:val="32"/>
        </w:rPr>
        <w:t>万元，占100%；</w:t>
      </w:r>
      <w:r>
        <w:rPr>
          <w:rFonts w:hint="eastAsia" w:ascii="仿宋_GB2312" w:eastAsia="仿宋_GB2312"/>
          <w:sz w:val="32"/>
          <w:szCs w:val="32"/>
          <w:shd w:val="clear" w:color="auto" w:fill="FFFFFF"/>
        </w:rPr>
        <w:t>上年结转收入0万元，占0%。</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339.91</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339.91</w:t>
      </w:r>
      <w:r>
        <w:rPr>
          <w:rFonts w:hint="eastAsia" w:ascii="仿宋_GB2312" w:hAnsi="黑体" w:eastAsia="仿宋_GB2312"/>
          <w:sz w:val="32"/>
          <w:szCs w:val="32"/>
        </w:rPr>
        <w:t>万元，占100%；项目支出0万元，占0%。</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ascii="仿宋_GB2312" w:eastAsia="仿宋_GB2312"/>
          <w:sz w:val="32"/>
          <w:szCs w:val="32"/>
          <w:shd w:val="clear" w:color="auto" w:fill="FFFFFF"/>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年财政拨款收支预算总数</w:t>
      </w:r>
      <w:r>
        <w:rPr>
          <w:rFonts w:hint="eastAsia" w:ascii="仿宋_GB2312" w:hAnsi="黑体" w:eastAsia="仿宋_GB2312"/>
          <w:sz w:val="32"/>
          <w:szCs w:val="32"/>
          <w:lang w:val="en-US" w:eastAsia="zh-CN"/>
        </w:rPr>
        <w:t>339.91</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年财政拨款收支预算总数增减</w:t>
      </w:r>
      <w:r>
        <w:rPr>
          <w:rFonts w:hint="eastAsia" w:ascii="仿宋_GB2312" w:hAnsi="黑体" w:eastAsia="仿宋_GB2312"/>
          <w:sz w:val="32"/>
          <w:szCs w:val="32"/>
          <w:lang w:val="en-US" w:eastAsia="zh-CN"/>
        </w:rPr>
        <w:t>23.39</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339.91</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234.64</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56.06</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18.12</w:t>
      </w:r>
      <w:r>
        <w:rPr>
          <w:rFonts w:hint="eastAsia" w:ascii="仿宋_GB2312" w:hAnsi="黑体" w:eastAsia="仿宋_GB2312"/>
          <w:sz w:val="32"/>
          <w:szCs w:val="32"/>
        </w:rPr>
        <w:t>万元、住房保障支出3</w:t>
      </w:r>
      <w:r>
        <w:rPr>
          <w:rFonts w:hint="eastAsia" w:ascii="仿宋_GB2312" w:hAnsi="黑体" w:eastAsia="仿宋_GB2312"/>
          <w:sz w:val="32"/>
          <w:szCs w:val="32"/>
          <w:lang w:val="en-US" w:eastAsia="zh-CN"/>
        </w:rPr>
        <w:t>1.08</w:t>
      </w:r>
      <w:r>
        <w:rPr>
          <w:rFonts w:hint="eastAsia" w:ascii="仿宋_GB2312" w:hAnsi="黑体" w:eastAsia="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339.91</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23.39</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234.64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69.03</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56.06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16.49</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18.12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5.33</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31.08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9.15</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1.一般公共服务（类）政府办公厅（室）及相关机构事务（款）事业运行（项）: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234.64</w:t>
      </w:r>
      <w:r>
        <w:rPr>
          <w:rFonts w:hint="eastAsia" w:ascii="仿宋_GB2312" w:eastAsia="仿宋_GB2312"/>
          <w:sz w:val="32"/>
          <w:szCs w:val="32"/>
          <w:shd w:val="clear" w:color="auto" w:fill="FFFFFF"/>
        </w:rPr>
        <w:t>万元，主要用于：包括行政人员基本工资、津贴补贴等人员经费以及办公费、印刷费、水电费等日常公用经费。　　</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2.社会保障和就业（类）行政事业单位养老（款）机关事业单位基本养老保险缴费支出（项）: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35.35</w:t>
      </w:r>
      <w:r>
        <w:rPr>
          <w:rFonts w:hint="eastAsia" w:ascii="仿宋_GB2312" w:eastAsia="仿宋_GB2312"/>
          <w:sz w:val="32"/>
          <w:szCs w:val="32"/>
          <w:shd w:val="clear" w:color="auto" w:fill="FFFFFF"/>
        </w:rPr>
        <w:t>万元，主要用于：实施养老保险制度后，部门按规定由单位缴纳的基本养老保险费支出。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3.社会保障和就业（类）行政事业单位养老（款）机关事业单位职业年金缴费支出（项）: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20.71</w:t>
      </w:r>
      <w:r>
        <w:rPr>
          <w:rFonts w:hint="eastAsia" w:ascii="仿宋_GB2312" w:eastAsia="仿宋_GB2312"/>
          <w:sz w:val="32"/>
          <w:szCs w:val="32"/>
          <w:shd w:val="clear" w:color="auto" w:fill="FFFFFF"/>
        </w:rPr>
        <w:t>万元，主要用于：实施职业年金制度后，部门按规定由单位缴纳的职业年金支出。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4.卫生健康（类）行政事业单位医疗（款）事业单位医疗（项）: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18.12</w:t>
      </w:r>
      <w:r>
        <w:rPr>
          <w:rFonts w:hint="eastAsia" w:ascii="仿宋_GB2312" w:eastAsia="仿宋_GB2312"/>
          <w:sz w:val="32"/>
          <w:szCs w:val="32"/>
          <w:shd w:val="clear" w:color="auto" w:fill="FFFFFF"/>
        </w:rPr>
        <w:t>万元，主要用于：机关及事业单位基本医疗保险缴费支出。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5.住房保障（类）住房改革支出（款）住房公积金（项）: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31.08</w:t>
      </w:r>
      <w:r>
        <w:rPr>
          <w:rFonts w:hint="eastAsia" w:ascii="仿宋_GB2312" w:eastAsia="仿宋_GB2312"/>
          <w:sz w:val="32"/>
          <w:szCs w:val="32"/>
          <w:shd w:val="clear" w:color="auto" w:fill="FFFFFF"/>
        </w:rPr>
        <w:t xml:space="preserve">万元，主要用于：按人力资源和社会保障部、财政部规定的基本工资和津贴补贴以及规定比例为职工缴纳的住房公积金支出。  </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339.91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325.89</w:t>
      </w:r>
      <w:r>
        <w:rPr>
          <w:rFonts w:hint="eastAsia" w:ascii="仿宋_GB2312" w:hAnsi="黑体" w:eastAsia="仿宋_GB2312"/>
          <w:sz w:val="32"/>
          <w:szCs w:val="32"/>
        </w:rPr>
        <w:t>万元，主要包括：基本工资、津贴补贴、奖金、社会保险缴费、离休费、住房公积金、福利费、工会经费、其他交通费用等支出。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公用经费1</w:t>
      </w:r>
      <w:r>
        <w:rPr>
          <w:rFonts w:hint="eastAsia" w:ascii="仿宋_GB2312" w:hAnsi="黑体" w:eastAsia="仿宋_GB2312"/>
          <w:sz w:val="32"/>
          <w:szCs w:val="32"/>
          <w:lang w:val="en-US" w:eastAsia="zh-CN"/>
        </w:rPr>
        <w:t>4.03</w:t>
      </w:r>
      <w:r>
        <w:rPr>
          <w:rFonts w:hint="eastAsia" w:ascii="仿宋_GB2312" w:hAnsi="黑体" w:eastAsia="仿宋_GB2312"/>
          <w:sz w:val="32"/>
          <w:szCs w:val="32"/>
        </w:rPr>
        <w:t>万元，主要包活：办公费、印刷费、水费、电费、邮电费、物业管理费、差旅费、会议费、培训费、公务接待费、劳务费、公务用车运行维护费等支出。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年“三公”经费财政拨款预算数0</w:t>
      </w:r>
      <w:r>
        <w:rPr>
          <w:rFonts w:hint="eastAsia" w:ascii="仿宋_GB2312" w:hAnsi="黑体" w:eastAsia="仿宋_GB2312"/>
          <w:sz w:val="32"/>
          <w:szCs w:val="32"/>
          <w:lang w:val="en-US" w:eastAsia="zh-CN"/>
        </w:rPr>
        <w:t>.28</w:t>
      </w:r>
      <w:r>
        <w:rPr>
          <w:rFonts w:hint="eastAsia" w:ascii="仿宋_GB2312" w:hAnsi="黑体" w:eastAsia="仿宋_GB2312"/>
          <w:sz w:val="32"/>
          <w:szCs w:val="32"/>
        </w:rPr>
        <w:t>万元，其中：公务接待费0</w:t>
      </w:r>
      <w:r>
        <w:rPr>
          <w:rFonts w:hint="eastAsia" w:ascii="仿宋_GB2312" w:hAnsi="黑体" w:eastAsia="仿宋_GB2312"/>
          <w:sz w:val="32"/>
          <w:szCs w:val="32"/>
          <w:lang w:val="en-US" w:eastAsia="zh-CN"/>
        </w:rPr>
        <w:t>.28</w:t>
      </w:r>
      <w:r>
        <w:rPr>
          <w:rFonts w:hint="eastAsia" w:ascii="仿宋_GB2312" w:hAnsi="黑体" w:eastAsia="仿宋_GB2312"/>
          <w:sz w:val="32"/>
          <w:szCs w:val="32"/>
        </w:rPr>
        <w:t>万元，公务用车购置及运行维护费0万元,因公出国（境）经费0万元。</w:t>
      </w:r>
    </w:p>
    <w:p>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3</w:t>
      </w:r>
      <w:r>
        <w:rPr>
          <w:rFonts w:hint="eastAsia" w:ascii="楷体" w:hAnsi="楷体" w:eastAsia="楷体"/>
          <w:b/>
          <w:sz w:val="32"/>
          <w:szCs w:val="32"/>
        </w:rPr>
        <w:t>年预算持平。</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（二）公务用车购置及运行维护费与（较）2022年预算持平（增加或减少）。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单位现有公务用车0辆，其中：轿车0辆，旅行车（含商务车）0辆，越野车0辆。</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年安排公务用车运行维护费0万元。</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双河镇</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年政府性基金预算拨款安排的支出0万元。</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spacing w:line="560" w:lineRule="exact"/>
        <w:ind w:firstLine="642"/>
        <w:rPr>
          <w:rFonts w:ascii="仿宋_GB2312" w:hAnsi="黑体" w:eastAsia="仿宋_GB2312"/>
          <w:sz w:val="32"/>
          <w:szCs w:val="32"/>
        </w:rPr>
      </w:pPr>
      <w:r>
        <w:rPr>
          <w:rStyle w:val="10"/>
          <w:rFonts w:hint="eastAsia" w:ascii="仿宋_GB2312" w:hAnsi="ˎ̥" w:eastAsia="仿宋_GB2312"/>
          <w:i w:val="0"/>
          <w:sz w:val="32"/>
          <w:szCs w:val="32"/>
        </w:rPr>
        <w:t>双河镇</w:t>
      </w:r>
      <w:r>
        <w:rPr>
          <w:rStyle w:val="10"/>
          <w:rFonts w:hint="eastAsia" w:ascii="仿宋_GB2312" w:hAnsi="ˎ̥" w:eastAsia="仿宋_GB2312"/>
          <w:i w:val="0"/>
          <w:sz w:val="32"/>
          <w:szCs w:val="32"/>
          <w:lang w:eastAsia="zh-CN"/>
        </w:rPr>
        <w:t>2024</w:t>
      </w:r>
      <w:r>
        <w:rPr>
          <w:rStyle w:val="10"/>
          <w:rFonts w:hint="eastAsia" w:ascii="仿宋_GB2312" w:hAnsi="ˎ̥" w:eastAsia="仿宋_GB2312"/>
          <w:i w:val="0"/>
          <w:sz w:val="32"/>
          <w:szCs w:val="32"/>
        </w:rPr>
        <w:t>年没有使用国有资本经营预算安排的支出。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年，双河镇机关运行经费财政拨款预算为1</w:t>
      </w:r>
      <w:r>
        <w:rPr>
          <w:rFonts w:hint="eastAsia" w:ascii="仿宋_GB2312" w:hAnsi="黑体" w:eastAsia="仿宋_GB2312"/>
          <w:sz w:val="32"/>
          <w:szCs w:val="32"/>
          <w:lang w:val="en-US" w:eastAsia="zh-CN"/>
        </w:rPr>
        <w:t>4.03</w:t>
      </w:r>
      <w:r>
        <w:rPr>
          <w:rFonts w:hint="eastAsia" w:ascii="仿宋_GB2312" w:hAnsi="黑体" w:eastAsia="仿宋_GB2312"/>
          <w:sz w:val="32"/>
          <w:szCs w:val="32"/>
        </w:rPr>
        <w:t>万元，与（较）202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年预算增加0.</w:t>
      </w:r>
      <w:r>
        <w:rPr>
          <w:rFonts w:hint="eastAsia" w:ascii="仿宋_GB2312" w:hAnsi="黑体" w:eastAsia="仿宋_GB2312"/>
          <w:sz w:val="32"/>
          <w:szCs w:val="32"/>
          <w:lang w:val="en-US" w:eastAsia="zh-CN"/>
        </w:rPr>
        <w:t>17</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w:t>
      </w:r>
      <w:r>
        <w:rPr>
          <w:rFonts w:hint="eastAsia" w:ascii="仿宋_GB2312" w:eastAsia="仿宋_GB2312"/>
          <w:sz w:val="32"/>
          <w:szCs w:val="32"/>
          <w:shd w:val="clear" w:color="auto" w:fill="FFFFFF"/>
        </w:rPr>
        <w:t>双河镇安排政府采购预算0万元。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截至2022年底，双河镇共有车辆0辆，其中，省部级领导干部用车0辆、定向保障用车0辆、执法执勤用车0辆，其他用车0辆。单位价值200万元以上大型设备0台（套）。</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spacing w:line="560" w:lineRule="exact"/>
        <w:ind w:firstLine="640"/>
        <w:rPr>
          <w:rFonts w:ascii="方正小标宋简体" w:hAnsi="黑体" w:eastAsia="方正小标宋简体"/>
          <w:color w:val="000000" w:themeColor="text1"/>
          <w:sz w:val="44"/>
          <w:szCs w:val="44"/>
        </w:rPr>
      </w:pPr>
      <w:r>
        <w:rPr>
          <w:rFonts w:hint="eastAsia" w:ascii="仿宋_GB2312" w:hAnsi="黑体" w:eastAsia="仿宋_GB2312"/>
          <w:color w:val="000000" w:themeColor="text1"/>
          <w:sz w:val="32"/>
          <w:szCs w:val="32"/>
          <w:lang w:eastAsia="zh-CN"/>
        </w:rPr>
        <w:t>2024</w:t>
      </w:r>
      <w:r>
        <w:rPr>
          <w:rFonts w:hint="eastAsia" w:ascii="仿宋_GB2312" w:hAnsi="黑体" w:eastAsia="仿宋_GB2312"/>
          <w:color w:val="000000" w:themeColor="text1"/>
          <w:sz w:val="32"/>
          <w:szCs w:val="32"/>
        </w:rPr>
        <w:t>年双河镇开展绩效目标管理的项目 0个，涉及预算0万元。</w:t>
      </w:r>
      <w:r>
        <w:rPr>
          <w:rFonts w:hint="eastAsia" w:ascii="仿宋_GB2312" w:hAnsi="黑体" w:eastAsia="仿宋_GB2312"/>
          <w:color w:val="000000" w:themeColor="text1"/>
          <w:sz w:val="32"/>
          <w:szCs w:val="32"/>
        </w:rPr>
        <w:br w:type="page"/>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3.一般公共服务（类）政府办公厅（室）及相关机构事务（款）行政运行（项）:指行政人员基本工资、津贴补贴等人员经费以及办公费、印刷费、水电费等日常公用经费。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4.一般公共服务（类）政府办公厅（室）及相关机构事务（款）事业运行（项）:指事业人员基本工资、津贴补贴等人员经费以及办公费、印刷费、水电费等日常公用经费。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5.社会保障和就业（类）行政事业单位养老（款）机关事业单位基本养老保险缴费支出（项）:指实施养老保险制度后，部门按规定由单位缴纳的基本养老保险费支出。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6.社会保障和就业（类）行政事业单位养老（款）机关事业单位职业年金缴费支出（项）:指实施职业年金制度后，部门按规定由单位缴纳的职业年金支出。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7.卫生健康（类）行政事业单位医疗（款）行政单位医疗（项）:指机关及事业单位基本医疗保险缴费支出。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8.卫生健康（类）行政事业单位医疗（款）事业单位医疗（项）:指机关及事业单位基本医疗保险缴费支出。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9.卫生健康（类）行政事业单位医疗（款）公务员医疗补助（项）:指机关及事业单位集中缴纳公务员医疗补助支出。</w:t>
      </w:r>
    </w:p>
    <w:p>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10.住房保障（类）住房改革支出（款）住房公积金（项）:指按人力资源和社会保障部、财政部规定的基本工资和津贴补贴以及规定比例为职工缴纳的住房公积金支出。  </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11.基本支出：指为保证机构正常运转，完成日常工作任务而发生的人员支出和公用支出。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12.项目支出：指在基本支出之外为完成特定行政任务和事业发展目标所发生的支出。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13.“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60"/>
        <w:rPr>
          <w:rFonts w:ascii="仿宋_GB2312" w:eastAsia="仿宋_GB2312"/>
          <w:sz w:val="32"/>
          <w:szCs w:val="32"/>
          <w:shd w:val="clear" w:color="auto" w:fill="FFFFFF"/>
        </w:rPr>
      </w:pPr>
      <w:r>
        <w:rPr>
          <w:rFonts w:hint="eastAsia" w:ascii="仿宋_GB2312" w:eastAsia="仿宋_GB2312"/>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p>
      <w:pPr>
        <w:ind w:firstLine="643" w:firstLineChars="200"/>
        <w:rPr>
          <w:rFonts w:ascii="仿宋" w:hAnsi="仿宋" w:eastAsia="仿宋"/>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roma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微软雅黑">
    <w:panose1 w:val="020B0503020204020204"/>
    <w:charset w:val="86"/>
    <w:family w:val="script"/>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auto"/>
    <w:pitch w:val="default"/>
    <w:sig w:usb0="00000000" w:usb1="00000000" w:usb2="00000000" w:usb3="00000000" w:csb0="00040000" w:csb1="00000000"/>
  </w:font>
  <w:font w:name="文鼎CS大宋">
    <w:altName w:val="宋体"/>
    <w:panose1 w:val="02010609010101010101"/>
    <w:charset w:val="86"/>
    <w:family w:val="roman"/>
    <w:pitch w:val="default"/>
    <w:sig w:usb0="00000000" w:usb1="00000000" w:usb2="0000001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swiss"/>
    <w:pitch w:val="default"/>
    <w:sig w:usb0="00000000" w:usb1="00000000" w:usb2="00000000" w:usb3="00000000" w:csb0="00000000" w:csb1="00000000"/>
  </w:font>
  <w:font w:name="文鼎CS大宋">
    <w:altName w:val="宋体"/>
    <w:panose1 w:val="02010609010101010101"/>
    <w:charset w:val="86"/>
    <w:family w:val="modern"/>
    <w:pitch w:val="default"/>
    <w:sig w:usb0="00000000" w:usb1="00000000" w:usb2="0000001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swiss"/>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00000" w:csb1="00000000"/>
  </w:font>
  <w:font w:name="文鼎CS大宋">
    <w:altName w:val="宋体"/>
    <w:panose1 w:val="02010609010101010101"/>
    <w:charset w:val="86"/>
    <w:family w:val="swiss"/>
    <w:pitch w:val="default"/>
    <w:sig w:usb0="00000000" w:usb1="00000000" w:usb2="00000010" w:usb3="00000000" w:csb0="00040000" w:csb1="00000000"/>
  </w:font>
  <w:font w:name="仿宋_GB2312">
    <w:panose1 w:val="02010609030101010101"/>
    <w:charset w:val="86"/>
    <w:family w:val="decorative"/>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文鼎CS大宋">
    <w:altName w:val="宋体"/>
    <w:panose1 w:val="02010609010101010101"/>
    <w:charset w:val="86"/>
    <w:family w:val="decorative"/>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right="284"/>
      <w:rPr>
        <w:rStyle w:val="9"/>
        <w:rFonts w:eastAsia="宋体"/>
      </w:rPr>
    </w:pPr>
    <w:r>
      <w:rPr>
        <w:rStyle w:val="9"/>
        <w:rFonts w:hint="eastAsia" w:ascii="仿宋_GB2312" w:hAnsi="仿宋_GB2312" w:eastAsia="仿宋_GB2312" w:cs="仿宋_GB2312"/>
        <w:sz w:val="28"/>
      </w:rPr>
      <w:t>—</w:t>
    </w:r>
    <w:r>
      <w:rPr>
        <w:rFonts w:ascii="Times New Roman" w:hAnsi="Times New Roman" w:cs="Times New Roman"/>
        <w:sz w:val="28"/>
      </w:rPr>
      <w:fldChar w:fldCharType="begin"/>
    </w:r>
    <w:r>
      <w:rPr>
        <w:rStyle w:val="9"/>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9"/>
        <w:rFonts w:ascii="Times New Roman" w:hAnsi="Times New Roman" w:cs="Times New Roman"/>
        <w:sz w:val="28"/>
      </w:rPr>
      <w:t>41</w:t>
    </w:r>
    <w:r>
      <w:rPr>
        <w:rFonts w:ascii="Times New Roman" w:hAnsi="Times New Roman" w:cs="Times New Roman"/>
        <w:sz w:val="28"/>
      </w:rPr>
      <w:fldChar w:fldCharType="end"/>
    </w:r>
    <w:r>
      <w:rPr>
        <w:rFonts w:hint="eastAsia" w:ascii="仿宋_GB2312" w:hAnsi="仿宋_GB2312" w:eastAsia="仿宋_GB2312" w:cs="仿宋_GB2312"/>
        <w:sz w:val="28"/>
      </w:rPr>
      <w:t>—</w:t>
    </w:r>
  </w:p>
  <w:p>
    <w:pPr>
      <w:pStyle w:val="5"/>
      <w:ind w:right="360" w:firstLine="360"/>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5ODVkYTRjMTdjNWExODZmNjFlYTc0ZDgwNGIwZGQifQ=="/>
  </w:docVars>
  <w:rsids>
    <w:rsidRoot w:val="00172A27"/>
    <w:rsid w:val="0008303D"/>
    <w:rsid w:val="0009191B"/>
    <w:rsid w:val="00172A27"/>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6328A"/>
    <w:rsid w:val="00782317"/>
    <w:rsid w:val="00791224"/>
    <w:rsid w:val="007B7497"/>
    <w:rsid w:val="007F6C59"/>
    <w:rsid w:val="00857C51"/>
    <w:rsid w:val="00883069"/>
    <w:rsid w:val="00924853"/>
    <w:rsid w:val="00986F43"/>
    <w:rsid w:val="009C5231"/>
    <w:rsid w:val="009E4604"/>
    <w:rsid w:val="009F0BE1"/>
    <w:rsid w:val="00A20B23"/>
    <w:rsid w:val="00A40D70"/>
    <w:rsid w:val="00A45FD6"/>
    <w:rsid w:val="00AB1F41"/>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E766A6"/>
    <w:rsid w:val="00EE104C"/>
    <w:rsid w:val="00F241F0"/>
    <w:rsid w:val="00FC4747"/>
    <w:rsid w:val="00FC5BA6"/>
    <w:rsid w:val="00FF35AE"/>
    <w:rsid w:val="05FEC680"/>
    <w:rsid w:val="0A006AFE"/>
    <w:rsid w:val="0C811013"/>
    <w:rsid w:val="0CFB4F1D"/>
    <w:rsid w:val="0ECDBE52"/>
    <w:rsid w:val="0FFFB353"/>
    <w:rsid w:val="12D5598F"/>
    <w:rsid w:val="176D963B"/>
    <w:rsid w:val="1B7F798D"/>
    <w:rsid w:val="1DCA7AC1"/>
    <w:rsid w:val="1F3B0AC1"/>
    <w:rsid w:val="1F5E9DB6"/>
    <w:rsid w:val="2117AD81"/>
    <w:rsid w:val="21F75307"/>
    <w:rsid w:val="23EE40BC"/>
    <w:rsid w:val="27FB2020"/>
    <w:rsid w:val="2BEE6E8A"/>
    <w:rsid w:val="2E7ACAF3"/>
    <w:rsid w:val="2EFFE7AD"/>
    <w:rsid w:val="2FEDA3F1"/>
    <w:rsid w:val="314413A6"/>
    <w:rsid w:val="3257C860"/>
    <w:rsid w:val="33FFF3CD"/>
    <w:rsid w:val="3495305B"/>
    <w:rsid w:val="352A11F6"/>
    <w:rsid w:val="37BE6D8B"/>
    <w:rsid w:val="37ED2099"/>
    <w:rsid w:val="37FE0A31"/>
    <w:rsid w:val="38FA0A54"/>
    <w:rsid w:val="39D792D9"/>
    <w:rsid w:val="3AFBF1C6"/>
    <w:rsid w:val="3BBFDE14"/>
    <w:rsid w:val="3CB393A4"/>
    <w:rsid w:val="3CFE796A"/>
    <w:rsid w:val="3DF3E130"/>
    <w:rsid w:val="3EED8CAE"/>
    <w:rsid w:val="3EFFEFC0"/>
    <w:rsid w:val="3FB5E172"/>
    <w:rsid w:val="3FDF2925"/>
    <w:rsid w:val="3FDFA91F"/>
    <w:rsid w:val="3FE1DEFB"/>
    <w:rsid w:val="3FE5F325"/>
    <w:rsid w:val="3FEF3B35"/>
    <w:rsid w:val="3FFADC58"/>
    <w:rsid w:val="40B82966"/>
    <w:rsid w:val="43220D80"/>
    <w:rsid w:val="47FF5D5C"/>
    <w:rsid w:val="4B3E44B7"/>
    <w:rsid w:val="4E547DD9"/>
    <w:rsid w:val="4FDE78CE"/>
    <w:rsid w:val="4FFFAA23"/>
    <w:rsid w:val="52A200E3"/>
    <w:rsid w:val="53A88E30"/>
    <w:rsid w:val="53FAD87A"/>
    <w:rsid w:val="54FFF2CF"/>
    <w:rsid w:val="567D553A"/>
    <w:rsid w:val="56DBADA4"/>
    <w:rsid w:val="579CE624"/>
    <w:rsid w:val="5A35532B"/>
    <w:rsid w:val="5A7BF1E5"/>
    <w:rsid w:val="5BA78D5E"/>
    <w:rsid w:val="5BB87DBA"/>
    <w:rsid w:val="5BE762D4"/>
    <w:rsid w:val="5DB045F2"/>
    <w:rsid w:val="5DBC3892"/>
    <w:rsid w:val="5DDDD882"/>
    <w:rsid w:val="5DE7BCA1"/>
    <w:rsid w:val="5DFFBFAA"/>
    <w:rsid w:val="5E357A3B"/>
    <w:rsid w:val="5EFFDDE2"/>
    <w:rsid w:val="5F763C0F"/>
    <w:rsid w:val="5F7A982F"/>
    <w:rsid w:val="5FBF1457"/>
    <w:rsid w:val="5FED60AA"/>
    <w:rsid w:val="5FEFF4C2"/>
    <w:rsid w:val="60295779"/>
    <w:rsid w:val="63F385C0"/>
    <w:rsid w:val="63F5FE37"/>
    <w:rsid w:val="647F6670"/>
    <w:rsid w:val="65EC0325"/>
    <w:rsid w:val="67F5B1D0"/>
    <w:rsid w:val="69A71AE0"/>
    <w:rsid w:val="6A4FC826"/>
    <w:rsid w:val="6ADF4B0D"/>
    <w:rsid w:val="6AF76FF0"/>
    <w:rsid w:val="6B2D7B77"/>
    <w:rsid w:val="6B95175B"/>
    <w:rsid w:val="6BDF5376"/>
    <w:rsid w:val="6BE53CCB"/>
    <w:rsid w:val="6C084653"/>
    <w:rsid w:val="6C7B5F76"/>
    <w:rsid w:val="6CEF960A"/>
    <w:rsid w:val="6D235CF7"/>
    <w:rsid w:val="6DDE03AF"/>
    <w:rsid w:val="6DFD6765"/>
    <w:rsid w:val="6E7E5440"/>
    <w:rsid w:val="6EBE5801"/>
    <w:rsid w:val="6ED5ABCE"/>
    <w:rsid w:val="6EFF482F"/>
    <w:rsid w:val="6F632200"/>
    <w:rsid w:val="6F6DD354"/>
    <w:rsid w:val="6F850745"/>
    <w:rsid w:val="6FBBC877"/>
    <w:rsid w:val="6FF9921E"/>
    <w:rsid w:val="6FFC7CC5"/>
    <w:rsid w:val="6FFD7550"/>
    <w:rsid w:val="6FFDCB73"/>
    <w:rsid w:val="7288585F"/>
    <w:rsid w:val="72AF49AA"/>
    <w:rsid w:val="72DF0FFC"/>
    <w:rsid w:val="72E75F44"/>
    <w:rsid w:val="7396C1D0"/>
    <w:rsid w:val="73EFEF94"/>
    <w:rsid w:val="73F99EB8"/>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FFA147"/>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0728B9"/>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unhideWhenUsed/>
    <w:qFormat/>
    <w:uiPriority w:val="99"/>
    <w:pPr>
      <w:widowControl/>
      <w:spacing w:after="0"/>
      <w:ind w:left="0" w:leftChars="0" w:firstLine="420" w:firstLineChars="200"/>
    </w:pPr>
    <w:rPr>
      <w:kern w:val="0"/>
    </w:rPr>
  </w:style>
  <w:style w:type="paragraph" w:styleId="3">
    <w:name w:val="Body Text Indent"/>
    <w:basedOn w:val="1"/>
    <w:next w:val="2"/>
    <w:unhideWhenUsed/>
    <w:qFormat/>
    <w:uiPriority w:val="99"/>
    <w:pPr>
      <w:spacing w:after="120"/>
      <w:ind w:left="420" w:leftChars="200"/>
    </w:pPr>
  </w:style>
  <w:style w:type="paragraph" w:styleId="4">
    <w:name w:val="Body Text"/>
    <w:basedOn w:val="1"/>
    <w:unhideWhenUsed/>
    <w:qFormat/>
    <w:uiPriority w:val="99"/>
    <w:pPr>
      <w:spacing w:beforeLines="30"/>
    </w:pPr>
    <w:rPr>
      <w:rFonts w:ascii="仿宋_GB2312" w:eastAsia="仿宋_GB2312"/>
      <w:kern w:val="0"/>
      <w:sz w:val="30"/>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rFonts w:cs="Times New Roman"/>
      <w:kern w:val="0"/>
      <w:sz w:val="24"/>
    </w:rPr>
  </w:style>
  <w:style w:type="character" w:styleId="9">
    <w:name w:val="page number"/>
    <w:basedOn w:val="8"/>
    <w:qFormat/>
    <w:uiPriority w:val="0"/>
  </w:style>
  <w:style w:type="character" w:styleId="10">
    <w:name w:val="Emphasis"/>
    <w:basedOn w:val="8"/>
    <w:qFormat/>
    <w:uiPriority w:val="20"/>
    <w:rPr>
      <w:i/>
      <w:iCs/>
    </w:rPr>
  </w:style>
  <w:style w:type="paragraph" w:customStyle="1" w:styleId="12">
    <w:name w:val="列出段落1"/>
    <w:basedOn w:val="1"/>
    <w:qFormat/>
    <w:uiPriority w:val="34"/>
    <w:pPr>
      <w:ind w:firstLine="420" w:firstLineChars="200"/>
    </w:pPr>
  </w:style>
  <w:style w:type="character" w:customStyle="1" w:styleId="13">
    <w:name w:val="页眉 Char"/>
    <w:basedOn w:val="8"/>
    <w:link w:val="6"/>
    <w:qFormat/>
    <w:uiPriority w:val="99"/>
    <w:rPr>
      <w:sz w:val="18"/>
      <w:szCs w:val="18"/>
    </w:rPr>
  </w:style>
  <w:style w:type="character" w:customStyle="1" w:styleId="14">
    <w:name w:val="页脚 Char"/>
    <w:basedOn w:val="8"/>
    <w:link w:val="5"/>
    <w:qFormat/>
    <w:uiPriority w:val="99"/>
    <w:rPr>
      <w:sz w:val="18"/>
      <w:szCs w:val="18"/>
    </w:rPr>
  </w:style>
  <w:style w:type="character" w:customStyle="1" w:styleId="15">
    <w:name w:val="font51"/>
    <w:basedOn w:val="8"/>
    <w:qFormat/>
    <w:uiPriority w:val="0"/>
    <w:rPr>
      <w:rFonts w:hint="eastAsia" w:ascii="宋体" w:hAnsi="宋体" w:eastAsia="宋体" w:cs="宋体"/>
      <w:color w:val="000000"/>
      <w:sz w:val="22"/>
      <w:szCs w:val="22"/>
      <w:u w:val="none"/>
    </w:rPr>
  </w:style>
  <w:style w:type="character" w:customStyle="1" w:styleId="16">
    <w:name w:val="font61"/>
    <w:basedOn w:val="8"/>
    <w:qFormat/>
    <w:uiPriority w:val="0"/>
    <w:rPr>
      <w:rFonts w:hint="eastAsia" w:ascii="宋体" w:hAnsi="宋体" w:eastAsia="宋体" w:cs="宋体"/>
      <w:b/>
      <w:color w:val="000000"/>
      <w:sz w:val="22"/>
      <w:szCs w:val="22"/>
      <w:u w:val="none"/>
    </w:rPr>
  </w:style>
  <w:style w:type="character" w:customStyle="1" w:styleId="17">
    <w:name w:val="font01"/>
    <w:basedOn w:val="8"/>
    <w:qFormat/>
    <w:uiPriority w:val="0"/>
    <w:rPr>
      <w:rFonts w:hint="eastAsia" w:ascii="宋体" w:hAnsi="宋体" w:eastAsia="宋体" w:cs="宋体"/>
      <w:color w:val="000000"/>
      <w:sz w:val="22"/>
      <w:szCs w:val="22"/>
      <w:u w:val="none"/>
    </w:rPr>
  </w:style>
  <w:style w:type="character" w:customStyle="1" w:styleId="18">
    <w:name w:val="font41"/>
    <w:basedOn w:val="8"/>
    <w:qFormat/>
    <w:uiPriority w:val="0"/>
    <w:rPr>
      <w:rFonts w:hint="eastAsia" w:ascii="宋体" w:hAnsi="宋体" w:eastAsia="宋体" w:cs="宋体"/>
      <w:color w:val="000000"/>
      <w:sz w:val="22"/>
      <w:szCs w:val="22"/>
      <w:u w:val="none"/>
    </w:rPr>
  </w:style>
  <w:style w:type="character" w:customStyle="1" w:styleId="19">
    <w:name w:val="font11"/>
    <w:basedOn w:val="8"/>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44</Pages>
  <Words>2267</Words>
  <Characters>12923</Characters>
  <Lines>107</Lines>
  <Paragraphs>30</Paragraphs>
  <ScaleCrop>false</ScaleCrop>
  <LinksUpToDate>false</LinksUpToDate>
  <CharactersWithSpaces>15160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2023-03-15T08:24:00Z</dcterms:created>
  <dc:creator>ASUS</dc:creator>
  <cp:lastModifiedBy>LENOVO</cp:lastModifiedBy>
  <dcterms:modified xsi:type="dcterms:W3CDTF">2024-01-29T03:24:09Z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56F6812F92658F74351AF763469E14C2_42</vt:lpwstr>
  </property>
</Properties>
</file>