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宋体" w:eastAsia="方正小标宋简体"/>
          <w:szCs w:val="21"/>
        </w:rPr>
      </w:pPr>
      <w:bookmarkStart w:id="0" w:name="_Toc15306267"/>
    </w:p>
    <w:p>
      <w:pPr>
        <w:pStyle w:val="8"/>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78441"/>
      <w:bookmarkStart w:id="2" w:name="_Toc15377193"/>
      <w:bookmarkStart w:id="3" w:name="_Toc15396475"/>
      <w:bookmarkStart w:id="4" w:name="_Toc15377425"/>
      <w:bookmarkStart w:id="5" w:name="_Toc15396597"/>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6" w:name="_Toc15378442"/>
      <w:bookmarkStart w:id="7" w:name="_Toc15377194"/>
      <w:bookmarkStart w:id="8" w:name="_Toc15377426"/>
      <w:bookmarkStart w:id="9" w:name="_Toc15396598"/>
      <w:bookmarkStart w:id="10" w:name="_Toc15396476"/>
      <w:r>
        <w:rPr>
          <w:rFonts w:hint="eastAsia" w:ascii="方正小标宋简体" w:hAnsi="方正小标宋简体" w:eastAsia="方正小标宋简体" w:cs="方正小标宋简体"/>
          <w:sz w:val="72"/>
          <w:szCs w:val="72"/>
        </w:rPr>
        <w:t>四川省</w:t>
      </w:r>
      <w:bookmarkEnd w:id="0"/>
      <w:bookmarkStart w:id="11" w:name="_Toc15306268"/>
      <w:r>
        <w:rPr>
          <w:rFonts w:hint="eastAsia" w:ascii="方正小标宋简体" w:hAnsi="方正小标宋简体" w:eastAsia="方正小标宋简体" w:cs="方正小标宋简体"/>
          <w:sz w:val="72"/>
          <w:szCs w:val="72"/>
          <w:lang w:val="en-US" w:eastAsia="zh-CN"/>
        </w:rPr>
        <w:t>双河镇政府</w:t>
      </w:r>
      <w:r>
        <w:rPr>
          <w:rFonts w:hint="eastAsia" w:ascii="方正小标宋简体" w:hAnsi="方正小标宋简体" w:eastAsia="方正小标宋简体" w:cs="方正小标宋简体"/>
          <w:sz w:val="72"/>
          <w:szCs w:val="72"/>
        </w:rPr>
        <w:t>单位</w:t>
      </w: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sz w:val="52"/>
          <w:szCs w:val="52"/>
        </w:rPr>
      </w:pPr>
      <w:r>
        <w:rPr>
          <w:rFonts w:hint="eastAsia" w:ascii="方正小标宋简体" w:hAnsi="宋体" w:eastAsia="方正小标宋简体"/>
          <w:sz w:val="52"/>
          <w:szCs w:val="52"/>
        </w:rPr>
        <w:t>(单位公开范本)</w:t>
      </w: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4"/>
      </w:pPr>
      <w:r>
        <w:rPr>
          <w:rFonts w:hint="eastAsia"/>
        </w:rPr>
        <w:t>公开时间：202</w:t>
      </w:r>
      <w:r>
        <w:rPr>
          <w:rFonts w:hint="eastAsia"/>
          <w:lang w:val="en-US" w:eastAsia="zh-CN"/>
        </w:rPr>
        <w:t>5</w:t>
      </w:r>
      <w:r>
        <w:rPr>
          <w:rFonts w:hint="eastAsia"/>
        </w:rPr>
        <w:t>年</w:t>
      </w:r>
      <w:r>
        <w:rPr>
          <w:rFonts w:hint="eastAsia"/>
          <w:lang w:val="en-US" w:eastAsia="zh-CN"/>
        </w:rPr>
        <w:t>10</w:t>
      </w:r>
      <w:r>
        <w:rPr>
          <w:rFonts w:hint="eastAsia"/>
        </w:rPr>
        <w:t>月</w:t>
      </w:r>
      <w:r>
        <w:rPr>
          <w:rFonts w:hint="eastAsia"/>
          <w:lang w:val="en-US" w:eastAsia="zh-CN"/>
        </w:rPr>
        <w:t>14</w:t>
      </w:r>
      <w:r>
        <w:rPr>
          <w:rFonts w:hint="eastAsia"/>
        </w:rPr>
        <w:t>日</w:t>
      </w:r>
    </w:p>
    <w:p/>
    <w:p>
      <w:pPr>
        <w:pStyle w:val="14"/>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单位概况</w:t>
      </w:r>
    </w:p>
    <w:p>
      <w:pPr>
        <w:pStyle w:val="16"/>
        <w:adjustRightInd w:val="0"/>
        <w:snapToGrid w:val="0"/>
        <w:spacing w:line="440" w:lineRule="exact"/>
        <w:jc w:val="left"/>
        <w:rPr>
          <w:sz w:val="24"/>
        </w:rPr>
      </w:pPr>
      <w:r>
        <w:rPr>
          <w:rFonts w:hint="eastAsia"/>
          <w:sz w:val="24"/>
        </w:rPr>
        <w:t>一、主要职责</w:t>
      </w:r>
    </w:p>
    <w:p>
      <w:pPr>
        <w:pStyle w:val="16"/>
        <w:adjustRightInd w:val="0"/>
        <w:snapToGrid w:val="0"/>
        <w:spacing w:line="440" w:lineRule="exact"/>
        <w:jc w:val="left"/>
      </w:pPr>
      <w:r>
        <w:rPr>
          <w:rFonts w:hint="eastAsia"/>
          <w:sz w:val="24"/>
        </w:rPr>
        <w:t>二、机构设置</w:t>
      </w:r>
    </w:p>
    <w:p>
      <w:pPr>
        <w:pStyle w:val="14"/>
        <w:adjustRightInd w:val="0"/>
        <w:snapToGrid w:val="0"/>
        <w:spacing w:before="0" w:line="440" w:lineRule="exact"/>
        <w:jc w:val="left"/>
        <w:rPr>
          <w:sz w:val="24"/>
          <w:szCs w:val="24"/>
        </w:rPr>
      </w:pPr>
      <w:r>
        <w:rPr>
          <w:rFonts w:hint="eastAsia"/>
          <w:sz w:val="24"/>
        </w:rPr>
        <w:t>第二部分 202</w:t>
      </w:r>
      <w:r>
        <w:rPr>
          <w:rFonts w:hint="eastAsia"/>
          <w:sz w:val="24"/>
          <w:lang w:val="en-US" w:eastAsia="zh-CN"/>
        </w:rPr>
        <w:t>4</w:t>
      </w:r>
      <w:r>
        <w:rPr>
          <w:rFonts w:hint="eastAsia"/>
          <w:sz w:val="24"/>
        </w:rPr>
        <w:t>年度单位决算情况说明</w:t>
      </w:r>
    </w:p>
    <w:p>
      <w:pPr>
        <w:pStyle w:val="16"/>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6"/>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6"/>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6"/>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6"/>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6"/>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6"/>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pPr>
        <w:pStyle w:val="16"/>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6"/>
        <w:adjustRightInd w:val="0"/>
        <w:snapToGrid w:val="0"/>
        <w:spacing w:line="440" w:lineRule="exact"/>
        <w:jc w:val="left"/>
        <w:rPr>
          <w:sz w:val="24"/>
        </w:rPr>
      </w:pPr>
      <w:r>
        <w:rPr>
          <w:rFonts w:hint="eastAsia"/>
          <w:sz w:val="24"/>
        </w:rPr>
        <w:t>九、国有资本经营预算支出决算情况说明</w:t>
      </w:r>
    </w:p>
    <w:p>
      <w:pPr>
        <w:pStyle w:val="16"/>
        <w:adjustRightInd w:val="0"/>
        <w:snapToGrid w:val="0"/>
        <w:spacing w:line="440" w:lineRule="exact"/>
        <w:jc w:val="left"/>
        <w:rPr>
          <w:sz w:val="24"/>
        </w:rPr>
      </w:pPr>
      <w:r>
        <w:rPr>
          <w:rFonts w:hint="eastAsia"/>
          <w:sz w:val="24"/>
        </w:rPr>
        <w:t>十、其他重要事项的情况说明</w:t>
      </w:r>
    </w:p>
    <w:p>
      <w:pPr>
        <w:pStyle w:val="14"/>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4"/>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4"/>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6"/>
        <w:adjustRightInd w:val="0"/>
        <w:snapToGrid w:val="0"/>
        <w:spacing w:line="440" w:lineRule="exact"/>
        <w:jc w:val="left"/>
        <w:rPr>
          <w:sz w:val="24"/>
        </w:rPr>
      </w:pPr>
      <w:r>
        <w:rPr>
          <w:rFonts w:hint="eastAsia"/>
          <w:sz w:val="24"/>
        </w:rPr>
        <w:t>一、收入支出决算总表</w:t>
      </w:r>
    </w:p>
    <w:p>
      <w:pPr>
        <w:pStyle w:val="16"/>
        <w:adjustRightInd w:val="0"/>
        <w:snapToGrid w:val="0"/>
        <w:spacing w:line="440" w:lineRule="exact"/>
        <w:jc w:val="left"/>
        <w:rPr>
          <w:sz w:val="24"/>
        </w:rPr>
      </w:pPr>
      <w:r>
        <w:rPr>
          <w:rFonts w:hint="eastAsia"/>
          <w:sz w:val="24"/>
        </w:rPr>
        <w:t>二、收入决算表</w:t>
      </w:r>
    </w:p>
    <w:p>
      <w:pPr>
        <w:pStyle w:val="16"/>
        <w:adjustRightInd w:val="0"/>
        <w:snapToGrid w:val="0"/>
        <w:spacing w:line="440" w:lineRule="exact"/>
        <w:jc w:val="left"/>
        <w:rPr>
          <w:sz w:val="24"/>
        </w:rPr>
      </w:pPr>
      <w:r>
        <w:rPr>
          <w:rFonts w:hint="eastAsia"/>
          <w:sz w:val="24"/>
        </w:rPr>
        <w:t>三、支出决算表</w:t>
      </w:r>
    </w:p>
    <w:p>
      <w:pPr>
        <w:pStyle w:val="16"/>
        <w:adjustRightInd w:val="0"/>
        <w:snapToGrid w:val="0"/>
        <w:spacing w:line="440" w:lineRule="exact"/>
        <w:jc w:val="left"/>
        <w:rPr>
          <w:sz w:val="24"/>
        </w:rPr>
      </w:pPr>
      <w:r>
        <w:rPr>
          <w:rFonts w:hint="eastAsia"/>
          <w:sz w:val="24"/>
        </w:rPr>
        <w:t>四、财政拨款收入支出决算总表</w:t>
      </w:r>
    </w:p>
    <w:p>
      <w:pPr>
        <w:pStyle w:val="16"/>
        <w:adjustRightInd w:val="0"/>
        <w:snapToGrid w:val="0"/>
        <w:spacing w:line="440" w:lineRule="exact"/>
        <w:jc w:val="left"/>
        <w:rPr>
          <w:sz w:val="24"/>
        </w:rPr>
      </w:pPr>
      <w:r>
        <w:rPr>
          <w:rFonts w:hint="eastAsia"/>
          <w:sz w:val="24"/>
        </w:rPr>
        <w:t>五、财政拨款支出决算明细表</w:t>
      </w:r>
    </w:p>
    <w:p>
      <w:pPr>
        <w:pStyle w:val="16"/>
        <w:adjustRightInd w:val="0"/>
        <w:snapToGrid w:val="0"/>
        <w:spacing w:line="440" w:lineRule="exact"/>
        <w:jc w:val="left"/>
        <w:rPr>
          <w:sz w:val="24"/>
        </w:rPr>
      </w:pPr>
      <w:r>
        <w:rPr>
          <w:rFonts w:hint="eastAsia"/>
          <w:sz w:val="24"/>
        </w:rPr>
        <w:t>六、一般公共预算财政拨款支出决算表</w:t>
      </w:r>
    </w:p>
    <w:p>
      <w:pPr>
        <w:pStyle w:val="16"/>
        <w:adjustRightInd w:val="0"/>
        <w:snapToGrid w:val="0"/>
        <w:spacing w:line="440" w:lineRule="exact"/>
        <w:jc w:val="left"/>
        <w:rPr>
          <w:sz w:val="24"/>
        </w:rPr>
      </w:pPr>
      <w:r>
        <w:rPr>
          <w:rFonts w:hint="eastAsia"/>
          <w:sz w:val="24"/>
        </w:rPr>
        <w:t>七、一般公共预算财政拨款支出决算明细表</w:t>
      </w:r>
    </w:p>
    <w:p>
      <w:pPr>
        <w:pStyle w:val="16"/>
        <w:adjustRightInd w:val="0"/>
        <w:snapToGrid w:val="0"/>
        <w:spacing w:line="440" w:lineRule="exact"/>
        <w:jc w:val="left"/>
        <w:rPr>
          <w:sz w:val="24"/>
        </w:rPr>
      </w:pPr>
      <w:r>
        <w:rPr>
          <w:rFonts w:hint="eastAsia"/>
          <w:sz w:val="24"/>
        </w:rPr>
        <w:t>八、一般公共预算财政拨款基本支出决算明细表</w:t>
      </w:r>
    </w:p>
    <w:p>
      <w:pPr>
        <w:pStyle w:val="16"/>
        <w:adjustRightInd w:val="0"/>
        <w:snapToGrid w:val="0"/>
        <w:spacing w:line="440" w:lineRule="exact"/>
        <w:jc w:val="left"/>
        <w:rPr>
          <w:sz w:val="24"/>
        </w:rPr>
      </w:pPr>
      <w:r>
        <w:rPr>
          <w:rFonts w:hint="eastAsia"/>
          <w:sz w:val="24"/>
        </w:rPr>
        <w:t>九、一般公共预算财政拨款项目支出决算表</w:t>
      </w:r>
    </w:p>
    <w:p>
      <w:pPr>
        <w:pStyle w:val="16"/>
        <w:adjustRightInd w:val="0"/>
        <w:snapToGrid w:val="0"/>
        <w:spacing w:line="440" w:lineRule="exact"/>
        <w:jc w:val="left"/>
        <w:rPr>
          <w:sz w:val="24"/>
        </w:rPr>
      </w:pPr>
      <w:r>
        <w:rPr>
          <w:rFonts w:hint="eastAsia"/>
          <w:sz w:val="24"/>
        </w:rPr>
        <w:t>十、政府性基金预算财政拨款收入支出决算表</w:t>
      </w:r>
    </w:p>
    <w:p>
      <w:pPr>
        <w:pStyle w:val="16"/>
        <w:adjustRightInd w:val="0"/>
        <w:snapToGrid w:val="0"/>
        <w:spacing w:line="440" w:lineRule="exact"/>
        <w:jc w:val="left"/>
        <w:rPr>
          <w:sz w:val="24"/>
        </w:rPr>
      </w:pPr>
      <w:r>
        <w:rPr>
          <w:rFonts w:hint="eastAsia"/>
          <w:sz w:val="24"/>
        </w:rPr>
        <w:t>十一、国有资本经营预算财政拨款收入支出决算表</w:t>
      </w:r>
    </w:p>
    <w:p>
      <w:pPr>
        <w:pStyle w:val="16"/>
        <w:adjustRightInd w:val="0"/>
        <w:snapToGrid w:val="0"/>
        <w:spacing w:line="440" w:lineRule="exact"/>
        <w:jc w:val="left"/>
        <w:rPr>
          <w:sz w:val="24"/>
        </w:rPr>
      </w:pPr>
      <w:r>
        <w:rPr>
          <w:rFonts w:hint="eastAsia"/>
          <w:sz w:val="24"/>
        </w:rPr>
        <w:t>十二、国有资本经营预算财政拨款支出决算表</w:t>
      </w:r>
    </w:p>
    <w:p>
      <w:pPr>
        <w:pStyle w:val="16"/>
        <w:adjustRightInd w:val="0"/>
        <w:snapToGrid w:val="0"/>
        <w:spacing w:line="440" w:lineRule="exact"/>
        <w:jc w:val="left"/>
        <w:rPr>
          <w:sz w:val="24"/>
        </w:rPr>
      </w:pPr>
      <w:r>
        <w:rPr>
          <w:rFonts w:hint="eastAsia"/>
          <w:sz w:val="24"/>
        </w:rPr>
        <w:t>十三、财政拨款“三公”经费支出决算表</w:t>
      </w:r>
    </w:p>
    <w:p>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请单位根据实际注明页码</w:t>
      </w:r>
      <w:r>
        <w:rPr>
          <w:rFonts w:ascii="仿宋" w:hAnsi="仿宋" w:eastAsia="仿宋"/>
          <w:sz w:val="24"/>
        </w:rPr>
        <w:t>)</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5"/>
        <w:jc w:val="center"/>
        <w:rPr>
          <w:rStyle w:val="31"/>
          <w:rFonts w:ascii="黑体" w:hAnsi="黑体" w:eastAsia="黑体"/>
          <w:b/>
          <w:bCs w:val="0"/>
        </w:rPr>
      </w:pPr>
      <w:r>
        <w:rPr>
          <w:rFonts w:hint="eastAsia" w:ascii="黑体" w:hAnsi="黑体" w:eastAsia="黑体"/>
          <w:b w:val="0"/>
        </w:rPr>
        <w:t>第一部分 单位</w:t>
      </w:r>
      <w:r>
        <w:rPr>
          <w:rStyle w:val="31"/>
          <w:rFonts w:hint="eastAsia" w:ascii="黑体" w:hAnsi="黑体" w:eastAsia="黑体"/>
          <w:b w:val="0"/>
          <w:bCs w:val="0"/>
        </w:rPr>
        <w:t>概况</w:t>
      </w:r>
      <w:bookmarkEnd w:id="12"/>
      <w:bookmarkEnd w:id="13"/>
    </w:p>
    <w:p>
      <w:pPr>
        <w:widowControl/>
        <w:jc w:val="left"/>
        <w:rPr>
          <w:rFonts w:ascii="黑体" w:eastAsia="黑体"/>
          <w:sz w:val="32"/>
          <w:szCs w:val="32"/>
        </w:rPr>
      </w:pPr>
    </w:p>
    <w:p>
      <w:pPr>
        <w:pStyle w:val="6"/>
        <w:numPr>
          <w:ilvl w:val="0"/>
          <w:numId w:val="1"/>
        </w:numPr>
        <w:rPr>
          <w:rStyle w:val="32"/>
          <w:rFonts w:ascii="黑体" w:hAnsi="黑体" w:eastAsia="黑体"/>
          <w:b w:val="0"/>
          <w:bCs w:val="0"/>
        </w:rPr>
      </w:pPr>
      <w:bookmarkStart w:id="14" w:name="_Toc15396600"/>
      <w:bookmarkStart w:id="15" w:name="_Toc15377197"/>
      <w:r>
        <w:rPr>
          <w:rStyle w:val="32"/>
          <w:rFonts w:hint="eastAsia" w:ascii="黑体" w:hAnsi="黑体" w:eastAsia="黑体"/>
          <w:b w:val="0"/>
          <w:bCs w:val="0"/>
        </w:rPr>
        <w:t>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双河</w:t>
      </w:r>
      <w:r>
        <w:rPr>
          <w:rFonts w:hint="eastAsia" w:ascii="仿宋_GB2312" w:hAnsi="仿宋_GB2312" w:eastAsia="仿宋_GB2312" w:cs="仿宋_GB2312"/>
          <w:color w:val="000000"/>
          <w:kern w:val="0"/>
          <w:sz w:val="32"/>
          <w:szCs w:val="32"/>
          <w:lang w:val="zh-CN"/>
        </w:rPr>
        <w:t>镇党委、政府主要承担着贯彻落实党和政府各项路线方针政策，促进经济发展、增加农民收入，强化公共服务、着力改善民生，加强社会管理、维护农村稳定，推进基层民主、促进农村和谐的重大任务。</w:t>
      </w:r>
      <w:r>
        <w:rPr>
          <w:rFonts w:hint="eastAsia" w:ascii="仿宋_GB2312" w:hAnsi="仿宋_GB2312" w:eastAsia="仿宋_GB2312" w:cs="仿宋_GB2312"/>
          <w:color w:val="000000"/>
          <w:kern w:val="0"/>
          <w:sz w:val="32"/>
          <w:szCs w:val="32"/>
          <w:lang w:val="en-US" w:eastAsia="zh-CN"/>
        </w:rPr>
        <w:t>双河</w:t>
      </w:r>
      <w:r>
        <w:rPr>
          <w:rFonts w:hint="eastAsia" w:ascii="仿宋_GB2312" w:hAnsi="仿宋_GB2312" w:eastAsia="仿宋_GB2312" w:cs="仿宋_GB2312"/>
          <w:color w:val="000000"/>
          <w:kern w:val="0"/>
          <w:sz w:val="32"/>
          <w:szCs w:val="32"/>
          <w:lang w:val="zh-CN"/>
        </w:rPr>
        <w:t>镇党委、政府重点履行以下职能：</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党委主要职责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积极宣传、贯彻执行党的路线、方针、政策，负责领导本地区的工作，支持和保护行政组织、经济组织和群众自治组织充分行使职权；领导制定本</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的经济和社会发展规划并组织协调督促各部门贯彻实施，切实保证各项计划、目标的完成；负责</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领导班子的自身建设和对干部进行选拔、培养、使用、考核、监督工作；负责抓好党员的发展、教育、管理；严肃党纪，端正党风，抓好党的组织建设、作风建设、制度建设和思想建设；加强对村支部、</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企业支部、村民委员会的领导、监督和检查工作，充分发挥他们的作用；负责本地区的社会治安综合治理、精神文明建设、廉政工作和政治思想工作；负责本地区社会主义民主法制建设；负责对</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共青团、妇联和民兵工作的领导；协助管理上级有关部门驻</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干部；完成县委交办的其它工作。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 xml:space="preserve">人大主席团主要职责 </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检查、督促宪法、法律、法规及本级和上级人民代表大会决议、决定在本</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遵守、执行；在职权范围内通过和发布决议；健全和完善</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人民代表大会制度，使人大工作逐步实现制度化、规范化、法制化；充分行使</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人民代表大会的职权，听取和审议本级政府社会经济工作情况的报告，并监督本级人民政府工作；决定本行政区域内的经济、文化、公共事业的建设计划；负责组织人大代表开展对</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政府主要职责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纪委主要职责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协助党委对全</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领导干部廉洁自律工作，对选拔任用党政领导干部工作实行检查监督；完成党委和上级纪委、监察局交办的其它工作。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5</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镇</w:t>
      </w:r>
      <w:r>
        <w:rPr>
          <w:rFonts w:hint="eastAsia" w:ascii="仿宋_GB2312" w:hAnsi="仿宋_GB2312" w:eastAsia="仿宋_GB2312" w:cs="仿宋_GB2312"/>
          <w:color w:val="000000"/>
          <w:kern w:val="0"/>
          <w:sz w:val="32"/>
          <w:szCs w:val="32"/>
          <w:lang w:val="zh-CN"/>
        </w:rPr>
        <w:t>人民武装部主要职责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17"/>
        <w:keepNext w:val="0"/>
        <w:keepLines w:val="0"/>
        <w:pageBreakBefore w:val="0"/>
        <w:kinsoku/>
        <w:wordWrap/>
        <w:overflowPunct/>
        <w:topLinePunct w:val="0"/>
        <w:autoSpaceDE/>
        <w:autoSpaceDN/>
        <w:bidi w:val="0"/>
        <w:adjustRightInd/>
        <w:snapToGrid/>
        <w:spacing w:before="0" w:beforeAutospacing="0" w:after="0" w:afterAutospacing="0" w:line="500" w:lineRule="exact"/>
        <w:ind w:left="0" w:leftChars="0" w:right="0" w:rightChars="0" w:firstLine="320" w:firstLineChars="1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．本单位本年度纳入本套决算编制范围的独立编制机构数共</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上年</w:t>
      </w:r>
      <w:r>
        <w:rPr>
          <w:rFonts w:hint="eastAsia" w:ascii="仿宋_GB2312" w:hAnsi="仿宋_GB2312" w:eastAsia="仿宋_GB2312" w:cs="仿宋_GB2312"/>
          <w:sz w:val="32"/>
          <w:szCs w:val="32"/>
          <w:lang w:val="en-US" w:eastAsia="zh-CN"/>
        </w:rPr>
        <w:t>一样</w:t>
      </w:r>
      <w:r>
        <w:rPr>
          <w:rFonts w:hint="eastAsia" w:ascii="仿宋_GB2312" w:hAnsi="仿宋_GB2312" w:eastAsia="仿宋_GB2312" w:cs="仿宋_GB2312"/>
          <w:sz w:val="32"/>
          <w:szCs w:val="32"/>
        </w:rPr>
        <w:t>，独立核算机构数共1个，比上年增加0个</w:t>
      </w:r>
      <w:r>
        <w:rPr>
          <w:rFonts w:hint="eastAsia" w:ascii="仿宋_GB2312" w:hAnsi="仿宋_GB2312" w:eastAsia="仿宋_GB2312" w:cs="仿宋_GB2312"/>
          <w:sz w:val="32"/>
          <w:szCs w:val="32"/>
          <w:lang w:eastAsia="zh-CN"/>
        </w:rPr>
        <w:t>。</w:t>
      </w:r>
    </w:p>
    <w:p>
      <w:pPr>
        <w:pStyle w:val="17"/>
        <w:keepNext w:val="0"/>
        <w:keepLines w:val="0"/>
        <w:pageBreakBefore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本单位本年度年末实有人数为4</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上年</w:t>
      </w:r>
      <w:r>
        <w:rPr>
          <w:rFonts w:hint="eastAsia" w:ascii="仿宋_GB2312" w:hAnsi="仿宋_GB2312" w:eastAsia="仿宋_GB2312" w:cs="仿宋_GB2312"/>
          <w:sz w:val="32"/>
          <w:szCs w:val="32"/>
          <w:lang w:val="en-US" w:eastAsia="zh-CN"/>
        </w:rPr>
        <w:t>人数相同</w:t>
      </w:r>
      <w:r>
        <w:rPr>
          <w:rFonts w:hint="eastAsia" w:ascii="仿宋_GB2312" w:hAnsi="仿宋_GB2312" w:eastAsia="仿宋_GB2312" w:cs="仿宋_GB2312"/>
          <w:sz w:val="32"/>
          <w:szCs w:val="32"/>
        </w:rPr>
        <w:t>；年末实有离退休人数为</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人，比上年增加</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r>
        <w:rPr>
          <w:rStyle w:val="20"/>
          <w:rFonts w:hint="eastAsia" w:ascii="仿宋_GB2312" w:hAnsi="仿宋_GB2312" w:eastAsia="仿宋_GB2312" w:cs="仿宋_GB2312"/>
          <w:sz w:val="32"/>
          <w:szCs w:val="32"/>
        </w:rPr>
        <w:t>变动情况及原因为</w:t>
      </w:r>
      <w:r>
        <w:rPr>
          <w:rStyle w:val="20"/>
          <w:rFonts w:hint="eastAsia" w:ascii="仿宋_GB2312" w:hAnsi="仿宋_GB2312" w:eastAsia="仿宋_GB2312" w:cs="仿宋_GB2312"/>
          <w:sz w:val="32"/>
          <w:szCs w:val="32"/>
          <w:lang w:val="en-US" w:eastAsia="zh-CN"/>
        </w:rPr>
        <w:t>当年退休2人</w:t>
      </w:r>
      <w:r>
        <w:rPr>
          <w:rStyle w:val="20"/>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年末实有其他人数为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w:t>
      </w:r>
    </w:p>
    <w:p>
      <w:pPr>
        <w:pStyle w:val="10"/>
        <w:rPr>
          <w:rFonts w:hint="eastAsia"/>
          <w:lang w:val="zh-CN"/>
        </w:rPr>
      </w:pPr>
    </w:p>
    <w:p>
      <w:pPr>
        <w:pStyle w:val="17"/>
        <w:keepNext w:val="0"/>
        <w:keepLines w:val="0"/>
        <w:pageBreakBefore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outlineLvl w:val="9"/>
        <w:rPr>
          <w:rFonts w:ascii="黑体" w:hAnsi="黑体" w:eastAsia="黑体"/>
          <w:b w:val="0"/>
        </w:rPr>
      </w:pPr>
      <w:r>
        <w:rPr>
          <w:rFonts w:hint="eastAsia" w:ascii="仿宋_GB2312" w:hAnsi="仿宋_GB2312" w:eastAsia="仿宋_GB2312" w:cs="仿宋_GB2312"/>
          <w:sz w:val="32"/>
          <w:szCs w:val="32"/>
          <w:lang w:val="en-US" w:eastAsia="zh-CN"/>
        </w:rPr>
        <w:t xml:space="preserve">  </w:t>
      </w:r>
      <w:r>
        <w:rPr>
          <w:rStyle w:val="32"/>
          <w:rFonts w:hint="eastAsia" w:ascii="黑体" w:hAnsi="黑体" w:eastAsia="黑体"/>
          <w:b w:val="0"/>
          <w:bCs w:val="0"/>
          <w:lang w:val="en-US" w:eastAsia="zh-CN" w:bidi="ar-SA"/>
        </w:rPr>
        <w:t>二、机构设置</w:t>
      </w:r>
    </w:p>
    <w:bookmarkEnd w:id="14"/>
    <w:bookmarkEnd w:id="15"/>
    <w:p>
      <w:pPr>
        <w:pStyle w:val="17"/>
        <w:keepNext w:val="0"/>
        <w:keepLines w:val="0"/>
        <w:pageBreakBefore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outlineLvl w:val="9"/>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en-US" w:eastAsia="zh-CN" w:bidi="ar-SA"/>
        </w:rPr>
        <w:t xml:space="preserve">   四川省阿坝州九寨沟县双河镇人民政府下属二级单位 2 个，其中行政单位1 个，参照公务员法管理的事业单位 1 个纳入四川省阿坝州九寨沟县双河镇人民政府 2022 年度部门决算编制范围的二级预算单位包括： </w:t>
      </w:r>
    </w:p>
    <w:p>
      <w:pPr>
        <w:keepNext w:val="0"/>
        <w:keepLines w:val="0"/>
        <w:widowControl/>
        <w:suppressLineNumbers w:val="0"/>
        <w:jc w:val="left"/>
        <w:rPr>
          <w:rFonts w:hint="eastAsia" w:ascii="仿宋_GB2312" w:hAnsi="仿宋_GB2312" w:eastAsia="仿宋_GB2312" w:cs="仿宋_GB2312"/>
          <w:color w:val="000000"/>
          <w:kern w:val="0"/>
          <w:sz w:val="32"/>
          <w:szCs w:val="32"/>
          <w:lang w:val="zh-CN" w:eastAsia="zh-CN" w:bidi="ar-SA"/>
        </w:rPr>
      </w:pPr>
      <w:r>
        <w:rPr>
          <w:rFonts w:hint="default" w:ascii="仿宋_GB2312" w:hAnsi="仿宋_GB2312" w:eastAsia="仿宋_GB2312" w:cs="仿宋_GB2312"/>
          <w:color w:val="000000"/>
          <w:kern w:val="0"/>
          <w:sz w:val="32"/>
          <w:szCs w:val="32"/>
          <w:lang w:val="en-US" w:eastAsia="zh-CN" w:bidi="ar-SA"/>
        </w:rPr>
        <w:t xml:space="preserve">1. </w:t>
      </w:r>
      <w:r>
        <w:rPr>
          <w:rFonts w:hint="eastAsia" w:ascii="仿宋_GB2312" w:hAnsi="仿宋_GB2312" w:eastAsia="仿宋_GB2312" w:cs="仿宋_GB2312"/>
          <w:color w:val="000000"/>
          <w:kern w:val="0"/>
          <w:sz w:val="32"/>
          <w:szCs w:val="32"/>
          <w:lang w:val="en-US" w:eastAsia="zh-CN" w:bidi="ar-SA"/>
        </w:rPr>
        <w:t xml:space="preserve">县双河镇便民服务中心（挂县双河镇退役军人服务站、县双河镇农民工服务中心牌子） </w:t>
      </w:r>
    </w:p>
    <w:p>
      <w:pPr>
        <w:keepNext w:val="0"/>
        <w:keepLines w:val="0"/>
        <w:widowControl/>
        <w:suppressLineNumbers w:val="0"/>
        <w:jc w:val="left"/>
        <w:rPr>
          <w:rFonts w:hint="eastAsia" w:ascii="仿宋_GB2312" w:hAnsi="仿宋_GB2312" w:eastAsia="仿宋_GB2312" w:cs="仿宋_GB2312"/>
          <w:color w:val="000000"/>
          <w:kern w:val="0"/>
          <w:sz w:val="32"/>
          <w:szCs w:val="32"/>
          <w:lang w:val="zh-CN" w:eastAsia="zh-CN" w:bidi="ar-SA"/>
        </w:rPr>
      </w:pPr>
      <w:r>
        <w:rPr>
          <w:rFonts w:hint="default" w:ascii="仿宋_GB2312" w:hAnsi="仿宋_GB2312" w:eastAsia="仿宋_GB2312" w:cs="仿宋_GB2312"/>
          <w:color w:val="000000"/>
          <w:kern w:val="0"/>
          <w:sz w:val="32"/>
          <w:szCs w:val="32"/>
          <w:lang w:val="en-US" w:eastAsia="zh-CN" w:bidi="ar-SA"/>
        </w:rPr>
        <w:t xml:space="preserve">2. </w:t>
      </w:r>
      <w:r>
        <w:rPr>
          <w:rFonts w:hint="eastAsia" w:ascii="仿宋_GB2312" w:hAnsi="仿宋_GB2312" w:eastAsia="仿宋_GB2312" w:cs="仿宋_GB2312"/>
          <w:color w:val="000000"/>
          <w:kern w:val="0"/>
          <w:sz w:val="32"/>
          <w:szCs w:val="32"/>
          <w:lang w:val="en-US" w:eastAsia="zh-CN" w:bidi="ar-SA"/>
        </w:rPr>
        <w:t xml:space="preserve">县双河镇党群服务中心 </w:t>
      </w:r>
    </w:p>
    <w:p>
      <w:pPr>
        <w:keepNext w:val="0"/>
        <w:keepLines w:val="0"/>
        <w:widowControl/>
        <w:suppressLineNumbers w:val="0"/>
        <w:jc w:val="left"/>
        <w:rPr>
          <w:rFonts w:hint="eastAsia" w:ascii="仿宋_GB2312" w:hAnsi="仿宋_GB2312" w:eastAsia="仿宋_GB2312" w:cs="仿宋_GB2312"/>
          <w:color w:val="000000"/>
          <w:kern w:val="0"/>
          <w:sz w:val="32"/>
          <w:szCs w:val="32"/>
          <w:lang w:val="zh-CN" w:eastAsia="zh-CN" w:bidi="ar-SA"/>
        </w:rPr>
      </w:pPr>
      <w:r>
        <w:rPr>
          <w:rFonts w:hint="default" w:ascii="仿宋_GB2312" w:hAnsi="仿宋_GB2312" w:eastAsia="仿宋_GB2312" w:cs="仿宋_GB2312"/>
          <w:color w:val="000000"/>
          <w:kern w:val="0"/>
          <w:sz w:val="32"/>
          <w:szCs w:val="32"/>
          <w:lang w:val="en-US" w:eastAsia="zh-CN" w:bidi="ar-SA"/>
        </w:rPr>
        <w:t xml:space="preserve">3. </w:t>
      </w:r>
      <w:r>
        <w:rPr>
          <w:rFonts w:hint="eastAsia" w:ascii="仿宋_GB2312" w:hAnsi="仿宋_GB2312" w:eastAsia="仿宋_GB2312" w:cs="仿宋_GB2312"/>
          <w:color w:val="000000"/>
          <w:kern w:val="0"/>
          <w:sz w:val="32"/>
          <w:szCs w:val="32"/>
          <w:lang w:val="en-US" w:eastAsia="zh-CN" w:bidi="ar-SA"/>
        </w:rPr>
        <w:t xml:space="preserve">县双河镇文化旅游服务中心 </w:t>
      </w:r>
    </w:p>
    <w:p>
      <w:pPr>
        <w:keepNext w:val="0"/>
        <w:keepLines w:val="0"/>
        <w:widowControl/>
        <w:suppressLineNumbers w:val="0"/>
        <w:jc w:val="left"/>
        <w:rPr>
          <w:rFonts w:hint="eastAsia" w:ascii="仿宋_GB2312" w:hAnsi="仿宋_GB2312" w:eastAsia="仿宋_GB2312" w:cs="仿宋_GB2312"/>
          <w:color w:val="000000"/>
          <w:kern w:val="0"/>
          <w:sz w:val="32"/>
          <w:szCs w:val="32"/>
          <w:lang w:val="zh-CN" w:eastAsia="zh-CN" w:bidi="ar-SA"/>
        </w:rPr>
      </w:pPr>
      <w:r>
        <w:rPr>
          <w:rFonts w:hint="default" w:ascii="仿宋_GB2312" w:hAnsi="仿宋_GB2312" w:eastAsia="仿宋_GB2312" w:cs="仿宋_GB2312"/>
          <w:color w:val="000000"/>
          <w:kern w:val="0"/>
          <w:sz w:val="32"/>
          <w:szCs w:val="32"/>
          <w:lang w:val="en-US" w:eastAsia="zh-CN" w:bidi="ar-SA"/>
        </w:rPr>
        <w:t xml:space="preserve">4. </w:t>
      </w:r>
      <w:r>
        <w:rPr>
          <w:rFonts w:hint="eastAsia" w:ascii="仿宋_GB2312" w:hAnsi="仿宋_GB2312" w:eastAsia="仿宋_GB2312" w:cs="仿宋_GB2312"/>
          <w:color w:val="000000"/>
          <w:kern w:val="0"/>
          <w:sz w:val="32"/>
          <w:szCs w:val="32"/>
          <w:lang w:val="en-US" w:eastAsia="zh-CN" w:bidi="ar-SA"/>
        </w:rPr>
        <w:t>县双河镇农业农村服务中心</w:t>
      </w:r>
    </w:p>
    <w:p>
      <w:pPr>
        <w:pStyle w:val="17"/>
        <w:keepNext w:val="0"/>
        <w:keepLines w:val="0"/>
        <w:pageBreakBefore w:val="0"/>
        <w:kinsoku/>
        <w:wordWrap/>
        <w:overflowPunct/>
        <w:topLinePunct w:val="0"/>
        <w:autoSpaceDE/>
        <w:autoSpaceDN/>
        <w:bidi w:val="0"/>
        <w:adjustRightInd/>
        <w:snapToGrid/>
        <w:spacing w:before="0" w:beforeAutospacing="0" w:after="0" w:afterAutospacing="0" w:line="500" w:lineRule="exact"/>
        <w:ind w:left="0" w:leftChars="0" w:right="0" w:rightChars="0" w:firstLine="0" w:firstLine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pPr>
        <w:widowControl/>
        <w:jc w:val="left"/>
        <w:rPr>
          <w:rFonts w:ascii="仿宋" w:hAnsi="仿宋" w:eastAsia="仿宋"/>
          <w:kern w:val="0"/>
          <w:sz w:val="32"/>
          <w:szCs w:val="32"/>
        </w:rPr>
      </w:pPr>
      <w:r>
        <w:rPr>
          <w:rFonts w:ascii="仿宋" w:hAnsi="仿宋" w:eastAsia="仿宋"/>
          <w:sz w:val="32"/>
          <w:szCs w:val="32"/>
        </w:rPr>
        <w:br w:type="page"/>
      </w:r>
    </w:p>
    <w:p>
      <w:pPr>
        <w:pStyle w:val="5"/>
        <w:ind w:right="440"/>
        <w:jc w:val="center"/>
        <w:rPr>
          <w:rStyle w:val="31"/>
          <w:rFonts w:ascii="黑体" w:hAnsi="黑体" w:eastAsia="黑体"/>
          <w:b w:val="0"/>
          <w:bCs/>
        </w:rPr>
      </w:pPr>
      <w:bookmarkStart w:id="16" w:name="_Toc15396602"/>
      <w:bookmarkStart w:id="17" w:name="_Toc15377204"/>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31"/>
          <w:rFonts w:hint="eastAsia" w:ascii="黑体" w:hAnsi="黑体" w:eastAsia="黑体"/>
          <w:b w:val="0"/>
          <w:bCs/>
        </w:rPr>
        <w:t>单位决算情况说明</w:t>
      </w:r>
      <w:bookmarkEnd w:id="16"/>
      <w:bookmarkEnd w:id="17"/>
    </w:p>
    <w:p/>
    <w:p>
      <w:pPr>
        <w:pStyle w:val="30"/>
        <w:numPr>
          <w:ilvl w:val="0"/>
          <w:numId w:val="2"/>
        </w:numPr>
        <w:spacing w:line="600" w:lineRule="exact"/>
        <w:ind w:firstLineChars="0"/>
        <w:outlineLvl w:val="1"/>
        <w:rPr>
          <w:rStyle w:val="32"/>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32"/>
          <w:rFonts w:hint="eastAsia" w:ascii="黑体" w:hAnsi="黑体" w:eastAsia="黑体"/>
          <w:b w:val="0"/>
        </w:rPr>
        <w:t>入支出决算总体情况说明</w:t>
      </w:r>
      <w:bookmarkEnd w:id="18"/>
      <w:bookmarkEnd w:id="19"/>
    </w:p>
    <w:p>
      <w:pPr>
        <w:spacing w:line="600"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ascii="仿宋_GB2312" w:hAnsi="仿宋_GB2312" w:eastAsia="仿宋_GB2312" w:cs="仿宋_GB2312"/>
          <w:sz w:val="32"/>
          <w:szCs w:val="32"/>
        </w:rPr>
        <w:t>3784.13</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年度相比，收、支总计各</w:t>
      </w:r>
      <w:r>
        <w:rPr>
          <w:rFonts w:hint="eastAsia" w:ascii="仿宋" w:hAnsi="仿宋" w:eastAsia="仿宋"/>
          <w:sz w:val="32"/>
          <w:szCs w:val="32"/>
          <w:lang w:val="en-US" w:eastAsia="zh-CN"/>
        </w:rPr>
        <w:t>增加2266.07</w:t>
      </w:r>
      <w:r>
        <w:rPr>
          <w:rFonts w:hint="eastAsia" w:ascii="仿宋" w:hAnsi="仿宋" w:eastAsia="仿宋"/>
          <w:sz w:val="32"/>
          <w:szCs w:val="32"/>
        </w:rPr>
        <w:t>万元，</w:t>
      </w:r>
      <w:r>
        <w:rPr>
          <w:rFonts w:hint="eastAsia" w:ascii="仿宋" w:hAnsi="仿宋" w:eastAsia="仿宋"/>
          <w:sz w:val="32"/>
          <w:szCs w:val="32"/>
          <w:lang w:val="en-US" w:eastAsia="zh-CN"/>
        </w:rPr>
        <w:t>增长242.83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项目增加及人员变动大</w:t>
      </w:r>
      <w:r>
        <w:rPr>
          <w:rFonts w:hint="eastAsia" w:ascii="仿宋" w:hAnsi="仿宋" w:eastAsia="仿宋"/>
          <w:sz w:val="32"/>
          <w:szCs w:val="32"/>
        </w:rPr>
        <w:t>。</w:t>
      </w:r>
    </w:p>
    <w:p>
      <w:pPr>
        <w:pStyle w:val="30"/>
        <w:numPr>
          <w:ilvl w:val="0"/>
          <w:numId w:val="2"/>
        </w:numPr>
        <w:spacing w:line="600" w:lineRule="exact"/>
        <w:ind w:firstLineChars="0"/>
        <w:outlineLvl w:val="1"/>
        <w:rPr>
          <w:rStyle w:val="32"/>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32"/>
          <w:rFonts w:hint="eastAsia" w:ascii="黑体" w:hAnsi="黑体" w:eastAsia="黑体"/>
          <w:b w:val="0"/>
        </w:rPr>
        <w:t>入决算情况说明</w:t>
      </w:r>
      <w:bookmarkEnd w:id="20"/>
      <w:bookmarkEnd w:id="21"/>
    </w:p>
    <w:p>
      <w:pPr>
        <w:pStyle w:val="30"/>
        <w:numPr>
          <w:numId w:val="0"/>
        </w:numPr>
        <w:spacing w:line="600" w:lineRule="exact"/>
        <w:ind w:left="640" w:leftChars="0" w:firstLine="640" w:firstLineChars="200"/>
        <w:jc w:val="both"/>
        <w:outlineLvl w:val="1"/>
        <w:rPr>
          <w:rFonts w:hint="eastAsia" w:ascii="仿宋_GB2312" w:hAnsi="仿宋_GB2312" w:eastAsia="仿宋_GB2312" w:cs="仿宋_GB2312"/>
          <w:color w:val="auto"/>
          <w:sz w:val="32"/>
          <w:szCs w:val="32"/>
          <w:highlight w:val="none"/>
          <w:lang w:eastAsia="zh-CN"/>
        </w:rPr>
      </w:pPr>
      <w:bookmarkStart w:id="22" w:name="_Toc15377207"/>
      <w:bookmarkStart w:id="23" w:name="_Toc15396605"/>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3552.68万元，其中：一般公共预算财政拨款收入3487.68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98.17</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65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1.82%</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pStyle w:val="30"/>
        <w:numPr>
          <w:ilvl w:val="0"/>
          <w:numId w:val="2"/>
        </w:numPr>
        <w:spacing w:line="600" w:lineRule="exact"/>
        <w:ind w:firstLineChars="0"/>
        <w:outlineLvl w:val="1"/>
        <w:rPr>
          <w:rFonts w:hint="eastAsia" w:ascii="黑体" w:hAnsi="黑体" w:eastAsia="黑体"/>
          <w:sz w:val="32"/>
          <w:szCs w:val="32"/>
        </w:rPr>
      </w:pPr>
      <w:r>
        <w:rPr>
          <w:rFonts w:hint="eastAsia" w:ascii="黑体" w:hAnsi="黑体" w:eastAsia="黑体"/>
          <w:sz w:val="32"/>
          <w:szCs w:val="32"/>
        </w:rPr>
        <w:t>支出决算情况说明</w:t>
      </w:r>
      <w:bookmarkEnd w:id="22"/>
      <w:bookmarkEnd w:id="23"/>
    </w:p>
    <w:p>
      <w:pPr>
        <w:spacing w:line="600" w:lineRule="exact"/>
        <w:ind w:firstLine="640" w:firstLineChars="200"/>
        <w:outlineLvl w:val="1"/>
        <w:rPr>
          <w:rFonts w:hint="eastAsia" w:ascii="仿宋_GB2312" w:hAnsi="仿宋_GB2312" w:eastAsia="仿宋_GB2312" w:cs="仿宋_GB2312"/>
          <w:sz w:val="32"/>
          <w:szCs w:val="32"/>
          <w:lang w:eastAsia="zh-CN"/>
        </w:rPr>
      </w:pPr>
      <w:bookmarkStart w:id="24" w:name="_Toc15377208"/>
      <w:bookmarkStart w:id="25" w:name="_Toc15396606"/>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3784.13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780.04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20.61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3004.09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79.38</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w:t>
      </w:r>
    </w:p>
    <w:p>
      <w:pPr>
        <w:spacing w:line="600" w:lineRule="exact"/>
        <w:ind w:firstLine="640" w:firstLineChars="200"/>
        <w:outlineLvl w:val="1"/>
        <w:rPr>
          <w:rStyle w:val="32"/>
          <w:rFonts w:ascii="黑体" w:hAnsi="黑体" w:eastAsia="黑体"/>
          <w:b w:val="0"/>
        </w:rPr>
      </w:pPr>
      <w:r>
        <w:rPr>
          <w:rFonts w:hint="eastAsia" w:ascii="黑体" w:hAnsi="黑体" w:eastAsia="黑体"/>
          <w:sz w:val="32"/>
          <w:szCs w:val="32"/>
        </w:rPr>
        <w:t>四、财</w:t>
      </w:r>
      <w:r>
        <w:rPr>
          <w:rStyle w:val="32"/>
          <w:rFonts w:hint="eastAsia" w:ascii="黑体" w:hAnsi="黑体" w:eastAsia="黑体"/>
          <w:b w:val="0"/>
        </w:rPr>
        <w:t>政拨款收入支出决算总体情况说明</w:t>
      </w:r>
      <w:bookmarkEnd w:id="24"/>
      <w:bookmarkEnd w:id="25"/>
    </w:p>
    <w:p>
      <w:pPr>
        <w:spacing w:line="600" w:lineRule="exact"/>
        <w:ind w:firstLine="640" w:firstLineChars="200"/>
        <w:rPr>
          <w:rFonts w:ascii="仿宋" w:hAnsi="仿宋" w:eastAsia="仿宋"/>
          <w:sz w:val="32"/>
          <w:szCs w:val="32"/>
        </w:rPr>
      </w:pPr>
      <w:bookmarkStart w:id="26" w:name="_Toc15377209"/>
      <w:bookmarkStart w:id="27" w:name="_Toc15396607"/>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3784.13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万元。与2023年度相比，财政拨款收入总计、支出总计各增加/减少</w:t>
      </w:r>
      <w:r>
        <w:rPr>
          <w:rFonts w:hint="eastAsia" w:eastAsia="仿宋_GB2312" w:cs="仿宋_GB2312"/>
          <w:color w:val="auto"/>
          <w:kern w:val="2"/>
          <w:sz w:val="32"/>
          <w:szCs w:val="32"/>
          <w:highlight w:val="none"/>
          <w:lang w:val="en-US" w:eastAsia="zh-CN" w:bidi="ar-SA"/>
        </w:rPr>
        <w:t>2266.07</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ascii="仿宋" w:hAnsi="仿宋" w:eastAsia="仿宋"/>
          <w:sz w:val="32"/>
          <w:szCs w:val="32"/>
          <w:lang w:val="en-US" w:eastAsia="zh-CN"/>
        </w:rPr>
        <w:t>242.83</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sz w:val="32"/>
          <w:szCs w:val="32"/>
        </w:rPr>
        <w:t>主要变动原因是</w:t>
      </w:r>
      <w:r>
        <w:rPr>
          <w:rFonts w:hint="eastAsia" w:ascii="仿宋" w:hAnsi="仿宋" w:eastAsia="仿宋"/>
          <w:sz w:val="32"/>
          <w:szCs w:val="32"/>
          <w:lang w:val="en-US" w:eastAsia="zh-CN"/>
        </w:rPr>
        <w:t>项目增加及人员变动大</w:t>
      </w:r>
      <w:r>
        <w:rPr>
          <w:rFonts w:hint="eastAsia" w:ascii="仿宋" w:hAnsi="仿宋" w:eastAsia="仿宋"/>
          <w:sz w:val="32"/>
          <w:szCs w:val="32"/>
        </w:rPr>
        <w:t>。</w:t>
      </w:r>
    </w:p>
    <w:p>
      <w:pPr>
        <w:spacing w:line="600" w:lineRule="exact"/>
        <w:outlineLvl w:val="1"/>
        <w:rPr>
          <w:rStyle w:val="32"/>
          <w:rFonts w:ascii="黑体" w:hAnsi="黑体" w:eastAsia="黑体"/>
          <w:b w:val="0"/>
        </w:rPr>
      </w:pPr>
      <w:r>
        <w:rPr>
          <w:rFonts w:hint="eastAsia" w:ascii="黑体" w:hAnsi="黑体" w:eastAsia="黑体"/>
          <w:sz w:val="32"/>
          <w:szCs w:val="32"/>
        </w:rPr>
        <w:t>五、</w:t>
      </w:r>
      <w:r>
        <w:rPr>
          <w:rFonts w:hint="eastAsia" w:ascii="黑体" w:hAnsi="黑体" w:eastAsia="黑体"/>
          <w:b/>
          <w:sz w:val="32"/>
          <w:szCs w:val="32"/>
        </w:rPr>
        <w:t>一</w:t>
      </w:r>
      <w:r>
        <w:rPr>
          <w:rStyle w:val="32"/>
          <w:rFonts w:hint="eastAsia" w:ascii="黑体" w:hAnsi="黑体" w:eastAsia="黑体"/>
          <w:b w:val="0"/>
        </w:rPr>
        <w:t>般公共预算财政拨款支出决算情况说明</w:t>
      </w:r>
      <w:bookmarkEnd w:id="26"/>
      <w:bookmarkEnd w:id="27"/>
    </w:p>
    <w:p>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pPr>
        <w:spacing w:line="600" w:lineRule="exact"/>
        <w:ind w:firstLine="640" w:firstLineChars="200"/>
        <w:rPr>
          <w:rFonts w:ascii="仿宋" w:hAnsi="仿宋" w:eastAsia="仿宋"/>
          <w:sz w:val="32"/>
          <w:szCs w:val="32"/>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3719.13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98.28</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eastAsia="zh-CN"/>
        </w:rPr>
        <w:t>；政府性基金预算财政拨款</w:t>
      </w:r>
      <w:r>
        <w:rPr>
          <w:rFonts w:hint="eastAsia" w:ascii="仿宋_GB2312" w:hAnsi="仿宋_GB2312" w:eastAsia="仿宋_GB2312" w:cs="仿宋_GB2312"/>
          <w:color w:val="auto"/>
          <w:sz w:val="32"/>
          <w:szCs w:val="32"/>
          <w:highlight w:val="none"/>
          <w:lang w:val="en-US" w:eastAsia="zh-CN"/>
        </w:rPr>
        <w:t>支出</w:t>
      </w:r>
      <w:r>
        <w:rPr>
          <w:rFonts w:hint="eastAsia" w:ascii="仿宋_GB2312" w:hAnsi="仿宋_GB2312" w:eastAsia="仿宋_GB2312" w:cs="仿宋_GB2312"/>
          <w:sz w:val="32"/>
          <w:szCs w:val="32"/>
        </w:rPr>
        <w:t>65</w:t>
      </w:r>
      <w:r>
        <w:rPr>
          <w:rFonts w:hint="eastAsia" w:ascii="仿宋_GB2312" w:hAnsi="仿宋_GB2312" w:eastAsia="仿宋_GB2312" w:cs="仿宋_GB2312"/>
          <w:color w:val="auto"/>
          <w:sz w:val="32"/>
          <w:szCs w:val="32"/>
          <w:highlight w:val="none"/>
          <w:lang w:eastAsia="zh-CN"/>
        </w:rPr>
        <w:t>万元，</w:t>
      </w:r>
      <w:r>
        <w:rPr>
          <w:rFonts w:hint="eastAsia" w:ascii="仿宋_GB2312" w:hAnsi="仿宋_GB2312" w:eastAsia="仿宋_GB2312" w:cs="仿宋_GB2312"/>
          <w:color w:val="auto"/>
          <w:sz w:val="32"/>
          <w:szCs w:val="32"/>
          <w:highlight w:val="none"/>
          <w:lang w:val="en-US" w:eastAsia="zh-CN"/>
        </w:rPr>
        <w:t>占</w:t>
      </w:r>
      <w:r>
        <w:rPr>
          <w:rFonts w:hint="eastAsia" w:ascii="仿宋_GB2312" w:hAnsi="仿宋_GB2312" w:eastAsia="仿宋_GB2312" w:cs="仿宋_GB2312"/>
          <w:color w:val="auto"/>
          <w:kern w:val="2"/>
          <w:sz w:val="32"/>
          <w:szCs w:val="32"/>
          <w:highlight w:val="none"/>
          <w:lang w:val="en-US" w:eastAsia="zh-CN" w:bidi="ar-SA"/>
        </w:rPr>
        <w:t>本年支出合计的</w:t>
      </w:r>
      <w:r>
        <w:rPr>
          <w:rFonts w:hint="eastAsia" w:ascii="仿宋_GB2312" w:hAnsi="仿宋_GB2312" w:eastAsia="仿宋_GB2312" w:cs="仿宋_GB2312"/>
          <w:sz w:val="32"/>
          <w:szCs w:val="32"/>
          <w:lang w:val="en-US" w:eastAsia="zh-CN"/>
        </w:rPr>
        <w:t>1.72</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%，与2023年度相比，一般公共预算财政拨款支出增加2160.76万元，增长238.66%。</w:t>
      </w:r>
      <w:r>
        <w:rPr>
          <w:rFonts w:hint="eastAsia" w:ascii="仿宋" w:hAnsi="仿宋" w:eastAsia="仿宋"/>
          <w:sz w:val="32"/>
          <w:szCs w:val="32"/>
        </w:rPr>
        <w:t>主要变动原因是</w:t>
      </w:r>
      <w:r>
        <w:rPr>
          <w:rFonts w:hint="eastAsia" w:ascii="仿宋" w:hAnsi="仿宋" w:eastAsia="仿宋"/>
          <w:sz w:val="32"/>
          <w:szCs w:val="32"/>
          <w:lang w:val="en-US" w:eastAsia="zh-CN"/>
        </w:rPr>
        <w:t>项目增加及人员变动大</w:t>
      </w:r>
      <w:r>
        <w:rPr>
          <w:rFonts w:hint="eastAsia" w:ascii="仿宋" w:hAnsi="仿宋" w:eastAsia="仿宋"/>
          <w:sz w:val="32"/>
          <w:szCs w:val="32"/>
        </w:rPr>
        <w:t>。</w:t>
      </w:r>
    </w:p>
    <w:p>
      <w:pPr>
        <w:spacing w:line="600" w:lineRule="exact"/>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pPr>
        <w:spacing w:line="600" w:lineRule="exact"/>
        <w:ind w:firstLine="640"/>
        <w:rPr>
          <w:rFonts w:hint="default" w:ascii="仿宋" w:hAnsi="仿宋" w:eastAsia="仿宋"/>
          <w:b/>
          <w:sz w:val="32"/>
          <w:szCs w:val="32"/>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3719.13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sz w:val="32"/>
          <w:szCs w:val="32"/>
          <w:highlight w:val="none"/>
          <w:lang w:eastAsia="zh-CN"/>
        </w:rPr>
        <w:t>政府性基金预算财政拨款</w:t>
      </w:r>
      <w:r>
        <w:rPr>
          <w:rFonts w:hint="eastAsia" w:ascii="仿宋_GB2312" w:hAnsi="仿宋_GB2312" w:eastAsia="仿宋_GB2312" w:cs="仿宋_GB2312"/>
          <w:color w:val="auto"/>
          <w:sz w:val="32"/>
          <w:szCs w:val="32"/>
          <w:highlight w:val="none"/>
          <w:lang w:val="en-US" w:eastAsia="zh-CN"/>
        </w:rPr>
        <w:t>支出</w:t>
      </w:r>
      <w:r>
        <w:rPr>
          <w:rFonts w:hint="eastAsia" w:ascii="仿宋_GB2312" w:hAnsi="仿宋_GB2312" w:eastAsia="仿宋_GB2312" w:cs="仿宋_GB2312"/>
          <w:sz w:val="32"/>
          <w:szCs w:val="32"/>
        </w:rPr>
        <w:t>65</w:t>
      </w:r>
      <w:r>
        <w:rPr>
          <w:rFonts w:hint="eastAsia" w:ascii="仿宋_GB2312" w:hAnsi="仿宋_GB2312" w:eastAsia="仿宋_GB2312" w:cs="仿宋_GB2312"/>
          <w:color w:val="auto"/>
          <w:sz w:val="32"/>
          <w:szCs w:val="32"/>
          <w:highlight w:val="none"/>
          <w:lang w:eastAsia="zh-CN"/>
        </w:rPr>
        <w:t>万元，</w:t>
      </w:r>
      <w:r>
        <w:rPr>
          <w:rFonts w:hint="eastAsia" w:ascii="仿宋_GB2312" w:hAnsi="仿宋_GB2312" w:eastAsia="仿宋_GB2312" w:cs="仿宋_GB2312"/>
          <w:color w:val="auto"/>
          <w:sz w:val="32"/>
          <w:szCs w:val="32"/>
          <w:highlight w:val="none"/>
          <w:lang w:val="en-US" w:eastAsia="zh-CN"/>
        </w:rPr>
        <w:t>共计支出：3784.13万元。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621.8</w:t>
      </w:r>
      <w:r>
        <w:rPr>
          <w:rFonts w:hint="eastAsia" w:ascii="仿宋" w:hAnsi="仿宋" w:eastAsia="仿宋"/>
          <w:sz w:val="32"/>
          <w:szCs w:val="32"/>
        </w:rPr>
        <w:t>万元，占</w:t>
      </w:r>
      <w:r>
        <w:rPr>
          <w:rFonts w:hint="eastAsia" w:ascii="仿宋" w:hAnsi="仿宋" w:eastAsia="仿宋"/>
          <w:sz w:val="32"/>
          <w:szCs w:val="32"/>
          <w:lang w:val="en-US" w:eastAsia="zh-CN"/>
        </w:rPr>
        <w:t>16.43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4.5</w:t>
      </w:r>
      <w:r>
        <w:rPr>
          <w:rFonts w:hint="eastAsia" w:ascii="仿宋" w:hAnsi="仿宋" w:eastAsia="仿宋"/>
          <w:b/>
          <w:bCs/>
          <w:sz w:val="32"/>
          <w:szCs w:val="32"/>
        </w:rPr>
        <w:t>万元，占</w:t>
      </w:r>
      <w:r>
        <w:rPr>
          <w:rFonts w:hint="eastAsia" w:ascii="仿宋" w:hAnsi="仿宋" w:eastAsia="仿宋"/>
          <w:b/>
          <w:bCs/>
          <w:sz w:val="32"/>
          <w:szCs w:val="32"/>
          <w:lang w:val="en-US" w:eastAsia="zh-CN"/>
        </w:rPr>
        <w:t>0.12</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106.9</w:t>
      </w:r>
      <w:r>
        <w:rPr>
          <w:rFonts w:hint="eastAsia" w:ascii="仿宋" w:hAnsi="仿宋" w:eastAsia="仿宋"/>
          <w:sz w:val="32"/>
          <w:szCs w:val="32"/>
        </w:rPr>
        <w:t>万元，占</w:t>
      </w:r>
      <w:r>
        <w:rPr>
          <w:rFonts w:hint="eastAsia" w:ascii="仿宋" w:hAnsi="仿宋" w:eastAsia="仿宋"/>
          <w:sz w:val="32"/>
          <w:szCs w:val="32"/>
          <w:lang w:val="en-US" w:eastAsia="zh-CN"/>
        </w:rPr>
        <w:t>2.82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38.9</w:t>
      </w:r>
      <w:r>
        <w:rPr>
          <w:rFonts w:hint="eastAsia" w:ascii="仿宋" w:hAnsi="仿宋" w:eastAsia="仿宋"/>
          <w:sz w:val="32"/>
          <w:szCs w:val="32"/>
        </w:rPr>
        <w:t>万元，占</w:t>
      </w:r>
      <w:r>
        <w:rPr>
          <w:rFonts w:hint="eastAsia" w:ascii="仿宋" w:hAnsi="仿宋" w:eastAsia="仿宋"/>
          <w:sz w:val="32"/>
          <w:szCs w:val="32"/>
          <w:lang w:val="en-US" w:eastAsia="zh-CN"/>
        </w:rPr>
        <w:t>1.03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val="en-US" w:eastAsia="zh-CN"/>
        </w:rPr>
        <w:t>城乡社区支出95.8万元，占2.53%；农林水支出2846.4万元，占75.22%；</w:t>
      </w:r>
      <w:r>
        <w:rPr>
          <w:rFonts w:hint="eastAsia" w:ascii="仿宋" w:hAnsi="仿宋" w:eastAsia="仿宋"/>
          <w:b/>
          <w:bCs/>
          <w:sz w:val="32"/>
          <w:szCs w:val="32"/>
        </w:rPr>
        <w:t>住房保障支出</w:t>
      </w:r>
      <w:r>
        <w:rPr>
          <w:rFonts w:hint="eastAsia" w:ascii="仿宋" w:hAnsi="仿宋" w:eastAsia="仿宋"/>
          <w:sz w:val="32"/>
          <w:szCs w:val="32"/>
          <w:lang w:val="en-US" w:eastAsia="zh-CN"/>
        </w:rPr>
        <w:t>48.4</w:t>
      </w:r>
      <w:r>
        <w:rPr>
          <w:rFonts w:hint="eastAsia" w:ascii="仿宋" w:hAnsi="仿宋" w:eastAsia="仿宋"/>
          <w:sz w:val="32"/>
          <w:szCs w:val="32"/>
        </w:rPr>
        <w:t>万元，占</w:t>
      </w:r>
      <w:r>
        <w:rPr>
          <w:rFonts w:hint="eastAsia" w:ascii="仿宋" w:hAnsi="仿宋" w:eastAsia="仿宋"/>
          <w:sz w:val="32"/>
          <w:szCs w:val="32"/>
          <w:lang w:val="en-US" w:eastAsia="zh-CN"/>
        </w:rPr>
        <w:t>1.3</w:t>
      </w:r>
      <w:r>
        <w:rPr>
          <w:rFonts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lang w:val="en-US" w:eastAsia="zh-CN"/>
        </w:rPr>
        <w:t>灾害防治及应急管理支出21.5万元，占0.57%。</w:t>
      </w:r>
    </w:p>
    <w:p>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pPr>
        <w:spacing w:line="600" w:lineRule="exact"/>
        <w:ind w:firstLine="643" w:firstLineChars="200"/>
        <w:outlineLvl w:val="2"/>
        <w:rPr>
          <w:rFonts w:ascii="仿宋" w:hAnsi="仿宋" w:eastAsia="仿宋"/>
          <w:sz w:val="32"/>
          <w:szCs w:val="32"/>
        </w:rPr>
      </w:pPr>
      <w:bookmarkStart w:id="31" w:name="_Toc15377444"/>
      <w:bookmarkStart w:id="32" w:name="_Toc15377213"/>
      <w:bookmarkStart w:id="33" w:name="_Toc15378460"/>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ascii="仿宋" w:hAnsi="仿宋" w:eastAsia="仿宋"/>
          <w:b/>
          <w:sz w:val="32"/>
          <w:szCs w:val="32"/>
          <w:lang w:val="en-US" w:eastAsia="zh-CN"/>
        </w:rPr>
        <w:t>621.8</w:t>
      </w:r>
      <w:r>
        <w:rPr>
          <w:rFonts w:hint="eastAsia" w:ascii="仿宋" w:hAnsi="仿宋" w:eastAsia="仿宋"/>
          <w:sz w:val="32"/>
          <w:szCs w:val="32"/>
        </w:rPr>
        <w:t>，</w:t>
      </w:r>
      <w:r>
        <w:rPr>
          <w:rStyle w:val="20"/>
          <w:rFonts w:hint="eastAsia" w:ascii="仿宋" w:hAnsi="仿宋" w:eastAsia="仿宋"/>
          <w:bCs/>
          <w:sz w:val="32"/>
          <w:szCs w:val="32"/>
        </w:rPr>
        <w:t>完成预算</w:t>
      </w:r>
      <w:r>
        <w:rPr>
          <w:rStyle w:val="20"/>
          <w:rFonts w:hint="eastAsia" w:ascii="仿宋" w:hAnsi="仿宋" w:eastAsia="仿宋"/>
          <w:bCs/>
          <w:sz w:val="32"/>
          <w:szCs w:val="32"/>
          <w:lang w:val="en-US" w:eastAsia="zh-CN"/>
        </w:rPr>
        <w:t>100</w:t>
      </w:r>
      <w:r>
        <w:rPr>
          <w:rStyle w:val="20"/>
          <w:rFonts w:ascii="仿宋" w:hAnsi="仿宋" w:eastAsia="仿宋"/>
          <w:bCs/>
          <w:sz w:val="32"/>
          <w:szCs w:val="32"/>
        </w:rPr>
        <w:t>%</w:t>
      </w:r>
      <w:r>
        <w:rPr>
          <w:rStyle w:val="20"/>
          <w:rFonts w:hint="eastAsia" w:ascii="仿宋" w:hAnsi="仿宋" w:eastAsia="仿宋"/>
          <w:bCs/>
          <w:sz w:val="32"/>
          <w:szCs w:val="32"/>
        </w:rPr>
        <w:t>。其中：</w:t>
      </w:r>
      <w:bookmarkEnd w:id="31"/>
      <w:bookmarkEnd w:id="32"/>
      <w:bookmarkEnd w:id="33"/>
    </w:p>
    <w:p>
      <w:pPr>
        <w:numPr>
          <w:numId w:val="0"/>
        </w:numPr>
        <w:spacing w:line="600" w:lineRule="exact"/>
        <w:rPr>
          <w:rStyle w:val="20"/>
          <w:rFonts w:hint="eastAsia" w:ascii="仿宋" w:hAnsi="仿宋" w:eastAsia="仿宋"/>
          <w:b w:val="0"/>
          <w:bCs/>
          <w:sz w:val="32"/>
          <w:szCs w:val="32"/>
        </w:rPr>
      </w:pPr>
      <w:r>
        <w:rPr>
          <w:rStyle w:val="20"/>
          <w:rFonts w:hint="eastAsia" w:ascii="仿宋" w:hAnsi="仿宋" w:eastAsia="仿宋"/>
          <w:bCs/>
          <w:sz w:val="32"/>
          <w:szCs w:val="32"/>
          <w:lang w:val="en-US" w:eastAsia="zh-CN"/>
        </w:rPr>
        <w:t>1.1</w:t>
      </w:r>
      <w:r>
        <w:rPr>
          <w:rStyle w:val="20"/>
          <w:rFonts w:hint="eastAsia" w:ascii="仿宋" w:hAnsi="仿宋" w:eastAsia="仿宋"/>
          <w:bCs/>
          <w:sz w:val="32"/>
          <w:szCs w:val="32"/>
        </w:rPr>
        <w:t>一般公共服务（类）</w:t>
      </w:r>
      <w:r>
        <w:rPr>
          <w:rStyle w:val="20"/>
          <w:rFonts w:hint="eastAsia" w:ascii="仿宋" w:hAnsi="仿宋" w:eastAsia="仿宋"/>
          <w:bCs/>
          <w:sz w:val="32"/>
          <w:szCs w:val="32"/>
          <w:lang w:val="en-US" w:eastAsia="zh-CN"/>
        </w:rPr>
        <w:t>一般公共服务支出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政府办公厅（室）及相关机构事务</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203</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608.8</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2"/>
        <w:numPr>
          <w:numId w:val="0"/>
        </w:numPr>
      </w:pPr>
      <w:r>
        <w:rPr>
          <w:rStyle w:val="20"/>
          <w:rFonts w:hint="eastAsia" w:ascii="仿宋" w:hAnsi="仿宋" w:eastAsia="仿宋"/>
          <w:bCs/>
          <w:sz w:val="32"/>
          <w:szCs w:val="32"/>
          <w:lang w:val="en-US" w:eastAsia="zh-CN"/>
        </w:rPr>
        <w:t>1.2</w:t>
      </w:r>
      <w:r>
        <w:rPr>
          <w:rStyle w:val="20"/>
          <w:rFonts w:hint="eastAsia" w:ascii="仿宋" w:hAnsi="仿宋" w:eastAsia="仿宋"/>
          <w:bCs/>
          <w:sz w:val="32"/>
          <w:szCs w:val="32"/>
        </w:rPr>
        <w:t>一般公共服务（类）</w:t>
      </w:r>
      <w:r>
        <w:rPr>
          <w:rStyle w:val="20"/>
          <w:rFonts w:hint="eastAsia" w:ascii="仿宋" w:hAnsi="仿宋" w:eastAsia="仿宋"/>
          <w:bCs/>
          <w:sz w:val="32"/>
          <w:szCs w:val="32"/>
          <w:lang w:val="en-US" w:eastAsia="zh-CN"/>
        </w:rPr>
        <w:t>一般公共服务支出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人大事务</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201</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13</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numPr>
          <w:numId w:val="0"/>
        </w:numPr>
        <w:spacing w:line="600" w:lineRule="exact"/>
        <w:rPr>
          <w:rStyle w:val="20"/>
          <w:rFonts w:hint="eastAsia" w:ascii="仿宋" w:hAnsi="仿宋" w:eastAsia="仿宋"/>
          <w:b w:val="0"/>
          <w:bCs/>
          <w:sz w:val="32"/>
          <w:szCs w:val="32"/>
        </w:rPr>
      </w:pPr>
      <w:r>
        <w:rPr>
          <w:rStyle w:val="20"/>
          <w:rFonts w:hint="eastAsia" w:ascii="仿宋" w:hAnsi="仿宋" w:eastAsia="仿宋"/>
          <w:bCs/>
          <w:sz w:val="32"/>
          <w:szCs w:val="32"/>
          <w:lang w:val="en-US" w:eastAsia="zh-CN"/>
        </w:rPr>
        <w:t>2.1</w:t>
      </w:r>
      <w:r>
        <w:rPr>
          <w:rStyle w:val="20"/>
          <w:rFonts w:hint="eastAsia" w:ascii="仿宋" w:hAnsi="仿宋" w:eastAsia="仿宋"/>
          <w:bCs/>
          <w:sz w:val="32"/>
          <w:szCs w:val="32"/>
        </w:rPr>
        <w:t>文化旅游体育与传媒（类）</w:t>
      </w:r>
      <w:r>
        <w:rPr>
          <w:rStyle w:val="20"/>
          <w:rFonts w:hint="eastAsia" w:ascii="仿宋" w:hAnsi="仿宋" w:eastAsia="仿宋"/>
          <w:bCs/>
          <w:sz w:val="32"/>
          <w:szCs w:val="32"/>
          <w:lang w:val="en-US" w:eastAsia="zh-CN"/>
        </w:rPr>
        <w:t>文化和旅游</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群众文化</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207</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4.5</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spacing w:line="600" w:lineRule="exact"/>
        <w:ind w:firstLine="643" w:firstLineChars="200"/>
        <w:rPr>
          <w:rStyle w:val="20"/>
          <w:rFonts w:hint="eastAsia" w:ascii="仿宋" w:hAnsi="仿宋" w:eastAsia="仿宋"/>
          <w:b w:val="0"/>
          <w:bCs/>
          <w:sz w:val="32"/>
          <w:szCs w:val="32"/>
        </w:rPr>
      </w:pPr>
      <w:r>
        <w:rPr>
          <w:rStyle w:val="20"/>
          <w:rFonts w:hint="eastAsia" w:ascii="仿宋" w:hAnsi="仿宋" w:eastAsia="仿宋"/>
          <w:bCs/>
          <w:sz w:val="32"/>
          <w:szCs w:val="32"/>
          <w:lang w:val="en-US" w:eastAsia="zh-CN"/>
        </w:rPr>
        <w:t>3</w:t>
      </w:r>
      <w:r>
        <w:rPr>
          <w:rStyle w:val="20"/>
          <w:rFonts w:ascii="仿宋" w:hAnsi="仿宋" w:eastAsia="仿宋"/>
          <w:bCs/>
          <w:sz w:val="32"/>
          <w:szCs w:val="32"/>
        </w:rPr>
        <w:t>.</w:t>
      </w:r>
      <w:r>
        <w:rPr>
          <w:rStyle w:val="20"/>
          <w:rFonts w:hint="eastAsia" w:ascii="仿宋" w:hAnsi="仿宋" w:eastAsia="仿宋"/>
          <w:bCs/>
          <w:sz w:val="32"/>
          <w:szCs w:val="32"/>
          <w:lang w:val="en-US" w:eastAsia="zh-CN"/>
        </w:rPr>
        <w:t>1</w:t>
      </w:r>
      <w:r>
        <w:rPr>
          <w:rStyle w:val="20"/>
          <w:rFonts w:hint="eastAsia" w:ascii="仿宋" w:hAnsi="仿宋" w:eastAsia="仿宋"/>
          <w:bCs/>
          <w:sz w:val="32"/>
          <w:szCs w:val="32"/>
        </w:rPr>
        <w:t>社会保障和就业（类）</w:t>
      </w:r>
      <w:r>
        <w:rPr>
          <w:rStyle w:val="20"/>
          <w:rFonts w:hint="eastAsia" w:ascii="仿宋" w:hAnsi="仿宋" w:eastAsia="仿宋"/>
          <w:bCs/>
          <w:sz w:val="32"/>
          <w:szCs w:val="32"/>
          <w:lang w:val="en-US" w:eastAsia="zh-CN"/>
        </w:rPr>
        <w:t>社会保障和就业支出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人力资源和社会保障管理事务</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20801</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4.3</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spacing w:line="600" w:lineRule="exact"/>
        <w:ind w:firstLine="643" w:firstLineChars="200"/>
        <w:rPr>
          <w:rStyle w:val="20"/>
          <w:rFonts w:hint="eastAsia" w:ascii="仿宋" w:hAnsi="仿宋" w:eastAsia="仿宋"/>
          <w:b w:val="0"/>
          <w:bCs/>
          <w:sz w:val="32"/>
          <w:szCs w:val="32"/>
        </w:rPr>
      </w:pPr>
      <w:r>
        <w:rPr>
          <w:rStyle w:val="20"/>
          <w:rFonts w:hint="eastAsia" w:ascii="仿宋" w:hAnsi="仿宋" w:eastAsia="仿宋"/>
          <w:bCs/>
          <w:sz w:val="32"/>
          <w:szCs w:val="32"/>
          <w:lang w:val="en-US" w:eastAsia="zh-CN"/>
        </w:rPr>
        <w:t>3</w:t>
      </w:r>
      <w:r>
        <w:rPr>
          <w:rStyle w:val="20"/>
          <w:rFonts w:ascii="仿宋" w:hAnsi="仿宋" w:eastAsia="仿宋"/>
          <w:bCs/>
          <w:sz w:val="32"/>
          <w:szCs w:val="32"/>
        </w:rPr>
        <w:t>.</w:t>
      </w:r>
      <w:r>
        <w:rPr>
          <w:rStyle w:val="20"/>
          <w:rFonts w:hint="eastAsia" w:ascii="仿宋" w:hAnsi="仿宋" w:eastAsia="仿宋"/>
          <w:bCs/>
          <w:sz w:val="32"/>
          <w:szCs w:val="32"/>
          <w:lang w:val="en-US" w:eastAsia="zh-CN"/>
        </w:rPr>
        <w:t>2</w:t>
      </w:r>
      <w:r>
        <w:rPr>
          <w:rStyle w:val="20"/>
          <w:rFonts w:hint="eastAsia" w:ascii="仿宋" w:hAnsi="仿宋" w:eastAsia="仿宋"/>
          <w:bCs/>
          <w:sz w:val="32"/>
          <w:szCs w:val="32"/>
        </w:rPr>
        <w:t>社会保障和就业（类）</w:t>
      </w:r>
      <w:r>
        <w:rPr>
          <w:rStyle w:val="20"/>
          <w:rFonts w:hint="eastAsia" w:ascii="仿宋" w:hAnsi="仿宋" w:eastAsia="仿宋"/>
          <w:bCs/>
          <w:sz w:val="32"/>
          <w:szCs w:val="32"/>
          <w:lang w:val="en-US" w:eastAsia="zh-CN"/>
        </w:rPr>
        <w:t>社会保障和就业支出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行政事业单位养老支出</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20805</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102.6</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numPr>
          <w:ilvl w:val="0"/>
          <w:numId w:val="0"/>
        </w:numPr>
        <w:spacing w:line="600" w:lineRule="exact"/>
        <w:ind w:firstLine="321" w:firstLineChars="100"/>
        <w:rPr>
          <w:rStyle w:val="20"/>
          <w:rFonts w:hint="eastAsia" w:ascii="仿宋" w:hAnsi="仿宋" w:eastAsia="仿宋"/>
          <w:b w:val="0"/>
          <w:bCs/>
          <w:sz w:val="32"/>
          <w:szCs w:val="32"/>
        </w:rPr>
      </w:pPr>
      <w:r>
        <w:rPr>
          <w:rFonts w:hint="eastAsia" w:ascii="仿宋" w:hAnsi="仿宋" w:eastAsia="仿宋"/>
          <w:b/>
          <w:bCs/>
          <w:sz w:val="32"/>
          <w:szCs w:val="32"/>
          <w:lang w:val="en-US" w:eastAsia="zh-CN"/>
        </w:rPr>
        <w:t>4.1</w:t>
      </w:r>
      <w:r>
        <w:rPr>
          <w:rFonts w:hint="eastAsia" w:ascii="仿宋" w:hAnsi="仿宋" w:eastAsia="仿宋"/>
          <w:b/>
          <w:bCs/>
          <w:sz w:val="32"/>
          <w:szCs w:val="32"/>
        </w:rPr>
        <w:t>卫生健康</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卫生健康支出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公共卫生</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21004</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2</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ilvl w:val="0"/>
          <w:numId w:val="0"/>
        </w:numPr>
        <w:ind w:firstLine="321" w:firstLineChars="100"/>
        <w:rPr>
          <w:rStyle w:val="20"/>
          <w:rFonts w:hint="eastAsia" w:ascii="仿宋" w:hAnsi="仿宋" w:eastAsia="仿宋"/>
          <w:b w:val="0"/>
          <w:bCs/>
          <w:sz w:val="32"/>
          <w:szCs w:val="32"/>
        </w:rPr>
      </w:pPr>
      <w:r>
        <w:rPr>
          <w:rFonts w:hint="eastAsia" w:ascii="仿宋" w:hAnsi="仿宋" w:eastAsia="仿宋"/>
          <w:b/>
          <w:bCs/>
          <w:sz w:val="32"/>
          <w:szCs w:val="32"/>
          <w:lang w:val="en-US" w:eastAsia="zh-CN"/>
        </w:rPr>
        <w:t>4.2</w:t>
      </w:r>
      <w:r>
        <w:rPr>
          <w:rFonts w:hint="eastAsia" w:ascii="仿宋" w:hAnsi="仿宋" w:eastAsia="仿宋"/>
          <w:b/>
          <w:bCs/>
          <w:sz w:val="32"/>
          <w:szCs w:val="32"/>
        </w:rPr>
        <w:t>卫生健康</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卫生健康支出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行政事业单位医疗</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21011</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36.9</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numId w:val="0"/>
        </w:numPr>
        <w:ind w:left="420" w:leftChars="0"/>
        <w:rPr>
          <w:rStyle w:val="20"/>
          <w:rFonts w:hint="eastAsia" w:ascii="仿宋" w:hAnsi="仿宋" w:eastAsia="仿宋"/>
          <w:b w:val="0"/>
          <w:bCs/>
          <w:sz w:val="32"/>
          <w:szCs w:val="32"/>
        </w:rPr>
      </w:pPr>
      <w:r>
        <w:rPr>
          <w:rFonts w:hint="eastAsia" w:ascii="仿宋" w:hAnsi="仿宋" w:eastAsia="仿宋"/>
          <w:b/>
          <w:bCs/>
          <w:sz w:val="32"/>
          <w:szCs w:val="32"/>
          <w:lang w:val="en-US" w:eastAsia="zh-CN"/>
        </w:rPr>
        <w:t>5.城乡社区</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城乡社区支出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城乡社区环境卫生</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212</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95.8</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ilvl w:val="0"/>
          <w:numId w:val="0"/>
        </w:numPr>
        <w:ind w:firstLine="321" w:firstLineChars="100"/>
      </w:pPr>
      <w:r>
        <w:rPr>
          <w:rFonts w:hint="eastAsia" w:ascii="仿宋" w:hAnsi="仿宋" w:eastAsia="仿宋"/>
          <w:b/>
          <w:bCs/>
          <w:sz w:val="32"/>
          <w:szCs w:val="32"/>
          <w:lang w:val="en-US" w:eastAsia="zh-CN"/>
        </w:rPr>
        <w:t>6.1农林水</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农林水支出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农业农村</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213</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2846</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ilvl w:val="0"/>
          <w:numId w:val="0"/>
        </w:numPr>
        <w:ind w:firstLine="321" w:firstLineChars="100"/>
        <w:rPr>
          <w:rStyle w:val="20"/>
          <w:rFonts w:hint="eastAsia" w:ascii="仿宋" w:hAnsi="仿宋" w:eastAsia="仿宋"/>
          <w:b w:val="0"/>
          <w:bCs/>
          <w:sz w:val="32"/>
          <w:szCs w:val="32"/>
        </w:rPr>
      </w:pPr>
      <w:r>
        <w:rPr>
          <w:rFonts w:hint="eastAsia" w:ascii="仿宋" w:hAnsi="仿宋" w:eastAsia="仿宋"/>
          <w:b/>
          <w:bCs/>
          <w:sz w:val="32"/>
          <w:szCs w:val="32"/>
          <w:lang w:val="en-US" w:eastAsia="zh-CN"/>
        </w:rPr>
        <w:t>8.2农林水</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农林水支出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巩固脱贫攻坚成果衔接乡村振兴</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21305</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1298.8</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ilvl w:val="0"/>
          <w:numId w:val="0"/>
        </w:numPr>
        <w:ind w:firstLine="321" w:firstLineChars="100"/>
        <w:rPr>
          <w:rStyle w:val="20"/>
          <w:rFonts w:hint="eastAsia" w:ascii="仿宋" w:hAnsi="仿宋" w:eastAsia="仿宋"/>
          <w:b w:val="0"/>
          <w:bCs/>
          <w:sz w:val="32"/>
          <w:szCs w:val="32"/>
        </w:rPr>
      </w:pPr>
      <w:r>
        <w:rPr>
          <w:rFonts w:hint="eastAsia" w:ascii="仿宋" w:hAnsi="仿宋" w:eastAsia="仿宋"/>
          <w:b/>
          <w:bCs/>
          <w:sz w:val="32"/>
          <w:szCs w:val="32"/>
          <w:lang w:val="en-US" w:eastAsia="zh-CN"/>
        </w:rPr>
        <w:t>8.3农林水</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农林水支出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农村综合改革</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438.1</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ilvl w:val="0"/>
          <w:numId w:val="0"/>
        </w:numPr>
        <w:ind w:firstLine="321" w:firstLineChars="100"/>
        <w:rPr>
          <w:rStyle w:val="20"/>
          <w:rFonts w:hint="eastAsia" w:ascii="仿宋" w:hAnsi="仿宋" w:eastAsia="仿宋"/>
          <w:b w:val="0"/>
          <w:bCs/>
          <w:sz w:val="32"/>
          <w:szCs w:val="32"/>
        </w:rPr>
      </w:pPr>
      <w:r>
        <w:rPr>
          <w:rFonts w:hint="eastAsia" w:ascii="仿宋" w:hAnsi="仿宋" w:eastAsia="仿宋"/>
          <w:b/>
          <w:bCs/>
          <w:sz w:val="32"/>
          <w:szCs w:val="32"/>
          <w:lang w:val="en-US" w:eastAsia="zh-CN"/>
        </w:rPr>
        <w:t>8.4农林水</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农林水支出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农业农村</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21301</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745.6</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ilvl w:val="0"/>
          <w:numId w:val="0"/>
        </w:numPr>
        <w:ind w:firstLine="321" w:firstLineChars="100"/>
        <w:rPr>
          <w:rStyle w:val="20"/>
          <w:rFonts w:hint="eastAsia" w:ascii="仿宋" w:hAnsi="仿宋" w:eastAsia="仿宋"/>
          <w:b w:val="0"/>
          <w:bCs/>
          <w:sz w:val="32"/>
          <w:szCs w:val="32"/>
        </w:rPr>
      </w:pPr>
      <w:r>
        <w:rPr>
          <w:rFonts w:hint="eastAsia" w:ascii="仿宋" w:hAnsi="仿宋" w:eastAsia="仿宋"/>
          <w:b/>
          <w:bCs/>
          <w:sz w:val="32"/>
          <w:szCs w:val="32"/>
          <w:lang w:val="en-US" w:eastAsia="zh-CN"/>
        </w:rPr>
        <w:t>8.5农林水</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农林水支出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林业和草原</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21302</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22.5</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ilvl w:val="0"/>
          <w:numId w:val="0"/>
        </w:numPr>
        <w:ind w:firstLine="321" w:firstLineChars="100"/>
        <w:rPr>
          <w:rStyle w:val="20"/>
          <w:rFonts w:hint="eastAsia" w:ascii="仿宋" w:hAnsi="仿宋" w:eastAsia="仿宋"/>
          <w:b w:val="0"/>
          <w:bCs/>
          <w:sz w:val="32"/>
          <w:szCs w:val="32"/>
        </w:rPr>
      </w:pPr>
      <w:r>
        <w:rPr>
          <w:rFonts w:hint="eastAsia" w:ascii="仿宋" w:hAnsi="仿宋" w:eastAsia="仿宋"/>
          <w:b/>
          <w:bCs/>
          <w:sz w:val="32"/>
          <w:szCs w:val="32"/>
          <w:lang w:val="en-US" w:eastAsia="zh-CN"/>
        </w:rPr>
        <w:t>8.6农林水</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农林水支出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水利</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21303</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10</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ilvl w:val="0"/>
          <w:numId w:val="0"/>
        </w:numPr>
        <w:ind w:firstLine="321" w:firstLineChars="100"/>
        <w:rPr>
          <w:rStyle w:val="20"/>
          <w:rFonts w:hint="eastAsia" w:ascii="仿宋" w:hAnsi="仿宋" w:eastAsia="仿宋"/>
          <w:b w:val="0"/>
          <w:bCs/>
          <w:sz w:val="32"/>
          <w:szCs w:val="32"/>
        </w:rPr>
      </w:pPr>
      <w:r>
        <w:rPr>
          <w:rFonts w:hint="eastAsia" w:ascii="仿宋" w:hAnsi="仿宋" w:eastAsia="仿宋"/>
          <w:b/>
          <w:bCs/>
          <w:sz w:val="32"/>
          <w:szCs w:val="32"/>
          <w:lang w:val="en-US" w:eastAsia="zh-CN"/>
        </w:rPr>
        <w:t>8.7农林水</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农林水支出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其他农林水支出</w:t>
      </w:r>
      <w:r>
        <w:rPr>
          <w:rStyle w:val="20"/>
          <w:rFonts w:hint="eastAsia" w:ascii="仿宋" w:hAnsi="仿宋" w:eastAsia="仿宋"/>
          <w:bCs/>
          <w:sz w:val="32"/>
          <w:szCs w:val="32"/>
        </w:rPr>
        <w:t>（</w:t>
      </w:r>
      <w:r>
        <w:rPr>
          <w:rStyle w:val="20"/>
          <w:rFonts w:hint="eastAsia" w:ascii="仿宋" w:hAnsi="仿宋" w:eastAsia="仿宋"/>
          <w:bCs/>
          <w:sz w:val="32"/>
          <w:szCs w:val="32"/>
          <w:lang w:val="en-US" w:eastAsia="zh-CN"/>
        </w:rPr>
        <w:t>21399</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331</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pStyle w:val="10"/>
        <w:numPr>
          <w:ilvl w:val="0"/>
          <w:numId w:val="0"/>
        </w:numPr>
        <w:ind w:firstLine="321" w:firstLineChars="100"/>
        <w:rPr>
          <w:rStyle w:val="20"/>
          <w:rFonts w:hint="eastAsia" w:ascii="仿宋" w:hAnsi="仿宋" w:eastAsia="仿宋"/>
          <w:b w:val="0"/>
          <w:bCs/>
          <w:sz w:val="32"/>
          <w:szCs w:val="32"/>
        </w:rPr>
      </w:pPr>
      <w:r>
        <w:rPr>
          <w:rFonts w:hint="eastAsia" w:ascii="仿宋" w:hAnsi="仿宋" w:eastAsia="仿宋"/>
          <w:b/>
          <w:bCs/>
          <w:sz w:val="32"/>
          <w:szCs w:val="32"/>
          <w:lang w:val="en-US" w:eastAsia="zh-CN"/>
        </w:rPr>
        <w:t>9.住房保障</w:t>
      </w:r>
      <w:r>
        <w:rPr>
          <w:rStyle w:val="20"/>
          <w:rFonts w:hint="eastAsia" w:ascii="仿宋" w:hAnsi="仿宋" w:eastAsia="仿宋"/>
          <w:bCs/>
          <w:sz w:val="32"/>
          <w:szCs w:val="32"/>
        </w:rPr>
        <w:t>（类）</w:t>
      </w:r>
      <w:r>
        <w:rPr>
          <w:rStyle w:val="20"/>
          <w:rFonts w:hint="eastAsia" w:ascii="仿宋" w:hAnsi="仿宋" w:eastAsia="仿宋"/>
          <w:bCs/>
          <w:sz w:val="32"/>
          <w:szCs w:val="32"/>
          <w:lang w:val="en-US" w:eastAsia="zh-CN"/>
        </w:rPr>
        <w:t>住房保障支出</w:t>
      </w:r>
      <w:r>
        <w:rPr>
          <w:rStyle w:val="20"/>
          <w:rFonts w:hint="eastAsia" w:ascii="仿宋" w:hAnsi="仿宋" w:eastAsia="仿宋"/>
          <w:bCs/>
          <w:sz w:val="32"/>
          <w:szCs w:val="32"/>
        </w:rPr>
        <w:t>（款）</w:t>
      </w:r>
      <w:r>
        <w:rPr>
          <w:rStyle w:val="20"/>
          <w:rFonts w:hint="eastAsia" w:ascii="仿宋" w:hAnsi="仿宋" w:eastAsia="仿宋"/>
          <w:bCs/>
          <w:sz w:val="32"/>
          <w:szCs w:val="32"/>
          <w:lang w:val="en-US" w:eastAsia="zh-CN"/>
        </w:rPr>
        <w:t>住房改革支出</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48.4</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100</w:t>
      </w:r>
      <w:r>
        <w:rPr>
          <w:rStyle w:val="20"/>
          <w:rFonts w:ascii="仿宋" w:hAnsi="仿宋" w:eastAsia="仿宋"/>
          <w:b w:val="0"/>
          <w:bCs/>
          <w:sz w:val="32"/>
          <w:szCs w:val="32"/>
        </w:rPr>
        <w:t>%</w:t>
      </w:r>
      <w:r>
        <w:rPr>
          <w:rStyle w:val="20"/>
          <w:rFonts w:hint="eastAsia" w:ascii="仿宋" w:hAnsi="仿宋" w:eastAsia="仿宋"/>
          <w:b w:val="0"/>
          <w:bCs/>
          <w:sz w:val="32"/>
          <w:szCs w:val="32"/>
        </w:rPr>
        <w:t>，决算数等于预算数。</w:t>
      </w:r>
    </w:p>
    <w:p>
      <w:pPr>
        <w:tabs>
          <w:tab w:val="right" w:pos="8306"/>
        </w:tabs>
        <w:spacing w:line="600" w:lineRule="exact"/>
        <w:outlineLvl w:val="1"/>
        <w:rPr>
          <w:rStyle w:val="32"/>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2"/>
          <w:rFonts w:hint="eastAsia" w:ascii="黑体" w:hAnsi="黑体" w:eastAsia="黑体"/>
          <w:b w:val="0"/>
        </w:rPr>
        <w:t>般公共预算财政拨款基本支出决算情况说明</w:t>
      </w:r>
      <w:bookmarkEnd w:id="34"/>
      <w:bookmarkEnd w:id="35"/>
      <w:r>
        <w:rPr>
          <w:rStyle w:val="32"/>
          <w:rFonts w:ascii="黑体" w:hAnsi="黑体" w:eastAsia="黑体"/>
          <w:b w:val="0"/>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6" w:name="_Toc15396609"/>
      <w:bookmarkStart w:id="37" w:name="_Toc15377215"/>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780.04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701.73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78.31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2"/>
          <w:rFonts w:ascii="黑体" w:hAnsi="黑体" w:eastAsia="黑体"/>
          <w:b w:val="0"/>
        </w:rPr>
      </w:pPr>
      <w:r>
        <w:rPr>
          <w:rFonts w:hint="eastAsia" w:ascii="黑体" w:eastAsia="黑体"/>
          <w:sz w:val="32"/>
          <w:szCs w:val="32"/>
        </w:rPr>
        <w:t>七、</w:t>
      </w:r>
      <w:r>
        <w:rPr>
          <w:rStyle w:val="32"/>
          <w:rFonts w:hint="eastAsia" w:ascii="黑体" w:hAnsi="黑体" w:eastAsia="黑体"/>
          <w:b w:val="0"/>
        </w:rPr>
        <w:t>财政拨款</w:t>
      </w:r>
      <w:r>
        <w:rPr>
          <w:rStyle w:val="32"/>
          <w:rFonts w:hint="eastAsia" w:ascii="黑体" w:hAnsi="黑体" w:eastAsia="黑体"/>
        </w:rPr>
        <w:t>“</w:t>
      </w:r>
      <w:r>
        <w:rPr>
          <w:rStyle w:val="32"/>
          <w:rFonts w:hint="eastAsia" w:ascii="黑体" w:hAnsi="黑体" w:eastAsia="黑体"/>
          <w:b w:val="0"/>
        </w:rPr>
        <w:t>三公”经费支出决算情况说明</w:t>
      </w:r>
      <w:bookmarkEnd w:id="36"/>
      <w:bookmarkEnd w:id="37"/>
    </w:p>
    <w:p>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pPr>
        <w:spacing w:line="600" w:lineRule="exact"/>
        <w:ind w:firstLine="64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9</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w:t>
      </w:r>
      <w:r>
        <w:rPr>
          <w:rFonts w:hint="eastAsia" w:eastAsia="仿宋_GB2312" w:cs="仿宋_GB2312"/>
          <w:color w:val="auto"/>
          <w:kern w:val="2"/>
          <w:sz w:val="32"/>
          <w:szCs w:val="32"/>
          <w:highlight w:val="none"/>
          <w:lang w:val="en-US" w:eastAsia="zh-CN" w:bidi="ar-SA"/>
        </w:rPr>
        <w:t>0.12</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1.3</w:t>
      </w:r>
      <w:r>
        <w:rPr>
          <w:rFonts w:hint="eastAsia" w:ascii="Times New Roman" w:hAnsi="Times New Roman" w:eastAsia="仿宋_GB2312" w:cs="仿宋_GB2312"/>
          <w:color w:val="auto"/>
          <w:kern w:val="2"/>
          <w:sz w:val="32"/>
          <w:szCs w:val="32"/>
          <w:highlight w:val="none"/>
          <w:lang w:val="en-US" w:eastAsia="zh-CN" w:bidi="ar-SA"/>
        </w:rPr>
        <w:t>%。决算数小于预算数（或与预算数持平）</w:t>
      </w:r>
      <w:bookmarkStart w:id="39" w:name="_Toc15377217"/>
    </w:p>
    <w:p>
      <w:pPr>
        <w:spacing w:line="600" w:lineRule="exact"/>
        <w:ind w:firstLine="640"/>
        <w:outlineLvl w:val="2"/>
        <w:rPr>
          <w:rFonts w:ascii="仿宋" w:hAnsi="仿宋" w:eastAsia="仿宋"/>
          <w:b/>
          <w:sz w:val="32"/>
          <w:szCs w:val="32"/>
        </w:rPr>
      </w:pPr>
      <w:r>
        <w:rPr>
          <w:rFonts w:hint="eastAsia" w:ascii="仿宋" w:hAnsi="仿宋" w:eastAsia="仿宋"/>
          <w:b/>
          <w:sz w:val="32"/>
          <w:szCs w:val="32"/>
        </w:rPr>
        <w:t>（二）“三公”经费财政拨款支出决算具体情况说明</w:t>
      </w:r>
      <w:bookmarkEnd w:id="39"/>
    </w:p>
    <w:p>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b/>
          <w:sz w:val="32"/>
          <w:szCs w:val="32"/>
          <w:lang w:val="en-US" w:eastAsia="zh-CN"/>
        </w:rPr>
        <w:t>9</w:t>
      </w:r>
      <w:r>
        <w:rPr>
          <w:rFonts w:hint="eastAsia" w:ascii="仿宋" w:hAnsi="仿宋" w:eastAsia="仿宋"/>
          <w:sz w:val="32"/>
          <w:szCs w:val="32"/>
        </w:rPr>
        <w:t>万元，占</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_GB2312" w:eastAsia="仿宋_GB2312"/>
          <w:b/>
          <w:sz w:val="32"/>
          <w:szCs w:val="32"/>
        </w:rPr>
      </w:pPr>
      <w:bookmarkStart w:id="40" w:name="_Toc15377218"/>
      <w:bookmarkStart w:id="41" w:name="_Toc15396610"/>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rStyle w:val="20"/>
          <w:rFonts w:ascii="仿宋" w:hAnsi="仿宋" w:eastAsia="仿宋"/>
          <w:bCs/>
          <w:sz w:val="32"/>
          <w:szCs w:val="32"/>
        </w:rPr>
        <w:t>0</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无因公出国出境</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 w:hAnsi="仿宋" w:eastAsia="仿宋"/>
          <w:b/>
          <w:sz w:val="32"/>
          <w:szCs w:val="32"/>
          <w:lang w:val="en-US" w:eastAsia="zh-CN"/>
        </w:rPr>
        <w:t>9</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rStyle w:val="20"/>
          <w:rFonts w:ascii="仿宋" w:hAnsi="仿宋" w:eastAsia="仿宋"/>
          <w:bCs/>
          <w:sz w:val="32"/>
          <w:szCs w:val="32"/>
        </w:rPr>
        <w:t>100</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val="en-US" w:eastAsia="zh-CN"/>
        </w:rPr>
        <w:t>减少0.12</w:t>
      </w:r>
      <w:r>
        <w:rPr>
          <w:rFonts w:hint="eastAsia" w:ascii="仿宋_GB2312" w:eastAsia="仿宋_GB2312"/>
          <w:sz w:val="32"/>
          <w:szCs w:val="32"/>
        </w:rPr>
        <w:t>万元，</w:t>
      </w:r>
      <w:r>
        <w:rPr>
          <w:rFonts w:hint="eastAsia" w:ascii="仿宋_GB2312" w:eastAsia="仿宋_GB2312"/>
          <w:sz w:val="32"/>
          <w:szCs w:val="32"/>
          <w:lang w:val="en-US" w:eastAsia="zh-CN"/>
        </w:rPr>
        <w:t>下降1.3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工作需要</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4</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2</w:t>
      </w:r>
      <w:r>
        <w:rPr>
          <w:rFonts w:hint="eastAsia" w:ascii="仿宋_GB2312" w:eastAsia="仿宋_GB2312"/>
          <w:sz w:val="32"/>
          <w:szCs w:val="32"/>
        </w:rPr>
        <w:t>辆、</w:t>
      </w:r>
      <w:r>
        <w:rPr>
          <w:rFonts w:hint="eastAsia" w:ascii="仿宋_GB2312" w:eastAsia="仿宋_GB2312"/>
          <w:sz w:val="32"/>
          <w:szCs w:val="32"/>
          <w:lang w:val="en-US" w:eastAsia="zh-CN"/>
        </w:rPr>
        <w:t>皮卡</w:t>
      </w:r>
      <w:r>
        <w:rPr>
          <w:rFonts w:hint="eastAsia" w:ascii="仿宋_GB2312" w:eastAsia="仿宋_GB2312"/>
          <w:sz w:val="32"/>
          <w:szCs w:val="32"/>
        </w:rPr>
        <w:t>车</w:t>
      </w:r>
      <w:r>
        <w:rPr>
          <w:rFonts w:hint="eastAsia" w:ascii="仿宋_GB2312" w:eastAsia="仿宋_GB2312"/>
          <w:sz w:val="32"/>
          <w:szCs w:val="32"/>
          <w:lang w:val="en-US" w:eastAsia="zh-CN"/>
        </w:rPr>
        <w:t>2</w:t>
      </w:r>
      <w:r>
        <w:rPr>
          <w:rFonts w:hint="eastAsia" w:ascii="仿宋_GB2312" w:eastAsia="仿宋_GB2312"/>
          <w:sz w:val="32"/>
          <w:szCs w:val="32"/>
        </w:rPr>
        <w:t>辆。</w:t>
      </w:r>
    </w:p>
    <w:p>
      <w:pPr>
        <w:keepNext w:val="0"/>
        <w:keepLines w:val="0"/>
        <w:widowControl/>
        <w:suppressLineNumbers w:val="0"/>
        <w:jc w:val="left"/>
      </w:pPr>
      <w:r>
        <w:rPr>
          <w:rFonts w:hint="eastAsia" w:ascii="仿宋_GB2312" w:eastAsia="仿宋_GB2312"/>
          <w:b/>
          <w:sz w:val="32"/>
          <w:szCs w:val="32"/>
        </w:rPr>
        <w:t>公务用车运行维护费支出</w:t>
      </w:r>
      <w:r>
        <w:rPr>
          <w:rFonts w:hint="eastAsia" w:ascii="仿宋" w:hAnsi="仿宋" w:eastAsia="仿宋"/>
          <w:b/>
          <w:sz w:val="32"/>
          <w:szCs w:val="32"/>
          <w:lang w:val="en-US" w:eastAsia="zh-CN"/>
        </w:rPr>
        <w:t>9</w:t>
      </w:r>
      <w:r>
        <w:rPr>
          <w:rFonts w:hint="eastAsia" w:ascii="仿宋_GB2312" w:eastAsia="仿宋_GB2312"/>
          <w:sz w:val="32"/>
          <w:szCs w:val="32"/>
        </w:rPr>
        <w:t>万元。</w:t>
      </w:r>
      <w:r>
        <w:rPr>
          <w:rStyle w:val="20"/>
          <w:rFonts w:hint="eastAsia" w:ascii="仿宋" w:hAnsi="仿宋" w:eastAsia="仿宋" w:cs="Times New Roman"/>
          <w:b w:val="0"/>
          <w:bCs/>
          <w:sz w:val="32"/>
          <w:szCs w:val="32"/>
          <w:lang w:val="en-US" w:eastAsia="zh-CN"/>
        </w:rPr>
        <w:t>主要用于安全生产、护林防火、防汛等所需的公务用车燃料费、维修费、过路过桥费、保险费等支出。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rStyle w:val="20"/>
          <w:rFonts w:ascii="仿宋" w:hAnsi="仿宋" w:eastAsia="仿宋"/>
          <w:b w:val="0"/>
          <w:bCs/>
          <w:sz w:val="32"/>
          <w:szCs w:val="32"/>
        </w:rPr>
        <w:t>0%</w:t>
      </w:r>
      <w:r>
        <w:rPr>
          <w:rStyle w:val="20"/>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val="en-US" w:eastAsia="zh-CN"/>
        </w:rPr>
        <w:t>持平</w:t>
      </w:r>
      <w:r>
        <w:rPr>
          <w:rFonts w:hint="eastAsia" w:ascii="仿宋_GB2312" w:eastAsia="仿宋_GB2312"/>
          <w:sz w:val="32"/>
          <w:szCs w:val="32"/>
        </w:rPr>
        <w:t>，增长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无公务接待</w:t>
      </w:r>
      <w:r>
        <w:rPr>
          <w:rFonts w:hint="eastAsia" w:ascii="仿宋_GB2312" w:eastAsia="仿宋_GB2312"/>
          <w:sz w:val="32"/>
          <w:szCs w:val="32"/>
        </w:rPr>
        <w:t>。其中：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Fonts w:ascii="黑体" w:eastAsia="黑体"/>
          <w:sz w:val="32"/>
          <w:szCs w:val="32"/>
        </w:rPr>
      </w:pPr>
    </w:p>
    <w:p>
      <w:pPr>
        <w:spacing w:line="600" w:lineRule="exact"/>
        <w:ind w:firstLine="640"/>
        <w:outlineLvl w:val="1"/>
        <w:rPr>
          <w:rStyle w:val="32"/>
          <w:rFonts w:ascii="黑体" w:hAnsi="黑体" w:eastAsia="黑体"/>
        </w:rPr>
      </w:pPr>
      <w:r>
        <w:rPr>
          <w:rFonts w:hint="eastAsia" w:ascii="黑体" w:eastAsia="黑体"/>
          <w:sz w:val="32"/>
          <w:szCs w:val="32"/>
        </w:rPr>
        <w:t>八、</w:t>
      </w:r>
      <w:r>
        <w:rPr>
          <w:rStyle w:val="32"/>
          <w:rFonts w:hint="eastAsia" w:ascii="黑体" w:hAnsi="黑体" w:eastAsia="黑体"/>
          <w:b w:val="0"/>
        </w:rPr>
        <w:t>政府性基金预算支出决算情况说明</w:t>
      </w:r>
      <w:bookmarkEnd w:id="40"/>
      <w:bookmarkEnd w:id="41"/>
    </w:p>
    <w:p>
      <w:pPr>
        <w:spacing w:line="600" w:lineRule="exact"/>
        <w:ind w:firstLine="640"/>
        <w:rPr>
          <w:rFonts w:hint="default" w:ascii="仿宋_GB2312" w:eastAsia="仿宋_GB2312"/>
          <w:sz w:val="32"/>
          <w:szCs w:val="32"/>
          <w:lang w:val="en-US"/>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65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1.71</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eastAsia="仿宋_GB2312" w:cs="仿宋_GB2312"/>
          <w:color w:val="auto"/>
          <w:kern w:val="2"/>
          <w:sz w:val="32"/>
          <w:szCs w:val="32"/>
          <w:highlight w:val="none"/>
          <w:lang w:val="en-US" w:eastAsia="zh-CN" w:bidi="ar-SA"/>
        </w:rPr>
        <w:t>65</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65</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政策支出。</w:t>
      </w:r>
    </w:p>
    <w:p>
      <w:pPr>
        <w:numPr>
          <w:ilvl w:val="0"/>
          <w:numId w:val="3"/>
        </w:numPr>
        <w:spacing w:line="600" w:lineRule="exact"/>
        <w:ind w:firstLine="640"/>
        <w:outlineLvl w:val="1"/>
        <w:rPr>
          <w:rStyle w:val="32"/>
          <w:rFonts w:ascii="黑体" w:hAnsi="黑体" w:eastAsia="黑体"/>
          <w:b w:val="0"/>
        </w:rPr>
      </w:pPr>
      <w:bookmarkStart w:id="42" w:name="_Toc15377219"/>
      <w:bookmarkStart w:id="43" w:name="_Toc15396611"/>
      <w:r>
        <w:rPr>
          <w:rStyle w:val="32"/>
          <w:rFonts w:hint="eastAsia" w:ascii="黑体" w:hAnsi="黑体" w:eastAsia="黑体"/>
          <w:b w:val="0"/>
        </w:rPr>
        <w:t>国有资本经营预算支出决算情况说明</w:t>
      </w:r>
      <w:bookmarkEnd w:id="42"/>
      <w:bookmarkEnd w:id="43"/>
    </w:p>
    <w:p>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rFonts w:ascii="仿宋" w:hAnsi="仿宋" w:eastAsia="仿宋"/>
          <w:b/>
          <w:sz w:val="32"/>
          <w:szCs w:val="32"/>
        </w:rPr>
        <w:t>0</w:t>
      </w:r>
      <w:r>
        <w:rPr>
          <w:rFonts w:hint="eastAsia" w:ascii="仿宋_GB2312" w:eastAsia="仿宋_GB2312"/>
          <w:sz w:val="32"/>
          <w:szCs w:val="32"/>
        </w:rPr>
        <w:t>万元。</w:t>
      </w:r>
    </w:p>
    <w:p>
      <w:pPr>
        <w:spacing w:line="580" w:lineRule="exact"/>
        <w:jc w:val="center"/>
        <w:rPr>
          <w:rFonts w:ascii="方正小标宋简体" w:hAnsi="方正小标宋简体" w:eastAsia="方正小标宋简体" w:cs="方正小标宋简体"/>
          <w:sz w:val="44"/>
          <w:szCs w:val="44"/>
        </w:rPr>
      </w:pPr>
    </w:p>
    <w:p>
      <w:pPr>
        <w:numPr>
          <w:ilvl w:val="0"/>
          <w:numId w:val="3"/>
        </w:numPr>
        <w:spacing w:line="600" w:lineRule="exact"/>
        <w:ind w:firstLine="640"/>
        <w:outlineLvl w:val="1"/>
        <w:rPr>
          <w:rStyle w:val="32"/>
          <w:rFonts w:ascii="黑体" w:hAnsi="黑体" w:eastAsia="黑体"/>
          <w:b w:val="0"/>
        </w:rPr>
      </w:pPr>
      <w:bookmarkStart w:id="44" w:name="_Toc15396612"/>
      <w:bookmarkStart w:id="45" w:name="_Toc15377221"/>
      <w:r>
        <w:rPr>
          <w:rStyle w:val="32"/>
          <w:rFonts w:hint="eastAsia" w:ascii="黑体" w:hAnsi="黑体" w:eastAsia="黑体"/>
          <w:b w:val="0"/>
        </w:rPr>
        <w:t>其他重要事项的情况说明</w:t>
      </w:r>
      <w:bookmarkEnd w:id="44"/>
      <w:bookmarkEnd w:id="45"/>
    </w:p>
    <w:p>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pPr>
        <w:spacing w:line="600" w:lineRule="exact"/>
        <w:ind w:firstLine="640" w:firstLineChars="200"/>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九寨沟县双河镇人民政府（本级）</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78.31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w:t>
      </w:r>
      <w:r>
        <w:rPr>
          <w:rFonts w:hint="eastAsia" w:ascii="仿宋_GB2312" w:eastAsia="仿宋_GB2312"/>
          <w:sz w:val="32"/>
          <w:szCs w:val="32"/>
        </w:rPr>
        <w:t>比2023年度增加/减少32.32万元，增长/下降170.28%（或与2023年度决算数持平）。主要原因是人员变动大。</w:t>
      </w:r>
    </w:p>
    <w:p>
      <w:pPr>
        <w:autoSpaceDE w:val="0"/>
        <w:autoSpaceDN w:val="0"/>
        <w:adjustRightInd w:val="0"/>
        <w:spacing w:line="600" w:lineRule="exact"/>
        <w:ind w:firstLine="321" w:firstLineChars="1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ascii="仿宋_GB2312" w:eastAsia="仿宋_GB2312"/>
          <w:b/>
          <w:sz w:val="32"/>
          <w:szCs w:val="32"/>
        </w:rPr>
        <w:t>双河镇政府</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321" w:firstLineChars="1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双河镇政府</w:t>
      </w:r>
      <w:r>
        <w:rPr>
          <w:rFonts w:hint="eastAsia" w:ascii="仿宋_GB2312" w:eastAsia="仿宋_GB2312"/>
          <w:sz w:val="32"/>
          <w:szCs w:val="32"/>
        </w:rPr>
        <w:t>共有车辆</w:t>
      </w:r>
      <w:r>
        <w:rPr>
          <w:rFonts w:hint="eastAsia" w:ascii="仿宋_GB2312" w:eastAsia="仿宋_GB2312"/>
          <w:b/>
          <w:sz w:val="32"/>
          <w:szCs w:val="32"/>
          <w:lang w:val="en-US" w:eastAsia="zh-CN"/>
        </w:rPr>
        <w:t>5</w:t>
      </w:r>
      <w:r>
        <w:rPr>
          <w:rFonts w:hint="eastAsia" w:ascii="仿宋_GB2312" w:eastAsia="仿宋_GB2312"/>
          <w:sz w:val="32"/>
          <w:szCs w:val="32"/>
        </w:rPr>
        <w:t>辆，其中：其中：主要领导干部用车</w:t>
      </w:r>
      <w:r>
        <w:rPr>
          <w:rFonts w:hint="eastAsia" w:ascii="仿宋_GB2312" w:eastAsia="仿宋_GB2312"/>
          <w:sz w:val="32"/>
          <w:szCs w:val="32"/>
          <w:lang w:val="en-US" w:eastAsia="zh-CN"/>
        </w:rPr>
        <w:t>1</w:t>
      </w:r>
      <w:r>
        <w:rPr>
          <w:rFonts w:hint="eastAsia" w:ascii="仿宋_GB2312" w:eastAsia="仿宋_GB2312"/>
          <w:sz w:val="32"/>
          <w:szCs w:val="32"/>
        </w:rPr>
        <w:t>辆、机要通信用车</w:t>
      </w:r>
      <w:r>
        <w:rPr>
          <w:rFonts w:hint="eastAsia" w:ascii="仿宋_GB2312" w:eastAsia="仿宋_GB2312"/>
          <w:sz w:val="32"/>
          <w:szCs w:val="32"/>
          <w:lang w:val="en-US" w:eastAsia="zh-CN"/>
        </w:rPr>
        <w:t>1</w:t>
      </w:r>
      <w:r>
        <w:rPr>
          <w:rFonts w:hint="eastAsia" w:ascii="仿宋_GB2312" w:eastAsia="仿宋_GB2312"/>
          <w:sz w:val="32"/>
          <w:szCs w:val="32"/>
        </w:rPr>
        <w:t>辆、应急保障用车</w:t>
      </w:r>
      <w:r>
        <w:rPr>
          <w:rFonts w:hint="eastAsia" w:ascii="仿宋_GB2312" w:eastAsia="仿宋_GB2312"/>
          <w:sz w:val="32"/>
          <w:szCs w:val="32"/>
          <w:lang w:val="en-US" w:eastAsia="zh-CN"/>
        </w:rPr>
        <w:t>2</w:t>
      </w:r>
      <w:r>
        <w:rPr>
          <w:rFonts w:hint="eastAsia" w:ascii="仿宋_GB2312" w:eastAsia="仿宋_GB2312"/>
          <w:sz w:val="32"/>
          <w:szCs w:val="32"/>
        </w:rPr>
        <w:t>辆、其他用车</w:t>
      </w:r>
      <w:r>
        <w:rPr>
          <w:rFonts w:hint="eastAsia" w:ascii="仿宋_GB2312" w:eastAsia="仿宋_GB2312"/>
          <w:sz w:val="32"/>
          <w:szCs w:val="32"/>
          <w:lang w:val="en-US" w:eastAsia="zh-CN"/>
        </w:rPr>
        <w:t>1</w:t>
      </w:r>
      <w:r>
        <w:rPr>
          <w:rFonts w:hint="eastAsia" w:ascii="仿宋_GB2312" w:eastAsia="仿宋_GB2312"/>
          <w:sz w:val="32"/>
          <w:szCs w:val="32"/>
        </w:rPr>
        <w:t>辆，其他用车主要是用于</w:t>
      </w:r>
      <w:r>
        <w:rPr>
          <w:rFonts w:hint="eastAsia" w:ascii="仿宋_GB2312" w:eastAsia="仿宋_GB2312"/>
          <w:sz w:val="32"/>
          <w:szCs w:val="32"/>
          <w:lang w:eastAsia="zh-CN"/>
        </w:rPr>
        <w:t>保障开展工作</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321" w:firstLineChars="1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ascii="仿宋_GB2312" w:hAnsi="仿宋_GB2312" w:eastAsia="仿宋_GB2312" w:cs="仿宋_GB2312"/>
          <w:sz w:val="32"/>
          <w:szCs w:val="32"/>
        </w:rPr>
      </w:pPr>
      <w:bookmarkStart w:id="49" w:name="_Toc15396613"/>
      <w:bookmarkStart w:id="50" w:name="_Toc15377225"/>
      <w:r>
        <w:rPr>
          <w:rFonts w:hint="eastAsia" w:ascii="仿宋_GB2312" w:hAnsi="仿宋_GB2312" w:eastAsia="仿宋_GB2312" w:cs="仿宋_GB2312"/>
          <w:sz w:val="32"/>
          <w:szCs w:val="32"/>
        </w:rPr>
        <w:t>根据预算绩效管理要求，本部门在202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年度预算编制阶段，组织对</w:t>
      </w:r>
      <w:r>
        <w:rPr>
          <w:rFonts w:hint="eastAsia" w:ascii="仿宋_GB2312" w:hAnsi="仿宋_GB2312" w:eastAsia="仿宋_GB2312" w:cs="仿宋_GB2312"/>
          <w:sz w:val="32"/>
          <w:szCs w:val="32"/>
          <w:lang w:val="en-US" w:eastAsia="zh-CN"/>
        </w:rPr>
        <w:t>罗依坝村农业灌溉建设及消防设施项目、九寨沟县双河镇农特产品网络销售中心建设项目</w:t>
      </w:r>
      <w:r>
        <w:rPr>
          <w:rFonts w:hint="eastAsia" w:ascii="仿宋_GB2312" w:hAnsi="仿宋_GB2312" w:eastAsia="仿宋_GB2312" w:cs="仿宋_GB2312"/>
          <w:sz w:val="32"/>
          <w:szCs w:val="32"/>
        </w:rPr>
        <w:t>（项目名称）等</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个项目开展绩效监控。</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w:t>
      </w:r>
      <w:r>
        <w:rPr>
          <w:rFonts w:hint="eastAsia" w:ascii="仿宋_GB2312" w:hAnsi="仿宋_GB2312" w:eastAsia="仿宋_GB2312" w:cs="仿宋_GB2312"/>
          <w:sz w:val="32"/>
          <w:szCs w:val="32"/>
          <w:lang w:val="en-US" w:eastAsia="zh-CN"/>
        </w:rPr>
        <w:t>形成双河镇部门整体（含部门预算项目）绩效自评报告，绩效自评报告详见附件，罗依坝村农业灌溉建设及消防设施项目、九寨沟县双河镇农特产品网络销售中心建设项目</w:t>
      </w:r>
      <w:r>
        <w:rPr>
          <w:rFonts w:hint="eastAsia" w:ascii="仿宋_GB2312" w:hAnsi="仿宋_GB2312" w:eastAsia="仿宋_GB2312" w:cs="仿宋_GB2312"/>
          <w:sz w:val="32"/>
          <w:szCs w:val="32"/>
        </w:rPr>
        <w:t>等专项预算项目绩效自评报告，绩效自评报告详见附件。</w:t>
      </w:r>
    </w:p>
    <w:p>
      <w:pPr>
        <w:pStyle w:val="15"/>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15"/>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15"/>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15"/>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15"/>
      </w:pPr>
    </w:p>
    <w:p/>
    <w:p>
      <w:pPr>
        <w:pStyle w:val="2"/>
      </w:pPr>
    </w:p>
    <w:p>
      <w:pPr>
        <w:numPr>
          <w:ilvl w:val="0"/>
          <w:numId w:val="4"/>
        </w:numPr>
        <w:spacing w:line="600" w:lineRule="exact"/>
        <w:ind w:firstLine="660" w:firstLineChars="150"/>
        <w:jc w:val="center"/>
        <w:outlineLvl w:val="0"/>
        <w:rPr>
          <w:rStyle w:val="31"/>
          <w:rFonts w:ascii="黑体" w:hAnsi="黑体" w:eastAsia="黑体"/>
          <w:b w:val="0"/>
        </w:rPr>
      </w:pPr>
      <w:r>
        <w:rPr>
          <w:rFonts w:hint="eastAsia" w:ascii="黑体" w:hAnsi="黑体" w:eastAsia="黑体"/>
          <w:sz w:val="44"/>
          <w:szCs w:val="44"/>
        </w:rPr>
        <w:t>名</w:t>
      </w:r>
      <w:r>
        <w:rPr>
          <w:rStyle w:val="31"/>
          <w:rFonts w:hint="eastAsia" w:ascii="黑体" w:hAnsi="黑体" w:eastAsia="黑体"/>
          <w:b w:val="0"/>
        </w:rPr>
        <w:t>词解释</w:t>
      </w:r>
      <w:bookmarkEnd w:id="49"/>
      <w:bookmarkEnd w:id="50"/>
    </w:p>
    <w:p>
      <w:pPr>
        <w:spacing w:line="600" w:lineRule="exact"/>
        <w:jc w:val="left"/>
        <w:rPr>
          <w:rFonts w:ascii="宋体"/>
          <w:b/>
          <w:sz w:val="44"/>
          <w:szCs w:val="44"/>
        </w:rPr>
      </w:pP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9"/>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9.一般公共服务（201）政府办公厅（室）及相关机构事务支出（03）行政运行（01）：指行政单位的基本支出。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10.一般公共服务（201）政府办公厅（室）及相关机构事务支出（03）事业运行（50）：指事业单位的基本支出。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11.文化旅游体育与传媒支出（207）其他文化体育与传媒支出（99）其他文化和旅游支出（99）：指其他文化体育与传媒支出。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12.社会保障和就业支出（208）行政事业单位离退休（05）机关事业单位基本养老保险缴费支出（05）：指机关事业范围实施养老制度有单位缴纳的基本养老保险费支出。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13.社会保障和就业支出（208）行政事业单位离退休（05）机关事业单位职业年金缴费支出（06）：指机关事业范围实施职业年金制度有单位缴纳的职业年金支出。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14.社会保障和就业支出（208）行政事业单位离退休（05）机关事业单位职业年金缴费支出（06）：指机关事业范围实施职业年金制度有单位缴纳的职业年金支出。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15.卫生健康支出（210）公共卫生（04）重大公共卫生专项支出（09）:指重大疾病、重大感染预防控制等重大公共卫生方面的支出。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16.卫生健康支出（210）计划生育事务（07）其他卫生计划生育事务（99）:指其他用于计划生育管理事务方面的支出。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17.卫生健康支出（210）行政单位医疗（11）行政单位医疗（01）:指反映财政部门集中安排的行政单位基本医疗保险经费，未参加医疗保险的行政单位的公费医疗经费，按国家规定享受离休人员、老红军战士待遇人员的医疗经费。</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18.卫生健康支出（210）行政单位医疗支出（11）公务员医疗补助（03）：指财政部门集中安排的公务员医疗补助。</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19.卫生健康支出（210）行政单位医疗支出(11)其他行政单位医疗支出(99):指财政对其他医疗保险的补助支出。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20.节能环保支出（211）自然生态保护（04）生态保护（01）：指生态保护方面的支出。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21.城乡社区支出（212）城乡环境卫生（05）城乡环境卫生（01）：指城乡社区道路清扫、垃圾清运与处理、公厕建设与维护、园林绿化等方面的支出。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22.城乡社区支出（212）其他城乡社区支出（99）其他城乡社区支出（99）：指其他城乡社区道路清扫、垃圾清运与处理、公厕建设与维护、园林绿化等方面的支出。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23.农林水支出（213）农业农村（01）其他农业农村支出（99）：指其他用于农业方面的支出。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24.农林水支出（213）林业和草原（02）林业草原防灾减灾（34）：指用于病虫害等有害生物灾害、森林草原防火、野生动物疫病灾害等方面的支出。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25.农林水支出（213）水利（03）防汛（14）：指防汛业务支出。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26.农林水支出（213）扶贫（05）农村基础设施建设（04）：指农村贫困地区乡道路、住房、基本农田、水利设施、人畜饮水、生态环境保护等改善人生产生活条件方面的支出。</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27.农林水支出（213）扶贫（05）其他扶贫支出（99）：指其他用于扶贫方面的支出。</w:t>
      </w:r>
    </w:p>
    <w:p>
      <w:pPr>
        <w:pStyle w:val="37"/>
        <w:keepNext w:val="0"/>
        <w:keepLines w:val="0"/>
        <w:widowControl/>
        <w:suppressLineNumbers w:val="0"/>
        <w:spacing w:before="0" w:beforeAutospacing="0"/>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28.农林水支出（213）农村综合改革(07)对村民委员会和村党支部的补助(05)：指各级财政对村民委员会和村党支部的补助支出，以及支持建立县级基本财力保障机制安排的村级组织运转奖补资金。</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29.农林水支出（213）农村综合改革(07)对村集体经济组织的补助(06)：指对村集体经济组织的补助资金。</w:t>
      </w:r>
    </w:p>
    <w:p>
      <w:pPr>
        <w:pStyle w:val="37"/>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30.住房保障支出（221）住房改革支出（02）住房公积金（01）：指行政事业单位按人力资源和社会保障部、财政部规定的基本工资和津补贴依规定比例为职工缴纳住房公积金。</w:t>
      </w:r>
    </w:p>
    <w:p>
      <w:pPr>
        <w:pStyle w:val="37"/>
        <w:keepNext w:val="0"/>
        <w:keepLines w:val="0"/>
        <w:widowControl/>
        <w:suppressLineNumbers w:val="0"/>
        <w:spacing w:before="0" w:beforeAutospacing="0"/>
        <w:ind w:left="0" w:firstLine="640" w:firstLineChars="200"/>
        <w:jc w:val="left"/>
        <w:rPr>
          <w:rFonts w:ascii="仿宋_GB2312" w:eastAsia="仿宋_GB2312"/>
          <w:sz w:val="32"/>
          <w:szCs w:val="32"/>
        </w:rPr>
      </w:pPr>
      <w:r>
        <w:rPr>
          <w:rFonts w:hint="eastAsia" w:ascii="仿宋_GB2312" w:eastAsia="仿宋_GB2312"/>
          <w:sz w:val="32"/>
          <w:szCs w:val="32"/>
          <w:lang w:val="en-US" w:eastAsia="zh-CN"/>
        </w:rPr>
        <w:t>31</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lang w:val="en-US" w:eastAsia="zh-CN"/>
        </w:rPr>
        <w:t>33</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9"/>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34</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35</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bookmarkStart w:id="65" w:name="_GoBack"/>
      <w:bookmarkEnd w:id="65"/>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8"/>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pStyle w:val="8"/>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3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9"/>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pPr>
        <w:pStyle w:val="39"/>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Times New Roman" w:hAnsi="Times New Roman" w:eastAsia="仿宋_GB2312" w:cs="仿宋_GB2312"/>
          <w:b w:val="0"/>
          <w:bCs w:val="0"/>
          <w:kern w:val="0"/>
          <w:position w:val="0"/>
          <w:sz w:val="32"/>
          <w:szCs w:val="32"/>
          <w:highlight w:val="none"/>
          <w:lang w:val="en-US" w:eastAsia="zh-CN" w:bidi="ar-SA"/>
        </w:rPr>
        <w:t>项目设立原因及背景，</w:t>
      </w:r>
      <w:r>
        <w:rPr>
          <w:rFonts w:hint="eastAsia" w:ascii="Times New Roman" w:hAnsi="Times New Roman" w:eastAsia="仿宋_GB2312" w:cs="仿宋_GB2312"/>
          <w:b w:val="0"/>
          <w:bCs w:val="0"/>
          <w:kern w:val="0"/>
          <w:position w:val="0"/>
          <w:sz w:val="32"/>
          <w:szCs w:val="32"/>
          <w:highlight w:val="none"/>
          <w:lang w:val="zh-CN" w:eastAsia="zh-CN" w:bidi="ar-SA"/>
        </w:rPr>
        <w:t>项目立项、资金申报的依据，项目主要内容</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主管部门职能</w:t>
      </w:r>
      <w:r>
        <w:rPr>
          <w:rFonts w:hint="eastAsia" w:ascii="Times New Roman" w:hAnsi="Times New Roman" w:eastAsia="仿宋_GB2312" w:cs="仿宋_GB2312"/>
          <w:color w:val="auto"/>
          <w:kern w:val="0"/>
          <w:sz w:val="32"/>
          <w:szCs w:val="32"/>
          <w:highlight w:val="none"/>
          <w:u w:val="none"/>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en-US" w:eastAsia="zh-CN" w:bidi="ar-SA"/>
        </w:rPr>
        <w:t>项目资金</w:t>
      </w:r>
      <w:r>
        <w:rPr>
          <w:rFonts w:hint="eastAsia" w:ascii="Times New Roman" w:hAnsi="Times New Roman" w:eastAsia="仿宋_GB2312" w:cs="仿宋_GB2312"/>
          <w:b w:val="0"/>
          <w:bCs w:val="0"/>
          <w:kern w:val="0"/>
          <w:position w:val="0"/>
          <w:sz w:val="32"/>
          <w:szCs w:val="32"/>
          <w:highlight w:val="none"/>
          <w:lang w:val="zh-CN" w:eastAsia="zh-CN" w:bidi="ar-SA"/>
        </w:rPr>
        <w:t>管理办法制定情况，项目实施目的和主要工作任务，项目支持方向。</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项目预算安排情况，项目资金分配原则及考虑因素，项目资金分配情况。</w:t>
      </w:r>
    </w:p>
    <w:p>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项目整体、区域和具体绩效目标设置情况，项目自评工作开展情况。</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通过项目绩效自评要实现的目的。</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按照绩效评价指标体系，对资金支出使用全过程及其实施效果进行综合评价和判断。</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项目绩效自评所抽样点位情况。每个专项预算项目应选取专项资金分配涉及市县总数的20%、总计不超过20个的市县点位进行实地踏勘，且点位清单应作为自评附表。</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根据项目情况和评价重点，用来收集相关材料和开展具体评价的方法。包括：采用成本效益分析法、标杆管理法、案卷研究法、单位自评法、实地勘察法、问卷调查法、座谈调研法等多种方法。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评价组人员构成和职责分工。</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项目决策。围绕决策程序、规划论证、资金投向进行绩效分析。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项目管理。围绕制度办法、分配管理、绩效监管进行绩效分析。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hint="eastAsia" w:ascii="Times New Roman" w:hAnsi="Times New Roman" w:eastAsia="仿宋_GB2312" w:cs="仿宋_GB2312"/>
          <w:b w:val="0"/>
          <w:bCs w:val="0"/>
          <w:kern w:val="0"/>
          <w:position w:val="0"/>
          <w:sz w:val="32"/>
          <w:szCs w:val="32"/>
          <w:highlight w:val="none"/>
          <w:lang w:val="zh-CN" w:eastAsia="zh-CN" w:bidi="ar-SA"/>
        </w:rPr>
        <w:t>围绕预算执行、资金使用进行绩效分析。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4.项目结果。围绕</w:t>
      </w:r>
      <w:r>
        <w:rPr>
          <w:rFonts w:hint="eastAsia" w:ascii="Times New Roman" w:hAnsi="Times New Roman" w:eastAsia="仿宋_GB2312" w:cs="仿宋_GB2312"/>
          <w:b w:val="0"/>
          <w:bCs w:val="0"/>
          <w:kern w:val="0"/>
          <w:position w:val="0"/>
          <w:sz w:val="32"/>
          <w:szCs w:val="32"/>
          <w:highlight w:val="none"/>
          <w:lang w:val="zh-CN" w:eastAsia="zh-CN" w:bidi="ar-SA"/>
        </w:rPr>
        <w:t>目标完成、完成时效进行绩效分析。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en-US" w:eastAsia="zh-CN" w:bidi="ar-SA"/>
        </w:rPr>
        <w:t>专项预算项目资金支持对象选择所属指标进行绩效分析。支持对象</w:t>
      </w:r>
      <w:r>
        <w:rPr>
          <w:rFonts w:hint="eastAsia" w:ascii="Times New Roman" w:hAnsi="Times New Roman" w:eastAsia="仿宋_GB2312" w:cs="仿宋_GB2312"/>
          <w:b w:val="0"/>
          <w:bCs w:val="0"/>
          <w:kern w:val="0"/>
          <w:position w:val="0"/>
          <w:sz w:val="32"/>
          <w:szCs w:val="32"/>
          <w:highlight w:val="none"/>
          <w:lang w:val="zh-CN" w:eastAsia="zh-CN" w:bidi="ar-SA"/>
        </w:rPr>
        <w:t>包括产业发展、民生保障、基础设施、行政运转等方面。</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1.产业发展。围绕符合性、成长性、经济性进行绩效分析。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围绕区域均衡性、对象精准性、标准合理性、群众满意度进行绩效分析。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3.基础设施。在建项目围绕工程进度和资金拨付进行绩效分析；建成项目围绕项目验收、功能实现、后续管护进行</w:t>
      </w:r>
      <w:r>
        <w:rPr>
          <w:rFonts w:hint="eastAsia" w:ascii="Times New Roman" w:hAnsi="Times New Roman" w:eastAsia="仿宋_GB2312" w:cs="仿宋_GB2312"/>
          <w:b w:val="0"/>
          <w:bCs w:val="0"/>
          <w:kern w:val="0"/>
          <w:position w:val="0"/>
          <w:sz w:val="32"/>
          <w:szCs w:val="32"/>
          <w:highlight w:val="none"/>
          <w:lang w:val="zh-CN" w:eastAsia="zh-CN" w:bidi="ar-SA"/>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行政运转。围绕用途合规性、程序合规性、标准合规性进行绩效分析。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kern w:val="0"/>
          <w:position w:val="0"/>
          <w:sz w:val="32"/>
          <w:szCs w:val="32"/>
          <w:highlight w:val="none"/>
          <w:lang w:val="zh-CN" w:eastAsia="zh-CN" w:bidi="ar-SA"/>
        </w:rPr>
        <w:t>项目实施情况。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简要阐述专项预算项目绩效自评发现的主要问题。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kern w:val="0"/>
          <w:position w:val="0"/>
          <w:sz w:val="32"/>
          <w:szCs w:val="32"/>
          <w:highlight w:val="none"/>
          <w:lang w:val="en-US" w:eastAsia="zh-CN" w:bidi="ar-SA"/>
        </w:rPr>
        <w:t>措施</w:t>
      </w:r>
      <w:r>
        <w:rPr>
          <w:rFonts w:hint="eastAsia" w:ascii="Times New Roman" w:hAnsi="Times New Roman" w:eastAsia="仿宋_GB2312" w:cs="仿宋_GB2312"/>
          <w:b w:val="0"/>
          <w:bCs w:val="0"/>
          <w:kern w:val="0"/>
          <w:position w:val="0"/>
          <w:sz w:val="32"/>
          <w:szCs w:val="32"/>
          <w:highlight w:val="none"/>
          <w:lang w:val="en" w:eastAsia="zh-CN" w:bidi="ar-SA"/>
        </w:rPr>
        <w:t>建议，其中</w:t>
      </w:r>
      <w:r>
        <w:rPr>
          <w:rFonts w:hint="eastAsia" w:ascii="Times New Roman" w:hAnsi="Times New Roman" w:eastAsia="仿宋_GB2312" w:cs="仿宋_GB2312"/>
          <w:b w:val="0"/>
          <w:bCs w:val="0"/>
          <w:kern w:val="0"/>
          <w:position w:val="0"/>
          <w:sz w:val="32"/>
          <w:szCs w:val="32"/>
          <w:highlight w:val="none"/>
          <w:lang w:val="en-US" w:eastAsia="zh-CN" w:bidi="ar-SA"/>
        </w:rPr>
        <w:t>必须对应评价发现的主要问题一一提出措施建议。</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注：</w:t>
      </w:r>
      <w:r>
        <w:rPr>
          <w:rFonts w:hint="eastAsia" w:ascii="Times New Roman" w:hAnsi="Times New Roman" w:eastAsia="仿宋_GB2312" w:cs="仿宋_GB2312"/>
          <w:b w:val="0"/>
          <w:bCs w:val="0"/>
          <w:kern w:val="0"/>
          <w:position w:val="0"/>
          <w:sz w:val="32"/>
          <w:szCs w:val="32"/>
          <w:highlight w:val="none"/>
          <w:lang w:val="en-US" w:eastAsia="zh-CN" w:bidi="ar-SA"/>
        </w:rPr>
        <w:t>以上绩效自评报告，除涉密敏感内容外，原则上都应予以公开）</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1"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8"/>
          <w:rFonts w:hint="eastAsia" w:ascii="Times New Roman" w:hAnsi="Times New Roman" w:eastAsia="黑体"/>
          <w:b w:val="0"/>
          <w:color w:val="auto"/>
          <w:highlight w:val="none"/>
        </w:rPr>
        <w:t>五部分 附表</w:t>
      </w:r>
      <w:bookmarkEnd w:id="51"/>
      <w:bookmarkStart w:id="52" w:name="_Toc1539661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2"/>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0"/>
      <w:r>
        <w:rPr>
          <w:rFonts w:hint="eastAsia" w:ascii="Times New Roman" w:hAnsi="Times New Roman" w:eastAsia="仿宋_GB2312" w:cs="仿宋_GB2312"/>
          <w:color w:val="auto"/>
          <w:sz w:val="32"/>
          <w:szCs w:val="32"/>
          <w:highlight w:val="none"/>
        </w:rPr>
        <w:t>二、收入决算表</w:t>
      </w:r>
      <w:bookmarkEnd w:id="53"/>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1"/>
      <w:r>
        <w:rPr>
          <w:rFonts w:hint="eastAsia" w:ascii="Times New Roman" w:hAnsi="Times New Roman" w:eastAsia="仿宋_GB2312" w:cs="仿宋_GB2312"/>
          <w:color w:val="auto"/>
          <w:sz w:val="32"/>
          <w:szCs w:val="32"/>
          <w:highlight w:val="none"/>
        </w:rPr>
        <w:t>三、支出决算表</w:t>
      </w:r>
      <w:bookmarkEnd w:id="5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2"/>
      <w:r>
        <w:rPr>
          <w:rFonts w:hint="eastAsia" w:ascii="Times New Roman" w:hAnsi="Times New Roman" w:eastAsia="仿宋_GB2312" w:cs="仿宋_GB2312"/>
          <w:color w:val="auto"/>
          <w:sz w:val="32"/>
          <w:szCs w:val="32"/>
          <w:highlight w:val="none"/>
        </w:rPr>
        <w:t>四、财政拨款收入支出决算总表</w:t>
      </w:r>
      <w:bookmarkEnd w:id="55"/>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3"/>
      <w:r>
        <w:rPr>
          <w:rFonts w:hint="eastAsia" w:ascii="Times New Roman" w:hAnsi="Times New Roman" w:eastAsia="仿宋_GB2312" w:cs="仿宋_GB2312"/>
          <w:color w:val="auto"/>
          <w:sz w:val="32"/>
          <w:szCs w:val="32"/>
          <w:highlight w:val="none"/>
        </w:rPr>
        <w:t>五、财政拨款支出决算明细表</w:t>
      </w:r>
      <w:bookmarkEnd w:id="56"/>
      <w:bookmarkStart w:id="57" w:name="_Toc1539662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7"/>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5"/>
      <w:r>
        <w:rPr>
          <w:rFonts w:hint="eastAsia" w:ascii="Times New Roman" w:hAnsi="Times New Roman" w:eastAsia="仿宋_GB2312" w:cs="仿宋_GB2312"/>
          <w:color w:val="auto"/>
          <w:sz w:val="32"/>
          <w:szCs w:val="32"/>
          <w:highlight w:val="none"/>
        </w:rPr>
        <w:t>七、一般公共预算财政拨款支出决算明细表</w:t>
      </w:r>
      <w:bookmarkEnd w:id="58"/>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6"/>
      <w:r>
        <w:rPr>
          <w:rFonts w:hint="eastAsia" w:ascii="Times New Roman" w:hAnsi="Times New Roman" w:eastAsia="仿宋_GB2312" w:cs="仿宋_GB2312"/>
          <w:color w:val="auto"/>
          <w:sz w:val="32"/>
          <w:szCs w:val="32"/>
          <w:highlight w:val="none"/>
        </w:rPr>
        <w:t>八、一般公共预算财政拨款基本支出决算表</w:t>
      </w:r>
      <w:bookmarkEnd w:id="5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7"/>
      <w:r>
        <w:rPr>
          <w:rFonts w:hint="eastAsia" w:ascii="Times New Roman" w:hAnsi="Times New Roman" w:eastAsia="仿宋_GB2312" w:cs="仿宋_GB2312"/>
          <w:color w:val="auto"/>
          <w:sz w:val="32"/>
          <w:szCs w:val="32"/>
          <w:highlight w:val="none"/>
        </w:rPr>
        <w:t>九、一般公共预算财政拨款项目支出决算表</w:t>
      </w:r>
      <w:bookmarkEnd w:id="60"/>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8"/>
      <w:r>
        <w:rPr>
          <w:rFonts w:hint="eastAsia" w:ascii="Times New Roman" w:hAnsi="Times New Roman" w:eastAsia="仿宋_GB2312" w:cs="仿宋_GB2312"/>
          <w:color w:val="auto"/>
          <w:sz w:val="32"/>
          <w:szCs w:val="32"/>
          <w:highlight w:val="none"/>
        </w:rPr>
        <w:t>十、</w:t>
      </w:r>
      <w:bookmarkEnd w:id="61"/>
      <w:r>
        <w:rPr>
          <w:rFonts w:hint="eastAsia" w:ascii="Times New Roman" w:hAnsi="Times New Roman" w:eastAsia="仿宋_GB2312" w:cs="仿宋_GB2312"/>
          <w:color w:val="auto"/>
          <w:sz w:val="32"/>
          <w:szCs w:val="32"/>
          <w:highlight w:val="none"/>
        </w:rPr>
        <w:t>政府性基金预算财政拨款收入支出决算表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9"/>
      <w:r>
        <w:rPr>
          <w:rFonts w:hint="eastAsia" w:ascii="Times New Roman" w:hAnsi="Times New Roman" w:eastAsia="仿宋_GB2312" w:cs="仿宋_GB2312"/>
          <w:color w:val="auto"/>
          <w:sz w:val="32"/>
          <w:szCs w:val="32"/>
          <w:highlight w:val="none"/>
        </w:rPr>
        <w:t>十一、</w:t>
      </w:r>
      <w:bookmarkEnd w:id="62"/>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30"/>
      <w:r>
        <w:rPr>
          <w:rFonts w:hint="eastAsia" w:ascii="Times New Roman" w:hAnsi="Times New Roman" w:eastAsia="仿宋_GB2312" w:cs="仿宋_GB2312"/>
          <w:color w:val="auto"/>
          <w:sz w:val="32"/>
          <w:szCs w:val="32"/>
          <w:highlight w:val="none"/>
        </w:rPr>
        <w:t>十二、</w:t>
      </w:r>
      <w:bookmarkEnd w:id="63"/>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4" w:name="_Toc15396631"/>
      <w:r>
        <w:rPr>
          <w:rFonts w:hint="eastAsia" w:ascii="Times New Roman" w:hAnsi="Times New Roman" w:eastAsia="仿宋_GB2312" w:cs="仿宋_GB2312"/>
          <w:color w:val="auto"/>
          <w:sz w:val="32"/>
          <w:szCs w:val="32"/>
          <w:highlight w:val="none"/>
        </w:rPr>
        <w:t>十三、</w:t>
      </w:r>
      <w:bookmarkEnd w:id="64"/>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p>
      <w:pPr>
        <w:numPr>
          <w:ilvl w:val="0"/>
          <w:numId w:val="0"/>
        </w:numPr>
        <w:spacing w:line="600" w:lineRule="exact"/>
        <w:ind w:leftChars="150"/>
        <w:jc w:val="both"/>
        <w:outlineLvl w:val="0"/>
        <w:rPr>
          <w:rFonts w:eastAsia="仿宋"/>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
    <w:altName w:val="Segoe Print"/>
    <w:panose1 w:val="00000000000000000000"/>
    <w:charset w:val="00"/>
    <w:family w:val="roman"/>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MmM1OGNkMzEyOGEzZjUzNGQ5NDMyYTNjZDZjMD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C2831"/>
    <w:rsid w:val="081B5E94"/>
    <w:rsid w:val="0A2032A3"/>
    <w:rsid w:val="0B8A37D8"/>
    <w:rsid w:val="0F5FFB2F"/>
    <w:rsid w:val="0FFFCF60"/>
    <w:rsid w:val="10C055FF"/>
    <w:rsid w:val="118107EC"/>
    <w:rsid w:val="11DD6519"/>
    <w:rsid w:val="13D416CA"/>
    <w:rsid w:val="15A236A8"/>
    <w:rsid w:val="16BB723D"/>
    <w:rsid w:val="18015F3F"/>
    <w:rsid w:val="1BE8440E"/>
    <w:rsid w:val="1D155CEE"/>
    <w:rsid w:val="1FDBBF84"/>
    <w:rsid w:val="20F57F95"/>
    <w:rsid w:val="240371BF"/>
    <w:rsid w:val="25711CC6"/>
    <w:rsid w:val="25C741E6"/>
    <w:rsid w:val="276F80C0"/>
    <w:rsid w:val="27842671"/>
    <w:rsid w:val="29FD04D3"/>
    <w:rsid w:val="2ABE7A3E"/>
    <w:rsid w:val="2AFF09B6"/>
    <w:rsid w:val="2CA234A8"/>
    <w:rsid w:val="2EFA178C"/>
    <w:rsid w:val="2EFDF86C"/>
    <w:rsid w:val="2F9D17E1"/>
    <w:rsid w:val="30B46D73"/>
    <w:rsid w:val="319F7F4E"/>
    <w:rsid w:val="356A28F1"/>
    <w:rsid w:val="357C035A"/>
    <w:rsid w:val="368E000D"/>
    <w:rsid w:val="37CF30E6"/>
    <w:rsid w:val="383D272C"/>
    <w:rsid w:val="39AE70AB"/>
    <w:rsid w:val="3A4DCE41"/>
    <w:rsid w:val="3BCB56FA"/>
    <w:rsid w:val="3C0C0783"/>
    <w:rsid w:val="3EBC63BD"/>
    <w:rsid w:val="3EE7C2F4"/>
    <w:rsid w:val="3F371B56"/>
    <w:rsid w:val="3F792ED8"/>
    <w:rsid w:val="3F9F3A96"/>
    <w:rsid w:val="3FECA4B2"/>
    <w:rsid w:val="3FF58C48"/>
    <w:rsid w:val="42157429"/>
    <w:rsid w:val="42FF6694"/>
    <w:rsid w:val="48BF60AB"/>
    <w:rsid w:val="493C27E9"/>
    <w:rsid w:val="496F39ED"/>
    <w:rsid w:val="49FF41D3"/>
    <w:rsid w:val="4BE068DB"/>
    <w:rsid w:val="4BF6002B"/>
    <w:rsid w:val="4BFFC6BE"/>
    <w:rsid w:val="4ECE2238"/>
    <w:rsid w:val="50346A0B"/>
    <w:rsid w:val="51DB4B86"/>
    <w:rsid w:val="51F64DB0"/>
    <w:rsid w:val="55333C3E"/>
    <w:rsid w:val="5F67802D"/>
    <w:rsid w:val="5F7DC4F2"/>
    <w:rsid w:val="5FB36814"/>
    <w:rsid w:val="5FBB8E56"/>
    <w:rsid w:val="5FFB5535"/>
    <w:rsid w:val="64CA39A1"/>
    <w:rsid w:val="69630ADE"/>
    <w:rsid w:val="69BD5F13"/>
    <w:rsid w:val="69FB0B4B"/>
    <w:rsid w:val="6BFFE1FB"/>
    <w:rsid w:val="6C4A05C8"/>
    <w:rsid w:val="6D3B1A89"/>
    <w:rsid w:val="6DB7D8A3"/>
    <w:rsid w:val="6EC78701"/>
    <w:rsid w:val="6F7A5481"/>
    <w:rsid w:val="6FFE07A9"/>
    <w:rsid w:val="71BF4EC2"/>
    <w:rsid w:val="72734D90"/>
    <w:rsid w:val="73E75B71"/>
    <w:rsid w:val="7412278C"/>
    <w:rsid w:val="75DDCDA9"/>
    <w:rsid w:val="75FF44B1"/>
    <w:rsid w:val="77670518"/>
    <w:rsid w:val="777FA627"/>
    <w:rsid w:val="77DF1B5F"/>
    <w:rsid w:val="77EF2D9D"/>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8"/>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unhideWhenUsed/>
    <w:qFormat/>
    <w:uiPriority w:val="99"/>
    <w:rPr>
      <w:rFonts w:ascii="宋体" w:hAnsi="Courier New" w:cs="Courier New"/>
      <w:szCs w:val="21"/>
    </w:rPr>
  </w:style>
  <w:style w:type="paragraph" w:styleId="11">
    <w:name w:val="Balloon Text"/>
    <w:basedOn w:val="1"/>
    <w:link w:val="34"/>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0"/>
    <w:pPr>
      <w:ind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字符"/>
    <w:link w:val="13"/>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字符"/>
    <w:link w:val="12"/>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字符"/>
    <w:link w:val="8"/>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字符"/>
    <w:basedOn w:val="19"/>
    <w:link w:val="5"/>
    <w:qFormat/>
    <w:uiPriority w:val="9"/>
    <w:rPr>
      <w:rFonts w:ascii="Times New Roman" w:hAnsi="Times New Roman"/>
      <w:b/>
      <w:bCs/>
      <w:kern w:val="44"/>
      <w:sz w:val="44"/>
      <w:szCs w:val="44"/>
    </w:rPr>
  </w:style>
  <w:style w:type="character" w:customStyle="1" w:styleId="32">
    <w:name w:val="标题 2 字符"/>
    <w:basedOn w:val="19"/>
    <w:link w:val="6"/>
    <w:qFormat/>
    <w:uiPriority w:val="9"/>
    <w:rPr>
      <w:rFonts w:asciiTheme="majorHAnsi" w:hAnsiTheme="majorHAnsi" w:eastAsiaTheme="majorEastAsia" w:cstheme="majorBidi"/>
      <w:b/>
      <w:bCs/>
      <w:kern w:val="2"/>
      <w:sz w:val="32"/>
      <w:szCs w:val="32"/>
    </w:rPr>
  </w:style>
  <w:style w:type="paragraph" w:customStyle="1" w:styleId="33">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19"/>
    <w:link w:val="11"/>
    <w:semiHidden/>
    <w:qFormat/>
    <w:uiPriority w:val="99"/>
    <w:rPr>
      <w:rFonts w:ascii="Times New Roman" w:hAnsi="Times New Roman"/>
      <w:kern w:val="2"/>
      <w:sz w:val="18"/>
      <w:szCs w:val="18"/>
    </w:rPr>
  </w:style>
  <w:style w:type="character" w:customStyle="1" w:styleId="35">
    <w:name w:val="标题 3 字符"/>
    <w:basedOn w:val="19"/>
    <w:link w:val="7"/>
    <w:qFormat/>
    <w:uiPriority w:val="9"/>
    <w:rPr>
      <w:rFonts w:ascii="Times New Roman" w:hAnsi="Times New Roman"/>
      <w:b/>
      <w:bCs/>
      <w:kern w:val="2"/>
      <w:sz w:val="32"/>
      <w:szCs w:val="32"/>
    </w:rPr>
  </w:style>
  <w:style w:type="paragraph" w:customStyle="1" w:styleId="36">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38">
    <w:name w:val="标题 1 Char"/>
    <w:basedOn w:val="19"/>
    <w:link w:val="5"/>
    <w:qFormat/>
    <w:uiPriority w:val="9"/>
    <w:rPr>
      <w:rFonts w:ascii="Times New Roman" w:hAnsi="Times New Roman"/>
      <w:b/>
      <w:bCs/>
      <w:kern w:val="44"/>
      <w:sz w:val="44"/>
      <w:szCs w:val="44"/>
    </w:rPr>
  </w:style>
  <w:style w:type="paragraph" w:customStyle="1" w:styleId="39">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9199</Words>
  <Characters>9933</Characters>
  <Lines>54</Lines>
  <Paragraphs>15</Paragraphs>
  <TotalTime>3</TotalTime>
  <ScaleCrop>false</ScaleCrop>
  <LinksUpToDate>false</LinksUpToDate>
  <CharactersWithSpaces>9995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Administrator</cp:lastModifiedBy>
  <cp:lastPrinted>2023-08-03T02:35:00Z</cp:lastPrinted>
  <dcterms:modified xsi:type="dcterms:W3CDTF">2025-10-14T06:38:09Z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2BF43B794F7A4A37BBF3A601A8C204CA</vt:lpwstr>
  </property>
</Properties>
</file>