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0" w:name="_Toc15306267"/>
    </w:p>
    <w:p>
      <w:pPr>
        <w:pStyle w:val="8"/>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8441"/>
      <w:bookmarkStart w:id="2" w:name="_Toc15377193"/>
      <w:bookmarkStart w:id="3" w:name="_Toc15377425"/>
      <w:bookmarkStart w:id="4" w:name="_Toc15396475"/>
      <w:bookmarkStart w:id="5" w:name="_Toc15396597"/>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bookmarkStart w:id="6" w:name="_Toc15378442"/>
      <w:bookmarkStart w:id="7" w:name="_Toc15377426"/>
      <w:bookmarkStart w:id="8" w:name="_Toc15377194"/>
      <w:bookmarkStart w:id="9" w:name="_Toc15396476"/>
      <w:bookmarkStart w:id="10" w:name="_Toc15396598"/>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lang w:val="en-US" w:eastAsia="zh-CN"/>
        </w:rPr>
        <w:t>双河镇便民服务</w:t>
      </w: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lang w:val="en-US" w:eastAsia="zh-CN"/>
        </w:rPr>
        <w:t>中心</w:t>
      </w:r>
      <w:r>
        <w:rPr>
          <w:rFonts w:hint="eastAsia" w:ascii="方正小标宋简体" w:hAnsi="方正小标宋简体" w:eastAsia="方正小标宋简体" w:cs="方正小标宋简体"/>
          <w:sz w:val="72"/>
          <w:szCs w:val="72"/>
        </w:rPr>
        <w:t>单位决算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sz w:val="52"/>
          <w:szCs w:val="52"/>
        </w:rPr>
      </w:pPr>
      <w:r>
        <w:rPr>
          <w:rFonts w:hint="eastAsia" w:ascii="方正小标宋简体" w:hAnsi="宋体" w:eastAsia="方正小标宋简体"/>
          <w:sz w:val="52"/>
          <w:szCs w:val="52"/>
        </w:rPr>
        <w:t>(单位公开范本)</w:t>
      </w: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3"/>
      </w:pPr>
      <w:r>
        <w:rPr>
          <w:rFonts w:hint="eastAsia"/>
        </w:rPr>
        <w:t>公开时间：</w:t>
      </w:r>
      <w:r>
        <w:rPr>
          <w:rFonts w:hint="eastAsia"/>
          <w:lang w:eastAsia="zh-CN"/>
        </w:rPr>
        <w:t>2025</w:t>
      </w:r>
      <w:r>
        <w:rPr>
          <w:rFonts w:hint="eastAsia"/>
        </w:rPr>
        <w:t>年</w:t>
      </w:r>
      <w:r>
        <w:rPr>
          <w:rFonts w:hint="eastAsia"/>
          <w:lang w:val="en-US" w:eastAsia="zh-CN"/>
        </w:rPr>
        <w:t>10</w:t>
      </w:r>
      <w:r>
        <w:rPr>
          <w:rFonts w:hint="eastAsia"/>
        </w:rPr>
        <w:t>月</w:t>
      </w:r>
      <w:r>
        <w:rPr>
          <w:rFonts w:hint="eastAsia"/>
          <w:lang w:val="en-US" w:eastAsia="zh-CN"/>
        </w:rPr>
        <w:t>14</w:t>
      </w:r>
      <w:r>
        <w:rPr>
          <w:rFonts w:hint="eastAsia"/>
        </w:rPr>
        <w:t>日</w:t>
      </w:r>
    </w:p>
    <w:p/>
    <w:p>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p>
    <w:p>
      <w:pPr>
        <w:pStyle w:val="14"/>
        <w:adjustRightInd w:val="0"/>
        <w:snapToGrid w:val="0"/>
        <w:spacing w:line="440" w:lineRule="exact"/>
        <w:jc w:val="left"/>
        <w:rPr>
          <w:sz w:val="24"/>
        </w:rPr>
      </w:pPr>
      <w:r>
        <w:rPr>
          <w:rFonts w:hint="eastAsia"/>
          <w:sz w:val="24"/>
        </w:rPr>
        <w:t>一、主要职责</w:t>
      </w:r>
    </w:p>
    <w:p>
      <w:pPr>
        <w:pStyle w:val="14"/>
        <w:adjustRightInd w:val="0"/>
        <w:snapToGrid w:val="0"/>
        <w:spacing w:line="440" w:lineRule="exact"/>
        <w:jc w:val="left"/>
      </w:pPr>
      <w:r>
        <w:rPr>
          <w:rFonts w:hint="eastAsia"/>
          <w:sz w:val="24"/>
        </w:rPr>
        <w:t>二、机构设置</w:t>
      </w:r>
    </w:p>
    <w:p>
      <w:pPr>
        <w:pStyle w:val="13"/>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年度单位决算情况说明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4"/>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4"/>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4"/>
        <w:adjustRightInd w:val="0"/>
        <w:snapToGrid w:val="0"/>
        <w:spacing w:line="440" w:lineRule="exact"/>
        <w:jc w:val="left"/>
        <w:rPr>
          <w:sz w:val="24"/>
        </w:rPr>
      </w:pPr>
      <w:r>
        <w:rPr>
          <w:rFonts w:hint="eastAsia"/>
          <w:sz w:val="24"/>
        </w:rPr>
        <w:t>九、国有资本经营预算支出决算情况说明</w:t>
      </w:r>
    </w:p>
    <w:p>
      <w:pPr>
        <w:pStyle w:val="14"/>
        <w:adjustRightInd w:val="0"/>
        <w:snapToGrid w:val="0"/>
        <w:spacing w:line="440" w:lineRule="exact"/>
        <w:jc w:val="left"/>
        <w:rPr>
          <w:sz w:val="24"/>
        </w:rPr>
      </w:pPr>
      <w:r>
        <w:rPr>
          <w:rFonts w:hint="eastAsia"/>
          <w:sz w:val="24"/>
        </w:rPr>
        <w:t>十、其他重要事项的情况说明</w:t>
      </w:r>
    </w:p>
    <w:p>
      <w:pPr>
        <w:pStyle w:val="13"/>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4"/>
        <w:adjustRightInd w:val="0"/>
        <w:snapToGrid w:val="0"/>
        <w:spacing w:line="440" w:lineRule="exact"/>
        <w:jc w:val="left"/>
        <w:rPr>
          <w:sz w:val="24"/>
        </w:rPr>
      </w:pPr>
      <w:r>
        <w:rPr>
          <w:rFonts w:hint="eastAsia"/>
          <w:sz w:val="24"/>
        </w:rPr>
        <w:t>一、收入支出决算总表</w:t>
      </w:r>
    </w:p>
    <w:p>
      <w:pPr>
        <w:pStyle w:val="14"/>
        <w:adjustRightInd w:val="0"/>
        <w:snapToGrid w:val="0"/>
        <w:spacing w:line="440" w:lineRule="exact"/>
        <w:jc w:val="left"/>
        <w:rPr>
          <w:sz w:val="24"/>
        </w:rPr>
      </w:pPr>
      <w:r>
        <w:rPr>
          <w:rFonts w:hint="eastAsia"/>
          <w:sz w:val="24"/>
        </w:rPr>
        <w:t>二、收入决算表</w:t>
      </w:r>
    </w:p>
    <w:p>
      <w:pPr>
        <w:pStyle w:val="14"/>
        <w:adjustRightInd w:val="0"/>
        <w:snapToGrid w:val="0"/>
        <w:spacing w:line="440" w:lineRule="exact"/>
        <w:jc w:val="left"/>
        <w:rPr>
          <w:sz w:val="24"/>
        </w:rPr>
      </w:pPr>
      <w:r>
        <w:rPr>
          <w:rFonts w:hint="eastAsia"/>
          <w:sz w:val="24"/>
        </w:rPr>
        <w:t>三、支出决算表</w:t>
      </w:r>
    </w:p>
    <w:p>
      <w:pPr>
        <w:pStyle w:val="14"/>
        <w:adjustRightInd w:val="0"/>
        <w:snapToGrid w:val="0"/>
        <w:spacing w:line="440" w:lineRule="exact"/>
        <w:jc w:val="left"/>
        <w:rPr>
          <w:sz w:val="24"/>
        </w:rPr>
      </w:pPr>
      <w:r>
        <w:rPr>
          <w:rFonts w:hint="eastAsia"/>
          <w:sz w:val="24"/>
        </w:rPr>
        <w:t>四、财政拨款收入支出决算总表</w:t>
      </w:r>
    </w:p>
    <w:p>
      <w:pPr>
        <w:pStyle w:val="14"/>
        <w:adjustRightInd w:val="0"/>
        <w:snapToGrid w:val="0"/>
        <w:spacing w:line="440" w:lineRule="exact"/>
        <w:jc w:val="left"/>
        <w:rPr>
          <w:sz w:val="24"/>
        </w:rPr>
      </w:pPr>
      <w:r>
        <w:rPr>
          <w:rFonts w:hint="eastAsia"/>
          <w:sz w:val="24"/>
        </w:rPr>
        <w:t>五、财政拨款支出决算明细表</w:t>
      </w:r>
    </w:p>
    <w:p>
      <w:pPr>
        <w:pStyle w:val="14"/>
        <w:adjustRightInd w:val="0"/>
        <w:snapToGrid w:val="0"/>
        <w:spacing w:line="440" w:lineRule="exact"/>
        <w:jc w:val="left"/>
        <w:rPr>
          <w:sz w:val="24"/>
        </w:rPr>
      </w:pPr>
      <w:r>
        <w:rPr>
          <w:rFonts w:hint="eastAsia"/>
          <w:sz w:val="24"/>
        </w:rPr>
        <w:t>六、一般公共预算财政拨款支出决算表</w:t>
      </w:r>
    </w:p>
    <w:p>
      <w:pPr>
        <w:pStyle w:val="14"/>
        <w:adjustRightInd w:val="0"/>
        <w:snapToGrid w:val="0"/>
        <w:spacing w:line="440" w:lineRule="exact"/>
        <w:jc w:val="left"/>
        <w:rPr>
          <w:sz w:val="24"/>
        </w:rPr>
      </w:pPr>
      <w:r>
        <w:rPr>
          <w:rFonts w:hint="eastAsia"/>
          <w:sz w:val="24"/>
        </w:rPr>
        <w:t>七、一般公共预算财政拨款支出决算明细表</w:t>
      </w:r>
    </w:p>
    <w:p>
      <w:pPr>
        <w:pStyle w:val="14"/>
        <w:adjustRightInd w:val="0"/>
        <w:snapToGrid w:val="0"/>
        <w:spacing w:line="440" w:lineRule="exact"/>
        <w:jc w:val="left"/>
        <w:rPr>
          <w:sz w:val="24"/>
        </w:rPr>
      </w:pPr>
      <w:r>
        <w:rPr>
          <w:rFonts w:hint="eastAsia"/>
          <w:sz w:val="24"/>
        </w:rPr>
        <w:t>八、一般公共预算财政拨款基本支出决算明细表</w:t>
      </w:r>
    </w:p>
    <w:p>
      <w:pPr>
        <w:pStyle w:val="14"/>
        <w:adjustRightInd w:val="0"/>
        <w:snapToGrid w:val="0"/>
        <w:spacing w:line="440" w:lineRule="exact"/>
        <w:jc w:val="left"/>
        <w:rPr>
          <w:sz w:val="24"/>
        </w:rPr>
      </w:pPr>
      <w:r>
        <w:rPr>
          <w:rFonts w:hint="eastAsia"/>
          <w:sz w:val="24"/>
        </w:rPr>
        <w:t>九、一般公共预算财政拨款项目支出决算表</w:t>
      </w:r>
    </w:p>
    <w:p>
      <w:pPr>
        <w:pStyle w:val="14"/>
        <w:adjustRightInd w:val="0"/>
        <w:snapToGrid w:val="0"/>
        <w:spacing w:line="440" w:lineRule="exact"/>
        <w:jc w:val="left"/>
        <w:rPr>
          <w:sz w:val="24"/>
        </w:rPr>
      </w:pPr>
      <w:r>
        <w:rPr>
          <w:rFonts w:hint="eastAsia"/>
          <w:sz w:val="24"/>
        </w:rPr>
        <w:t>十、政府性基金预算财政拨款收入支出决算表</w:t>
      </w:r>
    </w:p>
    <w:p>
      <w:pPr>
        <w:pStyle w:val="14"/>
        <w:adjustRightInd w:val="0"/>
        <w:snapToGrid w:val="0"/>
        <w:spacing w:line="440" w:lineRule="exact"/>
        <w:jc w:val="left"/>
        <w:rPr>
          <w:sz w:val="24"/>
        </w:rPr>
      </w:pPr>
      <w:r>
        <w:rPr>
          <w:rFonts w:hint="eastAsia"/>
          <w:sz w:val="24"/>
        </w:rPr>
        <w:t>十一、国有资本经营预算财政拨款收入支出决算表</w:t>
      </w:r>
    </w:p>
    <w:p>
      <w:pPr>
        <w:pStyle w:val="14"/>
        <w:adjustRightInd w:val="0"/>
        <w:snapToGrid w:val="0"/>
        <w:spacing w:line="440" w:lineRule="exact"/>
        <w:jc w:val="left"/>
        <w:rPr>
          <w:sz w:val="24"/>
        </w:rPr>
      </w:pPr>
      <w:r>
        <w:rPr>
          <w:rFonts w:hint="eastAsia"/>
          <w:sz w:val="24"/>
        </w:rPr>
        <w:t>十二、国有资本经营预算财政拨款支出决算表</w:t>
      </w:r>
    </w:p>
    <w:p>
      <w:pPr>
        <w:pStyle w:val="14"/>
        <w:adjustRightInd w:val="0"/>
        <w:snapToGrid w:val="0"/>
        <w:spacing w:line="440" w:lineRule="exact"/>
        <w:jc w:val="left"/>
        <w:rPr>
          <w:sz w:val="24"/>
        </w:rPr>
      </w:pPr>
      <w:r>
        <w:rPr>
          <w:rFonts w:hint="eastAsia"/>
          <w:sz w:val="24"/>
        </w:rPr>
        <w:t>十三、财政拨款“三公”经费支出决算表</w:t>
      </w:r>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请单位根据实际注明页码</w:t>
      </w:r>
      <w:r>
        <w:rPr>
          <w:rFonts w:ascii="仿宋" w:hAnsi="仿宋" w:eastAsia="仿宋"/>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5"/>
        <w:jc w:val="center"/>
        <w:rPr>
          <w:rStyle w:val="28"/>
          <w:rFonts w:ascii="黑体" w:hAnsi="黑体" w:eastAsia="黑体"/>
          <w:b/>
          <w:bCs w:val="0"/>
        </w:rPr>
      </w:pPr>
      <w:r>
        <w:rPr>
          <w:rFonts w:hint="eastAsia" w:ascii="黑体" w:hAnsi="黑体" w:eastAsia="黑体"/>
          <w:b w:val="0"/>
        </w:rPr>
        <w:t>第一部分 单位</w:t>
      </w:r>
      <w:r>
        <w:rPr>
          <w:rStyle w:val="28"/>
          <w:rFonts w:hint="eastAsia" w:ascii="黑体" w:hAnsi="黑体" w:eastAsia="黑体"/>
          <w:b w:val="0"/>
          <w:bCs w:val="0"/>
        </w:rPr>
        <w:t>概况</w:t>
      </w:r>
      <w:bookmarkEnd w:id="12"/>
      <w:bookmarkEnd w:id="13"/>
    </w:p>
    <w:p>
      <w:pPr>
        <w:widowControl/>
        <w:jc w:val="left"/>
        <w:rPr>
          <w:rFonts w:ascii="黑体" w:eastAsia="黑体"/>
          <w:sz w:val="32"/>
          <w:szCs w:val="32"/>
        </w:rPr>
      </w:pPr>
    </w:p>
    <w:p>
      <w:pPr>
        <w:pStyle w:val="6"/>
        <w:numPr>
          <w:ilvl w:val="0"/>
          <w:numId w:val="1"/>
        </w:numPr>
        <w:rPr>
          <w:rStyle w:val="29"/>
          <w:rFonts w:ascii="黑体" w:hAnsi="黑体" w:eastAsia="黑体"/>
          <w:b w:val="0"/>
          <w:bCs w:val="0"/>
        </w:rPr>
      </w:pPr>
      <w:bookmarkStart w:id="14" w:name="_Toc15377197"/>
      <w:bookmarkStart w:id="15" w:name="_Toc15396600"/>
      <w:r>
        <w:rPr>
          <w:rStyle w:val="29"/>
          <w:rFonts w:hint="eastAsia" w:ascii="黑体" w:hAnsi="黑体" w:eastAsia="黑体"/>
          <w:b w:val="0"/>
          <w:bCs w:val="0"/>
        </w:rPr>
        <w:t>主要职责</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（一）主要职能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双河镇党委、政府主要承担着贯彻落实党和政府各项路线方针政策，促进经济发展、增加农民收入，强化公共服务、着力改善民生，加强社会管理、维护农村稳定，推进基层民主、促进农村和谐的重大任务。双河镇党委、政府重点履行以下职能：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（1）镇党委主要职责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积极宣传、贯彻执行党的路线、方针、政策，负责领导本地区的工作，支持和保护行政组织、经济组织和群众自治组织充分行使职权；领导制定本镇的经济和社会发展规划并组织协调督促各部门贯彻实施，切实保证各项计划、目标的完成；负责镇领导班子的自身建设和对干部进行选拔、培养、使用、考核、监督工作；负责抓好党员的发展、教育、管理；严肃党纪，端正党风，抓好党的组织建设、作风建设、制度建设和思想建设；加强对村支部、镇企业支部、村民委员会的领导、监督和检查工作，充分发挥他们的作用；负责本地区的社会治安综合治理、精神文明建设、廉政工作和政治思想工作；负责本地区社会主义民主法制建设；负责对镇共青团、妇联和民兵工作的领导；协助管理上级有关部门驻镇干部；完成县委交办的其它工作。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（2）镇人大主席团主要职责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检查、督促宪法、法律、法规及本级和上级人民代表大会决议、决定在本镇遵守、执行；在职权范围内通过和发布决议；健全和完善镇人民代表大会制度，使人大工作逐步实现制度化、规范化、法制化；充分行使镇人民代表大会的职权，听取和审议本级政府社会经济工作情况的报告，并监督本级人民政府工作；决定本行政区域内的经济、文化、公共事业的建设计划；负责组织人大代表开展对镇政府的评议，检查监督本级政府及相关单位办理本级人民代表提出的建议、批评和意见；受理个别职务、人民代表的辞职和任免；主持选举人民代表，决定召开人民代表大会；完成本级人民代表大会和上级人大交办的其它工作。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（3）镇政府主要职责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（4）镇纪委主要职责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协助党委对全镇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镇领导干部廉洁自律工作，对选拔任用党政领导干部工作实行检查监督；完成党委和上级纪委、监察局交办的其它工作。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（5）镇人民武装部主要职责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2．本单位本年度纳入本套决算编制范围的独立编制机构数共 7 个，与上年一样，独立核算机构数共 1 个，比上年增加 0 个。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3.本单位本年度年末实有人数为 48 人；年末实有离退休人数为15人，比上年增加2人；年末实有其他人数为0 人。</w:t>
      </w:r>
    </w:p>
    <w:p/>
    <w:p>
      <w:pPr>
        <w:pStyle w:val="6"/>
        <w:rPr>
          <w:rFonts w:ascii="黑体" w:hAnsi="黑体" w:eastAsia="黑体"/>
          <w:b w:val="0"/>
        </w:rPr>
      </w:pPr>
      <w:r>
        <w:rPr>
          <w:rFonts w:hint="eastAsia" w:ascii="黑体" w:hAnsi="黑体" w:eastAsia="黑体"/>
          <w:b w:val="0"/>
        </w:rPr>
        <w:t>二、机构设置</w:t>
      </w:r>
    </w:p>
    <w:bookmarkEnd w:id="14"/>
    <w:bookmarkEnd w:id="15"/>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 xml:space="preserve">四川省阿坝州九寨沟县双河镇人民政府下属二级单位 2 个，其中行政单位1 个，参照公务员法管理的事业单位 1 个纳入四川省阿坝州九寨沟县双河镇人民政府 2024 年度部门决算编制范围的二级预算单位包括： </w:t>
      </w:r>
    </w:p>
    <w:p>
      <w:pPr>
        <w:spacing w:line="600" w:lineRule="exact"/>
        <w:ind w:firstLine="640" w:firstLineChars="200"/>
        <w:rPr>
          <w:rFonts w:hint="eastAsia" w:ascii="仿宋" w:hAnsi="仿宋" w:eastAsia="仿宋"/>
          <w:sz w:val="32"/>
          <w:szCs w:val="32"/>
        </w:rPr>
      </w:pPr>
      <w:r>
        <w:rPr>
          <w:rFonts w:hint="default" w:ascii="仿宋" w:hAnsi="仿宋" w:eastAsia="仿宋"/>
          <w:sz w:val="32"/>
          <w:szCs w:val="32"/>
          <w:lang w:val="en-US" w:eastAsia="zh-CN"/>
        </w:rPr>
        <w:t xml:space="preserve">1. </w:t>
      </w:r>
      <w:r>
        <w:rPr>
          <w:rFonts w:hint="eastAsia" w:ascii="仿宋" w:hAnsi="仿宋" w:eastAsia="仿宋"/>
          <w:sz w:val="32"/>
          <w:szCs w:val="32"/>
          <w:lang w:val="en-US" w:eastAsia="zh-CN"/>
        </w:rPr>
        <w:t xml:space="preserve">县双河镇便民服务中心（挂九寨沟县双河镇退役军人服务站、县双河镇农民工服务中心牌子） </w:t>
      </w:r>
    </w:p>
    <w:p>
      <w:pPr>
        <w:spacing w:line="600" w:lineRule="exact"/>
        <w:ind w:firstLine="640" w:firstLineChars="200"/>
        <w:rPr>
          <w:rFonts w:hint="eastAsia" w:ascii="仿宋" w:hAnsi="仿宋" w:eastAsia="仿宋"/>
          <w:sz w:val="32"/>
          <w:szCs w:val="32"/>
        </w:rPr>
      </w:pPr>
      <w:r>
        <w:rPr>
          <w:rFonts w:hint="default" w:ascii="仿宋" w:hAnsi="仿宋" w:eastAsia="仿宋"/>
          <w:sz w:val="32"/>
          <w:szCs w:val="32"/>
          <w:lang w:val="en-US" w:eastAsia="zh-CN"/>
        </w:rPr>
        <w:t xml:space="preserve">2. </w:t>
      </w:r>
      <w:r>
        <w:rPr>
          <w:rFonts w:hint="eastAsia" w:ascii="仿宋" w:hAnsi="仿宋" w:eastAsia="仿宋"/>
          <w:sz w:val="32"/>
          <w:szCs w:val="32"/>
          <w:lang w:val="en-US" w:eastAsia="zh-CN"/>
        </w:rPr>
        <w:t xml:space="preserve">县双河镇党群服务中心 </w:t>
      </w:r>
    </w:p>
    <w:p>
      <w:pPr>
        <w:spacing w:line="600" w:lineRule="exact"/>
        <w:ind w:firstLine="640" w:firstLineChars="200"/>
        <w:rPr>
          <w:rFonts w:hint="eastAsia" w:ascii="仿宋" w:hAnsi="仿宋" w:eastAsia="仿宋"/>
          <w:sz w:val="32"/>
          <w:szCs w:val="32"/>
        </w:rPr>
      </w:pPr>
      <w:r>
        <w:rPr>
          <w:rFonts w:hint="default" w:ascii="仿宋" w:hAnsi="仿宋" w:eastAsia="仿宋"/>
          <w:sz w:val="32"/>
          <w:szCs w:val="32"/>
          <w:lang w:val="en-US" w:eastAsia="zh-CN"/>
        </w:rPr>
        <w:t xml:space="preserve">3. </w:t>
      </w:r>
      <w:r>
        <w:rPr>
          <w:rFonts w:hint="eastAsia" w:ascii="仿宋" w:hAnsi="仿宋" w:eastAsia="仿宋"/>
          <w:sz w:val="32"/>
          <w:szCs w:val="32"/>
          <w:lang w:val="en-US" w:eastAsia="zh-CN"/>
        </w:rPr>
        <w:t xml:space="preserve">县双河镇文化旅游服务中心 </w:t>
      </w:r>
    </w:p>
    <w:p>
      <w:pPr>
        <w:spacing w:line="600" w:lineRule="exact"/>
        <w:ind w:firstLine="640" w:firstLineChars="200"/>
        <w:rPr>
          <w:rFonts w:hint="eastAsia" w:ascii="仿宋" w:hAnsi="仿宋" w:eastAsia="仿宋"/>
          <w:sz w:val="32"/>
          <w:szCs w:val="32"/>
        </w:rPr>
      </w:pPr>
      <w:r>
        <w:rPr>
          <w:rFonts w:hint="default" w:ascii="仿宋" w:hAnsi="仿宋" w:eastAsia="仿宋"/>
          <w:sz w:val="32"/>
          <w:szCs w:val="32"/>
          <w:lang w:val="en-US" w:eastAsia="zh-CN"/>
        </w:rPr>
        <w:t xml:space="preserve">4. </w:t>
      </w:r>
      <w:r>
        <w:rPr>
          <w:rFonts w:hint="eastAsia" w:ascii="仿宋" w:hAnsi="仿宋" w:eastAsia="仿宋"/>
          <w:sz w:val="32"/>
          <w:szCs w:val="32"/>
          <w:lang w:val="en-US" w:eastAsia="zh-CN"/>
        </w:rPr>
        <w:t>县双河镇农业农村服务中心</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br w:type="page"/>
      </w:r>
    </w:p>
    <w:p>
      <w:pPr>
        <w:pStyle w:val="5"/>
        <w:ind w:right="440"/>
        <w:jc w:val="center"/>
        <w:rPr>
          <w:rStyle w:val="28"/>
          <w:rFonts w:ascii="黑体" w:hAnsi="黑体" w:eastAsia="黑体"/>
          <w:b w:val="0"/>
          <w:bCs/>
        </w:rPr>
      </w:pPr>
      <w:bookmarkStart w:id="16" w:name="_Toc15377204"/>
      <w:bookmarkStart w:id="17" w:name="_Toc15396602"/>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8"/>
          <w:rFonts w:hint="eastAsia" w:ascii="黑体" w:hAnsi="黑体" w:eastAsia="黑体"/>
          <w:b w:val="0"/>
          <w:bCs/>
        </w:rPr>
        <w:t>单位决算情况说明</w:t>
      </w:r>
      <w:bookmarkEnd w:id="16"/>
      <w:bookmarkEnd w:id="17"/>
    </w:p>
    <w:p/>
    <w:p>
      <w:pPr>
        <w:pStyle w:val="27"/>
        <w:numPr>
          <w:ilvl w:val="0"/>
          <w:numId w:val="2"/>
        </w:numPr>
        <w:spacing w:line="600" w:lineRule="exact"/>
        <w:ind w:firstLineChars="0"/>
        <w:outlineLvl w:val="1"/>
        <w:rPr>
          <w:rStyle w:val="29"/>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sz w:val="32"/>
          <w:szCs w:val="32"/>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336.27</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仿宋" w:hAnsi="仿宋" w:eastAsia="仿宋"/>
          <w:sz w:val="32"/>
          <w:szCs w:val="32"/>
        </w:rPr>
        <w:t>收、支总计各减少</w:t>
      </w:r>
      <w:r>
        <w:rPr>
          <w:rFonts w:hint="eastAsia" w:ascii="仿宋" w:hAnsi="仿宋" w:eastAsia="仿宋"/>
          <w:sz w:val="32"/>
          <w:szCs w:val="32"/>
          <w:lang w:val="en-US" w:eastAsia="zh-CN"/>
        </w:rPr>
        <w:t>24.66</w:t>
      </w:r>
      <w:r>
        <w:rPr>
          <w:rFonts w:hint="eastAsia" w:ascii="仿宋" w:hAnsi="仿宋" w:eastAsia="仿宋"/>
          <w:sz w:val="32"/>
          <w:szCs w:val="32"/>
        </w:rPr>
        <w:t>万元，下降</w:t>
      </w:r>
      <w:r>
        <w:rPr>
          <w:rFonts w:hint="eastAsia" w:ascii="仿宋" w:hAnsi="仿宋" w:eastAsia="仿宋"/>
          <w:sz w:val="32"/>
          <w:szCs w:val="32"/>
          <w:lang w:val="en-US" w:eastAsia="zh-CN"/>
        </w:rPr>
        <w:t>6.83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人员减少</w:t>
      </w:r>
      <w:r>
        <w:rPr>
          <w:rFonts w:hint="eastAsia" w:ascii="仿宋" w:hAnsi="仿宋" w:eastAsia="仿宋"/>
          <w:sz w:val="32"/>
          <w:szCs w:val="32"/>
        </w:rPr>
        <w:t>。</w:t>
      </w:r>
    </w:p>
    <w:p>
      <w:pPr>
        <w:pStyle w:val="27"/>
        <w:numPr>
          <w:ilvl w:val="0"/>
          <w:numId w:val="2"/>
        </w:numPr>
        <w:spacing w:line="600" w:lineRule="exact"/>
        <w:ind w:firstLineChars="0"/>
        <w:outlineLvl w:val="1"/>
        <w:rPr>
          <w:rStyle w:val="29"/>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2024年度本年收入合计295.64万元，其中：一般公共预算财政拨款收入295.64万元，占100%；政府性基金预算财政拨款收入0万元，占0%%；国有资本经营预算财政拨款收入0万元，占0%；上级补助收入0万元，占0%；事业收入0万元，占0%；经营收入0万元，占0%；附属单位上缴收入0万元，占0%；其他收入0万元，占0%。</w:t>
      </w:r>
    </w:p>
    <w:p>
      <w:pPr>
        <w:pStyle w:val="27"/>
        <w:numPr>
          <w:ilvl w:val="0"/>
          <w:numId w:val="2"/>
        </w:numPr>
        <w:spacing w:line="600" w:lineRule="exact"/>
        <w:ind w:firstLineChars="0"/>
        <w:outlineLvl w:val="1"/>
        <w:rPr>
          <w:rStyle w:val="29"/>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pPr>
        <w:spacing w:line="600" w:lineRule="exact"/>
        <w:ind w:firstLine="640" w:firstLineChars="200"/>
        <w:outlineLvl w:val="1"/>
        <w:rPr>
          <w:rFonts w:hint="eastAsia" w:ascii="仿宋_GB2312" w:hAnsi="仿宋_GB2312" w:eastAsia="仿宋_GB2312" w:cs="仿宋_GB2312"/>
          <w:color w:val="auto"/>
          <w:sz w:val="32"/>
          <w:szCs w:val="32"/>
          <w:highlight w:val="none"/>
          <w:lang w:eastAsia="zh-CN"/>
        </w:rPr>
      </w:pPr>
      <w:bookmarkStart w:id="24" w:name="_Toc15396606"/>
      <w:bookmarkStart w:id="25" w:name="_Toc15377208"/>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295.64万元，其中：一般公共预算财政拨款收入295.64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spacing w:line="600" w:lineRule="exact"/>
        <w:ind w:firstLine="640" w:firstLineChars="200"/>
        <w:outlineLvl w:val="1"/>
        <w:rPr>
          <w:rStyle w:val="29"/>
          <w:rFonts w:ascii="黑体" w:hAnsi="黑体" w:eastAsia="黑体"/>
          <w:b w:val="0"/>
        </w:rPr>
      </w:pPr>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pPr>
        <w:spacing w:line="600" w:lineRule="exact"/>
        <w:ind w:firstLine="640" w:firstLineChars="200"/>
        <w:rPr>
          <w:rFonts w:ascii="仿宋" w:hAnsi="仿宋" w:eastAsia="仿宋"/>
          <w:sz w:val="32"/>
          <w:szCs w:val="32"/>
        </w:rPr>
      </w:pPr>
      <w:bookmarkStart w:id="26" w:name="_Toc15396607"/>
      <w:bookmarkStart w:id="27" w:name="_Toc15377209"/>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336.27</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万元。与2023年度相比，财政拨款收入总计、支出总计各增加/减少</w:t>
      </w:r>
      <w:r>
        <w:rPr>
          <w:rFonts w:hint="eastAsia" w:eastAsia="仿宋_GB2312" w:cs="仿宋_GB2312"/>
          <w:color w:val="auto"/>
          <w:kern w:val="2"/>
          <w:sz w:val="32"/>
          <w:szCs w:val="32"/>
          <w:highlight w:val="none"/>
          <w:lang w:val="en-US" w:eastAsia="zh-CN" w:bidi="ar-SA"/>
        </w:rPr>
        <w:t>24.66</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6.83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人员减少</w:t>
      </w:r>
      <w:r>
        <w:rPr>
          <w:rFonts w:hint="eastAsia" w:ascii="仿宋" w:hAnsi="仿宋" w:eastAsia="仿宋"/>
          <w:sz w:val="32"/>
          <w:szCs w:val="32"/>
        </w:rPr>
        <w:t>。</w:t>
      </w:r>
    </w:p>
    <w:p>
      <w:pPr>
        <w:spacing w:line="600" w:lineRule="exact"/>
        <w:ind w:firstLine="320" w:firstLineChars="100"/>
        <w:outlineLvl w:val="1"/>
        <w:rPr>
          <w:rStyle w:val="29"/>
          <w:rFonts w:ascii="黑体" w:hAnsi="黑体" w:eastAsia="黑体"/>
          <w:b w:val="0"/>
        </w:rPr>
      </w:pPr>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pPr>
        <w:spacing w:line="600" w:lineRule="exact"/>
        <w:ind w:firstLine="640"/>
        <w:rPr>
          <w:rFonts w:hint="eastAsia" w:ascii="仿宋" w:hAnsi="仿宋" w:eastAsia="仿宋"/>
          <w:sz w:val="32"/>
          <w:szCs w:val="32"/>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336.27</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%。与2023年度相比，一般公共预算财政拨款支出增加/减少24.66万元，增长/下降6.83%。</w:t>
      </w:r>
      <w:r>
        <w:rPr>
          <w:rFonts w:hint="eastAsia" w:ascii="仿宋" w:hAnsi="仿宋" w:eastAsia="仿宋"/>
          <w:sz w:val="32"/>
          <w:szCs w:val="32"/>
        </w:rPr>
        <w:t>主要变动原因是</w:t>
      </w:r>
      <w:r>
        <w:rPr>
          <w:rFonts w:hint="eastAsia" w:ascii="仿宋" w:hAnsi="仿宋" w:eastAsia="仿宋"/>
          <w:sz w:val="32"/>
          <w:szCs w:val="32"/>
          <w:lang w:val="en-US" w:eastAsia="zh-CN"/>
        </w:rPr>
        <w:t>人员减少。</w:t>
      </w:r>
    </w:p>
    <w:p>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pPr>
        <w:spacing w:line="600" w:lineRule="exact"/>
        <w:ind w:firstLine="640"/>
        <w:rPr>
          <w:rFonts w:ascii="仿宋" w:hAnsi="仿宋" w:eastAsia="仿宋"/>
          <w:b/>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336.27</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 w:hAnsi="仿宋" w:eastAsia="仿宋"/>
          <w:sz w:val="32"/>
          <w:szCs w:val="32"/>
        </w:rPr>
        <w:t>，主要用于以下方面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238.68</w:t>
      </w:r>
      <w:r>
        <w:rPr>
          <w:rFonts w:hint="eastAsia" w:ascii="仿宋" w:hAnsi="仿宋" w:eastAsia="仿宋"/>
          <w:sz w:val="32"/>
          <w:szCs w:val="32"/>
        </w:rPr>
        <w:t>万元，占</w:t>
      </w:r>
      <w:r>
        <w:rPr>
          <w:rFonts w:hint="eastAsia" w:ascii="仿宋" w:hAnsi="仿宋" w:eastAsia="仿宋"/>
          <w:sz w:val="32"/>
          <w:szCs w:val="32"/>
          <w:lang w:val="en-US" w:eastAsia="zh-CN"/>
        </w:rPr>
        <w:t>70.98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50.71</w:t>
      </w:r>
      <w:r>
        <w:rPr>
          <w:rFonts w:hint="eastAsia" w:ascii="仿宋" w:hAnsi="仿宋" w:eastAsia="仿宋"/>
          <w:sz w:val="32"/>
          <w:szCs w:val="32"/>
        </w:rPr>
        <w:t>万元，占</w:t>
      </w:r>
      <w:r>
        <w:rPr>
          <w:rFonts w:hint="eastAsia" w:ascii="仿宋" w:hAnsi="仿宋" w:eastAsia="仿宋"/>
          <w:sz w:val="32"/>
          <w:szCs w:val="32"/>
          <w:lang w:val="en-US" w:eastAsia="zh-CN"/>
        </w:rPr>
        <w:t>15.08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20.23</w:t>
      </w:r>
      <w:r>
        <w:rPr>
          <w:rFonts w:hint="eastAsia" w:ascii="仿宋" w:hAnsi="仿宋" w:eastAsia="仿宋"/>
          <w:sz w:val="32"/>
          <w:szCs w:val="32"/>
        </w:rPr>
        <w:t>万元，占</w:t>
      </w:r>
      <w:r>
        <w:rPr>
          <w:rFonts w:hint="eastAsia" w:ascii="仿宋" w:hAnsi="仿宋" w:eastAsia="仿宋"/>
          <w:sz w:val="32"/>
          <w:szCs w:val="32"/>
          <w:lang w:val="en-US" w:eastAsia="zh-CN"/>
        </w:rPr>
        <w:t>6.02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26.65</w:t>
      </w:r>
      <w:r>
        <w:rPr>
          <w:rFonts w:hint="eastAsia" w:ascii="仿宋" w:hAnsi="仿宋" w:eastAsia="仿宋"/>
          <w:sz w:val="32"/>
          <w:szCs w:val="32"/>
        </w:rPr>
        <w:t>万元，占</w:t>
      </w:r>
      <w:r>
        <w:rPr>
          <w:rFonts w:hint="eastAsia" w:ascii="仿宋" w:hAnsi="仿宋" w:eastAsia="仿宋"/>
          <w:sz w:val="32"/>
          <w:szCs w:val="32"/>
          <w:lang w:val="en-US" w:eastAsia="zh-CN"/>
        </w:rPr>
        <w:t>7.93</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w:t>
      </w:r>
      <w:bookmarkStart w:id="30" w:name="_Toc15377212"/>
      <w:r>
        <w:rPr>
          <w:rFonts w:hint="eastAsia" w:ascii="仿宋" w:hAnsi="仿宋" w:eastAsia="仿宋"/>
          <w:b/>
          <w:sz w:val="32"/>
          <w:szCs w:val="32"/>
        </w:rPr>
        <w:t>（三）一般公共预算财政拨款支出决算具体情况</w:t>
      </w:r>
      <w:bookmarkEnd w:id="30"/>
    </w:p>
    <w:p>
      <w:pPr>
        <w:spacing w:line="600" w:lineRule="exact"/>
        <w:ind w:firstLine="643" w:firstLineChars="200"/>
        <w:outlineLvl w:val="2"/>
        <w:rPr>
          <w:rFonts w:ascii="仿宋" w:hAnsi="仿宋" w:eastAsia="仿宋"/>
          <w:sz w:val="32"/>
          <w:szCs w:val="32"/>
        </w:rPr>
      </w:pPr>
      <w:bookmarkStart w:id="31" w:name="_Toc15377213"/>
      <w:bookmarkStart w:id="32" w:name="_Toc15377444"/>
      <w:bookmarkStart w:id="33" w:name="_Toc15378460"/>
      <w:r>
        <w:rPr>
          <w:rFonts w:hint="eastAsia" w:ascii="仿宋" w:hAnsi="仿宋" w:eastAsia="仿宋"/>
          <w:b/>
          <w:sz w:val="32"/>
          <w:szCs w:val="32"/>
          <w:lang w:val="en-US" w:eastAsia="zh-CN"/>
        </w:rPr>
        <w:t>2024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336.27</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一般公共服务（类）</w:t>
      </w:r>
      <w:r>
        <w:rPr>
          <w:rStyle w:val="17"/>
          <w:rFonts w:hint="eastAsia" w:ascii="仿宋" w:hAnsi="仿宋" w:eastAsia="仿宋"/>
          <w:bCs/>
          <w:sz w:val="32"/>
          <w:szCs w:val="32"/>
          <w:lang w:val="en-US" w:eastAsia="zh-CN"/>
        </w:rPr>
        <w:t>一般公共服务支出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政府办公厅（室）及相关机构事务</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238.68</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2</w:t>
      </w:r>
      <w:r>
        <w:rPr>
          <w:rStyle w:val="17"/>
          <w:rFonts w:ascii="仿宋" w:hAnsi="仿宋" w:eastAsia="仿宋"/>
          <w:bCs/>
          <w:sz w:val="32"/>
          <w:szCs w:val="32"/>
        </w:rPr>
        <w:t>.</w:t>
      </w:r>
      <w:r>
        <w:rPr>
          <w:rStyle w:val="17"/>
          <w:rFonts w:hint="eastAsia" w:ascii="仿宋" w:hAnsi="仿宋" w:eastAsia="仿宋"/>
          <w:bCs/>
          <w:sz w:val="32"/>
          <w:szCs w:val="32"/>
        </w:rPr>
        <w:t>社会保障和就业（类）</w:t>
      </w:r>
      <w:r>
        <w:rPr>
          <w:rStyle w:val="17"/>
          <w:rFonts w:hint="eastAsia" w:ascii="仿宋" w:hAnsi="仿宋" w:eastAsia="仿宋"/>
          <w:bCs/>
          <w:sz w:val="32"/>
          <w:szCs w:val="32"/>
          <w:lang w:val="en-US" w:eastAsia="zh-CN"/>
        </w:rPr>
        <w:t>社会保障和就业支出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人力资源和社会保障管理事务</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50.71</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sz w:val="32"/>
          <w:szCs w:val="32"/>
        </w:rPr>
      </w:pPr>
      <w:r>
        <w:rPr>
          <w:rStyle w:val="17"/>
          <w:rFonts w:ascii="仿宋" w:hAnsi="仿宋" w:eastAsia="仿宋"/>
          <w:bCs/>
          <w:sz w:val="32"/>
          <w:szCs w:val="32"/>
        </w:rPr>
        <w:t>6.</w:t>
      </w:r>
      <w:r>
        <w:rPr>
          <w:rFonts w:hint="eastAsia" w:ascii="仿宋" w:hAnsi="仿宋" w:eastAsia="仿宋"/>
          <w:b/>
          <w:bCs/>
          <w:sz w:val="32"/>
          <w:szCs w:val="32"/>
        </w:rPr>
        <w:t>卫生健康</w:t>
      </w:r>
      <w:r>
        <w:rPr>
          <w:rStyle w:val="17"/>
          <w:rFonts w:hint="eastAsia" w:ascii="仿宋" w:hAnsi="仿宋" w:eastAsia="仿宋"/>
          <w:bCs/>
          <w:sz w:val="32"/>
          <w:szCs w:val="32"/>
        </w:rPr>
        <w:t>（类）</w:t>
      </w:r>
      <w:r>
        <w:rPr>
          <w:rStyle w:val="17"/>
          <w:rFonts w:hint="eastAsia" w:ascii="仿宋" w:hAnsi="仿宋" w:eastAsia="仿宋"/>
          <w:bCs/>
          <w:sz w:val="32"/>
          <w:szCs w:val="32"/>
          <w:lang w:val="en-US" w:eastAsia="zh-CN"/>
        </w:rPr>
        <w:t>卫生健康支出</w:t>
      </w:r>
      <w:r>
        <w:rPr>
          <w:rStyle w:val="17"/>
          <w:rFonts w:hint="eastAsia" w:ascii="仿宋" w:hAnsi="仿宋" w:eastAsia="仿宋"/>
          <w:bCs/>
          <w:sz w:val="32"/>
          <w:szCs w:val="32"/>
        </w:rPr>
        <w:t>（款）</w:t>
      </w:r>
      <w:r>
        <w:rPr>
          <w:rStyle w:val="17"/>
          <w:rFonts w:hint="eastAsia" w:ascii="仿宋" w:hAnsi="仿宋" w:eastAsia="仿宋"/>
          <w:bCs/>
          <w:sz w:val="32"/>
          <w:szCs w:val="32"/>
          <w:lang w:val="en-US" w:eastAsia="zh-CN"/>
        </w:rPr>
        <w:t>行政事业单位医疗</w:t>
      </w:r>
      <w:r>
        <w:rPr>
          <w:rStyle w:val="17"/>
          <w:rFonts w:hint="eastAsia" w:ascii="仿宋" w:hAnsi="仿宋" w:eastAsia="仿宋"/>
          <w:bCs/>
          <w:sz w:val="32"/>
          <w:szCs w:val="32"/>
        </w:rPr>
        <w:t>（项）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20.23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pStyle w:val="19"/>
        <w:ind w:firstLine="643" w:firstLineChars="200"/>
      </w:pPr>
      <w:r>
        <w:rPr>
          <w:rFonts w:hint="eastAsia" w:ascii="仿宋" w:hAnsi="仿宋" w:eastAsia="仿宋"/>
          <w:b/>
          <w:bCs/>
          <w:sz w:val="32"/>
          <w:szCs w:val="32"/>
          <w:lang w:val="en-US" w:eastAsia="zh-CN"/>
        </w:rPr>
        <w:t>7.住房保障</w:t>
      </w:r>
      <w:r>
        <w:rPr>
          <w:rStyle w:val="17"/>
          <w:rFonts w:hint="eastAsia" w:ascii="仿宋" w:hAnsi="仿宋" w:eastAsia="仿宋"/>
          <w:b/>
          <w:bCs/>
          <w:sz w:val="32"/>
          <w:szCs w:val="32"/>
        </w:rPr>
        <w:t>（类）</w:t>
      </w:r>
      <w:r>
        <w:rPr>
          <w:rStyle w:val="17"/>
          <w:rFonts w:hint="eastAsia" w:ascii="仿宋" w:hAnsi="仿宋" w:eastAsia="仿宋"/>
          <w:b/>
          <w:bCs/>
          <w:sz w:val="32"/>
          <w:szCs w:val="32"/>
          <w:lang w:val="en-US" w:eastAsia="zh-CN"/>
        </w:rPr>
        <w:t>住房保障支出</w:t>
      </w:r>
      <w:r>
        <w:rPr>
          <w:rStyle w:val="17"/>
          <w:rFonts w:hint="eastAsia" w:ascii="仿宋" w:hAnsi="仿宋" w:eastAsia="仿宋"/>
          <w:b/>
          <w:bCs/>
          <w:sz w:val="32"/>
          <w:szCs w:val="32"/>
        </w:rPr>
        <w:t>（款）</w:t>
      </w:r>
      <w:r>
        <w:rPr>
          <w:rStyle w:val="17"/>
          <w:rFonts w:hint="eastAsia" w:ascii="仿宋" w:hAnsi="仿宋" w:eastAsia="仿宋"/>
          <w:b/>
          <w:bCs/>
          <w:sz w:val="32"/>
          <w:szCs w:val="32"/>
          <w:lang w:val="en-US" w:eastAsia="zh-CN"/>
        </w:rPr>
        <w:t>住房改革支出</w:t>
      </w:r>
      <w:r>
        <w:rPr>
          <w:rStyle w:val="17"/>
          <w:rFonts w:hint="eastAsia" w:ascii="仿宋" w:hAnsi="仿宋" w:eastAsia="仿宋"/>
          <w:b/>
          <w:bCs/>
          <w:sz w:val="32"/>
          <w:szCs w:val="32"/>
        </w:rPr>
        <w:t>（项）</w:t>
      </w:r>
      <w:r>
        <w:rPr>
          <w:rStyle w:val="17"/>
          <w:rFonts w:ascii="仿宋" w:hAnsi="仿宋" w:eastAsia="仿宋"/>
          <w:b/>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26.65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tabs>
          <w:tab w:val="right" w:pos="8306"/>
        </w:tabs>
        <w:spacing w:line="600" w:lineRule="exact"/>
        <w:ind w:firstLine="640"/>
        <w:outlineLvl w:val="1"/>
        <w:rPr>
          <w:rStyle w:val="29"/>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6" w:name="_Toc15377215"/>
      <w:bookmarkStart w:id="37" w:name="_Toc15396609"/>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336.27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322.05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14.22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ascii="仿宋" w:hAnsi="仿宋" w:eastAsia="仿宋"/>
          <w:b/>
          <w:sz w:val="32"/>
          <w:szCs w:val="32"/>
        </w:rPr>
        <w:t>0</w:t>
      </w:r>
      <w:r>
        <w:rPr>
          <w:rFonts w:hint="eastAsia" w:ascii="仿宋" w:hAnsi="仿宋" w:eastAsia="仿宋"/>
          <w:sz w:val="32"/>
          <w:szCs w:val="32"/>
        </w:rPr>
        <w:t>万元，完成预算</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，较上年度增加/减少</w:t>
      </w:r>
      <w:r>
        <w:rPr>
          <w:rFonts w:hint="eastAsia" w:ascii="仿宋" w:hAnsi="仿宋" w:eastAsia="仿宋"/>
          <w:sz w:val="32"/>
          <w:szCs w:val="32"/>
          <w:lang w:val="en-US" w:eastAsia="zh-CN"/>
        </w:rPr>
        <w:t>0</w:t>
      </w:r>
      <w:r>
        <w:rPr>
          <w:rFonts w:hint="eastAsia" w:ascii="仿宋" w:hAnsi="仿宋" w:eastAsia="仿宋"/>
          <w:sz w:val="32"/>
          <w:szCs w:val="32"/>
        </w:rPr>
        <w:t>万元，增长/下降</w:t>
      </w:r>
      <w:r>
        <w:rPr>
          <w:rFonts w:hint="eastAsia" w:ascii="仿宋" w:hAnsi="仿宋" w:eastAsia="仿宋"/>
          <w:sz w:val="32"/>
          <w:szCs w:val="32"/>
          <w:lang w:val="en-US" w:eastAsia="zh-CN"/>
        </w:rPr>
        <w:t>0</w:t>
      </w:r>
      <w:r>
        <w:rPr>
          <w:rFonts w:hint="eastAsia" w:ascii="仿宋" w:hAnsi="仿宋" w:eastAsia="仿宋"/>
          <w:sz w:val="32"/>
          <w:szCs w:val="32"/>
        </w:rPr>
        <w:t>%。决算数小于预算数（或与预算数持平）的主要原因是</w:t>
      </w:r>
      <w:r>
        <w:rPr>
          <w:rFonts w:hint="eastAsia" w:ascii="仿宋" w:hAnsi="仿宋" w:eastAsia="仿宋"/>
          <w:sz w:val="32"/>
          <w:szCs w:val="32"/>
          <w:lang w:val="en-US" w:eastAsia="zh-CN"/>
        </w:rPr>
        <w:t>没有变化</w:t>
      </w:r>
      <w:r>
        <w:rPr>
          <w:rFonts w:hint="eastAsia" w:ascii="仿宋" w:hAnsi="仿宋" w:eastAsia="仿宋"/>
          <w:sz w:val="32"/>
          <w:szCs w:val="32"/>
        </w:rPr>
        <w:t>。</w:t>
      </w:r>
    </w:p>
    <w:p>
      <w:pPr>
        <w:spacing w:line="600" w:lineRule="exact"/>
        <w:ind w:firstLine="321" w:firstLineChars="10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bookmarkStart w:id="40" w:name="_Toc15396610"/>
      <w:bookmarkStart w:id="41" w:name="_Toc15377218"/>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没有因公出国出境</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 w:val="0"/>
          <w:bCs/>
          <w:sz w:val="32"/>
          <w:szCs w:val="32"/>
        </w:rPr>
        <w:t>0%</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w:t>
      </w:r>
    </w:p>
    <w:p>
      <w:pPr>
        <w:spacing w:line="600" w:lineRule="exact"/>
        <w:ind w:firstLine="640"/>
        <w:rPr>
          <w:rFonts w:hint="eastAsia" w:ascii="仿宋_GB2312" w:eastAsia="仿宋_GB2312"/>
          <w:sz w:val="32"/>
          <w:szCs w:val="32"/>
          <w:lang w:eastAsia="zh-CN"/>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p>
    <w:p>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3"/>
        </w:numPr>
        <w:spacing w:line="600" w:lineRule="exact"/>
        <w:ind w:firstLine="640"/>
        <w:outlineLvl w:val="1"/>
        <w:rPr>
          <w:rStyle w:val="29"/>
          <w:rFonts w:ascii="黑体" w:hAnsi="黑体" w:eastAsia="黑体"/>
          <w:b w:val="0"/>
        </w:rPr>
      </w:pPr>
      <w:bookmarkStart w:id="42" w:name="_Toc15396611"/>
      <w:bookmarkStart w:id="43" w:name="_Toc15377219"/>
      <w:r>
        <w:rPr>
          <w:rStyle w:val="29"/>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3"/>
        </w:numPr>
        <w:spacing w:line="600" w:lineRule="exact"/>
        <w:ind w:firstLine="640"/>
        <w:outlineLvl w:val="1"/>
        <w:rPr>
          <w:rStyle w:val="29"/>
          <w:rFonts w:ascii="黑体" w:hAnsi="黑体" w:eastAsia="黑体"/>
          <w:b w:val="0"/>
        </w:rPr>
      </w:pPr>
      <w:bookmarkStart w:id="44" w:name="_Toc15377221"/>
      <w:bookmarkStart w:id="45" w:name="_Toc15396612"/>
      <w:r>
        <w:rPr>
          <w:rStyle w:val="29"/>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四川省阿坝州九寨沟县双河镇便民服务中心</w:t>
      </w:r>
      <w:r>
        <w:rPr>
          <w:rFonts w:hint="eastAsia" w:ascii="仿宋_GB2312" w:eastAsia="仿宋_GB2312"/>
          <w:sz w:val="32"/>
          <w:szCs w:val="32"/>
        </w:rPr>
        <w:t>机关运行经费支出</w:t>
      </w:r>
      <w:r>
        <w:rPr>
          <w:rFonts w:ascii="仿宋" w:hAnsi="仿宋" w:eastAsia="仿宋"/>
          <w:b/>
          <w:sz w:val="32"/>
          <w:szCs w:val="32"/>
        </w:rPr>
        <w:t>0</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（或与2022年度决算数持平）。</w:t>
      </w:r>
    </w:p>
    <w:p>
      <w:pPr>
        <w:autoSpaceDE w:val="0"/>
        <w:autoSpaceDN w:val="0"/>
        <w:adjustRightInd w:val="0"/>
        <w:spacing w:line="600" w:lineRule="exact"/>
        <w:ind w:firstLine="321" w:firstLineChars="1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四川省阿坝州九寨沟县双河镇便民服务中心</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w:t>
      </w:r>
      <w:r>
        <w:rPr>
          <w:rFonts w:hint="eastAsia" w:ascii="仿宋_GB2312" w:eastAsia="仿宋_GB2312"/>
          <w:sz w:val="32"/>
          <w:szCs w:val="32"/>
          <w:lang w:val="en-US" w:eastAsia="zh-CN"/>
        </w:rPr>
        <w:t>于</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四川省阿坝州九寨沟县双河镇便民服务中心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年度预算编制阶段，组织对</w:t>
      </w:r>
      <w:r>
        <w:rPr>
          <w:rFonts w:hint="eastAsia" w:ascii="仿宋_GB2312" w:eastAsia="仿宋_GB2312"/>
          <w:sz w:val="32"/>
          <w:szCs w:val="32"/>
          <w:lang w:val="en-US" w:eastAsia="zh-CN"/>
        </w:rPr>
        <w:t>0</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0</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0</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0</w:t>
      </w:r>
      <w:r>
        <w:rPr>
          <w:rFonts w:hint="eastAsia" w:ascii="仿宋_GB2312" w:eastAsia="仿宋_GB2312"/>
          <w:sz w:val="32"/>
          <w:szCs w:val="32"/>
        </w:rPr>
        <w:t>个项目开展绩效自评，绩效自评表详见第四部分附件。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pPr>
        <w:numPr>
          <w:ilvl w:val="0"/>
          <w:numId w:val="4"/>
        </w:numPr>
        <w:spacing w:line="600" w:lineRule="exact"/>
        <w:ind w:firstLine="660" w:firstLineChars="150"/>
        <w:jc w:val="center"/>
        <w:outlineLvl w:val="0"/>
        <w:rPr>
          <w:rStyle w:val="28"/>
          <w:rFonts w:ascii="黑体" w:hAnsi="黑体" w:eastAsia="黑体"/>
          <w:b w:val="0"/>
        </w:rPr>
      </w:pPr>
      <w:bookmarkStart w:id="49" w:name="_Toc15377225"/>
      <w:bookmarkStart w:id="50" w:name="_Toc15396613"/>
      <w:r>
        <w:rPr>
          <w:rFonts w:hint="eastAsia" w:ascii="黑体" w:hAnsi="黑体" w:eastAsia="黑体"/>
          <w:sz w:val="44"/>
          <w:szCs w:val="44"/>
        </w:rPr>
        <w:t>名</w:t>
      </w:r>
      <w:r>
        <w:rPr>
          <w:rStyle w:val="28"/>
          <w:rFonts w:hint="eastAsia" w:ascii="黑体" w:hAnsi="黑体" w:eastAsia="黑体"/>
          <w:b w:val="0"/>
        </w:rPr>
        <w:t>词解释</w:t>
      </w:r>
      <w:bookmarkEnd w:id="49"/>
      <w:bookmarkEnd w:id="50"/>
    </w:p>
    <w:p>
      <w:pPr>
        <w:spacing w:line="600" w:lineRule="exact"/>
        <w:jc w:val="left"/>
        <w:rPr>
          <w:rFonts w:ascii="宋体"/>
          <w:b/>
          <w:sz w:val="44"/>
          <w:szCs w:val="44"/>
        </w:rPr>
      </w:pP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5.使用非财政拨款结余（含专用结余）：指事业单位使用以前年度积累的非财政拨款结余弥补当年收支差额的金额。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6.年初结转和结余：指以前年度尚未完成、结转到本年按有关规定继续使用的资金。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7.结余分配：指事业单位按照会计制度规定缴纳的所得税、提取的专用结余以及转入非财政拨款结余的金额等。</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8.年末结转和结余：指单位按有关规定结转到下年或以后年度继续使用的资金。</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9.一般公共服务（201）政府办公厅（室）及相关机构事务（03）行政运行（01）：指单位正常运转的基本支出，包括基本工资、津贴补贴等人员经费以及办公费、印刷费、水电费等日常公用经费，保障正常运转。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10.社会保障和就业（208）行政事业单位养老支出（05）机关事业单位基本养老保险缴费支出（05）：指实施养老保险制度由单位缴纳的基本养老保险支出。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11.社会保障和就业（208）行政事业单位养老支出（05）机关事业单位职业年金缴费支出（06）：实施养老保险制度由单位缴纳的职业年金支出。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12.卫生健康（210）行政事业单位医疗（11）行政单位医疗（01）：指单位基本医疗保险缴费经费。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13.卫生健康（210）行政事业单位医疗（11）公务员医疗补助（03）：指便民服务中心单位集中缴纳公务员医疗补助支出。 </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14.住房保障（221）住房改革支出（02）住房公积金（01）：单位按规定为职工缴纳的住房公积金支出。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sz w:val="44"/>
          <w:szCs w:val="44"/>
        </w:rPr>
      </w:pPr>
      <w:bookmarkStart w:id="51" w:name="_Toc15396614"/>
      <w:bookmarkStart w:id="52" w:name="_Toc15377226"/>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Fonts w:hint="eastAsia" w:ascii="黑体" w:hAnsi="黑体" w:eastAsia="黑体"/>
          <w:sz w:val="44"/>
          <w:szCs w:val="44"/>
        </w:rPr>
      </w:pPr>
    </w:p>
    <w:p>
      <w:pPr>
        <w:spacing w:line="600" w:lineRule="exact"/>
        <w:jc w:val="center"/>
        <w:outlineLvl w:val="0"/>
        <w:rPr>
          <w:rStyle w:val="28"/>
          <w:rFonts w:ascii="黑体" w:hAnsi="黑体" w:eastAsia="黑体"/>
          <w:b w:val="0"/>
        </w:rPr>
      </w:pPr>
      <w:r>
        <w:rPr>
          <w:rFonts w:hint="eastAsia" w:ascii="黑体" w:hAnsi="黑体" w:eastAsia="黑体"/>
          <w:sz w:val="44"/>
          <w:szCs w:val="44"/>
        </w:rPr>
        <w:t>第</w:t>
      </w:r>
      <w:r>
        <w:rPr>
          <w:rStyle w:val="28"/>
          <w:rFonts w:hint="eastAsia" w:ascii="黑体" w:hAnsi="黑体" w:eastAsia="黑体"/>
          <w:b w:val="0"/>
        </w:rPr>
        <w:t>四部分 附件</w:t>
      </w:r>
      <w:bookmarkEnd w:id="51"/>
    </w:p>
    <w:p>
      <w:pPr>
        <w:spacing w:line="572" w:lineRule="exact"/>
        <w:jc w:val="left"/>
        <w:outlineLvl w:val="0"/>
        <w:rPr>
          <w:rFonts w:ascii="仿宋_GB2312" w:hAnsi="仿宋_GB2312" w:eastAsia="仿宋_GB2312" w:cs="仿宋_GB2312"/>
          <w:sz w:val="32"/>
          <w:szCs w:val="32"/>
        </w:rPr>
      </w:pPr>
    </w:p>
    <w:p>
      <w:pPr>
        <w:spacing w:line="600" w:lineRule="exact"/>
        <w:jc w:val="center"/>
        <w:outlineLvl w:val="0"/>
        <w:rPr>
          <w:rFonts w:ascii="黑体" w:hAnsi="黑体" w:eastAsia="黑体"/>
          <w:color w:val="FF0000"/>
          <w:sz w:val="44"/>
          <w:szCs w:val="44"/>
        </w:rPr>
      </w:pPr>
      <w:bookmarkStart w:id="53" w:name="_Toc15396618"/>
      <w:r>
        <w:rPr>
          <w:rFonts w:hint="eastAsia"/>
          <w:sz w:val="32"/>
          <w:szCs w:val="32"/>
        </w:rPr>
        <w:t>部门预算项目支出绩效自评表（202</w:t>
      </w:r>
      <w:r>
        <w:rPr>
          <w:rFonts w:hint="eastAsia"/>
          <w:sz w:val="32"/>
          <w:szCs w:val="32"/>
          <w:lang w:val="en-US" w:eastAsia="zh-CN"/>
        </w:rPr>
        <w:t>4</w:t>
      </w:r>
      <w:r>
        <w:rPr>
          <w:rFonts w:hint="eastAsia"/>
          <w:sz w:val="32"/>
          <w:szCs w:val="32"/>
        </w:rPr>
        <w:t>年度）</w:t>
      </w:r>
    </w:p>
    <w:p>
      <w:pPr>
        <w:pStyle w:val="3"/>
        <w:spacing w:line="560" w:lineRule="exact"/>
        <w:ind w:left="0" w:leftChars="0" w:firstLine="640"/>
        <w:rPr>
          <w:sz w:val="32"/>
        </w:rPr>
      </w:pPr>
    </w:p>
    <w:p>
      <w:pPr>
        <w:pStyle w:val="3"/>
        <w:spacing w:line="560" w:lineRule="exact"/>
        <w:ind w:left="0" w:leftChars="0" w:firstLine="640"/>
        <w:rPr>
          <w:rFonts w:hAnsi="Calibri" w:eastAsia="仿宋_GB2312" w:cs="仿宋"/>
          <w:sz w:val="32"/>
          <w:lang w:val="zh-CN"/>
        </w:rPr>
      </w:pPr>
      <w:r>
        <w:rPr>
          <w:rFonts w:hint="eastAsia" w:hAnsi="Calibri" w:eastAsia="仿宋_GB2312" w:cs="仿宋"/>
          <w:sz w:val="32"/>
        </w:rPr>
        <w:t>（备注：按照绩效自评工作安排，各单位可在预算管理一体化系统—综合报表查询—预算绩效报表模块中下载本单位“部门预算项目支出绩效自评表（202</w:t>
      </w:r>
      <w:r>
        <w:rPr>
          <w:rFonts w:hint="eastAsia" w:hAnsi="Calibri" w:eastAsia="仿宋_GB2312" w:cs="仿宋"/>
          <w:sz w:val="32"/>
          <w:lang w:val="en-US" w:eastAsia="zh-CN"/>
        </w:rPr>
        <w:t>4</w:t>
      </w:r>
      <w:bookmarkStart w:id="67" w:name="_GoBack"/>
      <w:bookmarkEnd w:id="67"/>
      <w:r>
        <w:rPr>
          <w:rFonts w:hint="eastAsia" w:hAnsi="Calibri" w:eastAsia="仿宋_GB2312" w:cs="仿宋"/>
          <w:sz w:val="32"/>
        </w:rPr>
        <w:t>年度）”，该表格应作为附件予以公开。）</w:t>
      </w: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pStyle w:val="8"/>
        <w:spacing w:before="93"/>
        <w:rPr>
          <w:rFonts w:hAnsi="Calibri" w:cs="仿宋"/>
          <w:sz w:val="32"/>
          <w:szCs w:val="32"/>
        </w:rPr>
      </w:pPr>
    </w:p>
    <w:p>
      <w:pPr>
        <w:numPr>
          <w:ilvl w:val="0"/>
          <w:numId w:val="4"/>
        </w:numPr>
        <w:spacing w:line="600" w:lineRule="exact"/>
        <w:ind w:left="0" w:leftChars="0" w:firstLine="660" w:firstLineChars="150"/>
        <w:jc w:val="center"/>
        <w:outlineLvl w:val="0"/>
        <w:rPr>
          <w:rStyle w:val="28"/>
          <w:rFonts w:hint="eastAsia" w:ascii="黑体" w:hAnsi="黑体" w:eastAsia="黑体"/>
          <w:b w:val="0"/>
        </w:rPr>
      </w:pPr>
      <w:r>
        <w:rPr>
          <w:rStyle w:val="28"/>
          <w:rFonts w:hint="eastAsia" w:ascii="黑体" w:hAnsi="黑体" w:eastAsia="黑体"/>
          <w:b w:val="0"/>
        </w:rPr>
        <w:t>附表</w:t>
      </w:r>
      <w:bookmarkEnd w:id="52"/>
      <w:bookmarkEnd w:id="53"/>
      <w:bookmarkStart w:id="54" w:name="_Toc15396619"/>
    </w:p>
    <w:p>
      <w:pPr>
        <w:numPr>
          <w:ilvl w:val="0"/>
          <w:numId w:val="5"/>
        </w:numPr>
        <w:spacing w:line="600" w:lineRule="exact"/>
        <w:ind w:leftChars="15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收入支出决算总表</w:t>
      </w:r>
      <w:bookmarkEnd w:id="54"/>
      <w:bookmarkStart w:id="55" w:name="_Toc15396620"/>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二、收入决算表</w:t>
      </w:r>
      <w:bookmarkEnd w:id="55"/>
      <w:bookmarkStart w:id="56" w:name="_Toc15396621"/>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三、支出决算表</w:t>
      </w:r>
      <w:bookmarkEnd w:id="56"/>
      <w:bookmarkStart w:id="57" w:name="_Toc15396622"/>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四、财政拨款收入支出决算总表</w:t>
      </w:r>
      <w:bookmarkEnd w:id="57"/>
      <w:bookmarkStart w:id="58" w:name="_Toc15396623"/>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五、财政拨款支出决算明细表</w:t>
      </w:r>
      <w:bookmarkEnd w:id="58"/>
      <w:bookmarkStart w:id="59" w:name="_Toc15396624"/>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六、一般公共预算财政拨款支出决算表</w:t>
      </w:r>
      <w:bookmarkEnd w:id="59"/>
      <w:bookmarkStart w:id="60" w:name="_Toc15396625"/>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七、一般公共预算财政拨款支出决算明细表</w:t>
      </w:r>
      <w:bookmarkEnd w:id="60"/>
      <w:bookmarkStart w:id="61" w:name="_Toc15396626"/>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八、一般公共预算财政拨款基本支出决算表</w:t>
      </w:r>
      <w:bookmarkEnd w:id="61"/>
      <w:bookmarkStart w:id="62" w:name="_Toc15396627"/>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九、一般公共预算财政拨款项目支出决算表</w:t>
      </w:r>
      <w:bookmarkEnd w:id="62"/>
      <w:bookmarkStart w:id="63" w:name="_Toc15396628"/>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十、</w:t>
      </w:r>
      <w:bookmarkEnd w:id="63"/>
      <w:r>
        <w:rPr>
          <w:rStyle w:val="29"/>
          <w:rFonts w:hint="eastAsia" w:ascii="仿宋" w:hAnsi="仿宋" w:eastAsia="仿宋"/>
          <w:b w:val="0"/>
          <w:bCs w:val="0"/>
          <w:lang w:val="en-US" w:eastAsia="zh-CN" w:bidi="ar-SA"/>
        </w:rPr>
        <w:t>政府性基金预算财政拨款收入支出决算表</w:t>
      </w:r>
      <w:bookmarkStart w:id="64" w:name="_Toc15396629"/>
    </w:p>
    <w:p>
      <w:pPr>
        <w:numPr>
          <w:ilvl w:val="0"/>
          <w:numId w:val="0"/>
        </w:numPr>
        <w:spacing w:line="600" w:lineRule="exact"/>
        <w:ind w:firstLine="320" w:firstLineChars="100"/>
        <w:jc w:val="both"/>
        <w:outlineLvl w:val="0"/>
        <w:rPr>
          <w:rStyle w:val="29"/>
          <w:rFonts w:hint="eastAsia" w:ascii="仿宋" w:hAnsi="仿宋" w:eastAsia="仿宋"/>
          <w:b w:val="0"/>
          <w:bCs w:val="0"/>
          <w:lang w:val="en-US" w:eastAsia="zh-CN" w:bidi="ar-SA"/>
        </w:rPr>
      </w:pPr>
      <w:r>
        <w:rPr>
          <w:rStyle w:val="29"/>
          <w:rFonts w:hint="eastAsia" w:ascii="仿宋" w:hAnsi="仿宋" w:eastAsia="仿宋"/>
          <w:b w:val="0"/>
          <w:bCs w:val="0"/>
          <w:lang w:val="en-US" w:eastAsia="zh-CN" w:bidi="ar-SA"/>
        </w:rPr>
        <w:t>十一、</w:t>
      </w:r>
      <w:bookmarkEnd w:id="64"/>
      <w:r>
        <w:rPr>
          <w:rStyle w:val="29"/>
          <w:rFonts w:hint="eastAsia" w:ascii="仿宋" w:hAnsi="仿宋" w:eastAsia="仿宋"/>
          <w:b w:val="0"/>
          <w:bCs w:val="0"/>
          <w:lang w:val="en-US" w:eastAsia="zh-CN" w:bidi="ar-SA"/>
        </w:rPr>
        <w:t>国有资本经营预算财政拨款收入支出决算表</w:t>
      </w:r>
      <w:bookmarkStart w:id="65" w:name="_Toc15396630"/>
    </w:p>
    <w:p>
      <w:pPr>
        <w:numPr>
          <w:ilvl w:val="0"/>
          <w:numId w:val="0"/>
        </w:numPr>
        <w:spacing w:line="600" w:lineRule="exact"/>
        <w:ind w:firstLine="320" w:firstLineChars="100"/>
        <w:jc w:val="both"/>
        <w:outlineLvl w:val="0"/>
        <w:rPr>
          <w:rFonts w:ascii="仿宋" w:hAnsi="仿宋" w:eastAsia="仿宋"/>
        </w:rPr>
      </w:pPr>
      <w:r>
        <w:rPr>
          <w:rStyle w:val="29"/>
          <w:rFonts w:hint="eastAsia" w:ascii="仿宋" w:hAnsi="仿宋" w:eastAsia="仿宋"/>
          <w:b w:val="0"/>
          <w:bCs w:val="0"/>
        </w:rPr>
        <w:t>十二、</w:t>
      </w:r>
      <w:bookmarkEnd w:id="65"/>
      <w:r>
        <w:rPr>
          <w:rStyle w:val="29"/>
          <w:rFonts w:hint="eastAsia" w:ascii="仿宋" w:hAnsi="仿宋" w:eastAsia="仿宋"/>
          <w:b w:val="0"/>
          <w:bCs w:val="0"/>
        </w:rPr>
        <w:t>国有资本经营预算财政拨款支出决算表</w:t>
      </w:r>
    </w:p>
    <w:p>
      <w:pPr>
        <w:pStyle w:val="6"/>
        <w:ind w:firstLine="320" w:firstLineChars="100"/>
        <w:rPr>
          <w:rFonts w:eastAsia="仿宋"/>
        </w:rPr>
      </w:pPr>
      <w:bookmarkStart w:id="66" w:name="_Toc15396631"/>
      <w:r>
        <w:rPr>
          <w:rStyle w:val="29"/>
          <w:rFonts w:hint="eastAsia" w:ascii="仿宋" w:hAnsi="仿宋" w:eastAsia="仿宋"/>
          <w:b w:val="0"/>
          <w:bCs w:val="0"/>
        </w:rPr>
        <w:t>十三、</w:t>
      </w:r>
      <w:bookmarkEnd w:id="66"/>
      <w:r>
        <w:rPr>
          <w:rStyle w:val="29"/>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15</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abstractNum w:abstractNumId="4">
    <w:nsid w:val="601788C0"/>
    <w:multiLevelType w:val="singleLevel"/>
    <w:tmpl w:val="601788C0"/>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mM1OGNkMzEyOGEzZjUzNGQ5NDMyYTNjZDZjM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A2032A3"/>
    <w:rsid w:val="0B12449B"/>
    <w:rsid w:val="0B8A37D8"/>
    <w:rsid w:val="0F5FFB2F"/>
    <w:rsid w:val="0FFFCF60"/>
    <w:rsid w:val="10C055FF"/>
    <w:rsid w:val="118107EC"/>
    <w:rsid w:val="11DD6519"/>
    <w:rsid w:val="16BB723D"/>
    <w:rsid w:val="18015F3F"/>
    <w:rsid w:val="1BE8440E"/>
    <w:rsid w:val="1D155CEE"/>
    <w:rsid w:val="1FDBBF84"/>
    <w:rsid w:val="20F57F95"/>
    <w:rsid w:val="226D29B9"/>
    <w:rsid w:val="240371BF"/>
    <w:rsid w:val="25711CC6"/>
    <w:rsid w:val="25C741E6"/>
    <w:rsid w:val="276F80C0"/>
    <w:rsid w:val="27842671"/>
    <w:rsid w:val="29FD04D3"/>
    <w:rsid w:val="2ABE7A3E"/>
    <w:rsid w:val="2AFF09B6"/>
    <w:rsid w:val="2CA234A8"/>
    <w:rsid w:val="2EFA178C"/>
    <w:rsid w:val="2EFDF86C"/>
    <w:rsid w:val="2F9D17E1"/>
    <w:rsid w:val="30B46D73"/>
    <w:rsid w:val="319F7F4E"/>
    <w:rsid w:val="356A28F1"/>
    <w:rsid w:val="357C035A"/>
    <w:rsid w:val="368E000D"/>
    <w:rsid w:val="383D272C"/>
    <w:rsid w:val="39AE70AB"/>
    <w:rsid w:val="3A4DCE41"/>
    <w:rsid w:val="3BCB56FA"/>
    <w:rsid w:val="3C0C0783"/>
    <w:rsid w:val="3EE7C2F4"/>
    <w:rsid w:val="3F371B56"/>
    <w:rsid w:val="3F792ED8"/>
    <w:rsid w:val="3F9F3A96"/>
    <w:rsid w:val="3FECA4B2"/>
    <w:rsid w:val="3FF58C48"/>
    <w:rsid w:val="42FF6694"/>
    <w:rsid w:val="48BF60AB"/>
    <w:rsid w:val="493C27E9"/>
    <w:rsid w:val="496F39ED"/>
    <w:rsid w:val="49FF41D3"/>
    <w:rsid w:val="4BE068DB"/>
    <w:rsid w:val="4BF6002B"/>
    <w:rsid w:val="4BFFC6BE"/>
    <w:rsid w:val="4ECE2238"/>
    <w:rsid w:val="51DB4B86"/>
    <w:rsid w:val="51F64DB0"/>
    <w:rsid w:val="55333C3E"/>
    <w:rsid w:val="5F67802D"/>
    <w:rsid w:val="5F7DC4F2"/>
    <w:rsid w:val="5F8D4E24"/>
    <w:rsid w:val="5FB36814"/>
    <w:rsid w:val="5FBB8E56"/>
    <w:rsid w:val="5FFB5535"/>
    <w:rsid w:val="64CA39A1"/>
    <w:rsid w:val="69630ADE"/>
    <w:rsid w:val="69BD5F13"/>
    <w:rsid w:val="69FB0B4B"/>
    <w:rsid w:val="6BFFE1FB"/>
    <w:rsid w:val="6C4A05C8"/>
    <w:rsid w:val="6D3B1A89"/>
    <w:rsid w:val="6DB7D8A3"/>
    <w:rsid w:val="6EC78701"/>
    <w:rsid w:val="6F7A5481"/>
    <w:rsid w:val="6FFE07A9"/>
    <w:rsid w:val="70B2352A"/>
    <w:rsid w:val="71BF4EC2"/>
    <w:rsid w:val="72734D90"/>
    <w:rsid w:val="73E75B71"/>
    <w:rsid w:val="7412278C"/>
    <w:rsid w:val="758A7825"/>
    <w:rsid w:val="75DDCDA9"/>
    <w:rsid w:val="75FF44B1"/>
    <w:rsid w:val="77670518"/>
    <w:rsid w:val="777FA627"/>
    <w:rsid w:val="77DF1B5F"/>
    <w:rsid w:val="77EF2D9D"/>
    <w:rsid w:val="79107E0C"/>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5"/>
    <w:qFormat/>
    <w:uiPriority w:val="9"/>
    <w:rPr>
      <w:rFonts w:ascii="Times New Roman" w:hAnsi="Times New Roman"/>
      <w:b/>
      <w:bCs/>
      <w:kern w:val="44"/>
      <w:sz w:val="44"/>
      <w:szCs w:val="44"/>
    </w:rPr>
  </w:style>
  <w:style w:type="character" w:customStyle="1" w:styleId="29">
    <w:name w:val="标题 2 字符"/>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10"/>
    <w:semiHidden/>
    <w:qFormat/>
    <w:uiPriority w:val="99"/>
    <w:rPr>
      <w:rFonts w:ascii="Times New Roman" w:hAnsi="Times New Roman"/>
      <w:kern w:val="2"/>
      <w:sz w:val="18"/>
      <w:szCs w:val="18"/>
    </w:rPr>
  </w:style>
  <w:style w:type="character" w:customStyle="1" w:styleId="32">
    <w:name w:val="标题 3 字符"/>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6254</Words>
  <Characters>6617</Characters>
  <Lines>54</Lines>
  <Paragraphs>15</Paragraphs>
  <TotalTime>1</TotalTime>
  <ScaleCrop>false</ScaleCrop>
  <LinksUpToDate>false</LinksUpToDate>
  <CharactersWithSpaces>6682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Administrator</cp:lastModifiedBy>
  <cp:lastPrinted>2023-08-03T02:35:00Z</cp:lastPrinted>
  <dcterms:modified xsi:type="dcterms:W3CDTF">2025-10-14T07:05:47Z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F5B3CA32DF1A4474BBD902F3CF8029AA</vt:lpwstr>
  </property>
</Properties>
</file>