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附件3</w:t>
      </w:r>
    </w:p>
    <w:p>
      <w:pPr>
        <w:rPr>
          <w:rFonts w:ascii="方正小标宋简体" w:hAnsi="黑体" w:eastAsia="方正小标宋简体"/>
          <w:sz w:val="84"/>
          <w:szCs w:val="84"/>
        </w:rPr>
      </w:pPr>
    </w:p>
    <w:p>
      <w:pPr>
        <w:rPr>
          <w:rFonts w:ascii="方正小标宋简体" w:hAnsi="黑体" w:eastAsia="方正小标宋简体"/>
          <w:sz w:val="84"/>
          <w:szCs w:val="84"/>
        </w:rPr>
      </w:pPr>
    </w:p>
    <w:p>
      <w:pPr>
        <w:jc w:val="center"/>
        <w:rPr>
          <w:rFonts w:hint="eastAsia" w:ascii="方正小标宋简体" w:hAnsi="黑体" w:eastAsia="方正小标宋简体"/>
          <w:sz w:val="84"/>
          <w:szCs w:val="84"/>
        </w:rPr>
      </w:pPr>
      <w:r>
        <w:rPr>
          <w:rFonts w:hint="eastAsia" w:ascii="方正小标宋简体" w:hAnsi="黑体" w:eastAsia="方正小标宋简体"/>
          <w:sz w:val="84"/>
          <w:szCs w:val="84"/>
        </w:rPr>
        <w:t>四川省九寨沟县</w:t>
      </w:r>
    </w:p>
    <w:p>
      <w:pPr>
        <w:jc w:val="center"/>
        <w:rPr>
          <w:rFonts w:hint="eastAsia" w:ascii="方正小标宋简体" w:hAnsi="黑体" w:eastAsia="方正小标宋简体"/>
          <w:sz w:val="84"/>
          <w:szCs w:val="84"/>
        </w:rPr>
      </w:pPr>
      <w:r>
        <w:rPr>
          <w:rFonts w:hint="eastAsia" w:ascii="方正小标宋简体" w:hAnsi="黑体" w:eastAsia="方正小标宋简体"/>
          <w:sz w:val="84"/>
          <w:szCs w:val="84"/>
        </w:rPr>
        <w:t>双河镇人民政府</w:t>
      </w:r>
    </w:p>
    <w:p>
      <w:pPr>
        <w:jc w:val="center"/>
        <w:rPr>
          <w:rFonts w:ascii="方正小标宋简体" w:hAnsi="黑体" w:eastAsia="方正小标宋简体"/>
          <w:sz w:val="84"/>
          <w:szCs w:val="84"/>
        </w:rPr>
      </w:pPr>
      <w:r>
        <w:rPr>
          <w:rFonts w:hint="eastAsia" w:ascii="方正小标宋简体" w:hAnsi="黑体" w:eastAsia="方正小标宋简体"/>
          <w:sz w:val="84"/>
          <w:szCs w:val="84"/>
          <w:lang w:eastAsia="zh-CN"/>
        </w:rPr>
        <w:t>2026</w:t>
      </w:r>
      <w:r>
        <w:rPr>
          <w:rFonts w:hint="eastAsia" w:ascii="方正小标宋简体" w:hAnsi="黑体" w:eastAsia="方正小标宋简体"/>
          <w:sz w:val="84"/>
          <w:szCs w:val="84"/>
        </w:rPr>
        <w:t>年单位预算</w:t>
      </w:r>
    </w:p>
    <w:p>
      <w:pPr>
        <w:rPr>
          <w:rFonts w:ascii="方正小标宋简体" w:hAnsi="黑体" w:eastAsia="方正小标宋简体"/>
          <w:sz w:val="84"/>
          <w:szCs w:val="84"/>
        </w:rPr>
      </w:pPr>
      <w:r>
        <w:rPr>
          <w:rFonts w:hint="eastAsia" w:ascii="方正小标宋简体" w:hAnsi="黑体" w:eastAsia="方正小标宋简体"/>
          <w:sz w:val="84"/>
          <w:szCs w:val="84"/>
        </w:rPr>
        <w:br w:type="page"/>
      </w:r>
    </w:p>
    <w:p>
      <w:pPr>
        <w:jc w:val="center"/>
        <w:rPr>
          <w:rFonts w:ascii="方正小标宋简体" w:eastAsia="方正小标宋简体"/>
          <w:sz w:val="32"/>
          <w:szCs w:val="32"/>
        </w:rPr>
      </w:pPr>
      <w:r>
        <w:rPr>
          <w:rFonts w:hint="eastAsia" w:ascii="方正小标宋简体" w:eastAsia="方正小标宋简体"/>
          <w:sz w:val="44"/>
          <w:szCs w:val="44"/>
        </w:rPr>
        <w:t>目录</w:t>
      </w:r>
    </w:p>
    <w:p>
      <w:pPr>
        <w:rPr>
          <w:rFonts w:ascii="黑体" w:hAnsi="黑体" w:eastAsia="黑体"/>
          <w:sz w:val="32"/>
          <w:szCs w:val="32"/>
        </w:rPr>
      </w:pPr>
      <w:r>
        <w:rPr>
          <w:rFonts w:hint="eastAsia" w:ascii="黑体" w:hAnsi="黑体" w:eastAsia="黑体"/>
          <w:sz w:val="32"/>
          <w:szCs w:val="32"/>
        </w:rPr>
        <w:t>第一部分  双河镇概况</w:t>
      </w:r>
    </w:p>
    <w:p>
      <w:pPr>
        <w:rPr>
          <w:rFonts w:ascii="仿宋_GB2312" w:hAnsi="仿宋" w:eastAsia="仿宋_GB2312"/>
          <w:sz w:val="32"/>
          <w:szCs w:val="32"/>
        </w:rPr>
      </w:pPr>
      <w:r>
        <w:rPr>
          <w:rFonts w:hint="eastAsia" w:ascii="仿宋_GB2312" w:hAnsi="仿宋" w:eastAsia="仿宋_GB2312"/>
          <w:sz w:val="32"/>
          <w:szCs w:val="32"/>
        </w:rPr>
        <w:t>一、双河镇职能简介</w:t>
      </w:r>
    </w:p>
    <w:p>
      <w:pPr>
        <w:rPr>
          <w:rFonts w:ascii="仿宋_GB2312" w:hAnsi="仿宋" w:eastAsia="仿宋_GB2312"/>
          <w:sz w:val="32"/>
          <w:szCs w:val="32"/>
        </w:rPr>
      </w:pPr>
      <w:r>
        <w:rPr>
          <w:rFonts w:hint="eastAsia" w:ascii="仿宋_GB2312" w:hAnsi="仿宋" w:eastAsia="仿宋_GB2312"/>
          <w:sz w:val="32"/>
          <w:szCs w:val="32"/>
        </w:rPr>
        <w:t>二、双河镇</w:t>
      </w:r>
      <w:r>
        <w:rPr>
          <w:rFonts w:hint="eastAsia" w:ascii="仿宋_GB2312" w:hAnsi="仿宋" w:eastAsia="仿宋_GB2312"/>
          <w:sz w:val="32"/>
          <w:szCs w:val="32"/>
          <w:lang w:eastAsia="zh-CN"/>
        </w:rPr>
        <w:t>2026</w:t>
      </w:r>
      <w:r>
        <w:rPr>
          <w:rFonts w:hint="eastAsia" w:ascii="仿宋_GB2312" w:hAnsi="仿宋" w:eastAsia="仿宋_GB2312"/>
          <w:sz w:val="32"/>
          <w:szCs w:val="32"/>
        </w:rPr>
        <w:t>年重点工作</w:t>
      </w:r>
    </w:p>
    <w:p>
      <w:pPr>
        <w:rPr>
          <w:rFonts w:ascii="黑体" w:hAnsi="黑体" w:eastAsia="黑体"/>
          <w:sz w:val="32"/>
          <w:szCs w:val="32"/>
        </w:rPr>
      </w:pPr>
      <w:r>
        <w:rPr>
          <w:rFonts w:hint="eastAsia" w:ascii="黑体" w:hAnsi="黑体" w:eastAsia="黑体"/>
          <w:sz w:val="32"/>
          <w:szCs w:val="32"/>
        </w:rPr>
        <w:t>第二部分  双河镇</w:t>
      </w:r>
      <w:r>
        <w:rPr>
          <w:rFonts w:hint="eastAsia" w:ascii="黑体" w:hAnsi="黑体" w:eastAsia="黑体"/>
          <w:sz w:val="32"/>
          <w:szCs w:val="32"/>
          <w:lang w:eastAsia="zh-CN"/>
        </w:rPr>
        <w:t>2026</w:t>
      </w:r>
      <w:r>
        <w:rPr>
          <w:rFonts w:hint="eastAsia" w:ascii="黑体" w:hAnsi="黑体" w:eastAsia="黑体"/>
          <w:sz w:val="32"/>
          <w:szCs w:val="32"/>
        </w:rPr>
        <w:t>年单位预算表</w:t>
      </w:r>
    </w:p>
    <w:p>
      <w:pPr>
        <w:rPr>
          <w:rFonts w:ascii="仿宋_GB2312" w:hAnsi="仿宋" w:eastAsia="仿宋_GB2312"/>
          <w:sz w:val="32"/>
          <w:szCs w:val="32"/>
        </w:rPr>
      </w:pPr>
      <w:r>
        <w:rPr>
          <w:rFonts w:hint="eastAsia" w:ascii="仿宋_GB2312" w:hAnsi="仿宋" w:eastAsia="仿宋_GB2312"/>
          <w:sz w:val="32"/>
          <w:szCs w:val="32"/>
        </w:rPr>
        <w:t>一、表</w:t>
      </w:r>
      <w:r>
        <w:rPr>
          <w:rFonts w:ascii="仿宋_GB2312" w:hAnsi="仿宋" w:eastAsia="仿宋_GB2312"/>
          <w:sz w:val="32"/>
          <w:szCs w:val="32"/>
        </w:rPr>
        <w:t xml:space="preserve">1 </w:t>
      </w:r>
      <w:r>
        <w:rPr>
          <w:rFonts w:hint="eastAsia" w:ascii="仿宋_GB2312" w:hAnsi="仿宋" w:eastAsia="仿宋_GB2312"/>
          <w:sz w:val="32"/>
          <w:szCs w:val="32"/>
          <w:lang w:val="en-US" w:eastAsia="zh-CN"/>
        </w:rPr>
        <w:t>部门</w:t>
      </w:r>
      <w:r>
        <w:rPr>
          <w:rFonts w:hint="eastAsia" w:ascii="仿宋_GB2312" w:hAnsi="仿宋" w:eastAsia="仿宋_GB2312"/>
          <w:sz w:val="32"/>
          <w:szCs w:val="32"/>
        </w:rPr>
        <w:t>收支总表</w:t>
      </w:r>
    </w:p>
    <w:p>
      <w:pPr>
        <w:rPr>
          <w:rFonts w:ascii="仿宋_GB2312" w:hAnsi="仿宋" w:eastAsia="仿宋_GB2312"/>
          <w:sz w:val="32"/>
          <w:szCs w:val="32"/>
        </w:rPr>
      </w:pPr>
      <w:r>
        <w:rPr>
          <w:rFonts w:hint="eastAsia" w:ascii="仿宋_GB2312" w:hAnsi="仿宋" w:eastAsia="仿宋_GB2312"/>
          <w:sz w:val="32"/>
          <w:szCs w:val="32"/>
        </w:rPr>
        <w:t>二、表</w:t>
      </w:r>
      <w:r>
        <w:rPr>
          <w:rFonts w:ascii="仿宋_GB2312" w:hAnsi="仿宋" w:eastAsia="仿宋_GB2312"/>
          <w:sz w:val="32"/>
          <w:szCs w:val="32"/>
        </w:rPr>
        <w:t xml:space="preserve">2 </w:t>
      </w:r>
      <w:r>
        <w:rPr>
          <w:rFonts w:hint="eastAsia" w:ascii="仿宋_GB2312" w:hAnsi="仿宋" w:eastAsia="仿宋_GB2312"/>
          <w:sz w:val="32"/>
          <w:szCs w:val="32"/>
          <w:lang w:val="en-US" w:eastAsia="zh-CN"/>
        </w:rPr>
        <w:t>部门</w:t>
      </w:r>
      <w:r>
        <w:rPr>
          <w:rFonts w:hint="eastAsia" w:ascii="仿宋_GB2312" w:hAnsi="仿宋" w:eastAsia="仿宋_GB2312"/>
          <w:sz w:val="32"/>
          <w:szCs w:val="32"/>
        </w:rPr>
        <w:t>收入总表</w:t>
      </w:r>
    </w:p>
    <w:p>
      <w:pPr>
        <w:rPr>
          <w:rFonts w:ascii="仿宋_GB2312" w:hAnsi="仿宋" w:eastAsia="仿宋_GB2312"/>
          <w:sz w:val="32"/>
          <w:szCs w:val="32"/>
        </w:rPr>
      </w:pPr>
      <w:r>
        <w:rPr>
          <w:rFonts w:hint="eastAsia" w:ascii="仿宋_GB2312" w:hAnsi="仿宋" w:eastAsia="仿宋_GB2312"/>
          <w:sz w:val="32"/>
          <w:szCs w:val="32"/>
        </w:rPr>
        <w:t>三、表</w:t>
      </w:r>
      <w:r>
        <w:rPr>
          <w:rFonts w:ascii="仿宋_GB2312" w:hAnsi="仿宋" w:eastAsia="仿宋_GB2312"/>
          <w:sz w:val="32"/>
          <w:szCs w:val="32"/>
        </w:rPr>
        <w:t xml:space="preserve">3 </w:t>
      </w:r>
      <w:r>
        <w:rPr>
          <w:rFonts w:hint="eastAsia" w:ascii="仿宋_GB2312" w:hAnsi="仿宋" w:eastAsia="仿宋_GB2312"/>
          <w:sz w:val="32"/>
          <w:szCs w:val="32"/>
          <w:lang w:val="en-US" w:eastAsia="zh-CN"/>
        </w:rPr>
        <w:t>部门</w:t>
      </w:r>
      <w:r>
        <w:rPr>
          <w:rFonts w:hint="eastAsia" w:ascii="仿宋_GB2312" w:hAnsi="仿宋" w:eastAsia="仿宋_GB2312"/>
          <w:sz w:val="32"/>
          <w:szCs w:val="32"/>
        </w:rPr>
        <w:t>支出总表</w:t>
      </w:r>
    </w:p>
    <w:p>
      <w:pPr>
        <w:rPr>
          <w:rFonts w:ascii="仿宋_GB2312" w:hAnsi="仿宋" w:eastAsia="仿宋_GB2312"/>
          <w:sz w:val="32"/>
          <w:szCs w:val="32"/>
        </w:rPr>
      </w:pPr>
      <w:r>
        <w:rPr>
          <w:rFonts w:hint="eastAsia" w:ascii="仿宋_GB2312" w:hAnsi="仿宋" w:eastAsia="仿宋_GB2312"/>
          <w:sz w:val="32"/>
          <w:szCs w:val="32"/>
        </w:rPr>
        <w:t>四、表</w:t>
      </w:r>
      <w:r>
        <w:rPr>
          <w:rFonts w:ascii="仿宋_GB2312" w:hAnsi="仿宋" w:eastAsia="仿宋_GB2312"/>
          <w:sz w:val="32"/>
          <w:szCs w:val="32"/>
        </w:rPr>
        <w:t xml:space="preserve">4 </w:t>
      </w:r>
      <w:r>
        <w:rPr>
          <w:rFonts w:hint="eastAsia" w:ascii="仿宋_GB2312" w:hAnsi="仿宋" w:eastAsia="仿宋_GB2312"/>
          <w:sz w:val="32"/>
          <w:szCs w:val="32"/>
        </w:rPr>
        <w:t>财政拨款收支预算总表</w:t>
      </w:r>
    </w:p>
    <w:p>
      <w:pPr>
        <w:rPr>
          <w:rFonts w:ascii="仿宋_GB2312" w:hAnsi="仿宋" w:eastAsia="仿宋_GB2312"/>
          <w:sz w:val="32"/>
          <w:szCs w:val="32"/>
        </w:rPr>
      </w:pPr>
      <w:r>
        <w:rPr>
          <w:rFonts w:hint="eastAsia" w:ascii="仿宋_GB2312" w:hAnsi="仿宋" w:eastAsia="仿宋_GB2312"/>
          <w:sz w:val="32"/>
          <w:szCs w:val="32"/>
        </w:rPr>
        <w:t>五、表</w:t>
      </w:r>
      <w:r>
        <w:rPr>
          <w:rFonts w:ascii="仿宋_GB2312" w:hAnsi="仿宋" w:eastAsia="仿宋_GB2312"/>
          <w:sz w:val="32"/>
          <w:szCs w:val="32"/>
        </w:rPr>
        <w:t xml:space="preserve">5 </w:t>
      </w:r>
      <w:r>
        <w:rPr>
          <w:rFonts w:hint="eastAsia" w:ascii="仿宋_GB2312" w:hAnsi="仿宋" w:eastAsia="仿宋_GB2312"/>
          <w:sz w:val="32"/>
          <w:szCs w:val="32"/>
        </w:rPr>
        <w:t>财政拨款支出预算表（部门经济分类科目）</w:t>
      </w:r>
    </w:p>
    <w:p>
      <w:pPr>
        <w:rPr>
          <w:rFonts w:ascii="仿宋_GB2312" w:hAnsi="仿宋" w:eastAsia="仿宋_GB2312"/>
          <w:sz w:val="32"/>
          <w:szCs w:val="32"/>
        </w:rPr>
      </w:pPr>
      <w:r>
        <w:rPr>
          <w:rFonts w:hint="eastAsia" w:ascii="仿宋_GB2312" w:hAnsi="仿宋" w:eastAsia="仿宋_GB2312"/>
          <w:sz w:val="32"/>
          <w:szCs w:val="32"/>
        </w:rPr>
        <w:t>六、表</w:t>
      </w:r>
      <w:r>
        <w:rPr>
          <w:rFonts w:ascii="仿宋_GB2312" w:hAnsi="仿宋" w:eastAsia="仿宋_GB2312"/>
          <w:sz w:val="32"/>
          <w:szCs w:val="32"/>
        </w:rPr>
        <w:t xml:space="preserve">6 </w:t>
      </w:r>
      <w:r>
        <w:rPr>
          <w:rFonts w:hint="eastAsia" w:ascii="仿宋_GB2312" w:hAnsi="仿宋" w:eastAsia="仿宋_GB2312"/>
          <w:sz w:val="32"/>
          <w:szCs w:val="32"/>
        </w:rPr>
        <w:t>一般公共预算支出预算表</w:t>
      </w:r>
    </w:p>
    <w:p>
      <w:pPr>
        <w:rPr>
          <w:rFonts w:ascii="仿宋_GB2312" w:hAnsi="仿宋" w:eastAsia="仿宋_GB2312"/>
          <w:sz w:val="32"/>
          <w:szCs w:val="32"/>
        </w:rPr>
      </w:pPr>
      <w:r>
        <w:rPr>
          <w:rFonts w:hint="eastAsia" w:ascii="仿宋_GB2312" w:hAnsi="仿宋" w:eastAsia="仿宋_GB2312"/>
          <w:sz w:val="32"/>
          <w:szCs w:val="32"/>
        </w:rPr>
        <w:t>七、表</w:t>
      </w:r>
      <w:r>
        <w:rPr>
          <w:rFonts w:ascii="仿宋_GB2312" w:hAnsi="仿宋" w:eastAsia="仿宋_GB2312"/>
          <w:sz w:val="32"/>
          <w:szCs w:val="32"/>
        </w:rPr>
        <w:t xml:space="preserve">7 </w:t>
      </w:r>
      <w:r>
        <w:rPr>
          <w:rFonts w:hint="eastAsia" w:ascii="仿宋_GB2312" w:hAnsi="仿宋" w:eastAsia="仿宋_GB2312"/>
          <w:sz w:val="32"/>
          <w:szCs w:val="32"/>
        </w:rPr>
        <w:t>一般公共预算基本支出预算表</w:t>
      </w:r>
    </w:p>
    <w:p>
      <w:pPr>
        <w:rPr>
          <w:rFonts w:ascii="仿宋_GB2312" w:hAnsi="仿宋" w:eastAsia="仿宋_GB2312"/>
          <w:sz w:val="32"/>
          <w:szCs w:val="32"/>
        </w:rPr>
      </w:pPr>
      <w:r>
        <w:rPr>
          <w:rFonts w:hint="eastAsia" w:ascii="仿宋_GB2312" w:hAnsi="仿宋" w:eastAsia="仿宋_GB2312"/>
          <w:sz w:val="32"/>
          <w:szCs w:val="32"/>
        </w:rPr>
        <w:t>八、表</w:t>
      </w:r>
      <w:r>
        <w:rPr>
          <w:rFonts w:ascii="仿宋_GB2312" w:hAnsi="仿宋" w:eastAsia="仿宋_GB2312"/>
          <w:sz w:val="32"/>
          <w:szCs w:val="32"/>
        </w:rPr>
        <w:t xml:space="preserve">8 </w:t>
      </w:r>
      <w:r>
        <w:rPr>
          <w:rFonts w:hint="eastAsia" w:ascii="仿宋_GB2312" w:hAnsi="仿宋" w:eastAsia="仿宋_GB2312"/>
          <w:sz w:val="32"/>
          <w:szCs w:val="32"/>
        </w:rPr>
        <w:t>一般公共预算项目支出预算表</w:t>
      </w:r>
    </w:p>
    <w:p>
      <w:pPr>
        <w:rPr>
          <w:rFonts w:ascii="仿宋_GB2312" w:hAnsi="仿宋" w:eastAsia="仿宋_GB2312"/>
          <w:sz w:val="32"/>
          <w:szCs w:val="32"/>
        </w:rPr>
      </w:pPr>
      <w:r>
        <w:rPr>
          <w:rFonts w:hint="eastAsia" w:ascii="仿宋_GB2312" w:hAnsi="仿宋" w:eastAsia="仿宋_GB2312"/>
          <w:sz w:val="32"/>
          <w:szCs w:val="32"/>
        </w:rPr>
        <w:t>九、表</w:t>
      </w:r>
      <w:r>
        <w:rPr>
          <w:rFonts w:ascii="仿宋_GB2312" w:hAnsi="仿宋" w:eastAsia="仿宋_GB2312"/>
          <w:sz w:val="32"/>
          <w:szCs w:val="32"/>
        </w:rPr>
        <w:t xml:space="preserve">9 </w:t>
      </w:r>
      <w:r>
        <w:rPr>
          <w:rFonts w:hint="eastAsia" w:ascii="仿宋_GB2312" w:hAnsi="仿宋" w:eastAsia="仿宋_GB2312"/>
          <w:sz w:val="32"/>
          <w:szCs w:val="32"/>
        </w:rPr>
        <w:t>一般公共预算“三公”经费支出预算表</w:t>
      </w:r>
    </w:p>
    <w:p>
      <w:pPr>
        <w:rPr>
          <w:rFonts w:ascii="仿宋_GB2312" w:hAnsi="仿宋" w:eastAsia="仿宋_GB2312"/>
          <w:sz w:val="32"/>
          <w:szCs w:val="32"/>
        </w:rPr>
      </w:pPr>
      <w:r>
        <w:rPr>
          <w:rFonts w:hint="eastAsia" w:ascii="仿宋_GB2312" w:hAnsi="仿宋" w:eastAsia="仿宋_GB2312"/>
          <w:sz w:val="32"/>
          <w:szCs w:val="32"/>
        </w:rPr>
        <w:t>十、表</w:t>
      </w:r>
      <w:r>
        <w:rPr>
          <w:rFonts w:ascii="仿宋_GB2312" w:hAnsi="仿宋" w:eastAsia="仿宋_GB2312"/>
          <w:sz w:val="32"/>
          <w:szCs w:val="32"/>
        </w:rPr>
        <w:t xml:space="preserve">10 </w:t>
      </w:r>
      <w:r>
        <w:rPr>
          <w:rFonts w:hint="eastAsia" w:ascii="仿宋_GB2312" w:hAnsi="仿宋" w:eastAsia="仿宋_GB2312"/>
          <w:sz w:val="32"/>
          <w:szCs w:val="32"/>
        </w:rPr>
        <w:t>政府性基金预算支出表</w:t>
      </w:r>
    </w:p>
    <w:p>
      <w:pPr>
        <w:rPr>
          <w:rFonts w:ascii="仿宋_GB2312" w:hAnsi="仿宋" w:eastAsia="仿宋_GB2312"/>
          <w:sz w:val="32"/>
          <w:szCs w:val="32"/>
        </w:rPr>
      </w:pPr>
      <w:r>
        <w:rPr>
          <w:rFonts w:hint="eastAsia" w:ascii="仿宋_GB2312" w:hAnsi="仿宋" w:eastAsia="仿宋_GB2312"/>
          <w:sz w:val="32"/>
          <w:szCs w:val="32"/>
        </w:rPr>
        <w:t>十一、表</w:t>
      </w:r>
      <w:r>
        <w:rPr>
          <w:rFonts w:ascii="仿宋_GB2312" w:hAnsi="仿宋" w:eastAsia="仿宋_GB2312"/>
          <w:sz w:val="32"/>
          <w:szCs w:val="32"/>
        </w:rPr>
        <w:t xml:space="preserve">11 </w:t>
      </w:r>
      <w:r>
        <w:rPr>
          <w:rFonts w:hint="eastAsia" w:ascii="仿宋_GB2312" w:hAnsi="仿宋" w:eastAsia="仿宋_GB2312"/>
          <w:sz w:val="32"/>
          <w:szCs w:val="32"/>
        </w:rPr>
        <w:t>政府性基金预算“三公”经费支出预算表</w:t>
      </w:r>
    </w:p>
    <w:p>
      <w:pPr>
        <w:rPr>
          <w:rFonts w:ascii="仿宋_GB2312" w:hAnsi="仿宋" w:eastAsia="仿宋_GB2312"/>
          <w:sz w:val="32"/>
          <w:szCs w:val="32"/>
        </w:rPr>
      </w:pPr>
      <w:r>
        <w:rPr>
          <w:rFonts w:hint="eastAsia" w:ascii="仿宋_GB2312" w:hAnsi="仿宋" w:eastAsia="仿宋_GB2312"/>
          <w:sz w:val="32"/>
          <w:szCs w:val="32"/>
        </w:rPr>
        <w:t>十二、表</w:t>
      </w:r>
      <w:r>
        <w:rPr>
          <w:rFonts w:ascii="仿宋_GB2312" w:hAnsi="仿宋" w:eastAsia="仿宋_GB2312"/>
          <w:sz w:val="32"/>
          <w:szCs w:val="32"/>
        </w:rPr>
        <w:t xml:space="preserve">12 </w:t>
      </w:r>
      <w:r>
        <w:rPr>
          <w:rFonts w:hint="eastAsia" w:ascii="仿宋_GB2312" w:hAnsi="仿宋" w:eastAsia="仿宋_GB2312"/>
          <w:sz w:val="32"/>
          <w:szCs w:val="32"/>
        </w:rPr>
        <w:t>国有资本经营预算支出表</w:t>
      </w:r>
    </w:p>
    <w:p>
      <w:pPr>
        <w:rPr>
          <w:rFonts w:ascii="仿宋_GB2312" w:hAnsi="仿宋" w:eastAsia="仿宋_GB2312"/>
          <w:sz w:val="32"/>
          <w:szCs w:val="32"/>
        </w:rPr>
      </w:pPr>
      <w:r>
        <w:rPr>
          <w:rFonts w:hint="eastAsia" w:ascii="仿宋_GB2312" w:hAnsi="仿宋" w:eastAsia="仿宋_GB2312"/>
          <w:sz w:val="32"/>
          <w:szCs w:val="32"/>
        </w:rPr>
        <w:t>十三、表</w:t>
      </w:r>
      <w:r>
        <w:rPr>
          <w:rFonts w:ascii="仿宋_GB2312" w:hAnsi="仿宋" w:eastAsia="仿宋_GB2312"/>
          <w:sz w:val="32"/>
          <w:szCs w:val="32"/>
        </w:rPr>
        <w:t xml:space="preserve">13 </w:t>
      </w:r>
      <w:r>
        <w:rPr>
          <w:rFonts w:hint="eastAsia" w:ascii="仿宋_GB2312" w:hAnsi="仿宋" w:eastAsia="仿宋_GB2312"/>
          <w:sz w:val="32"/>
          <w:szCs w:val="32"/>
          <w:lang w:val="en-US" w:eastAsia="zh-CN"/>
        </w:rPr>
        <w:t>部门</w:t>
      </w:r>
      <w:r>
        <w:rPr>
          <w:rFonts w:hint="eastAsia" w:ascii="仿宋_GB2312" w:hAnsi="仿宋" w:eastAsia="仿宋_GB2312"/>
          <w:sz w:val="32"/>
          <w:szCs w:val="32"/>
        </w:rPr>
        <w:t>预算项目绩效目标表</w:t>
      </w:r>
    </w:p>
    <w:p>
      <w:pPr>
        <w:rPr>
          <w:rFonts w:ascii="黑体" w:hAnsi="黑体" w:eastAsia="黑体"/>
          <w:sz w:val="32"/>
          <w:szCs w:val="32"/>
        </w:rPr>
      </w:pPr>
      <w:r>
        <w:rPr>
          <w:rFonts w:hint="eastAsia" w:ascii="黑体" w:hAnsi="黑体" w:eastAsia="黑体"/>
          <w:sz w:val="32"/>
          <w:szCs w:val="32"/>
        </w:rPr>
        <w:t>第三部分  双河镇</w:t>
      </w:r>
      <w:r>
        <w:rPr>
          <w:rFonts w:hint="eastAsia" w:ascii="黑体" w:hAnsi="黑体" w:eastAsia="黑体"/>
          <w:sz w:val="32"/>
          <w:szCs w:val="32"/>
          <w:lang w:eastAsia="zh-CN"/>
        </w:rPr>
        <w:t>2026</w:t>
      </w:r>
      <w:r>
        <w:rPr>
          <w:rFonts w:hint="eastAsia" w:ascii="黑体" w:hAnsi="黑体" w:eastAsia="黑体"/>
          <w:sz w:val="32"/>
          <w:szCs w:val="32"/>
        </w:rPr>
        <w:t>年单位预算情况说明</w:t>
      </w:r>
    </w:p>
    <w:p>
      <w:pPr>
        <w:rPr>
          <w:rFonts w:ascii="黑体" w:hAnsi="黑体" w:eastAsia="黑体"/>
          <w:sz w:val="32"/>
          <w:szCs w:val="32"/>
        </w:rPr>
      </w:pPr>
      <w:r>
        <w:rPr>
          <w:rFonts w:hint="eastAsia" w:ascii="黑体" w:hAnsi="黑体" w:eastAsia="黑体"/>
          <w:sz w:val="32"/>
          <w:szCs w:val="32"/>
        </w:rPr>
        <w:t>第四部分  名词解释</w:t>
      </w:r>
    </w:p>
    <w:p>
      <w:pPr>
        <w:rPr>
          <w:rFonts w:ascii="方正小标宋简体" w:hAnsi="黑体" w:eastAsia="方正小标宋简体"/>
          <w:sz w:val="44"/>
          <w:szCs w:val="44"/>
        </w:rPr>
      </w:pPr>
      <w:r>
        <w:rPr>
          <w:rFonts w:hint="eastAsia" w:ascii="黑体" w:hAnsi="黑体" w:eastAsia="黑体"/>
          <w:sz w:val="32"/>
          <w:szCs w:val="32"/>
        </w:rPr>
        <w:br w:type="page"/>
      </w:r>
    </w:p>
    <w:p>
      <w:pPr>
        <w:jc w:val="center"/>
        <w:rPr>
          <w:rFonts w:ascii="方正小标宋简体" w:hAnsi="黑体" w:eastAsia="方正小标宋简体"/>
          <w:sz w:val="44"/>
          <w:szCs w:val="44"/>
        </w:rPr>
      </w:pPr>
      <w:r>
        <w:rPr>
          <w:rFonts w:hint="eastAsia" w:ascii="方正小标宋简体" w:hAnsi="黑体" w:eastAsia="方正小标宋简体"/>
          <w:sz w:val="44"/>
          <w:szCs w:val="44"/>
        </w:rPr>
        <w:t>第一部分  双河镇概况</w:t>
      </w:r>
    </w:p>
    <w:p>
      <w:pPr>
        <w:rPr>
          <w:rFonts w:ascii="黑体" w:hAnsi="黑体" w:eastAsia="黑体"/>
          <w:sz w:val="32"/>
          <w:szCs w:val="32"/>
        </w:rPr>
      </w:pPr>
      <w:r>
        <w:rPr>
          <w:rFonts w:hint="eastAsia" w:ascii="黑体" w:hAnsi="黑体" w:eastAsia="黑体"/>
          <w:sz w:val="32"/>
          <w:szCs w:val="32"/>
          <w:lang w:val="en-US" w:eastAsia="zh-CN"/>
        </w:rPr>
        <w:t xml:space="preserve">    一、</w:t>
      </w:r>
      <w:r>
        <w:rPr>
          <w:rFonts w:hint="eastAsia" w:ascii="黑体" w:hAnsi="黑体" w:eastAsia="黑体"/>
          <w:sz w:val="32"/>
          <w:szCs w:val="32"/>
        </w:rPr>
        <w:t>双河镇职能</w:t>
      </w:r>
      <w:r>
        <w:rPr>
          <w:rFonts w:ascii="黑体" w:hAnsi="黑体" w:eastAsia="黑体"/>
          <w:sz w:val="32"/>
          <w:szCs w:val="32"/>
        </w:rPr>
        <w:t>简介</w:t>
      </w:r>
    </w:p>
    <w:p>
      <w:pPr>
        <w:pStyle w:val="3"/>
        <w:adjustRightInd w:val="0"/>
        <w:snapToGrid w:val="0"/>
        <w:spacing w:beforeLines="0" w:line="560" w:lineRule="exact"/>
        <w:ind w:firstLine="675" w:firstLineChars="210"/>
        <w:rPr>
          <w:b/>
          <w:bCs/>
          <w:kern w:val="2"/>
          <w:sz w:val="32"/>
          <w:szCs w:val="32"/>
          <w:shd w:val="clear" w:color="auto" w:fill="FFFFFF"/>
        </w:rPr>
      </w:pPr>
      <w:r>
        <w:rPr>
          <w:rFonts w:hint="eastAsia"/>
          <w:b/>
          <w:bCs/>
          <w:kern w:val="2"/>
          <w:sz w:val="32"/>
          <w:szCs w:val="32"/>
          <w:shd w:val="clear" w:color="auto" w:fill="FFFFFF"/>
        </w:rPr>
        <w:t>（一）主要职能</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1.镇党委主要职责</w:t>
      </w:r>
    </w:p>
    <w:p>
      <w:pPr>
        <w:spacing w:line="560" w:lineRule="exact"/>
        <w:ind w:firstLine="320" w:firstLineChars="1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  积极宣传、贯彻执行党的路线、方针、政策，负责领导本地区的工作制定本乡的经济和社会发展规划并组织协调督促各部门贯彻实施，切实保证各项计划、目标的完成；负责乡领导班子的自身建设和对干部进行选拔、培养、监督工作，完成县委交办的其它工作。</w:t>
      </w:r>
    </w:p>
    <w:p>
      <w:pPr>
        <w:spacing w:line="560" w:lineRule="exact"/>
        <w:ind w:firstLine="320" w:firstLineChars="1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2.镇人大主席团主要职责</w:t>
      </w:r>
    </w:p>
    <w:p>
      <w:pPr>
        <w:spacing w:line="560" w:lineRule="exact"/>
        <w:ind w:firstLine="320" w:firstLineChars="1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   健全和完善镇人民代表大会制度，听取和审议本级政府社会经济工作情况的报告，并监督本级人民政府工作； </w:t>
      </w:r>
    </w:p>
    <w:p>
      <w:pPr>
        <w:spacing w:line="560" w:lineRule="exact"/>
        <w:ind w:firstLine="320" w:firstLineChars="1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3.镇政府主要职责</w:t>
      </w:r>
    </w:p>
    <w:p>
      <w:pPr>
        <w:spacing w:line="560" w:lineRule="exact"/>
        <w:ind w:firstLine="320" w:firstLineChars="1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  执行上级和本级党委、人民代表大会的决议、决定及命令，加强对村民委员会的指导，提高、培育村民委员会自治能力；加强民政、教育、科技、文化、卫生、计划生育、安全生产、劳动保障、国土资源的保护利用和乡村规划建设的社会管理； </w:t>
      </w:r>
    </w:p>
    <w:p>
      <w:pPr>
        <w:spacing w:line="560" w:lineRule="exact"/>
        <w:ind w:firstLine="320" w:firstLineChars="1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  4.镇纪委主要职责</w:t>
      </w:r>
    </w:p>
    <w:p>
      <w:pPr>
        <w:spacing w:line="560" w:lineRule="exact"/>
        <w:ind w:firstLine="320" w:firstLineChars="1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协助党委对全镇党员干部进行党性、党纪、党风和清正廉洁教育，负责对党风廉政工作提出意见、制定措施、监督执行，完成党委和上级纪委、监察局交办的其它工作。</w:t>
      </w:r>
    </w:p>
    <w:p>
      <w:pPr>
        <w:spacing w:line="560" w:lineRule="exact"/>
        <w:ind w:firstLine="320" w:firstLineChars="1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5.镇人民武装部主要职责</w:t>
      </w:r>
    </w:p>
    <w:p>
      <w:pPr>
        <w:spacing w:line="560" w:lineRule="exact"/>
        <w:ind w:firstLine="320" w:firstLineChars="100"/>
        <w:rPr>
          <w:rFonts w:ascii="仿宋_GB2312" w:hAnsi="仿宋" w:eastAsia="仿宋_GB2312"/>
          <w:sz w:val="32"/>
          <w:szCs w:val="32"/>
        </w:rPr>
      </w:pP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贯彻上级关于民兵预备役工作的方针、政策、指导和规定；负责民兵的组织建设和武器装备管理；负责民兵预备役人员的政治教育，落实民兵参训人员，负责抢险救灾工作以及上级临时交办的其他工</w:t>
      </w:r>
      <w:r>
        <w:rPr>
          <w:rFonts w:hint="eastAsia" w:ascii="仿宋_GB2312" w:eastAsia="仿宋_GB2312" w:cs="仿宋_GB2312"/>
          <w:bCs/>
          <w:kern w:val="0"/>
          <w:sz w:val="32"/>
          <w:szCs w:val="32"/>
        </w:rPr>
        <w:t>作。</w:t>
      </w:r>
    </w:p>
    <w:p>
      <w:pPr>
        <w:ind w:firstLine="640" w:firstLineChars="200"/>
        <w:rPr>
          <w:rFonts w:ascii="黑体" w:hAnsi="黑体" w:eastAsia="黑体"/>
          <w:sz w:val="32"/>
          <w:szCs w:val="32"/>
        </w:rPr>
      </w:pPr>
      <w:r>
        <w:rPr>
          <w:rFonts w:hint="eastAsia" w:ascii="黑体" w:hAnsi="黑体" w:eastAsia="黑体"/>
          <w:sz w:val="32"/>
          <w:szCs w:val="32"/>
        </w:rPr>
        <w:t>二</w:t>
      </w:r>
      <w:r>
        <w:rPr>
          <w:rFonts w:ascii="黑体" w:hAnsi="黑体" w:eastAsia="黑体"/>
          <w:sz w:val="32"/>
          <w:szCs w:val="32"/>
        </w:rPr>
        <w:t>、</w:t>
      </w:r>
      <w:r>
        <w:rPr>
          <w:rFonts w:hint="eastAsia" w:ascii="黑体" w:hAnsi="黑体" w:eastAsia="黑体"/>
          <w:sz w:val="32"/>
          <w:szCs w:val="32"/>
        </w:rPr>
        <w:t>双河镇</w:t>
      </w:r>
      <w:r>
        <w:rPr>
          <w:rFonts w:hint="eastAsia" w:ascii="黑体" w:hAnsi="黑体" w:eastAsia="黑体"/>
          <w:sz w:val="32"/>
          <w:szCs w:val="32"/>
          <w:lang w:eastAsia="zh-CN"/>
        </w:rPr>
        <w:t>2026</w:t>
      </w:r>
      <w:r>
        <w:rPr>
          <w:rFonts w:hint="eastAsia" w:ascii="黑体" w:hAnsi="黑体" w:eastAsia="黑体"/>
          <w:sz w:val="32"/>
          <w:szCs w:val="32"/>
        </w:rPr>
        <w:t>年重点工作</w:t>
      </w:r>
    </w:p>
    <w:p>
      <w:pPr>
        <w:keepNext w:val="0"/>
        <w:keepLines w:val="0"/>
        <w:pageBreakBefore w:val="0"/>
        <w:widowControl w:val="0"/>
        <w:numPr>
          <w:ilvl w:val="0"/>
          <w:numId w:val="0"/>
        </w:numPr>
        <w:pBdr>
          <w:bottom w:val="single" w:color="FFFFFF" w:sz="4" w:space="28"/>
        </w:pBdr>
        <w:tabs>
          <w:tab w:val="left" w:pos="1440"/>
        </w:tabs>
        <w:kinsoku/>
        <w:wordWrap/>
        <w:overflowPunct/>
        <w:topLinePunct/>
        <w:autoSpaceDE/>
        <w:autoSpaceDN/>
        <w:bidi w:val="0"/>
        <w:adjustRightInd/>
        <w:snapToGrid/>
        <w:spacing w:line="560" w:lineRule="exact"/>
        <w:ind w:right="0" w:rightChars="0" w:firstLine="643" w:firstLineChars="200"/>
        <w:contextualSpacing/>
        <w:jc w:val="both"/>
        <w:textAlignment w:val="auto"/>
        <w:outlineLvl w:val="9"/>
        <w:rPr>
          <w:rFonts w:hint="default" w:ascii="Times New Roman" w:hAnsi="Times New Roman" w:eastAsia="方正仿宋_GBK" w:cs="Times New Roman"/>
          <w:sz w:val="32"/>
          <w:szCs w:val="32"/>
          <w:lang w:val="en-US" w:eastAsia="zh-CN"/>
        </w:rPr>
      </w:pPr>
      <w:r>
        <w:rPr>
          <w:rFonts w:hint="default" w:ascii="Times New Roman" w:hAnsi="Times New Roman" w:eastAsia="楷体_GB2312" w:cs="Times New Roman"/>
          <w:b/>
          <w:bCs/>
          <w:sz w:val="32"/>
          <w:szCs w:val="32"/>
          <w:lang w:val="en-US" w:eastAsia="zh-CN"/>
        </w:rPr>
        <w:t>（一）强化政治建设。</w:t>
      </w:r>
      <w:r>
        <w:rPr>
          <w:rFonts w:hint="default" w:ascii="Times New Roman" w:hAnsi="Times New Roman" w:eastAsia="方正仿宋_GBK" w:cs="Times New Roman"/>
          <w:sz w:val="32"/>
          <w:szCs w:val="32"/>
          <w:lang w:val="en-US" w:eastAsia="zh-CN"/>
        </w:rPr>
        <w:t>以深入开展学习教育为契机，积极教育引导党员干部深刻领悟“两个确立”的决定性意义，增强“四个意识”、坚定“四个自信”、做到“两个维护”。教育党员干部增强感恩意识，知道恩从何来、恩向谁报，引导大家适应新形势新常态，树立“过紧日子”意识，执行“越来越严”要求。</w:t>
      </w:r>
    </w:p>
    <w:p>
      <w:pPr>
        <w:keepNext w:val="0"/>
        <w:keepLines w:val="0"/>
        <w:pageBreakBefore w:val="0"/>
        <w:widowControl w:val="0"/>
        <w:numPr>
          <w:ilvl w:val="0"/>
          <w:numId w:val="0"/>
        </w:numPr>
        <w:pBdr>
          <w:bottom w:val="single" w:color="FFFFFF" w:sz="4" w:space="28"/>
        </w:pBdr>
        <w:tabs>
          <w:tab w:val="left" w:pos="1440"/>
        </w:tabs>
        <w:kinsoku/>
        <w:wordWrap/>
        <w:overflowPunct/>
        <w:topLinePunct/>
        <w:autoSpaceDE/>
        <w:autoSpaceDN/>
        <w:bidi w:val="0"/>
        <w:adjustRightInd/>
        <w:snapToGrid/>
        <w:spacing w:line="560" w:lineRule="exact"/>
        <w:ind w:right="0" w:rightChars="0" w:firstLine="643" w:firstLineChars="200"/>
        <w:contextualSpacing/>
        <w:jc w:val="both"/>
        <w:textAlignment w:val="auto"/>
        <w:outlineLvl w:val="9"/>
        <w:rPr>
          <w:rFonts w:hint="default" w:ascii="Times New Roman" w:hAnsi="Times New Roman" w:eastAsia="方正仿宋_GBK" w:cs="Times New Roman"/>
          <w:sz w:val="32"/>
          <w:szCs w:val="32"/>
          <w:lang w:val="en-US" w:eastAsia="zh-CN"/>
        </w:rPr>
      </w:pPr>
      <w:r>
        <w:rPr>
          <w:rFonts w:hint="default" w:ascii="Times New Roman" w:hAnsi="Times New Roman" w:eastAsia="楷体_GB2312" w:cs="Times New Roman"/>
          <w:b/>
          <w:bCs/>
          <w:sz w:val="32"/>
          <w:szCs w:val="32"/>
          <w:lang w:val="en-US" w:eastAsia="zh-CN"/>
        </w:rPr>
        <w:t>（二）建强班子队伍。</w:t>
      </w:r>
      <w:r>
        <w:rPr>
          <w:rFonts w:hint="default" w:ascii="Times New Roman" w:hAnsi="Times New Roman" w:eastAsia="方正仿宋_GBK" w:cs="Times New Roman"/>
          <w:sz w:val="32"/>
          <w:szCs w:val="32"/>
          <w:lang w:val="en-US" w:eastAsia="zh-CN"/>
        </w:rPr>
        <w:t>严格执行职工“积分考核”管理制度，树立担当作为和奖优罚劣的鲜明导向，激励大家积极干事创业。以巡察、审计整改为契机，加大干部队伍党风廉政和作风建设力度，营造风清气正干事氛围。将村级换届选举作为重中之重的工作，严格按照组织程序、摸清村情民意，选优配强村级班子。</w:t>
      </w:r>
    </w:p>
    <w:p>
      <w:pPr>
        <w:keepNext w:val="0"/>
        <w:keepLines w:val="0"/>
        <w:pageBreakBefore w:val="0"/>
        <w:widowControl w:val="0"/>
        <w:numPr>
          <w:ilvl w:val="0"/>
          <w:numId w:val="0"/>
        </w:numPr>
        <w:pBdr>
          <w:bottom w:val="single" w:color="FFFFFF" w:sz="4" w:space="28"/>
        </w:pBdr>
        <w:tabs>
          <w:tab w:val="left" w:pos="1440"/>
        </w:tabs>
        <w:kinsoku/>
        <w:wordWrap/>
        <w:overflowPunct/>
        <w:topLinePunct/>
        <w:autoSpaceDE/>
        <w:autoSpaceDN/>
        <w:bidi w:val="0"/>
        <w:adjustRightInd/>
        <w:snapToGrid/>
        <w:spacing w:line="560" w:lineRule="exact"/>
        <w:ind w:right="0" w:rightChars="0" w:firstLine="643" w:firstLineChars="200"/>
        <w:contextualSpacing/>
        <w:jc w:val="both"/>
        <w:textAlignment w:val="auto"/>
        <w:outlineLvl w:val="9"/>
        <w:rPr>
          <w:rFonts w:hint="default" w:ascii="Times New Roman" w:hAnsi="Times New Roman" w:eastAsia="方正仿宋_GBK" w:cs="Times New Roman"/>
          <w:sz w:val="32"/>
          <w:szCs w:val="32"/>
          <w:lang w:val="en-US" w:eastAsia="zh-CN"/>
        </w:rPr>
      </w:pPr>
      <w:r>
        <w:rPr>
          <w:rFonts w:hint="default" w:ascii="Times New Roman" w:hAnsi="Times New Roman" w:eastAsia="楷体_GB2312" w:cs="Times New Roman"/>
          <w:b/>
          <w:bCs/>
          <w:sz w:val="32"/>
          <w:szCs w:val="32"/>
          <w:lang w:val="en-US" w:eastAsia="zh-CN"/>
        </w:rPr>
        <w:t>（三）推动产业发展。</w:t>
      </w:r>
      <w:r>
        <w:rPr>
          <w:rFonts w:hint="default" w:ascii="Times New Roman" w:hAnsi="Times New Roman" w:eastAsia="方正仿宋_GBK" w:cs="Times New Roman"/>
          <w:sz w:val="32"/>
          <w:szCs w:val="32"/>
          <w:lang w:val="en-US" w:eastAsia="zh-CN"/>
        </w:rPr>
        <w:t>持续加大葡萄、李子、蔬菜园区在基础设施和种植生产等方面的支持力度，帮助三个园区晋位升级。以全域旅游为切入点，打好农旅融合牌，积极构建以绿色生态产品为卖点，加快蔬菜、水果大棚建设，藏香猪、冷水鱼、高山雪菊种养殖，全力拓宽农旅消费渠道，积极做好罗依坝民宿建设工作，不断丰富旅游业态。</w:t>
      </w:r>
    </w:p>
    <w:p>
      <w:pPr>
        <w:keepNext w:val="0"/>
        <w:keepLines w:val="0"/>
        <w:pageBreakBefore w:val="0"/>
        <w:widowControl w:val="0"/>
        <w:numPr>
          <w:ilvl w:val="0"/>
          <w:numId w:val="0"/>
        </w:numPr>
        <w:pBdr>
          <w:bottom w:val="single" w:color="FFFFFF" w:sz="4" w:space="28"/>
        </w:pBdr>
        <w:tabs>
          <w:tab w:val="left" w:pos="1440"/>
        </w:tabs>
        <w:kinsoku/>
        <w:wordWrap/>
        <w:overflowPunct/>
        <w:topLinePunct/>
        <w:autoSpaceDE/>
        <w:autoSpaceDN/>
        <w:bidi w:val="0"/>
        <w:adjustRightInd/>
        <w:snapToGrid/>
        <w:spacing w:line="560" w:lineRule="exact"/>
        <w:ind w:right="0" w:rightChars="0" w:firstLine="643" w:firstLineChars="200"/>
        <w:contextualSpacing/>
        <w:jc w:val="both"/>
        <w:textAlignment w:val="auto"/>
        <w:outlineLvl w:val="9"/>
        <w:rPr>
          <w:rFonts w:hint="default" w:ascii="Times New Roman" w:hAnsi="Times New Roman" w:eastAsia="方正仿宋_GBK" w:cs="Times New Roman"/>
          <w:sz w:val="32"/>
          <w:szCs w:val="32"/>
          <w:lang w:val="en-US" w:eastAsia="zh-CN"/>
        </w:rPr>
      </w:pPr>
      <w:r>
        <w:rPr>
          <w:rFonts w:hint="default" w:ascii="Times New Roman" w:hAnsi="Times New Roman" w:eastAsia="楷体_GB2312" w:cs="Times New Roman"/>
          <w:b/>
          <w:bCs/>
          <w:sz w:val="32"/>
          <w:szCs w:val="32"/>
          <w:lang w:val="en-US" w:eastAsia="zh-CN"/>
        </w:rPr>
        <w:t>（四）维护社会稳定。</w:t>
      </w:r>
      <w:r>
        <w:rPr>
          <w:rFonts w:hint="default" w:ascii="Times New Roman" w:hAnsi="Times New Roman" w:eastAsia="方正仿宋_GBK" w:cs="Times New Roman"/>
          <w:sz w:val="32"/>
          <w:szCs w:val="32"/>
          <w:lang w:val="en-US" w:eastAsia="zh-CN"/>
        </w:rPr>
        <w:t>采取会议宣讲、观看红色电影等方式教育引导党员干部和群众遵纪守法。坚持“消存量、控增量”原则，采取稳控吸附、调处化解等方式持续化解缠访闹访问题。加大九绵、双九路边角地、水毁地等遗留问题。</w:t>
      </w:r>
    </w:p>
    <w:p>
      <w:pPr>
        <w:keepNext w:val="0"/>
        <w:keepLines w:val="0"/>
        <w:pageBreakBefore w:val="0"/>
        <w:widowControl w:val="0"/>
        <w:numPr>
          <w:ilvl w:val="0"/>
          <w:numId w:val="0"/>
        </w:numPr>
        <w:pBdr>
          <w:bottom w:val="single" w:color="FFFFFF" w:sz="4" w:space="28"/>
        </w:pBdr>
        <w:tabs>
          <w:tab w:val="left" w:pos="1440"/>
        </w:tabs>
        <w:kinsoku/>
        <w:wordWrap/>
        <w:overflowPunct/>
        <w:topLinePunct/>
        <w:autoSpaceDE/>
        <w:autoSpaceDN/>
        <w:bidi w:val="0"/>
        <w:adjustRightInd/>
        <w:snapToGrid/>
        <w:spacing w:line="560" w:lineRule="exact"/>
        <w:ind w:right="0" w:rightChars="0" w:firstLine="643" w:firstLineChars="200"/>
        <w:contextualSpacing/>
        <w:jc w:val="both"/>
        <w:textAlignment w:val="auto"/>
        <w:outlineLvl w:val="9"/>
        <w:rPr>
          <w:rFonts w:hint="default" w:ascii="Times New Roman" w:hAnsi="Times New Roman" w:eastAsia="方正仿宋_GBK" w:cs="Times New Roman"/>
          <w:b w:val="0"/>
          <w:bCs w:val="0"/>
          <w:kern w:val="2"/>
          <w:sz w:val="32"/>
          <w:szCs w:val="32"/>
          <w:lang w:val="en-US" w:eastAsia="zh-CN" w:bidi="ar-SA"/>
        </w:rPr>
      </w:pPr>
      <w:r>
        <w:rPr>
          <w:rFonts w:hint="default" w:ascii="Times New Roman" w:hAnsi="Times New Roman" w:eastAsia="楷体_GB2312" w:cs="Times New Roman"/>
          <w:b/>
          <w:bCs/>
          <w:sz w:val="32"/>
          <w:szCs w:val="32"/>
          <w:u w:val="none"/>
          <w:lang w:val="en-US" w:eastAsia="zh-CN"/>
        </w:rPr>
        <w:t>（五）加大环境整治。</w:t>
      </w:r>
      <w:r>
        <w:rPr>
          <w:rFonts w:hint="default" w:ascii="Times New Roman" w:hAnsi="Times New Roman" w:eastAsia="方正仿宋_GBK" w:cs="Times New Roman"/>
          <w:b w:val="0"/>
          <w:bCs w:val="0"/>
          <w:kern w:val="2"/>
          <w:sz w:val="32"/>
          <w:szCs w:val="32"/>
          <w:lang w:val="en-US" w:eastAsia="zh-CN" w:bidi="ar-SA"/>
        </w:rPr>
        <w:t>坚守“绿水青山就是金山银山”发展理念，持续做好生态环境保护，扎实开展区域环境整治工作，</w:t>
      </w:r>
      <w:r>
        <w:rPr>
          <w:rFonts w:hint="default" w:ascii="Times New Roman" w:hAnsi="Times New Roman" w:eastAsia="方正仿宋_GBK" w:cs="Times New Roman"/>
          <w:sz w:val="32"/>
          <w:szCs w:val="32"/>
          <w:lang w:val="en-US" w:eastAsia="zh-CN"/>
        </w:rPr>
        <w:t>充实环境卫生督查小组，严格落实“日巡查、周评比、月通报”奖励惩处机制，对全镇环境综合治理工作进行全面考评，“以点带线促面”督促整改，</w:t>
      </w:r>
      <w:r>
        <w:rPr>
          <w:rFonts w:hint="default" w:ascii="Times New Roman" w:hAnsi="Times New Roman" w:eastAsia="方正仿宋_GBK" w:cs="Times New Roman"/>
          <w:b w:val="0"/>
          <w:bCs w:val="0"/>
          <w:kern w:val="2"/>
          <w:sz w:val="32"/>
          <w:szCs w:val="32"/>
          <w:lang w:val="en-US" w:eastAsia="zh-CN" w:bidi="ar-SA"/>
        </w:rPr>
        <w:t>做好镇、村基础设施建设和风貌改造工作，打造“产业兴旺、生态宜居”美丽乡村。</w:t>
      </w:r>
    </w:p>
    <w:p>
      <w:pPr>
        <w:pStyle w:val="8"/>
        <w:widowControl w:val="0"/>
        <w:spacing w:line="576" w:lineRule="exact"/>
        <w:ind w:left="0" w:leftChars="0" w:firstLine="640"/>
        <w:jc w:val="both"/>
        <w:rPr>
          <w:rFonts w:ascii="方正小标宋简体" w:hAnsi="黑体" w:eastAsia="方正小标宋简体"/>
          <w:sz w:val="44"/>
          <w:szCs w:val="44"/>
        </w:rPr>
      </w:pPr>
      <w:r>
        <w:rPr>
          <w:rFonts w:hint="default" w:ascii="Times New Roman" w:hAnsi="Times New Roman" w:eastAsia="楷体_GB2312" w:cs="Times New Roman"/>
          <w:b/>
          <w:bCs/>
          <w:sz w:val="32"/>
          <w:szCs w:val="32"/>
          <w:lang w:val="en-US" w:eastAsia="zh-CN"/>
        </w:rPr>
        <w:t>（六）坚守安全底线。</w:t>
      </w:r>
      <w:r>
        <w:rPr>
          <w:rFonts w:hint="default" w:ascii="Times New Roman" w:hAnsi="Times New Roman" w:eastAsia="方正仿宋_GBK" w:cs="Times New Roman"/>
          <w:sz w:val="32"/>
          <w:szCs w:val="32"/>
          <w:lang w:val="en-US" w:eastAsia="zh-CN"/>
        </w:rPr>
        <w:t>常态化深入在建工地、小餐馆、小旅馆、发电站、农业园区、中心站所等外来人口多、人员结构复杂场所，对食品安全、施工安全等检查并督促整改。持续关注预警信息、提前下沉力量、及时宣传引导，落实“三个紧急撤离”等工作要求，确保辖区群众、施工人员、过境游客生命财产安全。</w:t>
      </w:r>
    </w:p>
    <w:p>
      <w:pPr>
        <w:ind w:firstLine="640" w:firstLineChars="200"/>
        <w:rPr>
          <w:rFonts w:ascii="仿宋_GB2312" w:hAnsi="仿宋" w:eastAsia="仿宋_GB2312"/>
          <w:sz w:val="32"/>
          <w:szCs w:val="32"/>
        </w:rPr>
      </w:pPr>
    </w:p>
    <w:p>
      <w:pPr>
        <w:rPr>
          <w:rFonts w:ascii="方正小标宋简体" w:hAnsi="黑体" w:eastAsia="方正小标宋简体"/>
          <w:sz w:val="44"/>
          <w:szCs w:val="44"/>
        </w:rPr>
      </w:pPr>
      <w:r>
        <w:rPr>
          <w:rFonts w:ascii="仿宋_GB2312" w:hAnsi="仿宋" w:eastAsia="仿宋_GB2312"/>
          <w:sz w:val="32"/>
          <w:szCs w:val="32"/>
        </w:rPr>
        <w:br w:type="page"/>
      </w:r>
    </w:p>
    <w:p>
      <w:pPr>
        <w:jc w:val="center"/>
        <w:rPr>
          <w:rFonts w:hint="eastAsia" w:ascii="方正小标宋简体" w:hAnsi="黑体" w:eastAsia="方正小标宋简体"/>
          <w:sz w:val="44"/>
          <w:szCs w:val="44"/>
        </w:rPr>
      </w:pPr>
    </w:p>
    <w:p>
      <w:pPr>
        <w:jc w:val="center"/>
        <w:rPr>
          <w:rFonts w:hint="eastAsia" w:ascii="方正小标宋简体" w:hAnsi="黑体" w:eastAsia="方正小标宋简体"/>
          <w:sz w:val="44"/>
          <w:szCs w:val="44"/>
        </w:rPr>
      </w:pPr>
    </w:p>
    <w:p>
      <w:pPr>
        <w:jc w:val="center"/>
        <w:rPr>
          <w:rFonts w:hint="eastAsia" w:ascii="方正小标宋简体" w:hAnsi="黑体" w:eastAsia="方正小标宋简体"/>
          <w:sz w:val="44"/>
          <w:szCs w:val="44"/>
        </w:rPr>
      </w:pPr>
    </w:p>
    <w:p>
      <w:pPr>
        <w:jc w:val="center"/>
        <w:rPr>
          <w:rFonts w:hint="eastAsia" w:ascii="方正小标宋简体" w:hAnsi="黑体" w:eastAsia="方正小标宋简体"/>
          <w:sz w:val="44"/>
          <w:szCs w:val="44"/>
        </w:rPr>
      </w:pPr>
    </w:p>
    <w:p>
      <w:pPr>
        <w:jc w:val="center"/>
        <w:rPr>
          <w:rFonts w:hint="eastAsia" w:ascii="方正小标宋简体" w:hAnsi="黑体" w:eastAsia="方正小标宋简体"/>
          <w:sz w:val="44"/>
          <w:szCs w:val="44"/>
        </w:rPr>
      </w:pPr>
    </w:p>
    <w:p>
      <w:pPr>
        <w:jc w:val="center"/>
        <w:rPr>
          <w:rFonts w:ascii="方正小标宋简体" w:hAnsi="黑体" w:eastAsia="方正小标宋简体"/>
          <w:sz w:val="44"/>
          <w:szCs w:val="44"/>
        </w:rPr>
      </w:pPr>
      <w:r>
        <w:rPr>
          <w:rFonts w:hint="eastAsia" w:ascii="方正小标宋简体" w:hAnsi="黑体" w:eastAsia="方正小标宋简体"/>
          <w:sz w:val="44"/>
          <w:szCs w:val="44"/>
        </w:rPr>
        <w:t>第二部分  双河镇</w:t>
      </w:r>
      <w:r>
        <w:rPr>
          <w:rFonts w:hint="eastAsia" w:ascii="方正小标宋简体" w:hAnsi="黑体" w:eastAsia="方正小标宋简体"/>
          <w:sz w:val="44"/>
          <w:szCs w:val="44"/>
          <w:lang w:eastAsia="zh-CN"/>
        </w:rPr>
        <w:t>2026</w:t>
      </w:r>
      <w:r>
        <w:rPr>
          <w:rFonts w:hint="eastAsia" w:ascii="方正小标宋简体" w:hAnsi="黑体" w:eastAsia="方正小标宋简体"/>
          <w:sz w:val="44"/>
          <w:szCs w:val="44"/>
        </w:rPr>
        <w:t>年单位</w:t>
      </w:r>
      <w:r>
        <w:rPr>
          <w:rFonts w:ascii="方正小标宋简体" w:hAnsi="黑体" w:eastAsia="方正小标宋简体"/>
          <w:sz w:val="44"/>
          <w:szCs w:val="44"/>
        </w:rPr>
        <w:t>预算表</w:t>
      </w:r>
    </w:p>
    <w:p>
      <w:pPr>
        <w:rPr>
          <w:rFonts w:ascii="方正小标宋简体" w:hAnsi="黑体" w:eastAsia="方正小标宋简体"/>
          <w:sz w:val="44"/>
          <w:szCs w:val="44"/>
        </w:rPr>
        <w:sectPr>
          <w:footerReference r:id="rId3" w:type="default"/>
          <w:pgSz w:w="11906" w:h="16838"/>
          <w:pgMar w:top="1440" w:right="1800" w:bottom="1440" w:left="1800" w:header="851" w:footer="992" w:gutter="0"/>
          <w:cols w:space="425" w:num="1"/>
          <w:docGrid w:type="lines" w:linePitch="312" w:charSpace="0"/>
        </w:sectPr>
      </w:pPr>
    </w:p>
    <w:tbl>
      <w:tblPr>
        <w:tblStyle w:val="9"/>
        <w:tblW w:w="1378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924"/>
        <w:gridCol w:w="1969"/>
        <w:gridCol w:w="4924"/>
        <w:gridCol w:w="196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4" w:hRule="atLeast"/>
        </w:trPr>
        <w:tc>
          <w:tcPr>
            <w:tcW w:w="4924"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969"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4924"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1969"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br w:type="textWrapping"/>
            </w:r>
            <w:r>
              <w:rPr>
                <w:rFonts w:ascii="宋体" w:hAnsi="宋体" w:eastAsia="宋体" w:cs="宋体"/>
                <w:i w:val="0"/>
                <w:iCs w:val="0"/>
                <w:color w:val="000000"/>
                <w:kern w:val="0"/>
                <w:sz w:val="22"/>
                <w:szCs w:val="22"/>
                <w:u w:val="none"/>
                <w:lang w:val="en-US" w:eastAsia="zh-CN" w:bidi="ar"/>
              </w:rPr>
              <w:t>表1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gridSpan w:val="4"/>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jc w:val="center"/>
              <w:textAlignment w:val="center"/>
              <w:rPr>
                <w:rFonts w:ascii="黑体" w:hAnsi="宋体" w:eastAsia="黑体" w:cs="黑体"/>
                <w:b/>
                <w:bCs/>
                <w:i w:val="0"/>
                <w:iCs w:val="0"/>
                <w:color w:val="000000"/>
                <w:sz w:val="32"/>
                <w:szCs w:val="32"/>
                <w:u w:val="none"/>
              </w:rPr>
            </w:pPr>
            <w:r>
              <w:rPr>
                <w:rFonts w:hint="eastAsia" w:ascii="黑体" w:hAnsi="宋体" w:eastAsia="黑体" w:cs="黑体"/>
                <w:b/>
                <w:bCs/>
                <w:i w:val="0"/>
                <w:iCs w:val="0"/>
                <w:color w:val="000000"/>
                <w:kern w:val="0"/>
                <w:sz w:val="32"/>
                <w:szCs w:val="32"/>
                <w:u w:val="none"/>
                <w:lang w:val="en-US" w:eastAsia="zh-CN" w:bidi="ar"/>
              </w:rPr>
              <w:t>部门收支总表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1" w:hRule="atLeast"/>
        </w:trPr>
        <w:tc>
          <w:tcPr>
            <w:tcW w:w="0" w:type="auto"/>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4924"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0" w:type="auto"/>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收    入</w:t>
            </w:r>
          </w:p>
        </w:tc>
        <w:tc>
          <w:tcPr>
            <w:tcW w:w="0" w:type="auto"/>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支    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预算数</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预算数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一、一般公共预算拨款收入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1,193.00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524.45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二、政府性基金预算拨款收入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二、外交支出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三、国有资本经营预算拨款收入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三、国防支出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四、事业收入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四、公共安全支出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五、事业单位经营收入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五、教育支出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六、其他收入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六、科学技术支出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九、社会保险基金支出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十、卫生健康支出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十一、节能环保支出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十二、城乡社区支出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十三、农林水支出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443.01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十四、交通运输支出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十五、资源勘探工业信息等支出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十六、商业服务业等支出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十七、金融支出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十八、援助其他地区支出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十九、自然资源海洋气象等支出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二十、住房保障支出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60.53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二十一、粮油物资储备支出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二十二、国有资本经营预算支出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二十三、灾害防治及应急管理支出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二十四、预备费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二十五、其他支出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二十六、转移性支出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二十七、债务还本支出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二十八、债务付息支出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二十九、债务发行费用支出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三十、抗疫特别国债安排的支出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  年  收  入  合  计</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1,193.00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  年  支  出  合  计</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1,193.00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八、上年结转</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收  入  总  计</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1,193.00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支  出  总  计</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1,193.00</w:t>
            </w:r>
          </w:p>
        </w:tc>
      </w:tr>
    </w:tbl>
    <w:p>
      <w:pPr>
        <w:rPr>
          <w:rFonts w:ascii="方正小标宋简体" w:hAnsi="黑体" w:eastAsia="方正小标宋简体"/>
          <w:sz w:val="44"/>
          <w:szCs w:val="44"/>
        </w:rPr>
      </w:pPr>
      <w:r>
        <w:rPr>
          <w:rFonts w:ascii="方正小标宋简体" w:hAnsi="黑体" w:eastAsia="方正小标宋简体"/>
          <w:sz w:val="44"/>
          <w:szCs w:val="44"/>
        </w:rPr>
        <w:object>
          <v:shape id="_x0000_i1025" o:spt="75" type="#_x0000_t75" style="height:119.55pt;width:697.1pt;" o:ole="t" filled="f" o:preferrelative="t" stroked="f" coordsize="21600,21600">
            <v:path/>
            <v:fill on="f" focussize="0,0"/>
            <v:stroke on="f"/>
            <v:imagedata r:id="rId6" o:title=""/>
            <o:lock v:ext="edit" aspectratio="f"/>
            <w10:wrap type="none"/>
            <w10:anchorlock/>
          </v:shape>
          <o:OLEObject Type="Embed" ProgID="Excel.Sheet.12" ShapeID="_x0000_i1025" DrawAspect="Content" ObjectID="_1468075725" r:id="rId5">
            <o:LockedField>false</o:LockedField>
          </o:OLEObject>
        </w:object>
      </w:r>
    </w:p>
    <w:p>
      <w:pPr>
        <w:rPr>
          <w:rFonts w:ascii="方正小标宋简体" w:hAnsi="黑体" w:eastAsia="方正小标宋简体"/>
          <w:sz w:val="44"/>
          <w:szCs w:val="44"/>
        </w:rPr>
      </w:pPr>
    </w:p>
    <w:p>
      <w:pPr>
        <w:pStyle w:val="8"/>
        <w:rPr>
          <w:rFonts w:ascii="方正小标宋简体" w:hAnsi="黑体" w:eastAsia="方正小标宋简体"/>
          <w:sz w:val="44"/>
          <w:szCs w:val="44"/>
        </w:rPr>
      </w:pPr>
    </w:p>
    <w:p>
      <w:pPr>
        <w:rPr>
          <w:rFonts w:ascii="方正小标宋简体" w:hAnsi="黑体" w:eastAsia="方正小标宋简体"/>
          <w:sz w:val="44"/>
          <w:szCs w:val="44"/>
        </w:rPr>
      </w:pPr>
    </w:p>
    <w:p>
      <w:pPr>
        <w:pStyle w:val="8"/>
        <w:rPr>
          <w:rFonts w:ascii="方正小标宋简体" w:hAnsi="黑体" w:eastAsia="方正小标宋简体"/>
          <w:sz w:val="44"/>
          <w:szCs w:val="44"/>
        </w:rPr>
      </w:pPr>
    </w:p>
    <w:p>
      <w:pPr>
        <w:rPr>
          <w:rFonts w:ascii="方正小标宋简体" w:hAnsi="黑体" w:eastAsia="方正小标宋简体"/>
          <w:sz w:val="44"/>
          <w:szCs w:val="44"/>
        </w:rPr>
      </w:pPr>
    </w:p>
    <w:p>
      <w:pPr>
        <w:pStyle w:val="8"/>
      </w:pPr>
    </w:p>
    <w:p>
      <w:pPr>
        <w:rPr>
          <w:rFonts w:ascii="仿宋_GB2312" w:hAnsi="黑体" w:eastAsia="仿宋_GB2312"/>
          <w:sz w:val="32"/>
          <w:szCs w:val="32"/>
        </w:rPr>
      </w:pPr>
    </w:p>
    <w:p>
      <w:pPr>
        <w:pStyle w:val="8"/>
        <w:rPr>
          <w:rFonts w:ascii="仿宋_GB2312" w:hAnsi="黑体" w:eastAsia="仿宋_GB2312"/>
          <w:sz w:val="32"/>
          <w:szCs w:val="32"/>
        </w:rPr>
      </w:pPr>
      <w:r>
        <w:rPr>
          <w:rFonts w:ascii="仿宋_GB2312" w:hAnsi="黑体" w:eastAsia="仿宋_GB2312"/>
          <w:sz w:val="32"/>
          <w:szCs w:val="32"/>
        </w:rPr>
        <w:object>
          <v:shape id="_x0000_i1026" o:spt="75" type="#_x0000_t75" style="height:314.35pt;width:697.65pt;" o:ole="t" filled="f" o:preferrelative="t" stroked="f" coordsize="21600,21600">
            <v:path/>
            <v:fill on="f" focussize="0,0"/>
            <v:stroke on="f"/>
            <v:imagedata r:id="rId8" o:title=""/>
            <o:lock v:ext="edit" aspectratio="f"/>
            <w10:wrap type="none"/>
            <w10:anchorlock/>
          </v:shape>
          <o:OLEObject Type="Embed" ProgID="Excel.Sheet.12" ShapeID="_x0000_i1026" DrawAspect="Content" ObjectID="_1468075726" r:id="rId7">
            <o:LockedField>false</o:LockedField>
          </o:OLEObject>
        </w:object>
      </w:r>
    </w:p>
    <w:p>
      <w:pPr>
        <w:rPr>
          <w:rFonts w:ascii="仿宋_GB2312" w:hAnsi="黑体" w:eastAsia="仿宋_GB2312"/>
          <w:sz w:val="32"/>
          <w:szCs w:val="32"/>
        </w:rPr>
      </w:pPr>
    </w:p>
    <w:tbl>
      <w:tblPr>
        <w:tblStyle w:val="9"/>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856"/>
        <w:gridCol w:w="1096"/>
        <w:gridCol w:w="2636"/>
        <w:gridCol w:w="1096"/>
        <w:gridCol w:w="1542"/>
        <w:gridCol w:w="1763"/>
        <w:gridCol w:w="198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gridSpan w:val="7"/>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jc w:val="center"/>
              <w:textAlignment w:val="center"/>
              <w:rPr>
                <w:rFonts w:ascii="黑体" w:hAnsi="宋体" w:eastAsia="黑体" w:cs="黑体"/>
                <w:b/>
                <w:bCs/>
                <w:i w:val="0"/>
                <w:iCs w:val="0"/>
                <w:color w:val="000000"/>
                <w:sz w:val="32"/>
                <w:szCs w:val="32"/>
                <w:u w:val="none"/>
              </w:rPr>
            </w:pPr>
            <w:r>
              <w:rPr>
                <w:rFonts w:hint="eastAsia" w:ascii="黑体" w:hAnsi="宋体" w:eastAsia="黑体" w:cs="黑体"/>
                <w:b/>
                <w:bCs/>
                <w:i w:val="0"/>
                <w:iCs w:val="0"/>
                <w:color w:val="000000"/>
                <w:kern w:val="0"/>
                <w:sz w:val="32"/>
                <w:szCs w:val="32"/>
                <w:u w:val="none"/>
                <w:lang w:val="en-US" w:eastAsia="zh-CN" w:bidi="ar"/>
              </w:rPr>
              <w:t>财政拨款收支总表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1" w:hRule="atLeast"/>
        </w:trPr>
        <w:tc>
          <w:tcPr>
            <w:tcW w:w="0" w:type="auto"/>
            <w:gridSpan w:val="2"/>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0" w:type="auto"/>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0" w:type="auto"/>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收    入</w:t>
            </w:r>
          </w:p>
        </w:tc>
        <w:tc>
          <w:tcPr>
            <w:tcW w:w="0" w:type="auto"/>
            <w:gridSpan w:val="5"/>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支    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预算数</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一般公共预算</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政府性基金预算</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国有资本经营预算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一、本年收入</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1,193.00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一、本年支出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1,193.00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1,193.00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一般公共预算拨款收入</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1,193.00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一般公共服务支出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524.45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524.45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政府性基金预算拨款收入</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外交支出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国有资本经营预算拨款收入</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国防支出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二、上年结转</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公共安全支出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一般公共预算拨款收入</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教育支出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政府性基金预算拨款收入</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科学技术支出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国有资本经营预算拨款收入</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文化旅游体育与传媒支出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120.69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120.69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社会保险基金支出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44.32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44.32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节能环保支出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农林水支出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443.01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443.01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交通运输支出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资源勘探工业信息等支出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商业服务业等支出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金融支出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援助其他地区支出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自然资源海洋气象等支出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60.53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60.53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粮油物资储备支出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国有资本经营预算支出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灾害防治及应急管理支出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债务付息支出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债务发行费用支出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抗疫特别国债安排的支出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bl>
    <w:p>
      <w:pPr>
        <w:pStyle w:val="8"/>
        <w:rPr>
          <w:rFonts w:ascii="仿宋_GB2312" w:hAnsi="黑体" w:eastAsia="仿宋_GB2312"/>
          <w:sz w:val="32"/>
          <w:szCs w:val="32"/>
        </w:rPr>
      </w:pPr>
    </w:p>
    <w:p>
      <w:pPr>
        <w:pStyle w:val="8"/>
      </w:pPr>
    </w:p>
    <w:p>
      <w:pPr>
        <w:rPr>
          <w:rFonts w:ascii="仿宋_GB2312" w:hAnsi="黑体" w:eastAsia="仿宋_GB2312"/>
          <w:sz w:val="32"/>
          <w:szCs w:val="32"/>
        </w:rPr>
      </w:pPr>
    </w:p>
    <w:p>
      <w:pPr>
        <w:pStyle w:val="8"/>
        <w:ind w:left="0" w:leftChars="0" w:firstLine="0" w:firstLineChars="0"/>
      </w:pPr>
    </w:p>
    <w:p/>
    <w:p>
      <w:pPr>
        <w:pStyle w:val="8"/>
      </w:pPr>
    </w:p>
    <w:p/>
    <w:p>
      <w:pPr>
        <w:pStyle w:val="8"/>
      </w:pPr>
    </w:p>
    <w:p/>
    <w:p>
      <w:pPr>
        <w:pStyle w:val="8"/>
      </w:pPr>
      <w:r>
        <w:object>
          <v:shape id="_x0000_i1027" o:spt="75" type="#_x0000_t75" style="height:248.3pt;width:696.85pt;" o:ole="t" filled="f" o:preferrelative="t" stroked="f" coordsize="21600,21600">
            <v:path/>
            <v:fill on="f" focussize="0,0"/>
            <v:stroke on="f"/>
            <v:imagedata r:id="rId10" o:title=""/>
            <o:lock v:ext="edit" aspectratio="f"/>
            <w10:wrap type="none"/>
            <w10:anchorlock/>
          </v:shape>
          <o:OLEObject Type="Embed" ProgID="Excel.Sheet.12" ShapeID="_x0000_i1027" DrawAspect="Content" ObjectID="_1468075727" r:id="rId9">
            <o:LockedField>false</o:LockedField>
          </o:OLEObject>
        </w:object>
      </w:r>
    </w:p>
    <w:p/>
    <w:p>
      <w:pPr>
        <w:pStyle w:val="8"/>
      </w:pPr>
    </w:p>
    <w:p/>
    <w:p>
      <w:pPr>
        <w:pStyle w:val="8"/>
      </w:pPr>
    </w:p>
    <w:p/>
    <w:p>
      <w:pPr>
        <w:rPr>
          <w:rFonts w:ascii="仿宋_GB2312" w:hAnsi="黑体" w:eastAsia="仿宋_GB2312"/>
          <w:sz w:val="32"/>
          <w:szCs w:val="32"/>
        </w:rPr>
      </w:pPr>
    </w:p>
    <w:p>
      <w:pPr>
        <w:rPr>
          <w:rFonts w:ascii="仿宋_GB2312" w:hAnsi="黑体" w:eastAsia="仿宋_GB2312"/>
          <w:sz w:val="32"/>
          <w:szCs w:val="32"/>
        </w:rPr>
      </w:pPr>
      <w:r>
        <w:rPr>
          <w:rFonts w:ascii="仿宋_GB2312" w:hAnsi="黑体" w:eastAsia="仿宋_GB2312"/>
          <w:sz w:val="32"/>
          <w:szCs w:val="32"/>
        </w:rPr>
        <w:object>
          <v:shape id="_x0000_i1028" o:spt="75" type="#_x0000_t75" style="height:235.2pt;width:697.05pt;" o:ole="t" filled="f" o:preferrelative="t" stroked="f" coordsize="21600,21600">
            <v:path/>
            <v:fill on="f" focussize="0,0"/>
            <v:stroke on="f"/>
            <v:imagedata r:id="rId12" o:title=""/>
            <o:lock v:ext="edit" aspectratio="f"/>
            <w10:wrap type="none"/>
            <w10:anchorlock/>
          </v:shape>
          <o:OLEObject Type="Embed" ProgID="Excel.Sheet.12" ShapeID="_x0000_i1028" DrawAspect="Content" ObjectID="_1468075728" r:id="rId11">
            <o:LockedField>false</o:LockedField>
          </o:OLEObject>
        </w:object>
      </w:r>
    </w:p>
    <w:p>
      <w:pPr>
        <w:rPr>
          <w:rFonts w:ascii="仿宋_GB2312" w:hAnsi="黑体" w:eastAsia="仿宋_GB2312"/>
          <w:sz w:val="32"/>
          <w:szCs w:val="32"/>
        </w:rPr>
      </w:pPr>
    </w:p>
    <w:p>
      <w:pPr>
        <w:pStyle w:val="8"/>
        <w:rPr>
          <w:rFonts w:ascii="仿宋_GB2312" w:hAnsi="黑体" w:eastAsia="仿宋_GB2312"/>
          <w:sz w:val="32"/>
          <w:szCs w:val="32"/>
        </w:rPr>
      </w:pPr>
    </w:p>
    <w:p>
      <w:pPr>
        <w:rPr>
          <w:rFonts w:ascii="仿宋_GB2312" w:hAnsi="黑体" w:eastAsia="仿宋_GB2312"/>
          <w:sz w:val="32"/>
          <w:szCs w:val="32"/>
        </w:rPr>
      </w:pPr>
    </w:p>
    <w:p>
      <w:pPr>
        <w:pStyle w:val="8"/>
      </w:pPr>
    </w:p>
    <w:p>
      <w:pPr>
        <w:rPr>
          <w:rFonts w:ascii="仿宋_GB2312" w:hAnsi="黑体" w:eastAsia="仿宋_GB2312"/>
          <w:sz w:val="32"/>
          <w:szCs w:val="32"/>
        </w:rPr>
      </w:pPr>
    </w:p>
    <w:p>
      <w:pPr>
        <w:rPr>
          <w:rFonts w:ascii="仿宋_GB2312" w:hAnsi="黑体" w:eastAsia="仿宋_GB2312"/>
          <w:sz w:val="32"/>
          <w:szCs w:val="32"/>
        </w:rPr>
      </w:pPr>
      <w:r>
        <w:rPr>
          <w:rFonts w:ascii="仿宋_GB2312" w:hAnsi="黑体" w:eastAsia="仿宋_GB2312"/>
          <w:sz w:val="32"/>
          <w:szCs w:val="32"/>
        </w:rPr>
        <w:br w:type="page"/>
      </w:r>
    </w:p>
    <w:p>
      <w:pPr>
        <w:rPr>
          <w:rFonts w:ascii="仿宋_GB2312" w:hAnsi="黑体" w:eastAsia="仿宋_GB2312"/>
          <w:sz w:val="32"/>
          <w:szCs w:val="32"/>
        </w:rPr>
      </w:pPr>
      <w:r>
        <w:rPr>
          <w:rFonts w:ascii="仿宋_GB2312" w:hAnsi="黑体" w:eastAsia="仿宋_GB2312"/>
          <w:sz w:val="32"/>
          <w:szCs w:val="32"/>
        </w:rPr>
        <w:object>
          <v:shape id="_x0000_i1029" o:spt="75" type="#_x0000_t75" style="height:194.85pt;width:697.6pt;" o:ole="t" filled="f" o:preferrelative="t" stroked="f" coordsize="21600,21600">
            <v:path/>
            <v:fill on="f" focussize="0,0"/>
            <v:stroke on="f"/>
            <v:imagedata r:id="rId14" o:title=""/>
            <o:lock v:ext="edit" aspectratio="f"/>
            <w10:wrap type="none"/>
            <w10:anchorlock/>
          </v:shape>
          <o:OLEObject Type="Embed" ProgID="Excel.Sheet.12" ShapeID="_x0000_i1029" DrawAspect="Content" ObjectID="_1468075729" r:id="rId13">
            <o:LockedField>false</o:LockedField>
          </o:OLEObject>
        </w:object>
      </w:r>
    </w:p>
    <w:p>
      <w:pPr>
        <w:rPr>
          <w:rFonts w:ascii="仿宋_GB2312" w:hAnsi="黑体" w:eastAsia="仿宋_GB2312"/>
          <w:sz w:val="32"/>
          <w:szCs w:val="32"/>
        </w:rPr>
      </w:pPr>
    </w:p>
    <w:p>
      <w:pPr>
        <w:rPr>
          <w:rFonts w:ascii="仿宋_GB2312" w:hAnsi="黑体" w:eastAsia="仿宋_GB2312"/>
          <w:sz w:val="32"/>
          <w:szCs w:val="32"/>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r>
        <w:object>
          <v:shape id="_x0000_i1030" o:spt="75" type="#_x0000_t75" style="height:112.9pt;width:697.85pt;" o:ole="t" filled="f" o:preferrelative="t" stroked="f" coordsize="21600,21600">
            <v:path/>
            <v:fill on="f" focussize="0,0"/>
            <v:stroke on="f"/>
            <v:imagedata r:id="rId16" o:title=""/>
            <o:lock v:ext="edit" aspectratio="f"/>
            <w10:wrap type="none"/>
            <w10:anchorlock/>
          </v:shape>
          <o:OLEObject Type="Embed" ProgID="Excel.Sheet.12" ShapeID="_x0000_i1030" DrawAspect="Content" ObjectID="_1468075730" r:id="rId15">
            <o:LockedField>false</o:LockedField>
          </o:OLEObject>
        </w:object>
      </w: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r>
        <w:object>
          <v:shape id="_x0000_i1031" o:spt="75" alt="" type="#_x0000_t75" style="height:146.3pt;width:697.35pt;" o:ole="t" filled="f" o:preferrelative="t" stroked="f" coordsize="21600,21600">
            <v:path/>
            <v:fill on="f" focussize="0,0"/>
            <v:stroke on="f"/>
            <v:imagedata r:id="rId18" o:title=""/>
            <o:lock v:ext="edit" aspectratio="f"/>
            <w10:wrap type="none"/>
            <w10:anchorlock/>
          </v:shape>
          <o:OLEObject Type="Embed" ProgID="Excel.Sheet.12" ShapeID="_x0000_i1031" DrawAspect="Content" ObjectID="_1468075731" r:id="rId17">
            <o:LockedField>false</o:LockedField>
          </o:OLEObject>
        </w:object>
      </w: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r>
        <w:object>
          <v:shape id="_x0000_i1032" o:spt="75" alt="" type="#_x0000_t75" style="height:152.75pt;width:697.1pt;" o:ole="t" filled="f" o:preferrelative="t" stroked="f" coordsize="21600,21600">
            <v:path/>
            <v:fill on="f" focussize="0,0"/>
            <v:stroke on="f"/>
            <v:imagedata r:id="rId20" o:title=""/>
            <o:lock v:ext="edit" aspectratio="f"/>
            <w10:wrap type="none"/>
            <w10:anchorlock/>
          </v:shape>
          <o:OLEObject Type="Embed" ProgID="Excel.Sheet.12" ShapeID="_x0000_i1032" DrawAspect="Content" ObjectID="_1468075732" r:id="rId19">
            <o:LockedField>false</o:LockedField>
          </o:OLEObject>
        </w:object>
      </w: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r>
        <w:object>
          <v:shape id="_x0000_i1033" o:spt="75" type="#_x0000_t75" style="height:433.9pt;width:697.65pt;" o:ole="t" filled="f" o:preferrelative="t" stroked="f" coordsize="21600,21600">
            <v:path/>
            <v:fill on="f" focussize="0,0"/>
            <v:stroke on="f"/>
            <v:imagedata r:id="rId22" o:title=""/>
            <o:lock v:ext="edit" aspectratio="f"/>
            <w10:wrap type="none"/>
            <w10:anchorlock/>
          </v:shape>
          <o:OLEObject Type="Embed" ProgID="Excel.Sheet.12" ShapeID="_x0000_i1033" DrawAspect="Content" ObjectID="_1468075733" r:id="rId21">
            <o:LockedField>false</o:LockedField>
          </o:OLEObject>
        </w:object>
      </w:r>
    </w:p>
    <w:p>
      <w:pPr>
        <w:pStyle w:val="2"/>
      </w:pPr>
    </w:p>
    <w:p>
      <w:pPr>
        <w:pStyle w:val="2"/>
      </w:pPr>
      <w:r>
        <w:object>
          <v:shape id="_x0000_i1034" o:spt="75" type="#_x0000_t75" style="height:249.75pt;width:531pt;" o:ole="t" filled="f" o:preferrelative="t" stroked="f" coordsize="21600,21600">
            <v:path/>
            <v:fill on="f" focussize="0,0"/>
            <v:stroke on="f"/>
            <v:imagedata r:id="rId24" o:title=""/>
            <o:lock v:ext="edit" aspectratio="f"/>
            <w10:wrap type="none"/>
            <w10:anchorlock/>
          </v:shape>
          <o:OLEObject Type="Embed" ProgID="Excel.Sheet.12" ShapeID="_x0000_i1034" DrawAspect="Content" ObjectID="_1468075734" r:id="rId23">
            <o:LockedField>false</o:LockedField>
          </o:OLEObject>
        </w:object>
      </w:r>
    </w:p>
    <w:p>
      <w:pPr>
        <w:pStyle w:val="2"/>
      </w:pPr>
    </w:p>
    <w:p>
      <w:pPr>
        <w:pStyle w:val="2"/>
      </w:pPr>
    </w:p>
    <w:p>
      <w:pPr>
        <w:bidi w:val="0"/>
      </w:pPr>
    </w:p>
    <w:p>
      <w:pPr>
        <w:bidi w:val="0"/>
      </w:pPr>
    </w:p>
    <w:p>
      <w:pPr>
        <w:bidi w:val="0"/>
      </w:pPr>
    </w:p>
    <w:p>
      <w:pPr>
        <w:bidi w:val="0"/>
      </w:pPr>
    </w:p>
    <w:p>
      <w:pPr>
        <w:bidi w:val="0"/>
      </w:pPr>
    </w:p>
    <w:p>
      <w:pPr>
        <w:bidi w:val="0"/>
      </w:pPr>
    </w:p>
    <w:p>
      <w:pPr>
        <w:bidi w:val="0"/>
      </w:pPr>
    </w:p>
    <w:p>
      <w:pPr>
        <w:bidi w:val="0"/>
      </w:pPr>
      <w:r>
        <w:object>
          <v:shape id="_x0000_i1035" o:spt="75" type="#_x0000_t75" style="height:166.85pt;width:697.7pt;" o:ole="t" filled="f" o:preferrelative="t" stroked="f" coordsize="21600,21600">
            <v:path/>
            <v:fill on="f" focussize="0,0"/>
            <v:stroke on="f"/>
            <v:imagedata r:id="rId26" o:title=""/>
            <o:lock v:ext="edit" aspectratio="f"/>
            <w10:wrap type="none"/>
            <w10:anchorlock/>
          </v:shape>
          <o:OLEObject Type="Embed" ProgID="Excel.Sheet.12" ShapeID="_x0000_i1035" DrawAspect="Content" ObjectID="_1468075735" r:id="rId25">
            <o:LockedField>false</o:LockedField>
          </o:OLEObject>
        </w:object>
      </w:r>
    </w:p>
    <w:p>
      <w:pPr>
        <w:bidi w:val="0"/>
      </w:pPr>
    </w:p>
    <w:p>
      <w:pPr>
        <w:bidi w:val="0"/>
      </w:pPr>
    </w:p>
    <w:p>
      <w:pPr>
        <w:bidi w:val="0"/>
      </w:pPr>
    </w:p>
    <w:p>
      <w:pPr>
        <w:bidi w:val="0"/>
      </w:pPr>
    </w:p>
    <w:p>
      <w:pPr>
        <w:bidi w:val="0"/>
      </w:pPr>
    </w:p>
    <w:p>
      <w:pPr>
        <w:bidi w:val="0"/>
      </w:pPr>
    </w:p>
    <w:p>
      <w:pPr>
        <w:tabs>
          <w:tab w:val="left" w:pos="3103"/>
        </w:tabs>
        <w:bidi w:val="0"/>
        <w:jc w:val="left"/>
        <w:rPr>
          <w:rFonts w:hint="eastAsia"/>
          <w:lang w:eastAsia="zh-CN"/>
        </w:rPr>
      </w:pPr>
      <w:r>
        <w:rPr>
          <w:rFonts w:hint="eastAsia"/>
          <w:lang w:eastAsia="zh-CN"/>
        </w:rPr>
        <w:tab/>
      </w:r>
    </w:p>
    <w:p>
      <w:pPr>
        <w:pStyle w:val="2"/>
        <w:rPr>
          <w:rFonts w:hint="eastAsia"/>
          <w:lang w:eastAsia="zh-CN"/>
        </w:rPr>
      </w:pPr>
    </w:p>
    <w:p>
      <w:pPr>
        <w:pStyle w:val="2"/>
        <w:rPr>
          <w:rFonts w:hint="eastAsia"/>
          <w:lang w:eastAsia="zh-CN"/>
        </w:rPr>
      </w:pPr>
    </w:p>
    <w:p>
      <w:pPr>
        <w:bidi w:val="0"/>
        <w:rPr>
          <w:rFonts w:hint="eastAsia"/>
          <w:lang w:eastAsia="zh-CN"/>
        </w:rPr>
      </w:pPr>
    </w:p>
    <w:p>
      <w:pPr>
        <w:bidi w:val="0"/>
        <w:rPr>
          <w:rFonts w:hint="eastAsia"/>
          <w:lang w:eastAsia="zh-CN"/>
        </w:rPr>
      </w:pPr>
    </w:p>
    <w:p>
      <w:pPr>
        <w:bidi w:val="0"/>
        <w:rPr>
          <w:rFonts w:hint="eastAsia"/>
          <w:lang w:eastAsia="zh-CN"/>
        </w:rPr>
      </w:pPr>
    </w:p>
    <w:p>
      <w:pPr>
        <w:bidi w:val="0"/>
        <w:rPr>
          <w:rFonts w:hint="eastAsia"/>
          <w:lang w:eastAsia="zh-CN"/>
        </w:rPr>
      </w:pPr>
    </w:p>
    <w:p>
      <w:pPr>
        <w:bidi w:val="0"/>
        <w:rPr>
          <w:rFonts w:hint="eastAsia"/>
          <w:lang w:eastAsia="zh-CN"/>
        </w:rPr>
      </w:pPr>
    </w:p>
    <w:p>
      <w:pPr>
        <w:bidi w:val="0"/>
        <w:rPr>
          <w:rFonts w:hint="eastAsia"/>
          <w:lang w:eastAsia="zh-CN"/>
        </w:rPr>
      </w:pPr>
    </w:p>
    <w:p>
      <w:pPr>
        <w:bidi w:val="0"/>
        <w:rPr>
          <w:rFonts w:hint="eastAsia"/>
          <w:lang w:eastAsia="zh-CN"/>
        </w:rPr>
      </w:pPr>
    </w:p>
    <w:p>
      <w:pPr>
        <w:bidi w:val="0"/>
        <w:rPr>
          <w:rFonts w:hint="eastAsia"/>
          <w:lang w:eastAsia="zh-CN"/>
        </w:rPr>
      </w:pPr>
      <w:r>
        <w:rPr>
          <w:rFonts w:hint="eastAsia"/>
          <w:lang w:eastAsia="zh-CN"/>
        </w:rPr>
        <w:object>
          <v:shape id="_x0000_i1036" o:spt="75" alt="" type="#_x0000_t75" style="height:192.75pt;width:678.75pt;" o:ole="t" filled="f" o:preferrelative="t" stroked="f" coordsize="21600,21600">
            <v:path/>
            <v:fill on="f" focussize="0,0"/>
            <v:stroke on="f"/>
            <v:imagedata r:id="rId28" o:title=""/>
            <o:lock v:ext="edit" aspectratio="f"/>
            <w10:wrap type="none"/>
            <w10:anchorlock/>
          </v:shape>
          <o:OLEObject Type="Embed" ProgID="Excel.Sheet.12" ShapeID="_x0000_i1036" DrawAspect="Content" ObjectID="_1468075736" r:id="rId27">
            <o:LockedField>false</o:LockedField>
          </o:OLEObject>
        </w:object>
      </w:r>
    </w:p>
    <w:p>
      <w:pPr>
        <w:bidi w:val="0"/>
        <w:rPr>
          <w:rFonts w:hint="eastAsia"/>
          <w:lang w:eastAsia="zh-CN"/>
        </w:rPr>
      </w:pPr>
    </w:p>
    <w:p>
      <w:pPr>
        <w:bidi w:val="0"/>
        <w:rPr>
          <w:rFonts w:hint="eastAsia"/>
          <w:lang w:eastAsia="zh-CN"/>
        </w:rPr>
      </w:pPr>
    </w:p>
    <w:p>
      <w:pPr>
        <w:bidi w:val="0"/>
        <w:rPr>
          <w:rFonts w:hint="eastAsia"/>
          <w:lang w:eastAsia="zh-CN"/>
        </w:rPr>
      </w:pPr>
    </w:p>
    <w:p>
      <w:pPr>
        <w:bidi w:val="0"/>
        <w:rPr>
          <w:rFonts w:hint="eastAsia"/>
          <w:lang w:eastAsia="zh-CN"/>
        </w:rPr>
      </w:pPr>
    </w:p>
    <w:p>
      <w:pPr>
        <w:tabs>
          <w:tab w:val="left" w:pos="2323"/>
        </w:tabs>
        <w:bidi w:val="0"/>
        <w:jc w:val="left"/>
        <w:rPr>
          <w:rFonts w:hint="eastAsia"/>
          <w:lang w:eastAsia="zh-CN"/>
        </w:rPr>
      </w:pPr>
      <w:r>
        <w:rPr>
          <w:rFonts w:hint="eastAsia"/>
          <w:lang w:eastAsia="zh-CN"/>
        </w:rPr>
        <w:tab/>
      </w: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bidi w:val="0"/>
        <w:rPr>
          <w:rFonts w:hint="eastAsia"/>
          <w:lang w:eastAsia="zh-CN"/>
        </w:rPr>
      </w:pPr>
    </w:p>
    <w:p>
      <w:pPr>
        <w:bidi w:val="0"/>
        <w:rPr>
          <w:rFonts w:hint="eastAsia"/>
          <w:lang w:eastAsia="zh-CN"/>
        </w:rPr>
      </w:pPr>
    </w:p>
    <w:p>
      <w:pPr>
        <w:bidi w:val="0"/>
        <w:rPr>
          <w:rFonts w:hint="eastAsia"/>
          <w:lang w:eastAsia="zh-CN"/>
        </w:rPr>
      </w:pPr>
    </w:p>
    <w:p>
      <w:pPr>
        <w:bidi w:val="0"/>
        <w:rPr>
          <w:rFonts w:hint="eastAsia"/>
          <w:lang w:eastAsia="zh-CN"/>
        </w:rPr>
      </w:pPr>
      <w:r>
        <w:rPr>
          <w:rFonts w:hint="eastAsia"/>
          <w:lang w:eastAsia="zh-CN"/>
        </w:rPr>
        <w:object>
          <v:shape id="_x0000_i1049" o:spt="75" alt="" type="#_x0000_t75" style="height:152.3pt;width:697.5pt;" o:ole="t" filled="f" o:preferrelative="t" stroked="f" coordsize="21600,21600">
            <v:path/>
            <v:fill on="f" focussize="0,0"/>
            <v:stroke on="f"/>
            <v:imagedata r:id="rId30" o:title=""/>
            <o:lock v:ext="edit" aspectratio="f"/>
            <w10:wrap type="none"/>
            <w10:anchorlock/>
          </v:shape>
          <o:OLEObject Type="Embed" ProgID="Excel.Sheet.12" ShapeID="_x0000_i1049" DrawAspect="Content" ObjectID="_1468075737" r:id="rId29">
            <o:LockedField>false</o:LockedField>
          </o:OLEObject>
        </w:object>
      </w:r>
    </w:p>
    <w:p>
      <w:pPr>
        <w:bidi w:val="0"/>
        <w:rPr>
          <w:rFonts w:hint="eastAsia"/>
          <w:lang w:eastAsia="zh-CN"/>
        </w:rPr>
      </w:pPr>
    </w:p>
    <w:p>
      <w:pPr>
        <w:bidi w:val="0"/>
        <w:rPr>
          <w:rFonts w:hint="eastAsia"/>
          <w:lang w:eastAsia="zh-CN"/>
        </w:rPr>
      </w:pPr>
    </w:p>
    <w:p>
      <w:pPr>
        <w:bidi w:val="0"/>
        <w:rPr>
          <w:rFonts w:hint="eastAsia"/>
          <w:lang w:eastAsia="zh-CN"/>
        </w:rPr>
      </w:pPr>
    </w:p>
    <w:p>
      <w:pPr>
        <w:bidi w:val="0"/>
        <w:rPr>
          <w:rFonts w:hint="eastAsia"/>
          <w:lang w:eastAsia="zh-CN"/>
        </w:rPr>
      </w:pPr>
    </w:p>
    <w:p>
      <w:pPr>
        <w:bidi w:val="0"/>
        <w:rPr>
          <w:rFonts w:hint="eastAsia"/>
          <w:lang w:eastAsia="zh-CN"/>
        </w:rPr>
      </w:pPr>
    </w:p>
    <w:p>
      <w:pPr>
        <w:bidi w:val="0"/>
        <w:rPr>
          <w:rFonts w:hint="eastAsia"/>
          <w:lang w:eastAsia="zh-CN"/>
        </w:rPr>
      </w:pPr>
    </w:p>
    <w:p>
      <w:pPr>
        <w:bidi w:val="0"/>
        <w:rPr>
          <w:rFonts w:hint="eastAsia"/>
          <w:lang w:eastAsia="zh-CN"/>
        </w:rPr>
      </w:pPr>
    </w:p>
    <w:p>
      <w:pPr>
        <w:bidi w:val="0"/>
        <w:rPr>
          <w:rFonts w:hint="eastAsia"/>
          <w:lang w:eastAsia="zh-CN"/>
        </w:rPr>
      </w:pPr>
    </w:p>
    <w:p>
      <w:pPr>
        <w:bidi w:val="0"/>
        <w:rPr>
          <w:rFonts w:hint="eastAsia"/>
          <w:lang w:eastAsia="zh-CN"/>
        </w:rPr>
      </w:pPr>
    </w:p>
    <w:p>
      <w:pPr>
        <w:bidi w:val="0"/>
        <w:rPr>
          <w:rFonts w:hint="eastAsia"/>
          <w:lang w:eastAsia="zh-CN"/>
        </w:rPr>
      </w:pPr>
    </w:p>
    <w:p>
      <w:pPr>
        <w:bidi w:val="0"/>
        <w:rPr>
          <w:rFonts w:hint="eastAsia"/>
          <w:lang w:eastAsia="zh-CN"/>
        </w:rPr>
      </w:pPr>
    </w:p>
    <w:p>
      <w:pPr>
        <w:bidi w:val="0"/>
        <w:rPr>
          <w:rFonts w:hint="eastAsia"/>
          <w:lang w:eastAsia="zh-CN"/>
        </w:rPr>
      </w:pPr>
    </w:p>
    <w:p>
      <w:pPr>
        <w:tabs>
          <w:tab w:val="left" w:pos="2398"/>
        </w:tabs>
        <w:bidi w:val="0"/>
        <w:jc w:val="left"/>
        <w:rPr>
          <w:rFonts w:hint="eastAsia"/>
          <w:lang w:eastAsia="zh-CN"/>
        </w:rPr>
      </w:pPr>
      <w:r>
        <w:rPr>
          <w:rFonts w:hint="eastAsia"/>
          <w:lang w:eastAsia="zh-CN"/>
        </w:rPr>
        <w:tab/>
      </w:r>
    </w:p>
    <w:p>
      <w:pPr>
        <w:bidi w:val="0"/>
        <w:rPr>
          <w:rFonts w:hint="eastAsia" w:asciiTheme="minorHAnsi" w:hAnsiTheme="minorHAnsi" w:eastAsiaTheme="minorEastAsia" w:cstheme="minorBidi"/>
          <w:kern w:val="2"/>
          <w:sz w:val="21"/>
          <w:szCs w:val="22"/>
          <w:lang w:val="en-US" w:eastAsia="zh-CN" w:bidi="ar-SA"/>
        </w:rPr>
      </w:pPr>
    </w:p>
    <w:p>
      <w:pPr>
        <w:bidi w:val="0"/>
        <w:rPr>
          <w:rFonts w:hint="eastAsia"/>
          <w:lang w:val="en-US" w:eastAsia="zh-CN"/>
        </w:rPr>
      </w:pPr>
    </w:p>
    <w:p>
      <w:pPr>
        <w:bidi w:val="0"/>
        <w:rPr>
          <w:rFonts w:hint="eastAsia"/>
          <w:lang w:val="en-US" w:eastAsia="zh-CN"/>
        </w:rPr>
      </w:pPr>
      <w:r>
        <w:rPr>
          <w:rFonts w:hint="eastAsia"/>
          <w:lang w:val="en-US" w:eastAsia="zh-CN"/>
        </w:rPr>
        <w:object>
          <v:shape id="_x0000_i1038" o:spt="75" alt="" type="#_x0000_t75" style="height:192.75pt;width:684.75pt;" o:ole="t" filled="f" o:preferrelative="t" stroked="f" coordsize="21600,21600">
            <v:path/>
            <v:fill on="f" focussize="0,0"/>
            <v:stroke on="f"/>
            <v:imagedata r:id="rId32" o:title=""/>
            <o:lock v:ext="edit" aspectratio="f"/>
            <w10:wrap type="none"/>
            <w10:anchorlock/>
          </v:shape>
          <o:OLEObject Type="Embed" ProgID="Excel.Sheet.12" ShapeID="_x0000_i1038" DrawAspect="Content" ObjectID="_1468075738" r:id="rId31">
            <o:LockedField>false</o:LockedField>
          </o:OLEObject>
        </w:object>
      </w: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tabs>
          <w:tab w:val="left" w:pos="4077"/>
        </w:tabs>
        <w:bidi w:val="0"/>
        <w:jc w:val="left"/>
        <w:rPr>
          <w:rFonts w:hint="eastAsia"/>
          <w:lang w:val="en-US" w:eastAsia="zh-CN"/>
        </w:rPr>
      </w:pPr>
      <w:r>
        <w:rPr>
          <w:rFonts w:hint="eastAsia"/>
          <w:lang w:val="en-US" w:eastAsia="zh-CN"/>
        </w:rPr>
        <w:tab/>
      </w:r>
    </w:p>
    <w:p>
      <w:pPr>
        <w:pStyle w:val="2"/>
        <w:rPr>
          <w:rFonts w:hint="eastAsia"/>
          <w:lang w:val="en-US" w:eastAsia="zh-CN"/>
        </w:rPr>
      </w:pPr>
    </w:p>
    <w:p>
      <w:pPr>
        <w:pStyle w:val="2"/>
        <w:rPr>
          <w:rFonts w:hint="eastAsia"/>
          <w:lang w:val="en-US" w:eastAsia="zh-CN"/>
        </w:rPr>
      </w:pPr>
    </w:p>
    <w:p>
      <w:pPr>
        <w:pStyle w:val="2"/>
        <w:rPr>
          <w:rFonts w:hint="eastAsia"/>
          <w:lang w:val="en-US" w:eastAsia="zh-CN"/>
        </w:rPr>
      </w:pPr>
      <w:r>
        <w:rPr>
          <w:rFonts w:hint="eastAsia"/>
          <w:lang w:val="en-US" w:eastAsia="zh-CN"/>
        </w:rPr>
        <w:object>
          <v:shape id="_x0000_i1039" o:spt="75" type="#_x0000_t75" style="height:239.5pt;width:697.65pt;" o:ole="t" filled="f" o:preferrelative="t" stroked="f" coordsize="21600,21600">
            <v:path/>
            <v:fill on="f" focussize="0,0"/>
            <v:stroke on="f"/>
            <v:imagedata r:id="rId34" o:title=""/>
            <o:lock v:ext="edit" aspectratio="f"/>
            <w10:wrap type="none"/>
            <w10:anchorlock/>
          </v:shape>
          <o:OLEObject Type="Embed" ProgID="Excel.Sheet.12" ShapeID="_x0000_i1039" DrawAspect="Content" ObjectID="_1468075739" r:id="rId33">
            <o:LockedField>false</o:LockedField>
          </o:OLEObject>
        </w:object>
      </w: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r>
        <w:rPr>
          <w:rFonts w:hint="eastAsia"/>
          <w:lang w:val="en-US" w:eastAsia="zh-CN"/>
        </w:rPr>
        <w:object>
          <v:shape id="_x0000_i1040" o:spt="75" type="#_x0000_t75" style="height:184.95pt;width:696.75pt;" o:ole="t" filled="f" o:preferrelative="t" stroked="f" coordsize="21600,21600">
            <v:path/>
            <v:fill on="f" focussize="0,0"/>
            <v:stroke on="f"/>
            <v:imagedata r:id="rId36" o:title=""/>
            <o:lock v:ext="edit" aspectratio="f"/>
            <w10:wrap type="none"/>
            <w10:anchorlock/>
          </v:shape>
          <o:OLEObject Type="Embed" ProgID="Excel.Sheet.12" ShapeID="_x0000_i1040" DrawAspect="Content" ObjectID="_1468075740" r:id="rId35">
            <o:LockedField>false</o:LockedField>
          </o:OLEObject>
        </w:object>
      </w:r>
    </w:p>
    <w:p>
      <w:pPr>
        <w:tabs>
          <w:tab w:val="left" w:pos="2802"/>
        </w:tabs>
        <w:bidi w:val="0"/>
        <w:jc w:val="left"/>
        <w:rPr>
          <w:rFonts w:hint="eastAsia"/>
          <w:lang w:val="en-US" w:eastAsia="zh-CN"/>
        </w:rPr>
      </w:pPr>
      <w:r>
        <w:rPr>
          <w:rFonts w:hint="eastAsia"/>
          <w:lang w:val="en-US" w:eastAsia="zh-CN"/>
        </w:rPr>
        <w:tab/>
      </w: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r>
        <w:rPr>
          <w:rFonts w:hint="eastAsia"/>
          <w:lang w:val="en-US" w:eastAsia="zh-CN"/>
        </w:rPr>
        <w:object>
          <v:shape id="_x0000_i1041" o:spt="75" type="#_x0000_t75" style="height:120.35pt;width:697.4pt;" o:ole="t" filled="f" o:preferrelative="t" stroked="f" coordsize="21600,21600">
            <v:path/>
            <v:fill on="f" focussize="0,0"/>
            <v:stroke on="f"/>
            <v:imagedata r:id="rId38" o:title=""/>
            <o:lock v:ext="edit" aspectratio="f"/>
            <w10:wrap type="none"/>
            <w10:anchorlock/>
          </v:shape>
          <o:OLEObject Type="Embed" ProgID="Excel.Sheet.12" ShapeID="_x0000_i1041" DrawAspect="Content" ObjectID="_1468075741" r:id="rId37">
            <o:LockedField>false</o:LockedField>
          </o:OLEObject>
        </w:object>
      </w: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tabs>
          <w:tab w:val="left" w:pos="2697"/>
        </w:tabs>
        <w:bidi w:val="0"/>
        <w:jc w:val="left"/>
        <w:rPr>
          <w:rFonts w:hint="eastAsia"/>
          <w:lang w:val="en-US" w:eastAsia="zh-CN"/>
        </w:rPr>
      </w:pPr>
      <w:r>
        <w:rPr>
          <w:rFonts w:hint="eastAsia"/>
          <w:lang w:val="en-US" w:eastAsia="zh-CN"/>
        </w:rPr>
        <w:tab/>
      </w: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r>
        <w:rPr>
          <w:rFonts w:hint="eastAsia"/>
          <w:lang w:val="en-US" w:eastAsia="zh-CN"/>
        </w:rPr>
        <w:object>
          <v:shape id="_x0000_i1042" o:spt="75" alt="" type="#_x0000_t75" style="height:134.95pt;width:697.2pt;" o:ole="t" filled="f" o:preferrelative="t" stroked="f" coordsize="21600,21600">
            <v:path/>
            <v:fill on="f" focussize="0,0"/>
            <v:stroke on="f"/>
            <v:imagedata r:id="rId40" o:title=""/>
            <o:lock v:ext="edit" aspectratio="f"/>
            <w10:wrap type="none"/>
            <w10:anchorlock/>
          </v:shape>
          <o:OLEObject Type="Embed" ProgID="Excel.Sheet.12" ShapeID="_x0000_i1042" DrawAspect="Content" ObjectID="_1468075742" r:id="rId39">
            <o:LockedField>false</o:LockedField>
          </o:OLEObject>
        </w:object>
      </w: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tabs>
          <w:tab w:val="left" w:pos="4872"/>
        </w:tabs>
        <w:bidi w:val="0"/>
        <w:jc w:val="left"/>
        <w:rPr>
          <w:rFonts w:hint="eastAsia"/>
          <w:lang w:val="en-US" w:eastAsia="zh-CN"/>
        </w:rPr>
      </w:pPr>
      <w:r>
        <w:rPr>
          <w:rFonts w:hint="eastAsia"/>
          <w:lang w:val="en-US" w:eastAsia="zh-CN"/>
        </w:rPr>
        <w:tab/>
      </w: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r>
        <w:rPr>
          <w:rFonts w:hint="eastAsia"/>
          <w:lang w:val="en-US" w:eastAsia="zh-CN"/>
        </w:rPr>
        <w:object>
          <v:shape id="_x0000_i1043" o:spt="75" alt="" type="#_x0000_t75" style="height:190pt;width:696.85pt;" o:ole="t" filled="f" o:preferrelative="t" stroked="f" coordsize="21600,21600">
            <v:path/>
            <v:fill on="f" focussize="0,0"/>
            <v:stroke on="f"/>
            <v:imagedata r:id="rId42" o:title=""/>
            <o:lock v:ext="edit" aspectratio="f"/>
            <w10:wrap type="none"/>
            <w10:anchorlock/>
          </v:shape>
          <o:OLEObject Type="Embed" ProgID="Excel.Sheet.12" ShapeID="_x0000_i1043" DrawAspect="Content" ObjectID="_1468075743" r:id="rId41">
            <o:LockedField>false</o:LockedField>
          </o:OLEObject>
        </w:object>
      </w:r>
    </w:p>
    <w:p>
      <w:pPr>
        <w:bidi w:val="0"/>
        <w:jc w:val="left"/>
        <w:rPr>
          <w:rFonts w:hint="eastAsia"/>
          <w:lang w:val="en-US" w:eastAsia="zh-CN"/>
        </w:rPr>
      </w:pPr>
    </w:p>
    <w:p>
      <w:pPr>
        <w:bidi w:val="0"/>
        <w:rPr>
          <w:rFonts w:hint="eastAsia" w:asciiTheme="minorHAnsi" w:hAnsiTheme="minorHAnsi" w:eastAsiaTheme="minorEastAsia" w:cstheme="minorBidi"/>
          <w:kern w:val="2"/>
          <w:sz w:val="21"/>
          <w:szCs w:val="22"/>
          <w:lang w:val="en-US" w:eastAsia="zh-CN" w:bidi="ar-SA"/>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tabs>
          <w:tab w:val="left" w:pos="5202"/>
        </w:tabs>
        <w:bidi w:val="0"/>
        <w:jc w:val="left"/>
        <w:rPr>
          <w:rFonts w:hint="eastAsia"/>
          <w:lang w:val="en-US" w:eastAsia="zh-CN"/>
        </w:rPr>
      </w:pPr>
      <w:r>
        <w:rPr>
          <w:rFonts w:hint="eastAsia"/>
          <w:lang w:val="en-US" w:eastAsia="zh-CN"/>
        </w:rPr>
        <w:tab/>
      </w: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r>
        <w:rPr>
          <w:rFonts w:hint="eastAsia"/>
          <w:lang w:val="en-US" w:eastAsia="zh-CN"/>
        </w:rPr>
        <w:object>
          <v:shape id="_x0000_i1044" o:spt="75" type="#_x0000_t75" style="height:262.1pt;width:697.7pt;" o:ole="t" filled="f" o:preferrelative="t" stroked="f" coordsize="21600,21600">
            <v:path/>
            <v:fill on="f" focussize="0,0"/>
            <v:stroke on="f"/>
            <v:imagedata r:id="rId44" o:title=""/>
            <o:lock v:ext="edit" aspectratio="f"/>
            <w10:wrap type="none"/>
            <w10:anchorlock/>
          </v:shape>
          <o:OLEObject Type="Embed" ProgID="Excel.Sheet.12" ShapeID="_x0000_i1044" DrawAspect="Content" ObjectID="_1468075744" r:id="rId43">
            <o:LockedField>false</o:LockedField>
          </o:OLEObject>
        </w:object>
      </w:r>
    </w:p>
    <w:p>
      <w:pPr>
        <w:bidi w:val="0"/>
        <w:jc w:val="left"/>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tabs>
          <w:tab w:val="left" w:pos="13212"/>
        </w:tabs>
        <w:rPr>
          <w:rFonts w:hint="default"/>
          <w:lang w:val="en-US" w:eastAsia="zh-CN"/>
        </w:rPr>
      </w:pPr>
      <w:r>
        <w:rPr>
          <w:rFonts w:hint="eastAsia"/>
          <w:lang w:val="en-US" w:eastAsia="zh-CN"/>
        </w:rPr>
        <w:tab/>
        <w:t>附表3</w:t>
      </w:r>
    </w:p>
    <w:p>
      <w:pPr>
        <w:pStyle w:val="2"/>
        <w:rPr>
          <w:rFonts w:hint="eastAsia"/>
          <w:lang w:val="en-US" w:eastAsia="zh-CN"/>
        </w:rPr>
      </w:pPr>
      <w:r>
        <w:rPr>
          <w:rFonts w:hint="eastAsia"/>
          <w:lang w:val="en-US" w:eastAsia="zh-CN"/>
        </w:rPr>
        <w:object>
          <v:shape id="_x0000_i1045" o:spt="75" alt="" type="#_x0000_t75" style="height:202.5pt;width:683.25pt;" o:ole="t" filled="f" o:preferrelative="t" stroked="f" coordsize="21600,21600">
            <v:path/>
            <v:fill on="f" focussize="0,0"/>
            <v:stroke on="f"/>
            <v:imagedata r:id="rId46" o:title=""/>
            <o:lock v:ext="edit" aspectratio="f"/>
            <w10:wrap type="none"/>
            <w10:anchorlock/>
          </v:shape>
          <o:OLEObject Type="Embed" ProgID="Excel.Sheet.12" ShapeID="_x0000_i1045" DrawAspect="Content" ObjectID="_1468075745" r:id="rId45">
            <o:LockedField>false</o:LockedField>
          </o:OLEObject>
        </w:object>
      </w: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r>
        <w:rPr>
          <w:rFonts w:hint="eastAsia"/>
          <w:lang w:val="en-US" w:eastAsia="zh-CN"/>
        </w:rPr>
        <w:object>
          <v:shape id="_x0000_i1046" o:spt="75" alt="" type="#_x0000_t75" style="height:131pt;width:697.4pt;" o:ole="t" filled="f" o:preferrelative="t" stroked="f" coordsize="21600,21600">
            <v:path/>
            <v:fill on="f" focussize="0,0"/>
            <v:stroke on="f"/>
            <v:imagedata r:id="rId48" o:title=""/>
            <o:lock v:ext="edit" aspectratio="f"/>
            <w10:wrap type="none"/>
            <w10:anchorlock/>
          </v:shape>
          <o:OLEObject Type="Embed" ProgID="Excel.Sheet.12" ShapeID="_x0000_i1046" DrawAspect="Content" ObjectID="_1468075746" r:id="rId47">
            <o:LockedField>false</o:LockedField>
          </o:OLEObject>
        </w:object>
      </w: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tabs>
          <w:tab w:val="left" w:pos="13032"/>
        </w:tabs>
        <w:rPr>
          <w:rFonts w:hint="default"/>
          <w:lang w:val="en-US" w:eastAsia="zh-CN"/>
        </w:rPr>
      </w:pPr>
      <w:r>
        <w:rPr>
          <w:rFonts w:hint="eastAsia"/>
          <w:lang w:val="en-US" w:eastAsia="zh-CN"/>
        </w:rPr>
        <w:tab/>
        <w:t>附表5</w:t>
      </w:r>
    </w:p>
    <w:p>
      <w:pPr>
        <w:pStyle w:val="2"/>
        <w:rPr>
          <w:rFonts w:hint="eastAsia"/>
          <w:lang w:val="en-US" w:eastAsia="zh-CN"/>
        </w:rPr>
      </w:pPr>
      <w:r>
        <w:rPr>
          <w:rFonts w:hint="eastAsia"/>
          <w:lang w:val="en-US" w:eastAsia="zh-CN"/>
        </w:rPr>
        <w:object>
          <v:shape id="_x0000_i1047" o:spt="75" type="#_x0000_t75" style="height:132.15pt;width:697.65pt;" o:ole="t" filled="f" o:preferrelative="t" stroked="f" coordsize="21600,21600">
            <v:path/>
            <v:fill on="f" focussize="0,0"/>
            <v:stroke on="f"/>
            <v:imagedata r:id="rId50" o:title=""/>
            <o:lock v:ext="edit" aspectratio="f"/>
            <w10:wrap type="none"/>
            <w10:anchorlock/>
          </v:shape>
          <o:OLEObject Type="Embed" ProgID="Excel.Sheet.12" ShapeID="_x0000_i1047" DrawAspect="Content" ObjectID="_1468075747" r:id="rId49">
            <o:LockedField>false</o:LockedField>
          </o:OLEObject>
        </w:object>
      </w: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sectPr>
          <w:pgSz w:w="16838" w:h="11906" w:orient="landscape"/>
          <w:pgMar w:top="1800" w:right="1440" w:bottom="1800" w:left="1440" w:header="851" w:footer="992" w:gutter="0"/>
          <w:cols w:space="425" w:num="1"/>
          <w:docGrid w:type="lines" w:linePitch="312" w:charSpace="0"/>
        </w:sectPr>
      </w:pPr>
      <w:bookmarkStart w:id="0" w:name="_GoBack"/>
      <w:bookmarkEnd w:id="0"/>
    </w:p>
    <w:p>
      <w:pPr>
        <w:pStyle w:val="8"/>
      </w:pPr>
    </w:p>
    <w:p>
      <w:pPr>
        <w:jc w:val="center"/>
        <w:rPr>
          <w:rFonts w:ascii="方正小标宋简体" w:hAnsi="黑体" w:eastAsia="方正小标宋简体"/>
          <w:sz w:val="44"/>
          <w:szCs w:val="44"/>
        </w:rPr>
      </w:pPr>
      <w:r>
        <w:rPr>
          <w:rFonts w:hint="eastAsia" w:ascii="方正小标宋简体" w:hAnsi="黑体" w:eastAsia="方正小标宋简体"/>
          <w:sz w:val="44"/>
          <w:szCs w:val="44"/>
        </w:rPr>
        <w:t>第三部分  双河镇</w:t>
      </w:r>
      <w:r>
        <w:rPr>
          <w:rFonts w:hint="eastAsia" w:ascii="方正小标宋简体" w:hAnsi="黑体" w:eastAsia="方正小标宋简体"/>
          <w:sz w:val="44"/>
          <w:szCs w:val="44"/>
          <w:lang w:eastAsia="zh-CN"/>
        </w:rPr>
        <w:t>2026</w:t>
      </w:r>
      <w:r>
        <w:rPr>
          <w:rFonts w:hint="eastAsia" w:ascii="方正小标宋简体" w:hAnsi="黑体" w:eastAsia="方正小标宋简体"/>
          <w:sz w:val="44"/>
          <w:szCs w:val="44"/>
        </w:rPr>
        <w:t>年单位</w:t>
      </w:r>
      <w:r>
        <w:rPr>
          <w:rFonts w:ascii="方正小标宋简体" w:hAnsi="黑体" w:eastAsia="方正小标宋简体"/>
          <w:sz w:val="44"/>
          <w:szCs w:val="44"/>
        </w:rPr>
        <w:t>预算</w:t>
      </w:r>
    </w:p>
    <w:p>
      <w:pPr>
        <w:jc w:val="center"/>
        <w:rPr>
          <w:rFonts w:ascii="方正小标宋简体" w:hAnsi="黑体" w:eastAsia="方正小标宋简体"/>
          <w:sz w:val="44"/>
          <w:szCs w:val="44"/>
        </w:rPr>
      </w:pPr>
      <w:r>
        <w:rPr>
          <w:rFonts w:hint="eastAsia" w:ascii="方正小标宋简体" w:hAnsi="黑体" w:eastAsia="方正小标宋简体"/>
          <w:sz w:val="44"/>
          <w:szCs w:val="44"/>
        </w:rPr>
        <w:t>情况说明</w:t>
      </w:r>
    </w:p>
    <w:p>
      <w:pPr>
        <w:rPr>
          <w:rFonts w:ascii="黑体" w:hAnsi="黑体" w:eastAsia="黑体"/>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rPr>
        <w:t>一、收支预算情况说明</w:t>
      </w:r>
    </w:p>
    <w:p>
      <w:pPr>
        <w:spacing w:line="560" w:lineRule="exact"/>
        <w:rPr>
          <w:rFonts w:ascii="仿宋_GB2312" w:hAnsi="黑体" w:eastAsia="仿宋_GB2312"/>
          <w:color w:val="000000" w:themeColor="text1"/>
          <w:sz w:val="32"/>
          <w:szCs w:val="32"/>
        </w:rPr>
      </w:pPr>
      <w:r>
        <w:rPr>
          <w:rFonts w:hint="eastAsia" w:ascii="仿宋_GB2312" w:eastAsia="仿宋_GB2312"/>
          <w:sz w:val="32"/>
          <w:szCs w:val="32"/>
          <w:shd w:val="clear" w:color="auto" w:fill="FFFFFF"/>
        </w:rPr>
        <w:t>　</w:t>
      </w:r>
      <w:r>
        <w:rPr>
          <w:rFonts w:hint="eastAsia" w:ascii="仿宋_GB2312" w:eastAsia="仿宋_GB2312"/>
          <w:sz w:val="32"/>
          <w:szCs w:val="32"/>
          <w:shd w:val="clear" w:color="auto" w:fill="FFFFFF"/>
          <w:lang w:val="en-US" w:eastAsia="zh-CN"/>
        </w:rPr>
        <w:t xml:space="preserve">  </w:t>
      </w:r>
      <w:r>
        <w:rPr>
          <w:rFonts w:hint="eastAsia" w:ascii="仿宋_GB2312" w:eastAsia="仿宋_GB2312"/>
          <w:sz w:val="32"/>
          <w:szCs w:val="32"/>
          <w:shd w:val="clear" w:color="auto" w:fill="FFFFFF"/>
        </w:rPr>
        <w:t>按照综合预算的原则，双河镇所有收入和支出均纳入部门预算管理。收入包括：一般公共预算拨款收入；支出包括：一般公共服务支出、社会保障和就业支出、医疗卫生与计划生育支出、住房保障支出。双河镇</w:t>
      </w:r>
      <w:r>
        <w:rPr>
          <w:rFonts w:hint="eastAsia" w:ascii="仿宋_GB2312" w:eastAsia="仿宋_GB2312"/>
          <w:sz w:val="32"/>
          <w:szCs w:val="32"/>
          <w:shd w:val="clear" w:color="auto" w:fill="FFFFFF"/>
          <w:lang w:eastAsia="zh-CN"/>
        </w:rPr>
        <w:t>2026</w:t>
      </w:r>
      <w:r>
        <w:rPr>
          <w:rFonts w:hint="eastAsia" w:ascii="仿宋_GB2312" w:eastAsia="仿宋_GB2312"/>
          <w:sz w:val="32"/>
          <w:szCs w:val="32"/>
          <w:shd w:val="clear" w:color="auto" w:fill="FFFFFF"/>
        </w:rPr>
        <w:t>年收支总预算</w:t>
      </w:r>
      <w:r>
        <w:rPr>
          <w:rFonts w:hint="eastAsia" w:ascii="仿宋_GB2312" w:eastAsia="仿宋_GB2312"/>
          <w:sz w:val="32"/>
          <w:szCs w:val="32"/>
          <w:lang w:val="en-US" w:eastAsia="zh-CN"/>
        </w:rPr>
        <w:t>1193</w:t>
      </w:r>
      <w:r>
        <w:rPr>
          <w:rFonts w:hint="eastAsia" w:ascii="仿宋_GB2312" w:eastAsia="仿宋_GB2312"/>
          <w:sz w:val="32"/>
          <w:szCs w:val="32"/>
          <w:shd w:val="clear" w:color="auto" w:fill="FFFFFF"/>
        </w:rPr>
        <w:t>万元，</w:t>
      </w:r>
      <w:r>
        <w:rPr>
          <w:rFonts w:hint="eastAsia" w:ascii="仿宋_GB2312" w:hAnsi="黑体" w:eastAsia="仿宋_GB2312"/>
          <w:sz w:val="32"/>
          <w:szCs w:val="32"/>
        </w:rPr>
        <w:t>比</w:t>
      </w:r>
      <w:r>
        <w:rPr>
          <w:rFonts w:hint="eastAsia" w:ascii="仿宋_GB2312" w:hAnsi="黑体" w:eastAsia="仿宋_GB2312"/>
          <w:sz w:val="32"/>
          <w:szCs w:val="32"/>
          <w:lang w:eastAsia="zh-CN"/>
        </w:rPr>
        <w:t>202</w:t>
      </w:r>
      <w:r>
        <w:rPr>
          <w:rFonts w:hint="eastAsia" w:ascii="仿宋_GB2312" w:hAnsi="黑体" w:eastAsia="仿宋_GB2312"/>
          <w:sz w:val="32"/>
          <w:szCs w:val="32"/>
          <w:lang w:val="en-US" w:eastAsia="zh-CN"/>
        </w:rPr>
        <w:t>5</w:t>
      </w:r>
      <w:r>
        <w:rPr>
          <w:rFonts w:hint="eastAsia" w:ascii="仿宋_GB2312" w:hAnsi="黑体" w:eastAsia="仿宋_GB2312"/>
          <w:sz w:val="32"/>
          <w:szCs w:val="32"/>
        </w:rPr>
        <w:t>年收支预算总数增加</w:t>
      </w:r>
      <w:r>
        <w:rPr>
          <w:rFonts w:hint="eastAsia" w:ascii="仿宋_GB2312" w:hAnsi="黑体" w:eastAsia="仿宋_GB2312"/>
          <w:sz w:val="32"/>
          <w:szCs w:val="32"/>
          <w:lang w:val="en-US" w:eastAsia="zh-CN"/>
        </w:rPr>
        <w:t>98.45</w:t>
      </w:r>
      <w:r>
        <w:rPr>
          <w:rFonts w:hint="eastAsia" w:ascii="仿宋_GB2312" w:hAnsi="黑体" w:eastAsia="仿宋_GB2312"/>
          <w:sz w:val="32"/>
          <w:szCs w:val="32"/>
        </w:rPr>
        <w:t>万元，</w:t>
      </w:r>
      <w:r>
        <w:rPr>
          <w:rFonts w:hint="eastAsia" w:ascii="仿宋_GB2312" w:hAnsi="黑体" w:eastAsia="仿宋_GB2312"/>
          <w:color w:val="000000" w:themeColor="text1"/>
          <w:sz w:val="32"/>
          <w:szCs w:val="32"/>
        </w:rPr>
        <w:t>主要原因是</w:t>
      </w:r>
      <w:r>
        <w:rPr>
          <w:rFonts w:hint="eastAsia" w:ascii="仿宋_GB2312" w:eastAsia="仿宋_GB2312"/>
          <w:color w:val="000000" w:themeColor="text1"/>
          <w:sz w:val="32"/>
          <w:szCs w:val="32"/>
          <w:shd w:val="clear" w:color="auto" w:fill="FFFFFF"/>
        </w:rPr>
        <w:t>人员变动以及根据部门年度工作计划，财政事务支出中其他财政事务支出有所增加</w:t>
      </w:r>
      <w:r>
        <w:rPr>
          <w:rFonts w:hint="eastAsia" w:ascii="仿宋_GB2312" w:hAnsi="黑体" w:eastAsia="仿宋_GB2312"/>
          <w:color w:val="000000" w:themeColor="text1"/>
          <w:sz w:val="32"/>
          <w:szCs w:val="32"/>
        </w:rPr>
        <w:t>。</w:t>
      </w:r>
    </w:p>
    <w:p>
      <w:pPr>
        <w:ind w:firstLine="643" w:firstLineChars="200"/>
        <w:rPr>
          <w:rFonts w:ascii="楷体" w:hAnsi="楷体" w:eastAsia="楷体"/>
          <w:b/>
          <w:sz w:val="32"/>
          <w:szCs w:val="32"/>
        </w:rPr>
      </w:pPr>
      <w:r>
        <w:rPr>
          <w:rFonts w:hint="eastAsia" w:ascii="楷体" w:hAnsi="楷体" w:eastAsia="楷体"/>
          <w:b/>
          <w:sz w:val="32"/>
          <w:szCs w:val="32"/>
        </w:rPr>
        <w:t>（一）收入预算情况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双河镇</w:t>
      </w:r>
      <w:r>
        <w:rPr>
          <w:rFonts w:hint="eastAsia" w:ascii="仿宋_GB2312" w:hAnsi="黑体" w:eastAsia="仿宋_GB2312"/>
          <w:sz w:val="32"/>
          <w:szCs w:val="32"/>
          <w:lang w:eastAsia="zh-CN"/>
        </w:rPr>
        <w:t>2026</w:t>
      </w:r>
      <w:r>
        <w:rPr>
          <w:rFonts w:hint="eastAsia" w:ascii="仿宋_GB2312" w:hAnsi="黑体" w:eastAsia="仿宋_GB2312"/>
          <w:sz w:val="32"/>
          <w:szCs w:val="32"/>
        </w:rPr>
        <w:t>年收入预算</w:t>
      </w:r>
      <w:r>
        <w:rPr>
          <w:rFonts w:hint="eastAsia" w:ascii="仿宋_GB2312" w:hAnsi="黑体" w:eastAsia="仿宋_GB2312"/>
          <w:sz w:val="32"/>
          <w:szCs w:val="32"/>
          <w:lang w:val="en-US" w:eastAsia="zh-CN"/>
        </w:rPr>
        <w:t>1193</w:t>
      </w:r>
      <w:r>
        <w:rPr>
          <w:rFonts w:hint="eastAsia" w:ascii="仿宋_GB2312" w:hAnsi="黑体" w:eastAsia="仿宋_GB2312"/>
          <w:sz w:val="32"/>
          <w:szCs w:val="32"/>
        </w:rPr>
        <w:t>万元，其中：一般公共预算拨款收入</w:t>
      </w:r>
      <w:r>
        <w:rPr>
          <w:rFonts w:hint="eastAsia" w:ascii="仿宋_GB2312" w:hAnsi="黑体" w:eastAsia="仿宋_GB2312"/>
          <w:sz w:val="32"/>
          <w:szCs w:val="32"/>
          <w:lang w:val="en-US" w:eastAsia="zh-CN"/>
        </w:rPr>
        <w:t>1193</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100</w:t>
      </w:r>
      <w:r>
        <w:rPr>
          <w:rFonts w:hint="eastAsia" w:ascii="仿宋_GB2312" w:hAnsi="黑体" w:eastAsia="仿宋_GB2312"/>
          <w:sz w:val="32"/>
          <w:szCs w:val="32"/>
        </w:rPr>
        <w:t>%。</w:t>
      </w:r>
    </w:p>
    <w:p>
      <w:pPr>
        <w:ind w:firstLine="643" w:firstLineChars="200"/>
        <w:rPr>
          <w:rFonts w:ascii="楷体" w:hAnsi="楷体" w:eastAsia="楷体"/>
          <w:b/>
          <w:sz w:val="32"/>
          <w:szCs w:val="32"/>
        </w:rPr>
      </w:pPr>
      <w:r>
        <w:rPr>
          <w:rFonts w:hint="eastAsia" w:ascii="楷体" w:hAnsi="楷体" w:eastAsia="楷体"/>
          <w:b/>
          <w:sz w:val="32"/>
          <w:szCs w:val="32"/>
        </w:rPr>
        <w:t>（二）支出预算情况</w:t>
      </w:r>
    </w:p>
    <w:p>
      <w:pPr>
        <w:ind w:firstLine="640" w:firstLineChars="200"/>
        <w:rPr>
          <w:rFonts w:ascii="仿宋_GB2312" w:hAnsi="黑体" w:eastAsia="仿宋_GB2312"/>
          <w:color w:val="0000FF"/>
          <w:sz w:val="32"/>
          <w:szCs w:val="32"/>
        </w:rPr>
      </w:pPr>
      <w:r>
        <w:rPr>
          <w:rFonts w:hint="eastAsia" w:ascii="仿宋_GB2312" w:hAnsi="黑体" w:eastAsia="仿宋_GB2312"/>
          <w:color w:val="auto"/>
          <w:sz w:val="32"/>
          <w:szCs w:val="32"/>
        </w:rPr>
        <w:t>双河镇</w:t>
      </w:r>
      <w:r>
        <w:rPr>
          <w:rFonts w:hint="eastAsia" w:ascii="仿宋_GB2312" w:hAnsi="黑体" w:eastAsia="仿宋_GB2312"/>
          <w:color w:val="auto"/>
          <w:sz w:val="32"/>
          <w:szCs w:val="32"/>
          <w:lang w:eastAsia="zh-CN"/>
        </w:rPr>
        <w:t>2026</w:t>
      </w:r>
      <w:r>
        <w:rPr>
          <w:rFonts w:hint="eastAsia" w:ascii="仿宋_GB2312" w:hAnsi="黑体" w:eastAsia="仿宋_GB2312"/>
          <w:color w:val="auto"/>
          <w:sz w:val="32"/>
          <w:szCs w:val="32"/>
        </w:rPr>
        <w:t>年支出预算</w:t>
      </w:r>
      <w:r>
        <w:rPr>
          <w:rFonts w:hint="eastAsia" w:ascii="仿宋_GB2312" w:hAnsi="黑体" w:eastAsia="仿宋_GB2312"/>
          <w:color w:val="auto"/>
          <w:sz w:val="32"/>
          <w:szCs w:val="32"/>
          <w:lang w:val="en-US" w:eastAsia="zh-CN"/>
        </w:rPr>
        <w:t>1193</w:t>
      </w:r>
      <w:r>
        <w:rPr>
          <w:rFonts w:hint="eastAsia" w:ascii="仿宋_GB2312" w:hAnsi="黑体" w:eastAsia="仿宋_GB2312"/>
          <w:color w:val="auto"/>
          <w:sz w:val="32"/>
          <w:szCs w:val="32"/>
        </w:rPr>
        <w:t>万元，其中：基本支出</w:t>
      </w:r>
      <w:r>
        <w:rPr>
          <w:rFonts w:hint="eastAsia" w:ascii="仿宋_GB2312" w:hAnsi="黑体" w:eastAsia="仿宋_GB2312"/>
          <w:color w:val="auto"/>
          <w:sz w:val="32"/>
          <w:szCs w:val="32"/>
          <w:lang w:val="en-US" w:eastAsia="zh-CN"/>
        </w:rPr>
        <w:t>955</w:t>
      </w:r>
      <w:r>
        <w:rPr>
          <w:rFonts w:hint="eastAsia" w:ascii="仿宋_GB2312" w:hAnsi="黑体" w:eastAsia="仿宋_GB2312"/>
          <w:color w:val="auto"/>
          <w:sz w:val="32"/>
          <w:szCs w:val="32"/>
        </w:rPr>
        <w:t>万元，占</w:t>
      </w:r>
      <w:r>
        <w:rPr>
          <w:rFonts w:hint="eastAsia" w:ascii="仿宋_GB2312" w:hAnsi="黑体" w:eastAsia="仿宋_GB2312"/>
          <w:color w:val="auto"/>
          <w:sz w:val="32"/>
          <w:szCs w:val="32"/>
          <w:lang w:val="en-US" w:eastAsia="zh-CN"/>
        </w:rPr>
        <w:t>80.05</w:t>
      </w:r>
      <w:r>
        <w:rPr>
          <w:rFonts w:hint="eastAsia" w:ascii="仿宋_GB2312" w:hAnsi="黑体" w:eastAsia="仿宋_GB2312"/>
          <w:color w:val="auto"/>
          <w:sz w:val="32"/>
          <w:szCs w:val="32"/>
        </w:rPr>
        <w:t>%；项目支出</w:t>
      </w:r>
      <w:r>
        <w:rPr>
          <w:rFonts w:hint="eastAsia" w:ascii="仿宋_GB2312" w:hAnsi="黑体" w:eastAsia="仿宋_GB2312"/>
          <w:color w:val="auto"/>
          <w:sz w:val="32"/>
          <w:szCs w:val="32"/>
          <w:lang w:val="en-US" w:eastAsia="zh-CN"/>
        </w:rPr>
        <w:t>238</w:t>
      </w:r>
      <w:r>
        <w:rPr>
          <w:rFonts w:hint="eastAsia" w:ascii="仿宋_GB2312" w:hAnsi="黑体" w:eastAsia="仿宋_GB2312"/>
          <w:color w:val="auto"/>
          <w:sz w:val="32"/>
          <w:szCs w:val="32"/>
        </w:rPr>
        <w:t>万元，占</w:t>
      </w:r>
      <w:r>
        <w:rPr>
          <w:rFonts w:hint="eastAsia" w:ascii="仿宋_GB2312" w:hAnsi="黑体" w:eastAsia="仿宋_GB2312"/>
          <w:color w:val="auto"/>
          <w:sz w:val="32"/>
          <w:szCs w:val="32"/>
          <w:lang w:val="en-US" w:eastAsia="zh-CN"/>
        </w:rPr>
        <w:t>19.95</w:t>
      </w:r>
      <w:r>
        <w:rPr>
          <w:rFonts w:hint="eastAsia" w:ascii="仿宋_GB2312" w:hAnsi="黑体" w:eastAsia="仿宋_GB2312"/>
          <w:color w:val="auto"/>
          <w:sz w:val="32"/>
          <w:szCs w:val="32"/>
        </w:rPr>
        <w:t>%。</w:t>
      </w:r>
    </w:p>
    <w:p>
      <w:pPr>
        <w:ind w:firstLine="640" w:firstLineChars="200"/>
        <w:rPr>
          <w:rFonts w:ascii="黑体" w:hAnsi="黑体" w:eastAsia="黑体"/>
          <w:sz w:val="32"/>
          <w:szCs w:val="32"/>
        </w:rPr>
      </w:pPr>
      <w:r>
        <w:rPr>
          <w:rFonts w:hint="eastAsia" w:ascii="黑体" w:hAnsi="黑体" w:eastAsia="黑体"/>
          <w:sz w:val="32"/>
          <w:szCs w:val="32"/>
        </w:rPr>
        <w:t>二、财政拨款收支预算情况说明</w:t>
      </w:r>
    </w:p>
    <w:p>
      <w:pPr>
        <w:ind w:firstLine="640" w:firstLineChars="200"/>
        <w:rPr>
          <w:rFonts w:ascii="仿宋_GB2312" w:hAnsi="黑体" w:eastAsia="仿宋_GB2312"/>
          <w:color w:val="000000" w:themeColor="text1"/>
          <w:sz w:val="32"/>
          <w:szCs w:val="32"/>
        </w:rPr>
      </w:pPr>
      <w:r>
        <w:rPr>
          <w:rFonts w:hint="eastAsia" w:ascii="仿宋_GB2312" w:hAnsi="黑体" w:eastAsia="仿宋_GB2312"/>
          <w:sz w:val="32"/>
          <w:szCs w:val="32"/>
        </w:rPr>
        <w:t>双河镇</w:t>
      </w:r>
      <w:r>
        <w:rPr>
          <w:rFonts w:hint="eastAsia" w:ascii="仿宋_GB2312" w:hAnsi="黑体" w:eastAsia="仿宋_GB2312"/>
          <w:sz w:val="32"/>
          <w:szCs w:val="32"/>
          <w:lang w:eastAsia="zh-CN"/>
        </w:rPr>
        <w:t>2026</w:t>
      </w:r>
      <w:r>
        <w:rPr>
          <w:rFonts w:hint="eastAsia" w:ascii="仿宋_GB2312" w:hAnsi="黑体" w:eastAsia="仿宋_GB2312"/>
          <w:sz w:val="32"/>
          <w:szCs w:val="32"/>
        </w:rPr>
        <w:t>年财政拨款收支预算总数</w:t>
      </w:r>
      <w:r>
        <w:rPr>
          <w:rFonts w:hint="eastAsia" w:ascii="仿宋_GB2312" w:hAnsi="黑体" w:eastAsia="仿宋_GB2312"/>
          <w:sz w:val="32"/>
          <w:szCs w:val="32"/>
          <w:lang w:val="en-US" w:eastAsia="zh-CN"/>
        </w:rPr>
        <w:t>1193</w:t>
      </w:r>
      <w:r>
        <w:rPr>
          <w:rFonts w:hint="eastAsia" w:ascii="仿宋_GB2312" w:hAnsi="黑体" w:eastAsia="仿宋_GB2312"/>
          <w:sz w:val="32"/>
          <w:szCs w:val="32"/>
        </w:rPr>
        <w:t>万元，比202</w:t>
      </w:r>
      <w:r>
        <w:rPr>
          <w:rFonts w:hint="eastAsia" w:ascii="仿宋_GB2312" w:hAnsi="黑体" w:eastAsia="仿宋_GB2312"/>
          <w:sz w:val="32"/>
          <w:szCs w:val="32"/>
          <w:lang w:val="en-US" w:eastAsia="zh-CN"/>
        </w:rPr>
        <w:t>5</w:t>
      </w:r>
      <w:r>
        <w:rPr>
          <w:rFonts w:hint="eastAsia" w:ascii="仿宋_GB2312" w:hAnsi="黑体" w:eastAsia="仿宋_GB2312"/>
          <w:sz w:val="32"/>
          <w:szCs w:val="32"/>
        </w:rPr>
        <w:t>年财政拨款收支预算总数增加</w:t>
      </w:r>
      <w:r>
        <w:rPr>
          <w:rFonts w:hint="eastAsia" w:ascii="仿宋_GB2312" w:hAnsi="黑体" w:eastAsia="仿宋_GB2312"/>
          <w:sz w:val="32"/>
          <w:szCs w:val="32"/>
          <w:lang w:val="en-US" w:eastAsia="zh-CN"/>
        </w:rPr>
        <w:t>23.45</w:t>
      </w:r>
      <w:r>
        <w:rPr>
          <w:rFonts w:hint="eastAsia" w:ascii="仿宋_GB2312" w:hAnsi="黑体" w:eastAsia="仿宋_GB2312"/>
          <w:sz w:val="32"/>
          <w:szCs w:val="32"/>
        </w:rPr>
        <w:t>万元，</w:t>
      </w:r>
      <w:r>
        <w:rPr>
          <w:rFonts w:hint="eastAsia" w:ascii="仿宋_GB2312" w:hAnsi="黑体" w:eastAsia="仿宋_GB2312"/>
          <w:color w:val="000000" w:themeColor="text1"/>
          <w:sz w:val="32"/>
          <w:szCs w:val="32"/>
        </w:rPr>
        <w:t>主要原因是</w:t>
      </w:r>
      <w:r>
        <w:rPr>
          <w:rFonts w:hint="eastAsia" w:ascii="仿宋_GB2312" w:eastAsia="仿宋_GB2312"/>
          <w:color w:val="000000" w:themeColor="text1"/>
          <w:sz w:val="32"/>
          <w:szCs w:val="32"/>
          <w:shd w:val="clear" w:color="auto" w:fill="FFFFFF"/>
        </w:rPr>
        <w:t>人员变动以及根据部门年度工作计划，财政事务支出中其他财政事务支出有所增加</w:t>
      </w:r>
      <w:r>
        <w:rPr>
          <w:rFonts w:hint="eastAsia" w:ascii="仿宋_GB2312" w:hAnsi="黑体" w:eastAsia="仿宋_GB2312"/>
          <w:color w:val="000000" w:themeColor="text1"/>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收入包括：本年一般公共预算拨款收入</w:t>
      </w:r>
      <w:r>
        <w:rPr>
          <w:rFonts w:hint="eastAsia" w:ascii="仿宋_GB2312" w:hAnsi="黑体" w:eastAsia="仿宋_GB2312"/>
          <w:sz w:val="32"/>
          <w:szCs w:val="32"/>
          <w:lang w:val="en-US" w:eastAsia="zh-CN"/>
        </w:rPr>
        <w:t>1193</w:t>
      </w:r>
      <w:r>
        <w:rPr>
          <w:rFonts w:hint="eastAsia" w:ascii="仿宋_GB2312" w:hAnsi="黑体" w:eastAsia="仿宋_GB2312"/>
          <w:sz w:val="32"/>
          <w:szCs w:val="32"/>
        </w:rPr>
        <w:t>万元、；支出包括：一般公共服务支出</w:t>
      </w:r>
      <w:r>
        <w:rPr>
          <w:rFonts w:hint="eastAsia" w:ascii="仿宋_GB2312" w:hAnsi="黑体" w:eastAsia="仿宋_GB2312"/>
          <w:sz w:val="32"/>
          <w:szCs w:val="32"/>
          <w:lang w:val="en-US" w:eastAsia="zh-CN"/>
        </w:rPr>
        <w:t>524.45</w:t>
      </w:r>
      <w:r>
        <w:rPr>
          <w:rFonts w:hint="eastAsia" w:ascii="仿宋_GB2312" w:hAnsi="黑体" w:eastAsia="仿宋_GB2312"/>
          <w:sz w:val="32"/>
          <w:szCs w:val="32"/>
        </w:rPr>
        <w:t>万元、社会保障和就业支出</w:t>
      </w:r>
      <w:r>
        <w:rPr>
          <w:rFonts w:hint="eastAsia" w:ascii="仿宋_GB2312" w:hAnsi="黑体" w:eastAsia="仿宋_GB2312"/>
          <w:sz w:val="32"/>
          <w:szCs w:val="32"/>
          <w:lang w:val="en-US" w:eastAsia="zh-CN"/>
        </w:rPr>
        <w:t>120.69</w:t>
      </w:r>
      <w:r>
        <w:rPr>
          <w:rFonts w:hint="eastAsia" w:ascii="仿宋_GB2312" w:hAnsi="黑体" w:eastAsia="仿宋_GB2312"/>
          <w:sz w:val="32"/>
          <w:szCs w:val="32"/>
        </w:rPr>
        <w:t>万元、卫生健康支出</w:t>
      </w:r>
      <w:r>
        <w:rPr>
          <w:rFonts w:hint="eastAsia" w:ascii="仿宋_GB2312" w:hAnsi="黑体" w:eastAsia="仿宋_GB2312"/>
          <w:sz w:val="32"/>
          <w:szCs w:val="32"/>
          <w:lang w:val="en-US" w:eastAsia="zh-CN"/>
        </w:rPr>
        <w:t>44.32</w:t>
      </w:r>
      <w:r>
        <w:rPr>
          <w:rFonts w:hint="eastAsia" w:ascii="仿宋_GB2312" w:hAnsi="黑体" w:eastAsia="仿宋_GB2312"/>
          <w:sz w:val="32"/>
          <w:szCs w:val="32"/>
        </w:rPr>
        <w:t>万元、住房保障支出</w:t>
      </w:r>
      <w:r>
        <w:rPr>
          <w:rFonts w:hint="eastAsia" w:ascii="仿宋_GB2312" w:hAnsi="黑体" w:eastAsia="仿宋_GB2312"/>
          <w:sz w:val="32"/>
          <w:szCs w:val="32"/>
          <w:lang w:val="en-US" w:eastAsia="zh-CN"/>
        </w:rPr>
        <w:t>60.53</w:t>
      </w:r>
      <w:r>
        <w:rPr>
          <w:rFonts w:hint="eastAsia" w:ascii="仿宋_GB2312" w:hAnsi="黑体" w:eastAsia="仿宋_GB2312"/>
          <w:sz w:val="32"/>
          <w:szCs w:val="32"/>
        </w:rPr>
        <w:t>万元、农林水支出443</w:t>
      </w:r>
      <w:r>
        <w:rPr>
          <w:rFonts w:hint="eastAsia" w:ascii="仿宋_GB2312" w:hAnsi="黑体" w:eastAsia="仿宋_GB2312"/>
          <w:sz w:val="32"/>
          <w:szCs w:val="32"/>
          <w:lang w:val="en-US" w:eastAsia="zh-CN"/>
        </w:rPr>
        <w:t>.01</w:t>
      </w:r>
      <w:r>
        <w:rPr>
          <w:rFonts w:hint="eastAsia" w:ascii="仿宋_GB2312" w:hAnsi="黑体" w:eastAsia="仿宋_GB2312"/>
          <w:sz w:val="32"/>
          <w:szCs w:val="32"/>
        </w:rPr>
        <w:t>万元。</w:t>
      </w:r>
    </w:p>
    <w:p>
      <w:pPr>
        <w:ind w:firstLine="640" w:firstLineChars="200"/>
        <w:rPr>
          <w:rFonts w:ascii="黑体" w:hAnsi="黑体" w:eastAsia="黑体"/>
          <w:sz w:val="32"/>
          <w:szCs w:val="32"/>
        </w:rPr>
      </w:pPr>
      <w:r>
        <w:rPr>
          <w:rFonts w:hint="eastAsia" w:ascii="黑体" w:hAnsi="黑体" w:eastAsia="黑体"/>
          <w:sz w:val="32"/>
          <w:szCs w:val="32"/>
        </w:rPr>
        <w:t>三、一般公共预算当年拨款情况说明</w:t>
      </w:r>
    </w:p>
    <w:p>
      <w:pPr>
        <w:ind w:firstLine="643" w:firstLineChars="200"/>
        <w:rPr>
          <w:rFonts w:ascii="楷体" w:hAnsi="楷体" w:eastAsia="楷体"/>
          <w:b/>
          <w:sz w:val="32"/>
          <w:szCs w:val="32"/>
        </w:rPr>
      </w:pPr>
      <w:r>
        <w:rPr>
          <w:rFonts w:hint="eastAsia" w:ascii="楷体" w:hAnsi="楷体" w:eastAsia="楷体"/>
          <w:b/>
          <w:sz w:val="32"/>
          <w:szCs w:val="32"/>
        </w:rPr>
        <w:t>（一）一般公共预算当年拨款规模变化情况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双河镇</w:t>
      </w:r>
      <w:r>
        <w:rPr>
          <w:rFonts w:hint="eastAsia" w:ascii="仿宋_GB2312" w:hAnsi="黑体" w:eastAsia="仿宋_GB2312"/>
          <w:sz w:val="32"/>
          <w:szCs w:val="32"/>
          <w:lang w:eastAsia="zh-CN"/>
        </w:rPr>
        <w:t>2026</w:t>
      </w:r>
      <w:r>
        <w:rPr>
          <w:rFonts w:hint="eastAsia" w:ascii="仿宋_GB2312" w:hAnsi="黑体" w:eastAsia="仿宋_GB2312"/>
          <w:sz w:val="32"/>
          <w:szCs w:val="32"/>
        </w:rPr>
        <w:t>年一般公共预算当年拨款</w:t>
      </w:r>
      <w:r>
        <w:rPr>
          <w:rFonts w:hint="eastAsia" w:ascii="仿宋_GB2312" w:hAnsi="黑体" w:eastAsia="仿宋_GB2312"/>
          <w:sz w:val="32"/>
          <w:szCs w:val="32"/>
          <w:lang w:val="en-US" w:eastAsia="zh-CN"/>
        </w:rPr>
        <w:t>1193</w:t>
      </w:r>
      <w:r>
        <w:rPr>
          <w:rFonts w:hint="eastAsia" w:ascii="仿宋_GB2312" w:hAnsi="黑体" w:eastAsia="仿宋_GB2312"/>
          <w:sz w:val="32"/>
          <w:szCs w:val="32"/>
        </w:rPr>
        <w:t>万元，比202</w:t>
      </w:r>
      <w:r>
        <w:rPr>
          <w:rFonts w:hint="eastAsia" w:ascii="仿宋_GB2312" w:hAnsi="黑体" w:eastAsia="仿宋_GB2312"/>
          <w:sz w:val="32"/>
          <w:szCs w:val="32"/>
          <w:lang w:val="en-US" w:eastAsia="zh-CN"/>
        </w:rPr>
        <w:t>5</w:t>
      </w:r>
      <w:r>
        <w:rPr>
          <w:rFonts w:hint="eastAsia" w:ascii="仿宋_GB2312" w:hAnsi="黑体" w:eastAsia="仿宋_GB2312"/>
          <w:sz w:val="32"/>
          <w:szCs w:val="32"/>
        </w:rPr>
        <w:t>年预算数增加</w:t>
      </w:r>
      <w:r>
        <w:rPr>
          <w:rFonts w:hint="eastAsia" w:ascii="仿宋_GB2312" w:hAnsi="黑体" w:eastAsia="仿宋_GB2312"/>
          <w:sz w:val="32"/>
          <w:szCs w:val="32"/>
          <w:lang w:val="en-US" w:eastAsia="zh-CN"/>
        </w:rPr>
        <w:t>23.45</w:t>
      </w:r>
      <w:r>
        <w:rPr>
          <w:rFonts w:hint="eastAsia" w:ascii="仿宋_GB2312" w:hAnsi="黑体" w:eastAsia="仿宋_GB2312"/>
          <w:sz w:val="32"/>
          <w:szCs w:val="32"/>
        </w:rPr>
        <w:t>万元，</w:t>
      </w:r>
      <w:r>
        <w:rPr>
          <w:rFonts w:hint="eastAsia" w:ascii="仿宋_GB2312" w:hAnsi="黑体" w:eastAsia="仿宋_GB2312"/>
          <w:color w:val="000000" w:themeColor="text1"/>
          <w:sz w:val="32"/>
          <w:szCs w:val="32"/>
        </w:rPr>
        <w:t>主要原因</w:t>
      </w:r>
      <w:r>
        <w:rPr>
          <w:rFonts w:hint="eastAsia" w:ascii="仿宋_GB2312" w:hAnsi="黑体" w:eastAsia="仿宋_GB2312"/>
          <w:sz w:val="32"/>
          <w:szCs w:val="32"/>
        </w:rPr>
        <w:t>是</w:t>
      </w:r>
      <w:r>
        <w:rPr>
          <w:rFonts w:hint="eastAsia" w:ascii="仿宋_GB2312" w:eastAsia="仿宋_GB2312"/>
          <w:sz w:val="32"/>
          <w:szCs w:val="32"/>
          <w:shd w:val="clear" w:color="auto" w:fill="FFFFFF"/>
        </w:rPr>
        <w:t>人员变动以及根据部门年度工作计划，财政事务支出中其他财政事务支出有所增加</w:t>
      </w:r>
      <w:r>
        <w:rPr>
          <w:rFonts w:hint="eastAsia" w:ascii="仿宋_GB2312" w:hAnsi="黑体" w:eastAsia="仿宋_GB2312"/>
          <w:sz w:val="32"/>
          <w:szCs w:val="32"/>
        </w:rPr>
        <w:t>。</w:t>
      </w:r>
    </w:p>
    <w:p>
      <w:pPr>
        <w:ind w:firstLine="643" w:firstLineChars="200"/>
        <w:rPr>
          <w:rFonts w:ascii="楷体" w:hAnsi="楷体" w:eastAsia="楷体"/>
          <w:b/>
          <w:sz w:val="32"/>
          <w:szCs w:val="32"/>
        </w:rPr>
      </w:pPr>
      <w:r>
        <w:rPr>
          <w:rFonts w:hint="eastAsia" w:ascii="楷体" w:hAnsi="楷体" w:eastAsia="楷体"/>
          <w:b/>
          <w:sz w:val="32"/>
          <w:szCs w:val="32"/>
        </w:rPr>
        <w:t>（二）一般公共预算当年拨款结构情况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一般公共服务支出</w:t>
      </w:r>
      <w:r>
        <w:rPr>
          <w:rFonts w:hint="eastAsia" w:ascii="仿宋_GB2312" w:hAnsi="黑体" w:eastAsia="仿宋_GB2312"/>
          <w:sz w:val="32"/>
          <w:szCs w:val="32"/>
          <w:lang w:val="en-US" w:eastAsia="zh-CN"/>
        </w:rPr>
        <w:t>524.45</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43.96</w:t>
      </w:r>
      <w:r>
        <w:rPr>
          <w:rFonts w:hint="eastAsia" w:ascii="仿宋_GB2312" w:hAnsi="黑体" w:eastAsia="仿宋_GB2312"/>
          <w:sz w:val="32"/>
          <w:szCs w:val="32"/>
        </w:rPr>
        <w:t>%；社会保障和就业支出</w:t>
      </w:r>
      <w:r>
        <w:rPr>
          <w:rFonts w:hint="eastAsia" w:ascii="仿宋_GB2312" w:hAnsi="黑体" w:eastAsia="仿宋_GB2312"/>
          <w:sz w:val="32"/>
          <w:szCs w:val="32"/>
          <w:lang w:val="en-US" w:eastAsia="zh-CN"/>
        </w:rPr>
        <w:t>120.69</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10.12</w:t>
      </w:r>
      <w:r>
        <w:rPr>
          <w:rFonts w:hint="eastAsia" w:ascii="仿宋_GB2312" w:hAnsi="黑体" w:eastAsia="仿宋_GB2312"/>
          <w:sz w:val="32"/>
          <w:szCs w:val="32"/>
        </w:rPr>
        <w:t>%；卫生健康支出</w:t>
      </w:r>
      <w:r>
        <w:rPr>
          <w:rFonts w:hint="eastAsia" w:ascii="仿宋_GB2312" w:hAnsi="黑体" w:eastAsia="仿宋_GB2312"/>
          <w:sz w:val="32"/>
          <w:szCs w:val="32"/>
          <w:lang w:val="en-US" w:eastAsia="zh-CN"/>
        </w:rPr>
        <w:t>44.32</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3.72</w:t>
      </w:r>
      <w:r>
        <w:rPr>
          <w:rFonts w:hint="eastAsia" w:ascii="仿宋_GB2312" w:hAnsi="黑体" w:eastAsia="仿宋_GB2312"/>
          <w:sz w:val="32"/>
          <w:szCs w:val="32"/>
        </w:rPr>
        <w:t>%；农林水支出</w:t>
      </w:r>
      <w:r>
        <w:rPr>
          <w:rFonts w:hint="eastAsia" w:ascii="仿宋_GB2312" w:hAnsi="黑体" w:eastAsia="仿宋_GB2312"/>
          <w:sz w:val="32"/>
          <w:szCs w:val="32"/>
          <w:lang w:val="en-US" w:eastAsia="zh-CN"/>
        </w:rPr>
        <w:t>443.01</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37.13</w:t>
      </w:r>
      <w:r>
        <w:rPr>
          <w:rFonts w:hint="eastAsia" w:ascii="仿宋_GB2312" w:hAnsi="黑体" w:eastAsia="仿宋_GB2312"/>
          <w:sz w:val="32"/>
          <w:szCs w:val="32"/>
        </w:rPr>
        <w:t>%；住房保障支出</w:t>
      </w:r>
      <w:r>
        <w:rPr>
          <w:rFonts w:hint="eastAsia" w:ascii="仿宋_GB2312" w:hAnsi="黑体" w:eastAsia="仿宋_GB2312"/>
          <w:sz w:val="32"/>
          <w:szCs w:val="32"/>
          <w:lang w:val="en-US" w:eastAsia="zh-CN"/>
        </w:rPr>
        <w:t>60.53</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5.07</w:t>
      </w:r>
      <w:r>
        <w:rPr>
          <w:rFonts w:hint="eastAsia" w:ascii="仿宋_GB2312" w:hAnsi="黑体" w:eastAsia="仿宋_GB2312"/>
          <w:sz w:val="32"/>
          <w:szCs w:val="32"/>
        </w:rPr>
        <w:t>%。</w:t>
      </w:r>
    </w:p>
    <w:p>
      <w:pPr>
        <w:ind w:firstLine="643" w:firstLineChars="200"/>
        <w:rPr>
          <w:rFonts w:ascii="楷体" w:hAnsi="楷体" w:eastAsia="楷体"/>
          <w:b/>
          <w:sz w:val="32"/>
          <w:szCs w:val="32"/>
        </w:rPr>
      </w:pPr>
      <w:r>
        <w:rPr>
          <w:rFonts w:hint="eastAsia" w:ascii="楷体" w:hAnsi="楷体" w:eastAsia="楷体"/>
          <w:b/>
          <w:sz w:val="32"/>
          <w:szCs w:val="32"/>
        </w:rPr>
        <w:t>（三）一般公共预算当年拨款具体使用情况</w:t>
      </w:r>
    </w:p>
    <w:p>
      <w:pPr>
        <w:ind w:firstLine="640"/>
        <w:rPr>
          <w:rFonts w:ascii="仿宋_GB2312" w:eastAsia="仿宋_GB2312"/>
          <w:sz w:val="32"/>
          <w:szCs w:val="32"/>
          <w:shd w:val="clear" w:color="auto" w:fill="FFFFFF"/>
        </w:rPr>
      </w:pPr>
      <w:r>
        <w:rPr>
          <w:rFonts w:hint="eastAsia" w:ascii="仿宋_GB2312" w:eastAsia="仿宋_GB2312"/>
          <w:sz w:val="32"/>
          <w:szCs w:val="32"/>
          <w:shd w:val="clear" w:color="auto" w:fill="FFFFFF"/>
        </w:rPr>
        <w:t>1.一般公共服务（类）政府办公厅（室）及相关机构事务（款）行政运行（项）:</w:t>
      </w:r>
      <w:r>
        <w:rPr>
          <w:rFonts w:hint="eastAsia" w:ascii="仿宋_GB2312" w:eastAsia="仿宋_GB2312"/>
          <w:sz w:val="32"/>
          <w:szCs w:val="32"/>
          <w:shd w:val="clear" w:color="auto" w:fill="FFFFFF"/>
          <w:lang w:eastAsia="zh-CN"/>
        </w:rPr>
        <w:t>2026</w:t>
      </w:r>
      <w:r>
        <w:rPr>
          <w:rFonts w:hint="eastAsia" w:ascii="仿宋_GB2312" w:eastAsia="仿宋_GB2312"/>
          <w:sz w:val="32"/>
          <w:szCs w:val="32"/>
          <w:shd w:val="clear" w:color="auto" w:fill="FFFFFF"/>
        </w:rPr>
        <w:t>年预算数为</w:t>
      </w:r>
      <w:r>
        <w:rPr>
          <w:rFonts w:hint="eastAsia" w:ascii="仿宋_GB2312" w:eastAsia="仿宋_GB2312"/>
          <w:sz w:val="32"/>
          <w:szCs w:val="32"/>
          <w:shd w:val="clear" w:color="auto" w:fill="FFFFFF"/>
          <w:lang w:val="en-US" w:eastAsia="zh-CN"/>
        </w:rPr>
        <w:t>524.45</w:t>
      </w:r>
      <w:r>
        <w:rPr>
          <w:rFonts w:hint="eastAsia" w:ascii="仿宋_GB2312" w:eastAsia="仿宋_GB2312"/>
          <w:sz w:val="32"/>
          <w:szCs w:val="32"/>
          <w:shd w:val="clear" w:color="auto" w:fill="FFFFFF"/>
        </w:rPr>
        <w:t>万元，主要用于：包括行政人员基本工资、津贴补贴等人员经费以及办公费、印刷费、水电费等日常公用经费。　　</w:t>
      </w:r>
    </w:p>
    <w:p>
      <w:pPr>
        <w:spacing w:line="560" w:lineRule="exact"/>
        <w:ind w:firstLine="694"/>
        <w:rPr>
          <w:rFonts w:ascii="仿宋_GB2312" w:eastAsia="仿宋_GB2312"/>
          <w:sz w:val="32"/>
          <w:szCs w:val="32"/>
          <w:shd w:val="clear" w:color="auto" w:fill="FFFFFF"/>
        </w:rPr>
      </w:pPr>
      <w:r>
        <w:rPr>
          <w:rFonts w:hint="eastAsia" w:ascii="仿宋_GB2312" w:eastAsia="仿宋_GB2312"/>
          <w:sz w:val="32"/>
          <w:szCs w:val="32"/>
          <w:shd w:val="clear" w:color="auto" w:fill="FFFFFF"/>
        </w:rPr>
        <w:t>2.社会保障和就业（类）行政事业单位养老（款）机关事业单位基本养老保险缴费支出（项）:</w:t>
      </w:r>
      <w:r>
        <w:rPr>
          <w:rFonts w:hint="eastAsia" w:ascii="仿宋_GB2312" w:eastAsia="仿宋_GB2312"/>
          <w:sz w:val="32"/>
          <w:szCs w:val="32"/>
          <w:shd w:val="clear" w:color="auto" w:fill="FFFFFF"/>
          <w:lang w:eastAsia="zh-CN"/>
        </w:rPr>
        <w:t>2026</w:t>
      </w:r>
      <w:r>
        <w:rPr>
          <w:rFonts w:hint="eastAsia" w:ascii="仿宋_GB2312" w:eastAsia="仿宋_GB2312"/>
          <w:sz w:val="32"/>
          <w:szCs w:val="32"/>
          <w:shd w:val="clear" w:color="auto" w:fill="FFFFFF"/>
        </w:rPr>
        <w:t>年预算数为</w:t>
      </w:r>
      <w:r>
        <w:rPr>
          <w:rFonts w:hint="eastAsia" w:ascii="仿宋_GB2312" w:eastAsia="仿宋_GB2312"/>
          <w:sz w:val="32"/>
          <w:szCs w:val="32"/>
          <w:shd w:val="clear" w:color="auto" w:fill="FFFFFF"/>
          <w:lang w:val="en-US" w:eastAsia="zh-CN"/>
        </w:rPr>
        <w:t>71</w:t>
      </w:r>
      <w:r>
        <w:rPr>
          <w:rFonts w:hint="eastAsia" w:ascii="仿宋_GB2312" w:eastAsia="仿宋_GB2312"/>
          <w:sz w:val="32"/>
          <w:szCs w:val="32"/>
          <w:shd w:val="clear" w:color="auto" w:fill="FFFFFF"/>
        </w:rPr>
        <w:t>万元，主要用于：实施养老保险制度后，部门按规定由单位缴纳的基本养老保险费支出。</w:t>
      </w:r>
    </w:p>
    <w:p>
      <w:pPr>
        <w:spacing w:line="560" w:lineRule="exact"/>
        <w:ind w:firstLine="694"/>
        <w:rPr>
          <w:rFonts w:ascii="仿宋_GB2312" w:eastAsia="仿宋_GB2312"/>
          <w:sz w:val="32"/>
          <w:szCs w:val="32"/>
          <w:shd w:val="clear" w:color="auto" w:fill="FFFFFF"/>
        </w:rPr>
      </w:pPr>
      <w:r>
        <w:rPr>
          <w:rFonts w:hint="eastAsia" w:ascii="仿宋_GB2312" w:eastAsia="仿宋_GB2312"/>
          <w:sz w:val="32"/>
          <w:szCs w:val="32"/>
          <w:shd w:val="clear" w:color="auto" w:fill="FFFFFF"/>
        </w:rPr>
        <w:t>3.社会保障和就业（类）行政事业单位养老（款）机关事业单位职业年金缴费支出（项）:</w:t>
      </w:r>
      <w:r>
        <w:rPr>
          <w:rFonts w:hint="eastAsia" w:ascii="仿宋_GB2312" w:eastAsia="仿宋_GB2312"/>
          <w:sz w:val="32"/>
          <w:szCs w:val="32"/>
          <w:shd w:val="clear" w:color="auto" w:fill="FFFFFF"/>
          <w:lang w:eastAsia="zh-CN"/>
        </w:rPr>
        <w:t>2026</w:t>
      </w:r>
      <w:r>
        <w:rPr>
          <w:rFonts w:hint="eastAsia" w:ascii="仿宋_GB2312" w:eastAsia="仿宋_GB2312"/>
          <w:sz w:val="32"/>
          <w:szCs w:val="32"/>
          <w:shd w:val="clear" w:color="auto" w:fill="FFFFFF"/>
        </w:rPr>
        <w:t>年预算数为</w:t>
      </w:r>
      <w:r>
        <w:rPr>
          <w:rFonts w:hint="eastAsia" w:ascii="仿宋_GB2312" w:eastAsia="仿宋_GB2312"/>
          <w:sz w:val="32"/>
          <w:szCs w:val="32"/>
          <w:shd w:val="clear" w:color="auto" w:fill="FFFFFF"/>
          <w:lang w:val="en-US" w:eastAsia="zh-CN"/>
        </w:rPr>
        <w:t>40.34</w:t>
      </w:r>
      <w:r>
        <w:rPr>
          <w:rFonts w:hint="eastAsia" w:ascii="仿宋_GB2312" w:eastAsia="仿宋_GB2312"/>
          <w:sz w:val="32"/>
          <w:szCs w:val="32"/>
          <w:shd w:val="clear" w:color="auto" w:fill="FFFFFF"/>
        </w:rPr>
        <w:t>万元，主要用于：实施职业年金制度后，部门按规定由单位缴纳的职业年金支出。</w:t>
      </w:r>
    </w:p>
    <w:p>
      <w:pPr>
        <w:spacing w:line="560" w:lineRule="exact"/>
        <w:ind w:firstLine="694"/>
        <w:rPr>
          <w:rFonts w:ascii="仿宋_GB2312" w:eastAsia="仿宋_GB2312"/>
          <w:sz w:val="32"/>
          <w:szCs w:val="32"/>
          <w:shd w:val="clear" w:color="auto" w:fill="FFFFFF"/>
        </w:rPr>
      </w:pPr>
      <w:r>
        <w:rPr>
          <w:rFonts w:hint="eastAsia" w:ascii="仿宋_GB2312" w:eastAsia="仿宋_GB2312"/>
          <w:sz w:val="32"/>
          <w:szCs w:val="32"/>
          <w:shd w:val="clear" w:color="auto" w:fill="FFFFFF"/>
        </w:rPr>
        <w:t>4.卫生健康（类）行政事业单位医疗（款）行政单位医疗（项）:</w:t>
      </w:r>
      <w:r>
        <w:rPr>
          <w:rFonts w:hint="eastAsia" w:ascii="仿宋_GB2312" w:eastAsia="仿宋_GB2312"/>
          <w:sz w:val="32"/>
          <w:szCs w:val="32"/>
          <w:shd w:val="clear" w:color="auto" w:fill="FFFFFF"/>
          <w:lang w:eastAsia="zh-CN"/>
        </w:rPr>
        <w:t>2026</w:t>
      </w:r>
      <w:r>
        <w:rPr>
          <w:rFonts w:hint="eastAsia" w:ascii="仿宋_GB2312" w:eastAsia="仿宋_GB2312"/>
          <w:sz w:val="32"/>
          <w:szCs w:val="32"/>
          <w:shd w:val="clear" w:color="auto" w:fill="FFFFFF"/>
        </w:rPr>
        <w:t>年预算数为</w:t>
      </w:r>
      <w:r>
        <w:rPr>
          <w:rFonts w:hint="eastAsia" w:ascii="仿宋_GB2312" w:eastAsia="仿宋_GB2312"/>
          <w:sz w:val="32"/>
          <w:szCs w:val="32"/>
          <w:shd w:val="clear" w:color="auto" w:fill="FFFFFF"/>
          <w:lang w:val="en-US" w:eastAsia="zh-CN"/>
        </w:rPr>
        <w:t>35.30</w:t>
      </w:r>
      <w:r>
        <w:rPr>
          <w:rFonts w:hint="eastAsia" w:ascii="仿宋_GB2312" w:eastAsia="仿宋_GB2312"/>
          <w:sz w:val="32"/>
          <w:szCs w:val="32"/>
          <w:shd w:val="clear" w:color="auto" w:fill="FFFFFF"/>
        </w:rPr>
        <w:t>万元，主要用于：机关及事业单位基本医疗保险缴费支出。</w:t>
      </w:r>
    </w:p>
    <w:p>
      <w:pPr>
        <w:spacing w:line="560" w:lineRule="exact"/>
        <w:ind w:firstLine="694"/>
        <w:rPr>
          <w:rFonts w:ascii="仿宋_GB2312" w:eastAsia="仿宋_GB2312"/>
          <w:sz w:val="32"/>
          <w:szCs w:val="32"/>
          <w:shd w:val="clear" w:color="auto" w:fill="FFFFFF"/>
        </w:rPr>
      </w:pPr>
      <w:r>
        <w:rPr>
          <w:rFonts w:hint="eastAsia" w:ascii="仿宋_GB2312" w:eastAsia="仿宋_GB2312"/>
          <w:sz w:val="32"/>
          <w:szCs w:val="32"/>
          <w:shd w:val="clear" w:color="auto" w:fill="FFFFFF"/>
        </w:rPr>
        <w:t>5.卫生健康（类）行政事业单位医疗（款）公务员医疗补助（项）:</w:t>
      </w:r>
      <w:r>
        <w:rPr>
          <w:rFonts w:hint="eastAsia" w:ascii="仿宋_GB2312" w:eastAsia="仿宋_GB2312"/>
          <w:sz w:val="32"/>
          <w:szCs w:val="32"/>
          <w:shd w:val="clear" w:color="auto" w:fill="FFFFFF"/>
          <w:lang w:eastAsia="zh-CN"/>
        </w:rPr>
        <w:t>2026</w:t>
      </w:r>
      <w:r>
        <w:rPr>
          <w:rFonts w:hint="eastAsia" w:ascii="仿宋_GB2312" w:eastAsia="仿宋_GB2312"/>
          <w:sz w:val="32"/>
          <w:szCs w:val="32"/>
          <w:shd w:val="clear" w:color="auto" w:fill="FFFFFF"/>
        </w:rPr>
        <w:t>年预算数为</w:t>
      </w:r>
      <w:r>
        <w:rPr>
          <w:rFonts w:hint="eastAsia" w:ascii="仿宋_GB2312" w:eastAsia="仿宋_GB2312"/>
          <w:sz w:val="32"/>
          <w:szCs w:val="32"/>
          <w:shd w:val="clear" w:color="auto" w:fill="FFFFFF"/>
          <w:lang w:val="en-US" w:eastAsia="zh-CN"/>
        </w:rPr>
        <w:t>9.02</w:t>
      </w:r>
      <w:r>
        <w:rPr>
          <w:rFonts w:hint="eastAsia" w:ascii="仿宋_GB2312" w:eastAsia="仿宋_GB2312"/>
          <w:sz w:val="32"/>
          <w:szCs w:val="32"/>
          <w:shd w:val="clear" w:color="auto" w:fill="FFFFFF"/>
        </w:rPr>
        <w:t>万元，主要用于：机关及事业单位集中缴纳公务员医疗补助支出。</w:t>
      </w:r>
    </w:p>
    <w:p>
      <w:pPr>
        <w:ind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rPr>
        <w:t>6.住房保障（类）住房改革支出（款）住房公积金（项）:</w:t>
      </w:r>
      <w:r>
        <w:rPr>
          <w:rFonts w:hint="eastAsia" w:ascii="仿宋_GB2312" w:eastAsia="仿宋_GB2312"/>
          <w:sz w:val="32"/>
          <w:szCs w:val="32"/>
          <w:shd w:val="clear" w:color="auto" w:fill="FFFFFF"/>
          <w:lang w:eastAsia="zh-CN"/>
        </w:rPr>
        <w:t>2026</w:t>
      </w:r>
      <w:r>
        <w:rPr>
          <w:rFonts w:hint="eastAsia" w:ascii="仿宋_GB2312" w:eastAsia="仿宋_GB2312"/>
          <w:sz w:val="32"/>
          <w:szCs w:val="32"/>
          <w:shd w:val="clear" w:color="auto" w:fill="FFFFFF"/>
        </w:rPr>
        <w:t>年预算数为</w:t>
      </w:r>
      <w:r>
        <w:rPr>
          <w:rFonts w:hint="eastAsia" w:ascii="仿宋_GB2312" w:eastAsia="仿宋_GB2312"/>
          <w:sz w:val="32"/>
          <w:szCs w:val="32"/>
          <w:shd w:val="clear" w:color="auto" w:fill="FFFFFF"/>
          <w:lang w:val="en-US" w:eastAsia="zh-CN"/>
        </w:rPr>
        <w:t>60.53</w:t>
      </w:r>
      <w:r>
        <w:rPr>
          <w:rFonts w:hint="eastAsia" w:ascii="仿宋_GB2312" w:eastAsia="仿宋_GB2312"/>
          <w:sz w:val="32"/>
          <w:szCs w:val="32"/>
          <w:shd w:val="clear" w:color="auto" w:fill="FFFFFF"/>
        </w:rPr>
        <w:t xml:space="preserve">万元，主要用于：按人力资源和社会保障部、财政部规定的基本工资和津贴补贴以及规定比例为职工缴纳的住房公积金支出。 </w:t>
      </w:r>
    </w:p>
    <w:p>
      <w:pPr>
        <w:ind w:firstLine="640" w:firstLineChars="200"/>
        <w:rPr>
          <w:rFonts w:ascii="黑体" w:hAnsi="黑体" w:eastAsia="黑体"/>
          <w:sz w:val="32"/>
          <w:szCs w:val="32"/>
        </w:rPr>
      </w:pPr>
      <w:r>
        <w:rPr>
          <w:rFonts w:hint="eastAsia" w:ascii="黑体" w:hAnsi="黑体" w:eastAsia="黑体"/>
          <w:sz w:val="32"/>
          <w:szCs w:val="32"/>
        </w:rPr>
        <w:t>四、一般公共预算基本支出情况说明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双河镇</w:t>
      </w:r>
      <w:r>
        <w:rPr>
          <w:rFonts w:hint="eastAsia" w:ascii="仿宋_GB2312" w:hAnsi="黑体" w:eastAsia="仿宋_GB2312"/>
          <w:sz w:val="32"/>
          <w:szCs w:val="32"/>
          <w:lang w:eastAsia="zh-CN"/>
        </w:rPr>
        <w:t>2026</w:t>
      </w:r>
      <w:r>
        <w:rPr>
          <w:rFonts w:hint="eastAsia" w:ascii="仿宋_GB2312" w:hAnsi="黑体" w:eastAsia="仿宋_GB2312"/>
          <w:sz w:val="32"/>
          <w:szCs w:val="32"/>
        </w:rPr>
        <w:t>年一般公共预算基本支出</w:t>
      </w:r>
      <w:r>
        <w:rPr>
          <w:rFonts w:hint="eastAsia" w:ascii="仿宋_GB2312" w:hAnsi="黑体" w:eastAsia="仿宋_GB2312"/>
          <w:sz w:val="32"/>
          <w:szCs w:val="32"/>
          <w:lang w:val="en-US" w:eastAsia="zh-CN"/>
        </w:rPr>
        <w:t>955</w:t>
      </w:r>
      <w:r>
        <w:rPr>
          <w:rFonts w:hint="eastAsia" w:ascii="仿宋_GB2312" w:hAnsi="黑体" w:eastAsia="仿宋_GB2312"/>
          <w:sz w:val="32"/>
          <w:szCs w:val="32"/>
        </w:rPr>
        <w:t>万元，其中：</w:t>
      </w:r>
    </w:p>
    <w:p>
      <w:pPr>
        <w:rPr>
          <w:rFonts w:ascii="仿宋_GB2312" w:hAnsi="黑体" w:eastAsia="仿宋_GB2312"/>
          <w:color w:val="000000" w:themeColor="text1"/>
          <w:sz w:val="32"/>
          <w:szCs w:val="32"/>
        </w:rPr>
      </w:pPr>
      <w:r>
        <w:rPr>
          <w:rFonts w:hint="eastAsia" w:ascii="仿宋_GB2312" w:hAnsi="黑体" w:eastAsia="仿宋_GB2312"/>
          <w:color w:val="000000" w:themeColor="text1"/>
          <w:sz w:val="32"/>
          <w:szCs w:val="32"/>
        </w:rPr>
        <w:t>人员经费</w:t>
      </w:r>
      <w:r>
        <w:rPr>
          <w:rFonts w:hint="eastAsia" w:ascii="仿宋_GB2312" w:hAnsi="黑体" w:eastAsia="仿宋_GB2312"/>
          <w:color w:val="000000" w:themeColor="text1"/>
          <w:sz w:val="32"/>
          <w:szCs w:val="32"/>
          <w:lang w:val="en-US" w:eastAsia="zh-CN"/>
        </w:rPr>
        <w:t>906.72</w:t>
      </w:r>
      <w:r>
        <w:rPr>
          <w:rFonts w:hint="eastAsia" w:ascii="仿宋_GB2312" w:hAnsi="黑体" w:eastAsia="仿宋_GB2312"/>
          <w:color w:val="000000" w:themeColor="text1"/>
          <w:sz w:val="32"/>
          <w:szCs w:val="32"/>
        </w:rPr>
        <w:t>万元，主要包括：基本工资、津贴补贴、奖金、社会保险缴费、离休费、住房公积金、福利费、工会经费、其他交通费用等支出。</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sz w:val="32"/>
          <w:szCs w:val="32"/>
          <w:lang w:val="en-US" w:eastAsia="zh-CN"/>
        </w:rPr>
        <w:t>48.28</w:t>
      </w:r>
      <w:r>
        <w:rPr>
          <w:rFonts w:hint="eastAsia" w:ascii="仿宋_GB2312" w:hAnsi="黑体" w:eastAsia="仿宋_GB2312"/>
          <w:sz w:val="32"/>
          <w:szCs w:val="32"/>
        </w:rPr>
        <w:t>万元，主要包活：办公费、印刷费、水费、电费、邮电费、物业管理费、差旅费、会议费、培训费、公务接待费、劳务费、公务用车运行维护费、</w:t>
      </w:r>
      <w:r>
        <w:rPr>
          <w:rFonts w:hint="eastAsia" w:ascii="仿宋_GB2312" w:eastAsia="仿宋_GB2312"/>
          <w:sz w:val="32"/>
          <w:szCs w:val="32"/>
          <w:shd w:val="clear" w:color="auto" w:fill="FFFFFF"/>
        </w:rPr>
        <w:t>其他商品和服务支出</w:t>
      </w:r>
      <w:r>
        <w:rPr>
          <w:rFonts w:hint="eastAsia" w:ascii="仿宋_GB2312" w:hAnsi="黑体" w:eastAsia="仿宋_GB2312"/>
          <w:sz w:val="32"/>
          <w:szCs w:val="32"/>
        </w:rPr>
        <w:t>等支出。</w:t>
      </w:r>
    </w:p>
    <w:p>
      <w:pPr>
        <w:ind w:firstLine="640" w:firstLineChars="200"/>
        <w:rPr>
          <w:rFonts w:ascii="黑体" w:hAnsi="黑体" w:eastAsia="黑体"/>
          <w:sz w:val="32"/>
          <w:szCs w:val="32"/>
        </w:rPr>
      </w:pPr>
      <w:r>
        <w:rPr>
          <w:rFonts w:hint="eastAsia" w:ascii="黑体" w:hAnsi="黑体" w:eastAsia="黑体"/>
          <w:sz w:val="32"/>
          <w:szCs w:val="32"/>
        </w:rPr>
        <w:t>五、“三公”经费财政拨款预算安排情况说明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双河镇</w:t>
      </w:r>
      <w:r>
        <w:rPr>
          <w:rFonts w:hint="eastAsia" w:ascii="仿宋_GB2312" w:hAnsi="黑体" w:eastAsia="仿宋_GB2312"/>
          <w:sz w:val="32"/>
          <w:szCs w:val="32"/>
          <w:lang w:eastAsia="zh-CN"/>
        </w:rPr>
        <w:t>2026</w:t>
      </w:r>
      <w:r>
        <w:rPr>
          <w:rFonts w:hint="eastAsia" w:ascii="仿宋_GB2312" w:hAnsi="黑体" w:eastAsia="仿宋_GB2312"/>
          <w:sz w:val="32"/>
          <w:szCs w:val="32"/>
        </w:rPr>
        <w:t>年“三公”经费财政拨款预算数9</w:t>
      </w:r>
      <w:r>
        <w:rPr>
          <w:rFonts w:hint="eastAsia" w:ascii="仿宋_GB2312" w:hAnsi="黑体" w:eastAsia="仿宋_GB2312"/>
          <w:sz w:val="32"/>
          <w:szCs w:val="32"/>
          <w:lang w:val="en-US" w:eastAsia="zh-CN"/>
        </w:rPr>
        <w:t>.66</w:t>
      </w:r>
      <w:r>
        <w:rPr>
          <w:rFonts w:hint="eastAsia" w:ascii="仿宋_GB2312" w:hAnsi="黑体" w:eastAsia="仿宋_GB2312"/>
          <w:sz w:val="32"/>
          <w:szCs w:val="32"/>
        </w:rPr>
        <w:t>万元，其中：公务接待费0</w:t>
      </w:r>
      <w:r>
        <w:rPr>
          <w:rFonts w:hint="eastAsia" w:ascii="仿宋_GB2312" w:hAnsi="黑体" w:eastAsia="仿宋_GB2312"/>
          <w:sz w:val="32"/>
          <w:szCs w:val="32"/>
          <w:lang w:val="en-US" w:eastAsia="zh-CN"/>
        </w:rPr>
        <w:t>.66</w:t>
      </w:r>
      <w:r>
        <w:rPr>
          <w:rFonts w:hint="eastAsia" w:ascii="仿宋_GB2312" w:hAnsi="黑体" w:eastAsia="仿宋_GB2312"/>
          <w:sz w:val="32"/>
          <w:szCs w:val="32"/>
        </w:rPr>
        <w:t>万元，公务用车购置及运行维护费9万元,因公出国（境）经费0万元。</w:t>
      </w:r>
    </w:p>
    <w:p>
      <w:pPr>
        <w:spacing w:line="560" w:lineRule="exact"/>
        <w:ind w:firstLine="652"/>
        <w:rPr>
          <w:rFonts w:ascii="仿宋_GB2312" w:hAnsi="黑体" w:eastAsia="仿宋_GB2312"/>
          <w:sz w:val="32"/>
          <w:szCs w:val="32"/>
        </w:rPr>
      </w:pPr>
      <w:r>
        <w:rPr>
          <w:rFonts w:hint="eastAsia" w:ascii="楷体" w:hAnsi="楷体" w:eastAsia="楷体"/>
          <w:b/>
          <w:sz w:val="32"/>
          <w:szCs w:val="32"/>
        </w:rPr>
        <w:t>（一）公务接待费与（较</w:t>
      </w:r>
      <w:r>
        <w:rPr>
          <w:rFonts w:ascii="楷体" w:hAnsi="楷体" w:eastAsia="楷体"/>
          <w:b/>
          <w:sz w:val="32"/>
          <w:szCs w:val="32"/>
        </w:rPr>
        <w:t>）</w:t>
      </w:r>
      <w:r>
        <w:rPr>
          <w:rFonts w:hint="eastAsia" w:ascii="楷体" w:hAnsi="楷体" w:eastAsia="楷体"/>
          <w:b/>
          <w:sz w:val="32"/>
          <w:szCs w:val="32"/>
        </w:rPr>
        <w:t>202</w:t>
      </w:r>
      <w:r>
        <w:rPr>
          <w:rFonts w:hint="eastAsia" w:ascii="楷体" w:hAnsi="楷体" w:eastAsia="楷体"/>
          <w:b/>
          <w:sz w:val="32"/>
          <w:szCs w:val="32"/>
          <w:lang w:val="en-US" w:eastAsia="zh-CN"/>
        </w:rPr>
        <w:t>5</w:t>
      </w:r>
      <w:r>
        <w:rPr>
          <w:rFonts w:hint="eastAsia" w:ascii="楷体" w:hAnsi="楷体" w:eastAsia="楷体"/>
          <w:b/>
          <w:sz w:val="32"/>
          <w:szCs w:val="32"/>
        </w:rPr>
        <w:t>年预算持平</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eastAsia="zh-CN"/>
        </w:rPr>
        <w:t>2026</w:t>
      </w:r>
      <w:r>
        <w:rPr>
          <w:rFonts w:hint="eastAsia" w:ascii="仿宋_GB2312" w:eastAsia="仿宋_GB2312"/>
          <w:sz w:val="32"/>
          <w:szCs w:val="32"/>
          <w:shd w:val="clear" w:color="auto" w:fill="FFFFFF"/>
        </w:rPr>
        <w:t>年公务接待费计划用于执行公务、考察调研、检查指导等公务活动开支的交通费、住宿费、用餐费等。</w:t>
      </w:r>
    </w:p>
    <w:p>
      <w:pPr>
        <w:ind w:firstLine="643" w:firstLineChars="200"/>
        <w:rPr>
          <w:rFonts w:ascii="楷体" w:hAnsi="楷体" w:eastAsia="楷体"/>
          <w:b/>
          <w:sz w:val="32"/>
          <w:szCs w:val="32"/>
        </w:rPr>
      </w:pPr>
      <w:r>
        <w:rPr>
          <w:rFonts w:hint="eastAsia" w:ascii="楷体" w:hAnsi="楷体" w:eastAsia="楷体"/>
          <w:b/>
          <w:sz w:val="32"/>
          <w:szCs w:val="32"/>
        </w:rPr>
        <w:t>（二）公务用车购置及运行维护费与（较）202</w:t>
      </w:r>
      <w:r>
        <w:rPr>
          <w:rFonts w:hint="eastAsia" w:ascii="楷体" w:hAnsi="楷体" w:eastAsia="楷体"/>
          <w:b/>
          <w:sz w:val="32"/>
          <w:szCs w:val="32"/>
          <w:lang w:val="en-US" w:eastAsia="zh-CN"/>
        </w:rPr>
        <w:t>5</w:t>
      </w:r>
      <w:r>
        <w:rPr>
          <w:rFonts w:hint="eastAsia" w:ascii="楷体" w:hAnsi="楷体" w:eastAsia="楷体"/>
          <w:b/>
          <w:sz w:val="32"/>
          <w:szCs w:val="32"/>
        </w:rPr>
        <w:t>年预算持平。</w:t>
      </w:r>
    </w:p>
    <w:p>
      <w:pPr>
        <w:ind w:firstLine="640" w:firstLineChars="200"/>
        <w:rPr>
          <w:rFonts w:ascii="仿宋_GB2312" w:hAnsi="黑体" w:eastAsia="仿宋_GB2312"/>
          <w:color w:val="000000" w:themeColor="text1"/>
          <w:sz w:val="32"/>
          <w:szCs w:val="32"/>
        </w:rPr>
      </w:pPr>
      <w:r>
        <w:rPr>
          <w:rFonts w:hint="eastAsia" w:ascii="仿宋_GB2312" w:hAnsi="黑体" w:eastAsia="仿宋_GB2312"/>
          <w:color w:val="000000" w:themeColor="text1"/>
          <w:sz w:val="32"/>
          <w:szCs w:val="32"/>
        </w:rPr>
        <w:t>单位现有公务用车</w:t>
      </w:r>
      <w:r>
        <w:rPr>
          <w:rFonts w:hint="eastAsia" w:ascii="仿宋_GB2312" w:hAnsi="黑体" w:eastAsia="仿宋_GB2312"/>
          <w:color w:val="000000" w:themeColor="text1"/>
          <w:sz w:val="32"/>
          <w:szCs w:val="32"/>
          <w:lang w:val="en-US" w:eastAsia="zh-CN"/>
        </w:rPr>
        <w:t>3</w:t>
      </w:r>
      <w:r>
        <w:rPr>
          <w:rFonts w:hint="eastAsia" w:ascii="仿宋_GB2312" w:hAnsi="黑体" w:eastAsia="仿宋_GB2312"/>
          <w:color w:val="000000" w:themeColor="text1"/>
          <w:sz w:val="32"/>
          <w:szCs w:val="32"/>
        </w:rPr>
        <w:t>辆，其中：轿车0辆，旅行车（含商务车）0辆，越野车</w:t>
      </w:r>
      <w:r>
        <w:rPr>
          <w:rFonts w:hint="eastAsia" w:ascii="仿宋_GB2312" w:hAnsi="黑体" w:eastAsia="仿宋_GB2312"/>
          <w:color w:val="000000" w:themeColor="text1"/>
          <w:sz w:val="32"/>
          <w:szCs w:val="32"/>
          <w:lang w:val="en-US" w:eastAsia="zh-CN"/>
        </w:rPr>
        <w:t>1</w:t>
      </w:r>
      <w:r>
        <w:rPr>
          <w:rFonts w:hint="eastAsia" w:ascii="仿宋_GB2312" w:hAnsi="黑体" w:eastAsia="仿宋_GB2312"/>
          <w:color w:val="000000" w:themeColor="text1"/>
          <w:sz w:val="32"/>
          <w:szCs w:val="32"/>
        </w:rPr>
        <w:t>辆、</w:t>
      </w:r>
      <w:r>
        <w:rPr>
          <w:rFonts w:hint="eastAsia" w:ascii="仿宋_GB2312" w:eastAsia="仿宋_GB2312"/>
          <w:color w:val="000000" w:themeColor="text1"/>
          <w:sz w:val="32"/>
          <w:szCs w:val="32"/>
          <w:shd w:val="clear" w:color="auto" w:fill="FFFFFF"/>
        </w:rPr>
        <w:t>多功能乘用车2辆</w:t>
      </w:r>
      <w:r>
        <w:rPr>
          <w:rFonts w:hint="eastAsia" w:ascii="仿宋_GB2312" w:hAnsi="黑体" w:eastAsia="仿宋_GB2312"/>
          <w:color w:val="000000" w:themeColor="text1"/>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2026</w:t>
      </w:r>
      <w:r>
        <w:rPr>
          <w:rFonts w:hint="eastAsia" w:ascii="仿宋_GB2312" w:hAnsi="黑体" w:eastAsia="仿宋_GB2312"/>
          <w:sz w:val="32"/>
          <w:szCs w:val="32"/>
        </w:rPr>
        <w:t>年安排公务用车运行维护费9万元，用于</w:t>
      </w:r>
      <w:r>
        <w:rPr>
          <w:rFonts w:hint="eastAsia" w:ascii="仿宋_GB2312" w:hAnsi="黑体" w:eastAsia="仿宋_GB2312"/>
          <w:sz w:val="32"/>
          <w:szCs w:val="32"/>
          <w:lang w:val="en-US" w:eastAsia="zh-CN"/>
        </w:rPr>
        <w:t>3</w:t>
      </w:r>
      <w:r>
        <w:rPr>
          <w:rFonts w:hint="eastAsia" w:ascii="仿宋_GB2312" w:hAnsi="黑体" w:eastAsia="仿宋_GB2312"/>
          <w:sz w:val="32"/>
          <w:szCs w:val="32"/>
        </w:rPr>
        <w:t>辆公务用车燃油、过路（桥）、维修、保险等方面支出，主要保障机关及下属单位</w:t>
      </w:r>
      <w:r>
        <w:rPr>
          <w:rFonts w:hint="eastAsia" w:ascii="仿宋_GB2312" w:eastAsia="仿宋_GB2312"/>
          <w:sz w:val="32"/>
          <w:szCs w:val="32"/>
          <w:shd w:val="clear" w:color="auto" w:fill="FFFFFF"/>
        </w:rPr>
        <w:t>工作调研、脱贫攻坚、监督检查、农村综合改革、财政支出绩效评价</w:t>
      </w:r>
      <w:r>
        <w:rPr>
          <w:rFonts w:hint="eastAsia" w:ascii="仿宋_GB2312" w:hAnsi="黑体" w:eastAsia="仿宋_GB2312"/>
          <w:sz w:val="32"/>
          <w:szCs w:val="32"/>
        </w:rPr>
        <w:t>等工作开展。</w:t>
      </w:r>
    </w:p>
    <w:p>
      <w:pPr>
        <w:ind w:firstLine="640" w:firstLineChars="200"/>
        <w:rPr>
          <w:rFonts w:ascii="黑体" w:hAnsi="黑体" w:eastAsia="黑体"/>
          <w:sz w:val="32"/>
          <w:szCs w:val="32"/>
        </w:rPr>
      </w:pPr>
      <w:r>
        <w:rPr>
          <w:rFonts w:hint="eastAsia" w:ascii="黑体" w:hAnsi="黑体" w:eastAsia="黑体"/>
          <w:sz w:val="32"/>
          <w:szCs w:val="32"/>
        </w:rPr>
        <w:t>六、政府性基金预算支出情况说明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双河镇</w:t>
      </w:r>
      <w:r>
        <w:rPr>
          <w:rFonts w:hint="eastAsia" w:ascii="仿宋_GB2312" w:hAnsi="黑体" w:eastAsia="仿宋_GB2312"/>
          <w:sz w:val="32"/>
          <w:szCs w:val="32"/>
          <w:lang w:eastAsia="zh-CN"/>
        </w:rPr>
        <w:t>2026</w:t>
      </w:r>
      <w:r>
        <w:rPr>
          <w:rFonts w:hint="eastAsia" w:ascii="仿宋_GB2312" w:hAnsi="黑体" w:eastAsia="仿宋_GB2312"/>
          <w:sz w:val="32"/>
          <w:szCs w:val="32"/>
        </w:rPr>
        <w:t>没有使用政府性基金预算拨款安排的支出。</w:t>
      </w:r>
    </w:p>
    <w:p>
      <w:pPr>
        <w:ind w:firstLine="640" w:firstLineChars="200"/>
        <w:rPr>
          <w:rFonts w:ascii="黑体" w:hAnsi="黑体" w:eastAsia="黑体"/>
          <w:sz w:val="32"/>
          <w:szCs w:val="32"/>
        </w:rPr>
      </w:pPr>
      <w:r>
        <w:rPr>
          <w:rFonts w:hint="eastAsia" w:ascii="黑体" w:hAnsi="黑体" w:eastAsia="黑体"/>
          <w:sz w:val="32"/>
          <w:szCs w:val="32"/>
        </w:rPr>
        <w:t>七、国有资本经营预算情况说明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双河镇</w:t>
      </w:r>
      <w:r>
        <w:rPr>
          <w:rFonts w:hint="eastAsia" w:ascii="仿宋_GB2312" w:hAnsi="黑体" w:eastAsia="仿宋_GB2312"/>
          <w:sz w:val="32"/>
          <w:szCs w:val="32"/>
          <w:lang w:eastAsia="zh-CN"/>
        </w:rPr>
        <w:t>2026</w:t>
      </w:r>
      <w:r>
        <w:rPr>
          <w:rFonts w:hint="eastAsia" w:ascii="仿宋_GB2312" w:hAnsi="黑体" w:eastAsia="仿宋_GB2312"/>
          <w:sz w:val="32"/>
          <w:szCs w:val="32"/>
        </w:rPr>
        <w:t>年没有使用国有资本经营预算拨款安排的支出。</w:t>
      </w:r>
    </w:p>
    <w:p>
      <w:pPr>
        <w:ind w:firstLine="640" w:firstLineChars="200"/>
        <w:rPr>
          <w:rFonts w:ascii="黑体" w:hAnsi="黑体" w:eastAsia="黑体"/>
          <w:sz w:val="32"/>
          <w:szCs w:val="32"/>
        </w:rPr>
      </w:pPr>
      <w:r>
        <w:rPr>
          <w:rFonts w:hint="eastAsia" w:ascii="黑体" w:hAnsi="黑体" w:eastAsia="黑体"/>
          <w:sz w:val="32"/>
          <w:szCs w:val="32"/>
        </w:rPr>
        <w:t>八、其他重要事项的情况说明</w:t>
      </w:r>
    </w:p>
    <w:p>
      <w:pPr>
        <w:ind w:firstLine="643" w:firstLineChars="200"/>
        <w:rPr>
          <w:rFonts w:ascii="楷体" w:hAnsi="楷体" w:eastAsia="楷体"/>
          <w:b/>
          <w:sz w:val="32"/>
          <w:szCs w:val="32"/>
        </w:rPr>
      </w:pPr>
      <w:r>
        <w:rPr>
          <w:rFonts w:ascii="楷体" w:hAnsi="楷体" w:eastAsia="楷体"/>
          <w:b/>
          <w:sz w:val="32"/>
          <w:szCs w:val="32"/>
        </w:rPr>
        <w:t>（</w:t>
      </w:r>
      <w:r>
        <w:rPr>
          <w:rFonts w:hint="eastAsia" w:ascii="楷体" w:hAnsi="楷体" w:eastAsia="楷体"/>
          <w:b/>
          <w:sz w:val="32"/>
          <w:szCs w:val="32"/>
        </w:rPr>
        <w:t>一</w:t>
      </w:r>
      <w:r>
        <w:rPr>
          <w:rFonts w:ascii="楷体" w:hAnsi="楷体" w:eastAsia="楷体"/>
          <w:b/>
          <w:sz w:val="32"/>
          <w:szCs w:val="32"/>
        </w:rPr>
        <w:t>）</w:t>
      </w:r>
      <w:r>
        <w:rPr>
          <w:rFonts w:hint="eastAsia" w:ascii="楷体" w:hAnsi="楷体" w:eastAsia="楷体"/>
          <w:b/>
          <w:sz w:val="32"/>
          <w:szCs w:val="32"/>
        </w:rPr>
        <w:t>机关运行经费情况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2026</w:t>
      </w:r>
      <w:r>
        <w:rPr>
          <w:rFonts w:hint="eastAsia" w:ascii="仿宋_GB2312" w:hAnsi="黑体" w:eastAsia="仿宋_GB2312"/>
          <w:sz w:val="32"/>
          <w:szCs w:val="32"/>
        </w:rPr>
        <w:t>年，双河镇机关运行经费财政拨款预算为</w:t>
      </w:r>
      <w:r>
        <w:rPr>
          <w:rFonts w:hint="eastAsia" w:ascii="仿宋_GB2312" w:hAnsi="黑体" w:eastAsia="仿宋_GB2312"/>
          <w:sz w:val="32"/>
          <w:szCs w:val="32"/>
          <w:lang w:val="en-US" w:eastAsia="zh-CN"/>
        </w:rPr>
        <w:t>44.02</w:t>
      </w:r>
      <w:r>
        <w:rPr>
          <w:rFonts w:hint="eastAsia" w:ascii="仿宋_GB2312" w:hAnsi="黑体" w:eastAsia="仿宋_GB2312"/>
          <w:sz w:val="32"/>
          <w:szCs w:val="32"/>
        </w:rPr>
        <w:t>万元，较202</w:t>
      </w:r>
      <w:r>
        <w:rPr>
          <w:rFonts w:hint="eastAsia" w:ascii="仿宋_GB2312" w:hAnsi="黑体" w:eastAsia="仿宋_GB2312"/>
          <w:sz w:val="32"/>
          <w:szCs w:val="32"/>
          <w:lang w:val="en-US" w:eastAsia="zh-CN"/>
        </w:rPr>
        <w:t>5</w:t>
      </w:r>
      <w:r>
        <w:rPr>
          <w:rFonts w:hint="eastAsia" w:ascii="仿宋_GB2312" w:hAnsi="黑体" w:eastAsia="仿宋_GB2312"/>
          <w:sz w:val="32"/>
          <w:szCs w:val="32"/>
        </w:rPr>
        <w:t>年预算</w:t>
      </w:r>
      <w:r>
        <w:rPr>
          <w:rFonts w:hint="eastAsia" w:ascii="仿宋_GB2312" w:hAnsi="黑体" w:eastAsia="仿宋_GB2312"/>
          <w:sz w:val="32"/>
          <w:szCs w:val="32"/>
          <w:lang w:val="en-US" w:eastAsia="zh-CN"/>
        </w:rPr>
        <w:t>无变化</w:t>
      </w:r>
      <w:r>
        <w:rPr>
          <w:rFonts w:hint="eastAsia" w:ascii="仿宋_GB2312" w:hAnsi="黑体" w:eastAsia="仿宋_GB2312"/>
          <w:sz w:val="32"/>
          <w:szCs w:val="32"/>
        </w:rPr>
        <w:t>。</w:t>
      </w:r>
    </w:p>
    <w:p>
      <w:pPr>
        <w:ind w:firstLine="643" w:firstLineChars="200"/>
        <w:rPr>
          <w:rFonts w:ascii="楷体" w:hAnsi="楷体" w:eastAsia="楷体"/>
          <w:b/>
          <w:sz w:val="32"/>
          <w:szCs w:val="32"/>
        </w:rPr>
      </w:pPr>
      <w:r>
        <w:rPr>
          <w:rFonts w:hint="eastAsia" w:ascii="楷体" w:hAnsi="楷体" w:eastAsia="楷体"/>
          <w:b/>
          <w:sz w:val="32"/>
          <w:szCs w:val="32"/>
        </w:rPr>
        <w:t>（二</w:t>
      </w:r>
      <w:r>
        <w:rPr>
          <w:rFonts w:ascii="楷体" w:hAnsi="楷体" w:eastAsia="楷体"/>
          <w:b/>
          <w:sz w:val="32"/>
          <w:szCs w:val="32"/>
        </w:rPr>
        <w:t>）</w:t>
      </w:r>
      <w:r>
        <w:rPr>
          <w:rFonts w:hint="eastAsia" w:ascii="楷体" w:hAnsi="楷体" w:eastAsia="楷体"/>
          <w:b/>
          <w:sz w:val="32"/>
          <w:szCs w:val="32"/>
        </w:rPr>
        <w:t>政府采购情况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2026</w:t>
      </w:r>
      <w:r>
        <w:rPr>
          <w:rFonts w:hint="eastAsia" w:ascii="仿宋_GB2312" w:hAnsi="黑体" w:eastAsia="仿宋_GB2312"/>
          <w:sz w:val="32"/>
          <w:szCs w:val="32"/>
        </w:rPr>
        <w:t>年，</w:t>
      </w:r>
      <w:r>
        <w:rPr>
          <w:rFonts w:hint="eastAsia" w:ascii="仿宋_GB2312" w:eastAsia="仿宋_GB2312"/>
          <w:sz w:val="32"/>
          <w:szCs w:val="32"/>
          <w:shd w:val="clear" w:color="auto" w:fill="FFFFFF"/>
        </w:rPr>
        <w:t>双河镇安排政府采购预算0万元。</w:t>
      </w:r>
    </w:p>
    <w:p>
      <w:pPr>
        <w:ind w:firstLine="643" w:firstLineChars="200"/>
        <w:rPr>
          <w:rFonts w:ascii="楷体" w:hAnsi="楷体" w:eastAsia="楷体"/>
          <w:b/>
          <w:sz w:val="32"/>
          <w:szCs w:val="32"/>
        </w:rPr>
      </w:pPr>
      <w:r>
        <w:rPr>
          <w:rFonts w:hint="eastAsia" w:ascii="楷体" w:hAnsi="楷体" w:eastAsia="楷体"/>
          <w:b/>
          <w:sz w:val="32"/>
          <w:szCs w:val="32"/>
        </w:rPr>
        <w:t>（三）国有资产占有使用情况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截至</w:t>
      </w:r>
      <w:r>
        <w:rPr>
          <w:rFonts w:hint="eastAsia" w:ascii="仿宋_GB2312" w:hAnsi="黑体" w:eastAsia="仿宋_GB2312"/>
          <w:sz w:val="32"/>
          <w:szCs w:val="32"/>
          <w:lang w:eastAsia="zh-CN"/>
        </w:rPr>
        <w:t>202</w:t>
      </w:r>
      <w:r>
        <w:rPr>
          <w:rFonts w:hint="eastAsia" w:ascii="仿宋_GB2312" w:hAnsi="黑体" w:eastAsia="仿宋_GB2312"/>
          <w:sz w:val="32"/>
          <w:szCs w:val="32"/>
          <w:lang w:val="en-US" w:eastAsia="zh-CN"/>
        </w:rPr>
        <w:t>5</w:t>
      </w:r>
      <w:r>
        <w:rPr>
          <w:rFonts w:hint="eastAsia" w:ascii="仿宋_GB2312" w:hAnsi="黑体" w:eastAsia="仿宋_GB2312"/>
          <w:sz w:val="32"/>
          <w:szCs w:val="32"/>
        </w:rPr>
        <w:t>年底，</w:t>
      </w:r>
      <w:r>
        <w:rPr>
          <w:rFonts w:hint="eastAsia" w:ascii="仿宋_GB2312" w:eastAsia="仿宋_GB2312"/>
          <w:sz w:val="32"/>
          <w:szCs w:val="32"/>
          <w:shd w:val="clear" w:color="auto" w:fill="FFFFFF"/>
        </w:rPr>
        <w:t>双河镇</w:t>
      </w:r>
      <w:r>
        <w:rPr>
          <w:rFonts w:hint="eastAsia" w:ascii="仿宋_GB2312" w:hAnsi="黑体" w:eastAsia="仿宋_GB2312"/>
          <w:sz w:val="32"/>
          <w:szCs w:val="32"/>
        </w:rPr>
        <w:t>所属各预算单位共</w:t>
      </w:r>
      <w:r>
        <w:rPr>
          <w:rFonts w:hint="eastAsia" w:ascii="仿宋_GB2312" w:hAnsi="黑体" w:eastAsia="仿宋_GB2312"/>
          <w:color w:val="000000" w:themeColor="text1"/>
          <w:sz w:val="32"/>
          <w:szCs w:val="32"/>
        </w:rPr>
        <w:t>有车辆</w:t>
      </w:r>
      <w:r>
        <w:rPr>
          <w:rFonts w:hint="eastAsia" w:ascii="仿宋_GB2312" w:hAnsi="黑体" w:eastAsia="仿宋_GB2312"/>
          <w:color w:val="000000" w:themeColor="text1"/>
          <w:sz w:val="32"/>
          <w:szCs w:val="32"/>
          <w:lang w:val="en-US" w:eastAsia="zh-CN"/>
        </w:rPr>
        <w:t>3</w:t>
      </w:r>
      <w:r>
        <w:rPr>
          <w:rFonts w:hint="eastAsia" w:ascii="仿宋_GB2312" w:hAnsi="黑体" w:eastAsia="仿宋_GB2312"/>
          <w:color w:val="000000" w:themeColor="text1"/>
          <w:sz w:val="32"/>
          <w:szCs w:val="32"/>
        </w:rPr>
        <w:t>辆，</w:t>
      </w:r>
      <w:r>
        <w:rPr>
          <w:rFonts w:hint="eastAsia" w:ascii="仿宋_GB2312" w:hAnsi="黑体" w:eastAsia="仿宋_GB2312"/>
          <w:sz w:val="32"/>
          <w:szCs w:val="32"/>
        </w:rPr>
        <w:t>其中，</w:t>
      </w:r>
      <w:r>
        <w:rPr>
          <w:rFonts w:hint="eastAsia" w:ascii="仿宋_GB2312" w:eastAsia="仿宋_GB2312"/>
          <w:sz w:val="32"/>
          <w:szCs w:val="32"/>
          <w:shd w:val="clear" w:color="auto" w:fill="FFFFFF"/>
        </w:rPr>
        <w:t>省部级</w:t>
      </w:r>
      <w:r>
        <w:rPr>
          <w:rFonts w:hint="eastAsia" w:ascii="仿宋_GB2312" w:hAnsi="黑体" w:eastAsia="仿宋_GB2312"/>
          <w:sz w:val="32"/>
          <w:szCs w:val="32"/>
        </w:rPr>
        <w:t>领导干部用车0辆、定向保障用车0辆、执法执勤用车0辆，</w:t>
      </w:r>
      <w:r>
        <w:rPr>
          <w:rFonts w:hint="eastAsia" w:ascii="仿宋_GB2312" w:eastAsia="仿宋_GB2312"/>
          <w:sz w:val="32"/>
          <w:szCs w:val="32"/>
          <w:shd w:val="clear" w:color="auto" w:fill="FFFFFF"/>
        </w:rPr>
        <w:t>其他用车</w:t>
      </w:r>
      <w:r>
        <w:rPr>
          <w:rFonts w:hint="eastAsia" w:ascii="仿宋_GB2312" w:eastAsia="仿宋_GB2312"/>
          <w:sz w:val="32"/>
          <w:szCs w:val="32"/>
          <w:shd w:val="clear" w:color="auto" w:fill="FFFFFF"/>
          <w:lang w:val="en-US" w:eastAsia="zh-CN"/>
        </w:rPr>
        <w:t>3</w:t>
      </w:r>
      <w:r>
        <w:rPr>
          <w:rFonts w:hint="eastAsia" w:ascii="仿宋_GB2312" w:eastAsia="仿宋_GB2312"/>
          <w:sz w:val="32"/>
          <w:szCs w:val="32"/>
          <w:shd w:val="clear" w:color="auto" w:fill="FFFFFF"/>
        </w:rPr>
        <w:t>辆</w:t>
      </w:r>
      <w:r>
        <w:rPr>
          <w:rFonts w:hint="eastAsia" w:ascii="仿宋_GB2312" w:hAnsi="黑体" w:eastAsia="仿宋_GB2312"/>
          <w:sz w:val="32"/>
          <w:szCs w:val="32"/>
        </w:rPr>
        <w:t>。单位价值200万元以上大型设备0台</w:t>
      </w:r>
      <w:r>
        <w:rPr>
          <w:rFonts w:ascii="仿宋_GB2312" w:hAnsi="黑体" w:eastAsia="仿宋_GB2312"/>
          <w:sz w:val="32"/>
          <w:szCs w:val="32"/>
        </w:rPr>
        <w:t>（</w:t>
      </w:r>
      <w:r>
        <w:rPr>
          <w:rFonts w:hint="eastAsia" w:ascii="仿宋_GB2312" w:hAnsi="黑体" w:eastAsia="仿宋_GB2312"/>
          <w:sz w:val="32"/>
          <w:szCs w:val="32"/>
        </w:rPr>
        <w:t>套</w:t>
      </w:r>
      <w:r>
        <w:rPr>
          <w:rFonts w:ascii="仿宋_GB2312" w:hAnsi="黑体" w:eastAsia="仿宋_GB2312"/>
          <w:sz w:val="32"/>
          <w:szCs w:val="32"/>
        </w:rPr>
        <w:t>）</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2026</w:t>
      </w:r>
      <w:r>
        <w:rPr>
          <w:rFonts w:hint="eastAsia" w:ascii="仿宋_GB2312" w:hAnsi="黑体" w:eastAsia="仿宋_GB2312"/>
          <w:sz w:val="32"/>
          <w:szCs w:val="32"/>
        </w:rPr>
        <w:t>年部门预算未安排购置车辆及单位价值200万元以上大型设备。</w:t>
      </w:r>
    </w:p>
    <w:p>
      <w:pPr>
        <w:ind w:firstLine="643" w:firstLineChars="200"/>
        <w:rPr>
          <w:rFonts w:ascii="楷体" w:hAnsi="楷体" w:eastAsia="楷体"/>
          <w:b/>
          <w:sz w:val="32"/>
          <w:szCs w:val="32"/>
        </w:rPr>
      </w:pPr>
      <w:r>
        <w:rPr>
          <w:rFonts w:hint="eastAsia" w:ascii="楷体" w:hAnsi="楷体" w:eastAsia="楷体"/>
          <w:b/>
          <w:sz w:val="32"/>
          <w:szCs w:val="32"/>
        </w:rPr>
        <w:t>（四）预算绩效情况</w:t>
      </w:r>
    </w:p>
    <w:p>
      <w:pPr>
        <w:rPr>
          <w:rFonts w:hint="eastAsia" w:ascii="仿宋_GB2312" w:hAnsi="黑体" w:eastAsia="仿宋_GB2312"/>
          <w:color w:val="000000" w:themeColor="text1"/>
          <w:sz w:val="32"/>
          <w:szCs w:val="32"/>
        </w:rPr>
      </w:pPr>
      <w:r>
        <w:rPr>
          <w:rFonts w:hint="eastAsia" w:ascii="仿宋_GB2312" w:hAnsi="黑体" w:eastAsia="仿宋_GB2312"/>
          <w:color w:val="FF0000"/>
          <w:sz w:val="32"/>
          <w:szCs w:val="32"/>
        </w:rPr>
        <w:t xml:space="preserve">   </w:t>
      </w:r>
      <w:r>
        <w:rPr>
          <w:rFonts w:hint="eastAsia" w:ascii="仿宋_GB2312" w:hAnsi="黑体" w:eastAsia="仿宋_GB2312"/>
          <w:color w:val="000000" w:themeColor="text1"/>
          <w:sz w:val="32"/>
          <w:szCs w:val="32"/>
          <w:lang w:eastAsia="zh-CN"/>
        </w:rPr>
        <w:t>2026</w:t>
      </w:r>
      <w:r>
        <w:rPr>
          <w:rFonts w:hint="eastAsia" w:ascii="仿宋_GB2312" w:hAnsi="黑体" w:eastAsia="仿宋_GB2312"/>
          <w:color w:val="000000" w:themeColor="text1"/>
          <w:sz w:val="32"/>
          <w:szCs w:val="32"/>
        </w:rPr>
        <w:t>年双河镇开展绩效目标管理的项目</w:t>
      </w:r>
      <w:r>
        <w:rPr>
          <w:rFonts w:hint="eastAsia" w:ascii="仿宋_GB2312" w:hAnsi="黑体" w:eastAsia="仿宋_GB2312"/>
          <w:color w:val="000000" w:themeColor="text1"/>
          <w:sz w:val="32"/>
          <w:szCs w:val="32"/>
          <w:lang w:val="en-US" w:eastAsia="zh-CN"/>
        </w:rPr>
        <w:t>3</w:t>
      </w:r>
      <w:r>
        <w:rPr>
          <w:rFonts w:hint="eastAsia" w:ascii="仿宋_GB2312" w:hAnsi="黑体" w:eastAsia="仿宋_GB2312"/>
          <w:color w:val="000000" w:themeColor="text1"/>
          <w:sz w:val="32"/>
          <w:szCs w:val="32"/>
        </w:rPr>
        <w:t>个，涉及预算</w:t>
      </w:r>
      <w:r>
        <w:rPr>
          <w:rFonts w:hint="eastAsia" w:ascii="仿宋_GB2312" w:hAnsi="黑体" w:eastAsia="仿宋_GB2312"/>
          <w:color w:val="000000" w:themeColor="text1"/>
          <w:sz w:val="32"/>
          <w:szCs w:val="32"/>
          <w:lang w:val="en-US" w:eastAsia="zh-CN"/>
        </w:rPr>
        <w:t>238</w:t>
      </w:r>
      <w:r>
        <w:rPr>
          <w:rFonts w:hint="eastAsia" w:ascii="仿宋_GB2312" w:hAnsi="黑体" w:eastAsia="仿宋_GB2312"/>
          <w:color w:val="000000" w:themeColor="text1"/>
          <w:sz w:val="32"/>
          <w:szCs w:val="32"/>
        </w:rPr>
        <w:t xml:space="preserve">万元。特定目标类项目 </w:t>
      </w:r>
      <w:r>
        <w:rPr>
          <w:rFonts w:hint="eastAsia" w:ascii="仿宋_GB2312" w:hAnsi="黑体" w:eastAsia="仿宋_GB2312"/>
          <w:color w:val="000000" w:themeColor="text1"/>
          <w:sz w:val="32"/>
          <w:szCs w:val="32"/>
          <w:lang w:val="en-US" w:eastAsia="zh-CN"/>
        </w:rPr>
        <w:t>3</w:t>
      </w:r>
      <w:r>
        <w:rPr>
          <w:rFonts w:hint="eastAsia" w:ascii="仿宋_GB2312" w:hAnsi="黑体" w:eastAsia="仿宋_GB2312"/>
          <w:color w:val="000000" w:themeColor="text1"/>
          <w:sz w:val="32"/>
          <w:szCs w:val="32"/>
        </w:rPr>
        <w:t>个涉及预算</w:t>
      </w:r>
      <w:r>
        <w:rPr>
          <w:rFonts w:hint="eastAsia" w:ascii="仿宋_GB2312" w:hAnsi="黑体" w:eastAsia="仿宋_GB2312"/>
          <w:color w:val="000000" w:themeColor="text1"/>
          <w:sz w:val="32"/>
          <w:szCs w:val="32"/>
          <w:lang w:val="en-US" w:eastAsia="zh-CN"/>
        </w:rPr>
        <w:t>238</w:t>
      </w:r>
      <w:r>
        <w:rPr>
          <w:rFonts w:hint="eastAsia" w:ascii="仿宋_GB2312" w:hAnsi="黑体" w:eastAsia="仿宋_GB2312"/>
          <w:color w:val="000000" w:themeColor="text1"/>
          <w:sz w:val="32"/>
          <w:szCs w:val="32"/>
        </w:rPr>
        <w:t>万元。</w:t>
      </w:r>
    </w:p>
    <w:p>
      <w:pPr>
        <w:rPr>
          <w:rFonts w:hint="eastAsia" w:ascii="仿宋_GB2312" w:hAnsi="黑体" w:eastAsia="仿宋_GB2312"/>
          <w:color w:val="000000" w:themeColor="text1"/>
          <w:sz w:val="32"/>
          <w:szCs w:val="32"/>
        </w:rPr>
      </w:pPr>
    </w:p>
    <w:p>
      <w:pPr>
        <w:rPr>
          <w:rFonts w:hint="eastAsia" w:ascii="仿宋_GB2312" w:hAnsi="黑体" w:eastAsia="仿宋_GB2312"/>
          <w:color w:val="000000" w:themeColor="text1"/>
          <w:sz w:val="32"/>
          <w:szCs w:val="32"/>
        </w:rPr>
      </w:pPr>
    </w:p>
    <w:p>
      <w:pPr>
        <w:rPr>
          <w:rFonts w:hint="eastAsia" w:ascii="仿宋_GB2312" w:hAnsi="黑体" w:eastAsia="仿宋_GB2312"/>
          <w:color w:val="000000" w:themeColor="text1"/>
          <w:sz w:val="32"/>
          <w:szCs w:val="32"/>
        </w:rPr>
      </w:pPr>
    </w:p>
    <w:p>
      <w:pPr>
        <w:rPr>
          <w:rFonts w:hint="eastAsia" w:ascii="仿宋_GB2312" w:hAnsi="黑体" w:eastAsia="仿宋_GB2312"/>
          <w:color w:val="000000" w:themeColor="text1"/>
          <w:sz w:val="32"/>
          <w:szCs w:val="32"/>
        </w:rPr>
      </w:pPr>
    </w:p>
    <w:p>
      <w:pPr>
        <w:rPr>
          <w:rFonts w:hint="eastAsia" w:ascii="仿宋_GB2312" w:hAnsi="黑体" w:eastAsia="仿宋_GB2312"/>
          <w:color w:val="000000" w:themeColor="text1"/>
          <w:sz w:val="32"/>
          <w:szCs w:val="32"/>
        </w:rPr>
      </w:pPr>
    </w:p>
    <w:p>
      <w:pPr>
        <w:rPr>
          <w:rFonts w:hint="eastAsia" w:ascii="仿宋_GB2312" w:hAnsi="黑体" w:eastAsia="仿宋_GB2312"/>
          <w:color w:val="000000" w:themeColor="text1"/>
          <w:sz w:val="32"/>
          <w:szCs w:val="32"/>
        </w:rPr>
      </w:pPr>
    </w:p>
    <w:p>
      <w:pPr>
        <w:rPr>
          <w:rFonts w:hint="eastAsia" w:ascii="仿宋_GB2312" w:hAnsi="黑体" w:eastAsia="仿宋_GB2312"/>
          <w:color w:val="000000" w:themeColor="text1"/>
          <w:sz w:val="32"/>
          <w:szCs w:val="32"/>
        </w:rPr>
      </w:pPr>
      <w:r>
        <w:rPr>
          <w:rFonts w:hint="eastAsia" w:ascii="仿宋_GB2312" w:hAnsi="黑体" w:eastAsia="仿宋_GB2312"/>
          <w:color w:val="000000" w:themeColor="text1"/>
          <w:sz w:val="32"/>
          <w:szCs w:val="32"/>
        </w:rPr>
        <w:object>
          <v:shape id="_x0000_i1048" o:spt="75" type="#_x0000_t75" style="height:579.1pt;width:414.4pt;" o:ole="t" filled="f" o:preferrelative="t" stroked="f" coordsize="21600,21600">
            <v:path/>
            <v:fill on="f" focussize="0,0"/>
            <v:stroke on="f"/>
            <v:imagedata r:id="rId52" o:title=""/>
            <o:lock v:ext="edit" aspectratio="f"/>
            <w10:wrap type="none"/>
            <w10:anchorlock/>
          </v:shape>
          <o:OLEObject Type="Embed" ProgID="Excel.Sheet.12" ShapeID="_x0000_i1048" DrawAspect="Content" ObjectID="_1468075748" r:id="rId51">
            <o:LockedField>false</o:LockedField>
          </o:OLEObject>
        </w:object>
      </w:r>
    </w:p>
    <w:p>
      <w:pPr>
        <w:ind w:firstLine="1320" w:firstLineChars="300"/>
        <w:jc w:val="center"/>
        <w:rPr>
          <w:rFonts w:hint="eastAsia" w:ascii="方正小标宋简体" w:hAnsi="黑体" w:eastAsia="方正小标宋简体"/>
          <w:sz w:val="44"/>
          <w:szCs w:val="44"/>
        </w:rPr>
      </w:pPr>
    </w:p>
    <w:p>
      <w:pPr>
        <w:jc w:val="both"/>
        <w:rPr>
          <w:rFonts w:hint="eastAsia" w:ascii="方正小标宋简体" w:hAnsi="黑体" w:eastAsia="方正小标宋简体"/>
          <w:sz w:val="44"/>
          <w:szCs w:val="44"/>
        </w:rPr>
      </w:pPr>
    </w:p>
    <w:p>
      <w:pPr>
        <w:ind w:firstLine="1320" w:firstLineChars="300"/>
        <w:jc w:val="center"/>
        <w:rPr>
          <w:rFonts w:ascii="方正小标宋简体" w:hAnsi="黑体" w:eastAsia="方正小标宋简体"/>
          <w:sz w:val="44"/>
          <w:szCs w:val="44"/>
        </w:rPr>
      </w:pPr>
      <w:r>
        <w:rPr>
          <w:rFonts w:hint="eastAsia" w:ascii="方正小标宋简体" w:hAnsi="黑体" w:eastAsia="方正小标宋简体"/>
          <w:sz w:val="44"/>
          <w:szCs w:val="44"/>
        </w:rPr>
        <w:t>第四部分  名词解释</w:t>
      </w:r>
    </w:p>
    <w:p>
      <w:pPr>
        <w:rPr>
          <w:rFonts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 xml:space="preserve">    </w:t>
      </w:r>
      <w:r>
        <w:rPr>
          <w:rFonts w:hint="eastAsia" w:ascii="仿宋_GB2312" w:eastAsia="仿宋_GB2312"/>
          <w:sz w:val="32"/>
          <w:szCs w:val="32"/>
          <w:shd w:val="clear" w:color="auto" w:fill="FFFFFF"/>
        </w:rPr>
        <w:t>1.一般公共预算拨款收入：指上级财政当年拨付的资金。</w:t>
      </w:r>
    </w:p>
    <w:p>
      <w:pPr>
        <w:spacing w:line="560" w:lineRule="exact"/>
        <w:rPr>
          <w:rFonts w:ascii="仿宋_GB2312" w:eastAsia="仿宋_GB2312"/>
          <w:sz w:val="32"/>
          <w:szCs w:val="32"/>
          <w:shd w:val="clear" w:color="auto" w:fill="FFFFFF"/>
        </w:rPr>
      </w:pPr>
      <w:r>
        <w:rPr>
          <w:rFonts w:hint="eastAsia" w:ascii="仿宋_GB2312" w:eastAsia="仿宋_GB2312"/>
          <w:sz w:val="32"/>
          <w:szCs w:val="32"/>
          <w:shd w:val="clear" w:color="auto" w:fill="FFFFFF"/>
        </w:rPr>
        <w:t>　　2.上年结转：指以前年度尚未完成，结转到本年仍按原规定用途继续使用的资金。</w:t>
      </w:r>
    </w:p>
    <w:p>
      <w:pPr>
        <w:ind w:firstLine="640"/>
        <w:rPr>
          <w:rFonts w:ascii="仿宋_GB2312" w:eastAsia="仿宋_GB2312"/>
          <w:sz w:val="32"/>
          <w:szCs w:val="32"/>
          <w:shd w:val="clear" w:color="auto" w:fill="FFFFFF"/>
        </w:rPr>
      </w:pPr>
      <w:r>
        <w:rPr>
          <w:rFonts w:hint="eastAsia" w:ascii="仿宋_GB2312" w:eastAsia="仿宋_GB2312"/>
          <w:sz w:val="32"/>
          <w:szCs w:val="32"/>
          <w:shd w:val="clear" w:color="auto" w:fill="FFFFFF"/>
        </w:rPr>
        <w:t>3.一般公共服务（类）政府办公厅（室）及相关机构事务（款）行政运行（项）:指行政人员基本工资、津贴补贴等人员经费以及办公费、印刷费、水电费等日常公用经费。　　</w:t>
      </w:r>
    </w:p>
    <w:p>
      <w:pPr>
        <w:spacing w:line="560" w:lineRule="exact"/>
        <w:ind w:firstLine="640"/>
        <w:rPr>
          <w:rFonts w:ascii="仿宋_GB2312" w:eastAsia="仿宋_GB2312"/>
          <w:sz w:val="32"/>
          <w:szCs w:val="32"/>
          <w:shd w:val="clear" w:color="auto" w:fill="FFFFFF"/>
        </w:rPr>
      </w:pPr>
      <w:r>
        <w:rPr>
          <w:rFonts w:hint="eastAsia" w:ascii="仿宋_GB2312" w:eastAsia="仿宋_GB2312"/>
          <w:sz w:val="32"/>
          <w:szCs w:val="32"/>
          <w:shd w:val="clear" w:color="auto" w:fill="FFFFFF"/>
        </w:rPr>
        <w:t>4.一般公共服务（类）政府办公厅（室）及相关机构事务（款）事业运行（项）:指事业人员基本工资、津贴补贴等人员经费以及办公费、印刷费、水电费等日常公用经费。　</w:t>
      </w:r>
    </w:p>
    <w:p>
      <w:pPr>
        <w:spacing w:line="560" w:lineRule="exact"/>
        <w:ind w:firstLine="640"/>
        <w:rPr>
          <w:rFonts w:ascii="仿宋_GB2312" w:eastAsia="仿宋_GB2312"/>
          <w:sz w:val="32"/>
          <w:szCs w:val="32"/>
          <w:shd w:val="clear" w:color="auto" w:fill="FFFFFF"/>
        </w:rPr>
      </w:pPr>
      <w:r>
        <w:rPr>
          <w:rFonts w:hint="eastAsia" w:ascii="仿宋_GB2312" w:eastAsia="仿宋_GB2312"/>
          <w:sz w:val="32"/>
          <w:szCs w:val="32"/>
          <w:shd w:val="clear" w:color="auto" w:fill="FFFFFF"/>
        </w:rPr>
        <w:t>5.社会保障和就业（类）行政事业单位养老（款）机关事业单位基本养老保险缴费支出（项）:指实施养老保险制度后，部门按规定由单位缴纳的基本养老保险费支出。</w:t>
      </w:r>
    </w:p>
    <w:p>
      <w:pPr>
        <w:spacing w:line="560" w:lineRule="exact"/>
        <w:ind w:firstLine="694"/>
        <w:rPr>
          <w:rFonts w:ascii="仿宋_GB2312" w:eastAsia="仿宋_GB2312"/>
          <w:sz w:val="32"/>
          <w:szCs w:val="32"/>
          <w:shd w:val="clear" w:color="auto" w:fill="FFFFFF"/>
        </w:rPr>
      </w:pPr>
      <w:r>
        <w:rPr>
          <w:rFonts w:hint="eastAsia" w:ascii="仿宋_GB2312" w:eastAsia="仿宋_GB2312"/>
          <w:sz w:val="32"/>
          <w:szCs w:val="32"/>
          <w:shd w:val="clear" w:color="auto" w:fill="FFFFFF"/>
        </w:rPr>
        <w:t>6.社会保障和就业（类）行政事业单位养老（款）机关事业单位职业年金缴费支出（项）:指实施职业年金制度后，部门按规定由单位缴纳的职业年金支出。</w:t>
      </w:r>
    </w:p>
    <w:p>
      <w:pPr>
        <w:spacing w:line="560" w:lineRule="exact"/>
        <w:ind w:firstLine="694"/>
        <w:rPr>
          <w:rFonts w:ascii="仿宋_GB2312" w:eastAsia="仿宋_GB2312"/>
          <w:sz w:val="32"/>
          <w:szCs w:val="32"/>
          <w:shd w:val="clear" w:color="auto" w:fill="FFFFFF"/>
        </w:rPr>
      </w:pPr>
      <w:r>
        <w:rPr>
          <w:rFonts w:hint="eastAsia" w:ascii="仿宋_GB2312" w:eastAsia="仿宋_GB2312"/>
          <w:sz w:val="32"/>
          <w:szCs w:val="32"/>
          <w:shd w:val="clear" w:color="auto" w:fill="FFFFFF"/>
        </w:rPr>
        <w:t>7.卫生健康（类）行政事业单位医疗（款）行政单位医疗（项）:指机关及事业单位基本医疗保险缴费支出。</w:t>
      </w:r>
    </w:p>
    <w:p>
      <w:pPr>
        <w:spacing w:line="560" w:lineRule="exact"/>
        <w:ind w:firstLine="694"/>
        <w:rPr>
          <w:rFonts w:ascii="仿宋_GB2312" w:eastAsia="仿宋_GB2312"/>
          <w:sz w:val="32"/>
          <w:szCs w:val="32"/>
          <w:shd w:val="clear" w:color="auto" w:fill="FFFFFF"/>
        </w:rPr>
      </w:pPr>
      <w:r>
        <w:rPr>
          <w:rFonts w:hint="eastAsia" w:ascii="仿宋_GB2312" w:eastAsia="仿宋_GB2312"/>
          <w:sz w:val="32"/>
          <w:szCs w:val="32"/>
          <w:shd w:val="clear" w:color="auto" w:fill="FFFFFF"/>
        </w:rPr>
        <w:t>8.卫生健康（类）行政事业单位医疗（款）事业单位医疗（项）:指机关及事业单位基本医疗保险缴费支出。</w:t>
      </w:r>
    </w:p>
    <w:p>
      <w:pPr>
        <w:spacing w:line="560" w:lineRule="exact"/>
        <w:ind w:firstLine="694"/>
        <w:rPr>
          <w:rFonts w:ascii="仿宋_GB2312" w:eastAsia="仿宋_GB2312"/>
          <w:sz w:val="32"/>
          <w:szCs w:val="32"/>
          <w:shd w:val="clear" w:color="auto" w:fill="FFFFFF"/>
        </w:rPr>
      </w:pPr>
      <w:r>
        <w:rPr>
          <w:rFonts w:hint="eastAsia" w:ascii="仿宋_GB2312" w:eastAsia="仿宋_GB2312"/>
          <w:sz w:val="32"/>
          <w:szCs w:val="32"/>
          <w:shd w:val="clear" w:color="auto" w:fill="FFFFFF"/>
        </w:rPr>
        <w:t>9.卫生健康（类）行政事业单位医疗（款）公务员医疗补助（项）:指机关及事业单位集中缴纳公务员医疗补助支出。</w:t>
      </w:r>
    </w:p>
    <w:p>
      <w:pPr>
        <w:spacing w:line="560" w:lineRule="exact"/>
        <w:ind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rPr>
        <w:t xml:space="preserve">10.住房保障（类）住房改革支出（款）住房公积金（项）:指按人力资源和社会保障部、财政部规定的基本工资和津贴补贴以及规定比例为职工缴纳的住房公积金支出。  </w:t>
      </w:r>
    </w:p>
    <w:p>
      <w:pPr>
        <w:spacing w:line="560" w:lineRule="exact"/>
        <w:rPr>
          <w:rFonts w:ascii="仿宋_GB2312" w:eastAsia="仿宋_GB2312"/>
          <w:sz w:val="32"/>
          <w:szCs w:val="32"/>
          <w:shd w:val="clear" w:color="auto" w:fill="FFFFFF"/>
        </w:rPr>
      </w:pPr>
      <w:r>
        <w:rPr>
          <w:rFonts w:hint="eastAsia" w:ascii="仿宋_GB2312" w:eastAsia="仿宋_GB2312"/>
          <w:sz w:val="32"/>
          <w:szCs w:val="32"/>
          <w:shd w:val="clear" w:color="auto" w:fill="FFFFFF"/>
        </w:rPr>
        <w:t>　　11.基本支出：指为保证机构正常运转，完成日常工作任务而发生的人员支出和公用支出。</w:t>
      </w:r>
    </w:p>
    <w:p>
      <w:pPr>
        <w:spacing w:line="560" w:lineRule="exact"/>
        <w:rPr>
          <w:rFonts w:ascii="仿宋_GB2312" w:eastAsia="仿宋_GB2312"/>
          <w:sz w:val="32"/>
          <w:szCs w:val="32"/>
          <w:shd w:val="clear" w:color="auto" w:fill="FFFFFF"/>
        </w:rPr>
      </w:pPr>
      <w:r>
        <w:rPr>
          <w:rFonts w:hint="eastAsia" w:ascii="仿宋_GB2312" w:eastAsia="仿宋_GB2312"/>
          <w:sz w:val="32"/>
          <w:szCs w:val="32"/>
          <w:shd w:val="clear" w:color="auto" w:fill="FFFFFF"/>
        </w:rPr>
        <w:t>　　12.项目支出：指在基本支出之外为完成特定行政任务和事业发展目标所发生的支出。</w:t>
      </w:r>
    </w:p>
    <w:p>
      <w:pPr>
        <w:spacing w:line="560" w:lineRule="exact"/>
        <w:rPr>
          <w:rFonts w:ascii="仿宋_GB2312" w:eastAsia="仿宋_GB2312"/>
          <w:sz w:val="32"/>
          <w:szCs w:val="32"/>
          <w:shd w:val="clear" w:color="auto" w:fill="FFFFFF"/>
        </w:rPr>
      </w:pPr>
      <w:r>
        <w:rPr>
          <w:rFonts w:hint="eastAsia" w:ascii="仿宋_GB2312" w:eastAsia="仿宋_GB2312"/>
          <w:sz w:val="32"/>
          <w:szCs w:val="32"/>
          <w:shd w:val="clear" w:color="auto" w:fill="FFFFFF"/>
        </w:rPr>
        <w:t>　　13.“三公”经费：纳入双河镇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ind w:firstLine="640" w:firstLineChars="200"/>
        <w:rPr>
          <w:rFonts w:ascii="仿宋" w:hAnsi="仿宋" w:eastAsia="仿宋"/>
          <w:b/>
          <w:sz w:val="32"/>
          <w:szCs w:val="32"/>
        </w:rPr>
      </w:pPr>
      <w:r>
        <w:rPr>
          <w:rFonts w:hint="eastAsia" w:ascii="仿宋_GB2312" w:eastAsia="仿宋_GB2312"/>
          <w:sz w:val="32"/>
          <w:szCs w:val="32"/>
          <w:shd w:val="clear" w:color="auto" w:fill="FFFFFF"/>
        </w:rPr>
        <w:t>14.机关运行经费：为保障行政单位（包含参照公务员法管理的事业单位）运行用于购买货物和服务的各项资金。包括办公及印刷费、邮电费、差旅费、会议费一般设备购置费等费用开支。</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roman"/>
    <w:pitch w:val="default"/>
    <w:sig w:usb0="00000001" w:usb1="080E0000" w:usb2="00000000" w:usb3="00000000" w:csb0="00040000" w:csb1="00000000"/>
  </w:font>
  <w:font w:name="Dialog . plain">
    <w:altName w:val="Segoe Print"/>
    <w:panose1 w:val="00000000000000000000"/>
    <w:charset w:val="00"/>
    <w:family w:val="auto"/>
    <w:pitch w:val="default"/>
    <w:sig w:usb0="00000000" w:usb1="00000000" w:usb2="00000000" w:usb3="00000000" w:csb0="00000000" w:csb1="00000000"/>
  </w:font>
  <w:font w:name="Dialog . bold">
    <w:altName w:val="Segoe Print"/>
    <w:panose1 w:val="00000000000000000000"/>
    <w:charset w:val="00"/>
    <w:family w:val="auto"/>
    <w:pitch w:val="default"/>
    <w:sig w:usb0="00000000" w:usb1="00000000" w:usb2="00000000" w:usb3="00000000" w:csb0="00000000" w:csb1="00000000"/>
  </w:font>
  <w:font w:name="方正黑体_GBK">
    <w:panose1 w:val="03000509000000000000"/>
    <w:charset w:val="86"/>
    <w:family w:val="script"/>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roman"/>
    <w:pitch w:val="default"/>
    <w:sig w:usb0="800002BF" w:usb1="38CF7CFA" w:usb2="00000016" w:usb3="00000000" w:csb0="00040001" w:csb1="00000000"/>
  </w:font>
  <w:font w:name="方正仿宋_GBK">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roman"/>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ind w:right="284"/>
      <w:rPr>
        <w:rStyle w:val="11"/>
        <w:rFonts w:eastAsia="宋体"/>
      </w:rPr>
    </w:pPr>
    <w:r>
      <w:rPr>
        <w:rStyle w:val="11"/>
        <w:rFonts w:hint="eastAsia" w:ascii="仿宋_GB2312" w:hAnsi="仿宋_GB2312" w:eastAsia="仿宋_GB2312" w:cs="仿宋_GB2312"/>
        <w:sz w:val="28"/>
      </w:rPr>
      <w:t>—</w:t>
    </w:r>
    <w:r>
      <w:rPr>
        <w:rFonts w:ascii="Times New Roman" w:hAnsi="Times New Roman" w:cs="Times New Roman"/>
        <w:sz w:val="28"/>
      </w:rPr>
      <w:fldChar w:fldCharType="begin"/>
    </w:r>
    <w:r>
      <w:rPr>
        <w:rStyle w:val="11"/>
        <w:rFonts w:ascii="Times New Roman" w:hAnsi="Times New Roman" w:cs="Times New Roman"/>
        <w:sz w:val="28"/>
      </w:rPr>
      <w:instrText xml:space="preserve">PAGE  </w:instrText>
    </w:r>
    <w:r>
      <w:rPr>
        <w:rFonts w:ascii="Times New Roman" w:hAnsi="Times New Roman" w:cs="Times New Roman"/>
        <w:sz w:val="28"/>
      </w:rPr>
      <w:fldChar w:fldCharType="separate"/>
    </w:r>
    <w:r>
      <w:rPr>
        <w:rStyle w:val="11"/>
        <w:rFonts w:ascii="Times New Roman" w:hAnsi="Times New Roman" w:cs="Times New Roman"/>
        <w:sz w:val="28"/>
      </w:rPr>
      <w:t>32</w:t>
    </w:r>
    <w:r>
      <w:rPr>
        <w:rFonts w:ascii="Times New Roman" w:hAnsi="Times New Roman" w:cs="Times New Roman"/>
        <w:sz w:val="28"/>
      </w:rPr>
      <w:fldChar w:fldCharType="end"/>
    </w:r>
    <w:r>
      <w:rPr>
        <w:rFonts w:hint="eastAsia" w:ascii="仿宋_GB2312" w:hAnsi="仿宋_GB2312" w:eastAsia="仿宋_GB2312" w:cs="仿宋_GB2312"/>
        <w:sz w:val="28"/>
      </w:rPr>
      <w:t>—</w:t>
    </w:r>
  </w:p>
  <w:p>
    <w:pPr>
      <w:pStyle w:val="5"/>
      <w:ind w:right="360" w:firstLine="360"/>
    </w:pPr>
  </w:p>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YmM5ODVkYTRjMTdjNWExODZmNjFlYTc0ZDgwNGIwZGQifQ=="/>
  </w:docVars>
  <w:rsids>
    <w:rsidRoot w:val="00540C06"/>
    <w:rsid w:val="0008303D"/>
    <w:rsid w:val="0009191B"/>
    <w:rsid w:val="00141467"/>
    <w:rsid w:val="0021158A"/>
    <w:rsid w:val="00212FEA"/>
    <w:rsid w:val="002141F6"/>
    <w:rsid w:val="002255E8"/>
    <w:rsid w:val="002679B4"/>
    <w:rsid w:val="002834D7"/>
    <w:rsid w:val="00294CEB"/>
    <w:rsid w:val="002A6393"/>
    <w:rsid w:val="002A66DF"/>
    <w:rsid w:val="002C0B15"/>
    <w:rsid w:val="0039202B"/>
    <w:rsid w:val="003B3931"/>
    <w:rsid w:val="004003DD"/>
    <w:rsid w:val="00406C5C"/>
    <w:rsid w:val="00406CEC"/>
    <w:rsid w:val="004B40CD"/>
    <w:rsid w:val="00540C06"/>
    <w:rsid w:val="005630FC"/>
    <w:rsid w:val="00617B77"/>
    <w:rsid w:val="00626D19"/>
    <w:rsid w:val="006B0F3E"/>
    <w:rsid w:val="006D5734"/>
    <w:rsid w:val="00756CCA"/>
    <w:rsid w:val="007575AD"/>
    <w:rsid w:val="00782317"/>
    <w:rsid w:val="00791224"/>
    <w:rsid w:val="007B7497"/>
    <w:rsid w:val="00857C51"/>
    <w:rsid w:val="00883069"/>
    <w:rsid w:val="00924853"/>
    <w:rsid w:val="0097084C"/>
    <w:rsid w:val="00976101"/>
    <w:rsid w:val="00986F43"/>
    <w:rsid w:val="009C5231"/>
    <w:rsid w:val="009E4604"/>
    <w:rsid w:val="009F0BE1"/>
    <w:rsid w:val="00A20B23"/>
    <w:rsid w:val="00A40D70"/>
    <w:rsid w:val="00A45FD6"/>
    <w:rsid w:val="00AD2C20"/>
    <w:rsid w:val="00B02F7E"/>
    <w:rsid w:val="00B84B47"/>
    <w:rsid w:val="00BD3B46"/>
    <w:rsid w:val="00C01475"/>
    <w:rsid w:val="00C27557"/>
    <w:rsid w:val="00C27F82"/>
    <w:rsid w:val="00C35FF3"/>
    <w:rsid w:val="00C914D1"/>
    <w:rsid w:val="00CD2D6E"/>
    <w:rsid w:val="00CD38A7"/>
    <w:rsid w:val="00D52F6E"/>
    <w:rsid w:val="00D76264"/>
    <w:rsid w:val="00D86018"/>
    <w:rsid w:val="00E47120"/>
    <w:rsid w:val="00E52006"/>
    <w:rsid w:val="00E53859"/>
    <w:rsid w:val="00E57E2B"/>
    <w:rsid w:val="00E65C6C"/>
    <w:rsid w:val="00F241F0"/>
    <w:rsid w:val="00FC4747"/>
    <w:rsid w:val="00FC5BA6"/>
    <w:rsid w:val="00FF35AE"/>
    <w:rsid w:val="023A2CDC"/>
    <w:rsid w:val="05FEC680"/>
    <w:rsid w:val="0ECDBE52"/>
    <w:rsid w:val="0F9F76F4"/>
    <w:rsid w:val="0FFFB353"/>
    <w:rsid w:val="10E06CFB"/>
    <w:rsid w:val="12D71794"/>
    <w:rsid w:val="157F61DB"/>
    <w:rsid w:val="176D963B"/>
    <w:rsid w:val="17A15FC7"/>
    <w:rsid w:val="1B7F798D"/>
    <w:rsid w:val="1DCA7AC1"/>
    <w:rsid w:val="1F3B0AC1"/>
    <w:rsid w:val="1F5E9DB6"/>
    <w:rsid w:val="2117AD81"/>
    <w:rsid w:val="21F75307"/>
    <w:rsid w:val="25142C72"/>
    <w:rsid w:val="27FB2020"/>
    <w:rsid w:val="2A1949CB"/>
    <w:rsid w:val="2B2A7917"/>
    <w:rsid w:val="2BEE6E8A"/>
    <w:rsid w:val="2E7ACAF3"/>
    <w:rsid w:val="2EFFE7AD"/>
    <w:rsid w:val="2FEDA3F1"/>
    <w:rsid w:val="3257C860"/>
    <w:rsid w:val="3355046B"/>
    <w:rsid w:val="33FFF3CD"/>
    <w:rsid w:val="352A11F6"/>
    <w:rsid w:val="36FA19E7"/>
    <w:rsid w:val="37ED2099"/>
    <w:rsid w:val="37FE0A31"/>
    <w:rsid w:val="39661951"/>
    <w:rsid w:val="39D792D9"/>
    <w:rsid w:val="3AFBF1C6"/>
    <w:rsid w:val="3BBFDE14"/>
    <w:rsid w:val="3BF367E9"/>
    <w:rsid w:val="3CB393A4"/>
    <w:rsid w:val="3CC94A4B"/>
    <w:rsid w:val="3CFE796A"/>
    <w:rsid w:val="3DF3E130"/>
    <w:rsid w:val="3EED8CAE"/>
    <w:rsid w:val="3EFFEFC0"/>
    <w:rsid w:val="3FB5E172"/>
    <w:rsid w:val="3FDF2925"/>
    <w:rsid w:val="3FDFA91F"/>
    <w:rsid w:val="3FE1DEFB"/>
    <w:rsid w:val="3FE5F325"/>
    <w:rsid w:val="3FEF3B35"/>
    <w:rsid w:val="3FFADC58"/>
    <w:rsid w:val="412037E2"/>
    <w:rsid w:val="42593E68"/>
    <w:rsid w:val="469F568F"/>
    <w:rsid w:val="47FF5D5C"/>
    <w:rsid w:val="4B3E44B7"/>
    <w:rsid w:val="4FDE78CE"/>
    <w:rsid w:val="4FFFAA23"/>
    <w:rsid w:val="529955C8"/>
    <w:rsid w:val="52A200E3"/>
    <w:rsid w:val="533778D8"/>
    <w:rsid w:val="53A88E30"/>
    <w:rsid w:val="53FAD87A"/>
    <w:rsid w:val="54C57480"/>
    <w:rsid w:val="54FFF2CF"/>
    <w:rsid w:val="567D553A"/>
    <w:rsid w:val="56DBADA4"/>
    <w:rsid w:val="57302844"/>
    <w:rsid w:val="579CE624"/>
    <w:rsid w:val="5A35532B"/>
    <w:rsid w:val="5A7BF1E5"/>
    <w:rsid w:val="5BA78D5E"/>
    <w:rsid w:val="5BB87DBA"/>
    <w:rsid w:val="5BE762D4"/>
    <w:rsid w:val="5C3F3F69"/>
    <w:rsid w:val="5DDDD882"/>
    <w:rsid w:val="5DE7BCA1"/>
    <w:rsid w:val="5DFFBFAA"/>
    <w:rsid w:val="5ED76C6A"/>
    <w:rsid w:val="5EFFDDE2"/>
    <w:rsid w:val="5F763C0F"/>
    <w:rsid w:val="5F7A982F"/>
    <w:rsid w:val="5FBF1457"/>
    <w:rsid w:val="5FED60AA"/>
    <w:rsid w:val="5FEFF4C2"/>
    <w:rsid w:val="62FB5B1E"/>
    <w:rsid w:val="63F385C0"/>
    <w:rsid w:val="63F5FE37"/>
    <w:rsid w:val="647F6670"/>
    <w:rsid w:val="65BA55F6"/>
    <w:rsid w:val="67F5B1D0"/>
    <w:rsid w:val="69A71AE0"/>
    <w:rsid w:val="6A2932E0"/>
    <w:rsid w:val="6A4FC826"/>
    <w:rsid w:val="6ADF4B0D"/>
    <w:rsid w:val="6AF76FF0"/>
    <w:rsid w:val="6B95175B"/>
    <w:rsid w:val="6BDF5376"/>
    <w:rsid w:val="6BE53CCB"/>
    <w:rsid w:val="6C7B5F76"/>
    <w:rsid w:val="6CAE0020"/>
    <w:rsid w:val="6CEF960A"/>
    <w:rsid w:val="6D1B7931"/>
    <w:rsid w:val="6D235CF7"/>
    <w:rsid w:val="6DDE03AF"/>
    <w:rsid w:val="6DFD6765"/>
    <w:rsid w:val="6E7E5440"/>
    <w:rsid w:val="6ED5ABCE"/>
    <w:rsid w:val="6EFF482F"/>
    <w:rsid w:val="6F2C2876"/>
    <w:rsid w:val="6F632200"/>
    <w:rsid w:val="6F6DD354"/>
    <w:rsid w:val="6F850745"/>
    <w:rsid w:val="6FBBC877"/>
    <w:rsid w:val="6FF9921E"/>
    <w:rsid w:val="6FFC7CC5"/>
    <w:rsid w:val="6FFD7550"/>
    <w:rsid w:val="6FFDCB73"/>
    <w:rsid w:val="70F2492A"/>
    <w:rsid w:val="710B35D9"/>
    <w:rsid w:val="72AF49AA"/>
    <w:rsid w:val="72DF0FFC"/>
    <w:rsid w:val="72E75F44"/>
    <w:rsid w:val="7396C1D0"/>
    <w:rsid w:val="73EFEF94"/>
    <w:rsid w:val="73F99EB8"/>
    <w:rsid w:val="748DFD08"/>
    <w:rsid w:val="753C9906"/>
    <w:rsid w:val="75B7E1FE"/>
    <w:rsid w:val="75F06C92"/>
    <w:rsid w:val="75FEC521"/>
    <w:rsid w:val="76673320"/>
    <w:rsid w:val="76FF1A62"/>
    <w:rsid w:val="776E1AB0"/>
    <w:rsid w:val="777ED2E6"/>
    <w:rsid w:val="77D7EAC5"/>
    <w:rsid w:val="77DFF40B"/>
    <w:rsid w:val="77E71F46"/>
    <w:rsid w:val="77FF6978"/>
    <w:rsid w:val="77FF9FAA"/>
    <w:rsid w:val="77FFA2D4"/>
    <w:rsid w:val="78FF8B8B"/>
    <w:rsid w:val="79FFA147"/>
    <w:rsid w:val="7A8B20F2"/>
    <w:rsid w:val="7AFEFDCB"/>
    <w:rsid w:val="7B7E99B8"/>
    <w:rsid w:val="7BC311F9"/>
    <w:rsid w:val="7BD32D96"/>
    <w:rsid w:val="7BE51F1C"/>
    <w:rsid w:val="7BF3F8E7"/>
    <w:rsid w:val="7BFF7F25"/>
    <w:rsid w:val="7CB5F156"/>
    <w:rsid w:val="7CFFD8D7"/>
    <w:rsid w:val="7D2FEEDE"/>
    <w:rsid w:val="7D7EE79E"/>
    <w:rsid w:val="7DB99F6C"/>
    <w:rsid w:val="7DFDFA62"/>
    <w:rsid w:val="7E7D5E12"/>
    <w:rsid w:val="7E7F8246"/>
    <w:rsid w:val="7E974710"/>
    <w:rsid w:val="7E9E0F09"/>
    <w:rsid w:val="7EBE603C"/>
    <w:rsid w:val="7EF34040"/>
    <w:rsid w:val="7EFC883D"/>
    <w:rsid w:val="7EFFA64E"/>
    <w:rsid w:val="7F1D0102"/>
    <w:rsid w:val="7F455B3D"/>
    <w:rsid w:val="7F5BDE60"/>
    <w:rsid w:val="7F79C763"/>
    <w:rsid w:val="7F7FF441"/>
    <w:rsid w:val="7F8FE411"/>
    <w:rsid w:val="7FAF7028"/>
    <w:rsid w:val="7FBBE177"/>
    <w:rsid w:val="7FBFD22B"/>
    <w:rsid w:val="7FE3BE53"/>
    <w:rsid w:val="7FEB5A38"/>
    <w:rsid w:val="7FEDD55A"/>
    <w:rsid w:val="7FEF6970"/>
    <w:rsid w:val="7FEFC594"/>
    <w:rsid w:val="7FF8FFBF"/>
    <w:rsid w:val="7FFA16E6"/>
    <w:rsid w:val="7FFD1587"/>
    <w:rsid w:val="7FFDA272"/>
    <w:rsid w:val="7FFE9FA9"/>
    <w:rsid w:val="7FFF0121"/>
    <w:rsid w:val="7FFF4E30"/>
    <w:rsid w:val="7FFF8AD3"/>
    <w:rsid w:val="7FFFB9CD"/>
    <w:rsid w:val="87ABC856"/>
    <w:rsid w:val="93EA828F"/>
    <w:rsid w:val="95F354E9"/>
    <w:rsid w:val="97EF27D3"/>
    <w:rsid w:val="9AA7DA11"/>
    <w:rsid w:val="9B574AE3"/>
    <w:rsid w:val="9B73A3E3"/>
    <w:rsid w:val="9DEFE8BC"/>
    <w:rsid w:val="9EFE49BF"/>
    <w:rsid w:val="A0C6DDB1"/>
    <w:rsid w:val="AB1FD8BA"/>
    <w:rsid w:val="ADDF38F2"/>
    <w:rsid w:val="AEFF68A7"/>
    <w:rsid w:val="AF5C038B"/>
    <w:rsid w:val="AF5CE252"/>
    <w:rsid w:val="AFFE8BD6"/>
    <w:rsid w:val="B5BF6998"/>
    <w:rsid w:val="B6CFB6D6"/>
    <w:rsid w:val="B74E88DE"/>
    <w:rsid w:val="B7F937AE"/>
    <w:rsid w:val="BAB72B6F"/>
    <w:rsid w:val="BABFBEC2"/>
    <w:rsid w:val="BAFE81EC"/>
    <w:rsid w:val="BB7B0EF0"/>
    <w:rsid w:val="BB7D7ED0"/>
    <w:rsid w:val="BBD76C6E"/>
    <w:rsid w:val="BBF6799A"/>
    <w:rsid w:val="BBF76DB5"/>
    <w:rsid w:val="BDB1C9A2"/>
    <w:rsid w:val="BEF89838"/>
    <w:rsid w:val="BF3F9CF1"/>
    <w:rsid w:val="BF4F1FFF"/>
    <w:rsid w:val="BF7AA0C7"/>
    <w:rsid w:val="BF7F1E2F"/>
    <w:rsid w:val="BFCF1773"/>
    <w:rsid w:val="BFFFDA6B"/>
    <w:rsid w:val="C25FE123"/>
    <w:rsid w:val="C577D29F"/>
    <w:rsid w:val="CBEF53D1"/>
    <w:rsid w:val="CCF36B7F"/>
    <w:rsid w:val="CDDD22BD"/>
    <w:rsid w:val="CF3B475A"/>
    <w:rsid w:val="CFB38A34"/>
    <w:rsid w:val="CFFFA18B"/>
    <w:rsid w:val="D09F59D0"/>
    <w:rsid w:val="D0BBBF6A"/>
    <w:rsid w:val="D2F78638"/>
    <w:rsid w:val="D33302BD"/>
    <w:rsid w:val="D3F7B779"/>
    <w:rsid w:val="D3FDD70D"/>
    <w:rsid w:val="D47FD20E"/>
    <w:rsid w:val="D8F90E45"/>
    <w:rsid w:val="DA7FA50B"/>
    <w:rsid w:val="DB69221C"/>
    <w:rsid w:val="DBD34316"/>
    <w:rsid w:val="DBFD3562"/>
    <w:rsid w:val="DCBF04C6"/>
    <w:rsid w:val="DD6F82A0"/>
    <w:rsid w:val="DD7FF3DF"/>
    <w:rsid w:val="DD9E1512"/>
    <w:rsid w:val="DDDB5D75"/>
    <w:rsid w:val="DDE93CA1"/>
    <w:rsid w:val="DDFD93ED"/>
    <w:rsid w:val="DEBF6A05"/>
    <w:rsid w:val="DEDF2715"/>
    <w:rsid w:val="DEFE929E"/>
    <w:rsid w:val="DEFF45F8"/>
    <w:rsid w:val="DF76590A"/>
    <w:rsid w:val="DF7B98C5"/>
    <w:rsid w:val="DFF72369"/>
    <w:rsid w:val="DFF77A7C"/>
    <w:rsid w:val="DFFC187D"/>
    <w:rsid w:val="E1FF1D2A"/>
    <w:rsid w:val="E5BF1F7A"/>
    <w:rsid w:val="E7D73AE8"/>
    <w:rsid w:val="E7FDE3AE"/>
    <w:rsid w:val="EB56B17D"/>
    <w:rsid w:val="EBFF4222"/>
    <w:rsid w:val="EBFF853F"/>
    <w:rsid w:val="EC78D2B5"/>
    <w:rsid w:val="EDEF6995"/>
    <w:rsid w:val="EDFB5A87"/>
    <w:rsid w:val="EEBB293F"/>
    <w:rsid w:val="EEBD96D9"/>
    <w:rsid w:val="EEF3BCDA"/>
    <w:rsid w:val="EF77AE72"/>
    <w:rsid w:val="EF873099"/>
    <w:rsid w:val="EFDA1682"/>
    <w:rsid w:val="EFDFA71A"/>
    <w:rsid w:val="EFED3494"/>
    <w:rsid w:val="EFF7B623"/>
    <w:rsid w:val="EFFC88EA"/>
    <w:rsid w:val="EFFDF2F9"/>
    <w:rsid w:val="F36C7FB2"/>
    <w:rsid w:val="F44B2329"/>
    <w:rsid w:val="F4775C87"/>
    <w:rsid w:val="F5BF7E28"/>
    <w:rsid w:val="F5F2A0A8"/>
    <w:rsid w:val="F5FD27DC"/>
    <w:rsid w:val="F65F7D10"/>
    <w:rsid w:val="F75BA3E3"/>
    <w:rsid w:val="F79FD4C9"/>
    <w:rsid w:val="F7BA3B44"/>
    <w:rsid w:val="F7DBDA5F"/>
    <w:rsid w:val="F7F32D11"/>
    <w:rsid w:val="F7FF5F1B"/>
    <w:rsid w:val="F8FC7041"/>
    <w:rsid w:val="FAE21921"/>
    <w:rsid w:val="FB65D87C"/>
    <w:rsid w:val="FB7FEBB1"/>
    <w:rsid w:val="FBBE670A"/>
    <w:rsid w:val="FBDDDF40"/>
    <w:rsid w:val="FBDED57B"/>
    <w:rsid w:val="FBDF0C51"/>
    <w:rsid w:val="FBF83A41"/>
    <w:rsid w:val="FBFBF6EE"/>
    <w:rsid w:val="FBFF7572"/>
    <w:rsid w:val="FBFFD7F0"/>
    <w:rsid w:val="FCBDA960"/>
    <w:rsid w:val="FCBDE7E1"/>
    <w:rsid w:val="FCCECB8A"/>
    <w:rsid w:val="FCD43CFC"/>
    <w:rsid w:val="FCFA3510"/>
    <w:rsid w:val="FCFD460C"/>
    <w:rsid w:val="FCFDE973"/>
    <w:rsid w:val="FD6B635B"/>
    <w:rsid w:val="FD9F37E2"/>
    <w:rsid w:val="FDAB932F"/>
    <w:rsid w:val="FDBD2342"/>
    <w:rsid w:val="FDBDEF0F"/>
    <w:rsid w:val="FDF66219"/>
    <w:rsid w:val="FDFE7C94"/>
    <w:rsid w:val="FDFFB6B4"/>
    <w:rsid w:val="FE3AD089"/>
    <w:rsid w:val="FE77D094"/>
    <w:rsid w:val="FEDAFF21"/>
    <w:rsid w:val="FEF59F42"/>
    <w:rsid w:val="FEF71859"/>
    <w:rsid w:val="FEFDBB21"/>
    <w:rsid w:val="FF67F8B7"/>
    <w:rsid w:val="FF6EABBC"/>
    <w:rsid w:val="FF7ABB1F"/>
    <w:rsid w:val="FFA9E81F"/>
    <w:rsid w:val="FFB7687C"/>
    <w:rsid w:val="FFBA4AD9"/>
    <w:rsid w:val="FFBB1691"/>
    <w:rsid w:val="FFBD9819"/>
    <w:rsid w:val="FFBF1C02"/>
    <w:rsid w:val="FFCF7B63"/>
    <w:rsid w:val="FFD48020"/>
    <w:rsid w:val="FFD6F139"/>
    <w:rsid w:val="FFDDEED5"/>
    <w:rsid w:val="FFDECB48"/>
    <w:rsid w:val="FFDFA40E"/>
    <w:rsid w:val="FFE7C4A4"/>
    <w:rsid w:val="FFEF1E95"/>
    <w:rsid w:val="FFF61513"/>
    <w:rsid w:val="FFF705FF"/>
    <w:rsid w:val="FFFB2124"/>
    <w:rsid w:val="FFFD6FE4"/>
    <w:rsid w:val="FFFF1A2E"/>
    <w:rsid w:val="FFFFB4B3"/>
    <w:rsid w:val="FFFFC4AC"/>
    <w:rsid w:val="FFFFE50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unhideWhenUsed/>
    <w:qFormat/>
    <w:uiPriority w:val="1"/>
  </w:style>
  <w:style w:type="table" w:default="1" w:styleId="9">
    <w:name w:val="Normal Table"/>
    <w:unhideWhenUsed/>
    <w:qFormat/>
    <w:uiPriority w:val="99"/>
    <w:tblPr>
      <w:tblCellMar>
        <w:top w:w="0" w:type="dxa"/>
        <w:left w:w="108" w:type="dxa"/>
        <w:bottom w:w="0" w:type="dxa"/>
        <w:right w:w="108" w:type="dxa"/>
      </w:tblCellMar>
    </w:tblPr>
  </w:style>
  <w:style w:type="paragraph" w:styleId="2">
    <w:name w:val="Plain Text"/>
    <w:basedOn w:val="1"/>
    <w:qFormat/>
    <w:uiPriority w:val="0"/>
    <w:rPr>
      <w:rFonts w:ascii="宋体"/>
      <w:szCs w:val="21"/>
    </w:rPr>
  </w:style>
  <w:style w:type="paragraph" w:styleId="3">
    <w:name w:val="Body Text"/>
    <w:basedOn w:val="1"/>
    <w:unhideWhenUsed/>
    <w:qFormat/>
    <w:uiPriority w:val="99"/>
    <w:pPr>
      <w:spacing w:beforeLines="30"/>
    </w:pPr>
    <w:rPr>
      <w:rFonts w:ascii="仿宋_GB2312" w:eastAsia="仿宋_GB2312"/>
      <w:kern w:val="0"/>
      <w:sz w:val="30"/>
    </w:rPr>
  </w:style>
  <w:style w:type="paragraph" w:styleId="4">
    <w:name w:val="Body Text Indent"/>
    <w:basedOn w:val="1"/>
    <w:unhideWhenUsed/>
    <w:qFormat/>
    <w:uiPriority w:val="99"/>
    <w:pPr>
      <w:spacing w:after="120"/>
      <w:ind w:left="420" w:leftChars="200"/>
    </w:pPr>
  </w:style>
  <w:style w:type="paragraph" w:styleId="5">
    <w:name w:val="footer"/>
    <w:basedOn w:val="1"/>
    <w:link w:val="14"/>
    <w:unhideWhenUsed/>
    <w:qFormat/>
    <w:uiPriority w:val="99"/>
    <w:pPr>
      <w:tabs>
        <w:tab w:val="center" w:pos="4153"/>
        <w:tab w:val="right" w:pos="8306"/>
      </w:tabs>
      <w:snapToGrid w:val="0"/>
      <w:jc w:val="left"/>
    </w:pPr>
    <w:rPr>
      <w:sz w:val="18"/>
      <w:szCs w:val="18"/>
    </w:rPr>
  </w:style>
  <w:style w:type="paragraph" w:styleId="6">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jc w:val="left"/>
    </w:pPr>
    <w:rPr>
      <w:rFonts w:cs="Times New Roman"/>
      <w:kern w:val="0"/>
      <w:sz w:val="24"/>
    </w:rPr>
  </w:style>
  <w:style w:type="paragraph" w:styleId="8">
    <w:name w:val="Body Text First Indent 2"/>
    <w:basedOn w:val="4"/>
    <w:next w:val="1"/>
    <w:unhideWhenUsed/>
    <w:qFormat/>
    <w:uiPriority w:val="99"/>
    <w:pPr>
      <w:widowControl/>
      <w:spacing w:after="0"/>
      <w:ind w:left="0" w:leftChars="0" w:firstLine="420" w:firstLineChars="200"/>
    </w:pPr>
    <w:rPr>
      <w:kern w:val="0"/>
    </w:rPr>
  </w:style>
  <w:style w:type="character" w:styleId="11">
    <w:name w:val="page number"/>
    <w:basedOn w:val="10"/>
    <w:qFormat/>
    <w:uiPriority w:val="0"/>
  </w:style>
  <w:style w:type="paragraph" w:customStyle="1" w:styleId="12">
    <w:name w:val="列出段落1"/>
    <w:basedOn w:val="1"/>
    <w:qFormat/>
    <w:uiPriority w:val="34"/>
    <w:pPr>
      <w:ind w:firstLine="420" w:firstLineChars="200"/>
    </w:pPr>
  </w:style>
  <w:style w:type="character" w:customStyle="1" w:styleId="13">
    <w:name w:val="页眉 Char"/>
    <w:basedOn w:val="10"/>
    <w:link w:val="6"/>
    <w:qFormat/>
    <w:uiPriority w:val="99"/>
    <w:rPr>
      <w:sz w:val="18"/>
      <w:szCs w:val="18"/>
    </w:rPr>
  </w:style>
  <w:style w:type="character" w:customStyle="1" w:styleId="14">
    <w:name w:val="页脚 Char"/>
    <w:basedOn w:val="10"/>
    <w:link w:val="5"/>
    <w:qFormat/>
    <w:uiPriority w:val="99"/>
    <w:rPr>
      <w:sz w:val="18"/>
      <w:szCs w:val="18"/>
    </w:rPr>
  </w:style>
  <w:style w:type="character" w:customStyle="1" w:styleId="15">
    <w:name w:val="font51"/>
    <w:basedOn w:val="10"/>
    <w:qFormat/>
    <w:uiPriority w:val="0"/>
    <w:rPr>
      <w:rFonts w:hint="eastAsia" w:ascii="宋体" w:hAnsi="宋体" w:eastAsia="宋体" w:cs="宋体"/>
      <w:color w:val="000000"/>
      <w:sz w:val="22"/>
      <w:szCs w:val="22"/>
      <w:u w:val="none"/>
    </w:rPr>
  </w:style>
  <w:style w:type="character" w:customStyle="1" w:styleId="16">
    <w:name w:val="font01"/>
    <w:basedOn w:val="10"/>
    <w:qFormat/>
    <w:uiPriority w:val="0"/>
    <w:rPr>
      <w:rFonts w:hint="eastAsia" w:ascii="宋体" w:hAnsi="宋体" w:eastAsia="宋体" w:cs="宋体"/>
      <w:b/>
      <w:color w:val="000000"/>
      <w:sz w:val="22"/>
      <w:szCs w:val="22"/>
      <w:u w:val="none"/>
    </w:rPr>
  </w:style>
  <w:style w:type="character" w:customStyle="1" w:styleId="17">
    <w:name w:val="font21"/>
    <w:basedOn w:val="10"/>
    <w:qFormat/>
    <w:uiPriority w:val="0"/>
    <w:rPr>
      <w:rFonts w:ascii="Dialog . plain" w:hAnsi="Dialog . plain" w:eastAsia="Dialog . plain" w:cs="Dialog . plain"/>
      <w:color w:val="000000"/>
      <w:sz w:val="22"/>
      <w:szCs w:val="22"/>
      <w:u w:val="none"/>
    </w:rPr>
  </w:style>
  <w:style w:type="character" w:customStyle="1" w:styleId="18">
    <w:name w:val="font11"/>
    <w:basedOn w:val="10"/>
    <w:qFormat/>
    <w:uiPriority w:val="0"/>
    <w:rPr>
      <w:rFonts w:ascii="Dialog . bold" w:hAnsi="Dialog . bold" w:eastAsia="Dialog . bold" w:cs="Dialog . bold"/>
      <w:b/>
      <w:color w:val="000000"/>
      <w:sz w:val="22"/>
      <w:szCs w:val="22"/>
      <w:u w:val="none"/>
    </w:rPr>
  </w:style>
  <w:style w:type="character" w:customStyle="1" w:styleId="19">
    <w:name w:val="font61"/>
    <w:basedOn w:val="10"/>
    <w:qFormat/>
    <w:uiPriority w:val="0"/>
    <w:rPr>
      <w:rFonts w:ascii="Dialog . plain" w:hAnsi="Dialog . plain" w:eastAsia="Dialog . plain" w:cs="Dialog . plain"/>
      <w:color w:val="000000"/>
      <w:sz w:val="22"/>
      <w:szCs w:val="22"/>
      <w:u w:val="none"/>
    </w:rPr>
  </w:style>
  <w:style w:type="character" w:customStyle="1" w:styleId="20">
    <w:name w:val="font71"/>
    <w:basedOn w:val="10"/>
    <w:qFormat/>
    <w:uiPriority w:val="0"/>
    <w:rPr>
      <w:rFonts w:ascii="Dialog . bold" w:hAnsi="Dialog . bold" w:eastAsia="Dialog . bold" w:cs="Dialog . bold"/>
      <w:b/>
      <w:bCs/>
      <w:color w:val="000000"/>
      <w:sz w:val="22"/>
      <w:szCs w:val="22"/>
      <w:u w:val="none"/>
    </w:rPr>
  </w:style>
  <w:style w:type="character" w:customStyle="1" w:styleId="21">
    <w:name w:val="font81"/>
    <w:basedOn w:val="10"/>
    <w:qFormat/>
    <w:uiPriority w:val="0"/>
    <w:rPr>
      <w:rFonts w:ascii="Dialog . plain" w:hAnsi="Dialog . plain" w:eastAsia="Dialog . plain" w:cs="Dialog . plain"/>
      <w:color w:val="000000"/>
      <w:sz w:val="22"/>
      <w:szCs w:val="22"/>
      <w:u w:val="none"/>
    </w:rPr>
  </w:style>
  <w:style w:type="character" w:customStyle="1" w:styleId="22">
    <w:name w:val="font31"/>
    <w:basedOn w:val="10"/>
    <w:qFormat/>
    <w:uiPriority w:val="0"/>
    <w:rPr>
      <w:rFonts w:ascii="Dialog . plain" w:hAnsi="Dialog . plain" w:eastAsia="Dialog . plain" w:cs="Dialog . plain"/>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3.bin"/><Relationship Id="rId8" Type="http://schemas.openxmlformats.org/officeDocument/2006/relationships/image" Target="media/image2.emf"/><Relationship Id="rId7" Type="http://schemas.openxmlformats.org/officeDocument/2006/relationships/oleObject" Target="embeddings/oleObject2.bin"/><Relationship Id="rId6" Type="http://schemas.openxmlformats.org/officeDocument/2006/relationships/image" Target="media/image1.emf"/><Relationship Id="rId53" Type="http://schemas.openxmlformats.org/officeDocument/2006/relationships/fontTable" Target="fontTable.xml"/><Relationship Id="rId52" Type="http://schemas.openxmlformats.org/officeDocument/2006/relationships/image" Target="media/image24.emf"/><Relationship Id="rId51" Type="http://schemas.openxmlformats.org/officeDocument/2006/relationships/oleObject" Target="embeddings/oleObject24.bin"/><Relationship Id="rId50" Type="http://schemas.openxmlformats.org/officeDocument/2006/relationships/image" Target="media/image23.emf"/><Relationship Id="rId5" Type="http://schemas.openxmlformats.org/officeDocument/2006/relationships/oleObject" Target="embeddings/oleObject1.bin"/><Relationship Id="rId49" Type="http://schemas.openxmlformats.org/officeDocument/2006/relationships/oleObject" Target="embeddings/oleObject23.bin"/><Relationship Id="rId48" Type="http://schemas.openxmlformats.org/officeDocument/2006/relationships/image" Target="media/image22.emf"/><Relationship Id="rId47" Type="http://schemas.openxmlformats.org/officeDocument/2006/relationships/oleObject" Target="embeddings/oleObject22.bin"/><Relationship Id="rId46" Type="http://schemas.openxmlformats.org/officeDocument/2006/relationships/image" Target="media/image21.emf"/><Relationship Id="rId45" Type="http://schemas.openxmlformats.org/officeDocument/2006/relationships/oleObject" Target="embeddings/oleObject21.bin"/><Relationship Id="rId44" Type="http://schemas.openxmlformats.org/officeDocument/2006/relationships/image" Target="media/image20.emf"/><Relationship Id="rId43" Type="http://schemas.openxmlformats.org/officeDocument/2006/relationships/oleObject" Target="embeddings/oleObject20.bin"/><Relationship Id="rId42" Type="http://schemas.openxmlformats.org/officeDocument/2006/relationships/image" Target="media/image19.emf"/><Relationship Id="rId41" Type="http://schemas.openxmlformats.org/officeDocument/2006/relationships/oleObject" Target="embeddings/oleObject19.bin"/><Relationship Id="rId40" Type="http://schemas.openxmlformats.org/officeDocument/2006/relationships/image" Target="media/image18.emf"/><Relationship Id="rId4" Type="http://schemas.openxmlformats.org/officeDocument/2006/relationships/theme" Target="theme/theme1.xml"/><Relationship Id="rId39" Type="http://schemas.openxmlformats.org/officeDocument/2006/relationships/oleObject" Target="embeddings/oleObject18.bin"/><Relationship Id="rId38" Type="http://schemas.openxmlformats.org/officeDocument/2006/relationships/image" Target="media/image17.emf"/><Relationship Id="rId37" Type="http://schemas.openxmlformats.org/officeDocument/2006/relationships/oleObject" Target="embeddings/oleObject17.bin"/><Relationship Id="rId36" Type="http://schemas.openxmlformats.org/officeDocument/2006/relationships/image" Target="media/image16.emf"/><Relationship Id="rId35" Type="http://schemas.openxmlformats.org/officeDocument/2006/relationships/oleObject" Target="embeddings/oleObject16.bin"/><Relationship Id="rId34" Type="http://schemas.openxmlformats.org/officeDocument/2006/relationships/image" Target="media/image15.emf"/><Relationship Id="rId33" Type="http://schemas.openxmlformats.org/officeDocument/2006/relationships/oleObject" Target="embeddings/oleObject15.bin"/><Relationship Id="rId32" Type="http://schemas.openxmlformats.org/officeDocument/2006/relationships/image" Target="media/image14.emf"/><Relationship Id="rId31" Type="http://schemas.openxmlformats.org/officeDocument/2006/relationships/oleObject" Target="embeddings/oleObject14.bin"/><Relationship Id="rId30" Type="http://schemas.openxmlformats.org/officeDocument/2006/relationships/image" Target="media/image13.emf"/><Relationship Id="rId3" Type="http://schemas.openxmlformats.org/officeDocument/2006/relationships/footer" Target="footer1.xml"/><Relationship Id="rId29" Type="http://schemas.openxmlformats.org/officeDocument/2006/relationships/oleObject" Target="embeddings/oleObject13.bin"/><Relationship Id="rId28" Type="http://schemas.openxmlformats.org/officeDocument/2006/relationships/image" Target="media/image12.emf"/><Relationship Id="rId27" Type="http://schemas.openxmlformats.org/officeDocument/2006/relationships/oleObject" Target="embeddings/oleObject12.bin"/><Relationship Id="rId26" Type="http://schemas.openxmlformats.org/officeDocument/2006/relationships/image" Target="media/image11.emf"/><Relationship Id="rId25" Type="http://schemas.openxmlformats.org/officeDocument/2006/relationships/oleObject" Target="embeddings/oleObject11.bin"/><Relationship Id="rId24" Type="http://schemas.openxmlformats.org/officeDocument/2006/relationships/image" Target="media/image10.emf"/><Relationship Id="rId23" Type="http://schemas.openxmlformats.org/officeDocument/2006/relationships/oleObject" Target="embeddings/oleObject10.bin"/><Relationship Id="rId22" Type="http://schemas.openxmlformats.org/officeDocument/2006/relationships/image" Target="media/image9.emf"/><Relationship Id="rId21" Type="http://schemas.openxmlformats.org/officeDocument/2006/relationships/oleObject" Target="embeddings/oleObject9.bin"/><Relationship Id="rId20" Type="http://schemas.openxmlformats.org/officeDocument/2006/relationships/image" Target="media/image8.emf"/><Relationship Id="rId2" Type="http://schemas.openxmlformats.org/officeDocument/2006/relationships/settings" Target="settings.xml"/><Relationship Id="rId19" Type="http://schemas.openxmlformats.org/officeDocument/2006/relationships/oleObject" Target="embeddings/oleObject8.bin"/><Relationship Id="rId18" Type="http://schemas.openxmlformats.org/officeDocument/2006/relationships/image" Target="media/image7.emf"/><Relationship Id="rId17" Type="http://schemas.openxmlformats.org/officeDocument/2006/relationships/oleObject" Target="embeddings/oleObject7.bin"/><Relationship Id="rId16" Type="http://schemas.openxmlformats.org/officeDocument/2006/relationships/image" Target="media/image6.emf"/><Relationship Id="rId15" Type="http://schemas.openxmlformats.org/officeDocument/2006/relationships/oleObject" Target="embeddings/oleObject6.bin"/><Relationship Id="rId14" Type="http://schemas.openxmlformats.org/officeDocument/2006/relationships/image" Target="media/image5.emf"/><Relationship Id="rId13" Type="http://schemas.openxmlformats.org/officeDocument/2006/relationships/oleObject" Target="embeddings/oleObject5.bin"/><Relationship Id="rId12" Type="http://schemas.openxmlformats.org/officeDocument/2006/relationships/image" Target="media/image4.emf"/><Relationship Id="rId11" Type="http://schemas.openxmlformats.org/officeDocument/2006/relationships/oleObject" Target="embeddings/oleObject4.bin"/><Relationship Id="rId10" Type="http://schemas.openxmlformats.org/officeDocument/2006/relationships/image" Target="media/image3.em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41</Pages>
  <Words>5346</Words>
  <Characters>5792</Characters>
  <Lines>119</Lines>
  <Paragraphs>33</Paragraphs>
  <TotalTime>4</TotalTime>
  <ScaleCrop>false</ScaleCrop>
  <LinksUpToDate>false</LinksUpToDate>
  <CharactersWithSpaces>5985</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2023-02-25T18:38:00Z</dcterms:created>
  <dc:creator>ASUS</dc:creator>
  <cp:lastModifiedBy>Administrator</cp:lastModifiedBy>
  <dcterms:modified xsi:type="dcterms:W3CDTF">2026-03-26T03:10:06Z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BEA226E29AAC4E6EB4447450BDEF6462_13</vt:lpwstr>
  </property>
  <property fmtid="{D5CDD505-2E9C-101B-9397-08002B2CF9AE}" pid="4" name="KSOTemplateDocerSaveRecord">
    <vt:lpwstr>eyJoZGlkIjoiOTc1MmM1OGNkMzEyOGEzZjUzNGQ5NDMyYTNjZDZjMDEifQ==</vt:lpwstr>
  </property>
</Properties>
</file>