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96597"/>
      <w:bookmarkStart w:id="4" w:name="_Toc15377193"/>
      <w:bookmarkStart w:id="5" w:name="_Toc15378441"/>
      <w:r>
        <w:rPr>
          <w:rFonts w:hint="eastAsia" w:ascii="方正小标宋简体" w:hAnsi="宋体" w:eastAsia="方正小标宋简体"/>
          <w:color w:val="000000"/>
          <w:sz w:val="72"/>
          <w:szCs w:val="72"/>
        </w:rPr>
        <w:t>2019年度</w:t>
      </w:r>
      <w:bookmarkEnd w:id="0"/>
      <w:bookmarkEnd w:id="1"/>
      <w:bookmarkEnd w:id="2"/>
      <w:bookmarkEnd w:id="3"/>
      <w:bookmarkEnd w:id="4"/>
      <w:bookmarkEnd w:id="5"/>
      <w:bookmarkStart w:id="6" w:name="_Toc15396598"/>
      <w:bookmarkStart w:id="7" w:name="_Toc15306268"/>
      <w:bookmarkStart w:id="8" w:name="_Toc15377426"/>
      <w:bookmarkStart w:id="9" w:name="_Toc15377194"/>
      <w:bookmarkStart w:id="10" w:name="_Toc15378442"/>
      <w:bookmarkStart w:id="11" w:name="_Toc15396476"/>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四川省九寨沟县</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罗依乡人民政府</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r>
        <w:rPr>
          <w:rFonts w:hint="eastAsia" w:ascii="方正小标宋简体" w:hAnsi="宋体" w:eastAsia="方正小标宋简体"/>
          <w:color w:val="000000"/>
          <w:sz w:val="72"/>
          <w:szCs w:val="72"/>
        </w:rPr>
        <w:t>编制说明</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3"/>
      </w:pPr>
      <w:r>
        <w:rPr>
          <w:rFonts w:hint="eastAsia"/>
        </w:rPr>
        <w:t>公开时间：2020年</w:t>
      </w:r>
      <w:r>
        <w:t>8</w:t>
      </w:r>
      <w:r>
        <w:rPr>
          <w:rFonts w:hint="eastAsia"/>
        </w:rPr>
        <w:t>月</w:t>
      </w:r>
      <w:r>
        <w:t>2</w:t>
      </w:r>
      <w:r>
        <w:rPr>
          <w:rFonts w:hint="eastAsia"/>
        </w:rPr>
        <w:t>5日</w:t>
      </w:r>
    </w:p>
    <w:p/>
    <w:p>
      <w:pPr>
        <w:pStyle w:val="13"/>
        <w:rPr>
          <w:rFonts w:cstheme="minorBidi"/>
        </w:rPr>
      </w:pPr>
      <w:r>
        <w:fldChar w:fldCharType="begin"/>
      </w:r>
      <w:r>
        <w:instrText xml:space="preserve"> HYPERLINK \l "_Toc15396599" </w:instrText>
      </w:r>
      <w:r>
        <w:fldChar w:fldCharType="separate"/>
      </w:r>
      <w:r>
        <w:rPr>
          <w:rStyle w:val="19"/>
          <w:rFonts w:hint="eastAsia"/>
        </w:rPr>
        <w:t>第一部分</w:t>
      </w:r>
      <w:r>
        <w:rPr>
          <w:rStyle w:val="19"/>
        </w:rPr>
        <w:t xml:space="preserve"> </w:t>
      </w:r>
      <w:r>
        <w:rPr>
          <w:rStyle w:val="19"/>
          <w:rFonts w:hint="eastAsia"/>
        </w:rPr>
        <w:t>部门概况</w:t>
      </w:r>
      <w:r>
        <w:tab/>
      </w:r>
      <w:r>
        <w:rPr>
          <w:rFonts w:hint="eastAsia"/>
        </w:rPr>
        <w:t>4</w:t>
      </w:r>
      <w:r>
        <w:rPr>
          <w:rFonts w:hint="eastAsia"/>
        </w:rPr>
        <w:fldChar w:fldCharType="end"/>
      </w:r>
    </w:p>
    <w:p>
      <w:pPr>
        <w:pStyle w:val="14"/>
        <w:rPr>
          <w:rFonts w:ascii="仿宋" w:hAnsi="仿宋" w:eastAsia="仿宋" w:cstheme="minorBidi"/>
          <w:sz w:val="28"/>
          <w:szCs w:val="28"/>
        </w:rPr>
      </w:pPr>
      <w:r>
        <w:fldChar w:fldCharType="begin"/>
      </w:r>
      <w:r>
        <w:instrText xml:space="preserve"> HYPERLINK \l "_Toc15396600" </w:instrText>
      </w:r>
      <w:r>
        <w:fldChar w:fldCharType="separate"/>
      </w:r>
      <w:r>
        <w:rPr>
          <w:rStyle w:val="19"/>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4"/>
        <w:rPr>
          <w:rFonts w:ascii="仿宋" w:hAnsi="仿宋" w:eastAsia="仿宋" w:cstheme="minorBidi"/>
          <w:sz w:val="28"/>
          <w:szCs w:val="28"/>
        </w:rPr>
      </w:pPr>
      <w:r>
        <w:fldChar w:fldCharType="begin"/>
      </w:r>
      <w:r>
        <w:instrText xml:space="preserve"> HYPERLINK \l "_Toc15396601" </w:instrText>
      </w:r>
      <w:r>
        <w:fldChar w:fldCharType="separate"/>
      </w:r>
      <w:r>
        <w:rPr>
          <w:rStyle w:val="19"/>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0</w:t>
      </w:r>
    </w:p>
    <w:p>
      <w:pPr>
        <w:pStyle w:val="13"/>
      </w:pPr>
      <w:r>
        <w:fldChar w:fldCharType="begin"/>
      </w:r>
      <w:r>
        <w:instrText xml:space="preserve"> HYPERLINK \l "_Toc15396602" </w:instrText>
      </w:r>
      <w:r>
        <w:fldChar w:fldCharType="separate"/>
      </w:r>
      <w:r>
        <w:rPr>
          <w:rStyle w:val="19"/>
          <w:rFonts w:hint="eastAsia"/>
        </w:rPr>
        <w:t>第二部分</w:t>
      </w:r>
      <w:r>
        <w:rPr>
          <w:rStyle w:val="19"/>
        </w:rPr>
        <w:t xml:space="preserve"> 201</w:t>
      </w:r>
      <w:r>
        <w:rPr>
          <w:rStyle w:val="19"/>
          <w:rFonts w:hint="eastAsia"/>
        </w:rPr>
        <w:t>9年度部门决算情况说明</w:t>
      </w:r>
      <w:r>
        <w:tab/>
      </w:r>
      <w:r>
        <w:fldChar w:fldCharType="begin"/>
      </w:r>
      <w:r>
        <w:instrText xml:space="preserve"> PAGEREF _Toc15396602 \h </w:instrText>
      </w:r>
      <w:r>
        <w:fldChar w:fldCharType="separate"/>
      </w:r>
      <w:r>
        <w:t>10</w:t>
      </w:r>
      <w:r>
        <w:fldChar w:fldCharType="end"/>
      </w:r>
      <w:r>
        <w:fldChar w:fldCharType="end"/>
      </w:r>
    </w:p>
    <w:p>
      <w:pPr>
        <w:pStyle w:val="14"/>
        <w:rPr>
          <w:rFonts w:ascii="仿宋" w:hAnsi="仿宋" w:eastAsia="仿宋" w:cstheme="minorBidi"/>
          <w:sz w:val="28"/>
          <w:szCs w:val="28"/>
        </w:rPr>
      </w:pPr>
      <w:r>
        <w:fldChar w:fldCharType="begin"/>
      </w:r>
      <w:r>
        <w:instrText xml:space="preserve"> HYPERLINK \l "_Toc15396603" </w:instrText>
      </w:r>
      <w:r>
        <w:fldChar w:fldCharType="separate"/>
      </w:r>
      <w:r>
        <w:rPr>
          <w:rStyle w:val="19"/>
          <w:rFonts w:hint="eastAsia" w:ascii="仿宋" w:hAnsi="仿宋" w:eastAsia="仿宋" w:cstheme="majorBidi"/>
          <w:bCs/>
          <w:sz w:val="28"/>
          <w:szCs w:val="28"/>
        </w:rPr>
        <w:t>一、</w:t>
      </w:r>
      <w:r>
        <w:rPr>
          <w:rStyle w:val="19"/>
          <w:rFonts w:hint="eastAsia" w:ascii="仿宋" w:hAnsi="仿宋" w:eastAsia="仿宋"/>
          <w:sz w:val="28"/>
          <w:szCs w:val="28"/>
        </w:rPr>
        <w:t>收</w:t>
      </w:r>
      <w:r>
        <w:rPr>
          <w:rStyle w:val="19"/>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fldChar w:fldCharType="begin"/>
      </w:r>
      <w:r>
        <w:instrText xml:space="preserve"> HYPERLINK \l "_Toc15396604" </w:instrText>
      </w:r>
      <w:r>
        <w:fldChar w:fldCharType="separate"/>
      </w:r>
      <w:r>
        <w:rPr>
          <w:rStyle w:val="19"/>
          <w:rFonts w:hint="eastAsia" w:ascii="仿宋" w:hAnsi="仿宋" w:eastAsia="仿宋" w:cstheme="majorBidi"/>
          <w:bCs/>
          <w:sz w:val="28"/>
          <w:szCs w:val="28"/>
        </w:rPr>
        <w:t>二、</w:t>
      </w:r>
      <w:r>
        <w:rPr>
          <w:rStyle w:val="19"/>
          <w:rFonts w:hint="eastAsia" w:ascii="仿宋" w:hAnsi="仿宋" w:eastAsia="仿宋"/>
          <w:sz w:val="28"/>
          <w:szCs w:val="28"/>
        </w:rPr>
        <w:t>收</w:t>
      </w:r>
      <w:r>
        <w:rPr>
          <w:rStyle w:val="19"/>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fldChar w:fldCharType="begin"/>
      </w:r>
      <w:r>
        <w:instrText xml:space="preserve"> HYPERLINK \l "_Toc15396605" </w:instrText>
      </w:r>
      <w:r>
        <w:fldChar w:fldCharType="separate"/>
      </w:r>
      <w:r>
        <w:rPr>
          <w:rStyle w:val="19"/>
          <w:rFonts w:hint="eastAsia" w:ascii="仿宋" w:hAnsi="仿宋" w:eastAsia="仿宋" w:cstheme="majorBidi"/>
          <w:bCs/>
          <w:sz w:val="28"/>
          <w:szCs w:val="28"/>
        </w:rPr>
        <w:t>三、</w:t>
      </w:r>
      <w:r>
        <w:rPr>
          <w:rStyle w:val="19"/>
          <w:rFonts w:hint="eastAsia" w:ascii="仿宋" w:hAnsi="仿宋" w:eastAsia="仿宋"/>
          <w:sz w:val="28"/>
          <w:szCs w:val="28"/>
        </w:rPr>
        <w:t>支</w:t>
      </w:r>
      <w:r>
        <w:rPr>
          <w:rStyle w:val="19"/>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fldChar w:fldCharType="begin"/>
      </w:r>
      <w:r>
        <w:instrText xml:space="preserve"> HYPERLINK \l "_Toc15396606" </w:instrText>
      </w:r>
      <w:r>
        <w:fldChar w:fldCharType="separate"/>
      </w:r>
      <w:r>
        <w:rPr>
          <w:rStyle w:val="19"/>
          <w:rFonts w:hint="eastAsia" w:ascii="仿宋" w:hAnsi="仿宋" w:eastAsia="仿宋"/>
          <w:sz w:val="28"/>
          <w:szCs w:val="28"/>
        </w:rPr>
        <w:t>四、财</w:t>
      </w:r>
      <w:r>
        <w:rPr>
          <w:rStyle w:val="19"/>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fldChar w:fldCharType="begin"/>
      </w:r>
      <w:r>
        <w:instrText xml:space="preserve"> HYPERLINK \l "_Toc15396607" </w:instrText>
      </w:r>
      <w:r>
        <w:fldChar w:fldCharType="separate"/>
      </w:r>
      <w:r>
        <w:rPr>
          <w:rStyle w:val="19"/>
          <w:rFonts w:hint="eastAsia" w:ascii="仿宋" w:hAnsi="仿宋" w:eastAsia="仿宋"/>
          <w:sz w:val="28"/>
          <w:szCs w:val="28"/>
        </w:rPr>
        <w:t>五、一</w:t>
      </w:r>
      <w:r>
        <w:rPr>
          <w:rStyle w:val="19"/>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fldChar w:fldCharType="begin"/>
      </w:r>
      <w:r>
        <w:instrText xml:space="preserve"> HYPERLINK \l "_Toc15396608" </w:instrText>
      </w:r>
      <w:r>
        <w:fldChar w:fldCharType="separate"/>
      </w:r>
      <w:r>
        <w:rPr>
          <w:rStyle w:val="19"/>
          <w:rFonts w:hint="eastAsia" w:ascii="仿宋" w:hAnsi="仿宋" w:eastAsia="仿宋"/>
          <w:sz w:val="28"/>
          <w:szCs w:val="28"/>
        </w:rPr>
        <w:t>六、一</w:t>
      </w:r>
      <w:r>
        <w:rPr>
          <w:rStyle w:val="19"/>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fldChar w:fldCharType="begin"/>
      </w:r>
      <w:r>
        <w:instrText xml:space="preserve"> HYPERLINK \l "_Toc15396609" </w:instrText>
      </w:r>
      <w:r>
        <w:fldChar w:fldCharType="separate"/>
      </w:r>
      <w:r>
        <w:rPr>
          <w:rStyle w:val="19"/>
          <w:rFonts w:hint="eastAsia" w:ascii="仿宋" w:hAnsi="仿宋" w:eastAsia="仿宋"/>
          <w:sz w:val="28"/>
          <w:szCs w:val="28"/>
        </w:rPr>
        <w:t>七、</w:t>
      </w:r>
      <w:r>
        <w:rPr>
          <w:rStyle w:val="19"/>
          <w:rFonts w:ascii="仿宋" w:hAnsi="仿宋" w:eastAsia="仿宋"/>
          <w:sz w:val="28"/>
          <w:szCs w:val="28"/>
        </w:rPr>
        <w:t>“</w:t>
      </w:r>
      <w:r>
        <w:rPr>
          <w:rStyle w:val="19"/>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fldChar w:fldCharType="begin"/>
      </w:r>
      <w:r>
        <w:instrText xml:space="preserve"> HYPERLINK \l "_Toc15396610" </w:instrText>
      </w:r>
      <w:r>
        <w:fldChar w:fldCharType="separate"/>
      </w:r>
      <w:r>
        <w:rPr>
          <w:rStyle w:val="19"/>
          <w:rFonts w:hint="eastAsia" w:ascii="仿宋" w:hAnsi="仿宋" w:eastAsia="仿宋"/>
          <w:sz w:val="28"/>
          <w:szCs w:val="28"/>
        </w:rPr>
        <w:t>八、</w:t>
      </w:r>
      <w:r>
        <w:rPr>
          <w:rStyle w:val="19"/>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fldChar w:fldCharType="begin"/>
      </w:r>
      <w:r>
        <w:instrText xml:space="preserve"> HYPERLINK \l "_Toc15396611" </w:instrText>
      </w:r>
      <w:r>
        <w:fldChar w:fldCharType="separate"/>
      </w:r>
      <w:r>
        <w:rPr>
          <w:rStyle w:val="19"/>
          <w:rFonts w:hint="eastAsia" w:ascii="仿宋" w:hAnsi="仿宋" w:eastAsia="仿宋" w:cstheme="majorBidi"/>
          <w:bCs/>
          <w:sz w:val="28"/>
          <w:szCs w:val="28"/>
        </w:rPr>
        <w:t>九、</w:t>
      </w:r>
      <w:r>
        <w:rPr>
          <w:rStyle w:val="19"/>
          <w:rFonts w:hint="eastAsia" w:ascii="仿宋" w:hAnsi="仿宋" w:eastAsia="仿宋"/>
          <w:sz w:val="28"/>
          <w:szCs w:val="28"/>
        </w:rPr>
        <w:t xml:space="preserve"> 国</w:t>
      </w:r>
      <w:r>
        <w:rPr>
          <w:rStyle w:val="19"/>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fldChar w:fldCharType="begin"/>
      </w:r>
      <w:r>
        <w:instrText xml:space="preserve"> HYPERLINK \l "_Toc15396612" </w:instrText>
      </w:r>
      <w:r>
        <w:fldChar w:fldCharType="separate"/>
      </w:r>
      <w:r>
        <w:rPr>
          <w:rStyle w:val="19"/>
          <w:rFonts w:hint="eastAsia" w:ascii="仿宋" w:hAnsi="仿宋" w:eastAsia="仿宋"/>
          <w:sz w:val="28"/>
          <w:szCs w:val="28"/>
        </w:rPr>
        <w:t>十</w:t>
      </w:r>
      <w:r>
        <w:rPr>
          <w:rStyle w:val="19"/>
          <w:rFonts w:hint="eastAsia" w:ascii="仿宋" w:hAnsi="仿宋" w:eastAsia="仿宋" w:cstheme="majorBidi"/>
          <w:bCs/>
          <w:sz w:val="28"/>
          <w:szCs w:val="28"/>
        </w:rPr>
        <w:t>、预算绩效情况说明</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5</w:t>
      </w:r>
    </w:p>
    <w:p>
      <w:pPr>
        <w:pStyle w:val="14"/>
        <w:rPr>
          <w:rFonts w:ascii="仿宋" w:hAnsi="仿宋" w:eastAsia="仿宋" w:cstheme="minorBidi"/>
          <w:sz w:val="28"/>
          <w:szCs w:val="28"/>
        </w:rPr>
      </w:pPr>
      <w:r>
        <w:fldChar w:fldCharType="begin"/>
      </w:r>
      <w:r>
        <w:instrText xml:space="preserve"> HYPERLINK \l "_Toc15396612" </w:instrText>
      </w:r>
      <w:r>
        <w:fldChar w:fldCharType="separate"/>
      </w:r>
      <w:r>
        <w:rPr>
          <w:rStyle w:val="19"/>
          <w:rFonts w:hint="eastAsia" w:ascii="仿宋" w:hAnsi="仿宋" w:eastAsia="仿宋"/>
          <w:sz w:val="28"/>
          <w:szCs w:val="28"/>
        </w:rPr>
        <w:t>十</w:t>
      </w:r>
      <w:r>
        <w:rPr>
          <w:rStyle w:val="19"/>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cstheme="minorBidi"/>
        </w:rPr>
      </w:pPr>
      <w:r>
        <w:fldChar w:fldCharType="begin"/>
      </w:r>
      <w:r>
        <w:instrText xml:space="preserve"> HYPERLINK \l "_Toc15396613" </w:instrText>
      </w:r>
      <w:r>
        <w:fldChar w:fldCharType="separate"/>
      </w:r>
      <w:r>
        <w:rPr>
          <w:rStyle w:val="19"/>
          <w:rFonts w:hint="eastAsia"/>
          <w:bCs/>
          <w:kern w:val="44"/>
        </w:rPr>
        <w:t>第三部分</w:t>
      </w:r>
      <w:r>
        <w:rPr>
          <w:rStyle w:val="19"/>
          <w:rFonts w:hint="eastAsia"/>
        </w:rPr>
        <w:t xml:space="preserve"> 名</w:t>
      </w:r>
      <w:r>
        <w:rPr>
          <w:rStyle w:val="19"/>
          <w:rFonts w:hint="eastAsia"/>
          <w:bCs/>
          <w:kern w:val="44"/>
        </w:rPr>
        <w:t>词解释</w:t>
      </w:r>
      <w:r>
        <w:tab/>
      </w:r>
      <w:r>
        <w:fldChar w:fldCharType="begin"/>
      </w:r>
      <w:r>
        <w:instrText xml:space="preserve"> PAGEREF _Toc15396613 \h </w:instrText>
      </w:r>
      <w:r>
        <w:fldChar w:fldCharType="separate"/>
      </w:r>
      <w:r>
        <w:t>22</w:t>
      </w:r>
      <w:r>
        <w:fldChar w:fldCharType="end"/>
      </w:r>
      <w:r>
        <w:fldChar w:fldCharType="end"/>
      </w:r>
    </w:p>
    <w:p>
      <w:pPr>
        <w:pStyle w:val="13"/>
        <w:rPr>
          <w:rFonts w:cstheme="minorBidi"/>
        </w:rPr>
      </w:pPr>
      <w:r>
        <w:fldChar w:fldCharType="begin"/>
      </w:r>
      <w:r>
        <w:instrText xml:space="preserve"> HYPERLINK \l "_Toc15396614" </w:instrText>
      </w:r>
      <w:r>
        <w:fldChar w:fldCharType="separate"/>
      </w:r>
      <w:r>
        <w:rPr>
          <w:rStyle w:val="19"/>
          <w:rFonts w:hint="eastAsia"/>
        </w:rPr>
        <w:t>第</w:t>
      </w:r>
      <w:r>
        <w:rPr>
          <w:rStyle w:val="19"/>
          <w:rFonts w:hint="eastAsia"/>
          <w:bCs/>
          <w:kern w:val="44"/>
        </w:rPr>
        <w:t>四部分</w:t>
      </w:r>
      <w:r>
        <w:rPr>
          <w:rStyle w:val="19"/>
          <w:bCs/>
          <w:kern w:val="44"/>
        </w:rPr>
        <w:t xml:space="preserve"> </w:t>
      </w:r>
      <w:r>
        <w:rPr>
          <w:rStyle w:val="19"/>
          <w:rFonts w:hint="eastAsia"/>
          <w:bCs/>
          <w:kern w:val="44"/>
        </w:rPr>
        <w:t>附件</w:t>
      </w:r>
      <w:r>
        <w:tab/>
      </w:r>
      <w:r>
        <w:fldChar w:fldCharType="begin"/>
      </w:r>
      <w:r>
        <w:instrText xml:space="preserve"> PAGEREF _Toc15396614 \h </w:instrText>
      </w:r>
      <w:r>
        <w:fldChar w:fldCharType="separate"/>
      </w:r>
      <w:r>
        <w:t>26</w:t>
      </w:r>
      <w:r>
        <w:fldChar w:fldCharType="end"/>
      </w:r>
      <w:r>
        <w:fldChar w:fldCharType="end"/>
      </w:r>
    </w:p>
    <w:p>
      <w:pPr>
        <w:pStyle w:val="14"/>
        <w:rPr>
          <w:rFonts w:ascii="仿宋" w:hAnsi="仿宋" w:eastAsia="仿宋" w:cstheme="minorBidi"/>
          <w:sz w:val="28"/>
          <w:szCs w:val="28"/>
        </w:rPr>
      </w:pPr>
      <w:r>
        <w:fldChar w:fldCharType="begin"/>
      </w:r>
      <w:r>
        <w:instrText xml:space="preserve"> HYPERLINK \l "_Toc15396615" </w:instrText>
      </w:r>
      <w:r>
        <w:fldChar w:fldCharType="separate"/>
      </w:r>
      <w:r>
        <w:rPr>
          <w:rStyle w:val="19"/>
          <w:rFonts w:hint="eastAsia" w:ascii="仿宋" w:hAnsi="仿宋" w:eastAsia="仿宋"/>
          <w:kern w:val="44"/>
          <w:sz w:val="28"/>
          <w:szCs w:val="28"/>
        </w:rPr>
        <w:t>附件</w:t>
      </w:r>
      <w:r>
        <w:rPr>
          <w:rStyle w:val="19"/>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fldChar w:fldCharType="begin"/>
      </w:r>
      <w:r>
        <w:instrText xml:space="preserve"> HYPERLINK \l "_Toc15396617" </w:instrText>
      </w:r>
      <w:r>
        <w:fldChar w:fldCharType="separate"/>
      </w:r>
      <w:r>
        <w:rPr>
          <w:rStyle w:val="19"/>
          <w:rFonts w:hint="eastAsia" w:ascii="仿宋" w:hAnsi="仿宋" w:eastAsia="仿宋"/>
          <w:kern w:val="44"/>
          <w:sz w:val="28"/>
          <w:szCs w:val="28"/>
        </w:rPr>
        <w:t>附件</w:t>
      </w:r>
      <w:r>
        <w:rPr>
          <w:rStyle w:val="19"/>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32</w:t>
      </w:r>
      <w:r>
        <w:rPr>
          <w:rFonts w:ascii="仿宋" w:hAnsi="仿宋" w:eastAsia="仿宋"/>
          <w:sz w:val="28"/>
          <w:szCs w:val="28"/>
        </w:rPr>
        <w:fldChar w:fldCharType="end"/>
      </w:r>
      <w:r>
        <w:rPr>
          <w:rFonts w:ascii="仿宋" w:hAnsi="仿宋" w:eastAsia="仿宋"/>
          <w:sz w:val="28"/>
          <w:szCs w:val="28"/>
        </w:rPr>
        <w:fldChar w:fldCharType="end"/>
      </w:r>
    </w:p>
    <w:p>
      <w:pPr>
        <w:pStyle w:val="13"/>
        <w:rPr>
          <w:rFonts w:cstheme="minorBidi"/>
        </w:rPr>
      </w:pPr>
      <w:r>
        <w:fldChar w:fldCharType="begin"/>
      </w:r>
      <w:r>
        <w:instrText xml:space="preserve"> HYPERLINK \l "_Toc15396618" </w:instrText>
      </w:r>
      <w:r>
        <w:fldChar w:fldCharType="separate"/>
      </w:r>
      <w:r>
        <w:rPr>
          <w:rStyle w:val="19"/>
          <w:rFonts w:hint="eastAsia"/>
        </w:rPr>
        <w:t>第</w:t>
      </w:r>
      <w:r>
        <w:rPr>
          <w:rStyle w:val="19"/>
          <w:rFonts w:hint="eastAsia"/>
          <w:bCs/>
          <w:kern w:val="44"/>
        </w:rPr>
        <w:t>五部分</w:t>
      </w:r>
      <w:r>
        <w:rPr>
          <w:rStyle w:val="19"/>
          <w:bCs/>
          <w:kern w:val="44"/>
        </w:rPr>
        <w:t xml:space="preserve"> </w:t>
      </w:r>
      <w:r>
        <w:rPr>
          <w:rStyle w:val="19"/>
          <w:rFonts w:hint="eastAsia"/>
          <w:bCs/>
          <w:kern w:val="44"/>
        </w:rPr>
        <w:t>附表</w:t>
      </w:r>
      <w:r>
        <w:tab/>
      </w:r>
      <w:r>
        <w:fldChar w:fldCharType="begin"/>
      </w:r>
      <w:r>
        <w:instrText xml:space="preserve"> PAGEREF _Toc15396618 \h </w:instrText>
      </w:r>
      <w:r>
        <w:fldChar w:fldCharType="separate"/>
      </w:r>
      <w:r>
        <w:t>32</w:t>
      </w:r>
      <w:r>
        <w:fldChar w:fldCharType="end"/>
      </w:r>
      <w:r>
        <w:fldChar w:fldCharType="end"/>
      </w:r>
    </w:p>
    <w:p>
      <w:pPr>
        <w:pStyle w:val="14"/>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9"/>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9"/>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9"/>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9"/>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9"/>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9"/>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9"/>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9"/>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9"/>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9"/>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9"/>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pStyle w:val="14"/>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9"/>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39</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spacing w:before="0" w:after="0" w:line="560" w:lineRule="exact"/>
        <w:rPr>
          <w:rStyle w:val="29"/>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pPr>
        <w:pStyle w:val="7"/>
        <w:adjustRightInd w:val="0"/>
        <w:snapToGrid w:val="0"/>
        <w:spacing w:beforeLines="0" w:line="560" w:lineRule="exact"/>
        <w:ind w:firstLine="672" w:firstLineChars="210"/>
        <w:rPr>
          <w:kern w:val="2"/>
          <w:sz w:val="32"/>
          <w:szCs w:val="32"/>
          <w:shd w:val="clear" w:color="auto" w:fill="FFFFFF"/>
        </w:rPr>
      </w:pPr>
      <w:bookmarkStart w:id="16" w:name="_Toc15377199"/>
      <w:bookmarkStart w:id="17" w:name="_Toc15378446"/>
      <w:r>
        <w:rPr>
          <w:rFonts w:hint="eastAsia"/>
          <w:kern w:val="2"/>
          <w:sz w:val="32"/>
          <w:szCs w:val="32"/>
          <w:shd w:val="clear" w:color="auto" w:fill="FFFFFF"/>
        </w:rPr>
        <w:t>（一）主要职能</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1.乡党委主要职责</w:t>
      </w:r>
    </w:p>
    <w:p>
      <w:pPr>
        <w:pStyle w:val="7"/>
        <w:adjustRightInd w:val="0"/>
        <w:snapToGrid w:val="0"/>
        <w:spacing w:beforeLines="0" w:line="560" w:lineRule="exact"/>
        <w:ind w:firstLine="672" w:firstLineChars="210"/>
        <w:rPr>
          <w:kern w:val="2"/>
          <w:sz w:val="32"/>
          <w:szCs w:val="32"/>
          <w:shd w:val="clear" w:color="auto" w:fill="FFFFFF"/>
        </w:rPr>
      </w:pPr>
      <w:r>
        <w:rPr>
          <w:rFonts w:hint="eastAsia"/>
          <w:kern w:val="2"/>
          <w:sz w:val="32"/>
          <w:szCs w:val="32"/>
          <w:shd w:val="clear" w:color="auto" w:fill="FFFFFF"/>
        </w:rPr>
        <w:t xml:space="preserve"> 积极宣传、贯彻执行党的路线、方针、政策，负责领导本地区的工作，支持和保护行政组织、经济组织和群众自治组织充分行使职权；领导制定</w:t>
      </w:r>
      <w:r>
        <w:rPr>
          <w:rFonts w:hint="eastAsia" w:hAnsi="仿宋_GB2312" w:cs="仿宋_GB2312"/>
          <w:color w:val="000000"/>
          <w:spacing w:val="15"/>
          <w:sz w:val="32"/>
          <w:szCs w:val="32"/>
          <w:shd w:val="clear" w:color="auto" w:fill="FFFFFF"/>
        </w:rPr>
        <w:t>本乡的经济和社会发展规划并组织协调督促各部门贯彻实施，切实保证各项计划、目标的完成；负责乡领导班子的自身建设和对干部进行选拔、培养、使用、考核、监督工作；负责抓好党员的发展</w:t>
      </w:r>
      <w:r>
        <w:rPr>
          <w:rFonts w:hint="eastAsia"/>
          <w:kern w:val="2"/>
          <w:sz w:val="32"/>
          <w:szCs w:val="32"/>
          <w:shd w:val="clear" w:color="auto" w:fill="FFFFFF"/>
        </w:rPr>
        <w:t>、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pPr>
        <w:pStyle w:val="7"/>
        <w:adjustRightInd w:val="0"/>
        <w:snapToGrid w:val="0"/>
        <w:spacing w:beforeLines="0" w:line="560" w:lineRule="exact"/>
        <w:ind w:firstLine="640" w:firstLineChars="200"/>
        <w:rPr>
          <w:kern w:val="2"/>
          <w:sz w:val="32"/>
          <w:szCs w:val="32"/>
          <w:shd w:val="clear" w:color="auto" w:fill="FFFFFF"/>
        </w:rPr>
      </w:pPr>
      <w:r>
        <w:rPr>
          <w:rFonts w:hint="eastAsia"/>
          <w:kern w:val="2"/>
          <w:sz w:val="32"/>
          <w:szCs w:val="32"/>
          <w:shd w:val="clear" w:color="auto" w:fill="FFFFFF"/>
        </w:rPr>
        <w:t xml:space="preserve">2.乡人大主席团主要职责 </w:t>
      </w:r>
    </w:p>
    <w:p>
      <w:pPr>
        <w:pStyle w:val="7"/>
        <w:adjustRightInd w:val="0"/>
        <w:snapToGrid w:val="0"/>
        <w:spacing w:beforeLines="0" w:line="560" w:lineRule="exact"/>
        <w:ind w:firstLine="640" w:firstLineChars="200"/>
        <w:rPr>
          <w:kern w:val="2"/>
          <w:sz w:val="32"/>
          <w:szCs w:val="32"/>
          <w:shd w:val="clear" w:color="auto" w:fill="FFFFFF"/>
        </w:rPr>
      </w:pPr>
      <w:r>
        <w:rPr>
          <w:rFonts w:hint="eastAsia"/>
          <w:kern w:val="2"/>
          <w:sz w:val="32"/>
          <w:szCs w:val="32"/>
          <w:shd w:val="clear" w:color="auto"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pStyle w:val="7"/>
        <w:adjustRightInd w:val="0"/>
        <w:snapToGrid w:val="0"/>
        <w:spacing w:beforeLines="0" w:line="560" w:lineRule="exact"/>
        <w:ind w:firstLine="672" w:firstLineChars="210"/>
        <w:rPr>
          <w:kern w:val="2"/>
          <w:sz w:val="32"/>
          <w:szCs w:val="32"/>
          <w:shd w:val="clear" w:color="auto" w:fill="FFFFFF"/>
        </w:rPr>
      </w:pPr>
      <w:r>
        <w:rPr>
          <w:rFonts w:hint="eastAsia"/>
          <w:kern w:val="2"/>
          <w:sz w:val="32"/>
          <w:szCs w:val="32"/>
          <w:shd w:val="clear" w:color="auto" w:fill="FFFFFF"/>
        </w:rPr>
        <w:t>3.乡政府主要职责</w:t>
      </w:r>
    </w:p>
    <w:p>
      <w:pPr>
        <w:pStyle w:val="7"/>
        <w:adjustRightInd w:val="0"/>
        <w:snapToGrid w:val="0"/>
        <w:spacing w:beforeLines="0" w:line="560" w:lineRule="exact"/>
        <w:ind w:firstLine="672" w:firstLineChars="210"/>
        <w:rPr>
          <w:kern w:val="2"/>
          <w:sz w:val="32"/>
          <w:szCs w:val="32"/>
          <w:shd w:val="clear" w:color="auto" w:fill="FFFFFF"/>
        </w:rPr>
      </w:pPr>
      <w:r>
        <w:rPr>
          <w:rFonts w:hint="eastAsia"/>
          <w:kern w:val="2"/>
          <w:sz w:val="32"/>
          <w:szCs w:val="32"/>
          <w:shd w:val="clear" w:color="auto"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pStyle w:val="7"/>
        <w:adjustRightInd w:val="0"/>
        <w:snapToGrid w:val="0"/>
        <w:spacing w:beforeLines="0" w:line="560" w:lineRule="exact"/>
        <w:ind w:firstLine="672" w:firstLineChars="210"/>
        <w:rPr>
          <w:kern w:val="2"/>
          <w:sz w:val="32"/>
          <w:szCs w:val="32"/>
          <w:shd w:val="clear" w:color="auto" w:fill="FFFFFF"/>
        </w:rPr>
      </w:pPr>
      <w:r>
        <w:rPr>
          <w:rFonts w:hint="eastAsia"/>
          <w:kern w:val="2"/>
          <w:sz w:val="32"/>
          <w:szCs w:val="32"/>
          <w:shd w:val="clear" w:color="auto" w:fill="FFFFFF"/>
        </w:rPr>
        <w:t>4.乡纪委主要职责</w:t>
      </w:r>
    </w:p>
    <w:p>
      <w:pPr>
        <w:pStyle w:val="7"/>
        <w:adjustRightInd w:val="0"/>
        <w:snapToGrid w:val="0"/>
        <w:spacing w:beforeLines="0" w:line="560" w:lineRule="exact"/>
        <w:ind w:firstLine="672" w:firstLineChars="210"/>
        <w:rPr>
          <w:kern w:val="2"/>
          <w:sz w:val="32"/>
          <w:szCs w:val="32"/>
          <w:shd w:val="clear" w:color="auto" w:fill="FFFFFF"/>
        </w:rPr>
      </w:pPr>
      <w:r>
        <w:rPr>
          <w:rFonts w:hint="eastAsia"/>
          <w:kern w:val="2"/>
          <w:sz w:val="32"/>
          <w:szCs w:val="32"/>
          <w:shd w:val="clear" w:color="auto" w:fill="FFFFFF"/>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pPr>
        <w:pStyle w:val="7"/>
        <w:adjustRightInd w:val="0"/>
        <w:snapToGrid w:val="0"/>
        <w:spacing w:beforeLines="0" w:line="560" w:lineRule="exact"/>
        <w:ind w:firstLine="672" w:firstLineChars="210"/>
        <w:rPr>
          <w:kern w:val="2"/>
          <w:sz w:val="32"/>
          <w:szCs w:val="32"/>
          <w:shd w:val="clear" w:color="auto" w:fill="FFFFFF"/>
        </w:rPr>
      </w:pPr>
      <w:r>
        <w:rPr>
          <w:rFonts w:hint="eastAsia"/>
          <w:kern w:val="2"/>
          <w:sz w:val="32"/>
          <w:szCs w:val="32"/>
          <w:shd w:val="clear" w:color="auto" w:fill="FFFFFF"/>
        </w:rPr>
        <w:t>5.乡人民武装部主要职责</w:t>
      </w:r>
    </w:p>
    <w:p>
      <w:pPr>
        <w:pStyle w:val="7"/>
        <w:adjustRightInd w:val="0"/>
        <w:snapToGrid w:val="0"/>
        <w:spacing w:beforeLines="0" w:line="560" w:lineRule="exact"/>
        <w:ind w:firstLine="672" w:firstLineChars="210"/>
        <w:rPr>
          <w:kern w:val="2"/>
          <w:sz w:val="32"/>
          <w:szCs w:val="32"/>
          <w:shd w:val="clear" w:color="auto" w:fill="FFFFFF"/>
        </w:rPr>
      </w:pPr>
      <w:r>
        <w:rPr>
          <w:rFonts w:hint="eastAsia"/>
          <w:kern w:val="2"/>
          <w:sz w:val="32"/>
          <w:szCs w:val="32"/>
          <w:shd w:val="clear" w:color="auto"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6"/>
      <w:bookmarkEnd w:id="17"/>
    </w:p>
    <w:p>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1.抢抓机遇补短板，脱贫成效巩固提升。罗依乡始终将脱贫攻坚作为最大政治任务、最大民生工程和最大发展机遇，围绕“全域奔康</w:t>
      </w:r>
      <w:r>
        <w:rPr>
          <w:rFonts w:hint="eastAsia" w:ascii="仿宋_GB2312" w:eastAsia="仿宋_GB2312"/>
          <w:sz w:val="32"/>
          <w:szCs w:val="32"/>
          <w:shd w:val="clear" w:color="auto" w:fill="FFFFFF"/>
        </w:rPr>
        <w:sym w:font="Wingdings" w:char="009F"/>
      </w:r>
      <w:r>
        <w:rPr>
          <w:rFonts w:hint="eastAsia" w:ascii="仿宋_GB2312" w:eastAsia="仿宋_GB2312"/>
          <w:sz w:val="32"/>
          <w:szCs w:val="32"/>
          <w:shd w:val="clear" w:color="auto" w:fill="FFFFFF"/>
        </w:rPr>
        <w:t>幸福九寨”建设目标，举全乡之力，百倍用心，千倍用力，高质量推进脱贫攻坚工作。始终以群众满不满意为目标，坚持从群众最关心的脱贫增收、基础设施改善入手，着重解决道路、排污、饮水、产业发展等难题，协调解决就学、就医、就业、政策宣传等问题55余件，赢得良好的群众口碑。一是多渠道助农增收。通过引导群众到园区务工，为贫困户增设公益性岗位，组织参加招聘会等方式不断扩宽群众就业渠道，一年来群众到产业园区务工30000人次，人均增收1100余元；组织600余名群众参加就业招聘会，为贫困户设置公益性岗位129个，全力解决群众增收困难。二是发展壮大村集体经济。以扶贫资金入股的方式，在鑫海合作社等园区主要合作社投资200万元，用于发展生产加工等集体经济。2017年集体经济分红7万元，全乡人均分红20余元。三是统筹帮扶力量凝聚合力。充分发挥“七个一”帮扶力量作用，形成了帮扶力量抱团发展、整体联动的帮扶格局，为脱贫攻坚工作提供了坚强的组织保障和人力支持。</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    2.矢志不移惠民生，服务保障优质高效。我乡坚持把改善民生放在首位，一是极探索群众“最多跑一次”便民服务改革。进一步优化规范群众和企业到便民服务中心办事事项，明确办理条件、办理材料、办理流程，以标准化促进规范化便捷化。二是扎实开展民政救济工作。根据残疾人量服工作要求为全乡30余名残疾人按时发放护理补助；及时为全乡527名低保人员、14名特困人员发放各类补助，对全乡低保人员补贴医保费30余万元，对未参加社保的特困人员全额补贴医保、养老保险费、办理大病救助41例；使用顺河村用驻京办助医助学金27.8412万元解决困难群众就医就学问题；三是全面推进全民参保工作。全乡新农合参合人数达2274人，城乡居民养老保险人数达1321人；四是严格落实各项支农惠农政策。严格粮食直补、农机具购置补贴等政策，充分调动农民发展生产的积极性。一年来，开展各类农业技术培训22场次、受益群众1200余人次，综合运用补助、参股等措施为建设现代农业创造良好环境。五是加快推进乡村振兴工作工作。围绕乡村振兴战略规划，结合河坝村实际，初步修改和完善乡村振兴示范点总体规划。</w:t>
      </w:r>
    </w:p>
    <w:p>
      <w:pPr>
        <w:pStyle w:val="7"/>
        <w:adjustRightInd w:val="0"/>
        <w:snapToGrid w:val="0"/>
        <w:spacing w:beforeLines="0" w:line="560" w:lineRule="exact"/>
        <w:ind w:firstLine="640"/>
        <w:outlineLvl w:val="2"/>
        <w:rPr>
          <w:sz w:val="32"/>
          <w:szCs w:val="32"/>
          <w:shd w:val="clear" w:color="auto" w:fill="FFFFFF"/>
        </w:rPr>
      </w:pPr>
      <w:r>
        <w:rPr>
          <w:rFonts w:hint="eastAsia"/>
          <w:sz w:val="32"/>
          <w:szCs w:val="32"/>
          <w:shd w:val="clear" w:color="auto" w:fill="FFFFFF"/>
        </w:rPr>
        <w:t>3.全力以赴抓发展，园区建设蹄疾步稳。紧扣“产业兴乡、文化塑魂、旅游赋彩、诚信筑基、和谐安民”的主题，和农业增效、农民增收和农村稳定的基本思路，不断优化农业产业结构，改善农村基础设施，扎实推进产业园区建设。一是进一步深化“三产”业融合发展。按照“一产铺路、二产支撑、三产带动”的发展思路，以农业为基础发展优质水果、中药材、藏香猪等特色种养殖业，建成4580亩的种养殖基地和8000亩的休闲农业示范基地。目前，产业园区北建成有机葡萄种植基地1800余亩、种植高山雪菊800亩、种植羊肚菌20亩，养殖各类鱼40万尾、藏香猪30头、鸭子300余只；产业园区南以农产品加工业为支撑，建成2200亩的李子基地，气调库、蜂蜜和辣椒酱生产线全面投入使用，全乡产业化经营水平明显提升。二是加大九寨沟生态旅游度假区建设。建成地下酒窖1000m³，完成园区茅草屋接待房和神仙包咖啡厅装修等，5月1日“世外罗依”试运营，产业园区游人量逐步增加。三是进一步改善农村基础设施。投资380.5万元完成罗依坝村155户棚户区改造项目和河坝村74户藏区新居建设项目，整合灾后重建和脱贫攻坚补短板项目资金资源，投资197.74万元完成村通村公路维修和饮水改造等项目，进一步改善人居环境；投资1345万元，建成罗依河小流域综合治理工程，治理护岸2044m、边坡15417.21㎡，修建谷坊工程34座等；实施了蔡园沟泥石抢险救灾项目，对菜园沟、大地边沟等泥石流灾害点进行治理；投资630万，实施了罗依乡通村路水毁恢复工程，修建罗依口至隧洞口段公路1.931公里；投资580万元，实施了罗依乡“以工代赈”项目（计划</w:t>
      </w:r>
      <w:bookmarkStart w:id="18" w:name="OLE_LINK19"/>
      <w:r>
        <w:rPr>
          <w:rFonts w:hint="eastAsia"/>
          <w:sz w:val="32"/>
          <w:szCs w:val="32"/>
          <w:shd w:val="clear" w:color="auto" w:fill="FFFFFF"/>
        </w:rPr>
        <w:t>修建12公里水泥路，改造农田260亩，铺设灌溉管道1500米等</w:t>
      </w:r>
      <w:bookmarkEnd w:id="18"/>
      <w:r>
        <w:rPr>
          <w:rFonts w:hint="eastAsia"/>
          <w:sz w:val="32"/>
          <w:szCs w:val="32"/>
          <w:shd w:val="clear" w:color="auto" w:fill="FFFFFF"/>
        </w:rPr>
        <w:t>），投资17.46万元实施了“光彩工程”路灯维修项目，维修4个村路灯232盏；投资3万元实施了罗依坝村农民健身工程，投资8万元实施了顺河村文化院坝建设项目，4个村文化室建设进一步规范，群众精神文化生活进一步丰富。</w:t>
      </w:r>
      <w:bookmarkStart w:id="19" w:name="_Toc15377200"/>
      <w:bookmarkStart w:id="20" w:name="_Toc15396601"/>
    </w:p>
    <w:p>
      <w:pPr>
        <w:pStyle w:val="7"/>
        <w:adjustRightInd w:val="0"/>
        <w:snapToGrid w:val="0"/>
        <w:spacing w:beforeLines="0" w:line="560" w:lineRule="exact"/>
        <w:ind w:firstLine="640"/>
        <w:outlineLvl w:val="2"/>
        <w:rPr>
          <w:kern w:val="2"/>
          <w:sz w:val="32"/>
          <w:szCs w:val="32"/>
        </w:rPr>
      </w:pPr>
      <w:r>
        <w:rPr>
          <w:rFonts w:hint="eastAsia"/>
          <w:kern w:val="2"/>
          <w:sz w:val="32"/>
          <w:szCs w:val="32"/>
        </w:rPr>
        <w:t>4.重拳出击抓整治，全力营造和谐社会。深入贯彻落实“一核三治”善治工程相关要求，推动基层治理规范化进程。一是坚持法治为本。将扫黑除恶</w:t>
      </w:r>
      <w:bookmarkStart w:id="76" w:name="_GoBack"/>
      <w:bookmarkEnd w:id="76"/>
      <w:r>
        <w:rPr>
          <w:rFonts w:hint="eastAsia"/>
          <w:kern w:val="2"/>
          <w:sz w:val="32"/>
          <w:szCs w:val="32"/>
        </w:rPr>
        <w:t>专项行动与“村霸”整治相结合，加大农村普法力度，通过开展“大手牵小手”、“法律七进”等活动，强化党员群众法制观念、守法用法意识。二是坚持自治为基。重点抓好“三务”公开，及时、全面、规范公开经费使用、重大项目建设等情况。不断完善民主监督，各村成立了村务监督委员会、理财小组和民主监督小组，不定期对村级项目实施情况进行监督检查，并参与项目的验收工作。三是持德治为先。紧扣“以德为先、文化为魂”要求，深入推进“孝善和俭”道德传扬活动，对先进典型进行表彰。同时，将诚信建设作为创新乡村治理的重大举措，建立诚信农民个人台账，定期在公开栏公布失信行为。健全企业诚信体系，尤其是园区建设中，企业和群众之间的诚信联络。</w:t>
      </w:r>
    </w:p>
    <w:p>
      <w:pPr>
        <w:pStyle w:val="4"/>
        <w:spacing w:before="0" w:after="0" w:line="560" w:lineRule="exact"/>
        <w:ind w:left="420" w:leftChars="200"/>
        <w:rPr>
          <w:rStyle w:val="29"/>
          <w:b w:val="0"/>
          <w:bCs w:val="0"/>
        </w:rPr>
      </w:pPr>
      <w:r>
        <w:rPr>
          <w:rFonts w:hint="eastAsia" w:ascii="黑体" w:eastAsia="黑体"/>
          <w:b w:val="0"/>
          <w:color w:val="000000"/>
        </w:rPr>
        <w:t xml:space="preserve"> 二、</w:t>
      </w:r>
      <w:r>
        <w:rPr>
          <w:rFonts w:hint="eastAsia" w:ascii="黑体" w:hAnsi="黑体" w:eastAsia="黑体"/>
          <w:b w:val="0"/>
          <w:color w:val="000000"/>
        </w:rPr>
        <w:t>机</w:t>
      </w:r>
      <w:r>
        <w:rPr>
          <w:rStyle w:val="29"/>
          <w:rFonts w:hint="eastAsia" w:ascii="黑体" w:hAnsi="黑体" w:eastAsia="黑体"/>
          <w:b w:val="0"/>
          <w:bCs w:val="0"/>
        </w:rPr>
        <w:t>构设置</w:t>
      </w:r>
      <w:bookmarkEnd w:id="19"/>
      <w:bookmarkEnd w:id="20"/>
    </w:p>
    <w:p>
      <w:pPr>
        <w:spacing w:line="560" w:lineRule="exact"/>
        <w:ind w:firstLine="640"/>
        <w:rPr>
          <w:rFonts w:ascii="仿宋" w:hAnsi="仿宋" w:eastAsia="仿宋"/>
          <w:color w:val="000000"/>
          <w:kern w:val="0"/>
          <w:sz w:val="32"/>
          <w:szCs w:val="32"/>
        </w:rPr>
      </w:pPr>
      <w:bookmarkStart w:id="21" w:name="OLE_LINK1"/>
      <w:r>
        <w:rPr>
          <w:rFonts w:hint="eastAsia" w:ascii="仿宋_GB2312" w:eastAsia="仿宋_GB2312"/>
          <w:sz w:val="32"/>
          <w:szCs w:val="32"/>
        </w:rPr>
        <w:t>2019年</w:t>
      </w:r>
      <w:bookmarkEnd w:id="21"/>
      <w:r>
        <w:rPr>
          <w:rFonts w:hint="eastAsia" w:ascii="仿宋_GB2312" w:eastAsia="仿宋_GB2312"/>
          <w:sz w:val="32"/>
          <w:szCs w:val="32"/>
        </w:rPr>
        <w:t>单位机构数为6个，其中行政机构3个，事业机构3个；财政供养人员编制为25名，其中行政编制17名，工勤编制2名，事业编制6名；</w:t>
      </w:r>
      <w:r>
        <w:rPr>
          <w:rFonts w:hint="eastAsia" w:ascii="仿宋_GB2312" w:eastAsia="仿宋_GB2312" w:cs="仿宋_GB2312"/>
          <w:bCs/>
          <w:kern w:val="0"/>
          <w:sz w:val="32"/>
          <w:szCs w:val="32"/>
          <w:lang w:val="zh-CN"/>
        </w:rPr>
        <w:t>201</w:t>
      </w:r>
      <w:r>
        <w:rPr>
          <w:rFonts w:hint="eastAsia" w:ascii="仿宋_GB2312" w:eastAsia="仿宋_GB2312" w:cs="仿宋_GB2312"/>
          <w:bCs/>
          <w:kern w:val="0"/>
          <w:sz w:val="32"/>
          <w:szCs w:val="32"/>
        </w:rPr>
        <w:t>9</w:t>
      </w:r>
      <w:r>
        <w:rPr>
          <w:rFonts w:hint="eastAsia" w:ascii="仿宋_GB2312" w:eastAsia="仿宋_GB2312" w:cs="仿宋_GB2312"/>
          <w:bCs/>
          <w:kern w:val="0"/>
          <w:sz w:val="32"/>
          <w:szCs w:val="32"/>
          <w:lang w:val="zh-CN"/>
        </w:rPr>
        <w:t>年底实际财政供养人员</w:t>
      </w:r>
      <w:r>
        <w:rPr>
          <w:rFonts w:hint="eastAsia" w:ascii="仿宋_GB2312" w:eastAsia="仿宋_GB2312" w:cs="仿宋_GB2312"/>
          <w:bCs/>
          <w:kern w:val="0"/>
          <w:sz w:val="32"/>
          <w:szCs w:val="32"/>
        </w:rPr>
        <w:t>24</w:t>
      </w:r>
      <w:r>
        <w:rPr>
          <w:rFonts w:hint="eastAsia" w:ascii="仿宋_GB2312" w:eastAsia="仿宋_GB2312" w:cs="仿宋_GB2312"/>
          <w:bCs/>
          <w:kern w:val="0"/>
          <w:sz w:val="32"/>
          <w:szCs w:val="32"/>
          <w:lang w:val="zh-CN"/>
        </w:rPr>
        <w:t>人，其中：行政</w:t>
      </w:r>
      <w:r>
        <w:rPr>
          <w:rFonts w:hint="eastAsia" w:ascii="仿宋_GB2312" w:eastAsia="仿宋_GB2312" w:cs="仿宋_GB2312"/>
          <w:bCs/>
          <w:kern w:val="0"/>
          <w:sz w:val="32"/>
          <w:szCs w:val="32"/>
        </w:rPr>
        <w:t>15</w:t>
      </w:r>
      <w:r>
        <w:rPr>
          <w:rFonts w:hint="eastAsia" w:ascii="仿宋_GB2312" w:eastAsia="仿宋_GB2312" w:cs="仿宋_GB2312"/>
          <w:bCs/>
          <w:kern w:val="0"/>
          <w:sz w:val="32"/>
          <w:szCs w:val="32"/>
          <w:lang w:val="zh-CN"/>
        </w:rPr>
        <w:t>人，行政工勤</w:t>
      </w:r>
      <w:r>
        <w:rPr>
          <w:rFonts w:hint="eastAsia" w:ascii="仿宋_GB2312" w:eastAsia="仿宋_GB2312" w:cs="仿宋_GB2312"/>
          <w:bCs/>
          <w:kern w:val="0"/>
          <w:sz w:val="32"/>
          <w:szCs w:val="32"/>
        </w:rPr>
        <w:t>2</w:t>
      </w:r>
      <w:r>
        <w:rPr>
          <w:rFonts w:hint="eastAsia" w:ascii="仿宋_GB2312" w:eastAsia="仿宋_GB2312" w:cs="仿宋_GB2312"/>
          <w:bCs/>
          <w:kern w:val="0"/>
          <w:sz w:val="32"/>
          <w:szCs w:val="32"/>
          <w:lang w:val="zh-CN"/>
        </w:rPr>
        <w:t>人，事业</w:t>
      </w:r>
      <w:r>
        <w:rPr>
          <w:rFonts w:hint="eastAsia" w:ascii="仿宋_GB2312" w:eastAsia="仿宋_GB2312" w:cs="仿宋_GB2312"/>
          <w:bCs/>
          <w:kern w:val="0"/>
          <w:sz w:val="32"/>
          <w:szCs w:val="32"/>
        </w:rPr>
        <w:t>7</w:t>
      </w:r>
      <w:r>
        <w:rPr>
          <w:rFonts w:hint="eastAsia" w:ascii="仿宋_GB2312" w:eastAsia="仿宋_GB2312" w:cs="仿宋_GB2312"/>
          <w:bCs/>
          <w:kern w:val="0"/>
          <w:sz w:val="32"/>
          <w:szCs w:val="32"/>
          <w:lang w:val="zh-CN"/>
        </w:rPr>
        <w:t>人。</w:t>
      </w:r>
    </w:p>
    <w:p>
      <w:pPr>
        <w:pStyle w:val="3"/>
        <w:ind w:right="440"/>
        <w:jc w:val="right"/>
        <w:rPr>
          <w:rStyle w:val="28"/>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2019年度部门决算情况说明</w:t>
      </w:r>
      <w:bookmarkEnd w:id="22"/>
      <w:bookmarkEnd w:id="23"/>
    </w:p>
    <w:p/>
    <w:p>
      <w:pPr>
        <w:pStyle w:val="27"/>
        <w:numPr>
          <w:ilvl w:val="0"/>
          <w:numId w:val="1"/>
        </w:numPr>
        <w:spacing w:line="600" w:lineRule="exact"/>
        <w:ind w:firstLineChars="0"/>
        <w:outlineLvl w:val="1"/>
        <w:rPr>
          <w:rStyle w:val="29"/>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4"/>
      <w:bookmarkEnd w:id="25"/>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2019年度收入总计1552.73万元，支出总计1382.48万元。与2018年相比，收入总计减少162.56万元，下降9.48</w:t>
      </w:r>
      <w:r>
        <w:rPr>
          <w:rFonts w:ascii="仿宋" w:hAnsi="仿宋" w:eastAsia="仿宋"/>
          <w:color w:val="000000"/>
          <w:sz w:val="32"/>
          <w:szCs w:val="32"/>
        </w:rPr>
        <w:t>%</w:t>
      </w:r>
      <w:r>
        <w:rPr>
          <w:rFonts w:hint="eastAsia" w:ascii="仿宋" w:hAnsi="仿宋" w:eastAsia="仿宋"/>
          <w:color w:val="000000"/>
          <w:sz w:val="32"/>
          <w:szCs w:val="32"/>
        </w:rPr>
        <w:t>；支出总计减少750.53万元，下降35.19</w:t>
      </w:r>
      <w:r>
        <w:rPr>
          <w:rFonts w:ascii="仿宋" w:hAnsi="仿宋" w:eastAsia="仿宋"/>
          <w:color w:val="000000"/>
          <w:sz w:val="32"/>
          <w:szCs w:val="32"/>
        </w:rPr>
        <w:t>%</w:t>
      </w:r>
      <w:r>
        <w:rPr>
          <w:rFonts w:hint="eastAsia" w:ascii="仿宋" w:hAnsi="仿宋" w:eastAsia="仿宋"/>
          <w:color w:val="000000"/>
          <w:sz w:val="32"/>
          <w:szCs w:val="32"/>
        </w:rPr>
        <w:t>。主要变动原因是涉农项目的实施。</w:t>
      </w:r>
    </w:p>
    <w:p>
      <w:pPr>
        <w:pStyle w:val="27"/>
        <w:numPr>
          <w:ilvl w:val="0"/>
          <w:numId w:val="1"/>
        </w:numPr>
        <w:spacing w:line="600" w:lineRule="exact"/>
        <w:ind w:firstLineChars="0"/>
        <w:outlineLvl w:val="1"/>
        <w:rPr>
          <w:rStyle w:val="29"/>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9"/>
          <w:rFonts w:hint="eastAsia" w:ascii="黑体" w:hAnsi="黑体" w:eastAsia="黑体"/>
          <w:b w:val="0"/>
        </w:rPr>
        <w:t>入决算情况说明</w:t>
      </w:r>
      <w:bookmarkEnd w:id="26"/>
      <w:bookmarkEnd w:id="27"/>
    </w:p>
    <w:p>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9年本年收入合计1552.73万元，其中：一般公共预算财政拨款收入1552.73万元，占100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pStyle w:val="27"/>
        <w:numPr>
          <w:ilvl w:val="0"/>
          <w:numId w:val="1"/>
        </w:numPr>
        <w:spacing w:line="600" w:lineRule="exact"/>
        <w:ind w:firstLineChars="0"/>
        <w:outlineLvl w:val="1"/>
        <w:rPr>
          <w:rStyle w:val="29"/>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9"/>
          <w:rFonts w:hint="eastAsia" w:ascii="黑体" w:hAnsi="黑体" w:eastAsia="黑体"/>
          <w:b w:val="0"/>
        </w:rPr>
        <w:t>出决算情况说明</w:t>
      </w:r>
      <w:bookmarkEnd w:id="28"/>
      <w:bookmarkEnd w:id="29"/>
    </w:p>
    <w:p>
      <w:pPr>
        <w:spacing w:line="600" w:lineRule="exact"/>
        <w:ind w:firstLine="640"/>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9年本年支出合计1382.48万元，其中：基本支出391.09万元，占28.29</w:t>
      </w:r>
      <w:r>
        <w:rPr>
          <w:rFonts w:ascii="仿宋" w:hAnsi="仿宋" w:eastAsia="仿宋"/>
          <w:color w:val="000000"/>
          <w:sz w:val="32"/>
          <w:szCs w:val="32"/>
        </w:rPr>
        <w:t>%</w:t>
      </w:r>
      <w:r>
        <w:rPr>
          <w:rFonts w:hint="eastAsia" w:ascii="仿宋" w:hAnsi="仿宋" w:eastAsia="仿宋"/>
          <w:color w:val="000000"/>
          <w:sz w:val="32"/>
          <w:szCs w:val="32"/>
        </w:rPr>
        <w:t>；项目支出991.39万元，占71.71</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9"/>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b/>
          <w:color w:val="00B05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9年财政拨款收入总计1552.73万元。与2018年相比，财政拨款收入减少总计162.56万元，下降9.48</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201</w:t>
      </w:r>
      <w:r>
        <w:rPr>
          <w:rFonts w:hint="eastAsia" w:ascii="仿宋" w:hAnsi="仿宋" w:eastAsia="仿宋"/>
          <w:color w:val="000000"/>
          <w:sz w:val="32"/>
          <w:szCs w:val="32"/>
        </w:rPr>
        <w:t>9年财政拨款支出总计1382.48万元。与2018年相比，财政拨款支出减少745.07万元，下降25.89</w:t>
      </w:r>
      <w:r>
        <w:rPr>
          <w:rFonts w:ascii="仿宋" w:hAnsi="仿宋" w:eastAsia="仿宋"/>
          <w:color w:val="000000"/>
          <w:sz w:val="32"/>
          <w:szCs w:val="32"/>
        </w:rPr>
        <w:t>%</w:t>
      </w:r>
      <w:r>
        <w:rPr>
          <w:rFonts w:hint="eastAsia" w:ascii="仿宋" w:hAnsi="仿宋" w:eastAsia="仿宋"/>
          <w:color w:val="000000"/>
          <w:sz w:val="32"/>
          <w:szCs w:val="32"/>
        </w:rPr>
        <w:t>。主要变动原因是涉农项目的实施。</w:t>
      </w:r>
    </w:p>
    <w:p>
      <w:pPr>
        <w:spacing w:line="600" w:lineRule="exact"/>
        <w:ind w:firstLine="640" w:firstLineChars="200"/>
        <w:outlineLvl w:val="1"/>
        <w:rPr>
          <w:rStyle w:val="29"/>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9年一般公共预算财政拨款支出1382.48万元，占本年支出合计的100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8年相比，一般公共预算财政拨款支出减少745.07万元，下降25.89</w:t>
      </w:r>
      <w:r>
        <w:rPr>
          <w:rFonts w:ascii="仿宋" w:hAnsi="仿宋" w:eastAsia="仿宋"/>
          <w:color w:val="000000"/>
          <w:sz w:val="32"/>
          <w:szCs w:val="32"/>
        </w:rPr>
        <w:t>%</w:t>
      </w:r>
      <w:r>
        <w:rPr>
          <w:rFonts w:hint="eastAsia" w:ascii="仿宋" w:hAnsi="仿宋" w:eastAsia="仿宋"/>
          <w:color w:val="000000"/>
          <w:sz w:val="32"/>
          <w:szCs w:val="32"/>
        </w:rPr>
        <w:t>。主要变动原因是涉农项目的实施。</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2019年一般公共预算财</w:t>
      </w:r>
      <w:r>
        <w:rPr>
          <w:rFonts w:hint="eastAsia" w:ascii="仿宋" w:hAnsi="仿宋" w:eastAsia="仿宋"/>
          <w:color w:val="000000" w:themeColor="text1"/>
          <w:sz w:val="32"/>
          <w:szCs w:val="32"/>
          <w14:textFill>
            <w14:solidFill>
              <w14:schemeClr w14:val="tx1"/>
            </w14:solidFill>
          </w14:textFill>
        </w:rPr>
        <w:t>政拨款支出1382.48万元，主要用于以下方面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一般公共服务支出（201）</w:t>
      </w:r>
      <w:r>
        <w:rPr>
          <w:rFonts w:hint="eastAsia" w:ascii="仿宋" w:hAnsi="仿宋" w:eastAsia="仿宋"/>
          <w:color w:val="000000" w:themeColor="text1"/>
          <w:sz w:val="32"/>
          <w:szCs w:val="32"/>
          <w14:textFill>
            <w14:solidFill>
              <w14:schemeClr w14:val="tx1"/>
            </w14:solidFill>
          </w14:textFill>
        </w:rPr>
        <w:t>323.89万元，占23.43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文化旅游体育与传媒支出（207）</w:t>
      </w:r>
      <w:r>
        <w:rPr>
          <w:rFonts w:hint="eastAsia" w:ascii="仿宋" w:hAnsi="仿宋" w:eastAsia="仿宋"/>
          <w:color w:val="000000" w:themeColor="text1"/>
          <w:sz w:val="32"/>
          <w:szCs w:val="32"/>
          <w14:textFill>
            <w14:solidFill>
              <w14:schemeClr w14:val="tx1"/>
            </w14:solidFill>
          </w14:textFill>
        </w:rPr>
        <w:t>73.39万元，占5.3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社会保障和就业支出（208）</w:t>
      </w:r>
      <w:r>
        <w:rPr>
          <w:rFonts w:hint="eastAsia" w:ascii="仿宋" w:hAnsi="仿宋" w:eastAsia="仿宋"/>
          <w:color w:val="000000" w:themeColor="text1"/>
          <w:sz w:val="32"/>
          <w:szCs w:val="32"/>
          <w14:textFill>
            <w14:solidFill>
              <w14:schemeClr w14:val="tx1"/>
            </w14:solidFill>
          </w14:textFill>
        </w:rPr>
        <w:t>36.09万元，占2.61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医疗卫生与计划生育支出（210）</w:t>
      </w:r>
      <w:r>
        <w:rPr>
          <w:rFonts w:hint="eastAsia" w:ascii="仿宋" w:hAnsi="仿宋" w:eastAsia="仿宋"/>
          <w:color w:val="000000" w:themeColor="text1"/>
          <w:sz w:val="32"/>
          <w:szCs w:val="32"/>
          <w14:textFill>
            <w14:solidFill>
              <w14:schemeClr w14:val="tx1"/>
            </w14:solidFill>
          </w14:textFill>
        </w:rPr>
        <w:t>25.99万元，占1.89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节能环保支出（211）</w:t>
      </w:r>
      <w:r>
        <w:rPr>
          <w:rFonts w:hint="eastAsia" w:ascii="仿宋" w:hAnsi="仿宋" w:eastAsia="仿宋"/>
          <w:color w:val="000000" w:themeColor="text1"/>
          <w:sz w:val="32"/>
          <w:szCs w:val="32"/>
          <w14:textFill>
            <w14:solidFill>
              <w14:schemeClr w14:val="tx1"/>
            </w14:solidFill>
          </w14:textFill>
        </w:rPr>
        <w:t>140.93万元，占10.19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城乡社区支出（212）</w:t>
      </w:r>
      <w:r>
        <w:rPr>
          <w:rFonts w:hint="eastAsia" w:ascii="仿宋" w:hAnsi="仿宋" w:eastAsia="仿宋"/>
          <w:color w:val="000000" w:themeColor="text1"/>
          <w:sz w:val="32"/>
          <w:szCs w:val="32"/>
          <w14:textFill>
            <w14:solidFill>
              <w14:schemeClr w14:val="tx1"/>
            </w14:solidFill>
          </w14:textFill>
        </w:rPr>
        <w:t>4.5万元，占0.33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农林水支出（213）</w:t>
      </w:r>
      <w:r>
        <w:rPr>
          <w:rFonts w:hint="eastAsia" w:ascii="仿宋" w:hAnsi="仿宋" w:eastAsia="仿宋"/>
          <w:color w:val="000000" w:themeColor="text1"/>
          <w:sz w:val="32"/>
          <w:szCs w:val="32"/>
          <w14:textFill>
            <w14:solidFill>
              <w14:schemeClr w14:val="tx1"/>
            </w14:solidFill>
          </w14:textFill>
        </w:rPr>
        <w:t>746.05万元，占53.96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住房保障支出（221）</w:t>
      </w:r>
      <w:r>
        <w:rPr>
          <w:rFonts w:hint="eastAsia" w:ascii="仿宋" w:hAnsi="仿宋" w:eastAsia="仿宋"/>
          <w:color w:val="000000" w:themeColor="text1"/>
          <w:sz w:val="32"/>
          <w:szCs w:val="32"/>
          <w14:textFill>
            <w14:solidFill>
              <w14:schemeClr w14:val="tx1"/>
            </w14:solidFill>
          </w14:textFill>
        </w:rPr>
        <w:t>31.14万元，占2.25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灾害防治及应急管理支出（224）</w:t>
      </w:r>
      <w:r>
        <w:rPr>
          <w:rFonts w:hint="eastAsia" w:ascii="仿宋" w:hAnsi="仿宋" w:eastAsia="仿宋"/>
          <w:color w:val="000000" w:themeColor="text1"/>
          <w:sz w:val="32"/>
          <w:szCs w:val="32"/>
          <w14:textFill>
            <w14:solidFill>
              <w14:schemeClr w14:val="tx1"/>
            </w14:solidFill>
          </w14:textFill>
        </w:rPr>
        <w:t>0.50万元，占0.04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14:textFill>
            <w14:solidFill>
              <w14:schemeClr w14:val="tx1"/>
            </w14:solidFill>
          </w14:textFill>
        </w:rPr>
        <w:t>2019年一般公共预算支出决算数为1382.48万元</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37"/>
      <w:bookmarkEnd w:id="38"/>
      <w:bookmarkEnd w:id="39"/>
    </w:p>
    <w:p>
      <w:pPr>
        <w:numPr>
          <w:ilvl w:val="0"/>
          <w:numId w:val="2"/>
        </w:num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rPr>
        <w:t>一般公共服务（201）</w:t>
      </w:r>
      <w:r>
        <w:rPr>
          <w:rStyle w:val="18"/>
          <w:rFonts w:hint="eastAsia" w:ascii="仿宋_GB2312" w:eastAsia="仿宋_GB2312"/>
          <w:color w:val="000000"/>
          <w:sz w:val="32"/>
          <w:szCs w:val="32"/>
        </w:rPr>
        <w:t>人大事务（01）行政运行（01）:</w:t>
      </w:r>
      <w:r>
        <w:rPr>
          <w:rStyle w:val="18"/>
          <w:rFonts w:hint="eastAsia" w:ascii="仿宋_GB2312" w:eastAsia="仿宋_GB2312"/>
          <w:b w:val="0"/>
          <w:color w:val="000000"/>
          <w:sz w:val="32"/>
          <w:szCs w:val="32"/>
        </w:rPr>
        <w:t>支出决算为37.41万元；</w:t>
      </w:r>
      <w:r>
        <w:rPr>
          <w:rStyle w:val="18"/>
          <w:rFonts w:hint="eastAsia" w:ascii="仿宋_GB2312" w:eastAsia="仿宋_GB2312"/>
          <w:color w:val="000000"/>
          <w:sz w:val="32"/>
          <w:szCs w:val="32"/>
        </w:rPr>
        <w:t>政府办公厅（室）及相关机构事务（03）行政运行（01）:</w:t>
      </w:r>
      <w:r>
        <w:rPr>
          <w:rStyle w:val="18"/>
          <w:rFonts w:hint="eastAsia" w:ascii="仿宋_GB2312" w:eastAsia="仿宋_GB2312"/>
          <w:b w:val="0"/>
          <w:color w:val="000000"/>
          <w:sz w:val="32"/>
          <w:szCs w:val="32"/>
        </w:rPr>
        <w:t>支出决算为260.63万元；</w:t>
      </w:r>
      <w:r>
        <w:rPr>
          <w:rStyle w:val="18"/>
          <w:rFonts w:hint="eastAsia" w:ascii="仿宋_GB2312" w:eastAsia="仿宋_GB2312"/>
          <w:color w:val="000000"/>
          <w:sz w:val="32"/>
          <w:szCs w:val="32"/>
        </w:rPr>
        <w:t>纪检监察事务（11）派驻派出机构（05）:</w:t>
      </w:r>
      <w:r>
        <w:rPr>
          <w:rStyle w:val="18"/>
          <w:rFonts w:hint="eastAsia" w:ascii="仿宋_GB2312" w:eastAsia="仿宋_GB2312"/>
          <w:b w:val="0"/>
          <w:color w:val="000000"/>
          <w:sz w:val="32"/>
          <w:szCs w:val="32"/>
        </w:rPr>
        <w:t>支出决算为0.02万元；</w:t>
      </w:r>
      <w:r>
        <w:rPr>
          <w:rStyle w:val="18"/>
          <w:rFonts w:hint="eastAsia" w:ascii="仿宋_GB2312" w:eastAsia="仿宋_GB2312"/>
          <w:color w:val="000000"/>
          <w:sz w:val="32"/>
          <w:szCs w:val="32"/>
        </w:rPr>
        <w:t>群众团体事务（29）其他群众团体事务支出（99）:</w:t>
      </w:r>
      <w:r>
        <w:rPr>
          <w:rStyle w:val="18"/>
          <w:rFonts w:hint="eastAsia" w:ascii="仿宋_GB2312" w:eastAsia="仿宋_GB2312"/>
          <w:b w:val="0"/>
          <w:color w:val="000000"/>
          <w:sz w:val="32"/>
          <w:szCs w:val="32"/>
        </w:rPr>
        <w:t>支出决算为2万元；</w:t>
      </w:r>
      <w:r>
        <w:rPr>
          <w:rStyle w:val="18"/>
          <w:rFonts w:hint="eastAsia" w:ascii="仿宋_GB2312" w:eastAsia="仿宋_GB2312"/>
          <w:color w:val="000000"/>
          <w:sz w:val="32"/>
          <w:szCs w:val="32"/>
        </w:rPr>
        <w:t>党委办公厅（室）及相关机构事务（31）行政运行（01）:</w:t>
      </w:r>
      <w:r>
        <w:rPr>
          <w:rStyle w:val="18"/>
          <w:rFonts w:hint="eastAsia" w:ascii="仿宋_GB2312" w:eastAsia="仿宋_GB2312"/>
          <w:b w:val="0"/>
          <w:color w:val="000000"/>
          <w:sz w:val="32"/>
          <w:szCs w:val="32"/>
        </w:rPr>
        <w:t>支出决算为8.60万元；</w:t>
      </w:r>
      <w:r>
        <w:rPr>
          <w:rStyle w:val="18"/>
          <w:rFonts w:hint="eastAsia" w:ascii="仿宋_GB2312" w:eastAsia="仿宋_GB2312"/>
          <w:color w:val="000000"/>
          <w:sz w:val="32"/>
          <w:szCs w:val="32"/>
        </w:rPr>
        <w:t>党委办公厅（室）及相关机构事务（31）其他党委办公厅（室）及相关机构事务（99）:</w:t>
      </w:r>
      <w:r>
        <w:rPr>
          <w:rStyle w:val="18"/>
          <w:rFonts w:hint="eastAsia" w:ascii="仿宋_GB2312" w:eastAsia="仿宋_GB2312"/>
          <w:b w:val="0"/>
          <w:color w:val="000000"/>
          <w:sz w:val="32"/>
          <w:szCs w:val="32"/>
        </w:rPr>
        <w:t>支出决算为2万元；</w:t>
      </w:r>
      <w:r>
        <w:rPr>
          <w:rStyle w:val="18"/>
          <w:rFonts w:hint="eastAsia" w:ascii="仿宋_GB2312" w:eastAsia="仿宋_GB2312"/>
          <w:color w:val="000000"/>
          <w:sz w:val="32"/>
          <w:szCs w:val="32"/>
        </w:rPr>
        <w:t>其他一般公共服务支出（99）其他一般公共服务支出（99）:</w:t>
      </w:r>
      <w:r>
        <w:rPr>
          <w:rStyle w:val="18"/>
          <w:rFonts w:hint="eastAsia" w:ascii="仿宋_GB2312" w:eastAsia="仿宋_GB2312"/>
          <w:b w:val="0"/>
          <w:color w:val="000000"/>
          <w:sz w:val="32"/>
          <w:szCs w:val="32"/>
        </w:rPr>
        <w:t>支出决算为13.23万元，</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2.</w:t>
      </w:r>
      <w:r>
        <w:rPr>
          <w:rStyle w:val="18"/>
          <w:rFonts w:hint="eastAsia" w:ascii="仿宋" w:hAnsi="仿宋" w:eastAsia="仿宋"/>
          <w:bCs/>
          <w:color w:val="000000"/>
          <w:sz w:val="32"/>
          <w:szCs w:val="32"/>
        </w:rPr>
        <w:t>文化旅游体育与传媒支出（207）文化和旅游（01）其他文化和旅游支出（99）</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支出决算为73.39万元，完成预算100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3.</w:t>
      </w:r>
      <w:r>
        <w:rPr>
          <w:rStyle w:val="18"/>
          <w:rFonts w:hint="eastAsia" w:ascii="仿宋" w:hAnsi="仿宋" w:eastAsia="仿宋"/>
          <w:bCs/>
          <w:color w:val="000000"/>
          <w:sz w:val="32"/>
          <w:szCs w:val="32"/>
        </w:rPr>
        <w:t>社会保障和就业支出（208）行政事业单位离退休（05）机关事业单位基本养老保险缴费支出（05）</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支出决算为30.86万元，</w:t>
      </w:r>
      <w:r>
        <w:rPr>
          <w:rStyle w:val="18"/>
          <w:rFonts w:hint="eastAsia" w:ascii="仿宋" w:hAnsi="仿宋" w:eastAsia="仿宋"/>
          <w:bCs/>
          <w:color w:val="000000"/>
          <w:sz w:val="32"/>
          <w:szCs w:val="32"/>
        </w:rPr>
        <w:t>抚恤（08）死亡抚恤（01）：</w:t>
      </w:r>
      <w:r>
        <w:rPr>
          <w:rStyle w:val="18"/>
          <w:rFonts w:hint="eastAsia" w:ascii="仿宋" w:hAnsi="仿宋" w:eastAsia="仿宋"/>
          <w:b w:val="0"/>
          <w:bCs/>
          <w:color w:val="000000"/>
          <w:sz w:val="32"/>
          <w:szCs w:val="32"/>
        </w:rPr>
        <w:t>支出决算为0.91万元，</w:t>
      </w:r>
      <w:r>
        <w:rPr>
          <w:rStyle w:val="18"/>
          <w:rFonts w:hint="eastAsia" w:ascii="仿宋" w:hAnsi="仿宋" w:eastAsia="仿宋"/>
          <w:bCs/>
          <w:color w:val="000000"/>
          <w:sz w:val="32"/>
          <w:szCs w:val="32"/>
        </w:rPr>
        <w:t>其他社会保障和就业支出（99）其他社会保障和就业支出（01）：</w:t>
      </w:r>
      <w:r>
        <w:rPr>
          <w:rStyle w:val="18"/>
          <w:rFonts w:hint="eastAsia" w:ascii="仿宋" w:hAnsi="仿宋" w:eastAsia="仿宋"/>
          <w:b w:val="0"/>
          <w:bCs/>
          <w:color w:val="000000"/>
          <w:sz w:val="32"/>
          <w:szCs w:val="32"/>
        </w:rPr>
        <w:t>支出决算为4.32万元，完成预算100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rPr>
        <w:t>4</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卫生健康支出（210）卫生健康管理事务（01）其他卫生健康管理事务支出（99）</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支出决算为2.6万元，</w:t>
      </w:r>
      <w:r>
        <w:rPr>
          <w:rStyle w:val="18"/>
          <w:rFonts w:hint="eastAsia" w:ascii="仿宋" w:hAnsi="仿宋" w:eastAsia="仿宋"/>
          <w:bCs/>
          <w:color w:val="000000"/>
          <w:sz w:val="32"/>
          <w:szCs w:val="32"/>
        </w:rPr>
        <w:t>计划生育事务（07）其他计划生育事务支出（99）</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支出决算为0.96万元，</w:t>
      </w:r>
      <w:r>
        <w:rPr>
          <w:rStyle w:val="18"/>
          <w:rFonts w:hint="eastAsia" w:ascii="仿宋" w:hAnsi="仿宋" w:eastAsia="仿宋"/>
          <w:bCs/>
          <w:color w:val="000000"/>
          <w:sz w:val="32"/>
          <w:szCs w:val="32"/>
        </w:rPr>
        <w:t>行政事业单位医疗（11）行政单位医疗（01）</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支出决算为18.46万元，</w:t>
      </w:r>
      <w:r>
        <w:rPr>
          <w:rStyle w:val="18"/>
          <w:rFonts w:hint="eastAsia" w:ascii="仿宋" w:hAnsi="仿宋" w:eastAsia="仿宋"/>
          <w:bCs/>
          <w:color w:val="000000"/>
          <w:sz w:val="32"/>
          <w:szCs w:val="32"/>
        </w:rPr>
        <w:t>行政事业单位医疗（11）公务员医疗补助（03）</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支出决算为3.97万元，完成预算100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520" w:lineRule="exact"/>
        <w:ind w:firstLine="643" w:firstLineChars="200"/>
        <w:rPr>
          <w:rStyle w:val="18"/>
          <w:rFonts w:ascii="仿宋_GB2312" w:eastAsia="仿宋_GB2312"/>
          <w:b w:val="0"/>
          <w:color w:val="000000"/>
          <w:sz w:val="32"/>
          <w:szCs w:val="32"/>
        </w:rPr>
      </w:pPr>
      <w:r>
        <w:rPr>
          <w:rStyle w:val="18"/>
          <w:rFonts w:hint="eastAsia" w:ascii="仿宋" w:hAnsi="仿宋" w:eastAsia="仿宋"/>
          <w:bCs/>
          <w:color w:val="000000"/>
          <w:sz w:val="32"/>
          <w:szCs w:val="32"/>
        </w:rPr>
        <w:t>5</w:t>
      </w:r>
      <w:r>
        <w:rPr>
          <w:rStyle w:val="18"/>
          <w:rFonts w:ascii="仿宋" w:hAnsi="仿宋" w:eastAsia="仿宋"/>
          <w:bCs/>
          <w:color w:val="000000"/>
          <w:sz w:val="32"/>
          <w:szCs w:val="32"/>
        </w:rPr>
        <w:t>.</w:t>
      </w:r>
      <w:r>
        <w:rPr>
          <w:rStyle w:val="18"/>
          <w:rFonts w:hint="eastAsia" w:ascii="仿宋_GB2312" w:eastAsia="仿宋_GB2312"/>
          <w:color w:val="000000"/>
          <w:sz w:val="32"/>
          <w:szCs w:val="32"/>
        </w:rPr>
        <w:t>节能环保支出（211）污染防治（03）水体（02）:</w:t>
      </w:r>
      <w:r>
        <w:rPr>
          <w:rStyle w:val="18"/>
          <w:rFonts w:hint="eastAsia" w:ascii="仿宋_GB2312" w:eastAsia="仿宋_GB2312"/>
          <w:b w:val="0"/>
          <w:color w:val="000000"/>
          <w:sz w:val="32"/>
          <w:szCs w:val="32"/>
        </w:rPr>
        <w:t xml:space="preserve"> 支出决算为9万元，</w:t>
      </w:r>
      <w:r>
        <w:rPr>
          <w:rStyle w:val="18"/>
          <w:rFonts w:hint="eastAsia" w:ascii="仿宋_GB2312" w:eastAsia="仿宋_GB2312"/>
          <w:color w:val="000000"/>
          <w:sz w:val="32"/>
          <w:szCs w:val="32"/>
        </w:rPr>
        <w:t>自然生态保护（04）生态保护（01）:</w:t>
      </w:r>
      <w:r>
        <w:rPr>
          <w:rStyle w:val="18"/>
          <w:rFonts w:hint="eastAsia" w:ascii="仿宋_GB2312" w:eastAsia="仿宋_GB2312"/>
          <w:b w:val="0"/>
          <w:color w:val="000000"/>
          <w:sz w:val="32"/>
          <w:szCs w:val="32"/>
        </w:rPr>
        <w:t xml:space="preserve"> 支出决算为131.93万元，完成预算100%。</w:t>
      </w:r>
    </w:p>
    <w:p>
      <w:pPr>
        <w:spacing w:line="520" w:lineRule="exact"/>
        <w:ind w:firstLine="643" w:firstLineChars="200"/>
        <w:rPr>
          <w:rFonts w:ascii="仿宋_GB2312" w:eastAsia="仿宋_GB2312"/>
          <w:b/>
          <w:color w:val="000000"/>
          <w:sz w:val="32"/>
          <w:szCs w:val="32"/>
        </w:rPr>
      </w:pPr>
      <w:r>
        <w:rPr>
          <w:rStyle w:val="18"/>
          <w:rFonts w:hint="eastAsia" w:ascii="仿宋_GB2312" w:eastAsia="仿宋_GB2312"/>
          <w:color w:val="000000"/>
          <w:sz w:val="32"/>
          <w:szCs w:val="32"/>
        </w:rPr>
        <w:t>6.城乡社区支出（212）城乡社区环境卫生（05）城乡社区环境卫生（01）:</w:t>
      </w:r>
      <w:r>
        <w:rPr>
          <w:rStyle w:val="18"/>
          <w:rFonts w:hint="eastAsia" w:ascii="仿宋_GB2312" w:eastAsia="仿宋_GB2312"/>
          <w:b w:val="0"/>
          <w:color w:val="000000"/>
          <w:sz w:val="32"/>
          <w:szCs w:val="32"/>
        </w:rPr>
        <w:t>支出决算为4.5万元，完成预算100%。</w:t>
      </w:r>
    </w:p>
    <w:p>
      <w:pPr>
        <w:spacing w:line="520" w:lineRule="exact"/>
        <w:ind w:firstLine="645"/>
        <w:rPr>
          <w:rStyle w:val="18"/>
          <w:rFonts w:ascii="仿宋_GB2312" w:eastAsia="仿宋_GB2312"/>
          <w:b w:val="0"/>
          <w:color w:val="000000"/>
          <w:sz w:val="32"/>
          <w:szCs w:val="32"/>
        </w:rPr>
      </w:pPr>
      <w:r>
        <w:rPr>
          <w:rStyle w:val="18"/>
          <w:rFonts w:hint="eastAsia" w:ascii="仿宋_GB2312" w:eastAsia="仿宋_GB2312"/>
          <w:color w:val="000000"/>
          <w:sz w:val="32"/>
          <w:szCs w:val="32"/>
        </w:rPr>
        <w:t>7.农林水支出（213）农业（01）农村道路建设（42）:</w:t>
      </w:r>
      <w:r>
        <w:rPr>
          <w:rStyle w:val="18"/>
          <w:rFonts w:hint="eastAsia" w:ascii="仿宋_GB2312" w:eastAsia="仿宋_GB2312"/>
          <w:b w:val="0"/>
          <w:color w:val="000000"/>
          <w:sz w:val="32"/>
          <w:szCs w:val="32"/>
        </w:rPr>
        <w:t>支出决算为27.80万元，</w:t>
      </w:r>
      <w:r>
        <w:rPr>
          <w:rStyle w:val="18"/>
          <w:rFonts w:hint="eastAsia" w:ascii="仿宋_GB2312" w:eastAsia="仿宋_GB2312"/>
          <w:color w:val="000000"/>
          <w:sz w:val="32"/>
          <w:szCs w:val="32"/>
        </w:rPr>
        <w:t>农业（01）其他农业支出（99）:</w:t>
      </w:r>
      <w:r>
        <w:rPr>
          <w:rStyle w:val="18"/>
          <w:rFonts w:hint="eastAsia" w:ascii="仿宋_GB2312" w:eastAsia="仿宋_GB2312"/>
          <w:b w:val="0"/>
          <w:color w:val="000000"/>
          <w:sz w:val="32"/>
          <w:szCs w:val="32"/>
        </w:rPr>
        <w:t>支出决算为232.50万元，</w:t>
      </w:r>
      <w:r>
        <w:rPr>
          <w:rStyle w:val="18"/>
          <w:rFonts w:hint="eastAsia" w:ascii="仿宋_GB2312" w:eastAsia="仿宋_GB2312"/>
          <w:color w:val="000000"/>
          <w:sz w:val="32"/>
          <w:szCs w:val="32"/>
        </w:rPr>
        <w:t>扶贫（05）农村基础设施建设（04）:</w:t>
      </w:r>
      <w:r>
        <w:rPr>
          <w:rStyle w:val="18"/>
          <w:rFonts w:hint="eastAsia" w:ascii="仿宋_GB2312" w:eastAsia="仿宋_GB2312"/>
          <w:b w:val="0"/>
          <w:color w:val="000000"/>
          <w:sz w:val="32"/>
          <w:szCs w:val="32"/>
        </w:rPr>
        <w:t>支出决算为346.74万元，</w:t>
      </w:r>
      <w:r>
        <w:rPr>
          <w:rStyle w:val="18"/>
          <w:rFonts w:hint="eastAsia" w:ascii="仿宋_GB2312" w:eastAsia="仿宋_GB2312"/>
          <w:color w:val="000000"/>
          <w:sz w:val="32"/>
          <w:szCs w:val="32"/>
        </w:rPr>
        <w:t>扶贫（05）其他扶贫支出（99）：</w:t>
      </w:r>
      <w:r>
        <w:rPr>
          <w:rStyle w:val="18"/>
          <w:rFonts w:hint="eastAsia" w:ascii="仿宋_GB2312" w:eastAsia="仿宋_GB2312"/>
          <w:b w:val="0"/>
          <w:color w:val="000000"/>
          <w:sz w:val="32"/>
          <w:szCs w:val="32"/>
        </w:rPr>
        <w:t>支出决算为29.39万元，</w:t>
      </w:r>
      <w:r>
        <w:rPr>
          <w:rStyle w:val="18"/>
          <w:rFonts w:hint="eastAsia" w:ascii="仿宋_GB2312" w:eastAsia="仿宋_GB2312"/>
          <w:color w:val="000000"/>
          <w:sz w:val="32"/>
          <w:szCs w:val="32"/>
        </w:rPr>
        <w:t>农村综合改革（07）对村民委员会和村党支部的补助（05）:</w:t>
      </w:r>
      <w:r>
        <w:rPr>
          <w:rStyle w:val="18"/>
          <w:rFonts w:hint="eastAsia" w:ascii="仿宋_GB2312" w:eastAsia="仿宋_GB2312"/>
          <w:b w:val="0"/>
          <w:color w:val="000000"/>
          <w:sz w:val="32"/>
          <w:szCs w:val="32"/>
        </w:rPr>
        <w:t>支出决算为109.62万元，完成预算100%。</w:t>
      </w:r>
    </w:p>
    <w:p>
      <w:pPr>
        <w:spacing w:line="520" w:lineRule="exact"/>
        <w:ind w:firstLine="645"/>
        <w:rPr>
          <w:rFonts w:ascii="仿宋_GB2312" w:eastAsia="仿宋_GB2312"/>
          <w:sz w:val="32"/>
          <w:szCs w:val="32"/>
          <w:shd w:val="clear" w:color="auto" w:fill="FFFFFF"/>
        </w:rPr>
      </w:pPr>
      <w:r>
        <w:rPr>
          <w:rStyle w:val="18"/>
          <w:rFonts w:hint="eastAsia" w:ascii="仿宋_GB2312" w:eastAsia="仿宋_GB2312"/>
          <w:color w:val="000000"/>
          <w:sz w:val="32"/>
          <w:szCs w:val="32"/>
        </w:rPr>
        <w:t>8.住房保障支出（221）住房改革支出（02）住房公积金（01）:</w:t>
      </w:r>
      <w:r>
        <w:rPr>
          <w:rStyle w:val="18"/>
          <w:rFonts w:hint="eastAsia" w:ascii="仿宋_GB2312" w:eastAsia="仿宋_GB2312"/>
          <w:b w:val="0"/>
          <w:color w:val="000000"/>
          <w:sz w:val="32"/>
          <w:szCs w:val="32"/>
        </w:rPr>
        <w:t>支出决算为31.14万元，完成预算100%。</w:t>
      </w:r>
    </w:p>
    <w:p>
      <w:pPr>
        <w:spacing w:line="520" w:lineRule="exact"/>
        <w:ind w:firstLine="645"/>
        <w:rPr>
          <w:rFonts w:ascii="仿宋_GB2312" w:eastAsia="仿宋_GB2312"/>
          <w:sz w:val="32"/>
          <w:szCs w:val="32"/>
          <w:shd w:val="clear" w:color="auto" w:fill="FFFFFF"/>
        </w:rPr>
      </w:pPr>
      <w:bookmarkStart w:id="40" w:name="_Toc15377214"/>
      <w:bookmarkStart w:id="41" w:name="_Toc15396608"/>
      <w:r>
        <w:rPr>
          <w:rStyle w:val="18"/>
          <w:rFonts w:hint="eastAsia" w:ascii="仿宋_GB2312" w:eastAsia="仿宋_GB2312"/>
          <w:color w:val="000000"/>
          <w:sz w:val="32"/>
          <w:szCs w:val="32"/>
        </w:rPr>
        <w:t>9.灾害防治及应急管理支出（224）应急管理事务（01）安全监管（01）:</w:t>
      </w:r>
      <w:r>
        <w:rPr>
          <w:rStyle w:val="18"/>
          <w:rFonts w:hint="eastAsia" w:ascii="仿宋_GB2312" w:eastAsia="仿宋_GB2312"/>
          <w:b w:val="0"/>
          <w:color w:val="000000"/>
          <w:sz w:val="32"/>
          <w:szCs w:val="32"/>
        </w:rPr>
        <w:t>支出决算为0.50万元，完成预算100%。</w:t>
      </w:r>
    </w:p>
    <w:p>
      <w:pPr>
        <w:tabs>
          <w:tab w:val="right" w:pos="8306"/>
        </w:tabs>
        <w:spacing w:line="600" w:lineRule="exact"/>
        <w:ind w:firstLine="640"/>
        <w:outlineLvl w:val="1"/>
        <w:rPr>
          <w:rStyle w:val="29"/>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2019年一般公共预算财政拨款基本支出391.13万元，其中：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357.87万元，主要包括：基本工资、津贴补贴、奖金、伙食补助费、绩效工资、机关事业单位基本养老保险缴费、其他社会保障缴费、其他工资福利支出、离休费、退休费、抚恤金、生活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公用经费33.26万元，主要包括：办公费、电费、邮电费、取暖费、差旅费、维修（护）费、租赁费、培训费、公务接待费、劳务费、工会经费、公务用车运行维护费等。</w:t>
      </w:r>
    </w:p>
    <w:p>
      <w:pPr>
        <w:spacing w:line="600" w:lineRule="exact"/>
        <w:ind w:firstLine="640"/>
        <w:outlineLvl w:val="1"/>
        <w:rPr>
          <w:rStyle w:val="29"/>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2019年“三公”经费财政拨款支出决算为5万元，完成预算100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2019年“三公”经费财政拨款支出决算中，因公出国（境）费支出决算0万元，占0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；公务用车购置及运行维护费支出决算5万元，占100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8"/>
          <w:rFonts w:hint="eastAsia" w:ascii="仿宋" w:hAnsi="仿宋" w:eastAsia="仿宋"/>
          <w:b w:val="0"/>
          <w:bCs/>
          <w:color w:val="000000"/>
          <w:sz w:val="32"/>
          <w:szCs w:val="32"/>
        </w:rPr>
        <w:t>完成预算0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5万元,</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8年减少22.47万元，下降81.80</w:t>
      </w:r>
      <w:r>
        <w:rPr>
          <w:rFonts w:ascii="仿宋_GB2312" w:eastAsia="仿宋_GB2312"/>
          <w:color w:val="000000"/>
          <w:sz w:val="32"/>
          <w:szCs w:val="32"/>
        </w:rPr>
        <w:t>%</w:t>
      </w:r>
      <w:r>
        <w:rPr>
          <w:rFonts w:hint="eastAsia" w:ascii="仿宋_GB2312" w:eastAsia="仿宋_GB2312"/>
          <w:color w:val="000000"/>
          <w:sz w:val="32"/>
          <w:szCs w:val="32"/>
        </w:rPr>
        <w:t>。主要原因是严格三公经费节约使用</w:t>
      </w:r>
      <w:r>
        <w:rPr>
          <w:rFonts w:hint="eastAsia" w:ascii="仿宋" w:hAnsi="仿宋" w:eastAsia="仿宋"/>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0万元。全年按规定更新购置公务用车0辆，其中：轿车0辆、金额0万元，越野车0辆、金额0万元，载客汽车0辆、金额0万元，主要用于公务用车。截至2019年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月底，单位共有公务用车2辆，其中：轿车0辆、越野车1辆、载客汽车0辆，皮卡车1辆。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5万元。主要用于精准扶贫、</w:t>
      </w:r>
      <w:r>
        <w:rPr>
          <w:rFonts w:hint="eastAsia" w:ascii="仿宋_GB2312" w:hAnsi="仿宋_GB2312" w:eastAsia="仿宋_GB2312" w:cs="仿宋_GB2312"/>
          <w:bCs/>
          <w:sz w:val="32"/>
          <w:szCs w:val="32"/>
        </w:rPr>
        <w:t>“7.10特大洪涝灾害”抢险、</w:t>
      </w:r>
      <w:r>
        <w:rPr>
          <w:rFonts w:hint="eastAsia" w:ascii="仿宋_GB2312" w:eastAsia="仿宋_GB2312"/>
          <w:color w:val="000000"/>
          <w:sz w:val="32"/>
          <w:szCs w:val="32"/>
        </w:rPr>
        <w:t>包虫病防治、国土房屋测量等所需的公务用车燃料费、维修费、过路过桥费、保险费等支出。</w:t>
      </w:r>
    </w:p>
    <w:p>
      <w:pPr>
        <w:spacing w:line="52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公务接待费支出决算与</w:t>
      </w:r>
      <w:r>
        <w:rPr>
          <w:rFonts w:ascii="仿宋_GB2312" w:eastAsia="仿宋_GB2312"/>
          <w:color w:val="000000"/>
          <w:sz w:val="32"/>
          <w:szCs w:val="32"/>
        </w:rPr>
        <w:t>201</w:t>
      </w:r>
      <w:r>
        <w:rPr>
          <w:rFonts w:hint="eastAsia" w:ascii="仿宋_GB2312" w:eastAsia="仿宋_GB2312"/>
          <w:color w:val="000000"/>
          <w:sz w:val="32"/>
          <w:szCs w:val="32"/>
        </w:rPr>
        <w:t>8年持平。主要用于执行公务、开展业务活动开支的交通费、住宿费、用餐费等。国内公务接待0批次，0人次（不包括陪同人员），共计支出0万元。</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pPr>
        <w:spacing w:line="600" w:lineRule="exact"/>
        <w:ind w:firstLine="640"/>
        <w:rPr>
          <w:rFonts w:ascii="黑体" w:eastAsia="黑体"/>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bookmarkStart w:id="46" w:name="_Toc15377218"/>
      <w:bookmarkStart w:id="47" w:name="_Toc15396610"/>
    </w:p>
    <w:p>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2019年政府性基金预算拨款支出0万元。</w:t>
      </w:r>
    </w:p>
    <w:p>
      <w:pPr>
        <w:numPr>
          <w:ilvl w:val="0"/>
          <w:numId w:val="3"/>
        </w:numPr>
        <w:spacing w:line="600" w:lineRule="exact"/>
        <w:ind w:firstLine="640"/>
        <w:outlineLvl w:val="1"/>
        <w:rPr>
          <w:rStyle w:val="29"/>
          <w:rFonts w:ascii="黑体" w:hAnsi="黑体" w:eastAsia="黑体"/>
          <w:b w:val="0"/>
        </w:rPr>
      </w:pPr>
      <w:bookmarkStart w:id="48" w:name="_Toc15377219"/>
      <w:bookmarkStart w:id="49" w:name="_Toc15396611"/>
      <w:r>
        <w:rPr>
          <w:rStyle w:val="29"/>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2019年国有资本经营预算拨款支出0万元。</w:t>
      </w:r>
    </w:p>
    <w:p>
      <w:pPr>
        <w:pStyle w:val="27"/>
        <w:tabs>
          <w:tab w:val="left" w:pos="466"/>
        </w:tabs>
        <w:spacing w:line="580" w:lineRule="exact"/>
        <w:ind w:left="709" w:firstLine="0" w:firstLineChars="0"/>
        <w:rPr>
          <w:rStyle w:val="29"/>
          <w:rFonts w:ascii="黑体" w:hAnsi="黑体" w:eastAsia="黑体"/>
          <w:b w:val="0"/>
        </w:rPr>
      </w:pPr>
      <w:r>
        <w:rPr>
          <w:rStyle w:val="29"/>
          <w:rFonts w:hint="eastAsia" w:ascii="黑体" w:hAnsi="黑体" w:eastAsia="黑体"/>
          <w:b w:val="0"/>
        </w:rPr>
        <w:t>十、预算绩效情况说明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大罗依乡部门整体支出以及工程项目开展了预算事前绩效评估，对10个项目编制了绩效目标，预算执行过程中，选取10个项目开展绩效监控，年终执行完毕后，对10个项目开展了绩效目标完成情况梳理填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p>
    <w:p>
      <w:pPr>
        <w:spacing w:line="56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1、预算执行。(1)在职人员控制率，</w:t>
      </w:r>
      <w:r>
        <w:rPr>
          <w:rFonts w:hint="eastAsia" w:ascii="仿宋_GB2312" w:hAnsi="仿宋_GB2312" w:eastAsia="仿宋_GB2312" w:cs="仿宋_GB2312"/>
          <w:bCs/>
          <w:sz w:val="32"/>
          <w:szCs w:val="32"/>
        </w:rPr>
        <w:t>本单位</w:t>
      </w:r>
      <w:r>
        <w:rPr>
          <w:rFonts w:ascii="仿宋_GB2312" w:hAnsi="仿宋_GB2312" w:eastAsia="仿宋_GB2312" w:cs="仿宋_GB2312"/>
          <w:bCs/>
          <w:sz w:val="32"/>
          <w:szCs w:val="32"/>
        </w:rPr>
        <w:t>编制人数为</w:t>
      </w:r>
      <w:r>
        <w:rPr>
          <w:rFonts w:hint="eastAsia" w:ascii="仿宋_GB2312" w:hAnsi="仿宋_GB2312" w:eastAsia="仿宋_GB2312" w:cs="仿宋_GB2312"/>
          <w:bCs/>
          <w:sz w:val="32"/>
          <w:szCs w:val="32"/>
        </w:rPr>
        <w:t>26</w:t>
      </w:r>
      <w:r>
        <w:rPr>
          <w:rFonts w:ascii="仿宋_GB2312" w:hAnsi="仿宋_GB2312" w:eastAsia="仿宋_GB2312" w:cs="仿宋_GB2312"/>
          <w:bCs/>
          <w:sz w:val="32"/>
          <w:szCs w:val="32"/>
        </w:rPr>
        <w:t>人。年末实有人数为</w:t>
      </w:r>
      <w:r>
        <w:rPr>
          <w:rFonts w:hint="eastAsia" w:ascii="仿宋_GB2312" w:hAnsi="仿宋_GB2312" w:eastAsia="仿宋_GB2312" w:cs="仿宋_GB2312"/>
          <w:bCs/>
          <w:sz w:val="32"/>
          <w:szCs w:val="32"/>
        </w:rPr>
        <w:t>24</w:t>
      </w:r>
      <w:r>
        <w:rPr>
          <w:rFonts w:ascii="仿宋_GB2312" w:hAnsi="仿宋_GB2312" w:eastAsia="仿宋_GB2312" w:cs="仿宋_GB2312"/>
          <w:bCs/>
          <w:sz w:val="32"/>
          <w:szCs w:val="32"/>
        </w:rPr>
        <w:t>人，控制率为100%，没有超编现象。(2)预算完成率100%，年初预算收支</w:t>
      </w:r>
      <w:r>
        <w:rPr>
          <w:rFonts w:hint="eastAsia" w:ascii="仿宋" w:hAnsi="仿宋" w:eastAsia="仿宋"/>
          <w:color w:val="000000"/>
          <w:sz w:val="32"/>
          <w:szCs w:val="32"/>
        </w:rPr>
        <w:t>2739.12</w:t>
      </w:r>
      <w:r>
        <w:rPr>
          <w:rFonts w:ascii="仿宋_GB2312" w:hAnsi="仿宋_GB2312" w:eastAsia="仿宋_GB2312" w:cs="仿宋_GB2312"/>
          <w:bCs/>
          <w:sz w:val="32"/>
          <w:szCs w:val="32"/>
        </w:rPr>
        <w:t>万元，实际收支为</w:t>
      </w:r>
      <w:r>
        <w:rPr>
          <w:rFonts w:hint="eastAsia" w:ascii="仿宋" w:hAnsi="仿宋" w:eastAsia="仿宋"/>
          <w:color w:val="000000"/>
          <w:sz w:val="32"/>
          <w:szCs w:val="32"/>
        </w:rPr>
        <w:t>2739.12</w:t>
      </w:r>
      <w:r>
        <w:rPr>
          <w:rFonts w:ascii="仿宋_GB2312" w:hAnsi="仿宋_GB2312" w:eastAsia="仿宋_GB2312" w:cs="仿宋_GB2312"/>
          <w:bCs/>
          <w:sz w:val="32"/>
          <w:szCs w:val="32"/>
        </w:rPr>
        <w:t>万元，实现了年度收支平衡。</w:t>
      </w:r>
    </w:p>
    <w:p>
      <w:pPr>
        <w:spacing w:line="56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2、预算管理。(1)控制日常公用经费开支，年日常公用经费</w:t>
      </w:r>
      <w:r>
        <w:rPr>
          <w:rFonts w:hint="eastAsia" w:ascii="仿宋" w:hAnsi="仿宋" w:eastAsia="仿宋"/>
          <w:color w:val="000000"/>
          <w:sz w:val="32"/>
          <w:szCs w:val="32"/>
        </w:rPr>
        <w:t>33.26</w:t>
      </w:r>
      <w:r>
        <w:rPr>
          <w:rFonts w:ascii="仿宋_GB2312" w:hAnsi="仿宋_GB2312" w:eastAsia="仿宋_GB2312" w:cs="仿宋_GB2312"/>
          <w:bCs/>
          <w:sz w:val="32"/>
          <w:szCs w:val="32"/>
        </w:rPr>
        <w:t>万元，主要用于办公电脑及耗材、办公室日常用品、设备维修及保养等开支。(2)“三公”经费控制率100%，“三公”经费支出年初预算</w:t>
      </w:r>
      <w:r>
        <w:rPr>
          <w:rFonts w:hint="eastAsia" w:ascii="仿宋_GB2312" w:hAnsi="仿宋_GB2312" w:eastAsia="仿宋_GB2312" w:cs="仿宋_GB2312"/>
          <w:bCs/>
          <w:color w:val="000000" w:themeColor="text1"/>
          <w:sz w:val="32"/>
          <w:szCs w:val="32"/>
          <w14:textFill>
            <w14:solidFill>
              <w14:schemeClr w14:val="tx1"/>
            </w14:solidFill>
          </w14:textFill>
        </w:rPr>
        <w:t>5</w:t>
      </w:r>
      <w:r>
        <w:rPr>
          <w:rFonts w:ascii="仿宋_GB2312" w:hAnsi="仿宋_GB2312" w:eastAsia="仿宋_GB2312" w:cs="仿宋_GB2312"/>
          <w:bCs/>
          <w:sz w:val="32"/>
          <w:szCs w:val="32"/>
        </w:rPr>
        <w:t>万元，本年度“三公”经费实际支出</w:t>
      </w:r>
      <w:r>
        <w:rPr>
          <w:rFonts w:hint="eastAsia" w:ascii="仿宋_GB2312" w:hAnsi="仿宋_GB2312" w:eastAsia="仿宋_GB2312" w:cs="仿宋_GB2312"/>
          <w:bCs/>
          <w:sz w:val="32"/>
          <w:szCs w:val="32"/>
        </w:rPr>
        <w:t>5</w:t>
      </w:r>
      <w:r>
        <w:rPr>
          <w:rFonts w:ascii="仿宋_GB2312" w:hAnsi="仿宋_GB2312" w:eastAsia="仿宋_GB2312" w:cs="仿宋_GB2312"/>
          <w:bCs/>
          <w:sz w:val="32"/>
          <w:szCs w:val="32"/>
        </w:rPr>
        <w:t>万元。(3)管理制度健全，按照县财政有关文件，</w:t>
      </w:r>
      <w:r>
        <w:rPr>
          <w:rFonts w:hint="eastAsia" w:ascii="仿宋_GB2312" w:hAnsi="仿宋_GB2312" w:eastAsia="仿宋_GB2312" w:cs="仿宋_GB2312"/>
          <w:bCs/>
          <w:sz w:val="32"/>
          <w:szCs w:val="32"/>
        </w:rPr>
        <w:t>2019</w:t>
      </w:r>
      <w:r>
        <w:rPr>
          <w:rFonts w:ascii="仿宋_GB2312" w:hAnsi="仿宋_GB2312" w:eastAsia="仿宋_GB2312" w:cs="仿宋_GB2312"/>
          <w:bCs/>
          <w:sz w:val="32"/>
          <w:szCs w:val="32"/>
        </w:rPr>
        <w:t>年我们制定了财务管理制度和会计核算等管理制度，严格按照制度执行。(4)预决算信息公开性，按照规定的内容、时间在政府网站公开预决算信息，做到基础数据信息和会计资料真实、完整、准确。</w:t>
      </w:r>
    </w:p>
    <w:p>
      <w:pPr>
        <w:widowControl/>
        <w:autoSpaceDE w:val="0"/>
        <w:spacing w:line="576" w:lineRule="exact"/>
        <w:ind w:firstLine="640"/>
        <w:rPr>
          <w:sz w:val="32"/>
          <w:szCs w:val="32"/>
        </w:rPr>
      </w:pPr>
      <w:r>
        <w:rPr>
          <w:rFonts w:ascii="仿宋_GB2312" w:hAnsi="仿宋_GB2312" w:eastAsia="仿宋_GB2312" w:cs="仿宋_GB2312"/>
          <w:bCs/>
          <w:sz w:val="32"/>
          <w:szCs w:val="32"/>
        </w:rPr>
        <w:t>3、职责履行。(1)按照县委县政府要求，制定全</w:t>
      </w:r>
      <w:r>
        <w:rPr>
          <w:rFonts w:hint="eastAsia" w:ascii="仿宋_GB2312" w:hAnsi="仿宋_GB2312" w:eastAsia="仿宋_GB2312" w:cs="仿宋_GB2312"/>
          <w:bCs/>
          <w:sz w:val="32"/>
          <w:szCs w:val="32"/>
        </w:rPr>
        <w:t>乡</w:t>
      </w:r>
      <w:r>
        <w:rPr>
          <w:rFonts w:ascii="仿宋_GB2312" w:hAnsi="仿宋_GB2312" w:eastAsia="仿宋_GB2312" w:cs="仿宋_GB2312"/>
          <w:bCs/>
          <w:sz w:val="32"/>
          <w:szCs w:val="32"/>
        </w:rPr>
        <w:t>指导性计划</w:t>
      </w:r>
      <w:r>
        <w:rPr>
          <w:rFonts w:hint="eastAsia" w:ascii="仿宋_GB2312" w:hAnsi="仿宋_GB2312" w:eastAsia="仿宋_GB2312" w:cs="仿宋_GB2312"/>
          <w:bCs/>
          <w:sz w:val="32"/>
          <w:szCs w:val="32"/>
        </w:rPr>
        <w:t>，积极宣传、贯彻执行党的路线、方针、政策，负责领导本地区的工作</w:t>
      </w:r>
      <w:r>
        <w:rPr>
          <w:rFonts w:hint="eastAsia" w:ascii="仿宋_GB2312" w:hAnsi="仿宋_GB2312" w:eastAsia="仿宋_GB2312" w:cs="仿宋_GB2312"/>
          <w:color w:val="000000"/>
          <w:sz w:val="32"/>
          <w:szCs w:val="32"/>
        </w:rPr>
        <w:t>；</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2</w:t>
      </w:r>
      <w:r>
        <w:rPr>
          <w:rFonts w:ascii="仿宋_GB2312" w:hAnsi="仿宋_GB2312" w:eastAsia="仿宋_GB2312" w:cs="仿宋_GB2312"/>
          <w:bCs/>
          <w:sz w:val="32"/>
          <w:szCs w:val="32"/>
        </w:rPr>
        <w:t>)</w:t>
      </w:r>
      <w:r>
        <w:rPr>
          <w:rFonts w:hint="eastAsia" w:ascii="仿宋_GB2312" w:hAnsi="仿宋_GB2312" w:eastAsia="仿宋_GB2312" w:cs="仿宋_GB2312"/>
          <w:color w:val="000000"/>
          <w:sz w:val="32"/>
          <w:szCs w:val="32"/>
        </w:rPr>
        <w:t>加快特色产业升级换代，充分分发挥合作社和各村集体经济合作社作用，鼓励引导致富能手参与特色产业发展，带动广大群众增收致富。加强农业服务体系建设；</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3</w:t>
      </w:r>
      <w:r>
        <w:rPr>
          <w:rFonts w:ascii="仿宋_GB2312" w:hAnsi="仿宋_GB2312" w:eastAsia="仿宋_GB2312" w:cs="仿宋_GB2312"/>
          <w:bCs/>
          <w:sz w:val="32"/>
          <w:szCs w:val="32"/>
        </w:rPr>
        <w:t>)</w:t>
      </w:r>
      <w:r>
        <w:rPr>
          <w:rFonts w:hint="eastAsia" w:ascii="仿宋_GB2312" w:hAnsi="仿宋_GB2312" w:eastAsia="仿宋_GB2312" w:cs="仿宋_GB2312"/>
          <w:color w:val="000000"/>
          <w:sz w:val="32"/>
          <w:szCs w:val="32"/>
        </w:rPr>
        <w:t>坚持规划先行、因村施策、彰显特色，切实改善基础设施，提升村居环境，发展优势产业，加强精神文明建设。深入巩固全乡“四好村”建设成果，以改善农民生活环境，提高生活质量为目标；（4）以加强政府建设为己任，提高施政能力服务水平 大力开展脱贫攻坚，进一步压实脱贫攻坚工作责任，全面落实扶贫政策。</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本部门还自行组织了2个项目绩效评价，从评价情况来看项目绩效完成情况较好，所有项目按照方案开展，资金有效及时支付。</w:t>
      </w:r>
    </w:p>
    <w:p>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本部门在2019年度部门决算中反映“罗依乡基层政权建设补助资金项目”、“罗依乡基层组织活动和公共服务运行项目”等2个项目绩效目标实际完成情况。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罗依乡基层政权建设补助资金项目绩效目标完成情况综述。项目全年预算数38万元，执行数为37.95万元，完成预算的100%。通过项目实施，有效地解决了镇政府办公设备及厨房设备老旧欠缺的问题，有利于日常工作的顺利开展，提高了办事效率，保障了职工生活质量，改善了职工工作环境，提高了管理水平，给干部职工提供良好的生活环境。发现的主要问题：</w:t>
      </w:r>
      <w:r>
        <w:rPr>
          <w:rFonts w:hint="eastAsia" w:ascii="仿宋_GB2312" w:hAnsi="仿宋_GB2312" w:eastAsia="仿宋_GB2312" w:cs="仿宋_GB2312"/>
          <w:sz w:val="32"/>
          <w:szCs w:val="32"/>
          <w:lang w:val="zh-CN"/>
        </w:rPr>
        <w:t>后期保养需安排专人管护</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zh-CN"/>
        </w:rPr>
        <w:t>建议在今后实施此类项目是多派专业人员帮助村民进行技术指导。</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2.罗依乡基层组织活动和公共服务运行项目绩效目标完成情况综述。项目全年预算数44万元，执行数为42.54万元，完成预算的96.68%。通过项目实施，</w:t>
      </w:r>
      <w:r>
        <w:rPr>
          <w:rFonts w:hint="eastAsia" w:ascii="仿宋_GB2312" w:hAnsi="仿宋_GB2312" w:eastAsia="仿宋_GB2312" w:cs="仿宋_GB2312"/>
          <w:sz w:val="32"/>
          <w:szCs w:val="32"/>
          <w:lang w:val="zh-CN"/>
        </w:rPr>
        <w:t>强化</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zh-CN"/>
        </w:rPr>
        <w:t>基层组织政治功能和服务功能，夯实</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zh-CN"/>
        </w:rPr>
        <w:t>党在基层执政的组织基础和群众基础，改善了群众的生产生活条件，提高了群众生活质量，完善</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zh-CN"/>
        </w:rPr>
        <w:t>农村基础设施功能，</w:t>
      </w:r>
      <w:r>
        <w:rPr>
          <w:rFonts w:hint="eastAsia" w:ascii="仿宋_GB2312" w:hAnsi="仿宋_GB2312" w:eastAsia="仿宋_GB2312" w:cs="仿宋_GB2312"/>
          <w:sz w:val="32"/>
          <w:szCs w:val="32"/>
        </w:rPr>
        <w:t>使</w:t>
      </w:r>
      <w:r>
        <w:rPr>
          <w:rFonts w:hint="eastAsia" w:ascii="仿宋_GB2312" w:hAnsi="仿宋_GB2312" w:eastAsia="仿宋_GB2312" w:cs="仿宋_GB2312"/>
          <w:sz w:val="32"/>
          <w:szCs w:val="32"/>
          <w:lang w:val="zh-CN"/>
        </w:rPr>
        <w:t>全镇村组织运行高效、城乡环境根本改善、居民生产生活及居住条件改善、社会事业健康有序发展。</w:t>
      </w:r>
      <w:r>
        <w:rPr>
          <w:rFonts w:hint="eastAsia" w:ascii="仿宋_GB2312" w:hAnsi="仿宋_GB2312" w:eastAsia="仿宋_GB2312" w:cs="仿宋_GB2312"/>
          <w:sz w:val="32"/>
          <w:szCs w:val="32"/>
        </w:rPr>
        <w:t>发现的主要问题：需加强监督管理。下一步改进措施：</w:t>
      </w:r>
      <w:r>
        <w:rPr>
          <w:rFonts w:hint="eastAsia" w:ascii="仿宋_GB2312" w:hAnsi="仿宋_GB2312" w:eastAsia="仿宋_GB2312" w:cs="仿宋_GB2312"/>
          <w:sz w:val="32"/>
          <w:szCs w:val="32"/>
          <w:lang w:val="zh-CN"/>
        </w:rPr>
        <w:t>进一步加强监督、管理，按照预算执行，使基层组织活动和公共服务运行补助发挥最大效益。</w:t>
      </w: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罗依乡基层政权建设补助项目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罗依乡人民政府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37.95万元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37.95万元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eastAsia="仿宋_GB2312"/>
                <w:bCs/>
                <w:sz w:val="24"/>
              </w:rPr>
              <w:t>双河镇办公设备及厨房设备采购，包括办公椅、空调、沙发和厨房设施设备等。</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eastAsia="仿宋_GB2312"/>
                <w:bCs/>
                <w:sz w:val="24"/>
              </w:rPr>
              <w:t>双河镇办公设备及厨房设备采购，包括办公椅、空调、沙发和厨房设施设备等。</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b/>
                <w:bCs/>
                <w:color w:val="000000"/>
                <w:sz w:val="24"/>
              </w:rPr>
            </w:pPr>
            <w:r>
              <w:rPr>
                <w:rFonts w:hint="eastAsia" w:ascii="仿宋_GB2312" w:hAnsi="仿宋_GB2312"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200" w:lineRule="exact"/>
              <w:rPr>
                <w:rFonts w:ascii="宋体" w:hAnsi="宋体" w:cs="宋体"/>
                <w:color w:val="000000"/>
                <w:sz w:val="24"/>
              </w:rPr>
            </w:pPr>
            <w:r>
              <w:rPr>
                <w:rFonts w:hint="eastAsia" w:eastAsia="仿宋_GB2312"/>
                <w:sz w:val="18"/>
                <w:szCs w:val="18"/>
              </w:rPr>
              <w:t>传菜桌子1个，木质圆饭桌带玻璃7张，木质靠背椅56把，空调（1.5P）1台，空调（大3P）8台，混合灶1台，案板1张，洗菜池1组，切割下水道、安装下水管并恢复地面，热水器进水口、出水口管道改装，窗户护栏1套，办公桌、办公椅40套，背景墙、主席台、背景党旗、幕布、国徽（以上均含安装）1套，窗帘40套，3人沙发6个，单人沙发4个，茶几4张，文件柜15个，空调线、办公桌电源线、两位五孔暗装插座面板开沟，外面洗碗池1个，黑白激光多功能打印一体机2台，彩色激光多功能打印一体机2台，抽油烟机、抽油烟机排烟管1个，厨房防滑垫20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200" w:lineRule="exact"/>
              <w:rPr>
                <w:rFonts w:ascii="宋体" w:hAnsi="宋体" w:cs="宋体"/>
                <w:color w:val="000000"/>
                <w:sz w:val="24"/>
              </w:rPr>
            </w:pPr>
            <w:r>
              <w:rPr>
                <w:rFonts w:hint="eastAsia" w:eastAsia="仿宋_GB2312"/>
                <w:sz w:val="18"/>
                <w:szCs w:val="18"/>
              </w:rPr>
              <w:t>传菜桌子1个，木质圆饭桌带玻璃7张，木质靠背椅56把，空调（1.5P）1台，空调（大3P）8台，混合灶1台，案板1张，洗菜池1组，切割下水道、安装下水管并恢复地面，热水器进水口、出水口管道改装，窗户护栏1套，办公桌、办公椅40套，背景墙、主席台、背景党旗、幕布、国徽（以上均含安装）1套，窗帘40套，3人沙发6个，单人沙发4个，茶几4张，文件柜15个，空调线、办公桌电源线、两位五孔暗装插座面板开沟，外面洗碗池1个，黑白激光多功能打印一体机2台，彩色激光多功能打印一体机2台，抽油烟机、抽油烟机排烟管1个，厨房防滑垫20平方米。</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设备具体明确的产出质量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设备具体明确的产出质量</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1年</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38万元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38万元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完善更新办公设备及厨房设施设备，</w:t>
            </w:r>
            <w:r>
              <w:rPr>
                <w:rFonts w:hint="eastAsia" w:ascii="仿宋_GB2312" w:hAnsi="仿宋_GB2312" w:eastAsia="仿宋_GB2312" w:cs="仿宋_GB2312"/>
                <w:sz w:val="24"/>
                <w:lang w:val="zh-CN"/>
              </w:rPr>
              <w:t>改善</w:t>
            </w:r>
            <w:r>
              <w:rPr>
                <w:rFonts w:hint="eastAsia" w:ascii="仿宋_GB2312" w:hAnsi="仿宋_GB2312" w:eastAsia="仿宋_GB2312" w:cs="仿宋_GB2312"/>
                <w:sz w:val="24"/>
              </w:rPr>
              <w:t>工作</w:t>
            </w:r>
            <w:r>
              <w:rPr>
                <w:rFonts w:hint="eastAsia" w:ascii="仿宋_GB2312" w:hAnsi="仿宋_GB2312" w:eastAsia="仿宋_GB2312" w:cs="仿宋_GB2312"/>
                <w:sz w:val="24"/>
                <w:lang w:val="zh-CN"/>
              </w:rPr>
              <w:t>条件，提高</w:t>
            </w:r>
            <w:r>
              <w:rPr>
                <w:rFonts w:hint="eastAsia" w:ascii="仿宋_GB2312" w:hAnsi="仿宋_GB2312" w:eastAsia="仿宋_GB2312" w:cs="仿宋_GB2312"/>
                <w:sz w:val="24"/>
              </w:rPr>
              <w:t>办事效率</w:t>
            </w:r>
            <w:r>
              <w:rPr>
                <w:rFonts w:hint="eastAsia" w:ascii="仿宋_GB2312" w:hAnsi="仿宋_GB2312" w:eastAsia="仿宋_GB2312" w:cs="仿宋_GB2312"/>
                <w:sz w:val="24"/>
                <w:lang w:val="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完善更新办公设备及厨房设施设备，</w:t>
            </w:r>
            <w:r>
              <w:rPr>
                <w:rFonts w:hint="eastAsia" w:ascii="仿宋_GB2312" w:hAnsi="仿宋_GB2312" w:eastAsia="仿宋_GB2312" w:cs="仿宋_GB2312"/>
                <w:sz w:val="24"/>
                <w:lang w:val="zh-CN"/>
              </w:rPr>
              <w:t>改善</w:t>
            </w:r>
            <w:r>
              <w:rPr>
                <w:rFonts w:hint="eastAsia" w:ascii="仿宋_GB2312" w:hAnsi="仿宋_GB2312" w:eastAsia="仿宋_GB2312" w:cs="仿宋_GB2312"/>
                <w:sz w:val="24"/>
              </w:rPr>
              <w:t>工作</w:t>
            </w:r>
            <w:r>
              <w:rPr>
                <w:rFonts w:hint="eastAsia" w:ascii="仿宋_GB2312" w:hAnsi="仿宋_GB2312" w:eastAsia="仿宋_GB2312" w:cs="仿宋_GB2312"/>
                <w:sz w:val="24"/>
                <w:lang w:val="zh-CN"/>
              </w:rPr>
              <w:t>条件，提高</w:t>
            </w:r>
            <w:r>
              <w:rPr>
                <w:rFonts w:hint="eastAsia" w:ascii="仿宋_GB2312" w:hAnsi="仿宋_GB2312" w:eastAsia="仿宋_GB2312" w:cs="仿宋_GB2312"/>
                <w:sz w:val="24"/>
              </w:rPr>
              <w:t>办事效率</w:t>
            </w:r>
            <w:r>
              <w:rPr>
                <w:rFonts w:hint="eastAsia" w:ascii="仿宋_GB2312" w:hAnsi="仿宋_GB2312" w:eastAsia="仿宋_GB2312" w:cs="仿宋_GB2312"/>
                <w:sz w:val="24"/>
                <w:lang w:val="zh-CN"/>
              </w:rPr>
              <w:t>。</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有效地解决了镇政府办公设备及厨房设备老旧欠缺的问题，有利于日常工作的顺利开展，提高了办事效率。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有效地解决了镇政府办公设备及厨房设备老旧欠缺的问题，有利于日常工作的顺利开展，提高了办事效率。</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完善更新办公设备及厨房设施设备，</w:t>
            </w:r>
            <w:r>
              <w:rPr>
                <w:rFonts w:hint="eastAsia" w:ascii="仿宋_GB2312" w:hAnsi="仿宋_GB2312" w:eastAsia="仿宋_GB2312" w:cs="仿宋_GB2312"/>
                <w:sz w:val="24"/>
                <w:lang w:val="zh-CN"/>
              </w:rPr>
              <w:t>改善</w:t>
            </w:r>
            <w:r>
              <w:rPr>
                <w:rFonts w:hint="eastAsia" w:ascii="仿宋_GB2312" w:hAnsi="仿宋_GB2312" w:eastAsia="仿宋_GB2312" w:cs="仿宋_GB2312"/>
                <w:sz w:val="24"/>
              </w:rPr>
              <w:t>职工生活工作</w:t>
            </w:r>
            <w:r>
              <w:rPr>
                <w:rFonts w:hint="eastAsia" w:ascii="仿宋_GB2312" w:hAnsi="仿宋_GB2312" w:eastAsia="仿宋_GB2312" w:cs="仿宋_GB2312"/>
                <w:sz w:val="24"/>
                <w:lang w:val="zh-CN"/>
              </w:rPr>
              <w:t>条件，提高生活质量。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完善更新办公设备及厨房设施设备，</w:t>
            </w:r>
            <w:r>
              <w:rPr>
                <w:rFonts w:hint="eastAsia" w:ascii="仿宋_GB2312" w:hAnsi="仿宋_GB2312" w:eastAsia="仿宋_GB2312" w:cs="仿宋_GB2312"/>
                <w:sz w:val="24"/>
                <w:lang w:val="zh-CN"/>
              </w:rPr>
              <w:t>改善</w:t>
            </w:r>
            <w:r>
              <w:rPr>
                <w:rFonts w:hint="eastAsia" w:ascii="仿宋_GB2312" w:hAnsi="仿宋_GB2312" w:eastAsia="仿宋_GB2312" w:cs="仿宋_GB2312"/>
                <w:sz w:val="24"/>
              </w:rPr>
              <w:t>职工生活工作</w:t>
            </w:r>
            <w:r>
              <w:rPr>
                <w:rFonts w:hint="eastAsia" w:ascii="仿宋_GB2312" w:hAnsi="仿宋_GB2312" w:eastAsia="仿宋_GB2312" w:cs="仿宋_GB2312"/>
                <w:sz w:val="24"/>
                <w:lang w:val="zh-CN"/>
              </w:rPr>
              <w:t>条件，提高生活质量。</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满意</w:t>
            </w:r>
          </w:p>
        </w:tc>
      </w:tr>
    </w:tbl>
    <w:p>
      <w:pPr>
        <w:rPr>
          <w:rFonts w:ascii="Calibri" w:hAnsi="Calibri"/>
        </w:rPr>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罗依乡基层组织活动和公共服务运行补助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罗依乡人民政府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44</w:t>
            </w:r>
            <w:r>
              <w:rPr>
                <w:rFonts w:ascii="宋体" w:hAns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42.54</w:t>
            </w:r>
            <w:r>
              <w:rPr>
                <w:rFonts w:ascii="宋体" w:hAnsi="宋体" w:cs="宋体"/>
                <w:color w:val="00000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44</w:t>
            </w:r>
            <w:r>
              <w:rPr>
                <w:rFonts w:ascii="宋体" w:hAns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42.54</w:t>
            </w:r>
            <w:r>
              <w:rPr>
                <w:rFonts w:ascii="宋体" w:hAns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89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eastAsia="仿宋_GB2312"/>
                <w:bCs/>
                <w:sz w:val="24"/>
              </w:rPr>
            </w:pPr>
            <w:r>
              <w:rPr>
                <w:rFonts w:hint="eastAsia" w:eastAsia="仿宋_GB2312"/>
                <w:bCs/>
                <w:sz w:val="24"/>
              </w:rPr>
              <w:t>1、村党组织正常开展活动、村公共服务运行维护和办公运转。</w:t>
            </w:r>
          </w:p>
          <w:p>
            <w:pPr>
              <w:jc w:val="left"/>
              <w:rPr>
                <w:rFonts w:eastAsia="仿宋_GB2312"/>
                <w:bCs/>
                <w:sz w:val="24"/>
              </w:rPr>
            </w:pPr>
            <w:r>
              <w:rPr>
                <w:rFonts w:hint="eastAsia" w:eastAsia="仿宋_GB2312"/>
                <w:bCs/>
                <w:sz w:val="24"/>
              </w:rPr>
              <w:t>2、严格执行村财务管理制度。</w:t>
            </w:r>
          </w:p>
          <w:p>
            <w:pPr>
              <w:jc w:val="left"/>
              <w:rPr>
                <w:rFonts w:eastAsia="仿宋_GB2312"/>
                <w:bCs/>
                <w:sz w:val="24"/>
              </w:rPr>
            </w:pPr>
            <w:r>
              <w:rPr>
                <w:rFonts w:hint="eastAsia" w:eastAsia="仿宋_GB2312"/>
                <w:bCs/>
                <w:sz w:val="24"/>
              </w:rPr>
              <w:t>3、村务经费使用阳光公开。</w:t>
            </w:r>
          </w:p>
          <w:p>
            <w:pPr>
              <w:widowControl/>
              <w:textAlignment w:val="center"/>
              <w:rPr>
                <w:rFonts w:ascii="宋体" w:hAnsi="宋体" w:cs="宋体"/>
                <w:color w:val="000000"/>
                <w:sz w:val="24"/>
              </w:rPr>
            </w:pPr>
            <w:r>
              <w:rPr>
                <w:rFonts w:hint="eastAsia" w:eastAsia="仿宋_GB2312"/>
                <w:bCs/>
                <w:sz w:val="24"/>
              </w:rPr>
              <w:t>4、村基础设施等公益事业项目建设完善。</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eastAsia="仿宋_GB2312"/>
                <w:bCs/>
                <w:sz w:val="24"/>
              </w:rPr>
            </w:pPr>
            <w:r>
              <w:rPr>
                <w:rFonts w:hint="eastAsia" w:eastAsia="仿宋_GB2312"/>
                <w:bCs/>
                <w:sz w:val="24"/>
              </w:rPr>
              <w:t>1、村党组织正常开展活动、村公共服务运行维护和办公运转。</w:t>
            </w:r>
          </w:p>
          <w:p>
            <w:pPr>
              <w:jc w:val="left"/>
              <w:rPr>
                <w:rFonts w:eastAsia="仿宋_GB2312"/>
                <w:bCs/>
                <w:sz w:val="24"/>
              </w:rPr>
            </w:pPr>
            <w:r>
              <w:rPr>
                <w:rFonts w:hint="eastAsia" w:eastAsia="仿宋_GB2312"/>
                <w:bCs/>
                <w:sz w:val="24"/>
              </w:rPr>
              <w:t>2、严格执行村财务管理制度。</w:t>
            </w:r>
          </w:p>
          <w:p>
            <w:pPr>
              <w:jc w:val="left"/>
              <w:rPr>
                <w:rFonts w:eastAsia="仿宋_GB2312"/>
                <w:bCs/>
                <w:sz w:val="24"/>
              </w:rPr>
            </w:pPr>
            <w:r>
              <w:rPr>
                <w:rFonts w:hint="eastAsia" w:eastAsia="仿宋_GB2312"/>
                <w:bCs/>
                <w:sz w:val="24"/>
              </w:rPr>
              <w:t>3、村务经费使用阳光公开。</w:t>
            </w:r>
          </w:p>
          <w:p>
            <w:pPr>
              <w:widowControl/>
              <w:textAlignment w:val="center"/>
              <w:rPr>
                <w:rFonts w:ascii="宋体" w:hAnsi="宋体" w:cs="宋体"/>
                <w:color w:val="000000"/>
                <w:sz w:val="24"/>
              </w:rPr>
            </w:pPr>
            <w:r>
              <w:rPr>
                <w:rFonts w:hint="eastAsia" w:eastAsia="仿宋_GB2312"/>
                <w:bCs/>
                <w:sz w:val="24"/>
              </w:rPr>
              <w:t>4、村基础设施等公益事业项目建设完善。</w:t>
            </w:r>
          </w:p>
        </w:tc>
      </w:tr>
      <w:tr>
        <w:tblPrEx>
          <w:tblCellMar>
            <w:top w:w="0" w:type="dxa"/>
            <w:left w:w="0" w:type="dxa"/>
            <w:bottom w:w="0" w:type="dxa"/>
            <w:right w:w="0" w:type="dxa"/>
          </w:tblCellMar>
        </w:tblPrEx>
        <w:trPr>
          <w:trHeight w:val="82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5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b/>
                <w:bCs/>
                <w:color w:val="000000"/>
                <w:sz w:val="24"/>
              </w:rPr>
            </w:pPr>
            <w:r>
              <w:rPr>
                <w:rFonts w:hint="eastAsia" w:ascii="仿宋_GB2312" w:hAnsi="仿宋_GB2312"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4个村44万元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4个村44万元</w:t>
            </w:r>
          </w:p>
        </w:tc>
      </w:tr>
      <w:tr>
        <w:tblPrEx>
          <w:tblCellMar>
            <w:top w:w="0" w:type="dxa"/>
            <w:left w:w="0" w:type="dxa"/>
            <w:bottom w:w="0" w:type="dxa"/>
            <w:right w:w="0" w:type="dxa"/>
          </w:tblCellMar>
        </w:tblPrEx>
        <w:trPr>
          <w:trHeight w:val="8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严格执行村财务管理制度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严格执行村财务管理制度</w:t>
            </w:r>
          </w:p>
        </w:tc>
      </w:tr>
      <w:tr>
        <w:tblPrEx>
          <w:tblCellMar>
            <w:top w:w="0" w:type="dxa"/>
            <w:left w:w="0" w:type="dxa"/>
            <w:bottom w:w="0" w:type="dxa"/>
            <w:right w:w="0" w:type="dxa"/>
          </w:tblCellMar>
        </w:tblPrEx>
        <w:trPr>
          <w:trHeight w:val="62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1年</w:t>
            </w:r>
          </w:p>
        </w:tc>
      </w:tr>
      <w:tr>
        <w:tblPrEx>
          <w:tblCellMar>
            <w:top w:w="0" w:type="dxa"/>
            <w:left w:w="0" w:type="dxa"/>
            <w:bottom w:w="0" w:type="dxa"/>
            <w:right w:w="0" w:type="dxa"/>
          </w:tblCellMar>
        </w:tblPrEx>
        <w:trPr>
          <w:trHeight w:val="6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44万元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44万元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经济效益指标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按实际产生村务费支出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按实际产生村务费支出</w:t>
            </w:r>
          </w:p>
        </w:tc>
      </w:tr>
      <w:tr>
        <w:tblPrEx>
          <w:tblCellMar>
            <w:top w:w="0" w:type="dxa"/>
            <w:left w:w="0" w:type="dxa"/>
            <w:bottom w:w="0" w:type="dxa"/>
            <w:right w:w="0" w:type="dxa"/>
          </w:tblCellMar>
        </w:tblPrEx>
        <w:trPr>
          <w:trHeight w:val="6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村党组织正常开展活动、村公共服务运行维护和办公运转。</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村党组织正常开展活动、村公共服务运行维护和办公运转。</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生态效益</w:t>
            </w:r>
          </w:p>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改变村容村貌，维修维护村公共基础设施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改变村容村貌，维修维护村公共基础设施</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满意</w:t>
            </w:r>
          </w:p>
        </w:tc>
      </w:tr>
    </w:tbl>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本部门按要求对2019年部门整体支出绩效评价情况开展自评，《罗依乡人民政府2019年部门整体支出绩效评价报告》见附件。</w:t>
      </w:r>
    </w:p>
    <w:p>
      <w:pPr>
        <w:spacing w:line="600" w:lineRule="exact"/>
        <w:ind w:firstLine="800" w:firstLineChars="250"/>
        <w:outlineLvl w:val="1"/>
        <w:rPr>
          <w:rStyle w:val="29"/>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9"/>
          <w:rFonts w:hint="eastAsia" w:ascii="黑体" w:hAnsi="黑体" w:eastAsia="黑体"/>
        </w:rPr>
        <w:t>一、</w:t>
      </w:r>
      <w:r>
        <w:rPr>
          <w:rStyle w:val="29"/>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rPr>
        <w:t>2019年，</w:t>
      </w:r>
      <w:r>
        <w:rPr>
          <w:rFonts w:hint="eastAsia" w:ascii="仿宋_GB2312" w:eastAsia="仿宋_GB2312"/>
          <w:sz w:val="32"/>
          <w:szCs w:val="32"/>
          <w:shd w:val="clear" w:color="auto" w:fill="FFFFFF"/>
        </w:rPr>
        <w:t>罗依乡</w:t>
      </w:r>
      <w:r>
        <w:rPr>
          <w:rFonts w:hint="eastAsia" w:ascii="仿宋_GB2312" w:eastAsia="仿宋_GB2312"/>
          <w:color w:val="000000"/>
          <w:sz w:val="32"/>
          <w:szCs w:val="32"/>
        </w:rPr>
        <w:t>机关运行经费支出33.25万元，比</w:t>
      </w:r>
      <w:r>
        <w:rPr>
          <w:rFonts w:ascii="仿宋_GB2312" w:eastAsia="仿宋_GB2312"/>
          <w:color w:val="000000"/>
          <w:sz w:val="32"/>
          <w:szCs w:val="32"/>
        </w:rPr>
        <w:t>201</w:t>
      </w:r>
      <w:r>
        <w:rPr>
          <w:rFonts w:hint="eastAsia" w:ascii="仿宋_GB2312" w:eastAsia="仿宋_GB2312"/>
          <w:color w:val="000000"/>
          <w:sz w:val="32"/>
          <w:szCs w:val="32"/>
        </w:rPr>
        <w:t>8年减少25.39万元，下降43.29</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主要原因是节俭节约。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2019年，罗依乡政府采购支出总额0万元，其中：政府采购货物支出0万元、政府采购工程支出0万元、政府采购服务支出0万元。主要用于新购公务用车。授予中小企业合同金额0万元，占政府采购支出总额的0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截至2019年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日，罗依乡共有车辆2辆，其中：部级领导干部用车0辆、一般公务用车2辆、一般执法执勤用车0辆、特种专业技术用车0辆、其他用车0辆。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3" w:firstLineChars="150"/>
        <w:jc w:val="center"/>
        <w:outlineLvl w:val="0"/>
        <w:rPr>
          <w:rStyle w:val="28"/>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8"/>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3、年末结转和结余：指单位按有关规定结转到下年或以后年度继续使用的资金。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一般公共服务（201）人大事务（01）行政运行（01）：指行政单位的基本支出。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5.一般公共服务（201）政府办公厅及相关机构事务支出（03）行政运行（01）：指行政单位的基本支出。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一般公共服务（201）纪检监察事务（11）派驻派出机构（05）：指纪检监察及派出派驻机构支出。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一般公共服务（201）群众团体事务（29）其他群众团体事务支出（99）：指其他群众团体事务支出。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8.一般公共服务支出（201）党委办公厅（室）及相关机构事务（31）行政运行（01）：指党委办公厅基本支出。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9.一般公共服务支出（201）其他一般公共服务支出（99）其他一般公共服务支出（99）：指其他一般公共服务支出。</w:t>
      </w:r>
    </w:p>
    <w:p>
      <w:pPr>
        <w:ind w:firstLine="640" w:firstLineChars="200"/>
      </w:pPr>
      <w:r>
        <w:rPr>
          <w:rFonts w:hint="eastAsia" w:ascii="仿宋_GB2312" w:eastAsia="仿宋_GB2312"/>
          <w:color w:val="000000"/>
          <w:sz w:val="32"/>
          <w:szCs w:val="32"/>
        </w:rPr>
        <w:t>10.文化旅游体育与传媒支出（207）文化和旅游（01）其他文化和旅游支出（99）：指其他文化体育与传媒支出。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11.社会保障和就业支出（208）行政事业单位离退休（05）机关事业单位基本养老保险缴费支出（05）：指机关事业范围实施养老制度有单位缴纳的基本养老保险费支出。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12.社会保障和就业支出（208）抚恤（08）死亡抚恤支出（01）：指按规定用于烈士和牺牲、病故人员家属的一次性和定期抚恤金以及丧葬补助费。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13.社会保障和就业支出（208）其他社会保障和就业支出（99）其他社会保障和就业支出（01）:指其他社会保障和就业支出。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14.卫生健康支出（210）卫生健康管理事务（01）其他卫生健康管理事务支出（99）:指其他卫生健康管理事务支出。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15.卫生健康支出（210）计划生育事务（07）其他计划生育事务支出（99）:指其他计划生育事务支出。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卫生健康支出（210）行政单位医疗（11）行政单位医疗（01）:指反映财政部门集中安排的行政单位基本医疗保险经费，未参加医疗保险的行政单位的公费医疗经费，按国家规定享受离休人员、老红军战士待遇人员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17.卫生健康支出（210）行政单位医疗支出（11）公务员医疗补助（03）：指财政部门集中安排的公务员医疗补助。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18.卫生健康支出（210）行政单位医疗支出(11)其他行政单位医疗支出(99):指财政对其他医疗保险的补助支出。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19.节能环保支出（211）污染防治（03）水体（03）：指节能环保污染防治支出。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20.节能环保支出（211）自然生态保护（04）生态保护（01）：指节能环保自然生态保护支出。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21.城乡社区支出（212）城乡环境卫生（05）城乡环境卫生（01）：指城乡社区道路清扫、垃圾清运与处理、公厕建设与维护、园林绿化等方面的支出。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22.农林水支出（213）扶贫（05）农村基础设施建设（04）：指农村贫困地区乡道路、住房、基本农田、水利设施、人畜饮水、生态环境保护等改善人生产生活条件方面的支出。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23.农林水支出（213）农业（01）其他农业支出（99）：指其他用于农业方面的支出。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24.农林水支出（213）扶贫（05）农村基础设施建设（04）：指农村贫困地区乡道路、住房、基本农田、水利设施、人畜饮水、生态环境保护等改善人生产生活条件方面的支出。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25.农林水支出（213）扶贫（05）其他扶贫支出（99）：指其他用于扶贫方面的支出。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26.农林水支出（213）农村综合改革(07)对村民委员会和村党支部的补助(05)：指各级财政对村民委员会和村党支部的补助支出。</w:t>
      </w:r>
    </w:p>
    <w:p>
      <w:pPr>
        <w:ind w:firstLine="640" w:firstLineChars="200"/>
      </w:pPr>
      <w:r>
        <w:rPr>
          <w:rFonts w:hint="eastAsia" w:ascii="仿宋_GB2312" w:eastAsia="仿宋_GB2312"/>
          <w:color w:val="000000"/>
          <w:sz w:val="32"/>
          <w:szCs w:val="32"/>
        </w:rPr>
        <w:t>27.住房保障支出（221）住房改革支出（02）住房公积金（01）：指行政事业单位按人力资源和社会保障部、财政部规定的基本工资和津补贴依规定比例为职工缴纳住房公积金。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28.灾害防治及应急管理支出（224）应急管理事务（01）安全监管（06）：指应急管理安全监管支出。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cs="黑体"/>
          <w:sz w:val="32"/>
          <w:szCs w:val="32"/>
        </w:rPr>
      </w:pPr>
      <w:r>
        <w:rPr>
          <w:rFonts w:ascii="仿宋_GB2312" w:eastAsia="仿宋_GB2312"/>
          <w:sz w:val="32"/>
          <w:szCs w:val="32"/>
        </w:rPr>
        <w:t>3</w:t>
      </w: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仿宋_GB2312" w:eastAsia="仿宋_GB2312" w:cs="黑体"/>
          <w:sz w:val="32"/>
          <w:szCs w:val="32"/>
        </w:rPr>
      </w:pPr>
    </w:p>
    <w:p>
      <w:pPr>
        <w:spacing w:line="600" w:lineRule="exact"/>
        <w:jc w:val="center"/>
        <w:outlineLvl w:val="0"/>
        <w:rPr>
          <w:rStyle w:val="28"/>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8"/>
          <w:rFonts w:hint="eastAsia" w:ascii="黑体" w:hAnsi="黑体" w:eastAsia="黑体"/>
          <w:b w:val="0"/>
        </w:rPr>
        <w:t>四部分 附件</w:t>
      </w:r>
      <w:bookmarkEnd w:id="58"/>
    </w:p>
    <w:p>
      <w:pPr>
        <w:spacing w:line="600" w:lineRule="exact"/>
        <w:jc w:val="center"/>
        <w:outlineLvl w:val="0"/>
        <w:rPr>
          <w:rStyle w:val="28"/>
        </w:rPr>
      </w:pPr>
    </w:p>
    <w:p>
      <w:pPr>
        <w:pStyle w:val="4"/>
        <w:rPr>
          <w:rStyle w:val="28"/>
          <w:rFonts w:ascii="仿宋" w:hAnsi="仿宋" w:eastAsia="仿宋"/>
          <w:b w:val="0"/>
          <w:bCs w:val="0"/>
          <w:sz w:val="32"/>
          <w:szCs w:val="32"/>
        </w:rPr>
      </w:pPr>
      <w:bookmarkStart w:id="59" w:name="_Toc15396615"/>
      <w:r>
        <w:rPr>
          <w:rStyle w:val="28"/>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rPr>
        <w:t>罗依乡人民政府2019年部门整体支出绩效评价报告</w:t>
      </w:r>
      <w:bookmarkEnd w:id="60"/>
    </w:p>
    <w:p>
      <w:pPr>
        <w:spacing w:line="580" w:lineRule="exact"/>
        <w:ind w:firstLine="640" w:firstLineChars="200"/>
        <w:rPr>
          <w:rFonts w:ascii="黑体" w:hAnsi="黑体" w:eastAsia="黑体" w:cs="黑体"/>
          <w:sz w:val="32"/>
          <w:szCs w:val="32"/>
        </w:rPr>
      </w:pPr>
    </w:p>
    <w:p>
      <w:pPr>
        <w:widowControl/>
        <w:adjustRightInd w:val="0"/>
        <w:snapToGrid w:val="0"/>
        <w:spacing w:line="560" w:lineRule="exact"/>
        <w:ind w:firstLine="640"/>
        <w:jc w:val="left"/>
        <w:rPr>
          <w:rFonts w:ascii="黑体" w:hAnsi="黑体" w:eastAsia="黑体" w:cs="黑体"/>
          <w:color w:val="000000"/>
          <w:kern w:val="0"/>
          <w:sz w:val="32"/>
          <w:szCs w:val="32"/>
          <w:lang w:val="zh-CN"/>
        </w:rPr>
      </w:pPr>
      <w:r>
        <w:rPr>
          <w:rFonts w:hint="eastAsia" w:ascii="黑体" w:hAnsi="黑体" w:eastAsia="黑体" w:cs="黑体"/>
          <w:color w:val="000000"/>
          <w:kern w:val="0"/>
          <w:sz w:val="32"/>
          <w:szCs w:val="32"/>
        </w:rPr>
        <w:t>一、</w:t>
      </w:r>
      <w:r>
        <w:rPr>
          <w:rFonts w:hint="eastAsia" w:ascii="黑体" w:hAnsi="黑体" w:eastAsia="黑体" w:cs="黑体"/>
          <w:color w:val="000000"/>
          <w:kern w:val="0"/>
          <w:sz w:val="32"/>
          <w:szCs w:val="32"/>
          <w:lang w:val="zh-CN"/>
        </w:rPr>
        <w:t>部门（单位）概况</w:t>
      </w:r>
    </w:p>
    <w:p>
      <w:pPr>
        <w:widowControl/>
        <w:adjustRightInd w:val="0"/>
        <w:snapToGrid w:val="0"/>
        <w:spacing w:line="560" w:lineRule="exact"/>
        <w:ind w:firstLine="64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（一）机构组成。</w:t>
      </w:r>
    </w:p>
    <w:p>
      <w:pPr>
        <w:widowControl/>
        <w:adjustRightInd w:val="0"/>
        <w:snapToGrid w:val="0"/>
        <w:spacing w:line="560"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罗依乡人民政府统筹全乡人、财、物，整合乡政府所有人员和机构，除领导职位外，组建了一办两所三中心。党政办、财政所、司法所、社会事业服务中心、经济发展服务中心、就业和社会保障服务中心。</w:t>
      </w:r>
    </w:p>
    <w:p>
      <w:pPr>
        <w:widowControl/>
        <w:adjustRightInd w:val="0"/>
        <w:snapToGrid w:val="0"/>
        <w:spacing w:line="56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（二）机构职能。</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罗依乡党委政府的职能主要是：落实政策、促进发展、维护稳定、加强管理、提供服务五个方面。贯彻执行党的路线、方针、政策，讨论决定本乡经济建设和社会发展的重大问题；领导各部门和群众组织，依照国家法律法规及各自章程行使职权；加强乡党委自身建设和村级组织建设；按照干部管理权限，负责对干部的教育、培养、选拔和监督工作；密切联系群众，为全乡农村经济和社会事业发展服好务。</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（三）人员概况。</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现有编制26人。其中行政编制17人，事业编制6人，工勤编制3人。2019年底在职人员24人，其中行政15人，事业7人，工勤2人；离退休3人。</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黑体" w:hAnsi="黑体" w:eastAsia="黑体" w:cs="黑体"/>
          <w:bCs/>
          <w:sz w:val="32"/>
          <w:szCs w:val="32"/>
        </w:rPr>
        <w:t>二、单位整体支出管理及使用情况</w:t>
      </w:r>
    </w:p>
    <w:p>
      <w:pPr>
        <w:spacing w:line="560" w:lineRule="exact"/>
        <w:ind w:firstLine="64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pPr>
        <w:spacing w:line="56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2019年</w:t>
      </w:r>
      <w:r>
        <w:rPr>
          <w:rFonts w:hint="eastAsia" w:ascii="仿宋_GB2312" w:hAnsi="仿宋_GB2312" w:eastAsia="仿宋_GB2312" w:cs="仿宋_GB2312"/>
          <w:sz w:val="32"/>
          <w:szCs w:val="32"/>
          <w:lang w:val="zh-CN"/>
        </w:rPr>
        <w:t>收入总额为</w:t>
      </w:r>
      <w:r>
        <w:rPr>
          <w:rFonts w:hint="eastAsia" w:ascii="仿宋_GB2312" w:hAnsi="仿宋_GB2312" w:eastAsia="仿宋_GB2312" w:cs="仿宋_GB2312"/>
          <w:sz w:val="32"/>
          <w:szCs w:val="32"/>
        </w:rPr>
        <w:t>1552.73</w:t>
      </w:r>
      <w:r>
        <w:rPr>
          <w:rFonts w:hint="eastAsia" w:ascii="仿宋_GB2312" w:hAnsi="仿宋_GB2312" w:eastAsia="仿宋_GB2312" w:cs="仿宋_GB2312"/>
          <w:sz w:val="32"/>
          <w:szCs w:val="32"/>
          <w:lang w:val="zh-CN"/>
        </w:rPr>
        <w:t>万元，其中：当年财政拨款收入</w:t>
      </w:r>
      <w:r>
        <w:rPr>
          <w:rFonts w:hint="eastAsia" w:ascii="仿宋_GB2312" w:hAnsi="仿宋_GB2312" w:eastAsia="仿宋_GB2312" w:cs="仿宋_GB2312"/>
          <w:sz w:val="32"/>
          <w:szCs w:val="32"/>
        </w:rPr>
        <w:t>1552.73</w:t>
      </w:r>
      <w:r>
        <w:rPr>
          <w:rFonts w:hint="eastAsia" w:ascii="仿宋_GB2312" w:hAnsi="仿宋_GB2312" w:eastAsia="仿宋_GB2312" w:cs="仿宋_GB2312"/>
          <w:sz w:val="32"/>
          <w:szCs w:val="32"/>
          <w:lang w:val="zh-CN"/>
        </w:rPr>
        <w:t>万元，其中：一般公共服务支出</w:t>
      </w:r>
      <w:r>
        <w:rPr>
          <w:rFonts w:hint="eastAsia" w:ascii="仿宋_GB2312" w:hAnsi="仿宋_GB2312" w:eastAsia="仿宋_GB2312" w:cs="仿宋_GB2312"/>
          <w:sz w:val="32"/>
          <w:szCs w:val="32"/>
        </w:rPr>
        <w:t>348.69</w:t>
      </w:r>
      <w:r>
        <w:rPr>
          <w:rFonts w:hint="eastAsia" w:ascii="仿宋_GB2312" w:hAnsi="仿宋_GB2312" w:eastAsia="仿宋_GB2312" w:cs="仿宋_GB2312"/>
          <w:sz w:val="32"/>
          <w:szCs w:val="32"/>
          <w:lang w:val="zh-CN"/>
        </w:rPr>
        <w:t>万元，社会保障和就业支出</w:t>
      </w:r>
      <w:r>
        <w:rPr>
          <w:rFonts w:hint="eastAsia" w:ascii="仿宋_GB2312" w:hAnsi="仿宋_GB2312" w:eastAsia="仿宋_GB2312" w:cs="仿宋_GB2312"/>
          <w:sz w:val="32"/>
          <w:szCs w:val="32"/>
        </w:rPr>
        <w:t>36.08</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卫生健康支出25.98万元，城乡社区支出4.50</w:t>
      </w:r>
      <w:r>
        <w:rPr>
          <w:rFonts w:hint="eastAsia" w:ascii="仿宋_GB2312" w:hAnsi="仿宋_GB2312" w:eastAsia="仿宋_GB2312" w:cs="仿宋_GB2312"/>
          <w:sz w:val="32"/>
          <w:szCs w:val="32"/>
          <w:lang w:val="zh-CN"/>
        </w:rPr>
        <w:t>万元，农林水支出</w:t>
      </w:r>
      <w:r>
        <w:rPr>
          <w:rFonts w:hint="eastAsia" w:ascii="仿宋_GB2312" w:hAnsi="仿宋_GB2312" w:eastAsia="仿宋_GB2312" w:cs="仿宋_GB2312"/>
          <w:sz w:val="32"/>
          <w:szCs w:val="32"/>
        </w:rPr>
        <w:t>1105.83</w:t>
      </w:r>
      <w:r>
        <w:rPr>
          <w:rFonts w:hint="eastAsia" w:ascii="仿宋_GB2312" w:hAnsi="仿宋_GB2312" w:eastAsia="仿宋_GB2312" w:cs="仿宋_GB2312"/>
          <w:sz w:val="32"/>
          <w:szCs w:val="32"/>
          <w:lang w:val="zh-CN"/>
        </w:rPr>
        <w:t>万元，住房保障支出</w:t>
      </w:r>
      <w:r>
        <w:rPr>
          <w:rFonts w:hint="eastAsia" w:ascii="仿宋_GB2312" w:hAnsi="仿宋_GB2312" w:eastAsia="仿宋_GB2312" w:cs="仿宋_GB2312"/>
          <w:sz w:val="32"/>
          <w:szCs w:val="32"/>
        </w:rPr>
        <w:t>31.14</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灾害防治及应急管理支出0.5万元</w:t>
      </w:r>
      <w:r>
        <w:rPr>
          <w:rFonts w:hint="eastAsia" w:ascii="仿宋_GB2312" w:hAnsi="仿宋_GB2312" w:eastAsia="仿宋_GB2312" w:cs="仿宋_GB2312"/>
          <w:sz w:val="32"/>
          <w:szCs w:val="32"/>
          <w:lang w:val="zh-CN"/>
        </w:rPr>
        <w:t>。</w:t>
      </w:r>
    </w:p>
    <w:p>
      <w:pPr>
        <w:spacing w:line="560" w:lineRule="exact"/>
        <w:ind w:firstLine="64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（二）部门财政资金支出情况。</w:t>
      </w:r>
    </w:p>
    <w:p>
      <w:pPr>
        <w:spacing w:line="56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201</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zh-CN"/>
        </w:rPr>
        <w:t>年罗依乡支出总额为</w:t>
      </w:r>
      <w:r>
        <w:rPr>
          <w:rFonts w:hint="eastAsia" w:ascii="仿宋_GB2312" w:hAnsi="仿宋_GB2312" w:eastAsia="仿宋_GB2312" w:cs="仿宋_GB2312"/>
          <w:sz w:val="32"/>
          <w:szCs w:val="32"/>
        </w:rPr>
        <w:t>1382.49</w:t>
      </w:r>
      <w:r>
        <w:rPr>
          <w:rFonts w:hint="eastAsia" w:ascii="仿宋_GB2312" w:hAnsi="仿宋_GB2312" w:eastAsia="仿宋_GB2312" w:cs="仿宋_GB2312"/>
          <w:sz w:val="32"/>
          <w:szCs w:val="32"/>
          <w:lang w:val="zh-CN"/>
        </w:rPr>
        <w:t>万元，其中：基本支出</w:t>
      </w:r>
      <w:r>
        <w:rPr>
          <w:rFonts w:hint="eastAsia" w:ascii="仿宋_GB2312" w:hAnsi="仿宋_GB2312" w:eastAsia="仿宋_GB2312" w:cs="仿宋_GB2312"/>
          <w:sz w:val="32"/>
          <w:szCs w:val="32"/>
        </w:rPr>
        <w:t>391.11</w:t>
      </w:r>
      <w:r>
        <w:rPr>
          <w:rFonts w:hint="eastAsia" w:ascii="仿宋_GB2312" w:hAnsi="仿宋_GB2312" w:eastAsia="仿宋_GB2312" w:cs="仿宋_GB2312"/>
          <w:sz w:val="32"/>
          <w:szCs w:val="32"/>
          <w:lang w:val="zh-CN"/>
        </w:rPr>
        <w:t>万元，项目支出</w:t>
      </w:r>
      <w:r>
        <w:rPr>
          <w:rFonts w:hint="eastAsia" w:ascii="仿宋_GB2312" w:hAnsi="仿宋_GB2312" w:eastAsia="仿宋_GB2312" w:cs="仿宋_GB2312"/>
          <w:sz w:val="32"/>
          <w:szCs w:val="32"/>
        </w:rPr>
        <w:t>991.38</w:t>
      </w:r>
      <w:r>
        <w:rPr>
          <w:rFonts w:hint="eastAsia" w:ascii="仿宋_GB2312" w:hAnsi="仿宋_GB2312" w:eastAsia="仿宋_GB2312" w:cs="仿宋_GB2312"/>
          <w:sz w:val="32"/>
          <w:szCs w:val="32"/>
          <w:lang w:val="zh-CN"/>
        </w:rPr>
        <w:t>万元。严格控制“三公经费”管理，严格实行公务卡消费，公务用车运行维护费用为</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zh-CN"/>
        </w:rPr>
        <w:t>万元;公务接待费0万元；无因公出国境费用支出。</w:t>
      </w:r>
    </w:p>
    <w:p>
      <w:pPr>
        <w:spacing w:line="560" w:lineRule="exact"/>
        <w:ind w:firstLine="640"/>
        <w:rPr>
          <w:rFonts w:ascii="黑体" w:hAnsi="黑体" w:eastAsia="黑体" w:cs="黑体"/>
          <w:bCs/>
          <w:sz w:val="32"/>
          <w:szCs w:val="32"/>
        </w:rPr>
      </w:pPr>
      <w:r>
        <w:rPr>
          <w:rFonts w:hint="eastAsia" w:ascii="黑体" w:hAnsi="黑体" w:eastAsia="黑体" w:cs="黑体"/>
          <w:bCs/>
          <w:sz w:val="32"/>
          <w:szCs w:val="32"/>
        </w:rPr>
        <w:t>三、单位专项组织实施情况</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（一）预决算编制情况。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罗依乡及时进行预决算的编制，对本年度相应用款进行及时清理和处理，做到账账相符、账实相符、账证相符,按先有预算再有支出的原则，及时处理相关事务；对绩效目标进行季度梳理和年度分析，及时上报相关报表；对专项预算提前细化，分科目上报，做到收支平衡。</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（二）执行管理情况。</w:t>
      </w:r>
    </w:p>
    <w:p>
      <w:pPr>
        <w:spacing w:line="560" w:lineRule="exact"/>
        <w:ind w:firstLine="56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罗依乡政府严格按照县财政的要求，及时分月、分季度上报相应计划，待财政审核通过后，严格按计划执行，各季度执行情况良好。 严格遵守县财政局经费来源和分配、管理、使用原则。一是规范账户管理。单位允许设立一个银行账户。严禁公款私存、私设小金库和账外账，所有资金收支必须在一个银行账户中反映。实行银行账户监管和定期报送县财政局审查、监管制度。二是严格遵守支出审批制度。按照“量力而行、量入为出”的原则，合理安排经费。各科室安排工作涉及2000元以上支出的，需事先编制工作方案，经分管财务的领导审核后实施。所有票据由经办人、科室负责人签署意见，送财务室对票据的合法性、支出的真实性进行审核，报分管财务领导审核。单项支出金额无论大小，均由分管财务的领导审核后，报主要领导审批。公务支出一律使用公务卡支付。无划卡条件的，原则上采取银行转账方式支付。三是严格遵守财务内审和监督制度。我乡历来高度重视内部财务管理，建立了内部财务管理制度。内部财务管理制度中包含了经费管理、经费审批、借款管理、现金及支票管理和财务管理五个方面。对“三公经费”、会议费、公务卡强制接算目录制度等进行了完善，单位领导干部加强对财政预算资金的管理，机关干部、职工都严格遵守财经纪律，严格按照财务管理制度照章办事，没有发生违反财经纪律、违反财务管理制度的情况。同时，在开支控制、办公用品采购、大宗印刷管理、公车改革、车辆租赁等方面严格执行相关制度。</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 xml:space="preserve"> 四、单位整体支出绩效情况</w:t>
      </w:r>
    </w:p>
    <w:p>
      <w:pPr>
        <w:spacing w:line="56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1、部门支出绩效。</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（1）行政运转保障。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罗依乡人民政府部门支出主要用于保障该部门机构正常运转、完成日常工作任务以及承担我乡事业发展等相关工作。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基本支出，是用于保障我单位机关、下属事业单位等机构正常运转的日常支出，包括基本工资、津贴补贴等人员经费以及办公费、印刷费、水电费等日常公用经费。</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项目支出，是用于我单位机关、下属事业单位等机构为完成特定的行政工作任务或事业发展目标，用于专项业务工作的经费支出。</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（2）机关厉行节约。</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因公出国（境）费2019年预算安排0万元，与2018年预算持平。公务接待费2018年预算安排0万元，较2018年预算减少，主要原因是严格执行厉行节约的要求。公务用车购置及运行维护费2019年预算安排5万元，与2018年预算持平。单位共有公务用车2辆，其中：越野车1辆，多功能乘用车1辆。2019年安排公务用车运行维护费5万元，用于2辆公务用车燃油、维修、保险等方面支出，主要保障护林防火、地质灾害防治等工作。2019年安排公务用车购置0万元。</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（3）机关节能降耗。</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罗依乡政府机关严格按照勤俭节约的原则，节约用水用电，全年水费支出0万元，电费支出1.06万元。</w:t>
      </w:r>
    </w:p>
    <w:p>
      <w:pPr>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zh-CN"/>
        </w:rPr>
        <w:t>整体绩效。</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（1）职责履行情况。在县委、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政府的坚强领导下，罗依乡紧紧围绕“稳中求进、好中求快”的总体要求，按照“四个年”建设目标任务，找准定位、发挥地理区域优势，确保全力打赢脱贫攻坚、灾后重建、平安创建、党建提升等攻坚战。</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（2）项目资金管理情况。乡政府项目资金管理严格按照用款计划，分月、季度执行，按照项目资金管理办法实行专款专用。</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（3）绩效目标完成情况。按照年初预算项目，实施完成后使全乡环境更优美、经济更稳定、社会更和谐，达到预期经济、社会目标。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3、财务管理情况。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乡政府按照岗位职责，严格执行机关财务管理制度，及时进行会计核算，对项目资金、政府采购进行公开公示，接受群众监督。</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4、绩效管理工作开展情况。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乡绩效管理严格按照上级部门要求，开展自评工作，对评价结果及时总结上报。</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五、存在的主要问题</w:t>
      </w:r>
    </w:p>
    <w:p>
      <w:pPr>
        <w:spacing w:line="56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（一）评价结论。</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乡政府按照预算法按时完成预决算编制。在执行过程中有计划进行资金申报使用，完善资金管理及内部控制制度，确保资金安全，做到账款、账账、账实相符。为全乡经济和社会事业发展提供资金保障。</w:t>
      </w:r>
    </w:p>
    <w:p>
      <w:pPr>
        <w:spacing w:line="56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（二）存在问题。</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在资金使用计划和进度上有待进一步加强。</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六、改进措施和有关建议</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在今后工作中，进一步提高工作效率，</w:t>
      </w:r>
      <w:r>
        <w:rPr>
          <w:rFonts w:hint="eastAsia" w:ascii="仿宋_GB2312" w:hAnsi="仿宋_GB2312" w:eastAsia="仿宋_GB2312" w:cs="仿宋_GB2312"/>
          <w:bCs/>
          <w:sz w:val="32"/>
          <w:szCs w:val="32"/>
        </w:rPr>
        <w:t>完善财务制度，规范财经纪律，加大使用公务卡结算率，严格控制资金使用，</w:t>
      </w:r>
      <w:r>
        <w:rPr>
          <w:rFonts w:hint="eastAsia" w:ascii="仿宋_GB2312" w:hAnsi="仿宋_GB2312" w:eastAsia="仿宋_GB2312" w:cs="仿宋_GB2312"/>
          <w:sz w:val="32"/>
          <w:szCs w:val="32"/>
        </w:rPr>
        <w:t>把有限的资金用在刀忍上，加强财务人员的培训，提高财务人员专业素质，为全乡经济和社会事业发展更好地服好务。</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4"/>
        <w:rPr>
          <w:rStyle w:val="28"/>
          <w:rFonts w:ascii="仿宋" w:hAnsi="仿宋" w:eastAsia="仿宋"/>
          <w:b w:val="0"/>
          <w:bCs w:val="0"/>
          <w:sz w:val="32"/>
          <w:szCs w:val="32"/>
        </w:rPr>
      </w:pPr>
      <w:bookmarkStart w:id="61" w:name="_Toc15396617"/>
      <w:r>
        <w:rPr>
          <w:rStyle w:val="28"/>
          <w:rFonts w:hint="eastAsia" w:ascii="仿宋" w:hAnsi="仿宋" w:eastAsia="仿宋"/>
          <w:b w:val="0"/>
          <w:bCs w:val="0"/>
          <w:sz w:val="32"/>
          <w:szCs w:val="32"/>
        </w:rPr>
        <w:t>附件2</w:t>
      </w:r>
      <w:bookmarkEnd w:id="61"/>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2019年基层政权建设补助项目支出绩效</w:t>
      </w: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评价报告</w:t>
      </w:r>
    </w:p>
    <w:p>
      <w:pPr>
        <w:spacing w:line="580" w:lineRule="exact"/>
        <w:ind w:firstLine="640" w:firstLineChars="200"/>
        <w:rPr>
          <w:rFonts w:ascii="仿宋_GB2312" w:hAnsi="仿宋_GB2312" w:eastAsia="仿宋_GB2312" w:cs="仿宋_GB2312"/>
          <w:sz w:val="32"/>
          <w:szCs w:val="32"/>
        </w:rPr>
      </w:pPr>
    </w:p>
    <w:p>
      <w:pPr>
        <w:rPr>
          <w:rFonts w:ascii="黑体" w:hAnsi="黑体" w:eastAsia="黑体" w:cs="黑体"/>
          <w:sz w:val="32"/>
          <w:szCs w:val="32"/>
        </w:rPr>
      </w:pPr>
      <w:bookmarkStart w:id="62" w:name="_Toc15396618"/>
      <w:r>
        <w:rPr>
          <w:rFonts w:hint="eastAsia" w:ascii="黑体" w:hAnsi="黑体" w:eastAsia="黑体" w:cs="黑体"/>
          <w:sz w:val="32"/>
          <w:szCs w:val="32"/>
        </w:rPr>
        <w:t>一、项目概况</w:t>
      </w:r>
    </w:p>
    <w:p>
      <w:pPr>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（一）项目资金申报及批复情况。</w:t>
      </w:r>
      <w:r>
        <w:rPr>
          <w:rFonts w:hint="eastAsia" w:ascii="仿宋_GB2312" w:hAnsi="仿宋_GB2312" w:eastAsia="仿宋_GB2312" w:cs="仿宋_GB2312"/>
          <w:sz w:val="32"/>
          <w:szCs w:val="32"/>
        </w:rPr>
        <w:t>2019年由原罗依乡上报乡政府2019年基层政权建设内容及预算，根据（阿州财预〔2019〕53号）文件下达2019年基层政权建设资金380000元。由于2019年底撤乡并镇，将罗依乡与双河镇合并。双河镇根据《双河镇人民政府关于调整基层政权建设资金使用用途的请示》（双河府〔2019〕53号）向县人民政府提出申请，将原罗依乡2019年基层政权建设补助项目更改为双河镇实施，县人民政府进行了批复。根据《双河镇人民政府关于使用基层政权建设资金采购办公及厨房设施设备的请示》（双河府〔2020〕66号）文件，此项目计划采购办公椅、空调、沙发和厨房设施设备等。</w:t>
      </w:r>
    </w:p>
    <w:p>
      <w:pPr>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（二）项目绩效目标。</w:t>
      </w:r>
      <w:r>
        <w:rPr>
          <w:rFonts w:hint="eastAsia" w:ascii="仿宋_GB2312" w:hAnsi="仿宋_GB2312" w:eastAsia="仿宋_GB2312" w:cs="仿宋_GB2312"/>
          <w:sz w:val="32"/>
          <w:szCs w:val="32"/>
        </w:rPr>
        <w:t>项目主要内容为：双河镇办公设备及厨房设备采购。包括办公椅、空调、沙发和厨房设施设备等。项目的实施能够更好的完善乡政府办公、取暖设备，提高办事效率，保障职工生活质量。</w:t>
      </w:r>
    </w:p>
    <w:p>
      <w:pPr>
        <w:ind w:firstLine="643" w:firstLineChars="200"/>
        <w:rPr>
          <w:rFonts w:ascii="仿宋" w:hAnsi="仿宋" w:eastAsia="仿宋" w:cs="仿宋"/>
          <w:sz w:val="32"/>
          <w:szCs w:val="32"/>
        </w:rPr>
      </w:pPr>
      <w:r>
        <w:rPr>
          <w:rFonts w:hint="eastAsia" w:ascii="楷体" w:hAnsi="楷体" w:eastAsia="楷体" w:cs="楷体"/>
          <w:b/>
          <w:bCs/>
          <w:sz w:val="32"/>
          <w:szCs w:val="32"/>
        </w:rPr>
        <w:t>（三）项目资金申报相符性。</w:t>
      </w:r>
      <w:r>
        <w:rPr>
          <w:rFonts w:hint="eastAsia" w:ascii="仿宋_GB2312" w:hAnsi="仿宋_GB2312" w:eastAsia="仿宋_GB2312" w:cs="仿宋_GB2312"/>
          <w:sz w:val="32"/>
          <w:szCs w:val="32"/>
        </w:rPr>
        <w:t>项目根据我镇政府实际情况申报，且按照程序全部实现政府采购。</w:t>
      </w:r>
    </w:p>
    <w:p>
      <w:pPr>
        <w:rPr>
          <w:rFonts w:ascii="黑体" w:hAnsi="黑体" w:eastAsia="黑体" w:cs="黑体"/>
          <w:sz w:val="32"/>
          <w:szCs w:val="32"/>
        </w:rPr>
      </w:pPr>
      <w:r>
        <w:rPr>
          <w:rFonts w:hint="eastAsia" w:ascii="黑体" w:hAnsi="黑体" w:eastAsia="黑体" w:cs="黑体"/>
          <w:sz w:val="32"/>
          <w:szCs w:val="32"/>
        </w:rPr>
        <w:t xml:space="preserve">    二、项目实施及管理情况</w:t>
      </w:r>
    </w:p>
    <w:p>
      <w:pPr>
        <w:rPr>
          <w:rFonts w:ascii="楷体" w:hAnsi="楷体" w:eastAsia="楷体" w:cs="楷体"/>
          <w:b/>
          <w:bCs/>
          <w:sz w:val="32"/>
          <w:szCs w:val="32"/>
        </w:rPr>
      </w:pPr>
      <w:r>
        <w:rPr>
          <w:rFonts w:hint="eastAsia" w:ascii="仿宋" w:hAnsi="仿宋" w:eastAsia="仿宋" w:cs="仿宋"/>
          <w:sz w:val="32"/>
          <w:szCs w:val="32"/>
        </w:rPr>
        <w:tab/>
      </w:r>
      <w:r>
        <w:rPr>
          <w:rFonts w:hint="eastAsia" w:ascii="楷体" w:hAnsi="楷体" w:eastAsia="楷体" w:cs="楷体"/>
          <w:b/>
          <w:bCs/>
          <w:sz w:val="32"/>
          <w:szCs w:val="32"/>
        </w:rPr>
        <w:t>（一）资金计划、到位及使用情况。</w:t>
      </w:r>
    </w:p>
    <w:p>
      <w:pPr>
        <w:ind w:firstLine="640" w:firstLineChars="200"/>
        <w:rPr>
          <w:rFonts w:ascii="仿宋_GB2312" w:hAnsi="仿宋_GB2312" w:eastAsia="仿宋_GB2312" w:cs="仿宋_GB2312"/>
          <w:sz w:val="32"/>
          <w:szCs w:val="32"/>
        </w:rPr>
      </w:pPr>
      <w:r>
        <w:rPr>
          <w:rFonts w:hint="eastAsia" w:ascii="楷体" w:hAnsi="楷体" w:eastAsia="楷体" w:cs="楷体"/>
          <w:sz w:val="32"/>
          <w:szCs w:val="32"/>
        </w:rPr>
        <w:t>1．资金计划及到位。</w:t>
      </w:r>
      <w:r>
        <w:rPr>
          <w:rFonts w:hint="eastAsia" w:ascii="仿宋_GB2312" w:hAnsi="仿宋_GB2312" w:eastAsia="仿宋_GB2312" w:cs="仿宋_GB2312"/>
          <w:sz w:val="32"/>
          <w:szCs w:val="32"/>
        </w:rPr>
        <w:t>该项目各类资金计划及截止评价时点实际全部到位，资金按照镇政府预算全额下达，资金到位率高、到位及时。</w:t>
      </w:r>
    </w:p>
    <w:p>
      <w:pPr>
        <w:ind w:firstLine="640" w:firstLineChars="200"/>
        <w:rPr>
          <w:rFonts w:ascii="仿宋_GB2312" w:hAnsi="仿宋_GB2312" w:eastAsia="仿宋_GB2312" w:cs="仿宋_GB2312"/>
          <w:sz w:val="32"/>
          <w:szCs w:val="32"/>
        </w:rPr>
      </w:pPr>
      <w:r>
        <w:rPr>
          <w:rFonts w:hint="eastAsia" w:ascii="仿宋" w:hAnsi="仿宋" w:eastAsia="仿宋" w:cs="仿宋"/>
          <w:sz w:val="32"/>
          <w:szCs w:val="32"/>
        </w:rPr>
        <w:t>2．资金使用。</w:t>
      </w:r>
      <w:r>
        <w:rPr>
          <w:rFonts w:hint="eastAsia" w:ascii="仿宋_GB2312" w:hAnsi="仿宋_GB2312" w:eastAsia="仿宋_GB2312" w:cs="仿宋_GB2312"/>
          <w:sz w:val="32"/>
          <w:szCs w:val="32"/>
        </w:rPr>
        <w:t>截止评价时点项目资金的实际支出368460元，剩余质保金11340元，支付依据合规合法，资金支付与预算相符。结余资金200元在大平台。</w:t>
      </w:r>
    </w:p>
    <w:p>
      <w:pPr>
        <w:ind w:firstLine="643" w:firstLineChars="200"/>
        <w:rPr>
          <w:rFonts w:ascii="楷体" w:hAnsi="楷体" w:eastAsia="楷体" w:cs="楷体"/>
          <w:b/>
          <w:bCs/>
          <w:sz w:val="32"/>
          <w:szCs w:val="32"/>
        </w:rPr>
      </w:pPr>
      <w:r>
        <w:rPr>
          <w:rFonts w:hint="eastAsia" w:ascii="楷体" w:hAnsi="楷体" w:eastAsia="楷体" w:cs="楷体"/>
          <w:b/>
          <w:bCs/>
          <w:sz w:val="32"/>
          <w:szCs w:val="32"/>
        </w:rPr>
        <w:t>（二）项目财务管理情况。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该项目的实施严格执行财务管理制度，做到及时报账、及时核算，并及时处理固定资产账务。</w:t>
      </w:r>
    </w:p>
    <w:p>
      <w:pPr>
        <w:ind w:firstLine="643" w:firstLineChars="200"/>
        <w:rPr>
          <w:rFonts w:ascii="楷体" w:hAnsi="楷体" w:eastAsia="楷体" w:cs="楷体"/>
          <w:b/>
          <w:bCs/>
          <w:sz w:val="32"/>
          <w:szCs w:val="32"/>
        </w:rPr>
      </w:pPr>
      <w:r>
        <w:rPr>
          <w:rFonts w:hint="eastAsia" w:ascii="楷体" w:hAnsi="楷体" w:eastAsia="楷体" w:cs="楷体"/>
          <w:b/>
          <w:bCs/>
          <w:sz w:val="32"/>
          <w:szCs w:val="32"/>
        </w:rPr>
        <w:t>（三）项目组织实施情况。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项目严格按照采购相关规定程序，全部进行政府采购。</w:t>
      </w:r>
    </w:p>
    <w:p>
      <w:pPr>
        <w:rPr>
          <w:rFonts w:ascii="黑体" w:hAnsi="黑体" w:eastAsia="黑体" w:cs="黑体"/>
          <w:sz w:val="32"/>
          <w:szCs w:val="32"/>
        </w:rPr>
      </w:pPr>
      <w:r>
        <w:rPr>
          <w:rFonts w:hint="eastAsia" w:ascii="黑体" w:hAnsi="黑体" w:eastAsia="黑体" w:cs="黑体"/>
          <w:sz w:val="32"/>
          <w:szCs w:val="32"/>
        </w:rPr>
        <w:t xml:space="preserve">    三、项目绩效情况</w:t>
      </w:r>
      <w:r>
        <w:rPr>
          <w:rFonts w:hint="eastAsia" w:ascii="黑体" w:hAnsi="黑体" w:eastAsia="黑体" w:cs="黑体"/>
          <w:sz w:val="32"/>
          <w:szCs w:val="32"/>
        </w:rPr>
        <w:tab/>
      </w:r>
    </w:p>
    <w:p>
      <w:pPr>
        <w:ind w:firstLine="643" w:firstLineChars="200"/>
        <w:rPr>
          <w:rFonts w:ascii="楷体" w:hAnsi="楷体" w:eastAsia="楷体" w:cs="楷体"/>
          <w:b/>
          <w:bCs/>
          <w:sz w:val="32"/>
          <w:szCs w:val="32"/>
        </w:rPr>
      </w:pPr>
      <w:r>
        <w:rPr>
          <w:rFonts w:hint="eastAsia" w:ascii="楷体" w:hAnsi="楷体" w:eastAsia="楷体" w:cs="楷体"/>
          <w:b/>
          <w:bCs/>
          <w:sz w:val="32"/>
          <w:szCs w:val="32"/>
        </w:rPr>
        <w:t>（一）项目完成情况。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项目完全按照双河镇上报财政局基层政权建设内容实施，包括办公椅、空调、沙发和厨房设施设备等的采购。所有设备的采买全部通过政府采购，网上竞价，以最底价中标完成。</w:t>
      </w:r>
    </w:p>
    <w:p>
      <w:pPr>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（二）项目效益情况</w:t>
      </w:r>
      <w:r>
        <w:rPr>
          <w:rFonts w:hint="eastAsia" w:ascii="仿宋" w:hAnsi="仿宋" w:eastAsia="仿宋" w:cs="仿宋"/>
          <w:sz w:val="32"/>
          <w:szCs w:val="32"/>
        </w:rPr>
        <w:t>。</w:t>
      </w:r>
      <w:r>
        <w:rPr>
          <w:rFonts w:hint="eastAsia" w:ascii="仿宋_GB2312" w:hAnsi="仿宋_GB2312" w:eastAsia="仿宋_GB2312" w:cs="仿宋_GB2312"/>
          <w:sz w:val="32"/>
          <w:szCs w:val="32"/>
        </w:rPr>
        <w:t>项目的实施有效地解决了镇政府办公设备及厨房设备老旧欠缺的问题，有利于日常工作的顺利开展，提高了办事效率，保障了职工生活质量，改善了职工工作环境，提高了管理水平，给干部职工提供良好的生活环境。</w:t>
      </w:r>
    </w:p>
    <w:p>
      <w:pPr>
        <w:rPr>
          <w:rFonts w:ascii="黑体" w:hAnsi="黑体" w:eastAsia="黑体" w:cs="黑体"/>
          <w:b/>
          <w:bCs/>
          <w:sz w:val="32"/>
          <w:szCs w:val="32"/>
        </w:rPr>
      </w:pPr>
      <w:r>
        <w:rPr>
          <w:rFonts w:hint="eastAsia" w:ascii="黑体" w:hAnsi="黑体" w:eastAsia="黑体" w:cs="黑体"/>
          <w:b/>
          <w:bCs/>
          <w:sz w:val="32"/>
          <w:szCs w:val="32"/>
        </w:rPr>
        <w:t xml:space="preserve">    四、问题及建议</w:t>
      </w:r>
    </w:p>
    <w:p>
      <w:pPr>
        <w:rPr>
          <w:rFonts w:ascii="楷体" w:hAnsi="楷体" w:eastAsia="楷体" w:cs="楷体"/>
          <w:b/>
          <w:bCs/>
          <w:sz w:val="32"/>
          <w:szCs w:val="32"/>
        </w:rPr>
      </w:pPr>
      <w:r>
        <w:rPr>
          <w:rFonts w:hint="eastAsia" w:ascii="楷体" w:hAnsi="楷体" w:eastAsia="楷体" w:cs="楷体"/>
          <w:b/>
          <w:bCs/>
          <w:sz w:val="32"/>
          <w:szCs w:val="32"/>
        </w:rPr>
        <w:t xml:space="preserve">    （一）存在的问题。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无。</w:t>
      </w:r>
    </w:p>
    <w:p>
      <w:pPr>
        <w:rPr>
          <w:rFonts w:ascii="楷体" w:hAnsi="楷体" w:eastAsia="楷体" w:cs="楷体"/>
          <w:b/>
          <w:bCs/>
          <w:sz w:val="32"/>
          <w:szCs w:val="32"/>
        </w:rPr>
      </w:pPr>
      <w:r>
        <w:rPr>
          <w:rFonts w:hint="eastAsia" w:ascii="楷体" w:hAnsi="楷体" w:eastAsia="楷体" w:cs="楷体"/>
          <w:b/>
          <w:bCs/>
          <w:sz w:val="32"/>
          <w:szCs w:val="32"/>
        </w:rPr>
        <w:t xml:space="preserve">    （二）相关建议。</w:t>
      </w: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定期对设备进行清查，及时更新淘汰产品，提高办公效率。</w:t>
      </w:r>
    </w:p>
    <w:p>
      <w:pPr>
        <w:spacing w:line="580" w:lineRule="exact"/>
        <w:jc w:val="center"/>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pStyle w:val="15"/>
        <w:ind w:firstLine="880"/>
        <w:rPr>
          <w:rFonts w:ascii="黑体" w:hAnsi="黑体" w:eastAsia="黑体" w:cs="方正小标宋简体"/>
          <w:sz w:val="44"/>
          <w:szCs w:val="44"/>
        </w:rPr>
      </w:pPr>
    </w:p>
    <w:p>
      <w:pPr>
        <w:spacing w:line="580" w:lineRule="exact"/>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2019年基层组织活动和公共服务运行补助项目支出绩效评价报告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spacing w:line="580" w:lineRule="exact"/>
        <w:ind w:firstLine="640" w:firstLineChars="200"/>
        <w:rPr>
          <w:rFonts w:ascii="仿宋_GB2312" w:hAnsi="仿宋_GB2312" w:eastAsia="仿宋_GB2312" w:cs="仿宋_GB2312"/>
          <w:sz w:val="32"/>
          <w:szCs w:val="32"/>
          <w:lang w:val="zh-CN"/>
        </w:rPr>
      </w:pPr>
      <w:r>
        <w:rPr>
          <w:rFonts w:hint="eastAsia" w:ascii="仿宋" w:hAnsi="仿宋" w:eastAsia="仿宋" w:cs="仿宋_GB2312"/>
          <w:sz w:val="32"/>
          <w:szCs w:val="32"/>
        </w:rPr>
        <w:t>基</w:t>
      </w:r>
      <w:r>
        <w:rPr>
          <w:rFonts w:hint="eastAsia" w:ascii="仿宋_GB2312" w:hAnsi="仿宋_GB2312" w:eastAsia="仿宋_GB2312" w:cs="仿宋_GB2312"/>
          <w:sz w:val="32"/>
          <w:szCs w:val="32"/>
        </w:rPr>
        <w:t>层组织活动和公共服务运行补助是为加强藏区基层组织建设，提高藏区村（社区）公共服务能力和社会管理水平，建立藏区基层组织活动和公共服务运行经费保障机制。</w:t>
      </w:r>
    </w:p>
    <w:p>
      <w:pPr>
        <w:spacing w:line="580" w:lineRule="exact"/>
        <w:ind w:firstLine="643" w:firstLineChars="200"/>
        <w:rPr>
          <w:rFonts w:ascii="仿宋" w:hAnsi="仿宋" w:eastAsia="仿宋" w:cs="仿宋_GB2312"/>
          <w:sz w:val="32"/>
          <w:szCs w:val="32"/>
          <w:lang w:val="zh-CN"/>
        </w:rPr>
      </w:pPr>
      <w:r>
        <w:rPr>
          <w:rFonts w:hint="eastAsia" w:ascii="仿宋" w:hAnsi="仿宋" w:eastAsia="仿宋" w:cs="仿宋_GB2312"/>
          <w:b/>
          <w:bCs/>
          <w:sz w:val="32"/>
          <w:szCs w:val="32"/>
          <w:lang w:val="zh-CN"/>
        </w:rPr>
        <w:t>（一）项目资金申报及批复情况。</w:t>
      </w:r>
      <w:r>
        <w:rPr>
          <w:rFonts w:hint="eastAsia" w:ascii="仿宋" w:hAnsi="仿宋" w:eastAsia="仿宋" w:cs="仿宋_GB2312"/>
          <w:sz w:val="32"/>
          <w:szCs w:val="32"/>
        </w:rPr>
        <w:t>根据《阿坝州财政局关于提前下达2019年基层组织活动和公共服务运行经费通知》（阿州财基〔2018〕27号）及《九寨沟县财政局关于提前下达2019年基层组织活动和公共服务运行经费的通知》（九财〔2018〕392号）文件下达我镇2019年基层组织活动和公共服务运行补助经费10个行政村60万元；根据《阿坝州财政局关于下达2019年基层组织活动和公共服务运行经费州级补助资金的通知》（阿州财基〔2019〕3号）及《九寨沟县财政局关于下达2019年基层组织活动和公共服务运行经费州级补助资金的通知》（九财〔2019〕55号）文件下达我镇2019年基层组织活动和公共服务运行补助经费10个行政村20万元；根据《关于批复2019年县级部门预算的通知》（九财〔2019〕2号）及阿州财基〔2018〕7号文件精神，九寨沟县财政局《关于下达2019年藏区基层组织活动和公共服务运行补助经费的通知》（九财预〔2019〕1号）下达我镇2019年藏区基层组织活动和公共服务运行补助经费县级配套资金10个行政村20万元。</w:t>
      </w:r>
    </w:p>
    <w:p>
      <w:pPr>
        <w:spacing w:line="58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lang w:val="zh-CN"/>
        </w:rPr>
        <w:t>（二）项目绩效目标。</w:t>
      </w:r>
      <w:r>
        <w:rPr>
          <w:rFonts w:hint="eastAsia" w:ascii="仿宋" w:hAnsi="仿宋" w:eastAsia="仿宋" w:cs="仿宋_GB2312"/>
          <w:sz w:val="32"/>
          <w:szCs w:val="32"/>
        </w:rPr>
        <w:t>补助资金主要用于保障村党组织正常开展活动、村公共服务运行维护和办公运转，具体为：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1.基层组织活动。主要包括基层党组织开展活动，党员干部教育培训，激励创先争优，走访慰问，群团活动开展，组织活动场所维护等；</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2.公共服务运维。主要包括农村基础设施和环境类、农业生产服务类、农村生活服务类、农村社会管理类项目的运行维护；</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3.日常办公运转。主要包括必要的办公用品费、水电费、报刊征订费等维持村（社区）正常运转以及村务监督委员会等其他形式村务机构开展工作所必需的支出。</w:t>
      </w:r>
    </w:p>
    <w:p>
      <w:pPr>
        <w:spacing w:line="580" w:lineRule="exact"/>
        <w:ind w:firstLine="643" w:firstLineChars="200"/>
        <w:rPr>
          <w:rFonts w:ascii="仿宋" w:hAnsi="仿宋" w:eastAsia="仿宋" w:cs="仿宋_GB2312"/>
          <w:sz w:val="32"/>
          <w:szCs w:val="32"/>
          <w:lang w:val="zh-CN"/>
        </w:rPr>
      </w:pPr>
      <w:r>
        <w:rPr>
          <w:rFonts w:hint="eastAsia" w:ascii="仿宋" w:hAnsi="仿宋" w:eastAsia="仿宋" w:cs="仿宋_GB2312"/>
          <w:b/>
          <w:bCs/>
          <w:sz w:val="32"/>
          <w:szCs w:val="32"/>
          <w:lang w:val="zh-CN"/>
        </w:rPr>
        <w:t>（三）项目资金申报相符性。</w:t>
      </w:r>
      <w:r>
        <w:rPr>
          <w:rFonts w:hint="eastAsia" w:ascii="仿宋" w:hAnsi="仿宋" w:eastAsia="仿宋" w:cs="仿宋_GB2312"/>
          <w:sz w:val="32"/>
          <w:szCs w:val="32"/>
          <w:lang w:val="zh-CN"/>
        </w:rPr>
        <w:t>项目申报内容与具体实施内容相符，申报目标是合理可行</w:t>
      </w:r>
      <w:r>
        <w:rPr>
          <w:rFonts w:hint="eastAsia" w:ascii="仿宋" w:hAnsi="仿宋" w:eastAsia="仿宋" w:cs="仿宋_GB2312"/>
          <w:sz w:val="32"/>
          <w:szCs w:val="32"/>
        </w:rPr>
        <w:t>的</w:t>
      </w:r>
      <w:r>
        <w:rPr>
          <w:rFonts w:hint="eastAsia" w:ascii="仿宋" w:hAnsi="仿宋" w:eastAsia="仿宋" w:cs="仿宋_GB2312"/>
          <w:sz w:val="32"/>
          <w:szCs w:val="32"/>
          <w:lang w:val="zh-CN"/>
        </w:rPr>
        <w:t>。</w:t>
      </w:r>
    </w:p>
    <w:p>
      <w:pPr>
        <w:spacing w:line="58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二、项目实施及管理情况</w:t>
      </w:r>
    </w:p>
    <w:p>
      <w:pPr>
        <w:spacing w:line="580" w:lineRule="exact"/>
        <w:ind w:firstLine="643" w:firstLineChars="200"/>
        <w:rPr>
          <w:rFonts w:ascii="仿宋" w:hAnsi="仿宋" w:eastAsia="仿宋" w:cs="仿宋_GB2312"/>
          <w:b/>
          <w:bCs/>
          <w:sz w:val="32"/>
          <w:szCs w:val="32"/>
          <w:lang w:val="zh-CN"/>
        </w:rPr>
      </w:pPr>
      <w:r>
        <w:rPr>
          <w:rFonts w:hint="eastAsia" w:ascii="仿宋" w:hAnsi="仿宋" w:eastAsia="仿宋" w:cs="仿宋_GB2312"/>
          <w:b/>
          <w:bCs/>
          <w:sz w:val="32"/>
          <w:szCs w:val="32"/>
          <w:lang w:val="zh-CN"/>
        </w:rPr>
        <w:t>（一）资金计划、到位及使用情况。</w:t>
      </w:r>
    </w:p>
    <w:p>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1．资金计划及到位。</w:t>
      </w:r>
      <w:r>
        <w:rPr>
          <w:rFonts w:hint="eastAsia" w:ascii="仿宋" w:hAnsi="仿宋" w:eastAsia="仿宋" w:cs="仿宋_GB2312"/>
          <w:sz w:val="32"/>
          <w:szCs w:val="32"/>
        </w:rPr>
        <w:t>2018年11月25日提前下达我镇2019年藏区基层组织活动和公共服务运行补助经费双河镇10个行政村60万元；2019年1月18日下达我镇2019年藏区基层组织活动和公共服务运行补助经费双河镇10个行政村20万元；2019年3月29日下达我镇2019年藏区基层组织活动和公共服务运行补助经费双河镇10个行政村20万元。共计100万元，</w:t>
      </w:r>
      <w:r>
        <w:rPr>
          <w:rFonts w:hint="eastAsia" w:ascii="仿宋" w:hAnsi="仿宋" w:eastAsia="仿宋" w:cs="仿宋_GB2312"/>
          <w:sz w:val="32"/>
          <w:szCs w:val="32"/>
          <w:lang w:val="zh-CN"/>
        </w:rPr>
        <w:t>资金到位率为100%，资金到位及时。</w:t>
      </w:r>
    </w:p>
    <w:p>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2．资金使用。</w:t>
      </w:r>
      <w:r>
        <w:rPr>
          <w:rFonts w:hint="eastAsia" w:ascii="仿宋" w:hAnsi="仿宋" w:eastAsia="仿宋" w:cs="仿宋_GB2312"/>
          <w:sz w:val="32"/>
          <w:szCs w:val="32"/>
        </w:rPr>
        <w:t>截止评价时点，2019年基层组织活动和公共服务运行补助支出88.60万元，支付率88.60%。主要用于行政村公共服务运行维护和日常办公运转，</w:t>
      </w:r>
      <w:r>
        <w:rPr>
          <w:rFonts w:hint="eastAsia" w:ascii="仿宋" w:hAnsi="仿宋" w:eastAsia="仿宋" w:cs="仿宋_GB2312"/>
          <w:sz w:val="32"/>
          <w:szCs w:val="32"/>
          <w:lang w:val="zh-CN"/>
        </w:rPr>
        <w:t>支付依据合规合法，资金支付与预算相符。</w:t>
      </w:r>
    </w:p>
    <w:p>
      <w:pPr>
        <w:spacing w:line="580" w:lineRule="exact"/>
        <w:ind w:firstLine="643" w:firstLineChars="200"/>
        <w:rPr>
          <w:rFonts w:ascii="仿宋" w:hAnsi="仿宋" w:eastAsia="仿宋" w:cs="仿宋_GB2312"/>
          <w:b/>
          <w:bCs/>
          <w:sz w:val="32"/>
          <w:szCs w:val="32"/>
          <w:lang w:val="zh-CN"/>
        </w:rPr>
      </w:pPr>
      <w:r>
        <w:rPr>
          <w:rFonts w:hint="eastAsia" w:ascii="仿宋" w:hAnsi="仿宋" w:eastAsia="仿宋" w:cs="仿宋_GB2312"/>
          <w:b/>
          <w:bCs/>
          <w:sz w:val="32"/>
          <w:szCs w:val="32"/>
          <w:lang w:val="zh-CN"/>
        </w:rPr>
        <w:t>（二）项目财务管理情况。</w:t>
      </w:r>
    </w:p>
    <w:p>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2019年基层组织活动和公共服务运行补助财务管理制度建设健全、机构设置完整、会计核算规范、账务处理及时。对照项目资金管理办法，该项目是严格执行财务管理制度、财务处理及时、会计核算规范。</w:t>
      </w:r>
    </w:p>
    <w:p>
      <w:pPr>
        <w:spacing w:line="580" w:lineRule="exact"/>
        <w:ind w:firstLine="643" w:firstLineChars="200"/>
        <w:rPr>
          <w:rFonts w:ascii="仿宋" w:hAnsi="仿宋" w:eastAsia="仿宋" w:cs="仿宋_GB2312"/>
          <w:b/>
          <w:bCs/>
          <w:sz w:val="32"/>
          <w:szCs w:val="32"/>
          <w:lang w:val="zh-CN"/>
        </w:rPr>
      </w:pPr>
      <w:r>
        <w:rPr>
          <w:rFonts w:hint="eastAsia" w:ascii="仿宋" w:hAnsi="仿宋" w:eastAsia="仿宋" w:cs="仿宋_GB2312"/>
          <w:b/>
          <w:bCs/>
          <w:sz w:val="32"/>
          <w:szCs w:val="32"/>
          <w:lang w:val="zh-CN"/>
        </w:rPr>
        <w:t>（三）项目组织实施情况。</w:t>
      </w:r>
    </w:p>
    <w:p>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2019年基层组织活动和公共服务运行补助的申报、实施等都严格执行相关管理制度，未出现违规现象。</w:t>
      </w:r>
    </w:p>
    <w:p>
      <w:pPr>
        <w:spacing w:line="58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三、项目绩效情况</w:t>
      </w:r>
      <w:r>
        <w:rPr>
          <w:rFonts w:hint="eastAsia" w:ascii="黑体" w:hAnsi="黑体" w:eastAsia="黑体" w:cs="黑体"/>
          <w:sz w:val="32"/>
          <w:szCs w:val="32"/>
          <w:lang w:val="zh-CN"/>
        </w:rPr>
        <w:tab/>
      </w:r>
    </w:p>
    <w:p>
      <w:pPr>
        <w:spacing w:line="580" w:lineRule="exact"/>
        <w:ind w:firstLine="643" w:firstLineChars="200"/>
        <w:rPr>
          <w:rFonts w:ascii="仿宋" w:hAnsi="仿宋" w:eastAsia="仿宋" w:cs="仿宋_GB2312"/>
          <w:b/>
          <w:bCs/>
          <w:sz w:val="32"/>
          <w:szCs w:val="32"/>
          <w:lang w:val="zh-CN"/>
        </w:rPr>
      </w:pPr>
      <w:r>
        <w:rPr>
          <w:rFonts w:hint="eastAsia" w:ascii="仿宋" w:hAnsi="仿宋" w:eastAsia="仿宋" w:cs="仿宋_GB2312"/>
          <w:b/>
          <w:bCs/>
          <w:sz w:val="32"/>
          <w:szCs w:val="32"/>
          <w:lang w:val="zh-CN"/>
        </w:rPr>
        <w:t>（一）项目完成情况。</w:t>
      </w:r>
    </w:p>
    <w:p>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截至目前，2019年基层组织活动和公共服务运行补助报账实际完成额与任务量完成情况相符。</w:t>
      </w:r>
    </w:p>
    <w:p>
      <w:pPr>
        <w:spacing w:line="580" w:lineRule="exact"/>
        <w:ind w:firstLine="643" w:firstLineChars="200"/>
        <w:rPr>
          <w:rFonts w:ascii="仿宋" w:hAnsi="仿宋" w:eastAsia="仿宋" w:cs="仿宋_GB2312"/>
          <w:b/>
          <w:bCs/>
          <w:sz w:val="32"/>
          <w:szCs w:val="32"/>
          <w:lang w:val="zh-CN"/>
        </w:rPr>
      </w:pPr>
      <w:r>
        <w:rPr>
          <w:rFonts w:hint="eastAsia" w:ascii="仿宋" w:hAnsi="仿宋" w:eastAsia="仿宋" w:cs="仿宋_GB2312"/>
          <w:b/>
          <w:bCs/>
          <w:sz w:val="32"/>
          <w:szCs w:val="32"/>
          <w:lang w:val="zh-CN"/>
        </w:rPr>
        <w:t>（</w:t>
      </w:r>
      <w:r>
        <w:rPr>
          <w:rFonts w:hint="eastAsia" w:ascii="仿宋" w:hAnsi="仿宋" w:eastAsia="仿宋" w:cs="仿宋_GB2312"/>
          <w:b/>
          <w:bCs/>
          <w:sz w:val="32"/>
          <w:szCs w:val="32"/>
        </w:rPr>
        <w:t>二</w:t>
      </w:r>
      <w:r>
        <w:rPr>
          <w:rFonts w:hint="eastAsia" w:ascii="仿宋" w:hAnsi="仿宋" w:eastAsia="仿宋" w:cs="仿宋_GB2312"/>
          <w:b/>
          <w:bCs/>
          <w:sz w:val="32"/>
          <w:szCs w:val="32"/>
          <w:lang w:val="zh-CN"/>
        </w:rPr>
        <w:t>）项目效益情况。</w:t>
      </w:r>
    </w:p>
    <w:p>
      <w:pPr>
        <w:spacing w:line="58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2019年基层组织活动和公共服务运行补助强化</w:t>
      </w:r>
      <w:r>
        <w:rPr>
          <w:rFonts w:hint="eastAsia" w:ascii="仿宋" w:hAnsi="仿宋" w:eastAsia="仿宋" w:cs="仿宋_GB2312"/>
          <w:sz w:val="32"/>
          <w:szCs w:val="32"/>
        </w:rPr>
        <w:t>了</w:t>
      </w:r>
      <w:r>
        <w:rPr>
          <w:rFonts w:hint="eastAsia" w:ascii="仿宋" w:hAnsi="仿宋" w:eastAsia="仿宋" w:cs="仿宋_GB2312"/>
          <w:sz w:val="32"/>
          <w:szCs w:val="32"/>
          <w:lang w:val="zh-CN"/>
        </w:rPr>
        <w:t>基层组织政治功能和服务功能，夯实</w:t>
      </w:r>
      <w:r>
        <w:rPr>
          <w:rFonts w:hint="eastAsia" w:ascii="仿宋" w:hAnsi="仿宋" w:eastAsia="仿宋" w:cs="仿宋_GB2312"/>
          <w:sz w:val="32"/>
          <w:szCs w:val="32"/>
        </w:rPr>
        <w:t>了</w:t>
      </w:r>
      <w:r>
        <w:rPr>
          <w:rFonts w:hint="eastAsia" w:ascii="仿宋" w:hAnsi="仿宋" w:eastAsia="仿宋" w:cs="仿宋_GB2312"/>
          <w:sz w:val="32"/>
          <w:szCs w:val="32"/>
          <w:lang w:val="zh-CN"/>
        </w:rPr>
        <w:t>党在基层执政的组织基础和群众基础，改善了群众的生产生活条件，提高了群众生活质量，完善</w:t>
      </w:r>
      <w:r>
        <w:rPr>
          <w:rFonts w:hint="eastAsia" w:ascii="仿宋" w:hAnsi="仿宋" w:eastAsia="仿宋" w:cs="仿宋_GB2312"/>
          <w:sz w:val="32"/>
          <w:szCs w:val="32"/>
        </w:rPr>
        <w:t>了</w:t>
      </w:r>
      <w:r>
        <w:rPr>
          <w:rFonts w:hint="eastAsia" w:ascii="仿宋" w:hAnsi="仿宋" w:eastAsia="仿宋" w:cs="仿宋_GB2312"/>
          <w:sz w:val="32"/>
          <w:szCs w:val="32"/>
          <w:lang w:val="zh-CN"/>
        </w:rPr>
        <w:t>农村基础设施功能，</w:t>
      </w:r>
      <w:r>
        <w:rPr>
          <w:rFonts w:hint="eastAsia" w:ascii="仿宋" w:hAnsi="仿宋" w:eastAsia="仿宋" w:cs="仿宋_GB2312"/>
          <w:sz w:val="32"/>
          <w:szCs w:val="32"/>
        </w:rPr>
        <w:t>使</w:t>
      </w:r>
      <w:r>
        <w:rPr>
          <w:rFonts w:hint="eastAsia" w:ascii="仿宋" w:hAnsi="仿宋" w:eastAsia="仿宋" w:cs="仿宋_GB2312"/>
          <w:sz w:val="32"/>
          <w:szCs w:val="32"/>
          <w:lang w:val="zh-CN"/>
        </w:rPr>
        <w:t>全镇村组织运行高效、城乡环境根本改善、居民生产生活及居住条件改善、社会事业健康有序发展。</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四、问题及建议</w:t>
      </w:r>
    </w:p>
    <w:p>
      <w:pPr>
        <w:spacing w:line="580" w:lineRule="exact"/>
        <w:ind w:firstLine="643" w:firstLineChars="200"/>
        <w:rPr>
          <w:rFonts w:ascii="仿宋" w:hAnsi="仿宋" w:eastAsia="仿宋" w:cs="仿宋_GB2312"/>
          <w:b/>
          <w:bCs/>
          <w:sz w:val="32"/>
          <w:szCs w:val="32"/>
          <w:lang w:val="zh-CN"/>
        </w:rPr>
      </w:pPr>
      <w:r>
        <w:rPr>
          <w:rFonts w:hint="eastAsia" w:ascii="仿宋" w:hAnsi="仿宋" w:eastAsia="仿宋" w:cs="仿宋_GB2312"/>
          <w:b/>
          <w:bCs/>
          <w:sz w:val="32"/>
          <w:szCs w:val="32"/>
          <w:lang w:val="zh-CN"/>
        </w:rPr>
        <w:t>（一）存在的问题。</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双河镇10个村会计文化程度普遍不高，缺乏财务专业知识，在村级经费管理使用上存在难度。</w:t>
      </w:r>
    </w:p>
    <w:p>
      <w:pPr>
        <w:spacing w:line="580" w:lineRule="exact"/>
        <w:ind w:firstLine="643" w:firstLineChars="200"/>
        <w:rPr>
          <w:rFonts w:ascii="仿宋" w:hAnsi="仿宋" w:eastAsia="仿宋" w:cs="仿宋_GB2312"/>
          <w:b/>
          <w:bCs/>
          <w:sz w:val="32"/>
          <w:szCs w:val="32"/>
          <w:lang w:val="zh-CN"/>
        </w:rPr>
      </w:pPr>
      <w:r>
        <w:rPr>
          <w:rFonts w:hint="eastAsia" w:ascii="仿宋" w:hAnsi="仿宋" w:eastAsia="仿宋" w:cs="仿宋_GB2312"/>
          <w:b/>
          <w:bCs/>
          <w:sz w:val="32"/>
          <w:szCs w:val="32"/>
          <w:lang w:val="zh-CN"/>
        </w:rPr>
        <w:t>（二）相关建议。</w:t>
      </w:r>
    </w:p>
    <w:p>
      <w:pPr>
        <w:spacing w:line="580" w:lineRule="exact"/>
        <w:ind w:firstLine="640" w:firstLineChars="200"/>
        <w:rPr>
          <w:rStyle w:val="28"/>
          <w:rFonts w:ascii="仿宋" w:hAnsi="仿宋" w:eastAsia="仿宋" w:cs="仿宋_GB2312"/>
          <w:b w:val="0"/>
          <w:bCs w:val="0"/>
          <w:kern w:val="2"/>
          <w:sz w:val="32"/>
          <w:szCs w:val="32"/>
        </w:rPr>
      </w:pPr>
      <w:r>
        <w:rPr>
          <w:rFonts w:hint="eastAsia" w:ascii="仿宋" w:hAnsi="仿宋" w:eastAsia="仿宋" w:cs="仿宋_GB2312"/>
          <w:sz w:val="32"/>
          <w:szCs w:val="32"/>
          <w:lang w:val="zh-CN"/>
        </w:rPr>
        <w:t>进一步加强监督、管理，按照预算执行，使基层组织活动和公共服务运行补助发挥最大效益。</w:t>
      </w: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pStyle w:val="2"/>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 附表</w:t>
      </w:r>
      <w:bookmarkEnd w:id="57"/>
      <w:bookmarkEnd w:id="62"/>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63"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3"/>
    </w:p>
    <w:p>
      <w:pPr>
        <w:pStyle w:val="4"/>
        <w:rPr>
          <w:rFonts w:ascii="仿宋" w:hAnsi="仿宋" w:eastAsia="仿宋"/>
          <w:color w:val="000000"/>
        </w:rPr>
      </w:pPr>
      <w:bookmarkStart w:id="64" w:name="_Toc15396620"/>
      <w:r>
        <w:rPr>
          <w:rFonts w:hint="eastAsia" w:ascii="仿宋" w:hAnsi="仿宋" w:eastAsia="仿宋"/>
          <w:b w:val="0"/>
          <w:color w:val="000000"/>
        </w:rPr>
        <w:t>二、收</w:t>
      </w:r>
      <w:r>
        <w:rPr>
          <w:rStyle w:val="29"/>
          <w:rFonts w:hint="eastAsia" w:ascii="仿宋" w:hAnsi="仿宋" w:eastAsia="仿宋"/>
          <w:b w:val="0"/>
          <w:bCs w:val="0"/>
        </w:rPr>
        <w:t>入总表</w:t>
      </w:r>
      <w:bookmarkEnd w:id="64"/>
    </w:p>
    <w:p>
      <w:pPr>
        <w:pStyle w:val="4"/>
        <w:rPr>
          <w:rFonts w:ascii="仿宋" w:hAnsi="仿宋" w:eastAsia="仿宋"/>
          <w:color w:val="000000"/>
        </w:rPr>
      </w:pPr>
      <w:bookmarkStart w:id="65"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出总表</w:t>
      </w:r>
      <w:bookmarkEnd w:id="65"/>
    </w:p>
    <w:p>
      <w:pPr>
        <w:pStyle w:val="4"/>
        <w:rPr>
          <w:rFonts w:ascii="仿宋" w:hAnsi="仿宋" w:eastAsia="仿宋"/>
          <w:b w:val="0"/>
          <w:color w:val="000000"/>
        </w:rPr>
      </w:pPr>
      <w:bookmarkStart w:id="66"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6"/>
    </w:p>
    <w:p>
      <w:pPr>
        <w:pStyle w:val="4"/>
        <w:rPr>
          <w:rFonts w:ascii="仿宋" w:hAnsi="仿宋" w:eastAsia="仿宋"/>
          <w:color w:val="000000"/>
        </w:rPr>
      </w:pPr>
      <w:bookmarkStart w:id="67"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政拨款支出决算明细表（政府经济分类科目）</w:t>
      </w:r>
      <w:bookmarkEnd w:id="67"/>
    </w:p>
    <w:p>
      <w:pPr>
        <w:pStyle w:val="4"/>
        <w:rPr>
          <w:rFonts w:ascii="仿宋" w:hAnsi="仿宋" w:eastAsia="仿宋"/>
          <w:color w:val="000000"/>
        </w:rPr>
      </w:pPr>
      <w:bookmarkStart w:id="68" w:name="_Toc15396624"/>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8"/>
    </w:p>
    <w:p>
      <w:pPr>
        <w:pStyle w:val="4"/>
        <w:rPr>
          <w:rFonts w:ascii="仿宋" w:hAnsi="仿宋" w:eastAsia="仿宋"/>
          <w:color w:val="000000"/>
        </w:rPr>
      </w:pPr>
      <w:bookmarkStart w:id="69"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9"/>
    </w:p>
    <w:p>
      <w:pPr>
        <w:pStyle w:val="4"/>
        <w:rPr>
          <w:rFonts w:ascii="仿宋" w:hAnsi="仿宋" w:eastAsia="仿宋"/>
          <w:color w:val="000000"/>
        </w:rPr>
      </w:pPr>
      <w:bookmarkStart w:id="70"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70"/>
    </w:p>
    <w:p>
      <w:pPr>
        <w:pStyle w:val="4"/>
        <w:rPr>
          <w:rFonts w:ascii="仿宋" w:hAnsi="仿宋" w:eastAsia="仿宋"/>
          <w:color w:val="000000"/>
        </w:rPr>
      </w:pPr>
      <w:bookmarkStart w:id="71"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71"/>
    </w:p>
    <w:p>
      <w:pPr>
        <w:pStyle w:val="4"/>
        <w:rPr>
          <w:rFonts w:ascii="仿宋" w:hAnsi="仿宋" w:eastAsia="仿宋"/>
          <w:color w:val="000000"/>
        </w:rPr>
      </w:pPr>
      <w:bookmarkStart w:id="72"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72"/>
    </w:p>
    <w:p>
      <w:pPr>
        <w:pStyle w:val="4"/>
        <w:rPr>
          <w:rFonts w:ascii="仿宋" w:hAnsi="仿宋" w:eastAsia="仿宋"/>
          <w:color w:val="000000"/>
        </w:rPr>
      </w:pPr>
      <w:bookmarkStart w:id="73"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3"/>
    </w:p>
    <w:p>
      <w:pPr>
        <w:pStyle w:val="4"/>
        <w:rPr>
          <w:rFonts w:ascii="仿宋" w:hAnsi="仿宋" w:eastAsia="仿宋"/>
          <w:color w:val="000000"/>
        </w:rPr>
      </w:pPr>
      <w:bookmarkStart w:id="74"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4"/>
    </w:p>
    <w:p>
      <w:pPr>
        <w:pStyle w:val="4"/>
        <w:rPr>
          <w:rFonts w:ascii="仿宋" w:hAnsi="仿宋" w:eastAsia="仿宋"/>
          <w:color w:val="000000" w:themeColor="text1"/>
          <w14:textFill>
            <w14:solidFill>
              <w14:schemeClr w14:val="tx1"/>
            </w14:solidFill>
          </w14:textFill>
        </w:rPr>
      </w:pPr>
      <w:bookmarkStart w:id="75"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40</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F574E60"/>
    <w:multiLevelType w:val="multilevel"/>
    <w:tmpl w:val="5F574E60"/>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4">
    <w:nsid w:val="5F617E09"/>
    <w:multiLevelType w:val="singleLevel"/>
    <w:tmpl w:val="5F617E09"/>
    <w:lvl w:ilvl="0" w:tentative="0">
      <w:start w:val="1"/>
      <w:numFmt w:val="decimal"/>
      <w:suff w:val="nothing"/>
      <w:lvlText w:val="%1."/>
      <w:lvlJc w:val="left"/>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A4602"/>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5B45"/>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A7AD0"/>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E31D94"/>
    <w:rsid w:val="03DB1D24"/>
    <w:rsid w:val="040419CE"/>
    <w:rsid w:val="04B649D2"/>
    <w:rsid w:val="1043056D"/>
    <w:rsid w:val="10C055FF"/>
    <w:rsid w:val="16BB723D"/>
    <w:rsid w:val="173B1EFF"/>
    <w:rsid w:val="1A8D7A01"/>
    <w:rsid w:val="1DFB0B3E"/>
    <w:rsid w:val="206B2425"/>
    <w:rsid w:val="240371BF"/>
    <w:rsid w:val="241052CE"/>
    <w:rsid w:val="257D1D59"/>
    <w:rsid w:val="28B02300"/>
    <w:rsid w:val="29FD04D3"/>
    <w:rsid w:val="2B1D2D08"/>
    <w:rsid w:val="2DC3435A"/>
    <w:rsid w:val="2EDE5E97"/>
    <w:rsid w:val="2F7F6809"/>
    <w:rsid w:val="319F7F4E"/>
    <w:rsid w:val="34F666DC"/>
    <w:rsid w:val="36AA19B5"/>
    <w:rsid w:val="3B256146"/>
    <w:rsid w:val="3C4C7B04"/>
    <w:rsid w:val="3DED1971"/>
    <w:rsid w:val="444B1ED2"/>
    <w:rsid w:val="444F07EF"/>
    <w:rsid w:val="460E0AE4"/>
    <w:rsid w:val="472A6D85"/>
    <w:rsid w:val="48B905B3"/>
    <w:rsid w:val="48CF0946"/>
    <w:rsid w:val="491C1492"/>
    <w:rsid w:val="4981239B"/>
    <w:rsid w:val="4C79187F"/>
    <w:rsid w:val="4D622727"/>
    <w:rsid w:val="4DFB595E"/>
    <w:rsid w:val="4FAC2AF5"/>
    <w:rsid w:val="4FCE1469"/>
    <w:rsid w:val="50751407"/>
    <w:rsid w:val="552B0F95"/>
    <w:rsid w:val="56711EE2"/>
    <w:rsid w:val="57211249"/>
    <w:rsid w:val="581F047C"/>
    <w:rsid w:val="59CB47C4"/>
    <w:rsid w:val="59CD3D69"/>
    <w:rsid w:val="5A485FCF"/>
    <w:rsid w:val="5B916842"/>
    <w:rsid w:val="5C4F479F"/>
    <w:rsid w:val="60CC42EE"/>
    <w:rsid w:val="60EC6429"/>
    <w:rsid w:val="61A9443A"/>
    <w:rsid w:val="65D7758A"/>
    <w:rsid w:val="67237F0B"/>
    <w:rsid w:val="67DA7861"/>
    <w:rsid w:val="67DC4F45"/>
    <w:rsid w:val="6A1752A2"/>
    <w:rsid w:val="6BCB4C48"/>
    <w:rsid w:val="6EDA6B26"/>
    <w:rsid w:val="708E441B"/>
    <w:rsid w:val="71801B9B"/>
    <w:rsid w:val="729C2D68"/>
    <w:rsid w:val="78516A05"/>
    <w:rsid w:val="7F21066B"/>
    <w:rsid w:val="7FB1313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uiPriority w:val="1"/>
  </w:style>
  <w:style w:type="table" w:default="1" w:styleId="16">
    <w:name w:val="Normal Table"/>
    <w:unhideWhenUsed/>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cs="Courier New"/>
      <w:szCs w:val="21"/>
    </w:rPr>
  </w:style>
  <w:style w:type="paragraph" w:styleId="6">
    <w:name w:val="Normal Indent"/>
    <w:unhideWhenUsed/>
    <w:qFormat/>
    <w:uiPriority w:val="99"/>
    <w:pPr>
      <w:ind w:firstLine="420"/>
    </w:pPr>
    <w:rPr>
      <w:rFonts w:ascii="Times New Roman" w:hAnsi="Times New Roman" w:eastAsia="宋体" w:cs="Times New Roman"/>
      <w:sz w:val="21"/>
      <w:szCs w:val="22"/>
      <w:lang w:val="en-US" w:eastAsia="zh-CN" w:bidi="ar-SA"/>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Body Text Indent"/>
    <w:basedOn w:val="1"/>
    <w:qFormat/>
    <w:uiPriority w:val="99"/>
    <w:pPr>
      <w:spacing w:after="120"/>
      <w:ind w:left="420" w:left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Body Text First Indent 2"/>
    <w:basedOn w:val="8"/>
    <w:qFormat/>
    <w:uiPriority w:val="99"/>
    <w:pPr>
      <w:widowControl/>
      <w:spacing w:after="0"/>
      <w:ind w:left="0" w:leftChars="0" w:firstLine="420" w:firstLineChars="200"/>
    </w:pPr>
    <w:rPr>
      <w:kern w:val="0"/>
      <w:szCs w:val="22"/>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列出段落1"/>
    <w:basedOn w:val="1"/>
    <w:qFormat/>
    <w:uiPriority w:val="34"/>
    <w:pPr>
      <w:ind w:firstLine="420" w:firstLineChars="200"/>
    </w:pPr>
  </w:style>
  <w:style w:type="character" w:customStyle="1" w:styleId="28">
    <w:name w:val="标题 1 Char"/>
    <w:basedOn w:val="17"/>
    <w:link w:val="3"/>
    <w:qFormat/>
    <w:uiPriority w:val="9"/>
    <w:rPr>
      <w:rFonts w:ascii="Times New Roman" w:hAnsi="Times New Roman"/>
      <w:b/>
      <w:bCs/>
      <w:kern w:val="44"/>
      <w:sz w:val="44"/>
      <w:szCs w:val="44"/>
    </w:rPr>
  </w:style>
  <w:style w:type="character" w:customStyle="1" w:styleId="29">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7"/>
    <w:link w:val="10"/>
    <w:semiHidden/>
    <w:qFormat/>
    <w:uiPriority w:val="99"/>
    <w:rPr>
      <w:rFonts w:ascii="Times New Roman" w:hAnsi="Times New Roman"/>
      <w:kern w:val="2"/>
      <w:sz w:val="18"/>
      <w:szCs w:val="18"/>
    </w:rPr>
  </w:style>
  <w:style w:type="character" w:customStyle="1" w:styleId="32">
    <w:name w:val="标题 3 Char"/>
    <w:basedOn w:val="17"/>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63979-36D9-40C5-8BD3-3CE6B09E0D0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17135</Words>
  <Characters>18441</Characters>
  <Lines>149</Lines>
  <Paragraphs>42</Paragraphs>
  <TotalTime>0</TotalTime>
  <ScaleCrop>false</ScaleCrop>
  <LinksUpToDate>false</LinksUpToDate>
  <CharactersWithSpaces>18639</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2020-09-16T05:12:00Z</cp:lastPrinted>
  <dcterms:modified xsi:type="dcterms:W3CDTF">2026-08-20T09:28:39Z</dcterms:modified>
  <dc:title>四川省***</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B8B573D6B6C446D798FDD09B5C0EC294</vt:lpwstr>
  </property>
</Properties>
</file>