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hint="eastAsia"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8441"/>
      <w:bookmarkStart w:id="2" w:name="_Toc15396475"/>
      <w:bookmarkStart w:id="3" w:name="_Toc15377193"/>
      <w:bookmarkStart w:id="4" w:name="_Toc15377425"/>
      <w:bookmarkStart w:id="5" w:name="_Toc15396597"/>
      <w:r>
        <w:rPr>
          <w:rFonts w:ascii="黑体" w:hAnsi="黑体" w:eastAsia="黑体"/>
          <w:color w:val="000000"/>
          <w:sz w:val="72"/>
          <w:szCs w:val="72"/>
        </w:rPr>
        <w:t>201</w:t>
      </w:r>
      <w:r>
        <w:rPr>
          <w:rFonts w:hint="eastAsia" w:ascii="黑体" w:hAnsi="黑体" w:eastAsia="黑体"/>
          <w:color w:val="000000"/>
          <w:sz w:val="72"/>
          <w:szCs w:val="72"/>
        </w:rPr>
        <w:t>8</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96598"/>
      <w:bookmarkStart w:id="7" w:name="_Toc15377426"/>
      <w:bookmarkStart w:id="8" w:name="_Toc15378442"/>
      <w:bookmarkStart w:id="9" w:name="_Toc15396476"/>
      <w:bookmarkStart w:id="10" w:name="_Toc15377194"/>
      <w:r>
        <w:rPr>
          <w:rFonts w:hint="eastAsia" w:ascii="方正小标宋简体" w:hAnsi="宋体" w:eastAsia="方正小标宋简体"/>
          <w:color w:val="000000"/>
          <w:sz w:val="72"/>
          <w:szCs w:val="72"/>
        </w:rPr>
        <w:t>四川省</w:t>
      </w:r>
      <w:bookmarkEnd w:id="0"/>
      <w:bookmarkStart w:id="11" w:name="_Toc15306268"/>
      <w:r>
        <w:rPr>
          <w:rFonts w:hint="eastAsia" w:ascii="方正小标宋简体" w:hAnsi="宋体" w:eastAsia="方正小标宋简体"/>
          <w:color w:val="000000"/>
          <w:sz w:val="72"/>
          <w:szCs w:val="72"/>
        </w:rPr>
        <w:t>九寨沟县草地乡部门决算</w:t>
      </w:r>
      <w:bookmarkEnd w:id="6"/>
      <w:bookmarkEnd w:id="7"/>
      <w:bookmarkEnd w:id="8"/>
      <w:bookmarkEnd w:id="9"/>
      <w:bookmarkEnd w:id="10"/>
      <w:bookmarkEnd w:id="11"/>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
      <w:pPr>
        <w:pStyle w:val="11"/>
        <w:rPr>
          <w:rFonts w:cstheme="minorBidi"/>
        </w:rPr>
      </w:pPr>
      <w:r>
        <w:fldChar w:fldCharType="begin"/>
      </w:r>
      <w:r>
        <w:instrText xml:space="preserve"> HYPERLINK \l "_Toc15396599" </w:instrText>
      </w:r>
      <w:r>
        <w:fldChar w:fldCharType="separate"/>
      </w:r>
      <w:r>
        <w:rPr>
          <w:rStyle w:val="16"/>
          <w:rFonts w:hint="eastAsia"/>
        </w:rPr>
        <w:t>第一部分</w:t>
      </w:r>
      <w:r>
        <w:rPr>
          <w:rStyle w:val="16"/>
        </w:rPr>
        <w:t xml:space="preserve"> </w:t>
      </w:r>
      <w:r>
        <w:rPr>
          <w:rStyle w:val="16"/>
          <w:rFonts w:hint="eastAsia"/>
        </w:rPr>
        <w:t>部门概况</w:t>
      </w:r>
      <w:r>
        <w:tab/>
      </w:r>
      <w:r>
        <w:rPr>
          <w:rFonts w:hint="eastAsia"/>
        </w:rPr>
        <w:t>4</w:t>
      </w:r>
      <w:r>
        <w:rPr>
          <w:rFonts w:hint="eastAsia"/>
        </w:rPr>
        <w:fldChar w:fldCharType="end"/>
      </w:r>
    </w:p>
    <w:p>
      <w:pPr>
        <w:pStyle w:val="12"/>
        <w:rPr>
          <w:rFonts w:ascii="仿宋" w:hAnsi="仿宋" w:eastAsia="仿宋" w:cstheme="minorBidi"/>
          <w:sz w:val="28"/>
          <w:szCs w:val="28"/>
        </w:rPr>
      </w:pPr>
      <w:r>
        <w:fldChar w:fldCharType="begin"/>
      </w:r>
      <w:r>
        <w:instrText xml:space="preserve"> HYPERLINK \l "_Toc15396600" </w:instrText>
      </w:r>
      <w:r>
        <w:fldChar w:fldCharType="separate"/>
      </w:r>
      <w:r>
        <w:rPr>
          <w:rStyle w:val="16"/>
          <w:rFonts w:hint="eastAsia" w:ascii="仿宋" w:hAnsi="仿宋" w:eastAsia="仿宋"/>
          <w:sz w:val="28"/>
          <w:szCs w:val="28"/>
        </w:rPr>
        <w:t>一、基本职能及主要工作</w:t>
      </w:r>
      <w:r>
        <w:rPr>
          <w:rFonts w:ascii="仿宋" w:hAnsi="仿宋" w:eastAsia="仿宋"/>
          <w:sz w:val="28"/>
          <w:szCs w:val="28"/>
        </w:rPr>
        <w:tab/>
      </w:r>
      <w:r>
        <w:rPr>
          <w:rFonts w:hint="eastAsia" w:ascii="仿宋" w:hAnsi="仿宋" w:eastAsia="仿宋"/>
          <w:sz w:val="28"/>
          <w:szCs w:val="28"/>
        </w:rPr>
        <w:t>4</w:t>
      </w:r>
      <w:r>
        <w:rPr>
          <w:rFonts w:hint="eastAsia"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"_Toc15396601" </w:instrText>
      </w:r>
      <w:r>
        <w:fldChar w:fldCharType="separate"/>
      </w:r>
      <w:r>
        <w:rPr>
          <w:rStyle w:val="16"/>
          <w:rFonts w:hint="eastAsia" w:ascii="仿宋" w:hAnsi="仿宋" w:eastAsia="仿宋"/>
          <w:sz w:val="28"/>
          <w:szCs w:val="28"/>
        </w:rPr>
        <w:t>二、机构设置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_Toc15396601 \h </w:instrText>
      </w:r>
      <w:r>
        <w:rPr>
          <w:rFonts w:ascii="仿宋" w:hAnsi="仿宋" w:eastAsia="仿宋"/>
          <w:sz w:val="28"/>
          <w:szCs w:val="28"/>
        </w:rPr>
        <w:fldChar w:fldCharType="separate"/>
      </w:r>
      <w:r>
        <w:rPr>
          <w:rFonts w:ascii="仿宋" w:hAnsi="仿宋" w:eastAsia="仿宋"/>
          <w:sz w:val="28"/>
          <w:szCs w:val="28"/>
        </w:rPr>
        <w:t>4</w:t>
      </w:r>
      <w:r>
        <w:rPr>
          <w:rFonts w:ascii="仿宋" w:hAnsi="仿宋" w:eastAsia="仿宋"/>
          <w:sz w:val="28"/>
          <w:szCs w:val="28"/>
        </w:rPr>
        <w:fldChar w:fldCharType="end"/>
      </w:r>
      <w:r>
        <w:rPr>
          <w:rFonts w:ascii="仿宋" w:hAnsi="仿宋" w:eastAsia="仿宋"/>
          <w:sz w:val="28"/>
          <w:szCs w:val="28"/>
        </w:rPr>
        <w:fldChar w:fldCharType="end"/>
      </w:r>
    </w:p>
    <w:p>
      <w:pPr>
        <w:pStyle w:val="11"/>
      </w:pPr>
      <w:r>
        <w:fldChar w:fldCharType="begin"/>
      </w:r>
      <w:r>
        <w:instrText xml:space="preserve"> HYPERLINK \l "_Toc15396602" </w:instrText>
      </w:r>
      <w:r>
        <w:fldChar w:fldCharType="separate"/>
      </w:r>
      <w:r>
        <w:rPr>
          <w:rStyle w:val="16"/>
          <w:rFonts w:hint="eastAsia"/>
        </w:rPr>
        <w:t>第二部分</w:t>
      </w:r>
      <w:r>
        <w:rPr>
          <w:rStyle w:val="16"/>
        </w:rPr>
        <w:t xml:space="preserve"> 2018</w:t>
      </w:r>
      <w:r>
        <w:rPr>
          <w:rStyle w:val="16"/>
          <w:rFonts w:hint="eastAsia"/>
        </w:rPr>
        <w:t>年度部门决算情况说明</w:t>
      </w:r>
      <w:r>
        <w:tab/>
      </w:r>
      <w:r>
        <w:fldChar w:fldCharType="begin"/>
      </w:r>
      <w:r>
        <w:instrText xml:space="preserve"> PAGEREF _Toc15396602 \h </w:instrText>
      </w:r>
      <w:r>
        <w:fldChar w:fldCharType="separate"/>
      </w:r>
      <w:r>
        <w:t>5</w:t>
      </w:r>
      <w:r>
        <w:fldChar w:fldCharType="end"/>
      </w:r>
      <w:r>
        <w:fldChar w:fldCharType="end"/>
      </w:r>
    </w:p>
    <w:p>
      <w:pPr>
        <w:pStyle w:val="12"/>
        <w:rPr>
          <w:rFonts w:ascii="仿宋" w:hAnsi="仿宋" w:eastAsia="仿宋" w:cstheme="minorBidi"/>
          <w:sz w:val="28"/>
          <w:szCs w:val="28"/>
        </w:rPr>
      </w:pPr>
      <w:r>
        <w:fldChar w:fldCharType="begin"/>
      </w:r>
      <w:r>
        <w:instrText xml:space="preserve"> HYPERLINK \l "_Toc15396603" </w:instrText>
      </w:r>
      <w:r>
        <w:fldChar w:fldCharType="separate"/>
      </w:r>
      <w:r>
        <w:rPr>
          <w:rStyle w:val="16"/>
          <w:rFonts w:hint="eastAsia" w:ascii="仿宋" w:hAnsi="仿宋" w:eastAsia="仿宋" w:cstheme="majorBidi"/>
          <w:bCs/>
          <w:sz w:val="28"/>
          <w:szCs w:val="28"/>
        </w:rPr>
        <w:t>一、</w:t>
      </w:r>
      <w:r>
        <w:rPr>
          <w:rStyle w:val="16"/>
          <w:rFonts w:hint="eastAsia" w:ascii="仿宋" w:hAnsi="仿宋" w:eastAsia="仿宋"/>
          <w:sz w:val="28"/>
          <w:szCs w:val="28"/>
        </w:rPr>
        <w:t>收</w:t>
      </w:r>
      <w:r>
        <w:rPr>
          <w:rStyle w:val="16"/>
          <w:rFonts w:hint="eastAsia" w:ascii="仿宋" w:hAnsi="仿宋" w:eastAsia="仿宋" w:cstheme="majorBidi"/>
          <w:bCs/>
          <w:sz w:val="28"/>
          <w:szCs w:val="28"/>
        </w:rPr>
        <w:t>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_Toc15396603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"_Toc15396604" </w:instrText>
      </w:r>
      <w:r>
        <w:fldChar w:fldCharType="separate"/>
      </w:r>
      <w:r>
        <w:rPr>
          <w:rStyle w:val="16"/>
          <w:rFonts w:hint="eastAsia" w:ascii="仿宋" w:hAnsi="仿宋" w:eastAsia="仿宋" w:cstheme="majorBidi"/>
          <w:bCs/>
          <w:sz w:val="28"/>
          <w:szCs w:val="28"/>
        </w:rPr>
        <w:t>二、</w:t>
      </w:r>
      <w:r>
        <w:rPr>
          <w:rStyle w:val="16"/>
          <w:rFonts w:hint="eastAsia" w:ascii="仿宋" w:hAnsi="仿宋" w:eastAsia="仿宋"/>
          <w:sz w:val="28"/>
          <w:szCs w:val="28"/>
        </w:rPr>
        <w:t>收</w:t>
      </w:r>
      <w:r>
        <w:rPr>
          <w:rStyle w:val="16"/>
          <w:rFonts w:hint="eastAsia" w:ascii="仿宋" w:hAnsi="仿宋" w:eastAsia="仿宋" w:cstheme="majorBidi"/>
          <w:bCs/>
          <w:sz w:val="28"/>
          <w:szCs w:val="28"/>
        </w:rPr>
        <w:t>入决算情况说明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_Toc15396604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"_Toc15396605" </w:instrText>
      </w:r>
      <w:r>
        <w:fldChar w:fldCharType="separate"/>
      </w:r>
      <w:r>
        <w:rPr>
          <w:rStyle w:val="16"/>
          <w:rFonts w:hint="eastAsia" w:ascii="仿宋" w:hAnsi="仿宋" w:eastAsia="仿宋" w:cstheme="majorBidi"/>
          <w:bCs/>
          <w:sz w:val="28"/>
          <w:szCs w:val="28"/>
        </w:rPr>
        <w:t>三、</w:t>
      </w:r>
      <w:r>
        <w:rPr>
          <w:rStyle w:val="16"/>
          <w:rFonts w:hint="eastAsia" w:ascii="仿宋" w:hAnsi="仿宋" w:eastAsia="仿宋"/>
          <w:sz w:val="28"/>
          <w:szCs w:val="28"/>
        </w:rPr>
        <w:t>支</w:t>
      </w:r>
      <w:r>
        <w:rPr>
          <w:rStyle w:val="16"/>
          <w:rFonts w:hint="eastAsia" w:ascii="仿宋" w:hAnsi="仿宋" w:eastAsia="仿宋" w:cstheme="majorBidi"/>
          <w:bCs/>
          <w:sz w:val="28"/>
          <w:szCs w:val="28"/>
        </w:rPr>
        <w:t>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_Toc15396605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"_Toc15396606" </w:instrText>
      </w:r>
      <w:r>
        <w:fldChar w:fldCharType="separate"/>
      </w:r>
      <w:r>
        <w:rPr>
          <w:rStyle w:val="16"/>
          <w:rFonts w:hint="eastAsia" w:ascii="仿宋" w:hAnsi="仿宋" w:eastAsia="仿宋"/>
          <w:sz w:val="28"/>
          <w:szCs w:val="28"/>
        </w:rPr>
        <w:t>四、财</w:t>
      </w:r>
      <w:r>
        <w:rPr>
          <w:rStyle w:val="16"/>
          <w:rFonts w:hint="eastAsia" w:ascii="仿宋" w:hAnsi="仿宋" w:eastAsia="仿宋" w:cstheme="majorBidi"/>
          <w:bCs/>
          <w:sz w:val="28"/>
          <w:szCs w:val="28"/>
        </w:rPr>
        <w:t>政拨款收入支出决算总体情况说明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_Toc15396606 \h </w:instrText>
      </w:r>
      <w:r>
        <w:rPr>
          <w:rFonts w:ascii="仿宋" w:hAnsi="仿宋" w:eastAsia="仿宋"/>
          <w:sz w:val="28"/>
          <w:szCs w:val="28"/>
        </w:rPr>
        <w:fldChar w:fldCharType="separate"/>
      </w:r>
      <w:r>
        <w:rPr>
          <w:rFonts w:ascii="仿宋" w:hAnsi="仿宋" w:eastAsia="仿宋"/>
          <w:sz w:val="28"/>
          <w:szCs w:val="28"/>
        </w:rPr>
        <w:t>6</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"_Toc15396607" </w:instrText>
      </w:r>
      <w:r>
        <w:fldChar w:fldCharType="separate"/>
      </w:r>
      <w:r>
        <w:rPr>
          <w:rStyle w:val="16"/>
          <w:rFonts w:hint="eastAsia" w:ascii="仿宋" w:hAnsi="仿宋" w:eastAsia="仿宋"/>
          <w:sz w:val="28"/>
          <w:szCs w:val="28"/>
        </w:rPr>
        <w:t>五、一</w:t>
      </w:r>
      <w:r>
        <w:rPr>
          <w:rStyle w:val="16"/>
          <w:rFonts w:hint="eastAsia" w:ascii="仿宋" w:hAnsi="仿宋" w:eastAsia="仿宋" w:cstheme="majorBidi"/>
          <w:bCs/>
          <w:sz w:val="28"/>
          <w:szCs w:val="28"/>
        </w:rPr>
        <w:t>般公共预算财政拨款支出决算情况说明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_Toc15396607 \h </w:instrText>
      </w:r>
      <w:r>
        <w:rPr>
          <w:rFonts w:ascii="仿宋" w:hAnsi="仿宋" w:eastAsia="仿宋"/>
          <w:sz w:val="28"/>
          <w:szCs w:val="28"/>
        </w:rPr>
        <w:fldChar w:fldCharType="separate"/>
      </w:r>
      <w:r>
        <w:rPr>
          <w:rFonts w:ascii="仿宋" w:hAnsi="仿宋" w:eastAsia="仿宋"/>
          <w:sz w:val="28"/>
          <w:szCs w:val="28"/>
        </w:rPr>
        <w:t>6</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"_Toc15396608" </w:instrText>
      </w:r>
      <w:r>
        <w:fldChar w:fldCharType="separate"/>
      </w:r>
      <w:r>
        <w:rPr>
          <w:rStyle w:val="16"/>
          <w:rFonts w:hint="eastAsia" w:ascii="仿宋" w:hAnsi="仿宋" w:eastAsia="仿宋"/>
          <w:sz w:val="28"/>
          <w:szCs w:val="28"/>
        </w:rPr>
        <w:t>六、一</w:t>
      </w:r>
      <w:r>
        <w:rPr>
          <w:rStyle w:val="16"/>
          <w:rFonts w:hint="eastAsia" w:ascii="仿宋" w:hAnsi="仿宋" w:eastAsia="仿宋" w:cstheme="majorBidi"/>
          <w:bCs/>
          <w:sz w:val="28"/>
          <w:szCs w:val="28"/>
        </w:rPr>
        <w:t>般公共预算财政拨款基本支出决算情况说明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_Toc15396608 \h </w:instrText>
      </w:r>
      <w:r>
        <w:rPr>
          <w:rFonts w:ascii="仿宋" w:hAnsi="仿宋" w:eastAsia="仿宋"/>
          <w:sz w:val="28"/>
          <w:szCs w:val="28"/>
        </w:rPr>
        <w:fldChar w:fldCharType="separate"/>
      </w:r>
      <w:r>
        <w:rPr>
          <w:rFonts w:ascii="仿宋" w:hAnsi="仿宋" w:eastAsia="仿宋"/>
          <w:sz w:val="28"/>
          <w:szCs w:val="28"/>
        </w:rPr>
        <w:t>8</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"_Toc15396609" </w:instrText>
      </w:r>
      <w:r>
        <w:fldChar w:fldCharType="separate"/>
      </w:r>
      <w:r>
        <w:rPr>
          <w:rStyle w:val="16"/>
          <w:rFonts w:hint="eastAsia" w:ascii="仿宋" w:hAnsi="仿宋" w:eastAsia="仿宋"/>
          <w:sz w:val="28"/>
          <w:szCs w:val="28"/>
        </w:rPr>
        <w:t>七、</w:t>
      </w:r>
      <w:r>
        <w:rPr>
          <w:rStyle w:val="16"/>
          <w:rFonts w:ascii="仿宋" w:hAnsi="仿宋" w:eastAsia="仿宋"/>
          <w:sz w:val="28"/>
          <w:szCs w:val="28"/>
        </w:rPr>
        <w:t>“</w:t>
      </w:r>
      <w:r>
        <w:rPr>
          <w:rStyle w:val="16"/>
          <w:rFonts w:hint="eastAsia" w:ascii="仿宋" w:hAnsi="仿宋" w:eastAsia="仿宋" w:cstheme="majorBidi"/>
          <w:bCs/>
          <w:sz w:val="28"/>
          <w:szCs w:val="28"/>
        </w:rPr>
        <w:t>三公”经费财政拨款支出决算情况说明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_Toc15396609 \h </w:instrText>
      </w:r>
      <w:r>
        <w:rPr>
          <w:rFonts w:ascii="仿宋" w:hAnsi="仿宋" w:eastAsia="仿宋"/>
          <w:sz w:val="28"/>
          <w:szCs w:val="28"/>
        </w:rPr>
        <w:fldChar w:fldCharType="separate"/>
      </w:r>
      <w:r>
        <w:rPr>
          <w:rFonts w:ascii="仿宋" w:hAnsi="仿宋" w:eastAsia="仿宋"/>
          <w:sz w:val="28"/>
          <w:szCs w:val="28"/>
        </w:rPr>
        <w:t>8</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"_Toc15396610" </w:instrText>
      </w:r>
      <w:r>
        <w:fldChar w:fldCharType="separate"/>
      </w:r>
      <w:r>
        <w:rPr>
          <w:rStyle w:val="16"/>
          <w:rFonts w:hint="eastAsia" w:ascii="仿宋" w:hAnsi="仿宋" w:eastAsia="仿宋"/>
          <w:sz w:val="28"/>
          <w:szCs w:val="28"/>
        </w:rPr>
        <w:t>八、</w:t>
      </w:r>
      <w:r>
        <w:rPr>
          <w:rStyle w:val="16"/>
          <w:rFonts w:hint="eastAsia" w:ascii="仿宋" w:hAnsi="仿宋" w:eastAsia="仿宋" w:cstheme="majorBidi"/>
          <w:bCs/>
          <w:sz w:val="28"/>
          <w:szCs w:val="28"/>
        </w:rPr>
        <w:t>政府性基金预算支出决算情况说明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_Toc15396610 \h </w:instrText>
      </w:r>
      <w:r>
        <w:rPr>
          <w:rFonts w:ascii="仿宋" w:hAnsi="仿宋" w:eastAsia="仿宋"/>
          <w:sz w:val="28"/>
          <w:szCs w:val="28"/>
        </w:rPr>
        <w:fldChar w:fldCharType="separate"/>
      </w:r>
      <w:r>
        <w:rPr>
          <w:rFonts w:ascii="仿宋" w:hAnsi="仿宋" w:eastAsia="仿宋"/>
          <w:sz w:val="28"/>
          <w:szCs w:val="28"/>
        </w:rPr>
        <w:t>10</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"_Toc15396611" </w:instrText>
      </w:r>
      <w:r>
        <w:fldChar w:fldCharType="separate"/>
      </w:r>
      <w:r>
        <w:rPr>
          <w:rStyle w:val="16"/>
          <w:rFonts w:hint="eastAsia" w:ascii="仿宋" w:hAnsi="仿宋" w:eastAsia="仿宋" w:cstheme="majorBidi"/>
          <w:bCs/>
          <w:sz w:val="28"/>
          <w:szCs w:val="28"/>
        </w:rPr>
        <w:t>九、</w:t>
      </w:r>
      <w:r>
        <w:rPr>
          <w:rStyle w:val="16"/>
          <w:rFonts w:hint="eastAsia" w:ascii="仿宋" w:hAnsi="仿宋" w:eastAsia="仿宋"/>
          <w:sz w:val="28"/>
          <w:szCs w:val="28"/>
        </w:rPr>
        <w:t xml:space="preserve"> 国</w:t>
      </w:r>
      <w:r>
        <w:rPr>
          <w:rStyle w:val="16"/>
          <w:rFonts w:hint="eastAsia" w:ascii="仿宋" w:hAnsi="仿宋" w:eastAsia="仿宋" w:cstheme="majorBidi"/>
          <w:bCs/>
          <w:sz w:val="28"/>
          <w:szCs w:val="28"/>
        </w:rPr>
        <w:t>有资本经营预算支出决算情况说明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_Toc15396611 \h </w:instrText>
      </w:r>
      <w:r>
        <w:rPr>
          <w:rFonts w:ascii="仿宋" w:hAnsi="仿宋" w:eastAsia="仿宋"/>
          <w:sz w:val="28"/>
          <w:szCs w:val="28"/>
        </w:rPr>
        <w:fldChar w:fldCharType="separate"/>
      </w:r>
      <w:r>
        <w:rPr>
          <w:rFonts w:ascii="仿宋" w:hAnsi="仿宋" w:eastAsia="仿宋"/>
          <w:sz w:val="28"/>
          <w:szCs w:val="28"/>
        </w:rPr>
        <w:t>10</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"_Toc15396612" </w:instrText>
      </w:r>
      <w:r>
        <w:fldChar w:fldCharType="separate"/>
      </w:r>
      <w:r>
        <w:rPr>
          <w:rStyle w:val="16"/>
          <w:rFonts w:hint="eastAsia" w:ascii="仿宋" w:hAnsi="仿宋" w:eastAsia="仿宋"/>
          <w:sz w:val="28"/>
          <w:szCs w:val="28"/>
        </w:rPr>
        <w:t>十</w:t>
      </w:r>
      <w:r>
        <w:rPr>
          <w:rStyle w:val="16"/>
          <w:rFonts w:hint="eastAsia" w:ascii="仿宋" w:hAnsi="仿宋" w:eastAsia="仿宋" w:cstheme="majorBidi"/>
          <w:bCs/>
          <w:sz w:val="28"/>
          <w:szCs w:val="28"/>
        </w:rPr>
        <w:t>一、其他重要事项的情况说明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_Toc15396612 \h </w:instrText>
      </w:r>
      <w:r>
        <w:rPr>
          <w:rFonts w:ascii="仿宋" w:hAnsi="仿宋" w:eastAsia="仿宋"/>
          <w:sz w:val="28"/>
          <w:szCs w:val="28"/>
        </w:rPr>
        <w:fldChar w:fldCharType="separate"/>
      </w:r>
      <w:r>
        <w:rPr>
          <w:rFonts w:ascii="仿宋" w:hAnsi="仿宋" w:eastAsia="仿宋"/>
          <w:sz w:val="28"/>
          <w:szCs w:val="28"/>
        </w:rPr>
        <w:t>14</w:t>
      </w:r>
      <w:r>
        <w:rPr>
          <w:rFonts w:ascii="仿宋" w:hAnsi="仿宋" w:eastAsia="仿宋"/>
          <w:sz w:val="28"/>
          <w:szCs w:val="28"/>
        </w:rPr>
        <w:fldChar w:fldCharType="end"/>
      </w:r>
      <w:r>
        <w:rPr>
          <w:rFonts w:ascii="仿宋" w:hAnsi="仿宋" w:eastAsia="仿宋"/>
          <w:sz w:val="28"/>
          <w:szCs w:val="28"/>
        </w:rPr>
        <w:fldChar w:fldCharType="end"/>
      </w:r>
    </w:p>
    <w:p>
      <w:pPr>
        <w:pStyle w:val="11"/>
        <w:rPr>
          <w:rFonts w:cstheme="minorBidi"/>
        </w:rPr>
      </w:pPr>
      <w:r>
        <w:fldChar w:fldCharType="begin"/>
      </w:r>
      <w:r>
        <w:instrText xml:space="preserve"> HYPERLINK \l "_Toc15396613" </w:instrText>
      </w:r>
      <w:r>
        <w:fldChar w:fldCharType="separate"/>
      </w:r>
      <w:r>
        <w:rPr>
          <w:rStyle w:val="16"/>
          <w:rFonts w:hint="eastAsia"/>
          <w:bCs/>
          <w:kern w:val="44"/>
        </w:rPr>
        <w:t>第三部分</w:t>
      </w:r>
      <w:r>
        <w:rPr>
          <w:rStyle w:val="16"/>
          <w:rFonts w:hint="eastAsia"/>
        </w:rPr>
        <w:t xml:space="preserve"> 名</w:t>
      </w:r>
      <w:r>
        <w:rPr>
          <w:rStyle w:val="16"/>
          <w:rFonts w:hint="eastAsia"/>
          <w:bCs/>
          <w:kern w:val="44"/>
        </w:rPr>
        <w:t>词解释</w:t>
      </w:r>
      <w:r>
        <w:tab/>
      </w:r>
      <w:r>
        <w:fldChar w:fldCharType="begin"/>
      </w:r>
      <w:r>
        <w:instrText xml:space="preserve"> PAGEREF _Toc15396613 \h </w:instrText>
      </w:r>
      <w:r>
        <w:fldChar w:fldCharType="separate"/>
      </w:r>
      <w:r>
        <w:t>16</w:t>
      </w:r>
      <w:r>
        <w:fldChar w:fldCharType="end"/>
      </w:r>
      <w:r>
        <w:fldChar w:fldCharType="end"/>
      </w:r>
    </w:p>
    <w:p>
      <w:pPr>
        <w:pStyle w:val="11"/>
        <w:rPr>
          <w:rFonts w:cstheme="minorBidi"/>
        </w:rPr>
      </w:pPr>
      <w:r>
        <w:fldChar w:fldCharType="begin"/>
      </w:r>
      <w:r>
        <w:instrText xml:space="preserve"> HYPERLINK \l "_Toc15396614" </w:instrText>
      </w:r>
      <w:r>
        <w:fldChar w:fldCharType="separate"/>
      </w:r>
      <w:r>
        <w:rPr>
          <w:rStyle w:val="16"/>
          <w:rFonts w:hint="eastAsia"/>
        </w:rPr>
        <w:t>第</w:t>
      </w:r>
      <w:r>
        <w:rPr>
          <w:rStyle w:val="16"/>
          <w:rFonts w:hint="eastAsia"/>
          <w:bCs/>
          <w:kern w:val="44"/>
        </w:rPr>
        <w:t>四部分</w:t>
      </w:r>
      <w:r>
        <w:rPr>
          <w:rStyle w:val="16"/>
          <w:bCs/>
          <w:kern w:val="44"/>
        </w:rPr>
        <w:t xml:space="preserve"> </w:t>
      </w:r>
      <w:r>
        <w:rPr>
          <w:rStyle w:val="16"/>
          <w:rFonts w:hint="eastAsia"/>
          <w:bCs/>
          <w:kern w:val="44"/>
        </w:rPr>
        <w:t>附件</w:t>
      </w:r>
      <w:r>
        <w:tab/>
      </w:r>
      <w:r>
        <w:fldChar w:fldCharType="begin"/>
      </w:r>
      <w:r>
        <w:instrText xml:space="preserve"> PAGEREF _Toc15396614 \h </w:instrText>
      </w:r>
      <w:r>
        <w:fldChar w:fldCharType="separate"/>
      </w:r>
      <w:r>
        <w:t>19</w:t>
      </w:r>
      <w:r>
        <w:fldChar w:fldCharType="end"/>
      </w:r>
      <w:r>
        <w:fldChar w:fldCharType="end"/>
      </w:r>
    </w:p>
    <w:p>
      <w:pPr>
        <w:pStyle w:val="12"/>
        <w:rPr>
          <w:rFonts w:ascii="仿宋" w:hAnsi="仿宋" w:eastAsia="仿宋" w:cstheme="minorBidi"/>
          <w:sz w:val="28"/>
          <w:szCs w:val="28"/>
        </w:rPr>
      </w:pPr>
      <w:r>
        <w:fldChar w:fldCharType="begin"/>
      </w:r>
      <w:r>
        <w:instrText xml:space="preserve"> HYPERLINK \l "_Toc15396615" </w:instrText>
      </w:r>
      <w:r>
        <w:fldChar w:fldCharType="separate"/>
      </w:r>
      <w:r>
        <w:rPr>
          <w:rStyle w:val="16"/>
          <w:rFonts w:hint="eastAsia" w:ascii="仿宋" w:hAnsi="仿宋" w:eastAsia="仿宋"/>
          <w:kern w:val="44"/>
          <w:sz w:val="28"/>
          <w:szCs w:val="28"/>
        </w:rPr>
        <w:t>附件</w:t>
      </w:r>
      <w:r>
        <w:rPr>
          <w:rStyle w:val="16"/>
          <w:rFonts w:ascii="仿宋" w:hAnsi="仿宋" w:eastAsia="仿宋"/>
          <w:kern w:val="44"/>
          <w:sz w:val="28"/>
          <w:szCs w:val="28"/>
        </w:rPr>
        <w:t>1</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_Toc15396615 \h </w:instrText>
      </w:r>
      <w:r>
        <w:rPr>
          <w:rFonts w:ascii="仿宋" w:hAnsi="仿宋" w:eastAsia="仿宋"/>
          <w:sz w:val="28"/>
          <w:szCs w:val="28"/>
        </w:rPr>
        <w:fldChar w:fldCharType="separate"/>
      </w:r>
      <w:r>
        <w:rPr>
          <w:rFonts w:ascii="仿宋" w:hAnsi="仿宋" w:eastAsia="仿宋"/>
          <w:sz w:val="28"/>
          <w:szCs w:val="28"/>
        </w:rPr>
        <w:t>19</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"_Toc15396617" </w:instrText>
      </w:r>
      <w:r>
        <w:fldChar w:fldCharType="separate"/>
      </w:r>
      <w:r>
        <w:rPr>
          <w:rStyle w:val="16"/>
          <w:rFonts w:hint="eastAsia" w:ascii="仿宋" w:hAnsi="仿宋" w:eastAsia="仿宋"/>
          <w:kern w:val="44"/>
          <w:sz w:val="28"/>
          <w:szCs w:val="28"/>
        </w:rPr>
        <w:t>附件</w:t>
      </w:r>
      <w:r>
        <w:rPr>
          <w:rStyle w:val="16"/>
          <w:rFonts w:ascii="仿宋" w:hAnsi="仿宋" w:eastAsia="仿宋"/>
          <w:kern w:val="44"/>
          <w:sz w:val="28"/>
          <w:szCs w:val="28"/>
        </w:rPr>
        <w:t>2</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_Toc15396617 \h </w:instrText>
      </w:r>
      <w:r>
        <w:rPr>
          <w:rFonts w:ascii="仿宋" w:hAnsi="仿宋" w:eastAsia="仿宋"/>
          <w:sz w:val="28"/>
          <w:szCs w:val="28"/>
        </w:rPr>
        <w:fldChar w:fldCharType="separate"/>
      </w:r>
      <w:r>
        <w:rPr>
          <w:rFonts w:ascii="仿宋" w:hAnsi="仿宋" w:eastAsia="仿宋"/>
          <w:sz w:val="28"/>
          <w:szCs w:val="28"/>
        </w:rPr>
        <w:t>21</w:t>
      </w:r>
      <w:r>
        <w:rPr>
          <w:rFonts w:ascii="仿宋" w:hAnsi="仿宋" w:eastAsia="仿宋"/>
          <w:sz w:val="28"/>
          <w:szCs w:val="28"/>
        </w:rPr>
        <w:fldChar w:fldCharType="end"/>
      </w:r>
      <w:r>
        <w:rPr>
          <w:rFonts w:ascii="仿宋" w:hAnsi="仿宋" w:eastAsia="仿宋"/>
          <w:sz w:val="28"/>
          <w:szCs w:val="28"/>
        </w:rPr>
        <w:fldChar w:fldCharType="end"/>
      </w:r>
    </w:p>
    <w:p>
      <w:pPr>
        <w:pStyle w:val="11"/>
        <w:rPr>
          <w:rFonts w:cstheme="minorBidi"/>
        </w:rPr>
      </w:pPr>
      <w:r>
        <w:fldChar w:fldCharType="begin"/>
      </w:r>
      <w:r>
        <w:instrText xml:space="preserve"> HYPERLINK \l "_Toc15396618" </w:instrText>
      </w:r>
      <w:r>
        <w:fldChar w:fldCharType="separate"/>
      </w:r>
      <w:r>
        <w:rPr>
          <w:rStyle w:val="16"/>
          <w:rFonts w:hint="eastAsia"/>
        </w:rPr>
        <w:t>第</w:t>
      </w:r>
      <w:r>
        <w:rPr>
          <w:rStyle w:val="16"/>
          <w:rFonts w:hint="eastAsia"/>
          <w:bCs/>
          <w:kern w:val="44"/>
        </w:rPr>
        <w:t>五部分</w:t>
      </w:r>
      <w:r>
        <w:rPr>
          <w:rStyle w:val="16"/>
          <w:bCs/>
          <w:kern w:val="44"/>
        </w:rPr>
        <w:t xml:space="preserve"> </w:t>
      </w:r>
      <w:r>
        <w:rPr>
          <w:rStyle w:val="16"/>
          <w:rFonts w:hint="eastAsia"/>
          <w:bCs/>
          <w:kern w:val="44"/>
        </w:rPr>
        <w:t>附表</w:t>
      </w:r>
      <w:r>
        <w:tab/>
      </w:r>
      <w:r>
        <w:fldChar w:fldCharType="begin"/>
      </w:r>
      <w:r>
        <w:instrText xml:space="preserve"> PAGEREF _Toc15396618 \h </w:instrText>
      </w:r>
      <w:r>
        <w:fldChar w:fldCharType="separate"/>
      </w:r>
      <w:r>
        <w:t>22</w:t>
      </w:r>
      <w:r>
        <w:fldChar w:fldCharType="end"/>
      </w:r>
      <w:r>
        <w:fldChar w:fldCharType="end"/>
      </w:r>
    </w:p>
    <w:p>
      <w:pPr>
        <w:pStyle w:val="12"/>
        <w:rPr>
          <w:rFonts w:ascii="仿宋" w:hAnsi="仿宋" w:eastAsia="仿宋" w:cstheme="minorBidi"/>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6"/>
          <w:rFonts w:hint="eastAsia" w:ascii="仿宋" w:hAnsi="仿宋" w:eastAsia="仿宋"/>
          <w:sz w:val="28"/>
          <w:szCs w:val="28"/>
        </w:rPr>
        <w:t>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_Toc15396619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6"/>
          <w:rFonts w:hint="eastAsia" w:ascii="仿宋" w:hAnsi="仿宋" w:eastAsia="仿宋"/>
          <w:sz w:val="28"/>
          <w:szCs w:val="28"/>
        </w:rPr>
        <w:t>收入总表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_Toc15396620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6"/>
          <w:rFonts w:hint="eastAsia" w:ascii="仿宋" w:hAnsi="仿宋" w:eastAsia="仿宋"/>
          <w:sz w:val="28"/>
          <w:szCs w:val="28"/>
        </w:rPr>
        <w:t>支出总表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_Toc15396621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6"/>
          <w:rFonts w:hint="eastAsia" w:ascii="仿宋" w:hAnsi="仿宋" w:eastAsia="仿宋"/>
          <w:sz w:val="28"/>
          <w:szCs w:val="28"/>
        </w:rPr>
        <w:t>财政拨款收入支出决算总表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_Toc15396622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_Toc15396623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6"/>
          <w:rFonts w:hint="eastAsia" w:ascii="仿宋" w:hAnsi="仿宋" w:eastAsia="仿宋"/>
          <w:sz w:val="28"/>
          <w:szCs w:val="28"/>
        </w:rPr>
        <w:t>一般公共预算财政拨款支出决算表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_Toc15396624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6"/>
          <w:rFonts w:hint="eastAsia" w:ascii="仿宋" w:hAnsi="仿宋" w:eastAsia="仿宋"/>
          <w:sz w:val="28"/>
          <w:szCs w:val="28"/>
        </w:rPr>
        <w:t>一般公共预算财政拨款支出决算明细表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_Toc15396625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6"/>
          <w:rFonts w:hint="eastAsia" w:ascii="仿宋" w:hAnsi="仿宋" w:eastAsia="仿宋"/>
          <w:sz w:val="28"/>
          <w:szCs w:val="28"/>
        </w:rPr>
        <w:t>一般公共预算财政拨款基本支出决算表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_Toc15396626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6"/>
          <w:rFonts w:hint="eastAsia" w:ascii="仿宋" w:hAnsi="仿宋" w:eastAsia="仿宋"/>
          <w:sz w:val="28"/>
          <w:szCs w:val="28"/>
        </w:rPr>
        <w:t>一般公共预算财政拨款项目支出决算表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_Toc15396627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6"/>
          <w:rFonts w:hint="eastAsia" w:ascii="仿宋" w:hAnsi="仿宋" w:eastAsia="仿宋"/>
          <w:sz w:val="28"/>
          <w:szCs w:val="28"/>
        </w:rPr>
        <w:t>一般公共预算财政拨款“三公”经费支出决算表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_Toc15396628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6"/>
          <w:rFonts w:hint="eastAsia" w:ascii="仿宋" w:hAnsi="仿宋" w:eastAsia="仿宋"/>
          <w:sz w:val="28"/>
          <w:szCs w:val="28"/>
        </w:rPr>
        <w:t>政府性基金预算财政拨款收入支出决算表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_Toc15396629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6"/>
          <w:rFonts w:hint="eastAsia" w:ascii="仿宋" w:hAnsi="仿宋" w:eastAsia="仿宋"/>
          <w:sz w:val="28"/>
          <w:szCs w:val="28"/>
        </w:rPr>
        <w:t>政府性基金预算财政拨款“三公”经费支出决算表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_Toc15396630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4"/>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6"/>
          <w:rFonts w:hint="eastAsia" w:ascii="仿宋" w:hAnsi="仿宋" w:eastAsia="仿宋"/>
          <w:sz w:val="28"/>
          <w:szCs w:val="28"/>
        </w:rPr>
        <w:t>国有资本经营预算支出决算表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_Toc15396631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widowControl/>
        <w:jc w:val="left"/>
        <w:rPr>
          <w:rFonts w:ascii="仿宋" w:hAnsi="仿宋" w:eastAsia="仿宋"/>
          <w:color w:val="000000"/>
          <w:sz w:val="24"/>
        </w:rPr>
      </w:pPr>
      <w:r>
        <w:rPr>
          <w:rFonts w:ascii="仿宋" w:hAnsi="仿宋" w:eastAsia="仿宋"/>
          <w:color w:val="000000"/>
          <w:sz w:val="24"/>
        </w:rPr>
        <w:fldChar w:fldCharType="end"/>
      </w:r>
    </w:p>
    <w:p>
      <w:pPr>
        <w:widowControl/>
        <w:jc w:val="left"/>
        <w:rPr>
          <w:rFonts w:ascii="黑体" w:hAnsi="黑体" w:eastAsia="黑体"/>
          <w:bCs/>
          <w:kern w:val="44"/>
          <w:sz w:val="44"/>
          <w:szCs w:val="44"/>
        </w:rPr>
      </w:pPr>
      <w:bookmarkStart w:id="12" w:name="_Toc15377196"/>
      <w:bookmarkStart w:id="13" w:name="_Toc15396599"/>
      <w:r>
        <w:rPr>
          <w:rFonts w:ascii="黑体" w:hAnsi="黑体" w:eastAsia="黑体"/>
          <w:b/>
        </w:rPr>
        <w:br w:type="page"/>
      </w:r>
    </w:p>
    <w:p>
      <w:pPr>
        <w:pStyle w:val="3"/>
        <w:jc w:val="center"/>
        <w:rPr>
          <w:rStyle w:val="25"/>
          <w:rFonts w:ascii="黑体" w:hAnsi="黑体" w:eastAsia="黑体"/>
          <w:b/>
          <w:bCs w:val="0"/>
        </w:rPr>
      </w:pPr>
      <w:r>
        <w:rPr>
          <w:rFonts w:hint="eastAsia" w:ascii="黑体" w:hAnsi="黑体" w:eastAsia="黑体"/>
          <w:b w:val="0"/>
        </w:rPr>
        <w:t xml:space="preserve">第一部分 </w:t>
      </w:r>
      <w:r>
        <w:rPr>
          <w:rStyle w:val="25"/>
          <w:rFonts w:hint="eastAsia" w:ascii="黑体" w:hAnsi="黑体" w:eastAsia="黑体"/>
          <w:b w:val="0"/>
          <w:bCs w:val="0"/>
        </w:rPr>
        <w:t>部门概况</w:t>
      </w:r>
      <w:bookmarkEnd w:id="12"/>
      <w:bookmarkEnd w:id="13"/>
    </w:p>
    <w:p>
      <w:pPr>
        <w:widowControl/>
        <w:jc w:val="left"/>
        <w:rPr>
          <w:rFonts w:ascii="黑体" w:eastAsia="黑体"/>
          <w:color w:val="000000"/>
          <w:sz w:val="32"/>
          <w:szCs w:val="32"/>
        </w:rPr>
      </w:pPr>
    </w:p>
    <w:p>
      <w:pPr>
        <w:pStyle w:val="4"/>
        <w:rPr>
          <w:rStyle w:val="26"/>
          <w:rFonts w:ascii="仿宋" w:hAnsi="仿宋" w:eastAsia="仿宋"/>
          <w:b w:val="0"/>
          <w:bCs w:val="0"/>
        </w:rPr>
      </w:pPr>
      <w:bookmarkStart w:id="14" w:name="_Toc15396600"/>
      <w:bookmarkStart w:id="15" w:name="_Toc15377197"/>
      <w:r>
        <w:rPr>
          <w:rFonts w:hint="eastAsia" w:ascii="黑体" w:hAnsi="黑体" w:eastAsia="黑体"/>
          <w:b w:val="0"/>
          <w:color w:val="000000"/>
        </w:rPr>
        <w:t>一、基</w:t>
      </w:r>
      <w:r>
        <w:rPr>
          <w:rStyle w:val="26"/>
          <w:rFonts w:hint="eastAsia" w:ascii="黑体" w:hAnsi="黑体" w:eastAsia="黑体"/>
          <w:b w:val="0"/>
          <w:bCs w:val="0"/>
        </w:rPr>
        <w:t>本职能及主要工作</w:t>
      </w:r>
      <w:bookmarkEnd w:id="14"/>
      <w:bookmarkEnd w:id="15"/>
    </w:p>
    <w:p>
      <w:pPr>
        <w:pStyle w:val="6"/>
        <w:adjustRightInd w:val="0"/>
        <w:snapToGrid w:val="0"/>
        <w:spacing w:before="93" w:line="600" w:lineRule="exact"/>
        <w:ind w:firstLine="672" w:firstLineChars="210"/>
        <w:outlineLvl w:val="2"/>
        <w:rPr>
          <w:rFonts w:ascii="仿宋" w:hAnsi="仿宋" w:eastAsia="仿宋"/>
          <w:bCs/>
          <w:color w:val="000000"/>
          <w:sz w:val="32"/>
          <w:szCs w:val="32"/>
        </w:rPr>
      </w:pPr>
      <w:bookmarkStart w:id="16" w:name="_Toc15378445"/>
      <w:bookmarkStart w:id="17" w:name="_Toc15377198"/>
      <w:r>
        <w:rPr>
          <w:rFonts w:hint="eastAsia" w:ascii="仿宋" w:hAnsi="仿宋" w:eastAsia="仿宋"/>
          <w:bCs/>
          <w:color w:val="000000"/>
          <w:sz w:val="32"/>
          <w:szCs w:val="32"/>
        </w:rPr>
        <w:t>（一）主要职能。</w:t>
      </w:r>
      <w:bookmarkEnd w:id="16"/>
      <w:bookmarkEnd w:id="17"/>
    </w:p>
    <w:p>
      <w:pPr>
        <w:pStyle w:val="6"/>
        <w:adjustRightInd w:val="0"/>
        <w:snapToGrid w:val="0"/>
        <w:spacing w:before="93" w:line="600" w:lineRule="exact"/>
        <w:ind w:firstLine="988" w:firstLineChars="309"/>
        <w:outlineLvl w:val="2"/>
        <w:rPr>
          <w:rFonts w:ascii="仿宋" w:hAnsi="仿宋" w:eastAsia="仿宋"/>
          <w:bCs/>
          <w:color w:val="000000"/>
          <w:sz w:val="32"/>
          <w:szCs w:val="32"/>
        </w:rPr>
      </w:pPr>
      <w:r>
        <w:rPr>
          <w:rFonts w:hint="eastAsia" w:ascii="仿宋" w:hAnsi="仿宋" w:eastAsia="仿宋"/>
          <w:bCs/>
          <w:color w:val="000000"/>
          <w:sz w:val="32"/>
          <w:szCs w:val="32"/>
        </w:rPr>
        <w:t>1.乡党委主要职责</w:t>
      </w:r>
    </w:p>
    <w:p>
      <w:pPr>
        <w:pStyle w:val="6"/>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 xml:space="preserve">积极宣传、贯彻执行党的路线、方针、政策，负责领导本地区的工作，支持和保护行政组织、经济组织和群众自治组织充分行使职权；领导制定本乡的经济和社会发展规划并组织协调督促各部门贯彻实施，切实保证各项计划、目标的完成；负责乡领导班子的自身建设和对干部进行选拔、培养、使用、考核、监督工作；负责抓好党员的发展、教育、管理；严肃党纪，端正党风，抓好党的组织建设、作风建设、制度建设和思想建设；加强对村支部、村民委员会的领导、监督和检查工作，充分发挥他们的作用；负责本地区的社会治安综合治理、精神文明建设、廉政工作和政治思想工作；负责本地区社会主义民主法制建设；负责对乡共青团、妇联和民兵工作的领导；协助管理上级有关部门驻乡干部；完成县委交办的其它工作。 </w:t>
      </w:r>
    </w:p>
    <w:p>
      <w:pPr>
        <w:pStyle w:val="6"/>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 xml:space="preserve">2.乡人大主席团主要职责 </w:t>
      </w:r>
    </w:p>
    <w:p>
      <w:pPr>
        <w:pStyle w:val="6"/>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 xml:space="preserve">检查、督促宪法、法律、法规及本级和上级人民代表大会决议、决定在本乡遵守、执行；在职权范围内通过和发布决议；健全和完善乡人民代表大会制度，使人大工作逐步实现制度化、规范化、法制化；充分行使乡人民代表大会的职权，听取和审议本级政府社会经济工作情况的报告，并监督本级人民政府工作；决定本行政区域内的经济、文化、公共事业的建设计划；负责组织人大代表开展对乡政府的评议，检查监督本级政府及相关单位办理本级人民代表提出的建议、批评和意见；受理个别职务、人民代表的辞职和任免；主持选举人民代表，决定召开人民代表大会；完成本级人民代表大会和上级人大交办的其它工作。 </w:t>
      </w:r>
    </w:p>
    <w:p>
      <w:pPr>
        <w:pStyle w:val="6"/>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 xml:space="preserve">3.乡政府主要职责 </w:t>
      </w:r>
    </w:p>
    <w:p>
      <w:pPr>
        <w:pStyle w:val="6"/>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 xml:space="preserve">执行上级和本级党委、人民代表大会的决议、决定及命令，执行本行政区域内的国民经济和社会发展计划；认真宣传贯彻党的路线、方针、政策和国家的法律法规，稳定农村基本经济制度；坚持依法行政，推进政务公开，加强对村民委员会的指导，提高、培育村民委员会自治能力；加强民政、教育、科技、文化、卫生、计划生育、安全生产、劳动保障、国土资源的保护利用和乡村规划建设的社会管理；保护社会主义的全民所有的财产和劳动群众集体所有的财产，保护公民私人所有的合法财产，维护社会秩序，保障公民的人身权利、民主权利和其它权利；保护各种经济组织的合法权益；妥善处理本行政区域内的民族宗教事务，保障少数民族的权利和尊重少数民族的风俗习惯；保障宪法和法律赋予妇女的男女平等，同工同酬和婚姻自由等各种权利；办理上级人民政府交办的其它事项。 </w:t>
      </w:r>
    </w:p>
    <w:p>
      <w:pPr>
        <w:pStyle w:val="6"/>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 xml:space="preserve">4.乡纪委主要职责 </w:t>
      </w:r>
    </w:p>
    <w:p>
      <w:pPr>
        <w:pStyle w:val="6"/>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 xml:space="preserve">协助党委对全乡党员干部进行党性、党纪、党风和清正廉洁教育，负责对党风廉政工作提出意见、制定措施、监督执行；检查、处理党员干部贯彻执行党的路线、方针、政策、决议情况和违纪案件，受理党员干部的申诉和群众对党员干部的检举、控告，组织实施全乡领导干部廉洁自律工作，对选拔任用党政领导干部工作实行检查监督；完成党委和上级纪委、监察局交办的其它工作。 </w:t>
      </w:r>
    </w:p>
    <w:p>
      <w:pPr>
        <w:pStyle w:val="6"/>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 xml:space="preserve">5.乡人民武装部主要职责 </w:t>
      </w:r>
    </w:p>
    <w:p>
      <w:pPr>
        <w:pStyle w:val="6"/>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贯彻上级关于民兵预备役工作的方针、政策、指导和规定；负责民兵的组织建设和武器装备管理；负责民兵预备役人员的政治教育，落实民兵参训人员；负责组织并带领民兵完成战备、治安执勤任务；负责民兵预备役人员的登记、统计工作；负责征兵工作；组织带领民兵参加两个文明建设；协助有关部门搞好拥军优属工作；战时负责组织动员民兵参军参战，支援前线，保卫后方等工作；负责抢险救灾工作以及上级临时交办的其他工作。</w:t>
      </w:r>
    </w:p>
    <w:p>
      <w:pPr>
        <w:pStyle w:val="6"/>
        <w:adjustRightInd w:val="0"/>
        <w:snapToGrid w:val="0"/>
        <w:spacing w:before="93" w:line="600" w:lineRule="exact"/>
        <w:ind w:firstLine="674" w:firstLineChars="210"/>
        <w:outlineLvl w:val="2"/>
        <w:rPr>
          <w:rFonts w:ascii="仿宋" w:hAnsi="仿宋" w:eastAsia="仿宋"/>
          <w:b/>
          <w:color w:val="000000"/>
          <w:sz w:val="32"/>
          <w:szCs w:val="32"/>
        </w:rPr>
      </w:pPr>
      <w:bookmarkStart w:id="18" w:name="_Toc15377199"/>
      <w:bookmarkStart w:id="19" w:name="_Toc15378446"/>
      <w:r>
        <w:rPr>
          <w:rFonts w:hint="eastAsia" w:ascii="仿宋" w:hAnsi="仿宋" w:eastAsia="仿宋"/>
          <w:b/>
          <w:color w:val="000000"/>
          <w:sz w:val="32"/>
          <w:szCs w:val="32"/>
        </w:rPr>
        <w:t>（二）</w:t>
      </w:r>
      <w:r>
        <w:rPr>
          <w:rFonts w:ascii="仿宋" w:hAnsi="仿宋" w:eastAsia="仿宋"/>
          <w:b/>
          <w:color w:val="000000"/>
          <w:sz w:val="32"/>
          <w:szCs w:val="32"/>
        </w:rPr>
        <w:t>201</w:t>
      </w:r>
      <w:r>
        <w:rPr>
          <w:rFonts w:hint="eastAsia" w:ascii="仿宋" w:hAnsi="仿宋" w:eastAsia="仿宋"/>
          <w:b/>
          <w:color w:val="000000"/>
          <w:sz w:val="32"/>
          <w:szCs w:val="32"/>
        </w:rPr>
        <w:t>8年重点工作完成情况。</w:t>
      </w:r>
      <w:bookmarkEnd w:id="18"/>
      <w:bookmarkEnd w:id="19"/>
    </w:p>
    <w:p>
      <w:pPr>
        <w:pStyle w:val="6"/>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1、坚持结构调整，推动经济社会发展</w:t>
      </w:r>
    </w:p>
    <w:p>
      <w:pPr>
        <w:pStyle w:val="6"/>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1）强化基础设施建设，积极争取项目支持。三村路灯工程项目，投入资金78.5万元；三村安全饮水项目，投入资金16.9万元；黄草坪产业路维修项目，投入资金5万元,；上草地村文化墙建设项目，投入资金6.2万元；上草地村、下草地村厕所革命，投入资金51.75万元；杨家湾村白马休闲农庄项目，投入资金100万元；上草地村微景观打造项目，投入资金135.5万元。</w:t>
      </w:r>
    </w:p>
    <w:p>
      <w:pPr>
        <w:pStyle w:val="6"/>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（2）农业产业化稳步推进，大力发展特色种养殖。</w:t>
      </w:r>
    </w:p>
    <w:p>
      <w:pPr>
        <w:pStyle w:val="6"/>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坚持第一产业基础地位不动摇，发展特色种养殖业，种植红脆李30余亩，种植重楼、白芨等特色中药材种植80余亩；养殖中蜂1500箱，养殖藏香猪300头，为群众的增收带来实惠。加快推进电商服务平台，实现互联网＋合作社＋农户，解决农产品销售问题，拓宽了群众增收致富渠道。发展农村集体经济，科学使用县级100万集体经济试点项目资金，联合高原绿色食品公司采取联合经营模式，实现年底分红7％，三年后归还本金方式为集体经济创收，为群众增收添力量。</w:t>
      </w:r>
    </w:p>
    <w:p>
      <w:pPr>
        <w:pStyle w:val="6"/>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2、持续抓好综治维稳，力保社会和谐稳定</w:t>
      </w:r>
    </w:p>
    <w:p>
      <w:pPr>
        <w:pStyle w:val="6"/>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1）维护稳定，构建和谐草地。积极开展矛盾纠纷排查化解工作，深入群众排忧解难，将矛盾隐患化解在基层，全年化解矛盾45起。今年我乡与县法院等部门建立经常性联系机制，邀请县法院资深法官开展法律宣传，普及法律知识3次共400余人。</w:t>
      </w:r>
    </w:p>
    <w:p>
      <w:pPr>
        <w:pStyle w:val="6"/>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2）互利共赢，持续改善边界关系。不断加强边界干群关系，深化文县石鸡坝镇和哈南村的沟通交流。落实好“三乡（镇）联席会”、“三村联席会”等有效机制，共同开展边界联防活动2次，禁毒巡山1次，防汛演练活动1次，努力实现“以交流促稳定，以共享促发展”的良好局面。</w:t>
      </w:r>
    </w:p>
    <w:p>
      <w:pPr>
        <w:pStyle w:val="6"/>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3）强化措施，严把安全生产关。深化安全生产责任措施，重点加强对草地金矿安全生产监督。共开展安全隐患排查4次，发放宣传资料400余份，取得良好社会效果。与此同时，加强对汛期泥石流地质灾害隐患点、道路安全、护林防火和辖区内食品药品安全的排查力度。截至目前，未发生任何安全生产事故。</w:t>
      </w:r>
    </w:p>
    <w:p>
      <w:pPr>
        <w:pStyle w:val="6"/>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3、有力落实惠民政策，保障群众安居乐业</w:t>
      </w:r>
    </w:p>
    <w:p>
      <w:pPr>
        <w:pStyle w:val="6"/>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1）进一步完善兜底保障措施，解群众之所困。认真落实党的惠民政策，惠民保民服务于民。一是严格落实低保政策。全乡现有低保户270户，589人（其中贫困户为11户39人）。二是认真开展医疗保险、新农保收缴工作。2018年我乡完成医疗保险收缴303户，参合率达到了100％；完成新农保收缴260户，比去年增加1户。</w:t>
      </w:r>
    </w:p>
    <w:p>
      <w:pPr>
        <w:pStyle w:val="6"/>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2）惠民救助惠民生，解群众之所急。坚持群众利益无小事，把群众放在第一位。今年在坚持我乡良好帮扶举措的同时，依托脱贫攻坚工作多措并举开展帮扶工作。一是发挥好“困难群众重大疾病帮扶基金”的积极作用，帮助群众解决看病就医问题，与此同时，我乡与县级各部门保持密切联系，扶贫帮困工作得到他们的广泛支持。二是广开致富路，助民脱困。依托“脱贫攻坚”工作，充分利用文化和生态优势，大力扶持发展乡村旅游，种植业、养殖业等特色产业，通过思想发动，工作引导，政策鼓励，资金扶持，大力发展以中蜂、灵芝、脆红李、重楼、白芨等为主的特色种养，促农增收。</w:t>
      </w:r>
    </w:p>
    <w:p>
      <w:pPr>
        <w:pStyle w:val="6"/>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（3）大力推行科技兴村富民，打造新型农村。我乡大力实施科技扶贫、科技兴村等工作。今年我乡组织群众参加各类培训40余人次，邀请农业科技人员、致富带头人组织讲座2场，参训群众达到100余人次。</w:t>
      </w:r>
    </w:p>
    <w:p>
      <w:pPr>
        <w:pStyle w:val="6"/>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4）做好未成年人保护工作，关爱下一代。乡党委、政府主要负责人深入学校开展工作2次，与学校老师交流，确保孩子们健康成长。做好未成年人假期管护工作，在暑期继续开展假期培训班，抽调志愿者、青年干部为留守儿童给辅导假期作业，讲授绘画、非物质文化遗产“熊猫舞”等。</w:t>
      </w:r>
    </w:p>
    <w:p>
      <w:pPr>
        <w:pStyle w:val="6"/>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5）其他工作。认真贯彻落实《中华人民共和国城乡规划法》、《中华人民共和国土地管理》等法规，全乡无违法修建行为，群众建房符合规定，风貌符合要求。认真落实森林、草场防火工作，通过宣传标语、宣传车、喇叭等载体宣传护林防火知识，要求群众管控好火源，全年无火情。进一步加强生态建设工作，严厉打击非法毁林开荒，敞放牲畜等行为。进一步加大环境卫生综合治理，加大食品卫生安全防范工作。</w:t>
      </w:r>
    </w:p>
    <w:p>
      <w:pPr>
        <w:pStyle w:val="4"/>
        <w:rPr>
          <w:rStyle w:val="26"/>
          <w:b w:val="0"/>
          <w:bCs w:val="0"/>
        </w:rPr>
      </w:pPr>
      <w:bookmarkStart w:id="20" w:name="_Toc15377200"/>
      <w:bookmarkStart w:id="21" w:name="_Toc15396601"/>
      <w:r>
        <w:rPr>
          <w:rFonts w:hint="eastAsia" w:ascii="黑体" w:eastAsia="黑体"/>
          <w:b w:val="0"/>
          <w:color w:val="000000"/>
        </w:rPr>
        <w:t>二、</w:t>
      </w:r>
      <w:r>
        <w:rPr>
          <w:rFonts w:hint="eastAsia" w:ascii="黑体" w:hAnsi="黑体" w:eastAsia="黑体"/>
          <w:b w:val="0"/>
          <w:color w:val="000000"/>
        </w:rPr>
        <w:t>机</w:t>
      </w:r>
      <w:r>
        <w:rPr>
          <w:rStyle w:val="26"/>
          <w:rFonts w:hint="eastAsia" w:ascii="黑体" w:hAnsi="黑体" w:eastAsia="黑体"/>
          <w:b w:val="0"/>
          <w:bCs w:val="0"/>
        </w:rPr>
        <w:t>构设置</w:t>
      </w:r>
      <w:bookmarkEnd w:id="20"/>
      <w:bookmarkEnd w:id="21"/>
    </w:p>
    <w:p>
      <w:pPr>
        <w:ind w:firstLine="800" w:firstLineChars="250"/>
        <w:rPr>
          <w:rFonts w:ascii="仿宋" w:hAnsi="仿宋" w:eastAsia="仿宋"/>
          <w:color w:val="000000"/>
          <w:kern w:val="0"/>
          <w:sz w:val="32"/>
          <w:szCs w:val="32"/>
        </w:rPr>
      </w:pPr>
      <w:r>
        <w:rPr>
          <w:rFonts w:hint="eastAsia" w:ascii="仿宋" w:hAnsi="仿宋" w:eastAsia="仿宋"/>
          <w:sz w:val="32"/>
          <w:szCs w:val="32"/>
        </w:rPr>
        <w:t>草地乡下属二级单位6个，其中行政单位3个，参照公务员法管理的事业单位</w:t>
      </w:r>
      <w:r>
        <w:rPr>
          <w:rFonts w:hint="eastAsia" w:ascii="仿宋" w:hAnsi="仿宋" w:eastAsia="仿宋"/>
          <w:bCs/>
          <w:sz w:val="32"/>
          <w:szCs w:val="32"/>
        </w:rPr>
        <w:t>3</w:t>
      </w:r>
      <w:r>
        <w:rPr>
          <w:rFonts w:hint="eastAsia" w:ascii="仿宋" w:hAnsi="仿宋" w:eastAsia="仿宋"/>
          <w:sz w:val="32"/>
          <w:szCs w:val="32"/>
        </w:rPr>
        <w:t>个，其他事业单位0个。</w:t>
      </w:r>
      <w:r>
        <w:rPr>
          <w:rFonts w:hint="eastAsia" w:ascii="仿宋" w:hAnsi="仿宋" w:eastAsia="仿宋"/>
          <w:color w:val="000000"/>
          <w:w w:val="90"/>
          <w:sz w:val="32"/>
          <w:szCs w:val="32"/>
        </w:rPr>
        <w:t>财政供养人员编制为26名，其中行政编制18名，事业编制6名；2018年实际财政供养人员22人。我乡为财政全额拨款事业单位。</w:t>
      </w:r>
      <w:r>
        <w:rPr>
          <w:rFonts w:ascii="仿宋" w:hAnsi="仿宋" w:eastAsia="仿宋"/>
          <w:color w:val="000000"/>
          <w:sz w:val="32"/>
          <w:szCs w:val="32"/>
        </w:rPr>
        <w:br w:type="page"/>
      </w:r>
    </w:p>
    <w:p>
      <w:pPr>
        <w:pStyle w:val="3"/>
        <w:ind w:right="440"/>
        <w:jc w:val="right"/>
        <w:rPr>
          <w:rStyle w:val="25"/>
          <w:rFonts w:ascii="黑体" w:hAnsi="黑体" w:eastAsia="黑体"/>
          <w:b w:val="0"/>
          <w:bCs w:val="0"/>
        </w:rPr>
      </w:pPr>
      <w:bookmarkStart w:id="22" w:name="_Toc15377204"/>
      <w:bookmarkStart w:id="23" w:name="_Toc15396602"/>
      <w:r>
        <w:rPr>
          <w:rFonts w:hint="eastAsia" w:ascii="黑体" w:hAnsi="黑体" w:eastAsia="黑体"/>
          <w:b w:val="0"/>
          <w:color w:val="000000"/>
        </w:rPr>
        <w:t>第二部分</w:t>
      </w:r>
      <w:r>
        <w:rPr>
          <w:rFonts w:hint="eastAsia" w:ascii="黑体" w:hAnsi="黑体" w:eastAsia="黑体"/>
          <w:color w:val="000000"/>
        </w:rPr>
        <w:t xml:space="preserve"> </w:t>
      </w:r>
      <w:r>
        <w:rPr>
          <w:rStyle w:val="25"/>
          <w:rFonts w:hint="eastAsia" w:ascii="黑体" w:hAnsi="黑体" w:eastAsia="黑体"/>
          <w:b w:val="0"/>
          <w:bCs w:val="0"/>
        </w:rPr>
        <w:t>2018年度部门决算情况说明</w:t>
      </w:r>
      <w:bookmarkEnd w:id="22"/>
      <w:bookmarkEnd w:id="23"/>
    </w:p>
    <w:p/>
    <w:p>
      <w:pPr>
        <w:pStyle w:val="24"/>
        <w:numPr>
          <w:ilvl w:val="0"/>
          <w:numId w:val="1"/>
        </w:numPr>
        <w:spacing w:line="600" w:lineRule="exact"/>
        <w:ind w:firstLineChars="0"/>
        <w:outlineLvl w:val="1"/>
        <w:rPr>
          <w:rStyle w:val="26"/>
          <w:rFonts w:ascii="黑体" w:hAnsi="黑体" w:eastAsia="黑体"/>
          <w:b w:val="0"/>
        </w:rPr>
      </w:pPr>
      <w:bookmarkStart w:id="24" w:name="_Toc15396603"/>
      <w:bookmarkStart w:id="25" w:name="_Toc15377205"/>
      <w:r>
        <w:rPr>
          <w:rFonts w:hint="eastAsia" w:ascii="黑体" w:hAnsi="黑体" w:eastAsia="黑体"/>
          <w:color w:val="000000"/>
          <w:sz w:val="32"/>
          <w:szCs w:val="32"/>
        </w:rPr>
        <w:t>收</w:t>
      </w:r>
      <w:r>
        <w:rPr>
          <w:rStyle w:val="26"/>
          <w:rFonts w:hint="eastAsia" w:ascii="黑体" w:hAnsi="黑体" w:eastAsia="黑体"/>
          <w:b w:val="0"/>
        </w:rPr>
        <w:t>入支出决算总体情况说明</w:t>
      </w:r>
      <w:bookmarkEnd w:id="24"/>
      <w:bookmarkEnd w:id="25"/>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2018年度收入总计987.万元。与2017年相比，收入总计增加441.51万元，增长44.71</w:t>
      </w:r>
      <w:r>
        <w:rPr>
          <w:rFonts w:ascii="仿宋" w:hAnsi="仿宋" w:eastAsia="仿宋"/>
          <w:color w:val="000000"/>
          <w:sz w:val="32"/>
          <w:szCs w:val="32"/>
        </w:rPr>
        <w:t>%</w:t>
      </w:r>
      <w:r>
        <w:rPr>
          <w:rFonts w:hint="eastAsia" w:ascii="仿宋" w:hAnsi="仿宋" w:eastAsia="仿宋"/>
          <w:color w:val="000000"/>
          <w:sz w:val="32"/>
          <w:szCs w:val="32"/>
        </w:rPr>
        <w:t>。）主要变动原因是草地乡2018年项目支出支出。</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2018年度支出总计1258.95万元。与2017年相比，收入总计增加606.06万元，增长48.14</w:t>
      </w:r>
      <w:r>
        <w:rPr>
          <w:rFonts w:ascii="仿宋" w:hAnsi="仿宋" w:eastAsia="仿宋"/>
          <w:color w:val="000000"/>
          <w:sz w:val="32"/>
          <w:szCs w:val="32"/>
        </w:rPr>
        <w:t>%</w:t>
      </w:r>
      <w:r>
        <w:rPr>
          <w:rFonts w:hint="eastAsia" w:ascii="仿宋" w:hAnsi="仿宋" w:eastAsia="仿宋"/>
          <w:color w:val="000000"/>
          <w:sz w:val="32"/>
          <w:szCs w:val="32"/>
        </w:rPr>
        <w:t>。主要变动原因是草地乡2018年项目支出及人员变动相关支出。</w:t>
      </w:r>
    </w:p>
    <w:p>
      <w:pPr>
        <w:ind w:firstLine="640" w:firstLineChars="200"/>
        <w:rPr>
          <w:rFonts w:ascii="仿宋" w:hAnsi="仿宋" w:eastAsia="仿宋"/>
          <w:color w:val="000000"/>
          <w:sz w:val="32"/>
          <w:szCs w:val="32"/>
        </w:rPr>
      </w:pPr>
      <w:r>
        <w:rPr>
          <w:rFonts w:hint="eastAsia" w:ascii="仿宋" w:hAnsi="仿宋" w:eastAsia="仿宋"/>
          <w:color w:val="000000"/>
          <w:sz w:val="32"/>
          <w:szCs w:val="32"/>
        </w:rPr>
        <w:drawing>
          <wp:inline distT="0" distB="0" distL="114300" distR="114300">
            <wp:extent cx="4581525" cy="2752725"/>
            <wp:effectExtent l="0" t="0" r="9525" b="9525"/>
            <wp:docPr id="5" name="图片 5" descr="收入支出决算总体情况"/>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 name="图片 5" descr="收入支出决算总体情况"/>
                    <pic:cNvPicPr>
                      <a:picLocks noChangeAspect="true"/>
                    </pic:cNvPicPr>
                  </pic:nvPicPr>
                  <pic:blipFill>
                    <a:blip r:embed="rId6"/>
                    <a:stretch>
                      <a:fillRect/>
                    </a:stretch>
                  </pic:blipFill>
                  <pic:spPr>
                    <a:xfrm>
                      <a:off x="0" y="0"/>
                      <a:ext cx="4581525" cy="2752725"/>
                    </a:xfrm>
                    <a:prstGeom prst="rect">
                      <a:avLst/>
                    </a:prstGeom>
                  </pic:spPr>
                </pic:pic>
              </a:graphicData>
            </a:graphic>
          </wp:inline>
        </w:drawing>
      </w:r>
    </w:p>
    <w:p>
      <w:pPr>
        <w:rPr>
          <w:rFonts w:ascii="仿宋_GB2312" w:eastAsia="仿宋_GB2312"/>
          <w:color w:val="000000"/>
          <w:sz w:val="32"/>
          <w:szCs w:val="32"/>
        </w:rPr>
      </w:pPr>
    </w:p>
    <w:p>
      <w:pPr>
        <w:pStyle w:val="24"/>
        <w:numPr>
          <w:ilvl w:val="0"/>
          <w:numId w:val="1"/>
        </w:numPr>
        <w:spacing w:line="600" w:lineRule="exact"/>
        <w:ind w:firstLineChars="0"/>
        <w:outlineLvl w:val="1"/>
        <w:rPr>
          <w:rStyle w:val="26"/>
          <w:rFonts w:ascii="黑体" w:hAnsi="黑体" w:eastAsia="黑体"/>
          <w:b w:val="0"/>
        </w:rPr>
      </w:pPr>
      <w:bookmarkStart w:id="26" w:name="_Toc15377206"/>
      <w:bookmarkStart w:id="27" w:name="_Toc15396604"/>
      <w:r>
        <w:rPr>
          <w:rFonts w:hint="eastAsia" w:ascii="黑体" w:hAnsi="黑体" w:eastAsia="黑体"/>
          <w:color w:val="000000"/>
          <w:sz w:val="32"/>
          <w:szCs w:val="32"/>
        </w:rPr>
        <w:t>收</w:t>
      </w:r>
      <w:r>
        <w:rPr>
          <w:rStyle w:val="26"/>
          <w:rFonts w:hint="eastAsia" w:ascii="黑体" w:hAnsi="黑体" w:eastAsia="黑体"/>
          <w:b w:val="0"/>
        </w:rPr>
        <w:t>入决算情况说明</w:t>
      </w:r>
      <w:bookmarkEnd w:id="26"/>
      <w:bookmarkEnd w:id="27"/>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8年本年收入合计987.45万元，其中：一般公共预算财政拨款收入976.45万元，占98.8</w:t>
      </w:r>
      <w:r>
        <w:rPr>
          <w:rFonts w:ascii="仿宋" w:hAnsi="仿宋" w:eastAsia="仿宋"/>
          <w:color w:val="000000"/>
          <w:sz w:val="32"/>
          <w:szCs w:val="32"/>
        </w:rPr>
        <w:t>%</w:t>
      </w:r>
      <w:r>
        <w:rPr>
          <w:rFonts w:hint="eastAsia" w:ascii="仿宋" w:hAnsi="仿宋" w:eastAsia="仿宋"/>
          <w:color w:val="000000"/>
          <w:sz w:val="32"/>
          <w:szCs w:val="32"/>
        </w:rPr>
        <w:t>；政府性基金预算财政拨款收入11万元，占1.2</w:t>
      </w:r>
      <w:r>
        <w:rPr>
          <w:rFonts w:ascii="仿宋" w:hAnsi="仿宋" w:eastAsia="仿宋"/>
          <w:color w:val="000000"/>
          <w:sz w:val="32"/>
          <w:szCs w:val="32"/>
        </w:rPr>
        <w:t>%</w:t>
      </w:r>
      <w:r>
        <w:rPr>
          <w:rFonts w:hint="eastAsia" w:ascii="仿宋" w:hAnsi="仿宋" w:eastAsia="仿宋"/>
          <w:color w:val="000000"/>
          <w:sz w:val="32"/>
          <w:szCs w:val="32"/>
        </w:rPr>
        <w:t>；国有资本经营预算财政拨款收入0万元，占0</w:t>
      </w:r>
      <w:r>
        <w:rPr>
          <w:rFonts w:ascii="仿宋" w:hAnsi="仿宋" w:eastAsia="仿宋"/>
          <w:color w:val="000000"/>
          <w:sz w:val="32"/>
          <w:szCs w:val="32"/>
        </w:rPr>
        <w:t>%</w:t>
      </w:r>
      <w:r>
        <w:rPr>
          <w:rFonts w:hint="eastAsia" w:ascii="仿宋" w:hAnsi="仿宋" w:eastAsia="仿宋"/>
          <w:color w:val="000000"/>
          <w:sz w:val="32"/>
          <w:szCs w:val="32"/>
        </w:rPr>
        <w:t>；事业收入0万元，占0</w:t>
      </w:r>
      <w:r>
        <w:rPr>
          <w:rFonts w:ascii="仿宋" w:hAnsi="仿宋" w:eastAsia="仿宋"/>
          <w:color w:val="000000"/>
          <w:sz w:val="32"/>
          <w:szCs w:val="32"/>
        </w:rPr>
        <w:t>%</w:t>
      </w:r>
      <w:r>
        <w:rPr>
          <w:rFonts w:hint="eastAsia" w:ascii="仿宋" w:hAnsi="仿宋" w:eastAsia="仿宋"/>
          <w:color w:val="000000"/>
          <w:sz w:val="32"/>
          <w:szCs w:val="32"/>
        </w:rPr>
        <w:t>；经营收入0万元，占0</w:t>
      </w:r>
      <w:r>
        <w:rPr>
          <w:rFonts w:ascii="仿宋" w:hAnsi="仿宋" w:eastAsia="仿宋"/>
          <w:color w:val="000000"/>
          <w:sz w:val="32"/>
          <w:szCs w:val="32"/>
        </w:rPr>
        <w:t>%</w:t>
      </w:r>
      <w:r>
        <w:rPr>
          <w:rFonts w:hint="eastAsia" w:ascii="仿宋" w:hAnsi="仿宋" w:eastAsia="仿宋"/>
          <w:color w:val="000000"/>
          <w:sz w:val="32"/>
          <w:szCs w:val="32"/>
        </w:rPr>
        <w:t>；附属单位上缴收入0万元，占0</w:t>
      </w:r>
      <w:r>
        <w:rPr>
          <w:rFonts w:ascii="仿宋" w:hAnsi="仿宋" w:eastAsia="仿宋"/>
          <w:color w:val="000000"/>
          <w:sz w:val="32"/>
          <w:szCs w:val="32"/>
        </w:rPr>
        <w:t>%</w:t>
      </w:r>
      <w:r>
        <w:rPr>
          <w:rFonts w:hint="eastAsia" w:ascii="仿宋" w:hAnsi="仿宋" w:eastAsia="仿宋"/>
          <w:color w:val="000000"/>
          <w:sz w:val="32"/>
          <w:szCs w:val="32"/>
        </w:rPr>
        <w:t>；其他收入0万元，占0</w:t>
      </w:r>
      <w:r>
        <w:rPr>
          <w:rFonts w:ascii="仿宋" w:hAnsi="仿宋" w:eastAsia="仿宋"/>
          <w:color w:val="000000"/>
          <w:sz w:val="32"/>
          <w:szCs w:val="32"/>
        </w:rPr>
        <w:t>%</w:t>
      </w:r>
      <w:r>
        <w:rPr>
          <w:rFonts w:hint="eastAsia" w:ascii="仿宋" w:hAnsi="仿宋" w:eastAsia="仿宋"/>
          <w:color w:val="000000"/>
          <w:sz w:val="32"/>
          <w:szCs w:val="32"/>
        </w:rPr>
        <w:t>。</w:t>
      </w:r>
    </w:p>
    <w:p>
      <w:pPr>
        <w:ind w:firstLine="640" w:firstLineChars="200"/>
        <w:outlineLvl w:val="1"/>
        <w:rPr>
          <w:rFonts w:ascii="仿宋" w:hAnsi="仿宋" w:eastAsia="仿宋"/>
          <w:color w:val="000000"/>
          <w:sz w:val="32"/>
          <w:szCs w:val="32"/>
        </w:rPr>
      </w:pPr>
      <w:r>
        <w:rPr>
          <w:rFonts w:hint="eastAsia" w:ascii="仿宋" w:hAnsi="仿宋" w:eastAsia="仿宋"/>
          <w:color w:val="000000"/>
          <w:sz w:val="32"/>
          <w:szCs w:val="32"/>
        </w:rPr>
        <w:drawing>
          <wp:inline distT="0" distB="0" distL="114300" distR="114300">
            <wp:extent cx="4581525" cy="2752725"/>
            <wp:effectExtent l="0" t="0" r="9525" b="9525"/>
            <wp:docPr id="8" name="图片 8" descr="收入决算结构图"/>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 name="图片 8" descr="收入决算结构图"/>
                    <pic:cNvPicPr>
                      <a:picLocks noChangeAspect="true"/>
                    </pic:cNvPicPr>
                  </pic:nvPicPr>
                  <pic:blipFill>
                    <a:blip r:embed="rId7"/>
                    <a:stretch>
                      <a:fillRect/>
                    </a:stretch>
                  </pic:blipFill>
                  <pic:spPr>
                    <a:xfrm>
                      <a:off x="0" y="0"/>
                      <a:ext cx="4581525" cy="2752725"/>
                    </a:xfrm>
                    <a:prstGeom prst="rect">
                      <a:avLst/>
                    </a:prstGeom>
                  </pic:spPr>
                </pic:pic>
              </a:graphicData>
            </a:graphic>
          </wp:inline>
        </w:drawing>
      </w:r>
    </w:p>
    <w:p>
      <w:pPr>
        <w:pStyle w:val="24"/>
        <w:numPr>
          <w:ilvl w:val="0"/>
          <w:numId w:val="1"/>
        </w:numPr>
        <w:spacing w:line="600" w:lineRule="exact"/>
        <w:ind w:firstLineChars="0"/>
        <w:outlineLvl w:val="1"/>
        <w:rPr>
          <w:rStyle w:val="26"/>
          <w:rFonts w:ascii="黑体" w:hAnsi="黑体" w:eastAsia="黑体"/>
          <w:b w:val="0"/>
        </w:rPr>
      </w:pPr>
      <w:bookmarkStart w:id="28" w:name="_Toc15396605"/>
      <w:bookmarkStart w:id="29" w:name="_Toc15377207"/>
      <w:r>
        <w:rPr>
          <w:rFonts w:hint="eastAsia" w:ascii="黑体" w:hAnsi="黑体" w:eastAsia="黑体"/>
          <w:color w:val="000000"/>
          <w:sz w:val="32"/>
          <w:szCs w:val="32"/>
        </w:rPr>
        <w:t>支</w:t>
      </w:r>
      <w:r>
        <w:rPr>
          <w:rStyle w:val="26"/>
          <w:rFonts w:hint="eastAsia" w:ascii="黑体" w:hAnsi="黑体" w:eastAsia="黑体"/>
          <w:b w:val="0"/>
        </w:rPr>
        <w:t>出决算情况说明</w:t>
      </w:r>
      <w:bookmarkEnd w:id="28"/>
      <w:bookmarkEnd w:id="29"/>
    </w:p>
    <w:p>
      <w:pPr>
        <w:spacing w:line="600" w:lineRule="exact"/>
        <w:ind w:firstLine="640"/>
        <w:rPr>
          <w:rFonts w:ascii="仿宋" w:hAnsi="仿宋" w:eastAsia="仿宋"/>
          <w:color w:val="000000"/>
          <w:sz w:val="32"/>
          <w:szCs w:val="32"/>
          <w:shd w:val="pct10" w:color="auto" w:fill="FFFFFF"/>
        </w:rPr>
      </w:pPr>
      <w:r>
        <w:rPr>
          <w:rFonts w:ascii="仿宋" w:hAnsi="仿宋" w:eastAsia="仿宋"/>
          <w:color w:val="000000"/>
          <w:sz w:val="32"/>
          <w:szCs w:val="32"/>
        </w:rPr>
        <w:t>201</w:t>
      </w:r>
      <w:r>
        <w:rPr>
          <w:rFonts w:hint="eastAsia" w:ascii="仿宋" w:hAnsi="仿宋" w:eastAsia="仿宋"/>
          <w:color w:val="000000"/>
          <w:sz w:val="32"/>
          <w:szCs w:val="32"/>
        </w:rPr>
        <w:t>8年本年支出合计1258.95万元，其中：基本支出337.2万元，占26.77</w:t>
      </w:r>
      <w:r>
        <w:rPr>
          <w:rFonts w:ascii="仿宋" w:hAnsi="仿宋" w:eastAsia="仿宋"/>
          <w:color w:val="000000"/>
          <w:sz w:val="32"/>
          <w:szCs w:val="32"/>
        </w:rPr>
        <w:t>%</w:t>
      </w:r>
      <w:r>
        <w:rPr>
          <w:rFonts w:hint="eastAsia" w:ascii="仿宋" w:hAnsi="仿宋" w:eastAsia="仿宋"/>
          <w:color w:val="000000"/>
          <w:sz w:val="32"/>
          <w:szCs w:val="32"/>
        </w:rPr>
        <w:t>；项目支出921.74万元，占73.23</w:t>
      </w:r>
      <w:r>
        <w:rPr>
          <w:rFonts w:ascii="仿宋" w:hAnsi="仿宋" w:eastAsia="仿宋"/>
          <w:color w:val="000000"/>
          <w:sz w:val="32"/>
          <w:szCs w:val="32"/>
        </w:rPr>
        <w:t>%</w:t>
      </w:r>
      <w:r>
        <w:rPr>
          <w:rFonts w:hint="eastAsia" w:ascii="仿宋" w:hAnsi="仿宋" w:eastAsia="仿宋"/>
          <w:color w:val="000000"/>
          <w:sz w:val="32"/>
          <w:szCs w:val="32"/>
        </w:rPr>
        <w:t>；上缴上级支出,0万元，占0</w:t>
      </w:r>
      <w:r>
        <w:rPr>
          <w:rFonts w:ascii="仿宋" w:hAnsi="仿宋" w:eastAsia="仿宋"/>
          <w:color w:val="000000"/>
          <w:sz w:val="32"/>
          <w:szCs w:val="32"/>
        </w:rPr>
        <w:t>%</w:t>
      </w:r>
      <w:r>
        <w:rPr>
          <w:rFonts w:hint="eastAsia" w:ascii="仿宋" w:hAnsi="仿宋" w:eastAsia="仿宋"/>
          <w:color w:val="000000"/>
          <w:sz w:val="32"/>
          <w:szCs w:val="32"/>
        </w:rPr>
        <w:t>；经营支出0万元，占0</w:t>
      </w:r>
      <w:r>
        <w:rPr>
          <w:rFonts w:ascii="仿宋" w:hAnsi="仿宋" w:eastAsia="仿宋"/>
          <w:color w:val="000000"/>
          <w:sz w:val="32"/>
          <w:szCs w:val="32"/>
        </w:rPr>
        <w:t>%</w:t>
      </w:r>
      <w:r>
        <w:rPr>
          <w:rFonts w:hint="eastAsia" w:ascii="仿宋" w:hAnsi="仿宋" w:eastAsia="仿宋"/>
          <w:color w:val="000000"/>
          <w:sz w:val="32"/>
          <w:szCs w:val="32"/>
        </w:rPr>
        <w:t>；对附属单位补助支出0万元，占0</w:t>
      </w:r>
      <w:r>
        <w:rPr>
          <w:rFonts w:ascii="仿宋" w:hAnsi="仿宋" w:eastAsia="仿宋"/>
          <w:color w:val="000000"/>
          <w:sz w:val="32"/>
          <w:szCs w:val="32"/>
        </w:rPr>
        <w:t>%</w:t>
      </w:r>
      <w:r>
        <w:rPr>
          <w:rFonts w:hint="eastAsia" w:ascii="仿宋" w:hAnsi="仿宋" w:eastAsia="仿宋"/>
          <w:color w:val="000000"/>
          <w:sz w:val="32"/>
          <w:szCs w:val="32"/>
        </w:rPr>
        <w:t>。</w:t>
      </w:r>
    </w:p>
    <w:p>
      <w:pPr>
        <w:ind w:firstLine="640" w:firstLineChars="200"/>
        <w:outlineLvl w:val="1"/>
        <w:rPr>
          <w:rFonts w:ascii="黑体" w:hAnsi="黑体" w:eastAsia="黑体"/>
          <w:color w:val="000000"/>
          <w:sz w:val="32"/>
          <w:szCs w:val="32"/>
        </w:rPr>
      </w:pPr>
      <w:bookmarkStart w:id="30" w:name="_Toc15377208"/>
      <w:bookmarkStart w:id="31" w:name="_Toc15396606"/>
      <w:r>
        <w:rPr>
          <w:rFonts w:hint="eastAsia" w:ascii="黑体" w:hAnsi="黑体" w:eastAsia="黑体"/>
          <w:color w:val="000000"/>
          <w:sz w:val="32"/>
          <w:szCs w:val="32"/>
        </w:rPr>
        <w:drawing>
          <wp:inline distT="0" distB="0" distL="114300" distR="114300">
            <wp:extent cx="4581525" cy="2752725"/>
            <wp:effectExtent l="0" t="0" r="9525" b="9525"/>
            <wp:docPr id="9" name="图片 9" descr="支出决算结构图"/>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9" name="图片 9" descr="支出决算结构图"/>
                    <pic:cNvPicPr>
                      <a:picLocks noChangeAspect="true"/>
                    </pic:cNvPicPr>
                  </pic:nvPicPr>
                  <pic:blipFill>
                    <a:blip r:embed="rId8"/>
                    <a:stretch>
                      <a:fillRect/>
                    </a:stretch>
                  </pic:blipFill>
                  <pic:spPr>
                    <a:xfrm>
                      <a:off x="0" y="0"/>
                      <a:ext cx="4581525" cy="2752725"/>
                    </a:xfrm>
                    <a:prstGeom prst="rect">
                      <a:avLst/>
                    </a:prstGeom>
                  </pic:spPr>
                </pic:pic>
              </a:graphicData>
            </a:graphic>
          </wp:inline>
        </w:drawing>
      </w:r>
    </w:p>
    <w:p>
      <w:pPr>
        <w:numPr>
          <w:ilvl w:val="0"/>
          <w:numId w:val="1"/>
        </w:numPr>
        <w:spacing w:line="600" w:lineRule="exact"/>
        <w:outlineLvl w:val="1"/>
        <w:rPr>
          <w:rStyle w:val="26"/>
          <w:rFonts w:ascii="黑体" w:hAnsi="黑体" w:eastAsia="黑体"/>
          <w:b w:val="0"/>
        </w:rPr>
      </w:pPr>
      <w:r>
        <w:rPr>
          <w:rFonts w:hint="eastAsia" w:ascii="黑体" w:hAnsi="黑体" w:eastAsia="黑体"/>
          <w:color w:val="000000"/>
          <w:sz w:val="32"/>
          <w:szCs w:val="32"/>
        </w:rPr>
        <w:t>财</w:t>
      </w:r>
      <w:r>
        <w:rPr>
          <w:rStyle w:val="26"/>
          <w:rFonts w:hint="eastAsia" w:ascii="黑体" w:hAnsi="黑体" w:eastAsia="黑体"/>
          <w:b w:val="0"/>
        </w:rPr>
        <w:t>政拨款收入支出决算总体情况说明</w:t>
      </w:r>
      <w:bookmarkEnd w:id="30"/>
      <w:bookmarkEnd w:id="31"/>
    </w:p>
    <w:p>
      <w:pPr>
        <w:spacing w:line="600" w:lineRule="exact"/>
        <w:ind w:left="640"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8年财政拨款收入987.45万元，支出1258.95。与</w:t>
      </w:r>
      <w:r>
        <w:rPr>
          <w:rFonts w:ascii="仿宋" w:hAnsi="仿宋" w:eastAsia="仿宋"/>
          <w:color w:val="000000"/>
          <w:sz w:val="32"/>
          <w:szCs w:val="32"/>
        </w:rPr>
        <w:t>201</w:t>
      </w:r>
      <w:r>
        <w:rPr>
          <w:rFonts w:hint="eastAsia" w:ascii="仿宋" w:hAnsi="仿宋" w:eastAsia="仿宋"/>
          <w:color w:val="000000"/>
          <w:sz w:val="32"/>
          <w:szCs w:val="32"/>
        </w:rPr>
        <w:t>7年相比，财政拨款收增加441.51万元，增长44.71</w:t>
      </w:r>
      <w:r>
        <w:rPr>
          <w:rFonts w:ascii="仿宋" w:hAnsi="仿宋" w:eastAsia="仿宋"/>
          <w:color w:val="000000"/>
          <w:sz w:val="32"/>
          <w:szCs w:val="32"/>
        </w:rPr>
        <w:t>%</w:t>
      </w:r>
      <w:r>
        <w:rPr>
          <w:rFonts w:hint="eastAsia" w:ascii="仿宋" w:hAnsi="仿宋" w:eastAsia="仿宋"/>
          <w:color w:val="000000"/>
          <w:sz w:val="32"/>
          <w:szCs w:val="32"/>
        </w:rPr>
        <w:t>。</w:t>
      </w:r>
      <w:r>
        <w:rPr>
          <w:rFonts w:ascii="仿宋" w:hAnsi="仿宋" w:eastAsia="仿宋"/>
          <w:color w:val="000000"/>
          <w:sz w:val="32"/>
          <w:szCs w:val="32"/>
        </w:rPr>
        <w:t>201</w:t>
      </w:r>
      <w:r>
        <w:rPr>
          <w:rFonts w:hint="eastAsia" w:ascii="仿宋" w:hAnsi="仿宋" w:eastAsia="仿宋"/>
          <w:color w:val="000000"/>
          <w:sz w:val="32"/>
          <w:szCs w:val="32"/>
        </w:rPr>
        <w:t>8年财政拨款支出总计1258.95万元财政拨款支出增加606.01万元，增长48.13</w:t>
      </w:r>
      <w:r>
        <w:rPr>
          <w:rFonts w:ascii="仿宋" w:hAnsi="仿宋" w:eastAsia="仿宋"/>
          <w:color w:val="000000"/>
          <w:sz w:val="32"/>
          <w:szCs w:val="32"/>
        </w:rPr>
        <w:t>%</w:t>
      </w:r>
      <w:r>
        <w:rPr>
          <w:rFonts w:hint="eastAsia" w:ascii="仿宋" w:hAnsi="仿宋" w:eastAsia="仿宋"/>
          <w:color w:val="000000"/>
          <w:sz w:val="32"/>
          <w:szCs w:val="32"/>
        </w:rPr>
        <w:t>。主要变动原因是主要变动原因是草地乡2018年项目支出及人员变动相关支出。</w:t>
      </w:r>
    </w:p>
    <w:p>
      <w:pPr>
        <w:ind w:firstLine="640" w:firstLineChars="200"/>
        <w:outlineLvl w:val="1"/>
        <w:rPr>
          <w:rFonts w:ascii="黑体" w:hAnsi="黑体" w:eastAsia="黑体"/>
          <w:color w:val="000000"/>
          <w:sz w:val="32"/>
          <w:szCs w:val="32"/>
        </w:rPr>
      </w:pPr>
      <w:bookmarkStart w:id="32" w:name="_Toc15396607"/>
      <w:bookmarkStart w:id="33" w:name="_Toc15377209"/>
      <w:r>
        <w:rPr>
          <w:rFonts w:hint="eastAsia" w:ascii="黑体" w:hAnsi="黑体" w:eastAsia="黑体"/>
          <w:color w:val="000000"/>
          <w:sz w:val="32"/>
          <w:szCs w:val="32"/>
        </w:rPr>
        <w:drawing>
          <wp:inline distT="0" distB="0" distL="114300" distR="114300">
            <wp:extent cx="4267200" cy="2740660"/>
            <wp:effectExtent l="0" t="0" r="0" b="2540"/>
            <wp:docPr id="6" name="图片 6" descr="财政拨款收入支出决算总体情况"/>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6" descr="财政拨款收入支出决算总体情况"/>
                    <pic:cNvPicPr>
                      <a:picLocks noChangeAspect="true"/>
                    </pic:cNvPicPr>
                  </pic:nvPicPr>
                  <pic:blipFill>
                    <a:blip r:embed="rId9"/>
                    <a:stretch>
                      <a:fillRect/>
                    </a:stretch>
                  </pic:blipFill>
                  <pic:spPr>
                    <a:xfrm>
                      <a:off x="0" y="0"/>
                      <a:ext cx="4267200" cy="2740660"/>
                    </a:xfrm>
                    <a:prstGeom prst="rect">
                      <a:avLst/>
                    </a:prstGeom>
                  </pic:spPr>
                </pic:pic>
              </a:graphicData>
            </a:graphic>
          </wp:inline>
        </w:drawing>
      </w:r>
    </w:p>
    <w:p>
      <w:pPr>
        <w:spacing w:line="600" w:lineRule="exact"/>
        <w:ind w:firstLine="640" w:firstLineChars="200"/>
        <w:outlineLvl w:val="1"/>
        <w:rPr>
          <w:rStyle w:val="26"/>
          <w:rFonts w:ascii="黑体" w:hAnsi="黑体" w:eastAsia="黑体"/>
          <w:b w:val="0"/>
        </w:rPr>
      </w:pPr>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6"/>
          <w:rFonts w:hint="eastAsia" w:ascii="黑体" w:hAnsi="黑体" w:eastAsia="黑体"/>
          <w:b w:val="0"/>
        </w:rPr>
        <w:t>般公共预算财政拨款支出决算情况说明</w:t>
      </w:r>
      <w:bookmarkEnd w:id="32"/>
      <w:bookmarkEnd w:id="33"/>
    </w:p>
    <w:p>
      <w:pPr>
        <w:spacing w:line="600" w:lineRule="exact"/>
        <w:ind w:firstLine="642"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8年一般公共预算财政拨款支出1247.96万元，占本年支出合计的99.12</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7年相比，一般公共预算财政拨款增加590.07万元，增长47.28</w:t>
      </w:r>
      <w:r>
        <w:rPr>
          <w:rFonts w:ascii="仿宋" w:hAnsi="仿宋" w:eastAsia="仿宋"/>
          <w:color w:val="000000"/>
          <w:sz w:val="32"/>
          <w:szCs w:val="32"/>
        </w:rPr>
        <w:t>%</w:t>
      </w:r>
      <w:r>
        <w:rPr>
          <w:rFonts w:hint="eastAsia" w:ascii="仿宋" w:hAnsi="仿宋" w:eastAsia="仿宋"/>
          <w:color w:val="000000"/>
          <w:sz w:val="32"/>
          <w:szCs w:val="32"/>
        </w:rPr>
        <w:t>。草地乡2018年项目支出及人员变动相关支出。</w:t>
      </w:r>
    </w:p>
    <w:p>
      <w:pPr>
        <w:ind w:firstLine="963" w:firstLineChars="300"/>
        <w:outlineLvl w:val="2"/>
        <w:rPr>
          <w:rFonts w:ascii="仿宋" w:hAnsi="仿宋" w:eastAsia="仿宋"/>
          <w:b/>
          <w:color w:val="000000"/>
          <w:sz w:val="32"/>
          <w:szCs w:val="32"/>
        </w:rPr>
      </w:pPr>
      <w:bookmarkStart w:id="35" w:name="_Toc15377211"/>
      <w:r>
        <w:rPr>
          <w:rFonts w:hint="eastAsia" w:ascii="仿宋" w:hAnsi="仿宋" w:eastAsia="仿宋"/>
          <w:b/>
          <w:color w:val="000000"/>
          <w:sz w:val="32"/>
          <w:szCs w:val="32"/>
        </w:rPr>
        <w:drawing>
          <wp:inline distT="0" distB="0" distL="114300" distR="114300">
            <wp:extent cx="4153535" cy="2526030"/>
            <wp:effectExtent l="0" t="0" r="18415" b="7620"/>
            <wp:docPr id="7" name="图片 7" descr="一般公共预算财政拨款支出决算总体情况"/>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 name="图片 7" descr="一般公共预算财政拨款支出决算总体情况"/>
                    <pic:cNvPicPr>
                      <a:picLocks noChangeAspect="true"/>
                    </pic:cNvPicPr>
                  </pic:nvPicPr>
                  <pic:blipFill>
                    <a:blip r:embed="rId10"/>
                    <a:stretch>
                      <a:fillRect/>
                    </a:stretch>
                  </pic:blipFill>
                  <pic:spPr>
                    <a:xfrm>
                      <a:off x="0" y="0"/>
                      <a:ext cx="4153535" cy="2526030"/>
                    </a:xfrm>
                    <a:prstGeom prst="rect">
                      <a:avLst/>
                    </a:prstGeom>
                  </pic:spPr>
                </pic:pic>
              </a:graphicData>
            </a:graphic>
          </wp:inline>
        </w:drawing>
      </w:r>
    </w:p>
    <w:p>
      <w:pPr>
        <w:ind w:firstLine="642" w:firstLineChars="200"/>
        <w:outlineLvl w:val="2"/>
        <w:rPr>
          <w:rFonts w:ascii="仿宋" w:hAnsi="仿宋" w:eastAsia="仿宋"/>
          <w:b/>
          <w:color w:val="000000"/>
          <w:sz w:val="32"/>
          <w:szCs w:val="32"/>
        </w:rPr>
      </w:pPr>
      <w:r>
        <w:rPr>
          <w:rFonts w:hint="eastAsia" w:ascii="仿宋" w:hAnsi="仿宋" w:eastAsia="仿宋"/>
          <w:b/>
          <w:color w:val="000000"/>
          <w:sz w:val="32"/>
          <w:szCs w:val="32"/>
        </w:rPr>
        <w:t>（二）一般公共预算财政拨款支出决算结构情况</w:t>
      </w:r>
      <w:bookmarkEnd w:id="35"/>
    </w:p>
    <w:p>
      <w:pPr>
        <w:spacing w:line="600" w:lineRule="exact"/>
        <w:ind w:firstLine="640"/>
        <w:rPr>
          <w:rFonts w:ascii="仿宋" w:hAnsi="仿宋" w:eastAsia="仿宋"/>
          <w:color w:val="000000" w:themeColor="text1"/>
          <w:sz w:val="32"/>
          <w:szCs w:val="32"/>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rPr>
        <w:t>8年一般公共预算财</w:t>
      </w:r>
      <w:r>
        <w:rPr>
          <w:rFonts w:hint="eastAsia" w:ascii="仿宋" w:hAnsi="仿宋" w:eastAsia="仿宋"/>
          <w:color w:val="000000" w:themeColor="text1"/>
          <w:sz w:val="32"/>
          <w:szCs w:val="32"/>
          <w14:textFill>
            <w14:solidFill>
              <w14:schemeClr w14:val="tx1"/>
            </w14:solidFill>
          </w14:textFill>
        </w:rPr>
        <w:t>政拨款支出1247.96万元，主要用于以下方面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一般公共服务（类）</w:t>
      </w:r>
      <w:r>
        <w:rPr>
          <w:rFonts w:hint="eastAsia" w:ascii="仿宋" w:hAnsi="仿宋" w:eastAsia="仿宋"/>
          <w:color w:val="000000" w:themeColor="text1"/>
          <w:sz w:val="32"/>
          <w:szCs w:val="32"/>
          <w14:textFill>
            <w14:solidFill>
              <w14:schemeClr w14:val="tx1"/>
            </w14:solidFill>
          </w14:textFill>
        </w:rPr>
        <w:t>支出278.94万元，占23.37</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Style w:val="15"/>
          <w:rFonts w:hint="eastAsia" w:ascii="仿宋" w:hAnsi="仿宋" w:eastAsia="仿宋"/>
          <w:color w:val="000000"/>
          <w:sz w:val="32"/>
          <w:szCs w:val="32"/>
        </w:rPr>
        <w:t>国防支出类</w:t>
      </w:r>
      <w:r>
        <w:rPr>
          <w:rFonts w:hint="eastAsia" w:ascii="仿宋" w:hAnsi="仿宋" w:eastAsia="仿宋"/>
          <w:color w:val="000000" w:themeColor="text1"/>
          <w:sz w:val="32"/>
          <w:szCs w:val="32"/>
          <w14:textFill>
            <w14:solidFill>
              <w14:schemeClr w14:val="tx1"/>
            </w14:solidFill>
          </w14:textFill>
        </w:rPr>
        <w:t>支出</w:t>
      </w:r>
      <w:r>
        <w:rPr>
          <w:rStyle w:val="15"/>
          <w:rFonts w:hint="eastAsia" w:ascii="仿宋" w:hAnsi="仿宋" w:eastAsia="仿宋"/>
          <w:b w:val="0"/>
          <w:bCs/>
          <w:color w:val="000000"/>
          <w:sz w:val="32"/>
          <w:szCs w:val="32"/>
        </w:rPr>
        <w:t>3.02万元，</w:t>
      </w:r>
      <w:r>
        <w:rPr>
          <w:rFonts w:hint="eastAsia" w:ascii="仿宋" w:hAnsi="仿宋" w:eastAsia="仿宋"/>
          <w:color w:val="000000" w:themeColor="text1"/>
          <w:sz w:val="32"/>
          <w:szCs w:val="32"/>
          <w14:textFill>
            <w14:solidFill>
              <w14:schemeClr w14:val="tx1"/>
            </w14:solidFill>
          </w14:textFill>
        </w:rPr>
        <w:t>占0.1</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公共安全（类）</w:t>
      </w:r>
      <w:r>
        <w:rPr>
          <w:rFonts w:hint="eastAsia" w:ascii="仿宋" w:hAnsi="仿宋" w:eastAsia="仿宋"/>
          <w:color w:val="000000" w:themeColor="text1"/>
          <w:sz w:val="32"/>
          <w:szCs w:val="32"/>
          <w14:textFill>
            <w14:solidFill>
              <w14:schemeClr w14:val="tx1"/>
            </w14:solidFill>
          </w14:textFill>
        </w:rPr>
        <w:t>支出8.18万元，占0.1</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文化体育与传媒支出类</w:t>
      </w:r>
      <w:r>
        <w:rPr>
          <w:rStyle w:val="15"/>
          <w:rFonts w:hint="eastAsia" w:ascii="仿宋" w:hAnsi="仿宋" w:eastAsia="仿宋"/>
          <w:b w:val="0"/>
          <w:bCs/>
          <w:color w:val="000000"/>
          <w:sz w:val="32"/>
          <w:szCs w:val="32"/>
        </w:rPr>
        <w:t>支出4万元</w:t>
      </w:r>
      <w:r>
        <w:rPr>
          <w:rFonts w:hint="eastAsia" w:ascii="仿宋" w:hAnsi="仿宋" w:eastAsia="仿宋"/>
          <w:color w:val="000000" w:themeColor="text1"/>
          <w:sz w:val="32"/>
          <w:szCs w:val="32"/>
          <w14:textFill>
            <w14:solidFill>
              <w14:schemeClr w14:val="tx1"/>
            </w14:solidFill>
          </w14:textFill>
        </w:rPr>
        <w:t>占0.1</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社会保障和就业（类）</w:t>
      </w:r>
      <w:r>
        <w:rPr>
          <w:rFonts w:hint="eastAsia" w:ascii="仿宋" w:hAnsi="仿宋" w:eastAsia="仿宋"/>
          <w:color w:val="000000" w:themeColor="text1"/>
          <w:sz w:val="32"/>
          <w:szCs w:val="32"/>
          <w14:textFill>
            <w14:solidFill>
              <w14:schemeClr w14:val="tx1"/>
            </w14:solidFill>
          </w14:textFill>
        </w:rPr>
        <w:t>支出29.43万元，占1.25</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医疗卫生与计划生育支出（类）</w:t>
      </w:r>
      <w:r>
        <w:rPr>
          <w:rFonts w:hint="eastAsia" w:ascii="仿宋" w:hAnsi="仿宋" w:eastAsia="仿宋"/>
          <w:color w:val="000000" w:themeColor="text1"/>
          <w:sz w:val="32"/>
          <w:szCs w:val="32"/>
          <w14:textFill>
            <w14:solidFill>
              <w14:schemeClr w14:val="tx1"/>
            </w14:solidFill>
          </w14:textFill>
        </w:rPr>
        <w:t>支出20.44万元，占1.2</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Style w:val="15"/>
          <w:rFonts w:hint="eastAsia" w:ascii="仿宋" w:hAnsi="仿宋" w:eastAsia="仿宋"/>
          <w:bCs/>
          <w:color w:val="000000"/>
          <w:sz w:val="32"/>
          <w:szCs w:val="32"/>
        </w:rPr>
        <w:t>城乡社区</w:t>
      </w:r>
      <w:r>
        <w:rPr>
          <w:rStyle w:val="15"/>
          <w:rFonts w:hint="eastAsia" w:ascii="仿宋" w:hAnsi="仿宋" w:eastAsia="仿宋"/>
          <w:b w:val="0"/>
          <w:bCs/>
          <w:color w:val="000000"/>
          <w:sz w:val="32"/>
          <w:szCs w:val="32"/>
        </w:rPr>
        <w:t>支出</w:t>
      </w:r>
      <w:r>
        <w:rPr>
          <w:rFonts w:hint="eastAsia" w:ascii="仿宋" w:hAnsi="仿宋" w:eastAsia="仿宋"/>
          <w:color w:val="000000" w:themeColor="text1"/>
          <w:sz w:val="32"/>
          <w:szCs w:val="32"/>
          <w14:textFill>
            <w14:solidFill>
              <w14:schemeClr w14:val="tx1"/>
            </w14:solidFill>
          </w14:textFill>
        </w:rPr>
        <w:t>9万</w:t>
      </w:r>
      <w:r>
        <w:rPr>
          <w:rStyle w:val="15"/>
          <w:rFonts w:hint="eastAsia" w:ascii="仿宋" w:hAnsi="仿宋" w:eastAsia="仿宋"/>
          <w:b w:val="0"/>
          <w:bCs/>
          <w:color w:val="000000"/>
          <w:sz w:val="32"/>
          <w:szCs w:val="32"/>
        </w:rPr>
        <w:t>元，</w:t>
      </w:r>
      <w:r>
        <w:rPr>
          <w:rFonts w:hint="eastAsia" w:ascii="仿宋" w:hAnsi="仿宋" w:eastAsia="仿宋"/>
          <w:color w:val="000000" w:themeColor="text1"/>
          <w:sz w:val="32"/>
          <w:szCs w:val="32"/>
          <w14:textFill>
            <w14:solidFill>
              <w14:schemeClr w14:val="tx1"/>
            </w14:solidFill>
          </w14:textFill>
        </w:rPr>
        <w:t>占0.1</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农林水支出（类）</w:t>
      </w:r>
      <w:r>
        <w:rPr>
          <w:rFonts w:hint="eastAsia" w:ascii="仿宋" w:hAnsi="仿宋" w:eastAsia="仿宋"/>
          <w:color w:val="000000" w:themeColor="text1"/>
          <w:sz w:val="32"/>
          <w:szCs w:val="32"/>
          <w14:textFill>
            <w14:solidFill>
              <w14:schemeClr w14:val="tx1"/>
            </w14:solidFill>
          </w14:textFill>
        </w:rPr>
        <w:t>支出864.93万元，占73.49</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Style w:val="15"/>
          <w:rFonts w:hint="eastAsia" w:ascii="仿宋" w:hAnsi="仿宋" w:eastAsia="仿宋"/>
          <w:bCs/>
          <w:color w:val="000000"/>
          <w:sz w:val="32"/>
          <w:szCs w:val="32"/>
        </w:rPr>
        <w:t>交通运输支出</w:t>
      </w:r>
      <w:r>
        <w:rPr>
          <w:rStyle w:val="15"/>
          <w:rFonts w:hint="eastAsia" w:ascii="仿宋" w:hAnsi="仿宋" w:eastAsia="仿宋"/>
          <w:b w:val="0"/>
          <w:bCs/>
          <w:color w:val="000000"/>
          <w:sz w:val="32"/>
          <w:szCs w:val="32"/>
        </w:rPr>
        <w:t>支出</w:t>
      </w:r>
      <w:r>
        <w:rPr>
          <w:rFonts w:hint="eastAsia" w:ascii="仿宋" w:hAnsi="仿宋" w:eastAsia="仿宋"/>
          <w:color w:val="000000" w:themeColor="text1"/>
          <w:sz w:val="32"/>
          <w:szCs w:val="32"/>
          <w14:textFill>
            <w14:solidFill>
              <w14:schemeClr w14:val="tx1"/>
            </w14:solidFill>
          </w14:textFill>
        </w:rPr>
        <w:t>6.52万</w:t>
      </w:r>
      <w:r>
        <w:rPr>
          <w:rStyle w:val="15"/>
          <w:rFonts w:hint="eastAsia" w:ascii="仿宋" w:hAnsi="仿宋" w:eastAsia="仿宋"/>
          <w:b w:val="0"/>
          <w:bCs/>
          <w:color w:val="000000"/>
          <w:sz w:val="32"/>
          <w:szCs w:val="32"/>
        </w:rPr>
        <w:t>元，</w:t>
      </w:r>
      <w:r>
        <w:rPr>
          <w:rFonts w:hint="eastAsia" w:ascii="仿宋" w:hAnsi="仿宋" w:eastAsia="仿宋"/>
          <w:color w:val="000000" w:themeColor="text1"/>
          <w:sz w:val="32"/>
          <w:szCs w:val="32"/>
          <w14:textFill>
            <w14:solidFill>
              <w14:schemeClr w14:val="tx1"/>
            </w14:solidFill>
          </w14:textFill>
        </w:rPr>
        <w:t>占0.1</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住房保障支出（类）</w:t>
      </w:r>
      <w:r>
        <w:rPr>
          <w:rFonts w:hint="eastAsia" w:ascii="仿宋" w:hAnsi="仿宋" w:eastAsia="仿宋"/>
          <w:color w:val="000000" w:themeColor="text1"/>
          <w:sz w:val="32"/>
          <w:szCs w:val="32"/>
          <w14:textFill>
            <w14:solidFill>
              <w14:schemeClr w14:val="tx1"/>
            </w14:solidFill>
          </w14:textFill>
        </w:rPr>
        <w:t>支出23.5万元，占0.19</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p>
    <w:p>
      <w:pPr>
        <w:ind w:firstLine="640" w:firstLineChars="200"/>
        <w:rPr>
          <w:rFonts w:ascii="仿宋" w:hAnsi="仿宋" w:eastAsia="仿宋"/>
          <w:color w:val="000000"/>
          <w:sz w:val="32"/>
          <w:szCs w:val="32"/>
        </w:rPr>
      </w:pPr>
      <w:r>
        <w:rPr>
          <w:rFonts w:hint="eastAsia" w:ascii="仿宋" w:hAnsi="仿宋" w:eastAsia="仿宋"/>
          <w:color w:val="000000"/>
          <w:sz w:val="32"/>
          <w:szCs w:val="32"/>
        </w:rPr>
        <w:drawing>
          <wp:inline distT="0" distB="0" distL="114300" distR="114300">
            <wp:extent cx="4581525" cy="2752725"/>
            <wp:effectExtent l="0" t="0" r="9525" b="9525"/>
            <wp:docPr id="10" name="图片 10" descr="一般公共预算财政拨款支出决算结构"/>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0" name="图片 10" descr="一般公共预算财政拨款支出决算结构"/>
                    <pic:cNvPicPr>
                      <a:picLocks noChangeAspect="true"/>
                    </pic:cNvPicPr>
                  </pic:nvPicPr>
                  <pic:blipFill>
                    <a:blip r:embed="rId11"/>
                    <a:stretch>
                      <a:fillRect/>
                    </a:stretch>
                  </pic:blipFill>
                  <pic:spPr>
                    <a:xfrm>
                      <a:off x="0" y="0"/>
                      <a:ext cx="4581525" cy="2752725"/>
                    </a:xfrm>
                    <a:prstGeom prst="rect">
                      <a:avLst/>
                    </a:prstGeom>
                  </pic:spPr>
                </pic:pic>
              </a:graphicData>
            </a:graphic>
          </wp:inline>
        </w:drawing>
      </w:r>
    </w:p>
    <w:p>
      <w:pPr>
        <w:spacing w:line="600" w:lineRule="exact"/>
        <w:ind w:firstLine="642" w:firstLineChars="200"/>
        <w:outlineLvl w:val="2"/>
        <w:rPr>
          <w:rFonts w:ascii="仿宋" w:hAnsi="仿宋" w:eastAsia="仿宋"/>
          <w:b/>
          <w:color w:val="000000"/>
          <w:sz w:val="32"/>
          <w:szCs w:val="32"/>
        </w:rPr>
      </w:pPr>
      <w:bookmarkStart w:id="36" w:name="_Toc15377212"/>
      <w:r>
        <w:rPr>
          <w:rFonts w:hint="eastAsia" w:ascii="仿宋" w:hAnsi="仿宋" w:eastAsia="仿宋"/>
          <w:b/>
          <w:color w:val="000000"/>
          <w:sz w:val="32"/>
          <w:szCs w:val="32"/>
        </w:rPr>
        <w:t>（三）一般公共预算财政拨款支出决算具体情况</w:t>
      </w:r>
      <w:bookmarkEnd w:id="36"/>
    </w:p>
    <w:p>
      <w:pPr>
        <w:spacing w:line="600" w:lineRule="exact"/>
        <w:ind w:firstLine="642" w:firstLineChars="200"/>
        <w:outlineLvl w:val="2"/>
        <w:rPr>
          <w:rFonts w:ascii="仿宋" w:hAnsi="仿宋" w:eastAsia="仿宋"/>
          <w:color w:val="FF0000"/>
          <w:sz w:val="32"/>
          <w:szCs w:val="32"/>
        </w:rPr>
      </w:pPr>
      <w:bookmarkStart w:id="37" w:name="_Toc15377213"/>
      <w:bookmarkStart w:id="38" w:name="_Toc15377444"/>
      <w:bookmarkStart w:id="39" w:name="_Toc15378460"/>
      <w:r>
        <w:rPr>
          <w:rFonts w:hint="eastAsia" w:ascii="仿宋" w:hAnsi="仿宋" w:eastAsia="仿宋"/>
          <w:b/>
          <w:color w:val="000000" w:themeColor="text1"/>
          <w:sz w:val="32"/>
          <w:szCs w:val="32"/>
          <w14:textFill>
            <w14:solidFill>
              <w14:schemeClr w14:val="tx1"/>
            </w14:solidFill>
          </w14:textFill>
        </w:rPr>
        <w:t>2018年一般公共预算支出决算数为1247.96</w:t>
      </w:r>
      <w:r>
        <w:rPr>
          <w:rFonts w:hint="eastAsia" w:ascii="仿宋" w:hAnsi="仿宋" w:eastAsia="仿宋"/>
          <w:color w:val="000000" w:themeColor="text1"/>
          <w:sz w:val="32"/>
          <w:szCs w:val="32"/>
          <w14:textFill>
            <w14:solidFill>
              <w14:schemeClr w14:val="tx1"/>
            </w14:solidFill>
          </w14:textFill>
        </w:rPr>
        <w:t>，</w:t>
      </w:r>
      <w:r>
        <w:rPr>
          <w:rStyle w:val="15"/>
          <w:rFonts w:hint="eastAsia" w:ascii="仿宋" w:hAnsi="仿宋" w:eastAsia="仿宋"/>
          <w:bCs/>
          <w:color w:val="000000" w:themeColor="text1"/>
          <w:sz w:val="32"/>
          <w:szCs w:val="32"/>
          <w14:textFill>
            <w14:solidFill>
              <w14:schemeClr w14:val="tx1"/>
            </w14:solidFill>
          </w14:textFill>
        </w:rPr>
        <w:t>完成</w:t>
      </w:r>
      <w:r>
        <w:rPr>
          <w:rStyle w:val="15"/>
          <w:rFonts w:hint="eastAsia" w:ascii="仿宋" w:hAnsi="仿宋" w:eastAsia="仿宋"/>
          <w:bCs/>
          <w:color w:val="000000"/>
          <w:sz w:val="32"/>
          <w:szCs w:val="32"/>
        </w:rPr>
        <w:t>预算100</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。其中：</w:t>
      </w:r>
      <w:bookmarkEnd w:id="37"/>
      <w:bookmarkEnd w:id="38"/>
      <w:bookmarkEnd w:id="39"/>
    </w:p>
    <w:p>
      <w:pPr>
        <w:numPr>
          <w:ilvl w:val="0"/>
          <w:numId w:val="2"/>
        </w:numPr>
        <w:spacing w:line="600" w:lineRule="exact"/>
        <w:ind w:firstLine="642" w:firstLineChars="200"/>
        <w:rPr>
          <w:rStyle w:val="15"/>
          <w:rFonts w:ascii="仿宋" w:hAnsi="仿宋" w:eastAsia="仿宋"/>
          <w:b w:val="0"/>
          <w:bCs/>
          <w:color w:val="000000"/>
          <w:sz w:val="32"/>
          <w:szCs w:val="32"/>
        </w:rPr>
      </w:pPr>
      <w:r>
        <w:rPr>
          <w:rStyle w:val="15"/>
          <w:rFonts w:hint="eastAsia" w:ascii="仿宋" w:hAnsi="仿宋" w:eastAsia="仿宋"/>
          <w:bCs/>
          <w:color w:val="000000"/>
          <w:sz w:val="32"/>
          <w:szCs w:val="32"/>
        </w:rPr>
        <w:t>一般公共服务支出类</w:t>
      </w:r>
      <w:r>
        <w:rPr>
          <w:rStyle w:val="15"/>
          <w:rFonts w:hint="eastAsia" w:ascii="仿宋" w:hAnsi="仿宋" w:eastAsia="仿宋"/>
          <w:b w:val="0"/>
          <w:bCs/>
          <w:color w:val="000000"/>
          <w:sz w:val="32"/>
          <w:szCs w:val="32"/>
        </w:rPr>
        <w:t>支出决算为278.94万元，完成预算100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600" w:lineRule="exact"/>
        <w:ind w:firstLine="640" w:firstLineChars="200"/>
        <w:rPr>
          <w:rStyle w:val="15"/>
          <w:rFonts w:ascii="仿宋" w:hAnsi="仿宋" w:eastAsia="仿宋"/>
          <w:b w:val="0"/>
          <w:bCs/>
          <w:color w:val="000000"/>
          <w:sz w:val="32"/>
          <w:szCs w:val="32"/>
        </w:rPr>
      </w:pPr>
      <w:r>
        <w:rPr>
          <w:rStyle w:val="15"/>
          <w:rFonts w:hint="eastAsia" w:ascii="仿宋" w:hAnsi="仿宋" w:eastAsia="仿宋"/>
          <w:b w:val="0"/>
          <w:bCs/>
          <w:color w:val="000000"/>
          <w:sz w:val="32"/>
          <w:szCs w:val="32"/>
        </w:rPr>
        <w:t>一般公共服务支出（201）人大事务(01)行政运行(01)：2018年决算数为16.99万元</w:t>
      </w:r>
    </w:p>
    <w:p>
      <w:pPr>
        <w:spacing w:line="600" w:lineRule="exact"/>
        <w:ind w:firstLine="640" w:firstLineChars="200"/>
        <w:rPr>
          <w:rStyle w:val="15"/>
          <w:rFonts w:ascii="仿宋" w:hAnsi="仿宋" w:eastAsia="仿宋"/>
          <w:b w:val="0"/>
          <w:bCs/>
          <w:color w:val="000000"/>
          <w:sz w:val="32"/>
          <w:szCs w:val="32"/>
        </w:rPr>
      </w:pPr>
      <w:r>
        <w:rPr>
          <w:rStyle w:val="15"/>
          <w:rFonts w:hint="eastAsia" w:ascii="仿宋" w:hAnsi="仿宋" w:eastAsia="仿宋"/>
          <w:b w:val="0"/>
          <w:bCs/>
          <w:color w:val="000000"/>
          <w:sz w:val="32"/>
          <w:szCs w:val="32"/>
        </w:rPr>
        <w:t>一般公共服务支出（201）政府办公厅及相关机构事务（03）行政运行（01）：2018年决算数为250.95万元</w:t>
      </w:r>
    </w:p>
    <w:p>
      <w:pPr>
        <w:spacing w:line="600" w:lineRule="exact"/>
        <w:ind w:firstLine="640" w:firstLineChars="200"/>
        <w:rPr>
          <w:rStyle w:val="15"/>
          <w:rFonts w:ascii="仿宋" w:hAnsi="仿宋" w:eastAsia="仿宋"/>
          <w:b w:val="0"/>
          <w:bCs/>
          <w:color w:val="000000"/>
          <w:sz w:val="32"/>
          <w:szCs w:val="32"/>
        </w:rPr>
      </w:pPr>
      <w:r>
        <w:rPr>
          <w:rStyle w:val="15"/>
          <w:rFonts w:hint="eastAsia" w:ascii="仿宋" w:hAnsi="仿宋" w:eastAsia="仿宋"/>
          <w:b w:val="0"/>
          <w:bCs/>
          <w:color w:val="000000"/>
          <w:sz w:val="32"/>
          <w:szCs w:val="32"/>
        </w:rPr>
        <w:t>一般公共服务支出（201）其他组织事务（32）其他组织事务支出（99）:2018年决算数为2.4万元</w:t>
      </w:r>
    </w:p>
    <w:p>
      <w:pPr>
        <w:spacing w:line="600" w:lineRule="exact"/>
        <w:ind w:firstLine="640" w:firstLineChars="200"/>
        <w:rPr>
          <w:rStyle w:val="15"/>
          <w:rFonts w:ascii="仿宋" w:hAnsi="仿宋" w:eastAsia="仿宋"/>
          <w:b w:val="0"/>
          <w:bCs/>
          <w:color w:val="000000"/>
          <w:sz w:val="32"/>
          <w:szCs w:val="32"/>
        </w:rPr>
      </w:pPr>
      <w:r>
        <w:rPr>
          <w:rStyle w:val="15"/>
          <w:rFonts w:hint="eastAsia" w:ascii="仿宋" w:hAnsi="仿宋" w:eastAsia="仿宋"/>
          <w:b w:val="0"/>
          <w:bCs/>
          <w:color w:val="000000"/>
          <w:sz w:val="32"/>
          <w:szCs w:val="32"/>
        </w:rPr>
        <w:t>一般公共服务支出（201）其他一般公共服务支出（99）其他一般公共服务支出（99）：2018年决算数为8.6万元</w:t>
      </w:r>
    </w:p>
    <w:p>
      <w:pPr>
        <w:spacing w:line="600" w:lineRule="exact"/>
        <w:ind w:firstLine="642" w:firstLineChars="200"/>
        <w:rPr>
          <w:rStyle w:val="15"/>
          <w:rFonts w:ascii="仿宋" w:hAnsi="仿宋" w:eastAsia="仿宋"/>
          <w:b w:val="0"/>
          <w:bCs/>
          <w:color w:val="000000"/>
          <w:sz w:val="32"/>
          <w:szCs w:val="32"/>
        </w:rPr>
      </w:pPr>
      <w:r>
        <w:rPr>
          <w:rStyle w:val="15"/>
          <w:rFonts w:hint="eastAsia" w:ascii="仿宋" w:hAnsi="仿宋" w:eastAsia="仿宋"/>
          <w:color w:val="000000"/>
          <w:sz w:val="32"/>
          <w:szCs w:val="32"/>
        </w:rPr>
        <w:t>2国防支出类</w:t>
      </w:r>
      <w:r>
        <w:rPr>
          <w:rStyle w:val="15"/>
          <w:rFonts w:hint="eastAsia" w:ascii="仿宋" w:hAnsi="仿宋" w:eastAsia="仿宋"/>
          <w:b w:val="0"/>
          <w:bCs/>
          <w:color w:val="000000"/>
          <w:sz w:val="32"/>
          <w:szCs w:val="32"/>
        </w:rPr>
        <w:t>支出决算为3.02万元，完成预算100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600" w:lineRule="exact"/>
        <w:ind w:firstLine="640" w:firstLineChars="200"/>
        <w:rPr>
          <w:rStyle w:val="15"/>
          <w:rFonts w:ascii="仿宋" w:hAnsi="仿宋" w:eastAsia="仿宋"/>
          <w:b w:val="0"/>
          <w:bCs/>
          <w:color w:val="000000"/>
          <w:sz w:val="32"/>
          <w:szCs w:val="32"/>
        </w:rPr>
      </w:pPr>
      <w:r>
        <w:rPr>
          <w:rStyle w:val="15"/>
          <w:rFonts w:hint="eastAsia" w:ascii="仿宋" w:hAnsi="仿宋" w:eastAsia="仿宋"/>
          <w:b w:val="0"/>
          <w:bCs/>
          <w:color w:val="000000"/>
          <w:sz w:val="32"/>
          <w:szCs w:val="32"/>
        </w:rPr>
        <w:t>国防支出（203）国防动员（06）民兵（07）：2018年决算数为3.02万元</w:t>
      </w:r>
    </w:p>
    <w:p>
      <w:pPr>
        <w:spacing w:line="600" w:lineRule="exact"/>
        <w:ind w:left="420" w:leftChars="200" w:firstLine="321" w:firstLineChars="100"/>
        <w:rPr>
          <w:rStyle w:val="15"/>
          <w:rFonts w:ascii="仿宋" w:hAnsi="仿宋" w:eastAsia="仿宋"/>
          <w:b w:val="0"/>
          <w:bCs/>
          <w:color w:val="000000"/>
          <w:sz w:val="32"/>
          <w:szCs w:val="32"/>
        </w:rPr>
      </w:pPr>
      <w:r>
        <w:rPr>
          <w:rFonts w:hint="eastAsia" w:ascii="仿宋" w:hAnsi="仿宋" w:eastAsia="仿宋"/>
          <w:b/>
          <w:color w:val="000000" w:themeColor="text1"/>
          <w:sz w:val="32"/>
          <w:szCs w:val="32"/>
          <w14:textFill>
            <w14:solidFill>
              <w14:schemeClr w14:val="tx1"/>
            </w14:solidFill>
          </w14:textFill>
        </w:rPr>
        <w:t>3.公共安全类</w:t>
      </w:r>
      <w:r>
        <w:rPr>
          <w:rStyle w:val="15"/>
          <w:rFonts w:hint="eastAsia" w:ascii="仿宋" w:hAnsi="仿宋" w:eastAsia="仿宋"/>
          <w:b w:val="0"/>
          <w:bCs/>
          <w:color w:val="000000"/>
          <w:sz w:val="32"/>
          <w:szCs w:val="32"/>
        </w:rPr>
        <w:t>支出决算为8.18万元，完成预算100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600" w:lineRule="exact"/>
        <w:ind w:left="420" w:leftChars="200"/>
        <w:rPr>
          <w:rStyle w:val="15"/>
          <w:rFonts w:ascii="仿宋" w:hAnsi="仿宋" w:eastAsia="仿宋"/>
          <w:b w:val="0"/>
          <w:bCs/>
          <w:color w:val="000000"/>
          <w:sz w:val="32"/>
          <w:szCs w:val="32"/>
        </w:rPr>
      </w:pPr>
      <w:r>
        <w:rPr>
          <w:rStyle w:val="15"/>
          <w:rFonts w:hint="eastAsia" w:ascii="仿宋" w:hAnsi="仿宋" w:eastAsia="仿宋"/>
          <w:b w:val="0"/>
          <w:bCs/>
          <w:color w:val="000000"/>
          <w:sz w:val="32"/>
          <w:szCs w:val="32"/>
        </w:rPr>
        <w:t xml:space="preserve">  公共安全支出（204）公安（02）一般行政管理事务(02)：2018年决算数为3.18万元</w:t>
      </w:r>
    </w:p>
    <w:p>
      <w:pPr>
        <w:spacing w:line="600" w:lineRule="exact"/>
        <w:ind w:left="420" w:leftChars="200"/>
        <w:rPr>
          <w:rStyle w:val="15"/>
          <w:rFonts w:ascii="仿宋" w:hAnsi="仿宋" w:eastAsia="仿宋"/>
          <w:b w:val="0"/>
          <w:bCs/>
          <w:color w:val="000000"/>
          <w:sz w:val="32"/>
          <w:szCs w:val="32"/>
        </w:rPr>
      </w:pPr>
      <w:r>
        <w:rPr>
          <w:rStyle w:val="15"/>
          <w:rFonts w:hint="eastAsia" w:ascii="仿宋" w:hAnsi="仿宋" w:eastAsia="仿宋"/>
          <w:b w:val="0"/>
          <w:bCs/>
          <w:color w:val="000000"/>
          <w:sz w:val="32"/>
          <w:szCs w:val="32"/>
        </w:rPr>
        <w:t xml:space="preserve">  公共安全支出（204）其他公共安全支出(99)其他公共安全支出(01)：2018年决算数为5万元</w:t>
      </w:r>
    </w:p>
    <w:p>
      <w:pPr>
        <w:spacing w:line="600" w:lineRule="exact"/>
        <w:ind w:left="420" w:leftChars="200" w:firstLine="321" w:firstLineChars="100"/>
        <w:rPr>
          <w:rStyle w:val="15"/>
          <w:rFonts w:ascii="仿宋" w:hAnsi="仿宋" w:eastAsia="仿宋"/>
          <w:b w:val="0"/>
          <w:bCs/>
          <w:color w:val="000000"/>
          <w:sz w:val="32"/>
          <w:szCs w:val="32"/>
        </w:rPr>
      </w:pPr>
      <w:r>
        <w:rPr>
          <w:rFonts w:hint="eastAsia" w:ascii="仿宋" w:hAnsi="仿宋" w:eastAsia="仿宋"/>
          <w:b/>
          <w:color w:val="000000" w:themeColor="text1"/>
          <w:sz w:val="32"/>
          <w:szCs w:val="32"/>
          <w14:textFill>
            <w14:solidFill>
              <w14:schemeClr w14:val="tx1"/>
            </w14:solidFill>
          </w14:textFill>
        </w:rPr>
        <w:t>4.文化体育与传媒支出类</w:t>
      </w:r>
      <w:r>
        <w:rPr>
          <w:rStyle w:val="15"/>
          <w:rFonts w:hint="eastAsia" w:ascii="仿宋" w:hAnsi="仿宋" w:eastAsia="仿宋"/>
          <w:b w:val="0"/>
          <w:bCs/>
          <w:color w:val="000000"/>
          <w:sz w:val="32"/>
          <w:szCs w:val="32"/>
        </w:rPr>
        <w:t>支出决算为4万元，完成预算100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600" w:lineRule="exact"/>
        <w:ind w:firstLine="640" w:firstLineChars="200"/>
        <w:rPr>
          <w:rFonts w:ascii="仿宋" w:hAnsi="仿宋" w:eastAsia="仿宋"/>
          <w:bCs/>
          <w:color w:val="000000" w:themeColor="text1"/>
          <w:sz w:val="32"/>
          <w:szCs w:val="32"/>
          <w14:textFill>
            <w14:solidFill>
              <w14:schemeClr w14:val="tx1"/>
            </w14:solidFill>
          </w14:textFill>
        </w:rPr>
      </w:pPr>
      <w:r>
        <w:rPr>
          <w:rFonts w:hint="eastAsia" w:ascii="仿宋" w:hAnsi="仿宋" w:eastAsia="仿宋"/>
          <w:bCs/>
          <w:color w:val="000000" w:themeColor="text1"/>
          <w:sz w:val="32"/>
          <w:szCs w:val="32"/>
          <w14:textFill>
            <w14:solidFill>
              <w14:schemeClr w14:val="tx1"/>
            </w14:solidFill>
          </w14:textFill>
        </w:rPr>
        <w:t>文化体育与传媒支出(207)其他文化文化体育与传媒支出(99)其他文化文化体育与传媒支出(99):</w:t>
      </w:r>
      <w:r>
        <w:rPr>
          <w:rStyle w:val="15"/>
          <w:rFonts w:hint="eastAsia" w:ascii="仿宋" w:hAnsi="仿宋" w:eastAsia="仿宋"/>
          <w:b w:val="0"/>
          <w:bCs/>
          <w:color w:val="000000"/>
          <w:sz w:val="32"/>
          <w:szCs w:val="32"/>
        </w:rPr>
        <w:t>2018年决算数为</w:t>
      </w:r>
      <w:r>
        <w:rPr>
          <w:rFonts w:hint="eastAsia" w:ascii="仿宋" w:hAnsi="仿宋" w:eastAsia="仿宋"/>
          <w:bCs/>
          <w:color w:val="000000" w:themeColor="text1"/>
          <w:sz w:val="32"/>
          <w:szCs w:val="32"/>
          <w14:textFill>
            <w14:solidFill>
              <w14:schemeClr w14:val="tx1"/>
            </w14:solidFill>
          </w14:textFill>
        </w:rPr>
        <w:t>4万</w:t>
      </w:r>
    </w:p>
    <w:p>
      <w:pPr>
        <w:spacing w:line="600" w:lineRule="exact"/>
        <w:ind w:firstLine="642" w:firstLineChars="200"/>
        <w:rPr>
          <w:rStyle w:val="15"/>
          <w:rFonts w:ascii="仿宋" w:hAnsi="仿宋" w:eastAsia="仿宋"/>
          <w:b w:val="0"/>
          <w:bCs/>
          <w:color w:val="000000"/>
          <w:sz w:val="32"/>
          <w:szCs w:val="32"/>
        </w:rPr>
      </w:pPr>
      <w:r>
        <w:rPr>
          <w:rFonts w:hint="eastAsia" w:ascii="仿宋" w:hAnsi="仿宋" w:eastAsia="仿宋"/>
          <w:b/>
          <w:color w:val="000000" w:themeColor="text1"/>
          <w:sz w:val="32"/>
          <w:szCs w:val="32"/>
          <w14:textFill>
            <w14:solidFill>
              <w14:schemeClr w14:val="tx1"/>
            </w14:solidFill>
          </w14:textFill>
        </w:rPr>
        <w:t>5.社会保障和就业类</w:t>
      </w:r>
      <w:r>
        <w:rPr>
          <w:rStyle w:val="15"/>
          <w:rFonts w:hint="eastAsia" w:ascii="仿宋" w:hAnsi="仿宋" w:eastAsia="仿宋"/>
          <w:b w:val="0"/>
          <w:bCs/>
          <w:color w:val="000000"/>
          <w:sz w:val="32"/>
          <w:szCs w:val="32"/>
        </w:rPr>
        <w:t>支出决算为</w:t>
      </w:r>
      <w:r>
        <w:rPr>
          <w:rFonts w:hint="eastAsia" w:ascii="仿宋" w:hAnsi="仿宋" w:eastAsia="仿宋"/>
          <w:color w:val="000000" w:themeColor="text1"/>
          <w:sz w:val="32"/>
          <w:szCs w:val="32"/>
          <w14:textFill>
            <w14:solidFill>
              <w14:schemeClr w14:val="tx1"/>
            </w14:solidFill>
          </w14:textFill>
        </w:rPr>
        <w:t>29.43万元</w:t>
      </w:r>
      <w:r>
        <w:rPr>
          <w:rStyle w:val="15"/>
          <w:rFonts w:hint="eastAsia" w:ascii="仿宋" w:hAnsi="仿宋" w:eastAsia="仿宋"/>
          <w:b w:val="0"/>
          <w:bCs/>
          <w:color w:val="000000"/>
          <w:sz w:val="32"/>
          <w:szCs w:val="32"/>
        </w:rPr>
        <w:t>，完成预算100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600" w:lineRule="exact"/>
        <w:ind w:left="420" w:leftChars="200" w:firstLine="320" w:firstLineChars="100"/>
        <w:rPr>
          <w:rStyle w:val="15"/>
          <w:rFonts w:ascii="仿宋" w:hAnsi="仿宋" w:eastAsia="仿宋"/>
          <w:b w:val="0"/>
          <w:bCs/>
          <w:color w:val="000000"/>
          <w:sz w:val="32"/>
          <w:szCs w:val="32"/>
        </w:rPr>
      </w:pPr>
      <w:r>
        <w:rPr>
          <w:rStyle w:val="15"/>
          <w:rFonts w:hint="eastAsia" w:ascii="仿宋" w:hAnsi="仿宋" w:eastAsia="仿宋"/>
          <w:b w:val="0"/>
          <w:bCs/>
          <w:color w:val="000000"/>
          <w:sz w:val="32"/>
          <w:szCs w:val="32"/>
        </w:rPr>
        <w:t>社会保障和就业支出(208)行政事业单位离退休(05)机关事业单位基本养老保险缴费(05)：2018年决算数为26.65万元</w:t>
      </w:r>
    </w:p>
    <w:p>
      <w:pPr>
        <w:spacing w:line="600" w:lineRule="exact"/>
        <w:ind w:firstLine="640" w:firstLineChars="200"/>
        <w:rPr>
          <w:rStyle w:val="15"/>
          <w:rFonts w:ascii="仿宋" w:hAnsi="仿宋" w:eastAsia="仿宋"/>
          <w:b w:val="0"/>
          <w:bCs/>
          <w:color w:val="000000"/>
          <w:sz w:val="32"/>
          <w:szCs w:val="32"/>
        </w:rPr>
      </w:pPr>
      <w:r>
        <w:rPr>
          <w:rStyle w:val="15"/>
          <w:rFonts w:hint="eastAsia" w:ascii="仿宋" w:hAnsi="仿宋" w:eastAsia="仿宋"/>
          <w:b w:val="0"/>
          <w:bCs/>
          <w:color w:val="000000"/>
          <w:sz w:val="32"/>
          <w:szCs w:val="32"/>
        </w:rPr>
        <w:t>社会保障和就业支出(208)抚恤(08)死亡抚恤(01):2018年决算数为1.1万元</w:t>
      </w:r>
    </w:p>
    <w:p>
      <w:pPr>
        <w:spacing w:line="600" w:lineRule="exact"/>
        <w:ind w:firstLine="640" w:firstLineChars="200"/>
        <w:rPr>
          <w:rStyle w:val="15"/>
          <w:rFonts w:ascii="仿宋" w:hAnsi="仿宋" w:eastAsia="仿宋"/>
          <w:b w:val="0"/>
          <w:bCs/>
          <w:color w:val="000000"/>
          <w:sz w:val="32"/>
          <w:szCs w:val="32"/>
        </w:rPr>
      </w:pPr>
      <w:r>
        <w:rPr>
          <w:rStyle w:val="15"/>
          <w:rFonts w:hint="eastAsia" w:ascii="仿宋" w:hAnsi="仿宋" w:eastAsia="仿宋"/>
          <w:b w:val="0"/>
          <w:bCs/>
          <w:color w:val="000000"/>
          <w:sz w:val="32"/>
          <w:szCs w:val="32"/>
        </w:rPr>
        <w:t>社会保障和就业支出(208)社会福利(10)其他社会福利支出(99):2018年决算数为0.24万元</w:t>
      </w:r>
    </w:p>
    <w:p>
      <w:pPr>
        <w:spacing w:line="600" w:lineRule="exact"/>
        <w:ind w:firstLine="640" w:firstLineChars="200"/>
        <w:rPr>
          <w:rStyle w:val="15"/>
          <w:rFonts w:ascii="仿宋" w:hAnsi="仿宋" w:eastAsia="仿宋"/>
          <w:b w:val="0"/>
          <w:bCs/>
          <w:color w:val="000000"/>
          <w:sz w:val="32"/>
          <w:szCs w:val="32"/>
        </w:rPr>
      </w:pPr>
      <w:r>
        <w:rPr>
          <w:rStyle w:val="15"/>
          <w:rFonts w:hint="eastAsia" w:ascii="仿宋" w:hAnsi="仿宋" w:eastAsia="仿宋"/>
          <w:b w:val="0"/>
          <w:bCs/>
          <w:color w:val="000000"/>
          <w:sz w:val="32"/>
          <w:szCs w:val="32"/>
        </w:rPr>
        <w:t>社会保障和就业支出(208)其他社会保障和就业支出(99)其他社会保障和就业支出(01):2018年决算数为1.44万元</w:t>
      </w:r>
    </w:p>
    <w:p>
      <w:pPr>
        <w:spacing w:line="600" w:lineRule="exact"/>
        <w:ind w:firstLine="642" w:firstLineChars="200"/>
        <w:rPr>
          <w:rStyle w:val="15"/>
          <w:rFonts w:ascii="仿宋" w:hAnsi="仿宋" w:eastAsia="仿宋"/>
          <w:b w:val="0"/>
          <w:bCs/>
          <w:color w:val="000000"/>
          <w:sz w:val="32"/>
          <w:szCs w:val="32"/>
        </w:rPr>
      </w:pPr>
      <w:r>
        <w:rPr>
          <w:rStyle w:val="15"/>
          <w:rFonts w:hint="eastAsia" w:ascii="仿宋" w:hAnsi="仿宋" w:eastAsia="仿宋"/>
          <w:bCs/>
          <w:color w:val="000000"/>
          <w:sz w:val="32"/>
          <w:szCs w:val="32"/>
        </w:rPr>
        <w:t>6.医疗卫生与计划生育</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w:t>
      </w:r>
      <w:r>
        <w:rPr>
          <w:rFonts w:hint="eastAsia" w:ascii="仿宋" w:hAnsi="仿宋" w:eastAsia="仿宋"/>
          <w:color w:val="000000" w:themeColor="text1"/>
          <w:sz w:val="32"/>
          <w:szCs w:val="32"/>
          <w14:textFill>
            <w14:solidFill>
              <w14:schemeClr w14:val="tx1"/>
            </w14:solidFill>
          </w14:textFill>
        </w:rPr>
        <w:t>20.44万</w:t>
      </w:r>
      <w:r>
        <w:rPr>
          <w:rStyle w:val="15"/>
          <w:rFonts w:hint="eastAsia" w:ascii="仿宋" w:hAnsi="仿宋" w:eastAsia="仿宋"/>
          <w:b w:val="0"/>
          <w:bCs/>
          <w:color w:val="000000"/>
          <w:sz w:val="32"/>
          <w:szCs w:val="32"/>
        </w:rPr>
        <w:t>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600" w:lineRule="exact"/>
        <w:ind w:firstLine="640" w:firstLineChars="200"/>
        <w:rPr>
          <w:rStyle w:val="15"/>
          <w:rFonts w:ascii="仿宋" w:hAnsi="仿宋" w:eastAsia="仿宋"/>
          <w:b w:val="0"/>
          <w:bCs/>
          <w:color w:val="000000"/>
          <w:sz w:val="32"/>
          <w:szCs w:val="32"/>
        </w:rPr>
      </w:pPr>
      <w:r>
        <w:rPr>
          <w:rStyle w:val="15"/>
          <w:rFonts w:hint="eastAsia" w:ascii="仿宋" w:hAnsi="仿宋" w:eastAsia="仿宋"/>
          <w:b w:val="0"/>
          <w:bCs/>
          <w:color w:val="000000"/>
          <w:sz w:val="32"/>
          <w:szCs w:val="32"/>
        </w:rPr>
        <w:t>医疗卫生与计划生育支出(210)公共卫生(04)其他公共卫生支出(99):2018年决算数为0.6万元，</w:t>
      </w:r>
    </w:p>
    <w:p>
      <w:pPr>
        <w:spacing w:line="600" w:lineRule="exact"/>
        <w:ind w:firstLine="640" w:firstLineChars="200"/>
        <w:rPr>
          <w:rStyle w:val="15"/>
          <w:rFonts w:ascii="仿宋" w:hAnsi="仿宋" w:eastAsia="仿宋"/>
          <w:b w:val="0"/>
          <w:bCs/>
          <w:color w:val="000000"/>
          <w:sz w:val="32"/>
          <w:szCs w:val="32"/>
        </w:rPr>
      </w:pPr>
      <w:r>
        <w:rPr>
          <w:rStyle w:val="15"/>
          <w:rFonts w:hint="eastAsia" w:ascii="仿宋" w:hAnsi="仿宋" w:eastAsia="仿宋"/>
          <w:b w:val="0"/>
          <w:bCs/>
          <w:color w:val="000000"/>
          <w:sz w:val="32"/>
          <w:szCs w:val="32"/>
        </w:rPr>
        <w:t>医疗卫生与计划生育支出(210)计划生育事务(07)其他计划生育事务支出(99):2018年决算数为0.72万元</w:t>
      </w:r>
    </w:p>
    <w:p>
      <w:pPr>
        <w:spacing w:line="600" w:lineRule="exact"/>
        <w:ind w:firstLine="640" w:firstLineChars="200"/>
        <w:rPr>
          <w:rStyle w:val="15"/>
          <w:rFonts w:ascii="仿宋" w:hAnsi="仿宋" w:eastAsia="仿宋"/>
          <w:b w:val="0"/>
          <w:bCs/>
          <w:color w:val="000000"/>
          <w:sz w:val="32"/>
          <w:szCs w:val="32"/>
        </w:rPr>
      </w:pPr>
      <w:r>
        <w:rPr>
          <w:rStyle w:val="15"/>
          <w:rFonts w:hint="eastAsia" w:ascii="仿宋" w:hAnsi="仿宋" w:eastAsia="仿宋"/>
          <w:b w:val="0"/>
          <w:bCs/>
          <w:color w:val="000000"/>
          <w:sz w:val="32"/>
          <w:szCs w:val="32"/>
        </w:rPr>
        <w:t>医疗卫生与计划生育支出(210)行政事业单位医疗(11)其他行政单位医疗(01):2018年决算数为13.82万元</w:t>
      </w:r>
    </w:p>
    <w:p>
      <w:pPr>
        <w:spacing w:line="600" w:lineRule="exact"/>
        <w:ind w:firstLine="640" w:firstLineChars="200"/>
        <w:rPr>
          <w:rStyle w:val="15"/>
          <w:rFonts w:ascii="仿宋" w:hAnsi="仿宋" w:eastAsia="仿宋"/>
          <w:b w:val="0"/>
          <w:bCs/>
          <w:color w:val="000000"/>
          <w:sz w:val="32"/>
          <w:szCs w:val="32"/>
        </w:rPr>
      </w:pPr>
      <w:r>
        <w:rPr>
          <w:rStyle w:val="15"/>
          <w:rFonts w:hint="eastAsia" w:ascii="仿宋" w:hAnsi="仿宋" w:eastAsia="仿宋"/>
          <w:b w:val="0"/>
          <w:bCs/>
          <w:color w:val="000000"/>
          <w:sz w:val="32"/>
          <w:szCs w:val="32"/>
        </w:rPr>
        <w:t>医疗卫生与计划生育支出(210)行政事业单位医疗(11)公务员医疗补助（03）:2018年决算数为3.43万元</w:t>
      </w:r>
    </w:p>
    <w:p>
      <w:pPr>
        <w:spacing w:line="600" w:lineRule="exact"/>
        <w:ind w:firstLine="640" w:firstLineChars="200"/>
        <w:rPr>
          <w:rStyle w:val="15"/>
          <w:rFonts w:ascii="仿宋" w:hAnsi="仿宋" w:eastAsia="仿宋"/>
          <w:b w:val="0"/>
          <w:bCs/>
          <w:color w:val="000000"/>
          <w:sz w:val="32"/>
          <w:szCs w:val="32"/>
        </w:rPr>
      </w:pPr>
      <w:r>
        <w:rPr>
          <w:rStyle w:val="15"/>
          <w:rFonts w:hint="eastAsia" w:ascii="仿宋" w:hAnsi="仿宋" w:eastAsia="仿宋"/>
          <w:b w:val="0"/>
          <w:bCs/>
          <w:color w:val="000000"/>
          <w:sz w:val="32"/>
          <w:szCs w:val="32"/>
        </w:rPr>
        <w:t>医疗卫生与计划生育支出(210)行政事业单位医疗(11)其他行政事业单位医疗支出（99）:2018年决算数为1.87万元</w:t>
      </w:r>
    </w:p>
    <w:p>
      <w:pPr>
        <w:spacing w:line="600" w:lineRule="exact"/>
        <w:ind w:firstLine="642" w:firstLineChars="200"/>
        <w:rPr>
          <w:rStyle w:val="15"/>
          <w:rFonts w:ascii="仿宋" w:hAnsi="仿宋" w:eastAsia="仿宋"/>
          <w:b w:val="0"/>
          <w:bCs/>
          <w:color w:val="000000"/>
          <w:sz w:val="32"/>
          <w:szCs w:val="32"/>
        </w:rPr>
      </w:pPr>
      <w:r>
        <w:rPr>
          <w:rStyle w:val="15"/>
          <w:rFonts w:hint="eastAsia" w:ascii="仿宋" w:hAnsi="仿宋" w:eastAsia="仿宋"/>
          <w:bCs/>
          <w:color w:val="000000"/>
          <w:sz w:val="32"/>
          <w:szCs w:val="32"/>
        </w:rPr>
        <w:t>7.城乡社区支出</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w:t>
      </w:r>
      <w:r>
        <w:rPr>
          <w:rFonts w:hint="eastAsia" w:ascii="仿宋" w:hAnsi="仿宋" w:eastAsia="仿宋"/>
          <w:color w:val="000000" w:themeColor="text1"/>
          <w:sz w:val="32"/>
          <w:szCs w:val="32"/>
          <w14:textFill>
            <w14:solidFill>
              <w14:schemeClr w14:val="tx1"/>
            </w14:solidFill>
          </w14:textFill>
        </w:rPr>
        <w:t>9万</w:t>
      </w:r>
      <w:r>
        <w:rPr>
          <w:rStyle w:val="15"/>
          <w:rFonts w:hint="eastAsia" w:ascii="仿宋" w:hAnsi="仿宋" w:eastAsia="仿宋"/>
          <w:b w:val="0"/>
          <w:bCs/>
          <w:color w:val="000000"/>
          <w:sz w:val="32"/>
          <w:szCs w:val="32"/>
        </w:rPr>
        <w:t>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600" w:lineRule="exact"/>
        <w:ind w:firstLine="640"/>
        <w:rPr>
          <w:rStyle w:val="15"/>
          <w:rFonts w:ascii="仿宋" w:hAnsi="仿宋" w:eastAsia="仿宋"/>
          <w:b w:val="0"/>
          <w:bCs/>
          <w:color w:val="000000"/>
          <w:sz w:val="32"/>
          <w:szCs w:val="32"/>
        </w:rPr>
      </w:pPr>
      <w:r>
        <w:rPr>
          <w:rStyle w:val="15"/>
          <w:rFonts w:hint="eastAsia" w:ascii="仿宋" w:hAnsi="仿宋" w:eastAsia="仿宋"/>
          <w:b w:val="0"/>
          <w:bCs/>
          <w:color w:val="000000"/>
          <w:sz w:val="32"/>
          <w:szCs w:val="32"/>
        </w:rPr>
        <w:t>城乡社区支出（212）城乡社区环境卫生（05）城乡社区环境卫生（01）：2018年决算数为9万元</w:t>
      </w:r>
    </w:p>
    <w:p>
      <w:pPr>
        <w:numPr>
          <w:ilvl w:val="0"/>
          <w:numId w:val="3"/>
        </w:numPr>
        <w:spacing w:line="600" w:lineRule="exact"/>
        <w:ind w:firstLine="642" w:firstLineChars="200"/>
        <w:rPr>
          <w:rStyle w:val="15"/>
          <w:rFonts w:ascii="仿宋" w:hAnsi="仿宋" w:eastAsia="仿宋"/>
          <w:b w:val="0"/>
          <w:bCs/>
          <w:color w:val="000000"/>
          <w:sz w:val="32"/>
          <w:szCs w:val="32"/>
        </w:rPr>
      </w:pPr>
      <w:r>
        <w:rPr>
          <w:rStyle w:val="15"/>
          <w:rFonts w:hint="eastAsia" w:ascii="仿宋" w:hAnsi="仿宋" w:eastAsia="仿宋"/>
          <w:bCs/>
          <w:color w:val="000000"/>
          <w:sz w:val="32"/>
          <w:szCs w:val="32"/>
        </w:rPr>
        <w:t>农林水支出</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w:t>
      </w:r>
      <w:r>
        <w:rPr>
          <w:rFonts w:hint="eastAsia" w:ascii="仿宋" w:hAnsi="仿宋" w:eastAsia="仿宋"/>
          <w:color w:val="000000" w:themeColor="text1"/>
          <w:sz w:val="32"/>
          <w:szCs w:val="32"/>
          <w14:textFill>
            <w14:solidFill>
              <w14:schemeClr w14:val="tx1"/>
            </w14:solidFill>
          </w14:textFill>
        </w:rPr>
        <w:t>864.93万</w:t>
      </w:r>
      <w:r>
        <w:rPr>
          <w:rStyle w:val="15"/>
          <w:rFonts w:hint="eastAsia" w:ascii="仿宋" w:hAnsi="仿宋" w:eastAsia="仿宋"/>
          <w:b w:val="0"/>
          <w:bCs/>
          <w:color w:val="000000"/>
          <w:sz w:val="32"/>
          <w:szCs w:val="32"/>
        </w:rPr>
        <w:t>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600" w:lineRule="exact"/>
        <w:rPr>
          <w:rStyle w:val="15"/>
          <w:rFonts w:ascii="仿宋" w:hAnsi="仿宋" w:eastAsia="仿宋"/>
          <w:b w:val="0"/>
          <w:bCs/>
          <w:color w:val="000000"/>
          <w:sz w:val="32"/>
          <w:szCs w:val="32"/>
        </w:rPr>
      </w:pPr>
      <w:r>
        <w:rPr>
          <w:rStyle w:val="15"/>
          <w:rFonts w:hint="eastAsia" w:ascii="仿宋" w:hAnsi="仿宋" w:eastAsia="仿宋"/>
          <w:b w:val="0"/>
          <w:bCs/>
          <w:color w:val="000000"/>
          <w:sz w:val="32"/>
          <w:szCs w:val="32"/>
        </w:rPr>
        <w:t xml:space="preserve">    农林水支出（213）农业（01）其他农业支出（99）：2018年决算数为76.82万元</w:t>
      </w:r>
    </w:p>
    <w:p>
      <w:pPr>
        <w:spacing w:line="600" w:lineRule="exact"/>
        <w:rPr>
          <w:rStyle w:val="15"/>
          <w:rFonts w:ascii="仿宋" w:hAnsi="仿宋" w:eastAsia="仿宋"/>
          <w:b w:val="0"/>
          <w:bCs/>
          <w:color w:val="000000"/>
          <w:sz w:val="32"/>
          <w:szCs w:val="32"/>
        </w:rPr>
      </w:pPr>
      <w:r>
        <w:rPr>
          <w:rStyle w:val="15"/>
          <w:rFonts w:hint="eastAsia" w:ascii="仿宋" w:hAnsi="仿宋" w:eastAsia="仿宋"/>
          <w:b w:val="0"/>
          <w:bCs/>
          <w:color w:val="000000"/>
          <w:sz w:val="32"/>
          <w:szCs w:val="32"/>
        </w:rPr>
        <w:t xml:space="preserve">    农林水支出（213）水利（03）水土保持（10）：2018年决算数为32.89万元</w:t>
      </w:r>
    </w:p>
    <w:p>
      <w:pPr>
        <w:spacing w:line="600" w:lineRule="exact"/>
        <w:rPr>
          <w:rStyle w:val="15"/>
          <w:rFonts w:ascii="仿宋" w:hAnsi="仿宋" w:eastAsia="仿宋"/>
          <w:b w:val="0"/>
          <w:bCs/>
          <w:color w:val="000000"/>
          <w:sz w:val="32"/>
          <w:szCs w:val="32"/>
        </w:rPr>
      </w:pPr>
      <w:r>
        <w:rPr>
          <w:rStyle w:val="15"/>
          <w:rFonts w:hint="eastAsia" w:ascii="仿宋" w:hAnsi="仿宋" w:eastAsia="仿宋"/>
          <w:b w:val="0"/>
          <w:bCs/>
          <w:color w:val="000000"/>
          <w:sz w:val="32"/>
          <w:szCs w:val="32"/>
        </w:rPr>
        <w:t xml:space="preserve">   农林水支出（213）水利（03） 防汛（14）：2018年决算数为35万元</w:t>
      </w:r>
    </w:p>
    <w:p>
      <w:pPr>
        <w:spacing w:line="600" w:lineRule="exact"/>
        <w:rPr>
          <w:rStyle w:val="15"/>
          <w:rFonts w:ascii="仿宋" w:hAnsi="仿宋" w:eastAsia="仿宋"/>
          <w:b w:val="0"/>
          <w:bCs/>
          <w:color w:val="000000"/>
          <w:sz w:val="32"/>
          <w:szCs w:val="32"/>
        </w:rPr>
      </w:pPr>
      <w:r>
        <w:rPr>
          <w:rStyle w:val="15"/>
          <w:rFonts w:hint="eastAsia" w:ascii="仿宋" w:hAnsi="仿宋" w:eastAsia="仿宋"/>
          <w:b w:val="0"/>
          <w:bCs/>
          <w:color w:val="000000"/>
          <w:sz w:val="32"/>
          <w:szCs w:val="32"/>
        </w:rPr>
        <w:t xml:space="preserve">    农林水支出（213）扶贫（05）农村基础设施建设（04）：2018年决算数为615.37万元</w:t>
      </w:r>
    </w:p>
    <w:p>
      <w:pPr>
        <w:spacing w:line="600" w:lineRule="exact"/>
        <w:rPr>
          <w:rStyle w:val="15"/>
          <w:rFonts w:ascii="仿宋" w:hAnsi="仿宋" w:eastAsia="仿宋"/>
          <w:b w:val="0"/>
          <w:bCs/>
          <w:color w:val="000000"/>
          <w:sz w:val="32"/>
          <w:szCs w:val="32"/>
        </w:rPr>
      </w:pPr>
      <w:r>
        <w:rPr>
          <w:rStyle w:val="15"/>
          <w:rFonts w:hint="eastAsia" w:ascii="仿宋" w:hAnsi="仿宋" w:eastAsia="仿宋"/>
          <w:b w:val="0"/>
          <w:bCs/>
          <w:color w:val="000000"/>
          <w:sz w:val="32"/>
          <w:szCs w:val="32"/>
        </w:rPr>
        <w:t xml:space="preserve">    农林水支出（213）扶贫（05）其他扶贫支出（99）：2018年决算数为23.44万元</w:t>
      </w:r>
    </w:p>
    <w:p>
      <w:pPr>
        <w:spacing w:line="600" w:lineRule="exact"/>
        <w:ind w:firstLine="640" w:firstLineChars="200"/>
        <w:rPr>
          <w:rStyle w:val="15"/>
          <w:rFonts w:ascii="仿宋" w:hAnsi="仿宋" w:eastAsia="仿宋"/>
          <w:b w:val="0"/>
          <w:bCs/>
          <w:color w:val="000000"/>
          <w:sz w:val="32"/>
          <w:szCs w:val="32"/>
        </w:rPr>
      </w:pPr>
      <w:r>
        <w:rPr>
          <w:rStyle w:val="15"/>
          <w:rFonts w:hint="eastAsia" w:ascii="仿宋" w:hAnsi="仿宋" w:eastAsia="仿宋"/>
          <w:b w:val="0"/>
          <w:bCs/>
          <w:color w:val="000000"/>
          <w:sz w:val="32"/>
          <w:szCs w:val="32"/>
        </w:rPr>
        <w:t>农林水支出（213）农村综合改革）（07）对村民委员会和村党支部的补助（05）：2018年决算数为81.41</w:t>
      </w:r>
    </w:p>
    <w:p>
      <w:pPr>
        <w:numPr>
          <w:ilvl w:val="0"/>
          <w:numId w:val="3"/>
        </w:numPr>
        <w:spacing w:line="600" w:lineRule="exact"/>
        <w:ind w:firstLine="642" w:firstLineChars="200"/>
        <w:rPr>
          <w:rStyle w:val="15"/>
          <w:rFonts w:ascii="仿宋" w:hAnsi="仿宋" w:eastAsia="仿宋"/>
          <w:b w:val="0"/>
          <w:bCs/>
          <w:color w:val="000000"/>
          <w:sz w:val="32"/>
          <w:szCs w:val="32"/>
        </w:rPr>
      </w:pPr>
      <w:r>
        <w:rPr>
          <w:rStyle w:val="15"/>
          <w:rFonts w:hint="eastAsia" w:ascii="仿宋" w:hAnsi="仿宋" w:eastAsia="仿宋"/>
          <w:bCs/>
          <w:color w:val="000000"/>
          <w:sz w:val="32"/>
          <w:szCs w:val="32"/>
        </w:rPr>
        <w:t>交通运输支出</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w:t>
      </w:r>
      <w:r>
        <w:rPr>
          <w:rFonts w:hint="eastAsia" w:ascii="仿宋" w:hAnsi="仿宋" w:eastAsia="仿宋"/>
          <w:color w:val="000000" w:themeColor="text1"/>
          <w:sz w:val="32"/>
          <w:szCs w:val="32"/>
          <w14:textFill>
            <w14:solidFill>
              <w14:schemeClr w14:val="tx1"/>
            </w14:solidFill>
          </w14:textFill>
        </w:rPr>
        <w:t>6.52万</w:t>
      </w:r>
      <w:r>
        <w:rPr>
          <w:rStyle w:val="15"/>
          <w:rFonts w:hint="eastAsia" w:ascii="仿宋" w:hAnsi="仿宋" w:eastAsia="仿宋"/>
          <w:b w:val="0"/>
          <w:bCs/>
          <w:color w:val="000000"/>
          <w:sz w:val="32"/>
          <w:szCs w:val="32"/>
        </w:rPr>
        <w:t>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600" w:lineRule="exact"/>
        <w:ind w:left="420" w:leftChars="200"/>
        <w:rPr>
          <w:rStyle w:val="15"/>
          <w:rFonts w:ascii="仿宋" w:hAnsi="仿宋" w:eastAsia="仿宋"/>
          <w:b w:val="0"/>
          <w:bCs/>
          <w:color w:val="000000"/>
          <w:sz w:val="32"/>
          <w:szCs w:val="32"/>
        </w:rPr>
      </w:pPr>
      <w:r>
        <w:rPr>
          <w:rStyle w:val="15"/>
          <w:rFonts w:hint="eastAsia" w:ascii="仿宋" w:hAnsi="仿宋" w:eastAsia="仿宋"/>
          <w:b w:val="0"/>
          <w:bCs/>
          <w:color w:val="000000"/>
          <w:sz w:val="32"/>
          <w:szCs w:val="32"/>
        </w:rPr>
        <w:t>交通运输支出（214）公路水路运输（01）公路养护（06）：2018年决算数为4.52万元</w:t>
      </w:r>
    </w:p>
    <w:p>
      <w:pPr>
        <w:spacing w:line="600" w:lineRule="exact"/>
        <w:ind w:left="420" w:leftChars="200"/>
        <w:rPr>
          <w:rStyle w:val="15"/>
          <w:rFonts w:ascii="仿宋" w:hAnsi="仿宋" w:eastAsia="仿宋"/>
          <w:b w:val="0"/>
          <w:bCs/>
          <w:color w:val="000000"/>
          <w:sz w:val="32"/>
          <w:szCs w:val="32"/>
        </w:rPr>
      </w:pPr>
      <w:r>
        <w:rPr>
          <w:rStyle w:val="15"/>
          <w:rFonts w:hint="eastAsia" w:ascii="仿宋" w:hAnsi="仿宋" w:eastAsia="仿宋"/>
          <w:b w:val="0"/>
          <w:bCs/>
          <w:color w:val="000000"/>
          <w:sz w:val="32"/>
          <w:szCs w:val="32"/>
        </w:rPr>
        <w:t>交通运输支出（214）公路养护（06）车辆购置税于公路等基础设施建设支出（01）：2018年决算数为2万元</w:t>
      </w:r>
    </w:p>
    <w:p>
      <w:pPr>
        <w:numPr>
          <w:ilvl w:val="0"/>
          <w:numId w:val="3"/>
        </w:numPr>
        <w:spacing w:line="600" w:lineRule="exact"/>
        <w:ind w:firstLine="642" w:firstLineChars="200"/>
        <w:rPr>
          <w:rStyle w:val="15"/>
          <w:rFonts w:ascii="仿宋" w:hAnsi="仿宋" w:eastAsia="仿宋"/>
          <w:b w:val="0"/>
          <w:bCs/>
          <w:color w:val="000000"/>
          <w:sz w:val="32"/>
          <w:szCs w:val="32"/>
        </w:rPr>
      </w:pPr>
      <w:r>
        <w:rPr>
          <w:rStyle w:val="15"/>
          <w:rFonts w:hint="eastAsia" w:ascii="仿宋" w:hAnsi="仿宋" w:eastAsia="仿宋"/>
          <w:bCs/>
          <w:color w:val="000000"/>
          <w:sz w:val="32"/>
          <w:szCs w:val="32"/>
        </w:rPr>
        <w:t>住房保障支出</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w:t>
      </w:r>
      <w:r>
        <w:rPr>
          <w:rFonts w:hint="eastAsia" w:ascii="仿宋" w:hAnsi="仿宋" w:eastAsia="仿宋"/>
          <w:color w:val="000000" w:themeColor="text1"/>
          <w:sz w:val="32"/>
          <w:szCs w:val="32"/>
          <w14:textFill>
            <w14:solidFill>
              <w14:schemeClr w14:val="tx1"/>
            </w14:solidFill>
          </w14:textFill>
        </w:rPr>
        <w:t>23.5万</w:t>
      </w:r>
      <w:r>
        <w:rPr>
          <w:rStyle w:val="15"/>
          <w:rFonts w:hint="eastAsia" w:ascii="仿宋" w:hAnsi="仿宋" w:eastAsia="仿宋"/>
          <w:b w:val="0"/>
          <w:bCs/>
          <w:color w:val="000000"/>
          <w:sz w:val="32"/>
          <w:szCs w:val="32"/>
        </w:rPr>
        <w:t>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600" w:lineRule="exact"/>
        <w:ind w:left="420" w:leftChars="200"/>
        <w:rPr>
          <w:rFonts w:ascii="仿宋" w:hAnsi="仿宋" w:eastAsia="仿宋"/>
          <w:b/>
          <w:color w:val="000000"/>
          <w:sz w:val="32"/>
          <w:szCs w:val="32"/>
        </w:rPr>
      </w:pPr>
      <w:r>
        <w:rPr>
          <w:rStyle w:val="15"/>
          <w:rFonts w:hint="eastAsia" w:ascii="仿宋" w:hAnsi="仿宋" w:eastAsia="仿宋"/>
          <w:b w:val="0"/>
          <w:bCs/>
          <w:color w:val="000000"/>
          <w:sz w:val="32"/>
          <w:szCs w:val="32"/>
        </w:rPr>
        <w:t>住房保障支出（221）住房改革支出（02）住房公积金（01）：2018年决算数为23.5万元</w:t>
      </w:r>
    </w:p>
    <w:p>
      <w:pPr>
        <w:tabs>
          <w:tab w:val="right" w:pos="8306"/>
        </w:tabs>
        <w:spacing w:line="600" w:lineRule="exact"/>
        <w:ind w:firstLine="640"/>
        <w:outlineLvl w:val="1"/>
        <w:rPr>
          <w:rStyle w:val="26"/>
        </w:rPr>
      </w:pPr>
      <w:bookmarkStart w:id="40" w:name="_Toc15377214"/>
      <w:bookmarkStart w:id="41"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6"/>
          <w:rFonts w:hint="eastAsia" w:ascii="黑体" w:hAnsi="黑体" w:eastAsia="黑体"/>
          <w:b w:val="0"/>
        </w:rPr>
        <w:t>般公共预算财政拨款基本支出决算情况说明</w:t>
      </w:r>
      <w:bookmarkEnd w:id="40"/>
      <w:bookmarkEnd w:id="41"/>
      <w:r>
        <w:rPr>
          <w:rStyle w:val="26"/>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8年一般公共预算财政拨款基本支出337.2万元，其中：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302.47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公用经费34.73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ind w:firstLine="640"/>
        <w:rPr>
          <w:rFonts w:ascii="仿宋" w:hAnsi="仿宋" w:eastAsia="仿宋"/>
          <w:b/>
          <w:color w:val="FF0000"/>
          <w:sz w:val="32"/>
          <w:szCs w:val="32"/>
        </w:rPr>
      </w:pPr>
      <w:r>
        <w:rPr>
          <w:rFonts w:hint="eastAsia" w:ascii="仿宋" w:hAnsi="仿宋" w:eastAsia="仿宋"/>
          <w:b/>
          <w:color w:val="FF0000"/>
          <w:sz w:val="32"/>
          <w:szCs w:val="32"/>
        </w:rPr>
        <w:drawing>
          <wp:inline distT="0" distB="0" distL="114300" distR="114300">
            <wp:extent cx="4581525" cy="2752725"/>
            <wp:effectExtent l="0" t="0" r="9525" b="9525"/>
            <wp:docPr id="12" name="图片 12" descr="一般公共预算财政拨款支出决算"/>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2" name="图片 12" descr="一般公共预算财政拨款支出决算"/>
                    <pic:cNvPicPr>
                      <a:picLocks noChangeAspect="true"/>
                    </pic:cNvPicPr>
                  </pic:nvPicPr>
                  <pic:blipFill>
                    <a:blip r:embed="rId12"/>
                    <a:stretch>
                      <a:fillRect/>
                    </a:stretch>
                  </pic:blipFill>
                  <pic:spPr>
                    <a:xfrm>
                      <a:off x="0" y="0"/>
                      <a:ext cx="4581525" cy="2752725"/>
                    </a:xfrm>
                    <a:prstGeom prst="rect">
                      <a:avLst/>
                    </a:prstGeom>
                  </pic:spPr>
                </pic:pic>
              </a:graphicData>
            </a:graphic>
          </wp:inline>
        </w:drawing>
      </w:r>
    </w:p>
    <w:p>
      <w:pPr>
        <w:spacing w:line="600" w:lineRule="exact"/>
        <w:ind w:firstLine="640"/>
        <w:outlineLvl w:val="1"/>
        <w:rPr>
          <w:rStyle w:val="26"/>
          <w:rFonts w:ascii="黑体" w:hAnsi="黑体" w:eastAsia="黑体"/>
          <w:b w:val="0"/>
        </w:rPr>
      </w:pPr>
      <w:bookmarkStart w:id="42" w:name="_Toc15377215"/>
      <w:bookmarkStart w:id="43" w:name="_Toc15396609"/>
      <w:r>
        <w:rPr>
          <w:rFonts w:hint="eastAsia" w:ascii="黑体" w:eastAsia="黑体"/>
          <w:color w:val="000000"/>
          <w:sz w:val="32"/>
          <w:szCs w:val="32"/>
        </w:rPr>
        <w:t>七、</w:t>
      </w:r>
      <w:r>
        <w:rPr>
          <w:rStyle w:val="26"/>
          <w:rFonts w:hint="eastAsia" w:ascii="黑体" w:hAnsi="黑体" w:eastAsia="黑体"/>
        </w:rPr>
        <w:t>“</w:t>
      </w:r>
      <w:r>
        <w:rPr>
          <w:rStyle w:val="26"/>
          <w:rFonts w:hint="eastAsia" w:ascii="黑体" w:hAnsi="黑体" w:eastAsia="黑体"/>
          <w:b w:val="0"/>
        </w:rPr>
        <w:t>三公”经费财政拨款支出决算情况说明</w:t>
      </w:r>
      <w:bookmarkEnd w:id="42"/>
      <w:bookmarkEnd w:id="43"/>
    </w:p>
    <w:p>
      <w:pPr>
        <w:spacing w:line="600" w:lineRule="exact"/>
        <w:ind w:firstLine="640"/>
        <w:outlineLvl w:val="2"/>
        <w:rPr>
          <w:rFonts w:ascii="仿宋" w:hAnsi="仿宋" w:eastAsia="仿宋"/>
          <w:b/>
          <w:color w:val="000000"/>
          <w:sz w:val="32"/>
          <w:szCs w:val="32"/>
        </w:rPr>
      </w:pPr>
      <w:bookmarkStart w:id="44" w:name="_Toc15377216"/>
      <w:r>
        <w:rPr>
          <w:rFonts w:hint="eastAsia" w:ascii="仿宋" w:hAnsi="仿宋" w:eastAsia="仿宋"/>
          <w:b/>
          <w:color w:val="000000"/>
          <w:sz w:val="32"/>
          <w:szCs w:val="32"/>
        </w:rPr>
        <w:t>（一）“三公”经费财政拨款支出决算总体情况说明</w:t>
      </w:r>
      <w:bookmarkEnd w:id="44"/>
    </w:p>
    <w:p>
      <w:pPr>
        <w:spacing w:line="600" w:lineRule="exact"/>
        <w:ind w:firstLine="640"/>
        <w:rPr>
          <w:rFonts w:ascii="仿宋" w:hAnsi="仿宋" w:eastAsia="仿宋"/>
          <w:b/>
          <w:color w:val="000000" w:themeColor="text1"/>
          <w:sz w:val="32"/>
          <w:szCs w:val="32"/>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8年“三公”经费财政拨款支出决算为7.54万元，完成预算100</w:t>
      </w:r>
      <w:r>
        <w:rPr>
          <w:rFonts w:ascii="仿宋" w:hAnsi="仿宋" w:eastAsia="仿宋"/>
          <w:color w:val="000000"/>
          <w:sz w:val="32"/>
          <w:szCs w:val="32"/>
        </w:rPr>
        <w:t>%</w:t>
      </w:r>
      <w:r>
        <w:rPr>
          <w:rFonts w:hint="eastAsia" w:ascii="仿宋" w:hAnsi="仿宋" w:eastAsia="仿宋"/>
          <w:color w:val="000000"/>
          <w:sz w:val="32"/>
          <w:szCs w:val="32"/>
        </w:rPr>
        <w:t>，主要用于公务运行维护费。</w:t>
      </w:r>
    </w:p>
    <w:p>
      <w:pPr>
        <w:spacing w:line="600" w:lineRule="exact"/>
        <w:ind w:firstLine="640"/>
        <w:outlineLvl w:val="2"/>
        <w:rPr>
          <w:rFonts w:ascii="仿宋" w:hAnsi="仿宋" w:eastAsia="仿宋"/>
          <w:b/>
          <w:color w:val="000000"/>
          <w:sz w:val="32"/>
          <w:szCs w:val="32"/>
        </w:rPr>
      </w:pPr>
      <w:bookmarkStart w:id="45" w:name="_Toc15377217"/>
      <w:r>
        <w:rPr>
          <w:rFonts w:hint="eastAsia" w:ascii="仿宋" w:hAnsi="仿宋" w:eastAsia="仿宋"/>
          <w:b/>
          <w:color w:val="000000"/>
          <w:sz w:val="32"/>
          <w:szCs w:val="32"/>
        </w:rPr>
        <w:t>（二）“三公”经费财政拨款支出决算具体情况说明</w:t>
      </w:r>
      <w:bookmarkEnd w:id="45"/>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8年“三公”经费财政拨款支出决算中，因公出国（境）费支出决算0万元，占0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；公务用车购置及运行维护费支出决算7.54万元，占100</w:t>
      </w:r>
      <w:r>
        <w:rPr>
          <w:rFonts w:ascii="仿宋" w:hAnsi="仿宋" w:eastAsia="仿宋"/>
          <w:color w:val="000000"/>
          <w:sz w:val="32"/>
          <w:szCs w:val="32"/>
        </w:rPr>
        <w:t>%</w:t>
      </w:r>
      <w:r>
        <w:rPr>
          <w:rFonts w:hint="eastAsia" w:ascii="仿宋" w:hAnsi="仿宋" w:eastAsia="仿宋"/>
          <w:color w:val="000000"/>
          <w:sz w:val="32"/>
          <w:szCs w:val="32"/>
        </w:rPr>
        <w:t>；公务接待费支出决算0万元，占0</w:t>
      </w:r>
      <w:r>
        <w:rPr>
          <w:rFonts w:ascii="仿宋" w:hAnsi="仿宋" w:eastAsia="仿宋"/>
          <w:color w:val="000000"/>
          <w:sz w:val="32"/>
          <w:szCs w:val="32"/>
        </w:rPr>
        <w:t>%</w:t>
      </w:r>
      <w:r>
        <w:rPr>
          <w:rFonts w:hint="eastAsia" w:ascii="仿宋" w:hAnsi="仿宋" w:eastAsia="仿宋"/>
          <w:color w:val="000000"/>
          <w:sz w:val="32"/>
          <w:szCs w:val="32"/>
        </w:rPr>
        <w:t>。具体情况如下：</w:t>
      </w:r>
    </w:p>
    <w:p>
      <w:pPr>
        <w:ind w:firstLine="640"/>
        <w:rPr>
          <w:rFonts w:ascii="仿宋_GB2312" w:eastAsia="仿宋_GB2312"/>
          <w:b/>
          <w:color w:val="000000"/>
          <w:sz w:val="32"/>
          <w:szCs w:val="32"/>
        </w:rPr>
      </w:pPr>
      <w:r>
        <w:rPr>
          <w:rFonts w:ascii="仿宋_GB2312" w:eastAsia="仿宋_GB2312"/>
          <w:b/>
          <w:color w:val="000000"/>
          <w:sz w:val="32"/>
          <w:szCs w:val="32"/>
        </w:rPr>
        <w:drawing>
          <wp:inline distT="0" distB="0" distL="114300" distR="114300">
            <wp:extent cx="4581525" cy="2752725"/>
            <wp:effectExtent l="0" t="0" r="9525" b="9525"/>
            <wp:docPr id="13" name="图片 13" descr="“三公”经费财政拨款支出决算具体情况"/>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 name="图片 13" descr="“三公”经费财政拨款支出决算具体情况"/>
                    <pic:cNvPicPr>
                      <a:picLocks noChangeAspect="true"/>
                    </pic:cNvPicPr>
                  </pic:nvPicPr>
                  <pic:blipFill>
                    <a:blip r:embed="rId13"/>
                    <a:stretch>
                      <a:fillRect/>
                    </a:stretch>
                  </pic:blipFill>
                  <pic:spPr>
                    <a:xfrm>
                      <a:off x="0" y="0"/>
                      <a:ext cx="4581525" cy="2752725"/>
                    </a:xfrm>
                    <a:prstGeom prst="rect">
                      <a:avLst/>
                    </a:prstGeom>
                  </pic:spPr>
                </pic:pic>
              </a:graphicData>
            </a:graphic>
          </wp:inline>
        </w:drawing>
      </w:r>
    </w:p>
    <w:p>
      <w:pPr>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15"/>
          <w:rFonts w:hint="eastAsia" w:ascii="仿宋" w:hAnsi="仿宋" w:eastAsia="仿宋"/>
          <w:b w:val="0"/>
          <w:bCs/>
          <w:color w:val="000000"/>
          <w:sz w:val="32"/>
          <w:szCs w:val="32"/>
        </w:rPr>
        <w:t>完成预算0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全年安排因公出国（境）团组0次，出国（境）0人。因公出国（境）支出决算比</w:t>
      </w:r>
      <w:r>
        <w:rPr>
          <w:rFonts w:ascii="仿宋_GB2312" w:eastAsia="仿宋_GB2312"/>
          <w:color w:val="000000"/>
          <w:sz w:val="32"/>
          <w:szCs w:val="32"/>
        </w:rPr>
        <w:t>201</w:t>
      </w:r>
      <w:r>
        <w:rPr>
          <w:rFonts w:hint="eastAsia" w:ascii="仿宋_GB2312" w:eastAsia="仿宋_GB2312"/>
          <w:color w:val="000000"/>
          <w:sz w:val="32"/>
          <w:szCs w:val="32"/>
        </w:rPr>
        <w:t>7年增加</w:t>
      </w:r>
      <w:r>
        <w:rPr>
          <w:rFonts w:ascii="仿宋_GB2312" w:eastAsia="仿宋_GB2312"/>
          <w:color w:val="000000"/>
          <w:sz w:val="32"/>
          <w:szCs w:val="32"/>
        </w:rPr>
        <w:t>/</w:t>
      </w:r>
      <w:r>
        <w:rPr>
          <w:rFonts w:hint="eastAsia" w:ascii="仿宋_GB2312" w:eastAsia="仿宋_GB2312"/>
          <w:color w:val="000000"/>
          <w:sz w:val="32"/>
          <w:szCs w:val="32"/>
        </w:rPr>
        <w:t>减少0万元，增长</w:t>
      </w:r>
      <w:r>
        <w:rPr>
          <w:rFonts w:ascii="仿宋_GB2312" w:eastAsia="仿宋_GB2312"/>
          <w:color w:val="000000"/>
          <w:sz w:val="32"/>
          <w:szCs w:val="32"/>
        </w:rPr>
        <w:t>/</w:t>
      </w:r>
      <w:r>
        <w:rPr>
          <w:rFonts w:hint="eastAsia" w:ascii="仿宋_GB2312" w:eastAsia="仿宋_GB2312"/>
          <w:color w:val="000000"/>
          <w:sz w:val="32"/>
          <w:szCs w:val="32"/>
        </w:rPr>
        <w:t>下降0</w:t>
      </w:r>
      <w:r>
        <w:rPr>
          <w:rFonts w:ascii="仿宋_GB2312" w:eastAsia="仿宋_GB2312"/>
          <w:color w:val="000000"/>
          <w:sz w:val="32"/>
          <w:szCs w:val="32"/>
        </w:rPr>
        <w:t>%</w:t>
      </w:r>
      <w:r>
        <w:rPr>
          <w:rFonts w:hint="eastAsia" w:ascii="仿宋_GB2312" w:eastAsia="仿宋_GB2312"/>
          <w:color w:val="000000"/>
          <w:sz w:val="32"/>
          <w:szCs w:val="32"/>
        </w:rPr>
        <w:t>。</w:t>
      </w:r>
    </w:p>
    <w:p>
      <w:pPr>
        <w:jc w:val="left"/>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7.54万元,</w:t>
      </w:r>
      <w:r>
        <w:rPr>
          <w:rStyle w:val="15"/>
          <w:rFonts w:hint="eastAsia" w:ascii="仿宋" w:hAnsi="仿宋" w:eastAsia="仿宋"/>
          <w:b w:val="0"/>
          <w:bCs/>
          <w:color w:val="000000"/>
          <w:sz w:val="32"/>
          <w:szCs w:val="32"/>
        </w:rPr>
        <w:t>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7年增加</w:t>
      </w:r>
      <w:r>
        <w:rPr>
          <w:rFonts w:ascii="仿宋_GB2312" w:eastAsia="仿宋_GB2312"/>
          <w:color w:val="000000"/>
          <w:sz w:val="32"/>
          <w:szCs w:val="32"/>
        </w:rPr>
        <w:t>/</w:t>
      </w:r>
      <w:r>
        <w:rPr>
          <w:rFonts w:hint="eastAsia" w:ascii="仿宋_GB2312" w:eastAsia="仿宋_GB2312"/>
          <w:color w:val="000000"/>
          <w:sz w:val="32"/>
          <w:szCs w:val="32"/>
        </w:rPr>
        <w:t>减少2.54万元，增长33</w:t>
      </w:r>
      <w:r>
        <w:rPr>
          <w:rFonts w:ascii="仿宋_GB2312" w:eastAsia="仿宋_GB2312"/>
          <w:color w:val="000000"/>
          <w:sz w:val="32"/>
          <w:szCs w:val="32"/>
        </w:rPr>
        <w:t>%</w:t>
      </w:r>
      <w:r>
        <w:rPr>
          <w:rFonts w:hint="eastAsia" w:ascii="仿宋_GB2312" w:eastAsia="仿宋_GB2312"/>
          <w:color w:val="000000"/>
          <w:sz w:val="32"/>
          <w:szCs w:val="32"/>
        </w:rPr>
        <w:t>。主要增长原因是防汛期间对公务车辆需求增大。</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0万元。全年按规定更新购置公务用车0辆，其中：轿车0辆、金额0万元，越野车0辆、金额0万元，载客汽车0辆、金额0万元。截至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月底，单位共有公务用车2辆，其中：CRV1辆、皮卡1辆。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7.54万元。主要用于开展全乡工作所需的公务用车燃料费、维修费、过路过桥费、保险费等支出。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0万元，</w:t>
      </w:r>
      <w:r>
        <w:rPr>
          <w:rStyle w:val="15"/>
          <w:rFonts w:hint="eastAsia" w:ascii="仿宋" w:hAnsi="仿宋" w:eastAsia="仿宋"/>
          <w:b w:val="0"/>
          <w:bCs/>
          <w:color w:val="000000"/>
          <w:sz w:val="32"/>
          <w:szCs w:val="32"/>
        </w:rPr>
        <w:t>完成预算0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600" w:lineRule="exact"/>
        <w:ind w:firstLine="640"/>
        <w:outlineLvl w:val="1"/>
        <w:rPr>
          <w:rFonts w:ascii="黑体" w:eastAsia="黑体"/>
          <w:color w:val="000000"/>
          <w:sz w:val="32"/>
          <w:szCs w:val="32"/>
        </w:rPr>
      </w:pPr>
      <w:bookmarkStart w:id="46" w:name="_Toc15377218"/>
      <w:bookmarkStart w:id="47" w:name="_Toc15396610"/>
    </w:p>
    <w:p>
      <w:pPr>
        <w:spacing w:line="600" w:lineRule="exact"/>
        <w:ind w:firstLine="640"/>
        <w:outlineLvl w:val="1"/>
        <w:rPr>
          <w:rStyle w:val="26"/>
          <w:rFonts w:ascii="黑体" w:hAnsi="黑体" w:eastAsia="黑体"/>
        </w:rPr>
      </w:pPr>
      <w:r>
        <w:rPr>
          <w:rFonts w:hint="eastAsia" w:ascii="黑体" w:eastAsia="黑体"/>
          <w:color w:val="000000"/>
          <w:sz w:val="32"/>
          <w:szCs w:val="32"/>
        </w:rPr>
        <w:t>八、</w:t>
      </w:r>
      <w:r>
        <w:rPr>
          <w:rStyle w:val="26"/>
          <w:rFonts w:hint="eastAsia" w:ascii="黑体" w:hAns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8年政府性基金预算拨款支出11万元。</w:t>
      </w:r>
    </w:p>
    <w:p>
      <w:pPr>
        <w:spacing w:line="600" w:lineRule="exact"/>
        <w:ind w:firstLine="640"/>
        <w:rPr>
          <w:rFonts w:ascii="仿宋_GB2312" w:eastAsia="仿宋_GB2312"/>
          <w:color w:val="000000"/>
          <w:sz w:val="32"/>
          <w:szCs w:val="32"/>
        </w:rPr>
      </w:pPr>
    </w:p>
    <w:p>
      <w:pPr>
        <w:numPr>
          <w:ilvl w:val="0"/>
          <w:numId w:val="4"/>
        </w:numPr>
        <w:spacing w:line="600" w:lineRule="exact"/>
        <w:ind w:firstLine="640"/>
        <w:outlineLvl w:val="1"/>
        <w:rPr>
          <w:rStyle w:val="26"/>
          <w:rFonts w:ascii="黑体" w:hAnsi="黑体" w:eastAsia="黑体"/>
          <w:b w:val="0"/>
        </w:rPr>
      </w:pPr>
      <w:bookmarkStart w:id="48" w:name="_Toc15377219"/>
      <w:bookmarkStart w:id="49" w:name="_Toc15396611"/>
      <w:r>
        <w:rPr>
          <w:rStyle w:val="26"/>
          <w:rFonts w:hint="eastAsia" w:ascii="黑体" w:hAnsi="黑体" w:eastAsia="黑体"/>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8年国有资本经营预算拨款支出0万元。</w:t>
      </w:r>
    </w:p>
    <w:p>
      <w:pPr>
        <w:pStyle w:val="24"/>
        <w:numPr>
          <w:ilvl w:val="0"/>
          <w:numId w:val="5"/>
        </w:numPr>
        <w:spacing w:line="580" w:lineRule="exact"/>
        <w:ind w:firstLineChars="0"/>
        <w:rPr>
          <w:rStyle w:val="26"/>
          <w:rFonts w:ascii="黑体" w:hAnsi="黑体" w:eastAsia="黑体"/>
          <w:b w:val="0"/>
        </w:rPr>
      </w:pPr>
      <w:r>
        <w:rPr>
          <w:rStyle w:val="26"/>
          <w:rFonts w:hint="eastAsia" w:ascii="黑体" w:hAnsi="黑体" w:eastAsia="黑体"/>
          <w:b w:val="0"/>
        </w:rPr>
        <w:t>预算绩效情况说明</w:t>
      </w:r>
    </w:p>
    <w:p>
      <w:pPr>
        <w:numPr>
          <w:ilvl w:val="0"/>
          <w:numId w:val="6"/>
        </w:numPr>
        <w:spacing w:line="580" w:lineRule="exact"/>
        <w:ind w:firstLine="642"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pPr>
        <w:spacing w:line="600" w:lineRule="atLeast"/>
        <w:ind w:firstLine="640"/>
        <w:rPr>
          <w:rFonts w:ascii="仿宋_GB2312" w:eastAsia="仿宋_GB2312"/>
          <w:color w:val="000000"/>
          <w:sz w:val="32"/>
        </w:rPr>
      </w:pPr>
      <w:r>
        <w:rPr>
          <w:rFonts w:hint="eastAsia" w:ascii="仿宋_GB2312" w:eastAsia="仿宋_GB2312"/>
          <w:color w:val="000000"/>
          <w:sz w:val="32"/>
        </w:rPr>
        <w:t>按照预算绩效管理要求，本部门对2018年一般公共预算项目支出开展了绩效目标管理，共编制绩效目标0个。</w:t>
      </w:r>
    </w:p>
    <w:p>
      <w:pPr>
        <w:numPr>
          <w:ilvl w:val="0"/>
          <w:numId w:val="6"/>
        </w:numPr>
        <w:spacing w:line="580" w:lineRule="exact"/>
        <w:ind w:firstLine="642" w:firstLineChars="200"/>
        <w:rPr>
          <w:rFonts w:ascii="仿宋_GB2312" w:hAnsi="仿宋_GB2312" w:eastAsia="仿宋_GB2312" w:cs="仿宋_GB2312"/>
          <w:sz w:val="32"/>
          <w:szCs w:val="32"/>
        </w:rPr>
      </w:pPr>
      <w:r>
        <w:rPr>
          <w:rFonts w:hint="eastAsia" w:ascii="仿宋_GB2312" w:eastAsia="仿宋_GB2312"/>
          <w:b/>
          <w:bCs/>
          <w:color w:val="000000"/>
          <w:sz w:val="32"/>
        </w:rPr>
        <w:t>（二）</w:t>
      </w:r>
      <w:r>
        <w:rPr>
          <w:rFonts w:hint="eastAsia" w:ascii="仿宋" w:hAnsi="仿宋" w:eastAsia="仿宋" w:cs="楷体_GB2312"/>
          <w:b/>
          <w:bCs/>
          <w:sz w:val="32"/>
          <w:szCs w:val="32"/>
        </w:rPr>
        <w:t>项目绩效目标完成情况。</w:t>
      </w:r>
      <w:r>
        <w:rPr>
          <w:rFonts w:hint="eastAsia" w:ascii="楷体_GB2312" w:hAnsi="楷体_GB2312" w:eastAsia="楷体_GB2312" w:cs="楷体_GB2312"/>
          <w:b/>
          <w:bCs/>
          <w:sz w:val="32"/>
          <w:szCs w:val="32"/>
        </w:rPr>
        <w:br w:type="textWrapping"/>
      </w:r>
      <w:r>
        <w:rPr>
          <w:rFonts w:hint="eastAsia" w:ascii="仿宋_GB2312" w:hAnsi="仿宋_GB2312" w:eastAsia="仿宋_GB2312" w:cs="仿宋_GB2312"/>
          <w:sz w:val="32"/>
          <w:szCs w:val="32"/>
        </w:rPr>
        <w:t xml:space="preserve">    本部门在2018年度部门决算中反映杨家湾村集体经济（白马休闲农庄）项目、三村安全饮水项目、黄草坪产业路维修项目、三村路灯工程项目、村厕所改建提升项目、上草地村村寨文化墙项目、上草地村通村公路维修项目、杨家湾村通村公路维修项目、上草地村村寨微景观打造项目等9个项目绩效目标实际完成情况。（9个项目全部进行公开，公开内容包括完成情况综述和完成情况表）。</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1.杨家湾村集体经济（白马休闲农庄）项目项目绩效目标完成情况综述。</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项目全年预算数100万元，执行数为83.1416万元，完成预算的83.14%，通过项目实施，保障能够吸收大量游客入沟观光游乐，充分发展杨家湾村乡村旅游的自然资源潜力及优势，贫困人口脱贫致富问题及发展壮大集体经济，解决群众对办红白喜事无固定场所的需求。同时，对减少社会矛盾、邻里纠纷起到积极作用，对建设乡村旅游新村奠定良好的基础。</w:t>
      </w:r>
    </w:p>
    <w:p>
      <w:pPr>
        <w:spacing w:line="580" w:lineRule="exact"/>
        <w:ind w:left="480"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rPr>
        <w:t>2.三村安全饮水项目项目绩效目标完成情况综述。</w:t>
      </w:r>
    </w:p>
    <w:p>
      <w:pPr>
        <w:spacing w:line="580" w:lineRule="exact"/>
        <w:ind w:left="48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项目全年预算数40.9万元，执行数为39.4413万元，完成预算的96.43%，完善配套基础设施，改善农民生活条件，提高生活质量，解决贫困村基础设施欠缺问题，加快草地乡开发建设，提升人民群众生活水平。</w:t>
      </w:r>
    </w:p>
    <w:p>
      <w:pPr>
        <w:spacing w:line="580" w:lineRule="exact"/>
        <w:ind w:left="420" w:leftChars="200"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rPr>
        <w:t>3.黄草坪产业路维修项目项目绩效目标完成情况综述。</w:t>
      </w:r>
    </w:p>
    <w:p>
      <w:pPr>
        <w:pStyle w:val="2"/>
        <w:ind w:left="420" w:leftChars="200" w:firstLine="0"/>
      </w:pPr>
      <w:r>
        <w:rPr>
          <w:rFonts w:hint="eastAsia"/>
        </w:rPr>
        <w:t xml:space="preserve">   </w:t>
      </w:r>
      <w:r>
        <w:rPr>
          <w:rFonts w:hint="eastAsia" w:ascii="仿宋_GB2312" w:hAnsi="仿宋_GB2312" w:eastAsia="仿宋_GB2312" w:cs="仿宋_GB2312"/>
          <w:sz w:val="32"/>
          <w:szCs w:val="32"/>
        </w:rPr>
        <w:t>项目全年预算数5万元，执行数为5万元，完成预算的100%，通过项目实施改善农民生活条件，提高生活质量，解决村基础设施欠缺问题，解决人民群众生活条件，保障助民增收。</w:t>
      </w:r>
    </w:p>
    <w:p>
      <w:pPr>
        <w:numPr>
          <w:ilvl w:val="0"/>
          <w:numId w:val="7"/>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三村路灯工程项目项目绩效目标完成情况综述。</w:t>
      </w:r>
    </w:p>
    <w:p>
      <w:pPr>
        <w:pStyle w:val="2"/>
        <w:ind w:firstLine="0"/>
        <w:rPr>
          <w:rFonts w:eastAsia="仿宋_GB2312"/>
        </w:rPr>
      </w:pPr>
      <w:r>
        <w:rPr>
          <w:rFonts w:hint="eastAsia"/>
        </w:rPr>
        <w:t xml:space="preserve">     </w:t>
      </w:r>
      <w:r>
        <w:rPr>
          <w:rFonts w:hint="eastAsia" w:ascii="仿宋_GB2312" w:hAnsi="仿宋_GB2312" w:eastAsia="仿宋_GB2312" w:cs="仿宋_GB2312"/>
          <w:sz w:val="32"/>
          <w:szCs w:val="32"/>
        </w:rPr>
        <w:t>项目全年预算数78.5万元，执行数为77.935万元，完成预算的99.28%，通过项目实施，完善配套基础设施，改善农民生活条件，提高生活质量，解决村基础设施欠缺问题，有利于提高整体村容村貌，保障群众夜间出行方便、安全。</w:t>
      </w:r>
    </w:p>
    <w:p>
      <w:pPr>
        <w:numPr>
          <w:ilvl w:val="0"/>
          <w:numId w:val="7"/>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村厕所改建提升项目项目绩效目标完成情况综述。</w:t>
      </w:r>
    </w:p>
    <w:p>
      <w:pPr>
        <w:pStyle w:val="2"/>
        <w:ind w:left="420" w:leftChars="200" w:firstLine="0"/>
        <w:rPr>
          <w:rFonts w:eastAsia="仿宋_GB2312"/>
        </w:rPr>
      </w:pPr>
      <w:r>
        <w:rPr>
          <w:rFonts w:hint="eastAsia"/>
        </w:rPr>
        <w:t xml:space="preserve">  </w:t>
      </w:r>
      <w:r>
        <w:rPr>
          <w:rFonts w:hint="eastAsia" w:ascii="仿宋_GB2312" w:hAnsi="仿宋_GB2312" w:eastAsia="仿宋_GB2312" w:cs="仿宋_GB2312"/>
          <w:sz w:val="32"/>
          <w:szCs w:val="32"/>
        </w:rPr>
        <w:t>项目全年预算数51.75万元，执行数为49.75万元，完成预算的96.13%，通过项目实施完善配套基础设施，改善农民生活条件，提高生活质量加快草地乡开发建设，提升人民群众生活水平。</w:t>
      </w:r>
    </w:p>
    <w:p>
      <w:pPr>
        <w:numPr>
          <w:ilvl w:val="0"/>
          <w:numId w:val="7"/>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上草地村村寨文化墙项目项目绩效目标完成情况综述。</w:t>
      </w:r>
    </w:p>
    <w:p>
      <w:pPr>
        <w:pStyle w:val="2"/>
        <w:ind w:left="420" w:leftChars="200" w:firstLine="0"/>
        <w:rPr>
          <w:rFonts w:eastAsia="仿宋_GB2312"/>
        </w:rPr>
      </w:pPr>
      <w:r>
        <w:rPr>
          <w:rFonts w:hint="eastAsia"/>
        </w:rPr>
        <w:t xml:space="preserve">  </w:t>
      </w:r>
      <w:r>
        <w:rPr>
          <w:rFonts w:hint="eastAsia" w:ascii="仿宋_GB2312" w:hAnsi="仿宋_GB2312" w:eastAsia="仿宋_GB2312" w:cs="仿宋_GB2312"/>
          <w:sz w:val="32"/>
          <w:szCs w:val="32"/>
        </w:rPr>
        <w:t>项目全年预算数6.2万元，执行数为6.2万元，完成预算的100%，通过项目实施完善配套基础设施，改善村容村貌条件，提高生活质量，解决贫困村基础设施欠缺问题，加快草地乡开发建设，提升人民群众生活质量。</w:t>
      </w:r>
    </w:p>
    <w:p>
      <w:pPr>
        <w:numPr>
          <w:ilvl w:val="0"/>
          <w:numId w:val="7"/>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上草地村通村公路维修项目项目绩效目标完成情况综述。</w:t>
      </w:r>
    </w:p>
    <w:p>
      <w:pPr>
        <w:pStyle w:val="2"/>
        <w:ind w:left="420" w:leftChars="200" w:firstLine="0"/>
        <w:rPr>
          <w:rFonts w:eastAsia="仿宋_GB2312"/>
        </w:rPr>
      </w:pPr>
      <w:r>
        <w:rPr>
          <w:rFonts w:hint="eastAsia"/>
        </w:rPr>
        <w:t xml:space="preserve"> </w:t>
      </w:r>
      <w:r>
        <w:rPr>
          <w:rFonts w:hint="eastAsia" w:ascii="仿宋_GB2312" w:hAnsi="仿宋_GB2312" w:eastAsia="仿宋_GB2312" w:cs="仿宋_GB2312"/>
          <w:sz w:val="32"/>
          <w:szCs w:val="32"/>
        </w:rPr>
        <w:t>项目全年预算数253.93万元，执行数为210.979879万元，完成预算的83.3%，通过项目实施改善农民生活条件，提高生活质量，保障群众出行方便、安全。</w:t>
      </w:r>
    </w:p>
    <w:p>
      <w:pPr>
        <w:numPr>
          <w:ilvl w:val="0"/>
          <w:numId w:val="7"/>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杨家湾村通村公路维修项目项目绩效目标完成情况综述。</w:t>
      </w:r>
    </w:p>
    <w:p>
      <w:pPr>
        <w:pStyle w:val="2"/>
        <w:ind w:left="420" w:leftChars="200" w:firstLine="0"/>
      </w:pPr>
      <w:r>
        <w:rPr>
          <w:rFonts w:hint="eastAsia"/>
        </w:rPr>
        <w:t xml:space="preserve">  </w:t>
      </w:r>
      <w:r>
        <w:rPr>
          <w:rFonts w:hint="eastAsia" w:ascii="仿宋_GB2312" w:hAnsi="仿宋_GB2312" w:eastAsia="仿宋_GB2312" w:cs="仿宋_GB2312"/>
          <w:sz w:val="32"/>
          <w:szCs w:val="32"/>
        </w:rPr>
        <w:t>项目全年预算数207.92万元，执行数为175.417393万元，完成预算的84.36%，通过项目实施通过项目实施改善农民生活条件，提高生活质量，保障群众出行方便、安全。</w:t>
      </w:r>
    </w:p>
    <w:p>
      <w:pPr>
        <w:numPr>
          <w:ilvl w:val="0"/>
          <w:numId w:val="7"/>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上草地村村寨微景观打造项目项目绩效目标完成情况综述。</w:t>
      </w:r>
    </w:p>
    <w:p>
      <w:pPr>
        <w:pStyle w:val="2"/>
        <w:ind w:left="420" w:leftChars="200" w:firstLine="0"/>
        <w:rPr>
          <w:rFonts w:eastAsia="仿宋_GB2312"/>
        </w:rPr>
      </w:pPr>
      <w:r>
        <w:rPr>
          <w:rFonts w:hint="eastAsia" w:ascii="仿宋_GB2312" w:hAnsi="仿宋_GB2312" w:eastAsia="仿宋_GB2312" w:cs="仿宋_GB2312"/>
          <w:sz w:val="32"/>
          <w:szCs w:val="32"/>
        </w:rPr>
        <w:t>项目全年预算数135.5万元，执行数为135.5万元，完成预算的100%，通过项目实施，完善配套基础设施，改善村容村貌条件，提高生活质量，解决贫困村基础设施欠缺问题加快草地乡开发建设，提升人民群众生活质量。</w:t>
      </w:r>
    </w:p>
    <w:p>
      <w:pPr>
        <w:spacing w:line="580" w:lineRule="exact"/>
        <w:ind w:firstLine="642" w:firstLineChars="200"/>
        <w:rPr>
          <w:rFonts w:ascii="仿宋" w:hAnsi="仿宋" w:eastAsia="仿宋" w:cs="楷体_GB2312"/>
          <w:b/>
          <w:bCs/>
          <w:sz w:val="32"/>
          <w:szCs w:val="32"/>
        </w:rPr>
      </w:pPr>
      <w:r>
        <w:rPr>
          <w:rFonts w:hint="eastAsia" w:ascii="仿宋" w:hAnsi="仿宋" w:eastAsia="仿宋" w:cs="楷体_GB2312"/>
          <w:b/>
          <w:bCs/>
          <w:sz w:val="32"/>
          <w:szCs w:val="32"/>
        </w:rPr>
        <w:t>（三）部门开展绩效评价结果。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本部门按要求对2018年部门整体支出绩效评价情况开展自评，《草地乡2018年部门整体支出绩效评价报告》见附件。</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自行组织对杨家湾村集体经济（白马休闲农庄）项目、三村安全饮水项目、黄草坪产业路维修项目、三村路灯工程项目、村厕所改建提升项目、上草地村村寨文化墙项目、上草地村通村公路维修项目、杨家湾村通村公路维修项目、上草地村村寨微景观打造项目开展了绩效评价，《各项目2018年绩效评价报告》见附件。</w:t>
      </w:r>
    </w:p>
    <w:p>
      <w:pPr>
        <w:spacing w:line="600" w:lineRule="exact"/>
        <w:ind w:firstLine="640" w:firstLineChars="200"/>
        <w:outlineLvl w:val="1"/>
        <w:rPr>
          <w:rStyle w:val="26"/>
          <w:rFonts w:ascii="黑体" w:hAnsi="黑体" w:eastAsia="黑体"/>
        </w:rPr>
      </w:pPr>
      <w:bookmarkStart w:id="50" w:name="_Toc15396612"/>
      <w:bookmarkStart w:id="51" w:name="_Toc15377221"/>
      <w:r>
        <w:rPr>
          <w:rFonts w:hint="eastAsia" w:ascii="黑体" w:hAnsi="黑体" w:eastAsia="黑体"/>
          <w:color w:val="000000"/>
          <w:sz w:val="32"/>
          <w:szCs w:val="32"/>
        </w:rPr>
        <w:t>十</w:t>
      </w:r>
      <w:r>
        <w:rPr>
          <w:rStyle w:val="26"/>
          <w:rFonts w:hint="eastAsia" w:ascii="黑体" w:hAnsi="黑体" w:eastAsia="黑体"/>
        </w:rPr>
        <w:t>一、</w:t>
      </w:r>
      <w:r>
        <w:rPr>
          <w:rStyle w:val="26"/>
          <w:rFonts w:hint="eastAsia" w:ascii="黑体" w:hAnsi="黑体" w:eastAsia="黑体"/>
          <w:b w:val="0"/>
        </w:rPr>
        <w:t>其他重要事项的情况说明</w:t>
      </w:r>
      <w:bookmarkEnd w:id="50"/>
      <w:bookmarkEnd w:id="51"/>
    </w:p>
    <w:p>
      <w:pPr>
        <w:spacing w:line="600" w:lineRule="exact"/>
        <w:ind w:firstLine="642"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pPr>
        <w:spacing w:line="600" w:lineRule="exact"/>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sz w:val="32"/>
          <w:szCs w:val="32"/>
        </w:rPr>
        <w:t>201</w:t>
      </w:r>
      <w:r>
        <w:rPr>
          <w:rFonts w:hint="eastAsia" w:ascii="仿宋_GB2312" w:eastAsia="仿宋_GB2312"/>
          <w:color w:val="000000"/>
          <w:sz w:val="32"/>
          <w:szCs w:val="32"/>
        </w:rPr>
        <w:t>8年，草地乡机关运行经费支出116.68万元，比</w:t>
      </w:r>
      <w:r>
        <w:rPr>
          <w:rFonts w:ascii="仿宋_GB2312" w:eastAsia="仿宋_GB2312"/>
          <w:color w:val="000000"/>
          <w:sz w:val="32"/>
          <w:szCs w:val="32"/>
        </w:rPr>
        <w:t>201</w:t>
      </w:r>
      <w:r>
        <w:rPr>
          <w:rFonts w:hint="eastAsia" w:ascii="仿宋_GB2312" w:eastAsia="仿宋_GB2312"/>
          <w:color w:val="000000"/>
          <w:sz w:val="32"/>
          <w:szCs w:val="32"/>
        </w:rPr>
        <w:t>7年增加45.42万元，增长38.92</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14:textFill>
            <w14:solidFill>
              <w14:schemeClr w14:val="tx1"/>
            </w14:solidFill>
          </w14:textFill>
        </w:rPr>
        <w:t>主要原因是人员增加相关经费增加；受“6.10”“7.25”洪灾影响，相关经费增加。</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53" w:name="_Toc15377223"/>
      <w:r>
        <w:rPr>
          <w:rFonts w:hint="eastAsia" w:ascii="仿宋" w:hAnsi="仿宋" w:eastAsia="仿宋"/>
          <w:b/>
          <w:color w:val="000000"/>
          <w:sz w:val="32"/>
          <w:szCs w:val="32"/>
        </w:rPr>
        <w:t>（二）政府采购支出情况</w:t>
      </w:r>
      <w:bookmarkEnd w:id="53"/>
    </w:p>
    <w:p>
      <w:pPr>
        <w:jc w:val="left"/>
        <w:rPr>
          <w:rFonts w:ascii="仿宋" w:hAnsi="仿宋" w:eastAsia="仿宋"/>
          <w:color w:val="000000"/>
          <w:w w:val="90"/>
          <w:sz w:val="32"/>
          <w:szCs w:val="32"/>
        </w:rPr>
      </w:pPr>
      <w:r>
        <w:rPr>
          <w:rFonts w:ascii="仿宋_GB2312" w:eastAsia="仿宋_GB2312"/>
          <w:color w:val="000000"/>
          <w:sz w:val="32"/>
          <w:szCs w:val="32"/>
        </w:rPr>
        <w:t>201</w:t>
      </w:r>
      <w:r>
        <w:rPr>
          <w:rFonts w:hint="eastAsia" w:ascii="仿宋_GB2312" w:eastAsia="仿宋_GB2312"/>
          <w:color w:val="000000"/>
          <w:sz w:val="32"/>
          <w:szCs w:val="32"/>
        </w:rPr>
        <w:t>8年，草地乡人民政府采购支出总额19.68万元。</w:t>
      </w:r>
    </w:p>
    <w:p>
      <w:pPr>
        <w:spacing w:line="600" w:lineRule="exact"/>
        <w:ind w:firstLine="640" w:firstLineChars="200"/>
        <w:rPr>
          <w:rFonts w:ascii="仿宋_GB2312" w:eastAsia="仿宋_GB2312"/>
          <w:color w:val="000000"/>
          <w:sz w:val="32"/>
          <w:szCs w:val="32"/>
        </w:rPr>
      </w:pP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日，草地乡人民共有车辆1辆，其中：一般公务用车1辆，</w:t>
      </w:r>
      <w:r>
        <w:rPr>
          <w:rFonts w:hint="eastAsia" w:ascii="仿宋_GB2312" w:eastAsia="仿宋_GB2312"/>
          <w:color w:val="000000" w:themeColor="text1"/>
          <w:sz w:val="32"/>
          <w:szCs w:val="32"/>
          <w14:textFill>
            <w14:solidFill>
              <w14:schemeClr w14:val="tx1"/>
            </w14:solidFill>
          </w14:textFill>
        </w:rPr>
        <w:t>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万元以上通用设备0台（套），单价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sz w:val="32"/>
          <w:szCs w:val="32"/>
        </w:rPr>
        <w:t>万元以上专用设备0台（套）。</w:t>
      </w:r>
    </w:p>
    <w:p>
      <w:pPr>
        <w:spacing w:line="600" w:lineRule="atLeast"/>
        <w:ind w:firstLine="642" w:firstLineChars="200"/>
        <w:rPr>
          <w:rFonts w:ascii="仿宋_GB2312" w:eastAsia="仿宋_GB2312"/>
          <w:b/>
          <w:color w:val="000000"/>
          <w:sz w:val="32"/>
          <w:szCs w:val="32"/>
        </w:rPr>
      </w:pP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8"/>
        </w:numPr>
        <w:spacing w:line="600" w:lineRule="exact"/>
        <w:ind w:firstLine="662" w:firstLineChars="150"/>
        <w:jc w:val="center"/>
        <w:outlineLvl w:val="0"/>
        <w:rPr>
          <w:rStyle w:val="25"/>
          <w:rFonts w:ascii="黑体" w:hAnsi="黑体" w:eastAsia="黑体"/>
          <w:b w:val="0"/>
        </w:rPr>
      </w:pPr>
      <w:bookmarkStart w:id="55" w:name="_Toc15396613"/>
      <w:bookmarkStart w:id="56" w:name="_Toc15377225"/>
      <w:r>
        <w:rPr>
          <w:rFonts w:hint="eastAsia" w:ascii="黑体" w:hAnsi="黑体" w:eastAsia="黑体"/>
          <w:b/>
          <w:color w:val="000000"/>
          <w:sz w:val="44"/>
          <w:szCs w:val="44"/>
        </w:rPr>
        <w:t>名</w:t>
      </w:r>
      <w:r>
        <w:rPr>
          <w:rStyle w:val="25"/>
          <w:rFonts w:hint="eastAsia" w:ascii="黑体" w:hAnsi="黑体" w:eastAsia="黑体"/>
          <w:b w:val="0"/>
        </w:rPr>
        <w:t>词解释</w:t>
      </w:r>
      <w:bookmarkEnd w:id="55"/>
      <w:bookmarkEnd w:id="56"/>
    </w:p>
    <w:p>
      <w:pPr>
        <w:spacing w:line="600" w:lineRule="exact"/>
        <w:jc w:val="left"/>
        <w:rPr>
          <w:rFonts w:ascii="宋体"/>
          <w:b/>
          <w:color w:val="000000"/>
          <w:sz w:val="44"/>
          <w:szCs w:val="44"/>
        </w:rPr>
      </w:pPr>
    </w:p>
    <w:p>
      <w:pPr>
        <w:pStyle w:val="23"/>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事业收入：指事业单位开展专业业务活动及辅助活动取得的收入。如…（二级预算单位事业收入情况）等。</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经营收入：指事业单位在专业业务活动及其辅助活动之外开展非独立核算经营活动取得的收入。如…（二级预算单位经营收入情况）等。</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其他收入：指单位取得的除上述收入以外的各项收入。主要是…（收入类型）等。</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一般公共服务</w:t>
      </w:r>
      <w:r>
        <w:rPr>
          <w:rStyle w:val="15"/>
          <w:rFonts w:hint="eastAsia" w:ascii="仿宋" w:hAnsi="仿宋" w:eastAsia="仿宋"/>
          <w:b w:val="0"/>
          <w:bCs/>
          <w:color w:val="000000"/>
          <w:sz w:val="32"/>
          <w:szCs w:val="32"/>
        </w:rPr>
        <w:t>201）人大事务(01)行政运行(01)</w:t>
      </w:r>
      <w:r>
        <w:rPr>
          <w:rFonts w:hint="eastAsia" w:ascii="仿宋_GB2312" w:eastAsia="仿宋_GB2312"/>
          <w:color w:val="000000"/>
          <w:sz w:val="32"/>
          <w:szCs w:val="32"/>
        </w:rPr>
        <w:t>：人大的基本支出</w:t>
      </w:r>
    </w:p>
    <w:p>
      <w:pPr>
        <w:spacing w:line="600" w:lineRule="exact"/>
        <w:ind w:firstLine="640" w:firstLineChars="200"/>
        <w:rPr>
          <w:rStyle w:val="15"/>
          <w:rFonts w:ascii="仿宋" w:hAnsi="仿宋" w:eastAsia="仿宋"/>
          <w:b w:val="0"/>
          <w:bCs/>
          <w:color w:val="000000"/>
          <w:sz w:val="32"/>
          <w:szCs w:val="32"/>
        </w:rPr>
      </w:pPr>
      <w:r>
        <w:rPr>
          <w:rStyle w:val="15"/>
          <w:rFonts w:hint="eastAsia" w:ascii="仿宋" w:hAnsi="仿宋" w:eastAsia="仿宋"/>
          <w:b w:val="0"/>
          <w:bCs/>
          <w:color w:val="000000"/>
          <w:sz w:val="32"/>
          <w:szCs w:val="32"/>
        </w:rPr>
        <w:t>10.一般公共服务支出（201）政府办公厅及相关机构事务（03）行政运行（01）：指本单位基本支出</w:t>
      </w:r>
    </w:p>
    <w:p>
      <w:pPr>
        <w:spacing w:line="600" w:lineRule="exact"/>
        <w:ind w:firstLine="640" w:firstLineChars="200"/>
        <w:rPr>
          <w:rStyle w:val="15"/>
          <w:rFonts w:ascii="仿宋" w:hAnsi="仿宋" w:eastAsia="仿宋"/>
          <w:b w:val="0"/>
          <w:bCs/>
          <w:color w:val="000000"/>
          <w:sz w:val="32"/>
          <w:szCs w:val="32"/>
        </w:rPr>
      </w:pPr>
      <w:r>
        <w:rPr>
          <w:rStyle w:val="15"/>
          <w:rFonts w:hint="eastAsia" w:ascii="仿宋" w:hAnsi="仿宋" w:eastAsia="仿宋"/>
          <w:b w:val="0"/>
          <w:bCs/>
          <w:color w:val="000000"/>
          <w:sz w:val="32"/>
          <w:szCs w:val="32"/>
        </w:rPr>
        <w:t>11.一般公共服务支出（201）其他组织事务（32）其他组织事务支出（99）:其他用于中国共产</w:t>
      </w:r>
      <w:r>
        <w:rPr>
          <w:rStyle w:val="15"/>
          <w:rFonts w:hint="eastAsia" w:ascii="仿宋" w:hAnsi="仿宋" w:eastAsia="仿宋"/>
          <w:b w:val="0"/>
          <w:bCs/>
          <w:color w:val="000000"/>
          <w:sz w:val="32"/>
          <w:szCs w:val="32"/>
          <w:lang w:eastAsia="zh-CN"/>
        </w:rPr>
        <w:t>党</w:t>
      </w:r>
      <w:bookmarkStart w:id="63" w:name="_GoBack"/>
      <w:bookmarkEnd w:id="63"/>
      <w:r>
        <w:rPr>
          <w:rStyle w:val="15"/>
          <w:rFonts w:hint="eastAsia" w:ascii="仿宋" w:hAnsi="仿宋" w:eastAsia="仿宋"/>
          <w:b w:val="0"/>
          <w:bCs/>
          <w:color w:val="000000"/>
          <w:sz w:val="32"/>
          <w:szCs w:val="32"/>
        </w:rPr>
        <w:t>三组织部门的支出，</w:t>
      </w:r>
    </w:p>
    <w:p>
      <w:pPr>
        <w:spacing w:line="600" w:lineRule="exact"/>
        <w:ind w:firstLine="640" w:firstLineChars="200"/>
        <w:rPr>
          <w:rStyle w:val="15"/>
          <w:rFonts w:ascii="仿宋" w:hAnsi="仿宋" w:eastAsia="仿宋"/>
          <w:b w:val="0"/>
          <w:bCs/>
          <w:color w:val="000000"/>
          <w:sz w:val="32"/>
          <w:szCs w:val="32"/>
        </w:rPr>
      </w:pPr>
      <w:r>
        <w:rPr>
          <w:rStyle w:val="15"/>
          <w:rFonts w:hint="eastAsia" w:ascii="仿宋" w:hAnsi="仿宋" w:eastAsia="仿宋"/>
          <w:b w:val="0"/>
          <w:bCs/>
          <w:color w:val="000000"/>
          <w:sz w:val="32"/>
          <w:szCs w:val="32"/>
        </w:rPr>
        <w:t>12.一般公共服务支出（201）其他一般公共服务支出（99）其他一般公共服务支出（99）：指其他一般公共服务支出。</w:t>
      </w:r>
    </w:p>
    <w:p>
      <w:pPr>
        <w:spacing w:line="600" w:lineRule="exact"/>
        <w:ind w:firstLine="640" w:firstLineChars="200"/>
        <w:rPr>
          <w:rStyle w:val="15"/>
          <w:rFonts w:ascii="仿宋" w:hAnsi="仿宋" w:eastAsia="仿宋"/>
          <w:b w:val="0"/>
          <w:bCs/>
          <w:color w:val="000000"/>
          <w:sz w:val="32"/>
          <w:szCs w:val="32"/>
        </w:rPr>
      </w:pPr>
      <w:r>
        <w:rPr>
          <w:rStyle w:val="15"/>
          <w:rFonts w:hint="eastAsia" w:ascii="仿宋" w:hAnsi="仿宋" w:eastAsia="仿宋"/>
          <w:b w:val="0"/>
          <w:bCs/>
          <w:color w:val="000000"/>
          <w:sz w:val="32"/>
          <w:szCs w:val="32"/>
        </w:rPr>
        <w:t>13.国防支出（203）国防动员（06）民兵（07）：指民兵建设与管理等方面的支出。</w:t>
      </w:r>
    </w:p>
    <w:p>
      <w:pPr>
        <w:spacing w:line="600" w:lineRule="exact"/>
        <w:ind w:left="420" w:leftChars="200" w:firstLine="320" w:firstLineChars="100"/>
        <w:rPr>
          <w:rStyle w:val="15"/>
          <w:rFonts w:ascii="仿宋" w:hAnsi="仿宋" w:eastAsia="仿宋"/>
          <w:b w:val="0"/>
          <w:bCs/>
          <w:color w:val="000000"/>
          <w:sz w:val="32"/>
          <w:szCs w:val="32"/>
        </w:rPr>
      </w:pPr>
      <w:r>
        <w:rPr>
          <w:rStyle w:val="15"/>
          <w:rFonts w:hint="eastAsia" w:ascii="仿宋" w:hAnsi="仿宋" w:eastAsia="仿宋"/>
          <w:b w:val="0"/>
          <w:bCs/>
          <w:color w:val="000000"/>
          <w:sz w:val="32"/>
          <w:szCs w:val="32"/>
        </w:rPr>
        <w:t>14. 公共安全支出（204）公安（02）一般行政管理事务(02)：指公安事务管理中未单独设置项级科目的其他项目支出。</w:t>
      </w:r>
    </w:p>
    <w:p>
      <w:pPr>
        <w:spacing w:line="600" w:lineRule="exact"/>
        <w:ind w:left="420" w:leftChars="200" w:firstLine="320" w:firstLineChars="100"/>
        <w:rPr>
          <w:rStyle w:val="15"/>
          <w:rFonts w:ascii="仿宋" w:hAnsi="仿宋" w:eastAsia="仿宋"/>
          <w:b w:val="0"/>
          <w:bCs/>
          <w:color w:val="000000"/>
          <w:sz w:val="32"/>
          <w:szCs w:val="32"/>
        </w:rPr>
      </w:pPr>
      <w:r>
        <w:rPr>
          <w:rStyle w:val="15"/>
          <w:rFonts w:hint="eastAsia" w:ascii="仿宋" w:hAnsi="仿宋" w:eastAsia="仿宋"/>
          <w:b w:val="0"/>
          <w:bCs/>
          <w:color w:val="000000"/>
          <w:sz w:val="32"/>
          <w:szCs w:val="32"/>
        </w:rPr>
        <w:t>15.公共安全支出（204）其他公共安全支出(99)其他公共安全支出(01)：指其他公共安全支出。</w:t>
      </w:r>
    </w:p>
    <w:p>
      <w:pPr>
        <w:spacing w:line="600" w:lineRule="exact"/>
        <w:ind w:firstLine="640" w:firstLineChars="200"/>
        <w:rPr>
          <w:rFonts w:ascii="仿宋" w:hAnsi="仿宋" w:eastAsia="仿宋"/>
          <w:bCs/>
          <w:color w:val="000000" w:themeColor="text1"/>
          <w:sz w:val="32"/>
          <w:szCs w:val="32"/>
          <w14:textFill>
            <w14:solidFill>
              <w14:schemeClr w14:val="tx1"/>
            </w14:solidFill>
          </w14:textFill>
        </w:rPr>
      </w:pPr>
      <w:r>
        <w:rPr>
          <w:rFonts w:hint="eastAsia" w:ascii="仿宋" w:hAnsi="仿宋" w:eastAsia="仿宋"/>
          <w:bCs/>
          <w:color w:val="000000" w:themeColor="text1"/>
          <w:sz w:val="32"/>
          <w:szCs w:val="32"/>
          <w14:textFill>
            <w14:solidFill>
              <w14:schemeClr w14:val="tx1"/>
            </w14:solidFill>
          </w14:textFill>
        </w:rPr>
        <w:t>16.文化体育与传媒支出(207)其他文化文化体育与传媒支出(99)其他文化文化体育与传媒支出(99):</w:t>
      </w:r>
      <w:r>
        <w:rPr>
          <w:rStyle w:val="15"/>
          <w:rFonts w:hint="eastAsia" w:ascii="仿宋" w:hAnsi="仿宋" w:eastAsia="仿宋"/>
          <w:b w:val="0"/>
          <w:bCs/>
          <w:color w:val="000000"/>
          <w:sz w:val="32"/>
          <w:szCs w:val="32"/>
        </w:rPr>
        <w:t>指</w:t>
      </w:r>
      <w:r>
        <w:rPr>
          <w:rFonts w:hint="eastAsia" w:ascii="仿宋" w:hAnsi="仿宋" w:eastAsia="仿宋"/>
          <w:bCs/>
          <w:color w:val="000000" w:themeColor="text1"/>
          <w:sz w:val="32"/>
          <w:szCs w:val="32"/>
          <w14:textFill>
            <w14:solidFill>
              <w14:schemeClr w14:val="tx1"/>
            </w14:solidFill>
          </w14:textFill>
        </w:rPr>
        <w:t>其他文化文化体育与传媒支出。</w:t>
      </w:r>
    </w:p>
    <w:p>
      <w:pPr>
        <w:spacing w:line="600" w:lineRule="exact"/>
        <w:ind w:left="420" w:leftChars="200" w:firstLine="320" w:firstLineChars="100"/>
        <w:rPr>
          <w:rStyle w:val="15"/>
          <w:rFonts w:ascii="仿宋" w:hAnsi="仿宋" w:eastAsia="仿宋"/>
          <w:b w:val="0"/>
          <w:bCs/>
          <w:color w:val="000000"/>
          <w:sz w:val="32"/>
          <w:szCs w:val="32"/>
        </w:rPr>
      </w:pPr>
      <w:r>
        <w:rPr>
          <w:rStyle w:val="15"/>
          <w:rFonts w:hint="eastAsia" w:ascii="仿宋" w:hAnsi="仿宋" w:eastAsia="仿宋"/>
          <w:b w:val="0"/>
          <w:bCs/>
          <w:color w:val="000000"/>
          <w:sz w:val="32"/>
          <w:szCs w:val="32"/>
        </w:rPr>
        <w:t>17.社会保障和就业支出(208)行政事业单位离退休(05)机关事业单位基本养老保险缴费(05)：指机关养老保险支出。</w:t>
      </w:r>
    </w:p>
    <w:p>
      <w:pPr>
        <w:spacing w:line="600" w:lineRule="exact"/>
        <w:ind w:firstLine="640" w:firstLineChars="200"/>
        <w:rPr>
          <w:rStyle w:val="15"/>
          <w:rFonts w:ascii="仿宋" w:hAnsi="仿宋" w:eastAsia="仿宋"/>
          <w:b w:val="0"/>
          <w:bCs/>
          <w:color w:val="000000"/>
          <w:sz w:val="32"/>
          <w:szCs w:val="32"/>
        </w:rPr>
      </w:pPr>
      <w:r>
        <w:rPr>
          <w:rStyle w:val="15"/>
          <w:rFonts w:hint="eastAsia" w:ascii="仿宋" w:hAnsi="仿宋" w:eastAsia="仿宋"/>
          <w:b w:val="0"/>
          <w:bCs/>
          <w:color w:val="000000"/>
          <w:sz w:val="32"/>
          <w:szCs w:val="32"/>
        </w:rPr>
        <w:t>18.社会保障和就业支出(208)抚恤(08)死亡抚恤(01):指烈士和病、故人员家属的一次性和定期抚恤金及丧葬补助费。</w:t>
      </w:r>
    </w:p>
    <w:p>
      <w:pPr>
        <w:spacing w:line="600" w:lineRule="exact"/>
        <w:ind w:firstLine="640" w:firstLineChars="200"/>
        <w:rPr>
          <w:rStyle w:val="15"/>
          <w:rFonts w:ascii="仿宋" w:hAnsi="仿宋" w:eastAsia="仿宋"/>
          <w:b w:val="0"/>
          <w:bCs/>
          <w:color w:val="000000"/>
          <w:sz w:val="32"/>
          <w:szCs w:val="32"/>
        </w:rPr>
      </w:pPr>
      <w:r>
        <w:rPr>
          <w:rStyle w:val="15"/>
          <w:rFonts w:hint="eastAsia" w:ascii="仿宋" w:hAnsi="仿宋" w:eastAsia="仿宋"/>
          <w:b w:val="0"/>
          <w:bCs/>
          <w:color w:val="000000"/>
          <w:sz w:val="32"/>
          <w:szCs w:val="32"/>
        </w:rPr>
        <w:t>19.社会保障和就业支出(208)社会福利(10)其他社会福利支出(99):指其他用于社会福利方面的支出。</w:t>
      </w:r>
    </w:p>
    <w:p>
      <w:pPr>
        <w:spacing w:line="600" w:lineRule="exact"/>
        <w:ind w:firstLine="640" w:firstLineChars="200"/>
        <w:rPr>
          <w:rStyle w:val="15"/>
          <w:rFonts w:ascii="仿宋" w:hAnsi="仿宋" w:eastAsia="仿宋"/>
          <w:b w:val="0"/>
          <w:bCs/>
          <w:color w:val="000000"/>
          <w:sz w:val="32"/>
          <w:szCs w:val="32"/>
        </w:rPr>
      </w:pPr>
      <w:r>
        <w:rPr>
          <w:rStyle w:val="15"/>
          <w:rFonts w:hint="eastAsia" w:ascii="仿宋" w:hAnsi="仿宋" w:eastAsia="仿宋"/>
          <w:b w:val="0"/>
          <w:bCs/>
          <w:color w:val="000000"/>
          <w:sz w:val="32"/>
          <w:szCs w:val="32"/>
        </w:rPr>
        <w:t>20.社会保障和就业支出(208)其他社会保障和就业支出(99)其他社会保障和就业支出(01):指其他用于社会保障和就业方面的支出。</w:t>
      </w:r>
    </w:p>
    <w:p>
      <w:pPr>
        <w:spacing w:line="600" w:lineRule="exact"/>
        <w:ind w:firstLine="640" w:firstLineChars="200"/>
        <w:rPr>
          <w:rStyle w:val="15"/>
          <w:rFonts w:ascii="仿宋" w:hAnsi="仿宋" w:eastAsia="仿宋"/>
          <w:b w:val="0"/>
          <w:bCs/>
          <w:color w:val="000000"/>
          <w:sz w:val="32"/>
          <w:szCs w:val="32"/>
        </w:rPr>
      </w:pPr>
      <w:r>
        <w:rPr>
          <w:rStyle w:val="15"/>
          <w:rFonts w:hint="eastAsia" w:ascii="仿宋" w:hAnsi="仿宋" w:eastAsia="仿宋"/>
          <w:b w:val="0"/>
          <w:bCs/>
          <w:color w:val="000000"/>
          <w:sz w:val="32"/>
          <w:szCs w:val="32"/>
        </w:rPr>
        <w:t>21.医疗卫生与计划生育支出(210)公共卫生(04)其他公共卫生支出(99):指其他公共卫生方面的支出。</w:t>
      </w:r>
    </w:p>
    <w:p>
      <w:pPr>
        <w:spacing w:line="600" w:lineRule="exact"/>
        <w:ind w:firstLine="640" w:firstLineChars="200"/>
        <w:rPr>
          <w:rStyle w:val="15"/>
          <w:rFonts w:ascii="仿宋" w:hAnsi="仿宋" w:eastAsia="仿宋"/>
          <w:b w:val="0"/>
          <w:bCs/>
          <w:color w:val="000000"/>
          <w:sz w:val="32"/>
          <w:szCs w:val="32"/>
        </w:rPr>
      </w:pPr>
      <w:r>
        <w:rPr>
          <w:rStyle w:val="15"/>
          <w:rFonts w:hint="eastAsia" w:ascii="仿宋" w:hAnsi="仿宋" w:eastAsia="仿宋"/>
          <w:b w:val="0"/>
          <w:bCs/>
          <w:color w:val="000000"/>
          <w:sz w:val="32"/>
          <w:szCs w:val="32"/>
        </w:rPr>
        <w:t>22.医疗卫生与计划生育支出(210)计划生育事务(07)其他计划生育事务支出(99):指其他计划生育事务方面的支出。</w:t>
      </w:r>
    </w:p>
    <w:p>
      <w:pPr>
        <w:spacing w:line="600" w:lineRule="exact"/>
        <w:ind w:firstLine="640" w:firstLineChars="200"/>
        <w:rPr>
          <w:rStyle w:val="15"/>
          <w:rFonts w:ascii="仿宋" w:hAnsi="仿宋" w:eastAsia="仿宋"/>
          <w:b w:val="0"/>
          <w:bCs/>
          <w:color w:val="000000"/>
          <w:sz w:val="32"/>
          <w:szCs w:val="32"/>
        </w:rPr>
      </w:pPr>
      <w:r>
        <w:rPr>
          <w:rStyle w:val="15"/>
          <w:rFonts w:hint="eastAsia" w:ascii="仿宋" w:hAnsi="仿宋" w:eastAsia="仿宋"/>
          <w:b w:val="0"/>
          <w:bCs/>
          <w:color w:val="000000"/>
          <w:sz w:val="32"/>
          <w:szCs w:val="32"/>
        </w:rPr>
        <w:t>23.医疗卫生与计划生育支出(210)行政事业单位医疗(11)其他行政单位医疗(01):指他行政单位医疗.</w:t>
      </w:r>
    </w:p>
    <w:p>
      <w:pPr>
        <w:spacing w:line="600" w:lineRule="exact"/>
        <w:ind w:firstLine="640" w:firstLineChars="200"/>
        <w:rPr>
          <w:rStyle w:val="15"/>
          <w:rFonts w:ascii="仿宋" w:hAnsi="仿宋" w:eastAsia="仿宋"/>
          <w:b w:val="0"/>
          <w:bCs/>
          <w:color w:val="000000"/>
          <w:sz w:val="32"/>
          <w:szCs w:val="32"/>
        </w:rPr>
      </w:pPr>
      <w:r>
        <w:rPr>
          <w:rStyle w:val="15"/>
          <w:rFonts w:hint="eastAsia" w:ascii="仿宋" w:hAnsi="仿宋" w:eastAsia="仿宋"/>
          <w:b w:val="0"/>
          <w:bCs/>
          <w:color w:val="000000"/>
          <w:sz w:val="32"/>
          <w:szCs w:val="32"/>
        </w:rPr>
        <w:t>24.医疗卫生与计划生育支出(210)行政事业单位医疗(11)公务员医疗补助（03）:指行政单位公务员的医疗补助。</w:t>
      </w:r>
    </w:p>
    <w:p>
      <w:pPr>
        <w:spacing w:line="600" w:lineRule="exact"/>
        <w:ind w:firstLine="640" w:firstLineChars="200"/>
        <w:rPr>
          <w:rStyle w:val="15"/>
          <w:rFonts w:ascii="仿宋" w:hAnsi="仿宋" w:eastAsia="仿宋"/>
          <w:b w:val="0"/>
          <w:bCs/>
          <w:color w:val="000000"/>
          <w:sz w:val="32"/>
          <w:szCs w:val="32"/>
        </w:rPr>
      </w:pPr>
      <w:r>
        <w:rPr>
          <w:rStyle w:val="15"/>
          <w:rFonts w:hint="eastAsia" w:ascii="仿宋" w:hAnsi="仿宋" w:eastAsia="仿宋"/>
          <w:b w:val="0"/>
          <w:bCs/>
          <w:color w:val="000000"/>
          <w:sz w:val="32"/>
          <w:szCs w:val="32"/>
        </w:rPr>
        <w:t>25.医疗卫生与计划生育支出(210)行政事业单位医疗(11)其他行政事业单位医疗支出（99）:指其他用于行政事业单位医疗支出。</w:t>
      </w:r>
    </w:p>
    <w:p>
      <w:pPr>
        <w:spacing w:line="600" w:lineRule="exact"/>
        <w:ind w:firstLine="640"/>
        <w:rPr>
          <w:rStyle w:val="15"/>
          <w:rFonts w:ascii="仿宋" w:hAnsi="仿宋" w:eastAsia="仿宋"/>
          <w:b w:val="0"/>
          <w:bCs/>
          <w:color w:val="000000"/>
          <w:sz w:val="32"/>
          <w:szCs w:val="32"/>
        </w:rPr>
      </w:pPr>
      <w:r>
        <w:rPr>
          <w:rStyle w:val="15"/>
          <w:rFonts w:hint="eastAsia" w:ascii="仿宋" w:hAnsi="仿宋" w:eastAsia="仿宋"/>
          <w:b w:val="0"/>
          <w:bCs/>
          <w:color w:val="000000"/>
          <w:sz w:val="32"/>
          <w:szCs w:val="32"/>
        </w:rPr>
        <w:t>26.城乡社区支出（212）城乡社区环境卫生（05）城乡社区环境卫生（01）：指城乡道路清扫、垃圾清运与处理、公厕建设与维护、园林绿化等方面的支出。</w:t>
      </w:r>
    </w:p>
    <w:p>
      <w:pPr>
        <w:spacing w:line="600" w:lineRule="exact"/>
        <w:ind w:firstLine="640"/>
        <w:rPr>
          <w:rStyle w:val="15"/>
          <w:rFonts w:ascii="仿宋" w:hAnsi="仿宋" w:eastAsia="仿宋"/>
          <w:b w:val="0"/>
          <w:bCs/>
          <w:color w:val="000000"/>
          <w:sz w:val="32"/>
          <w:szCs w:val="32"/>
        </w:rPr>
      </w:pPr>
      <w:r>
        <w:rPr>
          <w:rStyle w:val="15"/>
          <w:rFonts w:hint="eastAsia" w:ascii="仿宋" w:hAnsi="仿宋" w:eastAsia="仿宋"/>
          <w:b w:val="0"/>
          <w:bCs/>
          <w:color w:val="000000"/>
          <w:sz w:val="32"/>
          <w:szCs w:val="32"/>
        </w:rPr>
        <w:t>27.农林水支出（213）农业（01）其他农业支出（99）：指其他用于农业方面的支出。</w:t>
      </w:r>
    </w:p>
    <w:p>
      <w:pPr>
        <w:spacing w:line="600" w:lineRule="exact"/>
        <w:ind w:firstLine="640"/>
        <w:rPr>
          <w:rStyle w:val="15"/>
          <w:rFonts w:ascii="仿宋" w:hAnsi="仿宋" w:eastAsia="仿宋"/>
          <w:b w:val="0"/>
          <w:bCs/>
          <w:color w:val="000000"/>
          <w:sz w:val="32"/>
          <w:szCs w:val="32"/>
        </w:rPr>
      </w:pPr>
      <w:r>
        <w:rPr>
          <w:rStyle w:val="15"/>
          <w:rFonts w:hint="eastAsia" w:ascii="仿宋" w:hAnsi="仿宋" w:eastAsia="仿宋"/>
          <w:b w:val="0"/>
          <w:bCs/>
          <w:color w:val="000000"/>
          <w:sz w:val="32"/>
          <w:szCs w:val="32"/>
        </w:rPr>
        <w:t>28.农林水支出（213）水利（03）水土保持（10）：指水利系统纳入预算的水土保持失业单位的支出，包括规划、实施、治理、生态修复、调查协调、预防检测、综合治理、开发技术的示范、监督执法等支出及水土保持生态工程措施和各项管理保护活动的支出。</w:t>
      </w:r>
    </w:p>
    <w:p>
      <w:pPr>
        <w:spacing w:line="600" w:lineRule="exact"/>
        <w:rPr>
          <w:rStyle w:val="15"/>
          <w:rFonts w:ascii="仿宋" w:hAnsi="仿宋" w:eastAsia="仿宋"/>
          <w:b w:val="0"/>
          <w:bCs/>
          <w:color w:val="000000"/>
          <w:sz w:val="32"/>
          <w:szCs w:val="32"/>
        </w:rPr>
      </w:pPr>
      <w:r>
        <w:rPr>
          <w:rStyle w:val="15"/>
          <w:rFonts w:hint="eastAsia" w:ascii="仿宋" w:hAnsi="仿宋" w:eastAsia="仿宋"/>
          <w:b w:val="0"/>
          <w:bCs/>
          <w:color w:val="000000"/>
          <w:sz w:val="32"/>
          <w:szCs w:val="32"/>
        </w:rPr>
        <w:t xml:space="preserve">   29.农林水支出（213）水利（03） 防汛（14）：指防汛方面的支出。</w:t>
      </w:r>
    </w:p>
    <w:p>
      <w:pPr>
        <w:spacing w:line="600" w:lineRule="exact"/>
        <w:rPr>
          <w:rStyle w:val="15"/>
          <w:rFonts w:ascii="仿宋" w:hAnsi="仿宋" w:eastAsia="仿宋"/>
          <w:b w:val="0"/>
          <w:bCs/>
          <w:color w:val="000000"/>
          <w:sz w:val="32"/>
          <w:szCs w:val="32"/>
        </w:rPr>
      </w:pPr>
      <w:r>
        <w:rPr>
          <w:rStyle w:val="15"/>
          <w:rFonts w:hint="eastAsia" w:ascii="仿宋" w:hAnsi="仿宋" w:eastAsia="仿宋"/>
          <w:b w:val="0"/>
          <w:bCs/>
          <w:color w:val="000000"/>
          <w:sz w:val="32"/>
          <w:szCs w:val="32"/>
        </w:rPr>
        <w:t xml:space="preserve">    30.农林水支出（213）扶贫（05）农村基础设施建设（04）：指农村贫困地区乡村道路、住房、基本农田、水利设施、人畜饮水、生态环境保护等生产生活条件改善方面的支出。</w:t>
      </w:r>
    </w:p>
    <w:p>
      <w:pPr>
        <w:spacing w:line="600" w:lineRule="exact"/>
        <w:rPr>
          <w:rStyle w:val="15"/>
          <w:rFonts w:ascii="仿宋" w:hAnsi="仿宋" w:eastAsia="仿宋"/>
          <w:b w:val="0"/>
          <w:bCs/>
          <w:color w:val="000000"/>
          <w:sz w:val="32"/>
          <w:szCs w:val="32"/>
        </w:rPr>
      </w:pPr>
      <w:r>
        <w:rPr>
          <w:rStyle w:val="15"/>
          <w:rFonts w:hint="eastAsia" w:ascii="仿宋" w:hAnsi="仿宋" w:eastAsia="仿宋"/>
          <w:b w:val="0"/>
          <w:bCs/>
          <w:color w:val="000000"/>
          <w:sz w:val="32"/>
          <w:szCs w:val="32"/>
        </w:rPr>
        <w:t xml:space="preserve">    31.农林水支出（213）扶贫（05）其他扶贫支出（99）：指其他用于扶贫方面的支出。</w:t>
      </w:r>
    </w:p>
    <w:p>
      <w:pPr>
        <w:spacing w:line="600" w:lineRule="exact"/>
        <w:ind w:firstLine="640" w:firstLineChars="200"/>
        <w:rPr>
          <w:rStyle w:val="15"/>
          <w:rFonts w:ascii="仿宋" w:hAnsi="仿宋" w:eastAsia="仿宋"/>
          <w:b w:val="0"/>
          <w:bCs/>
          <w:color w:val="000000"/>
          <w:sz w:val="32"/>
          <w:szCs w:val="32"/>
        </w:rPr>
      </w:pPr>
      <w:r>
        <w:rPr>
          <w:rStyle w:val="15"/>
          <w:rFonts w:hint="eastAsia" w:ascii="仿宋" w:hAnsi="仿宋" w:eastAsia="仿宋"/>
          <w:b w:val="0"/>
          <w:bCs/>
          <w:color w:val="000000"/>
          <w:sz w:val="32"/>
          <w:szCs w:val="32"/>
        </w:rPr>
        <w:t>32.农林水支出（213）农村综合改革）（07）对村民委员会和村党支部的补助（05）：指各级财政对村民委员会和村党支部的补助支出以及支持建立县级基本财力保障机制安排的村级运转奖补资金。</w:t>
      </w:r>
    </w:p>
    <w:p>
      <w:pPr>
        <w:spacing w:line="600" w:lineRule="exact"/>
        <w:ind w:firstLine="640" w:firstLineChars="200"/>
        <w:rPr>
          <w:rStyle w:val="15"/>
          <w:rFonts w:ascii="仿宋" w:hAnsi="仿宋" w:eastAsia="仿宋"/>
          <w:b w:val="0"/>
          <w:bCs/>
          <w:color w:val="000000"/>
          <w:sz w:val="32"/>
          <w:szCs w:val="32"/>
        </w:rPr>
      </w:pPr>
      <w:r>
        <w:rPr>
          <w:rStyle w:val="15"/>
          <w:rFonts w:hint="eastAsia" w:ascii="仿宋" w:hAnsi="仿宋" w:eastAsia="仿宋"/>
          <w:b w:val="0"/>
          <w:bCs/>
          <w:color w:val="000000"/>
          <w:sz w:val="32"/>
          <w:szCs w:val="32"/>
        </w:rPr>
        <w:t>33.交通运输支出（214）公路水路运输（01）公路养护（06）：指公路养护的支出。</w:t>
      </w:r>
    </w:p>
    <w:p>
      <w:pPr>
        <w:spacing w:line="600" w:lineRule="exact"/>
        <w:ind w:firstLine="640" w:firstLineChars="200"/>
        <w:rPr>
          <w:rStyle w:val="15"/>
          <w:rFonts w:ascii="仿宋" w:hAnsi="仿宋" w:eastAsia="仿宋"/>
          <w:b w:val="0"/>
          <w:bCs/>
          <w:color w:val="000000"/>
          <w:sz w:val="32"/>
          <w:szCs w:val="32"/>
        </w:rPr>
      </w:pPr>
      <w:r>
        <w:rPr>
          <w:rStyle w:val="15"/>
          <w:rFonts w:hint="eastAsia" w:ascii="仿宋" w:hAnsi="仿宋" w:eastAsia="仿宋"/>
          <w:b w:val="0"/>
          <w:bCs/>
          <w:color w:val="000000"/>
          <w:sz w:val="32"/>
          <w:szCs w:val="32"/>
        </w:rPr>
        <w:t>34.交通运输支出（214）公路养护（06）车辆购置税于公路等基础设施建设支出（01）：指车辆购置税人员安排用于公路等基础设施建设支出。</w:t>
      </w:r>
    </w:p>
    <w:p>
      <w:pPr>
        <w:spacing w:line="600" w:lineRule="exact"/>
        <w:ind w:firstLine="640" w:firstLineChars="200"/>
        <w:rPr>
          <w:rFonts w:ascii="仿宋" w:hAnsi="仿宋" w:eastAsia="仿宋"/>
          <w:b/>
          <w:color w:val="000000"/>
          <w:sz w:val="32"/>
          <w:szCs w:val="32"/>
        </w:rPr>
      </w:pPr>
      <w:r>
        <w:rPr>
          <w:rStyle w:val="15"/>
          <w:rFonts w:hint="eastAsia" w:ascii="仿宋" w:hAnsi="仿宋" w:eastAsia="仿宋"/>
          <w:b w:val="0"/>
          <w:bCs/>
          <w:color w:val="000000"/>
          <w:sz w:val="32"/>
          <w:szCs w:val="32"/>
        </w:rPr>
        <w:t>35.住房保障支出（221）住房改革支出（02）住房公积金（01）：指单位职工住房公积金。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36.基本支出：指为保障机构正常运转、完成日常工作任务而发生的人员支出和公用支出。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37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38.经营支出：指事业单位在专业业务活动及其辅助活动之外开展非独立核算经营活动发生的支出。</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39</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40</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5"/>
          <w:rFonts w:ascii="黑体" w:hAnsi="黑体" w:eastAsia="黑体"/>
          <w:b w:val="0"/>
        </w:rPr>
      </w:pPr>
      <w:bookmarkStart w:id="57" w:name="_Toc15377226"/>
      <w:r>
        <w:rPr>
          <w:rFonts w:ascii="宋体"/>
          <w:b/>
          <w:color w:val="000000"/>
          <w:sz w:val="44"/>
          <w:szCs w:val="44"/>
        </w:rPr>
        <w:br w:type="page"/>
      </w:r>
      <w:bookmarkStart w:id="58" w:name="_Toc15396614"/>
      <w:r>
        <w:rPr>
          <w:rFonts w:hint="eastAsia" w:ascii="黑体" w:hAnsi="黑体" w:eastAsia="黑体"/>
          <w:color w:val="000000"/>
          <w:sz w:val="44"/>
          <w:szCs w:val="44"/>
        </w:rPr>
        <w:t>第</w:t>
      </w:r>
      <w:r>
        <w:rPr>
          <w:rStyle w:val="25"/>
          <w:rFonts w:hint="eastAsia" w:ascii="黑体" w:hAnsi="黑体" w:eastAsia="黑体"/>
          <w:b w:val="0"/>
        </w:rPr>
        <w:t>四部分 附件</w:t>
      </w:r>
      <w:bookmarkEnd w:id="58"/>
    </w:p>
    <w:p>
      <w:pPr>
        <w:spacing w:line="600" w:lineRule="exact"/>
        <w:jc w:val="center"/>
        <w:outlineLvl w:val="0"/>
        <w:rPr>
          <w:rStyle w:val="25"/>
        </w:rPr>
      </w:pPr>
    </w:p>
    <w:p>
      <w:pPr>
        <w:pStyle w:val="4"/>
        <w:rPr>
          <w:rStyle w:val="25"/>
          <w:rFonts w:ascii="仿宋" w:hAnsi="仿宋" w:eastAsia="仿宋"/>
          <w:b w:val="0"/>
          <w:bCs w:val="0"/>
          <w:sz w:val="32"/>
          <w:szCs w:val="32"/>
        </w:rPr>
      </w:pPr>
      <w:bookmarkStart w:id="59" w:name="_Toc15396615"/>
      <w:r>
        <w:rPr>
          <w:rStyle w:val="25"/>
          <w:rFonts w:hint="eastAsia" w:ascii="仿宋" w:hAnsi="仿宋" w:eastAsia="仿宋"/>
          <w:b w:val="0"/>
          <w:bCs w:val="0"/>
          <w:sz w:val="32"/>
          <w:szCs w:val="32"/>
        </w:rPr>
        <w:t>附件1</w:t>
      </w:r>
      <w:bookmarkEnd w:id="59"/>
    </w:p>
    <w:p>
      <w:pPr>
        <w:spacing w:line="600" w:lineRule="exact"/>
        <w:jc w:val="center"/>
        <w:outlineLvl w:val="0"/>
        <w:rPr>
          <w:rFonts w:ascii="黑体" w:hAnsi="黑体" w:eastAsia="黑体" w:cs="方正小标宋简体"/>
          <w:sz w:val="36"/>
          <w:szCs w:val="36"/>
        </w:rPr>
      </w:pPr>
      <w:bookmarkStart w:id="60" w:name="_Toc15396616"/>
      <w:r>
        <w:rPr>
          <w:rFonts w:hint="eastAsia" w:ascii="黑体" w:hAnsi="黑体" w:eastAsia="黑体" w:cs="方正小标宋简体"/>
          <w:sz w:val="36"/>
          <w:szCs w:val="36"/>
        </w:rPr>
        <w:t>草地乡人民政府部门2018年部门整体支出绩效评价报告</w:t>
      </w:r>
      <w:bookmarkEnd w:id="60"/>
    </w:p>
    <w:p>
      <w:pPr>
        <w:spacing w:line="580" w:lineRule="exact"/>
        <w:ind w:firstLine="640" w:firstLineChars="200"/>
        <w:rPr>
          <w:rFonts w:ascii="黑体" w:hAnsi="黑体" w:eastAsia="黑体" w:cs="黑体"/>
          <w:sz w:val="32"/>
          <w:szCs w:val="32"/>
        </w:rPr>
      </w:pPr>
    </w:p>
    <w:p>
      <w:pPr>
        <w:widowControl/>
        <w:jc w:val="left"/>
        <w:rPr>
          <w:rStyle w:val="25"/>
          <w:rFonts w:ascii="仿宋" w:hAnsi="仿宋" w:eastAsia="仿宋"/>
          <w:b w:val="0"/>
          <w:bCs w:val="0"/>
          <w:sz w:val="32"/>
          <w:szCs w:val="32"/>
        </w:rPr>
      </w:pPr>
      <w:bookmarkStart w:id="61" w:name="_Toc15396617"/>
      <w:r>
        <w:rPr>
          <w:rStyle w:val="25"/>
          <w:rFonts w:hint="eastAsia" w:ascii="仿宋" w:hAnsi="仿宋" w:eastAsia="仿宋"/>
          <w:b w:val="0"/>
          <w:bCs w:val="0"/>
          <w:sz w:val="32"/>
          <w:szCs w:val="32"/>
        </w:rPr>
        <w:t>附件2</w:t>
      </w:r>
      <w:bookmarkEnd w:id="61"/>
    </w:p>
    <w:p>
      <w:pPr>
        <w:spacing w:line="580" w:lineRule="exact"/>
        <w:jc w:val="center"/>
        <w:rPr>
          <w:rFonts w:ascii="黑体" w:hAnsi="黑体" w:eastAsia="黑体" w:cs="方正小标宋简体"/>
          <w:sz w:val="44"/>
          <w:szCs w:val="44"/>
        </w:rPr>
      </w:pPr>
      <w:r>
        <w:rPr>
          <w:rFonts w:hint="eastAsia" w:ascii="黑体" w:hAnsi="黑体" w:eastAsia="黑体" w:cs="方正小标宋简体"/>
          <w:sz w:val="44"/>
          <w:szCs w:val="44"/>
        </w:rPr>
        <w:t>2018年项目支出绩效评价报告</w:t>
      </w:r>
    </w:p>
    <w:p>
      <w:pPr>
        <w:spacing w:line="580" w:lineRule="exact"/>
        <w:ind w:firstLine="640" w:firstLineChars="200"/>
        <w:rPr>
          <w:rFonts w:ascii="仿宋_GB2312" w:hAnsi="仿宋_GB2312" w:eastAsia="仿宋_GB2312" w:cs="仿宋_GB2312"/>
          <w:sz w:val="32"/>
          <w:szCs w:val="32"/>
        </w:rPr>
      </w:pPr>
    </w:p>
    <w:p>
      <w:pPr>
        <w:spacing w:line="600" w:lineRule="exact"/>
        <w:ind w:left="315" w:leftChars="150" w:firstLine="3080" w:firstLineChars="700"/>
        <w:outlineLvl w:val="0"/>
        <w:rPr>
          <w:rStyle w:val="25"/>
          <w:rFonts w:ascii="黑体" w:hAnsi="黑体" w:eastAsia="黑体"/>
          <w:b w:val="0"/>
        </w:rPr>
      </w:pPr>
      <w:bookmarkStart w:id="62" w:name="_Toc15396618"/>
    </w:p>
    <w:p>
      <w:pPr>
        <w:spacing w:line="600" w:lineRule="exact"/>
        <w:ind w:left="315" w:leftChars="150" w:firstLine="3080" w:firstLineChars="700"/>
        <w:outlineLvl w:val="0"/>
        <w:rPr>
          <w:rStyle w:val="25"/>
          <w:rFonts w:ascii="黑体" w:hAnsi="黑体" w:eastAsia="黑体"/>
          <w:b w:val="0"/>
        </w:rPr>
      </w:pPr>
    </w:p>
    <w:p>
      <w:pPr>
        <w:spacing w:line="600" w:lineRule="exact"/>
        <w:ind w:left="315" w:leftChars="150" w:firstLine="3080" w:firstLineChars="700"/>
        <w:outlineLvl w:val="0"/>
        <w:rPr>
          <w:rStyle w:val="25"/>
          <w:rFonts w:ascii="黑体" w:hAnsi="黑体" w:eastAsia="黑体"/>
          <w:b w:val="0"/>
        </w:rPr>
      </w:pPr>
    </w:p>
    <w:p>
      <w:pPr>
        <w:spacing w:line="600" w:lineRule="exact"/>
        <w:ind w:left="315" w:leftChars="150" w:firstLine="3080" w:firstLineChars="700"/>
        <w:outlineLvl w:val="0"/>
        <w:rPr>
          <w:rStyle w:val="25"/>
          <w:rFonts w:ascii="黑体" w:hAnsi="黑体" w:eastAsia="黑体"/>
          <w:b w:val="0"/>
        </w:rPr>
      </w:pPr>
    </w:p>
    <w:p>
      <w:pPr>
        <w:spacing w:line="600" w:lineRule="exact"/>
        <w:ind w:left="315" w:leftChars="150" w:firstLine="3080" w:firstLineChars="700"/>
        <w:outlineLvl w:val="0"/>
        <w:rPr>
          <w:rStyle w:val="25"/>
          <w:rFonts w:ascii="黑体" w:hAnsi="黑体" w:eastAsia="黑体"/>
          <w:b w:val="0"/>
        </w:rPr>
      </w:pPr>
    </w:p>
    <w:p>
      <w:pPr>
        <w:spacing w:line="600" w:lineRule="exact"/>
        <w:ind w:left="315" w:leftChars="150" w:firstLine="3080" w:firstLineChars="700"/>
        <w:outlineLvl w:val="0"/>
        <w:rPr>
          <w:rStyle w:val="25"/>
          <w:rFonts w:ascii="黑体" w:hAnsi="黑体" w:eastAsia="黑体"/>
          <w:b w:val="0"/>
        </w:rPr>
      </w:pPr>
    </w:p>
    <w:p>
      <w:pPr>
        <w:spacing w:line="600" w:lineRule="exact"/>
        <w:ind w:left="315" w:leftChars="150" w:firstLine="3080" w:firstLineChars="700"/>
        <w:outlineLvl w:val="0"/>
        <w:rPr>
          <w:rStyle w:val="25"/>
          <w:rFonts w:ascii="黑体" w:hAnsi="黑体" w:eastAsia="黑体"/>
          <w:b w:val="0"/>
        </w:rPr>
      </w:pPr>
    </w:p>
    <w:p>
      <w:pPr>
        <w:spacing w:line="600" w:lineRule="exact"/>
        <w:ind w:left="315" w:leftChars="150" w:firstLine="3080" w:firstLineChars="700"/>
        <w:outlineLvl w:val="0"/>
        <w:rPr>
          <w:rStyle w:val="25"/>
          <w:rFonts w:ascii="黑体" w:hAnsi="黑体" w:eastAsia="黑体"/>
          <w:b w:val="0"/>
        </w:rPr>
      </w:pPr>
    </w:p>
    <w:p>
      <w:pPr>
        <w:spacing w:line="600" w:lineRule="exact"/>
        <w:ind w:left="315" w:leftChars="150" w:firstLine="3080" w:firstLineChars="700"/>
        <w:outlineLvl w:val="0"/>
        <w:rPr>
          <w:rStyle w:val="25"/>
          <w:rFonts w:ascii="黑体" w:hAnsi="黑体" w:eastAsia="黑体"/>
          <w:b w:val="0"/>
        </w:rPr>
      </w:pPr>
    </w:p>
    <w:p>
      <w:pPr>
        <w:spacing w:line="600" w:lineRule="exact"/>
        <w:ind w:left="315" w:leftChars="150" w:firstLine="3080" w:firstLineChars="700"/>
        <w:outlineLvl w:val="0"/>
        <w:rPr>
          <w:rStyle w:val="25"/>
          <w:rFonts w:ascii="黑体" w:hAnsi="黑体" w:eastAsia="黑体"/>
          <w:b w:val="0"/>
        </w:rPr>
      </w:pPr>
    </w:p>
    <w:p>
      <w:pPr>
        <w:spacing w:line="600" w:lineRule="exact"/>
        <w:ind w:left="315" w:leftChars="150" w:firstLine="3080" w:firstLineChars="700"/>
        <w:outlineLvl w:val="0"/>
        <w:rPr>
          <w:rStyle w:val="25"/>
          <w:rFonts w:ascii="黑体" w:hAnsi="黑体" w:eastAsia="黑体"/>
          <w:b w:val="0"/>
        </w:rPr>
      </w:pPr>
    </w:p>
    <w:p>
      <w:pPr>
        <w:spacing w:line="600" w:lineRule="exact"/>
        <w:ind w:left="315" w:leftChars="150" w:firstLine="3080" w:firstLineChars="700"/>
        <w:outlineLvl w:val="0"/>
        <w:rPr>
          <w:rStyle w:val="25"/>
          <w:rFonts w:ascii="黑体" w:hAnsi="黑体" w:eastAsia="黑体"/>
          <w:b w:val="0"/>
        </w:rPr>
      </w:pPr>
    </w:p>
    <w:p>
      <w:pPr>
        <w:spacing w:line="600" w:lineRule="exact"/>
        <w:ind w:left="315" w:leftChars="150" w:firstLine="3080" w:firstLineChars="700"/>
        <w:outlineLvl w:val="0"/>
        <w:rPr>
          <w:rStyle w:val="25"/>
          <w:rFonts w:ascii="黑体" w:hAnsi="黑体" w:eastAsia="黑体"/>
          <w:b w:val="0"/>
        </w:rPr>
      </w:pPr>
    </w:p>
    <w:p>
      <w:pPr>
        <w:spacing w:line="600" w:lineRule="exact"/>
        <w:ind w:left="315" w:leftChars="150" w:firstLine="3080" w:firstLineChars="700"/>
        <w:outlineLvl w:val="0"/>
        <w:rPr>
          <w:rStyle w:val="25"/>
          <w:rFonts w:ascii="黑体" w:hAnsi="黑体" w:eastAsia="黑体"/>
          <w:b w:val="0"/>
        </w:rPr>
      </w:pPr>
    </w:p>
    <w:p>
      <w:pPr>
        <w:spacing w:line="600" w:lineRule="exact"/>
        <w:ind w:left="315" w:leftChars="150" w:firstLine="3080" w:firstLineChars="700"/>
        <w:outlineLvl w:val="0"/>
        <w:rPr>
          <w:rStyle w:val="25"/>
          <w:rFonts w:ascii="黑体" w:hAnsi="黑体" w:eastAsia="黑体"/>
          <w:b w:val="0"/>
        </w:rPr>
      </w:pPr>
    </w:p>
    <w:p>
      <w:pPr>
        <w:spacing w:line="600" w:lineRule="exact"/>
        <w:ind w:left="315" w:leftChars="150" w:firstLine="3080" w:firstLineChars="700"/>
        <w:outlineLvl w:val="0"/>
        <w:rPr>
          <w:rStyle w:val="25"/>
          <w:rFonts w:ascii="黑体" w:hAnsi="黑体" w:eastAsia="黑体"/>
          <w:b w:val="0"/>
        </w:rPr>
      </w:pPr>
      <w:r>
        <w:rPr>
          <w:rStyle w:val="25"/>
          <w:rFonts w:hint="eastAsia" w:ascii="黑体" w:hAnsi="黑体" w:eastAsia="黑体"/>
          <w:b w:val="0"/>
        </w:rPr>
        <w:t>第五部分</w:t>
      </w:r>
    </w:p>
    <w:p>
      <w:pPr>
        <w:spacing w:line="600" w:lineRule="exact"/>
        <w:ind w:left="315" w:leftChars="150"/>
        <w:outlineLvl w:val="0"/>
        <w:rPr>
          <w:rStyle w:val="25"/>
          <w:rFonts w:ascii="仿宋" w:hAnsi="仿宋" w:eastAsia="仿宋" w:cs="仿宋"/>
          <w:b w:val="0"/>
          <w:sz w:val="32"/>
          <w:szCs w:val="32"/>
        </w:rPr>
      </w:pPr>
      <w:r>
        <w:rPr>
          <w:rStyle w:val="25"/>
          <w:rFonts w:hint="eastAsia" w:ascii="黑体" w:hAnsi="黑体" w:eastAsia="黑体"/>
          <w:b w:val="0"/>
        </w:rPr>
        <w:t>附表</w:t>
      </w:r>
      <w:bookmarkEnd w:id="57"/>
      <w:bookmarkEnd w:id="62"/>
    </w:p>
    <w:p>
      <w:pPr>
        <w:spacing w:line="600" w:lineRule="exact"/>
        <w:ind w:left="315" w:leftChars="150"/>
        <w:outlineLvl w:val="0"/>
        <w:rPr>
          <w:rStyle w:val="25"/>
          <w:rFonts w:ascii="仿宋" w:hAnsi="仿宋" w:eastAsia="仿宋" w:cs="仿宋"/>
          <w:b w:val="0"/>
          <w:sz w:val="32"/>
          <w:szCs w:val="32"/>
        </w:rPr>
      </w:pPr>
      <w:r>
        <w:rPr>
          <w:rStyle w:val="25"/>
          <w:rFonts w:hint="eastAsia" w:ascii="仿宋" w:hAnsi="仿宋" w:eastAsia="仿宋" w:cs="仿宋"/>
          <w:b w:val="0"/>
          <w:sz w:val="32"/>
          <w:szCs w:val="32"/>
        </w:rPr>
        <w:t>一、收入支出决算总表</w:t>
      </w:r>
    </w:p>
    <w:p>
      <w:pPr>
        <w:spacing w:line="600" w:lineRule="exact"/>
        <w:ind w:left="315" w:leftChars="150"/>
        <w:outlineLvl w:val="0"/>
        <w:rPr>
          <w:rStyle w:val="25"/>
          <w:rFonts w:ascii="仿宋" w:hAnsi="仿宋" w:eastAsia="仿宋" w:cs="仿宋"/>
          <w:b w:val="0"/>
          <w:sz w:val="32"/>
          <w:szCs w:val="32"/>
        </w:rPr>
      </w:pPr>
      <w:r>
        <w:rPr>
          <w:rStyle w:val="25"/>
          <w:rFonts w:hint="eastAsia" w:ascii="仿宋" w:hAnsi="仿宋" w:eastAsia="仿宋" w:cs="仿宋"/>
          <w:b w:val="0"/>
          <w:sz w:val="32"/>
          <w:szCs w:val="32"/>
        </w:rPr>
        <w:t>二、收入总表</w:t>
      </w:r>
    </w:p>
    <w:p>
      <w:pPr>
        <w:spacing w:line="600" w:lineRule="exact"/>
        <w:ind w:left="315" w:leftChars="150"/>
        <w:outlineLvl w:val="0"/>
        <w:rPr>
          <w:rStyle w:val="25"/>
          <w:rFonts w:ascii="仿宋" w:hAnsi="仿宋" w:eastAsia="仿宋" w:cs="仿宋"/>
          <w:b w:val="0"/>
          <w:sz w:val="32"/>
          <w:szCs w:val="32"/>
        </w:rPr>
      </w:pPr>
      <w:r>
        <w:rPr>
          <w:rStyle w:val="25"/>
          <w:rFonts w:hint="eastAsia" w:ascii="仿宋" w:hAnsi="仿宋" w:eastAsia="仿宋" w:cs="仿宋"/>
          <w:b w:val="0"/>
          <w:sz w:val="32"/>
          <w:szCs w:val="32"/>
        </w:rPr>
        <w:t>三、支出总表</w:t>
      </w:r>
    </w:p>
    <w:p>
      <w:pPr>
        <w:spacing w:line="600" w:lineRule="exact"/>
        <w:ind w:left="315" w:leftChars="150"/>
        <w:outlineLvl w:val="0"/>
        <w:rPr>
          <w:rStyle w:val="25"/>
          <w:rFonts w:ascii="仿宋" w:hAnsi="仿宋" w:eastAsia="仿宋" w:cs="仿宋"/>
          <w:b w:val="0"/>
          <w:sz w:val="32"/>
          <w:szCs w:val="32"/>
        </w:rPr>
      </w:pPr>
      <w:r>
        <w:rPr>
          <w:rStyle w:val="25"/>
          <w:rFonts w:hint="eastAsia" w:ascii="仿宋" w:hAnsi="仿宋" w:eastAsia="仿宋" w:cs="仿宋"/>
          <w:b w:val="0"/>
          <w:sz w:val="32"/>
          <w:szCs w:val="32"/>
        </w:rPr>
        <w:t>四、财政拨款收入支出决算总表</w:t>
      </w:r>
    </w:p>
    <w:p>
      <w:pPr>
        <w:spacing w:line="600" w:lineRule="exact"/>
        <w:ind w:left="315" w:leftChars="150"/>
        <w:outlineLvl w:val="0"/>
        <w:rPr>
          <w:rStyle w:val="25"/>
          <w:rFonts w:ascii="仿宋" w:hAnsi="仿宋" w:eastAsia="仿宋" w:cs="仿宋"/>
          <w:b w:val="0"/>
          <w:sz w:val="32"/>
          <w:szCs w:val="32"/>
        </w:rPr>
      </w:pPr>
      <w:r>
        <w:rPr>
          <w:rStyle w:val="25"/>
          <w:rFonts w:hint="eastAsia" w:ascii="仿宋" w:hAnsi="仿宋" w:eastAsia="仿宋" w:cs="仿宋"/>
          <w:b w:val="0"/>
          <w:sz w:val="32"/>
          <w:szCs w:val="32"/>
        </w:rPr>
        <w:t>五、财政拨款支出决算明细表（政府经济分类科目）</w:t>
      </w:r>
    </w:p>
    <w:p>
      <w:pPr>
        <w:spacing w:line="600" w:lineRule="exact"/>
        <w:ind w:left="315" w:leftChars="150"/>
        <w:outlineLvl w:val="0"/>
        <w:rPr>
          <w:rStyle w:val="25"/>
          <w:rFonts w:ascii="仿宋" w:hAnsi="仿宋" w:eastAsia="仿宋" w:cs="仿宋"/>
          <w:b w:val="0"/>
          <w:sz w:val="32"/>
          <w:szCs w:val="32"/>
        </w:rPr>
      </w:pPr>
      <w:r>
        <w:rPr>
          <w:rStyle w:val="25"/>
          <w:rFonts w:hint="eastAsia" w:ascii="仿宋" w:hAnsi="仿宋" w:eastAsia="仿宋" w:cs="仿宋"/>
          <w:b w:val="0"/>
          <w:sz w:val="32"/>
          <w:szCs w:val="32"/>
        </w:rPr>
        <w:t>六、一般公共预算财政拨款支出决算表</w:t>
      </w:r>
    </w:p>
    <w:p>
      <w:pPr>
        <w:spacing w:line="600" w:lineRule="exact"/>
        <w:ind w:left="315" w:leftChars="150"/>
        <w:outlineLvl w:val="0"/>
        <w:rPr>
          <w:rStyle w:val="25"/>
          <w:rFonts w:ascii="仿宋" w:hAnsi="仿宋" w:eastAsia="仿宋" w:cs="仿宋"/>
          <w:b w:val="0"/>
          <w:sz w:val="32"/>
          <w:szCs w:val="32"/>
        </w:rPr>
      </w:pPr>
      <w:r>
        <w:rPr>
          <w:rStyle w:val="25"/>
          <w:rFonts w:hint="eastAsia" w:ascii="仿宋" w:hAnsi="仿宋" w:eastAsia="仿宋" w:cs="仿宋"/>
          <w:b w:val="0"/>
          <w:sz w:val="32"/>
          <w:szCs w:val="32"/>
        </w:rPr>
        <w:t>七、一般公共预算财政拨款支出决算明细表</w:t>
      </w:r>
    </w:p>
    <w:p>
      <w:pPr>
        <w:spacing w:line="600" w:lineRule="exact"/>
        <w:ind w:left="315" w:leftChars="150"/>
        <w:outlineLvl w:val="0"/>
        <w:rPr>
          <w:rStyle w:val="25"/>
          <w:rFonts w:ascii="仿宋" w:hAnsi="仿宋" w:eastAsia="仿宋" w:cs="仿宋"/>
          <w:b w:val="0"/>
          <w:sz w:val="32"/>
          <w:szCs w:val="32"/>
        </w:rPr>
      </w:pPr>
      <w:r>
        <w:rPr>
          <w:rStyle w:val="25"/>
          <w:rFonts w:hint="eastAsia" w:ascii="仿宋" w:hAnsi="仿宋" w:eastAsia="仿宋" w:cs="仿宋"/>
          <w:b w:val="0"/>
          <w:sz w:val="32"/>
          <w:szCs w:val="32"/>
        </w:rPr>
        <w:t>八、一般公共预算财政拨款基本支出决算表</w:t>
      </w:r>
    </w:p>
    <w:p>
      <w:pPr>
        <w:spacing w:line="600" w:lineRule="exact"/>
        <w:ind w:left="315" w:leftChars="150"/>
        <w:outlineLvl w:val="0"/>
        <w:rPr>
          <w:rStyle w:val="25"/>
          <w:rFonts w:ascii="仿宋" w:hAnsi="仿宋" w:eastAsia="仿宋" w:cs="仿宋"/>
          <w:b w:val="0"/>
          <w:sz w:val="32"/>
          <w:szCs w:val="32"/>
        </w:rPr>
      </w:pPr>
      <w:r>
        <w:rPr>
          <w:rStyle w:val="25"/>
          <w:rFonts w:hint="eastAsia" w:ascii="仿宋" w:hAnsi="仿宋" w:eastAsia="仿宋" w:cs="仿宋"/>
          <w:b w:val="0"/>
          <w:sz w:val="32"/>
          <w:szCs w:val="32"/>
        </w:rPr>
        <w:t>九、一般公共预算财政拨款项目支出决算表</w:t>
      </w:r>
    </w:p>
    <w:p>
      <w:pPr>
        <w:spacing w:line="600" w:lineRule="exact"/>
        <w:ind w:left="315" w:leftChars="150"/>
        <w:outlineLvl w:val="0"/>
        <w:rPr>
          <w:rStyle w:val="25"/>
          <w:rFonts w:ascii="仿宋" w:hAnsi="仿宋" w:eastAsia="仿宋" w:cs="仿宋"/>
          <w:b w:val="0"/>
          <w:sz w:val="32"/>
          <w:szCs w:val="32"/>
        </w:rPr>
      </w:pPr>
      <w:r>
        <w:rPr>
          <w:rStyle w:val="25"/>
          <w:rFonts w:hint="eastAsia" w:ascii="仿宋" w:hAnsi="仿宋" w:eastAsia="仿宋" w:cs="仿宋"/>
          <w:b w:val="0"/>
          <w:sz w:val="32"/>
          <w:szCs w:val="32"/>
        </w:rPr>
        <w:t>十、一般公共预算财政拨款“三公”经费支出决算表</w:t>
      </w:r>
    </w:p>
    <w:p>
      <w:pPr>
        <w:spacing w:line="600" w:lineRule="exact"/>
        <w:ind w:left="315" w:leftChars="150"/>
        <w:outlineLvl w:val="0"/>
        <w:rPr>
          <w:rStyle w:val="25"/>
          <w:rFonts w:ascii="仿宋" w:hAnsi="仿宋" w:eastAsia="仿宋" w:cs="仿宋"/>
          <w:b w:val="0"/>
          <w:sz w:val="32"/>
          <w:szCs w:val="32"/>
        </w:rPr>
      </w:pPr>
      <w:r>
        <w:rPr>
          <w:rStyle w:val="25"/>
          <w:rFonts w:hint="eastAsia" w:ascii="仿宋" w:hAnsi="仿宋" w:eastAsia="仿宋" w:cs="仿宋"/>
          <w:b w:val="0"/>
          <w:sz w:val="32"/>
          <w:szCs w:val="32"/>
        </w:rPr>
        <w:t>十一、政府性基金预算财政拨款收入支出决算表</w:t>
      </w:r>
    </w:p>
    <w:p>
      <w:pPr>
        <w:spacing w:line="600" w:lineRule="exact"/>
        <w:ind w:left="315" w:leftChars="150"/>
        <w:outlineLvl w:val="0"/>
        <w:rPr>
          <w:rStyle w:val="25"/>
          <w:rFonts w:ascii="仿宋" w:hAnsi="仿宋" w:eastAsia="仿宋" w:cs="仿宋"/>
          <w:b w:val="0"/>
          <w:sz w:val="32"/>
          <w:szCs w:val="32"/>
        </w:rPr>
      </w:pPr>
      <w:r>
        <w:rPr>
          <w:rStyle w:val="25"/>
          <w:rFonts w:hint="eastAsia" w:ascii="仿宋" w:hAnsi="仿宋" w:eastAsia="仿宋" w:cs="仿宋"/>
          <w:b w:val="0"/>
          <w:sz w:val="32"/>
          <w:szCs w:val="32"/>
        </w:rPr>
        <w:t>十二、政府性基金预算财政拨款“三公”经费支出决算表</w:t>
      </w:r>
    </w:p>
    <w:p>
      <w:pPr>
        <w:spacing w:line="600" w:lineRule="exact"/>
        <w:ind w:left="315" w:leftChars="150"/>
        <w:outlineLvl w:val="0"/>
        <w:rPr>
          <w:rStyle w:val="25"/>
          <w:rFonts w:ascii="仿宋" w:hAnsi="仿宋" w:eastAsia="仿宋" w:cs="仿宋"/>
          <w:b w:val="0"/>
          <w:sz w:val="32"/>
          <w:szCs w:val="32"/>
        </w:rPr>
      </w:pPr>
      <w:r>
        <w:rPr>
          <w:rStyle w:val="25"/>
          <w:rFonts w:hint="eastAsia" w:ascii="仿宋" w:hAnsi="仿宋" w:eastAsia="仿宋" w:cs="仿宋"/>
          <w:b w:val="0"/>
          <w:sz w:val="32"/>
          <w:szCs w:val="32"/>
        </w:rPr>
        <w:t>十三、国有资本经营预算支出决算表</w:t>
      </w:r>
    </w:p>
    <w:p>
      <w:pPr>
        <w:spacing w:line="600" w:lineRule="exact"/>
        <w:ind w:left="315" w:leftChars="150"/>
        <w:outlineLvl w:val="0"/>
        <w:rPr>
          <w:rStyle w:val="25"/>
          <w:rFonts w:ascii="黑体" w:hAnsi="黑体" w:eastAsia="黑体"/>
          <w:b w:val="0"/>
        </w:rPr>
      </w:pPr>
    </w:p>
    <w:sectPr>
      <w:headerReference r:id="rId3" w:type="default"/>
      <w:footerReference r:id="rId4" w:type="default"/>
      <w:pgSz w:w="11906" w:h="16838"/>
      <w:pgMar w:top="1440" w:right="1179" w:bottom="1270" w:left="1236"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0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oto Sans CJK JP Bold">
    <w:panose1 w:val="020B0800000000000000"/>
    <w:charset w:val="86"/>
    <w:family w:val="auto"/>
    <w:pitch w:val="default"/>
    <w:sig w:usb0="30000003" w:usb1="2BDF3C10" w:usb2="00000016" w:usb3="00000000" w:csb0="602E0107" w:csb1="00000000"/>
  </w:font>
  <w:font w:name="Noto Sans Syriac Eastern">
    <w:panose1 w:val="02040503050306020203"/>
    <w:charset w:val="86"/>
    <w:family w:val="auto"/>
    <w:pitch w:val="default"/>
    <w:sig w:usb0="00000000" w:usb1="00000000" w:usb2="00000080" w:usb3="00000000" w:csb0="203E0161" w:csb1="D7FF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9"/>
          <w:jc w:val="center"/>
        </w:pPr>
        <w:r>
          <w:fldChar w:fldCharType="begin"/>
        </w:r>
        <w:r>
          <w:instrText xml:space="preserve">PAGE   \* MERGEFORMAT</w:instrText>
        </w:r>
        <w:r>
          <w:fldChar w:fldCharType="separate"/>
        </w:r>
        <w:r>
          <w:rPr>
            <w:lang w:val="zh-CN"/>
          </w:rPr>
          <w:t>3</w:t>
        </w:r>
        <w:r>
          <w:fldChar w:fldCharType="end"/>
        </w:r>
      </w:p>
    </w:sdtContent>
  </w:sdt>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1F545E"/>
    <w:multiLevelType w:val="singleLevel"/>
    <w:tmpl w:val="C11F545E"/>
    <w:lvl w:ilvl="0" w:tentative="0">
      <w:start w:val="4"/>
      <w:numFmt w:val="decimal"/>
      <w:lvlText w:val="%1."/>
      <w:lvlJc w:val="left"/>
      <w:pPr>
        <w:tabs>
          <w:tab w:val="left" w:pos="312"/>
        </w:tabs>
      </w:p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5">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abstractNum w:abstractNumId="6">
    <w:nsid w:val="3EEF3A20"/>
    <w:multiLevelType w:val="singleLevel"/>
    <w:tmpl w:val="3EEF3A20"/>
    <w:lvl w:ilvl="0" w:tentative="0">
      <w:start w:val="8"/>
      <w:numFmt w:val="decimal"/>
      <w:lvlText w:val="%1."/>
      <w:lvlJc w:val="left"/>
      <w:pPr>
        <w:tabs>
          <w:tab w:val="left" w:pos="312"/>
        </w:tabs>
      </w:pPr>
    </w:lvl>
  </w:abstractNum>
  <w:abstractNum w:abstractNumId="7">
    <w:nsid w:val="482ED1F5"/>
    <w:multiLevelType w:val="singleLevel"/>
    <w:tmpl w:val="482ED1F5"/>
    <w:lvl w:ilvl="0" w:tentative="0">
      <w:start w:val="1"/>
      <w:numFmt w:val="decimal"/>
      <w:lvlText w:val="%1."/>
      <w:lvlJc w:val="left"/>
      <w:pPr>
        <w:tabs>
          <w:tab w:val="left" w:pos="312"/>
        </w:tabs>
      </w:pPr>
    </w:lvl>
  </w:abstractNum>
  <w:num w:numId="1">
    <w:abstractNumId w:val="4"/>
  </w:num>
  <w:num w:numId="2">
    <w:abstractNumId w:val="7"/>
  </w:num>
  <w:num w:numId="3">
    <w:abstractNumId w:val="6"/>
  </w:num>
  <w:num w:numId="4">
    <w:abstractNumId w:val="1"/>
  </w:num>
  <w:num w:numId="5">
    <w:abstractNumId w:val="5"/>
  </w:num>
  <w:num w:numId="6">
    <w:abstractNumId w:val="3"/>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62B21"/>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6613"/>
    <w:rsid w:val="000E7119"/>
    <w:rsid w:val="00114E9B"/>
    <w:rsid w:val="0014729F"/>
    <w:rsid w:val="00157BAB"/>
    <w:rsid w:val="001654D1"/>
    <w:rsid w:val="0018106D"/>
    <w:rsid w:val="001877A7"/>
    <w:rsid w:val="00191536"/>
    <w:rsid w:val="00196687"/>
    <w:rsid w:val="001C0962"/>
    <w:rsid w:val="001D7531"/>
    <w:rsid w:val="001E737D"/>
    <w:rsid w:val="001F0592"/>
    <w:rsid w:val="001F7506"/>
    <w:rsid w:val="002006CD"/>
    <w:rsid w:val="00202B36"/>
    <w:rsid w:val="00204B7A"/>
    <w:rsid w:val="0021101A"/>
    <w:rsid w:val="00220536"/>
    <w:rsid w:val="00235629"/>
    <w:rsid w:val="00260C38"/>
    <w:rsid w:val="002616C0"/>
    <w:rsid w:val="002662AA"/>
    <w:rsid w:val="00280496"/>
    <w:rsid w:val="00295495"/>
    <w:rsid w:val="002B2613"/>
    <w:rsid w:val="002F1818"/>
    <w:rsid w:val="002F567B"/>
    <w:rsid w:val="003216A9"/>
    <w:rsid w:val="0037013F"/>
    <w:rsid w:val="00380C92"/>
    <w:rsid w:val="003A484F"/>
    <w:rsid w:val="003B0BE0"/>
    <w:rsid w:val="003B0C1B"/>
    <w:rsid w:val="003B688C"/>
    <w:rsid w:val="003C0291"/>
    <w:rsid w:val="003C39AE"/>
    <w:rsid w:val="003C7B60"/>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7481D"/>
    <w:rsid w:val="0058486E"/>
    <w:rsid w:val="005D1C8B"/>
    <w:rsid w:val="005D5CED"/>
    <w:rsid w:val="005F1A4C"/>
    <w:rsid w:val="00605688"/>
    <w:rsid w:val="006070AF"/>
    <w:rsid w:val="00607E6C"/>
    <w:rsid w:val="006101B1"/>
    <w:rsid w:val="00614E44"/>
    <w:rsid w:val="00622830"/>
    <w:rsid w:val="00630AEF"/>
    <w:rsid w:val="006325F8"/>
    <w:rsid w:val="00634C9A"/>
    <w:rsid w:val="006440E4"/>
    <w:rsid w:val="0066343B"/>
    <w:rsid w:val="00664777"/>
    <w:rsid w:val="006748A4"/>
    <w:rsid w:val="00683E73"/>
    <w:rsid w:val="006A3141"/>
    <w:rsid w:val="006A5E34"/>
    <w:rsid w:val="006B2422"/>
    <w:rsid w:val="006B2B9A"/>
    <w:rsid w:val="006C1937"/>
    <w:rsid w:val="006F020C"/>
    <w:rsid w:val="007127B7"/>
    <w:rsid w:val="007416B6"/>
    <w:rsid w:val="00746F48"/>
    <w:rsid w:val="0075404D"/>
    <w:rsid w:val="0076182A"/>
    <w:rsid w:val="00767B7E"/>
    <w:rsid w:val="007770C3"/>
    <w:rsid w:val="00784D24"/>
    <w:rsid w:val="00785FBA"/>
    <w:rsid w:val="00786E4A"/>
    <w:rsid w:val="007875EB"/>
    <w:rsid w:val="0079426B"/>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91760"/>
    <w:rsid w:val="00A93B00"/>
    <w:rsid w:val="00A93C21"/>
    <w:rsid w:val="00AC3C6A"/>
    <w:rsid w:val="00AD5620"/>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77EA6"/>
    <w:rsid w:val="00B81598"/>
    <w:rsid w:val="00B841F1"/>
    <w:rsid w:val="00B944D6"/>
    <w:rsid w:val="00BB4DF0"/>
    <w:rsid w:val="00BC289F"/>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91CBB"/>
    <w:rsid w:val="00CC09B6"/>
    <w:rsid w:val="00CC666F"/>
    <w:rsid w:val="00CD1E3F"/>
    <w:rsid w:val="00CE44F6"/>
    <w:rsid w:val="00CE49DA"/>
    <w:rsid w:val="00CE7B61"/>
    <w:rsid w:val="00D00095"/>
    <w:rsid w:val="00D20620"/>
    <w:rsid w:val="00D26091"/>
    <w:rsid w:val="00D34E7C"/>
    <w:rsid w:val="00D35489"/>
    <w:rsid w:val="00D51276"/>
    <w:rsid w:val="00D7035F"/>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10DB"/>
    <w:rsid w:val="00E568DF"/>
    <w:rsid w:val="00E64269"/>
    <w:rsid w:val="00E82267"/>
    <w:rsid w:val="00EA010F"/>
    <w:rsid w:val="00ED1B63"/>
    <w:rsid w:val="00ED3C1F"/>
    <w:rsid w:val="00ED4085"/>
    <w:rsid w:val="00ED420E"/>
    <w:rsid w:val="00EE2F57"/>
    <w:rsid w:val="00EF4C34"/>
    <w:rsid w:val="00EF77C6"/>
    <w:rsid w:val="00F05438"/>
    <w:rsid w:val="00F1361C"/>
    <w:rsid w:val="00F160C7"/>
    <w:rsid w:val="00F22494"/>
    <w:rsid w:val="00F36D8F"/>
    <w:rsid w:val="00F417B1"/>
    <w:rsid w:val="00F602DF"/>
    <w:rsid w:val="00F81FD9"/>
    <w:rsid w:val="00F841AA"/>
    <w:rsid w:val="00FA23E8"/>
    <w:rsid w:val="00FD3CC1"/>
    <w:rsid w:val="00FF1E02"/>
    <w:rsid w:val="00FF30B4"/>
    <w:rsid w:val="022A48D9"/>
    <w:rsid w:val="03C206E8"/>
    <w:rsid w:val="040B315E"/>
    <w:rsid w:val="10C055FF"/>
    <w:rsid w:val="12DB38E6"/>
    <w:rsid w:val="16BB723D"/>
    <w:rsid w:val="212E3F43"/>
    <w:rsid w:val="240371BF"/>
    <w:rsid w:val="2646672F"/>
    <w:rsid w:val="26C8411E"/>
    <w:rsid w:val="29FD04D3"/>
    <w:rsid w:val="2E030788"/>
    <w:rsid w:val="319F7F4E"/>
    <w:rsid w:val="3FE14F4B"/>
    <w:rsid w:val="45FE2927"/>
    <w:rsid w:val="4A041D9D"/>
    <w:rsid w:val="4C3E0E07"/>
    <w:rsid w:val="514A2AFE"/>
    <w:rsid w:val="53323749"/>
    <w:rsid w:val="55440ED1"/>
    <w:rsid w:val="583D370D"/>
    <w:rsid w:val="5B5136E6"/>
    <w:rsid w:val="5D586152"/>
    <w:rsid w:val="616D1A3C"/>
    <w:rsid w:val="6B1136AD"/>
    <w:rsid w:val="6E2C316A"/>
    <w:rsid w:val="6E6F101E"/>
    <w:rsid w:val="6F7F92FC"/>
    <w:rsid w:val="74FB54E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Normal Indent"/>
    <w:unhideWhenUsed/>
    <w:qFormat/>
    <w:uiPriority w:val="99"/>
    <w:pPr>
      <w:ind w:firstLine="420"/>
    </w:pPr>
    <w:rPr>
      <w:rFonts w:ascii="Times New Roman" w:hAnsi="Times New Roman" w:eastAsia="宋体" w:cs="Times New Roman"/>
      <w:sz w:val="21"/>
      <w:szCs w:val="22"/>
      <w:lang w:val="en-US" w:eastAsia="zh-CN" w:bidi="ar-SA"/>
    </w:rPr>
  </w:style>
  <w:style w:type="paragraph" w:styleId="6">
    <w:name w:val="Body Text"/>
    <w:basedOn w:val="1"/>
    <w:link w:val="22"/>
    <w:qFormat/>
    <w:uiPriority w:val="99"/>
    <w:pPr>
      <w:spacing w:beforeLines="30"/>
    </w:pPr>
    <w:rPr>
      <w:rFonts w:ascii="仿宋_GB2312" w:eastAsia="仿宋_GB2312"/>
      <w:kern w:val="0"/>
      <w:sz w:val="30"/>
    </w:r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28"/>
    <w:semiHidden/>
    <w:unhideWhenUsed/>
    <w:qFormat/>
    <w:uiPriority w:val="99"/>
    <w:rPr>
      <w:sz w:val="18"/>
      <w:szCs w:val="18"/>
    </w:rPr>
  </w:style>
  <w:style w:type="paragraph" w:styleId="9">
    <w:name w:val="footer"/>
    <w:basedOn w:val="1"/>
    <w:link w:val="20"/>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1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character" w:styleId="15">
    <w:name w:val="Strong"/>
    <w:basedOn w:val="14"/>
    <w:qFormat/>
    <w:uiPriority w:val="99"/>
    <w:rPr>
      <w:b/>
    </w:rPr>
  </w:style>
  <w:style w:type="character" w:styleId="16">
    <w:name w:val="Hyperlink"/>
    <w:basedOn w:val="14"/>
    <w:unhideWhenUsed/>
    <w:qFormat/>
    <w:uiPriority w:val="99"/>
    <w:rPr>
      <w:color w:val="0000FF" w:themeColor="hyperlink"/>
      <w:u w:val="single"/>
      <w14:textFill>
        <w14:solidFill>
          <w14:schemeClr w14:val="hlink"/>
        </w14:solidFill>
      </w14:textFill>
    </w:rPr>
  </w:style>
  <w:style w:type="character" w:customStyle="1" w:styleId="17">
    <w:name w:val="Header Char"/>
    <w:basedOn w:val="14"/>
    <w:semiHidden/>
    <w:qFormat/>
    <w:uiPriority w:val="99"/>
    <w:rPr>
      <w:rFonts w:ascii="Times New Roman" w:hAnsi="Times New Roman"/>
      <w:sz w:val="18"/>
      <w:szCs w:val="18"/>
    </w:rPr>
  </w:style>
  <w:style w:type="character" w:customStyle="1" w:styleId="18">
    <w:name w:val="页眉 Char"/>
    <w:link w:val="10"/>
    <w:semiHidden/>
    <w:qFormat/>
    <w:locked/>
    <w:uiPriority w:val="99"/>
    <w:rPr>
      <w:sz w:val="18"/>
    </w:rPr>
  </w:style>
  <w:style w:type="character" w:customStyle="1" w:styleId="19">
    <w:name w:val="Footer Char"/>
    <w:basedOn w:val="14"/>
    <w:semiHidden/>
    <w:qFormat/>
    <w:uiPriority w:val="99"/>
    <w:rPr>
      <w:rFonts w:ascii="Times New Roman" w:hAnsi="Times New Roman"/>
      <w:sz w:val="18"/>
      <w:szCs w:val="18"/>
    </w:rPr>
  </w:style>
  <w:style w:type="character" w:customStyle="1" w:styleId="20">
    <w:name w:val="页脚 Char"/>
    <w:link w:val="9"/>
    <w:qFormat/>
    <w:locked/>
    <w:uiPriority w:val="99"/>
    <w:rPr>
      <w:sz w:val="18"/>
    </w:rPr>
  </w:style>
  <w:style w:type="character" w:customStyle="1" w:styleId="21">
    <w:name w:val="Body Text Char"/>
    <w:basedOn w:val="14"/>
    <w:semiHidden/>
    <w:qFormat/>
    <w:uiPriority w:val="99"/>
    <w:rPr>
      <w:rFonts w:ascii="Times New Roman" w:hAnsi="Times New Roman"/>
      <w:szCs w:val="24"/>
    </w:rPr>
  </w:style>
  <w:style w:type="character" w:customStyle="1" w:styleId="22">
    <w:name w:val="正文文本 Char"/>
    <w:link w:val="6"/>
    <w:qFormat/>
    <w:locked/>
    <w:uiPriority w:val="99"/>
    <w:rPr>
      <w:rFonts w:ascii="仿宋_GB2312" w:hAnsi="Times New Roman" w:eastAsia="仿宋_GB2312"/>
      <w:sz w:val="24"/>
    </w:rPr>
  </w:style>
  <w:style w:type="paragraph" w:customStyle="1" w:styleId="2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4">
    <w:name w:val="List Paragraph"/>
    <w:basedOn w:val="1"/>
    <w:qFormat/>
    <w:uiPriority w:val="34"/>
    <w:pPr>
      <w:ind w:firstLine="420" w:firstLineChars="200"/>
    </w:pPr>
  </w:style>
  <w:style w:type="character" w:customStyle="1" w:styleId="25">
    <w:name w:val="标题 1 Char"/>
    <w:basedOn w:val="14"/>
    <w:link w:val="3"/>
    <w:qFormat/>
    <w:uiPriority w:val="9"/>
    <w:rPr>
      <w:rFonts w:ascii="Times New Roman" w:hAnsi="Times New Roman"/>
      <w:b/>
      <w:bCs/>
      <w:kern w:val="44"/>
      <w:sz w:val="44"/>
      <w:szCs w:val="44"/>
    </w:rPr>
  </w:style>
  <w:style w:type="character" w:customStyle="1" w:styleId="26">
    <w:name w:val="标题 2 Char"/>
    <w:basedOn w:val="14"/>
    <w:link w:val="4"/>
    <w:qFormat/>
    <w:uiPriority w:val="9"/>
    <w:rPr>
      <w:rFonts w:asciiTheme="majorHAnsi" w:hAnsiTheme="majorHAnsi" w:eastAsiaTheme="majorEastAsia" w:cstheme="majorBidi"/>
      <w:b/>
      <w:bCs/>
      <w:kern w:val="2"/>
      <w:sz w:val="32"/>
      <w:szCs w:val="32"/>
    </w:rPr>
  </w:style>
  <w:style w:type="paragraph" w:customStyle="1" w:styleId="27">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8">
    <w:name w:val="批注框文本 Char"/>
    <w:basedOn w:val="14"/>
    <w:link w:val="8"/>
    <w:semiHidden/>
    <w:qFormat/>
    <w:uiPriority w:val="99"/>
    <w:rPr>
      <w:rFonts w:ascii="Times New Roman" w:hAnsi="Times New Roman"/>
      <w:kern w:val="2"/>
      <w:sz w:val="18"/>
      <w:szCs w:val="18"/>
    </w:rPr>
  </w:style>
  <w:style w:type="character" w:customStyle="1" w:styleId="29">
    <w:name w:val="标题 3 Char"/>
    <w:basedOn w:val="14"/>
    <w:link w:val="5"/>
    <w:qFormat/>
    <w:uiPriority w:val="9"/>
    <w:rPr>
      <w:rFonts w:ascii="Times New Roman" w:hAnsi="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Pages>
  <Words>2148</Words>
  <Characters>12246</Characters>
  <Lines>102</Lines>
  <Paragraphs>28</Paragraphs>
  <TotalTime>4</TotalTime>
  <ScaleCrop>false</ScaleCrop>
  <LinksUpToDate>false</LinksUpToDate>
  <CharactersWithSpaces>14366</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2019-08-01T09:14:00Z</dcterms:created>
  <dc:creator>张彬茜</dc:creator>
  <cp:lastModifiedBy>user</cp:lastModifiedBy>
  <cp:lastPrinted>2019-08-01T08:48:00Z</cp:lastPrinted>
  <dcterms:modified xsi:type="dcterms:W3CDTF">2022-09-19T16:49:22Z</dcterms:modified>
  <dc:title>四川省***</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ies>
</file>