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left"/>
        <w:outlineLvl w:val="0"/>
        <w:rPr>
          <w:rFonts w:ascii="方正小标宋简体" w:hAnsi="宋体" w:eastAsia="方正小标宋简体"/>
          <w:szCs w:val="21"/>
        </w:rPr>
      </w:pPr>
      <w:bookmarkStart w:id="0"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8441"/>
      <w:bookmarkStart w:id="2" w:name="_Toc25955"/>
      <w:bookmarkStart w:id="3" w:name="_Toc15396475"/>
      <w:bookmarkStart w:id="4" w:name="_Toc15396597"/>
      <w:bookmarkStart w:id="5" w:name="_Toc15377425"/>
      <w:bookmarkStart w:id="6" w:name="_Toc15377193"/>
      <w:bookmarkStart w:id="7" w:name="_Toc27846"/>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bookmarkEnd w:id="6"/>
      <w:bookmarkEnd w:id="7"/>
      <w:bookmarkStart w:id="107" w:name="_GoBack"/>
      <w:bookmarkEnd w:id="107"/>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8" w:name="_Toc11874"/>
      <w:bookmarkStart w:id="9" w:name="_Toc7215"/>
      <w:bookmarkStart w:id="10" w:name="_Toc15378442"/>
      <w:bookmarkStart w:id="11" w:name="_Toc15396476"/>
      <w:bookmarkStart w:id="12" w:name="_Toc15377426"/>
      <w:bookmarkStart w:id="13" w:name="_Toc15377194"/>
      <w:bookmarkStart w:id="14" w:name="_Toc15396598"/>
      <w:r>
        <w:rPr>
          <w:rFonts w:hint="eastAsia" w:ascii="方正小标宋简体" w:hAnsi="方正小标宋简体" w:eastAsia="方正小标宋简体" w:cs="方正小标宋简体"/>
          <w:sz w:val="72"/>
          <w:szCs w:val="72"/>
        </w:rPr>
        <w:t>四川省</w:t>
      </w:r>
      <w:bookmarkEnd w:id="0"/>
      <w:bookmarkStart w:id="15" w:name="_Toc15306268"/>
      <w:r>
        <w:rPr>
          <w:rFonts w:hint="eastAsia" w:ascii="方正小标宋简体" w:hAnsi="方正小标宋简体" w:eastAsia="方正小标宋简体" w:cs="方正小标宋简体"/>
          <w:sz w:val="72"/>
          <w:szCs w:val="72"/>
          <w:lang w:eastAsia="zh-CN"/>
        </w:rPr>
        <w:t>阿坝州九寨沟县草地乡人民政府</w:t>
      </w:r>
      <w:r>
        <w:rPr>
          <w:rFonts w:hint="eastAsia" w:ascii="方正小标宋简体" w:hAnsi="方正小标宋简体" w:eastAsia="方正小标宋简体" w:cs="方正小标宋简体"/>
          <w:sz w:val="72"/>
          <w:szCs w:val="72"/>
        </w:rPr>
        <w:t>单位决算</w:t>
      </w:r>
      <w:bookmarkEnd w:id="8"/>
      <w:bookmarkEnd w:id="9"/>
      <w:bookmarkEnd w:id="10"/>
      <w:bookmarkEnd w:id="11"/>
      <w:bookmarkEnd w:id="12"/>
      <w:bookmarkEnd w:id="13"/>
      <w:bookmarkEnd w:id="14"/>
      <w:bookmarkEnd w:id="15"/>
    </w:p>
    <w:p>
      <w:pPr>
        <w:widowControl/>
        <w:jc w:val="center"/>
        <w:rPr>
          <w:rFonts w:hint="eastAsia" w:ascii="黑体" w:hAnsi="黑体" w:eastAsia="黑体"/>
          <w:sz w:val="48"/>
          <w:szCs w:val="48"/>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6"/>
        <w:tabs>
          <w:tab w:val="right" w:leader="dot" w:pos="8296"/>
        </w:tabs>
      </w:pPr>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月</w:t>
      </w:r>
      <w:r>
        <w:rPr>
          <w:rFonts w:hint="eastAsia"/>
          <w:lang w:val="en-US" w:eastAsia="zh-CN"/>
        </w:rPr>
        <w:t>15</w:t>
      </w:r>
      <w:r>
        <w:rPr>
          <w:rFonts w:hint="eastAsia"/>
        </w:rPr>
        <w:t>日</w:t>
      </w:r>
    </w:p>
    <w:p>
      <w:pPr>
        <w:pStyle w:val="16"/>
        <w:tabs>
          <w:tab w:val="right" w:leader="dot" w:pos="8306"/>
        </w:tabs>
        <w:rPr>
          <w:rFonts w:ascii="Times New Roman" w:hAnsi="Times New Roman" w:eastAsia="宋体" w:cs="Times New Roman"/>
          <w:kern w:val="2"/>
          <w:szCs w:val="24"/>
          <w:lang w:val="en-US" w:eastAsia="zh-CN" w:bidi="ar-SA"/>
        </w:rPr>
      </w:pPr>
      <w:r>
        <w:fldChar w:fldCharType="begin"/>
      </w:r>
      <w:r>
        <w:instrText xml:space="preserve">TOC \o "1-3" \h \u </w:instrText>
      </w:r>
      <w:r>
        <w:fldChar w:fldCharType="separate"/>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_Toc4711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24"/>
          <w:lang w:val="en-US" w:eastAsia="zh-CN" w:bidi="ar-SA"/>
        </w:rPr>
        <w:t>第一部分 单位</w:t>
      </w:r>
      <w:r>
        <w:rPr>
          <w:rFonts w:hint="eastAsia" w:ascii="黑体" w:hAnsi="黑体" w:eastAsia="黑体" w:cs="Times New Roman"/>
          <w:bCs w:val="0"/>
          <w:kern w:val="2"/>
          <w:szCs w:val="24"/>
          <w:lang w:val="en-US" w:eastAsia="zh-CN" w:bidi="ar-SA"/>
        </w:rPr>
        <w:t>概况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_Toc4711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_Toc25464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eastAsia" w:ascii="黑体" w:hAnsi="黑体" w:eastAsia="黑体" w:cstheme="majorBidi"/>
          <w:bCs w:val="0"/>
          <w:kern w:val="2"/>
          <w:szCs w:val="32"/>
          <w:lang w:val="en-US" w:eastAsia="zh-CN" w:bidi="ar-SA"/>
        </w:rPr>
        <w:t xml:space="preserve">、 </w:t>
      </w:r>
      <w:r>
        <w:rPr>
          <w:rFonts w:hint="eastAsia" w:ascii="黑体" w:hAnsi="黑体" w:eastAsia="黑体" w:cs="Times New Roman"/>
          <w:bCs w:val="0"/>
          <w:kern w:val="2"/>
          <w:szCs w:val="24"/>
          <w:lang w:val="en-US" w:eastAsia="zh-CN" w:bidi="ar-SA"/>
        </w:rPr>
        <w:t>主要职责</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_Toc25464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_Toc20945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eastAsia" w:ascii="黑体" w:hAnsi="黑体" w:eastAsia="黑体" w:cstheme="majorBidi"/>
          <w:bCs w:val="0"/>
          <w:kern w:val="2"/>
          <w:szCs w:val="32"/>
          <w:lang w:val="en-US" w:eastAsia="zh-CN" w:bidi="ar-SA"/>
        </w:rPr>
        <w:t xml:space="preserve">、 </w:t>
      </w:r>
      <w:r>
        <w:rPr>
          <w:rFonts w:hint="eastAsia" w:ascii="黑体" w:hAnsi="黑体" w:eastAsia="黑体" w:cs="Times New Roman"/>
          <w:bCs w:val="0"/>
          <w:kern w:val="2"/>
          <w:szCs w:val="24"/>
          <w:lang w:val="en-US" w:eastAsia="zh-CN" w:bidi="ar-SA"/>
        </w:rPr>
        <w:t>机构设置</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_Toc20945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val="0"/>
          <w:kern w:val="2"/>
          <w:szCs w:val="32"/>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_Toc5972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24"/>
          <w:lang w:val="en-US" w:eastAsia="zh-CN" w:bidi="ar-SA"/>
        </w:rPr>
        <w:t>第二部分 2023年度</w:t>
      </w:r>
      <w:r>
        <w:rPr>
          <w:rFonts w:hint="eastAsia" w:ascii="黑体" w:hAnsi="黑体" w:eastAsia="黑体" w:cs="Times New Roman"/>
          <w:bCs/>
          <w:kern w:val="2"/>
          <w:szCs w:val="24"/>
          <w:lang w:val="en-US" w:eastAsia="zh-CN" w:bidi="ar-SA"/>
        </w:rPr>
        <w:t>单位决算情况说明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_Toc5972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_Toc13714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_Toc13714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_Toc27953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收</w:t>
      </w:r>
      <w:r>
        <w:rPr>
          <w:rFonts w:hint="eastAsia" w:ascii="黑体" w:hAnsi="黑体" w:eastAsia="黑体" w:cs="Times New Roman"/>
          <w:kern w:val="2"/>
          <w:szCs w:val="24"/>
          <w:lang w:val="en-US" w:eastAsia="zh-CN" w:bidi="ar-SA"/>
        </w:rPr>
        <w:t>入决算情况说明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_Toc27953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_Toc13116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三</w:t>
      </w:r>
      <w:r>
        <w:rPr>
          <w:rFonts w:hint="default" w:ascii="黑体" w:hAnsi="黑体" w:eastAsia="黑体" w:cstheme="majorBidi"/>
          <w:bCs/>
          <w:kern w:val="2"/>
          <w:szCs w:val="32"/>
          <w:lang w:val="en-US" w:eastAsia="zh-CN" w:bidi="ar-SA"/>
        </w:rPr>
        <w:t xml:space="preserve">、 </w:t>
      </w:r>
      <w:r>
        <w:rPr>
          <w:rFonts w:hint="eastAsia" w:ascii="黑体" w:hAnsi="黑体" w:eastAsia="黑体" w:cs="Times New Roman"/>
          <w:kern w:val="2"/>
          <w:szCs w:val="32"/>
          <w:lang w:val="en-US" w:eastAsia="zh-CN" w:bidi="ar-SA"/>
        </w:rPr>
        <w:t>支</w:t>
      </w:r>
      <w:r>
        <w:rPr>
          <w:rFonts w:hint="eastAsia" w:ascii="黑体" w:hAnsi="黑体" w:eastAsia="黑体" w:cs="Times New Roman"/>
          <w:kern w:val="2"/>
          <w:szCs w:val="24"/>
          <w:lang w:val="en-US" w:eastAsia="zh-CN" w:bidi="ar-SA"/>
        </w:rPr>
        <w:t>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_Toc13116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hint="default"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_Toc28308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32"/>
          <w:lang w:val="en-US" w:eastAsia="zh-CN" w:bidi="ar-SA"/>
        </w:rPr>
        <w:t>四、财</w:t>
      </w:r>
      <w:r>
        <w:rPr>
          <w:rFonts w:hint="eastAsia" w:ascii="黑体" w:hAnsi="黑体" w:eastAsia="黑体" w:cs="Times New Roman"/>
          <w:kern w:val="2"/>
          <w:szCs w:val="24"/>
          <w:lang w:val="en-US" w:eastAsia="zh-CN" w:bidi="ar-SA"/>
        </w:rPr>
        <w:t>政拨款收入支出决算总体情况说明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_Toc28308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_Toc22415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32"/>
          <w:lang w:val="en-US" w:eastAsia="zh-CN" w:bidi="ar-SA"/>
        </w:rPr>
        <w:t>五、一</w:t>
      </w:r>
      <w:r>
        <w:rPr>
          <w:rFonts w:hint="eastAsia" w:ascii="黑体" w:hAnsi="黑体" w:eastAsia="黑体" w:cs="Times New Roman"/>
          <w:kern w:val="2"/>
          <w:szCs w:val="24"/>
          <w:lang w:val="en-US" w:eastAsia="zh-CN" w:bidi="ar-SA"/>
        </w:rPr>
        <w:t>般公共预算财政拨款支出决算情况说明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_Toc22415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_Toc16713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（一）一般公共预算财政拨款支出决算总体情况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_Toc16713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_Toc29961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（二）一般公共预算财政拨款支出决算结构情况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_Toc29961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_Toc10797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（三）一般公共预算财政拨款支出决算具体情况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_Toc10797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6</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_Toc28681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六、</w:t>
      </w:r>
      <w:r>
        <w:rPr>
          <w:rFonts w:hint="eastAsia" w:ascii="黑体" w:hAnsi="黑体" w:eastAsia="黑体" w:cs="Times New Roman"/>
          <w:kern w:val="2"/>
          <w:szCs w:val="32"/>
          <w:lang w:val="en-US" w:eastAsia="zh-CN" w:bidi="ar-SA"/>
        </w:rPr>
        <w:t>一</w:t>
      </w:r>
      <w:r>
        <w:rPr>
          <w:rFonts w:hint="eastAsia" w:ascii="黑体" w:hAnsi="黑体" w:eastAsia="黑体" w:cs="Times New Roman"/>
          <w:kern w:val="2"/>
          <w:szCs w:val="24"/>
          <w:lang w:val="en-US" w:eastAsia="zh-CN" w:bidi="ar-SA"/>
        </w:rPr>
        <w:t>般公共预算财政拨款基本支出决算情况说明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_Toc28681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_Toc11088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七、</w:t>
      </w:r>
      <w:r>
        <w:rPr>
          <w:rFonts w:hint="eastAsia" w:ascii="黑体" w:hAnsi="黑体" w:eastAsia="黑体" w:cs="Times New Roman"/>
          <w:kern w:val="2"/>
          <w:szCs w:val="24"/>
          <w:lang w:val="en-US" w:eastAsia="zh-CN" w:bidi="ar-SA"/>
        </w:rPr>
        <w:t>财政拨款“三公”经费支出决算情况说明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_Toc11088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_Toc23773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（一）“三公”经费财政拨款支出决算总体情况说明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_Toc23773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_Toc16444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（二）“三公”经费财政拨款支出决算具体情况说明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_Toc16444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9</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_Toc1914 </w:instrText>
      </w:r>
      <w:r>
        <w:rPr>
          <w:rFonts w:ascii="Times New Roman" w:hAnsi="Times New Roman" w:eastAsia="宋体" w:cs="Times New Roman"/>
          <w:kern w:val="2"/>
          <w:szCs w:val="24"/>
          <w:lang w:val="en-US" w:eastAsia="zh-CN" w:bidi="ar-SA"/>
        </w:rPr>
        <w:fldChar w:fldCharType="separate"/>
      </w:r>
      <w:r>
        <w:rPr>
          <w:rFonts w:hint="eastAsia" w:ascii="黑体" w:hAnsi="Times New Roman" w:eastAsia="黑体" w:cs="Times New Roman"/>
          <w:kern w:val="2"/>
          <w:szCs w:val="32"/>
          <w:lang w:val="en-US" w:eastAsia="zh-CN" w:bidi="ar-SA"/>
        </w:rPr>
        <w:t>八、</w:t>
      </w:r>
      <w:r>
        <w:rPr>
          <w:rFonts w:hint="eastAsia" w:ascii="黑体" w:hAnsi="黑体" w:eastAsia="黑体" w:cs="Times New Roman"/>
          <w:kern w:val="2"/>
          <w:szCs w:val="24"/>
          <w:lang w:val="en-US" w:eastAsia="zh-CN" w:bidi="ar-SA"/>
        </w:rPr>
        <w:t>政府性基金预算支出决算情况说明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_Toc1914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_Toc4452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九</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国有资本经营预算支出决算情况说明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_Toc4452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_Toc31145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黑体" w:hAnsi="黑体" w:eastAsia="黑体" w:cstheme="majorBidi"/>
          <w:bCs/>
          <w:kern w:val="2"/>
          <w:szCs w:val="32"/>
          <w:lang w:val="en-US" w:eastAsia="zh-CN" w:bidi="ar-SA"/>
        </w:rPr>
        <w:t xml:space="preserve">、 </w:t>
      </w:r>
      <w:r>
        <w:rPr>
          <w:rFonts w:hint="eastAsia" w:ascii="黑体" w:hAnsi="黑体" w:eastAsia="黑体" w:cs="Times New Roman"/>
          <w:kern w:val="2"/>
          <w:szCs w:val="24"/>
          <w:lang w:val="en-US" w:eastAsia="zh-CN" w:bidi="ar-SA"/>
        </w:rPr>
        <w:t>其他重要事项的情况说明</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_Toc31145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hint="eastAsia" w:ascii="黑体" w:hAnsi="黑体" w:eastAsia="黑体" w:cstheme="majorBidi"/>
          <w:bCs/>
          <w:kern w:val="2"/>
          <w:szCs w:val="32"/>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（一）机关运行经费支出情况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_Toc31729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（二）政府采购支出情况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_Toc31729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_Toc13804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（三）国有资产占有使用情况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_Toc13804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11</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0"/>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_Toc11913 </w:instrText>
      </w:r>
      <w:r>
        <w:rPr>
          <w:rFonts w:ascii="Times New Roman" w:hAnsi="Times New Roman" w:eastAsia="宋体" w:cs="Times New Roman"/>
          <w:kern w:val="2"/>
          <w:szCs w:val="24"/>
          <w:lang w:val="en-US" w:eastAsia="zh-CN" w:bidi="ar-SA"/>
        </w:rPr>
        <w:fldChar w:fldCharType="separate"/>
      </w:r>
      <w:r>
        <w:rPr>
          <w:rFonts w:hint="eastAsia" w:ascii="仿宋" w:hAnsi="仿宋" w:eastAsia="仿宋" w:cs="Times New Roman"/>
          <w:kern w:val="2"/>
          <w:szCs w:val="32"/>
          <w:lang w:val="en-US" w:eastAsia="zh-CN" w:bidi="ar-SA"/>
        </w:rPr>
        <w:t>（四）预算绩效管理情况</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_Toc11913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12</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_Toc309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第</w:t>
      </w:r>
      <w:r>
        <w:rPr>
          <w:rFonts w:hint="eastAsia" w:ascii="黑体" w:hAnsi="黑体" w:eastAsia="黑体" w:cs="黑体"/>
          <w:bCs/>
          <w:kern w:val="44"/>
          <w:szCs w:val="44"/>
          <w:lang w:val="en-US" w:eastAsia="zh-CN" w:bidi="ar-SA"/>
        </w:rPr>
        <w:t xml:space="preserve">三部分 </w:t>
      </w:r>
      <w:r>
        <w:rPr>
          <w:rFonts w:hint="eastAsia" w:ascii="黑体" w:hAnsi="黑体" w:eastAsia="黑体" w:cs="Times New Roman"/>
          <w:kern w:val="2"/>
          <w:szCs w:val="44"/>
          <w:lang w:val="en-US" w:eastAsia="zh-CN" w:bidi="ar-SA"/>
        </w:rPr>
        <w:t>名</w:t>
      </w:r>
      <w:r>
        <w:rPr>
          <w:rFonts w:hint="eastAsia" w:ascii="黑体" w:hAnsi="黑体" w:eastAsia="黑体" w:cs="Times New Roman"/>
          <w:kern w:val="2"/>
          <w:szCs w:val="24"/>
          <w:lang w:val="en-US" w:eastAsia="zh-CN" w:bidi="ar-SA"/>
        </w:rPr>
        <w:t>词解释</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_Toc309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13</w:t>
      </w:r>
      <w:r>
        <w:rPr>
          <w:rFonts w:ascii="Times New Roman" w:hAnsi="Times New Roman" w:eastAsia="宋体" w:cs="Times New Roman"/>
          <w:kern w:val="2"/>
          <w:szCs w:val="24"/>
          <w:lang w:val="en-US" w:eastAsia="zh-CN" w:bidi="ar-SA"/>
        </w:rPr>
        <w:fldChar w:fldCharType="end"/>
      </w:r>
      <w:r>
        <w:rPr>
          <w:rFonts w:hint="eastAsia" w:ascii="黑体" w:hAnsi="黑体" w:eastAsia="黑体" w:cs="黑体"/>
          <w:bCs/>
          <w:kern w:val="44"/>
          <w:szCs w:val="4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_Toc787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44"/>
          <w:lang w:val="en-US" w:eastAsia="zh-CN" w:bidi="ar-SA"/>
        </w:rPr>
        <w:t>第</w:t>
      </w:r>
      <w:r>
        <w:rPr>
          <w:rFonts w:hint="eastAsia" w:ascii="黑体" w:hAnsi="黑体" w:eastAsia="黑体" w:cs="Times New Roman"/>
          <w:kern w:val="2"/>
          <w:szCs w:val="24"/>
          <w:lang w:val="en-US" w:eastAsia="zh-CN" w:bidi="ar-SA"/>
        </w:rPr>
        <w:t>四部分 附件</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_Toc787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17</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6"/>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_Toc16777 </w:instrText>
      </w:r>
      <w:r>
        <w:rPr>
          <w:rFonts w:ascii="Times New Roman" w:hAnsi="Times New Roman" w:eastAsia="宋体" w:cs="Times New Roman"/>
          <w:kern w:val="2"/>
          <w:szCs w:val="24"/>
          <w:lang w:val="en-US" w:eastAsia="zh-CN" w:bidi="ar-SA"/>
        </w:rPr>
        <w:fldChar w:fldCharType="separate"/>
      </w:r>
      <w:r>
        <w:rPr>
          <w:rFonts w:hint="eastAsia" w:ascii="黑体" w:hAnsi="黑体" w:eastAsia="黑体" w:cs="Times New Roman"/>
          <w:kern w:val="2"/>
          <w:szCs w:val="44"/>
          <w:lang w:val="en-US" w:eastAsia="zh-CN" w:bidi="ar-SA"/>
        </w:rPr>
        <w:t>第</w:t>
      </w:r>
      <w:r>
        <w:rPr>
          <w:rFonts w:hint="eastAsia" w:ascii="黑体" w:hAnsi="黑体" w:eastAsia="黑体" w:cs="Times New Roman"/>
          <w:kern w:val="2"/>
          <w:szCs w:val="24"/>
          <w:lang w:val="en-US" w:eastAsia="zh-CN" w:bidi="ar-SA"/>
        </w:rPr>
        <w:t>五部分 附表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_Toc16777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40</w:t>
      </w:r>
      <w:r>
        <w:rPr>
          <w:rFonts w:ascii="Times New Roman" w:hAnsi="Times New Roman" w:eastAsia="宋体" w:cs="Times New Roman"/>
          <w:kern w:val="2"/>
          <w:szCs w:val="24"/>
          <w:lang w:val="en-US" w:eastAsia="zh-CN" w:bidi="ar-SA"/>
        </w:rPr>
        <w:fldChar w:fldCharType="end"/>
      </w:r>
      <w:r>
        <w:rPr>
          <w:rFonts w:ascii="Times New Roman" w:hAnsi="Times New Roman" w:eastAsia="宋体" w:cs="Times New Roman"/>
          <w:kern w:val="2"/>
          <w:szCs w:val="24"/>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_Toc25837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一</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收</w:t>
      </w:r>
      <w:r>
        <w:rPr>
          <w:rFonts w:hint="eastAsia" w:ascii="仿宋" w:hAnsi="仿宋" w:eastAsia="仿宋" w:cs="Times New Roman"/>
          <w:bCs w:val="0"/>
          <w:kern w:val="2"/>
          <w:szCs w:val="24"/>
          <w:lang w:val="en-US" w:eastAsia="zh-CN" w:bidi="ar-SA"/>
        </w:rPr>
        <w:t>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_Toc25837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41</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_Toc7582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二</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收</w:t>
      </w:r>
      <w:r>
        <w:rPr>
          <w:rFonts w:hint="eastAsia" w:ascii="仿宋" w:hAnsi="仿宋" w:eastAsia="仿宋" w:cs="Times New Roman"/>
          <w:bCs w:val="0"/>
          <w:kern w:val="2"/>
          <w:szCs w:val="24"/>
          <w:lang w:val="en-US" w:eastAsia="zh-CN" w:bidi="ar-SA"/>
        </w:rPr>
        <w:t>入决算表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_Toc7582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43</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_Toc3423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三</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支</w:t>
      </w:r>
      <w:r>
        <w:rPr>
          <w:rFonts w:hint="eastAsia" w:ascii="仿宋" w:hAnsi="仿宋" w:eastAsia="仿宋" w:cs="Times New Roman"/>
          <w:bCs w:val="0"/>
          <w:kern w:val="2"/>
          <w:szCs w:val="24"/>
          <w:lang w:val="en-US" w:eastAsia="zh-CN" w:bidi="ar-SA"/>
        </w:rPr>
        <w:t>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_Toc3423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45</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_Toc10569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四</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财</w:t>
      </w:r>
      <w:r>
        <w:rPr>
          <w:rFonts w:hint="eastAsia" w:ascii="仿宋" w:hAnsi="仿宋" w:eastAsia="仿宋" w:cs="Times New Roman"/>
          <w:bCs w:val="0"/>
          <w:kern w:val="2"/>
          <w:szCs w:val="24"/>
          <w:lang w:val="en-US" w:eastAsia="zh-CN" w:bidi="ar-SA"/>
        </w:rPr>
        <w:t>政拨款收入支出决算总表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_Toc10569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47</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_Toc10466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五</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财</w:t>
      </w:r>
      <w:r>
        <w:rPr>
          <w:rFonts w:hint="eastAsia" w:ascii="仿宋" w:hAnsi="仿宋" w:eastAsia="仿宋" w:cs="Times New Roman"/>
          <w:bCs w:val="0"/>
          <w:kern w:val="2"/>
          <w:szCs w:val="24"/>
          <w:lang w:val="en-US" w:eastAsia="zh-CN" w:bidi="ar-SA"/>
        </w:rPr>
        <w:t>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_Toc10466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49</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_Toc28343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六</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_Toc28343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50</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_Toc15139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七</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般公共预算财政拨款支出决算明细表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_Toc15139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51</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_Toc23193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八</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般公共预算财政拨款基本支出决算表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_Toc23193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52</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_Toc28700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九</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一</w:t>
      </w:r>
      <w:r>
        <w:rPr>
          <w:rFonts w:hint="eastAsia" w:ascii="仿宋" w:hAnsi="仿宋" w:eastAsia="仿宋" w:cs="Times New Roman"/>
          <w:bCs w:val="0"/>
          <w:kern w:val="2"/>
          <w:szCs w:val="24"/>
          <w:lang w:val="en-US" w:eastAsia="zh-CN" w:bidi="ar-SA"/>
        </w:rPr>
        <w:t>般公共预算财政拨款项目支出决算表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_Toc28700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54</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_Toc10895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 </w:t>
      </w:r>
      <w:r>
        <w:rPr>
          <w:rFonts w:hint="eastAsia" w:ascii="仿宋" w:hAnsi="仿宋" w:eastAsia="仿宋" w:cs="Times New Roman"/>
          <w:kern w:val="2"/>
          <w:szCs w:val="24"/>
          <w:lang w:val="en-US" w:eastAsia="zh-CN" w:bidi="ar-SA"/>
        </w:rPr>
        <w:t>政</w:t>
      </w:r>
      <w:r>
        <w:rPr>
          <w:rFonts w:hint="eastAsia" w:ascii="仿宋" w:hAnsi="仿宋" w:eastAsia="仿宋" w:cs="Times New Roman"/>
          <w:bCs w:val="0"/>
          <w:kern w:val="2"/>
          <w:szCs w:val="24"/>
          <w:lang w:val="en-US" w:eastAsia="zh-CN" w:bidi="ar-SA"/>
        </w:rPr>
        <w:t>府性基金预算财政拨款收入支出决算表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_Toc10895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56</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_Toc17964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一、 </w:t>
      </w:r>
      <w:r>
        <w:rPr>
          <w:rFonts w:hint="eastAsia" w:ascii="仿宋" w:hAnsi="仿宋" w:eastAsia="仿宋" w:cs="Times New Roman"/>
          <w:kern w:val="2"/>
          <w:szCs w:val="24"/>
          <w:lang w:val="en-US" w:eastAsia="zh-CN" w:bidi="ar-SA"/>
        </w:rPr>
        <w:t>国</w:t>
      </w:r>
      <w:r>
        <w:rPr>
          <w:rFonts w:hint="eastAsia" w:ascii="仿宋" w:hAnsi="仿宋" w:eastAsia="仿宋" w:cs="Times New Roman"/>
          <w:bCs w:val="0"/>
          <w:kern w:val="2"/>
          <w:szCs w:val="24"/>
          <w:lang w:val="en-US" w:eastAsia="zh-CN" w:bidi="ar-SA"/>
        </w:rPr>
        <w:t>有资本经营预算财政拨款收入支出决算表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_Toc17964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56</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_Toc7845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二、 </w:t>
      </w:r>
      <w:r>
        <w:rPr>
          <w:rFonts w:hint="eastAsia" w:ascii="仿宋" w:hAnsi="仿宋" w:eastAsia="仿宋" w:cs="Times New Roman"/>
          <w:bCs w:val="0"/>
          <w:kern w:val="2"/>
          <w:szCs w:val="24"/>
          <w:lang w:val="en-US" w:eastAsia="zh-CN" w:bidi="ar-SA"/>
        </w:rPr>
        <w:t>国有资本经营预算财政拨款支出决算表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_Toc7845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57</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pStyle w:val="19"/>
        <w:tabs>
          <w:tab w:val="right" w:leader="dot" w:pos="8306"/>
        </w:tabs>
        <w:rPr>
          <w:rFonts w:ascii="Times New Roman" w:hAnsi="Times New Roman" w:eastAsia="宋体" w:cs="Times New Roman"/>
          <w:kern w:val="2"/>
          <w:szCs w:val="24"/>
          <w:lang w:val="en-US" w:eastAsia="zh-CN" w:bidi="ar-SA"/>
        </w:rPr>
      </w:pP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HYPERLINK \l _Toc11962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十</w:t>
      </w:r>
      <w:r>
        <w:rPr>
          <w:rFonts w:hint="eastAsia" w:ascii="仿宋" w:hAnsi="仿宋" w:eastAsia="仿宋" w:cstheme="majorBidi"/>
          <w:bCs w:val="0"/>
          <w:kern w:val="2"/>
          <w:szCs w:val="32"/>
          <w:lang w:val="en-US" w:eastAsia="zh-CN" w:bidi="ar-SA"/>
        </w:rPr>
        <w:t xml:space="preserve">三、 </w:t>
      </w:r>
      <w:r>
        <w:rPr>
          <w:rFonts w:hint="eastAsia" w:ascii="仿宋" w:hAnsi="仿宋" w:eastAsia="仿宋" w:cs="Times New Roman"/>
          <w:bCs w:val="0"/>
          <w:kern w:val="2"/>
          <w:szCs w:val="24"/>
          <w:lang w:val="en-US" w:eastAsia="zh-CN" w:bidi="ar-SA"/>
        </w:rPr>
        <w:t>财政拨款“三公”经费支出决算表</w:t>
      </w:r>
      <w:r>
        <w:rPr>
          <w:rFonts w:ascii="Times New Roman" w:hAnsi="Times New Roman" w:eastAsia="宋体" w:cs="Times New Roman"/>
          <w:kern w:val="2"/>
          <w:szCs w:val="24"/>
          <w:lang w:val="en-US" w:eastAsia="zh-CN" w:bidi="ar-SA"/>
        </w:rPr>
        <w:tab/>
      </w:r>
      <w:r>
        <w:rPr>
          <w:rFonts w:ascii="Times New Roman" w:hAnsi="Times New Roman" w:eastAsia="宋体" w:cs="Times New Roman"/>
          <w:kern w:val="2"/>
          <w:szCs w:val="24"/>
          <w:lang w:val="en-US" w:eastAsia="zh-CN" w:bidi="ar-SA"/>
        </w:rPr>
        <w:fldChar w:fldCharType="begin"/>
      </w:r>
      <w:r>
        <w:rPr>
          <w:rFonts w:ascii="Times New Roman" w:hAnsi="Times New Roman" w:eastAsia="宋体" w:cs="Times New Roman"/>
          <w:kern w:val="2"/>
          <w:szCs w:val="24"/>
          <w:lang w:val="en-US" w:eastAsia="zh-CN" w:bidi="ar-SA"/>
        </w:rPr>
        <w:instrText xml:space="preserve"> PAGEREF _Toc11962 </w:instrText>
      </w:r>
      <w:r>
        <w:rPr>
          <w:rFonts w:ascii="Times New Roman" w:hAnsi="Times New Roman" w:eastAsia="宋体" w:cs="Times New Roman"/>
          <w:kern w:val="2"/>
          <w:szCs w:val="24"/>
          <w:lang w:val="en-US" w:eastAsia="zh-CN" w:bidi="ar-SA"/>
        </w:rPr>
        <w:fldChar w:fldCharType="separate"/>
      </w:r>
      <w:r>
        <w:rPr>
          <w:rFonts w:ascii="Times New Roman" w:hAnsi="Times New Roman" w:eastAsia="宋体" w:cs="Times New Roman"/>
          <w:kern w:val="2"/>
          <w:szCs w:val="24"/>
          <w:lang w:val="en-US" w:eastAsia="zh-CN" w:bidi="ar-SA"/>
        </w:rPr>
        <w:t>57</w:t>
      </w:r>
      <w:r>
        <w:rPr>
          <w:rFonts w:ascii="Times New Roman" w:hAnsi="Times New Roman" w:eastAsia="宋体" w:cs="Times New Roman"/>
          <w:kern w:val="2"/>
          <w:szCs w:val="24"/>
          <w:lang w:val="en-US" w:eastAsia="zh-CN" w:bidi="ar-SA"/>
        </w:rPr>
        <w:fldChar w:fldCharType="end"/>
      </w:r>
      <w:r>
        <w:rPr>
          <w:rFonts w:hint="eastAsia" w:ascii="仿宋" w:hAnsi="仿宋" w:eastAsia="仿宋" w:cstheme="majorBidi"/>
          <w:bCs w:val="0"/>
          <w:kern w:val="2"/>
          <w:szCs w:val="32"/>
          <w:lang w:val="en-US" w:eastAsia="zh-CN" w:bidi="ar-SA"/>
        </w:rPr>
        <w:fldChar w:fldCharType="end"/>
      </w:r>
    </w:p>
    <w:p>
      <w:pPr/>
      <w:r>
        <w:rPr>
          <w:rFonts w:ascii="Times New Roman" w:hAnsi="Times New Roman" w:eastAsia="宋体" w:cs="Times New Roman"/>
          <w:kern w:val="2"/>
          <w:szCs w:val="24"/>
          <w:lang w:val="en-US" w:eastAsia="zh-CN" w:bidi="ar-SA"/>
        </w:rPr>
        <w:fldChar w:fldCharType="end"/>
      </w:r>
    </w:p>
    <w:p>
      <w:pPr>
        <w:pStyle w:val="3"/>
        <w:jc w:val="center"/>
        <w:rPr>
          <w:rFonts w:hint="eastAsia" w:ascii="黑体" w:hAnsi="黑体" w:eastAsia="黑体"/>
          <w:b w:val="0"/>
        </w:rPr>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pPr>
      <w:bookmarkStart w:id="16" w:name="_Toc15396599"/>
      <w:bookmarkStart w:id="17" w:name="_Toc15377196"/>
    </w:p>
    <w:p>
      <w:pPr>
        <w:pStyle w:val="3"/>
        <w:jc w:val="center"/>
        <w:rPr>
          <w:rStyle w:val="33"/>
          <w:rFonts w:ascii="黑体" w:hAnsi="黑体" w:eastAsia="黑体"/>
          <w:b/>
          <w:bCs w:val="0"/>
        </w:rPr>
      </w:pPr>
      <w:bookmarkStart w:id="18" w:name="_Toc4711"/>
      <w:r>
        <w:rPr>
          <w:rFonts w:hint="eastAsia" w:ascii="黑体" w:hAnsi="黑体" w:eastAsia="黑体"/>
          <w:b w:val="0"/>
        </w:rPr>
        <w:t>第一部分 单位</w:t>
      </w:r>
      <w:r>
        <w:rPr>
          <w:rStyle w:val="33"/>
          <w:rFonts w:hint="eastAsia" w:ascii="黑体" w:hAnsi="黑体" w:eastAsia="黑体"/>
          <w:b w:val="0"/>
          <w:bCs w:val="0"/>
        </w:rPr>
        <w:t>概况</w:t>
      </w:r>
      <w:bookmarkEnd w:id="16"/>
      <w:bookmarkEnd w:id="17"/>
      <w:bookmarkEnd w:id="18"/>
    </w:p>
    <w:p>
      <w:pPr>
        <w:widowControl/>
        <w:jc w:val="left"/>
        <w:rPr>
          <w:rFonts w:ascii="黑体" w:eastAsia="黑体"/>
          <w:sz w:val="32"/>
          <w:szCs w:val="32"/>
        </w:rPr>
      </w:pPr>
    </w:p>
    <w:p>
      <w:pPr>
        <w:pStyle w:val="4"/>
        <w:numPr>
          <w:ilvl w:val="0"/>
          <w:numId w:val="1"/>
        </w:numPr>
        <w:rPr>
          <w:rStyle w:val="34"/>
          <w:rFonts w:ascii="黑体" w:hAnsi="黑体" w:eastAsia="黑体"/>
          <w:b w:val="0"/>
          <w:bCs w:val="0"/>
        </w:rPr>
      </w:pPr>
      <w:bookmarkStart w:id="19" w:name="_Toc25464"/>
      <w:bookmarkStart w:id="20" w:name="_Toc15396600"/>
      <w:bookmarkStart w:id="21" w:name="_Toc15377197"/>
      <w:r>
        <w:rPr>
          <w:rStyle w:val="34"/>
          <w:rFonts w:hint="eastAsia" w:ascii="黑体" w:hAnsi="黑体" w:eastAsia="黑体"/>
          <w:b w:val="0"/>
          <w:bCs w:val="0"/>
        </w:rPr>
        <w:t>主要职责</w:t>
      </w:r>
      <w:bookmarkEnd w:id="19"/>
    </w:p>
    <w:bookmarkEnd w:id="20"/>
    <w:bookmarkEnd w:id="21"/>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草地乡党委、政府主要承担着贯彻落实党和政府各项路线方针政策，促进经济发展、增加农民收入，强化公共服务、着力改善民生，加强社会管理、维护农村稳定，推进基层民主、促进农村和谐的重大任务。草地乡党委、政府重点履行以下职能：</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1.乡党委主要职责</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 xml:space="preserve">2.乡人大主席团主要职责 </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3.乡政府主要职责</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4.乡纪委主要职责</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5.乡人民武装部主要职责</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4"/>
        <w:numPr>
          <w:ilvl w:val="0"/>
          <w:numId w:val="1"/>
        </w:numPr>
        <w:rPr>
          <w:rStyle w:val="34"/>
          <w:rFonts w:hint="eastAsia" w:ascii="黑体" w:hAnsi="黑体" w:eastAsia="黑体"/>
          <w:b w:val="0"/>
          <w:bCs w:val="0"/>
        </w:rPr>
      </w:pPr>
      <w:bookmarkStart w:id="22" w:name="_Toc20945"/>
      <w:r>
        <w:rPr>
          <w:rStyle w:val="34"/>
          <w:rFonts w:hint="eastAsia" w:ascii="黑体" w:hAnsi="黑体" w:eastAsia="黑体"/>
          <w:b w:val="0"/>
          <w:bCs w:val="0"/>
        </w:rPr>
        <w:t>机构设置</w:t>
      </w:r>
      <w:bookmarkEnd w:id="22"/>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草地乡政府下属二级预算单位2个，其中行政单位1个，参照公务员法管理的事业单位0个，其他事业单位1个。</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纳入草地乡政府2023年度部门决算编制范围的二级预算单位包括：</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1.九寨沟县草地乡人民政府</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br w:type="page"/>
      </w:r>
    </w:p>
    <w:p>
      <w:pPr>
        <w:pStyle w:val="3"/>
        <w:ind w:right="440"/>
        <w:jc w:val="center"/>
        <w:rPr>
          <w:rStyle w:val="33"/>
          <w:rFonts w:ascii="黑体" w:hAnsi="黑体" w:eastAsia="黑体"/>
          <w:b w:val="0"/>
          <w:bCs/>
        </w:rPr>
      </w:pPr>
      <w:bookmarkStart w:id="23" w:name="_Toc15396602"/>
      <w:bookmarkStart w:id="24" w:name="_Toc5972"/>
      <w:bookmarkStart w:id="25" w:name="_Toc15377204"/>
      <w:r>
        <w:rPr>
          <w:rFonts w:hint="eastAsia" w:ascii="黑体" w:hAnsi="黑体" w:eastAsia="黑体"/>
          <w:b w:val="0"/>
        </w:rPr>
        <w:t>第二部分 2023年度</w:t>
      </w:r>
      <w:r>
        <w:rPr>
          <w:rStyle w:val="33"/>
          <w:rFonts w:hint="eastAsia" w:ascii="黑体" w:hAnsi="黑体" w:eastAsia="黑体"/>
          <w:b w:val="0"/>
          <w:bCs/>
        </w:rPr>
        <w:t>单位决算情况说明</w:t>
      </w:r>
      <w:bookmarkEnd w:id="23"/>
      <w:bookmarkEnd w:id="24"/>
      <w:bookmarkEnd w:id="25"/>
    </w:p>
    <w:p>
      <w:pPr/>
    </w:p>
    <w:p>
      <w:pPr>
        <w:pStyle w:val="32"/>
        <w:numPr>
          <w:ilvl w:val="0"/>
          <w:numId w:val="2"/>
        </w:numPr>
        <w:spacing w:line="600" w:lineRule="exact"/>
        <w:ind w:firstLineChars="0"/>
        <w:outlineLvl w:val="1"/>
        <w:rPr>
          <w:rStyle w:val="34"/>
          <w:rFonts w:ascii="黑体" w:hAnsi="黑体" w:eastAsia="黑体"/>
          <w:b w:val="0"/>
        </w:rPr>
      </w:pPr>
      <w:bookmarkStart w:id="26" w:name="_Toc15396603"/>
      <w:bookmarkStart w:id="27" w:name="_Toc13714"/>
      <w:bookmarkStart w:id="28" w:name="_Toc15377205"/>
      <w:r>
        <w:rPr>
          <w:rFonts w:hint="eastAsia" w:ascii="黑体" w:hAnsi="黑体" w:eastAsia="黑体"/>
          <w:sz w:val="32"/>
          <w:szCs w:val="32"/>
        </w:rPr>
        <w:t>收</w:t>
      </w:r>
      <w:r>
        <w:rPr>
          <w:rStyle w:val="34"/>
          <w:rFonts w:hint="eastAsia" w:ascii="黑体" w:hAnsi="黑体" w:eastAsia="黑体"/>
          <w:b w:val="0"/>
        </w:rPr>
        <w:t>入支出决算总体情况说明</w:t>
      </w:r>
      <w:bookmarkEnd w:id="26"/>
      <w:bookmarkEnd w:id="27"/>
      <w:bookmarkEnd w:id="28"/>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1040.88</w:t>
      </w:r>
      <w:r>
        <w:rPr>
          <w:rFonts w:hint="eastAsia" w:ascii="仿宋" w:hAnsi="仿宋" w:eastAsia="仿宋"/>
          <w:sz w:val="32"/>
          <w:szCs w:val="32"/>
        </w:rPr>
        <w:t>万元。与2022年度相比，收、支总计各减少</w:t>
      </w:r>
      <w:r>
        <w:rPr>
          <w:rFonts w:hint="eastAsia" w:ascii="仿宋" w:hAnsi="仿宋" w:eastAsia="仿宋"/>
          <w:sz w:val="32"/>
          <w:szCs w:val="32"/>
          <w:lang w:val="en-US" w:eastAsia="zh-CN"/>
        </w:rPr>
        <w:t>330.04</w:t>
      </w:r>
      <w:r>
        <w:rPr>
          <w:rFonts w:hint="eastAsia" w:ascii="仿宋" w:hAnsi="仿宋" w:eastAsia="仿宋"/>
          <w:sz w:val="32"/>
          <w:szCs w:val="32"/>
        </w:rPr>
        <w:t>万元，下降</w:t>
      </w:r>
      <w:r>
        <w:rPr>
          <w:rFonts w:hint="eastAsia" w:ascii="仿宋" w:hAnsi="仿宋" w:eastAsia="仿宋"/>
          <w:sz w:val="32"/>
          <w:szCs w:val="32"/>
          <w:lang w:val="en-US" w:eastAsia="zh-CN"/>
        </w:rPr>
        <w:t>24.07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本年项目减少</w:t>
      </w:r>
      <w:r>
        <w:rPr>
          <w:rFonts w:hint="eastAsia" w:ascii="仿宋" w:hAnsi="仿宋" w:eastAsia="仿宋"/>
          <w:sz w:val="32"/>
          <w:szCs w:val="32"/>
        </w:rPr>
        <w:t>。</w:t>
      </w:r>
    </w:p>
    <w:p>
      <w:pPr>
        <w:spacing w:line="600" w:lineRule="exact"/>
        <w:ind w:firstLine="640" w:firstLineChars="200"/>
        <w:jc w:val="left"/>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29" w:name="_Toc15377206"/>
      <w:bookmarkStart w:id="30" w:name="_Toc15396604"/>
      <w:bookmarkStart w:id="31" w:name="_Toc27953"/>
      <w:r>
        <w:rPr>
          <w:rFonts w:hint="eastAsia" w:ascii="黑体" w:hAnsi="黑体" w:eastAsia="黑体"/>
          <w:sz w:val="32"/>
          <w:szCs w:val="32"/>
        </w:rPr>
        <w:t>收</w:t>
      </w:r>
      <w:r>
        <w:rPr>
          <w:rStyle w:val="34"/>
          <w:rFonts w:hint="eastAsia" w:ascii="黑体" w:hAnsi="黑体" w:eastAsia="黑体"/>
          <w:b w:val="0"/>
        </w:rPr>
        <w:t>入决算情况说明</w:t>
      </w:r>
      <w:bookmarkEnd w:id="29"/>
      <w:bookmarkEnd w:id="30"/>
      <w:bookmarkEnd w:id="31"/>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本年收入合计997.62万元，其中：一般公共预算财政拨款收入997.62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ascii="仿宋" w:hAnsi="仿宋" w:eastAsia="仿宋"/>
          <w:sz w:val="32"/>
          <w:szCs w:val="32"/>
          <w:lang w:eastAsia="zh-CN"/>
        </w:rPr>
        <w:t>。</w:t>
      </w:r>
    </w:p>
    <w:p>
      <w:pPr>
        <w:spacing w:line="600" w:lineRule="exact"/>
        <w:rPr>
          <w:rFonts w:ascii="仿宋_GB2312" w:eastAsia="仿宋_GB2312"/>
          <w:sz w:val="32"/>
          <w:szCs w:val="32"/>
        </w:rPr>
      </w:pPr>
    </w:p>
    <w:p>
      <w:pPr>
        <w:pStyle w:val="32"/>
        <w:numPr>
          <w:ilvl w:val="0"/>
          <w:numId w:val="2"/>
        </w:numPr>
        <w:spacing w:line="600" w:lineRule="exact"/>
        <w:ind w:firstLineChars="0"/>
        <w:outlineLvl w:val="1"/>
        <w:rPr>
          <w:rStyle w:val="34"/>
          <w:rFonts w:ascii="黑体" w:hAnsi="黑体" w:eastAsia="黑体"/>
          <w:b w:val="0"/>
        </w:rPr>
      </w:pPr>
      <w:bookmarkStart w:id="32" w:name="_Toc13116"/>
      <w:bookmarkStart w:id="33" w:name="_Toc15377207"/>
      <w:bookmarkStart w:id="34" w:name="_Toc15396605"/>
      <w:r>
        <w:rPr>
          <w:rFonts w:hint="eastAsia" w:ascii="黑体" w:hAnsi="黑体" w:eastAsia="黑体"/>
          <w:sz w:val="32"/>
          <w:szCs w:val="32"/>
        </w:rPr>
        <w:t>支</w:t>
      </w:r>
      <w:r>
        <w:rPr>
          <w:rStyle w:val="34"/>
          <w:rFonts w:hint="eastAsia" w:ascii="黑体" w:hAnsi="黑体" w:eastAsia="黑体"/>
          <w:b w:val="0"/>
        </w:rPr>
        <w:t>出决算情况说明</w:t>
      </w:r>
      <w:bookmarkEnd w:id="32"/>
      <w:bookmarkEnd w:id="33"/>
      <w:bookmarkEnd w:id="34"/>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2023年度本年支出合计1040.88万元，其中：基本支出425.21万元，占40.85%；项目支出615.67万元，占59.14%；上缴上级支出0万元，占0%；经营支出0万元，占0%；对附属单位补助支出0万元，占0%。</w:t>
      </w:r>
    </w:p>
    <w:p>
      <w:pPr>
        <w:spacing w:line="600" w:lineRule="exact"/>
        <w:rPr>
          <w:rFonts w:ascii="仿宋_GB2312" w:eastAsia="仿宋_GB2312"/>
          <w:sz w:val="32"/>
          <w:szCs w:val="32"/>
        </w:rPr>
      </w:pPr>
    </w:p>
    <w:p>
      <w:pPr>
        <w:spacing w:line="600" w:lineRule="exact"/>
        <w:ind w:firstLine="640" w:firstLineChars="200"/>
        <w:outlineLvl w:val="1"/>
        <w:rPr>
          <w:rStyle w:val="34"/>
          <w:rFonts w:ascii="黑体" w:hAnsi="黑体" w:eastAsia="黑体"/>
          <w:b w:val="0"/>
        </w:rPr>
      </w:pPr>
      <w:bookmarkStart w:id="35" w:name="_Toc15377208"/>
      <w:bookmarkStart w:id="36" w:name="_Toc28308"/>
      <w:bookmarkStart w:id="37" w:name="_Toc15396606"/>
      <w:r>
        <w:rPr>
          <w:rFonts w:hint="eastAsia" w:ascii="黑体" w:hAnsi="黑体" w:eastAsia="黑体"/>
          <w:sz w:val="32"/>
          <w:szCs w:val="32"/>
        </w:rPr>
        <w:t>四、财</w:t>
      </w:r>
      <w:r>
        <w:rPr>
          <w:rStyle w:val="34"/>
          <w:rFonts w:hint="eastAsia" w:ascii="黑体" w:hAnsi="黑体" w:eastAsia="黑体"/>
          <w:b w:val="0"/>
        </w:rPr>
        <w:t>政拨款收入支出决算总体情况说明</w:t>
      </w:r>
      <w:bookmarkEnd w:id="35"/>
      <w:bookmarkEnd w:id="36"/>
      <w:bookmarkEnd w:id="37"/>
    </w:p>
    <w:p>
      <w:pPr>
        <w:spacing w:line="600" w:lineRule="exact"/>
        <w:ind w:firstLine="640"/>
        <w:rPr>
          <w:rFonts w:ascii="仿宋" w:hAnsi="仿宋" w:eastAsia="仿宋"/>
          <w:sz w:val="32"/>
          <w:szCs w:val="32"/>
        </w:rPr>
      </w:pPr>
      <w:r>
        <w:rPr>
          <w:rFonts w:hint="eastAsia" w:ascii="仿宋" w:hAnsi="仿宋" w:eastAsia="仿宋"/>
          <w:sz w:val="32"/>
          <w:szCs w:val="32"/>
        </w:rPr>
        <w:t>2023年度财政拨款收、支总计均为</w:t>
      </w:r>
      <w:r>
        <w:rPr>
          <w:rFonts w:ascii="仿宋" w:hAnsi="仿宋" w:eastAsia="仿宋"/>
          <w:b/>
          <w:sz w:val="32"/>
          <w:szCs w:val="32"/>
        </w:rPr>
        <w:t>1040.88</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330.04</w:t>
      </w:r>
      <w:r>
        <w:rPr>
          <w:rFonts w:hint="eastAsia" w:ascii="仿宋" w:hAnsi="仿宋" w:eastAsia="仿宋"/>
          <w:sz w:val="32"/>
          <w:szCs w:val="32"/>
        </w:rPr>
        <w:t>万元，下降</w:t>
      </w:r>
      <w:r>
        <w:rPr>
          <w:rFonts w:hint="eastAsia" w:ascii="仿宋" w:hAnsi="仿宋" w:eastAsia="仿宋"/>
          <w:sz w:val="32"/>
          <w:szCs w:val="32"/>
          <w:lang w:val="en-US" w:eastAsia="zh-CN"/>
        </w:rPr>
        <w:t>24.07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本年项目减少。</w:t>
      </w:r>
    </w:p>
    <w:p>
      <w:pPr>
        <w:spacing w:line="600" w:lineRule="exact"/>
        <w:ind w:firstLine="640"/>
        <w:rPr>
          <w:rFonts w:ascii="仿宋" w:hAnsi="仿宋" w:eastAsia="仿宋"/>
          <w:b/>
          <w:sz w:val="32"/>
          <w:szCs w:val="32"/>
        </w:rPr>
      </w:pPr>
    </w:p>
    <w:p>
      <w:pPr>
        <w:spacing w:line="600" w:lineRule="exact"/>
        <w:ind w:firstLine="640" w:firstLineChars="200"/>
        <w:outlineLvl w:val="1"/>
        <w:rPr>
          <w:rStyle w:val="34"/>
          <w:rFonts w:ascii="黑体" w:hAnsi="黑体" w:eastAsia="黑体"/>
          <w:b w:val="0"/>
        </w:rPr>
      </w:pPr>
      <w:bookmarkStart w:id="38" w:name="_Toc22415"/>
      <w:bookmarkStart w:id="39" w:name="_Toc15377209"/>
      <w:bookmarkStart w:id="40" w:name="_Toc15396607"/>
      <w:r>
        <w:rPr>
          <w:rFonts w:hint="eastAsia" w:ascii="黑体" w:hAnsi="黑体" w:eastAsia="黑体"/>
          <w:sz w:val="32"/>
          <w:szCs w:val="32"/>
        </w:rPr>
        <w:t>五、</w:t>
      </w:r>
      <w:r>
        <w:rPr>
          <w:rFonts w:hint="eastAsia" w:ascii="黑体" w:hAnsi="黑体" w:eastAsia="黑体"/>
          <w:b/>
          <w:sz w:val="32"/>
          <w:szCs w:val="32"/>
        </w:rPr>
        <w:t>一</w:t>
      </w:r>
      <w:r>
        <w:rPr>
          <w:rStyle w:val="34"/>
          <w:rFonts w:hint="eastAsia" w:ascii="黑体" w:hAnsi="黑体" w:eastAsia="黑体"/>
          <w:b w:val="0"/>
        </w:rPr>
        <w:t>般公共预算财政拨款支出决算情况说明</w:t>
      </w:r>
      <w:bookmarkEnd w:id="38"/>
      <w:bookmarkEnd w:id="39"/>
      <w:bookmarkEnd w:id="40"/>
    </w:p>
    <w:p>
      <w:pPr>
        <w:spacing w:line="600" w:lineRule="exact"/>
        <w:ind w:firstLine="643" w:firstLineChars="200"/>
        <w:outlineLvl w:val="2"/>
        <w:rPr>
          <w:rFonts w:ascii="仿宋" w:hAnsi="仿宋" w:eastAsia="仿宋"/>
          <w:b/>
          <w:sz w:val="32"/>
          <w:szCs w:val="32"/>
        </w:rPr>
      </w:pPr>
      <w:bookmarkStart w:id="41" w:name="_Toc16713"/>
      <w:bookmarkStart w:id="42" w:name="_Toc15377210"/>
      <w:r>
        <w:rPr>
          <w:rFonts w:hint="eastAsia" w:ascii="仿宋" w:hAnsi="仿宋" w:eastAsia="仿宋"/>
          <w:b/>
          <w:sz w:val="32"/>
          <w:szCs w:val="32"/>
        </w:rPr>
        <w:t>（一）一般公共预算财政拨款支出决算总体情况</w:t>
      </w:r>
      <w:bookmarkEnd w:id="41"/>
      <w:bookmarkEnd w:id="42"/>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1040.88</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330.04</w:t>
      </w:r>
      <w:r>
        <w:rPr>
          <w:rFonts w:hint="eastAsia" w:ascii="仿宋" w:hAnsi="仿宋" w:eastAsia="仿宋"/>
          <w:sz w:val="32"/>
          <w:szCs w:val="32"/>
        </w:rPr>
        <w:t>万元，下降</w:t>
      </w:r>
      <w:r>
        <w:rPr>
          <w:rFonts w:hint="eastAsia" w:ascii="仿宋" w:hAnsi="仿宋" w:eastAsia="仿宋"/>
          <w:sz w:val="32"/>
          <w:szCs w:val="32"/>
          <w:lang w:val="en-US" w:eastAsia="zh-CN"/>
        </w:rPr>
        <w:t>24.07</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本年项目减少。</w:t>
      </w: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3" w:name="_Toc29961"/>
      <w:bookmarkStart w:id="44" w:name="_Toc15377211"/>
      <w:r>
        <w:rPr>
          <w:rFonts w:hint="eastAsia" w:ascii="仿宋" w:hAnsi="仿宋" w:eastAsia="仿宋"/>
          <w:b/>
          <w:sz w:val="32"/>
          <w:szCs w:val="32"/>
        </w:rPr>
        <w:t>（二）一般公共预算财政拨款支出决算结构情况</w:t>
      </w:r>
      <w:bookmarkEnd w:id="43"/>
      <w:bookmarkEnd w:id="44"/>
    </w:p>
    <w:p>
      <w:pPr>
        <w:spacing w:line="600" w:lineRule="exact"/>
        <w:ind w:firstLine="640"/>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1040.88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338.88</w:t>
      </w:r>
      <w:r>
        <w:rPr>
          <w:rFonts w:hint="eastAsia" w:ascii="仿宋" w:hAnsi="仿宋" w:eastAsia="仿宋"/>
          <w:sz w:val="32"/>
          <w:szCs w:val="32"/>
        </w:rPr>
        <w:t>万元，占</w:t>
      </w:r>
      <w:r>
        <w:rPr>
          <w:rFonts w:hint="eastAsia" w:ascii="仿宋" w:hAnsi="仿宋" w:eastAsia="仿宋"/>
          <w:sz w:val="32"/>
          <w:szCs w:val="32"/>
          <w:lang w:val="en-US" w:eastAsia="zh-CN"/>
        </w:rPr>
        <w:t>32.56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lang w:eastAsia="zh-CN"/>
        </w:rPr>
        <w:t>文化旅游体育与传媒支出</w:t>
      </w:r>
      <w:r>
        <w:rPr>
          <w:rFonts w:hint="eastAsia" w:ascii="仿宋" w:hAnsi="仿宋" w:eastAsia="仿宋"/>
          <w:sz w:val="32"/>
          <w:szCs w:val="32"/>
          <w:lang w:val="en-US" w:eastAsia="zh-CN"/>
        </w:rPr>
        <w:t>4.56</w:t>
      </w:r>
      <w:r>
        <w:rPr>
          <w:rFonts w:hint="eastAsia" w:ascii="仿宋" w:hAnsi="仿宋" w:eastAsia="仿宋"/>
          <w:sz w:val="32"/>
          <w:szCs w:val="32"/>
        </w:rPr>
        <w:t>万元，</w:t>
      </w:r>
      <w:r>
        <w:rPr>
          <w:rFonts w:hint="eastAsia" w:ascii="仿宋" w:hAnsi="仿宋" w:eastAsia="仿宋"/>
          <w:sz w:val="32"/>
          <w:szCs w:val="32"/>
          <w:lang w:eastAsia="zh-CN"/>
        </w:rPr>
        <w:t>占</w:t>
      </w:r>
      <w:r>
        <w:rPr>
          <w:rFonts w:hint="eastAsia" w:ascii="仿宋" w:hAnsi="仿宋" w:eastAsia="仿宋"/>
          <w:sz w:val="32"/>
          <w:szCs w:val="32"/>
          <w:lang w:val="en-US" w:eastAsia="zh-CN"/>
        </w:rPr>
        <w:t>0.44%；</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48.61</w:t>
      </w:r>
      <w:r>
        <w:rPr>
          <w:rFonts w:hint="eastAsia" w:ascii="仿宋" w:hAnsi="仿宋" w:eastAsia="仿宋"/>
          <w:sz w:val="32"/>
          <w:szCs w:val="32"/>
        </w:rPr>
        <w:t>万元，占</w:t>
      </w:r>
      <w:r>
        <w:rPr>
          <w:rFonts w:hint="eastAsia" w:ascii="仿宋" w:hAnsi="仿宋" w:eastAsia="仿宋"/>
          <w:sz w:val="32"/>
          <w:szCs w:val="32"/>
          <w:lang w:val="en-US" w:eastAsia="zh-CN"/>
        </w:rPr>
        <w:t>4.67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22.36</w:t>
      </w:r>
      <w:r>
        <w:rPr>
          <w:rFonts w:hint="eastAsia" w:ascii="仿宋" w:hAnsi="仿宋" w:eastAsia="仿宋"/>
          <w:sz w:val="32"/>
          <w:szCs w:val="32"/>
        </w:rPr>
        <w:t>万元，占</w:t>
      </w:r>
      <w:r>
        <w:rPr>
          <w:rFonts w:hint="eastAsia" w:ascii="仿宋" w:hAnsi="仿宋" w:eastAsia="仿宋"/>
          <w:sz w:val="32"/>
          <w:szCs w:val="32"/>
          <w:lang w:val="en-US" w:eastAsia="zh-CN"/>
        </w:rPr>
        <w:t>2.15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eastAsia="zh-CN"/>
        </w:rPr>
        <w:t>城乡社区</w:t>
      </w:r>
      <w:r>
        <w:rPr>
          <w:rFonts w:hint="eastAsia" w:ascii="仿宋" w:hAnsi="仿宋" w:eastAsia="仿宋"/>
          <w:b/>
          <w:bCs/>
          <w:sz w:val="32"/>
          <w:szCs w:val="32"/>
        </w:rPr>
        <w:t>支出</w:t>
      </w:r>
      <w:r>
        <w:rPr>
          <w:rFonts w:hint="eastAsia" w:ascii="仿宋" w:hAnsi="仿宋" w:eastAsia="仿宋"/>
          <w:sz w:val="32"/>
          <w:szCs w:val="32"/>
          <w:lang w:val="en-US" w:eastAsia="zh-CN"/>
        </w:rPr>
        <w:t>22.36</w:t>
      </w:r>
      <w:r>
        <w:rPr>
          <w:rFonts w:hint="eastAsia" w:ascii="仿宋" w:hAnsi="仿宋" w:eastAsia="仿宋"/>
          <w:sz w:val="32"/>
          <w:szCs w:val="32"/>
        </w:rPr>
        <w:t>万元，占</w:t>
      </w:r>
      <w:r>
        <w:rPr>
          <w:rFonts w:hint="eastAsia" w:ascii="仿宋" w:hAnsi="仿宋" w:eastAsia="仿宋"/>
          <w:sz w:val="32"/>
          <w:szCs w:val="32"/>
          <w:lang w:val="en-US" w:eastAsia="zh-CN"/>
        </w:rPr>
        <w:t>0.29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eastAsia="zh-CN"/>
        </w:rPr>
        <w:t>农林水</w:t>
      </w:r>
      <w:r>
        <w:rPr>
          <w:rFonts w:hint="eastAsia" w:ascii="仿宋" w:hAnsi="仿宋" w:eastAsia="仿宋"/>
          <w:b/>
          <w:bCs/>
          <w:sz w:val="32"/>
          <w:szCs w:val="32"/>
        </w:rPr>
        <w:t>支出</w:t>
      </w:r>
      <w:r>
        <w:rPr>
          <w:rFonts w:hint="eastAsia" w:ascii="仿宋" w:hAnsi="仿宋" w:eastAsia="仿宋"/>
          <w:sz w:val="32"/>
          <w:szCs w:val="32"/>
          <w:lang w:val="en-US" w:eastAsia="zh-CN"/>
        </w:rPr>
        <w:t>22.36</w:t>
      </w:r>
      <w:r>
        <w:rPr>
          <w:rFonts w:hint="eastAsia" w:ascii="仿宋" w:hAnsi="仿宋" w:eastAsia="仿宋"/>
          <w:sz w:val="32"/>
          <w:szCs w:val="32"/>
        </w:rPr>
        <w:t>万元，占</w:t>
      </w:r>
      <w:r>
        <w:rPr>
          <w:rFonts w:hint="eastAsia" w:ascii="仿宋" w:hAnsi="仿宋" w:eastAsia="仿宋"/>
          <w:sz w:val="32"/>
          <w:szCs w:val="32"/>
          <w:lang w:val="en-US" w:eastAsia="zh-CN"/>
        </w:rPr>
        <w:t>57.36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597.06</w:t>
      </w:r>
      <w:r>
        <w:rPr>
          <w:rFonts w:hint="eastAsia" w:ascii="仿宋" w:hAnsi="仿宋" w:eastAsia="仿宋"/>
          <w:sz w:val="32"/>
          <w:szCs w:val="32"/>
        </w:rPr>
        <w:t>万元，占</w:t>
      </w:r>
      <w:r>
        <w:rPr>
          <w:rFonts w:hint="eastAsia" w:ascii="仿宋" w:hAnsi="仿宋" w:eastAsia="仿宋"/>
          <w:sz w:val="32"/>
          <w:szCs w:val="32"/>
          <w:lang w:val="en-US" w:eastAsia="zh-CN"/>
        </w:rPr>
        <w:t>2.54</w:t>
      </w:r>
      <w:r>
        <w:rPr>
          <w:rFonts w:ascii="仿宋" w:hAnsi="仿宋" w:eastAsia="仿宋"/>
          <w:sz w:val="32"/>
          <w:szCs w:val="32"/>
        </w:rPr>
        <w:t>%</w:t>
      </w:r>
      <w:r>
        <w:rPr>
          <w:rFonts w:hint="eastAsia" w:ascii="仿宋" w:hAnsi="仿宋" w:eastAsia="仿宋"/>
          <w:sz w:val="32"/>
          <w:szCs w:val="32"/>
        </w:rPr>
        <w:t>。</w:t>
      </w: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5" w:name="_Toc15377212"/>
      <w:bookmarkStart w:id="46" w:name="_Toc10797"/>
      <w:r>
        <w:rPr>
          <w:rFonts w:hint="eastAsia" w:ascii="仿宋" w:hAnsi="仿宋" w:eastAsia="仿宋"/>
          <w:b/>
          <w:sz w:val="32"/>
          <w:szCs w:val="32"/>
        </w:rPr>
        <w:t>（三）一般公共预算财政拨款支出决算具体情况</w:t>
      </w:r>
      <w:bookmarkEnd w:id="45"/>
      <w:bookmarkEnd w:id="46"/>
    </w:p>
    <w:p>
      <w:pPr>
        <w:spacing w:line="600" w:lineRule="exact"/>
        <w:ind w:firstLine="640"/>
        <w:rPr>
          <w:rFonts w:hint="eastAsia" w:ascii="仿宋" w:hAnsi="仿宋" w:eastAsia="仿宋"/>
          <w:sz w:val="32"/>
          <w:szCs w:val="32"/>
          <w:lang w:val="en-US" w:eastAsia="zh-CN"/>
        </w:rPr>
      </w:pPr>
      <w:bookmarkStart w:id="47" w:name="_Toc15377213"/>
      <w:bookmarkStart w:id="48" w:name="_Toc15378460"/>
      <w:bookmarkStart w:id="49" w:name="_Toc15377444"/>
      <w:r>
        <w:rPr>
          <w:rFonts w:hint="eastAsia" w:ascii="仿宋" w:hAnsi="仿宋" w:eastAsia="仿宋"/>
          <w:sz w:val="32"/>
          <w:szCs w:val="32"/>
          <w:lang w:val="en-US" w:eastAsia="zh-CN"/>
        </w:rPr>
        <w:t>2023年度一般公共预算支出决算数为1040.88，完成预算100%。其中：</w:t>
      </w:r>
      <w:bookmarkEnd w:id="47"/>
      <w:bookmarkEnd w:id="48"/>
      <w:bookmarkEnd w:id="49"/>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1.一般公共服务（201）人大事务（01）行政运行（01）: </w:t>
      </w:r>
      <w:r>
        <w:rPr>
          <w:rStyle w:val="22"/>
          <w:rFonts w:hint="eastAsia" w:ascii="仿宋" w:hAnsi="仿宋" w:eastAsia="仿宋" w:cs="Times New Roman"/>
          <w:b w:val="0"/>
          <w:bCs w:val="0"/>
          <w:kern w:val="2"/>
          <w:sz w:val="32"/>
          <w:szCs w:val="32"/>
          <w:lang w:val="en-US" w:eastAsia="zh-CN" w:bidi="ar-SA"/>
        </w:rPr>
        <w:t>支出决算为5.15万元，完成预算100%。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2.一般公共服务（201）政府办公厅（室）及相关机构事务（03）行政运行（01）: </w:t>
      </w:r>
      <w:r>
        <w:rPr>
          <w:rStyle w:val="22"/>
          <w:rFonts w:hint="eastAsia" w:ascii="仿宋" w:hAnsi="仿宋" w:eastAsia="仿宋" w:cs="Times New Roman"/>
          <w:b w:val="0"/>
          <w:bCs w:val="0"/>
          <w:kern w:val="2"/>
          <w:sz w:val="32"/>
          <w:szCs w:val="32"/>
          <w:lang w:val="en-US" w:eastAsia="zh-CN" w:bidi="ar-SA"/>
        </w:rPr>
        <w:t>支出决算为323.68万元，完成预算100%。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3.一般公共服务（201）政府办公厅（室）及相关机构事务（03）其他政府办公厅（室）及相关机构事务支出（99）: </w:t>
      </w:r>
      <w:r>
        <w:rPr>
          <w:rStyle w:val="22"/>
          <w:rFonts w:hint="eastAsia" w:ascii="仿宋" w:hAnsi="仿宋" w:eastAsia="仿宋" w:cs="Times New Roman"/>
          <w:b w:val="0"/>
          <w:bCs w:val="0"/>
          <w:kern w:val="2"/>
          <w:sz w:val="32"/>
          <w:szCs w:val="32"/>
          <w:lang w:val="en-US" w:eastAsia="zh-CN" w:bidi="ar-SA"/>
        </w:rPr>
        <w:t>支出决算为10.05万元，完成预算100%。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4.文化旅游体育与传媒支出（207）文化和旅游（01）群众文化（09）: </w:t>
      </w:r>
      <w:r>
        <w:rPr>
          <w:rStyle w:val="22"/>
          <w:rFonts w:hint="eastAsia" w:ascii="仿宋" w:hAnsi="仿宋" w:eastAsia="仿宋" w:cs="Times New Roman"/>
          <w:b w:val="0"/>
          <w:bCs w:val="0"/>
          <w:kern w:val="2"/>
          <w:sz w:val="32"/>
          <w:szCs w:val="32"/>
          <w:lang w:val="en-US" w:eastAsia="zh-CN" w:bidi="ar-SA"/>
        </w:rPr>
        <w:t>支出决算为4.56万元，完成预算100%。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5.社会保障和就业（208）行政事业单位养老支出（05）机关事业单位基本养老保险缴费支出（05）:</w:t>
      </w:r>
      <w:r>
        <w:rPr>
          <w:rStyle w:val="22"/>
          <w:rFonts w:hint="eastAsia" w:ascii="仿宋" w:hAnsi="仿宋" w:eastAsia="仿宋" w:cs="Times New Roman"/>
          <w:b w:val="0"/>
          <w:bCs w:val="0"/>
          <w:kern w:val="2"/>
          <w:sz w:val="32"/>
          <w:szCs w:val="32"/>
          <w:lang w:val="en-US" w:eastAsia="zh-CN" w:bidi="ar-SA"/>
        </w:rPr>
        <w:t xml:space="preserve"> 支出决算为32.47万元，完成预算100%。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 xml:space="preserve">6.社会保障和就业（208）行政事业单位养老支出（05）机关事业单位职业年金缴费支出（06）: </w:t>
      </w:r>
      <w:r>
        <w:rPr>
          <w:rStyle w:val="22"/>
          <w:rFonts w:hint="eastAsia" w:ascii="仿宋" w:hAnsi="仿宋" w:eastAsia="仿宋" w:cs="Times New Roman"/>
          <w:b w:val="0"/>
          <w:bCs w:val="0"/>
          <w:kern w:val="2"/>
          <w:sz w:val="32"/>
          <w:szCs w:val="32"/>
          <w:lang w:val="en-US" w:eastAsia="zh-CN" w:bidi="ar-SA"/>
        </w:rPr>
        <w:t>支出决算为16.13万元，完成预算100%。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7.卫生健康（210）公共卫生（04）重大公共卫生服务（09）:</w:t>
      </w:r>
      <w:r>
        <w:rPr>
          <w:rStyle w:val="22"/>
          <w:rFonts w:hint="eastAsia" w:ascii="仿宋" w:hAnsi="仿宋" w:eastAsia="仿宋" w:cs="Times New Roman"/>
          <w:b w:val="0"/>
          <w:bCs w:val="0"/>
          <w:kern w:val="2"/>
          <w:sz w:val="32"/>
          <w:szCs w:val="32"/>
          <w:lang w:val="en-US" w:eastAsia="zh-CN" w:bidi="ar-SA"/>
        </w:rPr>
        <w:t>支出决算为1万元，完成预算100%。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8.卫生健康（210）行政事业单位医疗（11）行政单位医疗（01）:</w:t>
      </w:r>
      <w:r>
        <w:rPr>
          <w:rStyle w:val="22"/>
          <w:rFonts w:hint="eastAsia" w:ascii="仿宋" w:hAnsi="仿宋" w:eastAsia="仿宋" w:cs="Times New Roman"/>
          <w:b w:val="0"/>
          <w:bCs w:val="0"/>
          <w:kern w:val="2"/>
          <w:sz w:val="32"/>
          <w:szCs w:val="32"/>
          <w:lang w:val="en-US" w:eastAsia="zh-CN" w:bidi="ar-SA"/>
        </w:rPr>
        <w:t>支出决算为17.21万元，完成预算100%。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9.卫生健康（210）行政事业单位医疗（11）公务员医疗补助（03）:</w:t>
      </w:r>
      <w:r>
        <w:rPr>
          <w:rStyle w:val="22"/>
          <w:rFonts w:hint="eastAsia" w:ascii="仿宋" w:hAnsi="仿宋" w:eastAsia="仿宋" w:cs="Times New Roman"/>
          <w:b w:val="0"/>
          <w:bCs w:val="0"/>
          <w:kern w:val="2"/>
          <w:sz w:val="32"/>
          <w:szCs w:val="32"/>
          <w:lang w:val="en-US" w:eastAsia="zh-CN" w:bidi="ar-SA"/>
        </w:rPr>
        <w:t>支出决算为4.15万元，完成预算100%。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10.城乡社区支出（212）城乡社区环境卫生（05）城乡社区环境卫生（01）:</w:t>
      </w:r>
      <w:r>
        <w:rPr>
          <w:rStyle w:val="22"/>
          <w:rFonts w:hint="eastAsia" w:ascii="仿宋" w:hAnsi="仿宋" w:eastAsia="仿宋" w:cs="Times New Roman"/>
          <w:b w:val="0"/>
          <w:bCs w:val="0"/>
          <w:kern w:val="2"/>
          <w:sz w:val="32"/>
          <w:szCs w:val="32"/>
          <w:lang w:val="en-US" w:eastAsia="zh-CN" w:bidi="ar-SA"/>
        </w:rPr>
        <w:t>支出决算为3万元，完成预算100%。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11.农林水支出（213）农业农村（01）其他农业农村支出（99）:</w:t>
      </w:r>
      <w:r>
        <w:rPr>
          <w:rStyle w:val="22"/>
          <w:rFonts w:hint="eastAsia" w:ascii="仿宋" w:hAnsi="仿宋" w:eastAsia="仿宋" w:cs="Times New Roman"/>
          <w:b w:val="0"/>
          <w:bCs w:val="0"/>
          <w:kern w:val="2"/>
          <w:sz w:val="32"/>
          <w:szCs w:val="32"/>
          <w:lang w:val="en-US" w:eastAsia="zh-CN" w:bidi="ar-SA"/>
        </w:rPr>
        <w:t>支出决算为102.71万元，完成预算100%。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12.农林水支出（213）林业和草原（02）林业草原防灾减灾（34）:</w:t>
      </w:r>
      <w:r>
        <w:rPr>
          <w:rStyle w:val="22"/>
          <w:rFonts w:hint="eastAsia" w:ascii="仿宋" w:hAnsi="仿宋" w:eastAsia="仿宋" w:cs="Times New Roman"/>
          <w:b w:val="0"/>
          <w:bCs w:val="0"/>
          <w:kern w:val="2"/>
          <w:sz w:val="32"/>
          <w:szCs w:val="32"/>
          <w:lang w:val="en-US" w:eastAsia="zh-CN" w:bidi="ar-SA"/>
        </w:rPr>
        <w:t>支出决算为3万元，完成预算100%。</w:t>
      </w:r>
    </w:p>
    <w:p>
      <w:pPr>
        <w:pStyle w:val="39"/>
        <w:shd w:val="clear" w:fill="FFFFFF"/>
        <w:ind w:left="0" w:firstLine="482"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13.农林水支出（213）巩固脱贫攻坚成果衔接乡村振兴（05）其其他巩固脱贫攻坚成果衔接乡村振兴支出（99）:</w:t>
      </w:r>
      <w:r>
        <w:rPr>
          <w:rStyle w:val="22"/>
          <w:rFonts w:hint="eastAsia" w:ascii="仿宋" w:hAnsi="仿宋" w:eastAsia="仿宋" w:cs="Times New Roman"/>
          <w:b w:val="0"/>
          <w:bCs w:val="0"/>
          <w:kern w:val="2"/>
          <w:sz w:val="32"/>
          <w:szCs w:val="32"/>
          <w:lang w:val="en-US" w:eastAsia="zh-CN" w:bidi="ar-SA"/>
        </w:rPr>
        <w:t>支出决算为410.32万元，完成预算100%。</w:t>
      </w:r>
    </w:p>
    <w:p>
      <w:pPr>
        <w:pStyle w:val="39"/>
        <w:shd w:val="clear" w:fill="FFFFFF"/>
        <w:ind w:left="0" w:firstLine="482" w:firstLineChars="200"/>
        <w:rPr>
          <w:rStyle w:val="22"/>
          <w:rFonts w:hint="eastAsia" w:ascii="仿宋" w:hAnsi="仿宋" w:eastAsia="仿宋" w:cs="Times New Roman"/>
          <w:b w:val="0"/>
          <w:bCs w:val="0"/>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14.农林水支出（213）水农村综合改革（07）对村民委员会和村党支部的补助（05）:</w:t>
      </w:r>
      <w:r>
        <w:rPr>
          <w:rStyle w:val="22"/>
          <w:rFonts w:hint="eastAsia" w:ascii="仿宋" w:hAnsi="仿宋" w:eastAsia="仿宋" w:cs="Times New Roman"/>
          <w:b w:val="0"/>
          <w:bCs w:val="0"/>
          <w:kern w:val="2"/>
          <w:sz w:val="32"/>
          <w:szCs w:val="32"/>
          <w:lang w:val="en-US" w:eastAsia="zh-CN" w:bidi="ar-SA"/>
        </w:rPr>
        <w:t>支出决算为81.03万元，完成预算100%。</w:t>
      </w:r>
    </w:p>
    <w:p>
      <w:pPr>
        <w:spacing w:line="600" w:lineRule="exact"/>
        <w:ind w:firstLine="640" w:firstLineChars="200"/>
        <w:rPr>
          <w:rStyle w:val="22"/>
          <w:rFonts w:hint="eastAsia" w:ascii="仿宋" w:hAnsi="仿宋" w:eastAsia="仿宋" w:cs="Times New Roman"/>
          <w:bCs/>
          <w:kern w:val="2"/>
          <w:sz w:val="32"/>
          <w:szCs w:val="32"/>
          <w:lang w:val="en-US" w:eastAsia="zh-CN" w:bidi="ar-SA"/>
        </w:rPr>
      </w:pPr>
      <w:r>
        <w:rPr>
          <w:rStyle w:val="22"/>
          <w:rFonts w:hint="eastAsia" w:ascii="仿宋" w:hAnsi="仿宋" w:eastAsia="仿宋" w:cs="Times New Roman"/>
          <w:bCs/>
          <w:kern w:val="2"/>
          <w:sz w:val="32"/>
          <w:szCs w:val="32"/>
          <w:lang w:val="en-US" w:eastAsia="zh-CN" w:bidi="ar-SA"/>
        </w:rPr>
        <w:t>15.住房保障支出（221）住房改革支出（02）住房公积金（01）:</w:t>
      </w:r>
      <w:r>
        <w:rPr>
          <w:rStyle w:val="22"/>
          <w:rFonts w:hint="eastAsia" w:ascii="仿宋" w:hAnsi="仿宋" w:eastAsia="仿宋" w:cs="Times New Roman"/>
          <w:b w:val="0"/>
          <w:bCs w:val="0"/>
          <w:kern w:val="2"/>
          <w:sz w:val="32"/>
          <w:szCs w:val="32"/>
          <w:lang w:val="en-US" w:eastAsia="zh-CN" w:bidi="ar-SA"/>
        </w:rPr>
        <w:t>支出决算为26.42万元，完成预算100%。</w:t>
      </w:r>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34"/>
        </w:rPr>
      </w:pPr>
      <w:bookmarkStart w:id="50" w:name="_Toc15396608"/>
      <w:bookmarkStart w:id="51" w:name="_Toc15377214"/>
      <w:bookmarkStart w:id="52" w:name="_Toc28681"/>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4"/>
          <w:rFonts w:hint="eastAsia" w:ascii="黑体" w:hAnsi="黑体" w:eastAsia="黑体"/>
          <w:b w:val="0"/>
        </w:rPr>
        <w:t>般公共预算财政拨款基本支出决算情况说明</w:t>
      </w:r>
      <w:bookmarkEnd w:id="50"/>
      <w:bookmarkEnd w:id="51"/>
      <w:bookmarkEnd w:id="52"/>
      <w:r>
        <w:rPr>
          <w:rStyle w:val="34"/>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425.21</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385.74</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39.48</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sz w:val="32"/>
          <w:szCs w:val="32"/>
        </w:rPr>
      </w:pPr>
    </w:p>
    <w:p>
      <w:pPr>
        <w:spacing w:line="600" w:lineRule="exact"/>
        <w:ind w:firstLine="640"/>
        <w:outlineLvl w:val="1"/>
        <w:rPr>
          <w:rStyle w:val="34"/>
          <w:rFonts w:ascii="黑体" w:hAnsi="黑体" w:eastAsia="黑体"/>
          <w:b w:val="0"/>
        </w:rPr>
      </w:pPr>
      <w:bookmarkStart w:id="53" w:name="_Toc11088"/>
      <w:bookmarkStart w:id="54" w:name="_Toc15377215"/>
      <w:bookmarkStart w:id="55" w:name="_Toc15396609"/>
      <w:r>
        <w:rPr>
          <w:rFonts w:hint="eastAsia" w:ascii="黑体" w:eastAsia="黑体"/>
          <w:sz w:val="32"/>
          <w:szCs w:val="32"/>
        </w:rPr>
        <w:t>七、</w:t>
      </w:r>
      <w:r>
        <w:rPr>
          <w:rStyle w:val="34"/>
          <w:rFonts w:hint="eastAsia" w:ascii="黑体" w:hAnsi="黑体" w:eastAsia="黑体"/>
          <w:b w:val="0"/>
        </w:rPr>
        <w:t>财政拨款</w:t>
      </w:r>
      <w:r>
        <w:rPr>
          <w:rStyle w:val="34"/>
          <w:rFonts w:hint="eastAsia" w:ascii="黑体" w:hAnsi="黑体" w:eastAsia="黑体"/>
        </w:rPr>
        <w:t>“</w:t>
      </w:r>
      <w:r>
        <w:rPr>
          <w:rStyle w:val="34"/>
          <w:rFonts w:hint="eastAsia" w:ascii="黑体" w:hAnsi="黑体" w:eastAsia="黑体"/>
          <w:b w:val="0"/>
        </w:rPr>
        <w:t>三公”经费支出决算情况说明</w:t>
      </w:r>
      <w:bookmarkEnd w:id="53"/>
      <w:bookmarkEnd w:id="54"/>
      <w:bookmarkEnd w:id="55"/>
    </w:p>
    <w:p>
      <w:pPr>
        <w:spacing w:line="600" w:lineRule="exact"/>
        <w:ind w:firstLine="640"/>
        <w:outlineLvl w:val="2"/>
        <w:rPr>
          <w:rFonts w:ascii="仿宋" w:hAnsi="仿宋" w:eastAsia="仿宋"/>
          <w:b/>
          <w:sz w:val="32"/>
          <w:szCs w:val="32"/>
        </w:rPr>
      </w:pPr>
      <w:bookmarkStart w:id="56" w:name="_Toc23773"/>
      <w:bookmarkStart w:id="57" w:name="_Toc15377216"/>
      <w:r>
        <w:rPr>
          <w:rFonts w:hint="eastAsia" w:ascii="仿宋" w:hAnsi="仿宋" w:eastAsia="仿宋"/>
          <w:b/>
          <w:sz w:val="32"/>
          <w:szCs w:val="32"/>
        </w:rPr>
        <w:t>（一）“三公”经费财政拨款支出决算总体情况说明</w:t>
      </w:r>
      <w:bookmarkEnd w:id="56"/>
      <w:bookmarkEnd w:id="57"/>
    </w:p>
    <w:p>
      <w:pPr>
        <w:spacing w:line="600" w:lineRule="exact"/>
        <w:ind w:firstLine="640"/>
        <w:rPr>
          <w:rFonts w:ascii="仿宋" w:hAnsi="仿宋" w:eastAsia="仿宋"/>
          <w:sz w:val="32"/>
          <w:szCs w:val="32"/>
        </w:rPr>
      </w:pPr>
      <w:r>
        <w:rPr>
          <w:rFonts w:hint="eastAsia" w:ascii="仿宋" w:hAnsi="仿宋" w:eastAsia="仿宋"/>
          <w:sz w:val="32"/>
          <w:szCs w:val="32"/>
        </w:rPr>
        <w:t>22023年度“三公”经费财政拨款支出决算为</w:t>
      </w:r>
      <w:r>
        <w:rPr>
          <w:sz w:val="32"/>
          <w:szCs w:val="32"/>
        </w:rPr>
        <w:t>6.31</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0.31</w:t>
      </w:r>
      <w:r>
        <w:rPr>
          <w:rFonts w:hint="eastAsia" w:ascii="仿宋" w:hAnsi="仿宋" w:eastAsia="仿宋"/>
          <w:sz w:val="32"/>
          <w:szCs w:val="32"/>
        </w:rPr>
        <w:t>万元，增长</w:t>
      </w:r>
      <w:r>
        <w:rPr>
          <w:rFonts w:hint="eastAsia" w:ascii="仿宋" w:hAnsi="仿宋" w:eastAsia="仿宋"/>
          <w:sz w:val="32"/>
          <w:szCs w:val="32"/>
          <w:lang w:val="en-US" w:eastAsia="zh-CN"/>
        </w:rPr>
        <w:t>5.17</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sz w:val="32"/>
          <w:szCs w:val="32"/>
        </w:rPr>
      </w:pPr>
      <w:bookmarkStart w:id="58" w:name="_Toc15377217"/>
      <w:bookmarkStart w:id="59" w:name="_Toc16444"/>
      <w:bookmarkStart w:id="60" w:name="_Toc28906"/>
      <w:bookmarkStart w:id="61" w:name="_Toc15377218"/>
      <w:bookmarkStart w:id="62" w:name="_Toc15396610"/>
      <w:r>
        <w:rPr>
          <w:rFonts w:hint="eastAsia" w:ascii="仿宋" w:hAnsi="仿宋" w:eastAsia="仿宋"/>
          <w:b/>
          <w:sz w:val="32"/>
          <w:szCs w:val="32"/>
        </w:rPr>
        <w:t>（二）“三公”经费财政拨款支出决算具体情况说明</w:t>
      </w:r>
      <w:bookmarkEnd w:id="58"/>
      <w:bookmarkEnd w:id="59"/>
      <w:bookmarkEnd w:id="60"/>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6.12</w:t>
      </w:r>
      <w:r>
        <w:rPr>
          <w:rFonts w:hint="eastAsia" w:ascii="仿宋" w:hAnsi="仿宋" w:eastAsia="仿宋"/>
          <w:sz w:val="32"/>
          <w:szCs w:val="32"/>
        </w:rPr>
        <w:t>万元，占</w:t>
      </w:r>
      <w:r>
        <w:rPr>
          <w:sz w:val="32"/>
          <w:szCs w:val="32"/>
        </w:rPr>
        <w:t>96.89</w:t>
      </w:r>
      <w:r>
        <w:rPr>
          <w:rFonts w:ascii="仿宋" w:hAnsi="仿宋" w:eastAsia="仿宋"/>
          <w:sz w:val="32"/>
          <w:szCs w:val="32"/>
        </w:rPr>
        <w:t>%</w:t>
      </w:r>
      <w:r>
        <w:rPr>
          <w:rFonts w:hint="eastAsia" w:ascii="仿宋" w:hAnsi="仿宋" w:eastAsia="仿宋"/>
          <w:sz w:val="32"/>
          <w:szCs w:val="32"/>
        </w:rPr>
        <w:t>；公务接待费支出决算</w:t>
      </w:r>
      <w:r>
        <w:rPr>
          <w:sz w:val="32"/>
          <w:szCs w:val="32"/>
        </w:rPr>
        <w:t>0.2</w:t>
      </w:r>
      <w:r>
        <w:rPr>
          <w:rFonts w:hint="eastAsia" w:ascii="仿宋" w:hAnsi="仿宋" w:eastAsia="仿宋"/>
          <w:sz w:val="32"/>
          <w:szCs w:val="32"/>
        </w:rPr>
        <w:t>万元，占</w:t>
      </w:r>
      <w:r>
        <w:rPr>
          <w:sz w:val="32"/>
          <w:szCs w:val="32"/>
        </w:rPr>
        <w:t>3.1</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0</w:t>
      </w:r>
      <w:r>
        <w:rPr>
          <w:rStyle w:val="22"/>
          <w:rFonts w:ascii="仿宋" w:hAnsi="仿宋" w:eastAsia="仿宋"/>
          <w:b w:val="0"/>
          <w:bCs/>
          <w:sz w:val="32"/>
          <w:szCs w:val="32"/>
        </w:rPr>
        <w:t>%</w:t>
      </w:r>
      <w:r>
        <w:rPr>
          <w:rStyle w:val="22"/>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6.12</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100</w:t>
      </w:r>
      <w:r>
        <w:rPr>
          <w:rStyle w:val="22"/>
          <w:rFonts w:ascii="仿宋" w:hAnsi="仿宋" w:eastAsia="仿宋"/>
          <w:b w:val="0"/>
          <w:bCs/>
          <w:sz w:val="32"/>
          <w:szCs w:val="32"/>
        </w:rPr>
        <w:t>%</w:t>
      </w:r>
      <w:r>
        <w:rPr>
          <w:rStyle w:val="22"/>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0.12</w:t>
      </w:r>
      <w:r>
        <w:rPr>
          <w:rFonts w:hint="eastAsia" w:ascii="仿宋_GB2312" w:eastAsia="仿宋_GB2312"/>
          <w:sz w:val="32"/>
          <w:szCs w:val="32"/>
        </w:rPr>
        <w:t>万元，增长</w:t>
      </w: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安装北斗卫星定位系统</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6.12</w:t>
      </w:r>
      <w:r>
        <w:rPr>
          <w:rFonts w:hint="eastAsia" w:ascii="仿宋_GB2312" w:eastAsia="仿宋_GB2312"/>
          <w:sz w:val="32"/>
          <w:szCs w:val="32"/>
        </w:rPr>
        <w:t>万元。主要用于</w:t>
      </w:r>
      <w:r>
        <w:rPr>
          <w:rFonts w:hint="eastAsia" w:ascii="仿宋_GB2312" w:eastAsia="仿宋_GB2312"/>
          <w:sz w:val="32"/>
          <w:szCs w:val="32"/>
          <w:lang w:eastAsia="zh-CN"/>
        </w:rPr>
        <w:t>往返县城报送材料、开会</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0.2</w:t>
      </w:r>
      <w:r>
        <w:rPr>
          <w:rFonts w:hint="eastAsia" w:ascii="仿宋_GB2312" w:eastAsia="仿宋_GB2312"/>
          <w:sz w:val="32"/>
          <w:szCs w:val="32"/>
        </w:rPr>
        <w:t>万元，</w:t>
      </w:r>
      <w:r>
        <w:rPr>
          <w:rStyle w:val="22"/>
          <w:rFonts w:hint="eastAsia" w:ascii="仿宋" w:hAnsi="仿宋" w:eastAsia="仿宋"/>
          <w:b w:val="0"/>
          <w:bCs/>
          <w:sz w:val="32"/>
          <w:szCs w:val="32"/>
        </w:rPr>
        <w:t>完成预算</w:t>
      </w:r>
      <w:r>
        <w:rPr>
          <w:sz w:val="32"/>
          <w:szCs w:val="32"/>
        </w:rPr>
        <w:t>100%</w:t>
      </w:r>
      <w:r>
        <w:rPr>
          <w:rStyle w:val="22"/>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0.2</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接待浙江嘉善帮扶单位前来调研</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0.2</w:t>
      </w:r>
      <w:r>
        <w:rPr>
          <w:rFonts w:hint="eastAsia" w:ascii="仿宋_GB2312" w:eastAsia="仿宋_GB2312"/>
          <w:sz w:val="32"/>
          <w:szCs w:val="32"/>
        </w:rPr>
        <w:t>万元，主要用于</w:t>
      </w:r>
      <w:r>
        <w:rPr>
          <w:rFonts w:hint="eastAsia" w:ascii="仿宋_GB2312" w:eastAsia="仿宋_GB2312"/>
          <w:sz w:val="32"/>
          <w:szCs w:val="32"/>
          <w:lang w:eastAsia="zh-CN"/>
        </w:rPr>
        <w:t>调研活动</w:t>
      </w:r>
      <w:r>
        <w:rPr>
          <w:rFonts w:hint="eastAsia" w:ascii="仿宋_GB2312" w:eastAsia="仿宋_GB2312"/>
          <w:sz w:val="32"/>
          <w:szCs w:val="32"/>
        </w:rPr>
        <w:t>(执行公务、开展业务活动开支的交通费、住宿费、用餐费等)。国内公务接待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0.2</w:t>
      </w:r>
      <w:r>
        <w:rPr>
          <w:rFonts w:hint="eastAsia" w:ascii="仿宋_GB2312" w:eastAsia="仿宋_GB2312"/>
          <w:sz w:val="32"/>
          <w:szCs w:val="32"/>
        </w:rPr>
        <w:t>万元，具体内容包括：</w:t>
      </w:r>
      <w:r>
        <w:rPr>
          <w:rFonts w:hint="eastAsia" w:ascii="仿宋_GB2312" w:eastAsia="仿宋_GB2312"/>
          <w:sz w:val="32"/>
          <w:szCs w:val="32"/>
          <w:lang w:eastAsia="zh-CN"/>
        </w:rPr>
        <w:t>人员交通费、用餐费等</w:t>
      </w:r>
      <w:r>
        <w:rPr>
          <w:rFonts w:hint="eastAsia" w:ascii="仿宋_GB2312" w:eastAsia="仿宋_GB2312"/>
          <w:sz w:val="32"/>
          <w:szCs w:val="32"/>
        </w:rPr>
        <w:t>。</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p>
    <w:p>
      <w:pPr>
        <w:spacing w:line="600" w:lineRule="exact"/>
        <w:ind w:firstLine="640"/>
        <w:outlineLvl w:val="1"/>
        <w:rPr>
          <w:rStyle w:val="34"/>
          <w:rFonts w:ascii="黑体" w:hAnsi="黑体" w:eastAsia="黑体"/>
        </w:rPr>
      </w:pPr>
      <w:bookmarkStart w:id="63" w:name="_Toc1914"/>
      <w:r>
        <w:rPr>
          <w:rFonts w:hint="eastAsia" w:ascii="黑体" w:eastAsia="黑体"/>
          <w:sz w:val="32"/>
          <w:szCs w:val="32"/>
        </w:rPr>
        <w:t>八、</w:t>
      </w:r>
      <w:r>
        <w:rPr>
          <w:rStyle w:val="34"/>
          <w:rFonts w:hint="eastAsia" w:ascii="黑体" w:hAnsi="黑体" w:eastAsia="黑体"/>
          <w:b w:val="0"/>
        </w:rPr>
        <w:t>政府性基金预算支出决算情况说明</w:t>
      </w:r>
      <w:bookmarkEnd w:id="61"/>
      <w:bookmarkEnd w:id="62"/>
      <w:bookmarkEnd w:id="63"/>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3"/>
        </w:numPr>
        <w:spacing w:line="600" w:lineRule="exact"/>
        <w:ind w:firstLine="640"/>
        <w:outlineLvl w:val="1"/>
        <w:rPr>
          <w:rStyle w:val="34"/>
          <w:rFonts w:ascii="黑体" w:hAnsi="黑体" w:eastAsia="黑体"/>
          <w:b w:val="0"/>
        </w:rPr>
      </w:pPr>
      <w:bookmarkStart w:id="64" w:name="_Toc15377219"/>
      <w:bookmarkStart w:id="65" w:name="_Toc15396611"/>
      <w:bookmarkStart w:id="66" w:name="_Toc4452"/>
      <w:r>
        <w:rPr>
          <w:rStyle w:val="34"/>
          <w:rFonts w:hint="eastAsia" w:ascii="黑体" w:hAnsi="黑体" w:eastAsia="黑体"/>
          <w:b w:val="0"/>
        </w:rPr>
        <w:t>国有资本经营预算支出决算情况说明</w:t>
      </w:r>
      <w:bookmarkEnd w:id="64"/>
      <w:bookmarkEnd w:id="65"/>
      <w:bookmarkEnd w:id="66"/>
    </w:p>
    <w:p>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Style w:val="34"/>
          <w:rFonts w:ascii="黑体" w:hAnsi="黑体" w:eastAsia="黑体"/>
          <w:b w:val="0"/>
        </w:rPr>
      </w:pPr>
      <w:bookmarkStart w:id="67" w:name="_Toc31145"/>
      <w:bookmarkStart w:id="68" w:name="_Toc15396612"/>
      <w:bookmarkStart w:id="69" w:name="_Toc15377221"/>
      <w:r>
        <w:rPr>
          <w:rStyle w:val="34"/>
          <w:rFonts w:hint="eastAsia" w:ascii="黑体" w:hAnsi="黑体" w:eastAsia="黑体"/>
          <w:b w:val="0"/>
        </w:rPr>
        <w:t>其他重要事项的情况说明</w:t>
      </w:r>
      <w:bookmarkEnd w:id="67"/>
      <w:bookmarkEnd w:id="68"/>
      <w:bookmarkEnd w:id="69"/>
    </w:p>
    <w:p>
      <w:pPr>
        <w:spacing w:line="600" w:lineRule="exact"/>
        <w:ind w:firstLine="643" w:firstLineChars="200"/>
        <w:outlineLvl w:val="2"/>
        <w:rPr>
          <w:rFonts w:ascii="仿宋" w:hAnsi="仿宋" w:eastAsia="仿宋"/>
          <w:sz w:val="32"/>
          <w:szCs w:val="32"/>
        </w:rPr>
      </w:pPr>
      <w:bookmarkStart w:id="70" w:name="_Toc15377222"/>
      <w:bookmarkStart w:id="71" w:name="_Toc1"/>
      <w:r>
        <w:rPr>
          <w:rFonts w:hint="eastAsia" w:ascii="仿宋" w:hAnsi="仿宋" w:eastAsia="仿宋"/>
          <w:b/>
          <w:sz w:val="32"/>
          <w:szCs w:val="32"/>
        </w:rPr>
        <w:t>（一）机关运行经费支出情况</w:t>
      </w:r>
      <w:bookmarkEnd w:id="70"/>
      <w:bookmarkEnd w:id="71"/>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草地乡政府</w:t>
      </w:r>
      <w:r>
        <w:rPr>
          <w:rFonts w:hint="eastAsia" w:ascii="仿宋_GB2312" w:eastAsia="仿宋_GB2312"/>
          <w:sz w:val="32"/>
          <w:szCs w:val="32"/>
        </w:rPr>
        <w:t>机关运行经费支出</w:t>
      </w:r>
      <w:r>
        <w:rPr>
          <w:rFonts w:ascii="仿宋" w:hAnsi="仿宋" w:eastAsia="仿宋"/>
          <w:b/>
          <w:sz w:val="32"/>
          <w:szCs w:val="32"/>
        </w:rPr>
        <w:t>39.48</w:t>
      </w:r>
      <w:r>
        <w:rPr>
          <w:rFonts w:hint="eastAsia" w:ascii="仿宋_GB2312" w:eastAsia="仿宋_GB2312"/>
          <w:sz w:val="32"/>
          <w:szCs w:val="32"/>
        </w:rPr>
        <w:t>万元，比2022年度增加</w:t>
      </w:r>
      <w:r>
        <w:rPr>
          <w:rFonts w:hint="eastAsia" w:ascii="仿宋_GB2312" w:eastAsia="仿宋_GB2312"/>
          <w:sz w:val="32"/>
          <w:szCs w:val="32"/>
          <w:lang w:val="en-US" w:eastAsia="zh-CN"/>
        </w:rPr>
        <w:t>3.62</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10.09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人员增加</w:t>
      </w:r>
      <w:r>
        <w:rPr>
          <w:rFonts w:hint="eastAsia" w:ascii="仿宋_GB2312" w:eastAsia="仿宋_GB2312"/>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2" w:name="_Toc15377223"/>
      <w:bookmarkStart w:id="73" w:name="_Toc31729"/>
      <w:r>
        <w:rPr>
          <w:rFonts w:hint="eastAsia" w:ascii="仿宋" w:hAnsi="仿宋" w:eastAsia="仿宋"/>
          <w:b/>
          <w:sz w:val="32"/>
          <w:szCs w:val="32"/>
        </w:rPr>
        <w:t>（二）政府采购支出情况</w:t>
      </w:r>
      <w:bookmarkEnd w:id="72"/>
      <w:bookmarkEnd w:id="73"/>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草地乡政府</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4" w:name="_Toc13804"/>
      <w:bookmarkStart w:id="75" w:name="_Toc15377224"/>
      <w:r>
        <w:rPr>
          <w:rFonts w:hint="eastAsia" w:ascii="仿宋" w:hAnsi="仿宋" w:eastAsia="仿宋"/>
          <w:b/>
          <w:sz w:val="32"/>
          <w:szCs w:val="32"/>
        </w:rPr>
        <w:t>（三）国有资产占有使用情况</w:t>
      </w:r>
      <w:bookmarkEnd w:id="74"/>
      <w:bookmarkEnd w:id="75"/>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草地乡政府</w:t>
      </w:r>
      <w:r>
        <w:rPr>
          <w:rFonts w:hint="eastAsia" w:ascii="仿宋_GB2312" w:eastAsia="仿宋_GB2312"/>
          <w:sz w:val="32"/>
          <w:szCs w:val="32"/>
        </w:rPr>
        <w:t>共有车辆</w:t>
      </w:r>
      <w:r>
        <w:rPr>
          <w:rFonts w:hint="eastAsia" w:ascii="仿宋_GB2312" w:eastAsia="仿宋_GB2312"/>
          <w:b/>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辆，其他用车主要是用于</w:t>
      </w:r>
      <w:r>
        <w:rPr>
          <w:rFonts w:hint="eastAsia" w:ascii="仿宋_GB2312" w:eastAsia="仿宋_GB2312"/>
          <w:sz w:val="32"/>
          <w:szCs w:val="32"/>
          <w:lang w:eastAsia="zh-CN"/>
        </w:rPr>
        <w:t>往返县城报送材料、开会、开展乡上各项工作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6" w:name="_Toc11913"/>
      <w:r>
        <w:rPr>
          <w:rFonts w:hint="eastAsia" w:ascii="仿宋" w:hAnsi="仿宋" w:eastAsia="仿宋"/>
          <w:b/>
          <w:sz w:val="32"/>
          <w:szCs w:val="32"/>
        </w:rPr>
        <w:t>（四）预算绩效管理情况</w:t>
      </w:r>
      <w:bookmarkEnd w:id="76"/>
    </w:p>
    <w:p>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w:t>
      </w: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九寨沟县草地乡上草地村集体经济提升改造项目、上草地村蔬菜产业基地配套建设、草地乡</w:t>
      </w:r>
      <w:r>
        <w:rPr>
          <w:rFonts w:hint="eastAsia" w:ascii="仿宋_GB2312" w:hAnsi="仿宋_GB2312" w:eastAsia="仿宋_GB2312" w:cs="仿宋_GB2312"/>
          <w:sz w:val="32"/>
          <w:szCs w:val="32"/>
          <w:lang w:val="en-US" w:eastAsia="zh-CN"/>
        </w:rPr>
        <w:t>2023年基层政权建设</w:t>
      </w:r>
      <w:r>
        <w:rPr>
          <w:rFonts w:hint="eastAsia" w:ascii="仿宋_GB2312" w:hAnsi="仿宋_GB2312" w:eastAsia="仿宋_GB2312" w:cs="仿宋_GB2312"/>
          <w:sz w:val="32"/>
          <w:szCs w:val="32"/>
        </w:rPr>
        <w:t>项目等</w:t>
      </w:r>
      <w:r>
        <w:rPr>
          <w:rFonts w:hint="eastAsia" w:ascii="仿宋_GB2312" w:eastAsia="仿宋_GB2312"/>
          <w:sz w:val="32"/>
          <w:szCs w:val="32"/>
          <w:lang w:val="en-US" w:eastAsia="zh-CN"/>
        </w:rPr>
        <w:t>17</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15</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15</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15</w:t>
      </w:r>
      <w:r>
        <w:rPr>
          <w:rFonts w:hint="eastAsia" w:ascii="仿宋_GB2312" w:eastAsia="仿宋_GB2312"/>
          <w:sz w:val="32"/>
          <w:szCs w:val="32"/>
        </w:rPr>
        <w:t>个项目开展绩效自评，绩效自评表详见第四部分附件。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pPr>
        <w:numPr>
          <w:ilvl w:val="0"/>
          <w:numId w:val="4"/>
        </w:numPr>
        <w:spacing w:line="600" w:lineRule="exact"/>
        <w:ind w:firstLine="660" w:firstLineChars="150"/>
        <w:jc w:val="center"/>
        <w:outlineLvl w:val="0"/>
        <w:rPr>
          <w:rStyle w:val="33"/>
          <w:rFonts w:ascii="黑体" w:hAnsi="黑体" w:eastAsia="黑体"/>
          <w:b w:val="0"/>
        </w:rPr>
      </w:pPr>
      <w:bookmarkStart w:id="77" w:name="_Toc15396613"/>
      <w:bookmarkStart w:id="78" w:name="_Toc309"/>
      <w:bookmarkStart w:id="79" w:name="_Toc15377225"/>
      <w:r>
        <w:rPr>
          <w:rFonts w:hint="eastAsia" w:ascii="黑体" w:hAnsi="黑体" w:eastAsia="黑体"/>
          <w:sz w:val="44"/>
          <w:szCs w:val="44"/>
        </w:rPr>
        <w:t>名</w:t>
      </w:r>
      <w:r>
        <w:rPr>
          <w:rStyle w:val="33"/>
          <w:rFonts w:hint="eastAsia" w:ascii="黑体" w:hAnsi="黑体" w:eastAsia="黑体"/>
          <w:b w:val="0"/>
        </w:rPr>
        <w:t>词解释</w:t>
      </w:r>
      <w:bookmarkEnd w:id="77"/>
      <w:bookmarkEnd w:id="78"/>
      <w:bookmarkEnd w:id="79"/>
    </w:p>
    <w:p>
      <w:pPr>
        <w:spacing w:line="600" w:lineRule="exact"/>
        <w:jc w:val="left"/>
        <w:rPr>
          <w:rFonts w:ascii="宋体"/>
          <w:b/>
          <w:sz w:val="44"/>
          <w:szCs w:val="44"/>
        </w:rPr>
      </w:pPr>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9.一般公共服务（201）政府办公厅（室）及相关机构事务（03）行政运行（01）：指行政单位的基本支出。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10.社会保障和就业（208）行政事业单位养老支出（05）机关事业单位基本养老保险缴费支出（05）：指机关事业范围实施养老制度有单位缴纳的基本养老保险费支出。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11.社会保障和就业（208）行政事业单位养老支出（05）机关事业单位职业年金缴费支出（06）：指机关事业范围实施养老制度有单位缴纳的基本养老保险费支出。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12.卫生健康（210）公共卫生（04）重大公共卫生服务（09）：指重大公共卫生服务类费用支出。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卫生健康（210）行政事业单位医疗（11）行政单位医疗（01）：指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14.卫生健康（210）行政事业单位医疗（11）公务员医疗补助（03）：指财政部门集中安排的公务员医疗补助。</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15.卫生健康（210）其他卫生健康支出（99）其他卫生健康支出（99）：指其他卫生健康费用支出。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16.城乡社区支出（212）城乡社区管理事务（01）城管执法（04）：指支城管执法费用。</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17.农林水支出（213）农业农村（01）其他农业农村支出（99）：指指其他用于农业方面的支出。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18.农林水支出（213）林业和草原（02）林业草原防灾减灾（34）：指支防灾减灾支出。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19.农林水支出（213）林业和草原（02）其他林业和草原支出（99）：指其他林业和草原支出。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21.农林水支出（213）水利（03）其他水利支出（99）：指其他水利支出。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22.农林水支出（213）巩固脱贫衔接乡村振兴（05）其他巩固脱贫衔接乡村振兴支出（99）：指指其他用于扶贫方面的支出。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23.农林水支出（213）水农村综合改革（07）对村民委员会和村党支部的补助（05）：指各级财政对村民委员会和村党支部的补助支出。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6</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sz w:val="32"/>
          <w:szCs w:val="32"/>
          <w:lang w:val="en-US" w:eastAsia="zh-CN"/>
        </w:rPr>
        <w:t>7</w:t>
      </w:r>
      <w:r>
        <w:rPr>
          <w:rFonts w:hint="eastAsia" w:ascii="仿宋_GB2312" w:eastAsia="仿宋_GB2312"/>
          <w:sz w:val="32"/>
          <w:szCs w:val="32"/>
        </w:rPr>
        <w:t>.经营支出：指事业单位在专业业务活动及其辅助活动之外开展非独立核算经营活动发生的支出。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28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640" w:firstLineChars="200"/>
        <w:rPr>
          <w:rFonts w:ascii="宋体"/>
          <w:b/>
          <w:sz w:val="44"/>
          <w:szCs w:val="44"/>
        </w:rPr>
        <w:sectPr>
          <w:footerReference r:id="rId10" w:type="first"/>
          <w:footerReference r:id="rId9" w:type="default"/>
          <w:pgSz w:w="11906" w:h="16838"/>
          <w:pgMar w:top="1440" w:right="1800" w:bottom="1440" w:left="1800" w:header="851" w:footer="992" w:gutter="0"/>
          <w:pgNumType w:fmt="decimal" w:start="1"/>
          <w:cols w:space="425" w:num="1"/>
          <w:titlePg/>
          <w:docGrid w:type="lines" w:linePitch="312" w:charSpace="0"/>
        </w:sectPr>
      </w:pPr>
      <w:r>
        <w:rPr>
          <w:rFonts w:hint="eastAsia" w:ascii="仿宋_GB2312" w:eastAsia="仿宋_GB2312"/>
          <w:sz w:val="32"/>
          <w:szCs w:val="32"/>
          <w:lang w:val="en-US" w:eastAsia="zh-CN"/>
        </w:rPr>
        <w:t>29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color w:val="auto"/>
          <w:sz w:val="32"/>
          <w:szCs w:val="32"/>
        </w:rPr>
        <w:t>。</w:t>
      </w:r>
      <w:bookmarkStart w:id="80" w:name="_Toc15396614"/>
      <w:bookmarkStart w:id="81" w:name="_Toc15377226"/>
    </w:p>
    <w:p>
      <w:pPr>
        <w:spacing w:line="600" w:lineRule="exact"/>
        <w:jc w:val="center"/>
        <w:outlineLvl w:val="0"/>
        <w:rPr>
          <w:rStyle w:val="33"/>
          <w:rFonts w:ascii="黑体" w:hAnsi="黑体" w:eastAsia="黑体"/>
          <w:b w:val="0"/>
        </w:rPr>
      </w:pPr>
      <w:bookmarkStart w:id="82" w:name="_Toc787"/>
      <w:r>
        <w:rPr>
          <w:rFonts w:hint="eastAsia" w:ascii="黑体" w:hAnsi="黑体" w:eastAsia="黑体"/>
          <w:sz w:val="44"/>
          <w:szCs w:val="44"/>
        </w:rPr>
        <w:t>第</w:t>
      </w:r>
      <w:r>
        <w:rPr>
          <w:rStyle w:val="33"/>
          <w:rFonts w:hint="eastAsia" w:ascii="黑体" w:hAnsi="黑体" w:eastAsia="黑体"/>
          <w:b w:val="0"/>
        </w:rPr>
        <w:t>四部分 附件</w:t>
      </w:r>
      <w:bookmarkEnd w:id="80"/>
      <w:bookmarkEnd w:id="82"/>
    </w:p>
    <w:p>
      <w:pPr>
        <w:spacing w:line="572" w:lineRule="exact"/>
        <w:jc w:val="left"/>
        <w:outlineLvl w:val="0"/>
        <w:rPr>
          <w:rFonts w:ascii="仿宋_GB2312" w:hAnsi="仿宋_GB2312" w:eastAsia="仿宋_GB2312" w:cs="仿宋_GB2312"/>
          <w:sz w:val="32"/>
          <w:szCs w:val="32"/>
        </w:rPr>
      </w:pPr>
    </w:p>
    <w:p>
      <w:pPr>
        <w:ind w:firstLine="640" w:firstLineChars="200"/>
        <w:jc w:val="center"/>
        <w:rPr>
          <w:rFonts w:hint="eastAsia" w:ascii="仿宋_GB2312" w:eastAsia="仿宋_GB2312"/>
          <w:sz w:val="32"/>
          <w:szCs w:val="32"/>
        </w:rPr>
      </w:pPr>
      <w:bookmarkStart w:id="83" w:name="_Toc15396618"/>
      <w:r>
        <w:rPr>
          <w:rFonts w:hint="eastAsia" w:ascii="仿宋_GB2312" w:eastAsia="仿宋_GB2312"/>
          <w:sz w:val="32"/>
          <w:szCs w:val="32"/>
        </w:rPr>
        <w:t>部门预算项目支出绩效自评表（2023年度）</w:t>
      </w:r>
    </w:p>
    <w:tbl>
      <w:tblPr>
        <w:tblStyle w:val="24"/>
        <w:tblW w:w="139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4"/>
        <w:gridCol w:w="1743"/>
        <w:gridCol w:w="1538"/>
        <w:gridCol w:w="1948"/>
        <w:gridCol w:w="591"/>
        <w:gridCol w:w="1468"/>
        <w:gridCol w:w="1354"/>
        <w:gridCol w:w="1004"/>
        <w:gridCol w:w="460"/>
        <w:gridCol w:w="407"/>
        <w:gridCol w:w="2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trPr>
        <w:tc>
          <w:tcPr>
            <w:tcW w:w="5853" w:type="dxa"/>
            <w:gridSpan w:val="4"/>
            <w:shd w:val="clear" w:color="auto" w:fill="auto"/>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报表编号：510000_0013zp</w:t>
            </w:r>
          </w:p>
        </w:tc>
        <w:tc>
          <w:tcPr>
            <w:tcW w:w="591" w:type="dxa"/>
            <w:shd w:val="clear" w:color="auto" w:fill="auto"/>
            <w:vAlign w:val="center"/>
          </w:tcPr>
          <w:p>
            <w:pPr>
              <w:rPr>
                <w:rFonts w:hint="eastAsia" w:ascii="宋体" w:hAnsi="宋体" w:eastAsia="宋体" w:cs="宋体"/>
                <w:i w:val="0"/>
                <w:color w:val="000000"/>
                <w:sz w:val="22"/>
                <w:szCs w:val="22"/>
                <w:u w:val="none"/>
              </w:rPr>
            </w:pPr>
          </w:p>
        </w:tc>
        <w:tc>
          <w:tcPr>
            <w:tcW w:w="3826" w:type="dxa"/>
            <w:gridSpan w:val="3"/>
            <w:shd w:val="clear" w:color="auto" w:fill="auto"/>
            <w:vAlign w:val="center"/>
          </w:tcPr>
          <w:p>
            <w:pPr>
              <w:rPr>
                <w:rFonts w:hint="eastAsia" w:ascii="宋体" w:hAnsi="宋体" w:eastAsia="宋体" w:cs="宋体"/>
                <w:i w:val="0"/>
                <w:color w:val="000000"/>
                <w:sz w:val="20"/>
                <w:szCs w:val="20"/>
                <w:u w:val="none"/>
              </w:rPr>
            </w:pPr>
          </w:p>
        </w:tc>
        <w:tc>
          <w:tcPr>
            <w:tcW w:w="460" w:type="dxa"/>
            <w:shd w:val="clear" w:color="auto" w:fill="auto"/>
            <w:vAlign w:val="center"/>
          </w:tcPr>
          <w:p>
            <w:pPr>
              <w:rPr>
                <w:rFonts w:hint="eastAsia" w:ascii="宋体" w:hAnsi="宋体" w:eastAsia="宋体" w:cs="宋体"/>
                <w:i w:val="0"/>
                <w:color w:val="000000"/>
                <w:sz w:val="22"/>
                <w:szCs w:val="22"/>
                <w:u w:val="none"/>
              </w:rPr>
            </w:pPr>
          </w:p>
        </w:tc>
        <w:tc>
          <w:tcPr>
            <w:tcW w:w="407" w:type="dxa"/>
            <w:shd w:val="clear" w:color="auto" w:fill="auto"/>
            <w:vAlign w:val="center"/>
          </w:tcPr>
          <w:p>
            <w:pPr>
              <w:rPr>
                <w:rFonts w:hint="eastAsia" w:ascii="宋体" w:hAnsi="宋体" w:eastAsia="宋体" w:cs="宋体"/>
                <w:i w:val="0"/>
                <w:color w:val="000000"/>
                <w:sz w:val="22"/>
                <w:szCs w:val="22"/>
                <w:u w:val="none"/>
              </w:rPr>
            </w:pPr>
          </w:p>
        </w:tc>
        <w:tc>
          <w:tcPr>
            <w:tcW w:w="2852"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51322522T000000402350-安全生产工作经费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做好全年安全生产工作，有物资保障，宣传到位，有效防止特殊安全事故的发生，维护社会安定稳定，促进安全生产工作持续开展</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全乡三村，资金矿业</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有应急预案，有效防止特殊安全事故发生</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项目时效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提前统筹规划，后期应急保障</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有效维护社会安全稳定</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提升环境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促进安全生产工作持续开展</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51322522T000006622006-城乡环境综合治理专项经费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改善草地乡人居环境，提高生活质量，创造发展优势，奋力打造干净、整洁的城乡环境，全面提升草地乡城乡环境质量。</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维护环境人员</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环境治理情况</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环境治理间隔</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维护草地乡干净、整洁卫生环境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51322522T000006734545-重大传染病防控（草地乡）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为草地乡重大传染病防控工作提供良好的后勤保障，做好重大传染病防控常态化工作，健全应急管理体系，提高处理急难险重任务能力，更好的维护社会大局稳定，推进各项防控工作，坚决遏制传染病的产生。</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全乡防控人数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417</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户</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杜绝传染病成效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传染病防控管理时效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促进健康生活环境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51322523T000008579879-基层组织和公共服务运行费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从各村实际出发，提升村办公能力，保障村级各项事务开展</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31.30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31.26</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99.87%</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3村全覆盖</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保障村级各项事务开展</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村寨发展依托，保障</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维护社会和谐稳定</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改善村容村貌，提升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各村可持续发展</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33万元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51322523T000008583101-伙食团补助费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用于职工伙食团日常开销，提高全乡职工的生活水平</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在伙食团就餐人数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安全、卫生提供食物，保障职工伙食水平</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项目经费时效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提高干部职工工作积极性</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维护乡伙食团持续开展</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优良差</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干部职工满意度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51322523T000009334491-草地乡边界维稳经费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维护周边乡镇边界稳定友好工作，加强与郭元乡，石鸡坝镇的沟通联系，保障边界稳定友好，和谐发展，维护稳定，保护生态环境。</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45.45%</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边界巡查维护次数</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保障边界稳定友好，和谐发展</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边界稳定持续时效</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创建平安边界，健全边界稳定友好</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优势互补，资源共享，互利共赢</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51322523T000009364237-草地乡上草地村蔬菜产业基地配套建设项目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修建上草地村蔬菜产业基地，改善自然条件限制，增加草地乡蔬菜种植产能，增加百姓收入；隔离蔬菜产业基地与产业路，保护农民家蔬菜；大力发展乡村旅游，打造“九寨秘境，云上草地”乡村旅游品牌，发展“一村一品”的模式，走好“文农旅融合”发展之路，激发乡村旅游发展新动力。</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83.52</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项目主要建设工程量</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项目整体工程质量</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建设周期</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增加县域财政收入，增加农民农产品收入</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增加道路通行运输能力，满足村民运输需求</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51322523T000009451951-下草地村民族团结进步示范村建设项目使用林地补偿费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保障国家林地安全、维护生态安全和促进农村经济社会发展重要林地，平衡土地使用权益与生态保护利益，维护土地资源的可持续发展起到了至关重要的作用。</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使用林地面积</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0.1177</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公顷</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遵守有关林业法规、条例情况</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林地补偿费用支付时间</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加强民族交往交流，创造和谐经济环境</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平衡土地使用权益与生态保护</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林地补偿总额</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59963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51322523T000009625932-上草地村村寨配套景观基础设施建设项目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上草地村村寨配套景观基础设施建设项目将惠及全村及所有贫困户，拓宽群众增收门路，壮大集体经济，监理将有效特提高项目施工质量，控制施工成本，保障施工安全，加快工程建设进度。</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项目施工工程量</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项/点位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工作计划完成情况</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监理费用支付时间</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发展文化旅游，开发非物质文化</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保护土地资源，实现人与自然和谐相处</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成本控制在预算范围内</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51322523T000009692601-草地乡森林防火奖补资金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51322523T000009758321-九寨沟县草地乡2023年基层政权建设项目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65.05</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10.05</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15.45%</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51322523T000009766183-九寨沟县草地乡创建国家AAA级旅游景区补短建设项目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193.71</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93.71</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48.38%</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51322523T000009898580-九寨沟县草地乡上草地村集体经济提升改造项目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59.22</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51322524T000009975207-乡镇文化站（中心）免费开放补助资金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4.56</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1398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51322524T000010295403-九寨沟县草地乡杨家湾村老寨产种养殖基地配套建设项目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23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草地乡政府部门</w:t>
            </w:r>
          </w:p>
        </w:tc>
        <w:tc>
          <w:tcPr>
            <w:tcW w:w="1004" w:type="dxa"/>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草地乡政府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8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116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267.59</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4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3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2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133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4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项目负责人：高东</w:t>
            </w:r>
          </w:p>
        </w:tc>
        <w:tc>
          <w:tcPr>
            <w:tcW w:w="7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财务负责人：李辉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24" w:type="dxa"/>
            <w:shd w:val="clear" w:color="auto" w:fill="auto"/>
            <w:vAlign w:val="center"/>
          </w:tcPr>
          <w:p>
            <w:pPr>
              <w:rPr>
                <w:rFonts w:hint="eastAsia" w:ascii="宋体" w:hAnsi="宋体" w:eastAsia="宋体" w:cs="宋体"/>
                <w:i w:val="0"/>
                <w:color w:val="000000"/>
                <w:sz w:val="18"/>
                <w:szCs w:val="18"/>
                <w:u w:val="none"/>
              </w:rPr>
            </w:pPr>
          </w:p>
        </w:tc>
        <w:tc>
          <w:tcPr>
            <w:tcW w:w="1743" w:type="dxa"/>
            <w:shd w:val="clear" w:color="auto" w:fill="auto"/>
            <w:vAlign w:val="center"/>
          </w:tcPr>
          <w:p>
            <w:pPr>
              <w:rPr>
                <w:rFonts w:hint="eastAsia" w:ascii="宋体" w:hAnsi="宋体" w:eastAsia="宋体" w:cs="宋体"/>
                <w:i w:val="0"/>
                <w:color w:val="000000"/>
                <w:sz w:val="18"/>
                <w:szCs w:val="18"/>
                <w:u w:val="none"/>
              </w:rPr>
            </w:pPr>
          </w:p>
        </w:tc>
        <w:tc>
          <w:tcPr>
            <w:tcW w:w="1538" w:type="dxa"/>
            <w:shd w:val="clear" w:color="auto" w:fill="auto"/>
            <w:vAlign w:val="center"/>
          </w:tcPr>
          <w:p>
            <w:pPr>
              <w:rPr>
                <w:rFonts w:hint="eastAsia" w:ascii="宋体" w:hAnsi="宋体" w:eastAsia="宋体" w:cs="宋体"/>
                <w:i w:val="0"/>
                <w:color w:val="000000"/>
                <w:sz w:val="18"/>
                <w:szCs w:val="18"/>
                <w:u w:val="none"/>
              </w:rPr>
            </w:pPr>
          </w:p>
        </w:tc>
        <w:tc>
          <w:tcPr>
            <w:tcW w:w="1948" w:type="dxa"/>
            <w:shd w:val="clear" w:color="auto" w:fill="auto"/>
            <w:vAlign w:val="center"/>
          </w:tcPr>
          <w:p>
            <w:pPr>
              <w:rPr>
                <w:rFonts w:hint="eastAsia" w:ascii="宋体" w:hAnsi="宋体" w:eastAsia="宋体" w:cs="宋体"/>
                <w:i w:val="0"/>
                <w:color w:val="000000"/>
                <w:sz w:val="18"/>
                <w:szCs w:val="18"/>
                <w:u w:val="none"/>
              </w:rPr>
            </w:pPr>
          </w:p>
        </w:tc>
        <w:tc>
          <w:tcPr>
            <w:tcW w:w="591" w:type="dxa"/>
            <w:shd w:val="clear" w:color="auto" w:fill="auto"/>
            <w:vAlign w:val="center"/>
          </w:tcPr>
          <w:p>
            <w:pPr>
              <w:rPr>
                <w:rFonts w:hint="eastAsia" w:ascii="宋体" w:hAnsi="宋体" w:eastAsia="宋体" w:cs="宋体"/>
                <w:i w:val="0"/>
                <w:color w:val="000000"/>
                <w:sz w:val="18"/>
                <w:szCs w:val="18"/>
                <w:u w:val="none"/>
              </w:rPr>
            </w:pPr>
          </w:p>
        </w:tc>
        <w:tc>
          <w:tcPr>
            <w:tcW w:w="1468" w:type="dxa"/>
            <w:shd w:val="clear" w:color="auto" w:fill="auto"/>
            <w:vAlign w:val="center"/>
          </w:tcPr>
          <w:p>
            <w:pPr>
              <w:rPr>
                <w:rFonts w:hint="eastAsia" w:ascii="宋体" w:hAnsi="宋体" w:eastAsia="宋体" w:cs="宋体"/>
                <w:i w:val="0"/>
                <w:color w:val="000000"/>
                <w:sz w:val="18"/>
                <w:szCs w:val="18"/>
                <w:u w:val="none"/>
              </w:rPr>
            </w:pPr>
          </w:p>
        </w:tc>
        <w:tc>
          <w:tcPr>
            <w:tcW w:w="1354" w:type="dxa"/>
            <w:shd w:val="clear" w:color="auto" w:fill="auto"/>
            <w:vAlign w:val="center"/>
          </w:tcPr>
          <w:p>
            <w:pPr>
              <w:rPr>
                <w:rFonts w:hint="eastAsia" w:ascii="宋体" w:hAnsi="宋体" w:eastAsia="宋体" w:cs="宋体"/>
                <w:i w:val="0"/>
                <w:color w:val="000000"/>
                <w:sz w:val="18"/>
                <w:szCs w:val="18"/>
                <w:u w:val="none"/>
              </w:rPr>
            </w:pPr>
          </w:p>
        </w:tc>
        <w:tc>
          <w:tcPr>
            <w:tcW w:w="1004" w:type="dxa"/>
            <w:shd w:val="clear" w:color="auto" w:fill="auto"/>
            <w:vAlign w:val="center"/>
          </w:tcPr>
          <w:p>
            <w:pPr>
              <w:rPr>
                <w:rFonts w:hint="eastAsia" w:ascii="宋体" w:hAnsi="宋体" w:eastAsia="宋体" w:cs="宋体"/>
                <w:i w:val="0"/>
                <w:color w:val="000000"/>
                <w:sz w:val="18"/>
                <w:szCs w:val="18"/>
                <w:u w:val="none"/>
              </w:rPr>
            </w:pPr>
          </w:p>
        </w:tc>
        <w:tc>
          <w:tcPr>
            <w:tcW w:w="460" w:type="dxa"/>
            <w:shd w:val="clear" w:color="auto" w:fill="auto"/>
            <w:vAlign w:val="center"/>
          </w:tcPr>
          <w:p>
            <w:pPr>
              <w:rPr>
                <w:rFonts w:hint="eastAsia" w:ascii="宋体" w:hAnsi="宋体" w:eastAsia="宋体" w:cs="宋体"/>
                <w:i w:val="0"/>
                <w:color w:val="000000"/>
                <w:sz w:val="18"/>
                <w:szCs w:val="18"/>
                <w:u w:val="none"/>
              </w:rPr>
            </w:pPr>
          </w:p>
        </w:tc>
        <w:tc>
          <w:tcPr>
            <w:tcW w:w="407" w:type="dxa"/>
            <w:shd w:val="clear" w:color="auto" w:fill="auto"/>
            <w:vAlign w:val="center"/>
          </w:tcPr>
          <w:p>
            <w:pPr>
              <w:rPr>
                <w:rFonts w:hint="eastAsia" w:ascii="宋体" w:hAnsi="宋体" w:eastAsia="宋体" w:cs="宋体"/>
                <w:i w:val="0"/>
                <w:color w:val="000000"/>
                <w:sz w:val="18"/>
                <w:szCs w:val="18"/>
                <w:u w:val="none"/>
              </w:rPr>
            </w:pPr>
          </w:p>
        </w:tc>
        <w:tc>
          <w:tcPr>
            <w:tcW w:w="2852"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3989"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pStyle w:val="7"/>
        <w:spacing w:before="93"/>
        <w:rPr>
          <w:rFonts w:hAnsi="Calibri" w:cs="仿宋"/>
          <w:sz w:val="32"/>
          <w:szCs w:val="32"/>
        </w:rPr>
      </w:pPr>
    </w:p>
    <w:p>
      <w:pPr>
        <w:spacing w:line="600" w:lineRule="exact"/>
        <w:jc w:val="center"/>
        <w:outlineLvl w:val="0"/>
        <w:rPr>
          <w:rFonts w:ascii="仿宋" w:hAnsi="仿宋" w:eastAsia="仿宋"/>
        </w:rPr>
      </w:pPr>
      <w:bookmarkStart w:id="84" w:name="_Toc16777"/>
      <w:r>
        <w:rPr>
          <w:rFonts w:hint="eastAsia" w:ascii="黑体" w:hAnsi="黑体" w:eastAsia="黑体"/>
          <w:sz w:val="44"/>
          <w:szCs w:val="44"/>
        </w:rPr>
        <w:t>第</w:t>
      </w:r>
      <w:r>
        <w:rPr>
          <w:rStyle w:val="33"/>
          <w:rFonts w:hint="eastAsia" w:ascii="黑体" w:hAnsi="黑体" w:eastAsia="黑体"/>
          <w:b w:val="0"/>
        </w:rPr>
        <w:t>五部分 附表</w:t>
      </w:r>
      <w:bookmarkEnd w:id="81"/>
      <w:bookmarkEnd w:id="83"/>
      <w:bookmarkEnd w:id="84"/>
      <w:bookmarkStart w:id="85" w:name="_Toc15396619"/>
    </w:p>
    <w:p>
      <w:pPr>
        <w:pStyle w:val="4"/>
        <w:numPr>
          <w:ilvl w:val="0"/>
          <w:numId w:val="5"/>
        </w:numPr>
        <w:rPr>
          <w:rStyle w:val="34"/>
          <w:rFonts w:hint="eastAsia" w:ascii="仿宋" w:hAnsi="仿宋" w:eastAsia="仿宋"/>
          <w:b w:val="0"/>
          <w:bCs w:val="0"/>
        </w:rPr>
      </w:pPr>
      <w:bookmarkStart w:id="86" w:name="_Toc25837"/>
      <w:r>
        <w:rPr>
          <w:rFonts w:hint="eastAsia" w:ascii="仿宋" w:hAnsi="仿宋" w:eastAsia="仿宋"/>
          <w:b w:val="0"/>
        </w:rPr>
        <w:t>收</w:t>
      </w:r>
      <w:r>
        <w:rPr>
          <w:rStyle w:val="34"/>
          <w:rFonts w:hint="eastAsia" w:ascii="仿宋" w:hAnsi="仿宋" w:eastAsia="仿宋"/>
          <w:b w:val="0"/>
          <w:bCs w:val="0"/>
        </w:rPr>
        <w:t>入支出决算总表</w:t>
      </w:r>
      <w:bookmarkEnd w:id="85"/>
      <w:bookmarkEnd w:id="86"/>
    </w:p>
    <w:p>
      <w:pPr>
        <w:numPr>
          <w:ilvl w:val="0"/>
          <w:numId w:val="0"/>
        </w:numPr>
        <w:ind w:firstLine="420" w:firstLineChars="0"/>
      </w:pPr>
      <w:r>
        <w:drawing>
          <wp:inline distT="0" distB="0" distL="114300" distR="114300">
            <wp:extent cx="8862695" cy="6506845"/>
            <wp:effectExtent l="0" t="0" r="1460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8862695" cy="6506845"/>
                    </a:xfrm>
                    <a:prstGeom prst="rect">
                      <a:avLst/>
                    </a:prstGeom>
                    <a:noFill/>
                    <a:ln w="9525">
                      <a:noFill/>
                      <a:miter/>
                    </a:ln>
                  </pic:spPr>
                </pic:pic>
              </a:graphicData>
            </a:graphic>
          </wp:inline>
        </w:drawing>
      </w:r>
    </w:p>
    <w:p>
      <w:pPr>
        <w:pStyle w:val="4"/>
        <w:numPr>
          <w:ilvl w:val="0"/>
          <w:numId w:val="6"/>
        </w:numPr>
        <w:rPr>
          <w:rStyle w:val="34"/>
          <w:rFonts w:hint="eastAsia" w:ascii="仿宋" w:hAnsi="仿宋" w:eastAsia="仿宋"/>
          <w:b w:val="0"/>
          <w:bCs w:val="0"/>
        </w:rPr>
      </w:pPr>
      <w:bookmarkStart w:id="87" w:name="_Toc7582"/>
      <w:bookmarkStart w:id="88" w:name="_Toc15396620"/>
      <w:r>
        <w:rPr>
          <w:rFonts w:hint="eastAsia" w:ascii="仿宋" w:hAnsi="仿宋" w:eastAsia="仿宋"/>
          <w:b w:val="0"/>
        </w:rPr>
        <w:t>收</w:t>
      </w:r>
      <w:r>
        <w:rPr>
          <w:rStyle w:val="34"/>
          <w:rFonts w:hint="eastAsia" w:ascii="仿宋" w:hAnsi="仿宋" w:eastAsia="仿宋"/>
          <w:b w:val="0"/>
          <w:bCs w:val="0"/>
        </w:rPr>
        <w:t>入决算表</w:t>
      </w:r>
      <w:bookmarkEnd w:id="87"/>
      <w:bookmarkEnd w:id="88"/>
    </w:p>
    <w:p>
      <w:pPr>
        <w:numPr>
          <w:ilvl w:val="0"/>
          <w:numId w:val="0"/>
        </w:numPr>
      </w:pPr>
      <w:r>
        <w:drawing>
          <wp:inline distT="0" distB="0" distL="114300" distR="114300">
            <wp:extent cx="8858885" cy="5490845"/>
            <wp:effectExtent l="0" t="0" r="1841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8858885" cy="5490845"/>
                    </a:xfrm>
                    <a:prstGeom prst="rect">
                      <a:avLst/>
                    </a:prstGeom>
                    <a:noFill/>
                    <a:ln w="9525">
                      <a:noFill/>
                      <a:miter/>
                    </a:ln>
                  </pic:spPr>
                </pic:pic>
              </a:graphicData>
            </a:graphic>
          </wp:inline>
        </w:drawing>
      </w:r>
    </w:p>
    <w:p>
      <w:pPr>
        <w:pStyle w:val="4"/>
        <w:numPr>
          <w:ilvl w:val="0"/>
          <w:numId w:val="7"/>
        </w:numPr>
        <w:rPr>
          <w:rStyle w:val="34"/>
          <w:rFonts w:hint="eastAsia" w:ascii="仿宋" w:hAnsi="仿宋" w:eastAsia="仿宋"/>
          <w:b w:val="0"/>
          <w:bCs w:val="0"/>
        </w:rPr>
      </w:pPr>
      <w:bookmarkStart w:id="89" w:name="_Toc3423"/>
      <w:bookmarkStart w:id="90" w:name="_Toc15396621"/>
      <w:r>
        <w:rPr>
          <w:rFonts w:hint="eastAsia" w:ascii="仿宋" w:hAnsi="仿宋" w:eastAsia="仿宋"/>
          <w:b w:val="0"/>
        </w:rPr>
        <w:t>支</w:t>
      </w:r>
      <w:r>
        <w:rPr>
          <w:rStyle w:val="34"/>
          <w:rFonts w:hint="eastAsia" w:ascii="仿宋" w:hAnsi="仿宋" w:eastAsia="仿宋"/>
          <w:b w:val="0"/>
          <w:bCs w:val="0"/>
        </w:rPr>
        <w:t>出决算表</w:t>
      </w:r>
      <w:bookmarkEnd w:id="89"/>
      <w:bookmarkEnd w:id="90"/>
    </w:p>
    <w:p>
      <w:pPr>
        <w:numPr>
          <w:ilvl w:val="0"/>
          <w:numId w:val="0"/>
        </w:numPr>
      </w:pPr>
      <w:r>
        <w:drawing>
          <wp:inline distT="0" distB="0" distL="114300" distR="114300">
            <wp:extent cx="8858885" cy="6438900"/>
            <wp:effectExtent l="0" t="0" r="184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8858885" cy="6438900"/>
                    </a:xfrm>
                    <a:prstGeom prst="rect">
                      <a:avLst/>
                    </a:prstGeom>
                    <a:noFill/>
                    <a:ln w="9525">
                      <a:noFill/>
                      <a:miter/>
                    </a:ln>
                  </pic:spPr>
                </pic:pic>
              </a:graphicData>
            </a:graphic>
          </wp:inline>
        </w:drawing>
      </w:r>
    </w:p>
    <w:p>
      <w:pPr>
        <w:pStyle w:val="4"/>
        <w:numPr>
          <w:ilvl w:val="0"/>
          <w:numId w:val="8"/>
        </w:numPr>
        <w:rPr>
          <w:rStyle w:val="34"/>
          <w:rFonts w:hint="eastAsia" w:ascii="仿宋" w:hAnsi="仿宋" w:eastAsia="仿宋"/>
          <w:b w:val="0"/>
          <w:bCs w:val="0"/>
        </w:rPr>
      </w:pPr>
      <w:bookmarkStart w:id="91" w:name="_Toc10569"/>
      <w:bookmarkStart w:id="92" w:name="_Toc15396622"/>
      <w:r>
        <w:rPr>
          <w:rFonts w:hint="eastAsia" w:ascii="仿宋" w:hAnsi="仿宋" w:eastAsia="仿宋"/>
          <w:b w:val="0"/>
        </w:rPr>
        <w:t>财</w:t>
      </w:r>
      <w:r>
        <w:rPr>
          <w:rStyle w:val="34"/>
          <w:rFonts w:hint="eastAsia" w:ascii="仿宋" w:hAnsi="仿宋" w:eastAsia="仿宋"/>
          <w:b w:val="0"/>
          <w:bCs w:val="0"/>
        </w:rPr>
        <w:t>政拨款收入支出决算总表</w:t>
      </w:r>
      <w:bookmarkEnd w:id="91"/>
      <w:bookmarkEnd w:id="92"/>
    </w:p>
    <w:p>
      <w:pPr>
        <w:numPr>
          <w:ilvl w:val="0"/>
          <w:numId w:val="0"/>
        </w:numPr>
      </w:pPr>
      <w:r>
        <w:drawing>
          <wp:inline distT="0" distB="0" distL="114300" distR="114300">
            <wp:extent cx="8860790" cy="5466715"/>
            <wp:effectExtent l="0" t="0" r="1651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8860790" cy="5466715"/>
                    </a:xfrm>
                    <a:prstGeom prst="rect">
                      <a:avLst/>
                    </a:prstGeom>
                    <a:noFill/>
                    <a:ln w="9525">
                      <a:noFill/>
                      <a:miter/>
                    </a:ln>
                  </pic:spPr>
                </pic:pic>
              </a:graphicData>
            </a:graphic>
          </wp:inline>
        </w:drawing>
      </w:r>
    </w:p>
    <w:p>
      <w:pPr>
        <w:pStyle w:val="4"/>
        <w:numPr>
          <w:ilvl w:val="0"/>
          <w:numId w:val="9"/>
        </w:numPr>
        <w:rPr>
          <w:rStyle w:val="34"/>
          <w:rFonts w:hint="eastAsia" w:ascii="仿宋" w:hAnsi="仿宋" w:eastAsia="仿宋"/>
          <w:b w:val="0"/>
          <w:bCs w:val="0"/>
        </w:rPr>
        <w:sectPr>
          <w:pgSz w:w="16838" w:h="11906" w:orient="landscape"/>
          <w:pgMar w:top="1800" w:right="1440" w:bottom="1800" w:left="1440" w:header="851" w:footer="992" w:gutter="0"/>
          <w:pgNumType w:fmt="decimal"/>
          <w:cols w:space="425" w:num="1"/>
          <w:titlePg/>
          <w:docGrid w:type="lines" w:linePitch="312" w:charSpace="0"/>
        </w:sectPr>
      </w:pPr>
      <w:bookmarkStart w:id="93" w:name="_Toc15396623"/>
    </w:p>
    <w:p>
      <w:pPr>
        <w:pStyle w:val="4"/>
        <w:numPr>
          <w:ilvl w:val="0"/>
          <w:numId w:val="9"/>
        </w:numPr>
        <w:rPr>
          <w:rStyle w:val="34"/>
          <w:rFonts w:hint="eastAsia" w:ascii="仿宋" w:hAnsi="仿宋" w:eastAsia="仿宋"/>
          <w:b w:val="0"/>
          <w:bCs w:val="0"/>
        </w:rPr>
      </w:pPr>
      <w:bookmarkStart w:id="94" w:name="_Toc10466"/>
      <w:r>
        <w:rPr>
          <w:rFonts w:hint="eastAsia" w:ascii="仿宋" w:hAnsi="仿宋" w:eastAsia="仿宋"/>
          <w:b w:val="0"/>
        </w:rPr>
        <w:t>财</w:t>
      </w:r>
      <w:r>
        <w:rPr>
          <w:rStyle w:val="34"/>
          <w:rFonts w:hint="eastAsia" w:ascii="仿宋" w:hAnsi="仿宋" w:eastAsia="仿宋"/>
          <w:b w:val="0"/>
          <w:bCs w:val="0"/>
        </w:rPr>
        <w:t>政拨款支出决算明细表</w:t>
      </w:r>
      <w:bookmarkEnd w:id="93"/>
      <w:bookmarkEnd w:id="94"/>
      <w:bookmarkStart w:id="95" w:name="_Toc15396624"/>
    </w:p>
    <w:p>
      <w:pPr>
        <w:numPr>
          <w:ilvl w:val="0"/>
          <w:numId w:val="0"/>
        </w:numPr>
      </w:pPr>
      <w:r>
        <w:drawing>
          <wp:inline distT="0" distB="0" distL="114300" distR="114300">
            <wp:extent cx="5260340" cy="6830695"/>
            <wp:effectExtent l="0" t="0" r="1651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5260340" cy="6830695"/>
                    </a:xfrm>
                    <a:prstGeom prst="rect">
                      <a:avLst/>
                    </a:prstGeom>
                    <a:noFill/>
                    <a:ln w="9525">
                      <a:noFill/>
                      <a:miter/>
                    </a:ln>
                  </pic:spPr>
                </pic:pic>
              </a:graphicData>
            </a:graphic>
          </wp:inline>
        </w:drawing>
      </w:r>
    </w:p>
    <w:p>
      <w:pPr>
        <w:pStyle w:val="4"/>
        <w:numPr>
          <w:ilvl w:val="0"/>
          <w:numId w:val="10"/>
        </w:numPr>
        <w:rPr>
          <w:rStyle w:val="34"/>
          <w:rFonts w:hint="eastAsia" w:ascii="仿宋" w:hAnsi="仿宋" w:eastAsia="仿宋"/>
          <w:b w:val="0"/>
          <w:bCs w:val="0"/>
        </w:rPr>
      </w:pPr>
      <w:bookmarkStart w:id="96" w:name="_Toc28343"/>
      <w:r>
        <w:rPr>
          <w:rFonts w:hint="eastAsia" w:ascii="仿宋" w:hAnsi="仿宋" w:eastAsia="仿宋"/>
          <w:b w:val="0"/>
        </w:rPr>
        <w:t>一</w:t>
      </w:r>
      <w:r>
        <w:rPr>
          <w:rStyle w:val="34"/>
          <w:rFonts w:hint="eastAsia" w:ascii="仿宋" w:hAnsi="仿宋" w:eastAsia="仿宋"/>
          <w:b w:val="0"/>
          <w:bCs w:val="0"/>
        </w:rPr>
        <w:t>般公共预算财政拨款支出决算表</w:t>
      </w:r>
      <w:bookmarkEnd w:id="95"/>
      <w:bookmarkEnd w:id="96"/>
    </w:p>
    <w:p>
      <w:pPr>
        <w:numPr>
          <w:ilvl w:val="0"/>
          <w:numId w:val="0"/>
        </w:numPr>
      </w:pPr>
      <w:r>
        <w:drawing>
          <wp:inline distT="0" distB="0" distL="114300" distR="114300">
            <wp:extent cx="5268595" cy="5535295"/>
            <wp:effectExtent l="0" t="0" r="825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a:stretch>
                      <a:fillRect/>
                    </a:stretch>
                  </pic:blipFill>
                  <pic:spPr>
                    <a:xfrm>
                      <a:off x="0" y="0"/>
                      <a:ext cx="5268595" cy="5535295"/>
                    </a:xfrm>
                    <a:prstGeom prst="rect">
                      <a:avLst/>
                    </a:prstGeom>
                    <a:noFill/>
                    <a:ln w="9525">
                      <a:noFill/>
                      <a:miter/>
                    </a:ln>
                  </pic:spPr>
                </pic:pic>
              </a:graphicData>
            </a:graphic>
          </wp:inline>
        </w:drawing>
      </w:r>
    </w:p>
    <w:p>
      <w:pPr>
        <w:pStyle w:val="4"/>
        <w:numPr>
          <w:ilvl w:val="0"/>
          <w:numId w:val="11"/>
        </w:numPr>
        <w:rPr>
          <w:rStyle w:val="34"/>
          <w:rFonts w:hint="eastAsia" w:ascii="仿宋" w:hAnsi="仿宋" w:eastAsia="仿宋"/>
          <w:b w:val="0"/>
          <w:bCs w:val="0"/>
        </w:rPr>
        <w:sectPr>
          <w:pgSz w:w="11906" w:h="16838"/>
          <w:pgMar w:top="1440" w:right="1800" w:bottom="1440" w:left="1800" w:header="851" w:footer="992" w:gutter="0"/>
          <w:pgNumType w:fmt="decimal"/>
          <w:cols w:space="425" w:num="1"/>
          <w:titlePg/>
          <w:docGrid w:type="lines" w:linePitch="312" w:charSpace="0"/>
        </w:sectPr>
      </w:pPr>
      <w:bookmarkStart w:id="97" w:name="_Toc15396625"/>
    </w:p>
    <w:p>
      <w:pPr>
        <w:pStyle w:val="4"/>
        <w:numPr>
          <w:ilvl w:val="0"/>
          <w:numId w:val="11"/>
        </w:numPr>
        <w:rPr>
          <w:rStyle w:val="34"/>
          <w:rFonts w:hint="eastAsia" w:ascii="仿宋" w:hAnsi="仿宋" w:eastAsia="仿宋"/>
          <w:b w:val="0"/>
          <w:bCs w:val="0"/>
        </w:rPr>
      </w:pPr>
      <w:bookmarkStart w:id="98" w:name="_Toc15139"/>
      <w:r>
        <w:rPr>
          <w:rFonts w:hint="eastAsia" w:ascii="仿宋" w:hAnsi="仿宋" w:eastAsia="仿宋"/>
          <w:b w:val="0"/>
        </w:rPr>
        <w:t>一</w:t>
      </w:r>
      <w:r>
        <w:rPr>
          <w:rStyle w:val="34"/>
          <w:rFonts w:hint="eastAsia" w:ascii="仿宋" w:hAnsi="仿宋" w:eastAsia="仿宋"/>
          <w:b w:val="0"/>
          <w:bCs w:val="0"/>
        </w:rPr>
        <w:t>般公共预算财政拨款支出决算明细表</w:t>
      </w:r>
      <w:bookmarkEnd w:id="97"/>
      <w:bookmarkEnd w:id="98"/>
    </w:p>
    <w:p>
      <w:pPr>
        <w:numPr>
          <w:ilvl w:val="0"/>
          <w:numId w:val="0"/>
        </w:numPr>
      </w:pPr>
      <w:r>
        <w:drawing>
          <wp:inline distT="0" distB="0" distL="114300" distR="114300">
            <wp:extent cx="8809355" cy="763905"/>
            <wp:effectExtent l="0" t="0" r="10795" b="171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a:stretch>
                      <a:fillRect/>
                    </a:stretch>
                  </pic:blipFill>
                  <pic:spPr>
                    <a:xfrm>
                      <a:off x="0" y="0"/>
                      <a:ext cx="8809355" cy="763905"/>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99" w:name="_Toc23193"/>
      <w:bookmarkStart w:id="100" w:name="_Toc15396626"/>
      <w:r>
        <w:rPr>
          <w:rFonts w:hint="eastAsia" w:ascii="仿宋" w:hAnsi="仿宋" w:eastAsia="仿宋"/>
          <w:b w:val="0"/>
        </w:rPr>
        <w:t>一</w:t>
      </w:r>
      <w:r>
        <w:rPr>
          <w:rStyle w:val="34"/>
          <w:rFonts w:hint="eastAsia" w:ascii="仿宋" w:hAnsi="仿宋" w:eastAsia="仿宋"/>
          <w:b w:val="0"/>
          <w:bCs w:val="0"/>
        </w:rPr>
        <w:t>般公共预算财政拨款基本支出决算表</w:t>
      </w:r>
      <w:bookmarkEnd w:id="99"/>
      <w:bookmarkEnd w:id="100"/>
    </w:p>
    <w:p>
      <w:pPr>
        <w:numPr>
          <w:ilvl w:val="0"/>
          <w:numId w:val="0"/>
        </w:numPr>
      </w:pPr>
      <w:r>
        <w:drawing>
          <wp:inline distT="0" distB="0" distL="114300" distR="114300">
            <wp:extent cx="8861425" cy="5605780"/>
            <wp:effectExtent l="0" t="0" r="15875" b="139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8861425" cy="5605780"/>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101" w:name="_Toc28700"/>
      <w:bookmarkStart w:id="102" w:name="_Toc15396627"/>
      <w:r>
        <w:rPr>
          <w:rFonts w:hint="eastAsia" w:ascii="仿宋" w:hAnsi="仿宋" w:eastAsia="仿宋"/>
          <w:b w:val="0"/>
        </w:rPr>
        <w:t>一</w:t>
      </w:r>
      <w:r>
        <w:rPr>
          <w:rStyle w:val="34"/>
          <w:rFonts w:hint="eastAsia" w:ascii="仿宋" w:hAnsi="仿宋" w:eastAsia="仿宋"/>
          <w:b w:val="0"/>
          <w:bCs w:val="0"/>
        </w:rPr>
        <w:t>般公共预算财政拨款项目支出决算表</w:t>
      </w:r>
      <w:bookmarkEnd w:id="101"/>
      <w:bookmarkEnd w:id="102"/>
    </w:p>
    <w:p>
      <w:pPr>
        <w:numPr>
          <w:ilvl w:val="0"/>
          <w:numId w:val="0"/>
        </w:numPr>
      </w:pPr>
      <w:r>
        <w:drawing>
          <wp:inline distT="0" distB="0" distL="114300" distR="114300">
            <wp:extent cx="6602095" cy="5273675"/>
            <wp:effectExtent l="0" t="0" r="825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a:stretch>
                      <a:fillRect/>
                    </a:stretch>
                  </pic:blipFill>
                  <pic:spPr>
                    <a:xfrm>
                      <a:off x="0" y="0"/>
                      <a:ext cx="6602095" cy="5273675"/>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103" w:name="_Toc10895"/>
      <w:r>
        <w:rPr>
          <w:rFonts w:hint="eastAsia" w:ascii="仿宋" w:hAnsi="仿宋" w:eastAsia="仿宋"/>
          <w:b w:val="0"/>
        </w:rPr>
        <w:t>政</w:t>
      </w:r>
      <w:r>
        <w:rPr>
          <w:rStyle w:val="34"/>
          <w:rFonts w:hint="eastAsia" w:ascii="仿宋" w:hAnsi="仿宋" w:eastAsia="仿宋"/>
          <w:b w:val="0"/>
          <w:bCs w:val="0"/>
        </w:rPr>
        <w:t>府性基金预算财政拨款收入支出决算表</w:t>
      </w:r>
      <w:bookmarkEnd w:id="103"/>
    </w:p>
    <w:p>
      <w:pPr>
        <w:numPr>
          <w:ilvl w:val="0"/>
          <w:numId w:val="0"/>
        </w:numPr>
      </w:pPr>
      <w:r>
        <w:drawing>
          <wp:inline distT="0" distB="0" distL="114300" distR="114300">
            <wp:extent cx="8856345" cy="1540510"/>
            <wp:effectExtent l="0" t="0" r="190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1"/>
                    <a:stretch>
                      <a:fillRect/>
                    </a:stretch>
                  </pic:blipFill>
                  <pic:spPr>
                    <a:xfrm>
                      <a:off x="0" y="0"/>
                      <a:ext cx="8856345" cy="1540510"/>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104" w:name="_Toc17964"/>
      <w:r>
        <w:rPr>
          <w:rFonts w:hint="eastAsia" w:ascii="仿宋" w:hAnsi="仿宋" w:eastAsia="仿宋"/>
          <w:b w:val="0"/>
        </w:rPr>
        <w:t>国</w:t>
      </w:r>
      <w:r>
        <w:rPr>
          <w:rStyle w:val="34"/>
          <w:rFonts w:hint="eastAsia" w:ascii="仿宋" w:hAnsi="仿宋" w:eastAsia="仿宋"/>
          <w:b w:val="0"/>
          <w:bCs w:val="0"/>
        </w:rPr>
        <w:t>有资本经营预算财政拨款收入支出决算表</w:t>
      </w:r>
      <w:bookmarkEnd w:id="104"/>
    </w:p>
    <w:p>
      <w:pPr>
        <w:numPr>
          <w:ilvl w:val="0"/>
          <w:numId w:val="0"/>
        </w:numPr>
      </w:pPr>
      <w:r>
        <w:rPr>
          <w:sz w:val="21"/>
        </w:rPr>
        <mc:AlternateContent>
          <mc:Choice Requires="wps">
            <w:drawing>
              <wp:anchor distT="0" distB="0" distL="114300" distR="114300" simplePos="0" relativeHeight="251660288" behindDoc="0" locked="0" layoutInCell="1" allowOverlap="1">
                <wp:simplePos x="0" y="0"/>
                <wp:positionH relativeFrom="column">
                  <wp:posOffset>6284595</wp:posOffset>
                </wp:positionH>
                <wp:positionV relativeFrom="paragraph">
                  <wp:posOffset>314325</wp:posOffset>
                </wp:positionV>
                <wp:extent cx="1000125" cy="295275"/>
                <wp:effectExtent l="4445" t="5080" r="5080" b="4445"/>
                <wp:wrapNone/>
                <wp:docPr id="7" name="文本框 7"/>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4.85pt;margin-top:24.75pt;height:23.25pt;width:78.75pt;z-index:251660288;mso-width-relative:page;mso-height-relative:page;" fillcolor="#FFFFFF [3201]" filled="t" stroked="t" coordsize="21600,21600" o:gfxdata="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KRXF21wAAAAoBAAAPAAAAAAAAAAEAIAAAACIAAABkcnMv&#10;ZG93bnJldi54bWxQSwECFAAUAAAACACHTuJAioBLOj0CAABpBAAADgAAAAAAAAABACAAAAAmAQAA&#10;ZHJzL2Uyb0RvYy54bWxQSwUGAAAAAAYABgBZAQAA1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6246495</wp:posOffset>
                </wp:positionH>
                <wp:positionV relativeFrom="paragraph">
                  <wp:posOffset>-2114550</wp:posOffset>
                </wp:positionV>
                <wp:extent cx="1000125" cy="295275"/>
                <wp:effectExtent l="4445" t="5080" r="5080" b="4445"/>
                <wp:wrapNone/>
                <wp:docPr id="2" name="文本框 2"/>
                <wp:cNvGraphicFramePr/>
                <a:graphic xmlns:a="http://schemas.openxmlformats.org/drawingml/2006/main">
                  <a:graphicData uri="http://schemas.microsoft.com/office/word/2010/wordprocessingShape">
                    <wps:wsp>
                      <wps:cNvSpPr txBox="1"/>
                      <wps:spPr>
                        <a:xfrm>
                          <a:off x="0" y="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85pt;margin-top:-166.5pt;height:23.25pt;width:78.75pt;z-index:251659264;mso-width-relative:page;mso-height-relative:page;" fillcolor="#FFFFFF [3201]" filled="t" stroked="t" coordsize="21600,21600" o:gfxdata="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&#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s1OGL2gAAAA4BAAAPAAAAAAAAAAEAIAAAACIAAABk&#10;cnMvZG93bnJldi54bWxQSwECFAAUAAAACACHTuJAGeVRaT0CAABpBAAADgAAAAAAAAABACAAAAAp&#10;AQAAZHJzL2Uyb0RvYy54bWxQSwUGAAAAAAYABgBZAQAA2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343900" cy="22288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a:stretch>
                      <a:fillRect/>
                    </a:stretch>
                  </pic:blipFill>
                  <pic:spPr>
                    <a:xfrm>
                      <a:off x="0" y="0"/>
                      <a:ext cx="8343900" cy="2228850"/>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105" w:name="_Toc7845"/>
      <w:r>
        <w:rPr>
          <w:rStyle w:val="34"/>
          <w:rFonts w:hint="eastAsia" w:ascii="仿宋" w:hAnsi="仿宋" w:eastAsia="仿宋"/>
          <w:b w:val="0"/>
          <w:bCs w:val="0"/>
        </w:rPr>
        <w:t>国有资本经营预算财政拨款支出决算表</w:t>
      </w:r>
      <w:bookmarkEnd w:id="105"/>
    </w:p>
    <w:p>
      <w:pPr>
        <w:numPr>
          <w:ilvl w:val="0"/>
          <w:numId w:val="0"/>
        </w:numPr>
      </w:pPr>
      <w:r>
        <w:rPr>
          <w:sz w:val="21"/>
        </w:rPr>
        <mc:AlternateContent>
          <mc:Choice Requires="wps">
            <w:drawing>
              <wp:anchor distT="0" distB="0" distL="114300" distR="114300" simplePos="0" relativeHeight="251658240" behindDoc="0" locked="0" layoutInCell="1" allowOverlap="1">
                <wp:simplePos x="0" y="0"/>
                <wp:positionH relativeFrom="column">
                  <wp:posOffset>6246495</wp:posOffset>
                </wp:positionH>
                <wp:positionV relativeFrom="paragraph">
                  <wp:posOffset>196850</wp:posOffset>
                </wp:positionV>
                <wp:extent cx="1000125" cy="295275"/>
                <wp:effectExtent l="4445" t="5080" r="5080" b="4445"/>
                <wp:wrapNone/>
                <wp:docPr id="1" name="文本框 1"/>
                <wp:cNvGraphicFramePr/>
                <a:graphic xmlns:a="http://schemas.openxmlformats.org/drawingml/2006/main">
                  <a:graphicData uri="http://schemas.microsoft.com/office/word/2010/wordprocessingShape">
                    <wps:wsp>
                      <wps:cNvSpPr txBox="1"/>
                      <wps:spPr>
                        <a:xfrm>
                          <a:off x="7160895" y="1901190"/>
                          <a:ext cx="1000125" cy="295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此表无数据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1.85pt;margin-top:15.5pt;height:23.25pt;width:78.75pt;z-index:251658240;mso-width-relative:page;mso-height-relative:page;" fillcolor="#FFFFFF [3201]" filled="t" stroked="t" coordsize="21600,21600" o:gfxdata="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yZ3ifXAAAACgEAAA8AAAAAAAAAAQAgAAAA&#10;IgAAAGRycy9kb3ducmV2LnhtbFBLAQIUABQAAAAIAIdO4kBMaquyRQIAAHUEAAAOAAAAAAAAAAEA&#10;IAAAACYBAABkcnMvZTJvRG9jLnhtbFBLBQYAAAAABgAGAFkBAADd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此表无数据</w:t>
                      </w:r>
                    </w:p>
                  </w:txbxContent>
                </v:textbox>
              </v:shape>
            </w:pict>
          </mc:Fallback>
        </mc:AlternateContent>
      </w:r>
      <w:r>
        <w:drawing>
          <wp:inline distT="0" distB="0" distL="114300" distR="114300">
            <wp:extent cx="8296275" cy="218122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3"/>
                    <a:stretch>
                      <a:fillRect/>
                    </a:stretch>
                  </pic:blipFill>
                  <pic:spPr>
                    <a:xfrm>
                      <a:off x="0" y="0"/>
                      <a:ext cx="8296275" cy="2181225"/>
                    </a:xfrm>
                    <a:prstGeom prst="rect">
                      <a:avLst/>
                    </a:prstGeom>
                    <a:noFill/>
                    <a:ln w="9525">
                      <a:noFill/>
                      <a:miter/>
                    </a:ln>
                  </pic:spPr>
                </pic:pic>
              </a:graphicData>
            </a:graphic>
          </wp:inline>
        </w:drawing>
      </w:r>
    </w:p>
    <w:p>
      <w:pPr>
        <w:pStyle w:val="4"/>
        <w:numPr>
          <w:ilvl w:val="0"/>
          <w:numId w:val="12"/>
        </w:numPr>
        <w:rPr>
          <w:rStyle w:val="34"/>
          <w:rFonts w:hint="eastAsia" w:ascii="仿宋" w:hAnsi="仿宋" w:eastAsia="仿宋"/>
          <w:b w:val="0"/>
          <w:bCs w:val="0"/>
        </w:rPr>
      </w:pPr>
      <w:bookmarkStart w:id="106" w:name="_Toc11962"/>
      <w:r>
        <w:rPr>
          <w:rStyle w:val="34"/>
          <w:rFonts w:hint="eastAsia" w:ascii="仿宋" w:hAnsi="仿宋" w:eastAsia="仿宋"/>
          <w:b w:val="0"/>
          <w:bCs w:val="0"/>
        </w:rPr>
        <w:t>财政拨款“三公”经费支出决算表</w:t>
      </w:r>
      <w:bookmarkEnd w:id="106"/>
    </w:p>
    <w:p>
      <w:pPr>
        <w:numPr>
          <w:ilvl w:val="0"/>
          <w:numId w:val="0"/>
        </w:numPr>
      </w:pPr>
      <w:r>
        <w:drawing>
          <wp:inline distT="0" distB="0" distL="114300" distR="114300">
            <wp:extent cx="8856345" cy="694690"/>
            <wp:effectExtent l="0" t="0" r="1905" b="1079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8856345" cy="694690"/>
                    </a:xfrm>
                    <a:prstGeom prst="rect">
                      <a:avLst/>
                    </a:prstGeom>
                    <a:noFill/>
                    <a:ln w="9525">
                      <a:noFill/>
                      <a:miter/>
                    </a:ln>
                  </pic:spPr>
                </pic:pic>
              </a:graphicData>
            </a:graphic>
          </wp:inline>
        </w:drawing>
      </w:r>
    </w:p>
    <w:sectPr>
      <w:pgSz w:w="16838" w:h="11906" w:orient="landscape"/>
      <w:pgMar w:top="1800" w:right="1440" w:bottom="1800" w:left="144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黑体">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仿宋">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DengXian Light">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swiss"/>
    <w:pitch w:val="default"/>
    <w:sig w:usb0="00000001" w:usb1="080E0000" w:usb2="00000000" w:usb3="00000000" w:csb0="00040000" w:csb1="00000000"/>
  </w:font>
  <w:font w:name="??">
    <w:altName w:val="Times New Roman"/>
    <w:panose1 w:val="00000000000000000000"/>
    <w:charset w:val="00"/>
    <w:family w:val="modern"/>
    <w:pitch w:val="default"/>
    <w:sig w:usb0="00000000" w:usb1="00000000" w:usb2="00000000" w:usb3="00000000" w:csb0="00000000" w:csb1="00000000"/>
  </w:font>
  <w:font w:name="仿宋_GB2312">
    <w:panose1 w:val="02010609030101010101"/>
    <w:charset w:val="86"/>
    <w:family w:val="decorative"/>
    <w:pitch w:val="default"/>
    <w:sig w:usb0="00000001" w:usb1="080E0000" w:usb2="00000000" w:usb3="00000000" w:csb0="00040000" w:csb1="00000000"/>
  </w:font>
  <w:font w:name="??">
    <w:altName w:val="Times New Roman"/>
    <w:panose1 w:val="00000000000000000000"/>
    <w:charset w:val="00"/>
    <w:family w:val="swiss"/>
    <w:pitch w:val="default"/>
    <w:sig w:usb0="00000000" w:usb1="00000000" w:usb2="00000000" w:usb3="00000000" w:csb0="00000000" w:csb1="00000000"/>
  </w:font>
  <w:font w:name="仿宋_GB2312">
    <w:panose1 w:val="02010609030101010101"/>
    <w:charset w:val="86"/>
    <w:family w:val="roman"/>
    <w:pitch w:val="default"/>
    <w:sig w:usb0="00000001" w:usb1="080E0000" w:usb2="00000000" w:usb3="00000000" w:csb0="00040000" w:csb1="00000000"/>
  </w:font>
  <w:font w:name="??">
    <w:altName w:val="Times New Roman"/>
    <w:panose1 w:val="00000000000000000000"/>
    <w:charset w:val="00"/>
    <w:family w:val="decorative"/>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2"/>
                    </w:pPr>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479514348">
    <w:nsid w:val="CF652CEC"/>
    <w:multiLevelType w:val="singleLevel"/>
    <w:tmpl w:val="CF652CEC"/>
    <w:lvl w:ilvl="0" w:tentative="1">
      <w:start w:val="9"/>
      <w:numFmt w:val="chineseCounting"/>
      <w:suff w:val="nothing"/>
      <w:lvlText w:val="%1、"/>
      <w:lvlJc w:val="left"/>
      <w:rPr>
        <w:rFonts w:hint="eastAsia"/>
      </w:rPr>
    </w:lvl>
  </w:abstractNum>
  <w:abstractNum w:abstractNumId="309482763">
    <w:nsid w:val="1272550B"/>
    <w:multiLevelType w:val="multilevel"/>
    <w:tmpl w:val="1272550B"/>
    <w:lvl w:ilvl="0" w:tentative="1">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941138074">
    <w:nsid w:val="3818A09A"/>
    <w:multiLevelType w:val="singleLevel"/>
    <w:tmpl w:val="3818A09A"/>
    <w:lvl w:ilvl="0" w:tentative="1">
      <w:start w:val="1"/>
      <w:numFmt w:val="chineseCounting"/>
      <w:suff w:val="nothing"/>
      <w:lvlText w:val="%1、"/>
      <w:lvlJc w:val="left"/>
      <w:rPr>
        <w:rFonts w:hint="eastAsia"/>
      </w:rPr>
    </w:lvl>
  </w:abstractNum>
  <w:abstractNum w:abstractNumId="3808035965">
    <w:nsid w:val="E2FA047D"/>
    <w:multiLevelType w:val="singleLevel"/>
    <w:tmpl w:val="E2FA047D"/>
    <w:lvl w:ilvl="0" w:tentative="1">
      <w:start w:val="3"/>
      <w:numFmt w:val="chineseCounting"/>
      <w:suff w:val="space"/>
      <w:lvlText w:val="第%1部分"/>
      <w:lvlJc w:val="left"/>
      <w:rPr>
        <w:rFonts w:hint="eastAsia" w:ascii="黑体" w:hAnsi="黑体" w:eastAsia="黑体" w:cs="黑体"/>
        <w:sz w:val="44"/>
        <w:szCs w:val="44"/>
      </w:rPr>
    </w:lvl>
  </w:abstractNum>
  <w:abstractNum w:abstractNumId="1729499990">
    <w:nsid w:val="67161356"/>
    <w:multiLevelType w:val="singleLevel"/>
    <w:tmpl w:val="67161356"/>
    <w:lvl w:ilvl="0" w:tentative="1">
      <w:start w:val="3"/>
      <w:numFmt w:val="chineseCounting"/>
      <w:suff w:val="nothing"/>
      <w:lvlText w:val="%1、"/>
      <w:lvlJc w:val="left"/>
    </w:lvl>
  </w:abstractNum>
  <w:abstractNum w:abstractNumId="1729500026">
    <w:nsid w:val="6716137A"/>
    <w:multiLevelType w:val="singleLevel"/>
    <w:tmpl w:val="6716137A"/>
    <w:lvl w:ilvl="0" w:tentative="1">
      <w:start w:val="6"/>
      <w:numFmt w:val="chineseCounting"/>
      <w:suff w:val="nothing"/>
      <w:lvlText w:val="%1、"/>
      <w:lvlJc w:val="left"/>
    </w:lvl>
  </w:abstractNum>
  <w:abstractNum w:abstractNumId="1729500038">
    <w:nsid w:val="67161386"/>
    <w:multiLevelType w:val="singleLevel"/>
    <w:tmpl w:val="67161386"/>
    <w:lvl w:ilvl="0" w:tentative="1">
      <w:start w:val="7"/>
      <w:numFmt w:val="chineseCounting"/>
      <w:suff w:val="nothing"/>
      <w:lvlText w:val="%1、"/>
      <w:lvlJc w:val="left"/>
    </w:lvl>
  </w:abstractNum>
  <w:abstractNum w:abstractNumId="1729500050">
    <w:nsid w:val="67161392"/>
    <w:multiLevelType w:val="singleLevel"/>
    <w:tmpl w:val="67161392"/>
    <w:lvl w:ilvl="0" w:tentative="1">
      <w:start w:val="8"/>
      <w:numFmt w:val="chineseCounting"/>
      <w:suff w:val="nothing"/>
      <w:lvlText w:val="%1、"/>
      <w:lvlJc w:val="left"/>
    </w:lvl>
  </w:abstractNum>
  <w:abstractNum w:abstractNumId="1729499966">
    <w:nsid w:val="6716133E"/>
    <w:multiLevelType w:val="singleLevel"/>
    <w:tmpl w:val="6716133E"/>
    <w:lvl w:ilvl="0" w:tentative="1">
      <w:start w:val="1"/>
      <w:numFmt w:val="chineseCounting"/>
      <w:suff w:val="nothing"/>
      <w:lvlText w:val="%1、"/>
      <w:lvlJc w:val="left"/>
    </w:lvl>
  </w:abstractNum>
  <w:abstractNum w:abstractNumId="1729499978">
    <w:nsid w:val="6716134A"/>
    <w:multiLevelType w:val="singleLevel"/>
    <w:tmpl w:val="6716134A"/>
    <w:lvl w:ilvl="0" w:tentative="1">
      <w:start w:val="2"/>
      <w:numFmt w:val="chineseCounting"/>
      <w:suff w:val="nothing"/>
      <w:lvlText w:val="%1、"/>
      <w:lvlJc w:val="left"/>
    </w:lvl>
  </w:abstractNum>
  <w:abstractNum w:abstractNumId="1729500002">
    <w:nsid w:val="67161362"/>
    <w:multiLevelType w:val="singleLevel"/>
    <w:tmpl w:val="67161362"/>
    <w:lvl w:ilvl="0" w:tentative="1">
      <w:start w:val="4"/>
      <w:numFmt w:val="chineseCounting"/>
      <w:suff w:val="nothing"/>
      <w:lvlText w:val="%1、"/>
      <w:lvlJc w:val="left"/>
    </w:lvl>
  </w:abstractNum>
  <w:abstractNum w:abstractNumId="1729500014">
    <w:nsid w:val="6716136E"/>
    <w:multiLevelType w:val="singleLevel"/>
    <w:tmpl w:val="6716136E"/>
    <w:lvl w:ilvl="0" w:tentative="1">
      <w:start w:val="5"/>
      <w:numFmt w:val="chineseCounting"/>
      <w:suff w:val="nothing"/>
      <w:lvlText w:val="%1、"/>
      <w:lvlJc w:val="left"/>
    </w:lvl>
  </w:abstractNum>
  <w:num w:numId="1">
    <w:abstractNumId w:val="941138074"/>
  </w:num>
  <w:num w:numId="2">
    <w:abstractNumId w:val="309482763"/>
  </w:num>
  <w:num w:numId="3">
    <w:abstractNumId w:val="3479514348"/>
  </w:num>
  <w:num w:numId="4">
    <w:abstractNumId w:val="3808035965"/>
  </w:num>
  <w:num w:numId="5">
    <w:abstractNumId w:val="1729499966"/>
  </w:num>
  <w:num w:numId="6">
    <w:abstractNumId w:val="1729499978"/>
  </w:num>
  <w:num w:numId="7">
    <w:abstractNumId w:val="1729499990"/>
  </w:num>
  <w:num w:numId="8">
    <w:abstractNumId w:val="1729500002"/>
  </w:num>
  <w:num w:numId="9">
    <w:abstractNumId w:val="1729500014"/>
  </w:num>
  <w:num w:numId="10">
    <w:abstractNumId w:val="1729500026"/>
  </w:num>
  <w:num w:numId="11">
    <w:abstractNumId w:val="1729500038"/>
  </w:num>
  <w:num w:numId="12">
    <w:abstractNumId w:val="17295000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8A37D8"/>
    <w:rsid w:val="0F5FFB2F"/>
    <w:rsid w:val="0FFFCF60"/>
    <w:rsid w:val="10C055FF"/>
    <w:rsid w:val="118107EC"/>
    <w:rsid w:val="11DD6519"/>
    <w:rsid w:val="16BB723D"/>
    <w:rsid w:val="18015F3F"/>
    <w:rsid w:val="1BE8440E"/>
    <w:rsid w:val="1D155CEE"/>
    <w:rsid w:val="1FDBBF84"/>
    <w:rsid w:val="20F57F95"/>
    <w:rsid w:val="240371BF"/>
    <w:rsid w:val="25711CC6"/>
    <w:rsid w:val="257C4E1A"/>
    <w:rsid w:val="25C741E6"/>
    <w:rsid w:val="276F80C0"/>
    <w:rsid w:val="27842671"/>
    <w:rsid w:val="29FD04D3"/>
    <w:rsid w:val="2ABE7A3E"/>
    <w:rsid w:val="2AFF09B6"/>
    <w:rsid w:val="2CA234A8"/>
    <w:rsid w:val="2EFA178C"/>
    <w:rsid w:val="2EFDF86C"/>
    <w:rsid w:val="2F9D17E1"/>
    <w:rsid w:val="305A4374"/>
    <w:rsid w:val="30B46D73"/>
    <w:rsid w:val="319F7F4E"/>
    <w:rsid w:val="356A28F1"/>
    <w:rsid w:val="357C035A"/>
    <w:rsid w:val="368E000D"/>
    <w:rsid w:val="383D272C"/>
    <w:rsid w:val="39AE70AB"/>
    <w:rsid w:val="3A4DCE41"/>
    <w:rsid w:val="3BCB56FA"/>
    <w:rsid w:val="3C0C0783"/>
    <w:rsid w:val="3EE7C2F4"/>
    <w:rsid w:val="3F371B56"/>
    <w:rsid w:val="3F792ED8"/>
    <w:rsid w:val="3F9F3A96"/>
    <w:rsid w:val="3FECA4B2"/>
    <w:rsid w:val="3FF58C48"/>
    <w:rsid w:val="42FF6694"/>
    <w:rsid w:val="48BF60AB"/>
    <w:rsid w:val="493C27E9"/>
    <w:rsid w:val="496F39ED"/>
    <w:rsid w:val="49FF41D3"/>
    <w:rsid w:val="4BE068DB"/>
    <w:rsid w:val="4BF6002B"/>
    <w:rsid w:val="4BFFC6BE"/>
    <w:rsid w:val="4ECE2238"/>
    <w:rsid w:val="51DB4B86"/>
    <w:rsid w:val="51F64DB0"/>
    <w:rsid w:val="54580AD2"/>
    <w:rsid w:val="55333C3E"/>
    <w:rsid w:val="5F67802D"/>
    <w:rsid w:val="5F7DC4F2"/>
    <w:rsid w:val="5FB36814"/>
    <w:rsid w:val="5FBB8E56"/>
    <w:rsid w:val="5FFB5535"/>
    <w:rsid w:val="64CA39A1"/>
    <w:rsid w:val="695556E8"/>
    <w:rsid w:val="69630ADE"/>
    <w:rsid w:val="69BD5F13"/>
    <w:rsid w:val="69FB0B4B"/>
    <w:rsid w:val="6BFFE1FB"/>
    <w:rsid w:val="6C4A05C8"/>
    <w:rsid w:val="6CFC38E2"/>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uiPriority w:val="1"/>
  </w:style>
  <w:style w:type="table" w:default="1" w:styleId="24">
    <w:name w:val="Normal Table"/>
    <w:unhideWhenUsed/>
    <w:uiPriority w:val="99"/>
    <w:tblPr>
      <w:tblLayout w:type="fixed"/>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basedOn w:val="1"/>
    <w:next w:val="1"/>
    <w:unhideWhenUsed/>
    <w:uiPriority w:val="39"/>
    <w:pPr>
      <w:ind w:left="2520" w:leftChars="1200"/>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szCs w:val="32"/>
    </w:rPr>
  </w:style>
  <w:style w:type="paragraph" w:styleId="9">
    <w:name w:val="toc 5"/>
    <w:basedOn w:val="1"/>
    <w:next w:val="1"/>
    <w:unhideWhenUsed/>
    <w:uiPriority w:val="39"/>
    <w:pPr>
      <w:ind w:left="1680" w:leftChars="800"/>
    </w:pPr>
  </w:style>
  <w:style w:type="paragraph" w:styleId="10">
    <w:name w:val="toc 3"/>
    <w:basedOn w:val="1"/>
    <w:next w:val="1"/>
    <w:unhideWhenUsed/>
    <w:qFormat/>
    <w:uiPriority w:val="39"/>
    <w:pPr>
      <w:ind w:left="840" w:leftChars="400"/>
    </w:pPr>
  </w:style>
  <w:style w:type="paragraph" w:styleId="11">
    <w:name w:val="toc 8"/>
    <w:basedOn w:val="1"/>
    <w:next w:val="1"/>
    <w:unhideWhenUsed/>
    <w:uiPriority w:val="39"/>
    <w:pPr>
      <w:ind w:left="2940" w:leftChars="1400"/>
    </w:pPr>
  </w:style>
  <w:style w:type="paragraph" w:styleId="12">
    <w:name w:val="Balloon Text"/>
    <w:basedOn w:val="1"/>
    <w:link w:val="36"/>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Body Text First Indent 2"/>
    <w:basedOn w:val="8"/>
    <w:unhideWhenUsed/>
    <w:qFormat/>
    <w:uiPriority w:val="99"/>
    <w:pPr>
      <w:ind w:firstLine="420" w:firstLineChars="200"/>
    </w:pPr>
  </w:style>
  <w:style w:type="paragraph" w:styleId="15">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style>
  <w:style w:type="paragraph" w:styleId="17">
    <w:name w:val="toc 4"/>
    <w:basedOn w:val="1"/>
    <w:next w:val="1"/>
    <w:unhideWhenUsed/>
    <w:qFormat/>
    <w:uiPriority w:val="39"/>
    <w:pPr>
      <w:ind w:left="1260" w:leftChars="600"/>
    </w:pPr>
  </w:style>
  <w:style w:type="paragraph" w:styleId="18">
    <w:name w:val="toc 6"/>
    <w:basedOn w:val="1"/>
    <w:next w:val="1"/>
    <w:unhideWhenUsed/>
    <w:uiPriority w:val="39"/>
    <w:pPr>
      <w:ind w:left="2100" w:leftChars="1000"/>
    </w:pPr>
  </w:style>
  <w:style w:type="paragraph" w:styleId="19">
    <w:name w:val="toc 2"/>
    <w:basedOn w:val="1"/>
    <w:next w:val="1"/>
    <w:unhideWhenUsed/>
    <w:qFormat/>
    <w:uiPriority w:val="39"/>
    <w:pPr>
      <w:ind w:left="420" w:leftChars="200"/>
    </w:pPr>
  </w:style>
  <w:style w:type="paragraph" w:styleId="20">
    <w:name w:val="toc 9"/>
    <w:basedOn w:val="1"/>
    <w:next w:val="1"/>
    <w:unhideWhenUsed/>
    <w:qFormat/>
    <w:uiPriority w:val="39"/>
    <w:pPr>
      <w:ind w:left="3360" w:leftChars="1600"/>
    </w:p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customStyle="1" w:styleId="25">
    <w:name w:val="Header Char"/>
    <w:basedOn w:val="21"/>
    <w:semiHidden/>
    <w:qFormat/>
    <w:uiPriority w:val="99"/>
    <w:rPr>
      <w:rFonts w:ascii="Times New Roman" w:hAnsi="Times New Roman"/>
      <w:sz w:val="18"/>
      <w:szCs w:val="18"/>
    </w:rPr>
  </w:style>
  <w:style w:type="character" w:customStyle="1" w:styleId="26">
    <w:name w:val="页眉 字符"/>
    <w:link w:val="15"/>
    <w:semiHidden/>
    <w:qFormat/>
    <w:locked/>
    <w:uiPriority w:val="99"/>
    <w:rPr>
      <w:sz w:val="18"/>
    </w:rPr>
  </w:style>
  <w:style w:type="character" w:customStyle="1" w:styleId="27">
    <w:name w:val="Footer Char"/>
    <w:basedOn w:val="21"/>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1"/>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customStyle="1" w:styleId="3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2">
    <w:name w:val="List Paragraph"/>
    <w:basedOn w:val="1"/>
    <w:qFormat/>
    <w:uiPriority w:val="34"/>
    <w:pPr>
      <w:ind w:firstLine="420" w:firstLineChars="200"/>
    </w:pPr>
  </w:style>
  <w:style w:type="character" w:customStyle="1" w:styleId="33">
    <w:name w:val="标题 1 字符"/>
    <w:basedOn w:val="21"/>
    <w:link w:val="3"/>
    <w:qFormat/>
    <w:uiPriority w:val="9"/>
    <w:rPr>
      <w:rFonts w:ascii="Times New Roman" w:hAnsi="Times New Roman"/>
      <w:b/>
      <w:bCs/>
      <w:kern w:val="44"/>
      <w:sz w:val="44"/>
      <w:szCs w:val="44"/>
    </w:rPr>
  </w:style>
  <w:style w:type="character" w:customStyle="1" w:styleId="34">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2"/>
    <w:semiHidden/>
    <w:qFormat/>
    <w:uiPriority w:val="99"/>
    <w:rPr>
      <w:rFonts w:ascii="Times New Roman" w:hAnsi="Times New Roman"/>
      <w:kern w:val="2"/>
      <w:sz w:val="18"/>
      <w:szCs w:val="18"/>
    </w:rPr>
  </w:style>
  <w:style w:type="character" w:customStyle="1" w:styleId="37">
    <w:name w:val="标题 3 字符"/>
    <w:basedOn w:val="21"/>
    <w:link w:val="5"/>
    <w:qFormat/>
    <w:uiPriority w:val="9"/>
    <w:rPr>
      <w:rFonts w:ascii="Times New Roman" w:hAnsi="Times New Roman"/>
      <w:b/>
      <w:bCs/>
      <w:kern w:val="2"/>
      <w:sz w:val="32"/>
      <w:szCs w:val="32"/>
    </w:rPr>
  </w:style>
  <w:style w:type="paragraph" w:customStyle="1" w:styleId="3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9">
    <w:name w:val="普通(网站) Char"/>
    <w:basedOn w:val="1"/>
    <w:hidden/>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emf"/><Relationship Id="rId23" Type="http://schemas.openxmlformats.org/officeDocument/2006/relationships/image" Target="media/image12.emf"/><Relationship Id="rId22" Type="http://schemas.openxmlformats.org/officeDocument/2006/relationships/image" Target="media/image11.emf"/><Relationship Id="rId21" Type="http://schemas.openxmlformats.org/officeDocument/2006/relationships/image" Target="media/image10.emf"/><Relationship Id="rId20" Type="http://schemas.openxmlformats.org/officeDocument/2006/relationships/image" Target="media/image9.emf"/><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image" Target="media/image7.emf"/><Relationship Id="rId17" Type="http://schemas.openxmlformats.org/officeDocument/2006/relationships/image" Target="media/image6.emf"/><Relationship Id="rId16" Type="http://schemas.openxmlformats.org/officeDocument/2006/relationships/image" Target="media/image5.emf"/><Relationship Id="rId15" Type="http://schemas.openxmlformats.org/officeDocument/2006/relationships/image" Target="media/image4.emf"/><Relationship Id="rId14" Type="http://schemas.openxmlformats.org/officeDocument/2006/relationships/image" Target="media/image3.emf"/><Relationship Id="rId13" Type="http://schemas.openxmlformats.org/officeDocument/2006/relationships/image" Target="media/image2.emf"/><Relationship Id="rId12" Type="http://schemas.openxmlformats.org/officeDocument/2006/relationships/image" Target="media/image1.emf"/><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1142</Words>
  <Characters>6514</Characters>
  <Lines>54</Lines>
  <Paragraphs>15</Paragraphs>
  <ScaleCrop>false</ScaleCrop>
  <LinksUpToDate>false</LinksUpToDate>
  <CharactersWithSpaces>7641</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Administrator</cp:lastModifiedBy>
  <cp:lastPrinted>2023-08-03T02:35:00Z</cp:lastPrinted>
  <dcterms:modified xsi:type="dcterms:W3CDTF">2024-10-21T09:25:43Z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