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hAnsi="宋体" w:eastAsia="方正小标宋简体"/>
          <w:sz w:val="72"/>
          <w:szCs w:val="72"/>
        </w:rPr>
      </w:pPr>
      <w:bookmarkStart w:id="0" w:name="_Toc15377425"/>
      <w:bookmarkStart w:id="1" w:name="_Toc15396475"/>
      <w:bookmarkStart w:id="2" w:name="_Toc15378441"/>
      <w:bookmarkStart w:id="3" w:name="_Toc15377193"/>
      <w:bookmarkStart w:id="4" w:name="_Toc15396597"/>
      <w:bookmarkStart w:id="5" w:name="_Toc15306267"/>
    </w:p>
    <w:p>
      <w:pPr>
        <w:pStyle w:val="7"/>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1072"/>
      <w:bookmarkStart w:id="7" w:name="_Toc26872"/>
      <w:bookmarkStart w:id="8" w:name="_Toc13157"/>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bookmarkEnd w:id="7"/>
      <w:bookmarkEnd w:id="8"/>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9" w:name="_Toc15396476"/>
      <w:bookmarkStart w:id="10" w:name="_Toc15378442"/>
      <w:bookmarkStart w:id="11" w:name="_Toc15377426"/>
      <w:bookmarkStart w:id="12" w:name="_Toc15396598"/>
      <w:bookmarkStart w:id="13" w:name="_Toc15362"/>
      <w:bookmarkStart w:id="14" w:name="_Toc15377194"/>
      <w:bookmarkStart w:id="15" w:name="_Toc25284"/>
      <w:bookmarkStart w:id="16" w:name="_Toc26913"/>
      <w:r>
        <w:rPr>
          <w:rFonts w:hint="eastAsia" w:ascii="方正小标宋简体" w:hAnsi="方正小标宋简体" w:eastAsia="方正小标宋简体" w:cs="方正小标宋简体"/>
          <w:sz w:val="72"/>
          <w:szCs w:val="72"/>
        </w:rPr>
        <w:t>四川省</w:t>
      </w:r>
      <w:bookmarkEnd w:id="5"/>
      <w:bookmarkStart w:id="17" w:name="_Toc15306268"/>
      <w:r>
        <w:rPr>
          <w:rFonts w:hint="eastAsia" w:ascii="方正小标宋简体" w:hAnsi="方正小标宋简体" w:eastAsia="方正小标宋简体" w:cs="方正小标宋简体"/>
          <w:sz w:val="72"/>
          <w:szCs w:val="72"/>
          <w:lang w:eastAsia="zh-CN"/>
        </w:rPr>
        <w:t>阿坝州九寨沟县草地乡人民政府</w:t>
      </w:r>
      <w:r>
        <w:rPr>
          <w:rFonts w:hint="eastAsia" w:ascii="方正小标宋简体" w:hAnsi="方正小标宋简体" w:eastAsia="方正小标宋简体" w:cs="方正小标宋简体"/>
          <w:sz w:val="72"/>
          <w:szCs w:val="72"/>
        </w:rPr>
        <w:t>部门决算</w:t>
      </w:r>
      <w:bookmarkEnd w:id="9"/>
      <w:bookmarkEnd w:id="10"/>
      <w:bookmarkEnd w:id="11"/>
      <w:bookmarkEnd w:id="12"/>
      <w:bookmarkEnd w:id="13"/>
      <w:bookmarkEnd w:id="14"/>
      <w:bookmarkEnd w:id="15"/>
      <w:bookmarkEnd w:id="16"/>
      <w:bookmarkEnd w:id="17"/>
    </w:p>
    <w:p>
      <w:pPr>
        <w:widowControl/>
        <w:jc w:val="center"/>
        <w:rPr>
          <w:rFonts w:hint="eastAsia" w:ascii="黑体" w:hAnsi="黑体" w:eastAsia="黑体"/>
          <w:sz w:val="48"/>
          <w:szCs w:val="48"/>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titlePg/>
          <w:docGrid w:type="lines" w:linePitch="312" w:charSpace="0"/>
        </w:sectPr>
      </w:pPr>
    </w:p>
    <w:p>
      <w:pPr>
        <w:widowControl/>
        <w:jc w:val="center"/>
        <w:rPr>
          <w:rFonts w:ascii="黑体" w:hAnsi="黑体" w:eastAsia="黑体"/>
          <w:sz w:val="48"/>
          <w:szCs w:val="48"/>
        </w:rPr>
      </w:pP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6"/>
        <w:tabs>
          <w:tab w:val="right" w:leader="dot" w:pos="8296"/>
        </w:tabs>
        <w:jc w:val="center"/>
      </w:pPr>
      <w:bookmarkStart w:id="98" w:name="_GoBack"/>
      <w:r>
        <w:rPr>
          <w:rFonts w:hint="eastAsia"/>
        </w:rPr>
        <w:t>公开时间：202</w:t>
      </w:r>
      <w:r>
        <w:rPr>
          <w:rFonts w:hint="eastAsia"/>
          <w:lang w:val="en-US" w:eastAsia="zh-CN"/>
        </w:rPr>
        <w:t>4</w:t>
      </w:r>
      <w:r>
        <w:rPr>
          <w:rFonts w:hint="eastAsia"/>
        </w:rPr>
        <w:t>年</w:t>
      </w:r>
      <w:r>
        <w:rPr>
          <w:rFonts w:hint="eastAsia"/>
          <w:lang w:val="en-US" w:eastAsia="zh-CN"/>
        </w:rPr>
        <w:t>10</w:t>
      </w:r>
      <w:r>
        <w:rPr>
          <w:rFonts w:hint="eastAsia"/>
        </w:rPr>
        <w:t xml:space="preserve">月 </w:t>
      </w:r>
      <w:r>
        <w:rPr>
          <w:rFonts w:hint="eastAsia"/>
          <w:lang w:val="en-US" w:eastAsia="zh-CN"/>
        </w:rPr>
        <w:t>15</w:t>
      </w:r>
      <w:r>
        <w:rPr>
          <w:rFonts w:hint="eastAsia"/>
        </w:rPr>
        <w:t>日</w:t>
      </w:r>
    </w:p>
    <w:bookmarkEnd w:id="98"/>
    <w:p>
      <w:pPr/>
    </w:p>
    <w:p>
      <w:pPr>
        <w:pStyle w:val="16"/>
        <w:tabs>
          <w:tab w:val="right" w:leader="dot" w:pos="8306"/>
        </w:tabs>
        <w:rPr>
          <w:rFonts w:ascii="Times New Roman" w:hAnsi="Times New Roman" w:eastAsia="宋体" w:cs="Times New Roman"/>
          <w:kern w:val="2"/>
          <w:szCs w:val="24"/>
          <w:lang w:val="en-US" w:eastAsia="zh-CN" w:bidi="ar-SA"/>
        </w:rPr>
      </w:pPr>
      <w:r>
        <w:rPr>
          <w:rFonts w:hint="eastAsia"/>
          <w:sz w:val="24"/>
        </w:rPr>
        <w:fldChar w:fldCharType="begin"/>
      </w:r>
      <w:r>
        <w:rPr>
          <w:rFonts w:hint="eastAsia"/>
          <w:sz w:val="24"/>
        </w:rPr>
        <w:instrText xml:space="preserve">TOC \o "1-3" \h \u </w:instrText>
      </w:r>
      <w:r>
        <w:rPr>
          <w:rFonts w:hint="eastAsia"/>
          <w:sz w:val="24"/>
        </w:rPr>
        <w:fldChar w:fldCharType="separate"/>
      </w:r>
    </w:p>
    <w:p>
      <w:pPr>
        <w:pStyle w:val="16"/>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_Toc17174 </w:instrText>
      </w:r>
      <w:r>
        <w:rPr>
          <w:rFonts w:hint="eastAsia" w:ascii="仿宋" w:hAnsi="仿宋" w:eastAsia="仿宋" w:cs="Times New Roman"/>
          <w:kern w:val="2"/>
          <w:szCs w:val="28"/>
          <w:lang w:val="en-US" w:eastAsia="zh-CN" w:bidi="ar-SA"/>
        </w:rPr>
        <w:fldChar w:fldCharType="separate"/>
      </w:r>
      <w:r>
        <w:rPr>
          <w:rFonts w:hint="eastAsia" w:ascii="黑体" w:hAnsi="黑体" w:eastAsia="黑体" w:cs="Times New Roman"/>
          <w:kern w:val="2"/>
          <w:szCs w:val="24"/>
          <w:lang w:val="en-US" w:eastAsia="zh-CN" w:bidi="ar-SA"/>
        </w:rPr>
        <w:t xml:space="preserve">第一部分 </w:t>
      </w:r>
      <w:r>
        <w:rPr>
          <w:rFonts w:hint="eastAsia" w:ascii="黑体" w:hAnsi="黑体" w:eastAsia="黑体" w:cs="Times New Roman"/>
          <w:bCs w:val="0"/>
          <w:kern w:val="2"/>
          <w:szCs w:val="24"/>
          <w:lang w:val="en-US" w:eastAsia="zh-CN" w:bidi="ar-SA"/>
        </w:rPr>
        <w:t>部门概况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_Toc17174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_Toc2154 </w:instrText>
      </w:r>
      <w:r>
        <w:rPr>
          <w:rFonts w:hint="eastAsia" w:ascii="仿宋" w:hAnsi="仿宋" w:eastAsia="仿宋" w:cs="Times New Roman"/>
          <w:kern w:val="2"/>
          <w:szCs w:val="28"/>
          <w:lang w:val="en-US" w:eastAsia="zh-CN" w:bidi="ar-SA"/>
        </w:rPr>
        <w:fldChar w:fldCharType="separate"/>
      </w:r>
      <w:r>
        <w:rPr>
          <w:rFonts w:ascii="Times New Roman" w:hAnsi="Times New Roman" w:eastAsia="宋体" w:cs="Times New Roman"/>
          <w:kern w:val="2"/>
          <w:szCs w:val="24"/>
          <w:lang w:val="en-US" w:eastAsia="zh-CN" w:bidi="ar-SA"/>
        </w:rPr>
        <w:t>一</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部门职责</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_Toc2154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_Toc12484 </w:instrText>
      </w:r>
      <w:r>
        <w:rPr>
          <w:rFonts w:hint="eastAsia" w:ascii="仿宋" w:hAnsi="仿宋" w:eastAsia="仿宋" w:cs="Times New Roman"/>
          <w:kern w:val="2"/>
          <w:szCs w:val="28"/>
          <w:lang w:val="en-US" w:eastAsia="zh-CN" w:bidi="ar-SA"/>
        </w:rPr>
        <w:fldChar w:fldCharType="separate"/>
      </w:r>
      <w:r>
        <w:rPr>
          <w:rFonts w:ascii="Times New Roman" w:hAnsi="Times New Roman" w:eastAsia="宋体" w:cs="Times New Roman"/>
          <w:kern w:val="2"/>
          <w:szCs w:val="24"/>
          <w:lang w:val="en-US" w:eastAsia="zh-CN" w:bidi="ar-SA"/>
        </w:rPr>
        <w:t>二</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机构设置</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_Toc12484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_Toc14567 </w:instrText>
      </w:r>
      <w:r>
        <w:rPr>
          <w:rFonts w:hint="eastAsia" w:ascii="仿宋" w:hAnsi="仿宋" w:eastAsia="仿宋" w:cs="Times New Roman"/>
          <w:kern w:val="2"/>
          <w:szCs w:val="28"/>
          <w:lang w:val="en-US" w:eastAsia="zh-CN" w:bidi="ar-SA"/>
        </w:rPr>
        <w:fldChar w:fldCharType="separate"/>
      </w:r>
      <w:r>
        <w:rPr>
          <w:rFonts w:hint="eastAsia" w:ascii="黑体" w:hAnsi="黑体" w:eastAsia="黑体" w:cs="Times New Roman"/>
          <w:kern w:val="2"/>
          <w:szCs w:val="24"/>
          <w:lang w:val="en-US" w:eastAsia="zh-CN" w:bidi="ar-SA"/>
        </w:rPr>
        <w:t>第二部分 2023年度</w:t>
      </w:r>
      <w:r>
        <w:rPr>
          <w:rFonts w:hint="eastAsia" w:ascii="黑体" w:hAnsi="黑体" w:eastAsia="黑体" w:cs="Times New Roman"/>
          <w:bCs/>
          <w:kern w:val="2"/>
          <w:szCs w:val="24"/>
          <w:lang w:val="en-US" w:eastAsia="zh-CN" w:bidi="ar-SA"/>
        </w:rPr>
        <w:t>部门决算情况说明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_Toc14567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_Toc7768 </w:instrText>
      </w:r>
      <w:r>
        <w:rPr>
          <w:rFonts w:hint="eastAsia" w:ascii="仿宋" w:hAnsi="仿宋" w:eastAsia="仿宋" w:cs="Times New Roman"/>
          <w:kern w:val="2"/>
          <w:szCs w:val="28"/>
          <w:lang w:val="en-US" w:eastAsia="zh-CN" w:bidi="ar-SA"/>
        </w:rPr>
        <w:fldChar w:fldCharType="separate"/>
      </w:r>
      <w:r>
        <w:rPr>
          <w:rFonts w:ascii="Times New Roman" w:hAnsi="Times New Roman" w:eastAsia="宋体" w:cs="Times New Roman"/>
          <w:kern w:val="2"/>
          <w:szCs w:val="24"/>
          <w:lang w:val="en-US" w:eastAsia="zh-CN" w:bidi="ar-SA"/>
        </w:rPr>
        <w:t>一</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收</w:t>
      </w:r>
      <w:r>
        <w:rPr>
          <w:rFonts w:hint="eastAsia" w:ascii="黑体" w:hAnsi="黑体" w:eastAsia="黑体" w:cs="Times New Roman"/>
          <w:kern w:val="2"/>
          <w:szCs w:val="24"/>
          <w:lang w:val="en-US" w:eastAsia="zh-CN" w:bidi="ar-SA"/>
        </w:rPr>
        <w:t>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_Toc7768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_Toc12325 </w:instrText>
      </w:r>
      <w:r>
        <w:rPr>
          <w:rFonts w:hint="eastAsia" w:ascii="仿宋" w:hAnsi="仿宋" w:eastAsia="仿宋" w:cs="Times New Roman"/>
          <w:kern w:val="2"/>
          <w:szCs w:val="28"/>
          <w:lang w:val="en-US" w:eastAsia="zh-CN" w:bidi="ar-SA"/>
        </w:rPr>
        <w:fldChar w:fldCharType="separate"/>
      </w:r>
      <w:r>
        <w:rPr>
          <w:rFonts w:ascii="Times New Roman" w:hAnsi="Times New Roman" w:eastAsia="宋体" w:cs="Times New Roman"/>
          <w:kern w:val="2"/>
          <w:szCs w:val="24"/>
          <w:lang w:val="en-US" w:eastAsia="zh-CN" w:bidi="ar-SA"/>
        </w:rPr>
        <w:t>二</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收</w:t>
      </w:r>
      <w:r>
        <w:rPr>
          <w:rFonts w:hint="eastAsia" w:ascii="黑体" w:hAnsi="黑体" w:eastAsia="黑体" w:cs="Times New Roman"/>
          <w:kern w:val="2"/>
          <w:szCs w:val="24"/>
          <w:lang w:val="en-US" w:eastAsia="zh-CN" w:bidi="ar-SA"/>
        </w:rPr>
        <w:t>入决算情况说明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_Toc12325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_Toc16723 </w:instrText>
      </w:r>
      <w:r>
        <w:rPr>
          <w:rFonts w:hint="eastAsia" w:ascii="仿宋" w:hAnsi="仿宋" w:eastAsia="仿宋" w:cs="Times New Roman"/>
          <w:kern w:val="2"/>
          <w:szCs w:val="28"/>
          <w:lang w:val="en-US" w:eastAsia="zh-CN" w:bidi="ar-SA"/>
        </w:rPr>
        <w:fldChar w:fldCharType="separate"/>
      </w:r>
      <w:r>
        <w:rPr>
          <w:rFonts w:ascii="Times New Roman" w:hAnsi="Times New Roman" w:eastAsia="宋体" w:cs="Times New Roman"/>
          <w:kern w:val="2"/>
          <w:szCs w:val="24"/>
          <w:lang w:val="en-US" w:eastAsia="zh-CN" w:bidi="ar-SA"/>
        </w:rPr>
        <w:t>三</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支</w:t>
      </w:r>
      <w:r>
        <w:rPr>
          <w:rFonts w:hint="eastAsia" w:ascii="黑体" w:hAnsi="黑体" w:eastAsia="黑体" w:cs="Times New Roman"/>
          <w:kern w:val="2"/>
          <w:szCs w:val="24"/>
          <w:lang w:val="en-US" w:eastAsia="zh-CN" w:bidi="ar-SA"/>
        </w:rPr>
        <w:t>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_Toc16723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_Toc21306 </w:instrText>
      </w:r>
      <w:r>
        <w:rPr>
          <w:rFonts w:hint="eastAsia" w:ascii="仿宋" w:hAnsi="仿宋" w:eastAsia="仿宋" w:cs="Times New Roman"/>
          <w:kern w:val="2"/>
          <w:szCs w:val="28"/>
          <w:lang w:val="en-US" w:eastAsia="zh-CN" w:bidi="ar-SA"/>
        </w:rPr>
        <w:fldChar w:fldCharType="separate"/>
      </w:r>
      <w:r>
        <w:rPr>
          <w:rFonts w:hint="eastAsia" w:ascii="黑体" w:hAnsi="黑体" w:eastAsia="黑体" w:cs="Times New Roman"/>
          <w:kern w:val="2"/>
          <w:szCs w:val="32"/>
          <w:lang w:val="en-US" w:eastAsia="zh-CN" w:bidi="ar-SA"/>
        </w:rPr>
        <w:t>四、财</w:t>
      </w:r>
      <w:r>
        <w:rPr>
          <w:rFonts w:hint="eastAsia" w:ascii="黑体" w:hAnsi="黑体" w:eastAsia="黑体" w:cs="Times New Roman"/>
          <w:kern w:val="2"/>
          <w:szCs w:val="24"/>
          <w:lang w:val="en-US" w:eastAsia="zh-CN" w:bidi="ar-SA"/>
        </w:rPr>
        <w:t>政拨款收入支出决算总体情况说明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_Toc21306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_Toc16799 </w:instrText>
      </w:r>
      <w:r>
        <w:rPr>
          <w:rFonts w:hint="eastAsia" w:ascii="仿宋" w:hAnsi="仿宋" w:eastAsia="仿宋" w:cs="Times New Roman"/>
          <w:kern w:val="2"/>
          <w:szCs w:val="28"/>
          <w:lang w:val="en-US" w:eastAsia="zh-CN" w:bidi="ar-SA"/>
        </w:rPr>
        <w:fldChar w:fldCharType="separate"/>
      </w:r>
      <w:r>
        <w:rPr>
          <w:rFonts w:hint="eastAsia" w:ascii="黑体" w:hAnsi="黑体" w:eastAsia="黑体" w:cs="Times New Roman"/>
          <w:kern w:val="2"/>
          <w:szCs w:val="32"/>
          <w:lang w:val="en-US" w:eastAsia="zh-CN" w:bidi="ar-SA"/>
        </w:rPr>
        <w:t>五、一</w:t>
      </w:r>
      <w:r>
        <w:rPr>
          <w:rFonts w:hint="eastAsia" w:ascii="黑体" w:hAnsi="黑体" w:eastAsia="黑体" w:cs="Times New Roman"/>
          <w:kern w:val="2"/>
          <w:szCs w:val="24"/>
          <w:lang w:val="en-US" w:eastAsia="zh-CN" w:bidi="ar-SA"/>
        </w:rPr>
        <w:t>般公共预算财政拨款支出决算情况说明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_Toc16799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_Toc27860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（一）一般公共预算财政拨款支出决算总体情况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_Toc27860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_Toc8182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（二）一般公共预算财政拨款支出决算结构情况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_Toc8182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7</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_Toc24703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（三）一般公共预算财政拨款支出决算具体情况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_Toc24703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7</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_Toc26759 </w:instrText>
      </w:r>
      <w:r>
        <w:rPr>
          <w:rFonts w:hint="eastAsia" w:ascii="仿宋" w:hAnsi="仿宋" w:eastAsia="仿宋" w:cs="Times New Roman"/>
          <w:kern w:val="2"/>
          <w:szCs w:val="28"/>
          <w:lang w:val="en-US" w:eastAsia="zh-CN" w:bidi="ar-SA"/>
        </w:rPr>
        <w:fldChar w:fldCharType="separate"/>
      </w:r>
      <w:r>
        <w:rPr>
          <w:rFonts w:hint="eastAsia" w:ascii="黑体" w:hAnsi="Times New Roman" w:eastAsia="黑体" w:cs="Times New Roman"/>
          <w:kern w:val="2"/>
          <w:szCs w:val="32"/>
          <w:lang w:val="en-US" w:eastAsia="zh-CN" w:bidi="ar-SA"/>
        </w:rPr>
        <w:t>六、</w:t>
      </w:r>
      <w:r>
        <w:rPr>
          <w:rFonts w:hint="eastAsia" w:ascii="黑体" w:hAnsi="黑体" w:eastAsia="黑体" w:cs="Times New Roman"/>
          <w:kern w:val="2"/>
          <w:szCs w:val="32"/>
          <w:lang w:val="en-US" w:eastAsia="zh-CN" w:bidi="ar-SA"/>
        </w:rPr>
        <w:t>一</w:t>
      </w:r>
      <w:r>
        <w:rPr>
          <w:rFonts w:hint="eastAsia" w:ascii="黑体" w:hAnsi="黑体" w:eastAsia="黑体" w:cs="Times New Roman"/>
          <w:kern w:val="2"/>
          <w:szCs w:val="24"/>
          <w:lang w:val="en-US" w:eastAsia="zh-CN" w:bidi="ar-SA"/>
        </w:rPr>
        <w:t>般公共预算财政拨款基本支出决算情况说明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_Toc26759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10</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_Toc11574 </w:instrText>
      </w:r>
      <w:r>
        <w:rPr>
          <w:rFonts w:hint="eastAsia" w:ascii="仿宋" w:hAnsi="仿宋" w:eastAsia="仿宋" w:cs="Times New Roman"/>
          <w:kern w:val="2"/>
          <w:szCs w:val="28"/>
          <w:lang w:val="en-US" w:eastAsia="zh-CN" w:bidi="ar-SA"/>
        </w:rPr>
        <w:fldChar w:fldCharType="separate"/>
      </w:r>
      <w:r>
        <w:rPr>
          <w:rFonts w:hint="eastAsia" w:ascii="黑体" w:hAnsi="Times New Roman" w:eastAsia="黑体" w:cs="Times New Roman"/>
          <w:kern w:val="2"/>
          <w:szCs w:val="32"/>
          <w:lang w:val="en-US" w:eastAsia="zh-CN" w:bidi="ar-SA"/>
        </w:rPr>
        <w:t>七、</w:t>
      </w:r>
      <w:r>
        <w:rPr>
          <w:rFonts w:hint="eastAsia" w:ascii="黑体" w:hAnsi="黑体" w:eastAsia="黑体" w:cs="Times New Roman"/>
          <w:kern w:val="2"/>
          <w:szCs w:val="24"/>
          <w:lang w:val="en-US" w:eastAsia="zh-CN" w:bidi="ar-SA"/>
        </w:rPr>
        <w:t>财政拨款“三公”经费支出决算情况说明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_Toc11574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_Toc23489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（一）“三公”经费财政拨款支出决算总体情况说明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_Toc23489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_Toc24970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（二）“三公”经费财政拨款支出决算具体情况说明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_Toc24970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_Toc18022 </w:instrText>
      </w:r>
      <w:r>
        <w:rPr>
          <w:rFonts w:hint="eastAsia" w:ascii="仿宋" w:hAnsi="仿宋" w:eastAsia="仿宋" w:cs="Times New Roman"/>
          <w:kern w:val="2"/>
          <w:szCs w:val="28"/>
          <w:lang w:val="en-US" w:eastAsia="zh-CN" w:bidi="ar-SA"/>
        </w:rPr>
        <w:fldChar w:fldCharType="separate"/>
      </w:r>
      <w:r>
        <w:rPr>
          <w:rFonts w:hint="eastAsia" w:ascii="黑体" w:hAnsi="Times New Roman" w:eastAsia="黑体" w:cs="Times New Roman"/>
          <w:kern w:val="2"/>
          <w:szCs w:val="32"/>
          <w:lang w:val="en-US" w:eastAsia="zh-CN" w:bidi="ar-SA"/>
        </w:rPr>
        <w:t>八、</w:t>
      </w:r>
      <w:r>
        <w:rPr>
          <w:rFonts w:hint="eastAsia" w:ascii="黑体" w:hAnsi="黑体" w:eastAsia="黑体" w:cs="Times New Roman"/>
          <w:kern w:val="2"/>
          <w:szCs w:val="24"/>
          <w:lang w:val="en-US" w:eastAsia="zh-CN" w:bidi="ar-SA"/>
        </w:rPr>
        <w:t>政府性基金预算支出决算情况说明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_Toc18022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13</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_Toc30169 </w:instrText>
      </w:r>
      <w:r>
        <w:rPr>
          <w:rFonts w:hint="eastAsia" w:ascii="仿宋" w:hAnsi="仿宋" w:eastAsia="仿宋" w:cs="Times New Roman"/>
          <w:kern w:val="2"/>
          <w:szCs w:val="28"/>
          <w:lang w:val="en-US" w:eastAsia="zh-CN" w:bidi="ar-SA"/>
        </w:rPr>
        <w:fldChar w:fldCharType="separate"/>
      </w:r>
      <w:r>
        <w:rPr>
          <w:rFonts w:ascii="Times New Roman" w:hAnsi="Times New Roman" w:eastAsia="宋体" w:cs="Times New Roman"/>
          <w:kern w:val="2"/>
          <w:szCs w:val="24"/>
          <w:lang w:val="en-US" w:eastAsia="zh-CN" w:bidi="ar-SA"/>
        </w:rPr>
        <w:t>九</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国有资本经营预算支出决算情况说明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_Toc30169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13</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_Toc19292 </w:instrText>
      </w:r>
      <w:r>
        <w:rPr>
          <w:rFonts w:hint="eastAsia" w:ascii="仿宋" w:hAnsi="仿宋" w:eastAsia="仿宋" w:cs="Times New Roman"/>
          <w:kern w:val="2"/>
          <w:szCs w:val="28"/>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其他重要事项的情况说明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_Toc19292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13</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_Toc25967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（一）机关运行经费支出情况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_Toc25967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13</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_Toc13522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（二）政府采购支出情况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_Toc13522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14</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_Toc25994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（三）国有资产占有使用情况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_Toc25994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14</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_Toc20396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Times New Roman"/>
          <w:kern w:val="2"/>
          <w:szCs w:val="32"/>
          <w:lang w:val="en-US" w:eastAsia="zh-CN" w:bidi="ar-SA"/>
        </w:rPr>
        <w:t>（四）预算绩效管理情况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_Toc20396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14</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_Toc20884 </w:instrText>
      </w:r>
      <w:r>
        <w:rPr>
          <w:rFonts w:hint="eastAsia" w:ascii="仿宋" w:hAnsi="仿宋" w:eastAsia="仿宋" w:cs="Times New Roman"/>
          <w:kern w:val="2"/>
          <w:szCs w:val="28"/>
          <w:lang w:val="en-US" w:eastAsia="zh-CN" w:bidi="ar-SA"/>
        </w:rPr>
        <w:fldChar w:fldCharType="separate"/>
      </w:r>
      <w:r>
        <w:rPr>
          <w:rFonts w:hint="eastAsia" w:ascii="Times New Roman" w:hAnsi="Times New Roman" w:eastAsia="宋体" w:cs="Times New Roman"/>
          <w:kern w:val="2"/>
          <w:szCs w:val="24"/>
          <w:lang w:val="en-US" w:eastAsia="zh-CN" w:bidi="ar-SA"/>
        </w:rPr>
        <w:t>第三部分 名词解释</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_Toc20884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15</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_Toc11107 </w:instrText>
      </w:r>
      <w:r>
        <w:rPr>
          <w:rFonts w:hint="eastAsia" w:ascii="仿宋" w:hAnsi="仿宋" w:eastAsia="仿宋" w:cs="Times New Roman"/>
          <w:kern w:val="2"/>
          <w:szCs w:val="28"/>
          <w:lang w:val="en-US" w:eastAsia="zh-CN" w:bidi="ar-SA"/>
        </w:rPr>
        <w:fldChar w:fldCharType="separate"/>
      </w:r>
      <w:r>
        <w:rPr>
          <w:rFonts w:hint="eastAsia" w:ascii="黑体" w:hAnsi="黑体" w:eastAsia="黑体" w:cs="Times New Roman"/>
          <w:kern w:val="2"/>
          <w:szCs w:val="24"/>
          <w:lang w:val="en-US" w:eastAsia="zh-CN" w:bidi="ar-SA"/>
        </w:rPr>
        <w:t>第四部分 附件</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_Toc11107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19</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_Toc24080 </w:instrText>
      </w:r>
      <w:r>
        <w:rPr>
          <w:rFonts w:hint="eastAsia" w:ascii="仿宋" w:hAnsi="仿宋" w:eastAsia="仿宋" w:cs="Times New Roman"/>
          <w:kern w:val="2"/>
          <w:szCs w:val="28"/>
          <w:lang w:val="en-US" w:eastAsia="zh-CN" w:bidi="ar-SA"/>
        </w:rPr>
        <w:fldChar w:fldCharType="separate"/>
      </w:r>
      <w:r>
        <w:rPr>
          <w:rFonts w:hint="eastAsia" w:ascii="黑体" w:hAnsi="黑体" w:eastAsia="黑体" w:cs="Times New Roman"/>
          <w:kern w:val="2"/>
          <w:szCs w:val="24"/>
          <w:lang w:val="en-US" w:eastAsia="zh-CN" w:bidi="ar-SA"/>
        </w:rPr>
        <w:t>第五部分 附表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_Toc24080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49</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_Toc10671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一、收入支出决算总表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_Toc10671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49</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_Toc28683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二、收入决算表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_Toc28683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51</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_Toc25785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三、支出决算表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_Toc25785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53</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_Toc9498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四、财政拨款收入支出决算总表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_Toc9498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55</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_Toc26536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五、财政拨款支出决算明细表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_Toc26536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57</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_Toc14367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六、一般公共预算财政拨款支出决算表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_Toc14367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57</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_Toc21697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七、一般公共预算财政拨款支出决算明细表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_Toc21697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60</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_Toc4469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八、一般公共预算财政拨款基本支出决算表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_Toc4469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60</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_Toc11645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九、一般公共预算财政拨款项目支出决算表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_Toc11645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62</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_Toc1325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十、政府性基金预算财政拨款收入支出决算表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_Toc1325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64</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_Toc21557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十一、国有资本经营预算财政拨款收入支出决算表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_Toc21557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64</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_Toc6274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十二、国有资本经营预算财政拨款支出决算表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_Toc6274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65</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hint="eastAsia" w:ascii="仿宋" w:hAnsi="仿宋" w:eastAsia="仿宋" w:cs="Times New Roman"/>
          <w:kern w:val="2"/>
          <w:szCs w:val="28"/>
          <w:lang w:val="en-US" w:eastAsia="zh-CN" w:bidi="ar-SA"/>
        </w:rPr>
        <w:fldChar w:fldCharType="begin"/>
      </w:r>
      <w:r>
        <w:rPr>
          <w:rFonts w:hint="eastAsia" w:ascii="仿宋" w:hAnsi="仿宋" w:eastAsia="仿宋" w:cs="Times New Roman"/>
          <w:kern w:val="2"/>
          <w:szCs w:val="28"/>
          <w:lang w:val="en-US" w:eastAsia="zh-CN" w:bidi="ar-SA"/>
        </w:rPr>
        <w:instrText xml:space="preserve"> HYPERLINK \l _Toc23645 </w:instrText>
      </w:r>
      <w:r>
        <w:rPr>
          <w:rFonts w:hint="eastAsia" w:ascii="仿宋" w:hAnsi="仿宋" w:eastAsia="仿宋" w:cs="Times New Roman"/>
          <w:kern w:val="2"/>
          <w:szCs w:val="28"/>
          <w:lang w:val="en-US" w:eastAsia="zh-CN" w:bidi="ar-SA"/>
        </w:rPr>
        <w:fldChar w:fldCharType="separate"/>
      </w:r>
      <w:r>
        <w:rPr>
          <w:rFonts w:hint="eastAsia" w:ascii="仿宋" w:hAnsi="仿宋" w:eastAsia="仿宋" w:cs="仿宋"/>
          <w:bCs w:val="0"/>
          <w:kern w:val="2"/>
          <w:szCs w:val="32"/>
          <w:lang w:val="en-US" w:eastAsia="zh-CN" w:bidi="ar-SA"/>
        </w:rPr>
        <w:t>十三、财政拨款“三公”经费支出决算表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_Toc23645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65</w:t>
      </w:r>
      <w:r>
        <w:rPr>
          <w:rFonts w:ascii="Times New Roman" w:hAnsi="Times New Roman" w:eastAsia="宋体" w:cs="Times New Roman"/>
          <w:kern w:val="2"/>
          <w:szCs w:val="24"/>
          <w:lang w:val="en-US" w:eastAsia="zh-CN" w:bidi="ar-SA"/>
        </w:rPr>
        <w:fldChar w:fldCharType="end"/>
      </w:r>
      <w:r>
        <w:rPr>
          <w:rFonts w:hint="eastAsia" w:ascii="仿宋" w:hAnsi="仿宋" w:eastAsia="仿宋" w:cs="Times New Roman"/>
          <w:kern w:val="2"/>
          <w:szCs w:val="28"/>
          <w:lang w:val="en-US" w:eastAsia="zh-CN" w:bidi="ar-SA"/>
        </w:rPr>
        <w:fldChar w:fldCharType="end"/>
      </w:r>
    </w:p>
    <w:p>
      <w:pPr>
        <w:pStyle w:val="16"/>
        <w:tabs>
          <w:tab w:val="right" w:leader="dot" w:pos="8296"/>
        </w:tabs>
        <w:adjustRightInd w:val="0"/>
        <w:snapToGrid w:val="0"/>
        <w:spacing w:before="0" w:line="440" w:lineRule="exact"/>
        <w:jc w:val="left"/>
        <w:rPr>
          <w:rFonts w:hint="eastAsia"/>
          <w:sz w:val="24"/>
        </w:rPr>
      </w:pPr>
      <w:r>
        <w:rPr>
          <w:rFonts w:hint="eastAsia" w:ascii="仿宋" w:hAnsi="仿宋" w:eastAsia="仿宋" w:cs="Times New Roman"/>
          <w:kern w:val="2"/>
          <w:szCs w:val="28"/>
          <w:lang w:val="en-US" w:eastAsia="zh-CN" w:bidi="ar-SA"/>
        </w:rPr>
        <w:fldChar w:fldCharType="end"/>
      </w:r>
    </w:p>
    <w:p>
      <w:pPr>
        <w:pStyle w:val="3"/>
        <w:jc w:val="center"/>
        <w:rPr>
          <w:rFonts w:hint="eastAsia" w:ascii="黑体" w:hAnsi="黑体" w:eastAsia="黑体"/>
          <w:b w:val="0"/>
        </w:rPr>
        <w:sectPr>
          <w:footerReference r:id="rId7" w:type="default"/>
          <w:pgSz w:w="11906" w:h="16838"/>
          <w:pgMar w:top="1440" w:right="1800" w:bottom="1440" w:left="1800" w:header="851" w:footer="992" w:gutter="0"/>
          <w:pgNumType w:fmt="decimal"/>
          <w:cols w:space="425" w:num="1"/>
          <w:docGrid w:type="lines" w:linePitch="312" w:charSpace="0"/>
        </w:sectPr>
      </w:pPr>
      <w:bookmarkStart w:id="18" w:name="_Toc15396599"/>
      <w:bookmarkStart w:id="19" w:name="_Toc15377196"/>
    </w:p>
    <w:p>
      <w:pPr>
        <w:pStyle w:val="3"/>
        <w:jc w:val="center"/>
        <w:rPr>
          <w:rStyle w:val="33"/>
          <w:rFonts w:ascii="黑体" w:hAnsi="黑体" w:eastAsia="黑体"/>
          <w:b/>
          <w:bCs w:val="0"/>
        </w:rPr>
      </w:pPr>
      <w:bookmarkStart w:id="20" w:name="_Toc17174"/>
      <w:r>
        <w:rPr>
          <w:rFonts w:hint="eastAsia" w:ascii="黑体" w:hAnsi="黑体" w:eastAsia="黑体"/>
          <w:b w:val="0"/>
        </w:rPr>
        <w:t xml:space="preserve">第一部分 </w:t>
      </w:r>
      <w:r>
        <w:rPr>
          <w:rStyle w:val="33"/>
          <w:rFonts w:hint="eastAsia" w:ascii="黑体" w:hAnsi="黑体" w:eastAsia="黑体"/>
          <w:b w:val="0"/>
          <w:bCs w:val="0"/>
        </w:rPr>
        <w:t>部门概况</w:t>
      </w:r>
      <w:bookmarkEnd w:id="18"/>
      <w:bookmarkEnd w:id="19"/>
      <w:bookmarkEnd w:id="20"/>
    </w:p>
    <w:p>
      <w:pPr>
        <w:widowControl/>
        <w:jc w:val="left"/>
        <w:rPr>
          <w:rFonts w:ascii="黑体" w:eastAsia="黑体"/>
          <w:sz w:val="32"/>
          <w:szCs w:val="32"/>
        </w:rPr>
      </w:pPr>
    </w:p>
    <w:p>
      <w:pPr>
        <w:pStyle w:val="4"/>
        <w:numPr>
          <w:ilvl w:val="0"/>
          <w:numId w:val="1"/>
        </w:numPr>
        <w:rPr>
          <w:rFonts w:hint="eastAsia" w:ascii="黑体" w:hAnsi="黑体" w:eastAsia="黑体"/>
          <w:b w:val="0"/>
        </w:rPr>
      </w:pPr>
      <w:bookmarkStart w:id="21" w:name="_Toc2154"/>
      <w:r>
        <w:rPr>
          <w:rFonts w:hint="eastAsia" w:ascii="黑体" w:hAnsi="黑体" w:eastAsia="黑体"/>
          <w:b w:val="0"/>
        </w:rPr>
        <w:t>部门职责</w:t>
      </w:r>
      <w:bookmarkEnd w:id="21"/>
    </w:p>
    <w:p>
      <w:pPr>
        <w:ind w:firstLine="800" w:firstLineChars="250"/>
        <w:rPr>
          <w:rFonts w:hint="eastAsia" w:ascii="仿宋" w:hAnsi="仿宋" w:eastAsia="仿宋"/>
          <w:sz w:val="32"/>
          <w:szCs w:val="32"/>
        </w:rPr>
      </w:pPr>
      <w:r>
        <w:rPr>
          <w:rFonts w:hint="eastAsia" w:ascii="仿宋" w:hAnsi="仿宋" w:eastAsia="仿宋"/>
          <w:sz w:val="32"/>
          <w:szCs w:val="32"/>
        </w:rPr>
        <w:t>草地乡党委、政府主要承担着贯彻落实党和政府各项路线方针政策，促进经济发展、增加农民收入，强化公共服务、着力改善民生，加强社会管理、维护农村稳定，推进基层民主、促进农村和谐的重大任务。草地乡党委、政府重点履行以下职能：</w:t>
      </w:r>
    </w:p>
    <w:p>
      <w:pPr>
        <w:ind w:firstLine="800" w:firstLineChars="250"/>
        <w:rPr>
          <w:rFonts w:hint="eastAsia" w:ascii="仿宋" w:hAnsi="仿宋" w:eastAsia="仿宋"/>
          <w:sz w:val="32"/>
          <w:szCs w:val="32"/>
        </w:rPr>
      </w:pPr>
      <w:r>
        <w:rPr>
          <w:rFonts w:hint="eastAsia" w:ascii="仿宋" w:hAnsi="仿宋" w:eastAsia="仿宋"/>
          <w:sz w:val="32"/>
          <w:szCs w:val="32"/>
        </w:rPr>
        <w:t>1.乡党委主要职责</w:t>
      </w:r>
    </w:p>
    <w:p>
      <w:pPr>
        <w:ind w:firstLine="800" w:firstLineChars="250"/>
        <w:rPr>
          <w:rFonts w:hint="eastAsia" w:ascii="仿宋" w:hAnsi="仿宋" w:eastAsia="仿宋"/>
          <w:sz w:val="32"/>
          <w:szCs w:val="32"/>
        </w:rPr>
      </w:pPr>
      <w:r>
        <w:rPr>
          <w:rFonts w:hint="eastAsia" w:ascii="仿宋" w:hAnsi="仿宋" w:eastAsia="仿宋"/>
          <w:sz w:val="32"/>
          <w:szCs w:val="32"/>
        </w:rPr>
        <w:t xml:space="preserve"> 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ind w:firstLine="800" w:firstLineChars="250"/>
        <w:rPr>
          <w:rFonts w:hint="eastAsia" w:ascii="仿宋" w:hAnsi="仿宋" w:eastAsia="仿宋"/>
          <w:sz w:val="32"/>
          <w:szCs w:val="32"/>
        </w:rPr>
      </w:pPr>
      <w:r>
        <w:rPr>
          <w:rFonts w:hint="eastAsia" w:ascii="仿宋" w:hAnsi="仿宋" w:eastAsia="仿宋"/>
          <w:sz w:val="32"/>
          <w:szCs w:val="32"/>
        </w:rPr>
        <w:t xml:space="preserve">2.乡人大主席团主要职责 </w:t>
      </w:r>
    </w:p>
    <w:p>
      <w:pPr>
        <w:ind w:firstLine="800" w:firstLineChars="250"/>
        <w:rPr>
          <w:rFonts w:hint="eastAsia" w:ascii="仿宋" w:hAnsi="仿宋" w:eastAsia="仿宋"/>
          <w:sz w:val="32"/>
          <w:szCs w:val="32"/>
        </w:rPr>
      </w:pPr>
      <w:r>
        <w:rPr>
          <w:rFonts w:hint="eastAsia" w:ascii="仿宋" w:hAnsi="仿宋" w:eastAsia="仿宋"/>
          <w:sz w:val="32"/>
          <w:szCs w:val="32"/>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ind w:firstLine="800" w:firstLineChars="250"/>
        <w:rPr>
          <w:rFonts w:hint="eastAsia" w:ascii="仿宋" w:hAnsi="仿宋" w:eastAsia="仿宋"/>
          <w:sz w:val="32"/>
          <w:szCs w:val="32"/>
        </w:rPr>
      </w:pPr>
      <w:r>
        <w:rPr>
          <w:rFonts w:hint="eastAsia" w:ascii="仿宋" w:hAnsi="仿宋" w:eastAsia="仿宋"/>
          <w:sz w:val="32"/>
          <w:szCs w:val="32"/>
        </w:rPr>
        <w:t>3.乡政府主要职责</w:t>
      </w:r>
    </w:p>
    <w:p>
      <w:pPr>
        <w:ind w:firstLine="800" w:firstLineChars="250"/>
        <w:rPr>
          <w:rFonts w:hint="eastAsia" w:ascii="仿宋" w:hAnsi="仿宋" w:eastAsia="仿宋"/>
          <w:sz w:val="32"/>
          <w:szCs w:val="32"/>
        </w:rPr>
      </w:pPr>
      <w:r>
        <w:rPr>
          <w:rFonts w:hint="eastAsia" w:ascii="仿宋" w:hAnsi="仿宋" w:eastAsia="仿宋"/>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ind w:firstLine="800" w:firstLineChars="250"/>
        <w:rPr>
          <w:rFonts w:hint="eastAsia" w:ascii="仿宋" w:hAnsi="仿宋" w:eastAsia="仿宋"/>
          <w:sz w:val="32"/>
          <w:szCs w:val="32"/>
        </w:rPr>
      </w:pPr>
      <w:r>
        <w:rPr>
          <w:rFonts w:hint="eastAsia" w:ascii="仿宋" w:hAnsi="仿宋" w:eastAsia="仿宋"/>
          <w:sz w:val="32"/>
          <w:szCs w:val="32"/>
        </w:rPr>
        <w:t>4.乡纪委主要职责</w:t>
      </w:r>
    </w:p>
    <w:p>
      <w:pPr>
        <w:ind w:firstLine="800" w:firstLineChars="250"/>
        <w:rPr>
          <w:rFonts w:hint="eastAsia" w:ascii="仿宋" w:hAnsi="仿宋" w:eastAsia="仿宋"/>
          <w:sz w:val="32"/>
          <w:szCs w:val="32"/>
        </w:rPr>
      </w:pPr>
      <w:r>
        <w:rPr>
          <w:rFonts w:hint="eastAsia" w:ascii="仿宋" w:hAnsi="仿宋" w:eastAsia="仿宋"/>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ind w:firstLine="800" w:firstLineChars="250"/>
        <w:rPr>
          <w:rFonts w:hint="eastAsia" w:ascii="仿宋" w:hAnsi="仿宋" w:eastAsia="仿宋"/>
          <w:sz w:val="32"/>
          <w:szCs w:val="32"/>
        </w:rPr>
      </w:pPr>
      <w:r>
        <w:rPr>
          <w:rFonts w:hint="eastAsia" w:ascii="仿宋" w:hAnsi="仿宋" w:eastAsia="仿宋"/>
          <w:sz w:val="32"/>
          <w:szCs w:val="32"/>
        </w:rPr>
        <w:t>5.乡人民武装部主要职责</w:t>
      </w:r>
    </w:p>
    <w:p>
      <w:pPr>
        <w:ind w:firstLine="800" w:firstLineChars="250"/>
        <w:rPr>
          <w:rFonts w:hint="eastAsia" w:ascii="仿宋" w:hAnsi="仿宋" w:eastAsia="仿宋"/>
          <w:sz w:val="32"/>
          <w:szCs w:val="32"/>
        </w:rPr>
      </w:pPr>
      <w:r>
        <w:rPr>
          <w:rFonts w:hint="eastAsia" w:ascii="仿宋" w:hAnsi="仿宋" w:eastAsia="仿宋"/>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4"/>
        <w:numPr>
          <w:ilvl w:val="0"/>
          <w:numId w:val="1"/>
        </w:numPr>
        <w:rPr>
          <w:rFonts w:hint="eastAsia" w:ascii="黑体" w:hAnsi="黑体" w:eastAsia="黑体"/>
          <w:b w:val="0"/>
        </w:rPr>
      </w:pPr>
      <w:bookmarkStart w:id="22" w:name="_Toc15396601"/>
      <w:bookmarkStart w:id="23" w:name="_Toc15377200"/>
      <w:bookmarkStart w:id="24" w:name="_Toc12484"/>
      <w:r>
        <w:rPr>
          <w:rFonts w:hint="eastAsia" w:ascii="黑体" w:hAnsi="黑体" w:eastAsia="黑体"/>
          <w:b w:val="0"/>
        </w:rPr>
        <w:t>机构设置</w:t>
      </w:r>
      <w:bookmarkEnd w:id="22"/>
      <w:bookmarkEnd w:id="23"/>
      <w:bookmarkEnd w:id="24"/>
    </w:p>
    <w:p>
      <w:pPr>
        <w:ind w:firstLine="800" w:firstLineChars="250"/>
        <w:rPr>
          <w:rFonts w:hint="eastAsia" w:ascii="仿宋" w:hAnsi="仿宋" w:eastAsia="仿宋"/>
          <w:sz w:val="32"/>
          <w:szCs w:val="32"/>
        </w:rPr>
      </w:pPr>
      <w:r>
        <w:rPr>
          <w:rFonts w:hint="eastAsia" w:ascii="仿宋" w:hAnsi="仿宋" w:eastAsia="仿宋"/>
          <w:sz w:val="32"/>
          <w:szCs w:val="32"/>
        </w:rPr>
        <w:t>草地乡政府下属二级预算单位2个，其中行政单位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ind w:firstLine="800" w:firstLineChars="250"/>
        <w:rPr>
          <w:rFonts w:hint="eastAsia" w:ascii="仿宋" w:hAnsi="仿宋" w:eastAsia="仿宋"/>
          <w:sz w:val="32"/>
          <w:szCs w:val="32"/>
        </w:rPr>
      </w:pPr>
      <w:r>
        <w:rPr>
          <w:rFonts w:hint="eastAsia" w:ascii="仿宋" w:hAnsi="仿宋" w:eastAsia="仿宋"/>
          <w:sz w:val="32"/>
          <w:szCs w:val="32"/>
        </w:rPr>
        <w:t>纳入草地乡政府2023年度部门决算编制范围的二级预算单位包括：</w:t>
      </w:r>
    </w:p>
    <w:p>
      <w:pPr>
        <w:ind w:firstLine="800" w:firstLineChars="250"/>
        <w:rPr>
          <w:rFonts w:hint="eastAsia" w:ascii="仿宋" w:hAnsi="仿宋" w:eastAsia="仿宋"/>
          <w:sz w:val="32"/>
          <w:szCs w:val="32"/>
        </w:rPr>
      </w:pPr>
      <w:bookmarkStart w:id="25" w:name="_Toc15306276"/>
      <w:bookmarkStart w:id="26" w:name="_Toc15377202"/>
      <w:bookmarkStart w:id="27" w:name="_Toc15378449"/>
      <w:bookmarkStart w:id="28" w:name="_Toc15377433"/>
      <w:r>
        <w:rPr>
          <w:rFonts w:hint="eastAsia" w:ascii="仿宋" w:hAnsi="仿宋" w:eastAsia="仿宋"/>
          <w:sz w:val="32"/>
          <w:szCs w:val="32"/>
          <w:lang w:val="en-US" w:eastAsia="zh-CN"/>
        </w:rPr>
        <w:t>1.</w:t>
      </w:r>
      <w:r>
        <w:rPr>
          <w:rFonts w:hint="eastAsia" w:ascii="仿宋" w:hAnsi="仿宋" w:eastAsia="仿宋"/>
          <w:sz w:val="32"/>
          <w:szCs w:val="32"/>
          <w:lang w:eastAsia="zh-CN"/>
        </w:rPr>
        <w:t>九寨沟县草地乡人民政府</w:t>
      </w:r>
      <w:bookmarkEnd w:id="25"/>
      <w:bookmarkEnd w:id="26"/>
      <w:bookmarkEnd w:id="27"/>
      <w:bookmarkEnd w:id="28"/>
    </w:p>
    <w:p>
      <w:pPr>
        <w:ind w:firstLine="800" w:firstLineChars="250"/>
        <w:rPr>
          <w:rFonts w:ascii="仿宋" w:hAnsi="仿宋" w:eastAsia="仿宋"/>
          <w:kern w:val="0"/>
          <w:sz w:val="32"/>
          <w:szCs w:val="32"/>
        </w:rPr>
      </w:pPr>
      <w:r>
        <w:rPr>
          <w:rFonts w:hint="eastAsia" w:ascii="仿宋" w:hAnsi="仿宋" w:eastAsia="仿宋"/>
          <w:sz w:val="32"/>
          <w:szCs w:val="32"/>
          <w:lang w:val="en-US" w:eastAsia="zh-CN"/>
        </w:rPr>
        <w:t>2.</w:t>
      </w:r>
      <w:r>
        <w:rPr>
          <w:rFonts w:hint="eastAsia" w:ascii="仿宋" w:hAnsi="仿宋" w:eastAsia="仿宋"/>
          <w:sz w:val="32"/>
          <w:szCs w:val="32"/>
          <w:lang w:eastAsia="zh-CN"/>
        </w:rPr>
        <w:t>九寨沟县草地乡便民服务中心</w:t>
      </w:r>
      <w:r>
        <w:rPr>
          <w:rFonts w:ascii="仿宋" w:hAnsi="仿宋" w:eastAsia="仿宋"/>
          <w:sz w:val="32"/>
          <w:szCs w:val="32"/>
        </w:rPr>
        <w:br w:type="page"/>
      </w:r>
    </w:p>
    <w:p>
      <w:pPr>
        <w:pStyle w:val="3"/>
        <w:ind w:right="440"/>
        <w:jc w:val="center"/>
        <w:rPr>
          <w:rStyle w:val="33"/>
          <w:rFonts w:ascii="黑体" w:hAnsi="黑体" w:eastAsia="黑体"/>
          <w:b w:val="0"/>
          <w:bCs/>
        </w:rPr>
      </w:pPr>
      <w:bookmarkStart w:id="29" w:name="_Toc15377204"/>
      <w:bookmarkStart w:id="30" w:name="_Toc15396602"/>
      <w:bookmarkStart w:id="31" w:name="_Toc14567"/>
      <w:r>
        <w:rPr>
          <w:rFonts w:hint="eastAsia" w:ascii="黑体" w:hAnsi="黑体" w:eastAsia="黑体"/>
          <w:b w:val="0"/>
        </w:rPr>
        <w:t>第二部分 2023年度</w:t>
      </w:r>
      <w:r>
        <w:rPr>
          <w:rStyle w:val="33"/>
          <w:rFonts w:hint="eastAsia" w:ascii="黑体" w:hAnsi="黑体" w:eastAsia="黑体"/>
          <w:b w:val="0"/>
          <w:bCs/>
        </w:rPr>
        <w:t>部门决算情况说明</w:t>
      </w:r>
      <w:bookmarkEnd w:id="29"/>
      <w:bookmarkEnd w:id="30"/>
      <w:bookmarkEnd w:id="31"/>
    </w:p>
    <w:p>
      <w:pPr/>
    </w:p>
    <w:p>
      <w:pPr>
        <w:pStyle w:val="32"/>
        <w:numPr>
          <w:ilvl w:val="0"/>
          <w:numId w:val="2"/>
        </w:numPr>
        <w:spacing w:line="600" w:lineRule="exact"/>
        <w:ind w:firstLineChars="0"/>
        <w:outlineLvl w:val="1"/>
        <w:rPr>
          <w:rStyle w:val="34"/>
          <w:rFonts w:ascii="黑体" w:hAnsi="黑体" w:eastAsia="黑体"/>
          <w:b w:val="0"/>
        </w:rPr>
      </w:pPr>
      <w:bookmarkStart w:id="32" w:name="_Toc15396603"/>
      <w:bookmarkStart w:id="33" w:name="_Toc15377205"/>
      <w:bookmarkStart w:id="34" w:name="_Toc7768"/>
      <w:r>
        <w:rPr>
          <w:rFonts w:hint="eastAsia" w:ascii="黑体" w:hAnsi="黑体" w:eastAsia="黑体"/>
          <w:sz w:val="32"/>
          <w:szCs w:val="32"/>
        </w:rPr>
        <w:t>收</w:t>
      </w:r>
      <w:r>
        <w:rPr>
          <w:rStyle w:val="34"/>
          <w:rFonts w:hint="eastAsia" w:ascii="黑体" w:hAnsi="黑体" w:eastAsia="黑体"/>
          <w:b w:val="0"/>
        </w:rPr>
        <w:t>入支出决算总体情况说明</w:t>
      </w:r>
      <w:bookmarkEnd w:id="32"/>
      <w:bookmarkEnd w:id="33"/>
      <w:bookmarkEnd w:id="34"/>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sz w:val="32"/>
          <w:szCs w:val="32"/>
        </w:rPr>
        <w:t>1256.58</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与2022年度相比，收、支总计各减少</w:t>
      </w:r>
      <w:r>
        <w:rPr>
          <w:rFonts w:hint="eastAsia" w:ascii="仿宋" w:hAnsi="仿宋" w:eastAsia="仿宋"/>
          <w:sz w:val="32"/>
          <w:szCs w:val="32"/>
          <w:lang w:val="en-US" w:eastAsia="zh-CN"/>
        </w:rPr>
        <w:t>302.76</w:t>
      </w:r>
      <w:r>
        <w:rPr>
          <w:rFonts w:hint="eastAsia" w:ascii="仿宋" w:hAnsi="仿宋" w:eastAsia="仿宋"/>
          <w:sz w:val="32"/>
          <w:szCs w:val="32"/>
        </w:rPr>
        <w:t>万元，下降</w:t>
      </w:r>
      <w:r>
        <w:rPr>
          <w:rFonts w:hint="eastAsia" w:ascii="仿宋" w:hAnsi="仿宋" w:eastAsia="仿宋"/>
          <w:sz w:val="32"/>
          <w:szCs w:val="32"/>
          <w:lang w:val="en-US" w:eastAsia="zh-CN"/>
        </w:rPr>
        <w:t>19.42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本年度项目减少</w:t>
      </w:r>
      <w:r>
        <w:rPr>
          <w:rFonts w:hint="eastAsia" w:ascii="仿宋" w:hAnsi="仿宋" w:eastAsia="仿宋"/>
          <w:sz w:val="32"/>
          <w:szCs w:val="32"/>
        </w:rPr>
        <w:t>。</w:t>
      </w:r>
    </w:p>
    <w:p>
      <w:pPr>
        <w:spacing w:line="600" w:lineRule="exact"/>
        <w:ind w:firstLine="640" w:firstLineChars="200"/>
        <w:jc w:val="left"/>
        <w:rPr>
          <w:rFonts w:ascii="仿宋_GB2312" w:eastAsia="仿宋_GB2312"/>
          <w:sz w:val="32"/>
          <w:szCs w:val="32"/>
        </w:rPr>
      </w:pPr>
    </w:p>
    <w:p>
      <w:pPr>
        <w:pStyle w:val="32"/>
        <w:numPr>
          <w:ilvl w:val="0"/>
          <w:numId w:val="2"/>
        </w:numPr>
        <w:spacing w:line="600" w:lineRule="exact"/>
        <w:ind w:firstLineChars="0"/>
        <w:outlineLvl w:val="1"/>
        <w:rPr>
          <w:rStyle w:val="34"/>
          <w:rFonts w:ascii="黑体" w:hAnsi="黑体" w:eastAsia="黑体"/>
          <w:b w:val="0"/>
        </w:rPr>
      </w:pPr>
      <w:bookmarkStart w:id="35" w:name="_Toc15377206"/>
      <w:bookmarkStart w:id="36" w:name="_Toc15396604"/>
      <w:bookmarkStart w:id="37" w:name="_Toc12325"/>
      <w:r>
        <w:rPr>
          <w:rFonts w:hint="eastAsia" w:ascii="黑体" w:hAnsi="黑体" w:eastAsia="黑体"/>
          <w:sz w:val="32"/>
          <w:szCs w:val="32"/>
        </w:rPr>
        <w:t>收</w:t>
      </w:r>
      <w:r>
        <w:rPr>
          <w:rStyle w:val="34"/>
          <w:rFonts w:hint="eastAsia" w:ascii="黑体" w:hAnsi="黑体" w:eastAsia="黑体"/>
          <w:b w:val="0"/>
        </w:rPr>
        <w:t>入决算情况说明</w:t>
      </w:r>
      <w:bookmarkEnd w:id="35"/>
      <w:bookmarkEnd w:id="36"/>
      <w:bookmarkEnd w:id="37"/>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本年收入合计1194.97万元，其中：一般公共预算财政拨款收入1194.97万元，占100%；政府性基金预算财政拨款收入0万元，占0%；国有资本经营预算财政拨款收入0万元，占0%；上级补助收入0万元，占0%；事业收入0万元，占0%；经营收入0万元，占0%；附属单位上缴收入0万元，占0%；其他收入0万元，占0%。</w:t>
      </w:r>
    </w:p>
    <w:p>
      <w:pPr>
        <w:spacing w:line="600" w:lineRule="exact"/>
        <w:ind w:firstLine="640" w:firstLineChars="200"/>
        <w:rPr>
          <w:rFonts w:ascii="仿宋_GB2312" w:eastAsia="仿宋_GB2312"/>
          <w:sz w:val="32"/>
          <w:szCs w:val="32"/>
        </w:rPr>
      </w:pPr>
    </w:p>
    <w:p>
      <w:pPr>
        <w:pStyle w:val="32"/>
        <w:numPr>
          <w:ilvl w:val="0"/>
          <w:numId w:val="2"/>
        </w:numPr>
        <w:spacing w:line="600" w:lineRule="exact"/>
        <w:ind w:firstLineChars="0"/>
        <w:outlineLvl w:val="1"/>
        <w:rPr>
          <w:rStyle w:val="34"/>
          <w:rFonts w:ascii="黑体" w:hAnsi="黑体" w:eastAsia="黑体"/>
          <w:b w:val="0"/>
        </w:rPr>
      </w:pPr>
      <w:bookmarkStart w:id="38" w:name="_Toc15377207"/>
      <w:bookmarkStart w:id="39" w:name="_Toc15396605"/>
      <w:bookmarkStart w:id="40" w:name="_Toc16723"/>
      <w:r>
        <w:rPr>
          <w:rFonts w:hint="eastAsia" w:ascii="黑体" w:hAnsi="黑体" w:eastAsia="黑体"/>
          <w:sz w:val="32"/>
          <w:szCs w:val="32"/>
        </w:rPr>
        <w:t>支</w:t>
      </w:r>
      <w:r>
        <w:rPr>
          <w:rStyle w:val="34"/>
          <w:rFonts w:hint="eastAsia" w:ascii="黑体" w:hAnsi="黑体" w:eastAsia="黑体"/>
          <w:b w:val="0"/>
        </w:rPr>
        <w:t>出决算情况说明</w:t>
      </w:r>
      <w:bookmarkEnd w:id="38"/>
      <w:bookmarkEnd w:id="39"/>
      <w:bookmarkEnd w:id="40"/>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2023年度本年支出合计1256.58万元，其中：基本支出640.91万元，占51%；项目支出615.67万元，占48.99%；上缴上级支出0万元，占0%；经营支出0万元，占0%；对附属单位补助支出0万元，占0%。</w:t>
      </w:r>
    </w:p>
    <w:p>
      <w:pPr>
        <w:spacing w:line="600" w:lineRule="exact"/>
        <w:rPr>
          <w:rFonts w:ascii="仿宋_GB2312" w:eastAsia="仿宋_GB2312"/>
          <w:sz w:val="32"/>
          <w:szCs w:val="32"/>
        </w:rPr>
      </w:pPr>
    </w:p>
    <w:p>
      <w:pPr>
        <w:spacing w:line="600" w:lineRule="exact"/>
        <w:ind w:firstLine="640" w:firstLineChars="200"/>
        <w:outlineLvl w:val="1"/>
        <w:rPr>
          <w:rStyle w:val="34"/>
          <w:rFonts w:ascii="黑体" w:hAnsi="黑体" w:eastAsia="黑体"/>
          <w:b w:val="0"/>
        </w:rPr>
      </w:pPr>
      <w:bookmarkStart w:id="41" w:name="_Toc15377208"/>
      <w:bookmarkStart w:id="42" w:name="_Toc15396606"/>
      <w:bookmarkStart w:id="43" w:name="_Toc21306"/>
      <w:r>
        <w:rPr>
          <w:rFonts w:hint="eastAsia" w:ascii="黑体" w:hAnsi="黑体" w:eastAsia="黑体"/>
          <w:sz w:val="32"/>
          <w:szCs w:val="32"/>
        </w:rPr>
        <w:t>四、财</w:t>
      </w:r>
      <w:r>
        <w:rPr>
          <w:rStyle w:val="34"/>
          <w:rFonts w:hint="eastAsia" w:ascii="黑体" w:hAnsi="黑体" w:eastAsia="黑体"/>
          <w:b w:val="0"/>
        </w:rPr>
        <w:t>政拨款收入支出决算总体情况说明</w:t>
      </w:r>
      <w:bookmarkEnd w:id="41"/>
      <w:bookmarkEnd w:id="42"/>
      <w:bookmarkEnd w:id="43"/>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sz w:val="32"/>
          <w:szCs w:val="32"/>
        </w:rPr>
        <w:t>1256.58</w:t>
      </w:r>
      <w:r>
        <w:rPr>
          <w:rFonts w:hint="eastAsia" w:ascii="仿宋" w:hAnsi="仿宋" w:eastAsia="仿宋"/>
          <w:sz w:val="32"/>
          <w:szCs w:val="32"/>
        </w:rPr>
        <w:t>万元。与2022年度相比，财政拨款收、支总计各减少</w:t>
      </w:r>
      <w:r>
        <w:rPr>
          <w:rFonts w:hint="eastAsia" w:ascii="仿宋" w:hAnsi="仿宋" w:eastAsia="仿宋"/>
          <w:sz w:val="32"/>
          <w:szCs w:val="32"/>
          <w:lang w:val="en-US" w:eastAsia="zh-CN"/>
        </w:rPr>
        <w:t>302.76</w:t>
      </w:r>
      <w:r>
        <w:rPr>
          <w:rFonts w:hint="eastAsia" w:ascii="仿宋" w:hAnsi="仿宋" w:eastAsia="仿宋"/>
          <w:sz w:val="32"/>
          <w:szCs w:val="32"/>
        </w:rPr>
        <w:t>万元，下降</w:t>
      </w:r>
      <w:r>
        <w:rPr>
          <w:rFonts w:hint="eastAsia" w:ascii="仿宋" w:hAnsi="仿宋" w:eastAsia="仿宋"/>
          <w:sz w:val="32"/>
          <w:szCs w:val="32"/>
          <w:lang w:val="en-US" w:eastAsia="zh-CN"/>
        </w:rPr>
        <w:t>19.42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本年度项目减少。</w:t>
      </w:r>
    </w:p>
    <w:p>
      <w:pPr>
        <w:spacing w:line="600" w:lineRule="exact"/>
        <w:ind w:firstLine="640"/>
        <w:rPr>
          <w:rFonts w:ascii="仿宋" w:hAnsi="仿宋" w:eastAsia="仿宋"/>
          <w:b/>
          <w:sz w:val="32"/>
          <w:szCs w:val="32"/>
        </w:rPr>
      </w:pPr>
    </w:p>
    <w:p>
      <w:pPr>
        <w:spacing w:line="600" w:lineRule="exact"/>
        <w:ind w:firstLine="640" w:firstLineChars="200"/>
        <w:outlineLvl w:val="1"/>
        <w:rPr>
          <w:rStyle w:val="34"/>
          <w:rFonts w:ascii="黑体" w:hAnsi="黑体" w:eastAsia="黑体"/>
          <w:b w:val="0"/>
        </w:rPr>
      </w:pPr>
      <w:bookmarkStart w:id="44" w:name="_Toc15396607"/>
      <w:bookmarkStart w:id="45" w:name="_Toc15377209"/>
      <w:bookmarkStart w:id="46" w:name="_Toc16799"/>
      <w:r>
        <w:rPr>
          <w:rFonts w:hint="eastAsia" w:ascii="黑体" w:hAnsi="黑体" w:eastAsia="黑体"/>
          <w:sz w:val="32"/>
          <w:szCs w:val="32"/>
        </w:rPr>
        <w:t>五、</w:t>
      </w:r>
      <w:r>
        <w:rPr>
          <w:rFonts w:hint="eastAsia" w:ascii="黑体" w:hAnsi="黑体" w:eastAsia="黑体"/>
          <w:b/>
          <w:sz w:val="32"/>
          <w:szCs w:val="32"/>
        </w:rPr>
        <w:t>一</w:t>
      </w:r>
      <w:r>
        <w:rPr>
          <w:rStyle w:val="34"/>
          <w:rFonts w:hint="eastAsia" w:ascii="黑体" w:hAnsi="黑体" w:eastAsia="黑体"/>
          <w:b w:val="0"/>
        </w:rPr>
        <w:t>般公共预算财政拨款支出决算情况说明</w:t>
      </w:r>
      <w:bookmarkEnd w:id="44"/>
      <w:bookmarkEnd w:id="45"/>
      <w:bookmarkEnd w:id="46"/>
    </w:p>
    <w:p>
      <w:pPr>
        <w:spacing w:line="600" w:lineRule="exact"/>
        <w:ind w:firstLine="643" w:firstLineChars="200"/>
        <w:outlineLvl w:val="2"/>
        <w:rPr>
          <w:rFonts w:ascii="仿宋" w:hAnsi="仿宋" w:eastAsia="仿宋"/>
          <w:b/>
          <w:sz w:val="32"/>
          <w:szCs w:val="32"/>
        </w:rPr>
      </w:pPr>
      <w:bookmarkStart w:id="47" w:name="_Toc15377210"/>
      <w:bookmarkStart w:id="48" w:name="_Toc27860"/>
      <w:r>
        <w:rPr>
          <w:rFonts w:hint="eastAsia" w:ascii="仿宋" w:hAnsi="仿宋" w:eastAsia="仿宋"/>
          <w:b/>
          <w:sz w:val="32"/>
          <w:szCs w:val="32"/>
        </w:rPr>
        <w:t>（一）一般公共预算财政拨款支出决算总体情况</w:t>
      </w:r>
      <w:bookmarkEnd w:id="47"/>
      <w:bookmarkEnd w:id="48"/>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1256.58</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302.76</w:t>
      </w:r>
      <w:r>
        <w:rPr>
          <w:rFonts w:hint="eastAsia" w:ascii="仿宋" w:hAnsi="仿宋" w:eastAsia="仿宋"/>
          <w:sz w:val="32"/>
          <w:szCs w:val="32"/>
        </w:rPr>
        <w:t>万元，下降</w:t>
      </w:r>
      <w:r>
        <w:rPr>
          <w:rFonts w:hint="eastAsia" w:ascii="仿宋" w:hAnsi="仿宋" w:eastAsia="仿宋"/>
          <w:sz w:val="32"/>
          <w:szCs w:val="32"/>
          <w:lang w:val="en-US" w:eastAsia="zh-CN"/>
        </w:rPr>
        <w:t>19.42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本年度项目支出减少。</w:t>
      </w:r>
    </w:p>
    <w:p>
      <w:pPr>
        <w:spacing w:line="600" w:lineRule="exact"/>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9" w:name="_Toc15377211"/>
      <w:bookmarkStart w:id="50" w:name="_Toc8182"/>
      <w:r>
        <w:rPr>
          <w:rFonts w:hint="eastAsia" w:ascii="仿宋" w:hAnsi="仿宋" w:eastAsia="仿宋"/>
          <w:b/>
          <w:sz w:val="32"/>
          <w:szCs w:val="32"/>
        </w:rPr>
        <w:t>（二）一般公共预算财政拨款支出决算结构情况</w:t>
      </w:r>
      <w:bookmarkEnd w:id="49"/>
      <w:bookmarkEnd w:id="50"/>
    </w:p>
    <w:p>
      <w:pPr>
        <w:pStyle w:val="40"/>
        <w:shd w:val="clear" w:fill="FFFFFF"/>
        <w:ind w:left="0" w:firstLine="482" w:firstLineChars="20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1256.58</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一般公共服务（201）</w:t>
      </w:r>
      <w:r>
        <w:rPr>
          <w:rFonts w:hint="eastAsia" w:ascii="仿宋" w:hAnsi="仿宋" w:eastAsia="仿宋"/>
          <w:b w:val="0"/>
          <w:bCs/>
          <w:sz w:val="32"/>
          <w:szCs w:val="32"/>
        </w:rPr>
        <w:t>支出498.95万元，占39.71%；</w:t>
      </w:r>
      <w:r>
        <w:rPr>
          <w:rFonts w:hint="eastAsia" w:ascii="仿宋" w:hAnsi="仿宋" w:eastAsia="仿宋"/>
          <w:b/>
          <w:sz w:val="32"/>
          <w:szCs w:val="32"/>
        </w:rPr>
        <w:t>文化旅游体育与传媒支出（207）</w:t>
      </w:r>
      <w:r>
        <w:rPr>
          <w:rFonts w:hint="eastAsia" w:ascii="仿宋" w:hAnsi="仿宋" w:eastAsia="仿宋"/>
          <w:b w:val="0"/>
          <w:bCs/>
          <w:sz w:val="32"/>
          <w:szCs w:val="32"/>
        </w:rPr>
        <w:t>支出4.56万元，占0.36%</w:t>
      </w:r>
      <w:r>
        <w:rPr>
          <w:rFonts w:hint="eastAsia" w:ascii="仿宋" w:hAnsi="仿宋" w:eastAsia="仿宋"/>
          <w:b w:val="0"/>
          <w:bCs/>
          <w:sz w:val="32"/>
          <w:szCs w:val="32"/>
          <w:lang w:eastAsia="zh-CN"/>
        </w:rPr>
        <w:t>；</w:t>
      </w:r>
      <w:r>
        <w:rPr>
          <w:rFonts w:hint="eastAsia" w:ascii="仿宋" w:hAnsi="仿宋" w:eastAsia="仿宋"/>
          <w:b/>
          <w:sz w:val="32"/>
          <w:szCs w:val="32"/>
        </w:rPr>
        <w:t>社会保障和就业（208）</w:t>
      </w:r>
      <w:r>
        <w:rPr>
          <w:rFonts w:hint="eastAsia" w:ascii="仿宋" w:hAnsi="仿宋" w:eastAsia="仿宋"/>
          <w:b w:val="0"/>
          <w:bCs/>
          <w:sz w:val="32"/>
          <w:szCs w:val="32"/>
        </w:rPr>
        <w:t>支出76.66万元，占6.1%；</w:t>
      </w:r>
      <w:r>
        <w:rPr>
          <w:rFonts w:hint="eastAsia" w:ascii="仿宋" w:hAnsi="仿宋" w:eastAsia="仿宋"/>
          <w:b/>
          <w:sz w:val="32"/>
          <w:szCs w:val="32"/>
        </w:rPr>
        <w:t>卫生健康（210）</w:t>
      </w:r>
      <w:r>
        <w:rPr>
          <w:rFonts w:hint="eastAsia" w:ascii="仿宋" w:hAnsi="仿宋" w:eastAsia="仿宋"/>
          <w:b w:val="0"/>
          <w:bCs/>
          <w:sz w:val="32"/>
          <w:szCs w:val="32"/>
        </w:rPr>
        <w:t>支出34.88万元，占2.78%；</w:t>
      </w:r>
      <w:r>
        <w:rPr>
          <w:rFonts w:hint="eastAsia" w:ascii="仿宋" w:hAnsi="仿宋" w:eastAsia="仿宋"/>
          <w:b/>
          <w:sz w:val="32"/>
          <w:szCs w:val="32"/>
        </w:rPr>
        <w:t>城乡社区（212）</w:t>
      </w:r>
      <w:r>
        <w:rPr>
          <w:rFonts w:hint="eastAsia" w:ascii="仿宋" w:hAnsi="仿宋" w:eastAsia="仿宋"/>
          <w:b w:val="0"/>
          <w:bCs/>
          <w:sz w:val="32"/>
          <w:szCs w:val="32"/>
        </w:rPr>
        <w:t>支出3万元，占0.24%；</w:t>
      </w:r>
      <w:r>
        <w:rPr>
          <w:rFonts w:hint="eastAsia" w:ascii="仿宋" w:hAnsi="仿宋" w:eastAsia="仿宋"/>
          <w:b/>
          <w:sz w:val="32"/>
          <w:szCs w:val="32"/>
        </w:rPr>
        <w:t>农林水（213）</w:t>
      </w:r>
      <w:r>
        <w:rPr>
          <w:rFonts w:hint="eastAsia" w:ascii="仿宋" w:hAnsi="仿宋" w:eastAsia="仿宋"/>
          <w:b w:val="0"/>
          <w:bCs/>
          <w:sz w:val="32"/>
          <w:szCs w:val="32"/>
        </w:rPr>
        <w:t>支出597.06万元，占47.51%；</w:t>
      </w:r>
      <w:r>
        <w:rPr>
          <w:rFonts w:hint="eastAsia" w:ascii="仿宋" w:hAnsi="仿宋" w:eastAsia="仿宋"/>
          <w:b/>
          <w:sz w:val="32"/>
          <w:szCs w:val="32"/>
        </w:rPr>
        <w:t>住房保障（221）</w:t>
      </w:r>
      <w:r>
        <w:rPr>
          <w:rFonts w:hint="eastAsia" w:ascii="仿宋" w:hAnsi="仿宋" w:eastAsia="仿宋"/>
          <w:b w:val="0"/>
          <w:bCs/>
          <w:sz w:val="32"/>
          <w:szCs w:val="32"/>
        </w:rPr>
        <w:t>支出41.46万元，占3.3%。</w:t>
      </w:r>
    </w:p>
    <w:p>
      <w:pPr>
        <w:spacing w:line="600" w:lineRule="exact"/>
        <w:ind w:firstLine="643" w:firstLineChars="200"/>
        <w:outlineLvl w:val="2"/>
        <w:rPr>
          <w:rFonts w:ascii="仿宋" w:hAnsi="仿宋" w:eastAsia="仿宋"/>
          <w:b/>
          <w:sz w:val="32"/>
          <w:szCs w:val="32"/>
        </w:rPr>
      </w:pPr>
      <w:bookmarkStart w:id="51" w:name="_Toc15377212"/>
      <w:bookmarkStart w:id="52" w:name="_Toc24703"/>
      <w:r>
        <w:rPr>
          <w:rFonts w:hint="eastAsia" w:ascii="仿宋" w:hAnsi="仿宋" w:eastAsia="仿宋"/>
          <w:b/>
          <w:sz w:val="32"/>
          <w:szCs w:val="32"/>
        </w:rPr>
        <w:t>（三）一般公共预算财政拨款支出决算具体情况</w:t>
      </w:r>
      <w:bookmarkEnd w:id="51"/>
      <w:bookmarkEnd w:id="52"/>
    </w:p>
    <w:p>
      <w:pPr>
        <w:spacing w:line="600" w:lineRule="exact"/>
        <w:ind w:firstLine="640" w:firstLineChars="200"/>
        <w:jc w:val="left"/>
        <w:rPr>
          <w:rStyle w:val="22"/>
          <w:rFonts w:hint="eastAsia" w:ascii="仿宋" w:hAnsi="仿宋" w:eastAsia="仿宋" w:cs="Times New Roman"/>
          <w:bCs/>
          <w:kern w:val="2"/>
          <w:sz w:val="32"/>
          <w:szCs w:val="32"/>
          <w:lang w:val="en-US" w:eastAsia="zh-CN" w:bidi="ar-SA"/>
        </w:rPr>
      </w:pPr>
      <w:bookmarkStart w:id="53" w:name="_Toc15377444"/>
      <w:bookmarkStart w:id="54" w:name="_Toc15378460"/>
      <w:bookmarkStart w:id="55" w:name="_Toc15377213"/>
      <w:r>
        <w:rPr>
          <w:rFonts w:hint="eastAsia" w:ascii="仿宋" w:hAnsi="仿宋" w:eastAsia="仿宋"/>
          <w:sz w:val="32"/>
          <w:szCs w:val="32"/>
          <w:lang w:val="en-US" w:eastAsia="zh-CN"/>
        </w:rPr>
        <w:t>2023年度一般公共预算支出决算数为1256.58万元，完成预算100%。其中：</w:t>
      </w:r>
      <w:bookmarkEnd w:id="53"/>
      <w:bookmarkEnd w:id="54"/>
      <w:bookmarkEnd w:id="55"/>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1.一般公共服务（201）人大事务（01）行政运行（01）: </w:t>
      </w:r>
      <w:r>
        <w:rPr>
          <w:rStyle w:val="22"/>
          <w:rFonts w:hint="eastAsia" w:ascii="仿宋" w:hAnsi="仿宋" w:eastAsia="仿宋" w:cs="Times New Roman"/>
          <w:b w:val="0"/>
          <w:bCs w:val="0"/>
          <w:kern w:val="2"/>
          <w:sz w:val="32"/>
          <w:szCs w:val="32"/>
          <w:lang w:val="en-US" w:eastAsia="zh-CN" w:bidi="ar-SA"/>
        </w:rPr>
        <w:t>支出决算为5.15万元，完成预算100%。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2.一般公共服务（201）政府办公厅（室）及相关机构事务（03）行政运行（01）: </w:t>
      </w:r>
      <w:r>
        <w:rPr>
          <w:rStyle w:val="22"/>
          <w:rFonts w:hint="eastAsia" w:ascii="仿宋" w:hAnsi="仿宋" w:eastAsia="仿宋" w:cs="Times New Roman"/>
          <w:b w:val="0"/>
          <w:bCs w:val="0"/>
          <w:kern w:val="2"/>
          <w:sz w:val="32"/>
          <w:szCs w:val="32"/>
          <w:lang w:val="en-US" w:eastAsia="zh-CN" w:bidi="ar-SA"/>
        </w:rPr>
        <w:t>支出决算为323.68万元，完成预算100%。</w:t>
      </w:r>
    </w:p>
    <w:p>
      <w:pPr>
        <w:pStyle w:val="40"/>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3.一般公共服务（201）政府办公厅（室）及相关机构事务（03）事业运行（50）: </w:t>
      </w:r>
      <w:r>
        <w:rPr>
          <w:rStyle w:val="22"/>
          <w:rFonts w:hint="eastAsia" w:ascii="仿宋" w:hAnsi="仿宋" w:eastAsia="仿宋" w:cs="Times New Roman"/>
          <w:b w:val="0"/>
          <w:bCs w:val="0"/>
          <w:kern w:val="2"/>
          <w:sz w:val="32"/>
          <w:szCs w:val="32"/>
          <w:lang w:val="en-US" w:eastAsia="zh-CN" w:bidi="ar-SA"/>
        </w:rPr>
        <w:t>支出决算为160.07万元，完成预算100%。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4.一般公共服务（201）政府办公厅（室）及相关机构事务（03）其他政府办公厅（室）及相关机构事务支出（99）: </w:t>
      </w:r>
      <w:r>
        <w:rPr>
          <w:rStyle w:val="22"/>
          <w:rFonts w:hint="eastAsia" w:ascii="仿宋" w:hAnsi="仿宋" w:eastAsia="仿宋" w:cs="Times New Roman"/>
          <w:b w:val="0"/>
          <w:bCs w:val="0"/>
          <w:kern w:val="2"/>
          <w:sz w:val="32"/>
          <w:szCs w:val="32"/>
          <w:lang w:val="en-US" w:eastAsia="zh-CN" w:bidi="ar-SA"/>
        </w:rPr>
        <w:t>支出决算为10.05万元，完成预算100%。</w:t>
      </w:r>
    </w:p>
    <w:p>
      <w:pPr>
        <w:pStyle w:val="40"/>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5.文化旅游体育与传媒支出（207）文化和旅游（01）群众文化（09）: </w:t>
      </w:r>
      <w:r>
        <w:rPr>
          <w:rStyle w:val="22"/>
          <w:rFonts w:hint="eastAsia" w:ascii="仿宋" w:hAnsi="仿宋" w:eastAsia="仿宋" w:cs="Times New Roman"/>
          <w:b w:val="0"/>
          <w:bCs w:val="0"/>
          <w:kern w:val="2"/>
          <w:sz w:val="32"/>
          <w:szCs w:val="32"/>
          <w:lang w:val="en-US" w:eastAsia="zh-CN" w:bidi="ar-SA"/>
        </w:rPr>
        <w:t>支出决算为4.56万元，完成预算100%。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6.社会保障和就业（208）行政事业单位养老支出（05）机关事业单位基本养老保险缴费支出（05）:</w:t>
      </w:r>
      <w:r>
        <w:rPr>
          <w:rStyle w:val="22"/>
          <w:rFonts w:hint="eastAsia" w:ascii="仿宋" w:hAnsi="仿宋" w:eastAsia="仿宋" w:cs="Times New Roman"/>
          <w:b w:val="0"/>
          <w:bCs w:val="0"/>
          <w:kern w:val="2"/>
          <w:sz w:val="32"/>
          <w:szCs w:val="32"/>
          <w:lang w:val="en-US" w:eastAsia="zh-CN" w:bidi="ar-SA"/>
        </w:rPr>
        <w:t xml:space="preserve"> 支出决算为51.18万元，完成预算100%。</w:t>
      </w:r>
    </w:p>
    <w:p>
      <w:pPr>
        <w:pStyle w:val="40"/>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7.社会保障和就业（208）行政事业单位养老支出（05）机关事业单位职业年金缴费支出（06）: </w:t>
      </w:r>
      <w:r>
        <w:rPr>
          <w:rStyle w:val="22"/>
          <w:rFonts w:hint="eastAsia" w:ascii="仿宋" w:hAnsi="仿宋" w:eastAsia="仿宋" w:cs="Times New Roman"/>
          <w:b w:val="0"/>
          <w:bCs w:val="0"/>
          <w:kern w:val="2"/>
          <w:sz w:val="32"/>
          <w:szCs w:val="32"/>
          <w:lang w:val="en-US" w:eastAsia="zh-CN" w:bidi="ar-SA"/>
        </w:rPr>
        <w:t>支出决算为25.49万元，完成预算100%。</w:t>
      </w:r>
    </w:p>
    <w:p>
      <w:pPr>
        <w:pStyle w:val="40"/>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8.卫生健康（210）公共卫生（04）重大公共卫生服务（09）:</w:t>
      </w:r>
      <w:r>
        <w:rPr>
          <w:rStyle w:val="22"/>
          <w:rFonts w:hint="eastAsia" w:ascii="仿宋" w:hAnsi="仿宋" w:eastAsia="仿宋" w:cs="Times New Roman"/>
          <w:b w:val="0"/>
          <w:bCs w:val="0"/>
          <w:kern w:val="2"/>
          <w:sz w:val="32"/>
          <w:szCs w:val="32"/>
          <w:lang w:val="en-US" w:eastAsia="zh-CN" w:bidi="ar-SA"/>
        </w:rPr>
        <w:t>支出决算为1万元，完成预算100%。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9.卫生健康（210）行政事业单位医疗（11）行政单位医疗（01）:</w:t>
      </w:r>
      <w:r>
        <w:rPr>
          <w:rStyle w:val="22"/>
          <w:rFonts w:hint="eastAsia" w:ascii="仿宋" w:hAnsi="仿宋" w:eastAsia="仿宋" w:cs="Times New Roman"/>
          <w:b w:val="0"/>
          <w:bCs w:val="0"/>
          <w:kern w:val="2"/>
          <w:sz w:val="32"/>
          <w:szCs w:val="32"/>
          <w:lang w:val="en-US" w:eastAsia="zh-CN" w:bidi="ar-SA"/>
        </w:rPr>
        <w:t>支出决算为17.21万元，完成预算100%。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10.卫生健康（210）行政事业单位医疗（11）事业单位医疗（02）:</w:t>
      </w:r>
      <w:r>
        <w:rPr>
          <w:rStyle w:val="22"/>
          <w:rFonts w:hint="eastAsia" w:ascii="仿宋" w:hAnsi="仿宋" w:eastAsia="仿宋" w:cs="Times New Roman"/>
          <w:b w:val="0"/>
          <w:bCs w:val="0"/>
          <w:kern w:val="2"/>
          <w:sz w:val="32"/>
          <w:szCs w:val="32"/>
          <w:lang w:val="en-US" w:eastAsia="zh-CN" w:bidi="ar-SA"/>
        </w:rPr>
        <w:t>支出决算为9.62万元，完成预算100%。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11.卫生健康（210）行政事业单位医疗（11）公务员医疗补助（03）:</w:t>
      </w:r>
      <w:r>
        <w:rPr>
          <w:rStyle w:val="22"/>
          <w:rFonts w:hint="eastAsia" w:ascii="仿宋" w:hAnsi="仿宋" w:eastAsia="仿宋" w:cs="Times New Roman"/>
          <w:b w:val="0"/>
          <w:bCs w:val="0"/>
          <w:kern w:val="2"/>
          <w:sz w:val="32"/>
          <w:szCs w:val="32"/>
          <w:lang w:val="en-US" w:eastAsia="zh-CN" w:bidi="ar-SA"/>
        </w:rPr>
        <w:t>支出决算为7.05万元，完成预算100%。</w:t>
      </w:r>
    </w:p>
    <w:p>
      <w:pPr>
        <w:pStyle w:val="40"/>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12.城乡社区支出（212）城乡社区环境卫生（05）城乡社区环境卫生（01）:</w:t>
      </w:r>
      <w:r>
        <w:rPr>
          <w:rStyle w:val="22"/>
          <w:rFonts w:hint="eastAsia" w:ascii="仿宋" w:hAnsi="仿宋" w:eastAsia="仿宋" w:cs="Times New Roman"/>
          <w:b w:val="0"/>
          <w:bCs w:val="0"/>
          <w:kern w:val="2"/>
          <w:sz w:val="32"/>
          <w:szCs w:val="32"/>
          <w:lang w:val="en-US" w:eastAsia="zh-CN" w:bidi="ar-SA"/>
        </w:rPr>
        <w:t>支出决算为3万元，完成预算100%。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13.农林水支出（213）农业农村（01）其他农业农村支出（99）:</w:t>
      </w:r>
      <w:r>
        <w:rPr>
          <w:rStyle w:val="22"/>
          <w:rFonts w:hint="eastAsia" w:ascii="仿宋" w:hAnsi="仿宋" w:eastAsia="仿宋" w:cs="Times New Roman"/>
          <w:b w:val="0"/>
          <w:bCs w:val="0"/>
          <w:kern w:val="2"/>
          <w:sz w:val="32"/>
          <w:szCs w:val="32"/>
          <w:lang w:val="en-US" w:eastAsia="zh-CN" w:bidi="ar-SA"/>
        </w:rPr>
        <w:t>支出决算为102.71万元，完成预算100%。</w:t>
      </w:r>
    </w:p>
    <w:p>
      <w:pPr>
        <w:pStyle w:val="40"/>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14.农林水支出（213）林业和草原（02）林业草原防灾减灾（34）:</w:t>
      </w:r>
      <w:r>
        <w:rPr>
          <w:rStyle w:val="22"/>
          <w:rFonts w:hint="eastAsia" w:ascii="仿宋" w:hAnsi="仿宋" w:eastAsia="仿宋" w:cs="Times New Roman"/>
          <w:b w:val="0"/>
          <w:bCs w:val="0"/>
          <w:kern w:val="2"/>
          <w:sz w:val="32"/>
          <w:szCs w:val="32"/>
          <w:lang w:val="en-US" w:eastAsia="zh-CN" w:bidi="ar-SA"/>
        </w:rPr>
        <w:t>支出决算为3万元，完成预算100%。</w:t>
      </w:r>
    </w:p>
    <w:p>
      <w:pPr>
        <w:pStyle w:val="40"/>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15.农林水支出（213）巩固脱贫攻坚成果衔接乡村振兴（05）其其他巩固脱贫攻坚成果衔接乡村振兴支出（99）:</w:t>
      </w:r>
      <w:r>
        <w:rPr>
          <w:rStyle w:val="22"/>
          <w:rFonts w:hint="eastAsia" w:ascii="仿宋" w:hAnsi="仿宋" w:eastAsia="仿宋" w:cs="Times New Roman"/>
          <w:b w:val="0"/>
          <w:bCs w:val="0"/>
          <w:kern w:val="2"/>
          <w:sz w:val="32"/>
          <w:szCs w:val="32"/>
          <w:lang w:val="en-US" w:eastAsia="zh-CN" w:bidi="ar-SA"/>
        </w:rPr>
        <w:t>支出决算为410.32万元，完成预算100%。</w:t>
      </w:r>
    </w:p>
    <w:p>
      <w:pPr>
        <w:pStyle w:val="40"/>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16.农林水支出（213）水农村综合改革（07）对村民委员会和村党支部的补助（05）:</w:t>
      </w:r>
      <w:r>
        <w:rPr>
          <w:rStyle w:val="22"/>
          <w:rFonts w:hint="eastAsia" w:ascii="仿宋" w:hAnsi="仿宋" w:eastAsia="仿宋" w:cs="Times New Roman"/>
          <w:b w:val="0"/>
          <w:bCs w:val="0"/>
          <w:kern w:val="2"/>
          <w:sz w:val="32"/>
          <w:szCs w:val="32"/>
          <w:lang w:val="en-US" w:eastAsia="zh-CN" w:bidi="ar-SA"/>
        </w:rPr>
        <w:t>支出决算为81.03万元，完成预算100%。</w:t>
      </w:r>
    </w:p>
    <w:p>
      <w:pPr>
        <w:spacing w:line="600" w:lineRule="exact"/>
        <w:ind w:firstLine="640"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17.住房保障支出（221）住房改革支出（02）住房公积金（01）:</w:t>
      </w:r>
      <w:r>
        <w:rPr>
          <w:rStyle w:val="22"/>
          <w:rFonts w:hint="eastAsia" w:ascii="仿宋" w:hAnsi="仿宋" w:eastAsia="仿宋" w:cs="Times New Roman"/>
          <w:b w:val="0"/>
          <w:bCs w:val="0"/>
          <w:kern w:val="2"/>
          <w:sz w:val="32"/>
          <w:szCs w:val="32"/>
          <w:lang w:val="en-US" w:eastAsia="zh-CN" w:bidi="ar-SA"/>
        </w:rPr>
        <w:t>支出决算为41.46万元，完成预算100%。</w:t>
      </w:r>
    </w:p>
    <w:p>
      <w:pPr>
        <w:spacing w:line="600" w:lineRule="exact"/>
        <w:ind w:firstLine="640"/>
        <w:rPr>
          <w:rFonts w:ascii="仿宋" w:hAnsi="仿宋" w:eastAsia="仿宋"/>
          <w:b/>
          <w:sz w:val="32"/>
          <w:szCs w:val="32"/>
        </w:rPr>
      </w:pPr>
    </w:p>
    <w:p>
      <w:pPr>
        <w:tabs>
          <w:tab w:val="right" w:pos="8306"/>
        </w:tabs>
        <w:spacing w:line="600" w:lineRule="exact"/>
        <w:ind w:firstLine="640"/>
        <w:outlineLvl w:val="1"/>
        <w:rPr>
          <w:rStyle w:val="34"/>
        </w:rPr>
      </w:pPr>
      <w:bookmarkStart w:id="56" w:name="_Toc15377214"/>
      <w:bookmarkStart w:id="57" w:name="_Toc15396608"/>
      <w:bookmarkStart w:id="58" w:name="_Toc26759"/>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4"/>
          <w:rFonts w:hint="eastAsia" w:ascii="黑体" w:hAnsi="黑体" w:eastAsia="黑体"/>
          <w:b w:val="0"/>
        </w:rPr>
        <w:t>般公共预算财政拨款基本支出决算情况说明</w:t>
      </w:r>
      <w:bookmarkEnd w:id="56"/>
      <w:bookmarkEnd w:id="57"/>
      <w:bookmarkEnd w:id="58"/>
      <w:r>
        <w:rPr>
          <w:rStyle w:val="34"/>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640.91</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594.9</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46.01</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sz w:val="32"/>
          <w:szCs w:val="32"/>
        </w:rPr>
      </w:pPr>
    </w:p>
    <w:p>
      <w:pPr>
        <w:spacing w:line="600" w:lineRule="exact"/>
        <w:ind w:firstLine="640"/>
        <w:outlineLvl w:val="1"/>
        <w:rPr>
          <w:rStyle w:val="34"/>
          <w:rFonts w:ascii="黑体" w:hAnsi="黑体" w:eastAsia="黑体"/>
          <w:b w:val="0"/>
        </w:rPr>
      </w:pPr>
      <w:bookmarkStart w:id="59" w:name="_Toc15396609"/>
      <w:bookmarkStart w:id="60" w:name="_Toc15377215"/>
      <w:bookmarkStart w:id="61" w:name="_Toc11574"/>
      <w:r>
        <w:rPr>
          <w:rFonts w:hint="eastAsia" w:ascii="黑体" w:eastAsia="黑体"/>
          <w:sz w:val="32"/>
          <w:szCs w:val="32"/>
        </w:rPr>
        <w:t>七、</w:t>
      </w:r>
      <w:r>
        <w:rPr>
          <w:rStyle w:val="34"/>
          <w:rFonts w:hint="eastAsia" w:ascii="黑体" w:hAnsi="黑体" w:eastAsia="黑体"/>
          <w:b w:val="0"/>
        </w:rPr>
        <w:t>财政拨款</w:t>
      </w:r>
      <w:r>
        <w:rPr>
          <w:rStyle w:val="34"/>
          <w:rFonts w:hint="eastAsia" w:ascii="黑体" w:hAnsi="黑体" w:eastAsia="黑体"/>
        </w:rPr>
        <w:t>“</w:t>
      </w:r>
      <w:r>
        <w:rPr>
          <w:rStyle w:val="34"/>
          <w:rFonts w:hint="eastAsia" w:ascii="黑体" w:hAnsi="黑体" w:eastAsia="黑体"/>
          <w:b w:val="0"/>
        </w:rPr>
        <w:t>三公”经费支出决算情况说明</w:t>
      </w:r>
      <w:bookmarkEnd w:id="59"/>
      <w:bookmarkEnd w:id="60"/>
      <w:bookmarkEnd w:id="61"/>
    </w:p>
    <w:p>
      <w:pPr>
        <w:spacing w:line="600" w:lineRule="exact"/>
        <w:ind w:firstLine="640"/>
        <w:outlineLvl w:val="2"/>
        <w:rPr>
          <w:rFonts w:ascii="仿宋" w:hAnsi="仿宋" w:eastAsia="仿宋"/>
          <w:b/>
          <w:sz w:val="32"/>
          <w:szCs w:val="32"/>
        </w:rPr>
      </w:pPr>
      <w:bookmarkStart w:id="62" w:name="_Toc15377216"/>
      <w:bookmarkStart w:id="63" w:name="_Toc23489"/>
      <w:r>
        <w:rPr>
          <w:rFonts w:hint="eastAsia" w:ascii="仿宋" w:hAnsi="仿宋" w:eastAsia="仿宋"/>
          <w:b/>
          <w:sz w:val="32"/>
          <w:szCs w:val="32"/>
        </w:rPr>
        <w:t>（一）“三公”经费财政拨款支出决算总体情况说明</w:t>
      </w:r>
      <w:bookmarkEnd w:id="62"/>
      <w:bookmarkEnd w:id="63"/>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6.31</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0.31</w:t>
      </w:r>
      <w:r>
        <w:rPr>
          <w:rFonts w:hint="eastAsia" w:ascii="仿宋" w:hAnsi="仿宋" w:eastAsia="仿宋"/>
          <w:sz w:val="32"/>
          <w:szCs w:val="32"/>
        </w:rPr>
        <w:t>万元，增长</w:t>
      </w:r>
      <w:r>
        <w:rPr>
          <w:rFonts w:hint="eastAsia" w:ascii="仿宋" w:hAnsi="仿宋" w:eastAsia="仿宋"/>
          <w:sz w:val="32"/>
          <w:szCs w:val="32"/>
          <w:lang w:val="en-US" w:eastAsia="zh-CN"/>
        </w:rPr>
        <w:t>5.17</w:t>
      </w:r>
      <w:r>
        <w:rPr>
          <w:rFonts w:hint="eastAsia" w:ascii="仿宋" w:hAnsi="仿宋" w:eastAsia="仿宋"/>
          <w:sz w:val="32"/>
          <w:szCs w:val="32"/>
        </w:rPr>
        <w:t>%。决算数与预算数持平。</w:t>
      </w:r>
    </w:p>
    <w:p>
      <w:pPr>
        <w:spacing w:line="600" w:lineRule="exact"/>
        <w:ind w:firstLine="640"/>
        <w:outlineLvl w:val="2"/>
        <w:rPr>
          <w:rFonts w:ascii="仿宋" w:hAnsi="仿宋" w:eastAsia="仿宋"/>
          <w:b/>
          <w:sz w:val="32"/>
          <w:szCs w:val="32"/>
        </w:rPr>
      </w:pPr>
      <w:bookmarkStart w:id="64" w:name="_Toc15377217"/>
      <w:bookmarkStart w:id="65" w:name="_Toc24970"/>
      <w:r>
        <w:rPr>
          <w:rFonts w:hint="eastAsia" w:ascii="仿宋" w:hAnsi="仿宋" w:eastAsia="仿宋"/>
          <w:b/>
          <w:sz w:val="32"/>
          <w:szCs w:val="32"/>
        </w:rPr>
        <w:t>（二）“三公”经费财政拨款支出决算具体情况说明</w:t>
      </w:r>
      <w:bookmarkEnd w:id="64"/>
      <w:bookmarkEnd w:id="65"/>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6.12</w:t>
      </w:r>
      <w:r>
        <w:rPr>
          <w:rFonts w:hint="eastAsia" w:ascii="仿宋" w:hAnsi="仿宋" w:eastAsia="仿宋"/>
          <w:sz w:val="32"/>
          <w:szCs w:val="32"/>
        </w:rPr>
        <w:t>万元，占</w:t>
      </w:r>
      <w:r>
        <w:rPr>
          <w:sz w:val="32"/>
          <w:szCs w:val="32"/>
        </w:rPr>
        <w:t>96.89</w:t>
      </w:r>
      <w:r>
        <w:rPr>
          <w:rFonts w:ascii="仿宋" w:hAnsi="仿宋" w:eastAsia="仿宋"/>
          <w:sz w:val="32"/>
          <w:szCs w:val="32"/>
        </w:rPr>
        <w:t>%</w:t>
      </w:r>
      <w:r>
        <w:rPr>
          <w:rFonts w:hint="eastAsia" w:ascii="仿宋" w:hAnsi="仿宋" w:eastAsia="仿宋"/>
          <w:sz w:val="32"/>
          <w:szCs w:val="32"/>
        </w:rPr>
        <w:t>；公务接待费支出决算</w:t>
      </w:r>
      <w:r>
        <w:rPr>
          <w:sz w:val="32"/>
          <w:szCs w:val="32"/>
        </w:rPr>
        <w:t>0.2</w:t>
      </w:r>
      <w:r>
        <w:rPr>
          <w:rFonts w:hint="eastAsia" w:ascii="仿宋" w:hAnsi="仿宋" w:eastAsia="仿宋"/>
          <w:sz w:val="32"/>
          <w:szCs w:val="32"/>
        </w:rPr>
        <w:t>万元，占</w:t>
      </w:r>
      <w:r>
        <w:rPr>
          <w:sz w:val="32"/>
          <w:szCs w:val="32"/>
        </w:rPr>
        <w:t>3.1</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2"/>
          <w:rFonts w:hint="eastAsia" w:ascii="仿宋" w:hAnsi="仿宋" w:eastAsia="仿宋"/>
          <w:b w:val="0"/>
          <w:bCs/>
          <w:sz w:val="32"/>
          <w:szCs w:val="32"/>
        </w:rPr>
        <w:t>完成预算</w:t>
      </w:r>
      <w:r>
        <w:rPr>
          <w:sz w:val="32"/>
          <w:szCs w:val="32"/>
        </w:rPr>
        <w:t>0</w:t>
      </w:r>
      <w:r>
        <w:rPr>
          <w:rStyle w:val="22"/>
          <w:rFonts w:ascii="仿宋" w:hAnsi="仿宋" w:eastAsia="仿宋"/>
          <w:b w:val="0"/>
          <w:bCs/>
          <w:sz w:val="32"/>
          <w:szCs w:val="32"/>
        </w:rPr>
        <w:t>%</w:t>
      </w:r>
      <w:r>
        <w:rPr>
          <w:rStyle w:val="22"/>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6.12</w:t>
      </w:r>
      <w:r>
        <w:rPr>
          <w:rFonts w:hint="eastAsia" w:ascii="仿宋_GB2312" w:eastAsia="仿宋_GB2312"/>
          <w:sz w:val="32"/>
          <w:szCs w:val="32"/>
        </w:rPr>
        <w:t>万元,</w:t>
      </w:r>
      <w:r>
        <w:rPr>
          <w:rStyle w:val="22"/>
          <w:rFonts w:hint="eastAsia" w:ascii="仿宋" w:hAnsi="仿宋" w:eastAsia="仿宋"/>
          <w:b w:val="0"/>
          <w:bCs/>
          <w:sz w:val="32"/>
          <w:szCs w:val="32"/>
        </w:rPr>
        <w:t>完成预算</w:t>
      </w:r>
      <w:r>
        <w:rPr>
          <w:sz w:val="32"/>
          <w:szCs w:val="32"/>
        </w:rPr>
        <w:t>100</w:t>
      </w:r>
      <w:r>
        <w:rPr>
          <w:rStyle w:val="22"/>
          <w:rFonts w:ascii="仿宋" w:hAnsi="仿宋" w:eastAsia="仿宋"/>
          <w:b w:val="0"/>
          <w:bCs/>
          <w:sz w:val="32"/>
          <w:szCs w:val="32"/>
        </w:rPr>
        <w:t>%</w:t>
      </w:r>
      <w:r>
        <w:rPr>
          <w:rStyle w:val="22"/>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0.12</w:t>
      </w:r>
      <w:r>
        <w:rPr>
          <w:rFonts w:hint="eastAsia" w:ascii="仿宋_GB2312" w:eastAsia="仿宋_GB2312"/>
          <w:sz w:val="32"/>
          <w:szCs w:val="32"/>
        </w:rPr>
        <w:t>万元，增长</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安装北斗卫星定位系统</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6.12</w:t>
      </w:r>
      <w:r>
        <w:rPr>
          <w:rFonts w:hint="eastAsia" w:ascii="仿宋_GB2312" w:eastAsia="仿宋_GB2312"/>
          <w:sz w:val="32"/>
          <w:szCs w:val="32"/>
        </w:rPr>
        <w:t>万元。主要用于</w:t>
      </w:r>
      <w:r>
        <w:rPr>
          <w:rFonts w:hint="eastAsia" w:ascii="仿宋_GB2312" w:eastAsia="仿宋_GB2312"/>
          <w:sz w:val="32"/>
          <w:szCs w:val="32"/>
          <w:lang w:eastAsia="zh-CN"/>
        </w:rPr>
        <w:t>往返县城报送材料、开会</w:t>
      </w:r>
      <w:r>
        <w:rPr>
          <w:rFonts w:hint="eastAsia" w:ascii="仿宋_GB2312" w:eastAsia="仿宋_GB2312"/>
          <w:sz w:val="32"/>
          <w:szCs w:val="32"/>
        </w:rPr>
        <w:t>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0.2</w:t>
      </w:r>
      <w:r>
        <w:rPr>
          <w:rFonts w:hint="eastAsia" w:ascii="仿宋_GB2312" w:eastAsia="仿宋_GB2312"/>
          <w:sz w:val="32"/>
          <w:szCs w:val="32"/>
        </w:rPr>
        <w:t>万元，</w:t>
      </w:r>
      <w:r>
        <w:rPr>
          <w:rStyle w:val="22"/>
          <w:rFonts w:hint="eastAsia" w:ascii="仿宋" w:hAnsi="仿宋" w:eastAsia="仿宋"/>
          <w:b w:val="0"/>
          <w:bCs/>
          <w:sz w:val="32"/>
          <w:szCs w:val="32"/>
        </w:rPr>
        <w:t>完成预算</w:t>
      </w:r>
      <w:r>
        <w:rPr>
          <w:sz w:val="32"/>
          <w:szCs w:val="32"/>
        </w:rPr>
        <w:t>100%</w:t>
      </w:r>
      <w:r>
        <w:rPr>
          <w:rStyle w:val="22"/>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0.2</w:t>
      </w:r>
      <w:r>
        <w:rPr>
          <w:rFonts w:hint="eastAsia" w:ascii="仿宋_GB2312" w:eastAsia="仿宋_GB2312"/>
          <w:sz w:val="32"/>
          <w:szCs w:val="32"/>
        </w:rPr>
        <w:t>万元，增长</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接待浙江嘉善帮扶单位前来调研</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0.2</w:t>
      </w:r>
      <w:r>
        <w:rPr>
          <w:rFonts w:hint="eastAsia" w:ascii="仿宋_GB2312" w:eastAsia="仿宋_GB2312"/>
          <w:sz w:val="32"/>
          <w:szCs w:val="32"/>
        </w:rPr>
        <w:t>万元，主要用于</w:t>
      </w:r>
      <w:r>
        <w:rPr>
          <w:rFonts w:hint="eastAsia" w:ascii="仿宋_GB2312" w:eastAsia="仿宋_GB2312"/>
          <w:sz w:val="32"/>
          <w:szCs w:val="32"/>
          <w:lang w:eastAsia="zh-CN"/>
        </w:rPr>
        <w:t>调研活动</w:t>
      </w:r>
      <w:r>
        <w:rPr>
          <w:rFonts w:hint="eastAsia" w:ascii="仿宋_GB2312" w:eastAsia="仿宋_GB2312"/>
          <w:sz w:val="32"/>
          <w:szCs w:val="32"/>
        </w:rPr>
        <w:t>(执行公务、开展业务活动开支的交通费、住宿费、用餐费等)。国内公务接待</w:t>
      </w:r>
      <w:r>
        <w:rPr>
          <w:rFonts w:hint="eastAsia" w:ascii="仿宋_GB2312" w:eastAsia="仿宋_GB2312"/>
          <w:sz w:val="32"/>
          <w:szCs w:val="32"/>
          <w:lang w:val="en-US" w:eastAsia="zh-CN"/>
        </w:rPr>
        <w:t>1</w:t>
      </w:r>
      <w:r>
        <w:rPr>
          <w:rFonts w:hint="eastAsia" w:ascii="仿宋_GB2312" w:eastAsia="仿宋_GB2312"/>
          <w:sz w:val="32"/>
          <w:szCs w:val="32"/>
        </w:rPr>
        <w:t>批次，</w:t>
      </w:r>
      <w:r>
        <w:rPr>
          <w:rFonts w:hint="eastAsia" w:ascii="仿宋_GB2312" w:eastAsia="仿宋_GB2312"/>
          <w:sz w:val="32"/>
          <w:szCs w:val="32"/>
          <w:lang w:val="en-US" w:eastAsia="zh-CN"/>
        </w:rPr>
        <w:t>5</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0.2</w:t>
      </w:r>
      <w:r>
        <w:rPr>
          <w:rFonts w:hint="eastAsia" w:ascii="仿宋_GB2312" w:eastAsia="仿宋_GB2312"/>
          <w:sz w:val="32"/>
          <w:szCs w:val="32"/>
        </w:rPr>
        <w:t>万元，具体内容包括：</w:t>
      </w:r>
      <w:r>
        <w:rPr>
          <w:rFonts w:hint="eastAsia" w:ascii="仿宋_GB2312" w:eastAsia="仿宋_GB2312"/>
          <w:sz w:val="32"/>
          <w:szCs w:val="32"/>
          <w:lang w:eastAsia="zh-CN"/>
        </w:rPr>
        <w:t>人员交通费、用餐费等</w:t>
      </w:r>
      <w:r>
        <w:rPr>
          <w:rFonts w:hint="eastAsia" w:ascii="仿宋_GB2312" w:eastAsia="仿宋_GB2312"/>
          <w:sz w:val="32"/>
          <w:szCs w:val="32"/>
        </w:rPr>
        <w:t>。</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bookmarkStart w:id="66" w:name="_Toc15377218"/>
      <w:bookmarkStart w:id="67" w:name="_Toc15396610"/>
    </w:p>
    <w:p>
      <w:pPr>
        <w:spacing w:line="600" w:lineRule="exact"/>
        <w:ind w:firstLine="640"/>
        <w:outlineLvl w:val="1"/>
        <w:rPr>
          <w:rStyle w:val="34"/>
          <w:rFonts w:ascii="黑体" w:hAnsi="黑体" w:eastAsia="黑体"/>
        </w:rPr>
      </w:pPr>
      <w:bookmarkStart w:id="68" w:name="_Toc18022"/>
      <w:r>
        <w:rPr>
          <w:rFonts w:hint="eastAsia" w:ascii="黑体" w:eastAsia="黑体"/>
          <w:sz w:val="32"/>
          <w:szCs w:val="32"/>
        </w:rPr>
        <w:t>八、</w:t>
      </w:r>
      <w:r>
        <w:rPr>
          <w:rStyle w:val="34"/>
          <w:rFonts w:hint="eastAsia" w:ascii="黑体" w:hAnsi="黑体" w:eastAsia="黑体"/>
          <w:b w:val="0"/>
        </w:rPr>
        <w:t>政府性基金预算支出决算情况说明</w:t>
      </w:r>
      <w:bookmarkEnd w:id="66"/>
      <w:bookmarkEnd w:id="67"/>
      <w:bookmarkEnd w:id="68"/>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3"/>
        </w:numPr>
        <w:spacing w:line="600" w:lineRule="exact"/>
        <w:ind w:firstLine="640"/>
        <w:outlineLvl w:val="1"/>
        <w:rPr>
          <w:rStyle w:val="34"/>
          <w:rFonts w:ascii="黑体" w:hAnsi="黑体" w:eastAsia="黑体"/>
          <w:b w:val="0"/>
        </w:rPr>
      </w:pPr>
      <w:bookmarkStart w:id="69" w:name="_Toc15377219"/>
      <w:bookmarkStart w:id="70" w:name="_Toc15396611"/>
      <w:bookmarkStart w:id="71" w:name="_Toc30169"/>
      <w:r>
        <w:rPr>
          <w:rStyle w:val="34"/>
          <w:rFonts w:hint="eastAsia" w:ascii="黑体" w:hAnsi="黑体" w:eastAsia="黑体"/>
          <w:b w:val="0"/>
        </w:rPr>
        <w:t>国有资本经营预算支出决算情况说明</w:t>
      </w:r>
      <w:bookmarkEnd w:id="69"/>
      <w:bookmarkEnd w:id="70"/>
      <w:bookmarkEnd w:id="71"/>
    </w:p>
    <w:p>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numPr>
          <w:ilvl w:val="0"/>
          <w:numId w:val="3"/>
        </w:numPr>
        <w:spacing w:line="600" w:lineRule="exact"/>
        <w:ind w:firstLine="640"/>
        <w:outlineLvl w:val="1"/>
        <w:rPr>
          <w:rStyle w:val="34"/>
          <w:rFonts w:ascii="黑体" w:hAnsi="黑体" w:eastAsia="黑体"/>
          <w:b w:val="0"/>
        </w:rPr>
      </w:pPr>
      <w:bookmarkStart w:id="72" w:name="_Toc15396612"/>
      <w:bookmarkStart w:id="73" w:name="_Toc15377221"/>
      <w:bookmarkStart w:id="74" w:name="_Toc19292"/>
      <w:r>
        <w:rPr>
          <w:rStyle w:val="34"/>
          <w:rFonts w:hint="eastAsia" w:ascii="黑体" w:hAnsi="黑体" w:eastAsia="黑体"/>
          <w:b w:val="0"/>
        </w:rPr>
        <w:t>其他重要事项的情况说明</w:t>
      </w:r>
      <w:bookmarkEnd w:id="72"/>
      <w:bookmarkEnd w:id="73"/>
      <w:bookmarkEnd w:id="74"/>
    </w:p>
    <w:p>
      <w:pPr>
        <w:spacing w:line="600" w:lineRule="exact"/>
        <w:ind w:firstLine="643" w:firstLineChars="200"/>
        <w:outlineLvl w:val="2"/>
        <w:rPr>
          <w:rFonts w:ascii="仿宋" w:hAnsi="仿宋" w:eastAsia="仿宋"/>
          <w:sz w:val="32"/>
          <w:szCs w:val="32"/>
        </w:rPr>
      </w:pPr>
      <w:bookmarkStart w:id="75" w:name="_Toc15377222"/>
      <w:bookmarkStart w:id="76" w:name="_Toc25967"/>
      <w:r>
        <w:rPr>
          <w:rFonts w:hint="eastAsia" w:ascii="仿宋" w:hAnsi="仿宋" w:eastAsia="仿宋"/>
          <w:b/>
          <w:sz w:val="32"/>
          <w:szCs w:val="32"/>
        </w:rPr>
        <w:t>（一）机关运行经费支出情况</w:t>
      </w:r>
      <w:bookmarkEnd w:id="75"/>
      <w:bookmarkEnd w:id="76"/>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草地乡政府</w:t>
      </w:r>
      <w:r>
        <w:rPr>
          <w:rFonts w:hint="eastAsia" w:ascii="仿宋_GB2312" w:eastAsia="仿宋_GB2312"/>
          <w:sz w:val="32"/>
          <w:szCs w:val="32"/>
        </w:rPr>
        <w:t>机关运行经费支出</w:t>
      </w:r>
      <w:r>
        <w:rPr>
          <w:sz w:val="32"/>
          <w:szCs w:val="32"/>
        </w:rPr>
        <w:t>39.48</w:t>
      </w:r>
      <w:r>
        <w:rPr>
          <w:rFonts w:hint="eastAsia" w:ascii="仿宋_GB2312" w:eastAsia="仿宋_GB2312"/>
          <w:sz w:val="32"/>
          <w:szCs w:val="32"/>
        </w:rPr>
        <w:t>万元，比2022年度</w:t>
      </w:r>
      <w:r>
        <w:rPr>
          <w:rFonts w:hint="eastAsia" w:ascii="仿宋_GB2312" w:eastAsia="仿宋_GB2312"/>
          <w:sz w:val="32"/>
          <w:szCs w:val="32"/>
          <w:lang w:eastAsia="zh-CN"/>
        </w:rPr>
        <w:t>增加</w:t>
      </w:r>
      <w:r>
        <w:rPr>
          <w:rFonts w:hint="eastAsia" w:ascii="仿宋_GB2312" w:eastAsia="仿宋_GB2312"/>
          <w:sz w:val="32"/>
          <w:szCs w:val="32"/>
          <w:lang w:val="en-US" w:eastAsia="zh-CN"/>
        </w:rPr>
        <w:t>3.62</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10.09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人员增加</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7" w:name="_Toc15377223"/>
      <w:bookmarkStart w:id="78" w:name="_Toc13522"/>
      <w:r>
        <w:rPr>
          <w:rFonts w:hint="eastAsia" w:ascii="仿宋" w:hAnsi="仿宋" w:eastAsia="仿宋"/>
          <w:b/>
          <w:sz w:val="32"/>
          <w:szCs w:val="32"/>
        </w:rPr>
        <w:t>（二）政府采购支出情况</w:t>
      </w:r>
      <w:bookmarkEnd w:id="77"/>
      <w:bookmarkEnd w:id="78"/>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草地乡政府</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9" w:name="_Toc15377224"/>
      <w:bookmarkStart w:id="80" w:name="_Toc25994"/>
      <w:r>
        <w:rPr>
          <w:rFonts w:hint="eastAsia" w:ascii="仿宋" w:hAnsi="仿宋" w:eastAsia="仿宋"/>
          <w:b/>
          <w:sz w:val="32"/>
          <w:szCs w:val="32"/>
        </w:rPr>
        <w:t>（三）国有资产占有使用情况</w:t>
      </w:r>
      <w:bookmarkEnd w:id="79"/>
      <w:bookmarkEnd w:id="80"/>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草地乡政府</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1</w:t>
      </w:r>
      <w:r>
        <w:rPr>
          <w:rFonts w:hint="eastAsia" w:ascii="仿宋_GB2312" w:eastAsia="仿宋_GB2312"/>
          <w:sz w:val="32"/>
          <w:szCs w:val="32"/>
        </w:rPr>
        <w:t>辆，其他用车主要是用于</w:t>
      </w:r>
      <w:r>
        <w:rPr>
          <w:rFonts w:hint="eastAsia" w:ascii="仿宋_GB2312" w:eastAsia="仿宋_GB2312"/>
          <w:sz w:val="32"/>
          <w:szCs w:val="32"/>
          <w:lang w:eastAsia="zh-CN"/>
        </w:rPr>
        <w:t>往返县城报送材料、开会、开展乡上各项工作</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81" w:name="_Toc20396"/>
      <w:r>
        <w:rPr>
          <w:rFonts w:hint="eastAsia" w:ascii="仿宋" w:hAnsi="仿宋" w:eastAsia="仿宋"/>
          <w:b/>
          <w:sz w:val="32"/>
          <w:szCs w:val="32"/>
        </w:rPr>
        <w:t>（四）预算绩效管理情况</w:t>
      </w:r>
      <w:bookmarkEnd w:id="81"/>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eastAsia="zh-CN"/>
        </w:rPr>
        <w:t>九寨沟县草地乡上草地村集体经济提升改造项目、上草地村蔬菜产业基地配套建设、草地乡</w:t>
      </w:r>
      <w:r>
        <w:rPr>
          <w:rFonts w:hint="eastAsia" w:ascii="仿宋_GB2312" w:hAnsi="仿宋_GB2312" w:eastAsia="仿宋_GB2312" w:cs="仿宋_GB2312"/>
          <w:sz w:val="32"/>
          <w:szCs w:val="32"/>
          <w:lang w:val="en-US" w:eastAsia="zh-CN"/>
        </w:rPr>
        <w:t>2023年基层政权建设</w:t>
      </w:r>
      <w:r>
        <w:rPr>
          <w:rFonts w:hint="eastAsia" w:ascii="仿宋_GB2312" w:hAnsi="仿宋_GB2312" w:eastAsia="仿宋_GB2312" w:cs="仿宋_GB2312"/>
          <w:sz w:val="32"/>
          <w:szCs w:val="32"/>
        </w:rPr>
        <w:t>项目等</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草地乡政府</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eastAsia="zh-CN"/>
        </w:rPr>
        <w:t>草地乡</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eastAsia="zh-CN"/>
        </w:rPr>
        <w:t>见附件。</w:t>
      </w:r>
    </w:p>
    <w:p>
      <w:pPr>
        <w:pStyle w:val="3"/>
        <w:jc w:val="center"/>
      </w:pPr>
      <w:bookmarkStart w:id="82" w:name="_Toc20884"/>
      <w:r>
        <w:rPr>
          <w:rFonts w:hint="eastAsia"/>
        </w:rPr>
        <w:t>第三部分 名词解释</w:t>
      </w:r>
      <w:bookmarkEnd w:id="82"/>
    </w:p>
    <w:p>
      <w:pPr/>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9.一般公共服务（201）政府办公厅（室）及相关机构事务（03）行政运行（01）：指行政单位的基本支出。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10.社会保障和就业（208）行政事业单位养老支出（05）机关事业单位基本养老保险缴费支出（05）：指机关事业范围实施养老制度有单位缴纳的基本养老保险费支出。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11.社会保障和就业（208）行政事业单位养老支出（05）机关事业单位职业年金缴费支出（06）：指机关事业范围实施养老制度有单位缴纳的基本养老保险费支出。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12.卫生健康（210）公共卫生（04）重大公共卫生服务（09）：指重大公共卫生服务类费用支出。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卫生健康（210）行政事业单位医疗（11）行政单位医疗（01）：指指反映财政部门集中安排的行政单位基本医疗保险经费，未参加医疗保险的行政单位的公费医疗经费，按国家规定享受离休人员、老红军战士待遇人员的医疗经费。</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14.卫生健康（210）行政事业单位医疗（11）公务员医疗补助（03）：指财政部门集中安排的公务员医疗补助。</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15.卫生健康（210）其他卫生健康支出（99）其他卫生健康支出（99）：指其他卫生健康费用支出。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16.城乡社区支出（212）城乡社区管理事务（01）城管执法（04）：指支城管执法费用。</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17.农林水支出（213）农业农村（01）其他农业农村支出（99）：指指其他用于农业方面的支出。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18.农林水支出（213）林业和草原（02）林业草原防灾减灾（34）：指支防灾减灾支出。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19.农林水支出（213）林业和草原（02）其他林业和草原支出（99）：指其他林业和草原支出。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20.农林水支出（213）水利（03）防汛（14）：指防汛业务支出，包括物资购置、网络通信、车船维修、防汛值班、水毁修复以及防汛演练、灾后恢复的支出。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21.农林水支出（213）水利（03）其他水利支出（99）：指其他水利支出。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22.农林水支出（213）巩固脱贫衔接乡村振兴（05）其他巩固脱贫衔接乡村振兴支出（99）：指指其他用于扶贫方面的支出。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23.农林水支出（213）水农村综合改革（07）对村民委员会和村党支部的补助（05）：指各级财政对村民委员会和村党支部的补助支出。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24.住房保障支出（221）住房改革支出（02）住房公积金（01）：指行政事业单位按人力资源和社会保障部、财政部规定的基本工资和津补贴依规定比例为职工缴纳住房公积金</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7</w:t>
      </w:r>
      <w:r>
        <w:rPr>
          <w:rFonts w:hint="eastAsia" w:ascii="仿宋_GB2312" w:eastAsia="仿宋_GB2312"/>
          <w:sz w:val="32"/>
          <w:szCs w:val="32"/>
        </w:rPr>
        <w:t>.经营支出：指事业单位在专业业务活动及其辅助活动之外开展非独立核算经营活动发生的支出。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28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29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420" w:firstLineChars="200"/>
      </w:pPr>
    </w:p>
    <w:p>
      <w:pPr>
        <w:pStyle w:val="3"/>
        <w:jc w:val="center"/>
        <w:rPr>
          <w:rFonts w:ascii="黑体" w:hAnsi="黑体" w:eastAsia="黑体"/>
          <w:b w:val="0"/>
        </w:rPr>
      </w:pPr>
      <w:bookmarkStart w:id="83" w:name="_Toc11107"/>
      <w:r>
        <w:rPr>
          <w:rFonts w:hint="eastAsia" w:ascii="黑体" w:hAnsi="黑体" w:eastAsia="黑体"/>
          <w:b w:val="0"/>
        </w:rPr>
        <w:t>第四部分 附件</w:t>
      </w:r>
      <w:bookmarkEnd w:id="83"/>
    </w:p>
    <w:p>
      <w:pPr/>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Pr/>
    </w:p>
    <w:p>
      <w:pPr>
        <w:rPr>
          <w:rFonts w:ascii="黑体" w:hAnsi="黑体" w:eastAsia="黑体"/>
          <w:sz w:val="32"/>
          <w:szCs w:val="32"/>
        </w:rPr>
      </w:pPr>
      <w:r>
        <w:rPr>
          <w:rFonts w:hint="eastAsia" w:ascii="黑体" w:hAnsi="黑体" w:eastAsia="黑体"/>
          <w:sz w:val="32"/>
          <w:szCs w:val="32"/>
        </w:rPr>
        <w:t>一、部门（单位）基本情况</w:t>
      </w:r>
    </w:p>
    <w:p>
      <w:pPr>
        <w:ind w:firstLine="643" w:firstLineChars="200"/>
        <w:rPr>
          <w:rFonts w:hint="eastAsia" w:ascii="仿宋_GB2312" w:eastAsia="仿宋_GB2312"/>
          <w:sz w:val="32"/>
          <w:szCs w:val="32"/>
        </w:rPr>
      </w:pPr>
      <w:r>
        <w:rPr>
          <w:rFonts w:hint="eastAsia" w:ascii="楷体_GB2312" w:eastAsia="楷体_GB2312"/>
          <w:b/>
          <w:sz w:val="32"/>
          <w:szCs w:val="32"/>
        </w:rPr>
        <w:t>（一）机构组成。</w:t>
      </w:r>
      <w:r>
        <w:rPr>
          <w:rFonts w:hint="eastAsia" w:ascii="仿宋_GB2312" w:eastAsia="仿宋_GB2312"/>
          <w:sz w:val="32"/>
          <w:szCs w:val="32"/>
        </w:rPr>
        <w:t>草地乡人民政府统筹全乡人、财、物，整合乡政府所有人员和机构，设7个党政综合办事机构：党建工作办公室，（挂党政办公室牌子）；维护稳定办公室（挂群众工作办公室牌子）；经济发展和乡村振兴办公室；社会事务和应急管理办公室（挂安全生产监督管理办公室牌子）；村乡规划建设管理办公室（挂生态环境办公室牌子）；综合行政执法办公室；财政工作办公室。设4个中心：县草地乡便民服务中心（挂县草地乡退役军人服务站、县草地乡农民工服务中心牌子）；县草地乡党群服务中心；县草地乡文化旅游服务中心；县草地乡农业农村服务中心。</w:t>
      </w:r>
    </w:p>
    <w:p>
      <w:pPr>
        <w:ind w:firstLine="643" w:firstLineChars="200"/>
        <w:rPr>
          <w:rFonts w:hint="eastAsia" w:ascii="仿宋_GB2312" w:eastAsia="仿宋_GB2312"/>
          <w:sz w:val="32"/>
          <w:szCs w:val="32"/>
        </w:rPr>
      </w:pPr>
      <w:r>
        <w:rPr>
          <w:rFonts w:hint="eastAsia" w:ascii="楷体_GB2312" w:eastAsia="楷体_GB2312"/>
          <w:b/>
          <w:sz w:val="32"/>
          <w:szCs w:val="32"/>
        </w:rPr>
        <w:t>（二）机构职能。</w:t>
      </w:r>
      <w:r>
        <w:rPr>
          <w:rFonts w:hint="eastAsia" w:ascii="仿宋_GB2312" w:eastAsia="仿宋_GB2312"/>
          <w:sz w:val="32"/>
          <w:szCs w:val="32"/>
        </w:rPr>
        <w:t>草地乡党委、政府主要承担着贯彻落实党和政府各项路线方针政策，促进经济发展、增加农民收入，强化公共服务、着力改善民生，加强社会管理、维护农村稳定，推进基层民主、促进农村和谐的重大任务。草地乡党委、政府重点履行以下职能：</w:t>
      </w:r>
    </w:p>
    <w:p>
      <w:pPr>
        <w:ind w:firstLine="643" w:firstLineChars="200"/>
        <w:rPr>
          <w:rFonts w:hint="eastAsia" w:ascii="仿宋_GB2312" w:eastAsia="仿宋_GB2312"/>
          <w:sz w:val="32"/>
          <w:szCs w:val="32"/>
        </w:rPr>
      </w:pPr>
      <w:r>
        <w:rPr>
          <w:rFonts w:hint="eastAsia" w:ascii="仿宋_GB2312" w:eastAsia="仿宋_GB2312"/>
          <w:sz w:val="32"/>
          <w:szCs w:val="32"/>
        </w:rPr>
        <w:t>1.乡党委主要职责</w:t>
      </w:r>
    </w:p>
    <w:p>
      <w:pPr>
        <w:ind w:firstLine="643" w:firstLineChars="200"/>
        <w:rPr>
          <w:rFonts w:hint="eastAsia" w:ascii="仿宋_GB2312" w:eastAsia="仿宋_GB2312"/>
          <w:sz w:val="32"/>
          <w:szCs w:val="32"/>
        </w:rPr>
      </w:pPr>
      <w:r>
        <w:rPr>
          <w:rFonts w:hint="eastAsia" w:ascii="仿宋_GB2312" w:eastAsia="仿宋_GB2312"/>
          <w:sz w:val="32"/>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ind w:firstLine="643" w:firstLineChars="200"/>
        <w:rPr>
          <w:rFonts w:hint="eastAsia" w:ascii="仿宋_GB2312" w:eastAsia="仿宋_GB2312"/>
          <w:sz w:val="32"/>
          <w:szCs w:val="32"/>
        </w:rPr>
      </w:pPr>
      <w:r>
        <w:rPr>
          <w:rFonts w:hint="eastAsia" w:ascii="仿宋_GB2312" w:eastAsia="仿宋_GB2312"/>
          <w:sz w:val="32"/>
          <w:szCs w:val="32"/>
        </w:rPr>
        <w:t>2.乡人大主席团主要职责</w:t>
      </w:r>
    </w:p>
    <w:p>
      <w:pPr>
        <w:ind w:firstLine="643" w:firstLineChars="200"/>
        <w:rPr>
          <w:rFonts w:hint="eastAsia" w:ascii="仿宋_GB2312" w:eastAsia="仿宋_GB2312"/>
          <w:sz w:val="32"/>
          <w:szCs w:val="32"/>
        </w:rPr>
      </w:pPr>
      <w:r>
        <w:rPr>
          <w:rFonts w:hint="eastAsia" w:ascii="仿宋_GB2312" w:eastAsia="仿宋_GB2312"/>
          <w:sz w:val="32"/>
          <w:szCs w:val="32"/>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ind w:firstLine="643" w:firstLineChars="200"/>
        <w:rPr>
          <w:rFonts w:ascii="仿宋_GB2312" w:eastAsia="仿宋_GB2312"/>
          <w:sz w:val="32"/>
          <w:szCs w:val="32"/>
        </w:rPr>
      </w:pPr>
      <w:r>
        <w:rPr>
          <w:rFonts w:hint="eastAsia" w:ascii="楷体_GB2312" w:eastAsia="楷体_GB2312"/>
          <w:b/>
          <w:sz w:val="32"/>
          <w:szCs w:val="32"/>
        </w:rPr>
        <w:t>（三）人员概况。</w:t>
      </w:r>
      <w:r>
        <w:rPr>
          <w:rFonts w:hint="eastAsia" w:ascii="仿宋_GB2312" w:eastAsia="仿宋_GB2312"/>
          <w:sz w:val="32"/>
          <w:szCs w:val="32"/>
        </w:rPr>
        <w:t>2023年财政供养人员编制为35名，其中行政编制19名，行政工勤编制2名，事业编制14名；2023年财政供养实有人员30人，其中行政编制人员18名，行政工勤编制人员2名，事业编制人员12名。未超过编制人数。</w:t>
      </w:r>
    </w:p>
    <w:p>
      <w:pPr>
        <w:rPr>
          <w:rFonts w:ascii="黑体" w:hAnsi="黑体" w:eastAsia="黑体"/>
          <w:sz w:val="32"/>
          <w:szCs w:val="32"/>
        </w:rPr>
      </w:pPr>
      <w:r>
        <w:rPr>
          <w:rFonts w:hint="eastAsia" w:ascii="黑体" w:hAnsi="黑体" w:eastAsia="黑体"/>
          <w:sz w:val="32"/>
          <w:szCs w:val="32"/>
        </w:rPr>
        <w:t>二、部门资金收支情况</w:t>
      </w:r>
    </w:p>
    <w:p>
      <w:pPr>
        <w:ind w:firstLine="643" w:firstLineChars="200"/>
        <w:rPr>
          <w:rFonts w:ascii="仿宋_GB2312" w:eastAsia="仿宋_GB2312"/>
          <w:sz w:val="32"/>
          <w:szCs w:val="32"/>
        </w:rPr>
      </w:pPr>
      <w:r>
        <w:rPr>
          <w:rFonts w:hint="eastAsia" w:ascii="楷体_GB2312" w:eastAsia="楷体_GB2312"/>
          <w:b/>
          <w:sz w:val="32"/>
          <w:szCs w:val="32"/>
        </w:rPr>
        <w:t>（一）收入情况。</w:t>
      </w:r>
      <w:r>
        <w:rPr>
          <w:rFonts w:hint="eastAsia" w:ascii="仿宋_GB2312" w:eastAsia="仿宋_GB2312"/>
          <w:sz w:val="32"/>
          <w:szCs w:val="32"/>
        </w:rPr>
        <w:t>2023年草地乡全年收入总额1256.58万元，其中：财政拨款收入总额1256.58万元，占100%。</w:t>
      </w:r>
    </w:p>
    <w:p>
      <w:pPr>
        <w:ind w:firstLine="643" w:firstLineChars="200"/>
        <w:rPr>
          <w:rFonts w:hint="eastAsia" w:ascii="仿宋_GB2312" w:eastAsia="仿宋_GB2312"/>
          <w:sz w:val="32"/>
          <w:szCs w:val="32"/>
        </w:rPr>
      </w:pPr>
      <w:r>
        <w:rPr>
          <w:rFonts w:hint="eastAsia" w:ascii="楷体_GB2312" w:eastAsia="楷体_GB2312"/>
          <w:b/>
          <w:sz w:val="32"/>
          <w:szCs w:val="32"/>
        </w:rPr>
        <w:t>（二）支出情况。</w:t>
      </w:r>
      <w:r>
        <w:rPr>
          <w:rFonts w:hint="eastAsia" w:ascii="仿宋_GB2312" w:eastAsia="仿宋_GB2312"/>
          <w:sz w:val="32"/>
          <w:szCs w:val="32"/>
        </w:rPr>
        <w:t>2023年草地乡全年支出总额1256.58万元，基本支出640.91万元。其中：一般公共服务支出488.90万元，社会保障和就业支出76.66万元，卫生健康支出33.88万元，住房保障支出41.46万元。严格控制“三公经费”管理，严格实行公务卡消费，公务用车运行维护费用为6.12万元；公务接待费0.2万元；无因公出国境费用支出。项目支出615.67万元。其中：卫生健康支出1万元，城乡社区支出3万元，农林水支出597.06万元。</w:t>
      </w:r>
    </w:p>
    <w:p>
      <w:pPr>
        <w:rPr>
          <w:rFonts w:ascii="黑体" w:hAnsi="黑体" w:eastAsia="黑体"/>
          <w:sz w:val="32"/>
          <w:szCs w:val="32"/>
        </w:rPr>
      </w:pPr>
      <w:r>
        <w:rPr>
          <w:rFonts w:hint="eastAsia" w:ascii="黑体" w:hAnsi="黑体" w:eastAsia="黑体"/>
          <w:sz w:val="32"/>
          <w:szCs w:val="32"/>
        </w:rPr>
        <w:t>三、部门预算绩效分析</w:t>
      </w:r>
    </w:p>
    <w:p>
      <w:pPr>
        <w:ind w:firstLine="640" w:firstLineChars="200"/>
        <w:rPr>
          <w:rFonts w:eastAsia="仿宋_GB2312"/>
          <w:sz w:val="32"/>
          <w:szCs w:val="32"/>
          <w:lang w:val="zh-CN"/>
        </w:rPr>
      </w:pPr>
      <w:r>
        <w:rPr>
          <w:rFonts w:hint="eastAsia" w:ascii="楷体_GB2312" w:eastAsia="楷体_GB2312"/>
          <w:b/>
          <w:sz w:val="32"/>
          <w:szCs w:val="32"/>
        </w:rPr>
        <w:t>（一）部门预算总体绩效分析。</w:t>
      </w:r>
      <w:r>
        <w:rPr>
          <w:rFonts w:hint="eastAsia" w:ascii="仿宋_GB2312" w:eastAsia="仿宋_GB2312"/>
          <w:sz w:val="32"/>
          <w:szCs w:val="32"/>
        </w:rPr>
        <w:t>草地乡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我单位预算安排保障了我单位正产改的工作运转，科学安排、统筹兼顾</w:t>
      </w:r>
      <w:r>
        <w:rPr>
          <w:rFonts w:hint="eastAsia" w:eastAsia="仿宋_GB2312"/>
          <w:sz w:val="32"/>
          <w:szCs w:val="32"/>
          <w:lang w:val="zh-CN"/>
        </w:rPr>
        <w:t>。</w:t>
      </w:r>
    </w:p>
    <w:p>
      <w:pPr>
        <w:ind w:firstLine="643" w:firstLineChars="200"/>
        <w:rPr>
          <w:rFonts w:hint="eastAsia" w:eastAsia="仿宋_GB2312"/>
          <w:sz w:val="32"/>
          <w:szCs w:val="32"/>
          <w:lang w:val="zh-CN"/>
        </w:rPr>
      </w:pP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）绩效结果应用情况。</w:t>
      </w:r>
      <w:r>
        <w:rPr>
          <w:rFonts w:hint="eastAsia" w:eastAsia="仿宋_GB2312"/>
          <w:sz w:val="32"/>
          <w:szCs w:val="32"/>
          <w:lang w:val="zh-CN"/>
        </w:rPr>
        <w:t>1、草地乡政府严格按照县财政的要求，及时分月、分季度上报相应计划，待财政审核通过后，严格按计划执行，各季度执行情况良好。</w:t>
      </w:r>
    </w:p>
    <w:p>
      <w:pPr>
        <w:ind w:firstLine="643" w:firstLineChars="200"/>
        <w:rPr>
          <w:rFonts w:hint="eastAsia" w:eastAsia="仿宋_GB2312"/>
          <w:sz w:val="32"/>
          <w:szCs w:val="32"/>
          <w:lang w:val="zh-CN"/>
        </w:rPr>
      </w:pPr>
      <w:r>
        <w:rPr>
          <w:rFonts w:hint="eastAsia" w:eastAsia="仿宋_GB2312"/>
          <w:sz w:val="32"/>
          <w:szCs w:val="32"/>
          <w:lang w:val="zh-CN"/>
        </w:rPr>
        <w:t>2、严格遵守县财政局经费来源和分配、管理、使用原则。</w:t>
      </w:r>
    </w:p>
    <w:p>
      <w:pPr>
        <w:ind w:firstLine="643" w:firstLineChars="200"/>
        <w:rPr>
          <w:rFonts w:hint="eastAsia" w:eastAsia="仿宋_GB2312"/>
          <w:sz w:val="32"/>
          <w:szCs w:val="32"/>
          <w:lang w:val="zh-CN"/>
        </w:rPr>
      </w:pPr>
      <w:r>
        <w:rPr>
          <w:rFonts w:hint="eastAsia" w:eastAsia="仿宋_GB2312"/>
          <w:sz w:val="32"/>
          <w:szCs w:val="32"/>
          <w:lang w:val="zh-CN"/>
        </w:rPr>
        <w:t>（1）规范账户管理。单位允许设立一个银行账户。严禁公款私存、私设小金库和账外账，所有资金收支必须在一个银行账户中反映。实行银行账户监管和定期报送县财政局审查、监管制度。</w:t>
      </w:r>
    </w:p>
    <w:p>
      <w:pPr>
        <w:ind w:firstLine="643" w:firstLineChars="200"/>
        <w:rPr>
          <w:rFonts w:hint="eastAsia" w:eastAsia="仿宋_GB2312"/>
          <w:sz w:val="32"/>
          <w:szCs w:val="32"/>
          <w:lang w:val="zh-CN"/>
        </w:rPr>
      </w:pPr>
      <w:r>
        <w:rPr>
          <w:rFonts w:hint="eastAsia" w:eastAsia="仿宋_GB2312"/>
          <w:sz w:val="32"/>
          <w:szCs w:val="32"/>
          <w:lang w:val="zh-CN"/>
        </w:rPr>
        <w:t>（2）严格遵守支出审批制度。按照“量力而行、量入为出”的原则，合理安排经费。各科室安排工作涉及2000元以上支出的，需事先编制工作方案，经分管财务的领导审核后实施。所有票据由经办人、分管领导签署意见，送财务室对票据的合法性、支出的真实性进行审核，报分管财务领导审核。单项支出金额无论大小，均由分管财务的领导审核后，报主要领导审批。</w:t>
      </w:r>
    </w:p>
    <w:p>
      <w:pPr>
        <w:ind w:firstLine="643" w:firstLineChars="200"/>
        <w:rPr>
          <w:rFonts w:eastAsia="仿宋_GB2312"/>
          <w:sz w:val="32"/>
          <w:szCs w:val="32"/>
          <w:lang w:val="zh-CN"/>
        </w:rPr>
      </w:pPr>
      <w:r>
        <w:rPr>
          <w:rFonts w:hint="eastAsia" w:eastAsia="仿宋_GB2312"/>
          <w:sz w:val="32"/>
          <w:szCs w:val="32"/>
          <w:lang w:val="zh-CN"/>
        </w:rPr>
        <w:t>3、公务支出一律使用公务卡支付。无划卡条件的，原则上采取银行转账方式支付。严格遵守财务内审和监督制度。我乡历来高度重视内部财务管理，建立了内部财务管理制度。内部财务管理制度中包含了经费管理、经费审批、借款管理、现金及支票管理和财务管理五个方面。对“三公经费”、会议费、公务卡强制结算目录制度等进行了完善，单位领导干部加强对财政预算资金的管理，机关干部、职工都严格遵守财经纪律，严格按照财务管理制度照章办事，没有发生违反财经纪律、违反财务管理制度的情况。同时，在开支控制、办公用品采购、大宗印刷管理、公车改革、车辆租赁等方面严格执行相关制度。</w:t>
      </w:r>
    </w:p>
    <w:p>
      <w:pPr>
        <w:ind w:firstLine="640" w:firstLineChars="200"/>
        <w:rPr>
          <w:rFonts w:ascii="黑体" w:hAnsi="黑体" w:eastAsia="黑体"/>
          <w:sz w:val="32"/>
          <w:szCs w:val="32"/>
        </w:rPr>
      </w:pPr>
      <w:r>
        <w:rPr>
          <w:rFonts w:hint="eastAsia" w:ascii="黑体" w:hAnsi="黑体" w:eastAsia="黑体"/>
          <w:sz w:val="32"/>
          <w:szCs w:val="32"/>
        </w:rPr>
        <w:t>四、评价结论及建议</w:t>
      </w:r>
    </w:p>
    <w:p>
      <w:pPr>
        <w:ind w:firstLine="643" w:firstLineChars="200"/>
        <w:rPr>
          <w:rFonts w:eastAsia="仿宋_GB2312"/>
          <w:sz w:val="32"/>
          <w:szCs w:val="32"/>
          <w:lang w:val="zh-CN"/>
        </w:rPr>
      </w:pPr>
      <w:r>
        <w:rPr>
          <w:rFonts w:hint="eastAsia" w:ascii="楷体_GB2312" w:eastAsia="楷体_GB2312"/>
          <w:b/>
          <w:sz w:val="32"/>
          <w:szCs w:val="32"/>
        </w:rPr>
        <w:t>（一）评价结论。</w:t>
      </w:r>
      <w:r>
        <w:rPr>
          <w:rFonts w:hint="eastAsia" w:eastAsia="仿宋_GB2312"/>
          <w:sz w:val="32"/>
          <w:szCs w:val="32"/>
          <w:lang w:val="zh-CN"/>
        </w:rPr>
        <w:t>乡政府按照预算法按时完成预决算编制。在执行过程中有计划进行资金申报使用，完善资金管理及内部控制制度，确保资金安全，做到账款、账账、账实相符。为全乡经济和社会事业发展提供资金保障。</w:t>
      </w:r>
    </w:p>
    <w:p>
      <w:pPr>
        <w:ind w:firstLine="643" w:firstLineChars="200"/>
        <w:rPr>
          <w:rFonts w:eastAsia="仿宋_GB2312"/>
          <w:sz w:val="32"/>
          <w:szCs w:val="32"/>
          <w:lang w:val="zh-CN"/>
        </w:rPr>
      </w:pPr>
      <w:r>
        <w:rPr>
          <w:rFonts w:hint="eastAsia" w:ascii="楷体_GB2312" w:eastAsia="楷体_GB2312"/>
          <w:b/>
          <w:sz w:val="32"/>
          <w:szCs w:val="32"/>
        </w:rPr>
        <w:t>（二）存在问题。</w:t>
      </w:r>
      <w:r>
        <w:rPr>
          <w:rFonts w:hint="eastAsia" w:eastAsia="仿宋_GB2312"/>
          <w:sz w:val="32"/>
          <w:szCs w:val="32"/>
          <w:lang w:val="zh-CN"/>
        </w:rPr>
        <w:t>我乡主要问题在于资金报账进度相对缓慢，一是因为资金拨付较晚，二是因项目劳务人员较多，部分在进行支付时存在支付失败情况，重新支付报帐进度较缓。</w:t>
      </w:r>
    </w:p>
    <w:p>
      <w:pPr>
        <w:ind w:firstLine="643" w:firstLineChars="200"/>
        <w:rPr>
          <w:rFonts w:eastAsia="仿宋_GB2312"/>
          <w:sz w:val="32"/>
          <w:szCs w:val="32"/>
          <w:lang w:val="zh-CN"/>
        </w:rPr>
      </w:pPr>
      <w:r>
        <w:rPr>
          <w:rFonts w:hint="eastAsia" w:ascii="楷体_GB2312" w:eastAsia="楷体_GB2312"/>
          <w:b/>
          <w:sz w:val="32"/>
          <w:szCs w:val="32"/>
        </w:rPr>
        <w:t>（三）改进建议。</w:t>
      </w:r>
      <w:r>
        <w:rPr>
          <w:rFonts w:hint="eastAsia" w:eastAsia="仿宋_GB2312"/>
          <w:sz w:val="32"/>
          <w:szCs w:val="32"/>
          <w:lang w:val="zh-CN"/>
        </w:rPr>
        <w:t>加快报账进度，确保项目支付进度有序推进，仔细核对报账信息。</w:t>
      </w:r>
    </w:p>
    <w:p>
      <w:pPr>
        <w:ind w:firstLine="640" w:firstLineChars="200"/>
        <w:rPr>
          <w:rFonts w:eastAsia="仿宋_GB2312"/>
          <w:sz w:val="32"/>
          <w:szCs w:val="32"/>
          <w:lang w:val="zh-CN"/>
        </w:rPr>
      </w:pPr>
    </w:p>
    <w:p>
      <w:pPr>
        <w:pStyle w:val="2"/>
        <w:rPr>
          <w:rFonts w:eastAsia="仿宋_GB2312"/>
          <w:sz w:val="32"/>
          <w:szCs w:val="32"/>
          <w:lang w:val="zh-CN"/>
        </w:rPr>
      </w:pPr>
    </w:p>
    <w:p>
      <w:pPr>
        <w:rPr>
          <w:rFonts w:eastAsia="仿宋_GB2312"/>
          <w:sz w:val="32"/>
          <w:szCs w:val="32"/>
          <w:lang w:val="zh-CN"/>
        </w:rPr>
      </w:pPr>
    </w:p>
    <w:p>
      <w:pPr>
        <w:pStyle w:val="2"/>
        <w:rPr>
          <w:rFonts w:eastAsia="仿宋_GB2312"/>
          <w:sz w:val="32"/>
          <w:szCs w:val="32"/>
          <w:lang w:val="zh-CN"/>
        </w:rPr>
      </w:pPr>
    </w:p>
    <w:p>
      <w:pPr>
        <w:rPr>
          <w:rFonts w:eastAsia="仿宋_GB2312"/>
          <w:sz w:val="32"/>
          <w:szCs w:val="32"/>
          <w:lang w:val="zh-CN"/>
        </w:rPr>
      </w:pPr>
    </w:p>
    <w:p>
      <w:pPr>
        <w:pStyle w:val="2"/>
        <w:rPr>
          <w:rFonts w:eastAsia="仿宋_GB2312"/>
          <w:sz w:val="32"/>
          <w:szCs w:val="32"/>
          <w:lang w:val="zh-CN"/>
        </w:rPr>
      </w:pPr>
    </w:p>
    <w:p>
      <w:pPr>
        <w:rPr>
          <w:rFonts w:eastAsia="仿宋_GB2312"/>
          <w:sz w:val="32"/>
          <w:szCs w:val="32"/>
          <w:lang w:val="zh-CN"/>
        </w:rPr>
      </w:pPr>
    </w:p>
    <w:p>
      <w:pPr>
        <w:pStyle w:val="2"/>
        <w:rPr>
          <w:lang w:val="zh-CN"/>
        </w:rPr>
      </w:pPr>
    </w:p>
    <w:p>
      <w:pPr>
        <w:ind w:firstLine="640" w:firstLineChars="200"/>
        <w:jc w:val="center"/>
        <w:rPr>
          <w:rFonts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tbl>
      <w:tblPr>
        <w:tblW w:w="139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623"/>
        <w:gridCol w:w="1741"/>
        <w:gridCol w:w="1536"/>
        <w:gridCol w:w="1945"/>
        <w:gridCol w:w="591"/>
        <w:gridCol w:w="1466"/>
        <w:gridCol w:w="1352"/>
        <w:gridCol w:w="1004"/>
        <w:gridCol w:w="460"/>
        <w:gridCol w:w="406"/>
        <w:gridCol w:w="2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405" w:hRule="atLeast"/>
        </w:trPr>
        <w:tc>
          <w:tcPr>
            <w:tcW w:w="5845" w:type="dxa"/>
            <w:gridSpan w:val="4"/>
            <w:shd w:val="clear"/>
            <w:vAlign w:val="center"/>
          </w:tcPr>
          <w:p>
            <w:pPr>
              <w:keepNext w:val="0"/>
              <w:keepLines w:val="0"/>
              <w:widowControl/>
              <w:suppressLineNumbers w:val="0"/>
              <w:jc w:val="left"/>
              <w:textAlignment w:val="center"/>
              <w:rPr>
                <w:rFonts w:ascii="宋体" w:hAnsi="宋体" w:eastAsia="宋体" w:cs="宋体"/>
                <w:i w:val="0"/>
                <w:color w:val="C0C0C0"/>
                <w:sz w:val="20"/>
                <w:szCs w:val="20"/>
                <w:u w:val="none"/>
              </w:rPr>
            </w:pPr>
            <w:r>
              <w:rPr>
                <w:rFonts w:ascii="宋体" w:hAnsi="宋体" w:eastAsia="宋体" w:cs="宋体"/>
                <w:i w:val="0"/>
                <w:color w:val="C0C0C0"/>
                <w:kern w:val="0"/>
                <w:sz w:val="20"/>
                <w:szCs w:val="20"/>
                <w:u w:val="none"/>
                <w:lang w:val="en-US" w:eastAsia="zh-CN" w:bidi="ar"/>
              </w:rPr>
              <w:t>报表编号：510000_0013zp</w:t>
            </w:r>
          </w:p>
        </w:tc>
        <w:tc>
          <w:tcPr>
            <w:tcW w:w="591" w:type="dxa"/>
            <w:shd w:val="clear"/>
            <w:vAlign w:val="center"/>
          </w:tcPr>
          <w:p>
            <w:pPr>
              <w:rPr>
                <w:rFonts w:hint="eastAsia" w:ascii="宋体" w:hAnsi="宋体" w:eastAsia="宋体" w:cs="宋体"/>
                <w:i w:val="0"/>
                <w:color w:val="000000"/>
                <w:sz w:val="22"/>
                <w:szCs w:val="22"/>
                <w:u w:val="none"/>
              </w:rPr>
            </w:pPr>
          </w:p>
        </w:tc>
        <w:tc>
          <w:tcPr>
            <w:tcW w:w="3822" w:type="dxa"/>
            <w:gridSpan w:val="3"/>
            <w:shd w:val="clear"/>
            <w:vAlign w:val="center"/>
          </w:tcPr>
          <w:p>
            <w:pPr>
              <w:rPr>
                <w:rFonts w:hint="eastAsia" w:ascii="宋体" w:hAnsi="宋体" w:eastAsia="宋体" w:cs="宋体"/>
                <w:i w:val="0"/>
                <w:color w:val="000000"/>
                <w:sz w:val="20"/>
                <w:szCs w:val="20"/>
                <w:u w:val="none"/>
              </w:rPr>
            </w:pPr>
          </w:p>
        </w:tc>
        <w:tc>
          <w:tcPr>
            <w:tcW w:w="460" w:type="dxa"/>
            <w:shd w:val="clear"/>
            <w:vAlign w:val="center"/>
          </w:tcPr>
          <w:p>
            <w:pPr>
              <w:rPr>
                <w:rFonts w:hint="eastAsia" w:ascii="宋体" w:hAnsi="宋体" w:eastAsia="宋体" w:cs="宋体"/>
                <w:i w:val="0"/>
                <w:color w:val="000000"/>
                <w:sz w:val="22"/>
                <w:szCs w:val="22"/>
                <w:u w:val="none"/>
              </w:rPr>
            </w:pPr>
          </w:p>
        </w:tc>
        <w:tc>
          <w:tcPr>
            <w:tcW w:w="406" w:type="dxa"/>
            <w:shd w:val="clear"/>
            <w:vAlign w:val="center"/>
          </w:tcPr>
          <w:p>
            <w:pPr>
              <w:rPr>
                <w:rFonts w:hint="eastAsia" w:ascii="宋体" w:hAnsi="宋体" w:eastAsia="宋体" w:cs="宋体"/>
                <w:i w:val="0"/>
                <w:color w:val="000000"/>
                <w:sz w:val="22"/>
                <w:szCs w:val="22"/>
                <w:u w:val="none"/>
              </w:rPr>
            </w:pPr>
          </w:p>
        </w:tc>
        <w:tc>
          <w:tcPr>
            <w:tcW w:w="2865"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51322522T000000402350-安全生产工作经费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做好全年安全生产工作，有物资保障，宣传到位，有效防止特殊安全事故的发生，维护社会安定稳定，促进安全生产工作持续开展</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全乡三村，资金矿业</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有应急预案，有效防止特殊安全事故发生</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提前统筹规划，后期应急保障</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有效维护社会安全稳定</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促进安全生产工作持续开展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51322522T000006622006-城乡环境综合治理专项经费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改善草地乡人居环境，提高生活质量，创造发展优势，奋力打造干净、整洁的城乡环境，全面提升草地乡城乡环境质量。</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维护环境人员</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环境治理情况</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环境治理间隔</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维护草地乡干净、整洁卫生环境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51322522T000006734545-重大传染病防控（草地乡）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为草地乡重大传染病防控工作提供良好的后勤保障，做好重大传染病防控常态化工作，健全应急管理体系，提高处理急难险重任务能力，更好的维护社会大局稳定，推进各项防控工作，坚决遏制传染病的产生。</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全乡防控人数</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417</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户</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杜绝传染病成效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传染病防控管理时效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促进健康生活环境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51322523T000008579879-基层组织和公共服务运行费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从各村实际出发，提升村办公能力，保障村级各项事务开展</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31.30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31.30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3村全覆盖</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保障村级各项事务开展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村寨发展依托，保障</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维护社会和谐稳定</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改善村容村貌，提升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各村可持续发展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33万元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51322523T000008583101-伙食团补助费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用于职工伙食团日常开销，提高全乡职工的生活水平</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在伙食团就餐人数</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安全、卫生提供食物，保障职工伙食水平</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项目经费时效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提高干部职工工作积极性</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维护乡伙食团持续开展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干部职工满意度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51322523T000009334491-草地乡边界维稳经费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维护周边乡镇边界稳定友好工作，加强与郭元乡，石鸡坝镇的沟通联系，保障边界稳定友好，和谐发展，维护稳定，保护生态环境。</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边界巡查维护次数</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保障边界稳定友好，和谐发展</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边界稳定持续时效</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创建平安边界，健全边界稳定友好</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优势互补，资源共享，互利共赢</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51322523T000009364237-草地乡上草地村蔬菜产业基地配套建设项目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修建上草地村蔬菜产业基地，改善自然条件限制，增加草地乡蔬菜种植产能，增加百姓收入；隔离蔬菜产业基地与产业路，保护农民家蔬菜；大力发展乡村旅游，打造“九寨秘境，云上草地”乡村旅游品牌，发展“一村一品”的模式，走好“文农旅融合”发展之路，激发乡村旅游发展新动力。</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项目主要建设工程量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项/点位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项目整体工程质量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建设周期</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增加县域财政收入，增加农民农产品收入</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增加道路通行运输能力，满足村民运输需求</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51322523T000009451951-下草地村民族团结进步示范村建设项目使用林地补偿费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保障国家林地安全、维护生态安全和促进农村经济社会发展重要林地，平衡土地使用权益与生态保护利益，维护土地资源的可持续发展起到了至关重要的作用。</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使用林地面积</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0.1177</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公顷</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遵守有关林业法规、条例情况</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林地补偿费用支付时间</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加强民族交往交流，创造和谐经济环境</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平衡土地使用权益与生态保护</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林地补偿总额</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59963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51322523T000009625932-上草地村村寨配套景观基础设施建设项目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上草地村村寨配套景观基础设施建设项目将惠及全村及所有贫困户，拓宽群众增收门路，壮大集体经济，监理将有效特提高项目施工质量，控制施工成本，保障施工安全，加快工程建设进度。</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项目施工工程量</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项/点位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工作计划完成情况</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监理费用支付时间</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发展文化旅游，开发非物质文化</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保护土地资源，实现人与自然和谐相处</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成本控制在预算范围内</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51322523T000009692601-草地乡森林防火奖补资金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51322523T000009758321-九寨沟县草地乡2023年基层政权建设项目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65.05</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10.05</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65.05</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10.05</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15.45%</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51322523T000009766183-九寨沟县草地乡创建国家AAA级旅游景区补短建设项目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193.71</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93.71</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48.38%</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193.71</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93.71</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48.38%</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51322523T000009898580-九寨沟县草地乡上草地村集体经济提升改造项目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51322524T000009975207-乡镇文化站（中心）免费开放补助资金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51322524T000010295403-九寨沟县草地乡杨家湾村老寨产种养殖基地配套建设项目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4"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1"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6890" w:type="dxa"/>
            <w:gridSpan w:val="5"/>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473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5" w:type="dxa"/>
            <w:gridSpan w:val="9"/>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3409" w:type="dxa"/>
            <w:gridSpan w:val="3"/>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6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74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9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4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35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58"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6"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36"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53"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3" w:type="dxa"/>
            <w:shd w:val="clear"/>
            <w:vAlign w:val="center"/>
          </w:tcPr>
          <w:p>
            <w:pPr>
              <w:rPr>
                <w:rFonts w:hint="eastAsia" w:ascii="宋体" w:hAnsi="宋体" w:eastAsia="宋体" w:cs="宋体"/>
                <w:i w:val="0"/>
                <w:color w:val="000000"/>
                <w:sz w:val="18"/>
                <w:szCs w:val="18"/>
                <w:u w:val="none"/>
              </w:rPr>
            </w:pPr>
          </w:p>
        </w:tc>
        <w:tc>
          <w:tcPr>
            <w:tcW w:w="1741" w:type="dxa"/>
            <w:shd w:val="clear"/>
            <w:vAlign w:val="center"/>
          </w:tcPr>
          <w:p>
            <w:pPr>
              <w:rPr>
                <w:rFonts w:hint="eastAsia" w:ascii="宋体" w:hAnsi="宋体" w:eastAsia="宋体" w:cs="宋体"/>
                <w:i w:val="0"/>
                <w:color w:val="000000"/>
                <w:sz w:val="18"/>
                <w:szCs w:val="18"/>
                <w:u w:val="none"/>
              </w:rPr>
            </w:pPr>
          </w:p>
        </w:tc>
        <w:tc>
          <w:tcPr>
            <w:tcW w:w="1536" w:type="dxa"/>
            <w:shd w:val="clear"/>
            <w:vAlign w:val="center"/>
          </w:tcPr>
          <w:p>
            <w:pPr>
              <w:rPr>
                <w:rFonts w:hint="eastAsia" w:ascii="宋体" w:hAnsi="宋体" w:eastAsia="宋体" w:cs="宋体"/>
                <w:i w:val="0"/>
                <w:color w:val="000000"/>
                <w:sz w:val="18"/>
                <w:szCs w:val="18"/>
                <w:u w:val="none"/>
              </w:rPr>
            </w:pPr>
          </w:p>
        </w:tc>
        <w:tc>
          <w:tcPr>
            <w:tcW w:w="1945" w:type="dxa"/>
            <w:shd w:val="clear"/>
            <w:vAlign w:val="center"/>
          </w:tcPr>
          <w:p>
            <w:pPr>
              <w:rPr>
                <w:rFonts w:hint="eastAsia" w:ascii="宋体" w:hAnsi="宋体" w:eastAsia="宋体" w:cs="宋体"/>
                <w:i w:val="0"/>
                <w:color w:val="000000"/>
                <w:sz w:val="18"/>
                <w:szCs w:val="18"/>
                <w:u w:val="none"/>
              </w:rPr>
            </w:pPr>
          </w:p>
        </w:tc>
        <w:tc>
          <w:tcPr>
            <w:tcW w:w="591" w:type="dxa"/>
            <w:shd w:val="clear"/>
            <w:vAlign w:val="center"/>
          </w:tcPr>
          <w:p>
            <w:pPr>
              <w:rPr>
                <w:rFonts w:hint="eastAsia" w:ascii="宋体" w:hAnsi="宋体" w:eastAsia="宋体" w:cs="宋体"/>
                <w:i w:val="0"/>
                <w:color w:val="000000"/>
                <w:sz w:val="18"/>
                <w:szCs w:val="18"/>
                <w:u w:val="none"/>
              </w:rPr>
            </w:pPr>
          </w:p>
        </w:tc>
        <w:tc>
          <w:tcPr>
            <w:tcW w:w="1466" w:type="dxa"/>
            <w:shd w:val="clear"/>
            <w:vAlign w:val="center"/>
          </w:tcPr>
          <w:p>
            <w:pPr>
              <w:rPr>
                <w:rFonts w:hint="eastAsia" w:ascii="宋体" w:hAnsi="宋体" w:eastAsia="宋体" w:cs="宋体"/>
                <w:i w:val="0"/>
                <w:color w:val="000000"/>
                <w:sz w:val="18"/>
                <w:szCs w:val="18"/>
                <w:u w:val="none"/>
              </w:rPr>
            </w:pPr>
          </w:p>
        </w:tc>
        <w:tc>
          <w:tcPr>
            <w:tcW w:w="1352" w:type="dxa"/>
            <w:shd w:val="clear"/>
            <w:vAlign w:val="center"/>
          </w:tcPr>
          <w:p>
            <w:pPr>
              <w:rPr>
                <w:rFonts w:hint="eastAsia" w:ascii="宋体" w:hAnsi="宋体" w:eastAsia="宋体" w:cs="宋体"/>
                <w:i w:val="0"/>
                <w:color w:val="000000"/>
                <w:sz w:val="18"/>
                <w:szCs w:val="18"/>
                <w:u w:val="none"/>
              </w:rPr>
            </w:pPr>
          </w:p>
        </w:tc>
        <w:tc>
          <w:tcPr>
            <w:tcW w:w="1004" w:type="dxa"/>
            <w:shd w:val="clear"/>
            <w:vAlign w:val="center"/>
          </w:tcPr>
          <w:p>
            <w:pPr>
              <w:rPr>
                <w:rFonts w:hint="eastAsia" w:ascii="宋体" w:hAnsi="宋体" w:eastAsia="宋体" w:cs="宋体"/>
                <w:i w:val="0"/>
                <w:color w:val="000000"/>
                <w:sz w:val="18"/>
                <w:szCs w:val="18"/>
                <w:u w:val="none"/>
              </w:rPr>
            </w:pPr>
          </w:p>
        </w:tc>
        <w:tc>
          <w:tcPr>
            <w:tcW w:w="460" w:type="dxa"/>
            <w:shd w:val="clear"/>
            <w:vAlign w:val="center"/>
          </w:tcPr>
          <w:p>
            <w:pPr>
              <w:rPr>
                <w:rFonts w:hint="eastAsia" w:ascii="宋体" w:hAnsi="宋体" w:eastAsia="宋体" w:cs="宋体"/>
                <w:i w:val="0"/>
                <w:color w:val="000000"/>
                <w:sz w:val="18"/>
                <w:szCs w:val="18"/>
                <w:u w:val="none"/>
              </w:rPr>
            </w:pPr>
          </w:p>
        </w:tc>
        <w:tc>
          <w:tcPr>
            <w:tcW w:w="406" w:type="dxa"/>
            <w:shd w:val="clear"/>
            <w:vAlign w:val="center"/>
          </w:tcPr>
          <w:p>
            <w:pPr>
              <w:rPr>
                <w:rFonts w:hint="eastAsia" w:ascii="宋体" w:hAnsi="宋体" w:eastAsia="宋体" w:cs="宋体"/>
                <w:i w:val="0"/>
                <w:color w:val="000000"/>
                <w:sz w:val="18"/>
                <w:szCs w:val="18"/>
                <w:u w:val="none"/>
              </w:rPr>
            </w:pPr>
          </w:p>
        </w:tc>
        <w:tc>
          <w:tcPr>
            <w:tcW w:w="2865" w:type="dxa"/>
            <w:shd w:val="clear"/>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适用用户：部门用户、单位用户</w:t>
            </w:r>
          </w:p>
        </w:tc>
      </w:tr>
    </w:tbl>
    <w:p>
      <w:pPr/>
    </w:p>
    <w:p>
      <w:pPr>
        <w:pStyle w:val="2"/>
      </w:pPr>
    </w:p>
    <w:p>
      <w:pPr/>
    </w:p>
    <w:p>
      <w:pPr>
        <w:pStyle w:val="2"/>
      </w:pPr>
    </w:p>
    <w:p>
      <w:pPr>
        <w:pStyle w:val="2"/>
      </w:pPr>
    </w:p>
    <w:p>
      <w:pPr>
        <w:pStyle w:val="3"/>
        <w:jc w:val="both"/>
        <w:rPr>
          <w:rFonts w:hint="eastAsia" w:ascii="黑体" w:hAnsi="黑体" w:eastAsia="黑体"/>
        </w:rPr>
      </w:pPr>
    </w:p>
    <w:p>
      <w:pPr>
        <w:pStyle w:val="3"/>
        <w:jc w:val="center"/>
        <w:rPr>
          <w:rFonts w:ascii="黑体" w:hAnsi="黑体" w:eastAsia="黑体"/>
        </w:rPr>
      </w:pPr>
      <w:bookmarkStart w:id="84" w:name="_Toc24080"/>
      <w:r>
        <w:rPr>
          <w:rFonts w:hint="eastAsia" w:ascii="黑体" w:hAnsi="黑体" w:eastAsia="黑体"/>
        </w:rPr>
        <w:t>第五部分 附表</w:t>
      </w:r>
      <w:bookmarkEnd w:id="84"/>
    </w:p>
    <w:p>
      <w:pPr>
        <w:pStyle w:val="4"/>
        <w:rPr>
          <w:rFonts w:hint="eastAsia" w:ascii="仿宋" w:hAnsi="仿宋" w:eastAsia="仿宋" w:cs="仿宋"/>
          <w:b w:val="0"/>
          <w:bCs w:val="0"/>
          <w:sz w:val="32"/>
          <w:szCs w:val="32"/>
        </w:rPr>
      </w:pPr>
      <w:bookmarkStart w:id="85" w:name="_Toc10671"/>
      <w:r>
        <w:rPr>
          <w:rFonts w:hint="eastAsia" w:ascii="仿宋" w:hAnsi="仿宋" w:eastAsia="仿宋" w:cs="仿宋"/>
          <w:b w:val="0"/>
          <w:bCs w:val="0"/>
          <w:sz w:val="32"/>
          <w:szCs w:val="32"/>
          <w:lang w:eastAsia="zh-CN"/>
        </w:rPr>
        <w:t>一、</w:t>
      </w:r>
      <w:r>
        <w:rPr>
          <w:rFonts w:hint="eastAsia" w:ascii="仿宋" w:hAnsi="仿宋" w:eastAsia="仿宋" w:cs="仿宋"/>
          <w:b w:val="0"/>
          <w:bCs w:val="0"/>
          <w:sz w:val="32"/>
          <w:szCs w:val="32"/>
        </w:rPr>
        <w:t>收入支出决算总表</w:t>
      </w:r>
      <w:bookmarkEnd w:id="85"/>
    </w:p>
    <w:p>
      <w:pPr>
        <w:pStyle w:val="2"/>
        <w:numPr>
          <w:ilvl w:val="0"/>
          <w:numId w:val="0"/>
        </w:numPr>
      </w:pPr>
      <w:r>
        <w:drawing>
          <wp:inline distT="0" distB="0" distL="114300" distR="114300">
            <wp:extent cx="8862695" cy="6506845"/>
            <wp:effectExtent l="0" t="0" r="1460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8862695" cy="6506845"/>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86" w:name="_Toc28683"/>
      <w:r>
        <w:rPr>
          <w:rFonts w:hint="eastAsia" w:ascii="仿宋" w:hAnsi="仿宋" w:eastAsia="仿宋" w:cs="仿宋"/>
          <w:b w:val="0"/>
          <w:bCs w:val="0"/>
          <w:sz w:val="32"/>
          <w:szCs w:val="32"/>
          <w:lang w:eastAsia="zh-CN"/>
        </w:rPr>
        <w:t>二、</w:t>
      </w:r>
      <w:r>
        <w:rPr>
          <w:rFonts w:hint="eastAsia" w:ascii="仿宋" w:hAnsi="仿宋" w:eastAsia="仿宋" w:cs="仿宋"/>
          <w:b w:val="0"/>
          <w:bCs w:val="0"/>
          <w:sz w:val="32"/>
          <w:szCs w:val="32"/>
        </w:rPr>
        <w:t>收入决算表</w:t>
      </w:r>
      <w:bookmarkEnd w:id="86"/>
    </w:p>
    <w:p>
      <w:pPr>
        <w:pStyle w:val="2"/>
        <w:numPr>
          <w:ilvl w:val="0"/>
          <w:numId w:val="0"/>
        </w:numPr>
      </w:pPr>
      <w:r>
        <w:drawing>
          <wp:inline distT="0" distB="0" distL="114300" distR="114300">
            <wp:extent cx="8858885" cy="5754370"/>
            <wp:effectExtent l="0" t="0" r="18415" b="177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8858885" cy="5754370"/>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87" w:name="_Toc25785"/>
      <w:r>
        <w:rPr>
          <w:rFonts w:hint="eastAsia" w:ascii="仿宋" w:hAnsi="仿宋" w:eastAsia="仿宋" w:cs="仿宋"/>
          <w:b w:val="0"/>
          <w:bCs w:val="0"/>
          <w:sz w:val="32"/>
          <w:szCs w:val="32"/>
          <w:lang w:eastAsia="zh-CN"/>
        </w:rPr>
        <w:t>三、</w:t>
      </w:r>
      <w:r>
        <w:rPr>
          <w:rFonts w:hint="eastAsia" w:ascii="仿宋" w:hAnsi="仿宋" w:eastAsia="仿宋" w:cs="仿宋"/>
          <w:b w:val="0"/>
          <w:bCs w:val="0"/>
          <w:sz w:val="32"/>
          <w:szCs w:val="32"/>
        </w:rPr>
        <w:t>支出决算表</w:t>
      </w:r>
      <w:bookmarkEnd w:id="87"/>
    </w:p>
    <w:p>
      <w:pPr>
        <w:pStyle w:val="2"/>
        <w:numPr>
          <w:ilvl w:val="0"/>
          <w:numId w:val="0"/>
        </w:numPr>
      </w:pPr>
      <w:r>
        <w:drawing>
          <wp:inline distT="0" distB="0" distL="114300" distR="114300">
            <wp:extent cx="8512810" cy="647192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8512810" cy="6471920"/>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88" w:name="_Toc9498"/>
      <w:r>
        <w:rPr>
          <w:rFonts w:hint="eastAsia" w:ascii="仿宋" w:hAnsi="仿宋" w:eastAsia="仿宋" w:cs="仿宋"/>
          <w:b w:val="0"/>
          <w:bCs w:val="0"/>
          <w:sz w:val="32"/>
          <w:szCs w:val="32"/>
          <w:lang w:eastAsia="zh-CN"/>
        </w:rPr>
        <w:t>四、</w:t>
      </w:r>
      <w:r>
        <w:rPr>
          <w:rFonts w:hint="eastAsia" w:ascii="仿宋" w:hAnsi="仿宋" w:eastAsia="仿宋" w:cs="仿宋"/>
          <w:b w:val="0"/>
          <w:bCs w:val="0"/>
          <w:sz w:val="32"/>
          <w:szCs w:val="32"/>
        </w:rPr>
        <w:t>财政拨款收入支出决算总表</w:t>
      </w:r>
      <w:bookmarkEnd w:id="88"/>
    </w:p>
    <w:p>
      <w:pPr>
        <w:pStyle w:val="2"/>
        <w:numPr>
          <w:ilvl w:val="0"/>
          <w:numId w:val="0"/>
        </w:numPr>
      </w:pPr>
      <w:r>
        <w:drawing>
          <wp:inline distT="0" distB="0" distL="114300" distR="114300">
            <wp:extent cx="8860790" cy="5466715"/>
            <wp:effectExtent l="0" t="0" r="1651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8860790" cy="5466715"/>
                    </a:xfrm>
                    <a:prstGeom prst="rect">
                      <a:avLst/>
                    </a:prstGeom>
                    <a:noFill/>
                    <a:ln w="9525">
                      <a:noFill/>
                      <a:miter/>
                    </a:ln>
                  </pic:spPr>
                </pic:pic>
              </a:graphicData>
            </a:graphic>
          </wp:inline>
        </w:drawing>
      </w:r>
    </w:p>
    <w:p>
      <w:pPr>
        <w:numPr>
          <w:ilvl w:val="0"/>
          <w:numId w:val="4"/>
        </w:numPr>
        <w:rPr>
          <w:rFonts w:hint="eastAsia" w:ascii="仿宋" w:hAnsi="仿宋" w:eastAsia="仿宋"/>
          <w:sz w:val="32"/>
          <w:szCs w:val="32"/>
        </w:rPr>
        <w:sectPr>
          <w:footerReference r:id="rId9" w:type="first"/>
          <w:footerReference r:id="rId8" w:type="default"/>
          <w:pgSz w:w="16838" w:h="11906" w:orient="landscape"/>
          <w:pgMar w:top="1800" w:right="1440" w:bottom="1800" w:left="1440" w:header="851" w:footer="992" w:gutter="0"/>
          <w:pgNumType w:fmt="decimal" w:start="1"/>
          <w:cols w:space="425" w:num="1"/>
          <w:titlePg/>
          <w:docGrid w:type="lines" w:linePitch="312" w:charSpace="0"/>
        </w:sectPr>
      </w:pPr>
    </w:p>
    <w:p>
      <w:pPr>
        <w:pStyle w:val="4"/>
        <w:rPr>
          <w:rFonts w:hint="eastAsia" w:ascii="仿宋" w:hAnsi="仿宋" w:eastAsia="仿宋" w:cs="仿宋"/>
          <w:b w:val="0"/>
          <w:bCs w:val="0"/>
          <w:sz w:val="32"/>
          <w:szCs w:val="32"/>
        </w:rPr>
      </w:pPr>
      <w:bookmarkStart w:id="89" w:name="_Toc26536"/>
      <w:r>
        <w:rPr>
          <w:rFonts w:hint="eastAsia" w:ascii="仿宋" w:hAnsi="仿宋" w:eastAsia="仿宋" w:cs="仿宋"/>
          <w:b w:val="0"/>
          <w:bCs w:val="0"/>
          <w:sz w:val="32"/>
          <w:szCs w:val="32"/>
          <w:lang w:eastAsia="zh-CN"/>
        </w:rPr>
        <w:t>五、</w:t>
      </w:r>
      <w:r>
        <w:rPr>
          <w:rFonts w:hint="eastAsia" w:ascii="仿宋" w:hAnsi="仿宋" w:eastAsia="仿宋" w:cs="仿宋"/>
          <w:b w:val="0"/>
          <w:bCs w:val="0"/>
          <w:sz w:val="32"/>
          <w:szCs w:val="32"/>
        </w:rPr>
        <w:t>财政拨款支出决算明细表</w:t>
      </w:r>
      <w:bookmarkEnd w:id="89"/>
    </w:p>
    <w:p>
      <w:pPr>
        <w:pStyle w:val="2"/>
        <w:numPr>
          <w:ilvl w:val="0"/>
          <w:numId w:val="0"/>
        </w:numPr>
      </w:pPr>
      <w:r>
        <w:drawing>
          <wp:inline distT="0" distB="0" distL="114300" distR="114300">
            <wp:extent cx="5260340" cy="6830695"/>
            <wp:effectExtent l="0" t="0" r="1651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5260340" cy="6830695"/>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90" w:name="_Toc14367"/>
      <w:r>
        <w:rPr>
          <w:rFonts w:hint="eastAsia" w:ascii="仿宋" w:hAnsi="仿宋" w:eastAsia="仿宋" w:cs="仿宋"/>
          <w:b w:val="0"/>
          <w:bCs w:val="0"/>
          <w:sz w:val="32"/>
          <w:szCs w:val="32"/>
          <w:lang w:eastAsia="zh-CN"/>
        </w:rPr>
        <w:t>六、</w:t>
      </w:r>
      <w:r>
        <w:rPr>
          <w:rFonts w:hint="eastAsia" w:ascii="仿宋" w:hAnsi="仿宋" w:eastAsia="仿宋" w:cs="仿宋"/>
          <w:b w:val="0"/>
          <w:bCs w:val="0"/>
          <w:sz w:val="32"/>
          <w:szCs w:val="32"/>
        </w:rPr>
        <w:t>一般公共预算财政拨款支出决算表</w:t>
      </w:r>
      <w:bookmarkEnd w:id="90"/>
    </w:p>
    <w:p>
      <w:pPr>
        <w:pStyle w:val="2"/>
        <w:numPr>
          <w:ilvl w:val="0"/>
          <w:numId w:val="0"/>
        </w:numPr>
      </w:pPr>
      <w:r>
        <w:drawing>
          <wp:inline distT="0" distB="0" distL="114300" distR="114300">
            <wp:extent cx="5268595" cy="5789930"/>
            <wp:effectExtent l="0" t="0" r="8255"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5268595" cy="5789930"/>
                    </a:xfrm>
                    <a:prstGeom prst="rect">
                      <a:avLst/>
                    </a:prstGeom>
                    <a:noFill/>
                    <a:ln w="9525">
                      <a:noFill/>
                      <a:miter/>
                    </a:ln>
                  </pic:spPr>
                </pic:pic>
              </a:graphicData>
            </a:graphic>
          </wp:inline>
        </w:drawing>
      </w:r>
    </w:p>
    <w:p>
      <w:pPr>
        <w:rPr>
          <w:rFonts w:hint="eastAsia" w:ascii="仿宋" w:hAnsi="仿宋" w:eastAsia="仿宋" w:cs="仿宋"/>
          <w:b w:val="0"/>
          <w:bCs w:val="0"/>
          <w:sz w:val="32"/>
          <w:szCs w:val="32"/>
        </w:rPr>
      </w:pPr>
    </w:p>
    <w:p>
      <w:pPr>
        <w:pStyle w:val="2"/>
        <w:rPr>
          <w:rFonts w:hint="eastAsia" w:ascii="仿宋" w:hAnsi="仿宋" w:eastAsia="仿宋" w:cs="仿宋"/>
          <w:b w:val="0"/>
          <w:bCs w:val="0"/>
          <w:sz w:val="32"/>
          <w:szCs w:val="32"/>
        </w:rPr>
      </w:pPr>
    </w:p>
    <w:p>
      <w:pPr>
        <w:rPr>
          <w:rFonts w:hint="eastAsia" w:ascii="仿宋" w:hAnsi="仿宋" w:eastAsia="仿宋" w:cs="仿宋"/>
          <w:b w:val="0"/>
          <w:bCs w:val="0"/>
          <w:sz w:val="32"/>
          <w:szCs w:val="32"/>
        </w:rPr>
      </w:pPr>
    </w:p>
    <w:p>
      <w:pPr>
        <w:pStyle w:val="2"/>
        <w:rPr>
          <w:rFonts w:hint="eastAsia" w:ascii="仿宋" w:hAnsi="仿宋" w:eastAsia="仿宋" w:cs="仿宋"/>
          <w:b w:val="0"/>
          <w:bCs w:val="0"/>
          <w:sz w:val="32"/>
          <w:szCs w:val="32"/>
        </w:rPr>
      </w:pPr>
    </w:p>
    <w:p>
      <w:pPr>
        <w:rPr>
          <w:rFonts w:hint="eastAsia" w:ascii="仿宋" w:hAnsi="仿宋" w:eastAsia="仿宋" w:cs="仿宋"/>
          <w:b w:val="0"/>
          <w:bCs w:val="0"/>
          <w:sz w:val="32"/>
          <w:szCs w:val="32"/>
        </w:rPr>
      </w:pPr>
    </w:p>
    <w:p>
      <w:pPr>
        <w:pStyle w:val="2"/>
        <w:rPr>
          <w:rFonts w:hint="eastAsia" w:ascii="仿宋" w:hAnsi="仿宋" w:eastAsia="仿宋" w:cs="仿宋"/>
          <w:b w:val="0"/>
          <w:bCs w:val="0"/>
          <w:sz w:val="32"/>
          <w:szCs w:val="32"/>
        </w:rPr>
      </w:pPr>
    </w:p>
    <w:p>
      <w:pPr>
        <w:rPr>
          <w:rFonts w:hint="eastAsia" w:ascii="仿宋" w:hAnsi="仿宋" w:eastAsia="仿宋" w:cs="仿宋"/>
          <w:b w:val="0"/>
          <w:bCs w:val="0"/>
          <w:sz w:val="32"/>
          <w:szCs w:val="32"/>
        </w:rPr>
      </w:pPr>
    </w:p>
    <w:p>
      <w:pPr>
        <w:numPr>
          <w:ilvl w:val="0"/>
          <w:numId w:val="4"/>
        </w:numPr>
        <w:rPr>
          <w:rFonts w:hint="eastAsia" w:ascii="仿宋" w:hAnsi="仿宋" w:eastAsia="仿宋" w:cs="仿宋"/>
          <w:b w:val="0"/>
          <w:bCs w:val="0"/>
          <w:sz w:val="32"/>
          <w:szCs w:val="32"/>
        </w:rPr>
        <w:sectPr>
          <w:pgSz w:w="11906" w:h="16838"/>
          <w:pgMar w:top="1440" w:right="1800" w:bottom="1440" w:left="1800" w:header="851" w:footer="992" w:gutter="0"/>
          <w:pgNumType w:fmt="decimal"/>
          <w:cols w:space="425" w:num="1"/>
          <w:titlePg/>
          <w:docGrid w:type="lines" w:linePitch="312" w:charSpace="0"/>
        </w:sectPr>
      </w:pPr>
    </w:p>
    <w:p>
      <w:pPr>
        <w:pStyle w:val="4"/>
        <w:rPr>
          <w:rFonts w:hint="eastAsia" w:ascii="仿宋" w:hAnsi="仿宋" w:eastAsia="仿宋" w:cs="仿宋"/>
          <w:b w:val="0"/>
          <w:bCs w:val="0"/>
          <w:sz w:val="32"/>
          <w:szCs w:val="32"/>
        </w:rPr>
      </w:pPr>
      <w:bookmarkStart w:id="91" w:name="_Toc21697"/>
      <w:r>
        <w:rPr>
          <w:rFonts w:hint="eastAsia" w:ascii="仿宋" w:hAnsi="仿宋" w:eastAsia="仿宋" w:cs="仿宋"/>
          <w:b w:val="0"/>
          <w:bCs w:val="0"/>
          <w:sz w:val="32"/>
          <w:szCs w:val="32"/>
          <w:lang w:eastAsia="zh-CN"/>
        </w:rPr>
        <w:t>七、</w:t>
      </w:r>
      <w:r>
        <w:rPr>
          <w:rFonts w:hint="eastAsia" w:ascii="仿宋" w:hAnsi="仿宋" w:eastAsia="仿宋" w:cs="仿宋"/>
          <w:b w:val="0"/>
          <w:bCs w:val="0"/>
          <w:sz w:val="32"/>
          <w:szCs w:val="32"/>
        </w:rPr>
        <w:t>一般公共预算财政拨款支出决算明细表</w:t>
      </w:r>
      <w:bookmarkEnd w:id="91"/>
    </w:p>
    <w:p>
      <w:pPr>
        <w:pStyle w:val="2"/>
        <w:numPr>
          <w:ilvl w:val="0"/>
          <w:numId w:val="0"/>
        </w:numPr>
      </w:pPr>
      <w:r>
        <w:drawing>
          <wp:inline distT="0" distB="0" distL="114300" distR="114300">
            <wp:extent cx="8783320" cy="824865"/>
            <wp:effectExtent l="0" t="0" r="17780" b="133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a:stretch>
                      <a:fillRect/>
                    </a:stretch>
                  </pic:blipFill>
                  <pic:spPr>
                    <a:xfrm>
                      <a:off x="0" y="0"/>
                      <a:ext cx="8783320" cy="824865"/>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92" w:name="_Toc4469"/>
      <w:r>
        <w:rPr>
          <w:rFonts w:hint="eastAsia" w:ascii="仿宋" w:hAnsi="仿宋" w:eastAsia="仿宋" w:cs="仿宋"/>
          <w:b w:val="0"/>
          <w:bCs w:val="0"/>
          <w:sz w:val="32"/>
          <w:szCs w:val="32"/>
          <w:lang w:eastAsia="zh-CN"/>
        </w:rPr>
        <w:t>八、</w:t>
      </w:r>
      <w:r>
        <w:rPr>
          <w:rFonts w:hint="eastAsia" w:ascii="仿宋" w:hAnsi="仿宋" w:eastAsia="仿宋" w:cs="仿宋"/>
          <w:b w:val="0"/>
          <w:bCs w:val="0"/>
          <w:sz w:val="32"/>
          <w:szCs w:val="32"/>
        </w:rPr>
        <w:t>一般公共预算财政拨款基本支出决算表</w:t>
      </w:r>
      <w:bookmarkEnd w:id="92"/>
    </w:p>
    <w:p>
      <w:pPr>
        <w:pStyle w:val="2"/>
        <w:numPr>
          <w:ilvl w:val="0"/>
          <w:numId w:val="0"/>
        </w:numPr>
      </w:pPr>
      <w:r>
        <w:drawing>
          <wp:inline distT="0" distB="0" distL="114300" distR="114300">
            <wp:extent cx="8861425" cy="5605780"/>
            <wp:effectExtent l="0" t="0" r="15875" b="139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a:stretch>
                      <a:fillRect/>
                    </a:stretch>
                  </pic:blipFill>
                  <pic:spPr>
                    <a:xfrm>
                      <a:off x="0" y="0"/>
                      <a:ext cx="8861425" cy="5605780"/>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93" w:name="_Toc11645"/>
      <w:r>
        <w:rPr>
          <w:rFonts w:hint="eastAsia" w:ascii="仿宋" w:hAnsi="仿宋" w:eastAsia="仿宋" w:cs="仿宋"/>
          <w:b w:val="0"/>
          <w:bCs w:val="0"/>
          <w:sz w:val="32"/>
          <w:szCs w:val="32"/>
          <w:lang w:eastAsia="zh-CN"/>
        </w:rPr>
        <w:t>九、</w:t>
      </w:r>
      <w:r>
        <w:rPr>
          <w:rFonts w:hint="eastAsia" w:ascii="仿宋" w:hAnsi="仿宋" w:eastAsia="仿宋" w:cs="仿宋"/>
          <w:b w:val="0"/>
          <w:bCs w:val="0"/>
          <w:sz w:val="32"/>
          <w:szCs w:val="32"/>
        </w:rPr>
        <w:t>一般公共预算财政拨款项目支出决算表</w:t>
      </w:r>
      <w:bookmarkEnd w:id="93"/>
    </w:p>
    <w:p>
      <w:pPr>
        <w:pStyle w:val="2"/>
        <w:numPr>
          <w:ilvl w:val="0"/>
          <w:numId w:val="0"/>
        </w:numPr>
      </w:pPr>
      <w:r>
        <w:drawing>
          <wp:inline distT="0" distB="0" distL="114300" distR="114300">
            <wp:extent cx="6602095" cy="5273675"/>
            <wp:effectExtent l="0" t="0" r="8255"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9"/>
                    <a:stretch>
                      <a:fillRect/>
                    </a:stretch>
                  </pic:blipFill>
                  <pic:spPr>
                    <a:xfrm>
                      <a:off x="0" y="0"/>
                      <a:ext cx="6602095" cy="5273675"/>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94" w:name="_Toc1325"/>
      <w:r>
        <w:rPr>
          <w:rFonts w:hint="eastAsia" w:ascii="仿宋" w:hAnsi="仿宋" w:eastAsia="仿宋" w:cs="仿宋"/>
          <w:b w:val="0"/>
          <w:bCs w:val="0"/>
          <w:sz w:val="32"/>
          <w:szCs w:val="32"/>
          <w:lang w:eastAsia="zh-CN"/>
        </w:rPr>
        <w:t>十、</w:t>
      </w:r>
      <w:r>
        <w:rPr>
          <w:rFonts w:hint="eastAsia" w:ascii="仿宋" w:hAnsi="仿宋" w:eastAsia="仿宋" w:cs="仿宋"/>
          <w:b w:val="0"/>
          <w:bCs w:val="0"/>
          <w:sz w:val="32"/>
          <w:szCs w:val="32"/>
        </w:rPr>
        <w:t>政府性基金预算财政拨款收入支出决算表</w:t>
      </w:r>
      <w:bookmarkEnd w:id="94"/>
    </w:p>
    <w:p>
      <w:pPr>
        <w:pStyle w:val="2"/>
        <w:numPr>
          <w:ilvl w:val="0"/>
          <w:numId w:val="0"/>
        </w:numPr>
      </w:pPr>
      <w:r>
        <w:rPr>
          <w:sz w:val="24"/>
        </w:rPr>
        <mc:AlternateContent>
          <mc:Choice Requires="wps">
            <w:drawing>
              <wp:anchor distT="0" distB="0" distL="114300" distR="114300" simplePos="0" relativeHeight="251659264" behindDoc="0" locked="0" layoutInCell="1" allowOverlap="1">
                <wp:simplePos x="0" y="0"/>
                <wp:positionH relativeFrom="column">
                  <wp:posOffset>6432550</wp:posOffset>
                </wp:positionH>
                <wp:positionV relativeFrom="paragraph">
                  <wp:posOffset>302260</wp:posOffset>
                </wp:positionV>
                <wp:extent cx="944245" cy="300990"/>
                <wp:effectExtent l="5080" t="4445" r="22225" b="18415"/>
                <wp:wrapNone/>
                <wp:docPr id="25" name="文本框 25"/>
                <wp:cNvGraphicFramePr/>
                <a:graphic xmlns:a="http://schemas.openxmlformats.org/drawingml/2006/main">
                  <a:graphicData uri="http://schemas.microsoft.com/office/word/2010/wordprocessingShape">
                    <wps:wsp>
                      <wps:cNvSpPr txBox="1"/>
                      <wps:spPr>
                        <a:xfrm>
                          <a:off x="0" y="0"/>
                          <a:ext cx="944245" cy="300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6.5pt;margin-top:23.8pt;height:23.7pt;width:74.35pt;z-index:251659264;mso-width-relative:page;mso-height-relative:page;" fillcolor="#FFFFFF [3201]" filled="t" stroked="t" coordsize="21600,21600" o:gfxdata="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PPoN1wAAAAsBAAAPAAAAAAAAAAEAIAAAACIAAABk&#10;cnMvZG93bnJldi54bWxQSwECFAAUAAAACACHTuJAp2wYrUACAABqBAAADgAAAAAAAAABACAAAAAm&#10;AQAAZHJzL2Uyb0RvYy54bWxQSwUGAAAAAAYABgBZAQAA2A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856345" cy="1540510"/>
            <wp:effectExtent l="0" t="0" r="1905"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0"/>
                    <a:stretch>
                      <a:fillRect/>
                    </a:stretch>
                  </pic:blipFill>
                  <pic:spPr>
                    <a:xfrm>
                      <a:off x="0" y="0"/>
                      <a:ext cx="8856345" cy="1540510"/>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95" w:name="_Toc21557"/>
      <w:r>
        <w:rPr>
          <w:rFonts w:hint="eastAsia" w:ascii="仿宋" w:hAnsi="仿宋" w:eastAsia="仿宋" w:cs="仿宋"/>
          <w:b w:val="0"/>
          <w:bCs w:val="0"/>
          <w:sz w:val="32"/>
          <w:szCs w:val="32"/>
          <w:lang w:eastAsia="zh-CN"/>
        </w:rPr>
        <w:t>十一、</w:t>
      </w:r>
      <w:r>
        <w:rPr>
          <w:rFonts w:hint="eastAsia" w:ascii="仿宋" w:hAnsi="仿宋" w:eastAsia="仿宋" w:cs="仿宋"/>
          <w:b w:val="0"/>
          <w:bCs w:val="0"/>
          <w:sz w:val="32"/>
          <w:szCs w:val="32"/>
        </w:rPr>
        <w:t>国有资本经营预算财政拨款收入支出决算表</w:t>
      </w:r>
      <w:bookmarkEnd w:id="95"/>
    </w:p>
    <w:p>
      <w:pPr>
        <w:pStyle w:val="2"/>
        <w:numPr>
          <w:ilvl w:val="0"/>
          <w:numId w:val="0"/>
        </w:numPr>
      </w:pPr>
      <w:r>
        <w:rPr>
          <w:sz w:val="24"/>
        </w:rPr>
        <mc:AlternateContent>
          <mc:Choice Requires="wps">
            <w:drawing>
              <wp:anchor distT="0" distB="0" distL="114300" distR="114300" simplePos="0" relativeHeight="251658240" behindDoc="0" locked="0" layoutInCell="1" allowOverlap="1">
                <wp:simplePos x="0" y="0"/>
                <wp:positionH relativeFrom="column">
                  <wp:posOffset>6198235</wp:posOffset>
                </wp:positionH>
                <wp:positionV relativeFrom="paragraph">
                  <wp:posOffset>207645</wp:posOffset>
                </wp:positionV>
                <wp:extent cx="944245" cy="300990"/>
                <wp:effectExtent l="5080" t="4445" r="22225" b="18415"/>
                <wp:wrapNone/>
                <wp:docPr id="24" name="文本框 24"/>
                <wp:cNvGraphicFramePr/>
                <a:graphic xmlns:a="http://schemas.openxmlformats.org/drawingml/2006/main">
                  <a:graphicData uri="http://schemas.microsoft.com/office/word/2010/wordprocessingShape">
                    <wps:wsp>
                      <wps:cNvSpPr txBox="1"/>
                      <wps:spPr>
                        <a:xfrm>
                          <a:off x="6438900" y="1570355"/>
                          <a:ext cx="944245" cy="300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8.05pt;margin-top:16.35pt;height:23.7pt;width:74.35pt;z-index:251658240;mso-width-relative:page;mso-height-relative:page;" fillcolor="#FFFFFF [3201]" filled="t" stroked="t" coordsize="21600,21600" o:gfxdata="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eCmI/XAAAACgEAAA8AAAAAAAAA&#10;AQAgAAAAIgAAAGRycy9kb3ducmV2LnhtbFBLAQIUABQAAAAIAIdO4kDRtu0DSwIAAHYEAAAOAAAA&#10;AAAAAAEAIAAAACYBAABkcnMvZTJvRG9jLnhtbFBLBQYAAAAABgAGAFkBAADjBQ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343900" cy="22288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1"/>
                    <a:stretch>
                      <a:fillRect/>
                    </a:stretch>
                  </pic:blipFill>
                  <pic:spPr>
                    <a:xfrm>
                      <a:off x="0" y="0"/>
                      <a:ext cx="8343900" cy="2228850"/>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96" w:name="_Toc6274"/>
      <w:r>
        <w:rPr>
          <w:rFonts w:hint="eastAsia" w:ascii="仿宋" w:hAnsi="仿宋" w:eastAsia="仿宋" w:cs="仿宋"/>
          <w:b w:val="0"/>
          <w:bCs w:val="0"/>
          <w:sz w:val="32"/>
          <w:szCs w:val="32"/>
          <w:lang w:eastAsia="zh-CN"/>
        </w:rPr>
        <w:t>十二、</w:t>
      </w:r>
      <w:r>
        <w:rPr>
          <w:rFonts w:hint="eastAsia" w:ascii="仿宋" w:hAnsi="仿宋" w:eastAsia="仿宋" w:cs="仿宋"/>
          <w:b w:val="0"/>
          <w:bCs w:val="0"/>
          <w:sz w:val="32"/>
          <w:szCs w:val="32"/>
        </w:rPr>
        <w:t>国有资本经营预算财政拨款支出决算表</w:t>
      </w:r>
      <w:bookmarkEnd w:id="96"/>
    </w:p>
    <w:p>
      <w:pPr>
        <w:pStyle w:val="2"/>
        <w:numPr>
          <w:ilvl w:val="0"/>
          <w:numId w:val="0"/>
        </w:numPr>
      </w:pPr>
      <w:r>
        <w:rPr>
          <w:sz w:val="24"/>
        </w:rPr>
        <mc:AlternateContent>
          <mc:Choice Requires="wps">
            <w:drawing>
              <wp:anchor distT="0" distB="0" distL="114300" distR="114300" simplePos="0" relativeHeight="251660288" behindDoc="0" locked="0" layoutInCell="1" allowOverlap="1">
                <wp:simplePos x="0" y="0"/>
                <wp:positionH relativeFrom="column">
                  <wp:posOffset>6198235</wp:posOffset>
                </wp:positionH>
                <wp:positionV relativeFrom="paragraph">
                  <wp:posOffset>207645</wp:posOffset>
                </wp:positionV>
                <wp:extent cx="944245" cy="300990"/>
                <wp:effectExtent l="5080" t="4445" r="22225" b="18415"/>
                <wp:wrapNone/>
                <wp:docPr id="26" name="文本框 26"/>
                <wp:cNvGraphicFramePr/>
                <a:graphic xmlns:a="http://schemas.openxmlformats.org/drawingml/2006/main">
                  <a:graphicData uri="http://schemas.microsoft.com/office/word/2010/wordprocessingShape">
                    <wps:wsp>
                      <wps:cNvSpPr txBox="1"/>
                      <wps:spPr>
                        <a:xfrm>
                          <a:off x="0" y="0"/>
                          <a:ext cx="944245" cy="300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8.05pt;margin-top:16.35pt;height:23.7pt;width:74.35pt;z-index:251660288;mso-width-relative:page;mso-height-relative:page;" fillcolor="#FFFFFF [3201]" filled="t" stroked="t" coordsize="21600,21600" o:gfxdata="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&#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eCmI/XAAAACgEAAA8AAAAAAAAAAQAgAAAAIgAAAGRy&#10;cy9kb3ducmV2LnhtbFBLAQIUABQAAAAIAIdO4kAq2y6vPwIAAGoEAAAOAAAAAAAAAAEAIAAAACYB&#10;AABkcnMvZTJvRG9jLnhtbFBLBQYAAAAABgAGAFkBAADXBQ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296275" cy="2181225"/>
            <wp:effectExtent l="0" t="0" r="952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2"/>
                    <a:stretch>
                      <a:fillRect/>
                    </a:stretch>
                  </pic:blipFill>
                  <pic:spPr>
                    <a:xfrm>
                      <a:off x="0" y="0"/>
                      <a:ext cx="8296275" cy="2181225"/>
                    </a:xfrm>
                    <a:prstGeom prst="rect">
                      <a:avLst/>
                    </a:prstGeom>
                    <a:noFill/>
                    <a:ln w="9525">
                      <a:noFill/>
                      <a:miter/>
                    </a:ln>
                  </pic:spPr>
                </pic:pic>
              </a:graphicData>
            </a:graphic>
          </wp:inline>
        </w:drawing>
      </w:r>
    </w:p>
    <w:p>
      <w:pPr>
        <w:pStyle w:val="4"/>
        <w:rPr>
          <w:rFonts w:hint="eastAsia" w:ascii="仿宋" w:hAnsi="仿宋" w:eastAsia="仿宋" w:cs="仿宋"/>
          <w:b w:val="0"/>
          <w:bCs w:val="0"/>
          <w:sz w:val="32"/>
          <w:szCs w:val="32"/>
        </w:rPr>
      </w:pPr>
      <w:bookmarkStart w:id="97" w:name="_Toc23645"/>
      <w:r>
        <w:rPr>
          <w:rFonts w:hint="eastAsia" w:ascii="仿宋" w:hAnsi="仿宋" w:eastAsia="仿宋" w:cs="仿宋"/>
          <w:b w:val="0"/>
          <w:bCs w:val="0"/>
          <w:sz w:val="32"/>
          <w:szCs w:val="32"/>
          <w:lang w:eastAsia="zh-CN"/>
        </w:rPr>
        <w:t>十三、</w:t>
      </w:r>
      <w:r>
        <w:rPr>
          <w:rFonts w:hint="eastAsia" w:ascii="仿宋" w:hAnsi="仿宋" w:eastAsia="仿宋" w:cs="仿宋"/>
          <w:b w:val="0"/>
          <w:bCs w:val="0"/>
          <w:sz w:val="32"/>
          <w:szCs w:val="32"/>
        </w:rPr>
        <w:t>财政拨款“三公”经费支出决算表</w:t>
      </w:r>
      <w:bookmarkEnd w:id="97"/>
    </w:p>
    <w:p>
      <w:pPr>
        <w:pStyle w:val="2"/>
        <w:numPr>
          <w:ilvl w:val="0"/>
          <w:numId w:val="0"/>
        </w:numPr>
      </w:pPr>
      <w:r>
        <w:drawing>
          <wp:inline distT="0" distB="0" distL="114300" distR="114300">
            <wp:extent cx="8856345" cy="694690"/>
            <wp:effectExtent l="0" t="0" r="1905" b="1079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a:stretch>
                      <a:fillRect/>
                    </a:stretch>
                  </pic:blipFill>
                  <pic:spPr>
                    <a:xfrm>
                      <a:off x="0" y="0"/>
                      <a:ext cx="8856345" cy="694690"/>
                    </a:xfrm>
                    <a:prstGeom prst="rect">
                      <a:avLst/>
                    </a:prstGeom>
                    <a:noFill/>
                    <a:ln w="9525">
                      <a:noFill/>
                      <a:miter/>
                    </a:ln>
                  </pic:spPr>
                </pic:pic>
              </a:graphicData>
            </a:graphic>
          </wp:inline>
        </w:drawing>
      </w:r>
    </w:p>
    <w:sectPr>
      <w:pgSz w:w="16838" w:h="11906" w:orient="landscape"/>
      <w:pgMar w:top="1800" w:right="1440" w:bottom="1800" w:left="144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0"/>
    <w:family w:val="modern"/>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
    <w:altName w:val="Times New Roman"/>
    <w:panose1 w:val="00000000000000000000"/>
    <w:charset w:val="00"/>
    <w:family w:val="decorative"/>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DengXian Light">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decorative"/>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
    <w:altName w:val="Times New Roman"/>
    <w:panose1 w:val="00000000000000000000"/>
    <w:charset w:val="00"/>
    <w:family w:val="modern"/>
    <w:pitch w:val="default"/>
    <w:sig w:usb0="00000000" w:usb1="00000000" w:usb2="00000000" w:usb3="00000000" w:csb0="00000000" w:csb1="00000000"/>
  </w:font>
  <w:font w:name="Arial">
    <w:panose1 w:val="020B0604020202020204"/>
    <w:charset w:val="00"/>
    <w:family w:val="roman"/>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
    <w:altName w:val="Times New Roman"/>
    <w:panose1 w:val="00000000000000000000"/>
    <w:charset w:val="00"/>
    <w:family w:val="swiss"/>
    <w:pitch w:val="default"/>
    <w:sig w:usb0="00000000" w:usb1="00000000" w:usb2="00000000" w:usb3="00000000" w:csb0="00000000" w:csb1="00000000"/>
  </w:font>
  <w:font w:name="黑体">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3"/>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CqS7ABcCAAAVBAAADgAAAAAA&#10;AAABACAAAAAfAQAAZHJzL2Uyb0RvYy54bWxQSwUGAAAAAAYABgBZAQAAqAUAAAAA&#10;">
              <v:fill on="f" focussize="0,0"/>
              <v:stroke on="f" weight="0.5pt"/>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29495828">
    <w:nsid w:val="67160314"/>
    <w:multiLevelType w:val="singleLevel"/>
    <w:tmpl w:val="67160314"/>
    <w:lvl w:ilvl="0" w:tentative="1">
      <w:start w:val="1"/>
      <w:numFmt w:val="chineseCounting"/>
      <w:suff w:val="nothing"/>
      <w:lvlText w:val="%1、"/>
      <w:lvlJc w:val="left"/>
    </w:lvl>
  </w:abstractNum>
  <w:abstractNum w:abstractNumId="1729501459">
    <w:nsid w:val="67161913"/>
    <w:multiLevelType w:val="singleLevel"/>
    <w:tmpl w:val="67161913"/>
    <w:lvl w:ilvl="0" w:tentative="1">
      <w:start w:val="1"/>
      <w:numFmt w:val="chineseCounting"/>
      <w:suff w:val="nothing"/>
      <w:lvlText w:val="%1、"/>
      <w:lvlJc w:val="left"/>
    </w:lvl>
  </w:abstractNum>
  <w:abstractNum w:abstractNumId="309482763">
    <w:nsid w:val="1272550B"/>
    <w:multiLevelType w:val="multilevel"/>
    <w:tmpl w:val="1272550B"/>
    <w:lvl w:ilvl="0" w:tentative="1">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3479514348">
    <w:nsid w:val="CF652CEC"/>
    <w:multiLevelType w:val="singleLevel"/>
    <w:tmpl w:val="CF652CEC"/>
    <w:lvl w:ilvl="0" w:tentative="1">
      <w:start w:val="9"/>
      <w:numFmt w:val="chineseCounting"/>
      <w:suff w:val="nothing"/>
      <w:lvlText w:val="%1、"/>
      <w:lvlJc w:val="left"/>
      <w:rPr>
        <w:rFonts w:hint="eastAsia"/>
      </w:rPr>
    </w:lvl>
  </w:abstractNum>
  <w:num w:numId="1">
    <w:abstractNumId w:val="1729501459"/>
  </w:num>
  <w:num w:numId="2">
    <w:abstractNumId w:val="309482763"/>
  </w:num>
  <w:num w:numId="3">
    <w:abstractNumId w:val="3479514348"/>
  </w:num>
  <w:num w:numId="4">
    <w:abstractNumId w:val="17294958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D35B1ED"/>
    <w:rsid w:val="0E7ED1F5"/>
    <w:rsid w:val="0F98263C"/>
    <w:rsid w:val="101860EC"/>
    <w:rsid w:val="10C055FF"/>
    <w:rsid w:val="118107EC"/>
    <w:rsid w:val="13D50BC4"/>
    <w:rsid w:val="13F5616D"/>
    <w:rsid w:val="16BB723D"/>
    <w:rsid w:val="17F9714D"/>
    <w:rsid w:val="1918F934"/>
    <w:rsid w:val="1B41520C"/>
    <w:rsid w:val="1BE8440E"/>
    <w:rsid w:val="1CE24A64"/>
    <w:rsid w:val="1D155CEE"/>
    <w:rsid w:val="1DFBC4B3"/>
    <w:rsid w:val="1E740ACF"/>
    <w:rsid w:val="1F19C781"/>
    <w:rsid w:val="1F33FCE5"/>
    <w:rsid w:val="1F7F7398"/>
    <w:rsid w:val="1FD2DB6F"/>
    <w:rsid w:val="1FF35744"/>
    <w:rsid w:val="1FF6BC77"/>
    <w:rsid w:val="1FF9236D"/>
    <w:rsid w:val="2333840E"/>
    <w:rsid w:val="23860B96"/>
    <w:rsid w:val="240371BF"/>
    <w:rsid w:val="257C638F"/>
    <w:rsid w:val="29FD04D3"/>
    <w:rsid w:val="2BFF7BC6"/>
    <w:rsid w:val="2C2709FF"/>
    <w:rsid w:val="2C8A61B5"/>
    <w:rsid w:val="2CD59C95"/>
    <w:rsid w:val="2DF04E50"/>
    <w:rsid w:val="2E334C0C"/>
    <w:rsid w:val="2EFD05E5"/>
    <w:rsid w:val="2F040D46"/>
    <w:rsid w:val="2F4F95CE"/>
    <w:rsid w:val="2FACAFDD"/>
    <w:rsid w:val="2FAE5751"/>
    <w:rsid w:val="2FB1A395"/>
    <w:rsid w:val="2FCF0B76"/>
    <w:rsid w:val="2FD9A7D8"/>
    <w:rsid w:val="2FF4126F"/>
    <w:rsid w:val="319F7F4E"/>
    <w:rsid w:val="3304709D"/>
    <w:rsid w:val="36AA5135"/>
    <w:rsid w:val="36BE0DA7"/>
    <w:rsid w:val="36E03CF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3A305FF"/>
    <w:rsid w:val="44E268DA"/>
    <w:rsid w:val="457F4F6B"/>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CE2238"/>
    <w:rsid w:val="4F0E438B"/>
    <w:rsid w:val="4F7EA413"/>
    <w:rsid w:val="4FAB812F"/>
    <w:rsid w:val="4FE9BD67"/>
    <w:rsid w:val="4FEE4C07"/>
    <w:rsid w:val="4FFB052F"/>
    <w:rsid w:val="50E27E52"/>
    <w:rsid w:val="534E0D48"/>
    <w:rsid w:val="537E6D0A"/>
    <w:rsid w:val="53AB6B88"/>
    <w:rsid w:val="53F74C96"/>
    <w:rsid w:val="5583522D"/>
    <w:rsid w:val="57855F61"/>
    <w:rsid w:val="57BD3DD4"/>
    <w:rsid w:val="57F9CD1E"/>
    <w:rsid w:val="5A424072"/>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7F5392"/>
    <w:rsid w:val="64E322C4"/>
    <w:rsid w:val="65FB93B9"/>
    <w:rsid w:val="6633C463"/>
    <w:rsid w:val="67D55B77"/>
    <w:rsid w:val="67EE7F84"/>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A51B3"/>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toc 7"/>
    <w:basedOn w:val="1"/>
    <w:next w:val="1"/>
    <w:unhideWhenUsed/>
    <w:qFormat/>
    <w:uiPriority w:val="39"/>
    <w:pPr>
      <w:ind w:left="2520" w:leftChars="1200"/>
    </w:pPr>
  </w:style>
  <w:style w:type="paragraph" w:styleId="7">
    <w:name w:val="Body Text"/>
    <w:basedOn w:val="1"/>
    <w:link w:val="30"/>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200" w:leftChars="200"/>
    </w:pPr>
    <w:rPr>
      <w:rFonts w:ascii="仿宋_GB2312"/>
      <w:szCs w:val="32"/>
    </w:rPr>
  </w:style>
  <w:style w:type="paragraph" w:styleId="9">
    <w:name w:val="toc 5"/>
    <w:basedOn w:val="1"/>
    <w:next w:val="1"/>
    <w:unhideWhenUsed/>
    <w:qFormat/>
    <w:uiPriority w:val="39"/>
    <w:pPr>
      <w:ind w:left="1680" w:leftChars="800"/>
    </w:pPr>
  </w:style>
  <w:style w:type="paragraph" w:styleId="10">
    <w:name w:val="toc 3"/>
    <w:basedOn w:val="1"/>
    <w:next w:val="1"/>
    <w:unhideWhenUsed/>
    <w:qFormat/>
    <w:uiPriority w:val="39"/>
    <w:pPr>
      <w:ind w:left="840" w:leftChars="400"/>
    </w:pPr>
  </w:style>
  <w:style w:type="paragraph" w:styleId="11">
    <w:name w:val="toc 8"/>
    <w:basedOn w:val="1"/>
    <w:next w:val="1"/>
    <w:unhideWhenUsed/>
    <w:qFormat/>
    <w:uiPriority w:val="39"/>
    <w:pPr>
      <w:ind w:left="2940" w:leftChars="1400"/>
    </w:pPr>
  </w:style>
  <w:style w:type="paragraph" w:styleId="12">
    <w:name w:val="Balloon Text"/>
    <w:basedOn w:val="1"/>
    <w:link w:val="36"/>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Body Text First Indent 2"/>
    <w:basedOn w:val="8"/>
    <w:unhideWhenUsed/>
    <w:qFormat/>
    <w:uiPriority w:val="99"/>
    <w:pPr>
      <w:ind w:firstLine="420" w:firstLineChars="200"/>
    </w:pPr>
  </w:style>
  <w:style w:type="paragraph" w:styleId="15">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style>
  <w:style w:type="paragraph" w:styleId="17">
    <w:name w:val="toc 4"/>
    <w:basedOn w:val="1"/>
    <w:next w:val="1"/>
    <w:unhideWhenUsed/>
    <w:qFormat/>
    <w:uiPriority w:val="39"/>
    <w:pPr>
      <w:ind w:left="1260" w:leftChars="600"/>
    </w:pPr>
  </w:style>
  <w:style w:type="paragraph" w:styleId="18">
    <w:name w:val="toc 6"/>
    <w:basedOn w:val="1"/>
    <w:next w:val="1"/>
    <w:unhideWhenUsed/>
    <w:qFormat/>
    <w:uiPriority w:val="39"/>
    <w:pPr>
      <w:ind w:left="2100" w:leftChars="1000"/>
    </w:pPr>
  </w:style>
  <w:style w:type="paragraph" w:styleId="19">
    <w:name w:val="toc 2"/>
    <w:basedOn w:val="1"/>
    <w:next w:val="1"/>
    <w:unhideWhenUsed/>
    <w:qFormat/>
    <w:uiPriority w:val="39"/>
    <w:pPr>
      <w:ind w:left="420" w:leftChars="200"/>
    </w:pPr>
  </w:style>
  <w:style w:type="paragraph" w:styleId="20">
    <w:name w:val="toc 9"/>
    <w:basedOn w:val="1"/>
    <w:next w:val="1"/>
    <w:unhideWhenUsed/>
    <w:qFormat/>
    <w:uiPriority w:val="39"/>
    <w:pPr>
      <w:ind w:left="3360" w:leftChars="1600"/>
    </w:p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customStyle="1" w:styleId="25">
    <w:name w:val="Header Char"/>
    <w:basedOn w:val="21"/>
    <w:semiHidden/>
    <w:qFormat/>
    <w:uiPriority w:val="99"/>
    <w:rPr>
      <w:rFonts w:ascii="Times New Roman" w:hAnsi="Times New Roman"/>
      <w:sz w:val="18"/>
      <w:szCs w:val="18"/>
    </w:rPr>
  </w:style>
  <w:style w:type="character" w:customStyle="1" w:styleId="26">
    <w:name w:val="页眉 字符"/>
    <w:link w:val="15"/>
    <w:semiHidden/>
    <w:qFormat/>
    <w:locked/>
    <w:uiPriority w:val="99"/>
    <w:rPr>
      <w:sz w:val="18"/>
    </w:rPr>
  </w:style>
  <w:style w:type="character" w:customStyle="1" w:styleId="27">
    <w:name w:val="Footer Char"/>
    <w:basedOn w:val="21"/>
    <w:semiHidden/>
    <w:qFormat/>
    <w:uiPriority w:val="99"/>
    <w:rPr>
      <w:rFonts w:ascii="Times New Roman" w:hAnsi="Times New Roman"/>
      <w:sz w:val="18"/>
      <w:szCs w:val="18"/>
    </w:rPr>
  </w:style>
  <w:style w:type="character" w:customStyle="1" w:styleId="28">
    <w:name w:val="页脚 字符"/>
    <w:link w:val="13"/>
    <w:qFormat/>
    <w:locked/>
    <w:uiPriority w:val="99"/>
    <w:rPr>
      <w:sz w:val="18"/>
    </w:rPr>
  </w:style>
  <w:style w:type="character" w:customStyle="1" w:styleId="29">
    <w:name w:val="Body Text Char"/>
    <w:basedOn w:val="21"/>
    <w:semiHidden/>
    <w:qFormat/>
    <w:uiPriority w:val="99"/>
    <w:rPr>
      <w:rFonts w:ascii="Times New Roman" w:hAnsi="Times New Roman"/>
      <w:szCs w:val="24"/>
    </w:rPr>
  </w:style>
  <w:style w:type="character" w:customStyle="1" w:styleId="30">
    <w:name w:val="正文文本 字符"/>
    <w:link w:val="7"/>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List Paragraph"/>
    <w:basedOn w:val="1"/>
    <w:qFormat/>
    <w:uiPriority w:val="34"/>
    <w:pPr>
      <w:ind w:firstLine="420" w:firstLineChars="200"/>
    </w:pPr>
  </w:style>
  <w:style w:type="character" w:customStyle="1" w:styleId="33">
    <w:name w:val="标题 1 字符"/>
    <w:basedOn w:val="21"/>
    <w:link w:val="3"/>
    <w:qFormat/>
    <w:uiPriority w:val="9"/>
    <w:rPr>
      <w:rFonts w:ascii="Times New Roman" w:hAnsi="Times New Roman"/>
      <w:b/>
      <w:bCs/>
      <w:kern w:val="44"/>
      <w:sz w:val="44"/>
      <w:szCs w:val="44"/>
    </w:rPr>
  </w:style>
  <w:style w:type="character" w:customStyle="1" w:styleId="34">
    <w:name w:val="标题 2 字符"/>
    <w:basedOn w:val="21"/>
    <w:link w:val="4"/>
    <w:qFormat/>
    <w:uiPriority w:val="9"/>
    <w:rPr>
      <w:rFonts w:asciiTheme="majorHAnsi" w:hAnsiTheme="majorHAnsi" w:eastAsiaTheme="majorEastAsia" w:cstheme="majorBidi"/>
      <w:b/>
      <w:bCs/>
      <w:kern w:val="2"/>
      <w:sz w:val="32"/>
      <w:szCs w:val="32"/>
    </w:r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2"/>
    <w:semiHidden/>
    <w:qFormat/>
    <w:uiPriority w:val="99"/>
    <w:rPr>
      <w:rFonts w:ascii="Times New Roman" w:hAnsi="Times New Roman"/>
      <w:kern w:val="2"/>
      <w:sz w:val="18"/>
      <w:szCs w:val="18"/>
    </w:rPr>
  </w:style>
  <w:style w:type="character" w:customStyle="1" w:styleId="37">
    <w:name w:val="标题 3 字符"/>
    <w:basedOn w:val="21"/>
    <w:link w:val="5"/>
    <w:qFormat/>
    <w:uiPriority w:val="9"/>
    <w:rPr>
      <w:rFonts w:ascii="Times New Roman" w:hAnsi="Times New Roman"/>
      <w:b/>
      <w:bCs/>
      <w:kern w:val="2"/>
      <w:sz w:val="32"/>
      <w:szCs w:val="32"/>
    </w:rPr>
  </w:style>
  <w:style w:type="paragraph" w:customStyle="1" w:styleId="3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9">
    <w:name w:val="四号正文"/>
    <w:basedOn w:val="1"/>
    <w:qFormat/>
    <w:uiPriority w:val="0"/>
    <w:pPr>
      <w:spacing w:line="360" w:lineRule="auto"/>
    </w:pPr>
    <w:rPr>
      <w:rFonts w:ascii="??" w:hAnsi="??"/>
      <w:color w:val="000000"/>
      <w:kern w:val="0"/>
      <w:sz w:val="28"/>
      <w:szCs w:val="21"/>
      <w:lang w:val="zh-CN"/>
    </w:rPr>
  </w:style>
  <w:style w:type="paragraph" w:customStyle="1" w:styleId="40">
    <w:name w:val="普通(网站) Char"/>
    <w:basedOn w:val="1"/>
    <w:hidden/>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41">
    <w:name w:val="17"/>
    <w:basedOn w:val="21"/>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emf"/><Relationship Id="rId22" Type="http://schemas.openxmlformats.org/officeDocument/2006/relationships/image" Target="media/image12.emf"/><Relationship Id="rId21" Type="http://schemas.openxmlformats.org/officeDocument/2006/relationships/image" Target="media/image11.emf"/><Relationship Id="rId20" Type="http://schemas.openxmlformats.org/officeDocument/2006/relationships/image" Target="media/image10.emf"/><Relationship Id="rId2" Type="http://schemas.openxmlformats.org/officeDocument/2006/relationships/settings" Target="settings.xml"/><Relationship Id="rId19" Type="http://schemas.openxmlformats.org/officeDocument/2006/relationships/image" Target="media/image9.emf"/><Relationship Id="rId18" Type="http://schemas.openxmlformats.org/officeDocument/2006/relationships/image" Target="media/image8.emf"/><Relationship Id="rId17" Type="http://schemas.openxmlformats.org/officeDocument/2006/relationships/image" Target="media/image7.emf"/><Relationship Id="rId16" Type="http://schemas.openxmlformats.org/officeDocument/2006/relationships/image" Target="media/image6.emf"/><Relationship Id="rId15" Type="http://schemas.openxmlformats.org/officeDocument/2006/relationships/image" Target="media/image5.emf"/><Relationship Id="rId14" Type="http://schemas.openxmlformats.org/officeDocument/2006/relationships/image" Target="media/image4.emf"/><Relationship Id="rId13" Type="http://schemas.openxmlformats.org/officeDocument/2006/relationships/image" Target="media/image3.emf"/><Relationship Id="rId12" Type="http://schemas.openxmlformats.org/officeDocument/2006/relationships/image" Target="media/image2.emf"/><Relationship Id="rId11" Type="http://schemas.openxmlformats.org/officeDocument/2006/relationships/image" Target="media/image1.emf"/><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ScaleCrop>false</ScaleCrop>
  <LinksUpToDate>false</LinksUpToDate>
  <CharactersWithSpaces>10266</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2024-10-21T09:25:29Z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