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left"/>
        <w:outlineLvl w:val="0"/>
        <w:rPr>
          <w:rFonts w:ascii="方正小标宋简体" w:hAnsi="宋体" w:eastAsia="方正小标宋简体"/>
          <w:szCs w:val="21"/>
        </w:rPr>
      </w:pPr>
      <w:bookmarkStart w:id="0" w:name="_Toc15306267"/>
    </w:p>
    <w:p>
      <w:pPr>
        <w:pStyle w:val="7"/>
        <w:spacing w:before="93"/>
      </w:pPr>
    </w:p>
    <w:p>
      <w:pPr>
        <w:spacing w:line="600" w:lineRule="exact"/>
        <w:jc w:val="center"/>
        <w:outlineLvl w:val="0"/>
        <w:rPr>
          <w:rFonts w:ascii="方正小标宋简体" w:hAnsi="宋体" w:eastAsia="方正小标宋简体"/>
          <w:sz w:val="72"/>
          <w:szCs w:val="72"/>
        </w:rPr>
      </w:pPr>
    </w:p>
    <w:p>
      <w:pPr>
        <w:spacing w:line="600" w:lineRule="exact"/>
        <w:jc w:val="center"/>
        <w:outlineLvl w:val="0"/>
        <w:rPr>
          <w:rFonts w:ascii="方正小标宋简体" w:hAnsi="宋体" w:eastAsia="方正小标宋简体"/>
          <w:sz w:val="72"/>
          <w:szCs w:val="72"/>
        </w:rPr>
      </w:pPr>
    </w:p>
    <w:p>
      <w:pPr>
        <w:adjustRightInd w:val="0"/>
        <w:snapToGrid w:val="0"/>
        <w:spacing w:line="360" w:lineRule="auto"/>
        <w:jc w:val="center"/>
        <w:outlineLvl w:val="0"/>
        <w:rPr>
          <w:rFonts w:ascii="方正小标宋简体" w:hAnsi="方正小标宋简体" w:eastAsia="方正小标宋简体" w:cs="方正小标宋简体"/>
          <w:sz w:val="72"/>
          <w:szCs w:val="72"/>
        </w:rPr>
      </w:pPr>
      <w:bookmarkStart w:id="1" w:name="_Toc15377193"/>
      <w:bookmarkStart w:id="2" w:name="_Toc15377425"/>
      <w:bookmarkStart w:id="3" w:name="_Toc15378441"/>
      <w:bookmarkStart w:id="4" w:name="_Toc15396475"/>
      <w:bookmarkStart w:id="5" w:name="_Toc15396597"/>
      <w:bookmarkStart w:id="6" w:name="_Toc26147"/>
      <w:bookmarkStart w:id="7" w:name="_Toc32426"/>
      <w:r>
        <w:rPr>
          <w:rFonts w:hint="eastAsia" w:ascii="方正小标宋简体" w:hAnsi="方正小标宋简体" w:eastAsia="方正小标宋简体" w:cs="方正小标宋简体"/>
          <w:sz w:val="72"/>
          <w:szCs w:val="72"/>
        </w:rPr>
        <w:t>2023年度</w:t>
      </w:r>
      <w:bookmarkEnd w:id="1"/>
      <w:bookmarkEnd w:id="2"/>
      <w:bookmarkEnd w:id="3"/>
      <w:bookmarkEnd w:id="4"/>
      <w:bookmarkEnd w:id="5"/>
      <w:bookmarkEnd w:id="6"/>
      <w:bookmarkEnd w:id="7"/>
    </w:p>
    <w:p>
      <w:pPr>
        <w:adjustRightInd w:val="0"/>
        <w:snapToGrid w:val="0"/>
        <w:spacing w:line="360" w:lineRule="auto"/>
        <w:jc w:val="center"/>
        <w:outlineLvl w:val="0"/>
        <w:rPr>
          <w:rFonts w:ascii="方正小标宋简体" w:hAnsi="方正小标宋简体" w:eastAsia="方正小标宋简体" w:cs="方正小标宋简体"/>
          <w:sz w:val="72"/>
          <w:szCs w:val="72"/>
        </w:rPr>
      </w:pPr>
      <w:bookmarkStart w:id="8" w:name="_Toc15378442"/>
      <w:bookmarkStart w:id="9" w:name="_Toc15396476"/>
      <w:bookmarkStart w:id="10" w:name="_Toc15377194"/>
      <w:bookmarkStart w:id="11" w:name="_Toc15377426"/>
      <w:bookmarkStart w:id="12" w:name="_Toc15396598"/>
      <w:bookmarkStart w:id="13" w:name="_Toc32668"/>
      <w:bookmarkStart w:id="14" w:name="_Toc26588"/>
      <w:r>
        <w:rPr>
          <w:rFonts w:hint="eastAsia" w:ascii="方正小标宋简体" w:hAnsi="方正小标宋简体" w:eastAsia="方正小标宋简体" w:cs="方正小标宋简体"/>
          <w:sz w:val="72"/>
          <w:szCs w:val="72"/>
        </w:rPr>
        <w:t>四川省</w:t>
      </w:r>
      <w:bookmarkEnd w:id="0"/>
      <w:bookmarkStart w:id="15" w:name="_Toc15306268"/>
      <w:r>
        <w:rPr>
          <w:rFonts w:hint="eastAsia" w:ascii="方正小标宋简体" w:hAnsi="方正小标宋简体" w:eastAsia="方正小标宋简体" w:cs="方正小标宋简体"/>
          <w:sz w:val="72"/>
          <w:szCs w:val="72"/>
          <w:lang w:eastAsia="zh-CN"/>
        </w:rPr>
        <w:t>阿坝州九寨沟县草地乡便民服务中心</w:t>
      </w:r>
      <w:r>
        <w:rPr>
          <w:rFonts w:hint="eastAsia" w:ascii="方正小标宋简体" w:hAnsi="方正小标宋简体" w:eastAsia="方正小标宋简体" w:cs="方正小标宋简体"/>
          <w:sz w:val="72"/>
          <w:szCs w:val="72"/>
        </w:rPr>
        <w:t>单位决算</w:t>
      </w:r>
      <w:bookmarkEnd w:id="8"/>
      <w:bookmarkEnd w:id="9"/>
      <w:bookmarkEnd w:id="10"/>
      <w:bookmarkEnd w:id="11"/>
      <w:bookmarkEnd w:id="12"/>
      <w:bookmarkEnd w:id="13"/>
      <w:bookmarkEnd w:id="14"/>
      <w:bookmarkEnd w:id="15"/>
    </w:p>
    <w:p>
      <w:pPr>
        <w:widowControl/>
        <w:jc w:val="center"/>
        <w:rPr>
          <w:rFonts w:hint="eastAsia" w:ascii="黑体" w:hAnsi="黑体" w:eastAsia="黑体"/>
          <w:sz w:val="48"/>
          <w:szCs w:val="48"/>
        </w:rPr>
        <w:sectPr>
          <w:headerReference r:id="rId4" w:type="first"/>
          <w:footerReference r:id="rId6" w:type="first"/>
          <w:headerReference r:id="rId3" w:type="default"/>
          <w:footerReference r:id="rId5" w:type="default"/>
          <w:pgSz w:w="11906" w:h="16838"/>
          <w:pgMar w:top="1440" w:right="1800" w:bottom="1440" w:left="1800" w:header="851" w:footer="992" w:gutter="0"/>
          <w:pgNumType w:start="1"/>
          <w:cols w:space="425" w:num="1"/>
          <w:titlePg/>
          <w:docGrid w:type="lines" w:linePitch="312" w:charSpace="0"/>
        </w:sectPr>
      </w:pPr>
    </w:p>
    <w:p>
      <w:pPr>
        <w:widowControl/>
        <w:jc w:val="center"/>
        <w:rPr>
          <w:rFonts w:ascii="黑体" w:hAnsi="黑体" w:eastAsia="黑体"/>
          <w:sz w:val="48"/>
          <w:szCs w:val="48"/>
        </w:rPr>
      </w:pPr>
      <w:r>
        <w:rPr>
          <w:rFonts w:hint="eastAsia" w:ascii="黑体" w:hAnsi="黑体" w:eastAsia="黑体"/>
          <w:sz w:val="48"/>
          <w:szCs w:val="48"/>
        </w:rPr>
        <w:t>目录</w:t>
      </w:r>
    </w:p>
    <w:p>
      <w:pPr>
        <w:widowControl/>
        <w:jc w:val="center"/>
        <w:rPr>
          <w:rFonts w:ascii="黑体" w:hAnsi="黑体" w:eastAsia="黑体" w:cstheme="minorBidi"/>
          <w:sz w:val="28"/>
          <w:szCs w:val="28"/>
        </w:rPr>
      </w:pPr>
    </w:p>
    <w:p>
      <w:pPr>
        <w:pStyle w:val="16"/>
        <w:tabs>
          <w:tab w:val="right" w:leader="dot" w:pos="8296"/>
        </w:tabs>
        <w:jc w:val="center"/>
      </w:pPr>
      <w:bookmarkStart w:id="108" w:name="_GoBack"/>
      <w:r>
        <w:rPr>
          <w:rFonts w:hint="eastAsia"/>
        </w:rPr>
        <w:t>公开时间：202</w:t>
      </w:r>
      <w:r>
        <w:rPr>
          <w:rFonts w:hint="eastAsia"/>
          <w:lang w:val="en-US" w:eastAsia="zh-CN"/>
        </w:rPr>
        <w:t>4</w:t>
      </w:r>
      <w:r>
        <w:rPr>
          <w:rFonts w:hint="eastAsia"/>
        </w:rPr>
        <w:t>年</w:t>
      </w:r>
      <w:r>
        <w:rPr>
          <w:rFonts w:hint="eastAsia"/>
          <w:lang w:val="en-US" w:eastAsia="zh-CN"/>
        </w:rPr>
        <w:t>10</w:t>
      </w:r>
      <w:r>
        <w:rPr>
          <w:rFonts w:hint="eastAsia"/>
        </w:rPr>
        <w:t>月</w:t>
      </w:r>
      <w:r>
        <w:rPr>
          <w:rFonts w:hint="eastAsia"/>
          <w:lang w:val="en-US" w:eastAsia="zh-CN"/>
        </w:rPr>
        <w:t>15</w:t>
      </w:r>
      <w:r>
        <w:rPr>
          <w:rFonts w:hint="eastAsia"/>
        </w:rPr>
        <w:t>日</w:t>
      </w:r>
    </w:p>
    <w:bookmarkEnd w:id="108"/>
    <w:p>
      <w:pPr>
        <w:pStyle w:val="16"/>
        <w:tabs>
          <w:tab w:val="right" w:leader="dot" w:pos="8306"/>
        </w:tabs>
        <w:rPr>
          <w:rFonts w:ascii="Times New Roman" w:hAnsi="Times New Roman" w:eastAsia="宋体" w:cs="Times New Roman"/>
          <w:kern w:val="2"/>
          <w:szCs w:val="24"/>
          <w:lang w:val="en-US" w:eastAsia="zh-CN" w:bidi="ar-SA"/>
        </w:rPr>
      </w:pPr>
      <w:r>
        <w:fldChar w:fldCharType="begin"/>
      </w:r>
      <w:r>
        <w:instrText xml:space="preserve">TOC \o "1-3" \h \u </w:instrText>
      </w:r>
      <w:r>
        <w:fldChar w:fldCharType="separate"/>
      </w:r>
    </w:p>
    <w:p>
      <w:pPr>
        <w:pStyle w:val="16"/>
        <w:tabs>
          <w:tab w:val="right" w:leader="dot" w:pos="8306"/>
        </w:tabs>
        <w:rPr>
          <w:rFonts w:ascii="Times New Roman" w:hAnsi="Times New Roman" w:eastAsia="宋体" w:cs="Times New Roman"/>
          <w:kern w:val="2"/>
          <w:szCs w:val="24"/>
          <w:lang w:val="en-US" w:eastAsia="zh-CN" w:bidi="ar-SA"/>
        </w:rPr>
      </w:pP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HYPERLINK \l _Toc10423 </w:instrText>
      </w:r>
      <w:r>
        <w:rPr>
          <w:rFonts w:ascii="Times New Roman" w:hAnsi="Times New Roman" w:eastAsia="宋体" w:cs="Times New Roman"/>
          <w:kern w:val="2"/>
          <w:szCs w:val="24"/>
          <w:lang w:val="en-US" w:eastAsia="zh-CN" w:bidi="ar-SA"/>
        </w:rPr>
        <w:fldChar w:fldCharType="separate"/>
      </w:r>
      <w:r>
        <w:rPr>
          <w:rFonts w:hint="eastAsia" w:ascii="黑体" w:hAnsi="黑体" w:eastAsia="黑体" w:cs="Times New Roman"/>
          <w:kern w:val="2"/>
          <w:szCs w:val="24"/>
          <w:lang w:val="en-US" w:eastAsia="zh-CN" w:bidi="ar-SA"/>
        </w:rPr>
        <w:t>第一部分 单位</w:t>
      </w:r>
      <w:r>
        <w:rPr>
          <w:rFonts w:hint="eastAsia" w:ascii="黑体" w:hAnsi="黑体" w:eastAsia="黑体" w:cs="Times New Roman"/>
          <w:bCs w:val="0"/>
          <w:kern w:val="2"/>
          <w:szCs w:val="24"/>
          <w:lang w:val="en-US" w:eastAsia="zh-CN" w:bidi="ar-SA"/>
        </w:rPr>
        <w:t>概况</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_Toc10423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1</w:t>
      </w:r>
      <w:r>
        <w:rPr>
          <w:rFonts w:ascii="Times New Roman" w:hAnsi="Times New Roman" w:eastAsia="宋体" w:cs="Times New Roman"/>
          <w:kern w:val="2"/>
          <w:szCs w:val="24"/>
          <w:lang w:val="en-US" w:eastAsia="zh-CN" w:bidi="ar-SA"/>
        </w:rPr>
        <w:fldChar w:fldCharType="end"/>
      </w:r>
      <w:r>
        <w:rPr>
          <w:rFonts w:ascii="Times New Roman" w:hAnsi="Times New Roman" w:eastAsia="宋体" w:cs="Times New Roman"/>
          <w:kern w:val="2"/>
          <w:szCs w:val="24"/>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HYPERLINK \l _Toc26563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一</w:t>
      </w:r>
      <w:r>
        <w:rPr>
          <w:rFonts w:hint="eastAsia" w:ascii="黑体" w:hAnsi="黑体" w:eastAsia="黑体" w:cstheme="majorBidi"/>
          <w:bCs w:val="0"/>
          <w:kern w:val="2"/>
          <w:szCs w:val="32"/>
          <w:lang w:val="en-US" w:eastAsia="zh-CN" w:bidi="ar-SA"/>
        </w:rPr>
        <w:t xml:space="preserve">、 </w:t>
      </w:r>
      <w:r>
        <w:rPr>
          <w:rFonts w:hint="eastAsia" w:ascii="黑体" w:hAnsi="黑体" w:eastAsia="黑体" w:cs="Times New Roman"/>
          <w:bCs w:val="0"/>
          <w:kern w:val="2"/>
          <w:szCs w:val="24"/>
          <w:lang w:val="en-US" w:eastAsia="zh-CN" w:bidi="ar-SA"/>
        </w:rPr>
        <w:t>主要职责</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_Toc26563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1</w:t>
      </w:r>
      <w:r>
        <w:rPr>
          <w:rFonts w:ascii="Times New Roman" w:hAnsi="Times New Roman" w:eastAsia="宋体" w:cs="Times New Roman"/>
          <w:kern w:val="2"/>
          <w:szCs w:val="24"/>
          <w:lang w:val="en-US" w:eastAsia="zh-CN" w:bidi="ar-SA"/>
        </w:rPr>
        <w:fldChar w:fldCharType="end"/>
      </w:r>
      <w:r>
        <w:rPr>
          <w:rFonts w:hint="eastAsia" w:ascii="黑体" w:hAnsi="黑体" w:eastAsia="黑体" w:cstheme="majorBidi"/>
          <w:bCs w:val="0"/>
          <w:kern w:val="2"/>
          <w:szCs w:val="32"/>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HYPERLINK \l _Toc246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二</w:t>
      </w:r>
      <w:r>
        <w:rPr>
          <w:rFonts w:hint="eastAsia" w:ascii="黑体" w:hAnsi="黑体" w:eastAsia="黑体" w:cstheme="majorBidi"/>
          <w:bCs w:val="0"/>
          <w:kern w:val="2"/>
          <w:szCs w:val="32"/>
          <w:lang w:val="en-US" w:eastAsia="zh-CN" w:bidi="ar-SA"/>
        </w:rPr>
        <w:t xml:space="preserve">、 </w:t>
      </w:r>
      <w:r>
        <w:rPr>
          <w:rFonts w:hint="eastAsia" w:ascii="黑体" w:hAnsi="黑体" w:eastAsia="黑体" w:cs="Times New Roman"/>
          <w:bCs w:val="0"/>
          <w:kern w:val="2"/>
          <w:szCs w:val="24"/>
          <w:lang w:val="en-US" w:eastAsia="zh-CN" w:bidi="ar-SA"/>
        </w:rPr>
        <w:t>机构设置</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_Toc246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4</w:t>
      </w:r>
      <w:r>
        <w:rPr>
          <w:rFonts w:ascii="Times New Roman" w:hAnsi="Times New Roman" w:eastAsia="宋体" w:cs="Times New Roman"/>
          <w:kern w:val="2"/>
          <w:szCs w:val="24"/>
          <w:lang w:val="en-US" w:eastAsia="zh-CN" w:bidi="ar-SA"/>
        </w:rPr>
        <w:fldChar w:fldCharType="end"/>
      </w:r>
      <w:r>
        <w:rPr>
          <w:rFonts w:hint="eastAsia" w:ascii="黑体" w:hAnsi="黑体" w:eastAsia="黑体" w:cstheme="majorBidi"/>
          <w:bCs w:val="0"/>
          <w:kern w:val="2"/>
          <w:szCs w:val="32"/>
          <w:lang w:val="en-US" w:eastAsia="zh-CN" w:bidi="ar-SA"/>
        </w:rPr>
        <w:fldChar w:fldCharType="end"/>
      </w:r>
    </w:p>
    <w:p>
      <w:pPr>
        <w:pStyle w:val="16"/>
        <w:tabs>
          <w:tab w:val="right" w:leader="dot" w:pos="8306"/>
        </w:tabs>
        <w:rPr>
          <w:rFonts w:ascii="Times New Roman" w:hAnsi="Times New Roman" w:eastAsia="宋体" w:cs="Times New Roman"/>
          <w:kern w:val="2"/>
          <w:szCs w:val="24"/>
          <w:lang w:val="en-US" w:eastAsia="zh-CN" w:bidi="ar-SA"/>
        </w:rPr>
      </w:pP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HYPERLINK \l _Toc24771 </w:instrText>
      </w:r>
      <w:r>
        <w:rPr>
          <w:rFonts w:ascii="Times New Roman" w:hAnsi="Times New Roman" w:eastAsia="宋体" w:cs="Times New Roman"/>
          <w:kern w:val="2"/>
          <w:szCs w:val="24"/>
          <w:lang w:val="en-US" w:eastAsia="zh-CN" w:bidi="ar-SA"/>
        </w:rPr>
        <w:fldChar w:fldCharType="separate"/>
      </w:r>
      <w:r>
        <w:rPr>
          <w:rFonts w:hint="eastAsia" w:ascii="黑体" w:hAnsi="黑体" w:eastAsia="黑体" w:cs="Times New Roman"/>
          <w:kern w:val="2"/>
          <w:szCs w:val="24"/>
          <w:lang w:val="en-US" w:eastAsia="zh-CN" w:bidi="ar-SA"/>
        </w:rPr>
        <w:t>第二部分 2023年度</w:t>
      </w:r>
      <w:r>
        <w:rPr>
          <w:rFonts w:hint="eastAsia" w:ascii="黑体" w:hAnsi="黑体" w:eastAsia="黑体" w:cs="Times New Roman"/>
          <w:bCs/>
          <w:kern w:val="2"/>
          <w:szCs w:val="24"/>
          <w:lang w:val="en-US" w:eastAsia="zh-CN" w:bidi="ar-SA"/>
        </w:rPr>
        <w:t>单位决算情况说明</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_Toc24771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5</w:t>
      </w:r>
      <w:r>
        <w:rPr>
          <w:rFonts w:ascii="Times New Roman" w:hAnsi="Times New Roman" w:eastAsia="宋体" w:cs="Times New Roman"/>
          <w:kern w:val="2"/>
          <w:szCs w:val="24"/>
          <w:lang w:val="en-US" w:eastAsia="zh-CN" w:bidi="ar-SA"/>
        </w:rPr>
        <w:fldChar w:fldCharType="end"/>
      </w:r>
      <w:r>
        <w:rPr>
          <w:rFonts w:ascii="Times New Roman" w:hAnsi="Times New Roman" w:eastAsia="宋体" w:cs="Times New Roman"/>
          <w:kern w:val="2"/>
          <w:szCs w:val="24"/>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HYPERLINK \l _Toc29660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一</w:t>
      </w:r>
      <w:r>
        <w:rPr>
          <w:rFonts w:hint="default" w:ascii="黑体" w:hAnsi="黑体" w:eastAsia="黑体" w:cstheme="majorBidi"/>
          <w:bCs/>
          <w:kern w:val="2"/>
          <w:szCs w:val="32"/>
          <w:lang w:val="en-US" w:eastAsia="zh-CN" w:bidi="ar-SA"/>
        </w:rPr>
        <w:t xml:space="preserve">、 </w:t>
      </w:r>
      <w:r>
        <w:rPr>
          <w:rFonts w:hint="eastAsia" w:ascii="黑体" w:hAnsi="黑体" w:eastAsia="黑体" w:cs="Times New Roman"/>
          <w:kern w:val="2"/>
          <w:szCs w:val="32"/>
          <w:lang w:val="en-US" w:eastAsia="zh-CN" w:bidi="ar-SA"/>
        </w:rPr>
        <w:t>收</w:t>
      </w:r>
      <w:r>
        <w:rPr>
          <w:rFonts w:hint="eastAsia" w:ascii="黑体" w:hAnsi="黑体" w:eastAsia="黑体" w:cs="Times New Roman"/>
          <w:kern w:val="2"/>
          <w:szCs w:val="24"/>
          <w:lang w:val="en-US" w:eastAsia="zh-CN" w:bidi="ar-SA"/>
        </w:rPr>
        <w:t>入支出决算总体情况说明</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_Toc29660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5</w:t>
      </w:r>
      <w:r>
        <w:rPr>
          <w:rFonts w:ascii="Times New Roman" w:hAnsi="Times New Roman" w:eastAsia="宋体" w:cs="Times New Roman"/>
          <w:kern w:val="2"/>
          <w:szCs w:val="24"/>
          <w:lang w:val="en-US" w:eastAsia="zh-CN" w:bidi="ar-SA"/>
        </w:rPr>
        <w:fldChar w:fldCharType="end"/>
      </w:r>
      <w:r>
        <w:rPr>
          <w:rFonts w:hint="default" w:ascii="黑体" w:hAnsi="黑体" w:eastAsia="黑体" w:cstheme="majorBidi"/>
          <w:bCs/>
          <w:kern w:val="2"/>
          <w:szCs w:val="32"/>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HYPERLINK \l _Toc17665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二</w:t>
      </w:r>
      <w:r>
        <w:rPr>
          <w:rFonts w:hint="default" w:ascii="黑体" w:hAnsi="黑体" w:eastAsia="黑体" w:cstheme="majorBidi"/>
          <w:bCs/>
          <w:kern w:val="2"/>
          <w:szCs w:val="32"/>
          <w:lang w:val="en-US" w:eastAsia="zh-CN" w:bidi="ar-SA"/>
        </w:rPr>
        <w:t xml:space="preserve">、 </w:t>
      </w:r>
      <w:r>
        <w:rPr>
          <w:rFonts w:hint="eastAsia" w:ascii="黑体" w:hAnsi="黑体" w:eastAsia="黑体" w:cs="Times New Roman"/>
          <w:kern w:val="2"/>
          <w:szCs w:val="32"/>
          <w:lang w:val="en-US" w:eastAsia="zh-CN" w:bidi="ar-SA"/>
        </w:rPr>
        <w:t>收</w:t>
      </w:r>
      <w:r>
        <w:rPr>
          <w:rFonts w:hint="eastAsia" w:ascii="黑体" w:hAnsi="黑体" w:eastAsia="黑体" w:cs="Times New Roman"/>
          <w:kern w:val="2"/>
          <w:szCs w:val="24"/>
          <w:lang w:val="en-US" w:eastAsia="zh-CN" w:bidi="ar-SA"/>
        </w:rPr>
        <w:t>入决算情况说明</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_Toc17665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5</w:t>
      </w:r>
      <w:r>
        <w:rPr>
          <w:rFonts w:ascii="Times New Roman" w:hAnsi="Times New Roman" w:eastAsia="宋体" w:cs="Times New Roman"/>
          <w:kern w:val="2"/>
          <w:szCs w:val="24"/>
          <w:lang w:val="en-US" w:eastAsia="zh-CN" w:bidi="ar-SA"/>
        </w:rPr>
        <w:fldChar w:fldCharType="end"/>
      </w:r>
      <w:r>
        <w:rPr>
          <w:rFonts w:hint="default" w:ascii="黑体" w:hAnsi="黑体" w:eastAsia="黑体" w:cstheme="majorBidi"/>
          <w:bCs/>
          <w:kern w:val="2"/>
          <w:szCs w:val="32"/>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HYPERLINK \l _Toc3185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三</w:t>
      </w:r>
      <w:r>
        <w:rPr>
          <w:rFonts w:hint="default" w:ascii="黑体" w:hAnsi="黑体" w:eastAsia="黑体" w:cstheme="majorBidi"/>
          <w:bCs/>
          <w:kern w:val="2"/>
          <w:szCs w:val="32"/>
          <w:lang w:val="en-US" w:eastAsia="zh-CN" w:bidi="ar-SA"/>
        </w:rPr>
        <w:t xml:space="preserve">、 </w:t>
      </w:r>
      <w:r>
        <w:rPr>
          <w:rFonts w:hint="eastAsia" w:ascii="黑体" w:hAnsi="黑体" w:eastAsia="黑体" w:cs="Times New Roman"/>
          <w:kern w:val="2"/>
          <w:szCs w:val="32"/>
          <w:lang w:val="en-US" w:eastAsia="zh-CN" w:bidi="ar-SA"/>
        </w:rPr>
        <w:t>支</w:t>
      </w:r>
      <w:r>
        <w:rPr>
          <w:rFonts w:hint="eastAsia" w:ascii="黑体" w:hAnsi="黑体" w:eastAsia="黑体" w:cs="Times New Roman"/>
          <w:kern w:val="2"/>
          <w:szCs w:val="24"/>
          <w:lang w:val="en-US" w:eastAsia="zh-CN" w:bidi="ar-SA"/>
        </w:rPr>
        <w:t>出决算情况说明</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_Toc3185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5</w:t>
      </w:r>
      <w:r>
        <w:rPr>
          <w:rFonts w:ascii="Times New Roman" w:hAnsi="Times New Roman" w:eastAsia="宋体" w:cs="Times New Roman"/>
          <w:kern w:val="2"/>
          <w:szCs w:val="24"/>
          <w:lang w:val="en-US" w:eastAsia="zh-CN" w:bidi="ar-SA"/>
        </w:rPr>
        <w:fldChar w:fldCharType="end"/>
      </w:r>
      <w:r>
        <w:rPr>
          <w:rFonts w:hint="default" w:ascii="黑体" w:hAnsi="黑体" w:eastAsia="黑体" w:cstheme="majorBidi"/>
          <w:bCs/>
          <w:kern w:val="2"/>
          <w:szCs w:val="32"/>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HYPERLINK \l _Toc14072 </w:instrText>
      </w:r>
      <w:r>
        <w:rPr>
          <w:rFonts w:ascii="Times New Roman" w:hAnsi="Times New Roman" w:eastAsia="宋体" w:cs="Times New Roman"/>
          <w:kern w:val="2"/>
          <w:szCs w:val="24"/>
          <w:lang w:val="en-US" w:eastAsia="zh-CN" w:bidi="ar-SA"/>
        </w:rPr>
        <w:fldChar w:fldCharType="separate"/>
      </w:r>
      <w:r>
        <w:rPr>
          <w:rFonts w:hint="eastAsia" w:ascii="黑体" w:hAnsi="黑体" w:eastAsia="黑体" w:cs="Times New Roman"/>
          <w:kern w:val="2"/>
          <w:szCs w:val="32"/>
          <w:lang w:val="en-US" w:eastAsia="zh-CN" w:bidi="ar-SA"/>
        </w:rPr>
        <w:t>四、财</w:t>
      </w:r>
      <w:r>
        <w:rPr>
          <w:rFonts w:hint="eastAsia" w:ascii="黑体" w:hAnsi="黑体" w:eastAsia="黑体" w:cs="Times New Roman"/>
          <w:kern w:val="2"/>
          <w:szCs w:val="24"/>
          <w:lang w:val="en-US" w:eastAsia="zh-CN" w:bidi="ar-SA"/>
        </w:rPr>
        <w:t>政拨款收入支出决算总体情况说明</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_Toc14072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5</w:t>
      </w:r>
      <w:r>
        <w:rPr>
          <w:rFonts w:ascii="Times New Roman" w:hAnsi="Times New Roman" w:eastAsia="宋体" w:cs="Times New Roman"/>
          <w:kern w:val="2"/>
          <w:szCs w:val="24"/>
          <w:lang w:val="en-US" w:eastAsia="zh-CN" w:bidi="ar-SA"/>
        </w:rPr>
        <w:fldChar w:fldCharType="end"/>
      </w:r>
      <w:r>
        <w:rPr>
          <w:rFonts w:ascii="Times New Roman" w:hAnsi="Times New Roman" w:eastAsia="宋体" w:cs="Times New Roman"/>
          <w:kern w:val="2"/>
          <w:szCs w:val="24"/>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HYPERLINK \l _Toc24718 </w:instrText>
      </w:r>
      <w:r>
        <w:rPr>
          <w:rFonts w:ascii="Times New Roman" w:hAnsi="Times New Roman" w:eastAsia="宋体" w:cs="Times New Roman"/>
          <w:kern w:val="2"/>
          <w:szCs w:val="24"/>
          <w:lang w:val="en-US" w:eastAsia="zh-CN" w:bidi="ar-SA"/>
        </w:rPr>
        <w:fldChar w:fldCharType="separate"/>
      </w:r>
      <w:r>
        <w:rPr>
          <w:rFonts w:hint="eastAsia" w:ascii="黑体" w:hAnsi="黑体" w:eastAsia="黑体" w:cs="Times New Roman"/>
          <w:kern w:val="2"/>
          <w:szCs w:val="32"/>
          <w:lang w:val="en-US" w:eastAsia="zh-CN" w:bidi="ar-SA"/>
        </w:rPr>
        <w:t>五、一</w:t>
      </w:r>
      <w:r>
        <w:rPr>
          <w:rFonts w:hint="eastAsia" w:ascii="黑体" w:hAnsi="黑体" w:eastAsia="黑体" w:cs="Times New Roman"/>
          <w:kern w:val="2"/>
          <w:szCs w:val="24"/>
          <w:lang w:val="en-US" w:eastAsia="zh-CN" w:bidi="ar-SA"/>
        </w:rPr>
        <w:t>般公共预算财政拨款支出决算情况说明</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_Toc24718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6</w:t>
      </w:r>
      <w:r>
        <w:rPr>
          <w:rFonts w:ascii="Times New Roman" w:hAnsi="Times New Roman" w:eastAsia="宋体" w:cs="Times New Roman"/>
          <w:kern w:val="2"/>
          <w:szCs w:val="24"/>
          <w:lang w:val="en-US" w:eastAsia="zh-CN" w:bidi="ar-SA"/>
        </w:rPr>
        <w:fldChar w:fldCharType="end"/>
      </w:r>
      <w:r>
        <w:rPr>
          <w:rFonts w:ascii="Times New Roman" w:hAnsi="Times New Roman" w:eastAsia="宋体" w:cs="Times New Roman"/>
          <w:kern w:val="2"/>
          <w:szCs w:val="24"/>
          <w:lang w:val="en-US" w:eastAsia="zh-CN" w:bidi="ar-SA"/>
        </w:rPr>
        <w:fldChar w:fldCharType="end"/>
      </w:r>
    </w:p>
    <w:p>
      <w:pPr>
        <w:pStyle w:val="10"/>
        <w:tabs>
          <w:tab w:val="right" w:leader="dot" w:pos="8306"/>
        </w:tabs>
        <w:rPr>
          <w:rFonts w:ascii="Times New Roman" w:hAnsi="Times New Roman" w:eastAsia="宋体" w:cs="Times New Roman"/>
          <w:kern w:val="2"/>
          <w:szCs w:val="24"/>
          <w:lang w:val="en-US" w:eastAsia="zh-CN" w:bidi="ar-SA"/>
        </w:rPr>
      </w:pP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HYPERLINK \l _Toc9533 </w:instrText>
      </w:r>
      <w:r>
        <w:rPr>
          <w:rFonts w:ascii="Times New Roman" w:hAnsi="Times New Roman" w:eastAsia="宋体" w:cs="Times New Roman"/>
          <w:kern w:val="2"/>
          <w:szCs w:val="24"/>
          <w:lang w:val="en-US" w:eastAsia="zh-CN" w:bidi="ar-SA"/>
        </w:rPr>
        <w:fldChar w:fldCharType="separate"/>
      </w:r>
      <w:r>
        <w:rPr>
          <w:rFonts w:hint="eastAsia" w:ascii="仿宋" w:hAnsi="仿宋" w:eastAsia="仿宋" w:cs="Times New Roman"/>
          <w:kern w:val="2"/>
          <w:szCs w:val="32"/>
          <w:lang w:val="en-US" w:eastAsia="zh-CN" w:bidi="ar-SA"/>
        </w:rPr>
        <w:t>（一）一般公共预算财政拨款支出决算总体情况</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_Toc9533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6</w:t>
      </w:r>
      <w:r>
        <w:rPr>
          <w:rFonts w:ascii="Times New Roman" w:hAnsi="Times New Roman" w:eastAsia="宋体" w:cs="Times New Roman"/>
          <w:kern w:val="2"/>
          <w:szCs w:val="24"/>
          <w:lang w:val="en-US" w:eastAsia="zh-CN" w:bidi="ar-SA"/>
        </w:rPr>
        <w:fldChar w:fldCharType="end"/>
      </w:r>
      <w:r>
        <w:rPr>
          <w:rFonts w:ascii="Times New Roman" w:hAnsi="Times New Roman" w:eastAsia="宋体" w:cs="Times New Roman"/>
          <w:kern w:val="2"/>
          <w:szCs w:val="24"/>
          <w:lang w:val="en-US" w:eastAsia="zh-CN" w:bidi="ar-SA"/>
        </w:rPr>
        <w:fldChar w:fldCharType="end"/>
      </w:r>
    </w:p>
    <w:p>
      <w:pPr>
        <w:pStyle w:val="10"/>
        <w:tabs>
          <w:tab w:val="right" w:leader="dot" w:pos="8306"/>
        </w:tabs>
        <w:rPr>
          <w:rFonts w:ascii="Times New Roman" w:hAnsi="Times New Roman" w:eastAsia="宋体" w:cs="Times New Roman"/>
          <w:kern w:val="2"/>
          <w:szCs w:val="24"/>
          <w:lang w:val="en-US" w:eastAsia="zh-CN" w:bidi="ar-SA"/>
        </w:rPr>
      </w:pP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HYPERLINK \l _Toc7181 </w:instrText>
      </w:r>
      <w:r>
        <w:rPr>
          <w:rFonts w:ascii="Times New Roman" w:hAnsi="Times New Roman" w:eastAsia="宋体" w:cs="Times New Roman"/>
          <w:kern w:val="2"/>
          <w:szCs w:val="24"/>
          <w:lang w:val="en-US" w:eastAsia="zh-CN" w:bidi="ar-SA"/>
        </w:rPr>
        <w:fldChar w:fldCharType="separate"/>
      </w:r>
      <w:r>
        <w:rPr>
          <w:rFonts w:hint="eastAsia" w:ascii="仿宋" w:hAnsi="仿宋" w:eastAsia="仿宋" w:cs="Times New Roman"/>
          <w:kern w:val="2"/>
          <w:szCs w:val="32"/>
          <w:lang w:val="en-US" w:eastAsia="zh-CN" w:bidi="ar-SA"/>
        </w:rPr>
        <w:t>（二）一般公共预算财政拨款支出决算结构情况</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_Toc7181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6</w:t>
      </w:r>
      <w:r>
        <w:rPr>
          <w:rFonts w:ascii="Times New Roman" w:hAnsi="Times New Roman" w:eastAsia="宋体" w:cs="Times New Roman"/>
          <w:kern w:val="2"/>
          <w:szCs w:val="24"/>
          <w:lang w:val="en-US" w:eastAsia="zh-CN" w:bidi="ar-SA"/>
        </w:rPr>
        <w:fldChar w:fldCharType="end"/>
      </w:r>
      <w:r>
        <w:rPr>
          <w:rFonts w:ascii="Times New Roman" w:hAnsi="Times New Roman" w:eastAsia="宋体" w:cs="Times New Roman"/>
          <w:kern w:val="2"/>
          <w:szCs w:val="24"/>
          <w:lang w:val="en-US" w:eastAsia="zh-CN" w:bidi="ar-SA"/>
        </w:rPr>
        <w:fldChar w:fldCharType="end"/>
      </w:r>
    </w:p>
    <w:p>
      <w:pPr>
        <w:pStyle w:val="10"/>
        <w:tabs>
          <w:tab w:val="right" w:leader="dot" w:pos="8306"/>
        </w:tabs>
        <w:rPr>
          <w:rFonts w:ascii="Times New Roman" w:hAnsi="Times New Roman" w:eastAsia="宋体" w:cs="Times New Roman"/>
          <w:kern w:val="2"/>
          <w:szCs w:val="24"/>
          <w:lang w:val="en-US" w:eastAsia="zh-CN" w:bidi="ar-SA"/>
        </w:rPr>
      </w:pP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HYPERLINK \l _Toc3443 </w:instrText>
      </w:r>
      <w:r>
        <w:rPr>
          <w:rFonts w:ascii="Times New Roman" w:hAnsi="Times New Roman" w:eastAsia="宋体" w:cs="Times New Roman"/>
          <w:kern w:val="2"/>
          <w:szCs w:val="24"/>
          <w:lang w:val="en-US" w:eastAsia="zh-CN" w:bidi="ar-SA"/>
        </w:rPr>
        <w:fldChar w:fldCharType="separate"/>
      </w:r>
      <w:r>
        <w:rPr>
          <w:rFonts w:hint="eastAsia" w:ascii="仿宋" w:hAnsi="仿宋" w:eastAsia="仿宋" w:cs="Times New Roman"/>
          <w:kern w:val="2"/>
          <w:szCs w:val="32"/>
          <w:lang w:val="en-US" w:eastAsia="zh-CN" w:bidi="ar-SA"/>
        </w:rPr>
        <w:t>（三）一般公共预算财政拨款支出决算具体情况</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_Toc3443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6</w:t>
      </w:r>
      <w:r>
        <w:rPr>
          <w:rFonts w:ascii="Times New Roman" w:hAnsi="Times New Roman" w:eastAsia="宋体" w:cs="Times New Roman"/>
          <w:kern w:val="2"/>
          <w:szCs w:val="24"/>
          <w:lang w:val="en-US" w:eastAsia="zh-CN" w:bidi="ar-SA"/>
        </w:rPr>
        <w:fldChar w:fldCharType="end"/>
      </w:r>
      <w:r>
        <w:rPr>
          <w:rFonts w:ascii="Times New Roman" w:hAnsi="Times New Roman" w:eastAsia="宋体" w:cs="Times New Roman"/>
          <w:kern w:val="2"/>
          <w:szCs w:val="24"/>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HYPERLINK \l _Toc2675 </w:instrText>
      </w:r>
      <w:r>
        <w:rPr>
          <w:rFonts w:ascii="Times New Roman" w:hAnsi="Times New Roman" w:eastAsia="宋体" w:cs="Times New Roman"/>
          <w:kern w:val="2"/>
          <w:szCs w:val="24"/>
          <w:lang w:val="en-US" w:eastAsia="zh-CN" w:bidi="ar-SA"/>
        </w:rPr>
        <w:fldChar w:fldCharType="separate"/>
      </w:r>
      <w:r>
        <w:rPr>
          <w:rFonts w:hint="eastAsia" w:ascii="黑体" w:hAnsi="Times New Roman" w:eastAsia="黑体" w:cs="Times New Roman"/>
          <w:kern w:val="2"/>
          <w:szCs w:val="32"/>
          <w:lang w:val="en-US" w:eastAsia="zh-CN" w:bidi="ar-SA"/>
        </w:rPr>
        <w:t>六、</w:t>
      </w:r>
      <w:r>
        <w:rPr>
          <w:rFonts w:hint="eastAsia" w:ascii="黑体" w:hAnsi="黑体" w:eastAsia="黑体" w:cs="Times New Roman"/>
          <w:kern w:val="2"/>
          <w:szCs w:val="32"/>
          <w:lang w:val="en-US" w:eastAsia="zh-CN" w:bidi="ar-SA"/>
        </w:rPr>
        <w:t>一</w:t>
      </w:r>
      <w:r>
        <w:rPr>
          <w:rFonts w:hint="eastAsia" w:ascii="黑体" w:hAnsi="黑体" w:eastAsia="黑体" w:cs="Times New Roman"/>
          <w:kern w:val="2"/>
          <w:szCs w:val="24"/>
          <w:lang w:val="en-US" w:eastAsia="zh-CN" w:bidi="ar-SA"/>
        </w:rPr>
        <w:t>般公共预算财政拨款基本支出决算情况说明</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_Toc2675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7</w:t>
      </w:r>
      <w:r>
        <w:rPr>
          <w:rFonts w:ascii="Times New Roman" w:hAnsi="Times New Roman" w:eastAsia="宋体" w:cs="Times New Roman"/>
          <w:kern w:val="2"/>
          <w:szCs w:val="24"/>
          <w:lang w:val="en-US" w:eastAsia="zh-CN" w:bidi="ar-SA"/>
        </w:rPr>
        <w:fldChar w:fldCharType="end"/>
      </w:r>
      <w:r>
        <w:rPr>
          <w:rFonts w:ascii="Times New Roman" w:hAnsi="Times New Roman" w:eastAsia="宋体" w:cs="Times New Roman"/>
          <w:kern w:val="2"/>
          <w:szCs w:val="24"/>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HYPERLINK \l _Toc26575 </w:instrText>
      </w:r>
      <w:r>
        <w:rPr>
          <w:rFonts w:ascii="Times New Roman" w:hAnsi="Times New Roman" w:eastAsia="宋体" w:cs="Times New Roman"/>
          <w:kern w:val="2"/>
          <w:szCs w:val="24"/>
          <w:lang w:val="en-US" w:eastAsia="zh-CN" w:bidi="ar-SA"/>
        </w:rPr>
        <w:fldChar w:fldCharType="separate"/>
      </w:r>
      <w:r>
        <w:rPr>
          <w:rFonts w:hint="eastAsia" w:ascii="黑体" w:hAnsi="Times New Roman" w:eastAsia="黑体" w:cs="Times New Roman"/>
          <w:kern w:val="2"/>
          <w:szCs w:val="32"/>
          <w:lang w:val="en-US" w:eastAsia="zh-CN" w:bidi="ar-SA"/>
        </w:rPr>
        <w:t>七、</w:t>
      </w:r>
      <w:r>
        <w:rPr>
          <w:rFonts w:hint="eastAsia" w:ascii="黑体" w:hAnsi="黑体" w:eastAsia="黑体" w:cs="Times New Roman"/>
          <w:kern w:val="2"/>
          <w:szCs w:val="24"/>
          <w:lang w:val="en-US" w:eastAsia="zh-CN" w:bidi="ar-SA"/>
        </w:rPr>
        <w:t>财政拨款“三公”经费支出决算情况说明</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_Toc26575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8</w:t>
      </w:r>
      <w:r>
        <w:rPr>
          <w:rFonts w:ascii="Times New Roman" w:hAnsi="Times New Roman" w:eastAsia="宋体" w:cs="Times New Roman"/>
          <w:kern w:val="2"/>
          <w:szCs w:val="24"/>
          <w:lang w:val="en-US" w:eastAsia="zh-CN" w:bidi="ar-SA"/>
        </w:rPr>
        <w:fldChar w:fldCharType="end"/>
      </w:r>
      <w:r>
        <w:rPr>
          <w:rFonts w:ascii="Times New Roman" w:hAnsi="Times New Roman" w:eastAsia="宋体" w:cs="Times New Roman"/>
          <w:kern w:val="2"/>
          <w:szCs w:val="24"/>
          <w:lang w:val="en-US" w:eastAsia="zh-CN" w:bidi="ar-SA"/>
        </w:rPr>
        <w:fldChar w:fldCharType="end"/>
      </w:r>
    </w:p>
    <w:p>
      <w:pPr>
        <w:pStyle w:val="10"/>
        <w:tabs>
          <w:tab w:val="right" w:leader="dot" w:pos="8306"/>
        </w:tabs>
        <w:rPr>
          <w:rFonts w:ascii="Times New Roman" w:hAnsi="Times New Roman" w:eastAsia="宋体" w:cs="Times New Roman"/>
          <w:kern w:val="2"/>
          <w:szCs w:val="24"/>
          <w:lang w:val="en-US" w:eastAsia="zh-CN" w:bidi="ar-SA"/>
        </w:rPr>
      </w:pP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HYPERLINK \l _Toc15061 </w:instrText>
      </w:r>
      <w:r>
        <w:rPr>
          <w:rFonts w:ascii="Times New Roman" w:hAnsi="Times New Roman" w:eastAsia="宋体" w:cs="Times New Roman"/>
          <w:kern w:val="2"/>
          <w:szCs w:val="24"/>
          <w:lang w:val="en-US" w:eastAsia="zh-CN" w:bidi="ar-SA"/>
        </w:rPr>
        <w:fldChar w:fldCharType="separate"/>
      </w:r>
      <w:r>
        <w:rPr>
          <w:rFonts w:hint="eastAsia" w:ascii="仿宋" w:hAnsi="仿宋" w:eastAsia="仿宋" w:cs="Times New Roman"/>
          <w:kern w:val="2"/>
          <w:szCs w:val="32"/>
          <w:lang w:val="en-US" w:eastAsia="zh-CN" w:bidi="ar-SA"/>
        </w:rPr>
        <w:t>（一）“三公”经费财政拨款支出决算总体情况说明</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_Toc15061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8</w:t>
      </w:r>
      <w:r>
        <w:rPr>
          <w:rFonts w:ascii="Times New Roman" w:hAnsi="Times New Roman" w:eastAsia="宋体" w:cs="Times New Roman"/>
          <w:kern w:val="2"/>
          <w:szCs w:val="24"/>
          <w:lang w:val="en-US" w:eastAsia="zh-CN" w:bidi="ar-SA"/>
        </w:rPr>
        <w:fldChar w:fldCharType="end"/>
      </w:r>
      <w:r>
        <w:rPr>
          <w:rFonts w:ascii="Times New Roman" w:hAnsi="Times New Roman" w:eastAsia="宋体" w:cs="Times New Roman"/>
          <w:kern w:val="2"/>
          <w:szCs w:val="24"/>
          <w:lang w:val="en-US" w:eastAsia="zh-CN" w:bidi="ar-SA"/>
        </w:rPr>
        <w:fldChar w:fldCharType="end"/>
      </w:r>
    </w:p>
    <w:p>
      <w:pPr>
        <w:pStyle w:val="10"/>
        <w:tabs>
          <w:tab w:val="right" w:leader="dot" w:pos="8306"/>
        </w:tabs>
        <w:rPr>
          <w:rFonts w:ascii="Times New Roman" w:hAnsi="Times New Roman" w:eastAsia="宋体" w:cs="Times New Roman"/>
          <w:kern w:val="2"/>
          <w:szCs w:val="24"/>
          <w:lang w:val="en-US" w:eastAsia="zh-CN" w:bidi="ar-SA"/>
        </w:rPr>
      </w:pP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HYPERLINK \l _Toc2018 </w:instrText>
      </w:r>
      <w:r>
        <w:rPr>
          <w:rFonts w:ascii="Times New Roman" w:hAnsi="Times New Roman" w:eastAsia="宋体" w:cs="Times New Roman"/>
          <w:kern w:val="2"/>
          <w:szCs w:val="24"/>
          <w:lang w:val="en-US" w:eastAsia="zh-CN" w:bidi="ar-SA"/>
        </w:rPr>
        <w:fldChar w:fldCharType="separate"/>
      </w:r>
      <w:r>
        <w:rPr>
          <w:rFonts w:hint="eastAsia" w:ascii="仿宋" w:hAnsi="仿宋" w:eastAsia="仿宋" w:cs="Times New Roman"/>
          <w:kern w:val="2"/>
          <w:szCs w:val="32"/>
          <w:lang w:val="en-US" w:eastAsia="zh-CN" w:bidi="ar-SA"/>
        </w:rPr>
        <w:t>（二）“三公”经费财政拨款支出决算具体情况说明</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_Toc2018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8</w:t>
      </w:r>
      <w:r>
        <w:rPr>
          <w:rFonts w:ascii="Times New Roman" w:hAnsi="Times New Roman" w:eastAsia="宋体" w:cs="Times New Roman"/>
          <w:kern w:val="2"/>
          <w:szCs w:val="24"/>
          <w:lang w:val="en-US" w:eastAsia="zh-CN" w:bidi="ar-SA"/>
        </w:rPr>
        <w:fldChar w:fldCharType="end"/>
      </w:r>
      <w:r>
        <w:rPr>
          <w:rFonts w:ascii="Times New Roman" w:hAnsi="Times New Roman" w:eastAsia="宋体" w:cs="Times New Roman"/>
          <w:kern w:val="2"/>
          <w:szCs w:val="24"/>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HYPERLINK \l _Toc30734 </w:instrText>
      </w:r>
      <w:r>
        <w:rPr>
          <w:rFonts w:ascii="Times New Roman" w:hAnsi="Times New Roman" w:eastAsia="宋体" w:cs="Times New Roman"/>
          <w:kern w:val="2"/>
          <w:szCs w:val="24"/>
          <w:lang w:val="en-US" w:eastAsia="zh-CN" w:bidi="ar-SA"/>
        </w:rPr>
        <w:fldChar w:fldCharType="separate"/>
      </w:r>
      <w:r>
        <w:rPr>
          <w:rFonts w:hint="eastAsia" w:ascii="黑体" w:hAnsi="Times New Roman" w:eastAsia="黑体" w:cs="Times New Roman"/>
          <w:kern w:val="2"/>
          <w:szCs w:val="32"/>
          <w:lang w:val="en-US" w:eastAsia="zh-CN" w:bidi="ar-SA"/>
        </w:rPr>
        <w:t>八、</w:t>
      </w:r>
      <w:r>
        <w:rPr>
          <w:rFonts w:hint="eastAsia" w:ascii="黑体" w:hAnsi="黑体" w:eastAsia="黑体" w:cs="Times New Roman"/>
          <w:kern w:val="2"/>
          <w:szCs w:val="24"/>
          <w:lang w:val="en-US" w:eastAsia="zh-CN" w:bidi="ar-SA"/>
        </w:rPr>
        <w:t>政府性基金预算支出决算情况说明</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_Toc30734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9</w:t>
      </w:r>
      <w:r>
        <w:rPr>
          <w:rFonts w:ascii="Times New Roman" w:hAnsi="Times New Roman" w:eastAsia="宋体" w:cs="Times New Roman"/>
          <w:kern w:val="2"/>
          <w:szCs w:val="24"/>
          <w:lang w:val="en-US" w:eastAsia="zh-CN" w:bidi="ar-SA"/>
        </w:rPr>
        <w:fldChar w:fldCharType="end"/>
      </w:r>
      <w:r>
        <w:rPr>
          <w:rFonts w:ascii="Times New Roman" w:hAnsi="Times New Roman" w:eastAsia="宋体" w:cs="Times New Roman"/>
          <w:kern w:val="2"/>
          <w:szCs w:val="24"/>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HYPERLINK \l _Toc25727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九</w:t>
      </w:r>
      <w:r>
        <w:rPr>
          <w:rFonts w:hint="eastAsia" w:ascii="黑体" w:hAnsi="黑体" w:eastAsia="黑体" w:cstheme="majorBidi"/>
          <w:bCs/>
          <w:kern w:val="2"/>
          <w:szCs w:val="32"/>
          <w:lang w:val="en-US" w:eastAsia="zh-CN" w:bidi="ar-SA"/>
        </w:rPr>
        <w:t xml:space="preserve">、 </w:t>
      </w:r>
      <w:r>
        <w:rPr>
          <w:rFonts w:hint="eastAsia" w:ascii="黑体" w:hAnsi="黑体" w:eastAsia="黑体" w:cs="Times New Roman"/>
          <w:kern w:val="2"/>
          <w:szCs w:val="24"/>
          <w:lang w:val="en-US" w:eastAsia="zh-CN" w:bidi="ar-SA"/>
        </w:rPr>
        <w:t>国有资本经营预算支出决算情况说明</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_Toc25727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9</w:t>
      </w:r>
      <w:r>
        <w:rPr>
          <w:rFonts w:ascii="Times New Roman" w:hAnsi="Times New Roman" w:eastAsia="宋体" w:cs="Times New Roman"/>
          <w:kern w:val="2"/>
          <w:szCs w:val="24"/>
          <w:lang w:val="en-US" w:eastAsia="zh-CN" w:bidi="ar-SA"/>
        </w:rPr>
        <w:fldChar w:fldCharType="end"/>
      </w:r>
      <w:r>
        <w:rPr>
          <w:rFonts w:hint="eastAsia" w:ascii="黑体" w:hAnsi="黑体" w:eastAsia="黑体" w:cstheme="majorBidi"/>
          <w:bCs/>
          <w:kern w:val="2"/>
          <w:szCs w:val="32"/>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HYPERLINK \l _Toc24448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十</w:t>
      </w:r>
      <w:r>
        <w:rPr>
          <w:rFonts w:hint="eastAsia" w:ascii="黑体" w:hAnsi="黑体" w:eastAsia="黑体" w:cstheme="majorBidi"/>
          <w:bCs/>
          <w:kern w:val="2"/>
          <w:szCs w:val="32"/>
          <w:lang w:val="en-US" w:eastAsia="zh-CN" w:bidi="ar-SA"/>
        </w:rPr>
        <w:t xml:space="preserve">、 </w:t>
      </w:r>
      <w:r>
        <w:rPr>
          <w:rFonts w:hint="eastAsia" w:ascii="黑体" w:hAnsi="黑体" w:eastAsia="黑体" w:cs="Times New Roman"/>
          <w:kern w:val="2"/>
          <w:szCs w:val="24"/>
          <w:lang w:val="en-US" w:eastAsia="zh-CN" w:bidi="ar-SA"/>
        </w:rPr>
        <w:t>其他重要事项的情况说明</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_Toc24448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9</w:t>
      </w:r>
      <w:r>
        <w:rPr>
          <w:rFonts w:ascii="Times New Roman" w:hAnsi="Times New Roman" w:eastAsia="宋体" w:cs="Times New Roman"/>
          <w:kern w:val="2"/>
          <w:szCs w:val="24"/>
          <w:lang w:val="en-US" w:eastAsia="zh-CN" w:bidi="ar-SA"/>
        </w:rPr>
        <w:fldChar w:fldCharType="end"/>
      </w:r>
      <w:r>
        <w:rPr>
          <w:rFonts w:hint="eastAsia" w:ascii="黑体" w:hAnsi="黑体" w:eastAsia="黑体" w:cstheme="majorBidi"/>
          <w:bCs/>
          <w:kern w:val="2"/>
          <w:szCs w:val="32"/>
          <w:lang w:val="en-US" w:eastAsia="zh-CN" w:bidi="ar-SA"/>
        </w:rPr>
        <w:fldChar w:fldCharType="end"/>
      </w:r>
    </w:p>
    <w:p>
      <w:pPr>
        <w:pStyle w:val="10"/>
        <w:tabs>
          <w:tab w:val="right" w:leader="dot" w:pos="8306"/>
        </w:tabs>
        <w:rPr>
          <w:rFonts w:ascii="Times New Roman" w:hAnsi="Times New Roman" w:eastAsia="宋体" w:cs="Times New Roman"/>
          <w:kern w:val="2"/>
          <w:szCs w:val="24"/>
          <w:lang w:val="en-US" w:eastAsia="zh-CN" w:bidi="ar-SA"/>
        </w:rPr>
      </w:pP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HYPERLINK \l _Toc2033 </w:instrText>
      </w:r>
      <w:r>
        <w:rPr>
          <w:rFonts w:ascii="Times New Roman" w:hAnsi="Times New Roman" w:eastAsia="宋体" w:cs="Times New Roman"/>
          <w:kern w:val="2"/>
          <w:szCs w:val="24"/>
          <w:lang w:val="en-US" w:eastAsia="zh-CN" w:bidi="ar-SA"/>
        </w:rPr>
        <w:fldChar w:fldCharType="separate"/>
      </w:r>
      <w:r>
        <w:rPr>
          <w:rFonts w:hint="eastAsia" w:ascii="仿宋" w:hAnsi="仿宋" w:eastAsia="仿宋" w:cs="Times New Roman"/>
          <w:kern w:val="2"/>
          <w:szCs w:val="32"/>
          <w:lang w:val="en-US" w:eastAsia="zh-CN" w:bidi="ar-SA"/>
        </w:rPr>
        <w:t>（一）机关运行经费支出情况</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_Toc2033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9</w:t>
      </w:r>
      <w:r>
        <w:rPr>
          <w:rFonts w:ascii="Times New Roman" w:hAnsi="Times New Roman" w:eastAsia="宋体" w:cs="Times New Roman"/>
          <w:kern w:val="2"/>
          <w:szCs w:val="24"/>
          <w:lang w:val="en-US" w:eastAsia="zh-CN" w:bidi="ar-SA"/>
        </w:rPr>
        <w:fldChar w:fldCharType="end"/>
      </w:r>
      <w:r>
        <w:rPr>
          <w:rFonts w:ascii="Times New Roman" w:hAnsi="Times New Roman" w:eastAsia="宋体" w:cs="Times New Roman"/>
          <w:kern w:val="2"/>
          <w:szCs w:val="24"/>
          <w:lang w:val="en-US" w:eastAsia="zh-CN" w:bidi="ar-SA"/>
        </w:rPr>
        <w:fldChar w:fldCharType="end"/>
      </w:r>
    </w:p>
    <w:p>
      <w:pPr>
        <w:pStyle w:val="10"/>
        <w:tabs>
          <w:tab w:val="right" w:leader="dot" w:pos="8306"/>
        </w:tabs>
        <w:rPr>
          <w:rFonts w:ascii="Times New Roman" w:hAnsi="Times New Roman" w:eastAsia="宋体" w:cs="Times New Roman"/>
          <w:kern w:val="2"/>
          <w:szCs w:val="24"/>
          <w:lang w:val="en-US" w:eastAsia="zh-CN" w:bidi="ar-SA"/>
        </w:rPr>
      </w:pP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HYPERLINK \l _Toc29425 </w:instrText>
      </w:r>
      <w:r>
        <w:rPr>
          <w:rFonts w:ascii="Times New Roman" w:hAnsi="Times New Roman" w:eastAsia="宋体" w:cs="Times New Roman"/>
          <w:kern w:val="2"/>
          <w:szCs w:val="24"/>
          <w:lang w:val="en-US" w:eastAsia="zh-CN" w:bidi="ar-SA"/>
        </w:rPr>
        <w:fldChar w:fldCharType="separate"/>
      </w:r>
      <w:r>
        <w:rPr>
          <w:rFonts w:hint="eastAsia" w:ascii="仿宋" w:hAnsi="仿宋" w:eastAsia="仿宋" w:cs="Times New Roman"/>
          <w:kern w:val="2"/>
          <w:szCs w:val="32"/>
          <w:lang w:val="en-US" w:eastAsia="zh-CN" w:bidi="ar-SA"/>
        </w:rPr>
        <w:t>（二）政府采购支出情况</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_Toc29425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9</w:t>
      </w:r>
      <w:r>
        <w:rPr>
          <w:rFonts w:ascii="Times New Roman" w:hAnsi="Times New Roman" w:eastAsia="宋体" w:cs="Times New Roman"/>
          <w:kern w:val="2"/>
          <w:szCs w:val="24"/>
          <w:lang w:val="en-US" w:eastAsia="zh-CN" w:bidi="ar-SA"/>
        </w:rPr>
        <w:fldChar w:fldCharType="end"/>
      </w:r>
      <w:r>
        <w:rPr>
          <w:rFonts w:ascii="Times New Roman" w:hAnsi="Times New Roman" w:eastAsia="宋体" w:cs="Times New Roman"/>
          <w:kern w:val="2"/>
          <w:szCs w:val="24"/>
          <w:lang w:val="en-US" w:eastAsia="zh-CN" w:bidi="ar-SA"/>
        </w:rPr>
        <w:fldChar w:fldCharType="end"/>
      </w:r>
    </w:p>
    <w:p>
      <w:pPr>
        <w:pStyle w:val="10"/>
        <w:tabs>
          <w:tab w:val="right" w:leader="dot" w:pos="8306"/>
        </w:tabs>
        <w:rPr>
          <w:rFonts w:ascii="Times New Roman" w:hAnsi="Times New Roman" w:eastAsia="宋体" w:cs="Times New Roman"/>
          <w:kern w:val="2"/>
          <w:szCs w:val="24"/>
          <w:lang w:val="en-US" w:eastAsia="zh-CN" w:bidi="ar-SA"/>
        </w:rPr>
      </w:pP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HYPERLINK \l _Toc13034 </w:instrText>
      </w:r>
      <w:r>
        <w:rPr>
          <w:rFonts w:ascii="Times New Roman" w:hAnsi="Times New Roman" w:eastAsia="宋体" w:cs="Times New Roman"/>
          <w:kern w:val="2"/>
          <w:szCs w:val="24"/>
          <w:lang w:val="en-US" w:eastAsia="zh-CN" w:bidi="ar-SA"/>
        </w:rPr>
        <w:fldChar w:fldCharType="separate"/>
      </w:r>
      <w:r>
        <w:rPr>
          <w:rFonts w:hint="eastAsia" w:ascii="仿宋" w:hAnsi="仿宋" w:eastAsia="仿宋" w:cs="Times New Roman"/>
          <w:kern w:val="2"/>
          <w:szCs w:val="32"/>
          <w:lang w:val="en-US" w:eastAsia="zh-CN" w:bidi="ar-SA"/>
        </w:rPr>
        <w:t>（三）国有资产占有使用情况</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_Toc13034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9</w:t>
      </w:r>
      <w:r>
        <w:rPr>
          <w:rFonts w:ascii="Times New Roman" w:hAnsi="Times New Roman" w:eastAsia="宋体" w:cs="Times New Roman"/>
          <w:kern w:val="2"/>
          <w:szCs w:val="24"/>
          <w:lang w:val="en-US" w:eastAsia="zh-CN" w:bidi="ar-SA"/>
        </w:rPr>
        <w:fldChar w:fldCharType="end"/>
      </w:r>
      <w:r>
        <w:rPr>
          <w:rFonts w:ascii="Times New Roman" w:hAnsi="Times New Roman" w:eastAsia="宋体" w:cs="Times New Roman"/>
          <w:kern w:val="2"/>
          <w:szCs w:val="24"/>
          <w:lang w:val="en-US" w:eastAsia="zh-CN" w:bidi="ar-SA"/>
        </w:rPr>
        <w:fldChar w:fldCharType="end"/>
      </w:r>
    </w:p>
    <w:p>
      <w:pPr>
        <w:pStyle w:val="10"/>
        <w:tabs>
          <w:tab w:val="right" w:leader="dot" w:pos="8306"/>
        </w:tabs>
        <w:rPr>
          <w:rFonts w:ascii="Times New Roman" w:hAnsi="Times New Roman" w:eastAsia="宋体" w:cs="Times New Roman"/>
          <w:kern w:val="2"/>
          <w:szCs w:val="24"/>
          <w:lang w:val="en-US" w:eastAsia="zh-CN" w:bidi="ar-SA"/>
        </w:rPr>
      </w:pP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HYPERLINK \l _Toc9798 </w:instrText>
      </w:r>
      <w:r>
        <w:rPr>
          <w:rFonts w:ascii="Times New Roman" w:hAnsi="Times New Roman" w:eastAsia="宋体" w:cs="Times New Roman"/>
          <w:kern w:val="2"/>
          <w:szCs w:val="24"/>
          <w:lang w:val="en-US" w:eastAsia="zh-CN" w:bidi="ar-SA"/>
        </w:rPr>
        <w:fldChar w:fldCharType="separate"/>
      </w:r>
      <w:r>
        <w:rPr>
          <w:rFonts w:hint="eastAsia" w:ascii="仿宋" w:hAnsi="仿宋" w:eastAsia="仿宋" w:cs="Times New Roman"/>
          <w:kern w:val="2"/>
          <w:szCs w:val="32"/>
          <w:lang w:val="en-US" w:eastAsia="zh-CN" w:bidi="ar-SA"/>
        </w:rPr>
        <w:t>（四）预算绩效管理情况</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_Toc9798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10</w:t>
      </w:r>
      <w:r>
        <w:rPr>
          <w:rFonts w:ascii="Times New Roman" w:hAnsi="Times New Roman" w:eastAsia="宋体" w:cs="Times New Roman"/>
          <w:kern w:val="2"/>
          <w:szCs w:val="24"/>
          <w:lang w:val="en-US" w:eastAsia="zh-CN" w:bidi="ar-SA"/>
        </w:rPr>
        <w:fldChar w:fldCharType="end"/>
      </w:r>
      <w:r>
        <w:rPr>
          <w:rFonts w:ascii="Times New Roman" w:hAnsi="Times New Roman" w:eastAsia="宋体" w:cs="Times New Roman"/>
          <w:kern w:val="2"/>
          <w:szCs w:val="24"/>
          <w:lang w:val="en-US" w:eastAsia="zh-CN" w:bidi="ar-SA"/>
        </w:rPr>
        <w:fldChar w:fldCharType="end"/>
      </w:r>
    </w:p>
    <w:p>
      <w:pPr>
        <w:pStyle w:val="16"/>
        <w:tabs>
          <w:tab w:val="right" w:leader="dot" w:pos="8306"/>
        </w:tabs>
        <w:rPr>
          <w:rFonts w:ascii="Times New Roman" w:hAnsi="Times New Roman" w:eastAsia="宋体" w:cs="Times New Roman"/>
          <w:kern w:val="2"/>
          <w:szCs w:val="24"/>
          <w:lang w:val="en-US" w:eastAsia="zh-CN" w:bidi="ar-SA"/>
        </w:rPr>
      </w:pP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HYPERLINK \l _Toc20425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第</w:t>
      </w:r>
      <w:r>
        <w:rPr>
          <w:rFonts w:hint="eastAsia" w:ascii="黑体" w:hAnsi="黑体" w:eastAsia="黑体" w:cs="黑体"/>
          <w:bCs/>
          <w:kern w:val="44"/>
          <w:szCs w:val="44"/>
          <w:lang w:val="en-US" w:eastAsia="zh-CN" w:bidi="ar-SA"/>
        </w:rPr>
        <w:t xml:space="preserve">三部分 </w:t>
      </w:r>
      <w:r>
        <w:rPr>
          <w:rFonts w:hint="eastAsia" w:ascii="黑体" w:hAnsi="黑体" w:eastAsia="黑体" w:cs="Times New Roman"/>
          <w:kern w:val="2"/>
          <w:szCs w:val="44"/>
          <w:lang w:val="en-US" w:eastAsia="zh-CN" w:bidi="ar-SA"/>
        </w:rPr>
        <w:t>名</w:t>
      </w:r>
      <w:r>
        <w:rPr>
          <w:rFonts w:hint="eastAsia" w:ascii="黑体" w:hAnsi="黑体" w:eastAsia="黑体" w:cs="Times New Roman"/>
          <w:kern w:val="2"/>
          <w:szCs w:val="24"/>
          <w:lang w:val="en-US" w:eastAsia="zh-CN" w:bidi="ar-SA"/>
        </w:rPr>
        <w:t>词解释</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_Toc20425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10</w:t>
      </w:r>
      <w:r>
        <w:rPr>
          <w:rFonts w:ascii="Times New Roman" w:hAnsi="Times New Roman" w:eastAsia="宋体" w:cs="Times New Roman"/>
          <w:kern w:val="2"/>
          <w:szCs w:val="24"/>
          <w:lang w:val="en-US" w:eastAsia="zh-CN" w:bidi="ar-SA"/>
        </w:rPr>
        <w:fldChar w:fldCharType="end"/>
      </w:r>
      <w:r>
        <w:rPr>
          <w:rFonts w:hint="eastAsia" w:ascii="黑体" w:hAnsi="黑体" w:eastAsia="黑体" w:cs="黑体"/>
          <w:bCs/>
          <w:kern w:val="44"/>
          <w:szCs w:val="44"/>
          <w:lang w:val="en-US" w:eastAsia="zh-CN" w:bidi="ar-SA"/>
        </w:rPr>
        <w:fldChar w:fldCharType="end"/>
      </w:r>
    </w:p>
    <w:p>
      <w:pPr>
        <w:pStyle w:val="16"/>
        <w:tabs>
          <w:tab w:val="right" w:leader="dot" w:pos="8306"/>
        </w:tabs>
        <w:rPr>
          <w:rFonts w:ascii="Times New Roman" w:hAnsi="Times New Roman" w:eastAsia="宋体" w:cs="Times New Roman"/>
          <w:kern w:val="2"/>
          <w:szCs w:val="24"/>
          <w:lang w:val="en-US" w:eastAsia="zh-CN" w:bidi="ar-SA"/>
        </w:rPr>
      </w:pP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HYPERLINK \l _Toc12333 </w:instrText>
      </w:r>
      <w:r>
        <w:rPr>
          <w:rFonts w:ascii="Times New Roman" w:hAnsi="Times New Roman" w:eastAsia="宋体" w:cs="Times New Roman"/>
          <w:kern w:val="2"/>
          <w:szCs w:val="24"/>
          <w:lang w:val="en-US" w:eastAsia="zh-CN" w:bidi="ar-SA"/>
        </w:rPr>
        <w:fldChar w:fldCharType="separate"/>
      </w:r>
      <w:r>
        <w:rPr>
          <w:rFonts w:hint="eastAsia" w:ascii="黑体" w:hAnsi="黑体" w:eastAsia="黑体" w:cs="Times New Roman"/>
          <w:kern w:val="2"/>
          <w:szCs w:val="44"/>
          <w:lang w:val="en-US" w:eastAsia="zh-CN" w:bidi="ar-SA"/>
        </w:rPr>
        <w:t>第</w:t>
      </w:r>
      <w:r>
        <w:rPr>
          <w:rFonts w:hint="eastAsia" w:ascii="黑体" w:hAnsi="黑体" w:eastAsia="黑体" w:cs="Times New Roman"/>
          <w:kern w:val="2"/>
          <w:szCs w:val="24"/>
          <w:lang w:val="en-US" w:eastAsia="zh-CN" w:bidi="ar-SA"/>
        </w:rPr>
        <w:t>四部分 附件</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_Toc12333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14</w:t>
      </w:r>
      <w:r>
        <w:rPr>
          <w:rFonts w:ascii="Times New Roman" w:hAnsi="Times New Roman" w:eastAsia="宋体" w:cs="Times New Roman"/>
          <w:kern w:val="2"/>
          <w:szCs w:val="24"/>
          <w:lang w:val="en-US" w:eastAsia="zh-CN" w:bidi="ar-SA"/>
        </w:rPr>
        <w:fldChar w:fldCharType="end"/>
      </w:r>
      <w:r>
        <w:rPr>
          <w:rFonts w:ascii="Times New Roman" w:hAnsi="Times New Roman" w:eastAsia="宋体" w:cs="Times New Roman"/>
          <w:kern w:val="2"/>
          <w:szCs w:val="24"/>
          <w:lang w:val="en-US" w:eastAsia="zh-CN" w:bidi="ar-SA"/>
        </w:rPr>
        <w:fldChar w:fldCharType="end"/>
      </w:r>
    </w:p>
    <w:p>
      <w:pPr>
        <w:pStyle w:val="16"/>
        <w:tabs>
          <w:tab w:val="right" w:leader="dot" w:pos="8306"/>
        </w:tabs>
        <w:rPr>
          <w:rFonts w:ascii="Times New Roman" w:hAnsi="Times New Roman" w:eastAsia="宋体" w:cs="Times New Roman"/>
          <w:kern w:val="2"/>
          <w:szCs w:val="24"/>
          <w:lang w:val="en-US" w:eastAsia="zh-CN" w:bidi="ar-SA"/>
        </w:rPr>
      </w:pP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HYPERLINK \l _Toc296 </w:instrText>
      </w:r>
      <w:r>
        <w:rPr>
          <w:rFonts w:ascii="Times New Roman" w:hAnsi="Times New Roman" w:eastAsia="宋体" w:cs="Times New Roman"/>
          <w:kern w:val="2"/>
          <w:szCs w:val="24"/>
          <w:lang w:val="en-US" w:eastAsia="zh-CN" w:bidi="ar-SA"/>
        </w:rPr>
        <w:fldChar w:fldCharType="separate"/>
      </w:r>
      <w:r>
        <w:rPr>
          <w:rFonts w:hint="eastAsia" w:ascii="黑体" w:hAnsi="黑体" w:eastAsia="黑体" w:cs="Times New Roman"/>
          <w:kern w:val="2"/>
          <w:szCs w:val="44"/>
          <w:lang w:val="en-US" w:eastAsia="zh-CN" w:bidi="ar-SA"/>
        </w:rPr>
        <w:t>第</w:t>
      </w:r>
      <w:r>
        <w:rPr>
          <w:rFonts w:hint="eastAsia" w:ascii="黑体" w:hAnsi="黑体" w:eastAsia="黑体" w:cs="Times New Roman"/>
          <w:kern w:val="2"/>
          <w:szCs w:val="24"/>
          <w:lang w:val="en-US" w:eastAsia="zh-CN" w:bidi="ar-SA"/>
        </w:rPr>
        <w:t>五部分 附表</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_Toc296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39</w:t>
      </w:r>
      <w:r>
        <w:rPr>
          <w:rFonts w:ascii="Times New Roman" w:hAnsi="Times New Roman" w:eastAsia="宋体" w:cs="Times New Roman"/>
          <w:kern w:val="2"/>
          <w:szCs w:val="24"/>
          <w:lang w:val="en-US" w:eastAsia="zh-CN" w:bidi="ar-SA"/>
        </w:rPr>
        <w:fldChar w:fldCharType="end"/>
      </w:r>
      <w:r>
        <w:rPr>
          <w:rFonts w:ascii="Times New Roman" w:hAnsi="Times New Roman" w:eastAsia="宋体" w:cs="Times New Roman"/>
          <w:kern w:val="2"/>
          <w:szCs w:val="24"/>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HYPERLINK \l _Toc23794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一</w:t>
      </w:r>
      <w:r>
        <w:rPr>
          <w:rFonts w:hint="eastAsia" w:ascii="仿宋" w:hAnsi="仿宋" w:eastAsia="仿宋" w:cstheme="majorBidi"/>
          <w:bCs w:val="0"/>
          <w:kern w:val="2"/>
          <w:szCs w:val="32"/>
          <w:lang w:val="en-US" w:eastAsia="zh-CN" w:bidi="ar-SA"/>
        </w:rPr>
        <w:t xml:space="preserve">、 </w:t>
      </w:r>
      <w:r>
        <w:rPr>
          <w:rFonts w:hint="eastAsia" w:ascii="仿宋" w:hAnsi="仿宋" w:eastAsia="仿宋" w:cs="Times New Roman"/>
          <w:kern w:val="2"/>
          <w:szCs w:val="24"/>
          <w:lang w:val="en-US" w:eastAsia="zh-CN" w:bidi="ar-SA"/>
        </w:rPr>
        <w:t>收</w:t>
      </w:r>
      <w:r>
        <w:rPr>
          <w:rFonts w:hint="eastAsia" w:ascii="仿宋" w:hAnsi="仿宋" w:eastAsia="仿宋" w:cs="Times New Roman"/>
          <w:bCs w:val="0"/>
          <w:kern w:val="2"/>
          <w:szCs w:val="24"/>
          <w:lang w:val="en-US" w:eastAsia="zh-CN" w:bidi="ar-SA"/>
        </w:rPr>
        <w:t>入支出决算总表</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_Toc23794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39</w:t>
      </w:r>
      <w:r>
        <w:rPr>
          <w:rFonts w:ascii="Times New Roman" w:hAnsi="Times New Roman" w:eastAsia="宋体" w:cs="Times New Roman"/>
          <w:kern w:val="2"/>
          <w:szCs w:val="24"/>
          <w:lang w:val="en-US" w:eastAsia="zh-CN" w:bidi="ar-SA"/>
        </w:rPr>
        <w:fldChar w:fldCharType="end"/>
      </w:r>
      <w:r>
        <w:rPr>
          <w:rFonts w:hint="eastAsia" w:ascii="仿宋" w:hAnsi="仿宋" w:eastAsia="仿宋" w:cstheme="majorBidi"/>
          <w:bCs w:val="0"/>
          <w:kern w:val="2"/>
          <w:szCs w:val="32"/>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HYPERLINK \l _Toc11734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二</w:t>
      </w:r>
      <w:r>
        <w:rPr>
          <w:rFonts w:hint="eastAsia" w:ascii="仿宋" w:hAnsi="仿宋" w:eastAsia="仿宋" w:cstheme="majorBidi"/>
          <w:bCs w:val="0"/>
          <w:kern w:val="2"/>
          <w:szCs w:val="32"/>
          <w:lang w:val="en-US" w:eastAsia="zh-CN" w:bidi="ar-SA"/>
        </w:rPr>
        <w:t xml:space="preserve">、 </w:t>
      </w:r>
      <w:r>
        <w:rPr>
          <w:rFonts w:hint="eastAsia" w:ascii="仿宋" w:hAnsi="仿宋" w:eastAsia="仿宋" w:cs="Times New Roman"/>
          <w:kern w:val="2"/>
          <w:szCs w:val="24"/>
          <w:lang w:val="en-US" w:eastAsia="zh-CN" w:bidi="ar-SA"/>
        </w:rPr>
        <w:t>收</w:t>
      </w:r>
      <w:r>
        <w:rPr>
          <w:rFonts w:hint="eastAsia" w:ascii="仿宋" w:hAnsi="仿宋" w:eastAsia="仿宋" w:cs="Times New Roman"/>
          <w:bCs w:val="0"/>
          <w:kern w:val="2"/>
          <w:szCs w:val="24"/>
          <w:lang w:val="en-US" w:eastAsia="zh-CN" w:bidi="ar-SA"/>
        </w:rPr>
        <w:t>入决算表</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_Toc11734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41</w:t>
      </w:r>
      <w:r>
        <w:rPr>
          <w:rFonts w:ascii="Times New Roman" w:hAnsi="Times New Roman" w:eastAsia="宋体" w:cs="Times New Roman"/>
          <w:kern w:val="2"/>
          <w:szCs w:val="24"/>
          <w:lang w:val="en-US" w:eastAsia="zh-CN" w:bidi="ar-SA"/>
        </w:rPr>
        <w:fldChar w:fldCharType="end"/>
      </w:r>
      <w:r>
        <w:rPr>
          <w:rFonts w:hint="eastAsia" w:ascii="仿宋" w:hAnsi="仿宋" w:eastAsia="仿宋" w:cstheme="majorBidi"/>
          <w:bCs w:val="0"/>
          <w:kern w:val="2"/>
          <w:szCs w:val="32"/>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HYPERLINK \l _Toc23822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三</w:t>
      </w:r>
      <w:r>
        <w:rPr>
          <w:rFonts w:hint="eastAsia" w:ascii="仿宋" w:hAnsi="仿宋" w:eastAsia="仿宋" w:cstheme="majorBidi"/>
          <w:bCs w:val="0"/>
          <w:kern w:val="2"/>
          <w:szCs w:val="32"/>
          <w:lang w:val="en-US" w:eastAsia="zh-CN" w:bidi="ar-SA"/>
        </w:rPr>
        <w:t xml:space="preserve">、 </w:t>
      </w:r>
      <w:r>
        <w:rPr>
          <w:rFonts w:hint="eastAsia" w:ascii="仿宋" w:hAnsi="仿宋" w:eastAsia="仿宋" w:cs="Times New Roman"/>
          <w:kern w:val="2"/>
          <w:szCs w:val="24"/>
          <w:lang w:val="en-US" w:eastAsia="zh-CN" w:bidi="ar-SA"/>
        </w:rPr>
        <w:t>支</w:t>
      </w:r>
      <w:r>
        <w:rPr>
          <w:rFonts w:hint="eastAsia" w:ascii="仿宋" w:hAnsi="仿宋" w:eastAsia="仿宋" w:cs="Times New Roman"/>
          <w:bCs w:val="0"/>
          <w:kern w:val="2"/>
          <w:szCs w:val="24"/>
          <w:lang w:val="en-US" w:eastAsia="zh-CN" w:bidi="ar-SA"/>
        </w:rPr>
        <w:t>出决算表</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_Toc23822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42</w:t>
      </w:r>
      <w:r>
        <w:rPr>
          <w:rFonts w:ascii="Times New Roman" w:hAnsi="Times New Roman" w:eastAsia="宋体" w:cs="Times New Roman"/>
          <w:kern w:val="2"/>
          <w:szCs w:val="24"/>
          <w:lang w:val="en-US" w:eastAsia="zh-CN" w:bidi="ar-SA"/>
        </w:rPr>
        <w:fldChar w:fldCharType="end"/>
      </w:r>
      <w:r>
        <w:rPr>
          <w:rFonts w:hint="eastAsia" w:ascii="仿宋" w:hAnsi="仿宋" w:eastAsia="仿宋" w:cstheme="majorBidi"/>
          <w:bCs w:val="0"/>
          <w:kern w:val="2"/>
          <w:szCs w:val="32"/>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HYPERLINK \l _Toc15787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四</w:t>
      </w:r>
      <w:r>
        <w:rPr>
          <w:rFonts w:hint="eastAsia" w:ascii="仿宋" w:hAnsi="仿宋" w:eastAsia="仿宋" w:cstheme="majorBidi"/>
          <w:bCs w:val="0"/>
          <w:kern w:val="2"/>
          <w:szCs w:val="32"/>
          <w:lang w:val="en-US" w:eastAsia="zh-CN" w:bidi="ar-SA"/>
        </w:rPr>
        <w:t xml:space="preserve">、 </w:t>
      </w:r>
      <w:r>
        <w:rPr>
          <w:rFonts w:hint="eastAsia" w:ascii="仿宋" w:hAnsi="仿宋" w:eastAsia="仿宋" w:cs="Times New Roman"/>
          <w:kern w:val="2"/>
          <w:szCs w:val="24"/>
          <w:lang w:val="en-US" w:eastAsia="zh-CN" w:bidi="ar-SA"/>
        </w:rPr>
        <w:t>财</w:t>
      </w:r>
      <w:r>
        <w:rPr>
          <w:rFonts w:hint="eastAsia" w:ascii="仿宋" w:hAnsi="仿宋" w:eastAsia="仿宋" w:cs="Times New Roman"/>
          <w:bCs w:val="0"/>
          <w:kern w:val="2"/>
          <w:szCs w:val="24"/>
          <w:lang w:val="en-US" w:eastAsia="zh-CN" w:bidi="ar-SA"/>
        </w:rPr>
        <w:t>政拨款收入支出决算总表</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_Toc15787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43</w:t>
      </w:r>
      <w:r>
        <w:rPr>
          <w:rFonts w:ascii="Times New Roman" w:hAnsi="Times New Roman" w:eastAsia="宋体" w:cs="Times New Roman"/>
          <w:kern w:val="2"/>
          <w:szCs w:val="24"/>
          <w:lang w:val="en-US" w:eastAsia="zh-CN" w:bidi="ar-SA"/>
        </w:rPr>
        <w:fldChar w:fldCharType="end"/>
      </w:r>
      <w:r>
        <w:rPr>
          <w:rFonts w:hint="eastAsia" w:ascii="仿宋" w:hAnsi="仿宋" w:eastAsia="仿宋" w:cstheme="majorBidi"/>
          <w:bCs w:val="0"/>
          <w:kern w:val="2"/>
          <w:szCs w:val="32"/>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HYPERLINK \l _Toc5582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五</w:t>
      </w:r>
      <w:r>
        <w:rPr>
          <w:rFonts w:hint="eastAsia" w:ascii="仿宋" w:hAnsi="仿宋" w:eastAsia="仿宋" w:cstheme="majorBidi"/>
          <w:bCs w:val="0"/>
          <w:kern w:val="2"/>
          <w:szCs w:val="32"/>
          <w:lang w:val="en-US" w:eastAsia="zh-CN" w:bidi="ar-SA"/>
        </w:rPr>
        <w:t xml:space="preserve">、 </w:t>
      </w:r>
      <w:r>
        <w:rPr>
          <w:rFonts w:hint="eastAsia" w:ascii="仿宋" w:hAnsi="仿宋" w:eastAsia="仿宋" w:cs="Times New Roman"/>
          <w:kern w:val="2"/>
          <w:szCs w:val="24"/>
          <w:lang w:val="en-US" w:eastAsia="zh-CN" w:bidi="ar-SA"/>
        </w:rPr>
        <w:t>财</w:t>
      </w:r>
      <w:r>
        <w:rPr>
          <w:rFonts w:hint="eastAsia" w:ascii="仿宋" w:hAnsi="仿宋" w:eastAsia="仿宋" w:cs="Times New Roman"/>
          <w:bCs w:val="0"/>
          <w:kern w:val="2"/>
          <w:szCs w:val="24"/>
          <w:lang w:val="en-US" w:eastAsia="zh-CN" w:bidi="ar-SA"/>
        </w:rPr>
        <w:t>政拨款支出决算明细表</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_Toc5582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45</w:t>
      </w:r>
      <w:r>
        <w:rPr>
          <w:rFonts w:ascii="Times New Roman" w:hAnsi="Times New Roman" w:eastAsia="宋体" w:cs="Times New Roman"/>
          <w:kern w:val="2"/>
          <w:szCs w:val="24"/>
          <w:lang w:val="en-US" w:eastAsia="zh-CN" w:bidi="ar-SA"/>
        </w:rPr>
        <w:fldChar w:fldCharType="end"/>
      </w:r>
      <w:r>
        <w:rPr>
          <w:rFonts w:hint="eastAsia" w:ascii="仿宋" w:hAnsi="仿宋" w:eastAsia="仿宋" w:cstheme="majorBidi"/>
          <w:bCs w:val="0"/>
          <w:kern w:val="2"/>
          <w:szCs w:val="32"/>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HYPERLINK \l _Toc25605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六</w:t>
      </w:r>
      <w:r>
        <w:rPr>
          <w:rFonts w:hint="eastAsia" w:ascii="仿宋" w:hAnsi="仿宋" w:eastAsia="仿宋" w:cstheme="majorBidi"/>
          <w:bCs w:val="0"/>
          <w:kern w:val="2"/>
          <w:szCs w:val="32"/>
          <w:lang w:val="en-US" w:eastAsia="zh-CN" w:bidi="ar-SA"/>
        </w:rPr>
        <w:t xml:space="preserve">、 </w:t>
      </w:r>
      <w:r>
        <w:rPr>
          <w:rFonts w:hint="eastAsia" w:ascii="仿宋" w:hAnsi="仿宋" w:eastAsia="仿宋" w:cs="Times New Roman"/>
          <w:kern w:val="2"/>
          <w:szCs w:val="24"/>
          <w:lang w:val="en-US" w:eastAsia="zh-CN" w:bidi="ar-SA"/>
        </w:rPr>
        <w:t>一</w:t>
      </w:r>
      <w:r>
        <w:rPr>
          <w:rFonts w:hint="eastAsia" w:ascii="仿宋" w:hAnsi="仿宋" w:eastAsia="仿宋" w:cs="Times New Roman"/>
          <w:bCs w:val="0"/>
          <w:kern w:val="2"/>
          <w:szCs w:val="24"/>
          <w:lang w:val="en-US" w:eastAsia="zh-CN" w:bidi="ar-SA"/>
        </w:rPr>
        <w:t>般公共预算财政拨款支出决算表</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_Toc25605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46</w:t>
      </w:r>
      <w:r>
        <w:rPr>
          <w:rFonts w:ascii="Times New Roman" w:hAnsi="Times New Roman" w:eastAsia="宋体" w:cs="Times New Roman"/>
          <w:kern w:val="2"/>
          <w:szCs w:val="24"/>
          <w:lang w:val="en-US" w:eastAsia="zh-CN" w:bidi="ar-SA"/>
        </w:rPr>
        <w:fldChar w:fldCharType="end"/>
      </w:r>
      <w:r>
        <w:rPr>
          <w:rFonts w:hint="eastAsia" w:ascii="仿宋" w:hAnsi="仿宋" w:eastAsia="仿宋" w:cstheme="majorBidi"/>
          <w:bCs w:val="0"/>
          <w:kern w:val="2"/>
          <w:szCs w:val="32"/>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HYPERLINK \l _Toc12618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七</w:t>
      </w:r>
      <w:r>
        <w:rPr>
          <w:rFonts w:hint="eastAsia" w:ascii="仿宋" w:hAnsi="仿宋" w:eastAsia="仿宋" w:cstheme="majorBidi"/>
          <w:bCs w:val="0"/>
          <w:kern w:val="2"/>
          <w:szCs w:val="32"/>
          <w:lang w:val="en-US" w:eastAsia="zh-CN" w:bidi="ar-SA"/>
        </w:rPr>
        <w:t xml:space="preserve">、 </w:t>
      </w:r>
      <w:r>
        <w:rPr>
          <w:rFonts w:hint="eastAsia" w:ascii="仿宋" w:hAnsi="仿宋" w:eastAsia="仿宋" w:cs="Times New Roman"/>
          <w:kern w:val="2"/>
          <w:szCs w:val="24"/>
          <w:lang w:val="en-US" w:eastAsia="zh-CN" w:bidi="ar-SA"/>
        </w:rPr>
        <w:t>一</w:t>
      </w:r>
      <w:r>
        <w:rPr>
          <w:rFonts w:hint="eastAsia" w:ascii="仿宋" w:hAnsi="仿宋" w:eastAsia="仿宋" w:cs="Times New Roman"/>
          <w:bCs w:val="0"/>
          <w:kern w:val="2"/>
          <w:szCs w:val="24"/>
          <w:lang w:val="en-US" w:eastAsia="zh-CN" w:bidi="ar-SA"/>
        </w:rPr>
        <w:t>般公共预算财政拨款支出决算明细表</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_Toc12618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47</w:t>
      </w:r>
      <w:r>
        <w:rPr>
          <w:rFonts w:ascii="Times New Roman" w:hAnsi="Times New Roman" w:eastAsia="宋体" w:cs="Times New Roman"/>
          <w:kern w:val="2"/>
          <w:szCs w:val="24"/>
          <w:lang w:val="en-US" w:eastAsia="zh-CN" w:bidi="ar-SA"/>
        </w:rPr>
        <w:fldChar w:fldCharType="end"/>
      </w:r>
      <w:r>
        <w:rPr>
          <w:rFonts w:hint="eastAsia" w:ascii="仿宋" w:hAnsi="仿宋" w:eastAsia="仿宋" w:cstheme="majorBidi"/>
          <w:bCs w:val="0"/>
          <w:kern w:val="2"/>
          <w:szCs w:val="32"/>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HYPERLINK \l _Toc19183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八</w:t>
      </w:r>
      <w:r>
        <w:rPr>
          <w:rFonts w:hint="eastAsia" w:ascii="仿宋" w:hAnsi="仿宋" w:eastAsia="仿宋" w:cstheme="majorBidi"/>
          <w:bCs w:val="0"/>
          <w:kern w:val="2"/>
          <w:szCs w:val="32"/>
          <w:lang w:val="en-US" w:eastAsia="zh-CN" w:bidi="ar-SA"/>
        </w:rPr>
        <w:t xml:space="preserve">、 </w:t>
      </w:r>
      <w:r>
        <w:rPr>
          <w:rFonts w:hint="eastAsia" w:ascii="仿宋" w:hAnsi="仿宋" w:eastAsia="仿宋" w:cs="Times New Roman"/>
          <w:kern w:val="2"/>
          <w:szCs w:val="24"/>
          <w:lang w:val="en-US" w:eastAsia="zh-CN" w:bidi="ar-SA"/>
        </w:rPr>
        <w:t>一</w:t>
      </w:r>
      <w:r>
        <w:rPr>
          <w:rFonts w:hint="eastAsia" w:ascii="仿宋" w:hAnsi="仿宋" w:eastAsia="仿宋" w:cs="Times New Roman"/>
          <w:bCs w:val="0"/>
          <w:kern w:val="2"/>
          <w:szCs w:val="24"/>
          <w:lang w:val="en-US" w:eastAsia="zh-CN" w:bidi="ar-SA"/>
        </w:rPr>
        <w:t>般公共预算财政拨款基本支出决算表</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_Toc19183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48</w:t>
      </w:r>
      <w:r>
        <w:rPr>
          <w:rFonts w:ascii="Times New Roman" w:hAnsi="Times New Roman" w:eastAsia="宋体" w:cs="Times New Roman"/>
          <w:kern w:val="2"/>
          <w:szCs w:val="24"/>
          <w:lang w:val="en-US" w:eastAsia="zh-CN" w:bidi="ar-SA"/>
        </w:rPr>
        <w:fldChar w:fldCharType="end"/>
      </w:r>
      <w:r>
        <w:rPr>
          <w:rFonts w:hint="eastAsia" w:ascii="仿宋" w:hAnsi="仿宋" w:eastAsia="仿宋" w:cstheme="majorBidi"/>
          <w:bCs w:val="0"/>
          <w:kern w:val="2"/>
          <w:szCs w:val="32"/>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HYPERLINK \l _Toc32230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九</w:t>
      </w:r>
      <w:r>
        <w:rPr>
          <w:rFonts w:hint="eastAsia" w:ascii="仿宋" w:hAnsi="仿宋" w:eastAsia="仿宋" w:cstheme="majorBidi"/>
          <w:bCs w:val="0"/>
          <w:kern w:val="2"/>
          <w:szCs w:val="32"/>
          <w:lang w:val="en-US" w:eastAsia="zh-CN" w:bidi="ar-SA"/>
        </w:rPr>
        <w:t xml:space="preserve">、 </w:t>
      </w:r>
      <w:r>
        <w:rPr>
          <w:rFonts w:hint="eastAsia" w:ascii="仿宋" w:hAnsi="仿宋" w:eastAsia="仿宋" w:cs="Times New Roman"/>
          <w:kern w:val="2"/>
          <w:szCs w:val="24"/>
          <w:lang w:val="en-US" w:eastAsia="zh-CN" w:bidi="ar-SA"/>
        </w:rPr>
        <w:t>一</w:t>
      </w:r>
      <w:r>
        <w:rPr>
          <w:rFonts w:hint="eastAsia" w:ascii="仿宋" w:hAnsi="仿宋" w:eastAsia="仿宋" w:cs="Times New Roman"/>
          <w:bCs w:val="0"/>
          <w:kern w:val="2"/>
          <w:szCs w:val="24"/>
          <w:lang w:val="en-US" w:eastAsia="zh-CN" w:bidi="ar-SA"/>
        </w:rPr>
        <w:t>般公共预算财政拨款项目支出决算表</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_Toc32230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50</w:t>
      </w:r>
      <w:r>
        <w:rPr>
          <w:rFonts w:ascii="Times New Roman" w:hAnsi="Times New Roman" w:eastAsia="宋体" w:cs="Times New Roman"/>
          <w:kern w:val="2"/>
          <w:szCs w:val="24"/>
          <w:lang w:val="en-US" w:eastAsia="zh-CN" w:bidi="ar-SA"/>
        </w:rPr>
        <w:fldChar w:fldCharType="end"/>
      </w:r>
      <w:r>
        <w:rPr>
          <w:rFonts w:hint="eastAsia" w:ascii="仿宋" w:hAnsi="仿宋" w:eastAsia="仿宋" w:cstheme="majorBidi"/>
          <w:bCs w:val="0"/>
          <w:kern w:val="2"/>
          <w:szCs w:val="32"/>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HYPERLINK \l _Toc7999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十</w:t>
      </w:r>
      <w:r>
        <w:rPr>
          <w:rFonts w:hint="eastAsia" w:ascii="仿宋" w:hAnsi="仿宋" w:eastAsia="仿宋" w:cstheme="majorBidi"/>
          <w:bCs w:val="0"/>
          <w:kern w:val="2"/>
          <w:szCs w:val="32"/>
          <w:lang w:val="en-US" w:eastAsia="zh-CN" w:bidi="ar-SA"/>
        </w:rPr>
        <w:t xml:space="preserve">、 </w:t>
      </w:r>
      <w:r>
        <w:rPr>
          <w:rFonts w:hint="eastAsia" w:ascii="仿宋" w:hAnsi="仿宋" w:eastAsia="仿宋" w:cs="Times New Roman"/>
          <w:kern w:val="2"/>
          <w:szCs w:val="24"/>
          <w:lang w:val="en-US" w:eastAsia="zh-CN" w:bidi="ar-SA"/>
        </w:rPr>
        <w:t>政</w:t>
      </w:r>
      <w:r>
        <w:rPr>
          <w:rFonts w:hint="eastAsia" w:ascii="仿宋" w:hAnsi="仿宋" w:eastAsia="仿宋" w:cs="Times New Roman"/>
          <w:bCs w:val="0"/>
          <w:kern w:val="2"/>
          <w:szCs w:val="24"/>
          <w:lang w:val="en-US" w:eastAsia="zh-CN" w:bidi="ar-SA"/>
        </w:rPr>
        <w:t>府性基金预算财政拨款收入支出决算表</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_Toc7999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51</w:t>
      </w:r>
      <w:r>
        <w:rPr>
          <w:rFonts w:ascii="Times New Roman" w:hAnsi="Times New Roman" w:eastAsia="宋体" w:cs="Times New Roman"/>
          <w:kern w:val="2"/>
          <w:szCs w:val="24"/>
          <w:lang w:val="en-US" w:eastAsia="zh-CN" w:bidi="ar-SA"/>
        </w:rPr>
        <w:fldChar w:fldCharType="end"/>
      </w:r>
      <w:r>
        <w:rPr>
          <w:rFonts w:hint="eastAsia" w:ascii="仿宋" w:hAnsi="仿宋" w:eastAsia="仿宋" w:cstheme="majorBidi"/>
          <w:bCs w:val="0"/>
          <w:kern w:val="2"/>
          <w:szCs w:val="32"/>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HYPERLINK \l _Toc7846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十</w:t>
      </w:r>
      <w:r>
        <w:rPr>
          <w:rFonts w:hint="eastAsia" w:ascii="仿宋" w:hAnsi="仿宋" w:eastAsia="仿宋" w:cstheme="majorBidi"/>
          <w:bCs w:val="0"/>
          <w:kern w:val="2"/>
          <w:szCs w:val="32"/>
          <w:lang w:val="en-US" w:eastAsia="zh-CN" w:bidi="ar-SA"/>
        </w:rPr>
        <w:t xml:space="preserve">一、 </w:t>
      </w:r>
      <w:r>
        <w:rPr>
          <w:rFonts w:hint="eastAsia" w:ascii="仿宋" w:hAnsi="仿宋" w:eastAsia="仿宋" w:cs="Times New Roman"/>
          <w:kern w:val="2"/>
          <w:szCs w:val="24"/>
          <w:lang w:val="en-US" w:eastAsia="zh-CN" w:bidi="ar-SA"/>
        </w:rPr>
        <w:t>国</w:t>
      </w:r>
      <w:r>
        <w:rPr>
          <w:rFonts w:hint="eastAsia" w:ascii="仿宋" w:hAnsi="仿宋" w:eastAsia="仿宋" w:cs="Times New Roman"/>
          <w:bCs w:val="0"/>
          <w:kern w:val="2"/>
          <w:szCs w:val="24"/>
          <w:lang w:val="en-US" w:eastAsia="zh-CN" w:bidi="ar-SA"/>
        </w:rPr>
        <w:t>有资本经营预算财政拨款收入支出决算表</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_Toc7846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51</w:t>
      </w:r>
      <w:r>
        <w:rPr>
          <w:rFonts w:ascii="Times New Roman" w:hAnsi="Times New Roman" w:eastAsia="宋体" w:cs="Times New Roman"/>
          <w:kern w:val="2"/>
          <w:szCs w:val="24"/>
          <w:lang w:val="en-US" w:eastAsia="zh-CN" w:bidi="ar-SA"/>
        </w:rPr>
        <w:fldChar w:fldCharType="end"/>
      </w:r>
      <w:r>
        <w:rPr>
          <w:rFonts w:hint="eastAsia" w:ascii="仿宋" w:hAnsi="仿宋" w:eastAsia="仿宋" w:cstheme="majorBidi"/>
          <w:bCs w:val="0"/>
          <w:kern w:val="2"/>
          <w:szCs w:val="32"/>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HYPERLINK \l _Toc32648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十</w:t>
      </w:r>
      <w:r>
        <w:rPr>
          <w:rFonts w:hint="eastAsia" w:ascii="仿宋" w:hAnsi="仿宋" w:eastAsia="仿宋" w:cstheme="majorBidi"/>
          <w:bCs w:val="0"/>
          <w:kern w:val="2"/>
          <w:szCs w:val="32"/>
          <w:lang w:val="en-US" w:eastAsia="zh-CN" w:bidi="ar-SA"/>
        </w:rPr>
        <w:t xml:space="preserve">二、 </w:t>
      </w:r>
      <w:r>
        <w:rPr>
          <w:rFonts w:hint="eastAsia" w:ascii="仿宋" w:hAnsi="仿宋" w:eastAsia="仿宋" w:cs="Times New Roman"/>
          <w:bCs w:val="0"/>
          <w:kern w:val="2"/>
          <w:szCs w:val="24"/>
          <w:lang w:val="en-US" w:eastAsia="zh-CN" w:bidi="ar-SA"/>
        </w:rPr>
        <w:t>国有资本经营预算财政拨款支出决算表</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_Toc32648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52</w:t>
      </w:r>
      <w:r>
        <w:rPr>
          <w:rFonts w:ascii="Times New Roman" w:hAnsi="Times New Roman" w:eastAsia="宋体" w:cs="Times New Roman"/>
          <w:kern w:val="2"/>
          <w:szCs w:val="24"/>
          <w:lang w:val="en-US" w:eastAsia="zh-CN" w:bidi="ar-SA"/>
        </w:rPr>
        <w:fldChar w:fldCharType="end"/>
      </w:r>
      <w:r>
        <w:rPr>
          <w:rFonts w:hint="eastAsia" w:ascii="仿宋" w:hAnsi="仿宋" w:eastAsia="仿宋" w:cstheme="majorBidi"/>
          <w:bCs w:val="0"/>
          <w:kern w:val="2"/>
          <w:szCs w:val="32"/>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HYPERLINK \l _Toc25427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十</w:t>
      </w:r>
      <w:r>
        <w:rPr>
          <w:rFonts w:hint="eastAsia" w:ascii="仿宋" w:hAnsi="仿宋" w:eastAsia="仿宋" w:cstheme="majorBidi"/>
          <w:bCs w:val="0"/>
          <w:kern w:val="2"/>
          <w:szCs w:val="32"/>
          <w:lang w:val="en-US" w:eastAsia="zh-CN" w:bidi="ar-SA"/>
        </w:rPr>
        <w:t xml:space="preserve">三、 </w:t>
      </w:r>
      <w:r>
        <w:rPr>
          <w:rFonts w:hint="eastAsia" w:ascii="仿宋" w:hAnsi="仿宋" w:eastAsia="仿宋" w:cs="Times New Roman"/>
          <w:bCs w:val="0"/>
          <w:kern w:val="2"/>
          <w:szCs w:val="24"/>
          <w:lang w:val="en-US" w:eastAsia="zh-CN" w:bidi="ar-SA"/>
        </w:rPr>
        <w:t>财政拨款“三公”经费支出决算表</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_Toc25427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53</w:t>
      </w:r>
      <w:r>
        <w:rPr>
          <w:rFonts w:ascii="Times New Roman" w:hAnsi="Times New Roman" w:eastAsia="宋体" w:cs="Times New Roman"/>
          <w:kern w:val="2"/>
          <w:szCs w:val="24"/>
          <w:lang w:val="en-US" w:eastAsia="zh-CN" w:bidi="ar-SA"/>
        </w:rPr>
        <w:fldChar w:fldCharType="end"/>
      </w:r>
      <w:r>
        <w:rPr>
          <w:rFonts w:hint="eastAsia" w:ascii="仿宋" w:hAnsi="仿宋" w:eastAsia="仿宋" w:cstheme="majorBidi"/>
          <w:bCs w:val="0"/>
          <w:kern w:val="2"/>
          <w:szCs w:val="32"/>
          <w:lang w:val="en-US" w:eastAsia="zh-CN" w:bidi="ar-SA"/>
        </w:rPr>
        <w:fldChar w:fldCharType="end"/>
      </w:r>
    </w:p>
    <w:p>
      <w:pPr/>
      <w:r>
        <w:rPr>
          <w:rFonts w:ascii="Times New Roman" w:hAnsi="Times New Roman" w:eastAsia="宋体" w:cs="Times New Roman"/>
          <w:kern w:val="2"/>
          <w:szCs w:val="24"/>
          <w:lang w:val="en-US" w:eastAsia="zh-CN" w:bidi="ar-SA"/>
        </w:rPr>
        <w:fldChar w:fldCharType="end"/>
      </w:r>
    </w:p>
    <w:p>
      <w:pPr>
        <w:pStyle w:val="3"/>
        <w:jc w:val="center"/>
        <w:rPr>
          <w:rFonts w:hint="eastAsia" w:ascii="黑体" w:hAnsi="黑体" w:eastAsia="黑体"/>
          <w:b w:val="0"/>
        </w:rPr>
        <w:sectPr>
          <w:footerReference r:id="rId8" w:type="first"/>
          <w:footerReference r:id="rId7" w:type="default"/>
          <w:pgSz w:w="11906" w:h="16838"/>
          <w:pgMar w:top="1440" w:right="1800" w:bottom="1440" w:left="1800" w:header="851" w:footer="992" w:gutter="0"/>
          <w:pgNumType w:start="1"/>
          <w:cols w:space="425" w:num="1"/>
          <w:titlePg/>
          <w:docGrid w:type="lines" w:linePitch="312" w:charSpace="0"/>
        </w:sectPr>
      </w:pPr>
      <w:bookmarkStart w:id="16" w:name="_Toc15396599"/>
      <w:bookmarkStart w:id="17" w:name="_Toc15377196"/>
    </w:p>
    <w:p>
      <w:pPr>
        <w:pStyle w:val="3"/>
        <w:jc w:val="center"/>
        <w:rPr>
          <w:rStyle w:val="33"/>
          <w:rFonts w:ascii="黑体" w:hAnsi="黑体" w:eastAsia="黑体"/>
          <w:b/>
          <w:bCs w:val="0"/>
        </w:rPr>
      </w:pPr>
      <w:bookmarkStart w:id="18" w:name="_Toc10423"/>
      <w:r>
        <w:rPr>
          <w:rFonts w:hint="eastAsia" w:ascii="黑体" w:hAnsi="黑体" w:eastAsia="黑体"/>
          <w:b w:val="0"/>
        </w:rPr>
        <w:t>第一部分 单位</w:t>
      </w:r>
      <w:r>
        <w:rPr>
          <w:rStyle w:val="33"/>
          <w:rFonts w:hint="eastAsia" w:ascii="黑体" w:hAnsi="黑体" w:eastAsia="黑体"/>
          <w:b w:val="0"/>
          <w:bCs w:val="0"/>
        </w:rPr>
        <w:t>概况</w:t>
      </w:r>
      <w:bookmarkEnd w:id="16"/>
      <w:bookmarkEnd w:id="17"/>
      <w:bookmarkEnd w:id="18"/>
    </w:p>
    <w:p>
      <w:pPr>
        <w:widowControl/>
        <w:jc w:val="left"/>
        <w:rPr>
          <w:rFonts w:ascii="黑体" w:eastAsia="黑体"/>
          <w:sz w:val="32"/>
          <w:szCs w:val="32"/>
        </w:rPr>
      </w:pPr>
    </w:p>
    <w:p>
      <w:pPr>
        <w:pStyle w:val="4"/>
        <w:numPr>
          <w:ilvl w:val="0"/>
          <w:numId w:val="1"/>
        </w:numPr>
        <w:rPr>
          <w:rStyle w:val="34"/>
          <w:rFonts w:ascii="黑体" w:hAnsi="黑体" w:eastAsia="黑体"/>
          <w:b w:val="0"/>
          <w:bCs w:val="0"/>
        </w:rPr>
      </w:pPr>
      <w:bookmarkStart w:id="19" w:name="_Toc26563"/>
      <w:bookmarkStart w:id="20" w:name="_Toc15396600"/>
      <w:bookmarkStart w:id="21" w:name="_Toc15377197"/>
      <w:r>
        <w:rPr>
          <w:rStyle w:val="34"/>
          <w:rFonts w:hint="eastAsia" w:ascii="黑体" w:hAnsi="黑体" w:eastAsia="黑体"/>
          <w:b w:val="0"/>
          <w:bCs w:val="0"/>
        </w:rPr>
        <w:t>主要职责</w:t>
      </w:r>
      <w:bookmarkEnd w:id="19"/>
    </w:p>
    <w:bookmarkEnd w:id="20"/>
    <w:bookmarkEnd w:id="21"/>
    <w:p>
      <w:pPr>
        <w:ind w:firstLine="800" w:firstLineChars="250"/>
        <w:rPr>
          <w:rFonts w:hint="eastAsia" w:ascii="仿宋" w:hAnsi="仿宋" w:eastAsia="仿宋"/>
          <w:sz w:val="32"/>
          <w:szCs w:val="32"/>
        </w:rPr>
      </w:pPr>
      <w:r>
        <w:rPr>
          <w:rFonts w:hint="eastAsia" w:ascii="仿宋" w:hAnsi="仿宋" w:eastAsia="仿宋"/>
          <w:sz w:val="32"/>
          <w:szCs w:val="32"/>
        </w:rPr>
        <w:t>草地乡党委、政府主要承担着贯彻落实党和政府各项路线方针政策，促进经济发展、增加农民收入，强化公共服务、着力改善民生，加强社会管理、维护农村稳定，推进基层民主、促进农村和谐的重大任务。草地乡党委、政府重点履行以下职能：</w:t>
      </w:r>
    </w:p>
    <w:p>
      <w:pPr>
        <w:ind w:firstLine="800" w:firstLineChars="250"/>
        <w:rPr>
          <w:rFonts w:hint="eastAsia" w:ascii="仿宋" w:hAnsi="仿宋" w:eastAsia="仿宋"/>
          <w:sz w:val="32"/>
          <w:szCs w:val="32"/>
        </w:rPr>
      </w:pPr>
      <w:r>
        <w:rPr>
          <w:rFonts w:hint="eastAsia" w:ascii="仿宋" w:hAnsi="仿宋" w:eastAsia="仿宋"/>
          <w:sz w:val="32"/>
          <w:szCs w:val="32"/>
        </w:rPr>
        <w:t>1.乡党委主要职责</w:t>
      </w:r>
    </w:p>
    <w:p>
      <w:pPr>
        <w:ind w:firstLine="800" w:firstLineChars="250"/>
        <w:rPr>
          <w:rFonts w:hint="eastAsia" w:ascii="仿宋" w:hAnsi="仿宋" w:eastAsia="仿宋"/>
          <w:sz w:val="32"/>
          <w:szCs w:val="32"/>
        </w:rPr>
      </w:pPr>
      <w:r>
        <w:rPr>
          <w:rFonts w:hint="eastAsia" w:ascii="仿宋" w:hAnsi="仿宋" w:eastAsia="仿宋"/>
          <w:sz w:val="32"/>
          <w:szCs w:val="32"/>
        </w:rPr>
        <w:t xml:space="preserve"> 积极宣传、贯彻执行党的路线、方针、政策，负责领导本地区的工作，支持和保护行政组织、经济组织和群众自治组织充分行使职权；领导制定本乡的经济和社会发展规划并组织协调督促各部门贯彻实施，切实保证各项计划、目标的完成；负责乡领导班子的自身建设和对干部进行选拔、培养、使用、考核、监督工作；负责抓好党员的发展、教育、管理；严肃党纪，端正党风，抓好党的组织建设、作风建设、制度建设和思想建设；加强对村支部、乡企业支部、村民委员会的领导、监督和检查工作，充分发挥他们的作用；负责本地区的社会治安综合治理、精神文明建设、廉政工作和政治思想工作；负责本地区社会主义民主法制建设；负责对乡共青团、妇联和民兵工作的领导；协助管理上级有关部门驻乡干部；完成县委交办的其它工作。</w:t>
      </w:r>
    </w:p>
    <w:p>
      <w:pPr>
        <w:ind w:firstLine="800" w:firstLineChars="250"/>
        <w:rPr>
          <w:rFonts w:hint="eastAsia" w:ascii="仿宋" w:hAnsi="仿宋" w:eastAsia="仿宋"/>
          <w:sz w:val="32"/>
          <w:szCs w:val="32"/>
        </w:rPr>
      </w:pPr>
      <w:r>
        <w:rPr>
          <w:rFonts w:hint="eastAsia" w:ascii="仿宋" w:hAnsi="仿宋" w:eastAsia="仿宋"/>
          <w:sz w:val="32"/>
          <w:szCs w:val="32"/>
        </w:rPr>
        <w:t xml:space="preserve">2.乡人大主席团主要职责 </w:t>
      </w:r>
    </w:p>
    <w:p>
      <w:pPr>
        <w:ind w:firstLine="800" w:firstLineChars="250"/>
        <w:rPr>
          <w:rFonts w:hint="eastAsia" w:ascii="仿宋" w:hAnsi="仿宋" w:eastAsia="仿宋"/>
          <w:sz w:val="32"/>
          <w:szCs w:val="32"/>
        </w:rPr>
      </w:pPr>
      <w:r>
        <w:rPr>
          <w:rFonts w:hint="eastAsia" w:ascii="仿宋" w:hAnsi="仿宋" w:eastAsia="仿宋"/>
          <w:sz w:val="32"/>
          <w:szCs w:val="32"/>
        </w:rPr>
        <w:t>检查、督促宪法、法律、法规及本级和上级人民代表大会决议、决定在本乡遵守、执行；在职权范围内通过和发布决议；健全和完善乡人民代表大会制度，使人大工作逐步实现制度化、规范化、法制化；充分行使乡人民代表大会的职权，听取和审议本级政府社会经济工作情况的报告，并监督本级人民政府工作；决定本行政区域内的经济、文化、公共事业的建设计划；负责组织人大代表开展对乡政府的评议，检查监督本级政府及相关单位办理本级人民代表提出的建议、批评和意见；受理个别职务、人民代表的辞职和任免；主持选举人民代表，决定召开人民代表大会；完成本级人民代表大会和上级人大交办的其它工作。</w:t>
      </w:r>
    </w:p>
    <w:p>
      <w:pPr>
        <w:ind w:firstLine="800" w:firstLineChars="250"/>
        <w:rPr>
          <w:rFonts w:hint="eastAsia" w:ascii="仿宋" w:hAnsi="仿宋" w:eastAsia="仿宋"/>
          <w:sz w:val="32"/>
          <w:szCs w:val="32"/>
        </w:rPr>
      </w:pPr>
      <w:r>
        <w:rPr>
          <w:rFonts w:hint="eastAsia" w:ascii="仿宋" w:hAnsi="仿宋" w:eastAsia="仿宋"/>
          <w:sz w:val="32"/>
          <w:szCs w:val="32"/>
        </w:rPr>
        <w:t>3.乡政府主要职责</w:t>
      </w:r>
    </w:p>
    <w:p>
      <w:pPr>
        <w:ind w:firstLine="800" w:firstLineChars="250"/>
        <w:rPr>
          <w:rFonts w:hint="eastAsia" w:ascii="仿宋" w:hAnsi="仿宋" w:eastAsia="仿宋"/>
          <w:sz w:val="32"/>
          <w:szCs w:val="32"/>
        </w:rPr>
      </w:pPr>
      <w:r>
        <w:rPr>
          <w:rFonts w:hint="eastAsia" w:ascii="仿宋" w:hAnsi="仿宋" w:eastAsia="仿宋"/>
          <w:sz w:val="32"/>
          <w:szCs w:val="32"/>
        </w:rPr>
        <w:t>执行上级和本级党委、人民代表大会的决议、决定及命令，执行本行政区域内的国民经济和社会发展计划；认真宣传贯彻党的路线、方针、政策和国家的法律法规，稳定农村基本经济制度；坚持依法行政，推进政务公开，加强对村民委员会的指导，提高、培育村民委员会自治能力；加强民政、教育、科技、文化、卫生、计划生育、安全生产、劳动保障、国土资源的保护利用和乡村规划建设的社会管理；保护社会主义的全民所有的财产和劳动群众集体所有的财产，保护公民私人所有的合法财产，维护社会秩序，保障公民的人身权利、民主权利和其它权利；保护各种经济组织的合法权益；妥善处理本行政区域内的民族宗教事务，保障少数民族的权利和尊重少数民族的风俗习惯；保障宪法和法律赋予妇女的男女平等，同工同酬和婚姻自由等各种权利；办理上级人民政府交办的其它事项。</w:t>
      </w:r>
    </w:p>
    <w:p>
      <w:pPr>
        <w:ind w:firstLine="800" w:firstLineChars="250"/>
        <w:rPr>
          <w:rFonts w:hint="eastAsia" w:ascii="仿宋" w:hAnsi="仿宋" w:eastAsia="仿宋"/>
          <w:sz w:val="32"/>
          <w:szCs w:val="32"/>
        </w:rPr>
      </w:pPr>
      <w:r>
        <w:rPr>
          <w:rFonts w:hint="eastAsia" w:ascii="仿宋" w:hAnsi="仿宋" w:eastAsia="仿宋"/>
          <w:sz w:val="32"/>
          <w:szCs w:val="32"/>
        </w:rPr>
        <w:t>4.乡纪委主要职责</w:t>
      </w:r>
    </w:p>
    <w:p>
      <w:pPr>
        <w:ind w:firstLine="800" w:firstLineChars="250"/>
        <w:rPr>
          <w:rFonts w:hint="eastAsia" w:ascii="仿宋" w:hAnsi="仿宋" w:eastAsia="仿宋"/>
          <w:sz w:val="32"/>
          <w:szCs w:val="32"/>
        </w:rPr>
      </w:pPr>
      <w:r>
        <w:rPr>
          <w:rFonts w:hint="eastAsia" w:ascii="仿宋" w:hAnsi="仿宋" w:eastAsia="仿宋"/>
          <w:sz w:val="32"/>
          <w:szCs w:val="32"/>
        </w:rPr>
        <w:t>协助党委对全乡党员干部进行党性、党纪、党风和清正廉洁教育，负责对党风廉政工作提出意见、制定措施、监督执行；检查、处理党员干部贯彻执行党的路线、方针、政策、决议情况和违纪案件，受理党员干部的申诉和群众对党员干部的检举、控告，组织实施全乡领导干部廉洁自律工作，对选拔任用党政领导干部工作实行检查监督；完成党委和上级纪委、监察局交办的其它工作。</w:t>
      </w:r>
    </w:p>
    <w:p>
      <w:pPr>
        <w:ind w:firstLine="800" w:firstLineChars="250"/>
        <w:rPr>
          <w:rFonts w:hint="eastAsia" w:ascii="仿宋" w:hAnsi="仿宋" w:eastAsia="仿宋"/>
          <w:sz w:val="32"/>
          <w:szCs w:val="32"/>
        </w:rPr>
      </w:pPr>
      <w:r>
        <w:rPr>
          <w:rFonts w:hint="eastAsia" w:ascii="仿宋" w:hAnsi="仿宋" w:eastAsia="仿宋"/>
          <w:sz w:val="32"/>
          <w:szCs w:val="32"/>
        </w:rPr>
        <w:t>5.乡人民武装部主要职责</w:t>
      </w:r>
    </w:p>
    <w:p>
      <w:pPr>
        <w:ind w:firstLine="800" w:firstLineChars="250"/>
        <w:rPr>
          <w:rFonts w:hint="eastAsia" w:ascii="仿宋" w:hAnsi="仿宋" w:eastAsia="仿宋"/>
          <w:sz w:val="32"/>
          <w:szCs w:val="32"/>
        </w:rPr>
      </w:pPr>
      <w:r>
        <w:rPr>
          <w:rFonts w:hint="eastAsia" w:ascii="仿宋" w:hAnsi="仿宋" w:eastAsia="仿宋"/>
          <w:sz w:val="32"/>
          <w:szCs w:val="32"/>
        </w:rPr>
        <w:t>贯彻上级关于民兵预备役工作的方针、政策、指导和规定；负责民兵的组织建设和武器装备管理；负责民兵预备役人员的政治教育，落实民兵参训人员；负责组织并带领民兵完成战备、治安执勤任务；负责民兵预备役人员的登记、统计工作；负责征兵工作；组织带领民兵参加两个文明建设；协助有关部门搞好拥军优属工作；战时负责组织动员民兵参军参战，支援前线，保卫后方等工作；负责抢险救灾工作以及上级临时交办的其他工作</w:t>
      </w:r>
    </w:p>
    <w:p>
      <w:pPr>
        <w:pStyle w:val="4"/>
        <w:numPr>
          <w:ilvl w:val="0"/>
          <w:numId w:val="1"/>
        </w:numPr>
        <w:rPr>
          <w:rStyle w:val="34"/>
          <w:rFonts w:hint="eastAsia" w:ascii="黑体" w:hAnsi="黑体" w:eastAsia="黑体"/>
          <w:b w:val="0"/>
          <w:bCs w:val="0"/>
        </w:rPr>
      </w:pPr>
      <w:bookmarkStart w:id="22" w:name="_Toc15396601"/>
      <w:bookmarkStart w:id="23" w:name="_Toc15377200"/>
      <w:bookmarkStart w:id="24" w:name="_Toc246"/>
      <w:r>
        <w:rPr>
          <w:rStyle w:val="34"/>
          <w:rFonts w:hint="eastAsia" w:ascii="黑体" w:hAnsi="黑体" w:eastAsia="黑体"/>
          <w:b w:val="0"/>
          <w:bCs w:val="0"/>
        </w:rPr>
        <w:t>机构设置</w:t>
      </w:r>
      <w:bookmarkEnd w:id="22"/>
      <w:bookmarkEnd w:id="23"/>
      <w:bookmarkEnd w:id="24"/>
    </w:p>
    <w:p>
      <w:pPr>
        <w:ind w:firstLine="800" w:firstLineChars="250"/>
        <w:rPr>
          <w:rFonts w:hint="eastAsia" w:ascii="仿宋" w:hAnsi="仿宋" w:eastAsia="仿宋"/>
          <w:sz w:val="32"/>
          <w:szCs w:val="32"/>
        </w:rPr>
      </w:pPr>
      <w:r>
        <w:rPr>
          <w:rFonts w:hint="eastAsia" w:ascii="仿宋" w:hAnsi="仿宋" w:eastAsia="仿宋"/>
          <w:sz w:val="32"/>
          <w:szCs w:val="32"/>
        </w:rPr>
        <w:t>草地乡政府下属二级预算单位2个，其中行政单位</w:t>
      </w:r>
      <w:r>
        <w:rPr>
          <w:rFonts w:hint="eastAsia" w:ascii="仿宋" w:hAnsi="仿宋" w:eastAsia="仿宋"/>
          <w:sz w:val="32"/>
          <w:szCs w:val="32"/>
          <w:lang w:val="en-US" w:eastAsia="zh-CN"/>
        </w:rPr>
        <w:t>1</w:t>
      </w:r>
      <w:r>
        <w:rPr>
          <w:rFonts w:hint="eastAsia" w:ascii="仿宋" w:hAnsi="仿宋" w:eastAsia="仿宋"/>
          <w:sz w:val="32"/>
          <w:szCs w:val="32"/>
        </w:rPr>
        <w:t>个，参照公务员法管理的事业单位</w:t>
      </w:r>
      <w:r>
        <w:rPr>
          <w:rFonts w:hint="eastAsia" w:ascii="仿宋" w:hAnsi="仿宋" w:eastAsia="仿宋"/>
          <w:sz w:val="32"/>
          <w:szCs w:val="32"/>
          <w:lang w:val="en-US" w:eastAsia="zh-CN"/>
        </w:rPr>
        <w:t>0</w:t>
      </w:r>
      <w:r>
        <w:rPr>
          <w:rFonts w:hint="eastAsia" w:ascii="仿宋" w:hAnsi="仿宋" w:eastAsia="仿宋"/>
          <w:sz w:val="32"/>
          <w:szCs w:val="32"/>
        </w:rPr>
        <w:t>个，其他事业单位</w:t>
      </w:r>
      <w:r>
        <w:rPr>
          <w:rFonts w:hint="eastAsia" w:ascii="仿宋" w:hAnsi="仿宋" w:eastAsia="仿宋"/>
          <w:sz w:val="32"/>
          <w:szCs w:val="32"/>
          <w:lang w:val="en-US" w:eastAsia="zh-CN"/>
        </w:rPr>
        <w:t>1</w:t>
      </w:r>
      <w:r>
        <w:rPr>
          <w:rFonts w:hint="eastAsia" w:ascii="仿宋" w:hAnsi="仿宋" w:eastAsia="仿宋"/>
          <w:sz w:val="32"/>
          <w:szCs w:val="32"/>
        </w:rPr>
        <w:t>个。</w:t>
      </w:r>
    </w:p>
    <w:p>
      <w:pPr>
        <w:ind w:firstLine="800" w:firstLineChars="250"/>
        <w:rPr>
          <w:rFonts w:hint="eastAsia" w:ascii="仿宋" w:hAnsi="仿宋" w:eastAsia="仿宋"/>
          <w:sz w:val="32"/>
          <w:szCs w:val="32"/>
        </w:rPr>
      </w:pPr>
      <w:r>
        <w:rPr>
          <w:rFonts w:hint="eastAsia" w:ascii="仿宋" w:hAnsi="仿宋" w:eastAsia="仿宋"/>
          <w:sz w:val="32"/>
          <w:szCs w:val="32"/>
        </w:rPr>
        <w:t>纳入草地乡政府2023年度部门决算编制范围的二级预算单位包括：</w:t>
      </w:r>
    </w:p>
    <w:p>
      <w:pPr>
        <w:widowControl/>
        <w:jc w:val="left"/>
        <w:rPr>
          <w:rFonts w:ascii="仿宋" w:hAnsi="仿宋" w:eastAsia="仿宋"/>
          <w:kern w:val="0"/>
          <w:sz w:val="32"/>
          <w:szCs w:val="32"/>
        </w:rPr>
      </w:pPr>
      <w:r>
        <w:rPr>
          <w:rFonts w:hint="eastAsia" w:ascii="仿宋" w:hAnsi="仿宋" w:eastAsia="仿宋"/>
          <w:sz w:val="32"/>
          <w:szCs w:val="32"/>
          <w:lang w:val="en-US" w:eastAsia="zh-CN"/>
        </w:rPr>
        <w:t xml:space="preserve">     1.</w:t>
      </w:r>
      <w:r>
        <w:rPr>
          <w:rFonts w:hint="eastAsia" w:ascii="仿宋" w:hAnsi="仿宋" w:eastAsia="仿宋"/>
          <w:sz w:val="32"/>
          <w:szCs w:val="32"/>
          <w:lang w:eastAsia="zh-CN"/>
        </w:rPr>
        <w:t>九寨沟县草地乡便民服务中心</w:t>
      </w:r>
      <w:r>
        <w:rPr>
          <w:rFonts w:ascii="仿宋" w:hAnsi="仿宋" w:eastAsia="仿宋"/>
          <w:sz w:val="32"/>
          <w:szCs w:val="32"/>
        </w:rPr>
        <w:br w:type="page"/>
      </w:r>
    </w:p>
    <w:p>
      <w:pPr>
        <w:pStyle w:val="3"/>
        <w:ind w:right="440"/>
        <w:jc w:val="center"/>
        <w:rPr>
          <w:rStyle w:val="33"/>
          <w:rFonts w:ascii="黑体" w:hAnsi="黑体" w:eastAsia="黑体"/>
          <w:b w:val="0"/>
          <w:bCs/>
        </w:rPr>
      </w:pPr>
      <w:bookmarkStart w:id="25" w:name="_Toc15396602"/>
      <w:bookmarkStart w:id="26" w:name="_Toc15377204"/>
      <w:bookmarkStart w:id="27" w:name="_Toc24771"/>
      <w:r>
        <w:rPr>
          <w:rFonts w:hint="eastAsia" w:ascii="黑体" w:hAnsi="黑体" w:eastAsia="黑体"/>
          <w:b w:val="0"/>
        </w:rPr>
        <w:t>第二部分 2023年度</w:t>
      </w:r>
      <w:r>
        <w:rPr>
          <w:rStyle w:val="33"/>
          <w:rFonts w:hint="eastAsia" w:ascii="黑体" w:hAnsi="黑体" w:eastAsia="黑体"/>
          <w:b w:val="0"/>
          <w:bCs/>
        </w:rPr>
        <w:t>单位决算情况说明</w:t>
      </w:r>
      <w:bookmarkEnd w:id="25"/>
      <w:bookmarkEnd w:id="26"/>
      <w:bookmarkEnd w:id="27"/>
    </w:p>
    <w:p>
      <w:pPr/>
    </w:p>
    <w:p>
      <w:pPr>
        <w:pStyle w:val="32"/>
        <w:numPr>
          <w:ilvl w:val="0"/>
          <w:numId w:val="2"/>
        </w:numPr>
        <w:spacing w:line="600" w:lineRule="exact"/>
        <w:ind w:firstLineChars="0"/>
        <w:outlineLvl w:val="1"/>
        <w:rPr>
          <w:rStyle w:val="34"/>
          <w:rFonts w:ascii="黑体" w:hAnsi="黑体" w:eastAsia="黑体"/>
          <w:b w:val="0"/>
        </w:rPr>
      </w:pPr>
      <w:bookmarkStart w:id="28" w:name="_Toc15377205"/>
      <w:bookmarkStart w:id="29" w:name="_Toc15396603"/>
      <w:bookmarkStart w:id="30" w:name="_Toc29660"/>
      <w:r>
        <w:rPr>
          <w:rFonts w:hint="eastAsia" w:ascii="黑体" w:hAnsi="黑体" w:eastAsia="黑体"/>
          <w:sz w:val="32"/>
          <w:szCs w:val="32"/>
        </w:rPr>
        <w:t>收</w:t>
      </w:r>
      <w:r>
        <w:rPr>
          <w:rStyle w:val="34"/>
          <w:rFonts w:hint="eastAsia" w:ascii="黑体" w:hAnsi="黑体" w:eastAsia="黑体"/>
          <w:b w:val="0"/>
        </w:rPr>
        <w:t>入支出决算总体情况说明</w:t>
      </w:r>
      <w:bookmarkEnd w:id="28"/>
      <w:bookmarkEnd w:id="29"/>
      <w:bookmarkEnd w:id="30"/>
    </w:p>
    <w:p>
      <w:pPr>
        <w:spacing w:line="600" w:lineRule="exact"/>
        <w:ind w:firstLine="640" w:firstLineChars="200"/>
        <w:rPr>
          <w:rFonts w:ascii="仿宋" w:hAnsi="仿宋" w:eastAsia="仿宋"/>
          <w:sz w:val="32"/>
          <w:szCs w:val="32"/>
        </w:rPr>
      </w:pPr>
      <w:r>
        <w:rPr>
          <w:rFonts w:hint="eastAsia" w:ascii="仿宋" w:hAnsi="仿宋" w:eastAsia="仿宋"/>
          <w:sz w:val="32"/>
          <w:szCs w:val="32"/>
        </w:rPr>
        <w:t>2023年度收、支总计均为</w:t>
      </w:r>
      <w:r>
        <w:rPr>
          <w:rFonts w:hint="eastAsia" w:ascii="仿宋" w:hAnsi="仿宋" w:eastAsia="仿宋"/>
          <w:b/>
          <w:sz w:val="32"/>
          <w:szCs w:val="32"/>
        </w:rPr>
        <w:t>215.7</w:t>
      </w:r>
      <w:r>
        <w:rPr>
          <w:rFonts w:hint="eastAsia" w:ascii="仿宋" w:hAnsi="仿宋" w:eastAsia="仿宋"/>
          <w:sz w:val="32"/>
          <w:szCs w:val="32"/>
        </w:rPr>
        <w:t>万元。与2022年度相比，收、支总计各增加</w:t>
      </w:r>
      <w:r>
        <w:rPr>
          <w:rFonts w:hint="eastAsia" w:ascii="仿宋" w:hAnsi="仿宋" w:eastAsia="仿宋"/>
          <w:sz w:val="32"/>
          <w:szCs w:val="32"/>
          <w:lang w:val="en-US" w:eastAsia="zh-CN"/>
        </w:rPr>
        <w:t>27.28</w:t>
      </w:r>
      <w:r>
        <w:rPr>
          <w:rFonts w:hint="eastAsia" w:ascii="仿宋" w:hAnsi="仿宋" w:eastAsia="仿宋"/>
          <w:sz w:val="32"/>
          <w:szCs w:val="32"/>
        </w:rPr>
        <w:t>万元，增长</w:t>
      </w:r>
      <w:r>
        <w:rPr>
          <w:rFonts w:hint="eastAsia" w:ascii="仿宋" w:hAnsi="仿宋" w:eastAsia="仿宋"/>
          <w:sz w:val="32"/>
          <w:szCs w:val="32"/>
          <w:lang w:val="en-US" w:eastAsia="zh-CN"/>
        </w:rPr>
        <w:t>14.48</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eastAsia="zh-CN"/>
        </w:rPr>
        <w:t>人员增加</w:t>
      </w:r>
      <w:r>
        <w:rPr>
          <w:rFonts w:hint="eastAsia" w:ascii="仿宋" w:hAnsi="仿宋" w:eastAsia="仿宋"/>
          <w:sz w:val="32"/>
          <w:szCs w:val="32"/>
        </w:rPr>
        <w:t>。</w:t>
      </w:r>
    </w:p>
    <w:p>
      <w:pPr>
        <w:spacing w:line="600" w:lineRule="exact"/>
        <w:ind w:firstLine="640" w:firstLineChars="200"/>
        <w:jc w:val="left"/>
        <w:rPr>
          <w:rFonts w:ascii="仿宋_GB2312" w:eastAsia="仿宋_GB2312"/>
          <w:sz w:val="32"/>
          <w:szCs w:val="32"/>
        </w:rPr>
      </w:pPr>
    </w:p>
    <w:p>
      <w:pPr>
        <w:pStyle w:val="32"/>
        <w:numPr>
          <w:ilvl w:val="0"/>
          <w:numId w:val="2"/>
        </w:numPr>
        <w:spacing w:line="600" w:lineRule="exact"/>
        <w:ind w:firstLineChars="0"/>
        <w:outlineLvl w:val="1"/>
        <w:rPr>
          <w:rStyle w:val="34"/>
          <w:rFonts w:ascii="黑体" w:hAnsi="黑体" w:eastAsia="黑体"/>
          <w:b w:val="0"/>
        </w:rPr>
      </w:pPr>
      <w:bookmarkStart w:id="31" w:name="_Toc15377206"/>
      <w:bookmarkStart w:id="32" w:name="_Toc15396604"/>
      <w:bookmarkStart w:id="33" w:name="_Toc17665"/>
      <w:r>
        <w:rPr>
          <w:rFonts w:hint="eastAsia" w:ascii="黑体" w:hAnsi="黑体" w:eastAsia="黑体"/>
          <w:sz w:val="32"/>
          <w:szCs w:val="32"/>
        </w:rPr>
        <w:t>收</w:t>
      </w:r>
      <w:r>
        <w:rPr>
          <w:rStyle w:val="34"/>
          <w:rFonts w:hint="eastAsia" w:ascii="黑体" w:hAnsi="黑体" w:eastAsia="黑体"/>
          <w:b w:val="0"/>
        </w:rPr>
        <w:t>入决算情况说明</w:t>
      </w:r>
      <w:bookmarkEnd w:id="31"/>
      <w:bookmarkEnd w:id="32"/>
      <w:bookmarkEnd w:id="33"/>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2023年度本年收入合计197.35万元，其中：一般公共预算财政拨款收入197.35万元，占100%；政府性基金预算财政拨款收入0万元，占0%；国有资本经营预算财政拨款收入0万元，占0%；上级补助收入0万元，占0%；事业收入0万元，占0%；经营收入0万元，占0%；附属单位上缴收入0万元，占0%；其他收入0万元，占0%</w:t>
      </w:r>
      <w:r>
        <w:rPr>
          <w:rFonts w:hint="eastAsia" w:ascii="仿宋" w:hAnsi="仿宋" w:eastAsia="仿宋"/>
          <w:sz w:val="32"/>
          <w:szCs w:val="32"/>
          <w:lang w:eastAsia="zh-CN"/>
        </w:rPr>
        <w:t>。</w:t>
      </w:r>
    </w:p>
    <w:p>
      <w:pPr>
        <w:spacing w:line="600" w:lineRule="exact"/>
        <w:ind w:firstLine="640" w:firstLineChars="200"/>
        <w:rPr>
          <w:rFonts w:ascii="仿宋_GB2312" w:eastAsia="仿宋_GB2312"/>
          <w:sz w:val="32"/>
          <w:szCs w:val="32"/>
        </w:rPr>
      </w:pPr>
    </w:p>
    <w:p>
      <w:pPr>
        <w:pStyle w:val="32"/>
        <w:numPr>
          <w:ilvl w:val="0"/>
          <w:numId w:val="2"/>
        </w:numPr>
        <w:spacing w:line="600" w:lineRule="exact"/>
        <w:ind w:firstLineChars="0"/>
        <w:outlineLvl w:val="1"/>
        <w:rPr>
          <w:rStyle w:val="34"/>
          <w:rFonts w:ascii="黑体" w:hAnsi="黑体" w:eastAsia="黑体"/>
          <w:b w:val="0"/>
        </w:rPr>
      </w:pPr>
      <w:bookmarkStart w:id="34" w:name="_Toc15377207"/>
      <w:bookmarkStart w:id="35" w:name="_Toc15396605"/>
      <w:bookmarkStart w:id="36" w:name="_Toc3185"/>
      <w:r>
        <w:rPr>
          <w:rFonts w:hint="eastAsia" w:ascii="黑体" w:hAnsi="黑体" w:eastAsia="黑体"/>
          <w:sz w:val="32"/>
          <w:szCs w:val="32"/>
        </w:rPr>
        <w:t>支</w:t>
      </w:r>
      <w:r>
        <w:rPr>
          <w:rStyle w:val="34"/>
          <w:rFonts w:hint="eastAsia" w:ascii="黑体" w:hAnsi="黑体" w:eastAsia="黑体"/>
          <w:b w:val="0"/>
        </w:rPr>
        <w:t>出决算情况说明</w:t>
      </w:r>
      <w:bookmarkEnd w:id="34"/>
      <w:bookmarkEnd w:id="35"/>
      <w:bookmarkEnd w:id="36"/>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2023年度本年支出合计215.7万元，其中：基本支出215.7万元，占100%；项目支出0万元，占0%；上缴上级支出0万元，占0%；经营支出0万元，占0%；对附属单位补助支出0万元，占0%。</w:t>
      </w:r>
    </w:p>
    <w:p>
      <w:pPr>
        <w:spacing w:line="600" w:lineRule="exact"/>
        <w:ind w:firstLine="640" w:firstLineChars="200"/>
        <w:rPr>
          <w:rFonts w:hint="eastAsia" w:ascii="仿宋" w:hAnsi="仿宋" w:eastAsia="仿宋"/>
          <w:sz w:val="32"/>
          <w:szCs w:val="32"/>
        </w:rPr>
      </w:pPr>
    </w:p>
    <w:p>
      <w:pPr>
        <w:spacing w:line="600" w:lineRule="exact"/>
        <w:ind w:firstLine="640" w:firstLineChars="200"/>
        <w:outlineLvl w:val="1"/>
        <w:rPr>
          <w:rStyle w:val="34"/>
          <w:rFonts w:ascii="黑体" w:hAnsi="黑体" w:eastAsia="黑体"/>
          <w:b w:val="0"/>
        </w:rPr>
      </w:pPr>
      <w:bookmarkStart w:id="37" w:name="_Toc15396606"/>
      <w:bookmarkStart w:id="38" w:name="_Toc15377208"/>
      <w:bookmarkStart w:id="39" w:name="_Toc14072"/>
      <w:r>
        <w:rPr>
          <w:rFonts w:hint="eastAsia" w:ascii="黑体" w:hAnsi="黑体" w:eastAsia="黑体"/>
          <w:sz w:val="32"/>
          <w:szCs w:val="32"/>
        </w:rPr>
        <w:t>四、财</w:t>
      </w:r>
      <w:r>
        <w:rPr>
          <w:rStyle w:val="34"/>
          <w:rFonts w:hint="eastAsia" w:ascii="黑体" w:hAnsi="黑体" w:eastAsia="黑体"/>
          <w:b w:val="0"/>
        </w:rPr>
        <w:t>政拨款收入支出决算总体情况说明</w:t>
      </w:r>
      <w:bookmarkEnd w:id="37"/>
      <w:bookmarkEnd w:id="38"/>
      <w:bookmarkEnd w:id="39"/>
    </w:p>
    <w:p>
      <w:pPr>
        <w:spacing w:line="600" w:lineRule="exact"/>
        <w:ind w:firstLine="640"/>
        <w:rPr>
          <w:rFonts w:ascii="仿宋" w:hAnsi="仿宋" w:eastAsia="仿宋"/>
          <w:sz w:val="32"/>
          <w:szCs w:val="32"/>
        </w:rPr>
      </w:pPr>
      <w:r>
        <w:rPr>
          <w:rFonts w:hint="eastAsia" w:ascii="仿宋" w:hAnsi="仿宋" w:eastAsia="仿宋"/>
          <w:sz w:val="32"/>
          <w:szCs w:val="32"/>
        </w:rPr>
        <w:t>2023年度财政拨款收、支总计均为</w:t>
      </w:r>
      <w:r>
        <w:rPr>
          <w:rFonts w:hint="eastAsia" w:ascii="仿宋" w:hAnsi="仿宋" w:eastAsia="仿宋"/>
          <w:b/>
          <w:sz w:val="32"/>
          <w:szCs w:val="32"/>
        </w:rPr>
        <w:t>215.7</w:t>
      </w:r>
      <w:r>
        <w:rPr>
          <w:rFonts w:hint="eastAsia" w:ascii="仿宋" w:hAnsi="仿宋" w:eastAsia="仿宋"/>
          <w:sz w:val="32"/>
          <w:szCs w:val="32"/>
        </w:rPr>
        <w:t>万元。与2022年度相比，收、支总计各增加</w:t>
      </w:r>
      <w:r>
        <w:rPr>
          <w:rFonts w:hint="eastAsia" w:ascii="仿宋" w:hAnsi="仿宋" w:eastAsia="仿宋"/>
          <w:sz w:val="32"/>
          <w:szCs w:val="32"/>
          <w:lang w:val="en-US" w:eastAsia="zh-CN"/>
        </w:rPr>
        <w:t>27.28</w:t>
      </w:r>
      <w:r>
        <w:rPr>
          <w:rFonts w:hint="eastAsia" w:ascii="仿宋" w:hAnsi="仿宋" w:eastAsia="仿宋"/>
          <w:sz w:val="32"/>
          <w:szCs w:val="32"/>
        </w:rPr>
        <w:t>万元，增长</w:t>
      </w:r>
      <w:r>
        <w:rPr>
          <w:rFonts w:hint="eastAsia" w:ascii="仿宋" w:hAnsi="仿宋" w:eastAsia="仿宋"/>
          <w:sz w:val="32"/>
          <w:szCs w:val="32"/>
          <w:lang w:val="en-US" w:eastAsia="zh-CN"/>
        </w:rPr>
        <w:t>14.48</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eastAsia="zh-CN"/>
        </w:rPr>
        <w:t>人员增加。</w:t>
      </w:r>
    </w:p>
    <w:p>
      <w:pPr>
        <w:spacing w:line="600" w:lineRule="exact"/>
        <w:ind w:firstLine="640"/>
        <w:rPr>
          <w:rFonts w:ascii="仿宋" w:hAnsi="仿宋" w:eastAsia="仿宋"/>
          <w:b/>
          <w:sz w:val="32"/>
          <w:szCs w:val="32"/>
        </w:rPr>
      </w:pPr>
    </w:p>
    <w:p>
      <w:pPr>
        <w:spacing w:line="600" w:lineRule="exact"/>
        <w:ind w:firstLine="640" w:firstLineChars="200"/>
        <w:outlineLvl w:val="1"/>
        <w:rPr>
          <w:rStyle w:val="34"/>
          <w:rFonts w:ascii="黑体" w:hAnsi="黑体" w:eastAsia="黑体"/>
          <w:b w:val="0"/>
        </w:rPr>
      </w:pPr>
      <w:bookmarkStart w:id="40" w:name="_Toc15396607"/>
      <w:bookmarkStart w:id="41" w:name="_Toc15377209"/>
      <w:bookmarkStart w:id="42" w:name="_Toc24718"/>
      <w:r>
        <w:rPr>
          <w:rFonts w:hint="eastAsia" w:ascii="黑体" w:hAnsi="黑体" w:eastAsia="黑体"/>
          <w:sz w:val="32"/>
          <w:szCs w:val="32"/>
        </w:rPr>
        <w:t>五、</w:t>
      </w:r>
      <w:r>
        <w:rPr>
          <w:rFonts w:hint="eastAsia" w:ascii="黑体" w:hAnsi="黑体" w:eastAsia="黑体"/>
          <w:b/>
          <w:sz w:val="32"/>
          <w:szCs w:val="32"/>
        </w:rPr>
        <w:t>一</w:t>
      </w:r>
      <w:r>
        <w:rPr>
          <w:rStyle w:val="34"/>
          <w:rFonts w:hint="eastAsia" w:ascii="黑体" w:hAnsi="黑体" w:eastAsia="黑体"/>
          <w:b w:val="0"/>
        </w:rPr>
        <w:t>般公共预算财政拨款支出决算情况说明</w:t>
      </w:r>
      <w:bookmarkEnd w:id="40"/>
      <w:bookmarkEnd w:id="41"/>
      <w:bookmarkEnd w:id="42"/>
    </w:p>
    <w:p>
      <w:pPr>
        <w:spacing w:line="600" w:lineRule="exact"/>
        <w:ind w:firstLine="643" w:firstLineChars="200"/>
        <w:outlineLvl w:val="2"/>
        <w:rPr>
          <w:rFonts w:ascii="仿宋" w:hAnsi="仿宋" w:eastAsia="仿宋"/>
          <w:b/>
          <w:sz w:val="32"/>
          <w:szCs w:val="32"/>
        </w:rPr>
      </w:pPr>
      <w:bookmarkStart w:id="43" w:name="_Toc15377210"/>
      <w:bookmarkStart w:id="44" w:name="_Toc9533"/>
      <w:r>
        <w:rPr>
          <w:rFonts w:hint="eastAsia" w:ascii="仿宋" w:hAnsi="仿宋" w:eastAsia="仿宋"/>
          <w:b/>
          <w:sz w:val="32"/>
          <w:szCs w:val="32"/>
        </w:rPr>
        <w:t>（一）一般公共预算财政拨款支出决算总体情况</w:t>
      </w:r>
      <w:bookmarkEnd w:id="43"/>
      <w:bookmarkEnd w:id="44"/>
    </w:p>
    <w:p>
      <w:pPr>
        <w:spacing w:line="600" w:lineRule="exact"/>
        <w:ind w:firstLine="640" w:firstLineChars="200"/>
        <w:rPr>
          <w:rFonts w:ascii="仿宋" w:hAnsi="仿宋" w:eastAsia="仿宋"/>
          <w:sz w:val="32"/>
          <w:szCs w:val="32"/>
        </w:rPr>
      </w:pPr>
      <w:r>
        <w:rPr>
          <w:rFonts w:hint="eastAsia" w:ascii="仿宋" w:hAnsi="仿宋" w:eastAsia="仿宋"/>
          <w:sz w:val="32"/>
          <w:szCs w:val="32"/>
        </w:rPr>
        <w:t>2023年度一般公共预算财政拨款支出</w:t>
      </w:r>
      <w:r>
        <w:rPr>
          <w:rFonts w:ascii="仿宋" w:hAnsi="仿宋" w:eastAsia="仿宋"/>
          <w:b/>
          <w:sz w:val="32"/>
          <w:szCs w:val="32"/>
        </w:rPr>
        <w:t>2</w:t>
      </w:r>
      <w:r>
        <w:rPr>
          <w:rFonts w:hint="eastAsia" w:ascii="仿宋" w:hAnsi="仿宋" w:eastAsia="仿宋"/>
          <w:b/>
          <w:sz w:val="32"/>
          <w:szCs w:val="32"/>
        </w:rPr>
        <w:t>215.7</w:t>
      </w:r>
      <w:r>
        <w:rPr>
          <w:rFonts w:hint="eastAsia" w:ascii="仿宋" w:hAnsi="仿宋" w:eastAsia="仿宋"/>
          <w:sz w:val="32"/>
          <w:szCs w:val="32"/>
        </w:rPr>
        <w:t>万元。与2022年度相比，收、支总计各增加</w:t>
      </w:r>
      <w:r>
        <w:rPr>
          <w:rFonts w:hint="eastAsia" w:ascii="仿宋" w:hAnsi="仿宋" w:eastAsia="仿宋"/>
          <w:sz w:val="32"/>
          <w:szCs w:val="32"/>
          <w:lang w:val="en-US" w:eastAsia="zh-CN"/>
        </w:rPr>
        <w:t>27.28</w:t>
      </w:r>
      <w:r>
        <w:rPr>
          <w:rFonts w:hint="eastAsia" w:ascii="仿宋" w:hAnsi="仿宋" w:eastAsia="仿宋"/>
          <w:sz w:val="32"/>
          <w:szCs w:val="32"/>
        </w:rPr>
        <w:t>万元，增长</w:t>
      </w:r>
      <w:r>
        <w:rPr>
          <w:rFonts w:hint="eastAsia" w:ascii="仿宋" w:hAnsi="仿宋" w:eastAsia="仿宋"/>
          <w:sz w:val="32"/>
          <w:szCs w:val="32"/>
          <w:lang w:val="en-US" w:eastAsia="zh-CN"/>
        </w:rPr>
        <w:t>14.48</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eastAsia="zh-CN"/>
        </w:rPr>
        <w:t>人员增加。</w:t>
      </w:r>
    </w:p>
    <w:p>
      <w:pPr>
        <w:spacing w:line="600" w:lineRule="exact"/>
        <w:ind w:firstLine="640" w:firstLineChars="200"/>
        <w:rPr>
          <w:rFonts w:ascii="仿宋" w:hAnsi="仿宋" w:eastAsia="仿宋"/>
          <w:sz w:val="32"/>
          <w:szCs w:val="32"/>
        </w:rPr>
      </w:pPr>
    </w:p>
    <w:p>
      <w:pPr>
        <w:spacing w:line="600" w:lineRule="exact"/>
        <w:ind w:firstLine="643" w:firstLineChars="200"/>
        <w:outlineLvl w:val="2"/>
        <w:rPr>
          <w:rFonts w:ascii="仿宋" w:hAnsi="仿宋" w:eastAsia="仿宋"/>
          <w:b/>
          <w:sz w:val="32"/>
          <w:szCs w:val="32"/>
        </w:rPr>
      </w:pPr>
      <w:bookmarkStart w:id="45" w:name="_Toc15377211"/>
      <w:bookmarkStart w:id="46" w:name="_Toc7181"/>
      <w:r>
        <w:rPr>
          <w:rFonts w:hint="eastAsia" w:ascii="仿宋" w:hAnsi="仿宋" w:eastAsia="仿宋"/>
          <w:b/>
          <w:sz w:val="32"/>
          <w:szCs w:val="32"/>
        </w:rPr>
        <w:t>（二）一般公共预算财政拨款支出决算结构情况</w:t>
      </w:r>
      <w:bookmarkEnd w:id="45"/>
      <w:bookmarkEnd w:id="46"/>
    </w:p>
    <w:p>
      <w:pPr>
        <w:spacing w:line="600" w:lineRule="exact"/>
        <w:ind w:firstLine="640"/>
        <w:rPr>
          <w:rFonts w:ascii="仿宋" w:hAnsi="仿宋" w:eastAsia="仿宋"/>
          <w:b/>
          <w:sz w:val="32"/>
          <w:szCs w:val="32"/>
        </w:rPr>
      </w:pPr>
      <w:r>
        <w:rPr>
          <w:rFonts w:hint="eastAsia" w:ascii="仿宋" w:hAnsi="仿宋" w:eastAsia="仿宋"/>
          <w:sz w:val="32"/>
          <w:szCs w:val="32"/>
        </w:rPr>
        <w:t>2023年度一般公共预算财政拨款支出</w:t>
      </w:r>
      <w:r>
        <w:rPr>
          <w:rFonts w:ascii="仿宋" w:hAnsi="仿宋" w:eastAsia="仿宋"/>
          <w:b/>
          <w:sz w:val="32"/>
          <w:szCs w:val="32"/>
        </w:rPr>
        <w:t>215.7</w:t>
      </w:r>
      <w:r>
        <w:rPr>
          <w:rFonts w:hint="eastAsia" w:ascii="仿宋" w:hAnsi="仿宋" w:eastAsia="仿宋"/>
          <w:sz w:val="32"/>
          <w:szCs w:val="32"/>
        </w:rPr>
        <w:t>万元，主要用于以下方面</w:t>
      </w:r>
      <w:r>
        <w:rPr>
          <w:rFonts w:ascii="仿宋" w:hAnsi="仿宋" w:eastAsia="仿宋"/>
          <w:sz w:val="32"/>
          <w:szCs w:val="32"/>
        </w:rPr>
        <w:t>:</w:t>
      </w:r>
      <w:r>
        <w:rPr>
          <w:rFonts w:hint="eastAsia" w:ascii="仿宋" w:hAnsi="仿宋" w:eastAsia="仿宋"/>
          <w:b/>
          <w:sz w:val="32"/>
          <w:szCs w:val="32"/>
        </w:rPr>
        <w:t>一般公共服务</w:t>
      </w:r>
      <w:r>
        <w:rPr>
          <w:rFonts w:hint="eastAsia" w:ascii="仿宋" w:hAnsi="仿宋" w:eastAsia="仿宋"/>
          <w:b/>
          <w:bCs/>
          <w:sz w:val="32"/>
          <w:szCs w:val="32"/>
        </w:rPr>
        <w:t>支出</w:t>
      </w:r>
      <w:r>
        <w:rPr>
          <w:rFonts w:hint="eastAsia" w:ascii="仿宋" w:hAnsi="仿宋" w:eastAsia="仿宋"/>
          <w:sz w:val="32"/>
          <w:szCs w:val="32"/>
          <w:lang w:val="en-US" w:eastAsia="zh-CN"/>
        </w:rPr>
        <w:t>160.07</w:t>
      </w:r>
      <w:r>
        <w:rPr>
          <w:rFonts w:hint="eastAsia" w:ascii="仿宋" w:hAnsi="仿宋" w:eastAsia="仿宋"/>
          <w:sz w:val="32"/>
          <w:szCs w:val="32"/>
        </w:rPr>
        <w:t>万元，占</w:t>
      </w:r>
      <w:r>
        <w:rPr>
          <w:rFonts w:hint="eastAsia" w:ascii="仿宋" w:hAnsi="仿宋" w:eastAsia="仿宋"/>
          <w:sz w:val="32"/>
          <w:szCs w:val="32"/>
          <w:lang w:val="en-US" w:eastAsia="zh-CN"/>
        </w:rPr>
        <w:t>74.21</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社会保障和就业</w:t>
      </w:r>
      <w:r>
        <w:rPr>
          <w:rFonts w:hint="eastAsia" w:ascii="仿宋" w:hAnsi="仿宋" w:eastAsia="仿宋"/>
          <w:b/>
          <w:bCs/>
          <w:sz w:val="32"/>
          <w:szCs w:val="32"/>
        </w:rPr>
        <w:t>支出</w:t>
      </w:r>
      <w:r>
        <w:rPr>
          <w:rFonts w:hint="eastAsia" w:ascii="仿宋" w:hAnsi="仿宋" w:eastAsia="仿宋"/>
          <w:sz w:val="32"/>
          <w:szCs w:val="32"/>
          <w:lang w:val="en-US" w:eastAsia="zh-CN"/>
        </w:rPr>
        <w:t>28.05</w:t>
      </w:r>
      <w:r>
        <w:rPr>
          <w:rFonts w:hint="eastAsia" w:ascii="仿宋" w:hAnsi="仿宋" w:eastAsia="仿宋"/>
          <w:sz w:val="32"/>
          <w:szCs w:val="32"/>
        </w:rPr>
        <w:t>万元，占</w:t>
      </w:r>
      <w:r>
        <w:rPr>
          <w:rFonts w:hint="eastAsia" w:ascii="仿宋" w:hAnsi="仿宋" w:eastAsia="仿宋"/>
          <w:sz w:val="32"/>
          <w:szCs w:val="32"/>
          <w:lang w:val="en-US" w:eastAsia="zh-CN"/>
        </w:rPr>
        <w:t>2.69</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卫生健康支出</w:t>
      </w:r>
      <w:r>
        <w:rPr>
          <w:rFonts w:hint="eastAsia" w:ascii="仿宋" w:hAnsi="仿宋" w:eastAsia="仿宋"/>
          <w:sz w:val="32"/>
          <w:szCs w:val="32"/>
          <w:lang w:val="en-US" w:eastAsia="zh-CN"/>
        </w:rPr>
        <w:t>12.52</w:t>
      </w:r>
      <w:r>
        <w:rPr>
          <w:rFonts w:hint="eastAsia" w:ascii="仿宋" w:hAnsi="仿宋" w:eastAsia="仿宋"/>
          <w:sz w:val="32"/>
          <w:szCs w:val="32"/>
        </w:rPr>
        <w:t>万元，占</w:t>
      </w:r>
      <w:r>
        <w:rPr>
          <w:rFonts w:hint="eastAsia" w:ascii="仿宋" w:hAnsi="仿宋" w:eastAsia="仿宋"/>
          <w:sz w:val="32"/>
          <w:szCs w:val="32"/>
          <w:lang w:val="en-US" w:eastAsia="zh-CN"/>
        </w:rPr>
        <w:t>1.2</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住房保障支出</w:t>
      </w:r>
      <w:r>
        <w:rPr>
          <w:rFonts w:hint="eastAsia" w:ascii="仿宋" w:hAnsi="仿宋" w:eastAsia="仿宋"/>
          <w:sz w:val="32"/>
          <w:szCs w:val="32"/>
          <w:lang w:val="en-US" w:eastAsia="zh-CN"/>
        </w:rPr>
        <w:t>15.05</w:t>
      </w:r>
      <w:r>
        <w:rPr>
          <w:rFonts w:hint="eastAsia" w:ascii="仿宋" w:hAnsi="仿宋" w:eastAsia="仿宋"/>
          <w:sz w:val="32"/>
          <w:szCs w:val="32"/>
        </w:rPr>
        <w:t>万元，占</w:t>
      </w:r>
      <w:r>
        <w:rPr>
          <w:rFonts w:hint="eastAsia" w:ascii="仿宋" w:hAnsi="仿宋" w:eastAsia="仿宋"/>
          <w:sz w:val="32"/>
          <w:szCs w:val="32"/>
          <w:lang w:val="en-US" w:eastAsia="zh-CN"/>
        </w:rPr>
        <w:t>1.45</w:t>
      </w:r>
      <w:r>
        <w:rPr>
          <w:rFonts w:ascii="仿宋" w:hAnsi="仿宋" w:eastAsia="仿宋"/>
          <w:sz w:val="32"/>
          <w:szCs w:val="32"/>
        </w:rPr>
        <w:t>%</w:t>
      </w:r>
      <w:r>
        <w:rPr>
          <w:rFonts w:hint="eastAsia" w:ascii="仿宋" w:hAnsi="仿宋" w:eastAsia="仿宋"/>
          <w:sz w:val="32"/>
          <w:szCs w:val="32"/>
        </w:rPr>
        <w:t>。</w:t>
      </w:r>
    </w:p>
    <w:p>
      <w:pPr>
        <w:spacing w:line="600" w:lineRule="exact"/>
        <w:ind w:firstLine="640" w:firstLineChars="200"/>
        <w:rPr>
          <w:rFonts w:ascii="仿宋" w:hAnsi="仿宋" w:eastAsia="仿宋"/>
          <w:sz w:val="32"/>
          <w:szCs w:val="32"/>
        </w:rPr>
      </w:pPr>
    </w:p>
    <w:p>
      <w:pPr>
        <w:spacing w:line="600" w:lineRule="exact"/>
        <w:ind w:firstLine="643" w:firstLineChars="200"/>
        <w:outlineLvl w:val="2"/>
        <w:rPr>
          <w:rFonts w:ascii="仿宋" w:hAnsi="仿宋" w:eastAsia="仿宋"/>
          <w:b/>
          <w:sz w:val="32"/>
          <w:szCs w:val="32"/>
        </w:rPr>
      </w:pPr>
      <w:bookmarkStart w:id="47" w:name="_Toc15377212"/>
      <w:bookmarkStart w:id="48" w:name="_Toc3443"/>
      <w:r>
        <w:rPr>
          <w:rFonts w:hint="eastAsia" w:ascii="仿宋" w:hAnsi="仿宋" w:eastAsia="仿宋"/>
          <w:b/>
          <w:sz w:val="32"/>
          <w:szCs w:val="32"/>
        </w:rPr>
        <w:t>（三）一般公共预算财政拨款支出决算具体情况</w:t>
      </w:r>
      <w:bookmarkEnd w:id="47"/>
      <w:bookmarkEnd w:id="48"/>
    </w:p>
    <w:p>
      <w:pPr>
        <w:spacing w:line="600" w:lineRule="exact"/>
        <w:ind w:firstLine="640"/>
        <w:rPr>
          <w:rFonts w:hint="eastAsia" w:ascii="仿宋" w:hAnsi="仿宋" w:eastAsia="仿宋"/>
          <w:sz w:val="32"/>
          <w:szCs w:val="32"/>
        </w:rPr>
      </w:pPr>
      <w:bookmarkStart w:id="49" w:name="_Toc15377213"/>
      <w:bookmarkStart w:id="50" w:name="_Toc15378460"/>
      <w:bookmarkStart w:id="51" w:name="_Toc15377444"/>
      <w:r>
        <w:rPr>
          <w:rFonts w:hint="eastAsia" w:ascii="仿宋" w:hAnsi="仿宋" w:eastAsia="仿宋"/>
          <w:sz w:val="32"/>
          <w:szCs w:val="32"/>
        </w:rPr>
        <w:t>2023年度一般公共预算支出决算数为215.7</w:t>
      </w:r>
      <w:r>
        <w:rPr>
          <w:rFonts w:hint="eastAsia" w:ascii="仿宋" w:hAnsi="仿宋" w:eastAsia="仿宋"/>
          <w:sz w:val="32"/>
          <w:szCs w:val="32"/>
          <w:lang w:eastAsia="zh-CN"/>
        </w:rPr>
        <w:t>万元</w:t>
      </w:r>
      <w:r>
        <w:rPr>
          <w:rFonts w:hint="eastAsia" w:ascii="仿宋" w:hAnsi="仿宋" w:eastAsia="仿宋"/>
          <w:sz w:val="32"/>
          <w:szCs w:val="32"/>
        </w:rPr>
        <w:t>，完成预算</w:t>
      </w:r>
      <w:r>
        <w:rPr>
          <w:rFonts w:hint="eastAsia" w:ascii="仿宋" w:hAnsi="仿宋" w:eastAsia="仿宋"/>
          <w:sz w:val="32"/>
          <w:szCs w:val="32"/>
          <w:lang w:val="en-US" w:eastAsia="zh-CN"/>
        </w:rPr>
        <w:t>100</w:t>
      </w:r>
      <w:r>
        <w:rPr>
          <w:rFonts w:hint="eastAsia" w:ascii="仿宋" w:hAnsi="仿宋" w:eastAsia="仿宋"/>
          <w:sz w:val="32"/>
          <w:szCs w:val="32"/>
        </w:rPr>
        <w:t>%。其中：</w:t>
      </w:r>
      <w:bookmarkEnd w:id="49"/>
      <w:bookmarkEnd w:id="50"/>
      <w:bookmarkEnd w:id="51"/>
    </w:p>
    <w:p>
      <w:pPr>
        <w:pStyle w:val="39"/>
        <w:shd w:val="clear" w:fill="FFFFFF"/>
        <w:ind w:left="0" w:firstLine="482" w:firstLineChars="200"/>
        <w:rPr>
          <w:rStyle w:val="22"/>
          <w:rFonts w:hint="eastAsia" w:ascii="仿宋" w:hAnsi="仿宋" w:eastAsia="仿宋" w:cs="Times New Roman"/>
          <w:b w:val="0"/>
          <w:bCs w:val="0"/>
          <w:kern w:val="2"/>
          <w:sz w:val="32"/>
          <w:szCs w:val="32"/>
          <w:lang w:val="en-US" w:eastAsia="zh-CN" w:bidi="ar-SA"/>
        </w:rPr>
      </w:pPr>
      <w:r>
        <w:rPr>
          <w:rStyle w:val="22"/>
          <w:rFonts w:hint="eastAsia" w:ascii="仿宋" w:hAnsi="仿宋" w:eastAsia="仿宋" w:cs="Times New Roman"/>
          <w:bCs/>
          <w:kern w:val="2"/>
          <w:sz w:val="32"/>
          <w:szCs w:val="32"/>
          <w:lang w:val="en-US" w:eastAsia="zh-CN" w:bidi="ar-SA"/>
        </w:rPr>
        <w:t xml:space="preserve">1.一般公共服务（201）政府办公厅（室）及相关机构事务（03）事业运行（50）: </w:t>
      </w:r>
      <w:r>
        <w:rPr>
          <w:rStyle w:val="22"/>
          <w:rFonts w:hint="eastAsia" w:ascii="仿宋" w:hAnsi="仿宋" w:eastAsia="仿宋" w:cs="Times New Roman"/>
          <w:b w:val="0"/>
          <w:bCs w:val="0"/>
          <w:kern w:val="2"/>
          <w:sz w:val="32"/>
          <w:szCs w:val="32"/>
          <w:lang w:val="en-US" w:eastAsia="zh-CN" w:bidi="ar-SA"/>
        </w:rPr>
        <w:t>支出决算为160.07万元，完成预算100%。</w:t>
      </w:r>
    </w:p>
    <w:p>
      <w:pPr>
        <w:pStyle w:val="39"/>
        <w:shd w:val="clear" w:fill="FFFFFF"/>
        <w:ind w:left="0" w:firstLine="482" w:firstLineChars="200"/>
        <w:rPr>
          <w:rStyle w:val="22"/>
          <w:rFonts w:hint="eastAsia" w:ascii="仿宋" w:hAnsi="仿宋" w:eastAsia="仿宋" w:cs="Times New Roman"/>
          <w:b w:val="0"/>
          <w:bCs w:val="0"/>
          <w:kern w:val="2"/>
          <w:sz w:val="32"/>
          <w:szCs w:val="32"/>
          <w:lang w:val="en-US" w:eastAsia="zh-CN" w:bidi="ar-SA"/>
        </w:rPr>
      </w:pPr>
    </w:p>
    <w:p>
      <w:pPr>
        <w:pStyle w:val="39"/>
        <w:shd w:val="clear" w:fill="FFFFFF"/>
        <w:ind w:left="0" w:firstLine="482" w:firstLineChars="200"/>
        <w:rPr>
          <w:rStyle w:val="22"/>
          <w:rFonts w:hint="eastAsia" w:ascii="仿宋" w:hAnsi="仿宋" w:eastAsia="仿宋" w:cs="Times New Roman"/>
          <w:bCs/>
          <w:kern w:val="2"/>
          <w:sz w:val="32"/>
          <w:szCs w:val="32"/>
          <w:lang w:val="en-US" w:eastAsia="zh-CN" w:bidi="ar-SA"/>
        </w:rPr>
      </w:pPr>
      <w:r>
        <w:rPr>
          <w:rStyle w:val="22"/>
          <w:rFonts w:hint="eastAsia" w:ascii="仿宋" w:hAnsi="仿宋" w:eastAsia="仿宋" w:cs="Times New Roman"/>
          <w:bCs/>
          <w:kern w:val="2"/>
          <w:sz w:val="32"/>
          <w:szCs w:val="32"/>
          <w:lang w:val="en-US" w:eastAsia="zh-CN" w:bidi="ar-SA"/>
        </w:rPr>
        <w:t>2.社会保障和就业（208）行政事业单位养老支出（05）机关事业单位基本养老保险缴费支出（05）:</w:t>
      </w:r>
      <w:r>
        <w:rPr>
          <w:rStyle w:val="22"/>
          <w:rFonts w:hint="eastAsia" w:ascii="仿宋" w:hAnsi="仿宋" w:eastAsia="仿宋" w:cs="Times New Roman"/>
          <w:b w:val="0"/>
          <w:bCs w:val="0"/>
          <w:kern w:val="2"/>
          <w:sz w:val="32"/>
          <w:szCs w:val="32"/>
          <w:lang w:val="en-US" w:eastAsia="zh-CN" w:bidi="ar-SA"/>
        </w:rPr>
        <w:t xml:space="preserve"> 支出决算为18.7万元，完成预算100%。</w:t>
      </w:r>
    </w:p>
    <w:p>
      <w:pPr>
        <w:pStyle w:val="39"/>
        <w:shd w:val="clear" w:fill="FFFFFF"/>
        <w:ind w:left="0" w:firstLine="482" w:firstLineChars="200"/>
        <w:rPr>
          <w:rStyle w:val="22"/>
          <w:rFonts w:hint="eastAsia" w:ascii="仿宋" w:hAnsi="仿宋" w:eastAsia="仿宋" w:cs="Times New Roman"/>
          <w:b w:val="0"/>
          <w:bCs w:val="0"/>
          <w:kern w:val="2"/>
          <w:sz w:val="32"/>
          <w:szCs w:val="32"/>
          <w:lang w:val="en-US" w:eastAsia="zh-CN" w:bidi="ar-SA"/>
        </w:rPr>
      </w:pPr>
      <w:r>
        <w:rPr>
          <w:rStyle w:val="22"/>
          <w:rFonts w:hint="eastAsia" w:ascii="仿宋" w:hAnsi="仿宋" w:eastAsia="仿宋" w:cs="Times New Roman"/>
          <w:bCs/>
          <w:kern w:val="2"/>
          <w:sz w:val="32"/>
          <w:szCs w:val="32"/>
          <w:lang w:val="en-US" w:eastAsia="zh-CN" w:bidi="ar-SA"/>
        </w:rPr>
        <w:t xml:space="preserve">3.社会保障和就业（208）行政事业单位养老支出（05）机关事业单位职业年金缴费支出（06）: </w:t>
      </w:r>
      <w:r>
        <w:rPr>
          <w:rStyle w:val="22"/>
          <w:rFonts w:hint="eastAsia" w:ascii="仿宋" w:hAnsi="仿宋" w:eastAsia="仿宋" w:cs="Times New Roman"/>
          <w:b w:val="0"/>
          <w:bCs w:val="0"/>
          <w:kern w:val="2"/>
          <w:sz w:val="32"/>
          <w:szCs w:val="32"/>
          <w:lang w:val="en-US" w:eastAsia="zh-CN" w:bidi="ar-SA"/>
        </w:rPr>
        <w:t>支出决算为9.35万元，完成预算100%。</w:t>
      </w:r>
    </w:p>
    <w:p>
      <w:pPr>
        <w:pStyle w:val="39"/>
        <w:shd w:val="clear" w:fill="FFFFFF"/>
        <w:ind w:left="0" w:firstLine="482" w:firstLineChars="200"/>
        <w:rPr>
          <w:rStyle w:val="22"/>
          <w:rFonts w:hint="eastAsia" w:ascii="仿宋" w:hAnsi="仿宋" w:eastAsia="仿宋" w:cs="Times New Roman"/>
          <w:bCs/>
          <w:kern w:val="2"/>
          <w:sz w:val="32"/>
          <w:szCs w:val="32"/>
          <w:lang w:val="en-US" w:eastAsia="zh-CN" w:bidi="ar-SA"/>
        </w:rPr>
      </w:pPr>
      <w:r>
        <w:rPr>
          <w:rStyle w:val="22"/>
          <w:rFonts w:hint="eastAsia" w:ascii="仿宋" w:hAnsi="仿宋" w:eastAsia="仿宋" w:cs="Times New Roman"/>
          <w:bCs/>
          <w:kern w:val="2"/>
          <w:sz w:val="32"/>
          <w:szCs w:val="32"/>
          <w:lang w:val="en-US" w:eastAsia="zh-CN" w:bidi="ar-SA"/>
        </w:rPr>
        <w:t>4.卫生健康（210）行政事业单位医疗（11）事业单位医疗（02）:</w:t>
      </w:r>
      <w:r>
        <w:rPr>
          <w:rStyle w:val="22"/>
          <w:rFonts w:hint="eastAsia" w:ascii="仿宋" w:hAnsi="仿宋" w:eastAsia="仿宋" w:cs="Times New Roman"/>
          <w:b w:val="0"/>
          <w:bCs w:val="0"/>
          <w:kern w:val="2"/>
          <w:sz w:val="32"/>
          <w:szCs w:val="32"/>
          <w:lang w:val="en-US" w:eastAsia="zh-CN" w:bidi="ar-SA"/>
        </w:rPr>
        <w:t>支出决算为9.62万元，完成预算100%。</w:t>
      </w:r>
    </w:p>
    <w:p>
      <w:pPr>
        <w:pStyle w:val="39"/>
        <w:shd w:val="clear" w:fill="FFFFFF"/>
        <w:ind w:left="0" w:firstLine="482" w:firstLineChars="200"/>
        <w:rPr>
          <w:rStyle w:val="22"/>
          <w:rFonts w:hint="eastAsia" w:ascii="仿宋" w:hAnsi="仿宋" w:eastAsia="仿宋" w:cs="Times New Roman"/>
          <w:bCs/>
          <w:kern w:val="2"/>
          <w:sz w:val="32"/>
          <w:szCs w:val="32"/>
          <w:lang w:val="en-US" w:eastAsia="zh-CN" w:bidi="ar-SA"/>
        </w:rPr>
      </w:pPr>
      <w:r>
        <w:rPr>
          <w:rStyle w:val="22"/>
          <w:rFonts w:hint="eastAsia" w:ascii="仿宋" w:hAnsi="仿宋" w:eastAsia="仿宋" w:cs="Times New Roman"/>
          <w:bCs/>
          <w:kern w:val="2"/>
          <w:sz w:val="32"/>
          <w:szCs w:val="32"/>
          <w:lang w:val="en-US" w:eastAsia="zh-CN" w:bidi="ar-SA"/>
        </w:rPr>
        <w:t>5.卫生健康（210）行政事业单位医疗（11）公务员医疗补助（03）:</w:t>
      </w:r>
      <w:r>
        <w:rPr>
          <w:rStyle w:val="22"/>
          <w:rFonts w:hint="eastAsia" w:ascii="仿宋" w:hAnsi="仿宋" w:eastAsia="仿宋" w:cs="Times New Roman"/>
          <w:b w:val="0"/>
          <w:bCs w:val="0"/>
          <w:kern w:val="2"/>
          <w:sz w:val="32"/>
          <w:szCs w:val="32"/>
          <w:lang w:val="en-US" w:eastAsia="zh-CN" w:bidi="ar-SA"/>
        </w:rPr>
        <w:t>支出决算为2.9万元，完成预算100%。</w:t>
      </w:r>
    </w:p>
    <w:p>
      <w:pPr>
        <w:spacing w:line="600" w:lineRule="exact"/>
        <w:ind w:firstLine="643" w:firstLineChars="200"/>
        <w:rPr>
          <w:rFonts w:ascii="仿宋" w:hAnsi="仿宋" w:eastAsia="仿宋"/>
          <w:b/>
          <w:sz w:val="32"/>
          <w:szCs w:val="32"/>
        </w:rPr>
      </w:pPr>
      <w:r>
        <w:rPr>
          <w:rStyle w:val="22"/>
          <w:rFonts w:hint="eastAsia" w:ascii="仿宋" w:hAnsi="仿宋" w:eastAsia="仿宋" w:cs="Times New Roman"/>
          <w:bCs/>
          <w:kern w:val="2"/>
          <w:sz w:val="32"/>
          <w:szCs w:val="32"/>
          <w:lang w:val="en-US" w:eastAsia="zh-CN" w:bidi="ar-SA"/>
        </w:rPr>
        <w:t>6.住房保障支出（221）住房改革支出（02）住房公积金（01）:</w:t>
      </w:r>
      <w:r>
        <w:rPr>
          <w:rStyle w:val="22"/>
          <w:rFonts w:hint="eastAsia" w:ascii="仿宋" w:hAnsi="仿宋" w:eastAsia="仿宋" w:cs="Times New Roman"/>
          <w:b w:val="0"/>
          <w:bCs w:val="0"/>
          <w:kern w:val="2"/>
          <w:sz w:val="32"/>
          <w:szCs w:val="32"/>
          <w:lang w:val="en-US" w:eastAsia="zh-CN" w:bidi="ar-SA"/>
        </w:rPr>
        <w:t>支出决算为15.05万元，完成预算100%。</w:t>
      </w:r>
    </w:p>
    <w:p>
      <w:pPr>
        <w:spacing w:line="600" w:lineRule="exact"/>
        <w:ind w:firstLine="640"/>
        <w:rPr>
          <w:rFonts w:ascii="仿宋" w:hAnsi="仿宋" w:eastAsia="仿宋"/>
          <w:b/>
          <w:sz w:val="32"/>
          <w:szCs w:val="32"/>
        </w:rPr>
      </w:pPr>
    </w:p>
    <w:p>
      <w:pPr>
        <w:tabs>
          <w:tab w:val="right" w:pos="8306"/>
        </w:tabs>
        <w:spacing w:line="600" w:lineRule="exact"/>
        <w:ind w:firstLine="640"/>
        <w:outlineLvl w:val="1"/>
        <w:rPr>
          <w:rStyle w:val="34"/>
        </w:rPr>
      </w:pPr>
      <w:bookmarkStart w:id="52" w:name="_Toc15377214"/>
      <w:bookmarkStart w:id="53" w:name="_Toc15396608"/>
      <w:bookmarkStart w:id="54" w:name="_Toc2675"/>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34"/>
          <w:rFonts w:hint="eastAsia" w:ascii="黑体" w:hAnsi="黑体" w:eastAsia="黑体"/>
          <w:b w:val="0"/>
        </w:rPr>
        <w:t>般公共预算财政拨款基本支出决算情况说明</w:t>
      </w:r>
      <w:bookmarkEnd w:id="52"/>
      <w:bookmarkEnd w:id="53"/>
      <w:bookmarkEnd w:id="54"/>
      <w:r>
        <w:rPr>
          <w:rStyle w:val="34"/>
          <w:rFonts w:ascii="黑体" w:hAnsi="黑体" w:eastAsia="黑体"/>
          <w:b w:val="0"/>
        </w:rPr>
        <w:tab/>
      </w:r>
    </w:p>
    <w:p>
      <w:pPr>
        <w:spacing w:line="600" w:lineRule="exact"/>
        <w:ind w:firstLine="645"/>
        <w:rPr>
          <w:rFonts w:ascii="仿宋" w:hAnsi="仿宋" w:eastAsia="仿宋"/>
          <w:sz w:val="32"/>
          <w:szCs w:val="32"/>
        </w:rPr>
      </w:pPr>
      <w:r>
        <w:rPr>
          <w:rFonts w:hint="eastAsia" w:ascii="仿宋" w:hAnsi="仿宋" w:eastAsia="仿宋"/>
          <w:sz w:val="32"/>
          <w:szCs w:val="32"/>
        </w:rPr>
        <w:t>2023年度一般公共预算财政拨款基本支出</w:t>
      </w:r>
      <w:r>
        <w:rPr>
          <w:rFonts w:ascii="仿宋" w:hAnsi="仿宋" w:eastAsia="仿宋"/>
          <w:b/>
          <w:sz w:val="32"/>
          <w:szCs w:val="32"/>
        </w:rPr>
        <w:t>215.7</w:t>
      </w:r>
      <w:r>
        <w:rPr>
          <w:rFonts w:hint="eastAsia" w:ascii="仿宋" w:hAnsi="仿宋" w:eastAsia="仿宋"/>
          <w:sz w:val="32"/>
          <w:szCs w:val="32"/>
        </w:rPr>
        <w:t>万元，其中：</w:t>
      </w:r>
    </w:p>
    <w:p>
      <w:pPr>
        <w:spacing w:line="600" w:lineRule="exact"/>
        <w:ind w:firstLine="645"/>
        <w:rPr>
          <w:rFonts w:ascii="仿宋" w:hAnsi="仿宋" w:eastAsia="仿宋"/>
          <w:sz w:val="32"/>
          <w:szCs w:val="32"/>
        </w:rPr>
      </w:pPr>
      <w:r>
        <w:rPr>
          <w:rFonts w:hint="eastAsia" w:ascii="仿宋" w:hAnsi="仿宋" w:eastAsia="仿宋"/>
          <w:sz w:val="32"/>
          <w:szCs w:val="32"/>
        </w:rPr>
        <w:t>人员经费</w:t>
      </w:r>
      <w:r>
        <w:rPr>
          <w:rFonts w:ascii="仿宋" w:hAnsi="仿宋" w:eastAsia="仿宋"/>
          <w:b/>
          <w:sz w:val="32"/>
          <w:szCs w:val="32"/>
        </w:rPr>
        <w:t>209.16</w:t>
      </w:r>
      <w:r>
        <w:rPr>
          <w:rFonts w:hint="eastAsia" w:ascii="仿宋" w:hAnsi="仿宋" w:eastAsia="仿宋"/>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sz w:val="32"/>
          <w:szCs w:val="32"/>
        </w:rPr>
        <w:br w:type="textWrapping"/>
      </w:r>
      <w:r>
        <w:rPr>
          <w:rFonts w:hint="eastAsia" w:ascii="仿宋" w:hAnsi="仿宋" w:eastAsia="仿宋"/>
          <w:sz w:val="32"/>
          <w:szCs w:val="32"/>
        </w:rPr>
        <w:t>　　公用经费</w:t>
      </w:r>
      <w:r>
        <w:rPr>
          <w:rFonts w:ascii="仿宋" w:hAnsi="仿宋" w:eastAsia="仿宋"/>
          <w:b/>
          <w:sz w:val="32"/>
          <w:szCs w:val="32"/>
        </w:rPr>
        <w:t>6.53</w:t>
      </w:r>
      <w:r>
        <w:rPr>
          <w:rFonts w:hint="eastAsia" w:ascii="仿宋" w:hAnsi="仿宋" w:eastAsia="仿宋"/>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5"/>
        <w:rPr>
          <w:rFonts w:ascii="仿宋" w:hAnsi="仿宋" w:eastAsia="仿宋"/>
          <w:b/>
          <w:sz w:val="32"/>
          <w:szCs w:val="32"/>
        </w:rPr>
      </w:pPr>
      <w:r>
        <w:rPr>
          <w:rFonts w:hint="eastAsia" w:ascii="仿宋" w:hAnsi="仿宋" w:eastAsia="仿宋"/>
          <w:b/>
          <w:sz w:val="32"/>
          <w:szCs w:val="32"/>
        </w:rPr>
        <w:t>（注：数据来源于财决</w:t>
      </w:r>
      <w:r>
        <w:rPr>
          <w:rFonts w:ascii="仿宋" w:hAnsi="仿宋" w:eastAsia="仿宋"/>
          <w:b/>
          <w:sz w:val="32"/>
          <w:szCs w:val="32"/>
        </w:rPr>
        <w:t>0</w:t>
      </w:r>
      <w:r>
        <w:rPr>
          <w:rFonts w:hint="eastAsia" w:ascii="仿宋" w:hAnsi="仿宋" w:eastAsia="仿宋"/>
          <w:b/>
          <w:sz w:val="32"/>
          <w:szCs w:val="32"/>
        </w:rPr>
        <w:t>7表和财决08-1表，仅罗列本单位实际支出涉及的经济分类科目。）</w:t>
      </w:r>
    </w:p>
    <w:p>
      <w:pPr>
        <w:spacing w:line="600" w:lineRule="exact"/>
        <w:ind w:firstLine="640"/>
        <w:rPr>
          <w:rFonts w:ascii="仿宋" w:hAnsi="仿宋" w:eastAsia="仿宋"/>
          <w:b/>
          <w:sz w:val="32"/>
          <w:szCs w:val="32"/>
        </w:rPr>
      </w:pPr>
    </w:p>
    <w:p>
      <w:pPr>
        <w:spacing w:line="600" w:lineRule="exact"/>
        <w:ind w:firstLine="640"/>
        <w:outlineLvl w:val="1"/>
        <w:rPr>
          <w:rStyle w:val="34"/>
          <w:rFonts w:ascii="黑体" w:hAnsi="黑体" w:eastAsia="黑体"/>
          <w:b w:val="0"/>
        </w:rPr>
      </w:pPr>
      <w:bookmarkStart w:id="55" w:name="_Toc15377215"/>
      <w:bookmarkStart w:id="56" w:name="_Toc15396609"/>
      <w:bookmarkStart w:id="57" w:name="_Toc26575"/>
      <w:r>
        <w:rPr>
          <w:rFonts w:hint="eastAsia" w:ascii="黑体" w:eastAsia="黑体"/>
          <w:sz w:val="32"/>
          <w:szCs w:val="32"/>
        </w:rPr>
        <w:t>七、</w:t>
      </w:r>
      <w:r>
        <w:rPr>
          <w:rStyle w:val="34"/>
          <w:rFonts w:hint="eastAsia" w:ascii="黑体" w:hAnsi="黑体" w:eastAsia="黑体"/>
          <w:b w:val="0"/>
        </w:rPr>
        <w:t>财政拨款</w:t>
      </w:r>
      <w:r>
        <w:rPr>
          <w:rStyle w:val="34"/>
          <w:rFonts w:hint="eastAsia" w:ascii="黑体" w:hAnsi="黑体" w:eastAsia="黑体"/>
        </w:rPr>
        <w:t>“</w:t>
      </w:r>
      <w:r>
        <w:rPr>
          <w:rStyle w:val="34"/>
          <w:rFonts w:hint="eastAsia" w:ascii="黑体" w:hAnsi="黑体" w:eastAsia="黑体"/>
          <w:b w:val="0"/>
        </w:rPr>
        <w:t>三公”经费支出决算情况说明</w:t>
      </w:r>
      <w:bookmarkEnd w:id="55"/>
      <w:bookmarkEnd w:id="56"/>
      <w:bookmarkEnd w:id="57"/>
    </w:p>
    <w:p>
      <w:pPr>
        <w:spacing w:line="600" w:lineRule="exact"/>
        <w:ind w:firstLine="640"/>
        <w:outlineLvl w:val="2"/>
        <w:rPr>
          <w:rFonts w:ascii="仿宋" w:hAnsi="仿宋" w:eastAsia="仿宋"/>
          <w:b/>
          <w:sz w:val="32"/>
          <w:szCs w:val="32"/>
        </w:rPr>
      </w:pPr>
      <w:bookmarkStart w:id="58" w:name="_Toc15377216"/>
      <w:bookmarkStart w:id="59" w:name="_Toc15061"/>
      <w:r>
        <w:rPr>
          <w:rFonts w:hint="eastAsia" w:ascii="仿宋" w:hAnsi="仿宋" w:eastAsia="仿宋"/>
          <w:b/>
          <w:sz w:val="32"/>
          <w:szCs w:val="32"/>
        </w:rPr>
        <w:t>（一）“三公”经费财政拨款支出决算总体情况说明</w:t>
      </w:r>
      <w:bookmarkEnd w:id="58"/>
      <w:bookmarkEnd w:id="59"/>
    </w:p>
    <w:p>
      <w:pPr>
        <w:spacing w:line="600" w:lineRule="exact"/>
        <w:ind w:firstLine="640"/>
        <w:rPr>
          <w:rFonts w:ascii="仿宋" w:hAnsi="仿宋" w:eastAsia="仿宋"/>
          <w:sz w:val="32"/>
          <w:szCs w:val="32"/>
        </w:rPr>
      </w:pPr>
      <w:r>
        <w:rPr>
          <w:rFonts w:hint="eastAsia" w:ascii="仿宋" w:hAnsi="仿宋" w:eastAsia="仿宋"/>
          <w:sz w:val="32"/>
          <w:szCs w:val="32"/>
        </w:rPr>
        <w:t>2023年度“三公”经费财政拨款支出决算为</w:t>
      </w:r>
      <w:r>
        <w:rPr>
          <w:rFonts w:ascii="仿宋" w:hAnsi="仿宋" w:eastAsia="仿宋"/>
          <w:b/>
          <w:sz w:val="32"/>
          <w:szCs w:val="32"/>
        </w:rPr>
        <w:t>0</w:t>
      </w:r>
      <w:r>
        <w:rPr>
          <w:rFonts w:hint="eastAsia" w:ascii="仿宋" w:hAnsi="仿宋" w:eastAsia="仿宋"/>
          <w:sz w:val="32"/>
          <w:szCs w:val="32"/>
        </w:rPr>
        <w:t>万元。</w:t>
      </w:r>
    </w:p>
    <w:p>
      <w:pPr>
        <w:spacing w:line="600" w:lineRule="exact"/>
        <w:ind w:firstLine="640"/>
        <w:outlineLvl w:val="2"/>
        <w:rPr>
          <w:rFonts w:ascii="仿宋" w:hAnsi="仿宋" w:eastAsia="仿宋"/>
          <w:b/>
          <w:sz w:val="32"/>
          <w:szCs w:val="32"/>
        </w:rPr>
      </w:pPr>
      <w:bookmarkStart w:id="60" w:name="_Toc15377217"/>
      <w:bookmarkStart w:id="61" w:name="_Toc2018"/>
      <w:r>
        <w:rPr>
          <w:rFonts w:hint="eastAsia" w:ascii="仿宋" w:hAnsi="仿宋" w:eastAsia="仿宋"/>
          <w:b/>
          <w:sz w:val="32"/>
          <w:szCs w:val="32"/>
        </w:rPr>
        <w:t>（二）“三公”经费财政拨款支出决算具体情况说明</w:t>
      </w:r>
      <w:bookmarkEnd w:id="60"/>
      <w:bookmarkEnd w:id="61"/>
    </w:p>
    <w:p>
      <w:pPr>
        <w:spacing w:line="600" w:lineRule="exact"/>
        <w:ind w:firstLine="640"/>
        <w:rPr>
          <w:rFonts w:ascii="仿宋" w:hAnsi="仿宋" w:eastAsia="仿宋"/>
          <w:sz w:val="32"/>
          <w:szCs w:val="32"/>
        </w:rPr>
      </w:pPr>
      <w:r>
        <w:rPr>
          <w:rFonts w:hint="eastAsia" w:ascii="仿宋" w:hAnsi="仿宋" w:eastAsia="仿宋"/>
          <w:sz w:val="32"/>
          <w:szCs w:val="32"/>
        </w:rPr>
        <w:t>2023年度“三公”经费财政拨款支出决算中，因公出国（境）费支出决算</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；公务用车购置及运行维护费支出决算</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；公务接待费支出决算</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w:t>
      </w:r>
    </w:p>
    <w:p>
      <w:pPr>
        <w:spacing w:line="600" w:lineRule="exact"/>
        <w:ind w:firstLine="640"/>
        <w:rPr>
          <w:rFonts w:ascii="仿宋_GB2312" w:eastAsia="仿宋_GB2312"/>
          <w:sz w:val="32"/>
          <w:szCs w:val="32"/>
        </w:rPr>
      </w:pPr>
      <w:bookmarkStart w:id="62" w:name="_Toc15396610"/>
      <w:bookmarkStart w:id="63" w:name="_Toc15377218"/>
      <w:r>
        <w:rPr>
          <w:rFonts w:ascii="仿宋_GB2312" w:eastAsia="仿宋_GB2312"/>
          <w:b/>
          <w:sz w:val="32"/>
          <w:szCs w:val="32"/>
        </w:rPr>
        <w:t>1.</w:t>
      </w:r>
      <w:r>
        <w:rPr>
          <w:rFonts w:hint="eastAsia" w:ascii="仿宋_GB2312" w:eastAsia="仿宋_GB2312"/>
          <w:b/>
          <w:sz w:val="32"/>
          <w:szCs w:val="32"/>
        </w:rPr>
        <w:t>因公出国（境）经费支出</w:t>
      </w:r>
      <w:r>
        <w:rPr>
          <w:rFonts w:ascii="仿宋" w:hAnsi="仿宋" w:eastAsia="仿宋"/>
          <w:b/>
          <w:sz w:val="32"/>
          <w:szCs w:val="32"/>
        </w:rPr>
        <w:t>0</w:t>
      </w:r>
      <w:r>
        <w:rPr>
          <w:rFonts w:hint="eastAsia" w:ascii="仿宋_GB2312" w:eastAsia="仿宋_GB2312"/>
          <w:sz w:val="32"/>
          <w:szCs w:val="32"/>
        </w:rPr>
        <w:t>万元。</w:t>
      </w:r>
    </w:p>
    <w:p>
      <w:pPr>
        <w:spacing w:line="600" w:lineRule="exact"/>
        <w:ind w:firstLine="64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ascii="仿宋" w:hAnsi="仿宋" w:eastAsia="仿宋"/>
          <w:b/>
          <w:sz w:val="32"/>
          <w:szCs w:val="32"/>
        </w:rPr>
        <w:t>0</w:t>
      </w:r>
      <w:r>
        <w:rPr>
          <w:rFonts w:hint="eastAsia" w:ascii="仿宋_GB2312" w:eastAsia="仿宋_GB2312"/>
          <w:sz w:val="32"/>
          <w:szCs w:val="32"/>
        </w:rPr>
        <w:t>万元。</w:t>
      </w:r>
    </w:p>
    <w:p>
      <w:pPr>
        <w:spacing w:line="600"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rFonts w:ascii="仿宋" w:hAnsi="仿宋" w:eastAsia="仿宋"/>
          <w:b/>
          <w:sz w:val="32"/>
          <w:szCs w:val="32"/>
        </w:rPr>
        <w:t>0</w:t>
      </w:r>
      <w:r>
        <w:rPr>
          <w:rFonts w:hint="eastAsia" w:ascii="仿宋_GB2312" w:eastAsia="仿宋_GB2312"/>
          <w:sz w:val="32"/>
          <w:szCs w:val="32"/>
        </w:rPr>
        <w:t>万元。</w:t>
      </w:r>
    </w:p>
    <w:p>
      <w:pPr>
        <w:spacing w:line="600" w:lineRule="exact"/>
        <w:ind w:firstLine="640"/>
        <w:rPr>
          <w:rFonts w:ascii="仿宋_GB2312" w:eastAsia="仿宋_GB2312"/>
          <w:sz w:val="32"/>
          <w:szCs w:val="32"/>
        </w:rPr>
      </w:pPr>
      <w:r>
        <w:rPr>
          <w:rFonts w:hint="eastAsia" w:ascii="仿宋_GB2312" w:eastAsia="仿宋_GB2312"/>
          <w:b/>
          <w:sz w:val="32"/>
          <w:szCs w:val="32"/>
        </w:rPr>
        <w:t>公务用车运行维护费支出</w:t>
      </w:r>
      <w:r>
        <w:rPr>
          <w:rFonts w:ascii="仿宋" w:hAnsi="仿宋" w:eastAsia="仿宋"/>
          <w:b/>
          <w:sz w:val="32"/>
          <w:szCs w:val="32"/>
        </w:rPr>
        <w:t>0</w:t>
      </w:r>
      <w:r>
        <w:rPr>
          <w:rFonts w:hint="eastAsia" w:ascii="仿宋_GB2312" w:eastAsia="仿宋_GB2312"/>
          <w:sz w:val="32"/>
          <w:szCs w:val="32"/>
        </w:rPr>
        <w:t>万元。</w:t>
      </w:r>
    </w:p>
    <w:p>
      <w:pPr>
        <w:spacing w:line="600" w:lineRule="exact"/>
        <w:ind w:firstLine="640"/>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rFonts w:ascii="仿宋" w:hAnsi="仿宋" w:eastAsia="仿宋"/>
          <w:b/>
          <w:sz w:val="32"/>
          <w:szCs w:val="32"/>
        </w:rPr>
        <w:t>0</w:t>
      </w:r>
      <w:r>
        <w:rPr>
          <w:rFonts w:hint="eastAsia" w:ascii="仿宋_GB2312" w:eastAsia="仿宋_GB2312"/>
          <w:sz w:val="32"/>
          <w:szCs w:val="32"/>
        </w:rPr>
        <w:t>万元。</w:t>
      </w:r>
    </w:p>
    <w:p>
      <w:pPr>
        <w:spacing w:line="600" w:lineRule="exact"/>
        <w:ind w:firstLine="640"/>
        <w:rPr>
          <w:rFonts w:ascii="仿宋_GB2312" w:eastAsia="仿宋_GB2312"/>
          <w:sz w:val="32"/>
          <w:szCs w:val="32"/>
        </w:rPr>
      </w:pPr>
      <w:r>
        <w:rPr>
          <w:rFonts w:hint="eastAsia" w:ascii="仿宋" w:hAnsi="仿宋" w:eastAsia="仿宋"/>
          <w:b/>
          <w:sz w:val="32"/>
          <w:szCs w:val="32"/>
        </w:rPr>
        <w:t>国内公务接待支出</w:t>
      </w:r>
      <w:r>
        <w:rPr>
          <w:rFonts w:ascii="仿宋" w:hAnsi="仿宋" w:eastAsia="仿宋"/>
          <w:b/>
          <w:sz w:val="32"/>
          <w:szCs w:val="32"/>
        </w:rPr>
        <w:t>0</w:t>
      </w:r>
      <w:r>
        <w:rPr>
          <w:rFonts w:hint="eastAsia" w:ascii="仿宋_GB2312" w:eastAsia="仿宋_GB2312"/>
          <w:sz w:val="32"/>
          <w:szCs w:val="32"/>
        </w:rPr>
        <w:t>万元。</w:t>
      </w:r>
    </w:p>
    <w:p>
      <w:pPr>
        <w:spacing w:line="600" w:lineRule="exact"/>
        <w:ind w:firstLine="643" w:firstLineChars="200"/>
        <w:rPr>
          <w:rFonts w:ascii="仿宋_GB2312" w:eastAsia="仿宋_GB2312"/>
          <w:sz w:val="32"/>
          <w:szCs w:val="32"/>
        </w:rPr>
      </w:pPr>
      <w:r>
        <w:rPr>
          <w:rFonts w:hint="eastAsia" w:ascii="仿宋" w:hAnsi="仿宋" w:eastAsia="仿宋"/>
          <w:b/>
          <w:sz w:val="32"/>
          <w:szCs w:val="32"/>
        </w:rPr>
        <w:t>外事接待支出</w:t>
      </w:r>
      <w:r>
        <w:rPr>
          <w:rFonts w:ascii="仿宋" w:hAnsi="仿宋" w:eastAsia="仿宋"/>
          <w:b/>
          <w:sz w:val="32"/>
          <w:szCs w:val="32"/>
        </w:rPr>
        <w:t>0</w:t>
      </w:r>
      <w:r>
        <w:rPr>
          <w:rFonts w:hint="eastAsia" w:ascii="仿宋_GB2312" w:eastAsia="仿宋_GB2312"/>
          <w:sz w:val="32"/>
          <w:szCs w:val="32"/>
        </w:rPr>
        <w:t>万元。</w:t>
      </w:r>
    </w:p>
    <w:p>
      <w:pPr>
        <w:spacing w:line="600" w:lineRule="exact"/>
        <w:ind w:firstLine="640"/>
        <w:outlineLvl w:val="1"/>
        <w:rPr>
          <w:rFonts w:ascii="黑体" w:eastAsia="黑体"/>
          <w:sz w:val="32"/>
          <w:szCs w:val="32"/>
        </w:rPr>
      </w:pPr>
    </w:p>
    <w:p>
      <w:pPr>
        <w:spacing w:line="600" w:lineRule="exact"/>
        <w:ind w:firstLine="640"/>
        <w:outlineLvl w:val="1"/>
        <w:rPr>
          <w:rStyle w:val="34"/>
          <w:rFonts w:ascii="黑体" w:hAnsi="黑体" w:eastAsia="黑体"/>
        </w:rPr>
      </w:pPr>
      <w:bookmarkStart w:id="64" w:name="_Toc30734"/>
      <w:r>
        <w:rPr>
          <w:rFonts w:hint="eastAsia" w:ascii="黑体" w:eastAsia="黑体"/>
          <w:sz w:val="32"/>
          <w:szCs w:val="32"/>
        </w:rPr>
        <w:t>八、</w:t>
      </w:r>
      <w:r>
        <w:rPr>
          <w:rStyle w:val="34"/>
          <w:rFonts w:hint="eastAsia" w:ascii="黑体" w:hAnsi="黑体" w:eastAsia="黑体"/>
          <w:b w:val="0"/>
        </w:rPr>
        <w:t>政府性基金预算支出决算情况说明</w:t>
      </w:r>
      <w:bookmarkEnd w:id="62"/>
      <w:bookmarkEnd w:id="63"/>
      <w:bookmarkEnd w:id="64"/>
    </w:p>
    <w:p>
      <w:pPr>
        <w:spacing w:line="600" w:lineRule="exact"/>
        <w:ind w:firstLine="640"/>
        <w:rPr>
          <w:rFonts w:ascii="仿宋_GB2312" w:eastAsia="仿宋_GB2312"/>
          <w:sz w:val="32"/>
          <w:szCs w:val="32"/>
        </w:rPr>
      </w:pPr>
      <w:r>
        <w:rPr>
          <w:rFonts w:hint="eastAsia" w:ascii="仿宋_GB2312" w:eastAsia="仿宋_GB2312"/>
          <w:sz w:val="32"/>
          <w:szCs w:val="32"/>
        </w:rPr>
        <w:t>2023年度政府性基金预算财政拨款支出</w:t>
      </w:r>
      <w:r>
        <w:rPr>
          <w:rFonts w:ascii="仿宋" w:hAnsi="仿宋" w:eastAsia="仿宋"/>
          <w:b/>
          <w:sz w:val="32"/>
          <w:szCs w:val="32"/>
        </w:rPr>
        <w:t>0</w:t>
      </w:r>
      <w:r>
        <w:rPr>
          <w:rFonts w:hint="eastAsia" w:ascii="仿宋_GB2312" w:eastAsia="仿宋_GB2312"/>
          <w:sz w:val="32"/>
          <w:szCs w:val="32"/>
        </w:rPr>
        <w:t>万元。</w:t>
      </w:r>
    </w:p>
    <w:p>
      <w:pPr>
        <w:spacing w:line="600" w:lineRule="exact"/>
        <w:ind w:firstLine="640"/>
        <w:rPr>
          <w:rFonts w:ascii="仿宋_GB2312" w:eastAsia="仿宋_GB2312"/>
          <w:sz w:val="32"/>
          <w:szCs w:val="32"/>
        </w:rPr>
      </w:pPr>
    </w:p>
    <w:p>
      <w:pPr>
        <w:numPr>
          <w:ilvl w:val="0"/>
          <w:numId w:val="3"/>
        </w:numPr>
        <w:spacing w:line="600" w:lineRule="exact"/>
        <w:ind w:firstLine="640"/>
        <w:outlineLvl w:val="1"/>
        <w:rPr>
          <w:rStyle w:val="34"/>
          <w:rFonts w:ascii="黑体" w:hAnsi="黑体" w:eastAsia="黑体"/>
          <w:b w:val="0"/>
        </w:rPr>
      </w:pPr>
      <w:bookmarkStart w:id="65" w:name="_Toc15377219"/>
      <w:bookmarkStart w:id="66" w:name="_Toc15396611"/>
      <w:bookmarkStart w:id="67" w:name="_Toc25727"/>
      <w:r>
        <w:rPr>
          <w:rStyle w:val="34"/>
          <w:rFonts w:hint="eastAsia" w:ascii="黑体" w:hAnsi="黑体" w:eastAsia="黑体"/>
          <w:b w:val="0"/>
        </w:rPr>
        <w:t>国有资本经营预算支出决算情况说明</w:t>
      </w:r>
      <w:bookmarkEnd w:id="65"/>
      <w:bookmarkEnd w:id="66"/>
      <w:bookmarkEnd w:id="67"/>
    </w:p>
    <w:p>
      <w:pPr>
        <w:spacing w:line="600" w:lineRule="exact"/>
        <w:ind w:firstLine="640"/>
        <w:rPr>
          <w:rFonts w:ascii="仿宋_GB2312" w:eastAsia="仿宋_GB2312"/>
          <w:sz w:val="32"/>
          <w:szCs w:val="32"/>
        </w:rPr>
      </w:pPr>
      <w:r>
        <w:rPr>
          <w:rFonts w:hint="eastAsia" w:ascii="仿宋_GB2312" w:eastAsia="仿宋_GB2312"/>
          <w:sz w:val="32"/>
          <w:szCs w:val="32"/>
        </w:rPr>
        <w:t>2023年度国有资本经营预算财政拨款支出</w:t>
      </w:r>
      <w:r>
        <w:rPr>
          <w:rFonts w:ascii="仿宋" w:hAnsi="仿宋" w:eastAsia="仿宋"/>
          <w:b/>
          <w:sz w:val="32"/>
          <w:szCs w:val="32"/>
        </w:rPr>
        <w:t>0</w:t>
      </w:r>
      <w:r>
        <w:rPr>
          <w:rFonts w:hint="eastAsia" w:ascii="仿宋_GB2312" w:eastAsia="仿宋_GB2312"/>
          <w:sz w:val="32"/>
          <w:szCs w:val="32"/>
        </w:rPr>
        <w:t>万元。</w:t>
      </w:r>
    </w:p>
    <w:p>
      <w:pPr>
        <w:spacing w:line="580" w:lineRule="exact"/>
        <w:jc w:val="center"/>
        <w:rPr>
          <w:rFonts w:ascii="方正小标宋简体" w:hAnsi="方正小标宋简体" w:eastAsia="方正小标宋简体" w:cs="方正小标宋简体"/>
          <w:sz w:val="44"/>
          <w:szCs w:val="44"/>
        </w:rPr>
      </w:pPr>
    </w:p>
    <w:p>
      <w:pPr>
        <w:numPr>
          <w:ilvl w:val="0"/>
          <w:numId w:val="3"/>
        </w:numPr>
        <w:spacing w:line="600" w:lineRule="exact"/>
        <w:ind w:firstLine="640"/>
        <w:outlineLvl w:val="1"/>
        <w:rPr>
          <w:rStyle w:val="34"/>
          <w:rFonts w:ascii="黑体" w:hAnsi="黑体" w:eastAsia="黑体"/>
          <w:b w:val="0"/>
        </w:rPr>
      </w:pPr>
      <w:bookmarkStart w:id="68" w:name="_Toc15396612"/>
      <w:bookmarkStart w:id="69" w:name="_Toc15377221"/>
      <w:bookmarkStart w:id="70" w:name="_Toc24448"/>
      <w:r>
        <w:rPr>
          <w:rStyle w:val="34"/>
          <w:rFonts w:hint="eastAsia" w:ascii="黑体" w:hAnsi="黑体" w:eastAsia="黑体"/>
          <w:b w:val="0"/>
        </w:rPr>
        <w:t>其他重要事项的情况说明</w:t>
      </w:r>
      <w:bookmarkEnd w:id="68"/>
      <w:bookmarkEnd w:id="69"/>
      <w:bookmarkEnd w:id="70"/>
    </w:p>
    <w:p>
      <w:pPr>
        <w:spacing w:line="600" w:lineRule="exact"/>
        <w:ind w:firstLine="643" w:firstLineChars="200"/>
        <w:outlineLvl w:val="2"/>
        <w:rPr>
          <w:rFonts w:ascii="仿宋" w:hAnsi="仿宋" w:eastAsia="仿宋"/>
          <w:sz w:val="32"/>
          <w:szCs w:val="32"/>
        </w:rPr>
      </w:pPr>
      <w:bookmarkStart w:id="71" w:name="_Toc15377222"/>
      <w:bookmarkStart w:id="72" w:name="_Toc2033"/>
      <w:r>
        <w:rPr>
          <w:rFonts w:hint="eastAsia" w:ascii="仿宋" w:hAnsi="仿宋" w:eastAsia="仿宋"/>
          <w:b/>
          <w:sz w:val="32"/>
          <w:szCs w:val="32"/>
        </w:rPr>
        <w:t>（一）机关运行经费支出情况</w:t>
      </w:r>
      <w:bookmarkEnd w:id="71"/>
      <w:bookmarkEnd w:id="72"/>
    </w:p>
    <w:p>
      <w:pPr>
        <w:spacing w:line="600" w:lineRule="exact"/>
        <w:ind w:firstLine="640" w:firstLineChars="200"/>
        <w:rPr>
          <w:rFonts w:ascii="仿宋_GB2312" w:eastAsia="仿宋_GB2312"/>
          <w:sz w:val="32"/>
          <w:szCs w:val="32"/>
        </w:rPr>
      </w:pPr>
      <w:r>
        <w:rPr>
          <w:rFonts w:hint="eastAsia" w:ascii="仿宋_GB2312" w:eastAsia="仿宋_GB2312"/>
          <w:sz w:val="32"/>
          <w:szCs w:val="32"/>
        </w:rPr>
        <w:t>2023年度，</w:t>
      </w:r>
      <w:r>
        <w:rPr>
          <w:rFonts w:ascii="仿宋_GB2312" w:eastAsia="仿宋_GB2312"/>
          <w:b/>
          <w:sz w:val="32"/>
          <w:szCs w:val="32"/>
        </w:rPr>
        <w:t>四川省阿坝州九寨沟县草地乡便民服务中心</w:t>
      </w:r>
      <w:r>
        <w:rPr>
          <w:rFonts w:hint="eastAsia" w:ascii="仿宋_GB2312" w:eastAsia="仿宋_GB2312"/>
          <w:sz w:val="32"/>
          <w:szCs w:val="32"/>
        </w:rPr>
        <w:t>机关运行经费支出</w:t>
      </w:r>
      <w:r>
        <w:rPr>
          <w:rFonts w:ascii="仿宋" w:hAnsi="仿宋" w:eastAsia="仿宋"/>
          <w:b/>
          <w:sz w:val="32"/>
          <w:szCs w:val="32"/>
        </w:rPr>
        <w:t>0</w:t>
      </w:r>
      <w:r>
        <w:rPr>
          <w:rFonts w:hint="eastAsia" w:ascii="仿宋_GB2312" w:eastAsia="仿宋_GB2312"/>
          <w:sz w:val="32"/>
          <w:szCs w:val="32"/>
        </w:rPr>
        <w:t>万元。</w:t>
      </w:r>
    </w:p>
    <w:p>
      <w:pPr>
        <w:spacing w:line="600" w:lineRule="exact"/>
        <w:ind w:firstLine="643" w:firstLineChars="200"/>
        <w:rPr>
          <w:rFonts w:ascii="仿宋" w:hAnsi="仿宋" w:eastAsia="仿宋"/>
          <w:b/>
          <w:sz w:val="32"/>
          <w:szCs w:val="32"/>
        </w:rPr>
      </w:pPr>
      <w:r>
        <w:rPr>
          <w:rFonts w:hint="eastAsia" w:ascii="仿宋" w:hAnsi="仿宋" w:eastAsia="仿宋"/>
          <w:b/>
          <w:sz w:val="32"/>
          <w:szCs w:val="32"/>
        </w:rPr>
        <w:t>（注：数据来源于财决附</w:t>
      </w:r>
      <w:r>
        <w:rPr>
          <w:rFonts w:ascii="仿宋" w:hAnsi="仿宋" w:eastAsia="仿宋"/>
          <w:b/>
          <w:sz w:val="32"/>
          <w:szCs w:val="32"/>
        </w:rPr>
        <w:t>03</w:t>
      </w:r>
      <w:r>
        <w:rPr>
          <w:rFonts w:hint="eastAsia" w:ascii="仿宋" w:hAnsi="仿宋" w:eastAsia="仿宋"/>
          <w:b/>
          <w:sz w:val="32"/>
          <w:szCs w:val="32"/>
        </w:rPr>
        <w:t>表）</w:t>
      </w:r>
    </w:p>
    <w:p>
      <w:pPr>
        <w:autoSpaceDE w:val="0"/>
        <w:autoSpaceDN w:val="0"/>
        <w:adjustRightInd w:val="0"/>
        <w:spacing w:line="600" w:lineRule="exact"/>
        <w:ind w:firstLine="643" w:firstLineChars="200"/>
        <w:jc w:val="left"/>
        <w:outlineLvl w:val="2"/>
        <w:rPr>
          <w:rFonts w:ascii="仿宋" w:hAnsi="仿宋" w:eastAsia="仿宋"/>
          <w:b/>
          <w:sz w:val="32"/>
          <w:szCs w:val="32"/>
        </w:rPr>
      </w:pPr>
      <w:bookmarkStart w:id="73" w:name="_Toc15377223"/>
      <w:bookmarkStart w:id="74" w:name="_Toc29425"/>
      <w:r>
        <w:rPr>
          <w:rFonts w:hint="eastAsia" w:ascii="仿宋" w:hAnsi="仿宋" w:eastAsia="仿宋"/>
          <w:b/>
          <w:sz w:val="32"/>
          <w:szCs w:val="32"/>
        </w:rPr>
        <w:t>（二）政府采购支出情况</w:t>
      </w:r>
      <w:bookmarkEnd w:id="73"/>
      <w:bookmarkEnd w:id="74"/>
    </w:p>
    <w:p>
      <w:pPr>
        <w:spacing w:line="600" w:lineRule="exact"/>
        <w:ind w:firstLine="640" w:firstLineChars="200"/>
        <w:rPr>
          <w:rFonts w:ascii="仿宋_GB2312" w:eastAsia="仿宋_GB2312"/>
          <w:sz w:val="32"/>
          <w:szCs w:val="32"/>
        </w:rPr>
      </w:pPr>
      <w:r>
        <w:rPr>
          <w:rFonts w:hint="eastAsia" w:ascii="仿宋_GB2312" w:eastAsia="仿宋_GB2312"/>
          <w:sz w:val="32"/>
          <w:szCs w:val="32"/>
        </w:rPr>
        <w:t>2023年度，</w:t>
      </w:r>
      <w:r>
        <w:rPr>
          <w:rFonts w:ascii="仿宋_GB2312" w:eastAsia="仿宋_GB2312"/>
          <w:b/>
          <w:sz w:val="32"/>
          <w:szCs w:val="32"/>
        </w:rPr>
        <w:t>四川省阿坝州九寨沟县草地乡便民服务中心</w:t>
      </w:r>
      <w:r>
        <w:rPr>
          <w:rFonts w:hint="eastAsia" w:ascii="仿宋_GB2312" w:eastAsia="仿宋_GB2312"/>
          <w:sz w:val="32"/>
          <w:szCs w:val="32"/>
        </w:rPr>
        <w:t>政府采购支出总额</w:t>
      </w:r>
      <w:r>
        <w:rPr>
          <w:rFonts w:ascii="仿宋" w:hAnsi="仿宋" w:eastAsia="仿宋"/>
          <w:b/>
          <w:sz w:val="32"/>
          <w:szCs w:val="32"/>
        </w:rPr>
        <w:t>0</w:t>
      </w:r>
      <w:r>
        <w:rPr>
          <w:rFonts w:hint="eastAsia" w:ascii="仿宋_GB2312" w:eastAsia="仿宋_GB2312"/>
          <w:sz w:val="32"/>
          <w:szCs w:val="32"/>
        </w:rPr>
        <w:t>万元，其中：政府采购货物支出</w:t>
      </w:r>
      <w:r>
        <w:rPr>
          <w:rFonts w:ascii="仿宋" w:hAnsi="仿宋" w:eastAsia="仿宋"/>
          <w:b/>
          <w:sz w:val="32"/>
          <w:szCs w:val="32"/>
        </w:rPr>
        <w:t>0</w:t>
      </w:r>
      <w:r>
        <w:rPr>
          <w:rFonts w:hint="eastAsia" w:ascii="仿宋_GB2312" w:eastAsia="仿宋_GB2312"/>
          <w:sz w:val="32"/>
          <w:szCs w:val="32"/>
        </w:rPr>
        <w:t>万元、政府采购工程支出</w:t>
      </w:r>
      <w:r>
        <w:rPr>
          <w:rFonts w:ascii="仿宋" w:hAnsi="仿宋" w:eastAsia="仿宋"/>
          <w:b/>
          <w:sz w:val="32"/>
          <w:szCs w:val="32"/>
        </w:rPr>
        <w:t>0</w:t>
      </w:r>
      <w:r>
        <w:rPr>
          <w:rFonts w:hint="eastAsia" w:ascii="仿宋_GB2312" w:eastAsia="仿宋_GB2312"/>
          <w:sz w:val="32"/>
          <w:szCs w:val="32"/>
        </w:rPr>
        <w:t>万元、政府采购服务支出</w:t>
      </w:r>
      <w:r>
        <w:rPr>
          <w:rFonts w:ascii="仿宋" w:hAnsi="仿宋" w:eastAsia="仿宋"/>
          <w:b/>
          <w:sz w:val="32"/>
          <w:szCs w:val="32"/>
        </w:rPr>
        <w:t>0</w:t>
      </w:r>
      <w:r>
        <w:rPr>
          <w:rFonts w:hint="eastAsia" w:ascii="仿宋_GB2312" w:eastAsia="仿宋_GB2312"/>
          <w:sz w:val="32"/>
          <w:szCs w:val="32"/>
        </w:rPr>
        <w:t>万元。授予中小企业合同金额</w:t>
      </w:r>
      <w:r>
        <w:rPr>
          <w:rFonts w:ascii="仿宋" w:hAnsi="仿宋" w:eastAsia="仿宋"/>
          <w:b/>
          <w:sz w:val="32"/>
          <w:szCs w:val="32"/>
        </w:rPr>
        <w:t>0</w:t>
      </w:r>
      <w:r>
        <w:rPr>
          <w:rFonts w:hint="eastAsia" w:ascii="仿宋_GB2312" w:eastAsia="仿宋_GB2312"/>
          <w:sz w:val="32"/>
          <w:szCs w:val="32"/>
        </w:rPr>
        <w:t>万元，占政府采购支出总额的</w:t>
      </w:r>
      <w:r>
        <w:rPr>
          <w:rFonts w:ascii="仿宋_GB2312" w:eastAsia="仿宋_GB2312"/>
          <w:sz w:val="32"/>
          <w:szCs w:val="32"/>
        </w:rPr>
        <w:t>0%</w:t>
      </w:r>
      <w:r>
        <w:rPr>
          <w:rFonts w:hint="eastAsia" w:ascii="仿宋_GB2312" w:eastAsia="仿宋_GB2312"/>
          <w:sz w:val="32"/>
          <w:szCs w:val="32"/>
        </w:rPr>
        <w:t>，其中：授予小微企业合同金额</w:t>
      </w:r>
      <w:r>
        <w:rPr>
          <w:rFonts w:ascii="仿宋" w:hAnsi="仿宋" w:eastAsia="仿宋"/>
          <w:b/>
          <w:sz w:val="32"/>
          <w:szCs w:val="32"/>
        </w:rPr>
        <w:t>0</w:t>
      </w:r>
      <w:r>
        <w:rPr>
          <w:rFonts w:hint="eastAsia" w:ascii="仿宋_GB2312" w:eastAsia="仿宋_GB2312"/>
          <w:sz w:val="32"/>
          <w:szCs w:val="32"/>
        </w:rPr>
        <w:t>万元，占政府采购支出总额的</w:t>
      </w:r>
      <w:r>
        <w:rPr>
          <w:rFonts w:ascii="仿宋_GB2312" w:eastAsia="仿宋_GB2312"/>
          <w:b/>
          <w:sz w:val="32"/>
          <w:szCs w:val="32"/>
        </w:rPr>
        <w:t>0</w:t>
      </w:r>
      <w:r>
        <w:rPr>
          <w:rFonts w:ascii="仿宋_GB2312" w:eastAsia="仿宋_GB2312"/>
          <w:sz w:val="32"/>
          <w:szCs w:val="32"/>
        </w:rPr>
        <w:t>%</w:t>
      </w:r>
      <w:r>
        <w:rPr>
          <w:rFonts w:hint="eastAsia" w:ascii="仿宋_GB2312" w:eastAsia="仿宋_GB2312"/>
          <w:sz w:val="32"/>
          <w:szCs w:val="32"/>
        </w:rPr>
        <w:t>。</w:t>
      </w:r>
    </w:p>
    <w:p>
      <w:pPr>
        <w:autoSpaceDE w:val="0"/>
        <w:autoSpaceDN w:val="0"/>
        <w:adjustRightInd w:val="0"/>
        <w:spacing w:line="600" w:lineRule="exact"/>
        <w:ind w:firstLine="643" w:firstLineChars="200"/>
        <w:jc w:val="left"/>
        <w:outlineLvl w:val="2"/>
        <w:rPr>
          <w:rFonts w:ascii="仿宋" w:hAnsi="仿宋" w:eastAsia="仿宋"/>
          <w:b/>
          <w:sz w:val="32"/>
          <w:szCs w:val="32"/>
        </w:rPr>
      </w:pPr>
      <w:bookmarkStart w:id="75" w:name="_Toc15377224"/>
      <w:bookmarkStart w:id="76" w:name="_Toc13034"/>
      <w:r>
        <w:rPr>
          <w:rFonts w:hint="eastAsia" w:ascii="仿宋" w:hAnsi="仿宋" w:eastAsia="仿宋"/>
          <w:b/>
          <w:sz w:val="32"/>
          <w:szCs w:val="32"/>
        </w:rPr>
        <w:t>（三）国有资产占有使用情况</w:t>
      </w:r>
      <w:bookmarkEnd w:id="75"/>
      <w:bookmarkEnd w:id="76"/>
    </w:p>
    <w:p>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截至2023年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ascii="仿宋_GB2312" w:eastAsia="仿宋_GB2312"/>
          <w:b/>
          <w:sz w:val="32"/>
          <w:szCs w:val="32"/>
        </w:rPr>
        <w:t>四川省阿坝州九寨沟县草地乡便民服务中心</w:t>
      </w:r>
      <w:r>
        <w:rPr>
          <w:rFonts w:hint="eastAsia" w:ascii="仿宋_GB2312" w:eastAsia="仿宋_GB2312"/>
          <w:sz w:val="32"/>
          <w:szCs w:val="32"/>
        </w:rPr>
        <w:t>共有车辆</w:t>
      </w:r>
      <w:r>
        <w:rPr>
          <w:rFonts w:hint="eastAsia" w:ascii="仿宋_GB2312" w:eastAsia="仿宋_GB2312"/>
          <w:b/>
          <w:sz w:val="32"/>
          <w:szCs w:val="32"/>
        </w:rPr>
        <w:t>0</w:t>
      </w:r>
      <w:r>
        <w:rPr>
          <w:rFonts w:hint="eastAsia" w:ascii="仿宋_GB2312" w:eastAsia="仿宋_GB2312"/>
          <w:sz w:val="32"/>
          <w:szCs w:val="32"/>
        </w:rPr>
        <w:t>辆。</w:t>
      </w:r>
    </w:p>
    <w:p>
      <w:pPr>
        <w:autoSpaceDE w:val="0"/>
        <w:autoSpaceDN w:val="0"/>
        <w:adjustRightInd w:val="0"/>
        <w:spacing w:line="600" w:lineRule="exact"/>
        <w:ind w:firstLine="643" w:firstLineChars="200"/>
        <w:jc w:val="left"/>
        <w:outlineLvl w:val="2"/>
        <w:rPr>
          <w:rFonts w:ascii="仿宋" w:hAnsi="仿宋" w:eastAsia="仿宋"/>
          <w:b/>
          <w:sz w:val="32"/>
          <w:szCs w:val="32"/>
        </w:rPr>
      </w:pPr>
      <w:bookmarkStart w:id="77" w:name="_Toc9798"/>
      <w:r>
        <w:rPr>
          <w:rFonts w:hint="eastAsia" w:ascii="仿宋" w:hAnsi="仿宋" w:eastAsia="仿宋"/>
          <w:b/>
          <w:sz w:val="32"/>
          <w:szCs w:val="32"/>
        </w:rPr>
        <w:t>（四）预算绩效管理情况</w:t>
      </w:r>
      <w:bookmarkEnd w:id="77"/>
    </w:p>
    <w:p>
      <w:pPr>
        <w:spacing w:line="600" w:lineRule="exact"/>
        <w:ind w:firstLine="640" w:firstLineChars="200"/>
        <w:rPr>
          <w:rFonts w:ascii="仿宋_GB2312" w:eastAsia="仿宋_GB2312"/>
          <w:sz w:val="32"/>
          <w:szCs w:val="32"/>
        </w:rPr>
      </w:pPr>
      <w:r>
        <w:rPr>
          <w:rFonts w:hint="eastAsia" w:ascii="仿宋_GB2312" w:eastAsia="仿宋_GB2312"/>
          <w:sz w:val="32"/>
          <w:szCs w:val="32"/>
        </w:rPr>
        <w:t>根据预算绩效管理要求，本单位在2023年度预算编制阶段，组织对</w:t>
      </w:r>
      <w:r>
        <w:rPr>
          <w:rFonts w:hint="eastAsia" w:ascii="仿宋_GB2312" w:eastAsia="仿宋_GB2312"/>
          <w:sz w:val="32"/>
          <w:szCs w:val="32"/>
          <w:lang w:val="en-US" w:eastAsia="zh-CN"/>
        </w:rPr>
        <w:t>17</w:t>
      </w:r>
      <w:r>
        <w:rPr>
          <w:rFonts w:hint="eastAsia" w:ascii="仿宋_GB2312" w:eastAsia="仿宋_GB2312"/>
          <w:sz w:val="32"/>
          <w:szCs w:val="32"/>
        </w:rPr>
        <w:t>个项目开展了预算事前绩效评估，对</w:t>
      </w:r>
      <w:r>
        <w:rPr>
          <w:rFonts w:hint="eastAsia" w:ascii="仿宋_GB2312" w:eastAsia="仿宋_GB2312"/>
          <w:sz w:val="32"/>
          <w:szCs w:val="32"/>
          <w:lang w:val="en-US" w:eastAsia="zh-CN"/>
        </w:rPr>
        <w:t>15</w:t>
      </w:r>
      <w:r>
        <w:rPr>
          <w:rFonts w:hint="eastAsia" w:ascii="仿宋_GB2312" w:eastAsia="仿宋_GB2312"/>
          <w:sz w:val="32"/>
          <w:szCs w:val="32"/>
        </w:rPr>
        <w:t>个项目编制了绩效目标，预算执行过程中，选取</w:t>
      </w:r>
      <w:r>
        <w:rPr>
          <w:rFonts w:hint="eastAsia" w:ascii="仿宋_GB2312" w:eastAsia="仿宋_GB2312"/>
          <w:sz w:val="32"/>
          <w:szCs w:val="32"/>
          <w:lang w:val="en-US" w:eastAsia="zh-CN"/>
        </w:rPr>
        <w:t>15</w:t>
      </w:r>
      <w:r>
        <w:rPr>
          <w:rFonts w:hint="eastAsia" w:ascii="仿宋_GB2312" w:eastAsia="仿宋_GB2312"/>
          <w:sz w:val="32"/>
          <w:szCs w:val="32"/>
        </w:rPr>
        <w:t>个项目开展绩效监控，组织对</w:t>
      </w:r>
      <w:r>
        <w:rPr>
          <w:rFonts w:hint="eastAsia" w:ascii="仿宋_GB2312" w:eastAsia="仿宋_GB2312"/>
          <w:sz w:val="32"/>
          <w:szCs w:val="32"/>
          <w:lang w:val="en-US" w:eastAsia="zh-CN"/>
        </w:rPr>
        <w:t>15</w:t>
      </w:r>
      <w:r>
        <w:rPr>
          <w:rFonts w:hint="eastAsia" w:ascii="仿宋_GB2312" w:eastAsia="仿宋_GB2312"/>
          <w:sz w:val="32"/>
          <w:szCs w:val="32"/>
        </w:rPr>
        <w:t>个项目开展绩效自评，绩效自评表详见第四部分附件。</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br w:type="page"/>
      </w:r>
    </w:p>
    <w:p>
      <w:pPr>
        <w:numPr>
          <w:ilvl w:val="0"/>
          <w:numId w:val="4"/>
        </w:numPr>
        <w:spacing w:line="600" w:lineRule="exact"/>
        <w:ind w:firstLine="660" w:firstLineChars="150"/>
        <w:jc w:val="center"/>
        <w:outlineLvl w:val="0"/>
        <w:rPr>
          <w:rStyle w:val="33"/>
          <w:rFonts w:ascii="黑体" w:hAnsi="黑体" w:eastAsia="黑体"/>
          <w:b w:val="0"/>
        </w:rPr>
      </w:pPr>
      <w:bookmarkStart w:id="78" w:name="_Toc15396613"/>
      <w:bookmarkStart w:id="79" w:name="_Toc15377225"/>
      <w:bookmarkStart w:id="80" w:name="_Toc20425"/>
      <w:r>
        <w:rPr>
          <w:rFonts w:hint="eastAsia" w:ascii="黑体" w:hAnsi="黑体" w:eastAsia="黑体"/>
          <w:sz w:val="44"/>
          <w:szCs w:val="44"/>
        </w:rPr>
        <w:t>名</w:t>
      </w:r>
      <w:r>
        <w:rPr>
          <w:rStyle w:val="33"/>
          <w:rFonts w:hint="eastAsia" w:ascii="黑体" w:hAnsi="黑体" w:eastAsia="黑体"/>
          <w:b w:val="0"/>
        </w:rPr>
        <w:t>词解释</w:t>
      </w:r>
      <w:bookmarkEnd w:id="78"/>
      <w:bookmarkEnd w:id="79"/>
      <w:bookmarkEnd w:id="80"/>
    </w:p>
    <w:p>
      <w:pPr>
        <w:spacing w:line="600" w:lineRule="exact"/>
        <w:jc w:val="left"/>
        <w:rPr>
          <w:rFonts w:ascii="宋体"/>
          <w:b/>
          <w:sz w:val="44"/>
          <w:szCs w:val="44"/>
        </w:rPr>
      </w:pPr>
    </w:p>
    <w:p>
      <w:pPr>
        <w:ind w:firstLine="640" w:firstLineChars="200"/>
        <w:rPr>
          <w:rFonts w:hint="eastAsia" w:ascii="仿宋_GB2312" w:eastAsia="仿宋_GB2312"/>
          <w:sz w:val="32"/>
          <w:szCs w:val="32"/>
        </w:rPr>
      </w:pPr>
      <w:r>
        <w:rPr>
          <w:rFonts w:hint="eastAsia" w:ascii="仿宋_GB2312" w:eastAsia="仿宋_GB2312"/>
          <w:sz w:val="32"/>
          <w:szCs w:val="32"/>
        </w:rPr>
        <w:t>1.财政拨款收入：指单位从同级财政部门取得的财政预算资金。</w:t>
      </w:r>
    </w:p>
    <w:p>
      <w:pPr>
        <w:ind w:firstLine="640" w:firstLineChars="200"/>
        <w:rPr>
          <w:rFonts w:hint="eastAsia" w:ascii="仿宋_GB2312" w:eastAsia="仿宋_GB2312"/>
          <w:sz w:val="32"/>
          <w:szCs w:val="32"/>
        </w:rPr>
      </w:pPr>
      <w:r>
        <w:rPr>
          <w:rFonts w:hint="eastAsia" w:ascii="仿宋_GB2312" w:eastAsia="仿宋_GB2312"/>
          <w:sz w:val="32"/>
          <w:szCs w:val="32"/>
        </w:rPr>
        <w:t>2.事业收入：指事业单位开展专业业务活动及辅助活动取得的收入。</w:t>
      </w:r>
    </w:p>
    <w:p>
      <w:pPr>
        <w:ind w:firstLine="640" w:firstLineChars="200"/>
        <w:rPr>
          <w:rFonts w:hint="eastAsia" w:ascii="仿宋_GB2312" w:eastAsia="仿宋_GB2312"/>
          <w:sz w:val="32"/>
          <w:szCs w:val="32"/>
        </w:rPr>
      </w:pPr>
      <w:r>
        <w:rPr>
          <w:rFonts w:hint="eastAsia" w:ascii="仿宋_GB2312" w:eastAsia="仿宋_GB2312"/>
          <w:sz w:val="32"/>
          <w:szCs w:val="32"/>
        </w:rPr>
        <w:t>3.经营收入：指事业单位在专业业务活动及其辅助活动之外开展非独立核算经营活动取得的收入。</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4.其他收入：指单位取得的除上述收入以外的各项收入。 </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5.使用非财政拨款结余（含专用结余）：指事业单位使用以前年度积累的非财政拨款结余弥补当年收支差额的金额。 </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6.年初结转和结余：指以前年度尚未完成、结转到本年按有关规定继续使用的资金。 </w:t>
      </w:r>
    </w:p>
    <w:p>
      <w:pPr>
        <w:ind w:firstLine="640" w:firstLineChars="200"/>
        <w:rPr>
          <w:rFonts w:hint="eastAsia" w:ascii="仿宋_GB2312" w:eastAsia="仿宋_GB2312"/>
          <w:sz w:val="32"/>
          <w:szCs w:val="32"/>
        </w:rPr>
      </w:pPr>
      <w:r>
        <w:rPr>
          <w:rFonts w:hint="eastAsia" w:ascii="仿宋_GB2312" w:eastAsia="仿宋_GB2312"/>
          <w:sz w:val="32"/>
          <w:szCs w:val="32"/>
        </w:rPr>
        <w:t>7.结余分配：指事业单位按照会计制度规定缴纳的所得税、提取的专用结余以及转入非财政拨款结余的金额等。</w:t>
      </w:r>
    </w:p>
    <w:p>
      <w:pPr>
        <w:ind w:firstLine="640" w:firstLineChars="200"/>
        <w:rPr>
          <w:rFonts w:hint="eastAsia" w:ascii="仿宋_GB2312" w:eastAsia="仿宋_GB2312"/>
          <w:sz w:val="32"/>
          <w:szCs w:val="32"/>
        </w:rPr>
      </w:pPr>
      <w:r>
        <w:rPr>
          <w:rFonts w:hint="eastAsia" w:ascii="仿宋_GB2312" w:eastAsia="仿宋_GB2312"/>
          <w:sz w:val="32"/>
          <w:szCs w:val="32"/>
        </w:rPr>
        <w:t>8.年末结转和结余：指单位按有关规定结转到下年或以后年度继续使用的资金。</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9.一般公共服务（201）政府办公厅（室）及相关机构事务（03）行政运行（01）：指行政单位的基本支出。</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10.社会保障和就业（208）行政事业单位养老支出（05）机关事业单位基本养老保险缴费支出（05）：指机关事业范围实施养老制度有单位缴纳的基本养老保险费支出。</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11.社会保障和就业（208）行政事业单位养老支出（05）机关事业单位职业年金缴费支出（06）：指机关事业范围实施养老制度有单位缴纳的基本养老保险费支出。</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12.卫生健康（210）公共卫生（04）重大公共卫生服务（09）：指重大公共卫生服务类费用支出。</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13.卫生健康（210）行政事业单位医疗（11）行政单位医疗（01）：指指反映财政部门集中安排的行政单位基本医疗保险经费，未参加医疗保险的行政单位的公费医疗经费，按国家规定享受离休人员、老红军战士待遇人员的医疗经费。</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14.卫生健康（210）行政事业单位医疗（11）公务员医疗补助（03）：指财政部门集中安排的公务员医疗补助。</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15.卫生健康（210）其他卫生健康支出（99）其他卫生健康支出（99）：指其他卫生健康费用支出。</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16.城乡社区支出（212）城乡社区管理事务（01）城管执法（04）：指支城管执法费用。</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17.农林水支出（213）农业农村（01）其他农业农村支出（99）：指指其他用于农业方面的支出。</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18.农林水支出（213）林业和草原（02）林业草原防灾减灾（34）：指支防灾减灾支出。</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19.农林水支出（213）林业和草原（02）其他林业和草原支出（99）：指其他林业和草原支出。</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20.农林水支出（213）水利（03）防汛（14）：指防汛业务支出，包括物资购置、网络通信、车船维修、防汛值班、水毁修复以及防汛演练、灾后恢复的支出。</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21.农林水支出（213）水利（03）其他水利支出（99）：指其他水利支出。</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22.农林水支出（213）巩固脱贫衔接乡村振兴（05）其他巩固脱贫衔接乡村振兴支出（99）：指指其他用于扶贫方面的支出。</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23.农林水支出（213）水农村综合改革（07）对村民委员会和村党支部的补助（05）：指各级财政对村民委员会和村党支部的补助支出。</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24.住房保障支出（221）住房改革支出（02）住房公积金（01）：指行政事业单位按人力资源和社会保障部、财政部规定的基本工资和津补贴依规定比例为职工缴纳住房公积金</w:t>
      </w:r>
    </w:p>
    <w:p>
      <w:pPr>
        <w:ind w:firstLine="640" w:firstLineChars="200"/>
        <w:rPr>
          <w:rFonts w:ascii="仿宋_GB2312" w:eastAsia="仿宋_GB2312"/>
          <w:sz w:val="32"/>
          <w:szCs w:val="32"/>
        </w:rPr>
      </w:pPr>
      <w:r>
        <w:rPr>
          <w:rFonts w:hint="eastAsia" w:ascii="仿宋_GB2312" w:eastAsia="仿宋_GB2312"/>
          <w:sz w:val="32"/>
          <w:szCs w:val="32"/>
        </w:rPr>
        <w:t>2</w:t>
      </w:r>
      <w:r>
        <w:rPr>
          <w:rFonts w:hint="eastAsia" w:ascii="仿宋_GB2312" w:eastAsia="仿宋_GB2312"/>
          <w:sz w:val="32"/>
          <w:szCs w:val="32"/>
          <w:lang w:val="en-US" w:eastAsia="zh-CN"/>
        </w:rPr>
        <w:t>5</w:t>
      </w:r>
      <w:r>
        <w:rPr>
          <w:rFonts w:hint="eastAsia" w:ascii="仿宋_GB2312" w:eastAsia="仿宋_GB2312"/>
          <w:sz w:val="32"/>
          <w:szCs w:val="32"/>
        </w:rPr>
        <w:t>.基本支出：指为保障机构正常运转、完成日常工作任务而发生的人员支出和公用支出。</w:t>
      </w:r>
    </w:p>
    <w:p>
      <w:pPr>
        <w:ind w:firstLine="640" w:firstLineChars="200"/>
        <w:rPr>
          <w:rFonts w:ascii="仿宋_GB2312" w:eastAsia="仿宋_GB2312"/>
          <w:sz w:val="32"/>
          <w:szCs w:val="32"/>
        </w:rPr>
      </w:pPr>
      <w:r>
        <w:rPr>
          <w:rFonts w:hint="eastAsia" w:ascii="仿宋_GB2312" w:eastAsia="仿宋_GB2312"/>
          <w:sz w:val="32"/>
          <w:szCs w:val="32"/>
        </w:rPr>
        <w:t>2</w:t>
      </w:r>
      <w:r>
        <w:rPr>
          <w:rFonts w:hint="eastAsia" w:ascii="仿宋_GB2312" w:eastAsia="仿宋_GB2312"/>
          <w:sz w:val="32"/>
          <w:szCs w:val="32"/>
          <w:lang w:val="en-US" w:eastAsia="zh-CN"/>
        </w:rPr>
        <w:t>6</w:t>
      </w:r>
      <w:r>
        <w:rPr>
          <w:rFonts w:hint="eastAsia" w:ascii="仿宋_GB2312" w:eastAsia="仿宋_GB2312"/>
          <w:sz w:val="32"/>
          <w:szCs w:val="32"/>
        </w:rPr>
        <w:t xml:space="preserve">.项目支出：指在基本支出之外为完成特定行政任务和事业发展目标所发生的支出。 </w:t>
      </w:r>
    </w:p>
    <w:p>
      <w:pPr>
        <w:ind w:firstLine="640" w:firstLineChars="200"/>
        <w:rPr>
          <w:rFonts w:ascii="仿宋_GB2312" w:eastAsia="仿宋_GB2312"/>
          <w:sz w:val="32"/>
          <w:szCs w:val="32"/>
        </w:rPr>
      </w:pPr>
      <w:r>
        <w:rPr>
          <w:rFonts w:hint="eastAsia" w:ascii="仿宋_GB2312" w:eastAsia="仿宋_GB2312"/>
          <w:sz w:val="32"/>
          <w:szCs w:val="32"/>
        </w:rPr>
        <w:t>2</w:t>
      </w:r>
      <w:r>
        <w:rPr>
          <w:rFonts w:hint="eastAsia" w:ascii="仿宋_GB2312" w:eastAsia="仿宋_GB2312"/>
          <w:sz w:val="32"/>
          <w:szCs w:val="32"/>
          <w:lang w:val="en-US" w:eastAsia="zh-CN"/>
        </w:rPr>
        <w:t>7</w:t>
      </w:r>
      <w:r>
        <w:rPr>
          <w:rFonts w:hint="eastAsia" w:ascii="仿宋_GB2312" w:eastAsia="仿宋_GB2312"/>
          <w:sz w:val="32"/>
          <w:szCs w:val="32"/>
        </w:rPr>
        <w:t>.经营支出：指事业单位在专业业务活动及其辅助活动之外开展非独立核算经营活动发生的支出。</w:t>
      </w:r>
    </w:p>
    <w:p>
      <w:pPr>
        <w:ind w:firstLine="640" w:firstLineChars="200"/>
        <w:rPr>
          <w:rFonts w:ascii="仿宋_GB2312" w:eastAsia="仿宋_GB2312"/>
          <w:sz w:val="32"/>
          <w:szCs w:val="32"/>
        </w:rPr>
      </w:pPr>
      <w:r>
        <w:rPr>
          <w:rFonts w:hint="eastAsia" w:ascii="仿宋_GB2312" w:eastAsia="仿宋_GB2312"/>
          <w:sz w:val="32"/>
          <w:szCs w:val="32"/>
          <w:lang w:val="en-US" w:eastAsia="zh-CN"/>
        </w:rPr>
        <w:t>28</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1"/>
        <w:spacing w:line="560" w:lineRule="exact"/>
        <w:ind w:firstLine="640" w:firstLineChars="200"/>
        <w:rPr>
          <w:rFonts w:ascii="仿宋_GB2312" w:eastAsia="仿宋_GB2312"/>
          <w:color w:val="auto"/>
          <w:sz w:val="32"/>
          <w:szCs w:val="32"/>
        </w:rPr>
      </w:pPr>
      <w:r>
        <w:rPr>
          <w:rFonts w:hint="eastAsia" w:ascii="仿宋_GB2312" w:eastAsia="仿宋_GB2312"/>
          <w:sz w:val="32"/>
          <w:szCs w:val="32"/>
          <w:lang w:val="en-US" w:eastAsia="zh-CN"/>
        </w:rPr>
        <w:t>29</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ascii="仿宋_GB2312" w:eastAsia="仿宋_GB2312"/>
          <w:sz w:val="32"/>
          <w:szCs w:val="32"/>
          <w:lang w:eastAsia="zh-CN"/>
        </w:rPr>
        <w:t>。</w:t>
      </w:r>
    </w:p>
    <w:p>
      <w:pPr>
        <w:pStyle w:val="31"/>
        <w:spacing w:line="560" w:lineRule="exact"/>
        <w:ind w:firstLine="640" w:firstLineChars="200"/>
        <w:rPr>
          <w:rFonts w:ascii="仿宋_GB2312" w:eastAsia="仿宋_GB2312" w:cs="黑体"/>
          <w:color w:val="auto"/>
          <w:sz w:val="32"/>
          <w:szCs w:val="32"/>
        </w:rPr>
      </w:pPr>
    </w:p>
    <w:p>
      <w:pPr>
        <w:spacing w:line="600" w:lineRule="exact"/>
        <w:jc w:val="both"/>
        <w:outlineLvl w:val="0"/>
        <w:rPr>
          <w:rFonts w:ascii="宋体"/>
          <w:b/>
          <w:sz w:val="44"/>
          <w:szCs w:val="44"/>
        </w:rPr>
        <w:sectPr>
          <w:footerReference r:id="rId10" w:type="first"/>
          <w:footerReference r:id="rId9" w:type="default"/>
          <w:pgSz w:w="11906" w:h="16838"/>
          <w:pgMar w:top="1440" w:right="1800" w:bottom="1440" w:left="1800" w:header="851" w:footer="992" w:gutter="0"/>
          <w:pgNumType w:fmt="decimal" w:start="1"/>
          <w:cols w:space="425" w:num="1"/>
          <w:titlePg/>
          <w:docGrid w:type="lines" w:linePitch="312" w:charSpace="0"/>
        </w:sectPr>
      </w:pPr>
      <w:bookmarkStart w:id="81" w:name="_Toc15396614"/>
      <w:bookmarkStart w:id="82" w:name="_Toc15377226"/>
    </w:p>
    <w:p>
      <w:pPr>
        <w:spacing w:line="600" w:lineRule="exact"/>
        <w:jc w:val="center"/>
        <w:outlineLvl w:val="0"/>
        <w:rPr>
          <w:rStyle w:val="33"/>
          <w:rFonts w:ascii="黑体" w:hAnsi="黑体" w:eastAsia="黑体"/>
          <w:b w:val="0"/>
        </w:rPr>
      </w:pPr>
      <w:bookmarkStart w:id="83" w:name="_Toc12333"/>
      <w:r>
        <w:rPr>
          <w:rFonts w:hint="eastAsia" w:ascii="黑体" w:hAnsi="黑体" w:eastAsia="黑体"/>
          <w:sz w:val="44"/>
          <w:szCs w:val="44"/>
        </w:rPr>
        <w:t>第</w:t>
      </w:r>
      <w:r>
        <w:rPr>
          <w:rStyle w:val="33"/>
          <w:rFonts w:hint="eastAsia" w:ascii="黑体" w:hAnsi="黑体" w:eastAsia="黑体"/>
          <w:b w:val="0"/>
        </w:rPr>
        <w:t>四部分 附件</w:t>
      </w:r>
      <w:bookmarkEnd w:id="81"/>
      <w:bookmarkEnd w:id="83"/>
    </w:p>
    <w:p>
      <w:pPr>
        <w:spacing w:line="572" w:lineRule="exact"/>
        <w:jc w:val="left"/>
        <w:outlineLvl w:val="0"/>
        <w:rPr>
          <w:rFonts w:ascii="仿宋_GB2312" w:hAnsi="仿宋_GB2312" w:eastAsia="仿宋_GB2312" w:cs="仿宋_GB2312"/>
          <w:sz w:val="32"/>
          <w:szCs w:val="32"/>
        </w:rPr>
      </w:pPr>
    </w:p>
    <w:p>
      <w:pPr>
        <w:ind w:firstLine="640" w:firstLineChars="200"/>
        <w:jc w:val="center"/>
        <w:rPr>
          <w:rFonts w:hint="eastAsia" w:ascii="仿宋_GB2312" w:eastAsia="仿宋_GB2312"/>
          <w:sz w:val="32"/>
          <w:szCs w:val="32"/>
          <w:lang w:val="en-US" w:eastAsia="zh-CN"/>
        </w:rPr>
      </w:pPr>
      <w:bookmarkStart w:id="84" w:name="_Toc15396618"/>
      <w:r>
        <w:rPr>
          <w:rFonts w:hint="eastAsia" w:ascii="仿宋_GB2312" w:eastAsia="仿宋_GB2312"/>
          <w:sz w:val="32"/>
          <w:szCs w:val="32"/>
          <w:lang w:val="en-US" w:eastAsia="zh-CN"/>
        </w:rPr>
        <w:t>部门预算项目支出绩效自评表（2023年度）</w:t>
      </w:r>
    </w:p>
    <w:tbl>
      <w:tblPr>
        <w:tblW w:w="1398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
      <w:tblGrid>
        <w:gridCol w:w="623"/>
        <w:gridCol w:w="1741"/>
        <w:gridCol w:w="1536"/>
        <w:gridCol w:w="1945"/>
        <w:gridCol w:w="591"/>
        <w:gridCol w:w="1466"/>
        <w:gridCol w:w="1352"/>
        <w:gridCol w:w="1004"/>
        <w:gridCol w:w="460"/>
        <w:gridCol w:w="406"/>
        <w:gridCol w:w="286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405" w:hRule="atLeast"/>
        </w:trPr>
        <w:tc>
          <w:tcPr>
            <w:tcW w:w="5845" w:type="dxa"/>
            <w:gridSpan w:val="4"/>
            <w:shd w:val="clear"/>
            <w:vAlign w:val="center"/>
          </w:tcPr>
          <w:p>
            <w:pPr>
              <w:keepNext w:val="0"/>
              <w:keepLines w:val="0"/>
              <w:widowControl/>
              <w:suppressLineNumbers w:val="0"/>
              <w:jc w:val="left"/>
              <w:textAlignment w:val="center"/>
              <w:rPr>
                <w:rFonts w:ascii="宋体" w:hAnsi="宋体" w:eastAsia="宋体" w:cs="宋体"/>
                <w:i w:val="0"/>
                <w:color w:val="C0C0C0"/>
                <w:sz w:val="20"/>
                <w:szCs w:val="20"/>
                <w:u w:val="none"/>
              </w:rPr>
            </w:pPr>
            <w:r>
              <w:rPr>
                <w:rFonts w:ascii="宋体" w:hAnsi="宋体" w:eastAsia="宋体" w:cs="宋体"/>
                <w:i w:val="0"/>
                <w:color w:val="C0C0C0"/>
                <w:kern w:val="0"/>
                <w:sz w:val="20"/>
                <w:szCs w:val="20"/>
                <w:u w:val="none"/>
                <w:lang w:val="en-US" w:eastAsia="zh-CN" w:bidi="ar"/>
              </w:rPr>
              <w:t>报表编号：510000_0013zp</w:t>
            </w:r>
          </w:p>
        </w:tc>
        <w:tc>
          <w:tcPr>
            <w:tcW w:w="591" w:type="dxa"/>
            <w:shd w:val="clear"/>
            <w:vAlign w:val="center"/>
          </w:tcPr>
          <w:p>
            <w:pPr>
              <w:rPr>
                <w:rFonts w:hint="eastAsia" w:ascii="宋体" w:hAnsi="宋体" w:eastAsia="宋体" w:cs="宋体"/>
                <w:i w:val="0"/>
                <w:color w:val="000000"/>
                <w:sz w:val="22"/>
                <w:szCs w:val="22"/>
                <w:u w:val="none"/>
              </w:rPr>
            </w:pPr>
          </w:p>
        </w:tc>
        <w:tc>
          <w:tcPr>
            <w:tcW w:w="3822" w:type="dxa"/>
            <w:gridSpan w:val="3"/>
            <w:shd w:val="clear"/>
            <w:vAlign w:val="center"/>
          </w:tcPr>
          <w:p>
            <w:pPr>
              <w:rPr>
                <w:rFonts w:hint="eastAsia" w:ascii="宋体" w:hAnsi="宋体" w:eastAsia="宋体" w:cs="宋体"/>
                <w:i w:val="0"/>
                <w:color w:val="000000"/>
                <w:sz w:val="20"/>
                <w:szCs w:val="20"/>
                <w:u w:val="none"/>
              </w:rPr>
            </w:pPr>
          </w:p>
        </w:tc>
        <w:tc>
          <w:tcPr>
            <w:tcW w:w="460" w:type="dxa"/>
            <w:shd w:val="clear"/>
            <w:vAlign w:val="center"/>
          </w:tcPr>
          <w:p>
            <w:pPr>
              <w:rPr>
                <w:rFonts w:hint="eastAsia" w:ascii="宋体" w:hAnsi="宋体" w:eastAsia="宋体" w:cs="宋体"/>
                <w:i w:val="0"/>
                <w:color w:val="000000"/>
                <w:sz w:val="22"/>
                <w:szCs w:val="22"/>
                <w:u w:val="none"/>
              </w:rPr>
            </w:pPr>
          </w:p>
        </w:tc>
        <w:tc>
          <w:tcPr>
            <w:tcW w:w="406" w:type="dxa"/>
            <w:shd w:val="clear"/>
            <w:vAlign w:val="center"/>
          </w:tcPr>
          <w:p>
            <w:pPr>
              <w:rPr>
                <w:rFonts w:hint="eastAsia" w:ascii="宋体" w:hAnsi="宋体" w:eastAsia="宋体" w:cs="宋体"/>
                <w:i w:val="0"/>
                <w:color w:val="000000"/>
                <w:sz w:val="22"/>
                <w:szCs w:val="22"/>
                <w:u w:val="none"/>
              </w:rPr>
            </w:pPr>
          </w:p>
        </w:tc>
        <w:tc>
          <w:tcPr>
            <w:tcW w:w="2865" w:type="dxa"/>
            <w:shd w:val="clear"/>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13989" w:type="dxa"/>
            <w:gridSpan w:val="11"/>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2364"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625" w:type="dxa"/>
            <w:gridSpan w:val="9"/>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51322522T000000402350-安全生产工作经费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2364"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草地乡政府部门</w:t>
            </w:r>
          </w:p>
        </w:tc>
        <w:tc>
          <w:tcPr>
            <w:tcW w:w="1004" w:type="dxa"/>
            <w:shd w:val="clear"/>
            <w:vAlign w:val="center"/>
          </w:tcPr>
          <w:p>
            <w:pPr>
              <w:keepNext w:val="0"/>
              <w:keepLines w:val="0"/>
              <w:widowControl/>
              <w:suppressLineNumbers w:val="0"/>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731"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741"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735"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做好全年安全生产工作，有物资保障，宣传到位，有效防止特殊安全事故的发生，维护社会安定稳定，促进安全生产工作持续开展</w:t>
            </w:r>
          </w:p>
        </w:tc>
        <w:tc>
          <w:tcPr>
            <w:tcW w:w="4735"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625" w:type="dxa"/>
            <w:gridSpan w:val="9"/>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全乡三村，资金矿业</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处</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有应急预案，有效防止特殊安全事故发生</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优良差</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项目时效</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提前统筹规划，后期应急保障</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优良差</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有效维护社会安全稳定</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优良差</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生态效益指标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提升环境</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优良差</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可持续影响指标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促进安全生产工作持续开展</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优良差</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群众满意</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成本控制</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0258" w:type="dxa"/>
            <w:gridSpan w:val="8"/>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436"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项目负责人：高东</w:t>
            </w:r>
          </w:p>
        </w:tc>
        <w:tc>
          <w:tcPr>
            <w:tcW w:w="7553"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财务负责人：李辉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3" w:type="dxa"/>
            <w:shd w:val="clear"/>
            <w:vAlign w:val="center"/>
          </w:tcPr>
          <w:p>
            <w:pPr>
              <w:rPr>
                <w:rFonts w:hint="eastAsia" w:ascii="宋体" w:hAnsi="宋体" w:eastAsia="宋体" w:cs="宋体"/>
                <w:i w:val="0"/>
                <w:color w:val="000000"/>
                <w:sz w:val="18"/>
                <w:szCs w:val="18"/>
                <w:u w:val="none"/>
              </w:rPr>
            </w:pPr>
          </w:p>
        </w:tc>
        <w:tc>
          <w:tcPr>
            <w:tcW w:w="1741" w:type="dxa"/>
            <w:shd w:val="clear"/>
            <w:vAlign w:val="center"/>
          </w:tcPr>
          <w:p>
            <w:pPr>
              <w:rPr>
                <w:rFonts w:hint="eastAsia" w:ascii="宋体" w:hAnsi="宋体" w:eastAsia="宋体" w:cs="宋体"/>
                <w:i w:val="0"/>
                <w:color w:val="000000"/>
                <w:sz w:val="18"/>
                <w:szCs w:val="18"/>
                <w:u w:val="none"/>
              </w:rPr>
            </w:pPr>
          </w:p>
        </w:tc>
        <w:tc>
          <w:tcPr>
            <w:tcW w:w="1536" w:type="dxa"/>
            <w:shd w:val="clear"/>
            <w:vAlign w:val="center"/>
          </w:tcPr>
          <w:p>
            <w:pPr>
              <w:rPr>
                <w:rFonts w:hint="eastAsia" w:ascii="宋体" w:hAnsi="宋体" w:eastAsia="宋体" w:cs="宋体"/>
                <w:i w:val="0"/>
                <w:color w:val="000000"/>
                <w:sz w:val="18"/>
                <w:szCs w:val="18"/>
                <w:u w:val="none"/>
              </w:rPr>
            </w:pPr>
          </w:p>
        </w:tc>
        <w:tc>
          <w:tcPr>
            <w:tcW w:w="1945" w:type="dxa"/>
            <w:shd w:val="clear"/>
            <w:vAlign w:val="center"/>
          </w:tcPr>
          <w:p>
            <w:pPr>
              <w:rPr>
                <w:rFonts w:hint="eastAsia" w:ascii="宋体" w:hAnsi="宋体" w:eastAsia="宋体" w:cs="宋体"/>
                <w:i w:val="0"/>
                <w:color w:val="000000"/>
                <w:sz w:val="18"/>
                <w:szCs w:val="18"/>
                <w:u w:val="none"/>
              </w:rPr>
            </w:pPr>
          </w:p>
        </w:tc>
        <w:tc>
          <w:tcPr>
            <w:tcW w:w="591" w:type="dxa"/>
            <w:shd w:val="clear"/>
            <w:vAlign w:val="center"/>
          </w:tcPr>
          <w:p>
            <w:pPr>
              <w:rPr>
                <w:rFonts w:hint="eastAsia" w:ascii="宋体" w:hAnsi="宋体" w:eastAsia="宋体" w:cs="宋体"/>
                <w:i w:val="0"/>
                <w:color w:val="000000"/>
                <w:sz w:val="18"/>
                <w:szCs w:val="18"/>
                <w:u w:val="none"/>
              </w:rPr>
            </w:pPr>
          </w:p>
        </w:tc>
        <w:tc>
          <w:tcPr>
            <w:tcW w:w="1466" w:type="dxa"/>
            <w:shd w:val="clear"/>
            <w:vAlign w:val="center"/>
          </w:tcPr>
          <w:p>
            <w:pPr>
              <w:rPr>
                <w:rFonts w:hint="eastAsia" w:ascii="宋体" w:hAnsi="宋体" w:eastAsia="宋体" w:cs="宋体"/>
                <w:i w:val="0"/>
                <w:color w:val="000000"/>
                <w:sz w:val="18"/>
                <w:szCs w:val="18"/>
                <w:u w:val="none"/>
              </w:rPr>
            </w:pPr>
          </w:p>
        </w:tc>
        <w:tc>
          <w:tcPr>
            <w:tcW w:w="1352" w:type="dxa"/>
            <w:shd w:val="clear"/>
            <w:vAlign w:val="center"/>
          </w:tcPr>
          <w:p>
            <w:pPr>
              <w:rPr>
                <w:rFonts w:hint="eastAsia" w:ascii="宋体" w:hAnsi="宋体" w:eastAsia="宋体" w:cs="宋体"/>
                <w:i w:val="0"/>
                <w:color w:val="000000"/>
                <w:sz w:val="18"/>
                <w:szCs w:val="18"/>
                <w:u w:val="none"/>
              </w:rPr>
            </w:pPr>
          </w:p>
        </w:tc>
        <w:tc>
          <w:tcPr>
            <w:tcW w:w="1004" w:type="dxa"/>
            <w:shd w:val="clear"/>
            <w:vAlign w:val="center"/>
          </w:tcPr>
          <w:p>
            <w:pPr>
              <w:rPr>
                <w:rFonts w:hint="eastAsia" w:ascii="宋体" w:hAnsi="宋体" w:eastAsia="宋体" w:cs="宋体"/>
                <w:i w:val="0"/>
                <w:color w:val="000000"/>
                <w:sz w:val="18"/>
                <w:szCs w:val="18"/>
                <w:u w:val="none"/>
              </w:rPr>
            </w:pPr>
          </w:p>
        </w:tc>
        <w:tc>
          <w:tcPr>
            <w:tcW w:w="460" w:type="dxa"/>
            <w:shd w:val="clear"/>
            <w:vAlign w:val="center"/>
          </w:tcPr>
          <w:p>
            <w:pPr>
              <w:rPr>
                <w:rFonts w:hint="eastAsia" w:ascii="宋体" w:hAnsi="宋体" w:eastAsia="宋体" w:cs="宋体"/>
                <w:i w:val="0"/>
                <w:color w:val="000000"/>
                <w:sz w:val="18"/>
                <w:szCs w:val="18"/>
                <w:u w:val="none"/>
              </w:rPr>
            </w:pPr>
          </w:p>
        </w:tc>
        <w:tc>
          <w:tcPr>
            <w:tcW w:w="406" w:type="dxa"/>
            <w:shd w:val="clear"/>
            <w:vAlign w:val="center"/>
          </w:tcPr>
          <w:p>
            <w:pPr>
              <w:rPr>
                <w:rFonts w:hint="eastAsia" w:ascii="宋体" w:hAnsi="宋体" w:eastAsia="宋体" w:cs="宋体"/>
                <w:i w:val="0"/>
                <w:color w:val="000000"/>
                <w:sz w:val="18"/>
                <w:szCs w:val="18"/>
                <w:u w:val="none"/>
              </w:rPr>
            </w:pPr>
          </w:p>
        </w:tc>
        <w:tc>
          <w:tcPr>
            <w:tcW w:w="2865" w:type="dxa"/>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13989" w:type="dxa"/>
            <w:gridSpan w:val="11"/>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2364"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625" w:type="dxa"/>
            <w:gridSpan w:val="9"/>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51322522T000006622006-城乡环境综合治理专项经费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2364"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草地乡政府部门</w:t>
            </w:r>
          </w:p>
        </w:tc>
        <w:tc>
          <w:tcPr>
            <w:tcW w:w="1004" w:type="dxa"/>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731"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741"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735"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改善草地乡人居环境，提高生活质量，创造发展优势，奋力打造干净、整洁的城乡环境，全面提升草地乡城乡环境质量。</w:t>
            </w:r>
          </w:p>
        </w:tc>
        <w:tc>
          <w:tcPr>
            <w:tcW w:w="4735"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625" w:type="dxa"/>
            <w:gridSpan w:val="9"/>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37.50%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37.50%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维护环境人员</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人数</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环境治理情况</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环境治理间隔</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天</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可持续影响指标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维护草地乡干净、整洁卫生环境</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群众满意度</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成本控制</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0258" w:type="dxa"/>
            <w:gridSpan w:val="8"/>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436"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项目负责人：高东</w:t>
            </w:r>
          </w:p>
        </w:tc>
        <w:tc>
          <w:tcPr>
            <w:tcW w:w="7553"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财务负责人：李辉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3" w:type="dxa"/>
            <w:shd w:val="clear"/>
            <w:vAlign w:val="center"/>
          </w:tcPr>
          <w:p>
            <w:pPr>
              <w:rPr>
                <w:rFonts w:hint="eastAsia" w:ascii="宋体" w:hAnsi="宋体" w:eastAsia="宋体" w:cs="宋体"/>
                <w:i w:val="0"/>
                <w:color w:val="000000"/>
                <w:sz w:val="18"/>
                <w:szCs w:val="18"/>
                <w:u w:val="none"/>
              </w:rPr>
            </w:pPr>
          </w:p>
        </w:tc>
        <w:tc>
          <w:tcPr>
            <w:tcW w:w="1741" w:type="dxa"/>
            <w:shd w:val="clear"/>
            <w:vAlign w:val="center"/>
          </w:tcPr>
          <w:p>
            <w:pPr>
              <w:rPr>
                <w:rFonts w:hint="eastAsia" w:ascii="宋体" w:hAnsi="宋体" w:eastAsia="宋体" w:cs="宋体"/>
                <w:i w:val="0"/>
                <w:color w:val="000000"/>
                <w:sz w:val="18"/>
                <w:szCs w:val="18"/>
                <w:u w:val="none"/>
              </w:rPr>
            </w:pPr>
          </w:p>
        </w:tc>
        <w:tc>
          <w:tcPr>
            <w:tcW w:w="1536" w:type="dxa"/>
            <w:shd w:val="clear"/>
            <w:vAlign w:val="center"/>
          </w:tcPr>
          <w:p>
            <w:pPr>
              <w:rPr>
                <w:rFonts w:hint="eastAsia" w:ascii="宋体" w:hAnsi="宋体" w:eastAsia="宋体" w:cs="宋体"/>
                <w:i w:val="0"/>
                <w:color w:val="000000"/>
                <w:sz w:val="18"/>
                <w:szCs w:val="18"/>
                <w:u w:val="none"/>
              </w:rPr>
            </w:pPr>
          </w:p>
        </w:tc>
        <w:tc>
          <w:tcPr>
            <w:tcW w:w="1945" w:type="dxa"/>
            <w:shd w:val="clear"/>
            <w:vAlign w:val="center"/>
          </w:tcPr>
          <w:p>
            <w:pPr>
              <w:rPr>
                <w:rFonts w:hint="eastAsia" w:ascii="宋体" w:hAnsi="宋体" w:eastAsia="宋体" w:cs="宋体"/>
                <w:i w:val="0"/>
                <w:color w:val="000000"/>
                <w:sz w:val="18"/>
                <w:szCs w:val="18"/>
                <w:u w:val="none"/>
              </w:rPr>
            </w:pPr>
          </w:p>
        </w:tc>
        <w:tc>
          <w:tcPr>
            <w:tcW w:w="591" w:type="dxa"/>
            <w:shd w:val="clear"/>
            <w:vAlign w:val="center"/>
          </w:tcPr>
          <w:p>
            <w:pPr>
              <w:rPr>
                <w:rFonts w:hint="eastAsia" w:ascii="宋体" w:hAnsi="宋体" w:eastAsia="宋体" w:cs="宋体"/>
                <w:i w:val="0"/>
                <w:color w:val="000000"/>
                <w:sz w:val="18"/>
                <w:szCs w:val="18"/>
                <w:u w:val="none"/>
              </w:rPr>
            </w:pPr>
          </w:p>
        </w:tc>
        <w:tc>
          <w:tcPr>
            <w:tcW w:w="1466" w:type="dxa"/>
            <w:shd w:val="clear"/>
            <w:vAlign w:val="center"/>
          </w:tcPr>
          <w:p>
            <w:pPr>
              <w:rPr>
                <w:rFonts w:hint="eastAsia" w:ascii="宋体" w:hAnsi="宋体" w:eastAsia="宋体" w:cs="宋体"/>
                <w:i w:val="0"/>
                <w:color w:val="000000"/>
                <w:sz w:val="18"/>
                <w:szCs w:val="18"/>
                <w:u w:val="none"/>
              </w:rPr>
            </w:pPr>
          </w:p>
        </w:tc>
        <w:tc>
          <w:tcPr>
            <w:tcW w:w="1352" w:type="dxa"/>
            <w:shd w:val="clear"/>
            <w:vAlign w:val="center"/>
          </w:tcPr>
          <w:p>
            <w:pPr>
              <w:rPr>
                <w:rFonts w:hint="eastAsia" w:ascii="宋体" w:hAnsi="宋体" w:eastAsia="宋体" w:cs="宋体"/>
                <w:i w:val="0"/>
                <w:color w:val="000000"/>
                <w:sz w:val="18"/>
                <w:szCs w:val="18"/>
                <w:u w:val="none"/>
              </w:rPr>
            </w:pPr>
          </w:p>
        </w:tc>
        <w:tc>
          <w:tcPr>
            <w:tcW w:w="1004" w:type="dxa"/>
            <w:shd w:val="clear"/>
            <w:vAlign w:val="center"/>
          </w:tcPr>
          <w:p>
            <w:pPr>
              <w:rPr>
                <w:rFonts w:hint="eastAsia" w:ascii="宋体" w:hAnsi="宋体" w:eastAsia="宋体" w:cs="宋体"/>
                <w:i w:val="0"/>
                <w:color w:val="000000"/>
                <w:sz w:val="18"/>
                <w:szCs w:val="18"/>
                <w:u w:val="none"/>
              </w:rPr>
            </w:pPr>
          </w:p>
        </w:tc>
        <w:tc>
          <w:tcPr>
            <w:tcW w:w="460" w:type="dxa"/>
            <w:shd w:val="clear"/>
            <w:vAlign w:val="center"/>
          </w:tcPr>
          <w:p>
            <w:pPr>
              <w:rPr>
                <w:rFonts w:hint="eastAsia" w:ascii="宋体" w:hAnsi="宋体" w:eastAsia="宋体" w:cs="宋体"/>
                <w:i w:val="0"/>
                <w:color w:val="000000"/>
                <w:sz w:val="18"/>
                <w:szCs w:val="18"/>
                <w:u w:val="none"/>
              </w:rPr>
            </w:pPr>
          </w:p>
        </w:tc>
        <w:tc>
          <w:tcPr>
            <w:tcW w:w="406" w:type="dxa"/>
            <w:shd w:val="clear"/>
            <w:vAlign w:val="center"/>
          </w:tcPr>
          <w:p>
            <w:pPr>
              <w:rPr>
                <w:rFonts w:hint="eastAsia" w:ascii="宋体" w:hAnsi="宋体" w:eastAsia="宋体" w:cs="宋体"/>
                <w:i w:val="0"/>
                <w:color w:val="000000"/>
                <w:sz w:val="18"/>
                <w:szCs w:val="18"/>
                <w:u w:val="none"/>
              </w:rPr>
            </w:pPr>
          </w:p>
        </w:tc>
        <w:tc>
          <w:tcPr>
            <w:tcW w:w="2865" w:type="dxa"/>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13989" w:type="dxa"/>
            <w:gridSpan w:val="11"/>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2364"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625" w:type="dxa"/>
            <w:gridSpan w:val="9"/>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51322522T000006734545-重大传染病防控（草地乡）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2364"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草地乡政府部门</w:t>
            </w:r>
          </w:p>
        </w:tc>
        <w:tc>
          <w:tcPr>
            <w:tcW w:w="1004" w:type="dxa"/>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731"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741"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735"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为草地乡重大传染病防控工作提供良好的后勤保障，做好重大传染病防控常态化工作，健全应急管理体系，提高处理急难险重任务能力，更好的维护社会大局稳定，推进各项防控工作，坚决遏制传染病的产生。</w:t>
            </w:r>
          </w:p>
        </w:tc>
        <w:tc>
          <w:tcPr>
            <w:tcW w:w="4735"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625" w:type="dxa"/>
            <w:gridSpan w:val="9"/>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全乡防控人数</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417</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户</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杜绝传染病成效</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传染病防控管理时效</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生态效益指标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促进健康生活环境</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群众满意度</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成本控制</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0258" w:type="dxa"/>
            <w:gridSpan w:val="8"/>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436"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项目负责人：高东</w:t>
            </w:r>
          </w:p>
        </w:tc>
        <w:tc>
          <w:tcPr>
            <w:tcW w:w="7553"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财务负责人：李辉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3" w:type="dxa"/>
            <w:shd w:val="clear"/>
            <w:vAlign w:val="center"/>
          </w:tcPr>
          <w:p>
            <w:pPr>
              <w:rPr>
                <w:rFonts w:hint="eastAsia" w:ascii="宋体" w:hAnsi="宋体" w:eastAsia="宋体" w:cs="宋体"/>
                <w:i w:val="0"/>
                <w:color w:val="000000"/>
                <w:sz w:val="18"/>
                <w:szCs w:val="18"/>
                <w:u w:val="none"/>
              </w:rPr>
            </w:pPr>
          </w:p>
        </w:tc>
        <w:tc>
          <w:tcPr>
            <w:tcW w:w="1741" w:type="dxa"/>
            <w:shd w:val="clear"/>
            <w:vAlign w:val="center"/>
          </w:tcPr>
          <w:p>
            <w:pPr>
              <w:rPr>
                <w:rFonts w:hint="eastAsia" w:ascii="宋体" w:hAnsi="宋体" w:eastAsia="宋体" w:cs="宋体"/>
                <w:i w:val="0"/>
                <w:color w:val="000000"/>
                <w:sz w:val="18"/>
                <w:szCs w:val="18"/>
                <w:u w:val="none"/>
              </w:rPr>
            </w:pPr>
          </w:p>
        </w:tc>
        <w:tc>
          <w:tcPr>
            <w:tcW w:w="1536" w:type="dxa"/>
            <w:shd w:val="clear"/>
            <w:vAlign w:val="center"/>
          </w:tcPr>
          <w:p>
            <w:pPr>
              <w:rPr>
                <w:rFonts w:hint="eastAsia" w:ascii="宋体" w:hAnsi="宋体" w:eastAsia="宋体" w:cs="宋体"/>
                <w:i w:val="0"/>
                <w:color w:val="000000"/>
                <w:sz w:val="18"/>
                <w:szCs w:val="18"/>
                <w:u w:val="none"/>
              </w:rPr>
            </w:pPr>
          </w:p>
        </w:tc>
        <w:tc>
          <w:tcPr>
            <w:tcW w:w="1945" w:type="dxa"/>
            <w:shd w:val="clear"/>
            <w:vAlign w:val="center"/>
          </w:tcPr>
          <w:p>
            <w:pPr>
              <w:rPr>
                <w:rFonts w:hint="eastAsia" w:ascii="宋体" w:hAnsi="宋体" w:eastAsia="宋体" w:cs="宋体"/>
                <w:i w:val="0"/>
                <w:color w:val="000000"/>
                <w:sz w:val="18"/>
                <w:szCs w:val="18"/>
                <w:u w:val="none"/>
              </w:rPr>
            </w:pPr>
          </w:p>
        </w:tc>
        <w:tc>
          <w:tcPr>
            <w:tcW w:w="591" w:type="dxa"/>
            <w:shd w:val="clear"/>
            <w:vAlign w:val="center"/>
          </w:tcPr>
          <w:p>
            <w:pPr>
              <w:rPr>
                <w:rFonts w:hint="eastAsia" w:ascii="宋体" w:hAnsi="宋体" w:eastAsia="宋体" w:cs="宋体"/>
                <w:i w:val="0"/>
                <w:color w:val="000000"/>
                <w:sz w:val="18"/>
                <w:szCs w:val="18"/>
                <w:u w:val="none"/>
              </w:rPr>
            </w:pPr>
          </w:p>
        </w:tc>
        <w:tc>
          <w:tcPr>
            <w:tcW w:w="1466" w:type="dxa"/>
            <w:shd w:val="clear"/>
            <w:vAlign w:val="center"/>
          </w:tcPr>
          <w:p>
            <w:pPr>
              <w:rPr>
                <w:rFonts w:hint="eastAsia" w:ascii="宋体" w:hAnsi="宋体" w:eastAsia="宋体" w:cs="宋体"/>
                <w:i w:val="0"/>
                <w:color w:val="000000"/>
                <w:sz w:val="18"/>
                <w:szCs w:val="18"/>
                <w:u w:val="none"/>
              </w:rPr>
            </w:pPr>
          </w:p>
        </w:tc>
        <w:tc>
          <w:tcPr>
            <w:tcW w:w="1352" w:type="dxa"/>
            <w:shd w:val="clear"/>
            <w:vAlign w:val="center"/>
          </w:tcPr>
          <w:p>
            <w:pPr>
              <w:rPr>
                <w:rFonts w:hint="eastAsia" w:ascii="宋体" w:hAnsi="宋体" w:eastAsia="宋体" w:cs="宋体"/>
                <w:i w:val="0"/>
                <w:color w:val="000000"/>
                <w:sz w:val="18"/>
                <w:szCs w:val="18"/>
                <w:u w:val="none"/>
              </w:rPr>
            </w:pPr>
          </w:p>
        </w:tc>
        <w:tc>
          <w:tcPr>
            <w:tcW w:w="1004" w:type="dxa"/>
            <w:shd w:val="clear"/>
            <w:vAlign w:val="center"/>
          </w:tcPr>
          <w:p>
            <w:pPr>
              <w:rPr>
                <w:rFonts w:hint="eastAsia" w:ascii="宋体" w:hAnsi="宋体" w:eastAsia="宋体" w:cs="宋体"/>
                <w:i w:val="0"/>
                <w:color w:val="000000"/>
                <w:sz w:val="18"/>
                <w:szCs w:val="18"/>
                <w:u w:val="none"/>
              </w:rPr>
            </w:pPr>
          </w:p>
        </w:tc>
        <w:tc>
          <w:tcPr>
            <w:tcW w:w="460" w:type="dxa"/>
            <w:shd w:val="clear"/>
            <w:vAlign w:val="center"/>
          </w:tcPr>
          <w:p>
            <w:pPr>
              <w:rPr>
                <w:rFonts w:hint="eastAsia" w:ascii="宋体" w:hAnsi="宋体" w:eastAsia="宋体" w:cs="宋体"/>
                <w:i w:val="0"/>
                <w:color w:val="000000"/>
                <w:sz w:val="18"/>
                <w:szCs w:val="18"/>
                <w:u w:val="none"/>
              </w:rPr>
            </w:pPr>
          </w:p>
        </w:tc>
        <w:tc>
          <w:tcPr>
            <w:tcW w:w="406" w:type="dxa"/>
            <w:shd w:val="clear"/>
            <w:vAlign w:val="center"/>
          </w:tcPr>
          <w:p>
            <w:pPr>
              <w:rPr>
                <w:rFonts w:hint="eastAsia" w:ascii="宋体" w:hAnsi="宋体" w:eastAsia="宋体" w:cs="宋体"/>
                <w:i w:val="0"/>
                <w:color w:val="000000"/>
                <w:sz w:val="18"/>
                <w:szCs w:val="18"/>
                <w:u w:val="none"/>
              </w:rPr>
            </w:pPr>
          </w:p>
        </w:tc>
        <w:tc>
          <w:tcPr>
            <w:tcW w:w="2865" w:type="dxa"/>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3" w:type="dxa"/>
            <w:shd w:val="clear"/>
            <w:vAlign w:val="center"/>
          </w:tcPr>
          <w:p>
            <w:pPr>
              <w:rPr>
                <w:rFonts w:hint="eastAsia" w:ascii="宋体" w:hAnsi="宋体" w:eastAsia="宋体" w:cs="宋体"/>
                <w:i w:val="0"/>
                <w:color w:val="000000"/>
                <w:sz w:val="18"/>
                <w:szCs w:val="18"/>
                <w:u w:val="none"/>
              </w:rPr>
            </w:pPr>
          </w:p>
        </w:tc>
        <w:tc>
          <w:tcPr>
            <w:tcW w:w="1741" w:type="dxa"/>
            <w:shd w:val="clear"/>
            <w:vAlign w:val="center"/>
          </w:tcPr>
          <w:p>
            <w:pPr>
              <w:rPr>
                <w:rFonts w:hint="eastAsia" w:ascii="宋体" w:hAnsi="宋体" w:eastAsia="宋体" w:cs="宋体"/>
                <w:i w:val="0"/>
                <w:color w:val="000000"/>
                <w:sz w:val="18"/>
                <w:szCs w:val="18"/>
                <w:u w:val="none"/>
              </w:rPr>
            </w:pPr>
          </w:p>
        </w:tc>
        <w:tc>
          <w:tcPr>
            <w:tcW w:w="1536" w:type="dxa"/>
            <w:shd w:val="clear"/>
            <w:vAlign w:val="center"/>
          </w:tcPr>
          <w:p>
            <w:pPr>
              <w:rPr>
                <w:rFonts w:hint="eastAsia" w:ascii="宋体" w:hAnsi="宋体" w:eastAsia="宋体" w:cs="宋体"/>
                <w:i w:val="0"/>
                <w:color w:val="000000"/>
                <w:sz w:val="18"/>
                <w:szCs w:val="18"/>
                <w:u w:val="none"/>
              </w:rPr>
            </w:pPr>
          </w:p>
        </w:tc>
        <w:tc>
          <w:tcPr>
            <w:tcW w:w="1945" w:type="dxa"/>
            <w:shd w:val="clear"/>
            <w:vAlign w:val="center"/>
          </w:tcPr>
          <w:p>
            <w:pPr>
              <w:rPr>
                <w:rFonts w:hint="eastAsia" w:ascii="宋体" w:hAnsi="宋体" w:eastAsia="宋体" w:cs="宋体"/>
                <w:i w:val="0"/>
                <w:color w:val="000000"/>
                <w:sz w:val="18"/>
                <w:szCs w:val="18"/>
                <w:u w:val="none"/>
              </w:rPr>
            </w:pPr>
          </w:p>
        </w:tc>
        <w:tc>
          <w:tcPr>
            <w:tcW w:w="591" w:type="dxa"/>
            <w:shd w:val="clear"/>
            <w:vAlign w:val="center"/>
          </w:tcPr>
          <w:p>
            <w:pPr>
              <w:rPr>
                <w:rFonts w:hint="eastAsia" w:ascii="宋体" w:hAnsi="宋体" w:eastAsia="宋体" w:cs="宋体"/>
                <w:i w:val="0"/>
                <w:color w:val="000000"/>
                <w:sz w:val="18"/>
                <w:szCs w:val="18"/>
                <w:u w:val="none"/>
              </w:rPr>
            </w:pPr>
          </w:p>
        </w:tc>
        <w:tc>
          <w:tcPr>
            <w:tcW w:w="1466" w:type="dxa"/>
            <w:shd w:val="clear"/>
            <w:vAlign w:val="center"/>
          </w:tcPr>
          <w:p>
            <w:pPr>
              <w:rPr>
                <w:rFonts w:hint="eastAsia" w:ascii="宋体" w:hAnsi="宋体" w:eastAsia="宋体" w:cs="宋体"/>
                <w:i w:val="0"/>
                <w:color w:val="000000"/>
                <w:sz w:val="18"/>
                <w:szCs w:val="18"/>
                <w:u w:val="none"/>
              </w:rPr>
            </w:pPr>
          </w:p>
        </w:tc>
        <w:tc>
          <w:tcPr>
            <w:tcW w:w="1352" w:type="dxa"/>
            <w:shd w:val="clear"/>
            <w:vAlign w:val="center"/>
          </w:tcPr>
          <w:p>
            <w:pPr>
              <w:rPr>
                <w:rFonts w:hint="eastAsia" w:ascii="宋体" w:hAnsi="宋体" w:eastAsia="宋体" w:cs="宋体"/>
                <w:i w:val="0"/>
                <w:color w:val="000000"/>
                <w:sz w:val="18"/>
                <w:szCs w:val="18"/>
                <w:u w:val="none"/>
              </w:rPr>
            </w:pPr>
          </w:p>
        </w:tc>
        <w:tc>
          <w:tcPr>
            <w:tcW w:w="1004" w:type="dxa"/>
            <w:shd w:val="clear"/>
            <w:vAlign w:val="center"/>
          </w:tcPr>
          <w:p>
            <w:pPr>
              <w:rPr>
                <w:rFonts w:hint="eastAsia" w:ascii="宋体" w:hAnsi="宋体" w:eastAsia="宋体" w:cs="宋体"/>
                <w:i w:val="0"/>
                <w:color w:val="000000"/>
                <w:sz w:val="18"/>
                <w:szCs w:val="18"/>
                <w:u w:val="none"/>
              </w:rPr>
            </w:pPr>
          </w:p>
        </w:tc>
        <w:tc>
          <w:tcPr>
            <w:tcW w:w="460" w:type="dxa"/>
            <w:shd w:val="clear"/>
            <w:vAlign w:val="center"/>
          </w:tcPr>
          <w:p>
            <w:pPr>
              <w:rPr>
                <w:rFonts w:hint="eastAsia" w:ascii="宋体" w:hAnsi="宋体" w:eastAsia="宋体" w:cs="宋体"/>
                <w:i w:val="0"/>
                <w:color w:val="000000"/>
                <w:sz w:val="18"/>
                <w:szCs w:val="18"/>
                <w:u w:val="none"/>
              </w:rPr>
            </w:pPr>
          </w:p>
        </w:tc>
        <w:tc>
          <w:tcPr>
            <w:tcW w:w="406" w:type="dxa"/>
            <w:shd w:val="clear"/>
            <w:vAlign w:val="center"/>
          </w:tcPr>
          <w:p>
            <w:pPr>
              <w:rPr>
                <w:rFonts w:hint="eastAsia" w:ascii="宋体" w:hAnsi="宋体" w:eastAsia="宋体" w:cs="宋体"/>
                <w:i w:val="0"/>
                <w:color w:val="000000"/>
                <w:sz w:val="18"/>
                <w:szCs w:val="18"/>
                <w:u w:val="none"/>
              </w:rPr>
            </w:pPr>
          </w:p>
        </w:tc>
        <w:tc>
          <w:tcPr>
            <w:tcW w:w="2865" w:type="dxa"/>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13989" w:type="dxa"/>
            <w:gridSpan w:val="11"/>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2364"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625" w:type="dxa"/>
            <w:gridSpan w:val="9"/>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51322523T000008579879-基层组织和公共服务运行费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2364"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草地乡政府部门</w:t>
            </w:r>
          </w:p>
        </w:tc>
        <w:tc>
          <w:tcPr>
            <w:tcW w:w="1004" w:type="dxa"/>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731"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741"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735"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从各村实际出发，提升村办公能力，保障村级各项事务开展</w:t>
            </w:r>
          </w:p>
        </w:tc>
        <w:tc>
          <w:tcPr>
            <w:tcW w:w="4735"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625" w:type="dxa"/>
            <w:gridSpan w:val="9"/>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33.00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31.30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31.26</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99.87%</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33.00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31.30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31.26</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99.87%</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3村全覆盖</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处</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保障村级各项事务开展</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优良差</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项目完成时效</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村寨发展依托，保障</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优良差</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维护社会和谐稳定</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优良差</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生态效益指标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改善村容村貌，提升</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优良差</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可持续影响指标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各村可持续发展</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优良差</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提高群众满意度</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33万元</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33</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0258" w:type="dxa"/>
            <w:gridSpan w:val="8"/>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436"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项目负责人：高东</w:t>
            </w:r>
          </w:p>
        </w:tc>
        <w:tc>
          <w:tcPr>
            <w:tcW w:w="7553"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财务负责人：李辉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3" w:type="dxa"/>
            <w:shd w:val="clear"/>
            <w:vAlign w:val="center"/>
          </w:tcPr>
          <w:p>
            <w:pPr>
              <w:rPr>
                <w:rFonts w:hint="eastAsia" w:ascii="宋体" w:hAnsi="宋体" w:eastAsia="宋体" w:cs="宋体"/>
                <w:i w:val="0"/>
                <w:color w:val="000000"/>
                <w:sz w:val="18"/>
                <w:szCs w:val="18"/>
                <w:u w:val="none"/>
              </w:rPr>
            </w:pPr>
          </w:p>
        </w:tc>
        <w:tc>
          <w:tcPr>
            <w:tcW w:w="1741" w:type="dxa"/>
            <w:shd w:val="clear"/>
            <w:vAlign w:val="center"/>
          </w:tcPr>
          <w:p>
            <w:pPr>
              <w:rPr>
                <w:rFonts w:hint="eastAsia" w:ascii="宋体" w:hAnsi="宋体" w:eastAsia="宋体" w:cs="宋体"/>
                <w:i w:val="0"/>
                <w:color w:val="000000"/>
                <w:sz w:val="18"/>
                <w:szCs w:val="18"/>
                <w:u w:val="none"/>
              </w:rPr>
            </w:pPr>
          </w:p>
        </w:tc>
        <w:tc>
          <w:tcPr>
            <w:tcW w:w="1536" w:type="dxa"/>
            <w:shd w:val="clear"/>
            <w:vAlign w:val="center"/>
          </w:tcPr>
          <w:p>
            <w:pPr>
              <w:rPr>
                <w:rFonts w:hint="eastAsia" w:ascii="宋体" w:hAnsi="宋体" w:eastAsia="宋体" w:cs="宋体"/>
                <w:i w:val="0"/>
                <w:color w:val="000000"/>
                <w:sz w:val="18"/>
                <w:szCs w:val="18"/>
                <w:u w:val="none"/>
              </w:rPr>
            </w:pPr>
          </w:p>
        </w:tc>
        <w:tc>
          <w:tcPr>
            <w:tcW w:w="1945" w:type="dxa"/>
            <w:shd w:val="clear"/>
            <w:vAlign w:val="center"/>
          </w:tcPr>
          <w:p>
            <w:pPr>
              <w:rPr>
                <w:rFonts w:hint="eastAsia" w:ascii="宋体" w:hAnsi="宋体" w:eastAsia="宋体" w:cs="宋体"/>
                <w:i w:val="0"/>
                <w:color w:val="000000"/>
                <w:sz w:val="18"/>
                <w:szCs w:val="18"/>
                <w:u w:val="none"/>
              </w:rPr>
            </w:pPr>
          </w:p>
        </w:tc>
        <w:tc>
          <w:tcPr>
            <w:tcW w:w="591" w:type="dxa"/>
            <w:shd w:val="clear"/>
            <w:vAlign w:val="center"/>
          </w:tcPr>
          <w:p>
            <w:pPr>
              <w:rPr>
                <w:rFonts w:hint="eastAsia" w:ascii="宋体" w:hAnsi="宋体" w:eastAsia="宋体" w:cs="宋体"/>
                <w:i w:val="0"/>
                <w:color w:val="000000"/>
                <w:sz w:val="18"/>
                <w:szCs w:val="18"/>
                <w:u w:val="none"/>
              </w:rPr>
            </w:pPr>
          </w:p>
        </w:tc>
        <w:tc>
          <w:tcPr>
            <w:tcW w:w="1466" w:type="dxa"/>
            <w:shd w:val="clear"/>
            <w:vAlign w:val="center"/>
          </w:tcPr>
          <w:p>
            <w:pPr>
              <w:rPr>
                <w:rFonts w:hint="eastAsia" w:ascii="宋体" w:hAnsi="宋体" w:eastAsia="宋体" w:cs="宋体"/>
                <w:i w:val="0"/>
                <w:color w:val="000000"/>
                <w:sz w:val="18"/>
                <w:szCs w:val="18"/>
                <w:u w:val="none"/>
              </w:rPr>
            </w:pPr>
          </w:p>
        </w:tc>
        <w:tc>
          <w:tcPr>
            <w:tcW w:w="1352" w:type="dxa"/>
            <w:shd w:val="clear"/>
            <w:vAlign w:val="center"/>
          </w:tcPr>
          <w:p>
            <w:pPr>
              <w:rPr>
                <w:rFonts w:hint="eastAsia" w:ascii="宋体" w:hAnsi="宋体" w:eastAsia="宋体" w:cs="宋体"/>
                <w:i w:val="0"/>
                <w:color w:val="000000"/>
                <w:sz w:val="18"/>
                <w:szCs w:val="18"/>
                <w:u w:val="none"/>
              </w:rPr>
            </w:pPr>
          </w:p>
        </w:tc>
        <w:tc>
          <w:tcPr>
            <w:tcW w:w="1004" w:type="dxa"/>
            <w:shd w:val="clear"/>
            <w:vAlign w:val="center"/>
          </w:tcPr>
          <w:p>
            <w:pPr>
              <w:rPr>
                <w:rFonts w:hint="eastAsia" w:ascii="宋体" w:hAnsi="宋体" w:eastAsia="宋体" w:cs="宋体"/>
                <w:i w:val="0"/>
                <w:color w:val="000000"/>
                <w:sz w:val="18"/>
                <w:szCs w:val="18"/>
                <w:u w:val="none"/>
              </w:rPr>
            </w:pPr>
          </w:p>
        </w:tc>
        <w:tc>
          <w:tcPr>
            <w:tcW w:w="460" w:type="dxa"/>
            <w:shd w:val="clear"/>
            <w:vAlign w:val="center"/>
          </w:tcPr>
          <w:p>
            <w:pPr>
              <w:rPr>
                <w:rFonts w:hint="eastAsia" w:ascii="宋体" w:hAnsi="宋体" w:eastAsia="宋体" w:cs="宋体"/>
                <w:i w:val="0"/>
                <w:color w:val="000000"/>
                <w:sz w:val="18"/>
                <w:szCs w:val="18"/>
                <w:u w:val="none"/>
              </w:rPr>
            </w:pPr>
          </w:p>
        </w:tc>
        <w:tc>
          <w:tcPr>
            <w:tcW w:w="406" w:type="dxa"/>
            <w:shd w:val="clear"/>
            <w:vAlign w:val="center"/>
          </w:tcPr>
          <w:p>
            <w:pPr>
              <w:rPr>
                <w:rFonts w:hint="eastAsia" w:ascii="宋体" w:hAnsi="宋体" w:eastAsia="宋体" w:cs="宋体"/>
                <w:i w:val="0"/>
                <w:color w:val="000000"/>
                <w:sz w:val="18"/>
                <w:szCs w:val="18"/>
                <w:u w:val="none"/>
              </w:rPr>
            </w:pPr>
          </w:p>
        </w:tc>
        <w:tc>
          <w:tcPr>
            <w:tcW w:w="2865" w:type="dxa"/>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13989" w:type="dxa"/>
            <w:gridSpan w:val="11"/>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2364"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625" w:type="dxa"/>
            <w:gridSpan w:val="9"/>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51322523T000008583101-伙食团补助费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2364"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草地乡政府部门</w:t>
            </w:r>
          </w:p>
        </w:tc>
        <w:tc>
          <w:tcPr>
            <w:tcW w:w="1004" w:type="dxa"/>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731"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741"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735"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用于职工伙食团日常开销，提高全乡职工的生活水平</w:t>
            </w:r>
          </w:p>
        </w:tc>
        <w:tc>
          <w:tcPr>
            <w:tcW w:w="4735"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625" w:type="dxa"/>
            <w:gridSpan w:val="9"/>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在伙食团就餐人数</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28</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人数</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安全、卫生提供食物，保障职工伙食水平</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优良差</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项目经费时效</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提高干部职工工作积极性</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优良差</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可持续影响指标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维护乡伙食团持续开展</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优良差</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干部职工满意度</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成本控制</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0258" w:type="dxa"/>
            <w:gridSpan w:val="8"/>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436"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项目负责人：高东</w:t>
            </w:r>
          </w:p>
        </w:tc>
        <w:tc>
          <w:tcPr>
            <w:tcW w:w="7553"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财务负责人：李辉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3" w:type="dxa"/>
            <w:shd w:val="clear"/>
            <w:vAlign w:val="center"/>
          </w:tcPr>
          <w:p>
            <w:pPr>
              <w:rPr>
                <w:rFonts w:hint="eastAsia" w:ascii="宋体" w:hAnsi="宋体" w:eastAsia="宋体" w:cs="宋体"/>
                <w:i w:val="0"/>
                <w:color w:val="000000"/>
                <w:sz w:val="18"/>
                <w:szCs w:val="18"/>
                <w:u w:val="none"/>
              </w:rPr>
            </w:pPr>
          </w:p>
        </w:tc>
        <w:tc>
          <w:tcPr>
            <w:tcW w:w="1741" w:type="dxa"/>
            <w:shd w:val="clear"/>
            <w:vAlign w:val="center"/>
          </w:tcPr>
          <w:p>
            <w:pPr>
              <w:rPr>
                <w:rFonts w:hint="eastAsia" w:ascii="宋体" w:hAnsi="宋体" w:eastAsia="宋体" w:cs="宋体"/>
                <w:i w:val="0"/>
                <w:color w:val="000000"/>
                <w:sz w:val="18"/>
                <w:szCs w:val="18"/>
                <w:u w:val="none"/>
              </w:rPr>
            </w:pPr>
          </w:p>
        </w:tc>
        <w:tc>
          <w:tcPr>
            <w:tcW w:w="1536" w:type="dxa"/>
            <w:shd w:val="clear"/>
            <w:vAlign w:val="center"/>
          </w:tcPr>
          <w:p>
            <w:pPr>
              <w:rPr>
                <w:rFonts w:hint="eastAsia" w:ascii="宋体" w:hAnsi="宋体" w:eastAsia="宋体" w:cs="宋体"/>
                <w:i w:val="0"/>
                <w:color w:val="000000"/>
                <w:sz w:val="18"/>
                <w:szCs w:val="18"/>
                <w:u w:val="none"/>
              </w:rPr>
            </w:pPr>
          </w:p>
        </w:tc>
        <w:tc>
          <w:tcPr>
            <w:tcW w:w="1945" w:type="dxa"/>
            <w:shd w:val="clear"/>
            <w:vAlign w:val="center"/>
          </w:tcPr>
          <w:p>
            <w:pPr>
              <w:rPr>
                <w:rFonts w:hint="eastAsia" w:ascii="宋体" w:hAnsi="宋体" w:eastAsia="宋体" w:cs="宋体"/>
                <w:i w:val="0"/>
                <w:color w:val="000000"/>
                <w:sz w:val="18"/>
                <w:szCs w:val="18"/>
                <w:u w:val="none"/>
              </w:rPr>
            </w:pPr>
          </w:p>
        </w:tc>
        <w:tc>
          <w:tcPr>
            <w:tcW w:w="591" w:type="dxa"/>
            <w:shd w:val="clear"/>
            <w:vAlign w:val="center"/>
          </w:tcPr>
          <w:p>
            <w:pPr>
              <w:rPr>
                <w:rFonts w:hint="eastAsia" w:ascii="宋体" w:hAnsi="宋体" w:eastAsia="宋体" w:cs="宋体"/>
                <w:i w:val="0"/>
                <w:color w:val="000000"/>
                <w:sz w:val="18"/>
                <w:szCs w:val="18"/>
                <w:u w:val="none"/>
              </w:rPr>
            </w:pPr>
          </w:p>
        </w:tc>
        <w:tc>
          <w:tcPr>
            <w:tcW w:w="1466" w:type="dxa"/>
            <w:shd w:val="clear"/>
            <w:vAlign w:val="center"/>
          </w:tcPr>
          <w:p>
            <w:pPr>
              <w:rPr>
                <w:rFonts w:hint="eastAsia" w:ascii="宋体" w:hAnsi="宋体" w:eastAsia="宋体" w:cs="宋体"/>
                <w:i w:val="0"/>
                <w:color w:val="000000"/>
                <w:sz w:val="18"/>
                <w:szCs w:val="18"/>
                <w:u w:val="none"/>
              </w:rPr>
            </w:pPr>
          </w:p>
        </w:tc>
        <w:tc>
          <w:tcPr>
            <w:tcW w:w="1352" w:type="dxa"/>
            <w:shd w:val="clear"/>
            <w:vAlign w:val="center"/>
          </w:tcPr>
          <w:p>
            <w:pPr>
              <w:rPr>
                <w:rFonts w:hint="eastAsia" w:ascii="宋体" w:hAnsi="宋体" w:eastAsia="宋体" w:cs="宋体"/>
                <w:i w:val="0"/>
                <w:color w:val="000000"/>
                <w:sz w:val="18"/>
                <w:szCs w:val="18"/>
                <w:u w:val="none"/>
              </w:rPr>
            </w:pPr>
          </w:p>
        </w:tc>
        <w:tc>
          <w:tcPr>
            <w:tcW w:w="1004" w:type="dxa"/>
            <w:shd w:val="clear"/>
            <w:vAlign w:val="center"/>
          </w:tcPr>
          <w:p>
            <w:pPr>
              <w:rPr>
                <w:rFonts w:hint="eastAsia" w:ascii="宋体" w:hAnsi="宋体" w:eastAsia="宋体" w:cs="宋体"/>
                <w:i w:val="0"/>
                <w:color w:val="000000"/>
                <w:sz w:val="18"/>
                <w:szCs w:val="18"/>
                <w:u w:val="none"/>
              </w:rPr>
            </w:pPr>
          </w:p>
        </w:tc>
        <w:tc>
          <w:tcPr>
            <w:tcW w:w="460" w:type="dxa"/>
            <w:shd w:val="clear"/>
            <w:vAlign w:val="center"/>
          </w:tcPr>
          <w:p>
            <w:pPr>
              <w:rPr>
                <w:rFonts w:hint="eastAsia" w:ascii="宋体" w:hAnsi="宋体" w:eastAsia="宋体" w:cs="宋体"/>
                <w:i w:val="0"/>
                <w:color w:val="000000"/>
                <w:sz w:val="18"/>
                <w:szCs w:val="18"/>
                <w:u w:val="none"/>
              </w:rPr>
            </w:pPr>
          </w:p>
        </w:tc>
        <w:tc>
          <w:tcPr>
            <w:tcW w:w="406" w:type="dxa"/>
            <w:shd w:val="clear"/>
            <w:vAlign w:val="center"/>
          </w:tcPr>
          <w:p>
            <w:pPr>
              <w:rPr>
                <w:rFonts w:hint="eastAsia" w:ascii="宋体" w:hAnsi="宋体" w:eastAsia="宋体" w:cs="宋体"/>
                <w:i w:val="0"/>
                <w:color w:val="000000"/>
                <w:sz w:val="18"/>
                <w:szCs w:val="18"/>
                <w:u w:val="none"/>
              </w:rPr>
            </w:pPr>
          </w:p>
        </w:tc>
        <w:tc>
          <w:tcPr>
            <w:tcW w:w="2865" w:type="dxa"/>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13989" w:type="dxa"/>
            <w:gridSpan w:val="11"/>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2364"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625" w:type="dxa"/>
            <w:gridSpan w:val="9"/>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51322523T000009334491-草地乡边界维稳经费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2364"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草地乡政府部门</w:t>
            </w:r>
          </w:p>
        </w:tc>
        <w:tc>
          <w:tcPr>
            <w:tcW w:w="1004" w:type="dxa"/>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731"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741"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735"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维护周边乡镇边界稳定友好工作，加强与郭元乡，石鸡坝镇的沟通联系，保障边界稳定友好，和谐发展，维护稳定，保护生态环境。</w:t>
            </w:r>
          </w:p>
        </w:tc>
        <w:tc>
          <w:tcPr>
            <w:tcW w:w="4735"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625" w:type="dxa"/>
            <w:gridSpan w:val="9"/>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11.00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45.45%</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11.00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45.45%</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边界巡查维护次数</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150</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次</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保障边界稳定友好，和谐发展</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边界稳定持续时效</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创建平安边界，健全边界稳定友好</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可持续发展指标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优势互补，资源共享，互利共赢</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群众满意度</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成本控制</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0258" w:type="dxa"/>
            <w:gridSpan w:val="8"/>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436"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项目负责人：高东</w:t>
            </w:r>
          </w:p>
        </w:tc>
        <w:tc>
          <w:tcPr>
            <w:tcW w:w="7553"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财务负责人：李辉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3" w:type="dxa"/>
            <w:shd w:val="clear"/>
            <w:vAlign w:val="center"/>
          </w:tcPr>
          <w:p>
            <w:pPr>
              <w:rPr>
                <w:rFonts w:hint="eastAsia" w:ascii="宋体" w:hAnsi="宋体" w:eastAsia="宋体" w:cs="宋体"/>
                <w:i w:val="0"/>
                <w:color w:val="000000"/>
                <w:sz w:val="18"/>
                <w:szCs w:val="18"/>
                <w:u w:val="none"/>
              </w:rPr>
            </w:pPr>
          </w:p>
        </w:tc>
        <w:tc>
          <w:tcPr>
            <w:tcW w:w="1741" w:type="dxa"/>
            <w:shd w:val="clear"/>
            <w:vAlign w:val="center"/>
          </w:tcPr>
          <w:p>
            <w:pPr>
              <w:rPr>
                <w:rFonts w:hint="eastAsia" w:ascii="宋体" w:hAnsi="宋体" w:eastAsia="宋体" w:cs="宋体"/>
                <w:i w:val="0"/>
                <w:color w:val="000000"/>
                <w:sz w:val="18"/>
                <w:szCs w:val="18"/>
                <w:u w:val="none"/>
              </w:rPr>
            </w:pPr>
          </w:p>
        </w:tc>
        <w:tc>
          <w:tcPr>
            <w:tcW w:w="1536" w:type="dxa"/>
            <w:shd w:val="clear"/>
            <w:vAlign w:val="center"/>
          </w:tcPr>
          <w:p>
            <w:pPr>
              <w:rPr>
                <w:rFonts w:hint="eastAsia" w:ascii="宋体" w:hAnsi="宋体" w:eastAsia="宋体" w:cs="宋体"/>
                <w:i w:val="0"/>
                <w:color w:val="000000"/>
                <w:sz w:val="18"/>
                <w:szCs w:val="18"/>
                <w:u w:val="none"/>
              </w:rPr>
            </w:pPr>
          </w:p>
        </w:tc>
        <w:tc>
          <w:tcPr>
            <w:tcW w:w="1945" w:type="dxa"/>
            <w:shd w:val="clear"/>
            <w:vAlign w:val="center"/>
          </w:tcPr>
          <w:p>
            <w:pPr>
              <w:rPr>
                <w:rFonts w:hint="eastAsia" w:ascii="宋体" w:hAnsi="宋体" w:eastAsia="宋体" w:cs="宋体"/>
                <w:i w:val="0"/>
                <w:color w:val="000000"/>
                <w:sz w:val="18"/>
                <w:szCs w:val="18"/>
                <w:u w:val="none"/>
              </w:rPr>
            </w:pPr>
          </w:p>
        </w:tc>
        <w:tc>
          <w:tcPr>
            <w:tcW w:w="591" w:type="dxa"/>
            <w:shd w:val="clear"/>
            <w:vAlign w:val="center"/>
          </w:tcPr>
          <w:p>
            <w:pPr>
              <w:rPr>
                <w:rFonts w:hint="eastAsia" w:ascii="宋体" w:hAnsi="宋体" w:eastAsia="宋体" w:cs="宋体"/>
                <w:i w:val="0"/>
                <w:color w:val="000000"/>
                <w:sz w:val="18"/>
                <w:szCs w:val="18"/>
                <w:u w:val="none"/>
              </w:rPr>
            </w:pPr>
          </w:p>
        </w:tc>
        <w:tc>
          <w:tcPr>
            <w:tcW w:w="1466" w:type="dxa"/>
            <w:shd w:val="clear"/>
            <w:vAlign w:val="center"/>
          </w:tcPr>
          <w:p>
            <w:pPr>
              <w:rPr>
                <w:rFonts w:hint="eastAsia" w:ascii="宋体" w:hAnsi="宋体" w:eastAsia="宋体" w:cs="宋体"/>
                <w:i w:val="0"/>
                <w:color w:val="000000"/>
                <w:sz w:val="18"/>
                <w:szCs w:val="18"/>
                <w:u w:val="none"/>
              </w:rPr>
            </w:pPr>
          </w:p>
        </w:tc>
        <w:tc>
          <w:tcPr>
            <w:tcW w:w="1352" w:type="dxa"/>
            <w:shd w:val="clear"/>
            <w:vAlign w:val="center"/>
          </w:tcPr>
          <w:p>
            <w:pPr>
              <w:rPr>
                <w:rFonts w:hint="eastAsia" w:ascii="宋体" w:hAnsi="宋体" w:eastAsia="宋体" w:cs="宋体"/>
                <w:i w:val="0"/>
                <w:color w:val="000000"/>
                <w:sz w:val="18"/>
                <w:szCs w:val="18"/>
                <w:u w:val="none"/>
              </w:rPr>
            </w:pPr>
          </w:p>
        </w:tc>
        <w:tc>
          <w:tcPr>
            <w:tcW w:w="1004" w:type="dxa"/>
            <w:shd w:val="clear"/>
            <w:vAlign w:val="center"/>
          </w:tcPr>
          <w:p>
            <w:pPr>
              <w:rPr>
                <w:rFonts w:hint="eastAsia" w:ascii="宋体" w:hAnsi="宋体" w:eastAsia="宋体" w:cs="宋体"/>
                <w:i w:val="0"/>
                <w:color w:val="000000"/>
                <w:sz w:val="18"/>
                <w:szCs w:val="18"/>
                <w:u w:val="none"/>
              </w:rPr>
            </w:pPr>
          </w:p>
        </w:tc>
        <w:tc>
          <w:tcPr>
            <w:tcW w:w="460" w:type="dxa"/>
            <w:shd w:val="clear"/>
            <w:vAlign w:val="center"/>
          </w:tcPr>
          <w:p>
            <w:pPr>
              <w:rPr>
                <w:rFonts w:hint="eastAsia" w:ascii="宋体" w:hAnsi="宋体" w:eastAsia="宋体" w:cs="宋体"/>
                <w:i w:val="0"/>
                <w:color w:val="000000"/>
                <w:sz w:val="18"/>
                <w:szCs w:val="18"/>
                <w:u w:val="none"/>
              </w:rPr>
            </w:pPr>
          </w:p>
        </w:tc>
        <w:tc>
          <w:tcPr>
            <w:tcW w:w="406" w:type="dxa"/>
            <w:shd w:val="clear"/>
            <w:vAlign w:val="center"/>
          </w:tcPr>
          <w:p>
            <w:pPr>
              <w:rPr>
                <w:rFonts w:hint="eastAsia" w:ascii="宋体" w:hAnsi="宋体" w:eastAsia="宋体" w:cs="宋体"/>
                <w:i w:val="0"/>
                <w:color w:val="000000"/>
                <w:sz w:val="18"/>
                <w:szCs w:val="18"/>
                <w:u w:val="none"/>
              </w:rPr>
            </w:pPr>
          </w:p>
        </w:tc>
        <w:tc>
          <w:tcPr>
            <w:tcW w:w="2865" w:type="dxa"/>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13989" w:type="dxa"/>
            <w:gridSpan w:val="11"/>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2364"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625" w:type="dxa"/>
            <w:gridSpan w:val="9"/>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51322523T000009364237-草地乡上草地村蔬菜产业基地配套建设项目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2364"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草地乡政府部门</w:t>
            </w:r>
          </w:p>
        </w:tc>
        <w:tc>
          <w:tcPr>
            <w:tcW w:w="1004" w:type="dxa"/>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731"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741"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735"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修建上草地村蔬菜产业基地，改善自然条件限制，增加草地乡蔬菜种植产能，增加百姓收入；隔离蔬菜产业基地与产业路，保护农民家蔬菜；大力发展乡村旅游，打造“九寨秘境，云上草地”乡村旅游品牌，发展“一村一品”的模式，走好“文农旅融合”发展之路，激发乡村旅游发展新动力。</w:t>
            </w:r>
          </w:p>
        </w:tc>
        <w:tc>
          <w:tcPr>
            <w:tcW w:w="4735"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625" w:type="dxa"/>
            <w:gridSpan w:val="9"/>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83.52</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83.52</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83.52</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83.52</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项目主要建设工程量</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项/点位</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项目整体工程质量</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建设周期</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180</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天</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增加县域财政收入，增加农民农产品收入</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增加道路通行运输能力，满足村民运输需求</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群众满意度</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成本控制</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85</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0258" w:type="dxa"/>
            <w:gridSpan w:val="8"/>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436"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项目负责人：高东</w:t>
            </w:r>
          </w:p>
        </w:tc>
        <w:tc>
          <w:tcPr>
            <w:tcW w:w="7553"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财务负责人：李辉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3" w:type="dxa"/>
            <w:shd w:val="clear"/>
            <w:vAlign w:val="center"/>
          </w:tcPr>
          <w:p>
            <w:pPr>
              <w:rPr>
                <w:rFonts w:hint="eastAsia" w:ascii="宋体" w:hAnsi="宋体" w:eastAsia="宋体" w:cs="宋体"/>
                <w:i w:val="0"/>
                <w:color w:val="000000"/>
                <w:sz w:val="18"/>
                <w:szCs w:val="18"/>
                <w:u w:val="none"/>
              </w:rPr>
            </w:pPr>
          </w:p>
        </w:tc>
        <w:tc>
          <w:tcPr>
            <w:tcW w:w="1741" w:type="dxa"/>
            <w:shd w:val="clear"/>
            <w:vAlign w:val="center"/>
          </w:tcPr>
          <w:p>
            <w:pPr>
              <w:rPr>
                <w:rFonts w:hint="eastAsia" w:ascii="宋体" w:hAnsi="宋体" w:eastAsia="宋体" w:cs="宋体"/>
                <w:i w:val="0"/>
                <w:color w:val="000000"/>
                <w:sz w:val="18"/>
                <w:szCs w:val="18"/>
                <w:u w:val="none"/>
              </w:rPr>
            </w:pPr>
          </w:p>
        </w:tc>
        <w:tc>
          <w:tcPr>
            <w:tcW w:w="1536" w:type="dxa"/>
            <w:shd w:val="clear"/>
            <w:vAlign w:val="center"/>
          </w:tcPr>
          <w:p>
            <w:pPr>
              <w:rPr>
                <w:rFonts w:hint="eastAsia" w:ascii="宋体" w:hAnsi="宋体" w:eastAsia="宋体" w:cs="宋体"/>
                <w:i w:val="0"/>
                <w:color w:val="000000"/>
                <w:sz w:val="18"/>
                <w:szCs w:val="18"/>
                <w:u w:val="none"/>
              </w:rPr>
            </w:pPr>
          </w:p>
        </w:tc>
        <w:tc>
          <w:tcPr>
            <w:tcW w:w="1945" w:type="dxa"/>
            <w:shd w:val="clear"/>
            <w:vAlign w:val="center"/>
          </w:tcPr>
          <w:p>
            <w:pPr>
              <w:rPr>
                <w:rFonts w:hint="eastAsia" w:ascii="宋体" w:hAnsi="宋体" w:eastAsia="宋体" w:cs="宋体"/>
                <w:i w:val="0"/>
                <w:color w:val="000000"/>
                <w:sz w:val="18"/>
                <w:szCs w:val="18"/>
                <w:u w:val="none"/>
              </w:rPr>
            </w:pPr>
          </w:p>
        </w:tc>
        <w:tc>
          <w:tcPr>
            <w:tcW w:w="591" w:type="dxa"/>
            <w:shd w:val="clear"/>
            <w:vAlign w:val="center"/>
          </w:tcPr>
          <w:p>
            <w:pPr>
              <w:rPr>
                <w:rFonts w:hint="eastAsia" w:ascii="宋体" w:hAnsi="宋体" w:eastAsia="宋体" w:cs="宋体"/>
                <w:i w:val="0"/>
                <w:color w:val="000000"/>
                <w:sz w:val="18"/>
                <w:szCs w:val="18"/>
                <w:u w:val="none"/>
              </w:rPr>
            </w:pPr>
          </w:p>
        </w:tc>
        <w:tc>
          <w:tcPr>
            <w:tcW w:w="1466" w:type="dxa"/>
            <w:shd w:val="clear"/>
            <w:vAlign w:val="center"/>
          </w:tcPr>
          <w:p>
            <w:pPr>
              <w:rPr>
                <w:rFonts w:hint="eastAsia" w:ascii="宋体" w:hAnsi="宋体" w:eastAsia="宋体" w:cs="宋体"/>
                <w:i w:val="0"/>
                <w:color w:val="000000"/>
                <w:sz w:val="18"/>
                <w:szCs w:val="18"/>
                <w:u w:val="none"/>
              </w:rPr>
            </w:pPr>
          </w:p>
        </w:tc>
        <w:tc>
          <w:tcPr>
            <w:tcW w:w="1352" w:type="dxa"/>
            <w:shd w:val="clear"/>
            <w:vAlign w:val="center"/>
          </w:tcPr>
          <w:p>
            <w:pPr>
              <w:rPr>
                <w:rFonts w:hint="eastAsia" w:ascii="宋体" w:hAnsi="宋体" w:eastAsia="宋体" w:cs="宋体"/>
                <w:i w:val="0"/>
                <w:color w:val="000000"/>
                <w:sz w:val="18"/>
                <w:szCs w:val="18"/>
                <w:u w:val="none"/>
              </w:rPr>
            </w:pPr>
          </w:p>
        </w:tc>
        <w:tc>
          <w:tcPr>
            <w:tcW w:w="1004" w:type="dxa"/>
            <w:shd w:val="clear"/>
            <w:vAlign w:val="center"/>
          </w:tcPr>
          <w:p>
            <w:pPr>
              <w:rPr>
                <w:rFonts w:hint="eastAsia" w:ascii="宋体" w:hAnsi="宋体" w:eastAsia="宋体" w:cs="宋体"/>
                <w:i w:val="0"/>
                <w:color w:val="000000"/>
                <w:sz w:val="18"/>
                <w:szCs w:val="18"/>
                <w:u w:val="none"/>
              </w:rPr>
            </w:pPr>
          </w:p>
        </w:tc>
        <w:tc>
          <w:tcPr>
            <w:tcW w:w="460" w:type="dxa"/>
            <w:shd w:val="clear"/>
            <w:vAlign w:val="center"/>
          </w:tcPr>
          <w:p>
            <w:pPr>
              <w:rPr>
                <w:rFonts w:hint="eastAsia" w:ascii="宋体" w:hAnsi="宋体" w:eastAsia="宋体" w:cs="宋体"/>
                <w:i w:val="0"/>
                <w:color w:val="000000"/>
                <w:sz w:val="18"/>
                <w:szCs w:val="18"/>
                <w:u w:val="none"/>
              </w:rPr>
            </w:pPr>
          </w:p>
        </w:tc>
        <w:tc>
          <w:tcPr>
            <w:tcW w:w="406" w:type="dxa"/>
            <w:shd w:val="clear"/>
            <w:vAlign w:val="center"/>
          </w:tcPr>
          <w:p>
            <w:pPr>
              <w:rPr>
                <w:rFonts w:hint="eastAsia" w:ascii="宋体" w:hAnsi="宋体" w:eastAsia="宋体" w:cs="宋体"/>
                <w:i w:val="0"/>
                <w:color w:val="000000"/>
                <w:sz w:val="18"/>
                <w:szCs w:val="18"/>
                <w:u w:val="none"/>
              </w:rPr>
            </w:pPr>
          </w:p>
        </w:tc>
        <w:tc>
          <w:tcPr>
            <w:tcW w:w="2865" w:type="dxa"/>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13989" w:type="dxa"/>
            <w:gridSpan w:val="11"/>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2364"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625" w:type="dxa"/>
            <w:gridSpan w:val="9"/>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51322523T000009451951-下草地村民族团结进步示范村建设项目使用林地补偿费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2364"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草地乡政府部门</w:t>
            </w:r>
          </w:p>
        </w:tc>
        <w:tc>
          <w:tcPr>
            <w:tcW w:w="1004" w:type="dxa"/>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731"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741"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735"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保障国家林地安全、维护生态安全和促进农村经济社会发展重要林地，平衡土地使用权益与生态保护利益，维护土地资源的可持续发展起到了至关重要的作用。</w:t>
            </w:r>
          </w:p>
        </w:tc>
        <w:tc>
          <w:tcPr>
            <w:tcW w:w="4735"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625" w:type="dxa"/>
            <w:gridSpan w:val="9"/>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11.99</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11.99</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使用林地面积</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0.1177</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公顷</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遵守有关林业法规、条例情况</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林地补偿费用支付时间</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天</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加强民族交往交流，创造和谐经济环境</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生态效益指标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平衡土地使用权益与生态保护</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群众满意度</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林地补偿总额</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59963</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元</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0258" w:type="dxa"/>
            <w:gridSpan w:val="8"/>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436"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项目负责人：高东</w:t>
            </w:r>
          </w:p>
        </w:tc>
        <w:tc>
          <w:tcPr>
            <w:tcW w:w="7553"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财务负责人：李辉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3" w:type="dxa"/>
            <w:shd w:val="clear"/>
            <w:vAlign w:val="center"/>
          </w:tcPr>
          <w:p>
            <w:pPr>
              <w:rPr>
                <w:rFonts w:hint="eastAsia" w:ascii="宋体" w:hAnsi="宋体" w:eastAsia="宋体" w:cs="宋体"/>
                <w:i w:val="0"/>
                <w:color w:val="000000"/>
                <w:sz w:val="18"/>
                <w:szCs w:val="18"/>
                <w:u w:val="none"/>
              </w:rPr>
            </w:pPr>
          </w:p>
        </w:tc>
        <w:tc>
          <w:tcPr>
            <w:tcW w:w="1741" w:type="dxa"/>
            <w:shd w:val="clear"/>
            <w:vAlign w:val="center"/>
          </w:tcPr>
          <w:p>
            <w:pPr>
              <w:rPr>
                <w:rFonts w:hint="eastAsia" w:ascii="宋体" w:hAnsi="宋体" w:eastAsia="宋体" w:cs="宋体"/>
                <w:i w:val="0"/>
                <w:color w:val="000000"/>
                <w:sz w:val="18"/>
                <w:szCs w:val="18"/>
                <w:u w:val="none"/>
              </w:rPr>
            </w:pPr>
          </w:p>
        </w:tc>
        <w:tc>
          <w:tcPr>
            <w:tcW w:w="1536" w:type="dxa"/>
            <w:shd w:val="clear"/>
            <w:vAlign w:val="center"/>
          </w:tcPr>
          <w:p>
            <w:pPr>
              <w:rPr>
                <w:rFonts w:hint="eastAsia" w:ascii="宋体" w:hAnsi="宋体" w:eastAsia="宋体" w:cs="宋体"/>
                <w:i w:val="0"/>
                <w:color w:val="000000"/>
                <w:sz w:val="18"/>
                <w:szCs w:val="18"/>
                <w:u w:val="none"/>
              </w:rPr>
            </w:pPr>
          </w:p>
        </w:tc>
        <w:tc>
          <w:tcPr>
            <w:tcW w:w="1945" w:type="dxa"/>
            <w:shd w:val="clear"/>
            <w:vAlign w:val="center"/>
          </w:tcPr>
          <w:p>
            <w:pPr>
              <w:rPr>
                <w:rFonts w:hint="eastAsia" w:ascii="宋体" w:hAnsi="宋体" w:eastAsia="宋体" w:cs="宋体"/>
                <w:i w:val="0"/>
                <w:color w:val="000000"/>
                <w:sz w:val="18"/>
                <w:szCs w:val="18"/>
                <w:u w:val="none"/>
              </w:rPr>
            </w:pPr>
          </w:p>
        </w:tc>
        <w:tc>
          <w:tcPr>
            <w:tcW w:w="591" w:type="dxa"/>
            <w:shd w:val="clear"/>
            <w:vAlign w:val="center"/>
          </w:tcPr>
          <w:p>
            <w:pPr>
              <w:rPr>
                <w:rFonts w:hint="eastAsia" w:ascii="宋体" w:hAnsi="宋体" w:eastAsia="宋体" w:cs="宋体"/>
                <w:i w:val="0"/>
                <w:color w:val="000000"/>
                <w:sz w:val="18"/>
                <w:szCs w:val="18"/>
                <w:u w:val="none"/>
              </w:rPr>
            </w:pPr>
          </w:p>
        </w:tc>
        <w:tc>
          <w:tcPr>
            <w:tcW w:w="1466" w:type="dxa"/>
            <w:shd w:val="clear"/>
            <w:vAlign w:val="center"/>
          </w:tcPr>
          <w:p>
            <w:pPr>
              <w:rPr>
                <w:rFonts w:hint="eastAsia" w:ascii="宋体" w:hAnsi="宋体" w:eastAsia="宋体" w:cs="宋体"/>
                <w:i w:val="0"/>
                <w:color w:val="000000"/>
                <w:sz w:val="18"/>
                <w:szCs w:val="18"/>
                <w:u w:val="none"/>
              </w:rPr>
            </w:pPr>
          </w:p>
        </w:tc>
        <w:tc>
          <w:tcPr>
            <w:tcW w:w="1352" w:type="dxa"/>
            <w:shd w:val="clear"/>
            <w:vAlign w:val="center"/>
          </w:tcPr>
          <w:p>
            <w:pPr>
              <w:rPr>
                <w:rFonts w:hint="eastAsia" w:ascii="宋体" w:hAnsi="宋体" w:eastAsia="宋体" w:cs="宋体"/>
                <w:i w:val="0"/>
                <w:color w:val="000000"/>
                <w:sz w:val="18"/>
                <w:szCs w:val="18"/>
                <w:u w:val="none"/>
              </w:rPr>
            </w:pPr>
          </w:p>
        </w:tc>
        <w:tc>
          <w:tcPr>
            <w:tcW w:w="1004" w:type="dxa"/>
            <w:shd w:val="clear"/>
            <w:vAlign w:val="center"/>
          </w:tcPr>
          <w:p>
            <w:pPr>
              <w:rPr>
                <w:rFonts w:hint="eastAsia" w:ascii="宋体" w:hAnsi="宋体" w:eastAsia="宋体" w:cs="宋体"/>
                <w:i w:val="0"/>
                <w:color w:val="000000"/>
                <w:sz w:val="18"/>
                <w:szCs w:val="18"/>
                <w:u w:val="none"/>
              </w:rPr>
            </w:pPr>
          </w:p>
        </w:tc>
        <w:tc>
          <w:tcPr>
            <w:tcW w:w="460" w:type="dxa"/>
            <w:shd w:val="clear"/>
            <w:vAlign w:val="center"/>
          </w:tcPr>
          <w:p>
            <w:pPr>
              <w:rPr>
                <w:rFonts w:hint="eastAsia" w:ascii="宋体" w:hAnsi="宋体" w:eastAsia="宋体" w:cs="宋体"/>
                <w:i w:val="0"/>
                <w:color w:val="000000"/>
                <w:sz w:val="18"/>
                <w:szCs w:val="18"/>
                <w:u w:val="none"/>
              </w:rPr>
            </w:pPr>
          </w:p>
        </w:tc>
        <w:tc>
          <w:tcPr>
            <w:tcW w:w="406" w:type="dxa"/>
            <w:shd w:val="clear"/>
            <w:vAlign w:val="center"/>
          </w:tcPr>
          <w:p>
            <w:pPr>
              <w:rPr>
                <w:rFonts w:hint="eastAsia" w:ascii="宋体" w:hAnsi="宋体" w:eastAsia="宋体" w:cs="宋体"/>
                <w:i w:val="0"/>
                <w:color w:val="000000"/>
                <w:sz w:val="18"/>
                <w:szCs w:val="18"/>
                <w:u w:val="none"/>
              </w:rPr>
            </w:pPr>
          </w:p>
        </w:tc>
        <w:tc>
          <w:tcPr>
            <w:tcW w:w="2865" w:type="dxa"/>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13989" w:type="dxa"/>
            <w:gridSpan w:val="11"/>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2364"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625" w:type="dxa"/>
            <w:gridSpan w:val="9"/>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51322523T000009625932-上草地村村寨配套景观基础设施建设项目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2364"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草地乡政府部门</w:t>
            </w:r>
          </w:p>
        </w:tc>
        <w:tc>
          <w:tcPr>
            <w:tcW w:w="1004" w:type="dxa"/>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731"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741"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735"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上草地村村寨配套景观基础设施建设项目将惠及全村及所有贫困户，拓宽群众增收门路，壮大集体经济，监理将有效特提高项目施工质量，控制施工成本，保障施工安全，加快工程建设进度。</w:t>
            </w:r>
          </w:p>
        </w:tc>
        <w:tc>
          <w:tcPr>
            <w:tcW w:w="4735"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625" w:type="dxa"/>
            <w:gridSpan w:val="9"/>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项目施工工程量</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项/点位</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工作计划完成情况</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监理费用支付时间</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天</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发展文化旅游，开发非物质文化</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生态效益指标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保护土地资源，实现人与自然和谐相处</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群众满意度</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成本控制在预算范围内</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0258" w:type="dxa"/>
            <w:gridSpan w:val="8"/>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436"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项目负责人：高东</w:t>
            </w:r>
          </w:p>
        </w:tc>
        <w:tc>
          <w:tcPr>
            <w:tcW w:w="7553"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财务负责人：李辉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3" w:type="dxa"/>
            <w:shd w:val="clear"/>
            <w:vAlign w:val="center"/>
          </w:tcPr>
          <w:p>
            <w:pPr>
              <w:rPr>
                <w:rFonts w:hint="eastAsia" w:ascii="宋体" w:hAnsi="宋体" w:eastAsia="宋体" w:cs="宋体"/>
                <w:i w:val="0"/>
                <w:color w:val="000000"/>
                <w:sz w:val="18"/>
                <w:szCs w:val="18"/>
                <w:u w:val="none"/>
              </w:rPr>
            </w:pPr>
          </w:p>
        </w:tc>
        <w:tc>
          <w:tcPr>
            <w:tcW w:w="1741" w:type="dxa"/>
            <w:shd w:val="clear"/>
            <w:vAlign w:val="center"/>
          </w:tcPr>
          <w:p>
            <w:pPr>
              <w:rPr>
                <w:rFonts w:hint="eastAsia" w:ascii="宋体" w:hAnsi="宋体" w:eastAsia="宋体" w:cs="宋体"/>
                <w:i w:val="0"/>
                <w:color w:val="000000"/>
                <w:sz w:val="18"/>
                <w:szCs w:val="18"/>
                <w:u w:val="none"/>
              </w:rPr>
            </w:pPr>
          </w:p>
        </w:tc>
        <w:tc>
          <w:tcPr>
            <w:tcW w:w="1536" w:type="dxa"/>
            <w:shd w:val="clear"/>
            <w:vAlign w:val="center"/>
          </w:tcPr>
          <w:p>
            <w:pPr>
              <w:rPr>
                <w:rFonts w:hint="eastAsia" w:ascii="宋体" w:hAnsi="宋体" w:eastAsia="宋体" w:cs="宋体"/>
                <w:i w:val="0"/>
                <w:color w:val="000000"/>
                <w:sz w:val="18"/>
                <w:szCs w:val="18"/>
                <w:u w:val="none"/>
              </w:rPr>
            </w:pPr>
          </w:p>
        </w:tc>
        <w:tc>
          <w:tcPr>
            <w:tcW w:w="1945" w:type="dxa"/>
            <w:shd w:val="clear"/>
            <w:vAlign w:val="center"/>
          </w:tcPr>
          <w:p>
            <w:pPr>
              <w:rPr>
                <w:rFonts w:hint="eastAsia" w:ascii="宋体" w:hAnsi="宋体" w:eastAsia="宋体" w:cs="宋体"/>
                <w:i w:val="0"/>
                <w:color w:val="000000"/>
                <w:sz w:val="18"/>
                <w:szCs w:val="18"/>
                <w:u w:val="none"/>
              </w:rPr>
            </w:pPr>
          </w:p>
        </w:tc>
        <w:tc>
          <w:tcPr>
            <w:tcW w:w="591" w:type="dxa"/>
            <w:shd w:val="clear"/>
            <w:vAlign w:val="center"/>
          </w:tcPr>
          <w:p>
            <w:pPr>
              <w:rPr>
                <w:rFonts w:hint="eastAsia" w:ascii="宋体" w:hAnsi="宋体" w:eastAsia="宋体" w:cs="宋体"/>
                <w:i w:val="0"/>
                <w:color w:val="000000"/>
                <w:sz w:val="18"/>
                <w:szCs w:val="18"/>
                <w:u w:val="none"/>
              </w:rPr>
            </w:pPr>
          </w:p>
        </w:tc>
        <w:tc>
          <w:tcPr>
            <w:tcW w:w="1466" w:type="dxa"/>
            <w:shd w:val="clear"/>
            <w:vAlign w:val="center"/>
          </w:tcPr>
          <w:p>
            <w:pPr>
              <w:rPr>
                <w:rFonts w:hint="eastAsia" w:ascii="宋体" w:hAnsi="宋体" w:eastAsia="宋体" w:cs="宋体"/>
                <w:i w:val="0"/>
                <w:color w:val="000000"/>
                <w:sz w:val="18"/>
                <w:szCs w:val="18"/>
                <w:u w:val="none"/>
              </w:rPr>
            </w:pPr>
          </w:p>
        </w:tc>
        <w:tc>
          <w:tcPr>
            <w:tcW w:w="1352" w:type="dxa"/>
            <w:shd w:val="clear"/>
            <w:vAlign w:val="center"/>
          </w:tcPr>
          <w:p>
            <w:pPr>
              <w:rPr>
                <w:rFonts w:hint="eastAsia" w:ascii="宋体" w:hAnsi="宋体" w:eastAsia="宋体" w:cs="宋体"/>
                <w:i w:val="0"/>
                <w:color w:val="000000"/>
                <w:sz w:val="18"/>
                <w:szCs w:val="18"/>
                <w:u w:val="none"/>
              </w:rPr>
            </w:pPr>
          </w:p>
        </w:tc>
        <w:tc>
          <w:tcPr>
            <w:tcW w:w="1004" w:type="dxa"/>
            <w:shd w:val="clear"/>
            <w:vAlign w:val="center"/>
          </w:tcPr>
          <w:p>
            <w:pPr>
              <w:rPr>
                <w:rFonts w:hint="eastAsia" w:ascii="宋体" w:hAnsi="宋体" w:eastAsia="宋体" w:cs="宋体"/>
                <w:i w:val="0"/>
                <w:color w:val="000000"/>
                <w:sz w:val="18"/>
                <w:szCs w:val="18"/>
                <w:u w:val="none"/>
              </w:rPr>
            </w:pPr>
          </w:p>
        </w:tc>
        <w:tc>
          <w:tcPr>
            <w:tcW w:w="460" w:type="dxa"/>
            <w:shd w:val="clear"/>
            <w:vAlign w:val="center"/>
          </w:tcPr>
          <w:p>
            <w:pPr>
              <w:rPr>
                <w:rFonts w:hint="eastAsia" w:ascii="宋体" w:hAnsi="宋体" w:eastAsia="宋体" w:cs="宋体"/>
                <w:i w:val="0"/>
                <w:color w:val="000000"/>
                <w:sz w:val="18"/>
                <w:szCs w:val="18"/>
                <w:u w:val="none"/>
              </w:rPr>
            </w:pPr>
          </w:p>
        </w:tc>
        <w:tc>
          <w:tcPr>
            <w:tcW w:w="406" w:type="dxa"/>
            <w:shd w:val="clear"/>
            <w:vAlign w:val="center"/>
          </w:tcPr>
          <w:p>
            <w:pPr>
              <w:rPr>
                <w:rFonts w:hint="eastAsia" w:ascii="宋体" w:hAnsi="宋体" w:eastAsia="宋体" w:cs="宋体"/>
                <w:i w:val="0"/>
                <w:color w:val="000000"/>
                <w:sz w:val="18"/>
                <w:szCs w:val="18"/>
                <w:u w:val="none"/>
              </w:rPr>
            </w:pPr>
          </w:p>
        </w:tc>
        <w:tc>
          <w:tcPr>
            <w:tcW w:w="2865" w:type="dxa"/>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13989" w:type="dxa"/>
            <w:gridSpan w:val="11"/>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2364"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625" w:type="dxa"/>
            <w:gridSpan w:val="9"/>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51322523T000009692601-草地乡森林防火奖补资金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2364"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草地乡政府部门</w:t>
            </w:r>
          </w:p>
        </w:tc>
        <w:tc>
          <w:tcPr>
            <w:tcW w:w="1004" w:type="dxa"/>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731"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741"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735"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4735"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625" w:type="dxa"/>
            <w:gridSpan w:val="9"/>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0258" w:type="dxa"/>
            <w:gridSpan w:val="8"/>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436"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项目负责人：高东</w:t>
            </w:r>
          </w:p>
        </w:tc>
        <w:tc>
          <w:tcPr>
            <w:tcW w:w="7553"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财务负责人：李辉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3" w:type="dxa"/>
            <w:shd w:val="clear"/>
            <w:vAlign w:val="center"/>
          </w:tcPr>
          <w:p>
            <w:pPr>
              <w:rPr>
                <w:rFonts w:hint="eastAsia" w:ascii="宋体" w:hAnsi="宋体" w:eastAsia="宋体" w:cs="宋体"/>
                <w:i w:val="0"/>
                <w:color w:val="000000"/>
                <w:sz w:val="18"/>
                <w:szCs w:val="18"/>
                <w:u w:val="none"/>
              </w:rPr>
            </w:pPr>
          </w:p>
        </w:tc>
        <w:tc>
          <w:tcPr>
            <w:tcW w:w="1741" w:type="dxa"/>
            <w:shd w:val="clear"/>
            <w:vAlign w:val="center"/>
          </w:tcPr>
          <w:p>
            <w:pPr>
              <w:rPr>
                <w:rFonts w:hint="eastAsia" w:ascii="宋体" w:hAnsi="宋体" w:eastAsia="宋体" w:cs="宋体"/>
                <w:i w:val="0"/>
                <w:color w:val="000000"/>
                <w:sz w:val="18"/>
                <w:szCs w:val="18"/>
                <w:u w:val="none"/>
              </w:rPr>
            </w:pPr>
          </w:p>
        </w:tc>
        <w:tc>
          <w:tcPr>
            <w:tcW w:w="1536" w:type="dxa"/>
            <w:shd w:val="clear"/>
            <w:vAlign w:val="center"/>
          </w:tcPr>
          <w:p>
            <w:pPr>
              <w:rPr>
                <w:rFonts w:hint="eastAsia" w:ascii="宋体" w:hAnsi="宋体" w:eastAsia="宋体" w:cs="宋体"/>
                <w:i w:val="0"/>
                <w:color w:val="000000"/>
                <w:sz w:val="18"/>
                <w:szCs w:val="18"/>
                <w:u w:val="none"/>
              </w:rPr>
            </w:pPr>
          </w:p>
        </w:tc>
        <w:tc>
          <w:tcPr>
            <w:tcW w:w="1945" w:type="dxa"/>
            <w:shd w:val="clear"/>
            <w:vAlign w:val="center"/>
          </w:tcPr>
          <w:p>
            <w:pPr>
              <w:rPr>
                <w:rFonts w:hint="eastAsia" w:ascii="宋体" w:hAnsi="宋体" w:eastAsia="宋体" w:cs="宋体"/>
                <w:i w:val="0"/>
                <w:color w:val="000000"/>
                <w:sz w:val="18"/>
                <w:szCs w:val="18"/>
                <w:u w:val="none"/>
              </w:rPr>
            </w:pPr>
          </w:p>
        </w:tc>
        <w:tc>
          <w:tcPr>
            <w:tcW w:w="591" w:type="dxa"/>
            <w:shd w:val="clear"/>
            <w:vAlign w:val="center"/>
          </w:tcPr>
          <w:p>
            <w:pPr>
              <w:rPr>
                <w:rFonts w:hint="eastAsia" w:ascii="宋体" w:hAnsi="宋体" w:eastAsia="宋体" w:cs="宋体"/>
                <w:i w:val="0"/>
                <w:color w:val="000000"/>
                <w:sz w:val="18"/>
                <w:szCs w:val="18"/>
                <w:u w:val="none"/>
              </w:rPr>
            </w:pPr>
          </w:p>
        </w:tc>
        <w:tc>
          <w:tcPr>
            <w:tcW w:w="1466" w:type="dxa"/>
            <w:shd w:val="clear"/>
            <w:vAlign w:val="center"/>
          </w:tcPr>
          <w:p>
            <w:pPr>
              <w:rPr>
                <w:rFonts w:hint="eastAsia" w:ascii="宋体" w:hAnsi="宋体" w:eastAsia="宋体" w:cs="宋体"/>
                <w:i w:val="0"/>
                <w:color w:val="000000"/>
                <w:sz w:val="18"/>
                <w:szCs w:val="18"/>
                <w:u w:val="none"/>
              </w:rPr>
            </w:pPr>
          </w:p>
        </w:tc>
        <w:tc>
          <w:tcPr>
            <w:tcW w:w="1352" w:type="dxa"/>
            <w:shd w:val="clear"/>
            <w:vAlign w:val="center"/>
          </w:tcPr>
          <w:p>
            <w:pPr>
              <w:rPr>
                <w:rFonts w:hint="eastAsia" w:ascii="宋体" w:hAnsi="宋体" w:eastAsia="宋体" w:cs="宋体"/>
                <w:i w:val="0"/>
                <w:color w:val="000000"/>
                <w:sz w:val="18"/>
                <w:szCs w:val="18"/>
                <w:u w:val="none"/>
              </w:rPr>
            </w:pPr>
          </w:p>
        </w:tc>
        <w:tc>
          <w:tcPr>
            <w:tcW w:w="1004" w:type="dxa"/>
            <w:shd w:val="clear"/>
            <w:vAlign w:val="center"/>
          </w:tcPr>
          <w:p>
            <w:pPr>
              <w:rPr>
                <w:rFonts w:hint="eastAsia" w:ascii="宋体" w:hAnsi="宋体" w:eastAsia="宋体" w:cs="宋体"/>
                <w:i w:val="0"/>
                <w:color w:val="000000"/>
                <w:sz w:val="18"/>
                <w:szCs w:val="18"/>
                <w:u w:val="none"/>
              </w:rPr>
            </w:pPr>
          </w:p>
        </w:tc>
        <w:tc>
          <w:tcPr>
            <w:tcW w:w="460" w:type="dxa"/>
            <w:shd w:val="clear"/>
            <w:vAlign w:val="center"/>
          </w:tcPr>
          <w:p>
            <w:pPr>
              <w:rPr>
                <w:rFonts w:hint="eastAsia" w:ascii="宋体" w:hAnsi="宋体" w:eastAsia="宋体" w:cs="宋体"/>
                <w:i w:val="0"/>
                <w:color w:val="000000"/>
                <w:sz w:val="18"/>
                <w:szCs w:val="18"/>
                <w:u w:val="none"/>
              </w:rPr>
            </w:pPr>
          </w:p>
        </w:tc>
        <w:tc>
          <w:tcPr>
            <w:tcW w:w="406" w:type="dxa"/>
            <w:shd w:val="clear"/>
            <w:vAlign w:val="center"/>
          </w:tcPr>
          <w:p>
            <w:pPr>
              <w:rPr>
                <w:rFonts w:hint="eastAsia" w:ascii="宋体" w:hAnsi="宋体" w:eastAsia="宋体" w:cs="宋体"/>
                <w:i w:val="0"/>
                <w:color w:val="000000"/>
                <w:sz w:val="18"/>
                <w:szCs w:val="18"/>
                <w:u w:val="none"/>
              </w:rPr>
            </w:pPr>
          </w:p>
        </w:tc>
        <w:tc>
          <w:tcPr>
            <w:tcW w:w="2865" w:type="dxa"/>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13989" w:type="dxa"/>
            <w:gridSpan w:val="11"/>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2364"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625" w:type="dxa"/>
            <w:gridSpan w:val="9"/>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51322523T000009758321-九寨沟县草地乡2023年基层政权建设项目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2364"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草地乡政府部门</w:t>
            </w:r>
          </w:p>
        </w:tc>
        <w:tc>
          <w:tcPr>
            <w:tcW w:w="1004" w:type="dxa"/>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731"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741"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735"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4735"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625" w:type="dxa"/>
            <w:gridSpan w:val="9"/>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65.05</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10.05</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15.45%</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65.05</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10.05</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15.45%</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0258" w:type="dxa"/>
            <w:gridSpan w:val="8"/>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436"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项目负责人：高东</w:t>
            </w:r>
          </w:p>
        </w:tc>
        <w:tc>
          <w:tcPr>
            <w:tcW w:w="7553"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财务负责人：李辉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3" w:type="dxa"/>
            <w:shd w:val="clear"/>
            <w:vAlign w:val="center"/>
          </w:tcPr>
          <w:p>
            <w:pPr>
              <w:rPr>
                <w:rFonts w:hint="eastAsia" w:ascii="宋体" w:hAnsi="宋体" w:eastAsia="宋体" w:cs="宋体"/>
                <w:i w:val="0"/>
                <w:color w:val="000000"/>
                <w:sz w:val="18"/>
                <w:szCs w:val="18"/>
                <w:u w:val="none"/>
              </w:rPr>
            </w:pPr>
          </w:p>
        </w:tc>
        <w:tc>
          <w:tcPr>
            <w:tcW w:w="1741" w:type="dxa"/>
            <w:shd w:val="clear"/>
            <w:vAlign w:val="center"/>
          </w:tcPr>
          <w:p>
            <w:pPr>
              <w:rPr>
                <w:rFonts w:hint="eastAsia" w:ascii="宋体" w:hAnsi="宋体" w:eastAsia="宋体" w:cs="宋体"/>
                <w:i w:val="0"/>
                <w:color w:val="000000"/>
                <w:sz w:val="18"/>
                <w:szCs w:val="18"/>
                <w:u w:val="none"/>
              </w:rPr>
            </w:pPr>
          </w:p>
        </w:tc>
        <w:tc>
          <w:tcPr>
            <w:tcW w:w="1536" w:type="dxa"/>
            <w:shd w:val="clear"/>
            <w:vAlign w:val="center"/>
          </w:tcPr>
          <w:p>
            <w:pPr>
              <w:rPr>
                <w:rFonts w:hint="eastAsia" w:ascii="宋体" w:hAnsi="宋体" w:eastAsia="宋体" w:cs="宋体"/>
                <w:i w:val="0"/>
                <w:color w:val="000000"/>
                <w:sz w:val="18"/>
                <w:szCs w:val="18"/>
                <w:u w:val="none"/>
              </w:rPr>
            </w:pPr>
          </w:p>
        </w:tc>
        <w:tc>
          <w:tcPr>
            <w:tcW w:w="1945" w:type="dxa"/>
            <w:shd w:val="clear"/>
            <w:vAlign w:val="center"/>
          </w:tcPr>
          <w:p>
            <w:pPr>
              <w:rPr>
                <w:rFonts w:hint="eastAsia" w:ascii="宋体" w:hAnsi="宋体" w:eastAsia="宋体" w:cs="宋体"/>
                <w:i w:val="0"/>
                <w:color w:val="000000"/>
                <w:sz w:val="18"/>
                <w:szCs w:val="18"/>
                <w:u w:val="none"/>
              </w:rPr>
            </w:pPr>
          </w:p>
        </w:tc>
        <w:tc>
          <w:tcPr>
            <w:tcW w:w="591" w:type="dxa"/>
            <w:shd w:val="clear"/>
            <w:vAlign w:val="center"/>
          </w:tcPr>
          <w:p>
            <w:pPr>
              <w:rPr>
                <w:rFonts w:hint="eastAsia" w:ascii="宋体" w:hAnsi="宋体" w:eastAsia="宋体" w:cs="宋体"/>
                <w:i w:val="0"/>
                <w:color w:val="000000"/>
                <w:sz w:val="18"/>
                <w:szCs w:val="18"/>
                <w:u w:val="none"/>
              </w:rPr>
            </w:pPr>
          </w:p>
        </w:tc>
        <w:tc>
          <w:tcPr>
            <w:tcW w:w="1466" w:type="dxa"/>
            <w:shd w:val="clear"/>
            <w:vAlign w:val="center"/>
          </w:tcPr>
          <w:p>
            <w:pPr>
              <w:rPr>
                <w:rFonts w:hint="eastAsia" w:ascii="宋体" w:hAnsi="宋体" w:eastAsia="宋体" w:cs="宋体"/>
                <w:i w:val="0"/>
                <w:color w:val="000000"/>
                <w:sz w:val="18"/>
                <w:szCs w:val="18"/>
                <w:u w:val="none"/>
              </w:rPr>
            </w:pPr>
          </w:p>
        </w:tc>
        <w:tc>
          <w:tcPr>
            <w:tcW w:w="1352" w:type="dxa"/>
            <w:shd w:val="clear"/>
            <w:vAlign w:val="center"/>
          </w:tcPr>
          <w:p>
            <w:pPr>
              <w:rPr>
                <w:rFonts w:hint="eastAsia" w:ascii="宋体" w:hAnsi="宋体" w:eastAsia="宋体" w:cs="宋体"/>
                <w:i w:val="0"/>
                <w:color w:val="000000"/>
                <w:sz w:val="18"/>
                <w:szCs w:val="18"/>
                <w:u w:val="none"/>
              </w:rPr>
            </w:pPr>
          </w:p>
        </w:tc>
        <w:tc>
          <w:tcPr>
            <w:tcW w:w="1004" w:type="dxa"/>
            <w:shd w:val="clear"/>
            <w:vAlign w:val="center"/>
          </w:tcPr>
          <w:p>
            <w:pPr>
              <w:rPr>
                <w:rFonts w:hint="eastAsia" w:ascii="宋体" w:hAnsi="宋体" w:eastAsia="宋体" w:cs="宋体"/>
                <w:i w:val="0"/>
                <w:color w:val="000000"/>
                <w:sz w:val="18"/>
                <w:szCs w:val="18"/>
                <w:u w:val="none"/>
              </w:rPr>
            </w:pPr>
          </w:p>
        </w:tc>
        <w:tc>
          <w:tcPr>
            <w:tcW w:w="460" w:type="dxa"/>
            <w:shd w:val="clear"/>
            <w:vAlign w:val="center"/>
          </w:tcPr>
          <w:p>
            <w:pPr>
              <w:rPr>
                <w:rFonts w:hint="eastAsia" w:ascii="宋体" w:hAnsi="宋体" w:eastAsia="宋体" w:cs="宋体"/>
                <w:i w:val="0"/>
                <w:color w:val="000000"/>
                <w:sz w:val="18"/>
                <w:szCs w:val="18"/>
                <w:u w:val="none"/>
              </w:rPr>
            </w:pPr>
          </w:p>
        </w:tc>
        <w:tc>
          <w:tcPr>
            <w:tcW w:w="406" w:type="dxa"/>
            <w:shd w:val="clear"/>
            <w:vAlign w:val="center"/>
          </w:tcPr>
          <w:p>
            <w:pPr>
              <w:rPr>
                <w:rFonts w:hint="eastAsia" w:ascii="宋体" w:hAnsi="宋体" w:eastAsia="宋体" w:cs="宋体"/>
                <w:i w:val="0"/>
                <w:color w:val="000000"/>
                <w:sz w:val="18"/>
                <w:szCs w:val="18"/>
                <w:u w:val="none"/>
              </w:rPr>
            </w:pPr>
          </w:p>
        </w:tc>
        <w:tc>
          <w:tcPr>
            <w:tcW w:w="2865" w:type="dxa"/>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13989" w:type="dxa"/>
            <w:gridSpan w:val="11"/>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2364"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625" w:type="dxa"/>
            <w:gridSpan w:val="9"/>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51322523T000009766183-九寨沟县草地乡创建国家AAA级旅游景区补短建设项目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2364"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草地乡政府部门</w:t>
            </w:r>
          </w:p>
        </w:tc>
        <w:tc>
          <w:tcPr>
            <w:tcW w:w="1004" w:type="dxa"/>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731"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741"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735"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4735"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625" w:type="dxa"/>
            <w:gridSpan w:val="9"/>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193.71</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93.71</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48.38%</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193.71</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93.71</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48.38%</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0258" w:type="dxa"/>
            <w:gridSpan w:val="8"/>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436"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项目负责人：高东</w:t>
            </w:r>
          </w:p>
        </w:tc>
        <w:tc>
          <w:tcPr>
            <w:tcW w:w="7553"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财务负责人：李辉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3" w:type="dxa"/>
            <w:shd w:val="clear"/>
            <w:vAlign w:val="center"/>
          </w:tcPr>
          <w:p>
            <w:pPr>
              <w:rPr>
                <w:rFonts w:hint="eastAsia" w:ascii="宋体" w:hAnsi="宋体" w:eastAsia="宋体" w:cs="宋体"/>
                <w:i w:val="0"/>
                <w:color w:val="000000"/>
                <w:sz w:val="18"/>
                <w:szCs w:val="18"/>
                <w:u w:val="none"/>
              </w:rPr>
            </w:pPr>
          </w:p>
        </w:tc>
        <w:tc>
          <w:tcPr>
            <w:tcW w:w="1741" w:type="dxa"/>
            <w:shd w:val="clear"/>
            <w:vAlign w:val="center"/>
          </w:tcPr>
          <w:p>
            <w:pPr>
              <w:rPr>
                <w:rFonts w:hint="eastAsia" w:ascii="宋体" w:hAnsi="宋体" w:eastAsia="宋体" w:cs="宋体"/>
                <w:i w:val="0"/>
                <w:color w:val="000000"/>
                <w:sz w:val="18"/>
                <w:szCs w:val="18"/>
                <w:u w:val="none"/>
              </w:rPr>
            </w:pPr>
          </w:p>
        </w:tc>
        <w:tc>
          <w:tcPr>
            <w:tcW w:w="1536" w:type="dxa"/>
            <w:shd w:val="clear"/>
            <w:vAlign w:val="center"/>
          </w:tcPr>
          <w:p>
            <w:pPr>
              <w:rPr>
                <w:rFonts w:hint="eastAsia" w:ascii="宋体" w:hAnsi="宋体" w:eastAsia="宋体" w:cs="宋体"/>
                <w:i w:val="0"/>
                <w:color w:val="000000"/>
                <w:sz w:val="18"/>
                <w:szCs w:val="18"/>
                <w:u w:val="none"/>
              </w:rPr>
            </w:pPr>
          </w:p>
        </w:tc>
        <w:tc>
          <w:tcPr>
            <w:tcW w:w="1945" w:type="dxa"/>
            <w:shd w:val="clear"/>
            <w:vAlign w:val="center"/>
          </w:tcPr>
          <w:p>
            <w:pPr>
              <w:rPr>
                <w:rFonts w:hint="eastAsia" w:ascii="宋体" w:hAnsi="宋体" w:eastAsia="宋体" w:cs="宋体"/>
                <w:i w:val="0"/>
                <w:color w:val="000000"/>
                <w:sz w:val="18"/>
                <w:szCs w:val="18"/>
                <w:u w:val="none"/>
              </w:rPr>
            </w:pPr>
          </w:p>
        </w:tc>
        <w:tc>
          <w:tcPr>
            <w:tcW w:w="591" w:type="dxa"/>
            <w:shd w:val="clear"/>
            <w:vAlign w:val="center"/>
          </w:tcPr>
          <w:p>
            <w:pPr>
              <w:rPr>
                <w:rFonts w:hint="eastAsia" w:ascii="宋体" w:hAnsi="宋体" w:eastAsia="宋体" w:cs="宋体"/>
                <w:i w:val="0"/>
                <w:color w:val="000000"/>
                <w:sz w:val="18"/>
                <w:szCs w:val="18"/>
                <w:u w:val="none"/>
              </w:rPr>
            </w:pPr>
          </w:p>
        </w:tc>
        <w:tc>
          <w:tcPr>
            <w:tcW w:w="1466" w:type="dxa"/>
            <w:shd w:val="clear"/>
            <w:vAlign w:val="center"/>
          </w:tcPr>
          <w:p>
            <w:pPr>
              <w:rPr>
                <w:rFonts w:hint="eastAsia" w:ascii="宋体" w:hAnsi="宋体" w:eastAsia="宋体" w:cs="宋体"/>
                <w:i w:val="0"/>
                <w:color w:val="000000"/>
                <w:sz w:val="18"/>
                <w:szCs w:val="18"/>
                <w:u w:val="none"/>
              </w:rPr>
            </w:pPr>
          </w:p>
        </w:tc>
        <w:tc>
          <w:tcPr>
            <w:tcW w:w="1352" w:type="dxa"/>
            <w:shd w:val="clear"/>
            <w:vAlign w:val="center"/>
          </w:tcPr>
          <w:p>
            <w:pPr>
              <w:rPr>
                <w:rFonts w:hint="eastAsia" w:ascii="宋体" w:hAnsi="宋体" w:eastAsia="宋体" w:cs="宋体"/>
                <w:i w:val="0"/>
                <w:color w:val="000000"/>
                <w:sz w:val="18"/>
                <w:szCs w:val="18"/>
                <w:u w:val="none"/>
              </w:rPr>
            </w:pPr>
          </w:p>
        </w:tc>
        <w:tc>
          <w:tcPr>
            <w:tcW w:w="1004" w:type="dxa"/>
            <w:shd w:val="clear"/>
            <w:vAlign w:val="center"/>
          </w:tcPr>
          <w:p>
            <w:pPr>
              <w:rPr>
                <w:rFonts w:hint="eastAsia" w:ascii="宋体" w:hAnsi="宋体" w:eastAsia="宋体" w:cs="宋体"/>
                <w:i w:val="0"/>
                <w:color w:val="000000"/>
                <w:sz w:val="18"/>
                <w:szCs w:val="18"/>
                <w:u w:val="none"/>
              </w:rPr>
            </w:pPr>
          </w:p>
        </w:tc>
        <w:tc>
          <w:tcPr>
            <w:tcW w:w="460" w:type="dxa"/>
            <w:shd w:val="clear"/>
            <w:vAlign w:val="center"/>
          </w:tcPr>
          <w:p>
            <w:pPr>
              <w:rPr>
                <w:rFonts w:hint="eastAsia" w:ascii="宋体" w:hAnsi="宋体" w:eastAsia="宋体" w:cs="宋体"/>
                <w:i w:val="0"/>
                <w:color w:val="000000"/>
                <w:sz w:val="18"/>
                <w:szCs w:val="18"/>
                <w:u w:val="none"/>
              </w:rPr>
            </w:pPr>
          </w:p>
        </w:tc>
        <w:tc>
          <w:tcPr>
            <w:tcW w:w="406" w:type="dxa"/>
            <w:shd w:val="clear"/>
            <w:vAlign w:val="center"/>
          </w:tcPr>
          <w:p>
            <w:pPr>
              <w:rPr>
                <w:rFonts w:hint="eastAsia" w:ascii="宋体" w:hAnsi="宋体" w:eastAsia="宋体" w:cs="宋体"/>
                <w:i w:val="0"/>
                <w:color w:val="000000"/>
                <w:sz w:val="18"/>
                <w:szCs w:val="18"/>
                <w:u w:val="none"/>
              </w:rPr>
            </w:pPr>
          </w:p>
        </w:tc>
        <w:tc>
          <w:tcPr>
            <w:tcW w:w="2865" w:type="dxa"/>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13989" w:type="dxa"/>
            <w:gridSpan w:val="11"/>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2364"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625" w:type="dxa"/>
            <w:gridSpan w:val="9"/>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51322523T000009898580-九寨沟县草地乡上草地村集体经济提升改造项目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2364"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草地乡政府部门</w:t>
            </w:r>
          </w:p>
        </w:tc>
        <w:tc>
          <w:tcPr>
            <w:tcW w:w="1004" w:type="dxa"/>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731"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741"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735"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4735"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625" w:type="dxa"/>
            <w:gridSpan w:val="9"/>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59.22</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59.22</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59.22</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59.22</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0258" w:type="dxa"/>
            <w:gridSpan w:val="8"/>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436"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项目负责人：高东</w:t>
            </w:r>
          </w:p>
        </w:tc>
        <w:tc>
          <w:tcPr>
            <w:tcW w:w="7553"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财务负责人：李辉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3" w:type="dxa"/>
            <w:shd w:val="clear"/>
            <w:vAlign w:val="center"/>
          </w:tcPr>
          <w:p>
            <w:pPr>
              <w:rPr>
                <w:rFonts w:hint="eastAsia" w:ascii="宋体" w:hAnsi="宋体" w:eastAsia="宋体" w:cs="宋体"/>
                <w:i w:val="0"/>
                <w:color w:val="000000"/>
                <w:sz w:val="18"/>
                <w:szCs w:val="18"/>
                <w:u w:val="none"/>
              </w:rPr>
            </w:pPr>
          </w:p>
        </w:tc>
        <w:tc>
          <w:tcPr>
            <w:tcW w:w="1741" w:type="dxa"/>
            <w:shd w:val="clear"/>
            <w:vAlign w:val="center"/>
          </w:tcPr>
          <w:p>
            <w:pPr>
              <w:rPr>
                <w:rFonts w:hint="eastAsia" w:ascii="宋体" w:hAnsi="宋体" w:eastAsia="宋体" w:cs="宋体"/>
                <w:i w:val="0"/>
                <w:color w:val="000000"/>
                <w:sz w:val="18"/>
                <w:szCs w:val="18"/>
                <w:u w:val="none"/>
              </w:rPr>
            </w:pPr>
          </w:p>
        </w:tc>
        <w:tc>
          <w:tcPr>
            <w:tcW w:w="1536" w:type="dxa"/>
            <w:shd w:val="clear"/>
            <w:vAlign w:val="center"/>
          </w:tcPr>
          <w:p>
            <w:pPr>
              <w:rPr>
                <w:rFonts w:hint="eastAsia" w:ascii="宋体" w:hAnsi="宋体" w:eastAsia="宋体" w:cs="宋体"/>
                <w:i w:val="0"/>
                <w:color w:val="000000"/>
                <w:sz w:val="18"/>
                <w:szCs w:val="18"/>
                <w:u w:val="none"/>
              </w:rPr>
            </w:pPr>
          </w:p>
        </w:tc>
        <w:tc>
          <w:tcPr>
            <w:tcW w:w="1945" w:type="dxa"/>
            <w:shd w:val="clear"/>
            <w:vAlign w:val="center"/>
          </w:tcPr>
          <w:p>
            <w:pPr>
              <w:rPr>
                <w:rFonts w:hint="eastAsia" w:ascii="宋体" w:hAnsi="宋体" w:eastAsia="宋体" w:cs="宋体"/>
                <w:i w:val="0"/>
                <w:color w:val="000000"/>
                <w:sz w:val="18"/>
                <w:szCs w:val="18"/>
                <w:u w:val="none"/>
              </w:rPr>
            </w:pPr>
          </w:p>
        </w:tc>
        <w:tc>
          <w:tcPr>
            <w:tcW w:w="591" w:type="dxa"/>
            <w:shd w:val="clear"/>
            <w:vAlign w:val="center"/>
          </w:tcPr>
          <w:p>
            <w:pPr>
              <w:rPr>
                <w:rFonts w:hint="eastAsia" w:ascii="宋体" w:hAnsi="宋体" w:eastAsia="宋体" w:cs="宋体"/>
                <w:i w:val="0"/>
                <w:color w:val="000000"/>
                <w:sz w:val="18"/>
                <w:szCs w:val="18"/>
                <w:u w:val="none"/>
              </w:rPr>
            </w:pPr>
          </w:p>
        </w:tc>
        <w:tc>
          <w:tcPr>
            <w:tcW w:w="1466" w:type="dxa"/>
            <w:shd w:val="clear"/>
            <w:vAlign w:val="center"/>
          </w:tcPr>
          <w:p>
            <w:pPr>
              <w:rPr>
                <w:rFonts w:hint="eastAsia" w:ascii="宋体" w:hAnsi="宋体" w:eastAsia="宋体" w:cs="宋体"/>
                <w:i w:val="0"/>
                <w:color w:val="000000"/>
                <w:sz w:val="18"/>
                <w:szCs w:val="18"/>
                <w:u w:val="none"/>
              </w:rPr>
            </w:pPr>
          </w:p>
        </w:tc>
        <w:tc>
          <w:tcPr>
            <w:tcW w:w="1352" w:type="dxa"/>
            <w:shd w:val="clear"/>
            <w:vAlign w:val="center"/>
          </w:tcPr>
          <w:p>
            <w:pPr>
              <w:rPr>
                <w:rFonts w:hint="eastAsia" w:ascii="宋体" w:hAnsi="宋体" w:eastAsia="宋体" w:cs="宋体"/>
                <w:i w:val="0"/>
                <w:color w:val="000000"/>
                <w:sz w:val="18"/>
                <w:szCs w:val="18"/>
                <w:u w:val="none"/>
              </w:rPr>
            </w:pPr>
          </w:p>
        </w:tc>
        <w:tc>
          <w:tcPr>
            <w:tcW w:w="1004" w:type="dxa"/>
            <w:shd w:val="clear"/>
            <w:vAlign w:val="center"/>
          </w:tcPr>
          <w:p>
            <w:pPr>
              <w:rPr>
                <w:rFonts w:hint="eastAsia" w:ascii="宋体" w:hAnsi="宋体" w:eastAsia="宋体" w:cs="宋体"/>
                <w:i w:val="0"/>
                <w:color w:val="000000"/>
                <w:sz w:val="18"/>
                <w:szCs w:val="18"/>
                <w:u w:val="none"/>
              </w:rPr>
            </w:pPr>
          </w:p>
        </w:tc>
        <w:tc>
          <w:tcPr>
            <w:tcW w:w="460" w:type="dxa"/>
            <w:shd w:val="clear"/>
            <w:vAlign w:val="center"/>
          </w:tcPr>
          <w:p>
            <w:pPr>
              <w:rPr>
                <w:rFonts w:hint="eastAsia" w:ascii="宋体" w:hAnsi="宋体" w:eastAsia="宋体" w:cs="宋体"/>
                <w:i w:val="0"/>
                <w:color w:val="000000"/>
                <w:sz w:val="18"/>
                <w:szCs w:val="18"/>
                <w:u w:val="none"/>
              </w:rPr>
            </w:pPr>
          </w:p>
        </w:tc>
        <w:tc>
          <w:tcPr>
            <w:tcW w:w="406" w:type="dxa"/>
            <w:shd w:val="clear"/>
            <w:vAlign w:val="center"/>
          </w:tcPr>
          <w:p>
            <w:pPr>
              <w:rPr>
                <w:rFonts w:hint="eastAsia" w:ascii="宋体" w:hAnsi="宋体" w:eastAsia="宋体" w:cs="宋体"/>
                <w:i w:val="0"/>
                <w:color w:val="000000"/>
                <w:sz w:val="18"/>
                <w:szCs w:val="18"/>
                <w:u w:val="none"/>
              </w:rPr>
            </w:pPr>
          </w:p>
        </w:tc>
        <w:tc>
          <w:tcPr>
            <w:tcW w:w="2865" w:type="dxa"/>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13989" w:type="dxa"/>
            <w:gridSpan w:val="11"/>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2364"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625" w:type="dxa"/>
            <w:gridSpan w:val="9"/>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51322524T000009975207-乡镇文化站（中心）免费开放补助资金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2364"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草地乡政府部门</w:t>
            </w:r>
          </w:p>
        </w:tc>
        <w:tc>
          <w:tcPr>
            <w:tcW w:w="1004" w:type="dxa"/>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731"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741"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735"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4735"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625" w:type="dxa"/>
            <w:gridSpan w:val="9"/>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4.56</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4.56</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4.56</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4.56</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0258" w:type="dxa"/>
            <w:gridSpan w:val="8"/>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436"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项目负责人：高东</w:t>
            </w:r>
          </w:p>
        </w:tc>
        <w:tc>
          <w:tcPr>
            <w:tcW w:w="7553"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财务负责人：李辉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3" w:type="dxa"/>
            <w:shd w:val="clear"/>
            <w:vAlign w:val="center"/>
          </w:tcPr>
          <w:p>
            <w:pPr>
              <w:rPr>
                <w:rFonts w:hint="eastAsia" w:ascii="宋体" w:hAnsi="宋体" w:eastAsia="宋体" w:cs="宋体"/>
                <w:i w:val="0"/>
                <w:color w:val="000000"/>
                <w:sz w:val="18"/>
                <w:szCs w:val="18"/>
                <w:u w:val="none"/>
              </w:rPr>
            </w:pPr>
          </w:p>
        </w:tc>
        <w:tc>
          <w:tcPr>
            <w:tcW w:w="1741" w:type="dxa"/>
            <w:shd w:val="clear"/>
            <w:vAlign w:val="center"/>
          </w:tcPr>
          <w:p>
            <w:pPr>
              <w:rPr>
                <w:rFonts w:hint="eastAsia" w:ascii="宋体" w:hAnsi="宋体" w:eastAsia="宋体" w:cs="宋体"/>
                <w:i w:val="0"/>
                <w:color w:val="000000"/>
                <w:sz w:val="18"/>
                <w:szCs w:val="18"/>
                <w:u w:val="none"/>
              </w:rPr>
            </w:pPr>
          </w:p>
        </w:tc>
        <w:tc>
          <w:tcPr>
            <w:tcW w:w="1536" w:type="dxa"/>
            <w:shd w:val="clear"/>
            <w:vAlign w:val="center"/>
          </w:tcPr>
          <w:p>
            <w:pPr>
              <w:rPr>
                <w:rFonts w:hint="eastAsia" w:ascii="宋体" w:hAnsi="宋体" w:eastAsia="宋体" w:cs="宋体"/>
                <w:i w:val="0"/>
                <w:color w:val="000000"/>
                <w:sz w:val="18"/>
                <w:szCs w:val="18"/>
                <w:u w:val="none"/>
              </w:rPr>
            </w:pPr>
          </w:p>
        </w:tc>
        <w:tc>
          <w:tcPr>
            <w:tcW w:w="1945" w:type="dxa"/>
            <w:shd w:val="clear"/>
            <w:vAlign w:val="center"/>
          </w:tcPr>
          <w:p>
            <w:pPr>
              <w:rPr>
                <w:rFonts w:hint="eastAsia" w:ascii="宋体" w:hAnsi="宋体" w:eastAsia="宋体" w:cs="宋体"/>
                <w:i w:val="0"/>
                <w:color w:val="000000"/>
                <w:sz w:val="18"/>
                <w:szCs w:val="18"/>
                <w:u w:val="none"/>
              </w:rPr>
            </w:pPr>
          </w:p>
        </w:tc>
        <w:tc>
          <w:tcPr>
            <w:tcW w:w="591" w:type="dxa"/>
            <w:shd w:val="clear"/>
            <w:vAlign w:val="center"/>
          </w:tcPr>
          <w:p>
            <w:pPr>
              <w:rPr>
                <w:rFonts w:hint="eastAsia" w:ascii="宋体" w:hAnsi="宋体" w:eastAsia="宋体" w:cs="宋体"/>
                <w:i w:val="0"/>
                <w:color w:val="000000"/>
                <w:sz w:val="18"/>
                <w:szCs w:val="18"/>
                <w:u w:val="none"/>
              </w:rPr>
            </w:pPr>
          </w:p>
        </w:tc>
        <w:tc>
          <w:tcPr>
            <w:tcW w:w="1466" w:type="dxa"/>
            <w:shd w:val="clear"/>
            <w:vAlign w:val="center"/>
          </w:tcPr>
          <w:p>
            <w:pPr>
              <w:rPr>
                <w:rFonts w:hint="eastAsia" w:ascii="宋体" w:hAnsi="宋体" w:eastAsia="宋体" w:cs="宋体"/>
                <w:i w:val="0"/>
                <w:color w:val="000000"/>
                <w:sz w:val="18"/>
                <w:szCs w:val="18"/>
                <w:u w:val="none"/>
              </w:rPr>
            </w:pPr>
          </w:p>
        </w:tc>
        <w:tc>
          <w:tcPr>
            <w:tcW w:w="1352" w:type="dxa"/>
            <w:shd w:val="clear"/>
            <w:vAlign w:val="center"/>
          </w:tcPr>
          <w:p>
            <w:pPr>
              <w:rPr>
                <w:rFonts w:hint="eastAsia" w:ascii="宋体" w:hAnsi="宋体" w:eastAsia="宋体" w:cs="宋体"/>
                <w:i w:val="0"/>
                <w:color w:val="000000"/>
                <w:sz w:val="18"/>
                <w:szCs w:val="18"/>
                <w:u w:val="none"/>
              </w:rPr>
            </w:pPr>
          </w:p>
        </w:tc>
        <w:tc>
          <w:tcPr>
            <w:tcW w:w="1004" w:type="dxa"/>
            <w:shd w:val="clear"/>
            <w:vAlign w:val="center"/>
          </w:tcPr>
          <w:p>
            <w:pPr>
              <w:rPr>
                <w:rFonts w:hint="eastAsia" w:ascii="宋体" w:hAnsi="宋体" w:eastAsia="宋体" w:cs="宋体"/>
                <w:i w:val="0"/>
                <w:color w:val="000000"/>
                <w:sz w:val="18"/>
                <w:szCs w:val="18"/>
                <w:u w:val="none"/>
              </w:rPr>
            </w:pPr>
          </w:p>
        </w:tc>
        <w:tc>
          <w:tcPr>
            <w:tcW w:w="460" w:type="dxa"/>
            <w:shd w:val="clear"/>
            <w:vAlign w:val="center"/>
          </w:tcPr>
          <w:p>
            <w:pPr>
              <w:rPr>
                <w:rFonts w:hint="eastAsia" w:ascii="宋体" w:hAnsi="宋体" w:eastAsia="宋体" w:cs="宋体"/>
                <w:i w:val="0"/>
                <w:color w:val="000000"/>
                <w:sz w:val="18"/>
                <w:szCs w:val="18"/>
                <w:u w:val="none"/>
              </w:rPr>
            </w:pPr>
          </w:p>
        </w:tc>
        <w:tc>
          <w:tcPr>
            <w:tcW w:w="406" w:type="dxa"/>
            <w:shd w:val="clear"/>
            <w:vAlign w:val="center"/>
          </w:tcPr>
          <w:p>
            <w:pPr>
              <w:rPr>
                <w:rFonts w:hint="eastAsia" w:ascii="宋体" w:hAnsi="宋体" w:eastAsia="宋体" w:cs="宋体"/>
                <w:i w:val="0"/>
                <w:color w:val="000000"/>
                <w:sz w:val="18"/>
                <w:szCs w:val="18"/>
                <w:u w:val="none"/>
              </w:rPr>
            </w:pPr>
          </w:p>
        </w:tc>
        <w:tc>
          <w:tcPr>
            <w:tcW w:w="2865" w:type="dxa"/>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13989" w:type="dxa"/>
            <w:gridSpan w:val="11"/>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2364"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625" w:type="dxa"/>
            <w:gridSpan w:val="9"/>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51322524T000010295403-九寨沟县草地乡杨家湾村老寨产种养殖基地配套建设项目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2364"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草地乡政府部门</w:t>
            </w:r>
          </w:p>
        </w:tc>
        <w:tc>
          <w:tcPr>
            <w:tcW w:w="1004" w:type="dxa"/>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731"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741"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735"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4735"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625" w:type="dxa"/>
            <w:gridSpan w:val="9"/>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267.59</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267.59</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267.59</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267.59</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0258" w:type="dxa"/>
            <w:gridSpan w:val="8"/>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436"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项目负责人：高东</w:t>
            </w:r>
          </w:p>
        </w:tc>
        <w:tc>
          <w:tcPr>
            <w:tcW w:w="7553"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财务负责人：李辉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3" w:type="dxa"/>
            <w:shd w:val="clear"/>
            <w:vAlign w:val="center"/>
          </w:tcPr>
          <w:p>
            <w:pPr>
              <w:rPr>
                <w:rFonts w:hint="eastAsia" w:ascii="宋体" w:hAnsi="宋体" w:eastAsia="宋体" w:cs="宋体"/>
                <w:i w:val="0"/>
                <w:color w:val="000000"/>
                <w:sz w:val="18"/>
                <w:szCs w:val="18"/>
                <w:u w:val="none"/>
              </w:rPr>
            </w:pPr>
          </w:p>
        </w:tc>
        <w:tc>
          <w:tcPr>
            <w:tcW w:w="1741" w:type="dxa"/>
            <w:shd w:val="clear"/>
            <w:vAlign w:val="center"/>
          </w:tcPr>
          <w:p>
            <w:pPr>
              <w:rPr>
                <w:rFonts w:hint="eastAsia" w:ascii="宋体" w:hAnsi="宋体" w:eastAsia="宋体" w:cs="宋体"/>
                <w:i w:val="0"/>
                <w:color w:val="000000"/>
                <w:sz w:val="18"/>
                <w:szCs w:val="18"/>
                <w:u w:val="none"/>
              </w:rPr>
            </w:pPr>
          </w:p>
        </w:tc>
        <w:tc>
          <w:tcPr>
            <w:tcW w:w="1536" w:type="dxa"/>
            <w:shd w:val="clear"/>
            <w:vAlign w:val="center"/>
          </w:tcPr>
          <w:p>
            <w:pPr>
              <w:rPr>
                <w:rFonts w:hint="eastAsia" w:ascii="宋体" w:hAnsi="宋体" w:eastAsia="宋体" w:cs="宋体"/>
                <w:i w:val="0"/>
                <w:color w:val="000000"/>
                <w:sz w:val="18"/>
                <w:szCs w:val="18"/>
                <w:u w:val="none"/>
              </w:rPr>
            </w:pPr>
          </w:p>
        </w:tc>
        <w:tc>
          <w:tcPr>
            <w:tcW w:w="1945" w:type="dxa"/>
            <w:shd w:val="clear"/>
            <w:vAlign w:val="center"/>
          </w:tcPr>
          <w:p>
            <w:pPr>
              <w:rPr>
                <w:rFonts w:hint="eastAsia" w:ascii="宋体" w:hAnsi="宋体" w:eastAsia="宋体" w:cs="宋体"/>
                <w:i w:val="0"/>
                <w:color w:val="000000"/>
                <w:sz w:val="18"/>
                <w:szCs w:val="18"/>
                <w:u w:val="none"/>
              </w:rPr>
            </w:pPr>
          </w:p>
        </w:tc>
        <w:tc>
          <w:tcPr>
            <w:tcW w:w="591" w:type="dxa"/>
            <w:shd w:val="clear"/>
            <w:vAlign w:val="center"/>
          </w:tcPr>
          <w:p>
            <w:pPr>
              <w:rPr>
                <w:rFonts w:hint="eastAsia" w:ascii="宋体" w:hAnsi="宋体" w:eastAsia="宋体" w:cs="宋体"/>
                <w:i w:val="0"/>
                <w:color w:val="000000"/>
                <w:sz w:val="18"/>
                <w:szCs w:val="18"/>
                <w:u w:val="none"/>
              </w:rPr>
            </w:pPr>
          </w:p>
        </w:tc>
        <w:tc>
          <w:tcPr>
            <w:tcW w:w="1466" w:type="dxa"/>
            <w:shd w:val="clear"/>
            <w:vAlign w:val="center"/>
          </w:tcPr>
          <w:p>
            <w:pPr>
              <w:rPr>
                <w:rFonts w:hint="eastAsia" w:ascii="宋体" w:hAnsi="宋体" w:eastAsia="宋体" w:cs="宋体"/>
                <w:i w:val="0"/>
                <w:color w:val="000000"/>
                <w:sz w:val="18"/>
                <w:szCs w:val="18"/>
                <w:u w:val="none"/>
              </w:rPr>
            </w:pPr>
          </w:p>
        </w:tc>
        <w:tc>
          <w:tcPr>
            <w:tcW w:w="1352" w:type="dxa"/>
            <w:shd w:val="clear"/>
            <w:vAlign w:val="center"/>
          </w:tcPr>
          <w:p>
            <w:pPr>
              <w:rPr>
                <w:rFonts w:hint="eastAsia" w:ascii="宋体" w:hAnsi="宋体" w:eastAsia="宋体" w:cs="宋体"/>
                <w:i w:val="0"/>
                <w:color w:val="000000"/>
                <w:sz w:val="18"/>
                <w:szCs w:val="18"/>
                <w:u w:val="none"/>
              </w:rPr>
            </w:pPr>
          </w:p>
        </w:tc>
        <w:tc>
          <w:tcPr>
            <w:tcW w:w="1004" w:type="dxa"/>
            <w:shd w:val="clear"/>
            <w:vAlign w:val="center"/>
          </w:tcPr>
          <w:p>
            <w:pPr>
              <w:rPr>
                <w:rFonts w:hint="eastAsia" w:ascii="宋体" w:hAnsi="宋体" w:eastAsia="宋体" w:cs="宋体"/>
                <w:i w:val="0"/>
                <w:color w:val="000000"/>
                <w:sz w:val="18"/>
                <w:szCs w:val="18"/>
                <w:u w:val="none"/>
              </w:rPr>
            </w:pPr>
          </w:p>
        </w:tc>
        <w:tc>
          <w:tcPr>
            <w:tcW w:w="460" w:type="dxa"/>
            <w:shd w:val="clear"/>
            <w:vAlign w:val="center"/>
          </w:tcPr>
          <w:p>
            <w:pPr>
              <w:rPr>
                <w:rFonts w:hint="eastAsia" w:ascii="宋体" w:hAnsi="宋体" w:eastAsia="宋体" w:cs="宋体"/>
                <w:i w:val="0"/>
                <w:color w:val="000000"/>
                <w:sz w:val="18"/>
                <w:szCs w:val="18"/>
                <w:u w:val="none"/>
              </w:rPr>
            </w:pPr>
          </w:p>
        </w:tc>
        <w:tc>
          <w:tcPr>
            <w:tcW w:w="406" w:type="dxa"/>
            <w:shd w:val="clear"/>
            <w:vAlign w:val="center"/>
          </w:tcPr>
          <w:p>
            <w:pPr>
              <w:rPr>
                <w:rFonts w:hint="eastAsia" w:ascii="宋体" w:hAnsi="宋体" w:eastAsia="宋体" w:cs="宋体"/>
                <w:i w:val="0"/>
                <w:color w:val="000000"/>
                <w:sz w:val="18"/>
                <w:szCs w:val="18"/>
                <w:u w:val="none"/>
              </w:rPr>
            </w:pPr>
          </w:p>
        </w:tc>
        <w:tc>
          <w:tcPr>
            <w:tcW w:w="2865" w:type="dxa"/>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3" w:type="dxa"/>
            <w:shd w:val="clear"/>
            <w:vAlign w:val="center"/>
          </w:tcPr>
          <w:p>
            <w:pPr>
              <w:rPr>
                <w:rFonts w:hint="eastAsia" w:ascii="宋体" w:hAnsi="宋体" w:eastAsia="宋体" w:cs="宋体"/>
                <w:i w:val="0"/>
                <w:color w:val="000000"/>
                <w:sz w:val="18"/>
                <w:szCs w:val="18"/>
                <w:u w:val="none"/>
              </w:rPr>
            </w:pPr>
          </w:p>
        </w:tc>
        <w:tc>
          <w:tcPr>
            <w:tcW w:w="1741" w:type="dxa"/>
            <w:shd w:val="clear"/>
            <w:vAlign w:val="center"/>
          </w:tcPr>
          <w:p>
            <w:pPr>
              <w:rPr>
                <w:rFonts w:hint="eastAsia" w:ascii="宋体" w:hAnsi="宋体" w:eastAsia="宋体" w:cs="宋体"/>
                <w:i w:val="0"/>
                <w:color w:val="000000"/>
                <w:sz w:val="18"/>
                <w:szCs w:val="18"/>
                <w:u w:val="none"/>
              </w:rPr>
            </w:pPr>
          </w:p>
        </w:tc>
        <w:tc>
          <w:tcPr>
            <w:tcW w:w="1536" w:type="dxa"/>
            <w:shd w:val="clear"/>
            <w:vAlign w:val="center"/>
          </w:tcPr>
          <w:p>
            <w:pPr>
              <w:rPr>
                <w:rFonts w:hint="eastAsia" w:ascii="宋体" w:hAnsi="宋体" w:eastAsia="宋体" w:cs="宋体"/>
                <w:i w:val="0"/>
                <w:color w:val="000000"/>
                <w:sz w:val="18"/>
                <w:szCs w:val="18"/>
                <w:u w:val="none"/>
              </w:rPr>
            </w:pPr>
          </w:p>
        </w:tc>
        <w:tc>
          <w:tcPr>
            <w:tcW w:w="1945" w:type="dxa"/>
            <w:shd w:val="clear"/>
            <w:vAlign w:val="center"/>
          </w:tcPr>
          <w:p>
            <w:pPr>
              <w:rPr>
                <w:rFonts w:hint="eastAsia" w:ascii="宋体" w:hAnsi="宋体" w:eastAsia="宋体" w:cs="宋体"/>
                <w:i w:val="0"/>
                <w:color w:val="000000"/>
                <w:sz w:val="18"/>
                <w:szCs w:val="18"/>
                <w:u w:val="none"/>
              </w:rPr>
            </w:pPr>
          </w:p>
        </w:tc>
        <w:tc>
          <w:tcPr>
            <w:tcW w:w="591" w:type="dxa"/>
            <w:shd w:val="clear"/>
            <w:vAlign w:val="center"/>
          </w:tcPr>
          <w:p>
            <w:pPr>
              <w:rPr>
                <w:rFonts w:hint="eastAsia" w:ascii="宋体" w:hAnsi="宋体" w:eastAsia="宋体" w:cs="宋体"/>
                <w:i w:val="0"/>
                <w:color w:val="000000"/>
                <w:sz w:val="18"/>
                <w:szCs w:val="18"/>
                <w:u w:val="none"/>
              </w:rPr>
            </w:pPr>
          </w:p>
        </w:tc>
        <w:tc>
          <w:tcPr>
            <w:tcW w:w="1466" w:type="dxa"/>
            <w:shd w:val="clear"/>
            <w:vAlign w:val="center"/>
          </w:tcPr>
          <w:p>
            <w:pPr>
              <w:rPr>
                <w:rFonts w:hint="eastAsia" w:ascii="宋体" w:hAnsi="宋体" w:eastAsia="宋体" w:cs="宋体"/>
                <w:i w:val="0"/>
                <w:color w:val="000000"/>
                <w:sz w:val="18"/>
                <w:szCs w:val="18"/>
                <w:u w:val="none"/>
              </w:rPr>
            </w:pPr>
          </w:p>
        </w:tc>
        <w:tc>
          <w:tcPr>
            <w:tcW w:w="1352" w:type="dxa"/>
            <w:shd w:val="clear"/>
            <w:vAlign w:val="center"/>
          </w:tcPr>
          <w:p>
            <w:pPr>
              <w:rPr>
                <w:rFonts w:hint="eastAsia" w:ascii="宋体" w:hAnsi="宋体" w:eastAsia="宋体" w:cs="宋体"/>
                <w:i w:val="0"/>
                <w:color w:val="000000"/>
                <w:sz w:val="18"/>
                <w:szCs w:val="18"/>
                <w:u w:val="none"/>
              </w:rPr>
            </w:pPr>
          </w:p>
        </w:tc>
        <w:tc>
          <w:tcPr>
            <w:tcW w:w="1004" w:type="dxa"/>
            <w:shd w:val="clear"/>
            <w:vAlign w:val="center"/>
          </w:tcPr>
          <w:p>
            <w:pPr>
              <w:rPr>
                <w:rFonts w:hint="eastAsia" w:ascii="宋体" w:hAnsi="宋体" w:eastAsia="宋体" w:cs="宋体"/>
                <w:i w:val="0"/>
                <w:color w:val="000000"/>
                <w:sz w:val="18"/>
                <w:szCs w:val="18"/>
                <w:u w:val="none"/>
              </w:rPr>
            </w:pPr>
          </w:p>
        </w:tc>
        <w:tc>
          <w:tcPr>
            <w:tcW w:w="460" w:type="dxa"/>
            <w:shd w:val="clear"/>
            <w:vAlign w:val="center"/>
          </w:tcPr>
          <w:p>
            <w:pPr>
              <w:rPr>
                <w:rFonts w:hint="eastAsia" w:ascii="宋体" w:hAnsi="宋体" w:eastAsia="宋体" w:cs="宋体"/>
                <w:i w:val="0"/>
                <w:color w:val="000000"/>
                <w:sz w:val="18"/>
                <w:szCs w:val="18"/>
                <w:u w:val="none"/>
              </w:rPr>
            </w:pPr>
          </w:p>
        </w:tc>
        <w:tc>
          <w:tcPr>
            <w:tcW w:w="406" w:type="dxa"/>
            <w:shd w:val="clear"/>
            <w:vAlign w:val="center"/>
          </w:tcPr>
          <w:p>
            <w:pPr>
              <w:rPr>
                <w:rFonts w:hint="eastAsia" w:ascii="宋体" w:hAnsi="宋体" w:eastAsia="宋体" w:cs="宋体"/>
                <w:i w:val="0"/>
                <w:color w:val="000000"/>
                <w:sz w:val="18"/>
                <w:szCs w:val="18"/>
                <w:u w:val="none"/>
              </w:rPr>
            </w:pPr>
          </w:p>
        </w:tc>
        <w:tc>
          <w:tcPr>
            <w:tcW w:w="2865" w:type="dxa"/>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3989" w:type="dxa"/>
            <w:gridSpan w:val="11"/>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1、报表说明:该报表查询项目信息、绩效目标信息、预算及执行情况，用于预算单位查询导出开展项目自评。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3989" w:type="dxa"/>
            <w:gridSpan w:val="11"/>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2、取数口径：部门项目绩效目标表信息，包括年初预算、追加预算、结转预算和调整预算的绩效目标（以项目的最终绩效目标为准）。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3989" w:type="dxa"/>
            <w:gridSpan w:val="11"/>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适用地区：全省范围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3989" w:type="dxa"/>
            <w:gridSpan w:val="11"/>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适用用户：部门用户、单位用户</w:t>
            </w:r>
          </w:p>
        </w:tc>
      </w:tr>
    </w:tbl>
    <w:p>
      <w:pPr>
        <w:pStyle w:val="7"/>
        <w:spacing w:before="93"/>
        <w:rPr>
          <w:rFonts w:hAnsi="Calibri" w:cs="仿宋"/>
          <w:sz w:val="32"/>
          <w:szCs w:val="32"/>
        </w:rPr>
      </w:pPr>
    </w:p>
    <w:p>
      <w:pPr>
        <w:pStyle w:val="7"/>
        <w:spacing w:before="93"/>
        <w:rPr>
          <w:rFonts w:hAnsi="Calibri" w:cs="仿宋"/>
          <w:sz w:val="32"/>
          <w:szCs w:val="32"/>
        </w:rPr>
      </w:pPr>
    </w:p>
    <w:p>
      <w:pPr>
        <w:pStyle w:val="7"/>
        <w:spacing w:before="93"/>
        <w:rPr>
          <w:rFonts w:hAnsi="Calibri" w:cs="仿宋"/>
          <w:sz w:val="32"/>
          <w:szCs w:val="32"/>
        </w:rPr>
      </w:pPr>
    </w:p>
    <w:p>
      <w:pPr>
        <w:pStyle w:val="7"/>
        <w:spacing w:before="93"/>
        <w:rPr>
          <w:rFonts w:hAnsi="Calibri" w:cs="仿宋"/>
          <w:sz w:val="32"/>
          <w:szCs w:val="32"/>
        </w:rPr>
      </w:pPr>
    </w:p>
    <w:p>
      <w:pPr>
        <w:pStyle w:val="7"/>
        <w:spacing w:before="93"/>
        <w:rPr>
          <w:rFonts w:hAnsi="Calibri" w:cs="仿宋"/>
          <w:sz w:val="32"/>
          <w:szCs w:val="32"/>
        </w:rPr>
      </w:pPr>
    </w:p>
    <w:p>
      <w:pPr>
        <w:pStyle w:val="7"/>
        <w:spacing w:before="93"/>
        <w:rPr>
          <w:rFonts w:hAnsi="Calibri" w:cs="仿宋"/>
          <w:sz w:val="32"/>
          <w:szCs w:val="32"/>
        </w:rPr>
      </w:pPr>
    </w:p>
    <w:p>
      <w:pPr>
        <w:pStyle w:val="7"/>
        <w:spacing w:before="93"/>
        <w:rPr>
          <w:rFonts w:hAnsi="Calibri" w:cs="仿宋"/>
          <w:sz w:val="32"/>
          <w:szCs w:val="32"/>
        </w:rPr>
      </w:pPr>
    </w:p>
    <w:p>
      <w:pPr>
        <w:pStyle w:val="7"/>
        <w:spacing w:before="93"/>
        <w:rPr>
          <w:rFonts w:hAnsi="Calibri" w:cs="仿宋"/>
          <w:sz w:val="32"/>
          <w:szCs w:val="32"/>
        </w:rPr>
      </w:pPr>
    </w:p>
    <w:p>
      <w:pPr>
        <w:pStyle w:val="7"/>
        <w:spacing w:before="93"/>
        <w:rPr>
          <w:rFonts w:hAnsi="Calibri" w:cs="仿宋"/>
          <w:sz w:val="32"/>
          <w:szCs w:val="32"/>
        </w:rPr>
      </w:pPr>
    </w:p>
    <w:p>
      <w:pPr>
        <w:pStyle w:val="7"/>
        <w:spacing w:before="93"/>
        <w:rPr>
          <w:rFonts w:hAnsi="Calibri" w:cs="仿宋"/>
          <w:sz w:val="32"/>
          <w:szCs w:val="32"/>
        </w:rPr>
      </w:pPr>
    </w:p>
    <w:p>
      <w:pPr>
        <w:pStyle w:val="7"/>
        <w:spacing w:before="93"/>
        <w:rPr>
          <w:rFonts w:hAnsi="Calibri" w:cs="仿宋"/>
          <w:sz w:val="32"/>
          <w:szCs w:val="32"/>
        </w:rPr>
      </w:pPr>
    </w:p>
    <w:p>
      <w:pPr>
        <w:spacing w:line="600" w:lineRule="exact"/>
        <w:jc w:val="center"/>
        <w:outlineLvl w:val="0"/>
        <w:rPr>
          <w:rFonts w:ascii="仿宋" w:hAnsi="仿宋" w:eastAsia="仿宋"/>
        </w:rPr>
      </w:pPr>
      <w:bookmarkStart w:id="85" w:name="_Toc296"/>
      <w:r>
        <w:rPr>
          <w:rFonts w:hint="eastAsia" w:ascii="黑体" w:hAnsi="黑体" w:eastAsia="黑体"/>
          <w:sz w:val="44"/>
          <w:szCs w:val="44"/>
        </w:rPr>
        <w:t>第</w:t>
      </w:r>
      <w:r>
        <w:rPr>
          <w:rStyle w:val="33"/>
          <w:rFonts w:hint="eastAsia" w:ascii="黑体" w:hAnsi="黑体" w:eastAsia="黑体"/>
          <w:b w:val="0"/>
        </w:rPr>
        <w:t>五部分 附表</w:t>
      </w:r>
      <w:bookmarkEnd w:id="82"/>
      <w:bookmarkEnd w:id="84"/>
      <w:bookmarkEnd w:id="85"/>
      <w:bookmarkStart w:id="86" w:name="_Toc15396619"/>
    </w:p>
    <w:p>
      <w:pPr>
        <w:pStyle w:val="4"/>
        <w:numPr>
          <w:ilvl w:val="0"/>
          <w:numId w:val="5"/>
        </w:numPr>
        <w:rPr>
          <w:rStyle w:val="34"/>
          <w:rFonts w:hint="eastAsia" w:ascii="仿宋" w:hAnsi="仿宋" w:eastAsia="仿宋"/>
          <w:b w:val="0"/>
          <w:bCs w:val="0"/>
        </w:rPr>
      </w:pPr>
      <w:bookmarkStart w:id="87" w:name="_Toc23794"/>
      <w:r>
        <w:rPr>
          <w:rFonts w:hint="eastAsia" w:ascii="仿宋" w:hAnsi="仿宋" w:eastAsia="仿宋"/>
          <w:b w:val="0"/>
        </w:rPr>
        <w:t>收</w:t>
      </w:r>
      <w:r>
        <w:rPr>
          <w:rStyle w:val="34"/>
          <w:rFonts w:hint="eastAsia" w:ascii="仿宋" w:hAnsi="仿宋" w:eastAsia="仿宋"/>
          <w:b w:val="0"/>
          <w:bCs w:val="0"/>
        </w:rPr>
        <w:t>入支出决算总表</w:t>
      </w:r>
      <w:bookmarkEnd w:id="86"/>
      <w:bookmarkEnd w:id="87"/>
    </w:p>
    <w:p>
      <w:pPr>
        <w:numPr>
          <w:numId w:val="0"/>
        </w:numPr>
      </w:pPr>
      <w:r>
        <w:drawing>
          <wp:inline distT="0" distB="0" distL="114300" distR="114300">
            <wp:extent cx="8862695" cy="6506845"/>
            <wp:effectExtent l="0" t="0" r="14605"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a:stretch>
                      <a:fillRect/>
                    </a:stretch>
                  </pic:blipFill>
                  <pic:spPr>
                    <a:xfrm>
                      <a:off x="0" y="0"/>
                      <a:ext cx="8862695" cy="6506845"/>
                    </a:xfrm>
                    <a:prstGeom prst="rect">
                      <a:avLst/>
                    </a:prstGeom>
                    <a:noFill/>
                    <a:ln w="9525">
                      <a:noFill/>
                      <a:miter/>
                    </a:ln>
                  </pic:spPr>
                </pic:pic>
              </a:graphicData>
            </a:graphic>
          </wp:inline>
        </w:drawing>
      </w:r>
    </w:p>
    <w:p>
      <w:pPr>
        <w:pStyle w:val="4"/>
        <w:numPr>
          <w:ilvl w:val="0"/>
          <w:numId w:val="6"/>
        </w:numPr>
        <w:rPr>
          <w:rStyle w:val="34"/>
          <w:rFonts w:hint="eastAsia" w:ascii="仿宋" w:hAnsi="仿宋" w:eastAsia="仿宋"/>
          <w:b w:val="0"/>
          <w:bCs w:val="0"/>
        </w:rPr>
      </w:pPr>
      <w:bookmarkStart w:id="88" w:name="_Toc15396620"/>
      <w:bookmarkStart w:id="89" w:name="_Toc11734"/>
      <w:r>
        <w:rPr>
          <w:rFonts w:hint="eastAsia" w:ascii="仿宋" w:hAnsi="仿宋" w:eastAsia="仿宋"/>
          <w:b w:val="0"/>
        </w:rPr>
        <w:t>收</w:t>
      </w:r>
      <w:r>
        <w:rPr>
          <w:rStyle w:val="34"/>
          <w:rFonts w:hint="eastAsia" w:ascii="仿宋" w:hAnsi="仿宋" w:eastAsia="仿宋"/>
          <w:b w:val="0"/>
          <w:bCs w:val="0"/>
        </w:rPr>
        <w:t>入决算表</w:t>
      </w:r>
      <w:bookmarkEnd w:id="88"/>
      <w:bookmarkEnd w:id="89"/>
    </w:p>
    <w:p>
      <w:pPr>
        <w:numPr>
          <w:numId w:val="0"/>
        </w:numPr>
      </w:pPr>
      <w:r>
        <w:drawing>
          <wp:inline distT="0" distB="0" distL="114300" distR="114300">
            <wp:extent cx="8858885" cy="3256280"/>
            <wp:effectExtent l="0" t="0" r="1841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3"/>
                    <a:stretch>
                      <a:fillRect/>
                    </a:stretch>
                  </pic:blipFill>
                  <pic:spPr>
                    <a:xfrm>
                      <a:off x="0" y="0"/>
                      <a:ext cx="8858885" cy="3256280"/>
                    </a:xfrm>
                    <a:prstGeom prst="rect">
                      <a:avLst/>
                    </a:prstGeom>
                    <a:noFill/>
                    <a:ln w="9525">
                      <a:noFill/>
                      <a:miter/>
                    </a:ln>
                  </pic:spPr>
                </pic:pic>
              </a:graphicData>
            </a:graphic>
          </wp:inline>
        </w:drawing>
      </w:r>
    </w:p>
    <w:p>
      <w:pPr>
        <w:pStyle w:val="4"/>
        <w:numPr>
          <w:ilvl w:val="0"/>
          <w:numId w:val="6"/>
        </w:numPr>
        <w:rPr>
          <w:rStyle w:val="34"/>
          <w:rFonts w:hint="eastAsia" w:ascii="仿宋" w:hAnsi="仿宋" w:eastAsia="仿宋"/>
          <w:b w:val="0"/>
          <w:bCs w:val="0"/>
        </w:rPr>
      </w:pPr>
      <w:bookmarkStart w:id="90" w:name="_Toc15396621"/>
      <w:bookmarkStart w:id="91" w:name="_Toc23822"/>
      <w:r>
        <w:rPr>
          <w:rFonts w:hint="eastAsia" w:ascii="仿宋" w:hAnsi="仿宋" w:eastAsia="仿宋"/>
          <w:b w:val="0"/>
        </w:rPr>
        <w:t>支</w:t>
      </w:r>
      <w:r>
        <w:rPr>
          <w:rStyle w:val="34"/>
          <w:rFonts w:hint="eastAsia" w:ascii="仿宋" w:hAnsi="仿宋" w:eastAsia="仿宋"/>
          <w:b w:val="0"/>
          <w:bCs w:val="0"/>
        </w:rPr>
        <w:t>出决算表</w:t>
      </w:r>
      <w:bookmarkEnd w:id="90"/>
      <w:bookmarkEnd w:id="91"/>
    </w:p>
    <w:p>
      <w:pPr>
        <w:numPr>
          <w:numId w:val="0"/>
        </w:numPr>
      </w:pPr>
      <w:r>
        <w:drawing>
          <wp:inline distT="0" distB="0" distL="114300" distR="114300">
            <wp:extent cx="8858885" cy="3486150"/>
            <wp:effectExtent l="0" t="0" r="1841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4"/>
                    <a:stretch>
                      <a:fillRect/>
                    </a:stretch>
                  </pic:blipFill>
                  <pic:spPr>
                    <a:xfrm>
                      <a:off x="0" y="0"/>
                      <a:ext cx="8858885" cy="3486150"/>
                    </a:xfrm>
                    <a:prstGeom prst="rect">
                      <a:avLst/>
                    </a:prstGeom>
                    <a:noFill/>
                    <a:ln w="9525">
                      <a:noFill/>
                      <a:miter/>
                    </a:ln>
                  </pic:spPr>
                </pic:pic>
              </a:graphicData>
            </a:graphic>
          </wp:inline>
        </w:drawing>
      </w:r>
    </w:p>
    <w:p>
      <w:pPr>
        <w:pStyle w:val="4"/>
        <w:numPr>
          <w:ilvl w:val="0"/>
          <w:numId w:val="6"/>
        </w:numPr>
        <w:rPr>
          <w:rStyle w:val="34"/>
          <w:rFonts w:hint="eastAsia" w:ascii="仿宋" w:hAnsi="仿宋" w:eastAsia="仿宋"/>
          <w:b w:val="0"/>
          <w:bCs w:val="0"/>
        </w:rPr>
      </w:pPr>
      <w:bookmarkStart w:id="92" w:name="_Toc15396622"/>
      <w:bookmarkStart w:id="93" w:name="_Toc15787"/>
      <w:r>
        <w:rPr>
          <w:rFonts w:hint="eastAsia" w:ascii="仿宋" w:hAnsi="仿宋" w:eastAsia="仿宋"/>
          <w:b w:val="0"/>
        </w:rPr>
        <w:t>财</w:t>
      </w:r>
      <w:r>
        <w:rPr>
          <w:rStyle w:val="34"/>
          <w:rFonts w:hint="eastAsia" w:ascii="仿宋" w:hAnsi="仿宋" w:eastAsia="仿宋"/>
          <w:b w:val="0"/>
          <w:bCs w:val="0"/>
        </w:rPr>
        <w:t>政拨款收入支出决算总表</w:t>
      </w:r>
      <w:bookmarkEnd w:id="92"/>
      <w:bookmarkEnd w:id="93"/>
    </w:p>
    <w:p>
      <w:pPr>
        <w:numPr>
          <w:numId w:val="0"/>
        </w:numPr>
      </w:pPr>
      <w:r>
        <w:drawing>
          <wp:inline distT="0" distB="0" distL="114300" distR="114300">
            <wp:extent cx="8860790" cy="5466715"/>
            <wp:effectExtent l="0" t="0" r="16510" b="63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5"/>
                    <a:stretch>
                      <a:fillRect/>
                    </a:stretch>
                  </pic:blipFill>
                  <pic:spPr>
                    <a:xfrm>
                      <a:off x="0" y="0"/>
                      <a:ext cx="8860790" cy="5466715"/>
                    </a:xfrm>
                    <a:prstGeom prst="rect">
                      <a:avLst/>
                    </a:prstGeom>
                    <a:noFill/>
                    <a:ln w="9525">
                      <a:noFill/>
                      <a:miter/>
                    </a:ln>
                  </pic:spPr>
                </pic:pic>
              </a:graphicData>
            </a:graphic>
          </wp:inline>
        </w:drawing>
      </w:r>
    </w:p>
    <w:p>
      <w:pPr>
        <w:pStyle w:val="4"/>
        <w:numPr>
          <w:ilvl w:val="0"/>
          <w:numId w:val="6"/>
        </w:numPr>
        <w:rPr>
          <w:rStyle w:val="34"/>
          <w:rFonts w:hint="eastAsia" w:ascii="仿宋" w:hAnsi="仿宋" w:eastAsia="仿宋"/>
          <w:b w:val="0"/>
          <w:bCs w:val="0"/>
        </w:rPr>
        <w:sectPr>
          <w:pgSz w:w="16838" w:h="11906" w:orient="landscape"/>
          <w:pgMar w:top="1800" w:right="1440" w:bottom="1800" w:left="1440" w:header="851" w:footer="992" w:gutter="0"/>
          <w:pgNumType w:fmt="decimal"/>
          <w:cols w:space="425" w:num="1"/>
          <w:titlePg/>
          <w:docGrid w:type="lines" w:linePitch="312" w:charSpace="0"/>
        </w:sectPr>
      </w:pPr>
      <w:bookmarkStart w:id="94" w:name="_Toc15396623"/>
    </w:p>
    <w:p>
      <w:pPr>
        <w:pStyle w:val="4"/>
        <w:numPr>
          <w:ilvl w:val="0"/>
          <w:numId w:val="6"/>
        </w:numPr>
        <w:rPr>
          <w:rStyle w:val="34"/>
          <w:rFonts w:hint="eastAsia" w:ascii="仿宋" w:hAnsi="仿宋" w:eastAsia="仿宋"/>
          <w:b w:val="0"/>
          <w:bCs w:val="0"/>
        </w:rPr>
      </w:pPr>
      <w:bookmarkStart w:id="95" w:name="_Toc5582"/>
      <w:r>
        <w:rPr>
          <w:rFonts w:hint="eastAsia" w:ascii="仿宋" w:hAnsi="仿宋" w:eastAsia="仿宋"/>
          <w:b w:val="0"/>
        </w:rPr>
        <w:t>财</w:t>
      </w:r>
      <w:r>
        <w:rPr>
          <w:rStyle w:val="34"/>
          <w:rFonts w:hint="eastAsia" w:ascii="仿宋" w:hAnsi="仿宋" w:eastAsia="仿宋"/>
          <w:b w:val="0"/>
          <w:bCs w:val="0"/>
        </w:rPr>
        <w:t>政拨款支出决算明细表</w:t>
      </w:r>
      <w:bookmarkEnd w:id="94"/>
      <w:bookmarkEnd w:id="95"/>
      <w:bookmarkStart w:id="96" w:name="_Toc15396624"/>
    </w:p>
    <w:p>
      <w:pPr>
        <w:numPr>
          <w:numId w:val="0"/>
        </w:numPr>
      </w:pPr>
      <w:r>
        <w:drawing>
          <wp:inline distT="0" distB="0" distL="114300" distR="114300">
            <wp:extent cx="5260340" cy="6830695"/>
            <wp:effectExtent l="0" t="0" r="16510" b="825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6"/>
                    <a:stretch>
                      <a:fillRect/>
                    </a:stretch>
                  </pic:blipFill>
                  <pic:spPr>
                    <a:xfrm>
                      <a:off x="0" y="0"/>
                      <a:ext cx="5260340" cy="6830695"/>
                    </a:xfrm>
                    <a:prstGeom prst="rect">
                      <a:avLst/>
                    </a:prstGeom>
                    <a:noFill/>
                    <a:ln w="9525">
                      <a:noFill/>
                      <a:miter/>
                    </a:ln>
                  </pic:spPr>
                </pic:pic>
              </a:graphicData>
            </a:graphic>
          </wp:inline>
        </w:drawing>
      </w:r>
    </w:p>
    <w:p>
      <w:pPr>
        <w:pStyle w:val="4"/>
        <w:numPr>
          <w:ilvl w:val="0"/>
          <w:numId w:val="6"/>
        </w:numPr>
        <w:rPr>
          <w:rStyle w:val="34"/>
          <w:rFonts w:hint="eastAsia" w:ascii="仿宋" w:hAnsi="仿宋" w:eastAsia="仿宋"/>
          <w:b w:val="0"/>
          <w:bCs w:val="0"/>
        </w:rPr>
      </w:pPr>
      <w:bookmarkStart w:id="97" w:name="_Toc25605"/>
      <w:r>
        <w:rPr>
          <w:rFonts w:hint="eastAsia" w:ascii="仿宋" w:hAnsi="仿宋" w:eastAsia="仿宋"/>
          <w:b w:val="0"/>
        </w:rPr>
        <w:t>一</w:t>
      </w:r>
      <w:r>
        <w:rPr>
          <w:rStyle w:val="34"/>
          <w:rFonts w:hint="eastAsia" w:ascii="仿宋" w:hAnsi="仿宋" w:eastAsia="仿宋"/>
          <w:b w:val="0"/>
          <w:bCs w:val="0"/>
        </w:rPr>
        <w:t>般公共预算财政拨款支出决算表</w:t>
      </w:r>
      <w:bookmarkEnd w:id="96"/>
      <w:bookmarkEnd w:id="97"/>
    </w:p>
    <w:p>
      <w:pPr>
        <w:numPr>
          <w:numId w:val="0"/>
        </w:numPr>
      </w:pPr>
      <w:r>
        <w:drawing>
          <wp:inline distT="0" distB="0" distL="114300" distR="114300">
            <wp:extent cx="5268595" cy="2996565"/>
            <wp:effectExtent l="0" t="0" r="825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7"/>
                    <a:stretch>
                      <a:fillRect/>
                    </a:stretch>
                  </pic:blipFill>
                  <pic:spPr>
                    <a:xfrm>
                      <a:off x="0" y="0"/>
                      <a:ext cx="5268595" cy="2996565"/>
                    </a:xfrm>
                    <a:prstGeom prst="rect">
                      <a:avLst/>
                    </a:prstGeom>
                    <a:noFill/>
                    <a:ln w="9525">
                      <a:noFill/>
                      <a:miter/>
                    </a:ln>
                  </pic:spPr>
                </pic:pic>
              </a:graphicData>
            </a:graphic>
          </wp:inline>
        </w:drawing>
      </w:r>
    </w:p>
    <w:p>
      <w:pPr>
        <w:pStyle w:val="4"/>
        <w:numPr>
          <w:ilvl w:val="0"/>
          <w:numId w:val="6"/>
        </w:numPr>
        <w:rPr>
          <w:rStyle w:val="34"/>
          <w:rFonts w:hint="eastAsia" w:ascii="仿宋" w:hAnsi="仿宋" w:eastAsia="仿宋"/>
          <w:b w:val="0"/>
          <w:bCs w:val="0"/>
        </w:rPr>
        <w:sectPr>
          <w:pgSz w:w="11906" w:h="16838"/>
          <w:pgMar w:top="1440" w:right="1800" w:bottom="1440" w:left="1800" w:header="851" w:footer="992" w:gutter="0"/>
          <w:pgNumType w:fmt="decimal"/>
          <w:cols w:space="425" w:num="1"/>
          <w:titlePg/>
          <w:docGrid w:type="lines" w:linePitch="312" w:charSpace="0"/>
        </w:sectPr>
      </w:pPr>
      <w:bookmarkStart w:id="98" w:name="_Toc15396625"/>
    </w:p>
    <w:p>
      <w:pPr>
        <w:pStyle w:val="4"/>
        <w:numPr>
          <w:ilvl w:val="0"/>
          <w:numId w:val="6"/>
        </w:numPr>
        <w:rPr>
          <w:rStyle w:val="34"/>
          <w:rFonts w:hint="eastAsia" w:ascii="仿宋" w:hAnsi="仿宋" w:eastAsia="仿宋"/>
          <w:b w:val="0"/>
          <w:bCs w:val="0"/>
        </w:rPr>
      </w:pPr>
      <w:bookmarkStart w:id="99" w:name="_Toc12618"/>
      <w:r>
        <w:rPr>
          <w:rFonts w:hint="eastAsia" w:ascii="仿宋" w:hAnsi="仿宋" w:eastAsia="仿宋"/>
          <w:b w:val="0"/>
        </w:rPr>
        <w:t>一</w:t>
      </w:r>
      <w:r>
        <w:rPr>
          <w:rStyle w:val="34"/>
          <w:rFonts w:hint="eastAsia" w:ascii="仿宋" w:hAnsi="仿宋" w:eastAsia="仿宋"/>
          <w:b w:val="0"/>
          <w:bCs w:val="0"/>
        </w:rPr>
        <w:t>般公共预算财政拨款支出决算明细表</w:t>
      </w:r>
      <w:bookmarkEnd w:id="98"/>
      <w:bookmarkEnd w:id="99"/>
    </w:p>
    <w:p>
      <w:pPr>
        <w:numPr>
          <w:numId w:val="0"/>
        </w:numPr>
      </w:pPr>
      <w:r>
        <w:drawing>
          <wp:inline distT="0" distB="0" distL="114300" distR="114300">
            <wp:extent cx="8809355" cy="425450"/>
            <wp:effectExtent l="0" t="0" r="10795" b="1270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8"/>
                    <a:stretch>
                      <a:fillRect/>
                    </a:stretch>
                  </pic:blipFill>
                  <pic:spPr>
                    <a:xfrm>
                      <a:off x="0" y="0"/>
                      <a:ext cx="8809355" cy="425450"/>
                    </a:xfrm>
                    <a:prstGeom prst="rect">
                      <a:avLst/>
                    </a:prstGeom>
                    <a:noFill/>
                    <a:ln w="9525">
                      <a:noFill/>
                      <a:miter/>
                    </a:ln>
                  </pic:spPr>
                </pic:pic>
              </a:graphicData>
            </a:graphic>
          </wp:inline>
        </w:drawing>
      </w:r>
    </w:p>
    <w:p>
      <w:pPr>
        <w:pStyle w:val="4"/>
        <w:numPr>
          <w:ilvl w:val="0"/>
          <w:numId w:val="6"/>
        </w:numPr>
        <w:rPr>
          <w:rStyle w:val="34"/>
          <w:rFonts w:hint="eastAsia" w:ascii="仿宋" w:hAnsi="仿宋" w:eastAsia="仿宋"/>
          <w:b w:val="0"/>
          <w:bCs w:val="0"/>
        </w:rPr>
      </w:pPr>
      <w:bookmarkStart w:id="100" w:name="_Toc15396626"/>
      <w:bookmarkStart w:id="101" w:name="_Toc19183"/>
      <w:r>
        <w:rPr>
          <w:rFonts w:hint="eastAsia" w:ascii="仿宋" w:hAnsi="仿宋" w:eastAsia="仿宋"/>
          <w:b w:val="0"/>
        </w:rPr>
        <w:t>一</w:t>
      </w:r>
      <w:r>
        <w:rPr>
          <w:rStyle w:val="34"/>
          <w:rFonts w:hint="eastAsia" w:ascii="仿宋" w:hAnsi="仿宋" w:eastAsia="仿宋"/>
          <w:b w:val="0"/>
          <w:bCs w:val="0"/>
        </w:rPr>
        <w:t>般公共预算财政拨款基本支出决算表</w:t>
      </w:r>
      <w:bookmarkEnd w:id="100"/>
      <w:bookmarkEnd w:id="101"/>
    </w:p>
    <w:p>
      <w:pPr>
        <w:numPr>
          <w:numId w:val="0"/>
        </w:numPr>
      </w:pPr>
      <w:r>
        <w:drawing>
          <wp:inline distT="0" distB="0" distL="114300" distR="114300">
            <wp:extent cx="8861425" cy="5605780"/>
            <wp:effectExtent l="0" t="0" r="15875" b="1397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9"/>
                    <a:stretch>
                      <a:fillRect/>
                    </a:stretch>
                  </pic:blipFill>
                  <pic:spPr>
                    <a:xfrm>
                      <a:off x="0" y="0"/>
                      <a:ext cx="8861425" cy="5605780"/>
                    </a:xfrm>
                    <a:prstGeom prst="rect">
                      <a:avLst/>
                    </a:prstGeom>
                    <a:noFill/>
                    <a:ln w="9525">
                      <a:noFill/>
                      <a:miter/>
                    </a:ln>
                  </pic:spPr>
                </pic:pic>
              </a:graphicData>
            </a:graphic>
          </wp:inline>
        </w:drawing>
      </w:r>
    </w:p>
    <w:p>
      <w:pPr>
        <w:pStyle w:val="4"/>
        <w:numPr>
          <w:ilvl w:val="0"/>
          <w:numId w:val="6"/>
        </w:numPr>
        <w:rPr>
          <w:rStyle w:val="34"/>
          <w:rFonts w:hint="eastAsia" w:ascii="仿宋" w:hAnsi="仿宋" w:eastAsia="仿宋"/>
          <w:b w:val="0"/>
          <w:bCs w:val="0"/>
        </w:rPr>
      </w:pPr>
      <w:bookmarkStart w:id="102" w:name="_Toc15396627"/>
      <w:bookmarkStart w:id="103" w:name="_Toc32230"/>
      <w:r>
        <w:rPr>
          <w:rFonts w:hint="eastAsia" w:ascii="仿宋" w:hAnsi="仿宋" w:eastAsia="仿宋"/>
          <w:b w:val="0"/>
        </w:rPr>
        <w:t>一</w:t>
      </w:r>
      <w:r>
        <w:rPr>
          <w:rStyle w:val="34"/>
          <w:rFonts w:hint="eastAsia" w:ascii="仿宋" w:hAnsi="仿宋" w:eastAsia="仿宋"/>
          <w:b w:val="0"/>
          <w:bCs w:val="0"/>
        </w:rPr>
        <w:t>般公共预算财政拨款项目支出决算表</w:t>
      </w:r>
      <w:bookmarkEnd w:id="102"/>
      <w:bookmarkEnd w:id="103"/>
    </w:p>
    <w:p>
      <w:pPr>
        <w:numPr>
          <w:numId w:val="0"/>
        </w:numPr>
      </w:pPr>
      <w:r>
        <w:drawing>
          <wp:inline distT="0" distB="0" distL="114300" distR="114300">
            <wp:extent cx="7477125" cy="1981200"/>
            <wp:effectExtent l="0" t="0" r="9525"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20"/>
                    <a:stretch>
                      <a:fillRect/>
                    </a:stretch>
                  </pic:blipFill>
                  <pic:spPr>
                    <a:xfrm>
                      <a:off x="0" y="0"/>
                      <a:ext cx="7477125" cy="1981200"/>
                    </a:xfrm>
                    <a:prstGeom prst="rect">
                      <a:avLst/>
                    </a:prstGeom>
                    <a:noFill/>
                    <a:ln w="9525">
                      <a:noFill/>
                      <a:miter/>
                    </a:ln>
                  </pic:spPr>
                </pic:pic>
              </a:graphicData>
            </a:graphic>
          </wp:inline>
        </w:drawing>
      </w:r>
    </w:p>
    <w:p>
      <w:pPr>
        <w:pStyle w:val="4"/>
        <w:numPr>
          <w:ilvl w:val="0"/>
          <w:numId w:val="6"/>
        </w:numPr>
        <w:rPr>
          <w:rStyle w:val="34"/>
          <w:rFonts w:hint="eastAsia" w:ascii="仿宋" w:hAnsi="仿宋" w:eastAsia="仿宋"/>
          <w:b w:val="0"/>
          <w:bCs w:val="0"/>
        </w:rPr>
      </w:pPr>
      <w:bookmarkStart w:id="104" w:name="_Toc7999"/>
      <w:r>
        <w:rPr>
          <w:rFonts w:hint="eastAsia" w:ascii="仿宋" w:hAnsi="仿宋" w:eastAsia="仿宋"/>
          <w:b w:val="0"/>
        </w:rPr>
        <w:t>政</w:t>
      </w:r>
      <w:r>
        <w:rPr>
          <w:rStyle w:val="34"/>
          <w:rFonts w:hint="eastAsia" w:ascii="仿宋" w:hAnsi="仿宋" w:eastAsia="仿宋"/>
          <w:b w:val="0"/>
          <w:bCs w:val="0"/>
        </w:rPr>
        <w:t>府性基金预算财政拨款收入支出决算表</w:t>
      </w:r>
      <w:bookmarkEnd w:id="104"/>
    </w:p>
    <w:p>
      <w:pPr>
        <w:numPr>
          <w:numId w:val="0"/>
        </w:numPr>
      </w:pPr>
      <w:r>
        <w:rPr>
          <w:sz w:val="21"/>
        </w:rPr>
        <mc:AlternateContent>
          <mc:Choice Requires="wps">
            <w:drawing>
              <wp:anchor distT="0" distB="0" distL="114300" distR="114300" simplePos="0" relativeHeight="251661312" behindDoc="0" locked="0" layoutInCell="1" allowOverlap="1">
                <wp:simplePos x="0" y="0"/>
                <wp:positionH relativeFrom="column">
                  <wp:posOffset>6475095</wp:posOffset>
                </wp:positionH>
                <wp:positionV relativeFrom="paragraph">
                  <wp:posOffset>508635</wp:posOffset>
                </wp:positionV>
                <wp:extent cx="1000125" cy="295275"/>
                <wp:effectExtent l="4445" t="5080" r="5080" b="4445"/>
                <wp:wrapNone/>
                <wp:docPr id="21" name="文本框 21"/>
                <wp:cNvGraphicFramePr/>
                <a:graphic xmlns:a="http://schemas.openxmlformats.org/drawingml/2006/main">
                  <a:graphicData uri="http://schemas.microsoft.com/office/word/2010/wordprocessingShape">
                    <wps:wsp>
                      <wps:cNvSpPr txBox="1"/>
                      <wps:spPr>
                        <a:xfrm>
                          <a:off x="0" y="0"/>
                          <a:ext cx="1000125" cy="2952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lang w:eastAsia="zh-CN"/>
                              </w:rPr>
                            </w:pPr>
                            <w:r>
                              <w:rPr>
                                <w:rFonts w:hint="eastAsia"/>
                                <w:lang w:eastAsia="zh-CN"/>
                              </w:rPr>
                              <w:t>此表无数据</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09.85pt;margin-top:40.05pt;height:23.25pt;width:78.75pt;z-index:251661312;mso-width-relative:page;mso-height-relative:page;" fillcolor="#FFFFFF [3201]" filled="t" stroked="t" coordsize="21600,21600" o:gfxdata="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AJVd4k1wAAAAwBAAAPAAAAAAAAAAEAIAAAACIAAABkcnMv&#10;ZG93bnJldi54bWxQSwECFAAUAAAACACHTuJAjsk54z0CAABrBAAADgAAAAAAAAABACAAAAAmAQAA&#10;ZHJzL2Uyb0RvYy54bWxQSwUGAAAAAAYABgBZAQAA1QUAAAAA&#10;">
                <v:fill on="t" focussize="0,0"/>
                <v:stroke weight="0.5pt" color="#000000 [3204]" joinstyle="round"/>
                <v:imagedata o:title=""/>
                <o:lock v:ext="edit" aspectratio="f"/>
                <v:textbox>
                  <w:txbxContent>
                    <w:p>
                      <w:pPr>
                        <w:rPr>
                          <w:rFonts w:hint="eastAsia" w:eastAsia="宋体"/>
                          <w:lang w:eastAsia="zh-CN"/>
                        </w:rPr>
                      </w:pPr>
                      <w:r>
                        <w:rPr>
                          <w:rFonts w:hint="eastAsia"/>
                          <w:lang w:eastAsia="zh-CN"/>
                        </w:rPr>
                        <w:t>此表无数据</w:t>
                      </w: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6246495</wp:posOffset>
                </wp:positionH>
                <wp:positionV relativeFrom="paragraph">
                  <wp:posOffset>-2510790</wp:posOffset>
                </wp:positionV>
                <wp:extent cx="1000125" cy="295275"/>
                <wp:effectExtent l="4445" t="5080" r="5080" b="4445"/>
                <wp:wrapNone/>
                <wp:docPr id="20" name="文本框 20"/>
                <wp:cNvGraphicFramePr/>
                <a:graphic xmlns:a="http://schemas.openxmlformats.org/drawingml/2006/main">
                  <a:graphicData uri="http://schemas.microsoft.com/office/word/2010/wordprocessingShape">
                    <wps:wsp>
                      <wps:cNvSpPr txBox="1"/>
                      <wps:spPr>
                        <a:xfrm>
                          <a:off x="0" y="0"/>
                          <a:ext cx="1000125" cy="2952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lang w:eastAsia="zh-CN"/>
                              </w:rPr>
                            </w:pPr>
                            <w:r>
                              <w:rPr>
                                <w:rFonts w:hint="eastAsia"/>
                                <w:lang w:eastAsia="zh-CN"/>
                              </w:rPr>
                              <w:t>此表无数据</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1.85pt;margin-top:-197.7pt;height:23.25pt;width:78.75pt;z-index:251660288;mso-width-relative:page;mso-height-relative:page;" fillcolor="#FFFFFF [3201]" filled="t" stroked="t" coordsize="21600,21600" o:gfxdata="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&#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bFPnA2QAAAA4BAAAPAAAAAAAAAAEAIAAAACIAAABk&#10;cnMvZG93bnJldi54bWxQSwECFAAUAAAACACHTuJAaHE/kj4CAABrBAAADgAAAAAAAAABACAAAAAo&#10;AQAAZHJzL2Uyb0RvYy54bWxQSwUGAAAAAAYABgBZAQAA2AUAAAAA&#10;">
                <v:fill on="t" focussize="0,0"/>
                <v:stroke weight="0.5pt" color="#000000 [3204]" joinstyle="round"/>
                <v:imagedata o:title=""/>
                <o:lock v:ext="edit" aspectratio="f"/>
                <v:textbox>
                  <w:txbxContent>
                    <w:p>
                      <w:pPr>
                        <w:rPr>
                          <w:rFonts w:hint="eastAsia" w:eastAsia="宋体"/>
                          <w:lang w:eastAsia="zh-CN"/>
                        </w:rPr>
                      </w:pPr>
                      <w:r>
                        <w:rPr>
                          <w:rFonts w:hint="eastAsia"/>
                          <w:lang w:eastAsia="zh-CN"/>
                        </w:rPr>
                        <w:t>此表无数据</w:t>
                      </w:r>
                    </w:p>
                  </w:txbxContent>
                </v:textbox>
              </v:shape>
            </w:pict>
          </mc:Fallback>
        </mc:AlternateContent>
      </w:r>
      <w:r>
        <w:drawing>
          <wp:inline distT="0" distB="0" distL="114300" distR="114300">
            <wp:extent cx="8856345" cy="1540510"/>
            <wp:effectExtent l="0" t="0" r="1905" b="254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21"/>
                    <a:stretch>
                      <a:fillRect/>
                    </a:stretch>
                  </pic:blipFill>
                  <pic:spPr>
                    <a:xfrm>
                      <a:off x="0" y="0"/>
                      <a:ext cx="8856345" cy="1540510"/>
                    </a:xfrm>
                    <a:prstGeom prst="rect">
                      <a:avLst/>
                    </a:prstGeom>
                    <a:noFill/>
                    <a:ln w="9525">
                      <a:noFill/>
                      <a:miter/>
                    </a:ln>
                  </pic:spPr>
                </pic:pic>
              </a:graphicData>
            </a:graphic>
          </wp:inline>
        </w:drawing>
      </w:r>
    </w:p>
    <w:p>
      <w:pPr>
        <w:pStyle w:val="4"/>
        <w:numPr>
          <w:ilvl w:val="0"/>
          <w:numId w:val="6"/>
        </w:numPr>
        <w:rPr>
          <w:rStyle w:val="34"/>
          <w:rFonts w:hint="eastAsia" w:ascii="仿宋" w:hAnsi="仿宋" w:eastAsia="仿宋"/>
          <w:b w:val="0"/>
          <w:bCs w:val="0"/>
        </w:rPr>
      </w:pPr>
      <w:bookmarkStart w:id="105" w:name="_Toc7846"/>
      <w:r>
        <w:rPr>
          <w:rFonts w:hint="eastAsia" w:ascii="仿宋" w:hAnsi="仿宋" w:eastAsia="仿宋"/>
          <w:b w:val="0"/>
        </w:rPr>
        <w:t>国</w:t>
      </w:r>
      <w:r>
        <w:rPr>
          <w:rStyle w:val="34"/>
          <w:rFonts w:hint="eastAsia" w:ascii="仿宋" w:hAnsi="仿宋" w:eastAsia="仿宋"/>
          <w:b w:val="0"/>
          <w:bCs w:val="0"/>
        </w:rPr>
        <w:t>有资本经营预算财政拨款收入支出决算表</w:t>
      </w:r>
      <w:bookmarkEnd w:id="105"/>
    </w:p>
    <w:p>
      <w:pPr>
        <w:numPr>
          <w:numId w:val="0"/>
        </w:numPr>
      </w:pPr>
      <w:r>
        <w:rPr>
          <w:sz w:val="21"/>
        </w:rPr>
        <mc:AlternateContent>
          <mc:Choice Requires="wps">
            <w:drawing>
              <wp:anchor distT="0" distB="0" distL="114300" distR="114300" simplePos="0" relativeHeight="251659264" behindDoc="0" locked="0" layoutInCell="1" allowOverlap="1">
                <wp:simplePos x="0" y="0"/>
                <wp:positionH relativeFrom="column">
                  <wp:posOffset>6246495</wp:posOffset>
                </wp:positionH>
                <wp:positionV relativeFrom="paragraph">
                  <wp:posOffset>196850</wp:posOffset>
                </wp:positionV>
                <wp:extent cx="1000125" cy="295275"/>
                <wp:effectExtent l="4445" t="5080" r="5080" b="4445"/>
                <wp:wrapNone/>
                <wp:docPr id="19" name="文本框 19"/>
                <wp:cNvGraphicFramePr/>
                <a:graphic xmlns:a="http://schemas.openxmlformats.org/drawingml/2006/main">
                  <a:graphicData uri="http://schemas.microsoft.com/office/word/2010/wordprocessingShape">
                    <wps:wsp>
                      <wps:cNvSpPr txBox="1"/>
                      <wps:spPr>
                        <a:xfrm>
                          <a:off x="0" y="0"/>
                          <a:ext cx="1000125" cy="2952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lang w:eastAsia="zh-CN"/>
                              </w:rPr>
                            </w:pPr>
                            <w:r>
                              <w:rPr>
                                <w:rFonts w:hint="eastAsia"/>
                                <w:lang w:eastAsia="zh-CN"/>
                              </w:rPr>
                              <w:t>此表无数据</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1.85pt;margin-top:15.5pt;height:23.25pt;width:78.75pt;z-index:251659264;mso-width-relative:page;mso-height-relative:page;" fillcolor="#FFFFFF [3201]" filled="t" stroked="t" coordsize="21600,21600" o:gfxdata="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cmd4n1wAAAAoBAAAPAAAAAAAAAAEAIAAAACIAAABkcnMv&#10;ZG93bnJldi54bWxQSwECFAAUAAAACACHTuJAI8DGBj0CAABrBAAADgAAAAAAAAABACAAAAAmAQAA&#10;ZHJzL2Uyb0RvYy54bWxQSwUGAAAAAAYABgBZAQAA1QUAAAAA&#10;">
                <v:fill on="t" focussize="0,0"/>
                <v:stroke weight="0.5pt" color="#000000 [3204]" joinstyle="round"/>
                <v:imagedata o:title=""/>
                <o:lock v:ext="edit" aspectratio="f"/>
                <v:textbox>
                  <w:txbxContent>
                    <w:p>
                      <w:pPr>
                        <w:rPr>
                          <w:rFonts w:hint="eastAsia" w:eastAsia="宋体"/>
                          <w:lang w:eastAsia="zh-CN"/>
                        </w:rPr>
                      </w:pPr>
                      <w:r>
                        <w:rPr>
                          <w:rFonts w:hint="eastAsia"/>
                          <w:lang w:eastAsia="zh-CN"/>
                        </w:rPr>
                        <w:t>此表无数据</w:t>
                      </w:r>
                    </w:p>
                  </w:txbxContent>
                </v:textbox>
              </v:shape>
            </w:pict>
          </mc:Fallback>
        </mc:AlternateContent>
      </w:r>
      <w:r>
        <w:drawing>
          <wp:inline distT="0" distB="0" distL="114300" distR="114300">
            <wp:extent cx="8343900" cy="222885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22"/>
                    <a:stretch>
                      <a:fillRect/>
                    </a:stretch>
                  </pic:blipFill>
                  <pic:spPr>
                    <a:xfrm>
                      <a:off x="0" y="0"/>
                      <a:ext cx="8343900" cy="2228850"/>
                    </a:xfrm>
                    <a:prstGeom prst="rect">
                      <a:avLst/>
                    </a:prstGeom>
                    <a:noFill/>
                    <a:ln w="9525">
                      <a:noFill/>
                      <a:miter/>
                    </a:ln>
                  </pic:spPr>
                </pic:pic>
              </a:graphicData>
            </a:graphic>
          </wp:inline>
        </w:drawing>
      </w:r>
    </w:p>
    <w:p>
      <w:pPr>
        <w:pStyle w:val="4"/>
        <w:numPr>
          <w:ilvl w:val="0"/>
          <w:numId w:val="6"/>
        </w:numPr>
        <w:rPr>
          <w:rStyle w:val="34"/>
          <w:rFonts w:hint="eastAsia" w:ascii="仿宋" w:hAnsi="仿宋" w:eastAsia="仿宋"/>
          <w:b w:val="0"/>
          <w:bCs w:val="0"/>
        </w:rPr>
      </w:pPr>
      <w:bookmarkStart w:id="106" w:name="_Toc32648"/>
      <w:r>
        <w:rPr>
          <w:rStyle w:val="34"/>
          <w:rFonts w:hint="eastAsia" w:ascii="仿宋" w:hAnsi="仿宋" w:eastAsia="仿宋"/>
          <w:b w:val="0"/>
          <w:bCs w:val="0"/>
        </w:rPr>
        <w:t>国有资本经营预算财政拨款支出决算表</w:t>
      </w:r>
      <w:bookmarkEnd w:id="106"/>
    </w:p>
    <w:p>
      <w:pPr>
        <w:numPr>
          <w:numId w:val="0"/>
        </w:numPr>
      </w:pPr>
      <w:r>
        <w:rPr>
          <w:sz w:val="21"/>
        </w:rPr>
        <mc:AlternateContent>
          <mc:Choice Requires="wps">
            <w:drawing>
              <wp:anchor distT="0" distB="0" distL="114300" distR="114300" simplePos="0" relativeHeight="251658240" behindDoc="0" locked="0" layoutInCell="1" allowOverlap="1">
                <wp:simplePos x="0" y="0"/>
                <wp:positionH relativeFrom="column">
                  <wp:posOffset>6246495</wp:posOffset>
                </wp:positionH>
                <wp:positionV relativeFrom="paragraph">
                  <wp:posOffset>196850</wp:posOffset>
                </wp:positionV>
                <wp:extent cx="1000125" cy="295275"/>
                <wp:effectExtent l="4445" t="5080" r="5080" b="4445"/>
                <wp:wrapNone/>
                <wp:docPr id="18" name="文本框 18"/>
                <wp:cNvGraphicFramePr/>
                <a:graphic xmlns:a="http://schemas.openxmlformats.org/drawingml/2006/main">
                  <a:graphicData uri="http://schemas.microsoft.com/office/word/2010/wordprocessingShape">
                    <wps:wsp>
                      <wps:cNvSpPr txBox="1"/>
                      <wps:spPr>
                        <a:xfrm>
                          <a:off x="0" y="0"/>
                          <a:ext cx="1000125" cy="2952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lang w:eastAsia="zh-CN"/>
                              </w:rPr>
                            </w:pPr>
                            <w:r>
                              <w:rPr>
                                <w:rFonts w:hint="eastAsia"/>
                                <w:lang w:eastAsia="zh-CN"/>
                              </w:rPr>
                              <w:t>此表无数据</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1.85pt;margin-top:15.5pt;height:23.25pt;width:78.75pt;z-index:251658240;mso-width-relative:page;mso-height-relative:page;" fillcolor="#FFFFFF [3201]" filled="t" stroked="t" coordsize="21600,21600" o:gfxdata="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cmd4n1wAAAAoBAAAPAAAAAAAAAAEAIAAAACIAAABkcnMv&#10;ZG93bnJldi54bWxQSwECFAAUAAAACACHTuJAxXjAdz0CAABrBAAADgAAAAAAAAABACAAAAAmAQAA&#10;ZHJzL2Uyb0RvYy54bWxQSwUGAAAAAAYABgBZAQAA1QUAAAAA&#10;">
                <v:fill on="t" focussize="0,0"/>
                <v:stroke weight="0.5pt" color="#000000 [3204]" joinstyle="round"/>
                <v:imagedata o:title=""/>
                <o:lock v:ext="edit" aspectratio="f"/>
                <v:textbox>
                  <w:txbxContent>
                    <w:p>
                      <w:pPr>
                        <w:rPr>
                          <w:rFonts w:hint="eastAsia" w:eastAsia="宋体"/>
                          <w:lang w:eastAsia="zh-CN"/>
                        </w:rPr>
                      </w:pPr>
                      <w:r>
                        <w:rPr>
                          <w:rFonts w:hint="eastAsia"/>
                          <w:lang w:eastAsia="zh-CN"/>
                        </w:rPr>
                        <w:t>此表无数据</w:t>
                      </w:r>
                    </w:p>
                  </w:txbxContent>
                </v:textbox>
              </v:shape>
            </w:pict>
          </mc:Fallback>
        </mc:AlternateContent>
      </w:r>
      <w:r>
        <w:drawing>
          <wp:inline distT="0" distB="0" distL="114300" distR="114300">
            <wp:extent cx="8296275" cy="2181225"/>
            <wp:effectExtent l="0" t="0" r="9525" b="952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23"/>
                    <a:stretch>
                      <a:fillRect/>
                    </a:stretch>
                  </pic:blipFill>
                  <pic:spPr>
                    <a:xfrm>
                      <a:off x="0" y="0"/>
                      <a:ext cx="8296275" cy="2181225"/>
                    </a:xfrm>
                    <a:prstGeom prst="rect">
                      <a:avLst/>
                    </a:prstGeom>
                    <a:noFill/>
                    <a:ln w="9525">
                      <a:noFill/>
                      <a:miter/>
                    </a:ln>
                  </pic:spPr>
                </pic:pic>
              </a:graphicData>
            </a:graphic>
          </wp:inline>
        </w:drawing>
      </w:r>
    </w:p>
    <w:p>
      <w:pPr>
        <w:pStyle w:val="4"/>
        <w:numPr>
          <w:ilvl w:val="0"/>
          <w:numId w:val="6"/>
        </w:numPr>
        <w:rPr>
          <w:rStyle w:val="34"/>
          <w:rFonts w:hint="eastAsia" w:ascii="仿宋" w:hAnsi="仿宋" w:eastAsia="仿宋"/>
          <w:b w:val="0"/>
          <w:bCs w:val="0"/>
        </w:rPr>
      </w:pPr>
      <w:bookmarkStart w:id="107" w:name="_Toc25427"/>
      <w:r>
        <w:rPr>
          <w:rStyle w:val="34"/>
          <w:rFonts w:hint="eastAsia" w:ascii="仿宋" w:hAnsi="仿宋" w:eastAsia="仿宋"/>
          <w:b w:val="0"/>
          <w:bCs w:val="0"/>
        </w:rPr>
        <w:t>财政拨款“三公”经费支出决算表</w:t>
      </w:r>
      <w:bookmarkEnd w:id="107"/>
    </w:p>
    <w:p>
      <w:pPr>
        <w:numPr>
          <w:numId w:val="0"/>
        </w:numPr>
      </w:pPr>
      <w:r>
        <w:drawing>
          <wp:inline distT="0" distB="0" distL="114300" distR="114300">
            <wp:extent cx="8856345" cy="694690"/>
            <wp:effectExtent l="0" t="0" r="1905" b="1079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24"/>
                    <a:stretch>
                      <a:fillRect/>
                    </a:stretch>
                  </pic:blipFill>
                  <pic:spPr>
                    <a:xfrm>
                      <a:off x="0" y="0"/>
                      <a:ext cx="8856345" cy="694690"/>
                    </a:xfrm>
                    <a:prstGeom prst="rect">
                      <a:avLst/>
                    </a:prstGeom>
                    <a:noFill/>
                    <a:ln w="9525">
                      <a:noFill/>
                      <a:miter/>
                    </a:ln>
                  </pic:spPr>
                </pic:pic>
              </a:graphicData>
            </a:graphic>
          </wp:inline>
        </w:drawing>
      </w:r>
    </w:p>
    <w:sectPr>
      <w:pgSz w:w="16838" w:h="11906" w:orient="landscape"/>
      <w:pgMar w:top="1800" w:right="1440" w:bottom="1800" w:left="1440" w:header="851" w:footer="992" w:gutter="0"/>
      <w:pgNumType w:fmt="decimal"/>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黑体">
    <w:panose1 w:val="02010609060101010101"/>
    <w:charset w:val="86"/>
    <w:family w:val="swiss"/>
    <w:pitch w:val="default"/>
    <w:sig w:usb0="800002BF" w:usb1="38CF7CFA" w:usb2="00000016" w:usb3="00000000" w:csb0="00040001" w:csb1="00000000"/>
  </w:font>
  <w:font w:name="Arial">
    <w:panose1 w:val="020B0604020202020204"/>
    <w:charset w:val="00"/>
    <w:family w:val="decorative"/>
    <w:pitch w:val="default"/>
    <w:sig w:usb0="E0002AFF" w:usb1="C0007843" w:usb2="00000009" w:usb3="00000000" w:csb0="400001FF" w:csb1="FFFF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swiss"/>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黑体">
    <w:panose1 w:val="02010609060101010101"/>
    <w:charset w:val="86"/>
    <w:family w:val="decorative"/>
    <w:pitch w:val="default"/>
    <w:sig w:usb0="800002BF" w:usb1="38CF7CFA" w:usb2="00000016" w:usb3="00000000" w:csb0="00040001" w:csb1="00000000"/>
  </w:font>
  <w:font w:name="Arial">
    <w:panose1 w:val="020B0604020202020204"/>
    <w:charset w:val="00"/>
    <w:family w:val="roman"/>
    <w:pitch w:val="default"/>
    <w:sig w:usb0="E0002AFF" w:usb1="C0007843" w:usb2="00000009" w:usb3="00000000" w:csb0="400001FF" w:csb1="FFFF0000"/>
  </w:font>
  <w:font w:name="仿宋">
    <w:panose1 w:val="02010609060101010101"/>
    <w:charset w:val="86"/>
    <w:family w:val="decorative"/>
    <w:pitch w:val="default"/>
    <w:sig w:usb0="800002BF" w:usb1="38CF7CFA" w:usb2="00000016" w:usb3="00000000" w:csb0="00040001"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黑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 w:name="等线 Light">
    <w:altName w:val="Segoe Print"/>
    <w:panose1 w:val="00000000000000000000"/>
    <w:charset w:val="00"/>
    <w:family w:val="auto"/>
    <w:pitch w:val="default"/>
    <w:sig w:usb0="00000000" w:usb1="00000000" w:usb2="00000000" w:usb3="00000000" w:csb0="00000000" w:csb1="00000000"/>
  </w:font>
  <w:font w:name="Courier New">
    <w:panose1 w:val="02070309020205020404"/>
    <w:charset w:val="00"/>
    <w:family w:val="auto"/>
    <w:pitch w:val="default"/>
    <w:sig w:usb0="E0002AFF" w:usb1="C0007843" w:usb2="00000009" w:usb3="00000000" w:csb0="400001FF" w:csb1="FFFF0000"/>
  </w:font>
  <w:font w:name="DengXian Light">
    <w:altName w:val="Segoe Print"/>
    <w:panose1 w:val="00000000000000000000"/>
    <w:charset w:val="00"/>
    <w:family w:val="auto"/>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swiss"/>
    <w:pitch w:val="default"/>
    <w:sig w:usb0="00000001" w:usb1="080E0000" w:usb2="00000000" w:usb3="00000000" w:csb0="00040000" w:csb1="00000000"/>
  </w:font>
  <w:font w:name="??">
    <w:altName w:val="Times New Roman"/>
    <w:panose1 w:val="00000000000000000000"/>
    <w:charset w:val="00"/>
    <w:family w:val="modern"/>
    <w:pitch w:val="default"/>
    <w:sig w:usb0="00000000" w:usb1="00000000" w:usb2="00000000" w:usb3="00000000" w:csb0="00000000" w:csb1="00000000"/>
  </w:font>
  <w:font w:name="仿宋_GB2312">
    <w:panose1 w:val="02010609030101010101"/>
    <w:charset w:val="86"/>
    <w:family w:val="decorative"/>
    <w:pitch w:val="default"/>
    <w:sig w:usb0="00000001" w:usb1="080E0000" w:usb2="00000000" w:usb3="00000000" w:csb0="00040000" w:csb1="00000000"/>
  </w:font>
  <w:font w:name="??">
    <w:altName w:val="Times New Roman"/>
    <w:panose1 w:val="00000000000000000000"/>
    <w:charset w:val="00"/>
    <w:family w:val="swiss"/>
    <w:pitch w:val="default"/>
    <w:sig w:usb0="00000000" w:usb1="00000000" w:usb2="00000000" w:usb3="00000000" w:csb0="00000000" w:csb1="00000000"/>
  </w:font>
  <w:font w:name="Arial">
    <w:panose1 w:val="020B0604020202020204"/>
    <w:charset w:val="00"/>
    <w:family w:val="modern"/>
    <w:pitch w:val="default"/>
    <w:sig w:usb0="E0002AFF" w:usb1="C0007843" w:usb2="00000009" w:usb3="00000000" w:csb0="400001FF" w:csb1="FFFF0000"/>
  </w:font>
  <w:font w:name="黑体">
    <w:panose1 w:val="02010609060101010101"/>
    <w:charset w:val="86"/>
    <w:family w:val="roman"/>
    <w:pitch w:val="default"/>
    <w:sig w:usb0="800002BF" w:usb1="38CF7CFA" w:usb2="00000016" w:usb3="00000000" w:csb0="00040001" w:csb1="00000000"/>
  </w:font>
  <w:font w:name="仿宋_GB2312">
    <w:panose1 w:val="02010609030101010101"/>
    <w:charset w:val="86"/>
    <w:family w:val="roman"/>
    <w:pitch w:val="default"/>
    <w:sig w:usb0="00000001" w:usb1="080E0000" w:usb2="00000000" w:usb3="00000000" w:csb0="00040000" w:csb1="00000000"/>
  </w:font>
  <w:font w:name="仿宋">
    <w:panose1 w:val="02010609060101010101"/>
    <w:charset w:val="86"/>
    <w:family w:val="roman"/>
    <w:pitch w:val="default"/>
    <w:sig w:usb0="800002BF" w:usb1="38CF7CFA" w:usb2="00000016" w:usb3="00000000" w:csb0="00040001" w:csb1="00000000"/>
  </w:font>
  <w:font w:name="??">
    <w:altName w:val="Times New Roman"/>
    <w:panose1 w:val="00000000000000000000"/>
    <w:charset w:val="00"/>
    <w:family w:val="decorative"/>
    <w:pitch w:val="default"/>
    <w:sig w:usb0="00000000" w:usb1="00000000" w:usb2="00000000" w:usb3="00000000" w:csb0="00000000" w:csb1="00000000"/>
  </w:font>
  <w:font w:name="黑体">
    <w:panose1 w:val="02010609060101010101"/>
    <w:charset w:val="86"/>
    <w:family w:val="auto"/>
    <w:pitch w:val="default"/>
    <w:sig w:usb0="800002BF" w:usb1="38CF7CFA" w:usb2="00000016" w:usb3="00000000" w:csb0="00040001" w:csb1="00000000"/>
  </w:font>
  <w:font w:name="黑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3"/>
          <w:jc w:val="center"/>
        </w:pPr>
        <w:r>
          <w:fldChar w:fldCharType="begin"/>
        </w:r>
        <w:r>
          <w:instrText xml:space="preserve">PAGE   \* MERGEFORMAT</w:instrText>
        </w:r>
        <w:r>
          <w:fldChar w:fldCharType="separate"/>
        </w:r>
        <w:r>
          <w:rPr>
            <w:lang w:val="zh-CN"/>
          </w:rPr>
          <w:t>15</w:t>
        </w:r>
        <w:r>
          <w:fldChar w:fldCharType="end"/>
        </w:r>
      </w:p>
    </w:sdtContent>
  </w:sdt>
  <w:p>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sdt>
                          <w:sdtPr>
                            <w:id w:val="-1994781956"/>
                          </w:sdtPr>
                          <w:sdtContent>
                            <w:p>
                              <w:pPr>
                                <w:pStyle w:val="13"/>
                                <w:jc w:val="center"/>
                              </w:pPr>
                              <w:r>
                                <w:fldChar w:fldCharType="begin"/>
                              </w:r>
                              <w:r>
                                <w:instrText xml:space="preserve">PAGE   \* MERGEFORMAT</w:instrText>
                              </w:r>
                              <w:r>
                                <w:fldChar w:fldCharType="separate"/>
                              </w:r>
                              <w:r>
                                <w:rPr>
                                  <w:lang w:val="zh-CN"/>
                                </w:rPr>
                                <w:t>15</w:t>
                              </w:r>
                              <w:r>
                                <w:fldChar w:fldCharType="end"/>
                              </w:r>
                            </w:p>
                          </w:sdtContent>
                        </w:sdt>
                        <w:p>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">
              <v:fill on="f" focussize="0,0"/>
              <v:stroke on="f" weight="0.5pt"/>
              <v:imagedata o:title=""/>
              <o:lock v:ext="edit" aspectratio="f"/>
              <v:textbox inset="0mm,0mm,0mm,0mm" style="mso-fit-shape-to-text:t;">
                <w:txbxContent>
                  <w:sdt>
                    <w:sdtPr>
                      <w:id w:val="-1994781956"/>
                    </w:sdtPr>
                    <w:sdtContent>
                      <w:p>
                        <w:pPr>
                          <w:pStyle w:val="13"/>
                          <w:jc w:val="center"/>
                        </w:pPr>
                        <w:r>
                          <w:fldChar w:fldCharType="begin"/>
                        </w:r>
                        <w:r>
                          <w:instrText xml:space="preserve">PAGE   \* MERGEFORMAT</w:instrText>
                        </w:r>
                        <w:r>
                          <w:fldChar w:fldCharType="separate"/>
                        </w:r>
                        <w:r>
                          <w:rPr>
                            <w:lang w:val="zh-CN"/>
                          </w:rPr>
                          <w:t>15</w:t>
                        </w:r>
                        <w:r>
                          <w:fldChar w:fldCharType="end"/>
                        </w:r>
                      </w:p>
                    </w:sdtContent>
                  </w:sdt>
                  <w:p>
                    <w:pPr>
                      <w:pStyle w:val="2"/>
                    </w:pPr>
                  </w:p>
                </w:txbxContent>
              </v:textbox>
            </v:shape>
          </w:pict>
        </mc:Fallback>
      </mc:AlternateContent>
    </w:r>
  </w:p>
  <w:p>
    <w:pPr>
      <w:pStyle w:val="1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729503144">
    <w:nsid w:val="67161FA8"/>
    <w:multiLevelType w:val="singleLevel"/>
    <w:tmpl w:val="67161FA8"/>
    <w:lvl w:ilvl="0" w:tentative="1">
      <w:start w:val="1"/>
      <w:numFmt w:val="chineseCounting"/>
      <w:suff w:val="nothing"/>
      <w:lvlText w:val="%1、"/>
      <w:lvlJc w:val="left"/>
    </w:lvl>
  </w:abstractNum>
  <w:abstractNum w:abstractNumId="1729503156">
    <w:nsid w:val="67161FB4"/>
    <w:multiLevelType w:val="singleLevel"/>
    <w:tmpl w:val="67161FB4"/>
    <w:lvl w:ilvl="0" w:tentative="1">
      <w:start w:val="2"/>
      <w:numFmt w:val="chineseCounting"/>
      <w:suff w:val="nothing"/>
      <w:lvlText w:val="%1、"/>
      <w:lvlJc w:val="left"/>
    </w:lvl>
  </w:abstractNum>
  <w:abstractNum w:abstractNumId="3479514348">
    <w:nsid w:val="CF652CEC"/>
    <w:multiLevelType w:val="singleLevel"/>
    <w:tmpl w:val="CF652CEC"/>
    <w:lvl w:ilvl="0" w:tentative="1">
      <w:start w:val="9"/>
      <w:numFmt w:val="chineseCounting"/>
      <w:suff w:val="nothing"/>
      <w:lvlText w:val="%1、"/>
      <w:lvlJc w:val="left"/>
      <w:rPr>
        <w:rFonts w:hint="eastAsia"/>
      </w:rPr>
    </w:lvl>
  </w:abstractNum>
  <w:abstractNum w:abstractNumId="3808035965">
    <w:nsid w:val="E2FA047D"/>
    <w:multiLevelType w:val="singleLevel"/>
    <w:tmpl w:val="E2FA047D"/>
    <w:lvl w:ilvl="0" w:tentative="1">
      <w:start w:val="3"/>
      <w:numFmt w:val="chineseCounting"/>
      <w:suff w:val="space"/>
      <w:lvlText w:val="第%1部分"/>
      <w:lvlJc w:val="left"/>
      <w:rPr>
        <w:rFonts w:hint="eastAsia" w:ascii="黑体" w:hAnsi="黑体" w:eastAsia="黑体" w:cs="黑体"/>
        <w:sz w:val="44"/>
        <w:szCs w:val="44"/>
      </w:rPr>
    </w:lvl>
  </w:abstractNum>
  <w:abstractNum w:abstractNumId="309482763">
    <w:nsid w:val="1272550B"/>
    <w:multiLevelType w:val="multilevel"/>
    <w:tmpl w:val="1272550B"/>
    <w:lvl w:ilvl="0" w:tentative="1">
      <w:start w:val="1"/>
      <w:numFmt w:val="japaneseCounting"/>
      <w:lvlText w:val="%1、"/>
      <w:lvlJc w:val="left"/>
      <w:pPr>
        <w:ind w:left="1360" w:hanging="720"/>
      </w:pPr>
      <w:rPr>
        <w:rFonts w:hint="default"/>
        <w:b w:val="0"/>
      </w:rPr>
    </w:lvl>
    <w:lvl w:ilvl="1" w:tentative="1">
      <w:start w:val="1"/>
      <w:numFmt w:val="lowerLetter"/>
      <w:lvlText w:val="%2)"/>
      <w:lvlJc w:val="left"/>
      <w:pPr>
        <w:ind w:left="1480" w:hanging="420"/>
      </w:pPr>
    </w:lvl>
    <w:lvl w:ilvl="2" w:tentative="1">
      <w:start w:val="1"/>
      <w:numFmt w:val="lowerRoman"/>
      <w:lvlText w:val="%3."/>
      <w:lvlJc w:val="right"/>
      <w:pPr>
        <w:ind w:left="1900" w:hanging="420"/>
      </w:pPr>
    </w:lvl>
    <w:lvl w:ilvl="3" w:tentative="1">
      <w:start w:val="1"/>
      <w:numFmt w:val="decimal"/>
      <w:lvlText w:val="%4."/>
      <w:lvlJc w:val="left"/>
      <w:pPr>
        <w:ind w:left="2320" w:hanging="420"/>
      </w:pPr>
    </w:lvl>
    <w:lvl w:ilvl="4" w:tentative="1">
      <w:start w:val="1"/>
      <w:numFmt w:val="lowerLetter"/>
      <w:lvlText w:val="%5)"/>
      <w:lvlJc w:val="left"/>
      <w:pPr>
        <w:ind w:left="2740" w:hanging="420"/>
      </w:pPr>
    </w:lvl>
    <w:lvl w:ilvl="5" w:tentative="1">
      <w:start w:val="1"/>
      <w:numFmt w:val="lowerRoman"/>
      <w:lvlText w:val="%6."/>
      <w:lvlJc w:val="right"/>
      <w:pPr>
        <w:ind w:left="3160" w:hanging="420"/>
      </w:pPr>
    </w:lvl>
    <w:lvl w:ilvl="6" w:tentative="1">
      <w:start w:val="1"/>
      <w:numFmt w:val="decimal"/>
      <w:lvlText w:val="%7."/>
      <w:lvlJc w:val="left"/>
      <w:pPr>
        <w:ind w:left="3580" w:hanging="420"/>
      </w:pPr>
    </w:lvl>
    <w:lvl w:ilvl="7" w:tentative="1">
      <w:start w:val="1"/>
      <w:numFmt w:val="lowerLetter"/>
      <w:lvlText w:val="%8)"/>
      <w:lvlJc w:val="left"/>
      <w:pPr>
        <w:ind w:left="4000" w:hanging="420"/>
      </w:pPr>
    </w:lvl>
    <w:lvl w:ilvl="8" w:tentative="1">
      <w:start w:val="1"/>
      <w:numFmt w:val="lowerRoman"/>
      <w:lvlText w:val="%9."/>
      <w:lvlJc w:val="right"/>
      <w:pPr>
        <w:ind w:left="4420" w:hanging="420"/>
      </w:pPr>
    </w:lvl>
  </w:abstractNum>
  <w:abstractNum w:abstractNumId="941138074">
    <w:nsid w:val="3818A09A"/>
    <w:multiLevelType w:val="singleLevel"/>
    <w:tmpl w:val="3818A09A"/>
    <w:lvl w:ilvl="0" w:tentative="1">
      <w:start w:val="1"/>
      <w:numFmt w:val="chineseCounting"/>
      <w:suff w:val="nothing"/>
      <w:lvlText w:val="%1、"/>
      <w:lvlJc w:val="left"/>
      <w:rPr>
        <w:rFonts w:hint="eastAsia"/>
      </w:rPr>
    </w:lvl>
  </w:abstractNum>
  <w:num w:numId="1">
    <w:abstractNumId w:val="941138074"/>
  </w:num>
  <w:num w:numId="2">
    <w:abstractNumId w:val="309482763"/>
  </w:num>
  <w:num w:numId="3">
    <w:abstractNumId w:val="3479514348"/>
  </w:num>
  <w:num w:numId="4">
    <w:abstractNumId w:val="3808035965"/>
  </w:num>
  <w:num w:numId="5">
    <w:abstractNumId w:val="1729503144"/>
  </w:num>
  <w:num w:numId="6">
    <w:abstractNumId w:val="172950315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A1DAD"/>
    <w:rsid w:val="001C0962"/>
    <w:rsid w:val="001D7531"/>
    <w:rsid w:val="001E737D"/>
    <w:rsid w:val="001F0592"/>
    <w:rsid w:val="001F7506"/>
    <w:rsid w:val="002006CD"/>
    <w:rsid w:val="00202B36"/>
    <w:rsid w:val="00204B7A"/>
    <w:rsid w:val="00204CDE"/>
    <w:rsid w:val="00206907"/>
    <w:rsid w:val="0021101A"/>
    <w:rsid w:val="00212B4A"/>
    <w:rsid w:val="00220536"/>
    <w:rsid w:val="00235629"/>
    <w:rsid w:val="00260C38"/>
    <w:rsid w:val="002616C0"/>
    <w:rsid w:val="00265372"/>
    <w:rsid w:val="002662AA"/>
    <w:rsid w:val="00280496"/>
    <w:rsid w:val="00294DC9"/>
    <w:rsid w:val="00295495"/>
    <w:rsid w:val="002A31DE"/>
    <w:rsid w:val="002B2613"/>
    <w:rsid w:val="002C5004"/>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25C50"/>
    <w:rsid w:val="0043177C"/>
    <w:rsid w:val="00434489"/>
    <w:rsid w:val="00437085"/>
    <w:rsid w:val="00443880"/>
    <w:rsid w:val="004464F4"/>
    <w:rsid w:val="0046049C"/>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533CF"/>
    <w:rsid w:val="005664BB"/>
    <w:rsid w:val="00566FFA"/>
    <w:rsid w:val="0057481D"/>
    <w:rsid w:val="0058486E"/>
    <w:rsid w:val="00585B33"/>
    <w:rsid w:val="0059014D"/>
    <w:rsid w:val="005B5C64"/>
    <w:rsid w:val="005B6E8A"/>
    <w:rsid w:val="005C5337"/>
    <w:rsid w:val="005C6BD0"/>
    <w:rsid w:val="005D1C8B"/>
    <w:rsid w:val="005D468D"/>
    <w:rsid w:val="005D5CED"/>
    <w:rsid w:val="005F10BC"/>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55FC5"/>
    <w:rsid w:val="0066343B"/>
    <w:rsid w:val="00664777"/>
    <w:rsid w:val="006748A4"/>
    <w:rsid w:val="00681A31"/>
    <w:rsid w:val="00683E73"/>
    <w:rsid w:val="006A3141"/>
    <w:rsid w:val="006A5E34"/>
    <w:rsid w:val="006B2422"/>
    <w:rsid w:val="006B2B9A"/>
    <w:rsid w:val="006C1937"/>
    <w:rsid w:val="006F020C"/>
    <w:rsid w:val="0071021A"/>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10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C7FD8"/>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1E6F"/>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3DC2831"/>
    <w:rsid w:val="081B5E94"/>
    <w:rsid w:val="0A2032A3"/>
    <w:rsid w:val="0B0A2A4C"/>
    <w:rsid w:val="0B8A37D8"/>
    <w:rsid w:val="0CB20A6F"/>
    <w:rsid w:val="0D5740F4"/>
    <w:rsid w:val="0F5FFB2F"/>
    <w:rsid w:val="0FFFCF60"/>
    <w:rsid w:val="10C055FF"/>
    <w:rsid w:val="118107EC"/>
    <w:rsid w:val="11DD6519"/>
    <w:rsid w:val="16BB723D"/>
    <w:rsid w:val="18015F3F"/>
    <w:rsid w:val="1853693D"/>
    <w:rsid w:val="1BE8440E"/>
    <w:rsid w:val="1D155CEE"/>
    <w:rsid w:val="1FDBBF84"/>
    <w:rsid w:val="20F57F95"/>
    <w:rsid w:val="240371BF"/>
    <w:rsid w:val="25711CC6"/>
    <w:rsid w:val="25C741E6"/>
    <w:rsid w:val="276F80C0"/>
    <w:rsid w:val="27842671"/>
    <w:rsid w:val="27E3391A"/>
    <w:rsid w:val="29FD04D3"/>
    <w:rsid w:val="2ABE7A3E"/>
    <w:rsid w:val="2AFF09B6"/>
    <w:rsid w:val="2CA234A8"/>
    <w:rsid w:val="2EFA178C"/>
    <w:rsid w:val="2EFDF86C"/>
    <w:rsid w:val="2F0D734D"/>
    <w:rsid w:val="2F9D17E1"/>
    <w:rsid w:val="30B46D73"/>
    <w:rsid w:val="319F7F4E"/>
    <w:rsid w:val="356A28F1"/>
    <w:rsid w:val="357C035A"/>
    <w:rsid w:val="368E000D"/>
    <w:rsid w:val="383D272C"/>
    <w:rsid w:val="38C70533"/>
    <w:rsid w:val="39AE70AB"/>
    <w:rsid w:val="3A4DCE41"/>
    <w:rsid w:val="3BCB56FA"/>
    <w:rsid w:val="3C0C0783"/>
    <w:rsid w:val="3EE7C2F4"/>
    <w:rsid w:val="3F371B56"/>
    <w:rsid w:val="3F792ED8"/>
    <w:rsid w:val="3F9F3A96"/>
    <w:rsid w:val="3FECA4B2"/>
    <w:rsid w:val="3FF58C48"/>
    <w:rsid w:val="42FF6694"/>
    <w:rsid w:val="48BF60AB"/>
    <w:rsid w:val="493C27E9"/>
    <w:rsid w:val="496F39ED"/>
    <w:rsid w:val="49FF41D3"/>
    <w:rsid w:val="4BE068DB"/>
    <w:rsid w:val="4BF6002B"/>
    <w:rsid w:val="4BFFC6BE"/>
    <w:rsid w:val="4ECE2238"/>
    <w:rsid w:val="51DB4B86"/>
    <w:rsid w:val="51F64DB0"/>
    <w:rsid w:val="55333C3E"/>
    <w:rsid w:val="5F67802D"/>
    <w:rsid w:val="5F7DC4F2"/>
    <w:rsid w:val="5FB36814"/>
    <w:rsid w:val="5FBB8E56"/>
    <w:rsid w:val="5FFB5535"/>
    <w:rsid w:val="64CA39A1"/>
    <w:rsid w:val="69630ADE"/>
    <w:rsid w:val="69BD5F13"/>
    <w:rsid w:val="69FB0B4B"/>
    <w:rsid w:val="6BFFE1FB"/>
    <w:rsid w:val="6C4A05C8"/>
    <w:rsid w:val="6D3B1A89"/>
    <w:rsid w:val="6DB7D8A3"/>
    <w:rsid w:val="6EC78701"/>
    <w:rsid w:val="6F7A5481"/>
    <w:rsid w:val="6FFE07A9"/>
    <w:rsid w:val="71BF4EC2"/>
    <w:rsid w:val="72734D90"/>
    <w:rsid w:val="73E75B71"/>
    <w:rsid w:val="7412278C"/>
    <w:rsid w:val="75DDCDA9"/>
    <w:rsid w:val="75FF44B1"/>
    <w:rsid w:val="77670518"/>
    <w:rsid w:val="777FA627"/>
    <w:rsid w:val="77DF1B5F"/>
    <w:rsid w:val="77EF2D9D"/>
    <w:rsid w:val="79E7B28D"/>
    <w:rsid w:val="7ACFF0C2"/>
    <w:rsid w:val="7AFB9108"/>
    <w:rsid w:val="7BD5340C"/>
    <w:rsid w:val="7BFB19D2"/>
    <w:rsid w:val="7BFD1750"/>
    <w:rsid w:val="7BFDAA1B"/>
    <w:rsid w:val="7CDF9A82"/>
    <w:rsid w:val="7CFFA1BD"/>
    <w:rsid w:val="7D2E3F7A"/>
    <w:rsid w:val="7DED9490"/>
    <w:rsid w:val="7DFF4872"/>
    <w:rsid w:val="7E7487E6"/>
    <w:rsid w:val="7E7C2A54"/>
    <w:rsid w:val="7EEEFD72"/>
    <w:rsid w:val="7F1D517C"/>
    <w:rsid w:val="7F5DA057"/>
    <w:rsid w:val="7F6C2237"/>
    <w:rsid w:val="7F7F319B"/>
    <w:rsid w:val="7F9F20EE"/>
    <w:rsid w:val="7FBBE890"/>
    <w:rsid w:val="7FBC2ABD"/>
    <w:rsid w:val="7FBF5D48"/>
    <w:rsid w:val="7FCCFC01"/>
    <w:rsid w:val="7FDD1748"/>
    <w:rsid w:val="7FE769C6"/>
    <w:rsid w:val="7FFD083E"/>
    <w:rsid w:val="7FFF9372"/>
    <w:rsid w:val="84BF1F3B"/>
    <w:rsid w:val="8F55B106"/>
    <w:rsid w:val="95DF317D"/>
    <w:rsid w:val="97E77C70"/>
    <w:rsid w:val="9E3A10E2"/>
    <w:rsid w:val="9FB91FBD"/>
    <w:rsid w:val="9FD54998"/>
    <w:rsid w:val="A671883B"/>
    <w:rsid w:val="A7EFD17F"/>
    <w:rsid w:val="A7FFE43F"/>
    <w:rsid w:val="BDFEA317"/>
    <w:rsid w:val="CD9BBABB"/>
    <w:rsid w:val="CF99F292"/>
    <w:rsid w:val="D5DA60B3"/>
    <w:rsid w:val="D7C6F579"/>
    <w:rsid w:val="D8FECA92"/>
    <w:rsid w:val="DAFFBE66"/>
    <w:rsid w:val="DD2C0BFE"/>
    <w:rsid w:val="DE3F332B"/>
    <w:rsid w:val="DE6F4A3D"/>
    <w:rsid w:val="DF69F8B0"/>
    <w:rsid w:val="DFC71555"/>
    <w:rsid w:val="DFFC559C"/>
    <w:rsid w:val="DFFEDFAE"/>
    <w:rsid w:val="DFFFB5EB"/>
    <w:rsid w:val="E4B33E57"/>
    <w:rsid w:val="E5BF946A"/>
    <w:rsid w:val="EB39BD45"/>
    <w:rsid w:val="EBCF1FC2"/>
    <w:rsid w:val="EBD18F66"/>
    <w:rsid w:val="ED17392C"/>
    <w:rsid w:val="ED9FFD9A"/>
    <w:rsid w:val="EDB7968B"/>
    <w:rsid w:val="EEF73F60"/>
    <w:rsid w:val="EFED9E42"/>
    <w:rsid w:val="EFFFB194"/>
    <w:rsid w:val="F2E1F9D4"/>
    <w:rsid w:val="F5FF7449"/>
    <w:rsid w:val="F7880819"/>
    <w:rsid w:val="F7AF180D"/>
    <w:rsid w:val="F7BDBFA7"/>
    <w:rsid w:val="F7FAD68F"/>
    <w:rsid w:val="F7FB14CF"/>
    <w:rsid w:val="FB3FC69C"/>
    <w:rsid w:val="FBDFF225"/>
    <w:rsid w:val="FBF7AB63"/>
    <w:rsid w:val="FC2F3373"/>
    <w:rsid w:val="FCF51535"/>
    <w:rsid w:val="FD77F6B8"/>
    <w:rsid w:val="FDD69328"/>
    <w:rsid w:val="FDDFEC0E"/>
    <w:rsid w:val="FDE58BDD"/>
    <w:rsid w:val="FDEC7001"/>
    <w:rsid w:val="FEDFE87F"/>
    <w:rsid w:val="FEF1D25B"/>
    <w:rsid w:val="FF3EF90F"/>
    <w:rsid w:val="FFAF6081"/>
    <w:rsid w:val="FFECCD8C"/>
    <w:rsid w:val="FFED60BD"/>
    <w:rsid w:val="FFEE08F0"/>
    <w:rsid w:val="FFEE7F9F"/>
    <w:rsid w:val="FFFF3197"/>
  </w:rsids>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3"/>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4"/>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7"/>
    <w:unhideWhenUsed/>
    <w:qFormat/>
    <w:uiPriority w:val="9"/>
    <w:pPr>
      <w:keepNext/>
      <w:keepLines/>
      <w:spacing w:before="260" w:after="260" w:line="416" w:lineRule="auto"/>
      <w:outlineLvl w:val="2"/>
    </w:pPr>
    <w:rPr>
      <w:b/>
      <w:bCs/>
      <w:sz w:val="32"/>
      <w:szCs w:val="32"/>
    </w:rPr>
  </w:style>
  <w:style w:type="character" w:default="1" w:styleId="21">
    <w:name w:val="Default Paragraph Font"/>
    <w:unhideWhenUsed/>
    <w:uiPriority w:val="1"/>
  </w:style>
  <w:style w:type="table" w:default="1" w:styleId="24">
    <w:name w:val="Normal Table"/>
    <w:unhideWhenUsed/>
    <w:uiPriority w:val="99"/>
    <w:tblPr>
      <w:tblLayout w:type="fixed"/>
      <w:tblCellMar>
        <w:top w:w="0" w:type="dxa"/>
        <w:left w:w="108" w:type="dxa"/>
        <w:bottom w:w="0" w:type="dxa"/>
        <w:right w:w="108" w:type="dxa"/>
      </w:tblCellMar>
    </w:tblPr>
  </w:style>
  <w:style w:type="paragraph" w:customStyle="1" w:styleId="2">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styleId="6">
    <w:name w:val="toc 7"/>
    <w:basedOn w:val="1"/>
    <w:next w:val="1"/>
    <w:unhideWhenUsed/>
    <w:uiPriority w:val="39"/>
    <w:pPr>
      <w:ind w:left="2520" w:leftChars="1200"/>
    </w:pPr>
  </w:style>
  <w:style w:type="paragraph" w:styleId="7">
    <w:name w:val="Body Text"/>
    <w:basedOn w:val="1"/>
    <w:link w:val="30"/>
    <w:qFormat/>
    <w:uiPriority w:val="99"/>
    <w:pPr>
      <w:spacing w:beforeLines="30"/>
    </w:pPr>
    <w:rPr>
      <w:rFonts w:ascii="仿宋_GB2312" w:eastAsia="仿宋_GB2312"/>
      <w:kern w:val="0"/>
      <w:sz w:val="30"/>
    </w:rPr>
  </w:style>
  <w:style w:type="paragraph" w:styleId="8">
    <w:name w:val="Body Text Indent"/>
    <w:basedOn w:val="1"/>
    <w:qFormat/>
    <w:uiPriority w:val="0"/>
    <w:pPr>
      <w:spacing w:after="120"/>
      <w:ind w:left="200" w:leftChars="200"/>
    </w:pPr>
    <w:rPr>
      <w:rFonts w:ascii="仿宋_GB2312"/>
      <w:szCs w:val="32"/>
    </w:rPr>
  </w:style>
  <w:style w:type="paragraph" w:styleId="9">
    <w:name w:val="toc 5"/>
    <w:basedOn w:val="1"/>
    <w:next w:val="1"/>
    <w:unhideWhenUsed/>
    <w:uiPriority w:val="39"/>
    <w:pPr>
      <w:ind w:left="1680" w:leftChars="800"/>
    </w:pPr>
  </w:style>
  <w:style w:type="paragraph" w:styleId="10">
    <w:name w:val="toc 3"/>
    <w:basedOn w:val="1"/>
    <w:next w:val="1"/>
    <w:unhideWhenUsed/>
    <w:qFormat/>
    <w:uiPriority w:val="39"/>
    <w:pPr>
      <w:ind w:left="840" w:leftChars="400"/>
    </w:pPr>
  </w:style>
  <w:style w:type="paragraph" w:styleId="11">
    <w:name w:val="toc 8"/>
    <w:basedOn w:val="1"/>
    <w:next w:val="1"/>
    <w:unhideWhenUsed/>
    <w:uiPriority w:val="39"/>
    <w:pPr>
      <w:ind w:left="2940" w:leftChars="1400"/>
    </w:pPr>
  </w:style>
  <w:style w:type="paragraph" w:styleId="12">
    <w:name w:val="Balloon Text"/>
    <w:basedOn w:val="1"/>
    <w:link w:val="36"/>
    <w:unhideWhenUsed/>
    <w:qFormat/>
    <w:uiPriority w:val="99"/>
    <w:rPr>
      <w:sz w:val="18"/>
      <w:szCs w:val="18"/>
    </w:rPr>
  </w:style>
  <w:style w:type="paragraph" w:styleId="13">
    <w:name w:val="footer"/>
    <w:basedOn w:val="1"/>
    <w:link w:val="28"/>
    <w:qFormat/>
    <w:uiPriority w:val="99"/>
    <w:pPr>
      <w:tabs>
        <w:tab w:val="center" w:pos="4153"/>
        <w:tab w:val="right" w:pos="8306"/>
      </w:tabs>
      <w:snapToGrid w:val="0"/>
      <w:jc w:val="left"/>
    </w:pPr>
    <w:rPr>
      <w:rFonts w:ascii="Calibri" w:hAnsi="Calibri"/>
      <w:kern w:val="0"/>
      <w:sz w:val="18"/>
      <w:szCs w:val="18"/>
    </w:rPr>
  </w:style>
  <w:style w:type="paragraph" w:styleId="14">
    <w:name w:val="Body Text First Indent 2"/>
    <w:basedOn w:val="8"/>
    <w:unhideWhenUsed/>
    <w:qFormat/>
    <w:uiPriority w:val="99"/>
    <w:pPr>
      <w:ind w:firstLine="420" w:firstLineChars="200"/>
    </w:pPr>
  </w:style>
  <w:style w:type="paragraph" w:styleId="15">
    <w:name w:val="header"/>
    <w:basedOn w:val="1"/>
    <w:link w:val="26"/>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6">
    <w:name w:val="toc 1"/>
    <w:basedOn w:val="1"/>
    <w:next w:val="1"/>
    <w:unhideWhenUsed/>
    <w:qFormat/>
    <w:uiPriority w:val="39"/>
  </w:style>
  <w:style w:type="paragraph" w:styleId="17">
    <w:name w:val="toc 4"/>
    <w:basedOn w:val="1"/>
    <w:next w:val="1"/>
    <w:unhideWhenUsed/>
    <w:uiPriority w:val="39"/>
    <w:pPr>
      <w:ind w:left="1260" w:leftChars="600"/>
    </w:pPr>
  </w:style>
  <w:style w:type="paragraph" w:styleId="18">
    <w:name w:val="toc 6"/>
    <w:basedOn w:val="1"/>
    <w:next w:val="1"/>
    <w:unhideWhenUsed/>
    <w:uiPriority w:val="39"/>
    <w:pPr>
      <w:ind w:left="2100" w:leftChars="1000"/>
    </w:pPr>
  </w:style>
  <w:style w:type="paragraph" w:styleId="19">
    <w:name w:val="toc 2"/>
    <w:basedOn w:val="1"/>
    <w:next w:val="1"/>
    <w:unhideWhenUsed/>
    <w:qFormat/>
    <w:uiPriority w:val="39"/>
    <w:pPr>
      <w:ind w:left="420" w:leftChars="200"/>
    </w:pPr>
  </w:style>
  <w:style w:type="paragraph" w:styleId="20">
    <w:name w:val="toc 9"/>
    <w:basedOn w:val="1"/>
    <w:next w:val="1"/>
    <w:unhideWhenUsed/>
    <w:uiPriority w:val="39"/>
    <w:pPr>
      <w:ind w:left="3360" w:leftChars="1600"/>
    </w:pPr>
  </w:style>
  <w:style w:type="character" w:styleId="22">
    <w:name w:val="Strong"/>
    <w:basedOn w:val="21"/>
    <w:qFormat/>
    <w:uiPriority w:val="99"/>
    <w:rPr>
      <w:b/>
    </w:rPr>
  </w:style>
  <w:style w:type="character" w:styleId="23">
    <w:name w:val="Hyperlink"/>
    <w:basedOn w:val="21"/>
    <w:unhideWhenUsed/>
    <w:qFormat/>
    <w:uiPriority w:val="99"/>
    <w:rPr>
      <w:color w:val="0000FF" w:themeColor="hyperlink"/>
      <w:u w:val="single"/>
      <w14:textFill>
        <w14:solidFill>
          <w14:schemeClr w14:val="hlink"/>
        </w14:solidFill>
      </w14:textFill>
    </w:rPr>
  </w:style>
  <w:style w:type="character" w:customStyle="1" w:styleId="25">
    <w:name w:val="Header Char"/>
    <w:basedOn w:val="21"/>
    <w:semiHidden/>
    <w:qFormat/>
    <w:uiPriority w:val="99"/>
    <w:rPr>
      <w:rFonts w:ascii="Times New Roman" w:hAnsi="Times New Roman"/>
      <w:sz w:val="18"/>
      <w:szCs w:val="18"/>
    </w:rPr>
  </w:style>
  <w:style w:type="character" w:customStyle="1" w:styleId="26">
    <w:name w:val="页眉 字符"/>
    <w:link w:val="15"/>
    <w:semiHidden/>
    <w:qFormat/>
    <w:locked/>
    <w:uiPriority w:val="99"/>
    <w:rPr>
      <w:sz w:val="18"/>
    </w:rPr>
  </w:style>
  <w:style w:type="character" w:customStyle="1" w:styleId="27">
    <w:name w:val="Footer Char"/>
    <w:basedOn w:val="21"/>
    <w:semiHidden/>
    <w:qFormat/>
    <w:uiPriority w:val="99"/>
    <w:rPr>
      <w:rFonts w:ascii="Times New Roman" w:hAnsi="Times New Roman"/>
      <w:sz w:val="18"/>
      <w:szCs w:val="18"/>
    </w:rPr>
  </w:style>
  <w:style w:type="character" w:customStyle="1" w:styleId="28">
    <w:name w:val="页脚 字符"/>
    <w:link w:val="13"/>
    <w:qFormat/>
    <w:locked/>
    <w:uiPriority w:val="99"/>
    <w:rPr>
      <w:sz w:val="18"/>
    </w:rPr>
  </w:style>
  <w:style w:type="character" w:customStyle="1" w:styleId="29">
    <w:name w:val="Body Text Char"/>
    <w:basedOn w:val="21"/>
    <w:semiHidden/>
    <w:qFormat/>
    <w:uiPriority w:val="99"/>
    <w:rPr>
      <w:rFonts w:ascii="Times New Roman" w:hAnsi="Times New Roman"/>
      <w:szCs w:val="24"/>
    </w:rPr>
  </w:style>
  <w:style w:type="character" w:customStyle="1" w:styleId="30">
    <w:name w:val="正文文本 字符"/>
    <w:link w:val="7"/>
    <w:qFormat/>
    <w:locked/>
    <w:uiPriority w:val="99"/>
    <w:rPr>
      <w:rFonts w:ascii="仿宋_GB2312" w:hAnsi="Times New Roman" w:eastAsia="仿宋_GB2312"/>
      <w:sz w:val="24"/>
    </w:rPr>
  </w:style>
  <w:style w:type="paragraph" w:customStyle="1" w:styleId="31">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2">
    <w:name w:val="List Paragraph"/>
    <w:basedOn w:val="1"/>
    <w:qFormat/>
    <w:uiPriority w:val="34"/>
    <w:pPr>
      <w:ind w:firstLine="420" w:firstLineChars="200"/>
    </w:pPr>
  </w:style>
  <w:style w:type="character" w:customStyle="1" w:styleId="33">
    <w:name w:val="标题 1 字符"/>
    <w:basedOn w:val="21"/>
    <w:link w:val="3"/>
    <w:qFormat/>
    <w:uiPriority w:val="9"/>
    <w:rPr>
      <w:rFonts w:ascii="Times New Roman" w:hAnsi="Times New Roman"/>
      <w:b/>
      <w:bCs/>
      <w:kern w:val="44"/>
      <w:sz w:val="44"/>
      <w:szCs w:val="44"/>
    </w:rPr>
  </w:style>
  <w:style w:type="character" w:customStyle="1" w:styleId="34">
    <w:name w:val="标题 2 字符"/>
    <w:basedOn w:val="21"/>
    <w:link w:val="4"/>
    <w:qFormat/>
    <w:uiPriority w:val="9"/>
    <w:rPr>
      <w:rFonts w:asciiTheme="majorHAnsi" w:hAnsiTheme="majorHAnsi" w:eastAsiaTheme="majorEastAsia" w:cstheme="majorBidi"/>
      <w:b/>
      <w:bCs/>
      <w:kern w:val="2"/>
      <w:sz w:val="32"/>
      <w:szCs w:val="32"/>
    </w:rPr>
  </w:style>
  <w:style w:type="paragraph" w:customStyle="1" w:styleId="35">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6">
    <w:name w:val="批注框文本 字符"/>
    <w:basedOn w:val="21"/>
    <w:link w:val="12"/>
    <w:semiHidden/>
    <w:qFormat/>
    <w:uiPriority w:val="99"/>
    <w:rPr>
      <w:rFonts w:ascii="Times New Roman" w:hAnsi="Times New Roman"/>
      <w:kern w:val="2"/>
      <w:sz w:val="18"/>
      <w:szCs w:val="18"/>
    </w:rPr>
  </w:style>
  <w:style w:type="character" w:customStyle="1" w:styleId="37">
    <w:name w:val="标题 3 字符"/>
    <w:basedOn w:val="21"/>
    <w:link w:val="5"/>
    <w:qFormat/>
    <w:uiPriority w:val="9"/>
    <w:rPr>
      <w:rFonts w:ascii="Times New Roman" w:hAnsi="Times New Roman"/>
      <w:b/>
      <w:bCs/>
      <w:kern w:val="2"/>
      <w:sz w:val="32"/>
      <w:szCs w:val="32"/>
    </w:rPr>
  </w:style>
  <w:style w:type="paragraph" w:customStyle="1" w:styleId="38">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9">
    <w:name w:val="普通(网站) Char"/>
    <w:basedOn w:val="1"/>
    <w:hidden/>
    <w:qFormat/>
    <w:uiPriority w:val="0"/>
    <w:pPr>
      <w:keepNext w:val="0"/>
      <w:keepLines w:val="0"/>
      <w:widowControl/>
      <w:suppressLineNumbers w:val="0"/>
      <w:spacing w:before="0" w:beforeAutospacing="1" w:after="0" w:afterAutospacing="1"/>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13.emf"/><Relationship Id="rId23" Type="http://schemas.openxmlformats.org/officeDocument/2006/relationships/image" Target="media/image12.emf"/><Relationship Id="rId22" Type="http://schemas.openxmlformats.org/officeDocument/2006/relationships/image" Target="media/image11.emf"/><Relationship Id="rId21" Type="http://schemas.openxmlformats.org/officeDocument/2006/relationships/image" Target="media/image10.emf"/><Relationship Id="rId20" Type="http://schemas.openxmlformats.org/officeDocument/2006/relationships/image" Target="media/image9.emf"/><Relationship Id="rId2" Type="http://schemas.openxmlformats.org/officeDocument/2006/relationships/settings" Target="settings.xml"/><Relationship Id="rId19" Type="http://schemas.openxmlformats.org/officeDocument/2006/relationships/image" Target="media/image8.emf"/><Relationship Id="rId18" Type="http://schemas.openxmlformats.org/officeDocument/2006/relationships/image" Target="media/image7.emf"/><Relationship Id="rId17" Type="http://schemas.openxmlformats.org/officeDocument/2006/relationships/image" Target="media/image6.emf"/><Relationship Id="rId16" Type="http://schemas.openxmlformats.org/officeDocument/2006/relationships/image" Target="media/image5.emf"/><Relationship Id="rId15" Type="http://schemas.openxmlformats.org/officeDocument/2006/relationships/image" Target="media/image4.emf"/><Relationship Id="rId14" Type="http://schemas.openxmlformats.org/officeDocument/2006/relationships/image" Target="media/image3.emf"/><Relationship Id="rId13" Type="http://schemas.openxmlformats.org/officeDocument/2006/relationships/image" Target="media/image2.emf"/><Relationship Id="rId12" Type="http://schemas.openxmlformats.org/officeDocument/2006/relationships/image" Target="media/image1.emf"/><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19</Pages>
  <Words>1142</Words>
  <Characters>6514</Characters>
  <Lines>54</Lines>
  <Paragraphs>15</Paragraphs>
  <TotalTime>0</TotalTime>
  <ScaleCrop>false</ScaleCrop>
  <LinksUpToDate>false</LinksUpToDate>
  <CharactersWithSpaces>7641</CharactersWithSpaces>
  <Application>WPS Office_10.8.0.5562_F1E327BC-269C-435d-A152-05C5408002CA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2020-08-08T01:49:00Z</dcterms:created>
  <dc:creator>曹颖</dc:creator>
  <cp:lastModifiedBy>Administrator</cp:lastModifiedBy>
  <cp:lastPrinted>2023-08-03T02:35:00Z</cp:lastPrinted>
  <dcterms:modified xsi:type="dcterms:W3CDTF">2024-10-21T09:25:37Z</dcterms:modified>
  <dc:title>四川省***</dc:title>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2052-10.8.0.5562</vt:lpwstr>
  </property>
</Properties>
</file>