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3"/>
        <w:keepNext w:val="0"/>
        <w:keepLines w:val="0"/>
        <w:widowControl/>
        <w:suppressLineNumbers w:val="0"/>
        <w:spacing w:before="0" w:beforeAutospacing="0"/>
        <w:ind w:left="0"/>
        <w:jc w:val="center"/>
      </w:pPr>
      <w:r>
        <w:rPr>
          <w:sz w:val="42"/>
          <w:szCs w:val="42"/>
          <w:shd w:val="clear" w:fill="FFFFFF"/>
        </w:rPr>
        <w:t>2022年度</w:t>
      </w:r>
    </w:p>
    <w:p>
      <w:pPr>
        <w:pStyle w:val="13"/>
        <w:keepNext w:val="0"/>
        <w:keepLines w:val="0"/>
        <w:widowControl/>
        <w:suppressLineNumbers w:val="0"/>
        <w:spacing w:before="0" w:beforeAutospacing="0"/>
        <w:ind w:left="0"/>
        <w:jc w:val="center"/>
      </w:pPr>
      <w:r>
        <w:rPr>
          <w:sz w:val="42"/>
          <w:szCs w:val="42"/>
          <w:shd w:val="clear" w:fill="FFFFFF"/>
        </w:rPr>
        <w:t>四川省阿坝州九寨沟县玉瓦乡人民政府部门决算</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已经保密审查、内容审定，同意对外公开</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br w:type="textWrapping"/>
      </w:r>
      <w:r>
        <w:rPr>
          <w:shd w:val="clear" w:fill="FFFFFF"/>
        </w:rPr>
        <w:t>目录</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公开时间：2023年</w:t>
      </w:r>
      <w:r>
        <w:rPr>
          <w:rFonts w:hint="eastAsia"/>
          <w:shd w:val="clear" w:fill="FFFFFF"/>
          <w:lang w:val="en-US" w:eastAsia="zh-CN"/>
        </w:rPr>
        <w:t>9</w:t>
      </w:r>
      <w:r>
        <w:rPr>
          <w:shd w:val="clear" w:fill="FFFFFF"/>
        </w:rPr>
        <w:t>月2</w:t>
      </w:r>
      <w:r>
        <w:rPr>
          <w:rFonts w:hint="eastAsia"/>
          <w:shd w:val="clear" w:fill="FFFFFF"/>
          <w:lang w:val="en-US" w:eastAsia="zh-CN"/>
        </w:rPr>
        <w:t>8</w:t>
      </w:r>
      <w:r>
        <w:rPr>
          <w:shd w:val="clear" w:fill="FFFFFF"/>
        </w:rPr>
        <w:t>日</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第一部分 部门概况</w:t>
      </w:r>
    </w:p>
    <w:p>
      <w:pPr>
        <w:pStyle w:val="13"/>
        <w:keepNext w:val="0"/>
        <w:keepLines w:val="0"/>
        <w:widowControl/>
        <w:suppressLineNumbers w:val="0"/>
        <w:spacing w:before="0" w:beforeAutospacing="0"/>
        <w:ind w:left="420"/>
        <w:jc w:val="left"/>
        <w:rPr>
          <w:shd w:val="clear" w:fill="FFFFFF"/>
        </w:rPr>
      </w:pPr>
      <w:r>
        <w:rPr>
          <w:shd w:val="clear" w:fill="FFFFFF"/>
        </w:rPr>
        <w:t>一、基本职能及主要工作</w:t>
      </w:r>
    </w:p>
    <w:p>
      <w:pPr>
        <w:pStyle w:val="13"/>
        <w:keepNext w:val="0"/>
        <w:keepLines w:val="0"/>
        <w:widowControl/>
        <w:suppressLineNumbers w:val="0"/>
        <w:spacing w:before="0" w:beforeAutospacing="0"/>
        <w:ind w:left="420"/>
        <w:jc w:val="left"/>
        <w:rPr>
          <w:shd w:val="clear" w:fill="FFFFFF"/>
        </w:rPr>
      </w:pPr>
      <w:r>
        <w:rPr>
          <w:shd w:val="clear" w:fill="FFFFFF"/>
        </w:rPr>
        <w:t>二、机构设置</w:t>
      </w:r>
    </w:p>
    <w:p>
      <w:pPr>
        <w:pStyle w:val="13"/>
        <w:keepNext w:val="0"/>
        <w:keepLines w:val="0"/>
        <w:widowControl/>
        <w:suppressLineNumbers w:val="0"/>
        <w:spacing w:before="0" w:beforeAutospacing="0"/>
        <w:ind w:left="420"/>
        <w:jc w:val="left"/>
        <w:rPr>
          <w:b w:val="0"/>
          <w:bCs w:val="0"/>
          <w:i w:val="0"/>
          <w:iCs w:val="0"/>
          <w:shd w:val="clear" w:fill="FFFFFF"/>
        </w:rPr>
      </w:pPr>
    </w:p>
    <w:p>
      <w:pPr>
        <w:pStyle w:val="13"/>
        <w:keepNext w:val="0"/>
        <w:keepLines w:val="0"/>
        <w:widowControl/>
        <w:suppressLineNumbers w:val="0"/>
        <w:spacing w:before="0" w:beforeAutospacing="0"/>
        <w:ind w:left="0"/>
        <w:jc w:val="left"/>
      </w:pPr>
      <w:r>
        <w:rPr>
          <w:shd w:val="clear" w:fill="FFFFFF"/>
        </w:rPr>
        <w:t>第二部分 2022年度部门决算情况说明</w:t>
      </w:r>
    </w:p>
    <w:p>
      <w:pPr>
        <w:pStyle w:val="13"/>
        <w:keepNext w:val="0"/>
        <w:keepLines w:val="0"/>
        <w:widowControl/>
        <w:suppressLineNumbers w:val="0"/>
        <w:spacing w:before="0" w:beforeAutospacing="0"/>
        <w:ind w:left="420"/>
        <w:jc w:val="left"/>
      </w:pPr>
      <w:r>
        <w:rPr>
          <w:shd w:val="clear" w:fill="FFFFFF"/>
        </w:rPr>
        <w:t>一、收入支出决算总体情况说明</w:t>
      </w:r>
    </w:p>
    <w:p>
      <w:pPr>
        <w:pStyle w:val="13"/>
        <w:keepNext w:val="0"/>
        <w:keepLines w:val="0"/>
        <w:widowControl/>
        <w:suppressLineNumbers w:val="0"/>
        <w:spacing w:before="0" w:beforeAutospacing="0"/>
        <w:ind w:left="420"/>
        <w:jc w:val="left"/>
      </w:pPr>
      <w:r>
        <w:rPr>
          <w:shd w:val="clear" w:fill="FFFFFF"/>
        </w:rPr>
        <w:t>二、收入决算情况说明</w:t>
      </w:r>
    </w:p>
    <w:p>
      <w:pPr>
        <w:pStyle w:val="13"/>
        <w:keepNext w:val="0"/>
        <w:keepLines w:val="0"/>
        <w:widowControl/>
        <w:suppressLineNumbers w:val="0"/>
        <w:spacing w:before="0" w:beforeAutospacing="0"/>
        <w:ind w:left="420"/>
        <w:jc w:val="left"/>
      </w:pPr>
      <w:r>
        <w:rPr>
          <w:shd w:val="clear" w:fill="FFFFFF"/>
        </w:rPr>
        <w:t>三、支出决算情况说明</w:t>
      </w:r>
    </w:p>
    <w:p>
      <w:pPr>
        <w:pStyle w:val="13"/>
        <w:keepNext w:val="0"/>
        <w:keepLines w:val="0"/>
        <w:widowControl/>
        <w:suppressLineNumbers w:val="0"/>
        <w:spacing w:before="0" w:beforeAutospacing="0"/>
        <w:ind w:left="420"/>
        <w:jc w:val="left"/>
      </w:pPr>
      <w:r>
        <w:rPr>
          <w:shd w:val="clear" w:fill="FFFFFF"/>
        </w:rPr>
        <w:t>四、财政拨款收入支出决算总体情况说明</w:t>
      </w:r>
    </w:p>
    <w:p>
      <w:pPr>
        <w:pStyle w:val="13"/>
        <w:keepNext w:val="0"/>
        <w:keepLines w:val="0"/>
        <w:widowControl/>
        <w:suppressLineNumbers w:val="0"/>
        <w:spacing w:before="0" w:beforeAutospacing="0"/>
        <w:ind w:left="420"/>
        <w:jc w:val="left"/>
      </w:pPr>
      <w:r>
        <w:rPr>
          <w:shd w:val="clear" w:fill="FFFFFF"/>
        </w:rPr>
        <w:t>五、一般公共预算财政拨款支出决算情况说明</w:t>
      </w:r>
    </w:p>
    <w:p>
      <w:pPr>
        <w:pStyle w:val="13"/>
        <w:keepNext w:val="0"/>
        <w:keepLines w:val="0"/>
        <w:widowControl/>
        <w:suppressLineNumbers w:val="0"/>
        <w:spacing w:before="0" w:beforeAutospacing="0"/>
        <w:ind w:left="420"/>
        <w:jc w:val="left"/>
      </w:pPr>
      <w:r>
        <w:rPr>
          <w:shd w:val="clear" w:fill="FFFFFF"/>
        </w:rPr>
        <w:t>六、一般公共预算财政拨款基本支出决算情况说明</w:t>
      </w:r>
    </w:p>
    <w:p>
      <w:pPr>
        <w:pStyle w:val="13"/>
        <w:keepNext w:val="0"/>
        <w:keepLines w:val="0"/>
        <w:widowControl/>
        <w:suppressLineNumbers w:val="0"/>
        <w:spacing w:before="0" w:beforeAutospacing="0"/>
        <w:ind w:left="420"/>
        <w:jc w:val="left"/>
      </w:pPr>
      <w:r>
        <w:rPr>
          <w:shd w:val="clear" w:fill="FFFFFF"/>
        </w:rPr>
        <w:t>七、财政拨款“三公”经费支出决算情况说明</w:t>
      </w:r>
    </w:p>
    <w:p>
      <w:pPr>
        <w:pStyle w:val="13"/>
        <w:keepNext w:val="0"/>
        <w:keepLines w:val="0"/>
        <w:widowControl/>
        <w:suppressLineNumbers w:val="0"/>
        <w:spacing w:before="0" w:beforeAutospacing="0"/>
        <w:ind w:left="420"/>
        <w:jc w:val="left"/>
      </w:pPr>
      <w:r>
        <w:rPr>
          <w:shd w:val="clear" w:fill="FFFFFF"/>
        </w:rPr>
        <w:t>八、政府性基金预算支出决算情况说明</w:t>
      </w:r>
    </w:p>
    <w:p>
      <w:pPr>
        <w:pStyle w:val="13"/>
        <w:keepNext w:val="0"/>
        <w:keepLines w:val="0"/>
        <w:widowControl/>
        <w:suppressLineNumbers w:val="0"/>
        <w:spacing w:before="0" w:beforeAutospacing="0"/>
        <w:ind w:left="0"/>
        <w:jc w:val="left"/>
      </w:pPr>
      <w:r>
        <w:rPr>
          <w:shd w:val="clear" w:fill="FFFFFF"/>
        </w:rPr>
        <w:t>  九、国有资本经营预算支出决算情况说明</w:t>
      </w:r>
    </w:p>
    <w:p>
      <w:pPr>
        <w:pStyle w:val="13"/>
        <w:keepNext w:val="0"/>
        <w:keepLines w:val="0"/>
        <w:widowControl/>
        <w:suppressLineNumbers w:val="0"/>
        <w:spacing w:before="0" w:beforeAutospacing="0"/>
        <w:ind w:left="0"/>
        <w:jc w:val="left"/>
      </w:pPr>
      <w:r>
        <w:rPr>
          <w:shd w:val="clear" w:fill="FFFFFF"/>
        </w:rPr>
        <w:t>  十、其他重要事项的情况说明 </w:t>
      </w:r>
    </w:p>
    <w:p>
      <w:pPr>
        <w:pStyle w:val="13"/>
        <w:keepNext w:val="0"/>
        <w:keepLines w:val="0"/>
        <w:widowControl/>
        <w:suppressLineNumbers w:val="0"/>
        <w:spacing w:before="0" w:beforeAutospacing="0"/>
        <w:ind w:left="0"/>
        <w:jc w:val="left"/>
      </w:pPr>
      <w:r>
        <w:rPr>
          <w:shd w:val="clear" w:fill="FFFFFF"/>
        </w:rPr>
        <w:t>第三部分 名词解释</w:t>
      </w:r>
    </w:p>
    <w:p>
      <w:pPr>
        <w:pStyle w:val="13"/>
        <w:keepNext w:val="0"/>
        <w:keepLines w:val="0"/>
        <w:widowControl/>
        <w:suppressLineNumbers w:val="0"/>
        <w:spacing w:before="0" w:beforeAutospacing="0"/>
        <w:ind w:left="0"/>
        <w:jc w:val="left"/>
      </w:pPr>
      <w:r>
        <w:rPr>
          <w:shd w:val="clear" w:fill="FFFFFF"/>
        </w:rPr>
        <w:t>第四部分 附件</w:t>
      </w:r>
    </w:p>
    <w:p>
      <w:pPr>
        <w:pStyle w:val="13"/>
        <w:keepNext w:val="0"/>
        <w:keepLines w:val="0"/>
        <w:widowControl/>
        <w:suppressLineNumbers w:val="0"/>
        <w:spacing w:before="0" w:beforeAutospacing="0"/>
        <w:ind w:left="0"/>
        <w:jc w:val="left"/>
      </w:pPr>
      <w:r>
        <w:rPr>
          <w:shd w:val="clear" w:fill="FFFFFF"/>
        </w:rPr>
        <w:t>第五部分 附表</w:t>
      </w:r>
    </w:p>
    <w:p>
      <w:pPr>
        <w:pStyle w:val="13"/>
        <w:keepNext w:val="0"/>
        <w:keepLines w:val="0"/>
        <w:widowControl/>
        <w:suppressLineNumbers w:val="0"/>
        <w:spacing w:before="0" w:beforeAutospacing="0"/>
        <w:ind w:left="420"/>
        <w:jc w:val="left"/>
      </w:pPr>
      <w:r>
        <w:rPr>
          <w:shd w:val="clear" w:fill="FFFFFF"/>
        </w:rPr>
        <w:t>一、收入支出决算总表</w:t>
      </w:r>
    </w:p>
    <w:p>
      <w:pPr>
        <w:pStyle w:val="13"/>
        <w:keepNext w:val="0"/>
        <w:keepLines w:val="0"/>
        <w:widowControl/>
        <w:suppressLineNumbers w:val="0"/>
        <w:spacing w:before="0" w:beforeAutospacing="0"/>
        <w:ind w:left="420"/>
        <w:jc w:val="left"/>
      </w:pPr>
      <w:r>
        <w:rPr>
          <w:shd w:val="clear" w:fill="FFFFFF"/>
        </w:rPr>
        <w:t>二、收入决算表</w:t>
      </w:r>
    </w:p>
    <w:p>
      <w:pPr>
        <w:pStyle w:val="13"/>
        <w:keepNext w:val="0"/>
        <w:keepLines w:val="0"/>
        <w:widowControl/>
        <w:suppressLineNumbers w:val="0"/>
        <w:spacing w:before="0" w:beforeAutospacing="0"/>
        <w:ind w:left="420"/>
        <w:jc w:val="left"/>
      </w:pPr>
      <w:r>
        <w:rPr>
          <w:shd w:val="clear" w:fill="FFFFFF"/>
        </w:rPr>
        <w:t>三、支出决算表</w:t>
      </w:r>
    </w:p>
    <w:p>
      <w:pPr>
        <w:pStyle w:val="13"/>
        <w:keepNext w:val="0"/>
        <w:keepLines w:val="0"/>
        <w:widowControl/>
        <w:suppressLineNumbers w:val="0"/>
        <w:spacing w:before="0" w:beforeAutospacing="0"/>
        <w:ind w:left="420"/>
        <w:jc w:val="left"/>
      </w:pPr>
      <w:r>
        <w:rPr>
          <w:shd w:val="clear" w:fill="FFFFFF"/>
        </w:rPr>
        <w:t>四、财政拨款收入支出决算总表</w:t>
      </w:r>
    </w:p>
    <w:p>
      <w:pPr>
        <w:pStyle w:val="13"/>
        <w:keepNext w:val="0"/>
        <w:keepLines w:val="0"/>
        <w:widowControl/>
        <w:suppressLineNumbers w:val="0"/>
        <w:spacing w:before="0" w:beforeAutospacing="0"/>
        <w:ind w:left="420"/>
        <w:jc w:val="left"/>
      </w:pPr>
      <w:r>
        <w:rPr>
          <w:shd w:val="clear" w:fill="FFFFFF"/>
        </w:rPr>
        <w:t>五、财政拨款支出决算明细表</w:t>
      </w:r>
    </w:p>
    <w:p>
      <w:pPr>
        <w:pStyle w:val="13"/>
        <w:keepNext w:val="0"/>
        <w:keepLines w:val="0"/>
        <w:widowControl/>
        <w:suppressLineNumbers w:val="0"/>
        <w:spacing w:before="0" w:beforeAutospacing="0"/>
        <w:ind w:left="420"/>
        <w:jc w:val="left"/>
      </w:pPr>
      <w:r>
        <w:rPr>
          <w:shd w:val="clear" w:fill="FFFFFF"/>
        </w:rPr>
        <w:t>六、一般公共预算财政拨款支出决算表</w:t>
      </w:r>
    </w:p>
    <w:p>
      <w:pPr>
        <w:pStyle w:val="13"/>
        <w:keepNext w:val="0"/>
        <w:keepLines w:val="0"/>
        <w:widowControl/>
        <w:suppressLineNumbers w:val="0"/>
        <w:spacing w:before="0" w:beforeAutospacing="0"/>
        <w:ind w:left="420"/>
        <w:jc w:val="left"/>
      </w:pPr>
      <w:r>
        <w:rPr>
          <w:shd w:val="clear" w:fill="FFFFFF"/>
        </w:rPr>
        <w:t>七、一般公共预算财政拨款支出决算明细表</w:t>
      </w:r>
    </w:p>
    <w:p>
      <w:pPr>
        <w:pStyle w:val="13"/>
        <w:keepNext w:val="0"/>
        <w:keepLines w:val="0"/>
        <w:widowControl/>
        <w:suppressLineNumbers w:val="0"/>
        <w:spacing w:before="0" w:beforeAutospacing="0"/>
        <w:ind w:left="420"/>
        <w:jc w:val="left"/>
      </w:pPr>
      <w:r>
        <w:rPr>
          <w:shd w:val="clear" w:fill="FFFFFF"/>
        </w:rPr>
        <w:t>八、一般公共预算财政拨款基本支出决算表</w:t>
      </w:r>
    </w:p>
    <w:p>
      <w:pPr>
        <w:pStyle w:val="13"/>
        <w:keepNext w:val="0"/>
        <w:keepLines w:val="0"/>
        <w:widowControl/>
        <w:suppressLineNumbers w:val="0"/>
        <w:spacing w:before="0" w:beforeAutospacing="0"/>
        <w:ind w:left="420"/>
        <w:jc w:val="left"/>
      </w:pPr>
      <w:r>
        <w:rPr>
          <w:shd w:val="clear" w:fill="FFFFFF"/>
        </w:rPr>
        <w:t>九、一般公共预算财政拨款项目支出决算表</w:t>
      </w:r>
    </w:p>
    <w:p>
      <w:pPr>
        <w:pStyle w:val="13"/>
        <w:keepNext w:val="0"/>
        <w:keepLines w:val="0"/>
        <w:widowControl/>
        <w:suppressLineNumbers w:val="0"/>
        <w:spacing w:before="0" w:beforeAutospacing="0"/>
        <w:ind w:left="420"/>
        <w:jc w:val="left"/>
      </w:pPr>
      <w:r>
        <w:rPr>
          <w:shd w:val="clear" w:fill="FFFFFF"/>
        </w:rPr>
        <w:t>十、政府性基金预算财政拨款收入支出决算表</w:t>
      </w:r>
    </w:p>
    <w:p>
      <w:pPr>
        <w:pStyle w:val="13"/>
        <w:keepNext w:val="0"/>
        <w:keepLines w:val="0"/>
        <w:widowControl/>
        <w:suppressLineNumbers w:val="0"/>
        <w:spacing w:before="0" w:beforeAutospacing="0"/>
        <w:ind w:left="420"/>
        <w:jc w:val="left"/>
      </w:pPr>
      <w:r>
        <w:rPr>
          <w:shd w:val="clear" w:fill="FFFFFF"/>
        </w:rPr>
        <w:t>十一、国有资本经营预算财政拨款收入支出决算表</w:t>
      </w:r>
    </w:p>
    <w:p>
      <w:pPr>
        <w:pStyle w:val="13"/>
        <w:keepNext w:val="0"/>
        <w:keepLines w:val="0"/>
        <w:widowControl/>
        <w:suppressLineNumbers w:val="0"/>
        <w:spacing w:before="0" w:beforeAutospacing="0"/>
        <w:ind w:left="420"/>
        <w:jc w:val="left"/>
      </w:pPr>
      <w:r>
        <w:rPr>
          <w:shd w:val="clear" w:fill="FFFFFF"/>
        </w:rPr>
        <w:t>十二、国有资本经营预算财政拨款支出决算表</w:t>
      </w:r>
    </w:p>
    <w:p>
      <w:pPr>
        <w:pStyle w:val="13"/>
        <w:keepNext w:val="0"/>
        <w:keepLines w:val="0"/>
        <w:widowControl/>
        <w:suppressLineNumbers w:val="0"/>
        <w:spacing w:before="0" w:beforeAutospacing="0"/>
        <w:ind w:left="420"/>
        <w:jc w:val="left"/>
      </w:pPr>
      <w:r>
        <w:rPr>
          <w:shd w:val="clear" w:fill="FFFFFF"/>
        </w:rPr>
        <w:t>十三、财政拨款“三公”经费支出决算表</w:t>
      </w:r>
    </w:p>
    <w:p>
      <w:pPr>
        <w:pStyle w:val="13"/>
        <w:keepNext w:val="0"/>
        <w:keepLines w:val="0"/>
        <w:widowControl/>
        <w:suppressLineNumbers w:val="0"/>
        <w:spacing w:before="0" w:beforeAutospacing="0"/>
        <w:ind w:left="0"/>
        <w:jc w:val="left"/>
      </w:pPr>
      <w:r>
        <w:rPr>
          <w:shd w:val="clear" w:fill="FFFFFF"/>
        </w:rPr>
        <w:t>(注：请部门根据实际注明页码)</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2"/>
        <w:keepNext w:val="0"/>
        <w:keepLines w:val="0"/>
        <w:widowControl/>
        <w:suppressLineNumbers w:val="0"/>
        <w:spacing w:before="0" w:beforeAutospacing="0"/>
        <w:ind w:left="0"/>
        <w:jc w:val="center"/>
      </w:pPr>
      <w:r>
        <w:rPr>
          <w:shd w:val="clear" w:fill="FFFFFF"/>
        </w:rPr>
        <w:t>第一部分 部门概况</w:t>
      </w:r>
    </w:p>
    <w:p>
      <w:pPr>
        <w:pStyle w:val="13"/>
        <w:keepNext w:val="0"/>
        <w:keepLines w:val="0"/>
        <w:widowControl/>
        <w:suppressLineNumbers w:val="0"/>
        <w:spacing w:before="0" w:beforeAutospacing="0"/>
        <w:ind w:left="0"/>
        <w:jc w:val="left"/>
      </w:pPr>
      <w:r>
        <w:rPr>
          <w:shd w:val="clear" w:fill="FFFFFF"/>
        </w:rPr>
        <w:t> </w:t>
      </w:r>
    </w:p>
    <w:p>
      <w:pPr>
        <w:pStyle w:val="3"/>
        <w:keepNext w:val="0"/>
        <w:keepLines w:val="0"/>
        <w:widowControl/>
        <w:suppressLineNumbers w:val="0"/>
        <w:spacing w:before="0" w:beforeAutospacing="0"/>
        <w:ind w:left="0"/>
        <w:jc w:val="left"/>
      </w:pPr>
      <w:r>
        <w:rPr>
          <w:shd w:val="clear" w:fill="FFFFFF"/>
        </w:rPr>
        <w:t>一、基本职能及主要工作</w:t>
      </w:r>
    </w:p>
    <w:p>
      <w:pPr>
        <w:pStyle w:val="13"/>
        <w:keepNext w:val="0"/>
        <w:keepLines w:val="0"/>
        <w:widowControl/>
        <w:suppressLineNumbers w:val="0"/>
        <w:spacing w:before="0" w:beforeAutospacing="0"/>
        <w:ind w:left="0"/>
        <w:jc w:val="left"/>
        <w:rPr>
          <w:rFonts w:hint="eastAsia" w:ascii="仿宋" w:hAnsi="仿宋" w:eastAsia="仿宋" w:cs="仿宋"/>
          <w:shd w:val="clear" w:fill="FFFFFF"/>
        </w:rPr>
      </w:pPr>
      <w:r>
        <w:rPr>
          <w:rFonts w:hint="eastAsia" w:ascii="仿宋" w:hAnsi="仿宋" w:eastAsia="仿宋" w:cs="仿宋"/>
          <w:shd w:val="clear" w:fill="FFFFFF"/>
        </w:rPr>
        <w:t>（一）主要职能。（职能参照州政府批准的三定方案）</w:t>
      </w:r>
    </w:p>
    <w:p>
      <w:pPr>
        <w:pStyle w:val="13"/>
        <w:keepNext w:val="0"/>
        <w:keepLines w:val="0"/>
        <w:widowControl/>
        <w:suppressLineNumbers w:val="0"/>
        <w:spacing w:before="0" w:beforeAutospacing="0"/>
        <w:ind w:left="0"/>
        <w:jc w:val="left"/>
        <w:rPr>
          <w:rFonts w:hint="eastAsia" w:ascii="仿宋" w:hAnsi="仿宋" w:eastAsia="仿宋" w:cs="仿宋"/>
          <w:shd w:val="clear" w:fill="FFFFFF"/>
        </w:rPr>
      </w:pPr>
      <w:r>
        <w:rPr>
          <w:rFonts w:hint="eastAsia" w:ascii="仿宋" w:hAnsi="仿宋" w:eastAsia="仿宋" w:cs="仿宋"/>
          <w:shd w:val="clear" w:fill="FFFFFF"/>
          <w:lang w:eastAsia="zh-CN"/>
        </w:rPr>
        <w:t>（</w:t>
      </w:r>
      <w:r>
        <w:rPr>
          <w:rFonts w:hint="eastAsia" w:ascii="仿宋" w:hAnsi="仿宋" w:eastAsia="仿宋" w:cs="仿宋"/>
          <w:shd w:val="clear" w:fill="FFFFFF"/>
        </w:rPr>
        <w:t>1）乡党委主要职责</w:t>
      </w:r>
      <w:r>
        <w:rPr>
          <w:rFonts w:hint="eastAsia" w:ascii="仿宋" w:hAnsi="仿宋" w:eastAsia="仿宋" w:cs="仿宋"/>
          <w:shd w:val="clear" w:fill="FFFFFF"/>
        </w:rPr>
        <w:br w:type="textWrapping"/>
      </w:r>
      <w:r>
        <w:rPr>
          <w:rFonts w:hint="eastAsia" w:ascii="仿宋" w:hAnsi="仿宋" w:eastAsia="仿宋" w:cs="仿宋"/>
          <w:shd w:val="clear" w:fill="FFFFFF"/>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（2）乡人大主席团主要职责</w:t>
      </w:r>
      <w:r>
        <w:rPr>
          <w:rFonts w:hint="eastAsia" w:ascii="仿宋" w:hAnsi="仿宋" w:eastAsia="仿宋" w:cs="仿宋"/>
          <w:shd w:val="clear" w:fill="FFFFFF"/>
        </w:rPr>
        <w:br w:type="textWrapping"/>
      </w:r>
      <w:r>
        <w:rPr>
          <w:rFonts w:hint="eastAsia" w:ascii="仿宋" w:hAnsi="仿宋" w:eastAsia="仿宋" w:cs="仿宋"/>
          <w:shd w:val="clear"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w:t>
      </w:r>
      <w:r>
        <w:rPr>
          <w:rFonts w:hint="eastAsia" w:ascii="仿宋" w:hAnsi="仿宋" w:eastAsia="仿宋" w:cs="仿宋"/>
          <w:shd w:val="clear" w:fill="FFFFFF"/>
        </w:rPr>
        <w:br w:type="textWrapping"/>
      </w:r>
      <w:r>
        <w:rPr>
          <w:rFonts w:hint="eastAsia" w:ascii="仿宋" w:hAnsi="仿宋" w:eastAsia="仿宋" w:cs="仿宋"/>
          <w:shd w:val="clear" w:fill="FFFFFF"/>
        </w:rPr>
        <w:t>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（3）乡政府主要职责</w:t>
      </w:r>
      <w:r>
        <w:rPr>
          <w:rFonts w:hint="eastAsia" w:ascii="仿宋" w:hAnsi="仿宋" w:eastAsia="仿宋" w:cs="仿宋"/>
          <w:shd w:val="clear" w:fill="FFFFFF"/>
        </w:rPr>
        <w:br w:type="textWrapping"/>
      </w:r>
      <w:r>
        <w:rPr>
          <w:rFonts w:hint="eastAsia" w:ascii="仿宋" w:hAnsi="仿宋" w:eastAsia="仿宋" w:cs="仿宋"/>
          <w:shd w:val="clear"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w:t>
      </w:r>
      <w:r>
        <w:rPr>
          <w:rFonts w:hint="eastAsia" w:ascii="仿宋" w:hAnsi="仿宋" w:eastAsia="仿宋" w:cs="仿宋"/>
          <w:shd w:val="clear" w:fill="FFFFFF"/>
        </w:rPr>
        <w:br w:type="textWrapping"/>
      </w:r>
      <w:r>
        <w:rPr>
          <w:rFonts w:hint="eastAsia" w:ascii="仿宋" w:hAnsi="仿宋" w:eastAsia="仿宋" w:cs="仿宋"/>
          <w:shd w:val="clear" w:fill="FFFFFF"/>
        </w:rPr>
        <w:t>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r>
        <w:rPr>
          <w:rFonts w:hint="eastAsia" w:ascii="仿宋" w:hAnsi="仿宋" w:eastAsia="仿宋" w:cs="仿宋"/>
          <w:shd w:val="clear" w:fill="FFFFFF"/>
        </w:rPr>
        <w:br w:type="textWrapping"/>
      </w:r>
      <w:r>
        <w:rPr>
          <w:rFonts w:hint="eastAsia" w:ascii="仿宋" w:hAnsi="仿宋" w:eastAsia="仿宋" w:cs="仿宋"/>
          <w:shd w:val="clear" w:fill="FFFFFF"/>
        </w:rPr>
        <w:t>(4)乡纪委主要职责</w:t>
      </w:r>
      <w:r>
        <w:rPr>
          <w:rFonts w:hint="eastAsia" w:ascii="仿宋" w:hAnsi="仿宋" w:eastAsia="仿宋" w:cs="仿宋"/>
          <w:shd w:val="clear" w:fill="FFFFFF"/>
        </w:rPr>
        <w:br w:type="textWrapping"/>
      </w:r>
      <w:r>
        <w:rPr>
          <w:rFonts w:hint="eastAsia" w:ascii="仿宋" w:hAnsi="仿宋" w:eastAsia="仿宋" w:cs="仿宋"/>
          <w:shd w:val="clear"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导干部工作实行检查监督；完成党委和上级纪委、监察局交办的其它工作。</w:t>
      </w:r>
      <w:r>
        <w:rPr>
          <w:rFonts w:hint="eastAsia" w:ascii="仿宋" w:hAnsi="仿宋" w:eastAsia="仿宋" w:cs="仿宋"/>
          <w:shd w:val="clear" w:fill="FFFFFF"/>
        </w:rPr>
        <w:br w:type="textWrapping"/>
      </w:r>
      <w:r>
        <w:rPr>
          <w:rFonts w:hint="eastAsia" w:ascii="仿宋" w:hAnsi="仿宋" w:eastAsia="仿宋" w:cs="仿宋"/>
          <w:shd w:val="clear" w:fill="FFFFFF"/>
        </w:rPr>
        <w:t>(5)乡人民武装部主要职责</w:t>
      </w:r>
      <w:r>
        <w:rPr>
          <w:rFonts w:hint="eastAsia" w:ascii="仿宋" w:hAnsi="仿宋" w:eastAsia="仿宋" w:cs="仿宋"/>
          <w:shd w:val="clear" w:fill="FFFFFF"/>
        </w:rPr>
        <w:br w:type="textWrapping"/>
      </w:r>
      <w:r>
        <w:rPr>
          <w:rFonts w:hint="eastAsia" w:ascii="仿宋" w:hAnsi="仿宋" w:eastAsia="仿宋" w:cs="仿宋"/>
          <w:shd w:val="clear"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w:t>
      </w:r>
      <w:r>
        <w:rPr>
          <w:rFonts w:hint="eastAsia" w:ascii="仿宋" w:hAnsi="仿宋" w:eastAsia="仿宋" w:cs="仿宋"/>
          <w:shd w:val="clear" w:fill="FFFFFF"/>
        </w:rPr>
        <w:br w:type="textWrapping"/>
      </w:r>
      <w:r>
        <w:rPr>
          <w:rFonts w:hint="eastAsia" w:ascii="仿宋" w:hAnsi="仿宋" w:eastAsia="仿宋" w:cs="仿宋"/>
          <w:shd w:val="clear" w:fill="FFFFFF"/>
        </w:rPr>
        <w:t>计工作；负责征兵工作；组织带领民兵参加两个文明建设；协助有关部门搞好拥军优属工作；战时负责组织动员民兵参军参战，支援前线，保卫后方等工作；负责抢险救灾工作以及上级临时交办的其他工作</w:t>
      </w:r>
    </w:p>
    <w:p>
      <w:pPr>
        <w:pStyle w:val="13"/>
        <w:keepNext w:val="0"/>
        <w:keepLines w:val="0"/>
        <w:widowControl/>
        <w:suppressLineNumbers w:val="0"/>
        <w:spacing w:before="0" w:beforeAutospacing="0"/>
        <w:ind w:left="0"/>
        <w:jc w:val="left"/>
        <w:rPr>
          <w:rFonts w:hint="eastAsia" w:ascii="仿宋" w:hAnsi="仿宋" w:eastAsia="仿宋" w:cs="仿宋"/>
          <w:shd w:val="clear" w:fill="FFFFFF"/>
        </w:rPr>
      </w:pPr>
    </w:p>
    <w:p>
      <w:pPr>
        <w:pStyle w:val="13"/>
        <w:keepNext w:val="0"/>
        <w:keepLines w:val="0"/>
        <w:widowControl/>
        <w:suppressLineNumbers w:val="0"/>
        <w:spacing w:before="0" w:beforeAutospacing="0"/>
        <w:ind w:left="0"/>
        <w:jc w:val="left"/>
        <w:rPr>
          <w:shd w:val="clear" w:fill="FFFFFF"/>
        </w:rPr>
      </w:pPr>
      <w:r>
        <w:rPr>
          <w:shd w:val="clear" w:fill="FFFFFF"/>
        </w:rPr>
        <w:t>（二）2022年重点工作完成情况。</w:t>
      </w:r>
    </w:p>
    <w:p>
      <w:pPr>
        <w:pStyle w:val="10"/>
        <w:adjustRightInd w:val="0"/>
        <w:snapToGrid w:val="0"/>
        <w:spacing w:line="576" w:lineRule="exact"/>
        <w:ind w:firstLine="380" w:firstLineChars="200"/>
        <w:rPr>
          <w:rFonts w:hint="eastAsia" w:ascii="仿宋" w:hAnsi="仿宋" w:eastAsia="仿宋" w:cs="仿宋"/>
          <w:kern w:val="0"/>
          <w:sz w:val="24"/>
          <w:szCs w:val="24"/>
          <w:shd w:val="clear" w:fill="FFFFFF"/>
          <w:lang w:val="en-US" w:eastAsia="zh-CN" w:bidi="ar"/>
        </w:rPr>
      </w:pPr>
      <w:r>
        <w:rPr>
          <w:rFonts w:hint="eastAsia" w:hAnsi="宋体" w:cs="宋体"/>
          <w:kern w:val="0"/>
          <w:sz w:val="19"/>
          <w:szCs w:val="19"/>
          <w:lang w:bidi="ar"/>
        </w:rPr>
        <w:t>（</w:t>
      </w:r>
      <w:r>
        <w:rPr>
          <w:rFonts w:hint="eastAsia" w:ascii="仿宋" w:hAnsi="仿宋" w:eastAsia="仿宋" w:cs="仿宋"/>
          <w:kern w:val="0"/>
          <w:sz w:val="24"/>
          <w:szCs w:val="24"/>
          <w:shd w:val="clear" w:fill="FFFFFF"/>
          <w:lang w:val="en-US" w:eastAsia="zh-CN" w:bidi="ar"/>
        </w:rPr>
        <w:t>一）聚焦党史教育，提升党员干部“软实力”。一是高点站位抓组织。第一时间成立了由乡党委书记任组长的党史学习教育领导小组，明确了党史学习教育指导思想、总体目标、重点任务，确保了全乡党史学习教育有力有序推进。二是高标定位抓创新。坚持“规定动作不变通不走样、自选动作有特色”，制定《玉瓦乡党史学习教育工作方案》，坚持</w:t>
      </w:r>
      <w:bookmarkStart w:id="0" w:name="_GoBack"/>
      <w:bookmarkEnd w:id="0"/>
      <w:r>
        <w:rPr>
          <w:rFonts w:hint="eastAsia" w:ascii="仿宋" w:hAnsi="仿宋" w:eastAsia="仿宋" w:cs="仿宋"/>
          <w:kern w:val="0"/>
          <w:sz w:val="24"/>
          <w:szCs w:val="24"/>
          <w:shd w:val="clear" w:fill="FFFFFF"/>
          <w:lang w:val="en-US" w:eastAsia="zh-CN" w:bidi="ar"/>
        </w:rPr>
        <w:t>党委理论学习中心组、专题宣讲集中学习与个人自学相结合，乡党委书记带头讲党课，并督促全体党员干部制作PPT课件开展讲党史活动，截至目前，开展集中学习、宣讲14场次，参与党员干部达400余人次。制作党史学习教育工作影集，用生动的影像资料展示学习教育成果。建立《玉瓦乡“1+1”“1+N”传帮带实施办法》，10名班子成员与18名年轻干部结对帮带，通过专题辅导、业务指导、心理疏导等形式开展帮带培养，着力培养忠诚干净担当、敢于善于斗争的年轻后备干部。精心组织召开民主生活会，坚持把学党史与检视问题、关照现实、推动工作紧密结合，坚持边学边查、边查边改，真正做到“学党史、悟思想、办实事、开新局”。三是高效推进抓实效。聚焦群众“急难愁盼”问题，扎实开展“我为群众办实事”实践活动，列出办实事的具体清单，建立工作台账，截至目前，解决群众急难问题30余件次。</w:t>
      </w:r>
    </w:p>
    <w:p>
      <w:pPr>
        <w:pStyle w:val="10"/>
        <w:adjustRightInd w:val="0"/>
        <w:snapToGrid w:val="0"/>
        <w:spacing w:line="576" w:lineRule="exact"/>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二）聚焦疫情防控，切实筑牢思想防线。今年以来，面对全国疫情防控的反复性，玉瓦乡始终坚持把人民生命安全和身体健康放在第一位。一是乡村两级组织开展疫情防控“百日大宣传活动”，通过走访、宣传栏、微信等多种形式，持续加强新冠肺炎疫情宣传教育。二是防控措施到位，对上级发出的重点地区和重点人群管控全方位排查，严格落实“五包一”制度，强化网格化管理，实行属地管理原则，做到信息透明，联防联控。三是加大疫苗接种宣传，动员群众积极参与疫苗接种，推进新冠疫苗接种任务。玉瓦乡农村常住人口1516人，应接种疫苗人数1396人，现接种完成2017针次，其中第一针接种完成1263人，第二针接种完成754人。</w:t>
      </w:r>
    </w:p>
    <w:p>
      <w:pPr>
        <w:pStyle w:val="9"/>
        <w:adjustRightInd w:val="0"/>
        <w:snapToGrid w:val="0"/>
        <w:spacing w:line="576" w:lineRule="exact"/>
        <w:ind w:left="0" w:firstLine="481" w:firstLineChars="200"/>
        <w:jc w:val="both"/>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三）聚焦绿色发展，大力推进全域旅游。一是坚定践行“绿水青山就是金山银山”发展理念，持续抓好环保督察问题反馈整改，全乡6个村均已完成村内排污项目建设，无污水直排情况。严格落实河（湖）长制，探索推行路长制、林长制，充分发挥生态护林员、巡河员等公益性岗位作用，加强森林草原、河道、乡村道路管护。二是加快推进风貌提升。深入开展九若路沿线村寨风貌提升工作，完成有碍观瞻建筑物拆除1769㎡，风貌改造19300㎡，绿化提升4232㎡。深入推进文旅融合。依托“象鼻山民俗文化节”，积极挖掘“格哇羌姆”“卡协能噶”等文化。持续加强“东巴故里·玲珑藏寨”的宣传，积极争取浙江东西部援建资金1500万落地羊足山。三是常态化抓实环境卫生综合整治。围绕“人人参与”这个关键，常态化开展村寨、水域、路域环境整治，进一步规范完善村规民约，积极引导群众自觉养成良好生活习惯。加快推进垃圾分类处置，建立完善检查督促、落实奖惩制度，确保环境卫生综合整治制度化、常态化。</w:t>
      </w:r>
    </w:p>
    <w:p>
      <w:pPr>
        <w:adjustRightInd w:val="0"/>
        <w:snapToGrid w:val="0"/>
        <w:spacing w:line="576" w:lineRule="exact"/>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四）聚焦乡村振兴，持续改善民生事业。一是持续巩固脱贫成果。结合“两联一进”群众工作全覆盖，全覆盖开展防返贫监测摸排，进一步巩固脱贫成果，涌现出全州脱贫攻坚奋进先进个人马云强等一批脱贫致富带头人，“感恩奋进、求真务实、吃苦耐劳”的九寨精神在玉瓦持续发扬。二是加快推进补短项目建设。今年，玉瓦乡共有补短项目10个，补助资金749.43万元，分别为玉瓦寨村村内道路维修项目，八郎村、石门村、玉瓦寨村3个村“8.16”水毁通村道路恢复项目和安全饮水提升项目，玉杏村、四道城村、三道城村3个村环境卫生整治风貌提升项目。目前，所有在建项目全部完工通过验收，正在加紧资金支付。三是发展壮大集体经济。巩固玉瓦寨村乡村振兴试点成果，优化全乡空间布局、合理利用土地资源，充分发挥全乡畜牧养殖和传统中药材种植优势，持续壮大村集体经济，大力发展中药材、藏香猪、高山牦牛等生态种养殖。目前，四道城村建成163亩优质苹果基地，石门村建成标准化家庭农场1家，实现粗放型农牧业向精细化转型。四是储备申报2022年巩固拓展脱贫攻坚和乡村振兴项目。各驻村领导同村干部实地调研，围绕产业、基础设施和公共服务等谋划项目，经对各村上报项目的合规性、科学性、可行性审查，最终确定全乡申报3个项目预计1400万元，分别为四道城村休闲农业园区建设项目、羊足山藏寨饮用水及消防基础设施建设项目、九寨天珠旅游设施建设项目。</w:t>
      </w:r>
    </w:p>
    <w:p>
      <w:pPr>
        <w:pStyle w:val="18"/>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五）聚焦五个重点，筑牢“三防一安全”“警戒线”。一是重点抓组织领导。强化防范胜于救灾的理念，召开党委会议、乡村两级干部会5次专题研究部署“三防一安全”工作，成立党政一把手任组长的领导小组，有效整合乡、村、企业三级力量，健全高效运转机制。二是重点抓监测预警。充分发挥防汛监测预警系统和群测群防体系作用，建立乡、村、组纵向信息快速传递机制，提前12小时将预警信息通过微信、短信等形式发送到各村组和施工企业，全面开展临灾避险。三是重点抓隐患排查。对全乡45个地灾隐患点进行“拉网式”排查，排查发现隐患9处，对排查发现的隐患建立台账，逐一落实地灾监测人员责任。四是重点抓物资储备。有效整合防汛应急和民政救灾物资，进一步充实编织袋3500个、铅丝网600张、对讲机12台、手电筒215把、汽油发电机3台，对各类物资进行登记造册，实行专人管理，做到关键时候“拿得出、用得上”。五是重点抓应急处置。严格落实24小时地灾防汛和森林草原防灭火值班、领导带班AB岗制度，实行“日报平安”制度。采取集中培训、专题宣讲、应急演练等方式，开展各类宣传培训15场次、集中演练10场次，参与人数达到800余人次。</w:t>
      </w:r>
    </w:p>
    <w:p>
      <w:pPr>
        <w:pStyle w:val="18"/>
        <w:ind w:firstLine="480" w:firstLineChars="200"/>
        <w:rPr>
          <w:rFonts w:hint="eastAsia" w:ascii="仿宋" w:hAnsi="仿宋" w:eastAsia="仿宋" w:cs="仿宋"/>
          <w:kern w:val="0"/>
          <w:sz w:val="24"/>
          <w:szCs w:val="24"/>
          <w:shd w:val="clear" w:fill="FFFFFF"/>
          <w:lang w:val="en-US" w:eastAsia="zh-CN" w:bidi="ar"/>
        </w:rPr>
      </w:pPr>
      <w:r>
        <w:rPr>
          <w:rFonts w:hint="eastAsia" w:ascii="仿宋" w:hAnsi="仿宋" w:eastAsia="仿宋" w:cs="仿宋"/>
          <w:kern w:val="0"/>
          <w:sz w:val="24"/>
          <w:szCs w:val="24"/>
          <w:shd w:val="clear" w:fill="FFFFFF"/>
          <w:lang w:val="en-US" w:eastAsia="zh-CN" w:bidi="ar"/>
        </w:rPr>
        <w:t>（六）聚焦党要管党，推动全面从严治党。一是加强思想政治建设，深入学习贯彻习近平总书记系列重要讲话精神，巩固“不忘初心、牢记使命”主题教育成效。牢牢把握党对意识形态的领导权，持续推进“学习强国”APP的学习。二是夯实基层基础，以“党建+”理念推动农村基层党组织标准化、制度化、规范化建设。严格落实“三会一课”、谈心谈话等制度，每月召开党建工作例会，深入分析研究，着力破解基层治理难题。扎实开展党内活动，切实做好“两优一先”推荐评选表彰工作，走访慰问老党员、困难党员、老干部，多形式举行建党百年“七一”系列活动。三是全面完成党委换届选举工作。把党的领导贯穿换届工作全过程，把换届风气监督作为履行管党治党主体责任的重要内容，认真落实换届风气监督“五个责任主体”，抓实宣传教育、谈心谈话、风险排查三项重点，乡党委书记与班子成员及干部职工集中深入开展细致的谈心谈话，提醒、督促其严守换届纪律，为依法打击干扰破坏选举等违纪违法行为筑牢思想防线，全乡7个党支部，选举产生了中国共产党玉瓦乡第十六次代表大会代表55名。6月28日，中国共产党玉瓦乡第十六次代表大会胜利召开，成功选举产生新一届党委委员、纪委委员以及“两委”书记、副书记。四是持续正风肃纪，认真贯彻落实中央八项规定及其实施细则精神和县委《强化“五精”理念狠抓工作落实的十六条措施》，深化干部队伍管理，重点整治乡村干部推诿扯皮、敷衍塞责等现象，科学制定目标绩效二次分配、干部职工请销假等制度，以“零容忍”的态度严肃惩治腐败。</w:t>
      </w:r>
    </w:p>
    <w:p>
      <w:pPr>
        <w:pStyle w:val="13"/>
        <w:keepNext w:val="0"/>
        <w:keepLines w:val="0"/>
        <w:widowControl/>
        <w:suppressLineNumbers w:val="0"/>
        <w:spacing w:before="0" w:beforeAutospacing="0"/>
        <w:ind w:left="0"/>
        <w:jc w:val="left"/>
        <w:rPr>
          <w:shd w:val="clear" w:fill="FFFFFF"/>
        </w:rPr>
      </w:pPr>
    </w:p>
    <w:p>
      <w:pPr>
        <w:pStyle w:val="3"/>
        <w:keepNext w:val="0"/>
        <w:keepLines w:val="0"/>
        <w:widowControl/>
        <w:suppressLineNumbers w:val="0"/>
        <w:spacing w:before="0" w:beforeAutospacing="0"/>
        <w:ind w:left="0"/>
        <w:jc w:val="left"/>
      </w:pPr>
      <w:r>
        <w:rPr>
          <w:shd w:val="clear" w:fill="FFFFFF"/>
        </w:rPr>
        <w:t>二、机构设置</w:t>
      </w:r>
    </w:p>
    <w:p>
      <w:pPr>
        <w:pStyle w:val="13"/>
        <w:keepNext w:val="0"/>
        <w:keepLines w:val="0"/>
        <w:widowControl/>
        <w:suppressLineNumbers w:val="0"/>
        <w:spacing w:before="0" w:beforeAutospacing="0"/>
        <w:ind w:left="0"/>
        <w:jc w:val="left"/>
        <w:rPr>
          <w:shd w:val="clear" w:fill="FFFFFF"/>
        </w:rPr>
      </w:pPr>
      <w:r>
        <w:rPr>
          <w:shd w:val="clear" w:fill="FFFFFF"/>
        </w:rPr>
        <w:t>四川省阿坝州九寨沟县玉瓦乡人民政府下属二级单位</w:t>
      </w:r>
      <w:r>
        <w:rPr>
          <w:rFonts w:hint="eastAsia"/>
          <w:shd w:val="clear" w:fill="FFFFFF"/>
          <w:lang w:val="en-US" w:eastAsia="zh-CN"/>
        </w:rPr>
        <w:t>2</w:t>
      </w:r>
      <w:r>
        <w:rPr>
          <w:shd w:val="clear" w:fill="FFFFFF"/>
        </w:rPr>
        <w:t>个，其中行政单位</w:t>
      </w:r>
      <w:r>
        <w:rPr>
          <w:rFonts w:hint="eastAsia"/>
          <w:shd w:val="clear" w:fill="FFFFFF"/>
          <w:lang w:val="en-US" w:eastAsia="zh-CN"/>
        </w:rPr>
        <w:t>1</w:t>
      </w:r>
      <w:r>
        <w:rPr>
          <w:shd w:val="clear" w:fill="FFFFFF"/>
        </w:rPr>
        <w:t>个，参照公务员法管理的事业单位</w:t>
      </w:r>
      <w:r>
        <w:rPr>
          <w:rFonts w:hint="eastAsia"/>
          <w:shd w:val="clear" w:fill="FFFFFF"/>
          <w:lang w:val="en-US" w:eastAsia="zh-CN"/>
        </w:rPr>
        <w:t>1</w:t>
      </w:r>
      <w:r>
        <w:rPr>
          <w:shd w:val="clear" w:fill="FFFFFF"/>
        </w:rPr>
        <w:t>个。</w:t>
      </w:r>
    </w:p>
    <w:p>
      <w:pPr>
        <w:pStyle w:val="13"/>
        <w:keepNext w:val="0"/>
        <w:keepLines w:val="0"/>
        <w:widowControl/>
        <w:suppressLineNumbers w:val="0"/>
        <w:spacing w:before="0" w:beforeAutospacing="0"/>
        <w:ind w:left="0"/>
        <w:jc w:val="left"/>
        <w:rPr>
          <w:shd w:val="clear" w:fill="FFFFFF"/>
        </w:rPr>
      </w:pPr>
      <w:r>
        <w:rPr>
          <w:shd w:val="clear" w:fill="FFFFFF"/>
        </w:rPr>
        <w:t>纳入四川省阿坝州九寨沟县玉瓦乡人民政府2022年度部门决算编制范围的二级预算单位包括：</w:t>
      </w:r>
    </w:p>
    <w:p>
      <w:pPr>
        <w:widowControl/>
        <w:adjustRightInd w:val="0"/>
        <w:snapToGrid w:val="0"/>
        <w:spacing w:line="580" w:lineRule="exact"/>
        <w:ind w:firstLine="240" w:firstLineChars="100"/>
        <w:contextualSpacing/>
        <w:jc w:val="left"/>
        <w:rPr>
          <w:shd w:val="clear" w:fill="FFFFFF"/>
        </w:rPr>
      </w:pPr>
      <w:r>
        <w:rPr>
          <w:rFonts w:hint="eastAsia" w:ascii="仿宋_GB2312" w:cs="宋体"/>
          <w:color w:val="000000"/>
          <w:kern w:val="0"/>
          <w:szCs w:val="32"/>
          <w:shd w:val="clear" w:color="auto" w:fill="FFFFFF"/>
          <w:lang w:val="en-US" w:eastAsia="zh-CN"/>
        </w:rPr>
        <w:t>1</w:t>
      </w:r>
      <w:r>
        <w:rPr>
          <w:rFonts w:ascii="仿宋_GB2312" w:cs="宋体"/>
          <w:color w:val="000000"/>
          <w:kern w:val="0"/>
          <w:szCs w:val="32"/>
          <w:shd w:val="clear" w:color="auto" w:fill="FFFFFF"/>
          <w:lang w:val="zh-CN"/>
        </w:rPr>
        <w:t>玉瓦乡政府</w:t>
      </w:r>
    </w:p>
    <w:p>
      <w:pPr>
        <w:pStyle w:val="13"/>
        <w:keepNext w:val="0"/>
        <w:keepLines w:val="0"/>
        <w:widowControl/>
        <w:suppressLineNumbers w:val="0"/>
        <w:spacing w:before="0" w:beforeAutospacing="0"/>
        <w:ind w:left="0" w:firstLine="240" w:firstLineChars="100"/>
        <w:jc w:val="left"/>
        <w:rPr>
          <w:shd w:val="clear" w:fill="FFFFFF"/>
        </w:rPr>
      </w:pPr>
      <w:r>
        <w:rPr>
          <w:rFonts w:ascii="仿宋_GB2312" w:cs="宋体"/>
          <w:color w:val="000000"/>
          <w:kern w:val="0"/>
          <w:szCs w:val="32"/>
          <w:shd w:val="clear" w:color="auto" w:fill="FFFFFF"/>
          <w:lang w:val="zh-CN"/>
        </w:rPr>
        <w:t>2 玉瓦乡便民服务中心</w:t>
      </w:r>
    </w:p>
    <w:p>
      <w:pPr>
        <w:widowControl/>
        <w:adjustRightInd w:val="0"/>
        <w:snapToGrid w:val="0"/>
        <w:spacing w:line="580" w:lineRule="exact"/>
        <w:ind w:left="1600"/>
        <w:contextualSpacing/>
        <w:jc w:val="left"/>
      </w:pP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2"/>
        <w:keepNext w:val="0"/>
        <w:keepLines w:val="0"/>
        <w:widowControl/>
        <w:suppressLineNumbers w:val="0"/>
        <w:spacing w:before="0" w:beforeAutospacing="0"/>
        <w:ind w:left="0"/>
        <w:jc w:val="center"/>
      </w:pPr>
      <w:r>
        <w:rPr>
          <w:shd w:val="clear" w:fill="FFFFFF"/>
        </w:rPr>
        <w:t>第二部分 2022年度部门决算情况说明</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rPr>
          <w:b/>
          <w:bCs/>
        </w:rPr>
      </w:pPr>
      <w:r>
        <w:rPr>
          <w:b/>
          <w:bCs/>
          <w:shd w:val="clear" w:fill="FFFFFF"/>
        </w:rPr>
        <w:t>一、收入支出决算总体情况说明</w:t>
      </w:r>
    </w:p>
    <w:p>
      <w:pPr>
        <w:pStyle w:val="13"/>
        <w:keepNext w:val="0"/>
        <w:keepLines w:val="0"/>
        <w:widowControl/>
        <w:suppressLineNumbers w:val="0"/>
        <w:spacing w:before="0" w:beforeAutospacing="0"/>
        <w:ind w:left="0"/>
        <w:jc w:val="left"/>
      </w:pPr>
      <w:r>
        <w:rPr>
          <w:shd w:val="clear" w:fill="FFFFFF"/>
        </w:rPr>
        <w:t>2022年度收、支总计1,410.35万元。与2021年</w:t>
      </w:r>
      <w:r>
        <w:rPr>
          <w:rFonts w:hint="eastAsia"/>
          <w:shd w:val="clear" w:fill="FFFFFF"/>
          <w:lang w:val="en-US" w:eastAsia="zh-CN"/>
        </w:rPr>
        <w:t>1497.71万元</w:t>
      </w:r>
      <w:r>
        <w:rPr>
          <w:shd w:val="clear" w:fill="FFFFFF"/>
        </w:rPr>
        <w:t>相比，</w:t>
      </w:r>
      <w:r>
        <w:rPr>
          <w:rFonts w:hint="eastAsia"/>
          <w:shd w:val="clear" w:fill="FFFFFF"/>
          <w:lang w:val="en-US" w:eastAsia="zh-CN"/>
        </w:rPr>
        <w:t>减少87.36</w:t>
      </w:r>
      <w:r>
        <w:rPr>
          <w:shd w:val="clear" w:fill="FFFFFF"/>
        </w:rPr>
        <w:t>万元。主要变动原因是</w:t>
      </w:r>
      <w:r>
        <w:rPr>
          <w:rFonts w:hint="eastAsia"/>
          <w:shd w:val="clear" w:fill="FFFFFF"/>
          <w:lang w:val="en-US" w:eastAsia="zh-CN"/>
        </w:rPr>
        <w:t>节约用度。</w:t>
      </w:r>
      <w:r>
        <w:rPr>
          <w:shd w:val="clear" w:fill="FFFFFF"/>
        </w:rPr>
        <w:t> </w:t>
      </w:r>
    </w:p>
    <w:p>
      <w:pPr>
        <w:pStyle w:val="13"/>
        <w:keepNext w:val="0"/>
        <w:keepLines w:val="0"/>
        <w:widowControl/>
        <w:suppressLineNumbers w:val="0"/>
        <w:spacing w:before="0" w:beforeAutospacing="0"/>
        <w:ind w:left="0"/>
        <w:jc w:val="left"/>
        <w:rPr>
          <w:b/>
          <w:bCs/>
        </w:rPr>
      </w:pPr>
      <w:r>
        <w:rPr>
          <w:b/>
          <w:bCs/>
          <w:shd w:val="clear" w:fill="FFFFFF"/>
        </w:rPr>
        <w:t>二、收入决算情况说明</w:t>
      </w:r>
    </w:p>
    <w:p>
      <w:pPr>
        <w:pStyle w:val="13"/>
        <w:keepNext w:val="0"/>
        <w:keepLines w:val="0"/>
        <w:widowControl/>
        <w:suppressLineNumbers w:val="0"/>
        <w:spacing w:before="0" w:beforeAutospacing="0"/>
        <w:ind w:left="0"/>
        <w:jc w:val="left"/>
      </w:pPr>
      <w:r>
        <w:rPr>
          <w:shd w:val="clear" w:fill="FFFFFF"/>
        </w:rPr>
        <w:t>2022年本年收入合计947.83万元，其中：一般公共预算财政拨款收入947.83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3"/>
        <w:keepNext w:val="0"/>
        <w:keepLines w:val="0"/>
        <w:widowControl/>
        <w:suppressLineNumbers w:val="0"/>
        <w:spacing w:before="0" w:beforeAutospacing="0"/>
        <w:ind w:left="0"/>
        <w:jc w:val="left"/>
        <w:rPr>
          <w:b/>
          <w:bCs/>
          <w:shd w:val="clear" w:fill="FFFFFF"/>
        </w:rPr>
      </w:pPr>
      <w:r>
        <w:rPr>
          <w:b/>
          <w:bCs/>
          <w:shd w:val="clear" w:fill="FFFFFF"/>
        </w:rPr>
        <w:t>三、支出决算情况说明</w:t>
      </w:r>
    </w:p>
    <w:p>
      <w:pPr>
        <w:pStyle w:val="13"/>
        <w:keepNext w:val="0"/>
        <w:keepLines w:val="0"/>
        <w:widowControl/>
        <w:suppressLineNumbers w:val="0"/>
        <w:spacing w:before="0" w:beforeAutospacing="0"/>
        <w:ind w:left="0"/>
        <w:jc w:val="left"/>
      </w:pPr>
      <w:r>
        <w:rPr>
          <w:shd w:val="clear" w:fill="FFFFFF"/>
        </w:rPr>
        <w:t>2022年本年支出合计1,410.35万元，其中：基本支出748.31万元，占53.06%；项目支出662.04万元，占46.94%；上缴上级支出0.00万元，占0.00%；经营支出0.00万元，占经营支出0.00万元，占 0.00%；对附属单位补助支出0.00万元，占0.00%。</w:t>
      </w:r>
    </w:p>
    <w:p>
      <w:pPr>
        <w:pStyle w:val="13"/>
        <w:keepNext w:val="0"/>
        <w:keepLines w:val="0"/>
        <w:widowControl/>
        <w:suppressLineNumbers w:val="0"/>
        <w:spacing w:before="0" w:beforeAutospacing="0"/>
        <w:ind w:left="0"/>
        <w:jc w:val="left"/>
        <w:rPr>
          <w:b/>
          <w:bCs/>
          <w:shd w:val="clear" w:fill="FFFFFF"/>
        </w:rPr>
      </w:pPr>
      <w:r>
        <w:rPr>
          <w:b/>
          <w:bCs/>
          <w:shd w:val="clear" w:fill="FFFFFF"/>
        </w:rPr>
        <w:t>四、财政拨款收入支出决算总体情况说明</w:t>
      </w:r>
    </w:p>
    <w:p>
      <w:pPr>
        <w:pStyle w:val="13"/>
        <w:keepNext w:val="0"/>
        <w:keepLines w:val="0"/>
        <w:widowControl/>
        <w:suppressLineNumbers w:val="0"/>
        <w:spacing w:before="0" w:beforeAutospacing="0"/>
        <w:ind w:left="0"/>
        <w:jc w:val="left"/>
      </w:pPr>
      <w:r>
        <w:rPr>
          <w:shd w:val="clear" w:fill="FFFFFF"/>
        </w:rPr>
        <w:t>2022年财政拨款收、支总计1,410.35万元。与2021年相比，财政拨款收、支总计减少</w:t>
      </w:r>
      <w:r>
        <w:rPr>
          <w:rFonts w:hint="eastAsia"/>
          <w:shd w:val="clear" w:fill="FFFFFF"/>
          <w:lang w:val="en-US" w:eastAsia="zh-CN"/>
        </w:rPr>
        <w:t>87.35</w:t>
      </w:r>
      <w:r>
        <w:rPr>
          <w:shd w:val="clear" w:fill="FFFFFF"/>
        </w:rPr>
        <w:t>万元。主要变动原因是</w:t>
      </w:r>
      <w:r>
        <w:rPr>
          <w:rFonts w:hint="eastAsia"/>
          <w:shd w:val="clear" w:fill="FFFFFF"/>
          <w:lang w:val="en-US" w:eastAsia="zh-CN"/>
        </w:rPr>
        <w:t>节约用度。</w:t>
      </w: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rPr>
          <w:b/>
          <w:bCs/>
        </w:rPr>
      </w:pPr>
      <w:r>
        <w:rPr>
          <w:b/>
          <w:bCs/>
          <w:shd w:val="clear" w:fill="FFFFFF"/>
        </w:rPr>
        <w:t>五、</w:t>
      </w:r>
      <w:r>
        <w:rPr>
          <w:rStyle w:val="17"/>
          <w:b/>
          <w:bCs/>
          <w:shd w:val="clear" w:fill="FFFFFF"/>
        </w:rPr>
        <w:t>一</w:t>
      </w:r>
      <w:r>
        <w:rPr>
          <w:b/>
          <w:bCs/>
          <w:shd w:val="clear" w:fill="FFFFFF"/>
        </w:rPr>
        <w:t>般公共预算财政拨款支出决算情况说明</w:t>
      </w:r>
    </w:p>
    <w:p>
      <w:pPr>
        <w:pStyle w:val="13"/>
        <w:keepNext w:val="0"/>
        <w:keepLines w:val="0"/>
        <w:widowControl/>
        <w:suppressLineNumbers w:val="0"/>
        <w:spacing w:before="0" w:beforeAutospacing="0"/>
        <w:ind w:left="0"/>
        <w:jc w:val="left"/>
      </w:pPr>
      <w:r>
        <w:rPr>
          <w:rStyle w:val="17"/>
          <w:shd w:val="clear" w:fill="FFFFFF"/>
        </w:rPr>
        <w:t>（一）一般公共预算财政拨款支出决算总体情况</w:t>
      </w:r>
    </w:p>
    <w:p>
      <w:pPr>
        <w:pStyle w:val="13"/>
        <w:keepNext w:val="0"/>
        <w:keepLines w:val="0"/>
        <w:widowControl/>
        <w:suppressLineNumbers w:val="0"/>
        <w:spacing w:before="0" w:beforeAutospacing="0"/>
        <w:ind w:left="0"/>
        <w:jc w:val="left"/>
      </w:pPr>
      <w:r>
        <w:rPr>
          <w:shd w:val="clear" w:fill="FFFFFF"/>
        </w:rPr>
        <w:t>2022年一般公共预算财政拨款支出1,410.35万元，占本年支出合计的100.00%。与2021年相比，一般公共预算财政拨款支出</w:t>
      </w:r>
      <w:r>
        <w:rPr>
          <w:rFonts w:hint="eastAsia"/>
          <w:shd w:val="clear" w:fill="FFFFFF"/>
          <w:lang w:eastAsia="zh-CN"/>
        </w:rPr>
        <w:t>减少</w:t>
      </w:r>
      <w:r>
        <w:rPr>
          <w:rFonts w:hint="eastAsia"/>
          <w:shd w:val="clear" w:fill="FFFFFF"/>
          <w:lang w:val="en-US" w:eastAsia="zh-CN"/>
        </w:rPr>
        <w:t>87.36</w:t>
      </w:r>
      <w:r>
        <w:rPr>
          <w:shd w:val="clear" w:fill="FFFFFF"/>
        </w:rPr>
        <w:t>万元。主要变动原因是</w:t>
      </w:r>
      <w:r>
        <w:rPr>
          <w:rFonts w:hint="eastAsia"/>
          <w:shd w:val="clear" w:fill="FFFFFF"/>
          <w:lang w:eastAsia="zh-CN"/>
        </w:rPr>
        <w:t>节约用度。</w:t>
      </w:r>
      <w:r>
        <w:rPr>
          <w:shd w:val="clear" w:fill="FFFFFF"/>
        </w:rPr>
        <w:t> </w:t>
      </w:r>
    </w:p>
    <w:p>
      <w:pPr>
        <w:pStyle w:val="13"/>
        <w:keepNext w:val="0"/>
        <w:keepLines w:val="0"/>
        <w:widowControl/>
        <w:suppressLineNumbers w:val="0"/>
        <w:spacing w:before="0" w:beforeAutospacing="0"/>
        <w:ind w:left="0"/>
        <w:jc w:val="left"/>
      </w:pPr>
      <w:r>
        <w:rPr>
          <w:rStyle w:val="17"/>
          <w:shd w:val="clear" w:fill="FFFFFF"/>
        </w:rPr>
        <w:t>（二）一般公共预算财政拨款支出决算结构情况</w:t>
      </w:r>
    </w:p>
    <w:p>
      <w:pPr>
        <w:pStyle w:val="18"/>
        <w:bidi w:val="0"/>
        <w:rPr>
          <w:rFonts w:asciiTheme="minorEastAsia" w:hAnsiTheme="minorEastAsia" w:eastAsiaTheme="minorEastAsia" w:cstheme="minorEastAsia"/>
          <w:color w:val="auto"/>
          <w:kern w:val="0"/>
          <w:sz w:val="24"/>
          <w:szCs w:val="24"/>
          <w:shd w:val="clear" w:fill="FFFFFF"/>
          <w:lang w:val="en-US" w:eastAsia="zh-CN" w:bidi="ar"/>
        </w:rPr>
      </w:pPr>
      <w:r>
        <w:rPr>
          <w:rFonts w:asciiTheme="minorEastAsia" w:hAnsiTheme="minorEastAsia" w:eastAsiaTheme="minorEastAsia" w:cstheme="minorEastAsia"/>
          <w:color w:val="auto"/>
          <w:kern w:val="0"/>
          <w:sz w:val="24"/>
          <w:szCs w:val="24"/>
          <w:shd w:val="clear" w:fill="FFFFFF"/>
          <w:lang w:val="en-US" w:eastAsia="zh-CN" w:bidi="ar"/>
        </w:rPr>
        <w:t>2022年一般公共预算财政拨款支出1,410.35万元，主要用于以下方面:一般公共服务（</w:t>
      </w:r>
      <w:r>
        <w:rPr>
          <w:rFonts w:hint="eastAsia" w:asciiTheme="minorEastAsia" w:hAnsiTheme="minorEastAsia" w:eastAsiaTheme="minorEastAsia" w:cstheme="minorEastAsia"/>
          <w:color w:val="auto"/>
          <w:kern w:val="0"/>
          <w:sz w:val="24"/>
          <w:szCs w:val="24"/>
          <w:shd w:val="clear" w:fill="FFFFFF"/>
          <w:lang w:val="en-US" w:eastAsia="zh-CN" w:bidi="ar"/>
        </w:rPr>
        <w:t>201</w:t>
      </w:r>
      <w:r>
        <w:rPr>
          <w:rFonts w:asciiTheme="minorEastAsia" w:hAnsiTheme="minorEastAsia" w:eastAsiaTheme="minorEastAsia" w:cstheme="minorEastAsia"/>
          <w:color w:val="auto"/>
          <w:kern w:val="0"/>
          <w:sz w:val="24"/>
          <w:szCs w:val="24"/>
          <w:shd w:val="clear" w:fill="FFFFFF"/>
          <w:lang w:val="en-US" w:eastAsia="zh-CN" w:bidi="ar"/>
        </w:rPr>
        <w:t>）支出609.78万元，占43.24%；教育支出（类）0.00万元，占0.00%；科学技术（类）支出0.00万元，占0.00%；文化旅游体育与传媒（类）支出0.00万元，占0.00%；社会保障和就业（</w:t>
      </w:r>
      <w:r>
        <w:rPr>
          <w:rFonts w:hint="eastAsia" w:asciiTheme="minorEastAsia" w:hAnsiTheme="minorEastAsia" w:eastAsiaTheme="minorEastAsia" w:cstheme="minorEastAsia"/>
          <w:color w:val="auto"/>
          <w:kern w:val="0"/>
          <w:sz w:val="24"/>
          <w:szCs w:val="24"/>
          <w:shd w:val="clear" w:fill="FFFFFF"/>
          <w:lang w:val="en-US" w:eastAsia="zh-CN" w:bidi="ar"/>
        </w:rPr>
        <w:t>208</w:t>
      </w:r>
      <w:r>
        <w:rPr>
          <w:rFonts w:asciiTheme="minorEastAsia" w:hAnsiTheme="minorEastAsia" w:eastAsiaTheme="minorEastAsia" w:cstheme="minorEastAsia"/>
          <w:color w:val="auto"/>
          <w:kern w:val="0"/>
          <w:sz w:val="24"/>
          <w:szCs w:val="24"/>
          <w:shd w:val="clear" w:fill="FFFFFF"/>
          <w:lang w:val="en-US" w:eastAsia="zh-CN" w:bidi="ar"/>
        </w:rPr>
        <w:t>）支出70.30万元，占4.98%；卫生健康支出</w:t>
      </w:r>
      <w:r>
        <w:rPr>
          <w:rFonts w:hint="eastAsia" w:asciiTheme="minorEastAsia" w:hAnsiTheme="minorEastAsia" w:eastAsiaTheme="minorEastAsia" w:cstheme="minorEastAsia"/>
          <w:color w:val="auto"/>
          <w:kern w:val="0"/>
          <w:sz w:val="24"/>
          <w:szCs w:val="24"/>
          <w:shd w:val="clear" w:fill="FFFFFF"/>
          <w:lang w:val="en-US" w:eastAsia="zh-CN" w:bidi="ar"/>
        </w:rPr>
        <w:t>（210）</w:t>
      </w:r>
      <w:r>
        <w:rPr>
          <w:rFonts w:asciiTheme="minorEastAsia" w:hAnsiTheme="minorEastAsia" w:eastAsiaTheme="minorEastAsia" w:cstheme="minorEastAsia"/>
          <w:color w:val="auto"/>
          <w:kern w:val="0"/>
          <w:sz w:val="24"/>
          <w:szCs w:val="24"/>
          <w:shd w:val="clear" w:fill="FFFFFF"/>
          <w:lang w:val="en-US" w:eastAsia="zh-CN" w:bidi="ar"/>
        </w:rPr>
        <w:t>32.36万元，占2.29%；住房保障支出</w:t>
      </w:r>
      <w:r>
        <w:rPr>
          <w:rFonts w:hint="eastAsia" w:asciiTheme="minorEastAsia" w:hAnsiTheme="minorEastAsia" w:eastAsiaTheme="minorEastAsia" w:cstheme="minorEastAsia"/>
          <w:color w:val="auto"/>
          <w:kern w:val="0"/>
          <w:sz w:val="24"/>
          <w:szCs w:val="24"/>
          <w:shd w:val="clear" w:fill="FFFFFF"/>
          <w:lang w:val="en-US" w:eastAsia="zh-CN" w:bidi="ar"/>
        </w:rPr>
        <w:t>（221）</w:t>
      </w:r>
      <w:r>
        <w:rPr>
          <w:rFonts w:asciiTheme="minorEastAsia" w:hAnsiTheme="minorEastAsia" w:eastAsiaTheme="minorEastAsia" w:cstheme="minorEastAsia"/>
          <w:color w:val="auto"/>
          <w:kern w:val="0"/>
          <w:sz w:val="24"/>
          <w:szCs w:val="24"/>
          <w:shd w:val="clear" w:fill="FFFFFF"/>
          <w:lang w:val="en-US" w:eastAsia="zh-CN" w:bidi="ar"/>
        </w:rPr>
        <w:t>42.46万元，占3.01%。 </w:t>
      </w:r>
    </w:p>
    <w:p>
      <w:pPr>
        <w:pStyle w:val="13"/>
        <w:keepNext w:val="0"/>
        <w:keepLines w:val="0"/>
        <w:widowControl/>
        <w:suppressLineNumbers w:val="0"/>
        <w:spacing w:before="0" w:beforeAutospacing="0"/>
        <w:ind w:left="0"/>
        <w:jc w:val="left"/>
        <w:rPr>
          <w:rStyle w:val="17"/>
          <w:rFonts w:ascii="Times New Roman" w:hAnsi="Times New Roman" w:eastAsia="宋体" w:cs="Times New Roman"/>
          <w:shd w:val="clear" w:fill="FFFFFF"/>
        </w:rPr>
      </w:pPr>
      <w:r>
        <w:rPr>
          <w:rStyle w:val="17"/>
          <w:rFonts w:ascii="Times New Roman" w:hAnsi="Times New Roman" w:eastAsia="宋体" w:cs="Times New Roman"/>
          <w:shd w:val="clear" w:fill="FFFFFF"/>
        </w:rPr>
        <w:t>（三）一般公共预算财政拨款支出决算具体情况</w:t>
      </w:r>
    </w:p>
    <w:p>
      <w:pPr>
        <w:pStyle w:val="13"/>
        <w:keepNext w:val="0"/>
        <w:keepLines w:val="0"/>
        <w:widowControl/>
        <w:suppressLineNumbers w:val="0"/>
        <w:spacing w:before="0" w:beforeAutospacing="0"/>
        <w:ind w:left="0"/>
        <w:jc w:val="left"/>
        <w:rPr>
          <w:shd w:val="clear" w:fill="FFFFFF"/>
        </w:rPr>
      </w:pPr>
      <w:r>
        <w:rPr>
          <w:shd w:val="clear" w:fill="FFFFFF"/>
        </w:rPr>
        <w:t>2022年一般公共预算支出决算数为1,410.35，完成预算100.00%。其中：</w:t>
      </w:r>
    </w:p>
    <w:p>
      <w:pPr>
        <w:pStyle w:val="13"/>
        <w:keepNext w:val="0"/>
        <w:keepLines w:val="0"/>
        <w:widowControl/>
        <w:suppressLineNumbers w:val="0"/>
        <w:spacing w:before="0" w:beforeAutospacing="0"/>
        <w:ind w:left="0"/>
        <w:jc w:val="left"/>
        <w:rPr>
          <w:rFonts w:hint="eastAsia"/>
          <w:shd w:val="clear" w:fill="FFFFFF"/>
          <w:lang w:val="en-US" w:eastAsia="zh-CN"/>
        </w:rPr>
      </w:pPr>
      <w:r>
        <w:rPr>
          <w:shd w:val="clear" w:fill="FFFFFF"/>
        </w:rPr>
        <w:t>一般公共服务（</w:t>
      </w:r>
      <w:r>
        <w:rPr>
          <w:rFonts w:hint="eastAsia"/>
          <w:shd w:val="clear" w:fill="FFFFFF"/>
          <w:lang w:val="en-US" w:eastAsia="zh-CN"/>
        </w:rPr>
        <w:t>201</w:t>
      </w:r>
      <w:r>
        <w:rPr>
          <w:shd w:val="clear" w:fill="FFFFFF"/>
        </w:rPr>
        <w:t>）</w:t>
      </w:r>
      <w:r>
        <w:rPr>
          <w:rFonts w:hint="eastAsia"/>
          <w:shd w:val="clear" w:fill="FFFFFF"/>
          <w:lang w:val="en-US" w:eastAsia="zh-CN"/>
        </w:rPr>
        <w:t>政府办公厅（室）及相关机构事务（03）行政运行（01）: 支出决算为436.46万元，完成预算100%。</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2.</w:t>
      </w:r>
      <w:r>
        <w:rPr>
          <w:shd w:val="clear" w:fill="FFFFFF"/>
        </w:rPr>
        <w:t>一般公共服务（</w:t>
      </w:r>
      <w:r>
        <w:rPr>
          <w:rFonts w:hint="eastAsia"/>
          <w:shd w:val="clear" w:fill="FFFFFF"/>
          <w:lang w:val="en-US" w:eastAsia="zh-CN"/>
        </w:rPr>
        <w:t>201</w:t>
      </w:r>
      <w:r>
        <w:rPr>
          <w:shd w:val="clear" w:fill="FFFFFF"/>
        </w:rPr>
        <w:t>）</w:t>
      </w:r>
      <w:r>
        <w:rPr>
          <w:rFonts w:hint="eastAsia"/>
          <w:shd w:val="clear" w:fill="FFFFFF"/>
          <w:lang w:val="en-US" w:eastAsia="zh-CN"/>
        </w:rPr>
        <w:t>政府办公厅（室）及相关机构事务（03）事业运行（50）: 支出决算为173.31万元，完成预算100%</w:t>
      </w:r>
      <w:r>
        <w:rPr>
          <w:shd w:val="clear" w:fill="FFFFFF"/>
        </w:rPr>
        <w:t>。</w:t>
      </w:r>
    </w:p>
    <w:p>
      <w:pPr>
        <w:pStyle w:val="13"/>
        <w:keepNext w:val="0"/>
        <w:keepLines w:val="0"/>
        <w:widowControl/>
        <w:suppressLineNumbers w:val="0"/>
        <w:spacing w:before="0" w:beforeAutospacing="0"/>
        <w:ind w:left="0"/>
        <w:jc w:val="left"/>
        <w:rPr>
          <w:rFonts w:hint="eastAsia"/>
          <w:shd w:val="clear" w:fill="FFFFFF"/>
          <w:lang w:eastAsia="zh-CN"/>
        </w:rPr>
      </w:pPr>
      <w:r>
        <w:rPr>
          <w:rFonts w:hint="eastAsia"/>
          <w:shd w:val="clear" w:fill="FFFFFF"/>
          <w:lang w:val="en-US" w:eastAsia="zh-CN"/>
        </w:rPr>
        <w:t>3</w:t>
      </w:r>
      <w:r>
        <w:rPr>
          <w:shd w:val="clear" w:fill="FFFFFF"/>
        </w:rPr>
        <w:t>.教育（类）: 支出决算为</w:t>
      </w:r>
      <w:r>
        <w:rPr>
          <w:rFonts w:hint="eastAsia"/>
          <w:shd w:val="clear" w:fill="FFFFFF"/>
          <w:lang w:val="en-US" w:eastAsia="zh-CN"/>
        </w:rPr>
        <w:t>0</w:t>
      </w:r>
      <w:r>
        <w:rPr>
          <w:shd w:val="clear" w:fill="FFFFFF"/>
        </w:rPr>
        <w:t>万元</w:t>
      </w:r>
      <w:r>
        <w:rPr>
          <w:rFonts w:hint="eastAsia"/>
          <w:shd w:val="clear" w:fill="FFFFFF"/>
          <w:lang w:eastAsia="zh-CN"/>
        </w:rPr>
        <w:t>。</w:t>
      </w:r>
    </w:p>
    <w:p>
      <w:pPr>
        <w:pStyle w:val="13"/>
        <w:keepNext w:val="0"/>
        <w:keepLines w:val="0"/>
        <w:widowControl/>
        <w:suppressLineNumbers w:val="0"/>
        <w:spacing w:before="0" w:beforeAutospacing="0"/>
        <w:ind w:left="0"/>
        <w:jc w:val="left"/>
        <w:rPr>
          <w:rFonts w:hint="eastAsia"/>
          <w:shd w:val="clear" w:fill="FFFFFF"/>
          <w:lang w:eastAsia="zh-CN"/>
        </w:rPr>
      </w:pPr>
      <w:r>
        <w:rPr>
          <w:rFonts w:hint="eastAsia"/>
          <w:shd w:val="clear" w:fill="FFFFFF"/>
          <w:lang w:val="en-US" w:eastAsia="zh-CN"/>
        </w:rPr>
        <w:t>4</w:t>
      </w:r>
      <w:r>
        <w:rPr>
          <w:shd w:val="clear" w:fill="FFFFFF"/>
        </w:rPr>
        <w:t>.科学技术（类）: 支出决算为</w:t>
      </w:r>
      <w:r>
        <w:rPr>
          <w:rFonts w:hint="eastAsia"/>
          <w:shd w:val="clear" w:fill="FFFFFF"/>
          <w:lang w:val="en-US" w:eastAsia="zh-CN"/>
        </w:rPr>
        <w:t>0</w:t>
      </w:r>
      <w:r>
        <w:rPr>
          <w:shd w:val="clear" w:fill="FFFFFF"/>
        </w:rPr>
        <w:t>万元</w:t>
      </w:r>
      <w:r>
        <w:rPr>
          <w:rFonts w:hint="eastAsia"/>
          <w:shd w:val="clear" w:fill="FFFFFF"/>
          <w:lang w:eastAsia="zh-CN"/>
        </w:rPr>
        <w:t>。</w:t>
      </w:r>
    </w:p>
    <w:p>
      <w:pPr>
        <w:pStyle w:val="13"/>
        <w:keepNext w:val="0"/>
        <w:keepLines w:val="0"/>
        <w:widowControl/>
        <w:suppressLineNumbers w:val="0"/>
        <w:spacing w:before="0" w:beforeAutospacing="0"/>
        <w:ind w:left="0"/>
        <w:jc w:val="left"/>
        <w:rPr>
          <w:rFonts w:hint="eastAsia"/>
          <w:shd w:val="clear" w:fill="FFFFFF"/>
          <w:lang w:eastAsia="zh-CN"/>
        </w:rPr>
      </w:pPr>
      <w:r>
        <w:rPr>
          <w:rFonts w:hint="eastAsia"/>
          <w:shd w:val="clear" w:fill="FFFFFF"/>
          <w:lang w:val="en-US" w:eastAsia="zh-CN"/>
        </w:rPr>
        <w:t>5</w:t>
      </w:r>
      <w:r>
        <w:rPr>
          <w:shd w:val="clear" w:fill="FFFFFF"/>
        </w:rPr>
        <w:t>.文化旅游体育与传媒（类）: 支出决算为</w:t>
      </w:r>
      <w:r>
        <w:rPr>
          <w:rFonts w:hint="eastAsia"/>
          <w:shd w:val="clear" w:fill="FFFFFF"/>
          <w:lang w:val="en-US" w:eastAsia="zh-CN"/>
        </w:rPr>
        <w:t>0</w:t>
      </w:r>
      <w:r>
        <w:rPr>
          <w:shd w:val="clear" w:fill="FFFFFF"/>
        </w:rPr>
        <w:t>万元</w:t>
      </w:r>
      <w:r>
        <w:rPr>
          <w:rFonts w:hint="eastAsia"/>
          <w:shd w:val="clear" w:fill="FFFFFF"/>
          <w:lang w:eastAsia="zh-CN"/>
        </w:rPr>
        <w:t>。</w:t>
      </w:r>
    </w:p>
    <w:p>
      <w:pPr>
        <w:pStyle w:val="13"/>
        <w:keepNext w:val="0"/>
        <w:keepLines w:val="0"/>
        <w:widowControl/>
        <w:suppressLineNumbers w:val="0"/>
        <w:spacing w:before="0" w:beforeAutospacing="0"/>
        <w:ind w:left="0"/>
        <w:jc w:val="left"/>
        <w:rPr>
          <w:rFonts w:hint="eastAsia"/>
          <w:shd w:val="clear" w:fill="FFFFFF"/>
          <w:lang w:eastAsia="zh-CN"/>
        </w:rPr>
      </w:pPr>
      <w:r>
        <w:rPr>
          <w:rFonts w:hint="eastAsia"/>
          <w:shd w:val="clear" w:fill="FFFFFF"/>
          <w:lang w:val="en-US" w:eastAsia="zh-CN"/>
        </w:rPr>
        <w:t>6</w:t>
      </w:r>
      <w:r>
        <w:rPr>
          <w:shd w:val="clear" w:fill="FFFFFF"/>
        </w:rPr>
        <w:t>.社会保障和就业（</w:t>
      </w:r>
      <w:r>
        <w:rPr>
          <w:rFonts w:hint="eastAsia"/>
          <w:shd w:val="clear" w:fill="FFFFFF"/>
          <w:lang w:val="en-US" w:eastAsia="zh-CN"/>
        </w:rPr>
        <w:t>208</w:t>
      </w:r>
      <w:r>
        <w:rPr>
          <w:shd w:val="clear" w:fill="FFFFFF"/>
        </w:rPr>
        <w:t>）: 支出决算为</w:t>
      </w:r>
      <w:r>
        <w:rPr>
          <w:rFonts w:hint="eastAsia"/>
          <w:shd w:val="clear" w:fill="FFFFFF"/>
          <w:lang w:val="en-US" w:eastAsia="zh-CN"/>
        </w:rPr>
        <w:t>70.3</w:t>
      </w:r>
      <w:r>
        <w:rPr>
          <w:shd w:val="clear" w:fill="FFFFFF"/>
        </w:rPr>
        <w:t>万元，完成预算</w:t>
      </w:r>
      <w:r>
        <w:rPr>
          <w:rFonts w:hint="eastAsia"/>
          <w:shd w:val="clear" w:fill="FFFFFF"/>
          <w:lang w:val="en-US" w:eastAsia="zh-CN"/>
        </w:rPr>
        <w:t>100</w:t>
      </w:r>
      <w:r>
        <w:rPr>
          <w:shd w:val="clear" w:fill="FFFFFF"/>
        </w:rPr>
        <w:t>%</w:t>
      </w:r>
      <w:r>
        <w:rPr>
          <w:rFonts w:hint="eastAsia"/>
          <w:shd w:val="clear" w:fill="FFFFFF"/>
          <w:lang w:eastAsia="zh-CN"/>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7</w:t>
      </w:r>
      <w:r>
        <w:rPr>
          <w:shd w:val="clear" w:fill="FFFFFF"/>
        </w:rPr>
        <w:t>.卫生健康（</w:t>
      </w:r>
      <w:r>
        <w:rPr>
          <w:rFonts w:hint="eastAsia"/>
          <w:shd w:val="clear" w:fill="FFFFFF"/>
          <w:lang w:val="en-US" w:eastAsia="zh-CN"/>
        </w:rPr>
        <w:t>210</w:t>
      </w:r>
      <w:r>
        <w:rPr>
          <w:shd w:val="clear" w:fill="FFFFFF"/>
        </w:rPr>
        <w:t>）:支出决算为</w:t>
      </w:r>
      <w:r>
        <w:rPr>
          <w:rFonts w:hint="eastAsia"/>
          <w:shd w:val="clear" w:fill="FFFFFF"/>
          <w:lang w:val="en-US" w:eastAsia="zh-CN"/>
        </w:rPr>
        <w:t>32.36</w:t>
      </w:r>
      <w:r>
        <w:rPr>
          <w:shd w:val="clear" w:fill="FFFFFF"/>
        </w:rPr>
        <w:t>万元，完成预算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8.住房保障（221）：支出决算为42.46万元，</w:t>
      </w:r>
      <w:r>
        <w:rPr>
          <w:shd w:val="clear" w:fill="FFFFFF"/>
        </w:rPr>
        <w:t>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9.城乡社区支出（212）：支出决算为9.19万元，</w:t>
      </w:r>
      <w:r>
        <w:rPr>
          <w:shd w:val="clear" w:fill="FFFFFF"/>
        </w:rPr>
        <w:t>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10.农林水支出（213）：支出决算为617.95万元，</w:t>
      </w:r>
      <w:r>
        <w:rPr>
          <w:shd w:val="clear" w:fill="FFFFFF"/>
        </w:rPr>
        <w:t>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rPr>
          <w:shd w:val="clear" w:fill="FFFFFF"/>
        </w:rPr>
      </w:pPr>
      <w:r>
        <w:rPr>
          <w:rFonts w:hint="eastAsia"/>
          <w:shd w:val="clear" w:fill="FFFFFF"/>
          <w:lang w:val="en-US" w:eastAsia="zh-CN"/>
        </w:rPr>
        <w:t>11.灾害防治及应急管理支出（224）：支出决算为28.3万元，</w:t>
      </w:r>
      <w:r>
        <w:rPr>
          <w:shd w:val="clear" w:fill="FFFFFF"/>
        </w:rPr>
        <w:t>完成预算</w:t>
      </w:r>
      <w:r>
        <w:rPr>
          <w:rFonts w:hint="eastAsia"/>
          <w:shd w:val="clear" w:fill="FFFFFF"/>
          <w:lang w:val="en-US" w:eastAsia="zh-CN"/>
        </w:rPr>
        <w:t>100</w:t>
      </w:r>
      <w:r>
        <w:rPr>
          <w:shd w:val="clear" w:fill="FFFFFF"/>
        </w:rPr>
        <w:t>%。</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b/>
          <w:bCs/>
          <w:shd w:val="clear" w:fill="FFFFFF"/>
        </w:rPr>
        <w:t>六</w:t>
      </w:r>
      <w:r>
        <w:rPr>
          <w:rStyle w:val="17"/>
          <w:b/>
          <w:bCs/>
          <w:shd w:val="clear" w:fill="FFFFFF"/>
        </w:rPr>
        <w:t>、一</w:t>
      </w:r>
      <w:r>
        <w:rPr>
          <w:b/>
          <w:bCs/>
          <w:shd w:val="clear" w:fill="FFFFFF"/>
        </w:rPr>
        <w:t>般公共预算财政拨款基本支出决算情况说明 </w:t>
      </w:r>
      <w:r>
        <w:rPr>
          <w:shd w:val="clear" w:fill="FFFFFF"/>
        </w:rPr>
        <w:t>  </w:t>
      </w:r>
    </w:p>
    <w:p>
      <w:pPr>
        <w:pStyle w:val="13"/>
        <w:keepNext w:val="0"/>
        <w:keepLines w:val="0"/>
        <w:widowControl/>
        <w:suppressLineNumbers w:val="0"/>
        <w:spacing w:before="0" w:beforeAutospacing="0"/>
        <w:ind w:left="0"/>
        <w:jc w:val="left"/>
      </w:pPr>
      <w:r>
        <w:rPr>
          <w:shd w:val="clear" w:fill="FFFFFF"/>
        </w:rPr>
        <w:t>2022年一般公共预算财政拨款基本支出748.31万元，其中：</w:t>
      </w:r>
    </w:p>
    <w:p>
      <w:pPr>
        <w:pStyle w:val="13"/>
        <w:keepNext w:val="0"/>
        <w:keepLines w:val="0"/>
        <w:widowControl/>
        <w:suppressLineNumbers w:val="0"/>
        <w:spacing w:before="0" w:beforeAutospacing="0"/>
        <w:ind w:left="0"/>
        <w:jc w:val="left"/>
      </w:pPr>
      <w:r>
        <w:rPr>
          <w:shd w:val="clear" w:fill="FFFFFF"/>
        </w:rPr>
        <w:t>人员经费627.20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3"/>
        <w:keepNext w:val="0"/>
        <w:keepLines w:val="0"/>
        <w:widowControl/>
        <w:suppressLineNumbers w:val="0"/>
        <w:spacing w:before="0" w:beforeAutospacing="0"/>
        <w:ind w:left="0"/>
        <w:jc w:val="left"/>
        <w:rPr>
          <w:shd w:val="clear" w:fill="FFFFFF"/>
        </w:rPr>
      </w:pPr>
      <w:r>
        <w:rPr>
          <w:shd w:val="clear" w:fill="FFFFFF"/>
        </w:rPr>
        <w:t>　　公用经费121.11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3"/>
        <w:keepNext w:val="0"/>
        <w:keepLines w:val="0"/>
        <w:widowControl/>
        <w:suppressLineNumbers w:val="0"/>
        <w:spacing w:before="0" w:beforeAutospacing="0"/>
        <w:ind w:left="0"/>
        <w:jc w:val="left"/>
        <w:rPr>
          <w:b/>
          <w:bCs/>
        </w:rPr>
      </w:pPr>
      <w:r>
        <w:rPr>
          <w:b/>
          <w:bCs/>
          <w:shd w:val="clear" w:fill="FFFFFF"/>
        </w:rPr>
        <w:t>七、“三公”经费财政拨款支出决算情况说明</w:t>
      </w:r>
    </w:p>
    <w:p>
      <w:pPr>
        <w:pStyle w:val="13"/>
        <w:keepNext w:val="0"/>
        <w:keepLines w:val="0"/>
        <w:widowControl/>
        <w:suppressLineNumbers w:val="0"/>
        <w:spacing w:before="0" w:beforeAutospacing="0"/>
        <w:ind w:left="0"/>
        <w:jc w:val="left"/>
      </w:pPr>
      <w:r>
        <w:rPr>
          <w:rStyle w:val="17"/>
          <w:shd w:val="clear" w:fill="FFFFFF"/>
        </w:rPr>
        <w:t>（一）“三公”经费财政拨款支出决算总体情况说明</w:t>
      </w:r>
    </w:p>
    <w:p>
      <w:pPr>
        <w:pStyle w:val="13"/>
        <w:keepNext w:val="0"/>
        <w:keepLines w:val="0"/>
        <w:widowControl/>
        <w:suppressLineNumbers w:val="0"/>
        <w:spacing w:before="0" w:beforeAutospacing="0"/>
        <w:ind w:left="0"/>
        <w:jc w:val="left"/>
      </w:pPr>
      <w:r>
        <w:rPr>
          <w:shd w:val="clear" w:fill="FFFFFF"/>
        </w:rPr>
        <w:t>2022年“三公”经费财政拨款支出决算为6.00万元，完成预算100.00%，与预算数持平的主要原因</w:t>
      </w:r>
      <w:r>
        <w:rPr>
          <w:rFonts w:hint="eastAsia"/>
          <w:shd w:val="clear" w:fill="FFFFFF"/>
          <w:lang w:eastAsia="zh-CN"/>
        </w:rPr>
        <w:t>是按照预算进行开支</w:t>
      </w:r>
      <w:r>
        <w:rPr>
          <w:shd w:val="clear" w:fill="FFFFFF"/>
        </w:rPr>
        <w:t>。</w:t>
      </w:r>
    </w:p>
    <w:p>
      <w:pPr>
        <w:pStyle w:val="13"/>
        <w:keepNext w:val="0"/>
        <w:keepLines w:val="0"/>
        <w:widowControl/>
        <w:suppressLineNumbers w:val="0"/>
        <w:spacing w:before="0" w:beforeAutospacing="0"/>
        <w:ind w:left="0"/>
        <w:jc w:val="left"/>
      </w:pPr>
      <w:r>
        <w:rPr>
          <w:rStyle w:val="17"/>
          <w:shd w:val="clear" w:fill="FFFFFF"/>
        </w:rPr>
        <w:t>（二）“三公”经费财政拨款支出决算具体情况说明</w:t>
      </w:r>
    </w:p>
    <w:p>
      <w:pPr>
        <w:pStyle w:val="13"/>
        <w:keepNext w:val="0"/>
        <w:keepLines w:val="0"/>
        <w:widowControl/>
        <w:suppressLineNumbers w:val="0"/>
        <w:spacing w:before="0" w:beforeAutospacing="0"/>
        <w:ind w:left="0"/>
        <w:jc w:val="left"/>
        <w:rPr>
          <w:shd w:val="clear" w:fill="FFFFFF"/>
        </w:rPr>
      </w:pPr>
      <w:r>
        <w:rPr>
          <w:shd w:val="clear" w:fill="FFFFFF"/>
        </w:rPr>
        <w:t>2022年“三公”经费财政拨款支出决算中，因公出国（境）费支出决算0.00万元，占0.00%；公务用车购置及运行维护费支出决算6.00万元，占100.00%；公务接待费支出决算0.00万元，占0.00%。</w:t>
      </w:r>
    </w:p>
    <w:p>
      <w:pPr>
        <w:pStyle w:val="13"/>
        <w:keepNext w:val="0"/>
        <w:keepLines w:val="0"/>
        <w:widowControl/>
        <w:suppressLineNumbers w:val="0"/>
        <w:spacing w:before="0" w:beforeAutospacing="0"/>
        <w:ind w:left="0"/>
        <w:jc w:val="left"/>
        <w:rPr>
          <w:shd w:val="clear" w:fill="FFFFFF"/>
        </w:rPr>
      </w:pPr>
      <w:r>
        <w:rPr>
          <w:shd w:val="clear" w:fill="FFFFFF"/>
        </w:rPr>
        <w:t>1.因公出国（境）经费支出0.00万元，完成预算0.00%。全年安排因公出国（境）团组0次，出国（境）0人。因公出国（境）支出决算比2021年增加0.00万元，增长0.00%。</w:t>
      </w:r>
    </w:p>
    <w:p>
      <w:pPr>
        <w:pStyle w:val="13"/>
        <w:keepNext w:val="0"/>
        <w:keepLines w:val="0"/>
        <w:widowControl/>
        <w:suppressLineNumbers w:val="0"/>
        <w:spacing w:before="0" w:beforeAutospacing="0"/>
        <w:ind w:left="0"/>
        <w:jc w:val="left"/>
        <w:rPr>
          <w:shd w:val="clear" w:fill="FFFFFF"/>
        </w:rPr>
      </w:pPr>
      <w:r>
        <w:rPr>
          <w:shd w:val="clear" w:fill="FFFFFF"/>
        </w:rPr>
        <w:t>2.公务用车购置及运行维护费支出6.00万元,完成预算100.00%。公务用车购置及运行维护费支出决算比2021</w:t>
      </w:r>
      <w:r>
        <w:rPr>
          <w:rFonts w:hint="eastAsia"/>
          <w:shd w:val="clear" w:fill="FFFFFF"/>
          <w:lang w:eastAsia="zh-CN"/>
        </w:rPr>
        <w:t>年减少</w:t>
      </w:r>
      <w:r>
        <w:rPr>
          <w:rFonts w:hint="eastAsia"/>
          <w:shd w:val="clear" w:fill="FFFFFF"/>
          <w:lang w:val="en-US" w:eastAsia="zh-CN"/>
        </w:rPr>
        <w:t>7.98</w:t>
      </w:r>
      <w:r>
        <w:rPr>
          <w:shd w:val="clear" w:fill="FFFFFF"/>
        </w:rPr>
        <w:t>万元。主要原因是</w:t>
      </w:r>
      <w:r>
        <w:rPr>
          <w:rFonts w:hint="eastAsia"/>
          <w:shd w:val="clear" w:fill="FFFFFF"/>
          <w:lang w:eastAsia="zh-CN"/>
        </w:rPr>
        <w:t>节约开支</w:t>
      </w:r>
      <w:r>
        <w:rPr>
          <w:shd w:val="clear" w:fill="FFFFFF"/>
        </w:rPr>
        <w:t>。</w:t>
      </w:r>
    </w:p>
    <w:p>
      <w:pPr>
        <w:pStyle w:val="13"/>
        <w:keepNext w:val="0"/>
        <w:keepLines w:val="0"/>
        <w:widowControl/>
        <w:suppressLineNumbers w:val="0"/>
        <w:spacing w:before="0" w:beforeAutospacing="0"/>
        <w:ind w:left="0"/>
        <w:jc w:val="left"/>
        <w:rPr>
          <w:shd w:val="clear" w:fill="FFFFFF"/>
        </w:rPr>
      </w:pPr>
      <w:r>
        <w:rPr>
          <w:shd w:val="clear" w:fill="FFFFFF"/>
        </w:rPr>
        <w:t>其中：公务用车购置支出0.00万元。全年按规定更新购置公务用车0辆</w:t>
      </w:r>
      <w:r>
        <w:rPr>
          <w:rFonts w:hint="eastAsia"/>
          <w:shd w:val="clear" w:fill="FFFFFF"/>
          <w:lang w:eastAsia="zh-CN"/>
        </w:rPr>
        <w:t>，</w:t>
      </w:r>
      <w:r>
        <w:rPr>
          <w:shd w:val="clear" w:fill="FFFFFF"/>
        </w:rPr>
        <w:t>公务用车运行维护费支出6.00万元。主要用于公务用车燃料费、维修费、过路过桥费、保险费等支出。</w:t>
      </w:r>
    </w:p>
    <w:p>
      <w:pPr>
        <w:pStyle w:val="13"/>
        <w:keepNext w:val="0"/>
        <w:keepLines w:val="0"/>
        <w:widowControl/>
        <w:suppressLineNumbers w:val="0"/>
        <w:spacing w:before="0" w:beforeAutospacing="0"/>
        <w:ind w:left="0"/>
        <w:jc w:val="left"/>
        <w:rPr>
          <w:rFonts w:hint="eastAsia" w:eastAsiaTheme="minorEastAsia"/>
          <w:lang w:eastAsia="zh-CN"/>
        </w:rPr>
      </w:pPr>
      <w:r>
        <w:rPr>
          <w:shd w:val="clear" w:fill="FFFFFF"/>
        </w:rPr>
        <w:t>3.公务接待费支出0.00万元，完成预算100%。公务接待费支出决算比2021年增加0.00万元，增长0.00%</w:t>
      </w:r>
      <w:r>
        <w:rPr>
          <w:rFonts w:hint="eastAsia"/>
          <w:shd w:val="clear" w:fill="FFFFFF"/>
          <w:lang w:eastAsia="zh-CN"/>
        </w:rPr>
        <w:t>。</w:t>
      </w:r>
      <w:r>
        <w:rPr>
          <w:shd w:val="clear" w:fill="FFFFFF"/>
        </w:rPr>
        <w:t>国内公务接待支出0.00万元。外事接待支出0.00万元</w:t>
      </w:r>
      <w:r>
        <w:rPr>
          <w:rFonts w:hint="eastAsia"/>
          <w:shd w:val="clear" w:fill="FFFFFF"/>
          <w:lang w:eastAsia="zh-CN"/>
        </w:rPr>
        <w:t>。</w:t>
      </w:r>
    </w:p>
    <w:p>
      <w:pPr>
        <w:pStyle w:val="13"/>
        <w:keepNext w:val="0"/>
        <w:keepLines w:val="0"/>
        <w:widowControl/>
        <w:suppressLineNumbers w:val="0"/>
        <w:spacing w:before="0" w:beforeAutospacing="0"/>
        <w:ind w:left="0"/>
        <w:jc w:val="left"/>
        <w:rPr>
          <w:b/>
          <w:bCs/>
        </w:rPr>
      </w:pPr>
      <w:r>
        <w:rPr>
          <w:b/>
          <w:bCs/>
          <w:shd w:val="clear" w:fill="FFFFFF"/>
        </w:rPr>
        <w:t>八、政府性基金预算支出决算情况说明</w:t>
      </w:r>
    </w:p>
    <w:p>
      <w:pPr>
        <w:pStyle w:val="13"/>
        <w:keepNext w:val="0"/>
        <w:keepLines w:val="0"/>
        <w:widowControl/>
        <w:suppressLineNumbers w:val="0"/>
        <w:spacing w:before="0" w:beforeAutospacing="0"/>
        <w:ind w:left="0"/>
        <w:jc w:val="left"/>
      </w:pPr>
      <w:r>
        <w:rPr>
          <w:shd w:val="clear" w:fill="FFFFFF"/>
        </w:rPr>
        <w:t>2022年政府性基金预算财政拨款支出0.00万元。</w:t>
      </w:r>
    </w:p>
    <w:p>
      <w:pPr>
        <w:pStyle w:val="13"/>
        <w:keepNext w:val="0"/>
        <w:keepLines w:val="0"/>
        <w:widowControl/>
        <w:suppressLineNumbers w:val="0"/>
        <w:spacing w:before="0" w:beforeAutospacing="0"/>
        <w:ind w:left="0"/>
        <w:jc w:val="left"/>
        <w:rPr>
          <w:b/>
          <w:bCs/>
        </w:rPr>
      </w:pPr>
      <w:r>
        <w:rPr>
          <w:shd w:val="clear" w:fill="FFFFFF"/>
        </w:rPr>
        <w:t> </w:t>
      </w:r>
    </w:p>
    <w:p>
      <w:pPr>
        <w:pStyle w:val="13"/>
        <w:keepNext w:val="0"/>
        <w:keepLines w:val="0"/>
        <w:widowControl/>
        <w:suppressLineNumbers w:val="0"/>
        <w:spacing w:before="0" w:beforeAutospacing="0"/>
        <w:ind w:left="0"/>
        <w:jc w:val="left"/>
        <w:rPr>
          <w:b/>
          <w:bCs/>
        </w:rPr>
      </w:pPr>
      <w:r>
        <w:rPr>
          <w:b/>
          <w:bCs/>
          <w:shd w:val="clear" w:fill="FFFFFF"/>
        </w:rPr>
        <w:t>九、国有资本经营预算支出决算情况说明</w:t>
      </w:r>
    </w:p>
    <w:p>
      <w:pPr>
        <w:pStyle w:val="13"/>
        <w:keepNext w:val="0"/>
        <w:keepLines w:val="0"/>
        <w:widowControl/>
        <w:suppressLineNumbers w:val="0"/>
        <w:spacing w:before="0" w:beforeAutospacing="0"/>
        <w:ind w:left="0"/>
        <w:jc w:val="left"/>
      </w:pPr>
      <w:r>
        <w:rPr>
          <w:shd w:val="clear" w:fill="FFFFFF"/>
        </w:rPr>
        <w:t>2022年国有资本经营预算财政拨款支出0.00万元。</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numPr>
          <w:ilvl w:val="0"/>
          <w:numId w:val="1"/>
        </w:numPr>
        <w:suppressLineNumbers w:val="0"/>
        <w:spacing w:before="0" w:beforeAutospacing="0"/>
        <w:ind w:left="0"/>
        <w:jc w:val="left"/>
        <w:rPr>
          <w:shd w:val="clear" w:fill="FFFFFF"/>
        </w:rPr>
      </w:pPr>
      <w:r>
        <w:rPr>
          <w:shd w:val="clear" w:fill="FFFFFF"/>
        </w:rPr>
        <w:t>其他重要事项的情况说明</w:t>
      </w:r>
    </w:p>
    <w:p>
      <w:pPr>
        <w:pStyle w:val="13"/>
        <w:keepNext w:val="0"/>
        <w:keepLines w:val="0"/>
        <w:widowControl/>
        <w:numPr>
          <w:ilvl w:val="0"/>
          <w:numId w:val="0"/>
        </w:numPr>
        <w:suppressLineNumbers w:val="0"/>
        <w:spacing w:before="0" w:beforeAutospacing="0"/>
        <w:ind w:right="0" w:rightChars="0"/>
        <w:jc w:val="left"/>
        <w:rPr>
          <w:rFonts w:hint="eastAsia" w:eastAsiaTheme="minorEastAsia"/>
          <w:shd w:val="clear" w:fill="FFFFFF"/>
          <w:lang w:eastAsia="zh-CN"/>
        </w:rPr>
      </w:pPr>
      <w:r>
        <w:rPr>
          <w:rFonts w:hint="eastAsia"/>
          <w:shd w:val="clear" w:fill="FFFFFF"/>
          <w:lang w:eastAsia="zh-CN"/>
        </w:rPr>
        <w:t>无</w:t>
      </w:r>
    </w:p>
    <w:p>
      <w:pPr>
        <w:pStyle w:val="13"/>
        <w:keepNext w:val="0"/>
        <w:keepLines w:val="0"/>
        <w:widowControl/>
        <w:suppressLineNumbers w:val="0"/>
        <w:spacing w:before="0" w:beforeAutospacing="0"/>
        <w:ind w:left="0"/>
        <w:jc w:val="left"/>
      </w:pPr>
      <w:r>
        <w:rPr>
          <w:rStyle w:val="17"/>
          <w:shd w:val="clear" w:fill="FFFFFF"/>
        </w:rPr>
        <w:t>（一）机关运行经费支出情况</w:t>
      </w:r>
    </w:p>
    <w:p>
      <w:pPr>
        <w:pStyle w:val="13"/>
        <w:keepNext w:val="0"/>
        <w:keepLines w:val="0"/>
        <w:widowControl/>
        <w:suppressLineNumbers w:val="0"/>
        <w:spacing w:before="0" w:beforeAutospacing="0"/>
        <w:ind w:left="0"/>
        <w:jc w:val="left"/>
        <w:rPr>
          <w:rFonts w:hint="eastAsia" w:eastAsiaTheme="minorEastAsia"/>
          <w:lang w:eastAsia="zh-CN"/>
        </w:rPr>
      </w:pPr>
      <w:r>
        <w:rPr>
          <w:shd w:val="clear" w:fill="FFFFFF"/>
        </w:rPr>
        <w:t>2022年，四川省阿坝州九寨沟县玉瓦乡人民政府机关运行经费支出115.97万元，比2021年增加</w:t>
      </w:r>
      <w:r>
        <w:rPr>
          <w:rFonts w:hint="eastAsia"/>
          <w:shd w:val="clear" w:fill="FFFFFF"/>
          <w:lang w:val="en-US" w:eastAsia="zh-CN"/>
        </w:rPr>
        <w:t>73.99</w:t>
      </w:r>
      <w:r>
        <w:rPr>
          <w:shd w:val="clear" w:fill="FFFFFF"/>
        </w:rPr>
        <w:t>万元。主要原因是</w:t>
      </w:r>
      <w:r>
        <w:rPr>
          <w:rFonts w:hint="eastAsia"/>
          <w:shd w:val="clear" w:fill="FFFFFF"/>
          <w:lang w:eastAsia="zh-CN"/>
        </w:rPr>
        <w:t>人员增加，支出增加。</w:t>
      </w:r>
    </w:p>
    <w:p>
      <w:pPr>
        <w:pStyle w:val="13"/>
        <w:keepNext w:val="0"/>
        <w:keepLines w:val="0"/>
        <w:widowControl/>
        <w:suppressLineNumbers w:val="0"/>
        <w:spacing w:before="0" w:beforeAutospacing="0"/>
        <w:ind w:left="0"/>
        <w:jc w:val="left"/>
      </w:pPr>
      <w:r>
        <w:rPr>
          <w:rStyle w:val="17"/>
          <w:shd w:val="clear" w:fill="FFFFFF"/>
        </w:rPr>
        <w:t>（二）政府采购支出情况</w:t>
      </w:r>
    </w:p>
    <w:p>
      <w:pPr>
        <w:pStyle w:val="13"/>
        <w:keepNext w:val="0"/>
        <w:keepLines w:val="0"/>
        <w:widowControl/>
        <w:suppressLineNumbers w:val="0"/>
        <w:spacing w:before="0" w:beforeAutospacing="0"/>
        <w:ind w:left="0"/>
        <w:jc w:val="left"/>
      </w:pPr>
      <w:r>
        <w:rPr>
          <w:shd w:val="clear" w:fill="FFFFFF"/>
        </w:rPr>
        <w:t>2022年，四川省阿坝州九寨沟县玉瓦乡人民政府政府采购支出总额0.00万元，其中：政府采购货物支出0.00万元、政府采购工程支出0.00万元、政府采购服务支出0.00万元。</w:t>
      </w:r>
    </w:p>
    <w:p>
      <w:pPr>
        <w:pStyle w:val="13"/>
        <w:keepNext w:val="0"/>
        <w:keepLines w:val="0"/>
        <w:widowControl/>
        <w:suppressLineNumbers w:val="0"/>
        <w:spacing w:before="0" w:beforeAutospacing="0"/>
        <w:ind w:left="0"/>
        <w:jc w:val="left"/>
      </w:pPr>
      <w:r>
        <w:rPr>
          <w:rStyle w:val="17"/>
          <w:shd w:val="clear" w:fill="FFFFFF"/>
        </w:rPr>
        <w:t>（三）国有资产占有使用情况</w:t>
      </w:r>
    </w:p>
    <w:p>
      <w:pPr>
        <w:pStyle w:val="13"/>
        <w:keepNext w:val="0"/>
        <w:keepLines w:val="0"/>
        <w:widowControl/>
        <w:suppressLineNumbers w:val="0"/>
        <w:spacing w:before="0" w:beforeAutospacing="0"/>
        <w:ind w:left="0"/>
        <w:jc w:val="left"/>
      </w:pPr>
      <w:r>
        <w:rPr>
          <w:shd w:val="clear" w:fill="FFFFFF"/>
        </w:rPr>
        <w:t>截至2022年12月31日，四川省阿坝州九寨沟县玉瓦乡人民政府共有车辆1辆。</w:t>
      </w:r>
    </w:p>
    <w:p>
      <w:pPr>
        <w:pStyle w:val="13"/>
        <w:keepNext w:val="0"/>
        <w:keepLines w:val="0"/>
        <w:widowControl/>
        <w:suppressLineNumbers w:val="0"/>
        <w:spacing w:before="0" w:beforeAutospacing="0"/>
        <w:ind w:left="0"/>
        <w:jc w:val="left"/>
      </w:pPr>
      <w:r>
        <w:rPr>
          <w:rStyle w:val="17"/>
          <w:shd w:val="clear" w:fill="FFFFFF"/>
        </w:rPr>
        <w:t>（四）预算绩效管理情况</w:t>
      </w:r>
    </w:p>
    <w:p>
      <w:pPr>
        <w:pStyle w:val="13"/>
        <w:keepNext w:val="0"/>
        <w:keepLines w:val="0"/>
        <w:widowControl/>
        <w:suppressLineNumbers w:val="0"/>
        <w:spacing w:before="0" w:beforeAutospacing="0"/>
        <w:ind w:left="0"/>
        <w:jc w:val="left"/>
        <w:rPr>
          <w:rFonts w:hint="default"/>
          <w:shd w:val="clear" w:fill="FFFFFF"/>
        </w:rPr>
      </w:pPr>
      <w:r>
        <w:rPr>
          <w:shd w:val="clear" w:fill="FFFFFF"/>
        </w:rPr>
        <w:t>根据预算绩效管理要求，本部门在年初预算编制阶段，组织对</w:t>
      </w:r>
      <w:r>
        <w:rPr>
          <w:rFonts w:hint="eastAsia"/>
          <w:shd w:val="clear" w:fill="FFFFFF"/>
        </w:rPr>
        <w:t>九寨沟县玉瓦乡玉瓦寨村活动室后山滑坡地质灾害治理工程</w:t>
      </w:r>
      <w:r>
        <w:rPr>
          <w:shd w:val="clear" w:fill="FFFFFF"/>
        </w:rPr>
        <w:t>、</w:t>
      </w:r>
      <w:r>
        <w:rPr>
          <w:rFonts w:hint="eastAsia"/>
          <w:shd w:val="clear" w:fill="FFFFFF"/>
        </w:rPr>
        <w:t>玉瓦乡牲畜巷道圈建设项目（2022涉农整合）</w:t>
      </w:r>
      <w:r>
        <w:rPr>
          <w:shd w:val="clear" w:fill="FFFFFF"/>
        </w:rPr>
        <w:t>、</w:t>
      </w:r>
      <w:r>
        <w:rPr>
          <w:rFonts w:hint="eastAsia"/>
          <w:shd w:val="clear" w:fill="FFFFFF"/>
        </w:rPr>
        <w:t>美丽四川宜居乡村环境整治提升资金</w:t>
      </w:r>
      <w:r>
        <w:rPr>
          <w:shd w:val="clear" w:fill="FFFFFF"/>
        </w:rPr>
        <w:t>、</w:t>
      </w:r>
      <w:r>
        <w:rPr>
          <w:rFonts w:hint="eastAsia"/>
          <w:shd w:val="clear" w:fill="FFFFFF"/>
        </w:rPr>
        <w:t>城乡环境综合治理专项经费</w:t>
      </w:r>
      <w:r>
        <w:rPr>
          <w:rFonts w:hint="eastAsia"/>
          <w:shd w:val="clear" w:fill="FFFFFF"/>
          <w:lang w:eastAsia="zh-CN"/>
        </w:rPr>
        <w:t>项目</w:t>
      </w:r>
      <w:r>
        <w:rPr>
          <w:shd w:val="clear" w:fill="FFFFFF"/>
        </w:rPr>
        <w:t>开展了预算事前绩效评估，对</w:t>
      </w:r>
      <w:r>
        <w:rPr>
          <w:rFonts w:hint="eastAsia"/>
          <w:shd w:val="clear" w:fill="FFFFFF"/>
          <w:lang w:val="en-US" w:eastAsia="zh-CN"/>
        </w:rPr>
        <w:t>4</w:t>
      </w:r>
      <w:r>
        <w:rPr>
          <w:shd w:val="clear" w:fill="FFFFFF"/>
        </w:rPr>
        <w:t>个项目编制了绩效目标，预算执行过程中，选取</w:t>
      </w:r>
      <w:r>
        <w:rPr>
          <w:rFonts w:hint="eastAsia"/>
          <w:shd w:val="clear" w:fill="FFFFFF"/>
          <w:lang w:val="en-US" w:eastAsia="zh-CN"/>
        </w:rPr>
        <w:t>4</w:t>
      </w:r>
      <w:r>
        <w:rPr>
          <w:shd w:val="clear" w:fill="FFFFFF"/>
        </w:rPr>
        <w:t>个项目开展绩效监控，年终执行完毕后，对</w:t>
      </w:r>
      <w:r>
        <w:rPr>
          <w:rFonts w:hint="eastAsia"/>
          <w:shd w:val="clear" w:fill="FFFFFF"/>
          <w:lang w:val="en-US" w:eastAsia="zh-CN"/>
        </w:rPr>
        <w:t>4</w:t>
      </w:r>
      <w:r>
        <w:rPr>
          <w:shd w:val="clear" w:fill="FFFFFF"/>
        </w:rPr>
        <w:t>个项目开展了绩效目标完成情况自评。</w:t>
      </w:r>
      <w:r>
        <w:rPr>
          <w:rFonts w:hint="default"/>
          <w:shd w:val="clear" w:fill="FFFFFF"/>
        </w:rPr>
        <w:t>本部门按要求对202</w:t>
      </w:r>
      <w:r>
        <w:rPr>
          <w:rFonts w:hint="eastAsia"/>
          <w:shd w:val="clear" w:fill="FFFFFF"/>
          <w:lang w:val="en-US" w:eastAsia="zh-CN"/>
        </w:rPr>
        <w:t>2</w:t>
      </w:r>
      <w:r>
        <w:rPr>
          <w:rFonts w:hint="default"/>
          <w:shd w:val="clear" w:fill="FFFFFF"/>
        </w:rPr>
        <w:t>年部门整体支出开展绩效自评，从评价情况来看本部门还自行组织了</w:t>
      </w:r>
      <w:r>
        <w:rPr>
          <w:rFonts w:hint="eastAsia"/>
          <w:shd w:val="clear" w:fill="FFFFFF"/>
          <w:lang w:val="en-US" w:eastAsia="zh-CN"/>
        </w:rPr>
        <w:t>4</w:t>
      </w:r>
      <w:r>
        <w:rPr>
          <w:rFonts w:hint="default"/>
          <w:shd w:val="clear" w:fill="FFFFFF"/>
        </w:rPr>
        <w:t>个项目支出绩效评价，从评价情况来看项目运行稳定。</w:t>
      </w:r>
    </w:p>
    <w:p>
      <w:pPr>
        <w:pStyle w:val="13"/>
        <w:keepNext w:val="0"/>
        <w:keepLines w:val="0"/>
        <w:widowControl/>
        <w:suppressLineNumbers w:val="0"/>
        <w:spacing w:before="0" w:beforeAutospacing="0"/>
        <w:ind w:left="0"/>
        <w:jc w:val="left"/>
        <w:rPr>
          <w:rFonts w:hint="eastAsia" w:eastAsiaTheme="minorEastAsia"/>
          <w:shd w:val="clear" w:fill="FFFFFF"/>
          <w:lang w:val="en-US" w:eastAsia="zh-CN"/>
        </w:rPr>
      </w:pPr>
      <w:r>
        <w:rPr>
          <w:rFonts w:hint="eastAsia"/>
          <w:shd w:val="clear" w:fill="FFFFFF"/>
          <w:lang w:eastAsia="zh-CN"/>
        </w:rPr>
        <w:t>附表</w:t>
      </w:r>
    </w:p>
    <w:p>
      <w:pPr>
        <w:pStyle w:val="13"/>
        <w:keepNext w:val="0"/>
        <w:keepLines w:val="0"/>
        <w:widowControl/>
        <w:suppressLineNumbers w:val="0"/>
        <w:spacing w:before="0" w:beforeAutospacing="0"/>
        <w:ind w:left="0" w:firstLine="1606" w:firstLineChars="500"/>
        <w:jc w:val="left"/>
        <w:rPr>
          <w:rFonts w:hint="default"/>
          <w:shd w:val="clear" w:fill="FFFFFF"/>
        </w:rPr>
      </w:pPr>
      <w:r>
        <w:rPr>
          <w:rFonts w:hint="eastAsia" w:ascii="宋体" w:hAnsi="宋体" w:eastAsia="宋体" w:cs="宋体"/>
          <w:b/>
          <w:bCs w:val="0"/>
          <w:caps w:val="0"/>
          <w:color w:val="auto"/>
          <w:kern w:val="2"/>
          <w:sz w:val="32"/>
          <w:szCs w:val="32"/>
          <w:u w:val="none"/>
          <w:vertAlign w:val="baseline"/>
          <w:lang w:val="en-US" w:eastAsia="zh-CN" w:bidi="ar"/>
        </w:rPr>
        <w:t>预算项目绩效运行监控分析表</w:t>
      </w:r>
    </w:p>
    <w:tbl>
      <w:tblPr>
        <w:tblStyle w:val="14"/>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593"/>
        <w:gridCol w:w="467"/>
        <w:gridCol w:w="468"/>
        <w:gridCol w:w="636"/>
        <w:gridCol w:w="531"/>
        <w:gridCol w:w="625"/>
        <w:gridCol w:w="720"/>
        <w:gridCol w:w="468"/>
        <w:gridCol w:w="468"/>
        <w:gridCol w:w="468"/>
        <w:gridCol w:w="594"/>
        <w:gridCol w:w="342"/>
        <w:gridCol w:w="468"/>
        <w:gridCol w:w="405"/>
        <w:gridCol w:w="405"/>
        <w:gridCol w:w="531"/>
        <w:gridCol w:w="34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90" w:hRule="atLeast"/>
        </w:trPr>
        <w:tc>
          <w:tcPr>
            <w:tcW w:w="89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4104" w:type="pct"/>
            <w:gridSpan w:val="1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2022年玉瓦乡玉瓦寨村活动室后山滑坡地质灾害治理工程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32" w:hRule="atLeast"/>
        </w:trPr>
        <w:tc>
          <w:tcPr>
            <w:tcW w:w="89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1472" w:type="pct"/>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548"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2083" w:type="pct"/>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50" w:hRule="atLeast"/>
        </w:trPr>
        <w:tc>
          <w:tcPr>
            <w:tcW w:w="895" w:type="pct"/>
            <w:gridSpan w:val="3"/>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210.37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40" w:hRule="atLeast"/>
        </w:trPr>
        <w:tc>
          <w:tcPr>
            <w:tcW w:w="895" w:type="pct"/>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020"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822"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749"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511" w:type="pct"/>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805" w:hRule="atLeast"/>
        </w:trPr>
        <w:tc>
          <w:tcPr>
            <w:tcW w:w="34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4652" w:type="pct"/>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52" w:hRule="atLeast"/>
        </w:trPr>
        <w:tc>
          <w:tcPr>
            <w:tcW w:w="34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4652" w:type="pct"/>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60" w:hRule="atLeast"/>
        </w:trPr>
        <w:tc>
          <w:tcPr>
            <w:tcW w:w="347"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273"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274"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372"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311"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366"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421"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1645" w:type="pct"/>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785" w:type="pct"/>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200"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094"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72"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1"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66"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21"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200"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476"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0%</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0%</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702"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未完成</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lang w:eastAsia="zh-CN"/>
              </w:rPr>
              <w:t>0</w:t>
            </w: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vertAlign w:val="baseline"/>
              </w:rPr>
              <w:t>√</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caps w:val="0"/>
                <w:color w:val="auto"/>
                <w:sz w:val="24"/>
                <w:szCs w:val="24"/>
                <w:u w:val="none"/>
                <w:vertAlign w:val="baseline"/>
              </w:rPr>
              <w:t>年度下钱</w:t>
            </w: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pStyle w:val="19"/>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210.37</w:t>
            </w: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20" w:hRule="atLeast"/>
        </w:trPr>
        <w:tc>
          <w:tcPr>
            <w:tcW w:w="347"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3" w:type="pct"/>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72"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66"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2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48"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74"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37"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11"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200" w:type="pc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r>
        <w:rPr>
          <w:shd w:val="clear" w:fill="FFFFFF"/>
        </w:rPr>
        <w:t> </w:t>
      </w:r>
    </w:p>
    <w:tbl>
      <w:tblPr>
        <w:tblStyle w:val="14"/>
        <w:tblW w:w="5059"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800"/>
        <w:gridCol w:w="10"/>
        <w:gridCol w:w="719"/>
        <w:gridCol w:w="19"/>
        <w:gridCol w:w="432"/>
        <w:gridCol w:w="24"/>
        <w:gridCol w:w="565"/>
        <w:gridCol w:w="31"/>
        <w:gridCol w:w="545"/>
        <w:gridCol w:w="38"/>
        <w:gridCol w:w="575"/>
        <w:gridCol w:w="45"/>
        <w:gridCol w:w="590"/>
        <w:gridCol w:w="53"/>
        <w:gridCol w:w="350"/>
        <w:gridCol w:w="58"/>
        <w:gridCol w:w="313"/>
        <w:gridCol w:w="62"/>
        <w:gridCol w:w="342"/>
        <w:gridCol w:w="67"/>
        <w:gridCol w:w="394"/>
        <w:gridCol w:w="73"/>
        <w:gridCol w:w="308"/>
        <w:gridCol w:w="78"/>
        <w:gridCol w:w="361"/>
        <w:gridCol w:w="83"/>
        <w:gridCol w:w="310"/>
        <w:gridCol w:w="88"/>
        <w:gridCol w:w="282"/>
        <w:gridCol w:w="92"/>
        <w:gridCol w:w="473"/>
        <w:gridCol w:w="99"/>
        <w:gridCol w:w="251"/>
        <w:gridCol w:w="10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gridAfter w:val="1"/>
          <w:wAfter w:w="103" w:type="dxa"/>
          <w:trHeight w:val="390" w:hRule="atLeast"/>
        </w:trPr>
        <w:tc>
          <w:tcPr>
            <w:tcW w:w="1980" w:type="dxa"/>
            <w:gridSpan w:val="5"/>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550" w:type="dxa"/>
            <w:gridSpan w:val="2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2022年玉瓦乡玉瓦乡牲畜巷道圈建设项目（2022涉农整合）</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632" w:hRule="atLeast"/>
        </w:trPr>
        <w:tc>
          <w:tcPr>
            <w:tcW w:w="1980" w:type="dxa"/>
            <w:gridSpan w:val="5"/>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13"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74"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363"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450" w:hRule="atLeast"/>
        </w:trPr>
        <w:tc>
          <w:tcPr>
            <w:tcW w:w="1980" w:type="dxa"/>
            <w:gridSpan w:val="5"/>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22.5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40" w:hRule="atLeast"/>
        </w:trPr>
        <w:tc>
          <w:tcPr>
            <w:tcW w:w="1980" w:type="dxa"/>
            <w:gridSpan w:val="5"/>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4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0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805"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730"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gridAfter w:val="1"/>
          <w:wAfter w:w="103" w:type="dxa"/>
          <w:trHeight w:val="552"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730"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gridAfter w:val="1"/>
          <w:wAfter w:w="103" w:type="dxa"/>
          <w:trHeight w:val="360" w:hRule="atLeast"/>
        </w:trPr>
        <w:tc>
          <w:tcPr>
            <w:tcW w:w="80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2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1"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8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7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1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35"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59"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28"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1094"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7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1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35"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gridAfter w:val="1"/>
          <w:wAfter w:w="103" w:type="dxa"/>
          <w:trHeight w:val="1476"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gridAfter w:val="1"/>
          <w:wAfter w:w="103" w:type="dxa"/>
          <w:trHeight w:val="1702"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22.5</w:t>
            </w: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gridAfter w:val="1"/>
          <w:wAfter w:w="103" w:type="dxa"/>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3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90" w:hRule="atLeast"/>
        </w:trPr>
        <w:tc>
          <w:tcPr>
            <w:tcW w:w="200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629" w:type="dxa"/>
            <w:gridSpan w:val="2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2022年玉瓦乡美丽四川宜居乡村环境整治提升资金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632" w:hRule="atLeast"/>
        </w:trPr>
        <w:tc>
          <w:tcPr>
            <w:tcW w:w="200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42"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83"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404"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50" w:hRule="atLeast"/>
        </w:trPr>
        <w:tc>
          <w:tcPr>
            <w:tcW w:w="2004" w:type="dxa"/>
            <w:gridSpan w:val="6"/>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266.08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40" w:hRule="atLeast"/>
        </w:trPr>
        <w:tc>
          <w:tcPr>
            <w:tcW w:w="2004" w:type="dxa"/>
            <w:gridSpan w:val="6"/>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225"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62"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16"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26"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805" w:hRule="atLeast"/>
        </w:trPr>
        <w:tc>
          <w:tcPr>
            <w:tcW w:w="81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823"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52" w:hRule="atLeast"/>
        </w:trPr>
        <w:tc>
          <w:tcPr>
            <w:tcW w:w="81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823" w:type="dxa"/>
            <w:gridSpan w:val="3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60" w:hRule="atLeast"/>
        </w:trPr>
        <w:tc>
          <w:tcPr>
            <w:tcW w:w="81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38"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96"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8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20"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43"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89" w:type="dxa"/>
            <w:gridSpan w:val="1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44"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4"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1094"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96"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2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43"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4"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476"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1702"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266.08</w:t>
            </w: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10"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38" w:type="dxa"/>
            <w:gridSpan w:val="2"/>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9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20"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43"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9"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7"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6"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4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8"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72"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3"/>
        <w:keepNext w:val="0"/>
        <w:keepLines w:val="0"/>
        <w:widowControl/>
        <w:suppressLineNumbers w:val="0"/>
        <w:spacing w:before="0" w:beforeAutospacing="0"/>
        <w:ind w:left="0"/>
        <w:jc w:val="left"/>
        <w:rPr>
          <w:shd w:val="clear" w:fill="FFFFFF"/>
        </w:rPr>
      </w:pPr>
    </w:p>
    <w:tbl>
      <w:tblPr>
        <w:tblStyle w:val="14"/>
        <w:tblW w:w="4999"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800"/>
        <w:gridCol w:w="729"/>
        <w:gridCol w:w="451"/>
        <w:gridCol w:w="589"/>
        <w:gridCol w:w="576"/>
        <w:gridCol w:w="613"/>
        <w:gridCol w:w="635"/>
        <w:gridCol w:w="403"/>
        <w:gridCol w:w="371"/>
        <w:gridCol w:w="404"/>
        <w:gridCol w:w="461"/>
        <w:gridCol w:w="381"/>
        <w:gridCol w:w="439"/>
        <w:gridCol w:w="393"/>
        <w:gridCol w:w="370"/>
        <w:gridCol w:w="565"/>
        <w:gridCol w:w="3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390" w:hRule="atLeast"/>
        </w:trPr>
        <w:tc>
          <w:tcPr>
            <w:tcW w:w="1980"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项目名称</w:t>
            </w:r>
          </w:p>
        </w:tc>
        <w:tc>
          <w:tcPr>
            <w:tcW w:w="6550" w:type="dxa"/>
            <w:gridSpan w:val="1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vertAlign w:val="baseline"/>
                <w:lang w:val="en-US" w:eastAsia="zh-CN" w:bidi="ar"/>
              </w:rPr>
              <w:t>2022年玉瓦乡城乡环境综合治理专项经费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71" w:hRule="atLeast"/>
        </w:trPr>
        <w:tc>
          <w:tcPr>
            <w:tcW w:w="1980"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b/>
                <w:bCs/>
                <w:caps w:val="0"/>
                <w:color w:val="auto"/>
                <w:sz w:val="24"/>
                <w:szCs w:val="24"/>
                <w:u w:val="none"/>
                <w:vertAlign w:val="baseline"/>
              </w:rPr>
            </w:pPr>
            <w:r>
              <w:rPr>
                <w:rFonts w:hint="eastAsia" w:ascii="宋体" w:hAnsi="宋体" w:eastAsia="宋体" w:cs="宋体"/>
                <w:b/>
                <w:bCs w:val="0"/>
                <w:caps w:val="0"/>
                <w:color w:val="auto"/>
                <w:kern w:val="2"/>
                <w:sz w:val="24"/>
                <w:szCs w:val="24"/>
                <w:u w:val="none"/>
                <w:vertAlign w:val="baseline"/>
                <w:lang w:val="en-US" w:eastAsia="zh-CN" w:bidi="ar"/>
              </w:rPr>
              <w:t>主管部门代码</w:t>
            </w:r>
          </w:p>
        </w:tc>
        <w:tc>
          <w:tcPr>
            <w:tcW w:w="2413" w:type="dxa"/>
            <w:gridSpan w:val="4"/>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311</w:t>
            </w:r>
          </w:p>
        </w:tc>
        <w:tc>
          <w:tcPr>
            <w:tcW w:w="774"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实施单位</w:t>
            </w:r>
          </w:p>
        </w:tc>
        <w:tc>
          <w:tcPr>
            <w:tcW w:w="3363" w:type="dxa"/>
            <w:gridSpan w:val="8"/>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玉瓦乡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450" w:hRule="atLeast"/>
        </w:trPr>
        <w:tc>
          <w:tcPr>
            <w:tcW w:w="1980" w:type="dxa"/>
            <w:gridSpan w:val="3"/>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项目资金（万元）</w:t>
            </w: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年初预算</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全年预计执行数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年度资金总额：</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其中：财政拨款</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40" w:hRule="atLeast"/>
        </w:trPr>
        <w:tc>
          <w:tcPr>
            <w:tcW w:w="1980" w:type="dxa"/>
            <w:gridSpan w:val="3"/>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3187"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 xml:space="preserve">          其他资金</w:t>
            </w:r>
          </w:p>
        </w:tc>
        <w:tc>
          <w:tcPr>
            <w:tcW w:w="1246"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1202"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915" w:type="dxa"/>
            <w:gridSpan w:val="2"/>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805"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预算调整建议</w:t>
            </w:r>
          </w:p>
        </w:tc>
        <w:tc>
          <w:tcPr>
            <w:tcW w:w="7730"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eastAsia="zh-CN"/>
              </w:rPr>
            </w:pPr>
            <w:r>
              <w:rPr>
                <w:rFonts w:hint="eastAsia" w:ascii="宋体" w:hAnsi="宋体" w:eastAsia="宋体" w:cs="宋体"/>
                <w:b w:val="0"/>
                <w:bCs w:val="0"/>
                <w:caps w:val="0"/>
                <w:color w:val="auto"/>
                <w:kern w:val="2"/>
                <w:sz w:val="24"/>
                <w:szCs w:val="24"/>
                <w:u w:val="none"/>
                <w:vertAlign w:val="baseline"/>
                <w:lang w:val="en-US" w:eastAsia="zh-CN" w:bidi="ar"/>
              </w:rPr>
              <w:t>无</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52" w:hRule="atLeast"/>
        </w:trPr>
        <w:tc>
          <w:tcPr>
            <w:tcW w:w="80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lang w:val="en-US" w:eastAsia="zh-CN"/>
              </w:rPr>
            </w:pPr>
            <w:r>
              <w:rPr>
                <w:rFonts w:hint="eastAsia" w:ascii="宋体" w:hAnsi="宋体" w:eastAsia="宋体" w:cs="宋体"/>
                <w:b w:val="0"/>
                <w:bCs w:val="0"/>
                <w:caps w:val="0"/>
                <w:color w:val="auto"/>
                <w:kern w:val="2"/>
                <w:sz w:val="24"/>
                <w:szCs w:val="24"/>
                <w:u w:val="none"/>
                <w:vertAlign w:val="baseline"/>
                <w:lang w:val="en-US" w:eastAsia="zh-CN" w:bidi="ar"/>
              </w:rPr>
              <w:t>年度目标</w:t>
            </w:r>
          </w:p>
        </w:tc>
        <w:tc>
          <w:tcPr>
            <w:tcW w:w="7730" w:type="dxa"/>
            <w:gridSpan w:val="1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农户承包地撂荒整治</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60" w:hRule="atLeast"/>
        </w:trPr>
        <w:tc>
          <w:tcPr>
            <w:tcW w:w="80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绩效指标</w:t>
            </w:r>
          </w:p>
        </w:tc>
        <w:tc>
          <w:tcPr>
            <w:tcW w:w="72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一级指标</w:t>
            </w:r>
          </w:p>
        </w:tc>
        <w:tc>
          <w:tcPr>
            <w:tcW w:w="451"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二级指标</w:t>
            </w:r>
          </w:p>
        </w:tc>
        <w:tc>
          <w:tcPr>
            <w:tcW w:w="58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三级指标</w:t>
            </w:r>
          </w:p>
        </w:tc>
        <w:tc>
          <w:tcPr>
            <w:tcW w:w="576"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年度指标值</w:t>
            </w:r>
          </w:p>
        </w:tc>
        <w:tc>
          <w:tcPr>
            <w:tcW w:w="613"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ascii="Calibri" w:hAnsi="Calibri" w:eastAsia="宋体" w:cs="Calibri"/>
                <w:caps w:val="0"/>
                <w:color w:val="auto"/>
                <w:sz w:val="21"/>
                <w:szCs w:val="21"/>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1-8月实现情况</w:t>
            </w:r>
          </w:p>
        </w:tc>
        <w:tc>
          <w:tcPr>
            <w:tcW w:w="635"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全年预计完成情况</w:t>
            </w:r>
          </w:p>
        </w:tc>
        <w:tc>
          <w:tcPr>
            <w:tcW w:w="2459" w:type="dxa"/>
            <w:gridSpan w:val="6"/>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偏差原因</w:t>
            </w:r>
          </w:p>
        </w:tc>
        <w:tc>
          <w:tcPr>
            <w:tcW w:w="1328" w:type="dxa"/>
            <w:gridSpan w:val="3"/>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完成目标可能性</w:t>
            </w:r>
          </w:p>
        </w:tc>
        <w:tc>
          <w:tcPr>
            <w:tcW w:w="350"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094"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8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576"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13"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635"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经费保障</w:t>
            </w: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制度保障</w:t>
            </w: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人员保障</w:t>
            </w: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硬件条件保障</w:t>
            </w: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其他</w:t>
            </w: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原因说明</w:t>
            </w: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确定能</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有可能</w:t>
            </w: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完全不可能</w:t>
            </w:r>
          </w:p>
        </w:tc>
        <w:tc>
          <w:tcPr>
            <w:tcW w:w="35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476"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restart"/>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完成指标</w:t>
            </w: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数量指标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宋体" w:hAnsi="宋体" w:eastAsia="宋体" w:cs="宋体"/>
                <w:caps w:val="0"/>
                <w:color w:val="auto"/>
                <w:sz w:val="24"/>
                <w:szCs w:val="24"/>
                <w:u w:val="none"/>
                <w:vertAlign w:val="baseline"/>
              </w:rPr>
            </w:pPr>
            <w:r>
              <w:rPr>
                <w:rFonts w:hint="eastAsia" w:ascii="Times New Roman" w:hAnsi="宋体" w:eastAsia="宋体" w:cs="宋体"/>
                <w:b w:val="0"/>
                <w:bCs w:val="0"/>
                <w:caps w:val="0"/>
                <w:color w:val="auto"/>
                <w:kern w:val="2"/>
                <w:sz w:val="16"/>
                <w:szCs w:val="20"/>
                <w:vertAlign w:val="baseline"/>
                <w:lang w:val="en-US" w:eastAsia="zh-CN" w:bidi="ar"/>
              </w:rPr>
              <w:t>改善农户牲畜卫生条件</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质量指标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按时完成</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1175"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实效指标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长期</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完成</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100%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vertAlign w:val="baseline"/>
                <w:lang w:val="en-US" w:eastAsia="zh-CN" w:bidi="ar"/>
              </w:rPr>
              <w:t>√</w:t>
            </w: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成本指标</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lang w:val="en-US"/>
              </w:rPr>
            </w:pPr>
            <w:r>
              <w:rPr>
                <w:rFonts w:hint="eastAsia" w:ascii="宋体" w:hAnsi="宋体" w:eastAsia="宋体" w:cs="宋体"/>
                <w:b w:val="0"/>
                <w:bCs w:val="0"/>
                <w:caps w:val="0"/>
                <w:color w:val="auto"/>
                <w:kern w:val="2"/>
                <w:sz w:val="24"/>
                <w:szCs w:val="24"/>
                <w:u w:val="none"/>
                <w:vertAlign w:val="baseline"/>
                <w:lang w:val="en-US" w:eastAsia="zh-CN" w:bidi="ar"/>
              </w:rPr>
              <w:t>10</w:t>
            </w: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20" w:hRule="atLeast"/>
        </w:trPr>
        <w:tc>
          <w:tcPr>
            <w:tcW w:w="800"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729" w:type="dxa"/>
            <w:vMerge w:val="continue"/>
            <w:tcBorders>
              <w:top w:val="single" w:color="auto" w:sz="6" w:space="0"/>
              <w:left w:val="single" w:color="auto" w:sz="6" w:space="0"/>
              <w:bottom w:val="single" w:color="auto" w:sz="6" w:space="0"/>
              <w:right w:val="single" w:color="auto" w:sz="6" w:space="0"/>
            </w:tcBorders>
            <w:shd w:val="clear" w:color="auto" w:fill="auto"/>
            <w:noWrap/>
            <w:vAlign w:val="center"/>
          </w:tcPr>
          <w:p>
            <w:pPr>
              <w:rPr>
                <w:rFonts w:hint="eastAsia" w:ascii="宋体"/>
                <w:sz w:val="24"/>
                <w:szCs w:val="24"/>
              </w:rPr>
            </w:pPr>
          </w:p>
        </w:tc>
        <w:tc>
          <w:tcPr>
            <w:tcW w:w="45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8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宋体" w:cs="宋体"/>
                <w:caps w:val="0"/>
                <w:color w:val="auto"/>
                <w:sz w:val="24"/>
                <w:szCs w:val="24"/>
                <w:u w:val="none"/>
                <w:vertAlign w:val="baseline"/>
              </w:rPr>
            </w:pPr>
            <w:r>
              <w:rPr>
                <w:rFonts w:hint="eastAsia" w:ascii="宋体" w:hAnsi="宋体" w:eastAsia="宋体" w:cs="宋体"/>
                <w:b w:val="0"/>
                <w:bCs w:val="0"/>
                <w:caps w:val="0"/>
                <w:color w:val="auto"/>
                <w:kern w:val="2"/>
                <w:sz w:val="24"/>
                <w:szCs w:val="24"/>
                <w:u w:val="none"/>
                <w:vertAlign w:val="baseline"/>
                <w:lang w:val="en-US" w:eastAsia="zh-CN" w:bidi="ar"/>
              </w:rPr>
              <w:t>……</w:t>
            </w:r>
          </w:p>
        </w:tc>
        <w:tc>
          <w:tcPr>
            <w:tcW w:w="576"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1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63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04"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6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81"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439"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93"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7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565"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c>
          <w:tcPr>
            <w:tcW w:w="350" w:type="dxa"/>
            <w:tcBorders>
              <w:top w:val="single" w:color="auto" w:sz="6" w:space="0"/>
              <w:left w:val="single" w:color="auto" w:sz="6" w:space="0"/>
              <w:bottom w:val="single" w:color="auto" w:sz="6" w:space="0"/>
              <w:right w:val="single" w:color="auto" w:sz="6" w:space="0"/>
            </w:tcBorders>
            <w:shd w:val="clear" w:color="auto" w:fill="auto"/>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宋体" w:hAnsi="宋体" w:eastAsia="宋体" w:cs="宋体"/>
                <w:caps w:val="0"/>
                <w:color w:val="auto"/>
                <w:sz w:val="24"/>
                <w:szCs w:val="24"/>
                <w:u w:val="none"/>
                <w:vertAlign w:val="baseline"/>
              </w:rPr>
            </w:pPr>
          </w:p>
        </w:tc>
      </w:tr>
    </w:tbl>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center"/>
      </w:pPr>
      <w:r>
        <w:rPr>
          <w:rStyle w:val="17"/>
          <w:sz w:val="39"/>
          <w:szCs w:val="39"/>
          <w:shd w:val="clear" w:fill="FFFFFF"/>
        </w:rPr>
        <w:t>第三部分 名词解释</w:t>
      </w:r>
    </w:p>
    <w:p>
      <w:pPr>
        <w:pStyle w:val="13"/>
        <w:keepNext w:val="0"/>
        <w:keepLines w:val="0"/>
        <w:widowControl/>
        <w:suppressLineNumbers w:val="0"/>
        <w:spacing w:before="0" w:beforeAutospacing="0"/>
        <w:ind w:left="0"/>
        <w:jc w:val="left"/>
        <w:rPr>
          <w:shd w:val="clear" w:color="auto" w:fill="FFFFFF"/>
        </w:rPr>
      </w:pPr>
      <w:r>
        <w:rPr>
          <w:rFonts w:hint="eastAsia"/>
          <w:shd w:val="clear" w:color="auto" w:fill="FFFFFF"/>
          <w:lang w:val="en-US" w:eastAsia="zh-CN"/>
        </w:rPr>
        <w:t>1.</w:t>
      </w:r>
      <w:r>
        <w:rPr>
          <w:shd w:val="clear" w:color="auto" w:fill="FFFFFF"/>
        </w:rPr>
        <w:t>一般公共预算拨款收入：指县级财政当年拨付的资金。</w:t>
      </w:r>
      <w:r>
        <w:rPr>
          <w:shd w:val="clear" w:color="auto" w:fill="FFFFFF"/>
        </w:rPr>
        <w:br w:type="textWrapping"/>
      </w:r>
      <w:r>
        <w:rPr>
          <w:rFonts w:hint="eastAsia"/>
          <w:shd w:val="clear" w:color="auto" w:fill="FFFFFF"/>
          <w:lang w:val="en-US" w:eastAsia="zh-CN"/>
        </w:rPr>
        <w:t>2.</w:t>
      </w:r>
      <w:r>
        <w:rPr>
          <w:shd w:val="clear" w:color="auto" w:fill="FFFFFF"/>
        </w:rPr>
        <w:t>一般公共服务（201）政府办公厅（室）及相关机构事务（03）行政运行（01）：指玉瓦乡政府部门用于保障机构正常运行、开展日常工作的基本支出。</w:t>
      </w:r>
      <w:r>
        <w:rPr>
          <w:shd w:val="clear" w:color="auto" w:fill="FFFFFF"/>
        </w:rPr>
        <w:br w:type="textWrapping"/>
      </w:r>
      <w:r>
        <w:rPr>
          <w:rFonts w:hint="eastAsia"/>
          <w:shd w:val="clear" w:color="auto" w:fill="FFFFFF"/>
          <w:lang w:val="en-US" w:eastAsia="zh-CN"/>
        </w:rPr>
        <w:t>3.</w:t>
      </w:r>
      <w:r>
        <w:rPr>
          <w:shd w:val="clear" w:color="auto" w:fill="FFFFFF"/>
        </w:rPr>
        <w:t>社会保障和就业（208）行政事业单位养老支出（05）机关事业单位基本养老保险缴费支出（05）：指部门实施养老保险制度由单位缴纳的养老保险的支出。</w:t>
      </w:r>
      <w:r>
        <w:rPr>
          <w:shd w:val="clear" w:color="auto" w:fill="FFFFFF"/>
        </w:rPr>
        <w:br w:type="textWrapping"/>
      </w:r>
      <w:r>
        <w:rPr>
          <w:rFonts w:hint="eastAsia"/>
          <w:shd w:val="clear" w:color="auto" w:fill="FFFFFF"/>
          <w:lang w:val="en-US" w:eastAsia="zh-CN"/>
        </w:rPr>
        <w:t>4.</w:t>
      </w:r>
      <w:r>
        <w:rPr>
          <w:shd w:val="clear" w:color="auto" w:fill="FFFFFF"/>
        </w:rPr>
        <w:t>社会保障和就业（208）行政事业单位养老支出（05）机关事业单位职业年金缴费支出（06）：指部门实施养老保险制度由单位缴纳的职业年金的支出。</w:t>
      </w:r>
      <w:r>
        <w:rPr>
          <w:shd w:val="clear" w:color="auto" w:fill="FFFFFF"/>
        </w:rPr>
        <w:br w:type="textWrapping"/>
      </w:r>
      <w:r>
        <w:rPr>
          <w:rFonts w:hint="eastAsia"/>
          <w:shd w:val="clear" w:color="auto" w:fill="FFFFFF"/>
          <w:lang w:val="en-US" w:eastAsia="zh-CN"/>
        </w:rPr>
        <w:t>5.</w:t>
      </w:r>
      <w:r>
        <w:rPr>
          <w:shd w:val="clear" w:color="auto" w:fill="FFFFFF"/>
        </w:rPr>
        <w:t>卫生健康（210）行政事业单位医疗（11）行政单位医疗（01）：指玉瓦乡政府部门用于应缴纳基本医疗保险支出。</w:t>
      </w:r>
      <w:r>
        <w:rPr>
          <w:shd w:val="clear" w:color="auto" w:fill="FFFFFF"/>
        </w:rPr>
        <w:br w:type="textWrapping"/>
      </w:r>
      <w:r>
        <w:rPr>
          <w:rFonts w:hint="eastAsia"/>
          <w:shd w:val="clear" w:color="auto" w:fill="FFFFFF"/>
          <w:lang w:val="en-US" w:eastAsia="zh-CN"/>
        </w:rPr>
        <w:t>6.</w:t>
      </w:r>
      <w:r>
        <w:rPr>
          <w:shd w:val="clear" w:color="auto" w:fill="FFFFFF"/>
        </w:rPr>
        <w:t>卫生健康（210）行政事业单位医疗（11）事业单位医疗（02）：指玉瓦乡政府部门用于单位应缴纳基本医疗保险支出。</w:t>
      </w:r>
      <w:r>
        <w:rPr>
          <w:shd w:val="clear" w:color="auto" w:fill="FFFFFF"/>
        </w:rPr>
        <w:br w:type="textWrapping"/>
      </w:r>
      <w:r>
        <w:rPr>
          <w:rFonts w:hint="eastAsia"/>
          <w:shd w:val="clear" w:color="auto" w:fill="FFFFFF"/>
          <w:lang w:val="en-US" w:eastAsia="zh-CN"/>
        </w:rPr>
        <w:t>7.</w:t>
      </w:r>
      <w:r>
        <w:rPr>
          <w:shd w:val="clear" w:color="auto" w:fill="FFFFFF"/>
        </w:rPr>
        <w:t>卫生健康（210）行政事业单位医疗（11）公务员 医疗补助（03）：指玉瓦乡政府部门用于集中缴纳公务员医疗补助支出。</w:t>
      </w:r>
    </w:p>
    <w:p>
      <w:pPr>
        <w:pStyle w:val="13"/>
        <w:keepNext w:val="0"/>
        <w:keepLines w:val="0"/>
        <w:widowControl/>
        <w:suppressLineNumbers w:val="0"/>
        <w:spacing w:before="0" w:beforeAutospacing="0"/>
        <w:ind w:left="0"/>
        <w:jc w:val="left"/>
        <w:rPr>
          <w:shd w:val="clear" w:color="auto" w:fill="FFFFFF"/>
        </w:rPr>
      </w:pPr>
      <w:r>
        <w:rPr>
          <w:rFonts w:hint="eastAsia"/>
          <w:shd w:val="clear" w:color="auto" w:fill="FFFFFF"/>
          <w:lang w:val="en-US" w:eastAsia="zh-CN"/>
        </w:rPr>
        <w:t>8.</w:t>
      </w:r>
      <w:r>
        <w:rPr>
          <w:shd w:val="clear" w:color="auto" w:fill="FFFFFF"/>
        </w:rPr>
        <w:t>农林水（213）农村综合改革（07）对村民委员会和村党支部的补助（05）：指玉瓦乡政府部门村干部补助及基层组织和公共服务运行支出。</w:t>
      </w:r>
      <w:r>
        <w:rPr>
          <w:shd w:val="clear" w:color="auto" w:fill="FFFFFF"/>
        </w:rPr>
        <w:br w:type="textWrapping"/>
      </w:r>
      <w:r>
        <w:rPr>
          <w:rFonts w:hint="eastAsia"/>
          <w:shd w:val="clear" w:color="auto" w:fill="FFFFFF"/>
          <w:lang w:val="en-US" w:eastAsia="zh-CN"/>
        </w:rPr>
        <w:t>9.</w:t>
      </w:r>
      <w:r>
        <w:rPr>
          <w:shd w:val="clear" w:color="auto" w:fill="FFFFFF"/>
        </w:rPr>
        <w:t>住房保障（221）住房改革支出（02）住房公积金（01）：指按照《住房公积金管理条例》的规定，由单位及其在职职工缴存的长期住房储金。</w:t>
      </w:r>
      <w:r>
        <w:rPr>
          <w:shd w:val="clear" w:color="auto" w:fill="FFFFFF"/>
        </w:rPr>
        <w:br w:type="textWrapping"/>
      </w:r>
      <w:r>
        <w:rPr>
          <w:rFonts w:hint="eastAsia"/>
          <w:shd w:val="clear" w:color="auto" w:fill="FFFFFF"/>
          <w:lang w:val="en-US" w:eastAsia="zh-CN"/>
        </w:rPr>
        <w:t>10.</w:t>
      </w:r>
      <w:r>
        <w:rPr>
          <w:shd w:val="clear" w:color="auto" w:fill="FFFFFF"/>
        </w:rPr>
        <w:t>基本支出：指为保证机构正常运转，完成日常工作任务而发生的人员支出和公用支出。</w:t>
      </w:r>
      <w:r>
        <w:rPr>
          <w:shd w:val="clear" w:color="auto" w:fill="FFFFFF"/>
        </w:rPr>
        <w:br w:type="textWrapping"/>
      </w:r>
      <w:r>
        <w:rPr>
          <w:rFonts w:hint="eastAsia"/>
          <w:shd w:val="clear" w:color="auto" w:fill="FFFFFF"/>
          <w:lang w:val="en-US" w:eastAsia="zh-CN"/>
        </w:rPr>
        <w:t>11.</w:t>
      </w:r>
      <w:r>
        <w:rPr>
          <w:shd w:val="clear" w:color="auto" w:fill="FFFFFF"/>
        </w:rPr>
        <w:t>项目支出；指在基本支出之外为完成特定行政任务和事业发展目标所发生的支出。</w:t>
      </w:r>
      <w:r>
        <w:rPr>
          <w:shd w:val="clear" w:color="auto" w:fill="FFFFFF"/>
        </w:rPr>
        <w:br w:type="textWrapping"/>
      </w:r>
      <w:r>
        <w:rPr>
          <w:rFonts w:hint="eastAsia"/>
          <w:shd w:val="clear" w:color="auto" w:fill="FFFFFF"/>
          <w:lang w:val="en-US" w:eastAsia="zh-CN"/>
        </w:rPr>
        <w:t>12.</w:t>
      </w:r>
      <w:r>
        <w:rPr>
          <w:shd w:val="clear" w:color="auto" w:fill="FFFFFF"/>
        </w:rPr>
        <w:t>“三公”经费：纳入玉瓦乡政府部门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r>
        <w:rPr>
          <w:shd w:val="clear" w:color="auto" w:fill="FFFFFF"/>
        </w:rPr>
        <w:br w:type="textWrapping"/>
      </w:r>
      <w:r>
        <w:rPr>
          <w:rFonts w:hint="eastAsia"/>
          <w:shd w:val="clear" w:color="auto" w:fill="FFFFFF"/>
          <w:lang w:val="en-US" w:eastAsia="zh-CN"/>
        </w:rPr>
        <w:t>13.</w:t>
      </w:r>
      <w:r>
        <w:rPr>
          <w:shd w:val="clear" w:color="auto" w:fill="FFFFFF"/>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 </w:t>
      </w:r>
    </w:p>
    <w:p>
      <w:pPr>
        <w:pStyle w:val="13"/>
        <w:keepNext w:val="0"/>
        <w:keepLines w:val="0"/>
        <w:widowControl/>
        <w:suppressLineNumbers w:val="0"/>
        <w:spacing w:before="0" w:beforeAutospacing="0"/>
        <w:ind w:left="0"/>
        <w:jc w:val="left"/>
      </w:pPr>
      <w:r>
        <w:rPr>
          <w:rFonts w:hint="eastAsia"/>
          <w:shd w:val="clear" w:fill="FFFFFF"/>
          <w:lang w:val="en-US" w:eastAsia="zh-CN"/>
        </w:rPr>
        <w:t>14</w:t>
      </w:r>
      <w:r>
        <w:rPr>
          <w:shd w:val="clear"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pStyle w:val="13"/>
        <w:keepNext w:val="0"/>
        <w:keepLines w:val="0"/>
        <w:widowControl/>
        <w:suppressLineNumbers w:val="0"/>
        <w:spacing w:before="0" w:beforeAutospacing="0"/>
        <w:ind w:left="0"/>
        <w:jc w:val="center"/>
        <w:rPr>
          <w:rStyle w:val="17"/>
          <w:sz w:val="39"/>
          <w:szCs w:val="39"/>
          <w:shd w:val="clear" w:fill="FFFFFF"/>
        </w:rPr>
      </w:pPr>
      <w:r>
        <w:rPr>
          <w:rStyle w:val="17"/>
          <w:sz w:val="39"/>
          <w:szCs w:val="39"/>
          <w:shd w:val="clear" w:fill="FFFFFF"/>
        </w:rPr>
        <w:t>第四部分 附件</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both"/>
        <w:outlineLvl w:val="9"/>
        <w:rPr>
          <w:rFonts w:hint="default" w:ascii="黑体" w:hAnsi="宋体" w:eastAsia="黑体" w:cs="黑体"/>
          <w:caps w:val="0"/>
          <w:color w:val="auto"/>
          <w:sz w:val="32"/>
          <w:szCs w:val="32"/>
          <w:vertAlign w:val="baseline"/>
          <w:lang w:val="en-US" w:eastAsia="zh-CN"/>
        </w:rPr>
      </w:pPr>
      <w:r>
        <w:rPr>
          <w:rFonts w:hint="default" w:ascii="黑体" w:hAnsi="宋体" w:eastAsia="黑体" w:cs="黑体"/>
          <w:b w:val="0"/>
          <w:bCs w:val="0"/>
          <w:caps w:val="0"/>
          <w:color w:val="auto"/>
          <w:kern w:val="2"/>
          <w:sz w:val="32"/>
          <w:szCs w:val="32"/>
          <w:vertAlign w:val="baseline"/>
          <w:lang w:val="zh-CN" w:eastAsia="zh-CN" w:bidi="ar"/>
        </w:rPr>
        <w:t>附件</w:t>
      </w:r>
      <w:r>
        <w:rPr>
          <w:rFonts w:hint="eastAsia" w:ascii="黑体" w:hAnsi="宋体" w:eastAsia="黑体" w:cs="黑体"/>
          <w:b w:val="0"/>
          <w:bCs w:val="0"/>
          <w:caps w:val="0"/>
          <w:color w:val="auto"/>
          <w:kern w:val="2"/>
          <w:sz w:val="32"/>
          <w:szCs w:val="32"/>
          <w:vertAlign w:val="baseline"/>
          <w:lang w:val="en-US" w:eastAsia="zh-CN" w:bidi="ar"/>
        </w:rPr>
        <w:t>1</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both"/>
        <w:outlineLvl w:val="9"/>
        <w:rPr>
          <w:rFonts w:hint="eastAsia" w:ascii="宋体" w:hAnsi="宋体" w:eastAsia="宋体" w:cs="宋体"/>
          <w:b/>
          <w:bCs/>
          <w:caps w:val="0"/>
          <w:color w:val="auto"/>
          <w:sz w:val="44"/>
          <w:szCs w:val="44"/>
          <w:shd w:val="clear" w:fill="FFFFFF"/>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0"/>
        <w:jc w:val="center"/>
        <w:outlineLvl w:val="9"/>
        <w:rPr>
          <w:rFonts w:hint="default" w:ascii="方正小标宋简体" w:hAnsi="方正小标宋简体" w:eastAsia="方正小标宋简体" w:cs="方正小标宋简体"/>
          <w:caps w:val="0"/>
          <w:color w:val="auto"/>
          <w:sz w:val="32"/>
          <w:szCs w:val="32"/>
          <w:vertAlign w:val="baseline"/>
        </w:rPr>
      </w:pPr>
      <w:r>
        <w:rPr>
          <w:rFonts w:hint="default" w:ascii="方正小标宋简体" w:hAnsi="方正小标宋简体" w:eastAsia="方正小标宋简体" w:cs="方正小标宋简体"/>
          <w:b w:val="0"/>
          <w:bCs w:val="0"/>
          <w:caps w:val="0"/>
          <w:color w:val="auto"/>
          <w:kern w:val="2"/>
          <w:sz w:val="32"/>
          <w:szCs w:val="32"/>
          <w:vertAlign w:val="baseline"/>
          <w:lang w:val="en-US" w:eastAsia="zh-CN" w:bidi="ar"/>
        </w:rPr>
        <w:t>玉瓦乡人民政府</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580" w:lineRule="exact"/>
        <w:ind w:left="0" w:right="0" w:firstLine="0"/>
        <w:jc w:val="center"/>
        <w:outlineLvl w:val="9"/>
        <w:rPr>
          <w:rFonts w:hint="default" w:ascii="仿宋_GB2312" w:eastAsia="仿宋_GB2312" w:cs="仿宋_GB2312"/>
          <w:caps w:val="0"/>
          <w:color w:val="auto"/>
          <w:sz w:val="32"/>
          <w:szCs w:val="32"/>
          <w:shd w:val="clear" w:fill="FFFFFF"/>
          <w:vertAlign w:val="baseline"/>
        </w:rPr>
      </w:pPr>
      <w:r>
        <w:rPr>
          <w:rFonts w:hint="default" w:ascii="方正小标宋简体" w:hAnsi="方正小标宋简体" w:eastAsia="方正小标宋简体" w:cs="方正小标宋简体"/>
          <w:b w:val="0"/>
          <w:bCs w:val="0"/>
          <w:caps w:val="0"/>
          <w:color w:val="auto"/>
          <w:kern w:val="2"/>
          <w:sz w:val="32"/>
          <w:szCs w:val="32"/>
          <w:vertAlign w:val="baseline"/>
          <w:lang w:val="en-US" w:eastAsia="zh-CN" w:bidi="ar"/>
        </w:rPr>
        <w:t>2022年度绩效运行自行监控报告</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480" w:firstLineChars="200"/>
        <w:jc w:val="left"/>
        <w:outlineLvl w:val="9"/>
        <w:rPr>
          <w:rFonts w:hint="eastAsia" w:ascii="黑体" w:hAnsi="宋体" w:eastAsia="黑体" w:cs="宋体"/>
          <w:caps w:val="0"/>
          <w:color w:val="000000"/>
          <w:kern w:val="0"/>
          <w:sz w:val="24"/>
          <w:szCs w:val="32"/>
          <w:shd w:val="clear" w:fill="FFFFFF"/>
          <w:vertAlign w:val="baseline"/>
        </w:rPr>
      </w:pP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hAnsi="宋体" w:eastAsia="黑体" w:cs="宋体"/>
          <w:caps w:val="0"/>
          <w:color w:val="000000"/>
          <w:kern w:val="0"/>
          <w:sz w:val="32"/>
          <w:szCs w:val="32"/>
          <w:shd w:val="clear" w:fill="FFFFFF"/>
          <w:vertAlign w:val="baseline"/>
          <w:lang w:val="zh-CN"/>
        </w:rPr>
      </w:pPr>
      <w:r>
        <w:rPr>
          <w:rFonts w:hint="eastAsia" w:ascii="黑体" w:hAnsi="宋体" w:eastAsia="黑体" w:cs="宋体"/>
          <w:b w:val="0"/>
          <w:bCs w:val="0"/>
          <w:caps w:val="0"/>
          <w:color w:val="000000"/>
          <w:kern w:val="0"/>
          <w:sz w:val="32"/>
          <w:szCs w:val="32"/>
          <w:shd w:val="clear" w:fill="FFFFFF"/>
          <w:vertAlign w:val="baseline"/>
          <w:lang w:val="en-US" w:eastAsia="zh-CN" w:bidi="ar"/>
        </w:rPr>
        <w:t>一、</w:t>
      </w:r>
      <w:r>
        <w:rPr>
          <w:rFonts w:hint="eastAsia" w:ascii="黑体" w:hAnsi="宋体" w:eastAsia="黑体" w:cs="宋体"/>
          <w:b w:val="0"/>
          <w:bCs w:val="0"/>
          <w:caps w:val="0"/>
          <w:color w:val="000000"/>
          <w:kern w:val="0"/>
          <w:sz w:val="32"/>
          <w:szCs w:val="32"/>
          <w:shd w:val="clear" w:fill="FFFFFF"/>
          <w:vertAlign w:val="baseline"/>
          <w:lang w:val="zh-CN" w:eastAsia="zh-CN" w:bidi="ar"/>
        </w:rPr>
        <w:t>部门（单位）概况</w:t>
      </w:r>
    </w:p>
    <w:p>
      <w:pPr>
        <w:keepNext w:val="0"/>
        <w:keepLines w:val="0"/>
        <w:pageBreakBefore w:val="0"/>
        <w:widowControl/>
        <w:numPr>
          <w:ilvl w:val="0"/>
          <w:numId w:val="2"/>
        </w:numPr>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hanging="96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机构组成。</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1 玉瓦乡政府</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2 玉瓦乡便民服务中心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3 玉瓦乡党群服务中心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4 玉瓦乡农业农村服务中心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5 玉瓦乡文化体育广电和旅游综合服务中心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（二）机构职能。</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1280" w:firstLineChars="4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积极宣传、贯彻执行党的路线、方针、政策，负责领</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导本地区的工作，支持和保护行政组织、经济组织和群众自</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治组织充分行使职权；领导制定本乡的经济和社会发展规划</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并组织协调督促各部门贯彻实施，切实保证各项计划、目标</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的完成；负责乡领导班子的自身建设和对干部进行选拔、培</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养、使用、考核、监督工作；负责抓好党员的发展、教育、</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管理；严肃党纪，端正党风，抓好党的组织建设、作风建设、</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制度建设和思想建设；加强对村支部、乡企业支部、村民委</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员会的领导、监督和检查工作，充分发挥他们的作用；负责</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本地区的社会治安综合治理、精神文明建设、廉政工作和政</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治思想工作；负责本地区社会主义民主法制建设；负责对乡</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共青团、妇联和民兵工作的领导；协助管理上级有关部门驻</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乡干部；完成县委交办的其它工作。</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（三）人员概况。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800" w:firstLineChars="25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玉瓦乡人民政府在编人数共34人，行政20人，事业14人。</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hAnsi="宋体" w:eastAsia="黑体" w:cs="宋体"/>
          <w:caps w:val="0"/>
          <w:color w:val="000000"/>
          <w:kern w:val="0"/>
          <w:sz w:val="32"/>
          <w:szCs w:val="32"/>
          <w:shd w:val="clear" w:fill="FFFFFF"/>
          <w:vertAlign w:val="baseline"/>
        </w:rPr>
      </w:pPr>
      <w:r>
        <w:rPr>
          <w:rFonts w:hint="eastAsia" w:ascii="黑体" w:hAnsi="宋体" w:eastAsia="黑体" w:cs="宋体"/>
          <w:b w:val="0"/>
          <w:bCs w:val="0"/>
          <w:caps w:val="0"/>
          <w:color w:val="000000"/>
          <w:kern w:val="0"/>
          <w:sz w:val="32"/>
          <w:szCs w:val="32"/>
          <w:shd w:val="clear" w:fill="FFFFFF"/>
          <w:vertAlign w:val="baseline"/>
          <w:lang w:val="en-US" w:eastAsia="zh-CN" w:bidi="ar"/>
        </w:rPr>
        <w:t>二、部门财政资金收支情况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（一）部门财政资金收入情况。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 xml:space="preserve">     玉瓦乡 2022 年一般公共预算拨款</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9478313.53</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 xml:space="preserve"> 元，全部为一般公共预算拨款收入 </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9478313.53</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（二）部门财政资金支出情况。</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玉瓦乡 202</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2</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年支出 14,103,468.15元，其中：基本支出</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7483100.24</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元；项目支出</w:t>
      </w:r>
      <w:r>
        <w:rPr>
          <w:rFonts w:hint="default" w:ascii="仿宋_GB2312" w:hAnsi="Times New Roman" w:eastAsia="仿宋_GB2312" w:cs="宋体"/>
          <w:b w:val="0"/>
          <w:bCs w:val="0"/>
          <w:caps w:val="0"/>
          <w:color w:val="000000"/>
          <w:kern w:val="0"/>
          <w:sz w:val="32"/>
          <w:szCs w:val="32"/>
          <w:shd w:val="clear" w:fill="FFFFFF"/>
          <w:vertAlign w:val="baseline"/>
          <w:lang w:val="en-US" w:eastAsia="zh-CN" w:bidi="ar"/>
        </w:rPr>
        <w:t>6620367.91</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元。</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仿宋_GB2312"/>
          <w:b w:val="0"/>
          <w:bCs w:val="0"/>
          <w:caps w:val="0"/>
          <w:color w:val="auto"/>
          <w:kern w:val="2"/>
          <w:sz w:val="32"/>
          <w:szCs w:val="32"/>
          <w:shd w:val="clear" w:fill="FFFFFF"/>
          <w:vertAlign w:val="baseline"/>
          <w:lang w:val="en-US" w:eastAsia="zh-CN" w:bidi="ar"/>
        </w:rPr>
        <w:t>本单位从预算、执行、验收、资金支付等流程层层把关，严格按照部门预算进行部门整体支出，涉及“三重一大”事项必须经过乡班子会议研究。所有项目资金严格按照项目申报的实施方案组织实施，并责成项目实施人员加强日常监督，依据相应的资金管理办法切实做到项目资金专项专用，无截留、无挪用等现象，使财政资金发挥最大使用效益</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hAnsi="宋体" w:eastAsia="黑体" w:cs="宋体"/>
          <w:caps w:val="0"/>
          <w:color w:val="000000"/>
          <w:kern w:val="0"/>
          <w:sz w:val="32"/>
          <w:szCs w:val="32"/>
          <w:shd w:val="clear" w:fill="FFFFFF"/>
          <w:vertAlign w:val="baseline"/>
        </w:rPr>
      </w:pPr>
      <w:r>
        <w:rPr>
          <w:rFonts w:hint="eastAsia" w:ascii="黑体" w:hAnsi="宋体" w:eastAsia="黑体" w:cs="宋体"/>
          <w:b w:val="0"/>
          <w:bCs w:val="0"/>
          <w:caps w:val="0"/>
          <w:color w:val="000000"/>
          <w:kern w:val="0"/>
          <w:sz w:val="32"/>
          <w:szCs w:val="32"/>
          <w:shd w:val="clear" w:fill="FFFFFF"/>
          <w:vertAlign w:val="baseline"/>
          <w:lang w:val="en-US" w:eastAsia="zh-CN" w:bidi="ar"/>
        </w:rPr>
        <w:t>三、部门整体预算绩效管理情况</w:t>
      </w:r>
    </w:p>
    <w:p>
      <w:pPr>
        <w:keepNext w:val="0"/>
        <w:keepLines w:val="0"/>
        <w:pageBreakBefore w:val="0"/>
        <w:widowControl/>
        <w:numPr>
          <w:ilvl w:val="0"/>
          <w:numId w:val="3"/>
        </w:numPr>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1600" w:right="0" w:hanging="960"/>
        <w:jc w:val="left"/>
        <w:outlineLvl w:val="9"/>
        <w:rPr>
          <w:rFonts w:hint="default" w:ascii="仿宋_GB2312" w:eastAsia="仿宋_GB2312" w:cs="宋体"/>
          <w:b/>
          <w:bCs/>
          <w:caps w:val="0"/>
          <w:color w:val="000000"/>
          <w:kern w:val="0"/>
          <w:sz w:val="32"/>
          <w:szCs w:val="32"/>
          <w:shd w:val="clear" w:fill="FFFFFF"/>
          <w:vertAlign w:val="baseline"/>
          <w:lang w:val="zh-CN"/>
        </w:rPr>
      </w:pPr>
      <w:r>
        <w:rPr>
          <w:rFonts w:hint="default" w:ascii="仿宋_GB2312" w:hAnsi="Times New Roman" w:eastAsia="仿宋_GB2312" w:cs="宋体"/>
          <w:b/>
          <w:bCs/>
          <w:caps w:val="0"/>
          <w:color w:val="000000"/>
          <w:kern w:val="0"/>
          <w:sz w:val="32"/>
          <w:szCs w:val="32"/>
          <w:shd w:val="clear" w:fill="FFFFFF"/>
          <w:vertAlign w:val="baseline"/>
          <w:lang w:val="zh-CN" w:eastAsia="zh-CN" w:bidi="ar"/>
        </w:rPr>
        <w:t>部门预算管理。</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480" w:firstLineChars="200"/>
        <w:jc w:val="both"/>
        <w:outlineLvl w:val="9"/>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基本支出用于保障机构正常运转，包括基本工资、津贴补贴、养老保险、社会保障缴费、公积金等人员经费以及办公费、印刷费、水电费、邮电费、车辆运行维护费等日常公用经费。项目经费主要用于专项工作开展，基本按照年初制定的数量指标、质量指标、时效指标和成本指标执行，保障我乡日常工作运转及承担的行政审批事项正常推进，较好地完成全年工作任务。</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480" w:firstLineChars="200"/>
        <w:jc w:val="both"/>
        <w:outlineLvl w:val="9"/>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2022年1-8月，我单位较好地完成了年初制定的工作目标任务，各个项目有序开展，整体支出平稳，较好地实现社会效益和可持续效益目标。</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2" w:firstLineChars="200"/>
        <w:jc w:val="left"/>
        <w:outlineLvl w:val="9"/>
        <w:rPr>
          <w:rFonts w:hint="default" w:ascii="仿宋_GB2312" w:eastAsia="仿宋_GB2312" w:cs="宋体"/>
          <w:b/>
          <w:bCs/>
          <w:caps w:val="0"/>
          <w:color w:val="000000"/>
          <w:kern w:val="0"/>
          <w:sz w:val="32"/>
          <w:szCs w:val="32"/>
          <w:shd w:val="clear" w:fill="FFFFFF"/>
          <w:vertAlign w:val="baseline"/>
          <w:lang w:val="zh-CN"/>
        </w:rPr>
      </w:pPr>
      <w:r>
        <w:rPr>
          <w:rFonts w:hint="default" w:ascii="仿宋_GB2312" w:hAnsi="Times New Roman" w:eastAsia="仿宋_GB2312" w:cs="宋体"/>
          <w:b/>
          <w:bCs/>
          <w:caps w:val="0"/>
          <w:color w:val="000000"/>
          <w:kern w:val="0"/>
          <w:sz w:val="32"/>
          <w:szCs w:val="32"/>
          <w:shd w:val="clear" w:fill="FFFFFF"/>
          <w:vertAlign w:val="baseline"/>
          <w:lang w:val="zh-CN" w:eastAsia="zh-CN" w:bidi="ar"/>
        </w:rPr>
        <w:t>（二）结果应用情况。</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480" w:firstLineChars="200"/>
        <w:jc w:val="both"/>
        <w:outlineLvl w:val="9"/>
        <w:rPr>
          <w:rFonts w:hint="eastAsia" w:ascii="黑体" w:hAnsi="宋体" w:eastAsia="黑体" w:cs="黑体"/>
          <w:caps w:val="0"/>
          <w:color w:val="auto"/>
          <w:sz w:val="32"/>
          <w:szCs w:val="32"/>
          <w:vertAlign w:val="baseline"/>
        </w:rPr>
      </w:pPr>
      <w:r>
        <w:rPr>
          <w:rFonts w:hint="default" w:asciiTheme="minorEastAsia" w:hAnsiTheme="minorEastAsia" w:eastAsiaTheme="minorEastAsia" w:cstheme="minorEastAsia"/>
          <w:kern w:val="0"/>
          <w:sz w:val="24"/>
          <w:szCs w:val="24"/>
          <w:shd w:val="clear" w:fill="FFFFFF"/>
          <w:lang w:val="en-US" w:eastAsia="zh-CN" w:bidi="ar"/>
        </w:rPr>
        <w:t>我单位对所有项目实施和整体社会效益及满意度等各项指标进行调查，服务群众对项目实施满意度达90%，达到了预期效果。</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0" w:firstLineChars="200"/>
        <w:jc w:val="left"/>
        <w:outlineLvl w:val="9"/>
        <w:rPr>
          <w:rFonts w:hint="eastAsia" w:ascii="黑体" w:hAnsi="宋体" w:eastAsia="黑体" w:cs="宋体"/>
          <w:caps w:val="0"/>
          <w:color w:val="000000"/>
          <w:kern w:val="0"/>
          <w:sz w:val="32"/>
          <w:szCs w:val="32"/>
          <w:shd w:val="clear" w:fill="FFFFFF"/>
          <w:vertAlign w:val="baseline"/>
        </w:rPr>
      </w:pPr>
      <w:r>
        <w:rPr>
          <w:rFonts w:hint="eastAsia" w:ascii="黑体" w:hAnsi="宋体" w:eastAsia="黑体" w:cs="宋体"/>
          <w:b w:val="0"/>
          <w:bCs w:val="0"/>
          <w:caps w:val="0"/>
          <w:color w:val="000000"/>
          <w:kern w:val="0"/>
          <w:sz w:val="32"/>
          <w:szCs w:val="32"/>
          <w:shd w:val="clear" w:fill="FFFFFF"/>
          <w:vertAlign w:val="baseline"/>
          <w:lang w:val="en-US" w:eastAsia="zh-CN" w:bidi="ar"/>
        </w:rPr>
        <w:t>四、评价结论及建议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2" w:firstLineChars="200"/>
        <w:jc w:val="left"/>
        <w:outlineLvl w:val="9"/>
        <w:rPr>
          <w:rFonts w:hint="default" w:ascii="仿宋_GB2312" w:eastAsia="仿宋_GB2312" w:cs="宋体"/>
          <w:caps w:val="0"/>
          <w:color w:val="000000"/>
          <w:kern w:val="0"/>
          <w:sz w:val="32"/>
          <w:szCs w:val="32"/>
          <w:shd w:val="clear" w:fill="FFFFFF"/>
          <w:vertAlign w:val="baseline"/>
          <w:lang w:val="zh-CN"/>
        </w:rPr>
      </w:pPr>
      <w:r>
        <w:rPr>
          <w:rFonts w:hint="default" w:ascii="仿宋_GB2312" w:hAnsi="Times New Roman" w:eastAsia="仿宋_GB2312" w:cs="宋体"/>
          <w:b/>
          <w:bCs/>
          <w:caps w:val="0"/>
          <w:color w:val="000000"/>
          <w:kern w:val="0"/>
          <w:sz w:val="32"/>
          <w:szCs w:val="32"/>
          <w:shd w:val="clear" w:fill="FFFFFF"/>
          <w:vertAlign w:val="baseline"/>
          <w:lang w:val="zh-CN" w:eastAsia="zh-CN" w:bidi="ar"/>
        </w:rPr>
        <w:t>（一）存在问题</w:t>
      </w:r>
      <w:r>
        <w:rPr>
          <w:rFonts w:hint="default" w:ascii="仿宋_GB2312" w:hAnsi="Times New Roman" w:eastAsia="仿宋_GB2312" w:cs="宋体"/>
          <w:b w:val="0"/>
          <w:bCs w:val="0"/>
          <w:caps w:val="0"/>
          <w:color w:val="000000"/>
          <w:kern w:val="0"/>
          <w:sz w:val="32"/>
          <w:szCs w:val="32"/>
          <w:shd w:val="clear" w:fill="FFFFFF"/>
          <w:vertAlign w:val="baseline"/>
          <w:lang w:val="zh-CN" w:eastAsia="zh-CN" w:bidi="ar"/>
        </w:rPr>
        <w:t>。</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480" w:firstLineChars="200"/>
        <w:jc w:val="left"/>
        <w:outlineLvl w:val="9"/>
        <w:rPr>
          <w:rFonts w:hint="default" w:asciiTheme="minorEastAsia" w:hAnsiTheme="minorEastAsia" w:eastAsiaTheme="minorEastAsia" w:cstheme="minorEastAsia"/>
          <w:kern w:val="0"/>
          <w:sz w:val="24"/>
          <w:szCs w:val="24"/>
          <w:shd w:val="clear" w:fill="FFFFFF"/>
          <w:lang w:val="zh-CN" w:eastAsia="zh-CN" w:bidi="ar"/>
        </w:rPr>
      </w:pPr>
      <w:r>
        <w:rPr>
          <w:rFonts w:hint="default" w:asciiTheme="minorEastAsia" w:hAnsiTheme="minorEastAsia" w:eastAsiaTheme="minorEastAsia" w:cstheme="minorEastAsia"/>
          <w:kern w:val="0"/>
          <w:sz w:val="24"/>
          <w:szCs w:val="24"/>
          <w:shd w:val="clear" w:fill="FFFFFF"/>
          <w:lang w:val="en-US" w:eastAsia="zh-CN" w:bidi="ar"/>
        </w:rPr>
        <w:t>绩效目标设定还需要进一步细化和量化，切实提高资金使用效益</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642" w:firstLineChars="200"/>
        <w:jc w:val="left"/>
        <w:outlineLvl w:val="9"/>
        <w:rPr>
          <w:rFonts w:hint="default" w:ascii="仿宋_GB2312" w:eastAsia="仿宋_GB2312" w:cs="宋体"/>
          <w:b/>
          <w:bCs/>
          <w:caps w:val="0"/>
          <w:color w:val="000000"/>
          <w:kern w:val="0"/>
          <w:sz w:val="32"/>
          <w:szCs w:val="32"/>
          <w:shd w:val="clear" w:fill="FFFFFF"/>
          <w:vertAlign w:val="baseline"/>
          <w:lang w:val="zh-CN"/>
        </w:rPr>
      </w:pPr>
      <w:r>
        <w:rPr>
          <w:rFonts w:hint="default" w:ascii="仿宋_GB2312" w:hAnsi="Times New Roman" w:eastAsia="仿宋_GB2312" w:cs="宋体"/>
          <w:b/>
          <w:bCs/>
          <w:caps w:val="0"/>
          <w:color w:val="000000"/>
          <w:kern w:val="0"/>
          <w:sz w:val="32"/>
          <w:szCs w:val="32"/>
          <w:shd w:val="clear" w:fill="FFFFFF"/>
          <w:vertAlign w:val="baseline"/>
          <w:lang w:val="zh-CN" w:eastAsia="zh-CN" w:bidi="ar"/>
        </w:rPr>
        <w:t>（二）改进建议。</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left="0" w:right="0" w:firstLine="480" w:firstLineChars="200"/>
        <w:jc w:val="left"/>
        <w:outlineLvl w:val="9"/>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1、细化预算编制工作，认真做好年初预算编制。进一步加强单位内部的预算管理意识，严格按照预算编制的相关要求进行编制。</w:t>
      </w:r>
    </w:p>
    <w:p>
      <w:pPr>
        <w:keepNext w:val="0"/>
        <w:keepLines w:val="0"/>
        <w:pageBreakBefore w:val="0"/>
        <w:widowControl/>
        <w:suppressLineNumbers w:val="0"/>
        <w:suppressAutoHyphens w:val="0"/>
        <w:kinsoku/>
        <w:wordWrap/>
        <w:overflowPunct/>
        <w:topLinePunct w:val="0"/>
        <w:autoSpaceDE/>
        <w:autoSpaceDN w:val="0"/>
        <w:bidi w:val="0"/>
        <w:adjustRightInd w:val="0"/>
        <w:snapToGrid w:val="0"/>
        <w:spacing w:before="0" w:beforeAutospacing="0" w:after="0" w:afterAutospacing="0" w:line="580" w:lineRule="exact"/>
        <w:ind w:right="0" w:firstLine="240" w:firstLineChars="100"/>
        <w:jc w:val="left"/>
        <w:outlineLvl w:val="9"/>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 xml:space="preserve">  2、加强财务管理，严格财务审核。强化单位财务管理，健全单位财务管理制度体系，规范单位财务行为。加强沟通，提前做好规划，及时支付相关</w:t>
      </w:r>
      <w:r>
        <w:rPr>
          <w:rFonts w:hint="eastAsia" w:cstheme="minorEastAsia"/>
          <w:kern w:val="0"/>
          <w:sz w:val="24"/>
          <w:szCs w:val="24"/>
          <w:shd w:val="clear" w:fill="FFFFFF"/>
          <w:lang w:val="en-US" w:eastAsia="zh-CN" w:bidi="ar"/>
        </w:rPr>
        <w:t>费用。</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附件</w:t>
      </w:r>
    </w:p>
    <w:p>
      <w:pPr>
        <w:keepNext w:val="0"/>
        <w:keepLines w:val="0"/>
        <w:pageBreakBefore w:val="0"/>
        <w:widowControl w:val="0"/>
        <w:suppressLineNumbers w:val="0"/>
        <w:tabs>
          <w:tab w:val="left" w:pos="1440"/>
        </w:tabs>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caps w:val="0"/>
          <w:color w:val="000000"/>
          <w:kern w:val="0"/>
          <w:sz w:val="44"/>
          <w:szCs w:val="44"/>
          <w:vertAlign w:val="baseline"/>
        </w:rPr>
      </w:pPr>
      <w:r>
        <w:rPr>
          <w:rFonts w:hint="default" w:ascii="方正小标宋简体" w:hAnsi="方正小标宋简体" w:eastAsia="方正小标宋简体" w:cs="方正小标宋简体"/>
          <w:b w:val="0"/>
          <w:bCs w:val="0"/>
          <w:caps w:val="0"/>
          <w:color w:val="000000"/>
          <w:kern w:val="0"/>
          <w:sz w:val="44"/>
          <w:szCs w:val="44"/>
          <w:vertAlign w:val="baseline"/>
          <w:lang w:val="en-US" w:eastAsia="zh-CN" w:bidi="ar"/>
        </w:rPr>
        <w:t>玉瓦寨村活动室后山滑坡</w:t>
      </w:r>
    </w:p>
    <w:p>
      <w:pPr>
        <w:pStyle w:val="2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caps w:val="0"/>
          <w:color w:val="000000"/>
          <w:sz w:val="44"/>
          <w:szCs w:val="44"/>
          <w:vertAlign w:val="baseline"/>
        </w:rPr>
      </w:pPr>
      <w:r>
        <w:rPr>
          <w:rFonts w:hint="default" w:ascii="方正小标宋简体" w:hAnsi="方正小标宋简体" w:eastAsia="方正小标宋简体" w:cs="方正小标宋简体"/>
          <w:caps w:val="0"/>
          <w:color w:val="000000"/>
          <w:sz w:val="44"/>
          <w:szCs w:val="44"/>
          <w:vertAlign w:val="baseline"/>
          <w:lang w:eastAsia="zh-CN"/>
        </w:rPr>
        <w:t>专项预算项目支出</w:t>
      </w:r>
      <w:r>
        <w:rPr>
          <w:rFonts w:hint="default" w:ascii="方正小标宋简体" w:hAnsi="方正小标宋简体" w:eastAsia="方正小标宋简体" w:cs="方正小标宋简体"/>
          <w:caps w:val="0"/>
          <w:color w:val="000000"/>
          <w:sz w:val="44"/>
          <w:szCs w:val="44"/>
          <w:vertAlign w:val="baseline"/>
        </w:rPr>
        <w:t>绩效自评报告</w:t>
      </w:r>
    </w:p>
    <w:p>
      <w:pPr>
        <w:pStyle w:val="21"/>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center"/>
        <w:outlineLvl w:val="9"/>
        <w:rPr>
          <w:rFonts w:hint="eastAsia" w:ascii="宋体" w:hAnsi="宋体" w:eastAsia="宋体" w:cs="宋体"/>
          <w:caps w:val="0"/>
          <w:color w:val="auto"/>
          <w:kern w:val="2"/>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lang w:val="zh-CN"/>
        </w:rPr>
      </w:pPr>
      <w:r>
        <w:rPr>
          <w:rFonts w:hint="eastAsia" w:ascii="黑体" w:hAnsi="宋体" w:eastAsia="黑体" w:cs="黑体"/>
          <w:b w:val="0"/>
          <w:bCs w:val="0"/>
          <w:caps w:val="0"/>
          <w:color w:val="auto"/>
          <w:kern w:val="2"/>
          <w:sz w:val="32"/>
          <w:szCs w:val="32"/>
          <w:vertAlign w:val="baseline"/>
          <w:lang w:val="en-US" w:eastAsia="zh-CN" w:bidi="ar"/>
        </w:rPr>
        <w:t>一、</w:t>
      </w:r>
      <w:r>
        <w:rPr>
          <w:rFonts w:hint="eastAsia" w:ascii="黑体" w:hAnsi="宋体" w:eastAsia="黑体" w:cs="黑体"/>
          <w:b w:val="0"/>
          <w:bCs w:val="0"/>
          <w:caps w:val="0"/>
          <w:color w:val="auto"/>
          <w:kern w:val="2"/>
          <w:sz w:val="32"/>
          <w:szCs w:val="32"/>
          <w:vertAlign w:val="baseline"/>
          <w:lang w:val="zh-CN" w:eastAsia="zh-CN" w:bidi="ar"/>
        </w:rPr>
        <w:t>项目概况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en-US" w:eastAsia="zh-CN" w:bidi="ar"/>
        </w:rPr>
      </w:pPr>
      <w:r>
        <w:rPr>
          <w:rFonts w:hint="default" w:ascii="仿宋_GB2312" w:hAnsi="Arial" w:eastAsia="仿宋_GB2312" w:cs="仿宋_GB2312"/>
          <w:b w:val="0"/>
          <w:bCs w:val="0"/>
          <w:caps w:val="0"/>
          <w:color w:val="auto"/>
          <w:kern w:val="0"/>
          <w:sz w:val="28"/>
          <w:szCs w:val="28"/>
          <w:vertAlign w:val="baseline"/>
          <w:lang w:val="en-US" w:eastAsia="zh-CN" w:bidi="ar"/>
        </w:rPr>
        <w:t>玉瓦寨村活动室后山滑坡主要危害对象为滑坡前缘玉瓦寨村聚居区11户55人的生命财产安全、玉瓦寨村活动室及其工作人员生命财产安全，威胁财产约350万，潜在经济损失可达450万元以上。</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（一）项目资金申报及批复情况</w:t>
      </w:r>
      <w:r>
        <w:rPr>
          <w:rFonts w:hint="eastAsia" w:ascii="楷体_GB2312" w:hAnsi="Times New Roman" w:eastAsia="楷体_GB2312" w:cs="楷体_GB2312"/>
          <w:b/>
          <w:bCs/>
          <w:caps w:val="0"/>
          <w:color w:val="auto"/>
          <w:kern w:val="2"/>
          <w:sz w:val="32"/>
          <w:szCs w:val="32"/>
          <w:vertAlign w:val="baseline"/>
          <w:lang w:val="zh-CN" w:eastAsia="zh-CN" w:bidi="ar"/>
        </w:rPr>
        <w:t>。</w:t>
      </w:r>
      <w:r>
        <w:rPr>
          <w:rFonts w:hint="default" w:ascii="仿宋_GB2312" w:hAnsi="Arial" w:eastAsia="仿宋_GB2312" w:cs="仿宋_GB2312"/>
          <w:b w:val="0"/>
          <w:bCs w:val="0"/>
          <w:caps w:val="0"/>
          <w:color w:val="auto"/>
          <w:kern w:val="0"/>
          <w:sz w:val="28"/>
          <w:szCs w:val="28"/>
          <w:vertAlign w:val="baseline"/>
          <w:lang w:val="en-US" w:eastAsia="zh-CN" w:bidi="ar"/>
        </w:rPr>
        <w:t>根据九寨沟县财政局关于九寨沟县玉瓦乡玉瓦寨村活动室后山滑坡地质灾害治理工程工程量清单预算价评审的批复，下达资金2103668.56元，</w:t>
      </w:r>
      <w:r>
        <w:rPr>
          <w:rFonts w:hint="default" w:ascii="仿宋_GB2312" w:hAnsi="Arial" w:eastAsia="仿宋_GB2312" w:cs="仿宋_GB2312"/>
          <w:b w:val="0"/>
          <w:bCs w:val="0"/>
          <w:caps w:val="0"/>
          <w:color w:val="auto"/>
          <w:kern w:val="0"/>
          <w:sz w:val="28"/>
          <w:szCs w:val="28"/>
          <w:vertAlign w:val="baseline"/>
          <w:lang w:val="zh-CN" w:eastAsia="zh-CN" w:bidi="ar"/>
        </w:rPr>
        <w:t>符合资金管理办法.</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（二）项目绩效目标。</w:t>
      </w:r>
      <w:r>
        <w:rPr>
          <w:rFonts w:hint="default" w:ascii="仿宋_GB2312" w:hAnsi="Arial" w:eastAsia="仿宋_GB2312" w:cs="仿宋_GB2312"/>
          <w:b w:val="0"/>
          <w:bCs w:val="0"/>
          <w:caps w:val="0"/>
          <w:color w:val="auto"/>
          <w:kern w:val="0"/>
          <w:sz w:val="28"/>
          <w:szCs w:val="28"/>
          <w:vertAlign w:val="baseline"/>
          <w:lang w:val="en-US" w:eastAsia="zh-CN" w:bidi="ar"/>
        </w:rPr>
        <w:t>最大限度的避免或减轻地质灾害造成的人员伤亡和财产损失，保障人民群众生命财产安全，维护社会稳定。</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（三）项目资金申报相符性。</w:t>
      </w:r>
      <w:r>
        <w:rPr>
          <w:rFonts w:hint="default" w:ascii="仿宋_GB2312" w:hAnsi="Arial" w:eastAsia="仿宋_GB2312" w:cs="仿宋_GB2312"/>
          <w:b w:val="0"/>
          <w:bCs w:val="0"/>
          <w:caps w:val="0"/>
          <w:color w:val="auto"/>
          <w:kern w:val="0"/>
          <w:sz w:val="28"/>
          <w:szCs w:val="28"/>
          <w:vertAlign w:val="baseline"/>
          <w:lang w:val="en-US" w:eastAsia="zh-CN" w:bidi="ar"/>
        </w:rPr>
        <w:t>九寨沟县玉瓦乡玉瓦寨村活动室后山滑坡地质灾害治理工程</w:t>
      </w:r>
      <w:r>
        <w:rPr>
          <w:rFonts w:hint="default" w:ascii="仿宋_GB2312" w:hAnsi="Arial" w:eastAsia="仿宋_GB2312" w:cs="仿宋_GB2312"/>
          <w:b w:val="0"/>
          <w:bCs w:val="0"/>
          <w:caps w:val="0"/>
          <w:color w:val="auto"/>
          <w:kern w:val="0"/>
          <w:sz w:val="28"/>
          <w:szCs w:val="28"/>
          <w:vertAlign w:val="baseline"/>
          <w:lang w:val="zh-CN" w:eastAsia="zh-CN" w:bidi="ar"/>
        </w:rPr>
        <w:t>与具体实施内容相符、申报目标合理可行。</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rPr>
      </w:pPr>
      <w:r>
        <w:rPr>
          <w:rFonts w:hint="eastAsia" w:ascii="黑体" w:hAnsi="宋体" w:eastAsia="黑体" w:cs="黑体"/>
          <w:b w:val="0"/>
          <w:bCs w:val="0"/>
          <w:caps w:val="0"/>
          <w:color w:val="auto"/>
          <w:kern w:val="2"/>
          <w:sz w:val="32"/>
          <w:szCs w:val="32"/>
          <w:vertAlign w:val="baseline"/>
          <w:lang w:val="en-US" w:eastAsia="zh-CN" w:bidi="ar"/>
        </w:rPr>
        <w:t>二、项目实施及管理情况</w:t>
      </w:r>
    </w:p>
    <w:p>
      <w:pPr>
        <w:keepNext w:val="0"/>
        <w:keepLines w:val="0"/>
        <w:pageBreakBefore w:val="0"/>
        <w:widowControl w:val="0"/>
        <w:numPr>
          <w:ilvl w:val="0"/>
          <w:numId w:val="4"/>
        </w:numPr>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1809" w:right="0" w:hanging="969"/>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资金计划、到位及使用情况。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28"/>
          <w:szCs w:val="28"/>
          <w:vertAlign w:val="baseline"/>
          <w:lang w:val="zh-CN"/>
        </w:rPr>
      </w:pPr>
      <w:r>
        <w:rPr>
          <w:rFonts w:hint="default" w:ascii="楷体_GB2312" w:hAnsi="Times New Roman" w:eastAsia="楷体_GB2312" w:cs="楷体_GB2312"/>
          <w:b w:val="0"/>
          <w:bCs w:val="0"/>
          <w:caps w:val="0"/>
          <w:color w:val="auto"/>
          <w:kern w:val="2"/>
          <w:sz w:val="28"/>
          <w:szCs w:val="28"/>
          <w:vertAlign w:val="baseline"/>
          <w:lang w:val="zh-CN" w:eastAsia="zh-CN" w:bidi="ar"/>
        </w:rPr>
        <w:t>1.资金计划及位。</w:t>
      </w:r>
      <w:r>
        <w:rPr>
          <w:rFonts w:hint="default" w:ascii="仿宋_GB2312" w:hAnsi="Times New Roman" w:eastAsia="仿宋_GB2312" w:cs="仿宋_GB2312"/>
          <w:b w:val="0"/>
          <w:bCs w:val="0"/>
          <w:caps w:val="0"/>
          <w:color w:val="auto"/>
          <w:kern w:val="2"/>
          <w:sz w:val="28"/>
          <w:szCs w:val="28"/>
          <w:vertAlign w:val="baseline"/>
          <w:lang w:val="en-US" w:eastAsia="zh-CN" w:bidi="ar"/>
        </w:rPr>
        <w:t>根据九寨沟县财政局关于九寨沟县玉瓦乡玉瓦寨村活动室后山滑坡地质灾害治理工程工程量清单预算价评审的批复，下达资金2103668.56元，</w:t>
      </w:r>
      <w:r>
        <w:rPr>
          <w:rFonts w:hint="default" w:ascii="仿宋_GB2312" w:hAnsi="Times New Roman" w:eastAsia="仿宋_GB2312" w:cs="仿宋_GB2312"/>
          <w:b w:val="0"/>
          <w:bCs w:val="0"/>
          <w:caps w:val="0"/>
          <w:color w:val="auto"/>
          <w:kern w:val="2"/>
          <w:sz w:val="28"/>
          <w:szCs w:val="28"/>
          <w:vertAlign w:val="baseline"/>
          <w:lang w:val="zh-CN" w:eastAsia="zh-CN" w:bidi="ar"/>
        </w:rPr>
        <w:t>符合资金管理办法，</w:t>
      </w:r>
      <w:r>
        <w:rPr>
          <w:rFonts w:hint="default" w:ascii="仿宋_GB2312" w:hAnsi="Times New Roman" w:eastAsia="仿宋_GB2312" w:cs="仿宋_GB2312"/>
          <w:b w:val="0"/>
          <w:bCs w:val="0"/>
          <w:caps w:val="0"/>
          <w:color w:val="auto"/>
          <w:kern w:val="2"/>
          <w:sz w:val="28"/>
          <w:szCs w:val="28"/>
          <w:vertAlign w:val="baseline"/>
          <w:lang w:val="en-US" w:eastAsia="zh-CN" w:bidi="ar"/>
        </w:rPr>
        <w:t>为“8.8”九寨沟地震灾后恢复重建地质灾害防治类结余资金，</w:t>
      </w:r>
      <w:r>
        <w:rPr>
          <w:rFonts w:hint="default" w:ascii="仿宋_GB2312" w:hAnsi="Times New Roman" w:eastAsia="仿宋_GB2312" w:cs="仿宋_GB2312"/>
          <w:b w:val="0"/>
          <w:bCs w:val="0"/>
          <w:caps w:val="0"/>
          <w:color w:val="auto"/>
          <w:kern w:val="2"/>
          <w:sz w:val="28"/>
          <w:szCs w:val="28"/>
          <w:vertAlign w:val="baseline"/>
          <w:lang w:val="zh-CN" w:eastAsia="zh-CN" w:bidi="ar"/>
        </w:rPr>
        <w:t>资金到位及时。</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360" w:right="0" w:firstLine="0"/>
        <w:jc w:val="both"/>
        <w:outlineLvl w:val="9"/>
        <w:rPr>
          <w:rFonts w:hint="default" w:ascii="仿宋_GB2312" w:eastAsia="仿宋_GB2312" w:cs="仿宋_GB2312"/>
          <w:caps w:val="0"/>
          <w:color w:val="auto"/>
          <w:sz w:val="28"/>
          <w:szCs w:val="28"/>
          <w:vertAlign w:val="baseline"/>
          <w:lang w:val="zh-CN"/>
        </w:rPr>
      </w:pPr>
      <w:r>
        <w:rPr>
          <w:rFonts w:hint="default" w:ascii="楷体_GB2312" w:hAnsi="Times New Roman" w:eastAsia="楷体_GB2312" w:cs="楷体_GB2312"/>
          <w:b w:val="0"/>
          <w:bCs w:val="0"/>
          <w:caps w:val="0"/>
          <w:color w:val="auto"/>
          <w:kern w:val="2"/>
          <w:sz w:val="28"/>
          <w:szCs w:val="28"/>
          <w:vertAlign w:val="baseline"/>
          <w:lang w:val="zh-CN" w:eastAsia="zh-CN" w:bidi="ar"/>
        </w:rPr>
        <w:t>2．资金使用。</w:t>
      </w:r>
      <w:r>
        <w:rPr>
          <w:rFonts w:hint="default" w:ascii="仿宋_GB2312" w:hAnsi="Times New Roman" w:eastAsia="仿宋_GB2312" w:cs="仿宋_GB2312"/>
          <w:b w:val="0"/>
          <w:bCs w:val="0"/>
          <w:caps w:val="0"/>
          <w:color w:val="auto"/>
          <w:kern w:val="2"/>
          <w:sz w:val="28"/>
          <w:szCs w:val="28"/>
          <w:vertAlign w:val="baseline"/>
          <w:lang w:val="zh-CN" w:eastAsia="zh-CN" w:bidi="ar"/>
        </w:rPr>
        <w:t>由于该项目2022年未完成，实际支出283000元勘查设计费，2022年度结束，财政收回1820668.56元。资金开支范围合规合法，支付依据合规合法，资金支付与预算相符。</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（二）项目财务管理情况。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28"/>
          <w:szCs w:val="28"/>
          <w:vertAlign w:val="baseline"/>
          <w:lang w:val="zh-CN"/>
        </w:rPr>
      </w:pPr>
      <w:r>
        <w:rPr>
          <w:rFonts w:hint="default" w:ascii="仿宋_GB2312" w:hAnsi="Times New Roman" w:eastAsia="仿宋_GB2312" w:cs="仿宋_GB2312"/>
          <w:b w:val="0"/>
          <w:bCs w:val="0"/>
          <w:caps w:val="0"/>
          <w:color w:val="auto"/>
          <w:kern w:val="2"/>
          <w:sz w:val="28"/>
          <w:szCs w:val="28"/>
          <w:vertAlign w:val="baseline"/>
          <w:lang w:val="zh-CN" w:eastAsia="zh-CN" w:bidi="ar"/>
        </w:rPr>
        <w:t>该项目严格按照财务管理制度进行，机构设置、会计核算及账务处理等。该严格执行财务管理制度、财务处理及时、会计核算规范。</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（三）项目组织实施情况。</w:t>
      </w:r>
    </w:p>
    <w:p>
      <w:pPr>
        <w:pStyle w:val="13"/>
        <w:keepNext w:val="0"/>
        <w:keepLines w:val="0"/>
        <w:pageBreakBefore w:val="0"/>
        <w:widowControl w:val="0"/>
        <w:suppressLineNumbers w:val="0"/>
        <w:suppressAutoHyphens w:val="0"/>
        <w:kinsoku/>
        <w:wordWrap/>
        <w:overflowPunct/>
        <w:topLinePunct w:val="0"/>
        <w:autoSpaceDE/>
        <w:autoSpaceDN w:val="0"/>
        <w:bidi w:val="0"/>
        <w:adjustRightInd w:val="0"/>
        <w:snapToGrid/>
        <w:spacing w:before="0" w:beforeAutospacing="0" w:after="0" w:afterAutospacing="0" w:line="480" w:lineRule="atLeast"/>
        <w:ind w:left="0" w:right="0" w:firstLine="560" w:firstLineChars="200"/>
        <w:jc w:val="both"/>
        <w:textAlignment w:val="baseline"/>
        <w:outlineLvl w:val="9"/>
        <w:rPr>
          <w:rFonts w:hint="default" w:ascii="仿宋_GB2312" w:eastAsia="仿宋_GB2312" w:cs="仿宋_GB2312"/>
          <w:caps w:val="0"/>
          <w:color w:val="auto"/>
          <w:sz w:val="28"/>
          <w:szCs w:val="28"/>
          <w:vertAlign w:val="baseline"/>
        </w:rPr>
      </w:pPr>
      <w:r>
        <w:rPr>
          <w:rFonts w:hint="default" w:ascii="仿宋_GB2312" w:hAnsi="Arial" w:eastAsia="仿宋_GB2312" w:cs="仿宋_GB2312"/>
          <w:b w:val="0"/>
          <w:bCs w:val="0"/>
          <w:caps w:val="0"/>
          <w:color w:val="auto"/>
          <w:kern w:val="2"/>
          <w:sz w:val="28"/>
          <w:szCs w:val="28"/>
          <w:vertAlign w:val="baseline"/>
          <w:lang w:val="en-US" w:eastAsia="zh-CN" w:bidi="ar"/>
        </w:rPr>
        <w:t>党委政府成立</w:t>
      </w:r>
      <w:r>
        <w:rPr>
          <w:rFonts w:hint="default" w:ascii="仿宋_GB2312" w:hAnsi="Arial" w:eastAsia="仿宋_GB2312" w:cs="仿宋_GB2312"/>
          <w:b w:val="0"/>
          <w:bCs w:val="0"/>
          <w:caps w:val="0"/>
          <w:color w:val="auto"/>
          <w:kern w:val="0"/>
          <w:sz w:val="28"/>
          <w:szCs w:val="28"/>
          <w:vertAlign w:val="baseline"/>
          <w:lang w:val="en-US" w:eastAsia="zh-CN" w:bidi="ar"/>
        </w:rPr>
        <w:t>九寨沟县玉瓦乡玉瓦寨村活动室后山滑坡地质灾害治理工程建设</w:t>
      </w:r>
      <w:r>
        <w:rPr>
          <w:rFonts w:hint="default" w:ascii="仿宋_GB2312" w:hAnsi="Arial" w:eastAsia="仿宋_GB2312" w:cs="仿宋_GB2312"/>
          <w:b w:val="0"/>
          <w:bCs w:val="0"/>
          <w:caps w:val="0"/>
          <w:color w:val="auto"/>
          <w:kern w:val="2"/>
          <w:sz w:val="28"/>
          <w:szCs w:val="28"/>
          <w:vertAlign w:val="baseline"/>
          <w:lang w:val="en-US" w:eastAsia="zh-CN" w:bidi="ar"/>
        </w:rPr>
        <w:t>领导小组，负责推进</w:t>
      </w:r>
      <w:r>
        <w:rPr>
          <w:rFonts w:hint="default" w:ascii="仿宋_GB2312" w:hAnsi="Arial" w:eastAsia="仿宋_GB2312" w:cs="仿宋_GB2312"/>
          <w:b w:val="0"/>
          <w:bCs w:val="0"/>
          <w:caps w:val="0"/>
          <w:color w:val="auto"/>
          <w:kern w:val="0"/>
          <w:sz w:val="28"/>
          <w:szCs w:val="28"/>
          <w:vertAlign w:val="baseline"/>
          <w:lang w:val="en-US" w:eastAsia="zh-CN" w:bidi="ar"/>
        </w:rPr>
        <w:t>九寨沟县玉瓦乡玉瓦寨村活动室后山滑坡地质灾害治理工程建设</w:t>
      </w:r>
      <w:r>
        <w:rPr>
          <w:rFonts w:hint="default" w:ascii="仿宋_GB2312" w:hAnsi="Arial" w:eastAsia="仿宋_GB2312" w:cs="仿宋_GB2312"/>
          <w:b w:val="0"/>
          <w:bCs w:val="0"/>
          <w:caps w:val="0"/>
          <w:color w:val="auto"/>
          <w:kern w:val="2"/>
          <w:sz w:val="28"/>
          <w:szCs w:val="28"/>
          <w:vertAlign w:val="baseline"/>
          <w:lang w:val="en-US" w:eastAsia="zh-CN" w:bidi="ar"/>
        </w:rPr>
        <w:t>工作。项目</w:t>
      </w:r>
      <w:r>
        <w:rPr>
          <w:rFonts w:hint="default" w:ascii="仿宋_GB2312" w:hAnsi="Arial" w:eastAsia="仿宋_GB2312" w:cs="仿宋_GB2312"/>
          <w:b w:val="0"/>
          <w:bCs w:val="0"/>
          <w:caps w:val="0"/>
          <w:color w:val="auto"/>
          <w:kern w:val="0"/>
          <w:sz w:val="28"/>
          <w:szCs w:val="28"/>
          <w:vertAlign w:val="baseline"/>
          <w:lang w:val="en-US" w:eastAsia="zh-CN" w:bidi="ar"/>
        </w:rPr>
        <w:t>有具体的实施时间，有明确的工作程序，基础设施条件能够有效保障，资金能足额保证，具有相应的质量检查、验收等必要的控制措施或手段，有针对突发事件或未知风险的应急措施。</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eastAsia" w:ascii="黑体" w:hAnsi="宋体" w:eastAsia="黑体" w:cs="黑体"/>
          <w:b w:val="0"/>
          <w:bCs w:val="0"/>
          <w:caps w:val="0"/>
          <w:color w:val="auto"/>
          <w:kern w:val="2"/>
          <w:sz w:val="32"/>
          <w:szCs w:val="32"/>
          <w:vertAlign w:val="baseline"/>
          <w:lang w:val="en-US" w:eastAsia="zh-CN" w:bidi="ar"/>
        </w:rPr>
        <w:t>三、项目绩效情况</w:t>
      </w:r>
      <w:r>
        <w:rPr>
          <w:rFonts w:hint="default" w:ascii="仿宋_GB2312" w:hAnsi="Times New Roman" w:eastAsia="仿宋_GB2312" w:cs="仿宋_GB2312"/>
          <w:b w:val="0"/>
          <w:bCs w:val="0"/>
          <w:caps w:val="0"/>
          <w:color w:val="auto"/>
          <w:kern w:val="2"/>
          <w:sz w:val="32"/>
          <w:szCs w:val="32"/>
          <w:vertAlign w:val="baseline"/>
          <w:lang w:val="zh-CN" w:eastAsia="zh-CN" w:bidi="ar"/>
        </w:rPr>
        <w:tab/>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（一）项目完成情况。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zh-CN" w:eastAsia="zh-CN" w:bidi="ar"/>
        </w:rPr>
        <w:t>该项目在2022年度内未完成。</w:t>
      </w:r>
    </w:p>
    <w:p>
      <w:pPr>
        <w:pStyle w:val="20"/>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481" w:firstLineChars="200"/>
        <w:jc w:val="left"/>
        <w:outlineLvl w:val="9"/>
        <w:rPr>
          <w:rFonts w:hint="default" w:ascii="仿宋_GB2312" w:eastAsia="仿宋_GB2312" w:cs="Times New Roman"/>
          <w:caps w:val="0"/>
          <w:color w:val="auto"/>
          <w:sz w:val="30"/>
          <w:szCs w:val="30"/>
          <w:vertAlign w:val="baseline"/>
        </w:rPr>
      </w:pPr>
      <w:r>
        <w:rPr>
          <w:rFonts w:hint="default" w:ascii="楷体_GB2312" w:eastAsia="楷体_GB2312" w:cs="楷体_GB2312"/>
          <w:b/>
          <w:bCs/>
          <w:caps w:val="0"/>
          <w:color w:val="auto"/>
          <w:sz w:val="24"/>
          <w:szCs w:val="24"/>
          <w:vertAlign w:val="baseline"/>
          <w:lang w:val="zh-CN"/>
        </w:rPr>
        <w:t>（</w:t>
      </w:r>
      <w:r>
        <w:rPr>
          <w:rFonts w:hint="default" w:ascii="楷体_GB2312" w:eastAsia="楷体_GB2312" w:cs="楷体_GB2312"/>
          <w:b/>
          <w:bCs/>
          <w:caps w:val="0"/>
          <w:color w:val="auto"/>
          <w:kern w:val="2"/>
          <w:sz w:val="32"/>
          <w:szCs w:val="32"/>
          <w:vertAlign w:val="baseline"/>
          <w:lang w:val="zh-CN"/>
        </w:rPr>
        <w:t>二）项目效益情况</w:t>
      </w:r>
      <w:r>
        <w:rPr>
          <w:rFonts w:hint="default" w:ascii="楷体_GB2312" w:eastAsia="楷体_GB2312" w:cs="楷体_GB2312"/>
          <w:b/>
          <w:bCs/>
          <w:caps w:val="0"/>
          <w:color w:val="auto"/>
          <w:sz w:val="24"/>
          <w:szCs w:val="24"/>
          <w:vertAlign w:val="baseline"/>
          <w:lang w:val="zh-CN"/>
        </w:rPr>
        <w:t>。</w:t>
      </w:r>
      <w:r>
        <w:rPr>
          <w:rFonts w:hint="default" w:ascii="仿宋_GB2312" w:eastAsia="仿宋_GB2312" w:cs="Times New Roman"/>
          <w:caps w:val="0"/>
          <w:color w:val="auto"/>
          <w:sz w:val="30"/>
          <w:szCs w:val="30"/>
          <w:vertAlign w:val="baseline"/>
        </w:rPr>
        <w:t>最大限度的避免或减轻地质灾害造成的人员伤亡和财产损失，保障人民群众生命财产安全，维护社会稳定</w:t>
      </w:r>
      <w:r>
        <w:rPr>
          <w:rFonts w:hint="default" w:ascii="仿宋_GB2312" w:eastAsia="仿宋_GB2312" w:cs="仿宋_GB2312"/>
          <w:caps w:val="0"/>
          <w:color w:val="auto"/>
          <w:sz w:val="30"/>
          <w:szCs w:val="30"/>
          <w:vertAlign w:val="baseline"/>
        </w:rPr>
        <w:t>。</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rPr>
      </w:pPr>
      <w:r>
        <w:rPr>
          <w:rFonts w:hint="eastAsia" w:ascii="黑体" w:hAnsi="宋体" w:eastAsia="黑体" w:cs="黑体"/>
          <w:b w:val="0"/>
          <w:bCs w:val="0"/>
          <w:caps w:val="0"/>
          <w:color w:val="auto"/>
          <w:kern w:val="2"/>
          <w:sz w:val="32"/>
          <w:szCs w:val="32"/>
          <w:vertAlign w:val="baseline"/>
          <w:lang w:val="en-US" w:eastAsia="zh-CN" w:bidi="ar"/>
        </w:rPr>
        <w:t>四、问题及建议</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（一）存在的问题。</w:t>
      </w:r>
      <w:r>
        <w:rPr>
          <w:rFonts w:hint="default" w:ascii="仿宋_GB2312" w:hAnsi="Times New Roman" w:eastAsia="仿宋_GB2312" w:cs="仿宋_GB2312"/>
          <w:b w:val="0"/>
          <w:bCs w:val="0"/>
          <w:caps w:val="0"/>
          <w:color w:val="auto"/>
          <w:kern w:val="2"/>
          <w:sz w:val="32"/>
          <w:szCs w:val="32"/>
          <w:vertAlign w:val="baseline"/>
          <w:lang w:val="zh-CN" w:eastAsia="zh-CN" w:bidi="ar"/>
        </w:rPr>
        <w:t>无</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（二）相关建议。</w:t>
      </w:r>
      <w:r>
        <w:rPr>
          <w:rFonts w:hint="default" w:ascii="仿宋_GB2312" w:hAnsi="Times New Roman" w:eastAsia="仿宋_GB2312" w:cs="仿宋_GB2312"/>
          <w:b w:val="0"/>
          <w:bCs w:val="0"/>
          <w:caps w:val="0"/>
          <w:color w:val="auto"/>
          <w:kern w:val="2"/>
          <w:sz w:val="32"/>
          <w:szCs w:val="32"/>
          <w:vertAlign w:val="baseline"/>
          <w:lang w:val="zh-CN" w:eastAsia="zh-CN" w:bidi="ar"/>
        </w:rPr>
        <w:t>无</w:t>
      </w:r>
    </w:p>
    <w:p>
      <w:pPr>
        <w:keepNext w:val="0"/>
        <w:keepLines w:val="0"/>
        <w:pageBreakBefore w:val="0"/>
        <w:widowControl w:val="0"/>
        <w:suppressLineNumbers w:val="0"/>
        <w:tabs>
          <w:tab w:val="left" w:pos="1440"/>
        </w:tabs>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b w:val="0"/>
          <w:bCs w:val="0"/>
          <w:caps w:val="0"/>
          <w:color w:val="000000"/>
          <w:kern w:val="0"/>
          <w:sz w:val="44"/>
          <w:szCs w:val="44"/>
          <w:vertAlign w:val="baseline"/>
          <w:lang w:val="en-US" w:eastAsia="zh-CN" w:bidi="ar"/>
        </w:rPr>
      </w:pPr>
    </w:p>
    <w:p>
      <w:pPr>
        <w:keepNext w:val="0"/>
        <w:keepLines w:val="0"/>
        <w:pageBreakBefore w:val="0"/>
        <w:widowControl w:val="0"/>
        <w:suppressLineNumbers w:val="0"/>
        <w:tabs>
          <w:tab w:val="left" w:pos="1440"/>
        </w:tabs>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caps w:val="0"/>
          <w:color w:val="000000"/>
          <w:kern w:val="0"/>
          <w:sz w:val="44"/>
          <w:szCs w:val="44"/>
          <w:vertAlign w:val="baseline"/>
        </w:rPr>
      </w:pPr>
      <w:r>
        <w:rPr>
          <w:rFonts w:hint="default" w:ascii="方正小标宋简体" w:hAnsi="方正小标宋简体" w:eastAsia="方正小标宋简体" w:cs="方正小标宋简体"/>
          <w:b w:val="0"/>
          <w:bCs w:val="0"/>
          <w:caps w:val="0"/>
          <w:color w:val="000000"/>
          <w:kern w:val="0"/>
          <w:sz w:val="44"/>
          <w:szCs w:val="44"/>
          <w:vertAlign w:val="baseline"/>
          <w:lang w:val="en-US" w:eastAsia="zh-CN" w:bidi="ar"/>
        </w:rPr>
        <w:t>美丽四川宜居乡村</w:t>
      </w:r>
    </w:p>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0"/>
        <w:jc w:val="center"/>
        <w:outlineLvl w:val="9"/>
        <w:rPr>
          <w:rFonts w:hint="default" w:ascii="方正小标宋简体" w:hAnsi="方正小标宋简体" w:eastAsia="方正小标宋简体" w:cs="方正小标宋简体"/>
          <w:caps w:val="0"/>
          <w:color w:val="000000"/>
          <w:sz w:val="44"/>
          <w:szCs w:val="44"/>
          <w:vertAlign w:val="baseline"/>
        </w:rPr>
      </w:pPr>
      <w:r>
        <w:rPr>
          <w:rFonts w:hint="default" w:ascii="方正小标宋简体" w:hAnsi="方正小标宋简体" w:eastAsia="方正小标宋简体" w:cs="方正小标宋简体"/>
          <w:b w:val="0"/>
          <w:bCs w:val="0"/>
          <w:caps w:val="0"/>
          <w:color w:val="000000"/>
          <w:kern w:val="0"/>
          <w:sz w:val="44"/>
          <w:szCs w:val="44"/>
          <w:vertAlign w:val="baseline"/>
          <w:lang w:val="en-US" w:eastAsia="zh-CN" w:bidi="ar"/>
        </w:rPr>
        <w:t>专项预算项目支出绩效自评报告</w:t>
      </w:r>
    </w:p>
    <w:p>
      <w:pPr>
        <w:pStyle w:val="13"/>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00" w:lineRule="exact"/>
        <w:ind w:left="0" w:right="0" w:firstLine="640"/>
        <w:jc w:val="center"/>
        <w:outlineLvl w:val="9"/>
        <w:rPr>
          <w:rFonts w:hint="eastAsia" w:ascii="宋体" w:hAnsi="宋体" w:eastAsia="宋体" w:cs="宋体"/>
          <w:caps w:val="0"/>
          <w:color w:val="auto"/>
          <w:kern w:val="2"/>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lang w:val="zh-CN"/>
        </w:rPr>
      </w:pPr>
      <w:r>
        <w:rPr>
          <w:rFonts w:hint="eastAsia" w:ascii="黑体" w:hAnsi="宋体" w:eastAsia="黑体" w:cs="黑体"/>
          <w:b w:val="0"/>
          <w:bCs w:val="0"/>
          <w:caps w:val="0"/>
          <w:color w:val="auto"/>
          <w:kern w:val="2"/>
          <w:sz w:val="32"/>
          <w:szCs w:val="32"/>
          <w:vertAlign w:val="baseline"/>
          <w:lang w:val="en-US" w:eastAsia="zh-CN" w:bidi="ar"/>
        </w:rPr>
        <w:t>一、</w:t>
      </w:r>
      <w:r>
        <w:rPr>
          <w:rFonts w:hint="eastAsia" w:ascii="黑体" w:hAnsi="宋体" w:eastAsia="黑体" w:cs="黑体"/>
          <w:b w:val="0"/>
          <w:bCs w:val="0"/>
          <w:caps w:val="0"/>
          <w:color w:val="auto"/>
          <w:kern w:val="2"/>
          <w:sz w:val="32"/>
          <w:szCs w:val="32"/>
          <w:vertAlign w:val="baseline"/>
          <w:lang w:val="zh-CN" w:eastAsia="zh-CN" w:bidi="ar"/>
        </w:rPr>
        <w:t>项目概况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en-US" w:eastAsia="zh-CN" w:bidi="ar"/>
        </w:rPr>
        <w:t>为全力做好2021年四川省文化和旅游发展大会环境整治工作，全面提升我乡环境卫生、环境容貌、环境秩序管理水平，以干净整洁、文明有序的环境迎接文旅大会的顺利召开</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520" w:lineRule="exact"/>
        <w:ind w:left="0" w:right="0" w:firstLine="642" w:firstLineChars="200"/>
        <w:jc w:val="both"/>
        <w:outlineLvl w:val="9"/>
        <w:rPr>
          <w:rFonts w:hint="default" w:ascii="仿宋_GB2312" w:hAnsi="Arial" w:eastAsia="仿宋_GB2312" w:cs="仿宋_GB2312"/>
          <w:b w:val="0"/>
          <w:bCs w:val="0"/>
          <w:caps w:val="0"/>
          <w:color w:val="auto"/>
          <w:kern w:val="0"/>
          <w:sz w:val="28"/>
          <w:szCs w:val="28"/>
          <w:vertAlign w:val="baseline"/>
          <w:lang w:val="en-US"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（一）项目资金申报及批复情况。</w:t>
      </w:r>
      <w:r>
        <w:rPr>
          <w:rFonts w:hint="default" w:ascii="仿宋_GB2312" w:hAnsi="Arial" w:eastAsia="仿宋_GB2312" w:cs="仿宋_GB2312"/>
          <w:b w:val="0"/>
          <w:bCs w:val="0"/>
          <w:caps w:val="0"/>
          <w:color w:val="auto"/>
          <w:kern w:val="0"/>
          <w:sz w:val="28"/>
          <w:szCs w:val="28"/>
          <w:vertAlign w:val="baseline"/>
          <w:lang w:val="en-US" w:eastAsia="zh-CN" w:bidi="ar"/>
        </w:rPr>
        <w:t>该项目</w:t>
      </w:r>
      <w:r>
        <w:rPr>
          <w:rFonts w:hint="eastAsia" w:ascii="仿宋_GB2312" w:hAnsi="Arial" w:eastAsia="仿宋_GB2312" w:cs="仿宋_GB2312"/>
          <w:b w:val="0"/>
          <w:bCs w:val="0"/>
          <w:caps w:val="0"/>
          <w:color w:val="auto"/>
          <w:kern w:val="0"/>
          <w:sz w:val="28"/>
          <w:szCs w:val="28"/>
          <w:vertAlign w:val="baseline"/>
          <w:lang w:val="en-US" w:eastAsia="zh-CN" w:bidi="ar"/>
        </w:rPr>
        <w:t>总投资538.845128万元。其中：上级补助306.826411万元，群众自筹232.018717万元。</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en-US"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（二）项目绩效目标。</w:t>
      </w:r>
      <w:r>
        <w:rPr>
          <w:rFonts w:hint="default" w:ascii="仿宋_GB2312" w:hAnsi="Arial" w:eastAsia="仿宋_GB2312" w:cs="仿宋_GB2312"/>
          <w:b w:val="0"/>
          <w:bCs w:val="0"/>
          <w:caps w:val="0"/>
          <w:color w:val="auto"/>
          <w:kern w:val="0"/>
          <w:sz w:val="28"/>
          <w:szCs w:val="28"/>
          <w:vertAlign w:val="baseline"/>
          <w:lang w:val="en-US" w:eastAsia="zh-CN" w:bidi="ar"/>
        </w:rPr>
        <w:t>以习近平生态文明思想为指导，紧扣“一州两区三家园”战略目标，围绕“当好东道主、办好文旅会”和“一创建”工作主题，以采取“两统一”，探索“三个治”，实施“四个清”，落实“五个有”，实现“六个化”为途径。高标准、严要求，做实做细环境整治工作，推动全域环境治理工作再上台阶</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hAnsi="Times New Roman" w:eastAsia="楷体_GB2312" w:cs="楷体_GB2312"/>
          <w:b/>
          <w:bCs/>
          <w:caps w:val="0"/>
          <w:color w:val="auto"/>
          <w:kern w:val="2"/>
          <w:sz w:val="32"/>
          <w:szCs w:val="32"/>
          <w:vertAlign w:val="baseline"/>
          <w:lang w:val="zh-CN" w:eastAsia="zh-CN" w:bidi="ar"/>
        </w:rPr>
        <w:t>（三）项目资金申报相符性。</w:t>
      </w:r>
      <w:r>
        <w:rPr>
          <w:rFonts w:hint="default" w:ascii="仿宋_GB2312" w:hAnsi="Arial" w:eastAsia="仿宋_GB2312" w:cs="仿宋_GB2312"/>
          <w:b w:val="0"/>
          <w:bCs w:val="0"/>
          <w:caps w:val="0"/>
          <w:color w:val="auto"/>
          <w:kern w:val="0"/>
          <w:sz w:val="28"/>
          <w:szCs w:val="28"/>
          <w:vertAlign w:val="baseline"/>
          <w:lang w:val="en-US" w:eastAsia="zh-CN" w:bidi="ar"/>
        </w:rPr>
        <w:t>九寨沟县玉瓦乡美丽四川宜居乡村综合整治项目工程</w:t>
      </w:r>
      <w:r>
        <w:rPr>
          <w:rFonts w:hint="default" w:ascii="仿宋_GB2312" w:hAnsi="Arial" w:eastAsia="仿宋_GB2312" w:cs="仿宋_GB2312"/>
          <w:b w:val="0"/>
          <w:bCs w:val="0"/>
          <w:caps w:val="0"/>
          <w:color w:val="auto"/>
          <w:kern w:val="0"/>
          <w:sz w:val="28"/>
          <w:szCs w:val="28"/>
          <w:vertAlign w:val="baseline"/>
          <w:lang w:val="zh-CN" w:eastAsia="zh-CN" w:bidi="ar"/>
        </w:rPr>
        <w:t>与具体实施内容相符、申报目标合理可行。</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eastAsia" w:ascii="黑体" w:hAnsi="宋体" w:eastAsia="黑体" w:cs="黑体"/>
          <w:caps w:val="0"/>
          <w:color w:val="auto"/>
          <w:sz w:val="32"/>
          <w:szCs w:val="32"/>
          <w:vertAlign w:val="baseline"/>
        </w:rPr>
      </w:pPr>
      <w:r>
        <w:rPr>
          <w:rFonts w:hint="eastAsia" w:ascii="黑体" w:hAnsi="宋体" w:eastAsia="黑体" w:cs="黑体"/>
          <w:b w:val="0"/>
          <w:bCs w:val="0"/>
          <w:caps w:val="0"/>
          <w:color w:val="auto"/>
          <w:kern w:val="2"/>
          <w:sz w:val="32"/>
          <w:szCs w:val="32"/>
          <w:vertAlign w:val="baseline"/>
          <w:lang w:val="en-US" w:eastAsia="zh-CN" w:bidi="ar"/>
        </w:rPr>
        <w:t>二、项目实施及管理情况</w:t>
      </w:r>
    </w:p>
    <w:p>
      <w:pPr>
        <w:keepNext w:val="0"/>
        <w:keepLines w:val="0"/>
        <w:pageBreakBefore w:val="0"/>
        <w:widowControl w:val="0"/>
        <w:numPr>
          <w:ilvl w:val="0"/>
          <w:numId w:val="5"/>
        </w:numPr>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1809" w:right="0" w:hanging="969"/>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资金计划、到位及使用情况。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zh-CN" w:eastAsia="zh-CN" w:bidi="ar"/>
        </w:rPr>
        <w:t>1.资金计划及位。</w:t>
      </w:r>
      <w:r>
        <w:rPr>
          <w:rFonts w:hint="eastAsia" w:ascii="仿宋_GB2312" w:hAnsi="Arial" w:eastAsia="仿宋_GB2312" w:cs="仿宋_GB2312"/>
          <w:b w:val="0"/>
          <w:bCs w:val="0"/>
          <w:caps w:val="0"/>
          <w:color w:val="auto"/>
          <w:kern w:val="0"/>
          <w:sz w:val="28"/>
          <w:szCs w:val="28"/>
          <w:vertAlign w:val="baseline"/>
          <w:lang w:val="en-US" w:eastAsia="zh-CN" w:bidi="ar"/>
        </w:rPr>
        <w:t>玉瓦乡环境整治和风貌提升</w:t>
      </w:r>
      <w:r>
        <w:rPr>
          <w:rFonts w:hint="default" w:ascii="仿宋_GB2312" w:hAnsi="Arial" w:eastAsia="仿宋_GB2312" w:cs="仿宋_GB2312"/>
          <w:b w:val="0"/>
          <w:bCs w:val="0"/>
          <w:caps w:val="0"/>
          <w:color w:val="auto"/>
          <w:kern w:val="0"/>
          <w:sz w:val="28"/>
          <w:szCs w:val="28"/>
          <w:vertAlign w:val="baseline"/>
          <w:lang w:val="en-US" w:eastAsia="zh-CN" w:bidi="ar"/>
        </w:rPr>
        <w:t>主要分为存在自筹部份及无自筹部份</w:t>
      </w:r>
      <w:r>
        <w:rPr>
          <w:rFonts w:hint="eastAsia" w:ascii="仿宋_GB2312" w:hAnsi="Arial" w:eastAsia="仿宋_GB2312" w:cs="仿宋_GB2312"/>
          <w:b w:val="0"/>
          <w:bCs w:val="0"/>
          <w:caps w:val="0"/>
          <w:color w:val="auto"/>
          <w:kern w:val="0"/>
          <w:sz w:val="28"/>
          <w:szCs w:val="28"/>
          <w:vertAlign w:val="baseline"/>
          <w:lang w:val="en-US" w:eastAsia="zh-CN" w:bidi="ar"/>
        </w:rPr>
        <w:t>（自筹部份极少）</w:t>
      </w:r>
      <w:r>
        <w:rPr>
          <w:rFonts w:hint="default" w:ascii="仿宋_GB2312" w:hAnsi="Arial" w:eastAsia="仿宋_GB2312" w:cs="仿宋_GB2312"/>
          <w:b w:val="0"/>
          <w:bCs w:val="0"/>
          <w:caps w:val="0"/>
          <w:color w:val="auto"/>
          <w:kern w:val="0"/>
          <w:sz w:val="28"/>
          <w:szCs w:val="28"/>
          <w:vertAlign w:val="baseline"/>
          <w:lang w:val="en-US" w:eastAsia="zh-CN" w:bidi="ar"/>
        </w:rPr>
        <w:t>，建设内容主要分为拆除、整治、提升完善、枯木、白色垃圾清理及其他五种类型。存在自筹部分涉及玉瓦乡全部六村，</w:t>
      </w:r>
      <w:r>
        <w:rPr>
          <w:rFonts w:hint="eastAsia" w:ascii="仿宋_GB2312" w:hAnsi="Arial" w:eastAsia="仿宋_GB2312" w:cs="仿宋_GB2312"/>
          <w:b w:val="0"/>
          <w:bCs w:val="0"/>
          <w:caps w:val="0"/>
          <w:color w:val="auto"/>
          <w:kern w:val="0"/>
          <w:sz w:val="28"/>
          <w:szCs w:val="28"/>
          <w:vertAlign w:val="baseline"/>
          <w:lang w:val="en-US" w:eastAsia="zh-CN" w:bidi="ar"/>
        </w:rPr>
        <w:t>估算总投资5388451.28元。其中：上级补助3068264.11元，群众自筹2320187.17元自筹部份</w:t>
      </w:r>
      <w:r>
        <w:rPr>
          <w:rFonts w:hint="default" w:ascii="仿宋_GB2312" w:hAnsi="Arial" w:eastAsia="仿宋_GB2312" w:cs="仿宋_GB2312"/>
          <w:b w:val="0"/>
          <w:bCs w:val="0"/>
          <w:caps w:val="0"/>
          <w:color w:val="auto"/>
          <w:kern w:val="0"/>
          <w:sz w:val="28"/>
          <w:szCs w:val="28"/>
          <w:vertAlign w:val="baseline"/>
          <w:lang w:val="zh-CN" w:eastAsia="zh-CN" w:bidi="ar"/>
        </w:rPr>
        <w:t>。</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default" w:ascii="仿宋_GB2312" w:hAnsi="Arial" w:eastAsia="仿宋_GB2312" w:cs="仿宋_GB2312"/>
          <w:b w:val="0"/>
          <w:bCs w:val="0"/>
          <w:caps w:val="0"/>
          <w:color w:val="auto"/>
          <w:kern w:val="0"/>
          <w:sz w:val="28"/>
          <w:szCs w:val="28"/>
          <w:vertAlign w:val="baseline"/>
          <w:lang w:val="zh-CN" w:eastAsia="zh-CN" w:bidi="ar"/>
        </w:rPr>
        <w:t>2．资金使用。该项目上级补助部分实际支出</w:t>
      </w:r>
      <w:r>
        <w:rPr>
          <w:rFonts w:hint="eastAsia" w:ascii="仿宋_GB2312" w:hAnsi="Arial" w:eastAsia="仿宋_GB2312" w:cs="仿宋_GB2312"/>
          <w:b w:val="0"/>
          <w:bCs w:val="0"/>
          <w:caps w:val="0"/>
          <w:color w:val="auto"/>
          <w:kern w:val="0"/>
          <w:sz w:val="28"/>
          <w:szCs w:val="28"/>
          <w:vertAlign w:val="baseline"/>
          <w:lang w:val="en-US" w:eastAsia="zh-CN" w:bidi="ar"/>
        </w:rPr>
        <w:t>3068264.11元，全部使用完。</w:t>
      </w:r>
      <w:r>
        <w:rPr>
          <w:rFonts w:hint="default" w:ascii="仿宋_GB2312" w:hAnsi="Arial" w:eastAsia="仿宋_GB2312" w:cs="仿宋_GB2312"/>
          <w:b w:val="0"/>
          <w:bCs w:val="0"/>
          <w:caps w:val="0"/>
          <w:color w:val="auto"/>
          <w:kern w:val="0"/>
          <w:sz w:val="28"/>
          <w:szCs w:val="28"/>
          <w:vertAlign w:val="baseline"/>
          <w:lang w:val="zh-CN" w:eastAsia="zh-CN" w:bidi="ar"/>
        </w:rPr>
        <w:t>资金开支范围合规合法，支付依据合规合法，资金支付与预算相符。</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（二）项目财务管理情况。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default" w:ascii="仿宋_GB2312" w:hAnsi="Arial" w:eastAsia="仿宋_GB2312" w:cs="仿宋_GB2312"/>
          <w:b w:val="0"/>
          <w:bCs w:val="0"/>
          <w:caps w:val="0"/>
          <w:color w:val="auto"/>
          <w:kern w:val="0"/>
          <w:sz w:val="28"/>
          <w:szCs w:val="28"/>
          <w:vertAlign w:val="baseline"/>
          <w:lang w:val="zh-CN" w:eastAsia="zh-CN" w:bidi="ar"/>
        </w:rPr>
        <w:t>该项目严格按照财务管理制度进行，机构设置、会计核算及账务处理等。该严格执行财务管理制度、财务处理及时、会计核算规范</w:t>
      </w:r>
      <w:r>
        <w:rPr>
          <w:rFonts w:hint="default" w:ascii="仿宋_GB2312" w:hAnsi="Times New Roman" w:eastAsia="仿宋_GB2312" w:cs="仿宋_GB2312"/>
          <w:b w:val="0"/>
          <w:bCs w:val="0"/>
          <w:caps w:val="0"/>
          <w:color w:val="auto"/>
          <w:kern w:val="2"/>
          <w:sz w:val="32"/>
          <w:szCs w:val="32"/>
          <w:vertAlign w:val="baseline"/>
          <w:lang w:val="zh-CN" w:eastAsia="zh-CN" w:bidi="ar"/>
        </w:rPr>
        <w:t>。</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（三）项目组织实施情况。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en-US" w:eastAsia="zh-CN" w:bidi="ar"/>
        </w:rPr>
        <w:t>乡党委政府成立玉瓦乡环境整治领导小组，负责推进辖区内环境整治工作。项目有具体的实施时间，有明确的工作程序，基础设施条件能够有效保障，资金能足额保证，具有相应的质量检查、验收等必要的控制措施或手段，有针对突发事件或未知风险的应急措施</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eastAsia" w:ascii="黑体" w:hAnsi="宋体" w:eastAsia="黑体" w:cs="黑体"/>
          <w:b w:val="0"/>
          <w:bCs w:val="0"/>
          <w:caps w:val="0"/>
          <w:color w:val="auto"/>
          <w:kern w:val="2"/>
          <w:sz w:val="32"/>
          <w:szCs w:val="32"/>
          <w:vertAlign w:val="baseline"/>
          <w:lang w:val="en-US" w:eastAsia="zh-CN" w:bidi="ar"/>
        </w:rPr>
        <w:t>三、项目绩效情况</w:t>
      </w:r>
      <w:r>
        <w:rPr>
          <w:rFonts w:hint="default" w:ascii="仿宋_GB2312" w:hAnsi="Times New Roman" w:eastAsia="仿宋_GB2312" w:cs="仿宋_GB2312"/>
          <w:b w:val="0"/>
          <w:bCs w:val="0"/>
          <w:caps w:val="0"/>
          <w:color w:val="auto"/>
          <w:kern w:val="2"/>
          <w:sz w:val="32"/>
          <w:szCs w:val="32"/>
          <w:vertAlign w:val="baseline"/>
          <w:lang w:val="zh-CN" w:eastAsia="zh-CN" w:bidi="ar"/>
        </w:rPr>
        <w:tab/>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（一）项目完成情况。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仿宋_GB2312" w:hAnsi="Arial" w:eastAsia="仿宋_GB2312" w:cs="仿宋_GB2312"/>
          <w:b w:val="0"/>
          <w:bCs w:val="0"/>
          <w:caps w:val="0"/>
          <w:color w:val="auto"/>
          <w:kern w:val="0"/>
          <w:sz w:val="28"/>
          <w:szCs w:val="28"/>
          <w:vertAlign w:val="baseline"/>
          <w:lang w:val="zh-CN" w:eastAsia="zh-CN" w:bidi="ar"/>
        </w:rPr>
        <w:t>该项目在2022年度内完成。</w:t>
      </w:r>
    </w:p>
    <w:p>
      <w:pPr>
        <w:pStyle w:val="8"/>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421" w:firstLineChars="200"/>
        <w:jc w:val="left"/>
        <w:outlineLvl w:val="9"/>
        <w:rPr>
          <w:rFonts w:hint="default" w:ascii="仿宋_GB2312" w:hAnsi="Arial" w:eastAsia="仿宋_GB2312" w:cs="仿宋_GB2312"/>
          <w:b w:val="0"/>
          <w:bCs w:val="0"/>
          <w:caps w:val="0"/>
          <w:color w:val="auto"/>
          <w:kern w:val="0"/>
          <w:sz w:val="28"/>
          <w:szCs w:val="28"/>
          <w:vertAlign w:val="baseline"/>
          <w:lang w:val="zh-CN" w:eastAsia="zh-CN" w:bidi="ar"/>
        </w:rPr>
      </w:pPr>
      <w:r>
        <w:rPr>
          <w:rFonts w:hint="default" w:ascii="楷体_GB2312" w:eastAsia="楷体_GB2312" w:cs="楷体_GB2312"/>
          <w:b/>
          <w:bCs/>
          <w:caps w:val="0"/>
          <w:color w:val="auto"/>
          <w:sz w:val="21"/>
          <w:szCs w:val="21"/>
          <w:vertAlign w:val="baseline"/>
          <w:lang w:val="zh-CN"/>
        </w:rPr>
        <w:t>（</w:t>
      </w:r>
      <w:r>
        <w:rPr>
          <w:rFonts w:hint="default" w:ascii="楷体_GB2312" w:eastAsia="楷体_GB2312" w:cs="楷体_GB2312"/>
          <w:b/>
          <w:bCs/>
          <w:caps w:val="0"/>
          <w:color w:val="auto"/>
          <w:kern w:val="2"/>
          <w:sz w:val="32"/>
          <w:szCs w:val="32"/>
          <w:vertAlign w:val="baseline"/>
          <w:lang w:val="zh-CN"/>
        </w:rPr>
        <w:t>二）项目效益情况</w:t>
      </w:r>
      <w:r>
        <w:rPr>
          <w:rFonts w:hint="default" w:ascii="楷体_GB2312" w:eastAsia="楷体_GB2312" w:cs="楷体_GB2312"/>
          <w:b/>
          <w:bCs/>
          <w:caps w:val="0"/>
          <w:color w:val="auto"/>
          <w:sz w:val="21"/>
          <w:szCs w:val="21"/>
          <w:vertAlign w:val="baseline"/>
          <w:lang w:val="zh-CN"/>
        </w:rPr>
        <w:t>。</w:t>
      </w:r>
      <w:r>
        <w:rPr>
          <w:rFonts w:hint="eastAsia" w:ascii="仿宋_GB2312" w:hAnsi="Arial" w:eastAsia="仿宋_GB2312" w:cs="仿宋_GB2312"/>
          <w:b w:val="0"/>
          <w:bCs w:val="0"/>
          <w:caps w:val="0"/>
          <w:color w:val="auto"/>
          <w:kern w:val="0"/>
          <w:sz w:val="28"/>
          <w:szCs w:val="28"/>
          <w:vertAlign w:val="baseline"/>
          <w:lang w:val="zh-CN" w:eastAsia="zh-CN" w:bidi="ar"/>
        </w:rPr>
        <w:t>项目的开展实施提高了群众的居住生活环境，改善了旧农村脏乱差的形象，展现了新农村朝气蓬勃的风貌，同事极大的减少了疾病瘟疫的发生，对百姓身心健康发展有很好的保障。</w:t>
      </w:r>
    </w:p>
    <w:p>
      <w:pPr>
        <w:pStyle w:val="13"/>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left"/>
        <w:outlineLvl w:val="9"/>
        <w:rPr>
          <w:rFonts w:hint="eastAsia" w:ascii="黑体" w:hAnsi="宋体" w:eastAsia="黑体" w:cs="黑体"/>
          <w:caps w:val="0"/>
          <w:color w:val="auto"/>
          <w:sz w:val="24"/>
          <w:szCs w:val="24"/>
          <w:vertAlign w:val="baseline"/>
        </w:rPr>
      </w:pPr>
      <w:r>
        <w:rPr>
          <w:rFonts w:hint="eastAsia" w:ascii="黑体" w:hAnsi="宋体" w:eastAsia="黑体" w:cs="黑体"/>
          <w:b w:val="0"/>
          <w:bCs w:val="0"/>
          <w:caps w:val="0"/>
          <w:color w:val="auto"/>
          <w:kern w:val="2"/>
          <w:sz w:val="32"/>
          <w:szCs w:val="32"/>
          <w:vertAlign w:val="baseline"/>
          <w:lang w:val="en-US" w:eastAsia="zh-CN" w:bidi="ar"/>
        </w:rPr>
        <w:t>四、问题及建议</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楷体_GB2312" w:eastAsia="楷体_GB2312" w:cs="楷体_GB2312"/>
          <w:b/>
          <w:bCs/>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（一）存在的问题。</w:t>
      </w:r>
      <w:r>
        <w:rPr>
          <w:rFonts w:hint="default" w:ascii="仿宋_GB2312" w:hAnsi="Times New Roman" w:eastAsia="仿宋_GB2312" w:cs="仿宋_GB2312"/>
          <w:b w:val="0"/>
          <w:bCs w:val="0"/>
          <w:caps w:val="0"/>
          <w:color w:val="auto"/>
          <w:kern w:val="2"/>
          <w:sz w:val="32"/>
          <w:szCs w:val="32"/>
          <w:vertAlign w:val="baseline"/>
          <w:lang w:val="zh-CN" w:eastAsia="zh-CN" w:bidi="ar"/>
        </w:rPr>
        <w:t>无</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600" w:lineRule="exact"/>
        <w:ind w:left="0" w:right="0" w:firstLine="720"/>
        <w:jc w:val="both"/>
        <w:outlineLvl w:val="9"/>
        <w:rPr>
          <w:rFonts w:hint="default" w:ascii="仿宋_GB2312" w:eastAsia="仿宋_GB2312" w:cs="仿宋_GB2312"/>
          <w:caps w:val="0"/>
          <w:color w:val="auto"/>
          <w:sz w:val="32"/>
          <w:szCs w:val="32"/>
          <w:vertAlign w:val="baseline"/>
          <w:lang w:val="zh-CN"/>
        </w:rPr>
      </w:pPr>
      <w:r>
        <w:rPr>
          <w:rFonts w:hint="default" w:ascii="楷体_GB2312" w:hAnsi="Times New Roman" w:eastAsia="楷体_GB2312" w:cs="楷体_GB2312"/>
          <w:b/>
          <w:bCs/>
          <w:caps w:val="0"/>
          <w:color w:val="auto"/>
          <w:kern w:val="2"/>
          <w:sz w:val="32"/>
          <w:szCs w:val="32"/>
          <w:vertAlign w:val="baseline"/>
          <w:lang w:val="zh-CN" w:eastAsia="zh-CN" w:bidi="ar"/>
        </w:rPr>
        <w:t>（二）相关建议。</w:t>
      </w:r>
      <w:r>
        <w:rPr>
          <w:rFonts w:hint="default" w:ascii="仿宋_GB2312" w:hAnsi="Times New Roman" w:eastAsia="仿宋_GB2312" w:cs="仿宋_GB2312"/>
          <w:b w:val="0"/>
          <w:bCs w:val="0"/>
          <w:caps w:val="0"/>
          <w:color w:val="auto"/>
          <w:kern w:val="2"/>
          <w:sz w:val="32"/>
          <w:szCs w:val="32"/>
          <w:vertAlign w:val="baseline"/>
          <w:lang w:val="zh-CN" w:eastAsia="zh-CN" w:bidi="ar"/>
        </w:rPr>
        <w:t>无</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Times New Roman" w:hAnsi="Times New Roman" w:eastAsia="仿宋_GB2312" w:cs="Times New Roman"/>
          <w:caps w:val="0"/>
          <w:color w:val="auto"/>
          <w:sz w:val="32"/>
          <w:szCs w:val="32"/>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default" w:ascii="Times New Roman" w:hAnsi="Times New Roman" w:eastAsia="仿宋_GB2312" w:cs="Times New Roman"/>
          <w:caps w:val="0"/>
          <w:color w:val="auto"/>
          <w:sz w:val="32"/>
          <w:szCs w:val="32"/>
          <w:vertAlign w:val="baseline"/>
        </w:rPr>
      </w:pP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rStyle w:val="17"/>
          <w:sz w:val="39"/>
          <w:szCs w:val="39"/>
          <w:shd w:val="clear" w:fill="FFFFFF"/>
        </w:rPr>
        <w:t>第五部分 附表</w:t>
      </w:r>
    </w:p>
    <w:p>
      <w:pPr>
        <w:pStyle w:val="3"/>
        <w:keepNext w:val="0"/>
        <w:keepLines w:val="0"/>
        <w:widowControl/>
        <w:suppressLineNumbers w:val="0"/>
        <w:spacing w:before="0" w:beforeAutospacing="0"/>
        <w:ind w:left="0"/>
        <w:jc w:val="left"/>
        <w:rPr>
          <w:shd w:val="clear" w:fill="FFFFFF"/>
        </w:rPr>
      </w:pPr>
      <w:r>
        <w:rPr>
          <w:shd w:val="clear" w:fill="FFFFFF"/>
        </w:rPr>
        <w:t>一、收入支出决算总表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95"/>
        <w:gridCol w:w="504"/>
        <w:gridCol w:w="828"/>
        <w:gridCol w:w="2376"/>
        <w:gridCol w:w="504"/>
        <w:gridCol w:w="12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7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373" w:type="pct"/>
            <w:gridSpan w:val="3"/>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收入支出决算总表</w:t>
            </w:r>
          </w:p>
        </w:tc>
        <w:tc>
          <w:tcPr>
            <w:tcW w:w="28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9"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28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0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9"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28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80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128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69"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60"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w:t>
            </w:r>
          </w:p>
        </w:tc>
        <w:tc>
          <w:tcPr>
            <w:tcW w:w="2239"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80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6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81"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80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281"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66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947.83</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四、上级补助收入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六、经营收入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七、附属单位上缴收入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八、其他收入</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本年收入合计</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947.83</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本年支出合计</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使用非财政拨款结余</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结余分配</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年初结转和结余</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462.52</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年末结转和结余</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66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0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288"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669" w:type="pct"/>
            <w:tcBorders>
              <w:top w:val="nil"/>
              <w:left w:val="nil"/>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76"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80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1,410.35</w:t>
            </w:r>
          </w:p>
        </w:tc>
        <w:tc>
          <w:tcPr>
            <w:tcW w:w="128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28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66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1,410.35</w:t>
            </w:r>
          </w:p>
        </w:tc>
      </w:tr>
    </w:tbl>
    <w:p/>
    <w:p>
      <w:pPr>
        <w:pStyle w:val="3"/>
        <w:keepNext w:val="0"/>
        <w:keepLines w:val="0"/>
        <w:widowControl/>
        <w:numPr>
          <w:ilvl w:val="0"/>
          <w:numId w:val="6"/>
        </w:numPr>
        <w:suppressLineNumbers w:val="0"/>
        <w:spacing w:before="0" w:beforeAutospacing="0"/>
        <w:ind w:left="0"/>
        <w:jc w:val="left"/>
        <w:rPr>
          <w:shd w:val="clear" w:fill="FFFFFF"/>
        </w:rPr>
      </w:pPr>
      <w:r>
        <w:rPr>
          <w:shd w:val="clear" w:fill="FFFFFF"/>
        </w:rPr>
        <w:t>收入决算表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84"/>
        <w:gridCol w:w="222"/>
        <w:gridCol w:w="222"/>
        <w:gridCol w:w="2168"/>
        <w:gridCol w:w="542"/>
        <w:gridCol w:w="805"/>
        <w:gridCol w:w="303"/>
        <w:gridCol w:w="303"/>
        <w:gridCol w:w="304"/>
        <w:gridCol w:w="304"/>
        <w:gridCol w:w="9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39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060" w:type="pct"/>
            <w:gridSpan w:val="3"/>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21"/>
                <w:szCs w:val="21"/>
                <w:u w:val="none"/>
                <w:lang w:val="en-US" w:eastAsia="zh-CN" w:bidi="ar"/>
              </w:rPr>
              <w:t>收入决算表</w:t>
            </w: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0"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9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1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0"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9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13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1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1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0"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2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31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47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1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1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1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1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57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270"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47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70"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47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70"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31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47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2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31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7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70"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28"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947.83</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947.83</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521.77</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521.77</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政府办公厅（室）及相关机构事务</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521.77</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521.77</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377.86</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377.86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143.91</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143.91</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70.30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70.30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20801</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人力资源和社会保障管理事务</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其他人力资源和社会保障管理事务支出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32.36</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32.36</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21004</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公共卫生</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2100409</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重大公共卫生服务</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其他行政事业单位医疗支出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农林水支出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280.93</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280.93</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林业和草原</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7.50</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7.50</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2130234</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林业草原防灾减灾</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巩固脱贫衔接乡村振兴</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112.45</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112.45</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2130599</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其他巩固脱贫衔接乡村振兴支出</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112.45</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112.45</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农村综合改革</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27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住房改革支出</w:t>
            </w:r>
          </w:p>
        </w:tc>
        <w:tc>
          <w:tcPr>
            <w:tcW w:w="31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47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5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270"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31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47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bl>
    <w:p>
      <w:pPr>
        <w:numPr>
          <w:ilvl w:val="0"/>
          <w:numId w:val="0"/>
        </w:numPr>
      </w:pPr>
    </w:p>
    <w:p>
      <w:pPr>
        <w:pStyle w:val="3"/>
        <w:keepNext w:val="0"/>
        <w:keepLines w:val="0"/>
        <w:widowControl/>
        <w:numPr>
          <w:ilvl w:val="0"/>
          <w:numId w:val="6"/>
        </w:numPr>
        <w:suppressLineNumbers w:val="0"/>
        <w:spacing w:before="0" w:beforeAutospacing="0"/>
        <w:ind w:left="0" w:leftChars="0" w:firstLine="0" w:firstLineChars="0"/>
        <w:jc w:val="left"/>
        <w:rPr>
          <w:shd w:val="clear" w:fill="FFFFFF"/>
        </w:rPr>
      </w:pPr>
      <w:r>
        <w:rPr>
          <w:shd w:val="clear" w:fill="FFFFFF"/>
        </w:rPr>
        <w:t>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37"/>
        <w:gridCol w:w="220"/>
        <w:gridCol w:w="220"/>
        <w:gridCol w:w="2215"/>
        <w:gridCol w:w="688"/>
        <w:gridCol w:w="552"/>
        <w:gridCol w:w="552"/>
        <w:gridCol w:w="327"/>
        <w:gridCol w:w="327"/>
        <w:gridCol w:w="9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1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730" w:type="pct"/>
            <w:gridSpan w:val="2"/>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支出决算表</w:t>
            </w:r>
          </w:p>
        </w:tc>
        <w:tc>
          <w:tcPr>
            <w:tcW w:w="3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6"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0"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4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6"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0"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4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32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2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576"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5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44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32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32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9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c>
          <w:tcPr>
            <w:tcW w:w="19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经营支出</w:t>
            </w:r>
          </w:p>
        </w:tc>
        <w:tc>
          <w:tcPr>
            <w:tcW w:w="57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282"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44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8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44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8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44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9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57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5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44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2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2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5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1,410.35</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748.31</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662.04</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政府办公厅（室）及相关机构事务</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436.46</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436.46</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173.31</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173.31</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70.30</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人力资源和社会保障管理事务</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其他人力资源和社会保障管理事务支出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32.36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21004</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公共卫生</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2100409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重大公共卫生服务</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其他行政事业单位医疗支出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21201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城乡社区管理事务</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2120104</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城管执法</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农林水支出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农业农村</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林业和草原</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2130234</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林业草原防灾减灾</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21303</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水利</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2130314</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防汛</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巩固脱贫衔接乡村振兴</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2130504</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农村基础设施建设</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2130599</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其他巩固脱贫衔接乡村振兴支出</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农村综合改革</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住房改革支出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灾害防治及应急管理支出</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22406</w:t>
            </w:r>
          </w:p>
        </w:tc>
        <w:tc>
          <w:tcPr>
            <w:tcW w:w="128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自然灾害防治</w:t>
            </w:r>
          </w:p>
        </w:tc>
        <w:tc>
          <w:tcPr>
            <w:tcW w:w="44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32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1282"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地质灾害防治</w:t>
            </w:r>
          </w:p>
        </w:tc>
        <w:tc>
          <w:tcPr>
            <w:tcW w:w="44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c>
          <w:tcPr>
            <w:tcW w:w="3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2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19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57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bl>
    <w:p>
      <w:pPr>
        <w:numPr>
          <w:ilvl w:val="0"/>
          <w:numId w:val="0"/>
        </w:numPr>
        <w:ind w:leftChars="0"/>
      </w:pPr>
    </w:p>
    <w:p>
      <w:pPr>
        <w:pStyle w:val="3"/>
        <w:keepNext w:val="0"/>
        <w:keepLines w:val="0"/>
        <w:widowControl/>
        <w:numPr>
          <w:ilvl w:val="0"/>
          <w:numId w:val="6"/>
        </w:numPr>
        <w:suppressLineNumbers w:val="0"/>
        <w:spacing w:before="0" w:beforeAutospacing="0"/>
        <w:ind w:left="0" w:leftChars="0" w:firstLine="0" w:firstLineChars="0"/>
        <w:jc w:val="left"/>
        <w:rPr>
          <w:shd w:val="clear" w:fill="FFFFFF"/>
        </w:rPr>
      </w:pPr>
      <w:r>
        <w:rPr>
          <w:shd w:val="clear" w:fill="FFFFFF"/>
        </w:rPr>
        <w:t>财政拨款收入支出决算总表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2"/>
        <w:gridCol w:w="325"/>
        <w:gridCol w:w="653"/>
        <w:gridCol w:w="1856"/>
        <w:gridCol w:w="681"/>
        <w:gridCol w:w="653"/>
        <w:gridCol w:w="653"/>
        <w:gridCol w:w="326"/>
        <w:gridCol w:w="9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9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27" w:type="pct"/>
            <w:gridSpan w:val="2"/>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财政拨款收入支出决算总表</w:t>
            </w: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01"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7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01"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13"/>
                <w:szCs w:val="13"/>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17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3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01"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14"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     入</w:t>
            </w:r>
          </w:p>
        </w:tc>
        <w:tc>
          <w:tcPr>
            <w:tcW w:w="3285"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94"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7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3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w:t>
            </w:r>
          </w:p>
        </w:tc>
        <w:tc>
          <w:tcPr>
            <w:tcW w:w="927" w:type="pct"/>
            <w:vMerge w:val="restart"/>
            <w:tcBorders>
              <w:top w:val="nil"/>
              <w:left w:val="nil"/>
              <w:bottom w:val="single" w:color="000000" w:sz="4" w:space="0"/>
              <w:right w:val="single" w:color="000000" w:sz="4" w:space="0"/>
            </w:tcBorders>
            <w:shd w:val="clear" w:color="auto" w:fill="C0C0C0"/>
            <w:vAlign w:val="bottom"/>
          </w:tcPr>
          <w:p>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99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339"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一般公共预算财政拨款</w:t>
            </w:r>
          </w:p>
        </w:tc>
        <w:tc>
          <w:tcPr>
            <w:tcW w:w="17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政府性基金预算财政拨款</w:t>
            </w:r>
          </w:p>
        </w:tc>
        <w:tc>
          <w:tcPr>
            <w:tcW w:w="50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94" w:type="pct"/>
            <w:vMerge w:val="continue"/>
            <w:tcBorders>
              <w:top w:val="nil"/>
              <w:left w:val="single" w:color="000000" w:sz="4" w:space="0"/>
              <w:bottom w:val="single" w:color="000000" w:sz="4" w:space="0"/>
              <w:right w:val="single" w:color="000000" w:sz="4" w:space="0"/>
            </w:tcBorders>
            <w:shd w:val="clear" w:color="auto" w:fill="C0C0C0"/>
            <w:vAlign w:val="center"/>
          </w:tcPr>
          <w:p>
            <w:pPr>
              <w:jc w:val="both"/>
              <w:rPr>
                <w:rFonts w:hint="eastAsia" w:ascii="宋体" w:hAnsi="宋体" w:eastAsia="宋体" w:cs="宋体"/>
                <w:i w:val="0"/>
                <w:iCs w:val="0"/>
                <w:color w:val="000000"/>
                <w:sz w:val="21"/>
                <w:szCs w:val="21"/>
                <w:u w:val="none"/>
              </w:rPr>
            </w:pPr>
          </w:p>
        </w:tc>
        <w:tc>
          <w:tcPr>
            <w:tcW w:w="17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927" w:type="pct"/>
            <w:vMerge w:val="continue"/>
            <w:tcBorders>
              <w:top w:val="nil"/>
              <w:left w:val="nil"/>
              <w:bottom w:val="single" w:color="000000" w:sz="4" w:space="0"/>
              <w:right w:val="single" w:color="000000" w:sz="4" w:space="0"/>
            </w:tcBorders>
            <w:shd w:val="clear" w:color="auto" w:fill="C0C0C0"/>
            <w:vAlign w:val="bottom"/>
          </w:tcPr>
          <w:p>
            <w:pPr>
              <w:jc w:val="both"/>
              <w:rPr>
                <w:rFonts w:hint="eastAsia" w:ascii="宋体" w:hAnsi="宋体" w:eastAsia="宋体" w:cs="宋体"/>
                <w:i w:val="0"/>
                <w:iCs w:val="0"/>
                <w:color w:val="000000"/>
                <w:sz w:val="21"/>
                <w:szCs w:val="21"/>
                <w:u w:val="none"/>
              </w:rPr>
            </w:pPr>
          </w:p>
        </w:tc>
        <w:tc>
          <w:tcPr>
            <w:tcW w:w="99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39"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7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0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179"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27" w:type="pct"/>
            <w:tcBorders>
              <w:top w:val="nil"/>
              <w:left w:val="nil"/>
              <w:bottom w:val="single" w:color="000000" w:sz="4" w:space="0"/>
              <w:right w:val="single" w:color="000000" w:sz="4" w:space="0"/>
            </w:tcBorders>
            <w:shd w:val="clear" w:color="auto" w:fill="C0C0C0"/>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999" w:type="pct"/>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0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一、一般公共预算财政拨款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947.83</w:t>
            </w: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一、一般公共服务支出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609.78</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609.78</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二、政府性基金预算财政拨款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二、外交支出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三、国有资本经营预算财政拨款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三、国防支出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四、公共安全支出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五、教育支出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六、科学技术支出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七、文化旅游体育与传媒支出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八、社会保障和就业支出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70.30</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70.30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九、卫生健康支出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32.36</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十、节能环保支出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十一、城乡社区支出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十二、农林水支出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617.95</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617.95</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十三、交通运输支出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十四、资源勘探工业信息等支出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十五、商业服务业等支出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十六、金融支出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十七、援助其他地区支出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十八、自然资源海洋气象等支出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十九、住房保障支出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二十、粮油物资储备支出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二十一、国有资本经营预算支出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二十二、灾害防治及应急管理支出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二十三、其他支出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center"/>
              <w:rPr>
                <w:rFonts w:hint="eastAsia" w:ascii="宋体" w:hAnsi="宋体" w:eastAsia="宋体" w:cs="宋体"/>
                <w:b/>
                <w:bCs/>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二十四、债务还本支出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二十五、债务付息支出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二十六、抗疫特别国债安排的支出</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本年收入合计</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947.83</w:t>
            </w: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本年支出合计</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年初财政拨款结转和结余</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462.52</w:t>
            </w: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年末财政拨款结转和结余</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一般公共预算财政拨款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462.52</w:t>
            </w:r>
          </w:p>
        </w:tc>
        <w:tc>
          <w:tcPr>
            <w:tcW w:w="92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政府性基金预算财政拨款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国有资本经营预算财政拨款</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927"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21"/>
                <w:szCs w:val="21"/>
                <w:u w:val="none"/>
              </w:rPr>
            </w:pP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19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17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9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99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33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17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0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rPr>
          <w:shd w:val="clear" w:fill="FFFFFF"/>
        </w:rPr>
      </w:pPr>
    </w:p>
    <w:p>
      <w:pPr>
        <w:rPr>
          <w:shd w:val="clear" w:fill="FFFFFF"/>
        </w:rPr>
      </w:pPr>
    </w:p>
    <w:p>
      <w:pPr>
        <w:rPr>
          <w:shd w:val="clear" w:fill="FFFFFF"/>
        </w:rPr>
      </w:pPr>
    </w:p>
    <w:p>
      <w:pPr>
        <w:rPr>
          <w:shd w:val="clear" w:fill="FFFFFF"/>
        </w:rPr>
      </w:pPr>
    </w:p>
    <w:p>
      <w:pPr>
        <w:rPr>
          <w:shd w:val="clear" w:fill="FFFFFF"/>
        </w:rPr>
      </w:pPr>
    </w:p>
    <w:p>
      <w:pPr>
        <w:numPr>
          <w:ilvl w:val="0"/>
          <w:numId w:val="0"/>
        </w:numPr>
        <w:ind w:leftChars="0"/>
      </w:pPr>
    </w:p>
    <w:p>
      <w:pPr>
        <w:pStyle w:val="3"/>
        <w:keepNext w:val="0"/>
        <w:keepLines w:val="0"/>
        <w:widowControl/>
        <w:numPr>
          <w:ilvl w:val="0"/>
          <w:numId w:val="6"/>
        </w:numPr>
        <w:suppressLineNumbers w:val="0"/>
        <w:spacing w:before="0" w:beforeAutospacing="0"/>
        <w:ind w:left="0" w:leftChars="0" w:firstLine="0" w:firstLineChars="0"/>
        <w:jc w:val="left"/>
        <w:rPr>
          <w:shd w:val="clear" w:fill="FFFFFF"/>
        </w:rPr>
      </w:pPr>
      <w:r>
        <w:rPr>
          <w:shd w:val="clear" w:fill="FFFFFF"/>
        </w:rPr>
        <w:t>财政拨款支出决算明细表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
        <w:gridCol w:w="1780"/>
        <w:gridCol w:w="388"/>
        <w:gridCol w:w="562"/>
        <w:gridCol w:w="562"/>
        <w:gridCol w:w="562"/>
        <w:gridCol w:w="1173"/>
        <w:gridCol w:w="388"/>
        <w:gridCol w:w="562"/>
        <w:gridCol w:w="565"/>
        <w:gridCol w:w="388"/>
        <w:gridCol w:w="562"/>
        <w:gridCol w:w="5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2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4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30" w:type="pct"/>
            <w:gridSpan w:val="6"/>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财政拨款支出决算明细表</w:t>
            </w: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1"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04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8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60"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1"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2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8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2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1"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2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60"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1321"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227"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行次</w:t>
            </w:r>
          </w:p>
        </w:tc>
        <w:tc>
          <w:tcPr>
            <w:tcW w:w="329"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346"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一般公共预算财政拨款</w:t>
            </w:r>
          </w:p>
        </w:tc>
        <w:tc>
          <w:tcPr>
            <w:tcW w:w="887"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政府性基金预算财政拨款</w:t>
            </w:r>
          </w:p>
        </w:tc>
        <w:tc>
          <w:tcPr>
            <w:tcW w:w="887" w:type="pct"/>
            <w:gridSpan w:val="3"/>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277" w:type="pc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经济分类科目代码</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227"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29"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32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68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32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33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32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331"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21"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1,410.35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748.31</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662.04</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工资福利支出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610.34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610.34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610.34</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基本工资</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111.23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111.23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111.23</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津贴补贴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136.42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136.42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136.42</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奖金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168.59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168.59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168.59</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伙食补助费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绩效工资</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机关事业单位基本养老保险费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43.80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43.80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43.80</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职业年金缴费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21.90</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职工基本医疗保险缴费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23.47</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公务员医疗补助缴费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其他社会保障缴费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7.22</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住房公积金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其他工资福利支出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商品和服务支出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180.17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180.17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121.11</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59.06</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123.90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123.90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102.94</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20.96</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印刷费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咨询费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手续费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邮电费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取暖费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物业管理费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差旅费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维修（护）费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租赁费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6.89</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会议费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培训费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30218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专用材料费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被装购置费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专用燃料费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劳务费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委托业务费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28.30</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工会经费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4.76</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30229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福利费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30231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30239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30240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税金及附加费用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其他商品和服务支出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对个人和家庭的补助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232.10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232.10</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16.86</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215.24</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离休费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退休费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退职（役）费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抚恤金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182.44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182.44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16.86</w:t>
            </w: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165.58</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救济费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医疗费补助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助学金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奖励金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个人农业生产补贴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49.66</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代缴社会保险费</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其他个人和家庭的补助支出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债务利息及费用支出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国内债务付息</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国外债务付息</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国内债务发行费用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国外债务发行费用</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资本性支出（基本建设）</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房屋建筑物购建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办公设备购置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专用设备购置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基础设施建设</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大型修缮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信息网络及软件购置更新</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物资储备</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30919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其他交通工具购置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30921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文物和陈列品购置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30922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无形资产购置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其他基本建设支出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资本性支出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房屋建筑物购建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办公设备购置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专用设备购置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基础设施建设</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387.74</w:t>
            </w: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31006</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大型修缮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信息网络及软件购置更新</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物资储备</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土地补偿</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安置补助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地上附着物和青苗补偿</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拆迁补偿</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31019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其他交通工具购置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文物和陈列品购置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31022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无形资产购置</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其他资本性支出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对企业补助（基本建设）</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资本金注入</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其他对企业补助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2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对企业补助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31201</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资本金注入</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政府投资基金股权投资</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31205</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利息补贴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312099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其他对企业补助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313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对社会保障基金补助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31302</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对社会保险基金补助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31303</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补充全国社会保障基金</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31304</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对机关事业单位职业年金的补助</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39907</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国家赔偿费用支出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39908</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对民间非营利组织和群众性自治组织补贴</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39909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经常性赠与</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39910</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资本性赠与</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77"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39999</w:t>
            </w:r>
          </w:p>
        </w:tc>
        <w:tc>
          <w:tcPr>
            <w:tcW w:w="104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其他支出</w:t>
            </w:r>
          </w:p>
        </w:tc>
        <w:tc>
          <w:tcPr>
            <w:tcW w:w="227"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68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33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ind w:leftChars="0"/>
      </w:pPr>
    </w:p>
    <w:p>
      <w:pPr>
        <w:pStyle w:val="3"/>
        <w:keepNext w:val="0"/>
        <w:keepLines w:val="0"/>
        <w:widowControl/>
        <w:numPr>
          <w:ilvl w:val="0"/>
          <w:numId w:val="6"/>
        </w:numPr>
        <w:suppressLineNumbers w:val="0"/>
        <w:spacing w:before="0" w:beforeAutospacing="0"/>
        <w:ind w:left="0" w:leftChars="0" w:firstLine="0" w:firstLineChars="0"/>
        <w:jc w:val="left"/>
        <w:rPr>
          <w:shd w:val="clear" w:fill="FFFFFF"/>
        </w:rPr>
      </w:pPr>
      <w:r>
        <w:rPr>
          <w:shd w:val="clear" w:fill="FFFFFF"/>
        </w:rPr>
        <w:t>一般公共预算财政拨款支出决算表</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09"/>
        <w:gridCol w:w="220"/>
        <w:gridCol w:w="220"/>
        <w:gridCol w:w="2640"/>
        <w:gridCol w:w="759"/>
        <w:gridCol w:w="624"/>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40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3" w:type="pct"/>
            <w:tcBorders>
              <w:top w:val="nil"/>
              <w:left w:val="nil"/>
              <w:bottom w:val="nil"/>
              <w:right w:val="nil"/>
            </w:tcBorders>
            <w:shd w:val="clear" w:color="auto" w:fill="FFFFFF"/>
            <w:noWrap/>
            <w:vAlign w:val="center"/>
          </w:tcPr>
          <w:p>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一般公共预算财政拨款支出决算表</w:t>
            </w:r>
          </w:p>
        </w:tc>
        <w:tc>
          <w:tcPr>
            <w:tcW w:w="68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0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13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3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73"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68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86"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2058"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273"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68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68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686"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68"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73"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273"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86"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94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1,410.35</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748.31</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政府办公厅（室）及相关机构事务</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609.77</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436.46</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436.46</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173.31</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173.31</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70.30</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人力资源和社会保障管理事务</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其他人力资源和社会保障管理事务支出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65.70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32.36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21004</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公共卫生</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2100409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重大公共卫生服务</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30.36</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其他行政事业单位医疗支出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21201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城乡社区管理事务</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2120104</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城管执法</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农林水支出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农业农村</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林业和草原</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2130234</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林业草原防灾减灾</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21303</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水利</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2130314</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防汛</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巩固脱贫衔接乡村振兴</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2130504</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农村基础设施建设</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2130599</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其他巩固脱贫衔接乡村振兴支出</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农村综合改革</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住房改革支出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灾害防治及应急管理支出</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22406</w:t>
            </w:r>
          </w:p>
        </w:tc>
        <w:tc>
          <w:tcPr>
            <w:tcW w:w="127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自然灾害防治</w:t>
            </w: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c>
          <w:tcPr>
            <w:tcW w:w="686"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68"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1273"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地质灾害防治</w:t>
            </w: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c>
          <w:tcPr>
            <w:tcW w:w="686"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86"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r>
    </w:tbl>
    <w:p>
      <w:pPr>
        <w:numPr>
          <w:ilvl w:val="0"/>
          <w:numId w:val="0"/>
        </w:numPr>
        <w:ind w:leftChars="0"/>
      </w:pPr>
    </w:p>
    <w:p>
      <w:pPr>
        <w:pStyle w:val="3"/>
        <w:keepNext w:val="0"/>
        <w:keepLines w:val="0"/>
        <w:widowControl/>
        <w:suppressLineNumbers w:val="0"/>
        <w:spacing w:before="0" w:beforeAutospacing="0"/>
        <w:ind w:left="0"/>
        <w:jc w:val="left"/>
        <w:rPr>
          <w:shd w:val="clear" w:fill="FFFFFF"/>
        </w:rPr>
      </w:pPr>
      <w:r>
        <w:rPr>
          <w:shd w:val="clear" w:fill="FFFFFF"/>
        </w:rPr>
        <w:t>七、一般公共预算财政拨款支出决算明细表</w:t>
      </w:r>
    </w:p>
    <w:tbl>
      <w:tblPr>
        <w:tblStyle w:val="14"/>
        <w:tblW w:w="8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1"/>
        <w:gridCol w:w="451"/>
        <w:gridCol w:w="268"/>
        <w:gridCol w:w="255"/>
        <w:gridCol w:w="255"/>
        <w:gridCol w:w="255"/>
        <w:gridCol w:w="255"/>
        <w:gridCol w:w="243"/>
        <w:gridCol w:w="249"/>
        <w:gridCol w:w="249"/>
        <w:gridCol w:w="249"/>
        <w:gridCol w:w="249"/>
        <w:gridCol w:w="243"/>
        <w:gridCol w:w="243"/>
        <w:gridCol w:w="249"/>
        <w:gridCol w:w="243"/>
        <w:gridCol w:w="243"/>
        <w:gridCol w:w="256"/>
        <w:gridCol w:w="256"/>
        <w:gridCol w:w="243"/>
        <w:gridCol w:w="243"/>
        <w:gridCol w:w="243"/>
        <w:gridCol w:w="243"/>
        <w:gridCol w:w="243"/>
        <w:gridCol w:w="249"/>
        <w:gridCol w:w="243"/>
        <w:gridCol w:w="243"/>
        <w:gridCol w:w="243"/>
        <w:gridCol w:w="256"/>
        <w:gridCol w:w="256"/>
        <w:gridCol w:w="249"/>
        <w:gridCol w:w="256"/>
        <w:gridCol w:w="2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38" w:type="dxa"/>
            <w:gridSpan w:val="33"/>
            <w:tcBorders>
              <w:top w:val="nil"/>
              <w:left w:val="nil"/>
              <w:bottom w:val="single" w:color="808080" w:sz="4" w:space="0"/>
              <w:right w:val="nil"/>
            </w:tcBorders>
            <w:shd w:val="clear" w:color="auto" w:fill="FFFFFF"/>
            <w:noWrap/>
            <w:vAlign w:val="center"/>
          </w:tcPr>
          <w:p>
            <w:pPr>
              <w:tabs>
                <w:tab w:val="left" w:pos="7006"/>
              </w:tabs>
              <w:jc w:val="left"/>
              <w:rPr>
                <w:rFonts w:hint="default" w:ascii="宋体" w:hAnsi="宋体" w:eastAsia="宋体" w:cs="宋体"/>
                <w:i w:val="0"/>
                <w:iCs w:val="0"/>
                <w:color w:val="000000"/>
                <w:sz w:val="13"/>
                <w:szCs w:val="13"/>
                <w:u w:val="none"/>
                <w:lang w:val="en-US"/>
              </w:rPr>
            </w:pPr>
            <w:r>
              <w:rPr>
                <w:rFonts w:hint="eastAsia" w:ascii="宋体" w:hAnsi="宋体" w:eastAsia="宋体" w:cs="宋体"/>
                <w:i w:val="0"/>
                <w:iCs w:val="0"/>
                <w:color w:val="000000"/>
                <w:kern w:val="0"/>
                <w:sz w:val="13"/>
                <w:szCs w:val="13"/>
                <w:u w:val="none"/>
                <w:lang w:val="en-US" w:eastAsia="zh-CN" w:bidi="ar"/>
              </w:rPr>
              <w:t>部门：四川省阿坝州九寨沟县玉瓦乡人民政府</w:t>
            </w:r>
            <w:r>
              <w:rPr>
                <w:rFonts w:hint="eastAsia" w:ascii="宋体" w:hAnsi="宋体" w:eastAsia="宋体" w:cs="宋体"/>
                <w:i w:val="0"/>
                <w:iCs w:val="0"/>
                <w:color w:val="000000"/>
                <w:kern w:val="0"/>
                <w:sz w:val="13"/>
                <w:szCs w:val="13"/>
                <w:u w:val="none"/>
                <w:lang w:val="en-US" w:eastAsia="zh-CN" w:bidi="ar"/>
              </w:rPr>
              <w:tab/>
            </w:r>
            <w:r>
              <w:rPr>
                <w:rFonts w:hint="eastAsia" w:ascii="宋体" w:hAnsi="宋体" w:eastAsia="宋体" w:cs="宋体"/>
                <w:i w:val="0"/>
                <w:iCs w:val="0"/>
                <w:color w:val="000000"/>
                <w:kern w:val="0"/>
                <w:sz w:val="13"/>
                <w:szCs w:val="13"/>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2" w:type="dxa"/>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68" w:type="dxa"/>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480" w:type="dxa"/>
            <w:gridSpan w:val="14"/>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工资福利支出</w:t>
            </w:r>
          </w:p>
        </w:tc>
        <w:tc>
          <w:tcPr>
            <w:tcW w:w="2705" w:type="dxa"/>
            <w:gridSpan w:val="11"/>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商品和服务支出</w:t>
            </w:r>
          </w:p>
        </w:tc>
        <w:tc>
          <w:tcPr>
            <w:tcW w:w="761" w:type="dxa"/>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对个人和家庭的补助</w:t>
            </w:r>
          </w:p>
        </w:tc>
        <w:tc>
          <w:tcPr>
            <w:tcW w:w="512" w:type="dxa"/>
            <w:gridSpan w:val="2"/>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资本性支出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1" w:type="dxa"/>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科目代码</w:t>
            </w:r>
          </w:p>
        </w:tc>
        <w:tc>
          <w:tcPr>
            <w:tcW w:w="451" w:type="dxa"/>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268"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2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基本工资</w:t>
            </w:r>
          </w:p>
        </w:tc>
        <w:tc>
          <w:tcPr>
            <w:tcW w:w="2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津贴补贴</w:t>
            </w:r>
          </w:p>
        </w:tc>
        <w:tc>
          <w:tcPr>
            <w:tcW w:w="255"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奖金</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伙食补助费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绩效工资</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机关事业单位基本养老保险费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职业年金缴费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职工基本医疗保险缴费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公务员医疗补助缴费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其他社会保障缴费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住房公积金</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医疗费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其他工资福利支出</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办公费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电费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邮电费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差旅费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租赁费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培训费</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委托业务费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工会经费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公务用车运行维护费</w:t>
            </w:r>
          </w:p>
        </w:tc>
        <w:tc>
          <w:tcPr>
            <w:tcW w:w="243"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其他交通费用</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生活补助</w:t>
            </w:r>
          </w:p>
        </w:tc>
        <w:tc>
          <w:tcPr>
            <w:tcW w:w="249"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个人农业生产补贴</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256" w:type="dxa"/>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基础设施建设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61" w:type="dxa"/>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451"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68"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61" w:type="dxa"/>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451"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68" w:type="dxa"/>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5"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3"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49"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c>
          <w:tcPr>
            <w:tcW w:w="256" w:type="dxa"/>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712" w:type="dxa"/>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1,410.35</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610.34</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111.23</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136.42</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168.59</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9.00</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26.66</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43.80</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21.90</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23.47</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7.22</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42.46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9.96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180.17</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123.90</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2.85</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2.47</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1.82</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6.89</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0.26</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28.30</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6.00</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2.91</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232.10</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182.44</w:t>
            </w: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387.74</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一般公共服务支出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609.77</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471.81</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111.23</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136.42</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168.59</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9.00</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26.66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0.21</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9.96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121.11</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102.94</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2.85</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2.47</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1.82</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0.26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20103</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政府办公厅（室）及相关机构事务</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609.77</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471.81</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111.23</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136.42</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168.59</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9.00</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26.66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0.21</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5.00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9.96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121.11</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102.94</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2.85</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2.47</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1.82</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0.26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6.00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16.86</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2010301</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行政运行</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436.46</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303.63</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71.66</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100.61</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103.27</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9.00</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0.21</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4.18</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4.76</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9.96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115.97</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102.39</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0.20</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2.47</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1.82</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0.26</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16.86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16.86</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2010350</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事业运行</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173.31</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168.18</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39.57</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35.81</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65.32</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26.66</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0.82</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5.14</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0.55</w:t>
            </w: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2.65</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1.93</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社会保障和就业支出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70.30</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65.70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43.80</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21.90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20801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人力资源和社会保障管理事务</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4.60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2080199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其他人力资源和社会保障管理事务支出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4.60</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4.60</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20805</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行政事业单位养老支出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65.70</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65.70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43.80</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21.90</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2080505</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机关事业单位基本养老保险缴费支出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43.80</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43.80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43.80</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2080506</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机关事业单位职业年金缴费支出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21.90</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21.90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21.90</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卫生健康支出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32.36</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30.36</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23.27</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2.23</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21004</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公共卫生</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重大公共卫生服务</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2.00</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21011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行政事业单位医疗</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30.36</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30.36</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23.27</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4.86</w:t>
            </w: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2.23</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2101101</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行政单位医疗</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14.97</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14.97</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14.97</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2101102</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事业单位医疗</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8.30</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8.30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8.30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2101103</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公务员医疗补助</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4.86</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4.86</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4.86</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2101199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其他行政事业单位医疗支出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2.23</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2.23</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2.23</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城乡社区支出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9.19</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9.19</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6.28</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2.91</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21201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城乡社区管理事务</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9.19</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9.19</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6.28</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2.91</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2120104</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城管执法</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9.19</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9.19</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6.28</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2.91</w:t>
            </w: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农林水支出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617.95</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19.57</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12.68</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6.89</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210.64</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160.98</w:t>
            </w: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387.74</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387.74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农业农村</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25.53</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25.53</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2130199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其他农业农村支出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25.53</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25.53</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21302</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林业和草原</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12.68</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12.68</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12.68</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2130234</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林业草原防灾减灾</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7.50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7.50</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7.50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2130299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其他林业和草原支出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5.18</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5.18</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5.18</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21303</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水利</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6.89</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6.89</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6.89</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2130314</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防汛</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6.89</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6.89</w:t>
            </w: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6.89</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21305</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巩固脱贫衔接乡村振兴</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411.87</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362.21</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362.21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2130504</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农村基础设施建设</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249.76</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249.76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2130599</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其他巩固脱贫衔接乡村振兴支出</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162.11</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49.66</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112.45</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21307</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农村综合改革</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160.98</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160.98</w:t>
            </w: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160.98</w:t>
            </w: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2130705</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对村民委员会和村党支部的补助</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160.98</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160.98</w:t>
            </w: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160.98</w:t>
            </w: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221</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住房保障支出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22102</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住房改革支出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42.46</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2210201</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住房公积金</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42.46</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42.46</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灾害防治及应急管理支出</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22406</w:t>
            </w:r>
          </w:p>
        </w:tc>
        <w:tc>
          <w:tcPr>
            <w:tcW w:w="451"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自然灾害防治</w:t>
            </w:r>
          </w:p>
        </w:tc>
        <w:tc>
          <w:tcPr>
            <w:tcW w:w="268"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28.30</w:t>
            </w: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61" w:type="dxa"/>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2240601</w:t>
            </w:r>
          </w:p>
        </w:tc>
        <w:tc>
          <w:tcPr>
            <w:tcW w:w="451" w:type="dxa"/>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地质灾害防治</w:t>
            </w:r>
          </w:p>
        </w:tc>
        <w:tc>
          <w:tcPr>
            <w:tcW w:w="268"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28.30</w:t>
            </w: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5"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28.30</w:t>
            </w: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28.30</w:t>
            </w: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3"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49"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c>
          <w:tcPr>
            <w:tcW w:w="256" w:type="dxa"/>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3"/>
                <w:szCs w:val="13"/>
                <w:u w:val="none"/>
              </w:rPr>
            </w:pPr>
          </w:p>
        </w:tc>
      </w:tr>
    </w:tbl>
    <w:p/>
    <w:p>
      <w:pPr>
        <w:pStyle w:val="3"/>
        <w:keepNext w:val="0"/>
        <w:keepLines w:val="0"/>
        <w:widowControl/>
        <w:numPr>
          <w:ilvl w:val="0"/>
          <w:numId w:val="0"/>
        </w:numPr>
        <w:suppressLineNumbers w:val="0"/>
        <w:spacing w:before="0" w:beforeAutospacing="0"/>
        <w:ind w:leftChars="0"/>
        <w:jc w:val="left"/>
        <w:outlineLvl w:val="1"/>
        <w:rPr>
          <w:shd w:val="clear" w:fill="FFFFFF"/>
        </w:rPr>
      </w:pPr>
      <w:r>
        <w:rPr>
          <w:rFonts w:hint="eastAsia"/>
          <w:shd w:val="clear" w:fill="FFFFFF"/>
          <w:lang w:eastAsia="zh-CN"/>
        </w:rPr>
        <w:t>八、</w:t>
      </w:r>
      <w:r>
        <w:rPr>
          <w:shd w:val="clear" w:fill="FFFFFF"/>
        </w:rPr>
        <w:t>一般公共预算财政拨款基本支出决算表</w:t>
      </w:r>
    </w:p>
    <w:tbl>
      <w:tblPr>
        <w:tblStyle w:val="14"/>
        <w:tblW w:w="50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6"/>
        <w:gridCol w:w="1300"/>
        <w:gridCol w:w="532"/>
        <w:gridCol w:w="622"/>
        <w:gridCol w:w="1275"/>
        <w:gridCol w:w="1092"/>
        <w:gridCol w:w="643"/>
        <w:gridCol w:w="1257"/>
        <w:gridCol w:w="5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9"/>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774"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75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0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60"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3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3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7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57"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28" w:type="pct"/>
            <w:gridSpan w:val="2"/>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30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60"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73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63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7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57" w:type="pct"/>
            <w:gridSpan w:val="2"/>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6"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3163" w:type="pct"/>
            <w:gridSpan w:val="6"/>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75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0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36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73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63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37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72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2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75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0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6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73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3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7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72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32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610.34</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121.11</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111.23</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102.94</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30701</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136.42</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30202</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30702</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168.59</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9"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30106</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31001</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30205</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31002</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30206</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31003</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30109</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21.90</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31005</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23.47</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31006</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30209</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31007</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31008</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30212</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30114</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30213</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31010</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30199</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30214</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31011</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31012</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31013</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30303</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30218</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31021</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30304</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30224</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31022</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30305</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16.86</w:t>
            </w: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30225</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30306</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30307</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30227</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39907</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30308</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39908</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30309</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30310</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63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39910</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30311</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39999</w:t>
            </w:r>
          </w:p>
        </w:tc>
        <w:tc>
          <w:tcPr>
            <w:tcW w:w="72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30399</w:t>
            </w:r>
          </w:p>
        </w:tc>
        <w:tc>
          <w:tcPr>
            <w:tcW w:w="75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30240</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728"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74" w:type="pct"/>
            <w:tcBorders>
              <w:top w:val="nil"/>
              <w:left w:val="single" w:color="000000" w:sz="4" w:space="0"/>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753"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30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6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73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63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372"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728" w:type="pct"/>
            <w:tcBorders>
              <w:top w:val="nil"/>
              <w:left w:val="nil"/>
              <w:bottom w:val="single" w:color="000000" w:sz="4" w:space="0"/>
              <w:right w:val="single" w:color="000000" w:sz="4" w:space="0"/>
            </w:tcBorders>
            <w:shd w:val="clear" w:color="auto" w:fill="C0C0C0"/>
            <w:noWrap/>
            <w:vAlign w:val="center"/>
          </w:tcPr>
          <w:p>
            <w:pPr>
              <w:jc w:val="left"/>
              <w:rPr>
                <w:rFonts w:hint="eastAsia" w:ascii="宋体" w:hAnsi="宋体" w:eastAsia="宋体" w:cs="宋体"/>
                <w:i w:val="0"/>
                <w:iCs w:val="0"/>
                <w:color w:val="000000"/>
                <w:sz w:val="18"/>
                <w:szCs w:val="18"/>
                <w:u w:val="none"/>
              </w:rPr>
            </w:pPr>
          </w:p>
        </w:tc>
        <w:tc>
          <w:tcPr>
            <w:tcW w:w="32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28" w:type="pct"/>
            <w:gridSpan w:val="2"/>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308"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627.20</w:t>
            </w:r>
          </w:p>
        </w:tc>
        <w:tc>
          <w:tcPr>
            <w:tcW w:w="2834" w:type="pct"/>
            <w:gridSpan w:val="5"/>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329"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121.11</w:t>
            </w:r>
          </w:p>
        </w:tc>
      </w:tr>
    </w:tbl>
    <w:p>
      <w:pPr>
        <w:numPr>
          <w:ilvl w:val="0"/>
          <w:numId w:val="0"/>
        </w:numPr>
        <w:ind w:leftChars="0"/>
      </w:pPr>
    </w:p>
    <w:p>
      <w:pPr>
        <w:pStyle w:val="3"/>
        <w:keepNext w:val="0"/>
        <w:keepLines w:val="0"/>
        <w:widowControl/>
        <w:numPr>
          <w:ilvl w:val="0"/>
          <w:numId w:val="7"/>
        </w:numPr>
        <w:suppressLineNumbers w:val="0"/>
        <w:spacing w:before="0" w:beforeAutospacing="0"/>
        <w:ind w:left="0"/>
        <w:jc w:val="left"/>
        <w:rPr>
          <w:shd w:val="clear" w:fill="FFFFFF"/>
        </w:rPr>
      </w:pPr>
      <w:r>
        <w:rPr>
          <w:shd w:val="clear" w:fill="FFFFFF"/>
        </w:rPr>
        <w:t>一般公共预算财政拨款项目支出决算表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81"/>
        <w:gridCol w:w="221"/>
        <w:gridCol w:w="804"/>
        <w:gridCol w:w="2706"/>
        <w:gridCol w:w="635"/>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6"/>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一般公共预算财政拨款项目支出决算表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47"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58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066" w:type="pct"/>
            <w:gridSpan w:val="2"/>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4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部门：四川省阿坝州九寨沟县玉瓦乡人民政府</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47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2022年度</w:t>
            </w:r>
          </w:p>
        </w:tc>
        <w:tc>
          <w:tcPr>
            <w:tcW w:w="158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37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93"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3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37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693"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585"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37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9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347"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1585"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18"/>
                <w:szCs w:val="18"/>
                <w:u w:val="none"/>
              </w:rPr>
            </w:pPr>
          </w:p>
        </w:tc>
        <w:tc>
          <w:tcPr>
            <w:tcW w:w="37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c>
          <w:tcPr>
            <w:tcW w:w="693"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3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287.53</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人力资源和社会保障管理事务</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2080199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其他人力资源和社会保障管理事务支出</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21004</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公共卫生</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2100409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重大公共卫生服务</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其他行政事业单位医疗支出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21201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城乡社区管理事务</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2120104</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城管执法</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280.93</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农业农村</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林业和草原</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7.50</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2130234</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林业草原防灾减灾</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21303</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2130314</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防汛</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巩固脱贫衔接乡村振兴</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112.45</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411.87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2130504</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农村基础设施建设</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2130599</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其他巩固脱贫衔接乡村振兴支出</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112.45</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农村综合改革</w:t>
            </w:r>
          </w:p>
        </w:tc>
        <w:tc>
          <w:tcPr>
            <w:tcW w:w="37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372"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22406</w:t>
            </w:r>
          </w:p>
        </w:tc>
        <w:tc>
          <w:tcPr>
            <w:tcW w:w="158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自然灾害防治</w:t>
            </w:r>
          </w:p>
        </w:tc>
        <w:tc>
          <w:tcPr>
            <w:tcW w:w="372" w:type="pct"/>
            <w:tcBorders>
              <w:top w:val="nil"/>
              <w:left w:val="nil"/>
              <w:bottom w:val="single" w:color="000000" w:sz="4" w:space="0"/>
              <w:right w:val="single" w:color="000000" w:sz="4" w:space="0"/>
            </w:tcBorders>
            <w:shd w:val="clear" w:color="auto" w:fill="C0C0C0"/>
            <w:noWrap/>
            <w:vAlign w:val="center"/>
          </w:tcPr>
          <w:p>
            <w:pPr>
              <w:jc w:val="right"/>
              <w:rPr>
                <w:rFonts w:hint="eastAsia" w:ascii="宋体" w:hAnsi="宋体" w:eastAsia="宋体" w:cs="宋体"/>
                <w:b/>
                <w:bCs/>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347" w:type="pct"/>
            <w:gridSpan w:val="3"/>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2240601</w:t>
            </w:r>
          </w:p>
        </w:tc>
        <w:tc>
          <w:tcPr>
            <w:tcW w:w="1585" w:type="pct"/>
            <w:tcBorders>
              <w:top w:val="nil"/>
              <w:left w:val="nil"/>
              <w:bottom w:val="single" w:color="000000" w:sz="4" w:space="0"/>
              <w:right w:val="single" w:color="000000" w:sz="4" w:space="0"/>
            </w:tcBorders>
            <w:shd w:val="clear" w:color="auto" w:fill="CC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地质灾害防治</w:t>
            </w:r>
          </w:p>
        </w:tc>
        <w:tc>
          <w:tcPr>
            <w:tcW w:w="37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18"/>
                <w:szCs w:val="18"/>
                <w:u w:val="none"/>
              </w:rPr>
            </w:pPr>
          </w:p>
        </w:tc>
        <w:tc>
          <w:tcPr>
            <w:tcW w:w="693"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w:t>
            </w:r>
          </w:p>
        </w:tc>
      </w:tr>
    </w:tbl>
    <w:p>
      <w:pPr>
        <w:numPr>
          <w:ilvl w:val="0"/>
          <w:numId w:val="0"/>
        </w:numPr>
      </w:pPr>
    </w:p>
    <w:p>
      <w:pPr>
        <w:pStyle w:val="3"/>
        <w:keepNext w:val="0"/>
        <w:keepLines w:val="0"/>
        <w:widowControl/>
        <w:numPr>
          <w:ilvl w:val="0"/>
          <w:numId w:val="7"/>
        </w:numPr>
        <w:suppressLineNumbers w:val="0"/>
        <w:spacing w:before="0" w:beforeAutospacing="0"/>
        <w:ind w:left="0" w:leftChars="0" w:firstLine="0" w:firstLineChars="0"/>
        <w:jc w:val="left"/>
        <w:rPr>
          <w:shd w:val="clear" w:fill="FFFFFF"/>
        </w:rPr>
      </w:pPr>
      <w:r>
        <w:rPr>
          <w:shd w:val="clear" w:fill="FFFFFF"/>
        </w:rPr>
        <w:t>政府性基金预算财政拨款收入支出决算表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7"/>
        <w:gridCol w:w="221"/>
        <w:gridCol w:w="221"/>
        <w:gridCol w:w="864"/>
        <w:gridCol w:w="905"/>
        <w:gridCol w:w="378"/>
        <w:gridCol w:w="378"/>
        <w:gridCol w:w="378"/>
        <w:gridCol w:w="378"/>
        <w:gridCol w:w="13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10"/>
            <w:tcBorders>
              <w:top w:val="nil"/>
              <w:left w:val="nil"/>
              <w:bottom w:val="nil"/>
              <w:right w:val="single" w:color="808080" w:sz="4" w:space="0"/>
            </w:tcBorders>
            <w:shd w:val="clear" w:color="auto" w:fill="auto"/>
            <w:noWrap/>
            <w:vAlign w:val="bottom"/>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79"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7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664"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64"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公开10表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7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7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664"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89"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564"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1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1664"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年初结转和结余</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本年收入</w:t>
            </w:r>
          </w:p>
        </w:tc>
        <w:tc>
          <w:tcPr>
            <w:tcW w:w="567"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c>
          <w:tcPr>
            <w:tcW w:w="564"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5"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377"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16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w:t>
            </w:r>
          </w:p>
        </w:tc>
        <w:tc>
          <w:tcPr>
            <w:tcW w:w="189"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5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5"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77"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16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5"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77"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16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89"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564"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1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16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9"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64"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13"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6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c>
          <w:tcPr>
            <w:tcW w:w="5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5"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此表无数据</w:t>
            </w:r>
          </w:p>
        </w:tc>
        <w:tc>
          <w:tcPr>
            <w:tcW w:w="377"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1"/>
                <w:szCs w:val="21"/>
                <w:u w:val="none"/>
              </w:rPr>
            </w:pPr>
          </w:p>
        </w:tc>
        <w:tc>
          <w:tcPr>
            <w:tcW w:w="16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189"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564"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10"/>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注：本表反映部门本年度政府性基金预算财政拨款收入、支出及结转和结余情况。</w:t>
            </w:r>
          </w:p>
        </w:tc>
      </w:tr>
    </w:tbl>
    <w:p>
      <w:pPr>
        <w:numPr>
          <w:ilvl w:val="0"/>
          <w:numId w:val="0"/>
        </w:numPr>
        <w:ind w:leftChars="0"/>
      </w:pPr>
    </w:p>
    <w:p>
      <w:pPr>
        <w:pStyle w:val="3"/>
        <w:keepNext w:val="0"/>
        <w:keepLines w:val="0"/>
        <w:widowControl/>
        <w:numPr>
          <w:ilvl w:val="0"/>
          <w:numId w:val="7"/>
        </w:numPr>
        <w:suppressLineNumbers w:val="0"/>
        <w:spacing w:before="0" w:beforeAutospacing="0"/>
        <w:ind w:left="0" w:leftChars="0" w:firstLine="0" w:firstLineChars="0"/>
        <w:jc w:val="left"/>
        <w:rPr>
          <w:shd w:val="clear" w:fill="FFFFFF"/>
        </w:rPr>
      </w:pPr>
      <w:r>
        <w:rPr>
          <w:shd w:val="clear" w:fill="FFFFFF"/>
        </w:rPr>
        <w:t>国有资本经营预算财政拨款收入支出决算表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82"/>
        <w:gridCol w:w="222"/>
        <w:gridCol w:w="222"/>
        <w:gridCol w:w="1059"/>
        <w:gridCol w:w="414"/>
        <w:gridCol w:w="414"/>
        <w:gridCol w:w="414"/>
        <w:gridCol w:w="1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8"/>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1852"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153"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469"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156" w:type="pct"/>
            <w:gridSpan w:val="3"/>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5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153"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5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46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1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12"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730"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3630"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21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年初结转和结余</w:t>
            </w:r>
          </w:p>
        </w:tc>
        <w:tc>
          <w:tcPr>
            <w:tcW w:w="21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本年收入</w:t>
            </w:r>
          </w:p>
        </w:tc>
        <w:tc>
          <w:tcPr>
            <w:tcW w:w="212"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本年支出</w:t>
            </w:r>
          </w:p>
        </w:tc>
        <w:tc>
          <w:tcPr>
            <w:tcW w:w="730"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61"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科目代码</w:t>
            </w:r>
          </w:p>
        </w:tc>
        <w:tc>
          <w:tcPr>
            <w:tcW w:w="1469"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科目名称</w:t>
            </w: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73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2161"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1469"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12"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730"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630"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栏次</w:t>
            </w:r>
          </w:p>
        </w:tc>
        <w:tc>
          <w:tcPr>
            <w:tcW w:w="21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1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12"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30"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3630"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161"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eastAsia="zh-CN"/>
              </w:rPr>
              <w:t>此表无数据</w:t>
            </w:r>
          </w:p>
        </w:tc>
        <w:tc>
          <w:tcPr>
            <w:tcW w:w="1469"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12"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730"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ind w:leftChars="0"/>
      </w:pPr>
    </w:p>
    <w:p>
      <w:pPr>
        <w:pStyle w:val="3"/>
        <w:keepNext w:val="0"/>
        <w:keepLines w:val="0"/>
        <w:widowControl/>
        <w:numPr>
          <w:ilvl w:val="0"/>
          <w:numId w:val="7"/>
        </w:numPr>
        <w:suppressLineNumbers w:val="0"/>
        <w:spacing w:before="0" w:beforeAutospacing="0"/>
        <w:ind w:left="0" w:leftChars="0" w:firstLine="0" w:firstLineChars="0"/>
        <w:jc w:val="left"/>
        <w:rPr>
          <w:shd w:val="clear" w:fill="FFFFFF"/>
        </w:rPr>
      </w:pPr>
      <w:r>
        <w:rPr>
          <w:shd w:val="clear" w:fill="FFFFFF"/>
        </w:rPr>
        <w:t>国有资本经营预算财政拨款支出决算表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30"/>
        <w:gridCol w:w="222"/>
        <w:gridCol w:w="222"/>
        <w:gridCol w:w="1112"/>
        <w:gridCol w:w="427"/>
        <w:gridCol w:w="427"/>
        <w:gridCol w:w="1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00" w:type="pct"/>
            <w:gridSpan w:val="7"/>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01"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16"/>
                <w:szCs w:val="16"/>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52"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0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05"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78" w:type="pct"/>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701"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部门：四川省阿坝州九寨沟县玉瓦乡人民政府</w:t>
            </w: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2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1952"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20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205"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18"/>
                <w:szCs w:val="18"/>
                <w:u w:val="none"/>
              </w:rPr>
            </w:pPr>
          </w:p>
        </w:tc>
        <w:tc>
          <w:tcPr>
            <w:tcW w:w="678"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391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088"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9" w:type="pct"/>
            <w:gridSpan w:val="3"/>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52" w:type="pct"/>
            <w:vMerge w:val="restar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0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5"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67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9"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5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2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9" w:type="pct"/>
            <w:gridSpan w:val="3"/>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1952" w:type="pct"/>
            <w:vMerge w:val="continue"/>
            <w:tcBorders>
              <w:top w:val="nil"/>
              <w:left w:val="nil"/>
              <w:bottom w:val="single" w:color="000000" w:sz="4" w:space="0"/>
              <w:right w:val="single" w:color="000000" w:sz="4" w:space="0"/>
            </w:tcBorders>
            <w:shd w:val="clear" w:color="auto" w:fill="C0C0C0"/>
            <w:noWrap/>
            <w:vAlign w:val="center"/>
          </w:tcPr>
          <w:p>
            <w:pPr>
              <w:jc w:val="center"/>
              <w:rPr>
                <w:rFonts w:hint="eastAsia" w:ascii="宋体" w:hAnsi="宋体" w:eastAsia="宋体" w:cs="宋体"/>
                <w:i w:val="0"/>
                <w:iCs w:val="0"/>
                <w:color w:val="000000"/>
                <w:sz w:val="22"/>
                <w:szCs w:val="22"/>
                <w:u w:val="none"/>
              </w:rPr>
            </w:pPr>
          </w:p>
        </w:tc>
        <w:tc>
          <w:tcPr>
            <w:tcW w:w="2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205"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c>
          <w:tcPr>
            <w:tcW w:w="67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0" w:hRule="atLeast"/>
        </w:trPr>
        <w:tc>
          <w:tcPr>
            <w:tcW w:w="391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0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5"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78" w:type="pct"/>
            <w:tcBorders>
              <w:top w:val="nil"/>
              <w:left w:val="nil"/>
              <w:bottom w:val="single" w:color="000000" w:sz="4" w:space="0"/>
              <w:right w:val="single" w:color="000000" w:sz="4" w:space="0"/>
            </w:tcBorders>
            <w:shd w:val="clear" w:color="auto"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911" w:type="pct"/>
            <w:gridSpan w:val="4"/>
            <w:tcBorders>
              <w:top w:val="nil"/>
              <w:left w:val="single" w:color="000000" w:sz="4" w:space="0"/>
              <w:bottom w:val="single" w:color="000000" w:sz="4" w:space="0"/>
              <w:right w:val="single" w:color="000000" w:sz="4" w:space="0"/>
            </w:tcBorders>
            <w:shd w:val="clear" w:color="auto" w:fill="C0C0C0"/>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2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c>
          <w:tcPr>
            <w:tcW w:w="6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959" w:type="pct"/>
            <w:gridSpan w:val="3"/>
            <w:tcBorders>
              <w:top w:val="nil"/>
              <w:left w:val="single" w:color="000000" w:sz="4" w:space="0"/>
              <w:bottom w:val="single" w:color="000000" w:sz="4" w:space="0"/>
              <w:right w:val="single" w:color="000000" w:sz="4" w:space="0"/>
            </w:tcBorders>
            <w:shd w:val="clear" w:color="auto" w:fill="FFFFFF"/>
            <w:noWrap/>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eastAsia="zh-CN"/>
              </w:rPr>
              <w:t>此表无数据</w:t>
            </w:r>
          </w:p>
        </w:tc>
        <w:tc>
          <w:tcPr>
            <w:tcW w:w="1952" w:type="pct"/>
            <w:tcBorders>
              <w:top w:val="nil"/>
              <w:left w:val="nil"/>
              <w:bottom w:val="single" w:color="000000" w:sz="4" w:space="0"/>
              <w:right w:val="single" w:color="000000" w:sz="4" w:space="0"/>
            </w:tcBorders>
            <w:shd w:val="clear" w:color="auto" w:fill="CCFFFF"/>
            <w:noWrap/>
            <w:vAlign w:val="center"/>
          </w:tcPr>
          <w:p>
            <w:pPr>
              <w:jc w:val="left"/>
              <w:rPr>
                <w:rFonts w:hint="eastAsia" w:ascii="宋体" w:hAnsi="宋体" w:eastAsia="宋体" w:cs="宋体"/>
                <w:i w:val="0"/>
                <w:iCs w:val="0"/>
                <w:color w:val="000000"/>
                <w:sz w:val="22"/>
                <w:szCs w:val="22"/>
                <w:u w:val="none"/>
              </w:rPr>
            </w:pPr>
          </w:p>
        </w:tc>
        <w:tc>
          <w:tcPr>
            <w:tcW w:w="2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205"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c>
          <w:tcPr>
            <w:tcW w:w="67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2"/>
                <w:szCs w:val="22"/>
                <w:u w:val="none"/>
              </w:rPr>
            </w:pPr>
          </w:p>
        </w:tc>
      </w:tr>
    </w:tbl>
    <w:p>
      <w:pPr>
        <w:numPr>
          <w:ilvl w:val="0"/>
          <w:numId w:val="0"/>
        </w:numPr>
        <w:ind w:leftChars="0"/>
      </w:pPr>
    </w:p>
    <w:p>
      <w:pPr>
        <w:pStyle w:val="3"/>
        <w:keepNext w:val="0"/>
        <w:keepLines w:val="0"/>
        <w:widowControl/>
        <w:numPr>
          <w:ilvl w:val="0"/>
          <w:numId w:val="7"/>
        </w:numPr>
        <w:suppressLineNumbers w:val="0"/>
        <w:spacing w:before="0" w:beforeAutospacing="0"/>
        <w:ind w:left="0" w:leftChars="0" w:firstLine="0" w:firstLineChars="0"/>
        <w:jc w:val="left"/>
        <w:rPr>
          <w:shd w:val="clear" w:fill="FFFFFF"/>
        </w:rPr>
      </w:pPr>
      <w:r>
        <w:rPr>
          <w:shd w:val="clear" w:fill="FFFFFF"/>
        </w:rPr>
        <w:t>财政拨款“三公”经费支出决算表</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27"/>
        <w:gridCol w:w="578"/>
        <w:gridCol w:w="457"/>
        <w:gridCol w:w="337"/>
        <w:gridCol w:w="457"/>
        <w:gridCol w:w="729"/>
        <w:gridCol w:w="457"/>
        <w:gridCol w:w="578"/>
        <w:gridCol w:w="457"/>
        <w:gridCol w:w="337"/>
        <w:gridCol w:w="457"/>
        <w:gridCol w:w="10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000" w:type="pct"/>
            <w:gridSpan w:val="12"/>
            <w:tcBorders>
              <w:top w:val="nil"/>
              <w:left w:val="nil"/>
              <w:bottom w:val="nil"/>
              <w:right w:val="single" w:color="808080" w:sz="4" w:space="0"/>
            </w:tcBorders>
            <w:shd w:val="clear" w:color="auto" w:fill="FFFFFF"/>
            <w:noWrap/>
            <w:vAlign w:val="center"/>
          </w:tcPr>
          <w:p>
            <w:pPr>
              <w:jc w:val="left"/>
              <w:rPr>
                <w:rFonts w:hint="eastAsia" w:ascii="宋体" w:hAnsi="宋体" w:eastAsia="宋体" w:cs="宋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tcBorders>
              <w:top w:val="nil"/>
              <w:left w:val="nil"/>
              <w:bottom w:val="nil"/>
              <w:right w:val="nil"/>
            </w:tcBorders>
            <w:shd w:val="clear" w:color="auto" w:fill="FFFFFF"/>
            <w:noWrap/>
            <w:vAlign w:val="center"/>
          </w:tcPr>
          <w:p>
            <w:pPr>
              <w:jc w:val="left"/>
              <w:rPr>
                <w:rFonts w:hint="eastAsia" w:ascii="Tahoma" w:hAnsi="Tahoma" w:eastAsia="Tahoma" w:cs="Tahoma"/>
                <w:i w:val="0"/>
                <w:iCs w:val="0"/>
                <w:color w:val="000000"/>
                <w:sz w:val="21"/>
                <w:szCs w:val="21"/>
                <w:u w:val="none"/>
              </w:rPr>
            </w:pPr>
          </w:p>
        </w:tc>
        <w:tc>
          <w:tcPr>
            <w:tcW w:w="33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2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8"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nil"/>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086" w:type="pct"/>
            <w:gridSpan w:val="3"/>
            <w:tcBorders>
              <w:top w:val="nil"/>
              <w:left w:val="nil"/>
              <w:bottom w:val="nil"/>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公开13表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部门：四川省阿坝州九寨沟县玉瓦乡人民政府</w:t>
            </w:r>
          </w:p>
        </w:tc>
        <w:tc>
          <w:tcPr>
            <w:tcW w:w="33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427" w:type="pct"/>
            <w:tcBorders>
              <w:top w:val="nil"/>
              <w:left w:val="nil"/>
              <w:bottom w:val="single" w:color="808080" w:sz="4" w:space="0"/>
              <w:right w:val="nil"/>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2022年度</w:t>
            </w: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338"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19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267" w:type="pct"/>
            <w:tcBorders>
              <w:top w:val="nil"/>
              <w:left w:val="nil"/>
              <w:bottom w:val="single" w:color="808080" w:sz="4" w:space="0"/>
              <w:right w:val="nil"/>
            </w:tcBorders>
            <w:shd w:val="clear" w:color="auto" w:fill="FFFFFF"/>
            <w:noWrap/>
            <w:vAlign w:val="center"/>
          </w:tcPr>
          <w:p>
            <w:pPr>
              <w:jc w:val="left"/>
              <w:rPr>
                <w:rFonts w:hint="eastAsia" w:ascii="宋体" w:hAnsi="宋体" w:eastAsia="宋体" w:cs="宋体"/>
                <w:i w:val="0"/>
                <w:iCs w:val="0"/>
                <w:color w:val="000000"/>
                <w:sz w:val="21"/>
                <w:szCs w:val="21"/>
                <w:u w:val="none"/>
              </w:rPr>
            </w:pPr>
          </w:p>
        </w:tc>
        <w:tc>
          <w:tcPr>
            <w:tcW w:w="621" w:type="pct"/>
            <w:tcBorders>
              <w:top w:val="nil"/>
              <w:left w:val="nil"/>
              <w:bottom w:val="single" w:color="808080" w:sz="4" w:space="0"/>
              <w:right w:val="single" w:color="80808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038" w:type="pct"/>
            <w:gridSpan w:val="6"/>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预算数</w:t>
            </w:r>
          </w:p>
        </w:tc>
        <w:tc>
          <w:tcPr>
            <w:tcW w:w="1961" w:type="pct"/>
            <w:gridSpan w:val="6"/>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vMerge w:val="restar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3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w:t>
            </w:r>
          </w:p>
        </w:tc>
        <w:tc>
          <w:tcPr>
            <w:tcW w:w="733"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公务用车购置及运行维护费</w:t>
            </w:r>
          </w:p>
        </w:tc>
        <w:tc>
          <w:tcPr>
            <w:tcW w:w="42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c>
          <w:tcPr>
            <w:tcW w:w="267"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38"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因公出国（境）费</w:t>
            </w:r>
          </w:p>
        </w:tc>
        <w:tc>
          <w:tcPr>
            <w:tcW w:w="733" w:type="pct"/>
            <w:gridSpan w:val="3"/>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公务用车购置及运行维护费</w:t>
            </w:r>
          </w:p>
        </w:tc>
        <w:tc>
          <w:tcPr>
            <w:tcW w:w="621" w:type="pct"/>
            <w:vMerge w:val="restar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39" w:type="pct"/>
            <w:vMerge w:val="continue"/>
            <w:tcBorders>
              <w:top w:val="nil"/>
              <w:left w:val="single" w:color="000000" w:sz="4" w:space="0"/>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3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9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公务用车购置费</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42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67"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338"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w:t>
            </w:r>
          </w:p>
        </w:tc>
        <w:tc>
          <w:tcPr>
            <w:tcW w:w="19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公务用车购置费</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公务用车运行维护费</w:t>
            </w:r>
          </w:p>
        </w:tc>
        <w:tc>
          <w:tcPr>
            <w:tcW w:w="621" w:type="pct"/>
            <w:vMerge w:val="continue"/>
            <w:tcBorders>
              <w:top w:val="nil"/>
              <w:left w:val="nil"/>
              <w:bottom w:val="single" w:color="000000" w:sz="4" w:space="0"/>
              <w:right w:val="single" w:color="000000" w:sz="4" w:space="0"/>
            </w:tcBorders>
            <w:shd w:val="clear" w:color="auto" w:fill="C0C0C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tcBorders>
              <w:top w:val="nil"/>
              <w:left w:val="single" w:color="000000" w:sz="4" w:space="0"/>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2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38"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67"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21" w:type="pct"/>
            <w:tcBorders>
              <w:top w:val="nil"/>
              <w:left w:val="nil"/>
              <w:bottom w:val="single" w:color="000000" w:sz="4" w:space="0"/>
              <w:right w:val="single" w:color="000000" w:sz="4" w:space="0"/>
            </w:tcBorders>
            <w:shd w:val="clear" w:color="auto"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539" w:type="pc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3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42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338"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197"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c>
          <w:tcPr>
            <w:tcW w:w="267" w:type="pct"/>
            <w:tcBorders>
              <w:top w:val="nil"/>
              <w:left w:val="nil"/>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621" w:type="pct"/>
            <w:tcBorders>
              <w:top w:val="nil"/>
              <w:left w:val="nil"/>
              <w:bottom w:val="single" w:color="000000" w:sz="4" w:space="0"/>
              <w:right w:val="single" w:color="000000" w:sz="4" w:space="0"/>
            </w:tcBorders>
            <w:shd w:val="clear" w:color="auto" w:fill="FFFFFF"/>
            <w:noWrap/>
            <w:vAlign w:val="center"/>
          </w:tcPr>
          <w:p>
            <w:pPr>
              <w:jc w:val="right"/>
              <w:rPr>
                <w:rFonts w:hint="eastAsia" w:ascii="宋体" w:hAnsi="宋体" w:eastAsia="宋体" w:cs="宋体"/>
                <w:i w:val="0"/>
                <w:iCs w:val="0"/>
                <w:color w:val="000000"/>
                <w:sz w:val="21"/>
                <w:szCs w:val="21"/>
                <w:u w:val="none"/>
              </w:rPr>
            </w:pPr>
          </w:p>
        </w:tc>
      </w:tr>
    </w:tbl>
    <w:p>
      <w:pPr>
        <w:numPr>
          <w:ilvl w:val="0"/>
          <w:numId w:val="0"/>
        </w:numPr>
        <w:ind w:leftChars="0"/>
      </w:pP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小标宋_GBK"/>
    <w:panose1 w:val="03000509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Tahoma">
    <w:altName w:val="DejaVu Sans"/>
    <w:panose1 w:val="020B0604030504040204"/>
    <w:charset w:val="00"/>
    <w:family w:val="auto"/>
    <w:pitch w:val="default"/>
    <w:sig w:usb0="00000000" w:usb1="00000000"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42CEB"/>
    <w:multiLevelType w:val="singleLevel"/>
    <w:tmpl w:val="85142CEB"/>
    <w:lvl w:ilvl="0" w:tentative="0">
      <w:start w:val="10"/>
      <w:numFmt w:val="chineseCounting"/>
      <w:suff w:val="nothing"/>
      <w:lvlText w:val="%1、"/>
      <w:lvlJc w:val="left"/>
      <w:rPr>
        <w:rFonts w:hint="eastAsia"/>
      </w:rPr>
    </w:lvl>
  </w:abstractNum>
  <w:abstractNum w:abstractNumId="1">
    <w:nsid w:val="C45F9857"/>
    <w:multiLevelType w:val="multilevel"/>
    <w:tmpl w:val="C45F9857"/>
    <w:lvl w:ilvl="0" w:tentative="0">
      <w:start w:val="1"/>
      <w:numFmt w:val="chineseCountingThousand"/>
      <w:lvlText w:val="（%1）"/>
      <w:lvlJc w:val="left"/>
      <w:pPr>
        <w:ind w:left="1809" w:hanging="969"/>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C948DA6A"/>
    <w:multiLevelType w:val="singleLevel"/>
    <w:tmpl w:val="C948DA6A"/>
    <w:lvl w:ilvl="0" w:tentative="0">
      <w:start w:val="9"/>
      <w:numFmt w:val="chineseCounting"/>
      <w:suff w:val="nothing"/>
      <w:lvlText w:val="%1、"/>
      <w:lvlJc w:val="left"/>
      <w:rPr>
        <w:rFonts w:hint="eastAsia"/>
      </w:rPr>
    </w:lvl>
  </w:abstractNum>
  <w:abstractNum w:abstractNumId="3">
    <w:nsid w:val="E4CA8261"/>
    <w:multiLevelType w:val="multilevel"/>
    <w:tmpl w:val="E4CA8261"/>
    <w:lvl w:ilvl="0" w:tentative="0">
      <w:start w:val="1"/>
      <w:numFmt w:val="chineseCountingThousand"/>
      <w:lvlText w:val="（%1）"/>
      <w:lvlJc w:val="left"/>
      <w:pPr>
        <w:ind w:left="1600" w:hanging="9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0AFCD28"/>
    <w:multiLevelType w:val="multilevel"/>
    <w:tmpl w:val="30AFCD28"/>
    <w:lvl w:ilvl="0" w:tentative="0">
      <w:start w:val="1"/>
      <w:numFmt w:val="chineseCountingThousand"/>
      <w:lvlText w:val="（%1）"/>
      <w:lvlJc w:val="left"/>
      <w:pPr>
        <w:ind w:left="1600" w:hanging="9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33290897"/>
    <w:multiLevelType w:val="singleLevel"/>
    <w:tmpl w:val="33290897"/>
    <w:lvl w:ilvl="0" w:tentative="0">
      <w:start w:val="2"/>
      <w:numFmt w:val="chineseCounting"/>
      <w:suff w:val="nothing"/>
      <w:lvlText w:val="%1、"/>
      <w:lvlJc w:val="left"/>
      <w:rPr>
        <w:rFonts w:hint="eastAsia"/>
      </w:rPr>
    </w:lvl>
  </w:abstractNum>
  <w:abstractNum w:abstractNumId="6">
    <w:nsid w:val="787DDBD6"/>
    <w:multiLevelType w:val="multilevel"/>
    <w:tmpl w:val="787DDBD6"/>
    <w:lvl w:ilvl="0" w:tentative="0">
      <w:start w:val="1"/>
      <w:numFmt w:val="chineseCountingThousand"/>
      <w:lvlText w:val="（%1）"/>
      <w:lvlJc w:val="left"/>
      <w:pPr>
        <w:ind w:left="1809" w:hanging="969"/>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 w:numId="2">
    <w:abstractNumId w:val="3"/>
  </w:num>
  <w:num w:numId="3">
    <w:abstractNumId w:val="4"/>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mNzQwOTBhNzIxMGJiMWMyOTQ0MzI5MDU0MTZjNjAifQ=="/>
  </w:docVars>
  <w:rsids>
    <w:rsidRoot w:val="00000000"/>
    <w:rsid w:val="0B521D3F"/>
    <w:rsid w:val="14900FF3"/>
    <w:rsid w:val="18A5243F"/>
    <w:rsid w:val="1CB03FE0"/>
    <w:rsid w:val="1CFC037B"/>
    <w:rsid w:val="28245348"/>
    <w:rsid w:val="32081D71"/>
    <w:rsid w:val="3BC46D08"/>
    <w:rsid w:val="46D74F60"/>
    <w:rsid w:val="5D2A38AE"/>
    <w:rsid w:val="5E766130"/>
    <w:rsid w:val="64414AEB"/>
    <w:rsid w:val="71D05110"/>
    <w:rsid w:val="7D902913"/>
    <w:rsid w:val="7FEA0E19"/>
    <w:rsid w:val="F8EF7C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8">
    <w:name w:val="Normal Indent"/>
    <w:basedOn w:val="1"/>
    <w:qFormat/>
    <w:uiPriority w:val="0"/>
    <w:pPr>
      <w:keepNext w:val="0"/>
      <w:keepLines w:val="0"/>
      <w:widowControl/>
      <w:suppressLineNumbers w:val="0"/>
      <w:spacing w:before="0" w:beforeAutospacing="0" w:after="0" w:afterAutospacing="0" w:line="240" w:lineRule="auto"/>
      <w:ind w:left="0" w:firstLine="420"/>
      <w:jc w:val="left"/>
    </w:pPr>
    <w:rPr>
      <w:rFonts w:hint="default" w:ascii="Times New Roman" w:hAnsi="Times New Roman" w:eastAsia="宋体" w:cs="Times New Roman"/>
      <w:kern w:val="0"/>
      <w:sz w:val="21"/>
      <w:szCs w:val="22"/>
      <w:lang w:val="en-US" w:eastAsia="zh-CN" w:bidi="ar"/>
    </w:rPr>
  </w:style>
  <w:style w:type="paragraph" w:styleId="9">
    <w:name w:val="index 5"/>
    <w:basedOn w:val="1"/>
    <w:next w:val="1"/>
    <w:qFormat/>
    <w:uiPriority w:val="0"/>
    <w:pPr>
      <w:widowControl w:val="0"/>
      <w:ind w:left="1680"/>
    </w:pPr>
    <w:rPr>
      <w:rFonts w:ascii="黑体" w:hAnsi="Times New Roman" w:eastAsia="黑体" w:cs="Times New Roman"/>
      <w:b/>
      <w:bCs/>
      <w:kern w:val="2"/>
      <w:sz w:val="44"/>
      <w:szCs w:val="44"/>
    </w:rPr>
  </w:style>
  <w:style w:type="paragraph" w:styleId="10">
    <w:name w:val="Plain Text"/>
    <w:basedOn w:val="1"/>
    <w:unhideWhenUsed/>
    <w:qFormat/>
    <w:uiPriority w:val="99"/>
    <w:pPr>
      <w:widowControl w:val="0"/>
      <w:jc w:val="both"/>
    </w:pPr>
    <w:rPr>
      <w:rFonts w:hAnsi="Courier New" w:eastAsia="宋体" w:cs="Courier New"/>
      <w:kern w:val="2"/>
      <w:sz w:val="21"/>
      <w:szCs w:val="21"/>
    </w:rPr>
  </w:style>
  <w:style w:type="paragraph" w:styleId="11">
    <w:name w:val="toc 1"/>
    <w:basedOn w:val="1"/>
    <w:next w:val="1"/>
    <w:qFormat/>
    <w:uiPriority w:val="0"/>
    <w:pPr>
      <w:keepNext w:val="0"/>
      <w:keepLines w:val="0"/>
      <w:widowControl w:val="0"/>
      <w:suppressLineNumbers w:val="0"/>
      <w:spacing w:before="0" w:beforeAutospacing="0" w:after="0" w:afterAutospacing="0" w:line="240" w:lineRule="auto"/>
      <w:ind w:left="0" w:firstLine="0"/>
      <w:jc w:val="both"/>
    </w:pPr>
    <w:rPr>
      <w:rFonts w:hint="default" w:ascii="Times New Roman" w:hAnsi="Times New Roman" w:eastAsia="宋体" w:cs="Times New Roman"/>
      <w:kern w:val="2"/>
      <w:sz w:val="21"/>
      <w:szCs w:val="24"/>
      <w:lang w:val="en-US" w:eastAsia="zh-CN" w:bidi="ar"/>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文档正文"/>
    <w:basedOn w:val="1"/>
    <w:qFormat/>
    <w:uiPriority w:val="0"/>
    <w:pPr>
      <w:adjustRightInd w:val="0"/>
      <w:spacing w:line="480" w:lineRule="atLeast"/>
      <w:jc w:val="both"/>
      <w:textAlignment w:val="baseline"/>
    </w:pPr>
    <w:rPr>
      <w:rFonts w:ascii="Arial" w:hAnsi="Arial" w:cs="Times New Roman"/>
      <w:color w:val="000000"/>
      <w:kern w:val="2"/>
      <w:sz w:val="21"/>
    </w:rPr>
  </w:style>
  <w:style w:type="paragraph" w:customStyle="1" w:styleId="19">
    <w:name w:val="正文1"/>
    <w:basedOn w:val="1"/>
    <w:qFormat/>
    <w:uiPriority w:val="0"/>
    <w:pPr>
      <w:keepNext w:val="0"/>
      <w:keepLines w:val="0"/>
      <w:widowControl w:val="0"/>
      <w:suppressLineNumbers w:val="0"/>
      <w:spacing w:before="0" w:beforeAutospacing="0" w:after="0" w:afterAutospacing="0" w:line="240" w:lineRule="auto"/>
      <w:ind w:left="0" w:firstLine="0"/>
      <w:jc w:val="both"/>
    </w:pPr>
    <w:rPr>
      <w:rFonts w:hint="default" w:ascii="Times New Roman" w:hAnsi="Times New Roman" w:eastAsia="宋体" w:cs="Times New Roman"/>
      <w:kern w:val="2"/>
      <w:sz w:val="21"/>
      <w:szCs w:val="21"/>
      <w:lang w:val="en-US" w:eastAsia="zh-CN" w:bidi="ar"/>
    </w:rPr>
  </w:style>
  <w:style w:type="paragraph" w:customStyle="1" w:styleId="20">
    <w:name w:val="列出段落2"/>
    <w:basedOn w:val="1"/>
    <w:qFormat/>
    <w:uiPriority w:val="0"/>
    <w:pPr>
      <w:keepNext w:val="0"/>
      <w:keepLines w:val="0"/>
      <w:widowControl/>
      <w:suppressLineNumbers w:val="0"/>
      <w:spacing w:before="0" w:beforeAutospacing="0" w:after="0" w:afterAutospacing="0" w:line="400" w:lineRule="exact"/>
      <w:ind w:left="0" w:firstLine="200" w:firstLineChars="200"/>
      <w:jc w:val="left"/>
    </w:pPr>
    <w:rPr>
      <w:rFonts w:hint="eastAsia" w:ascii="宋体" w:hAnsi="宋体" w:eastAsia="宋体" w:cs="宋体"/>
      <w:kern w:val="0"/>
      <w:sz w:val="24"/>
      <w:szCs w:val="24"/>
      <w:lang w:val="en-US" w:eastAsia="zh-CN" w:bidi="ar"/>
    </w:rPr>
  </w:style>
  <w:style w:type="paragraph" w:customStyle="1" w:styleId="21">
    <w:name w:val="四号正文"/>
    <w:basedOn w:val="1"/>
    <w:qFormat/>
    <w:uiPriority w:val="0"/>
    <w:pPr>
      <w:keepNext w:val="0"/>
      <w:keepLines w:val="0"/>
      <w:widowControl w:val="0"/>
      <w:suppressLineNumbers w:val="0"/>
      <w:spacing w:before="0" w:beforeAutospacing="0" w:after="0" w:afterAutospacing="0" w:line="360" w:lineRule="auto"/>
      <w:ind w:left="0" w:firstLine="0"/>
      <w:jc w:val="both"/>
    </w:pPr>
    <w:rPr>
      <w:rFonts w:ascii="??" w:hAnsi="??" w:eastAsia="宋体" w:cs="??"/>
      <w:color w:val="000000"/>
      <w:kern w:val="0"/>
      <w:sz w:val="28"/>
      <w:szCs w:val="21"/>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56</Pages>
  <Words>18722</Words>
  <Characters>24285</Characters>
  <TotalTime>7</TotalTime>
  <ScaleCrop>false</ScaleCrop>
  <LinksUpToDate>false</LinksUpToDate>
  <CharactersWithSpaces>24783</CharactersWithSpaces>
  <Application>WPS Office_11.1.0.11691_F1E327BC-269C-435d-A152-05C5408002CA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2023-09-28T13:46:00Z</dcterms:created>
  <dc:creator>Administrator</dc:creator>
  <cp:lastModifiedBy>长江水</cp:lastModifiedBy>
  <dcterms:modified xsi:type="dcterms:W3CDTF">2026-08-24T16:46:47Z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0FC202EC7EC641D1BD68F809127F3F45_13</vt:lpwstr>
  </property>
  <property fmtid="{D5CDD505-2E9C-101B-9397-08002B2CF9AE}" pid="4" name="KSOTemplateDocerSaveRecord">
    <vt:lpwstr>eyJoZGlkIjoiYzM3Zjk2NmQ0NTM1YTFiNjAwMWM0MTY3NmI1NjRlYzUiLCJ1c2VySWQiOiI2Nzk0ODUxODIifQ==</vt:lpwstr>
  </property>
</Properties>
</file>