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7"/>
        <w:spacing w:before="93"/>
        <w:rPr>
          <w:rFonts w:ascii="Times New Roman" w:eastAsia="方正小标宋简体"/>
          <w:kern w:val="2"/>
          <w:sz w:val="72"/>
          <w:szCs w:val="72"/>
        </w:rPr>
      </w:pPr>
      <w:bookmarkStart w:id="0" w:name="_Toc15377193"/>
      <w:bookmarkStart w:id="1" w:name="_Toc15396475"/>
      <w:bookmarkStart w:id="2" w:name="_Toc15377425"/>
      <w:bookmarkStart w:id="3" w:name="_Toc15396597"/>
      <w:bookmarkStart w:id="4" w:name="_Toc15378441"/>
      <w:bookmarkStart w:id="5" w:name="_Toc15306267"/>
    </w:p>
    <w:p>
      <w:pPr>
        <w:pStyle w:val="7"/>
        <w:spacing w:before="93"/>
        <w:rPr>
          <w:rFonts w:ascii="Times New Roman" w:eastAsia="方正小标宋简体"/>
          <w:kern w:val="2"/>
          <w:sz w:val="72"/>
          <w:szCs w:val="72"/>
        </w:rPr>
      </w:pPr>
    </w:p>
    <w:p>
      <w:pPr>
        <w:pStyle w:val="7"/>
        <w:spacing w:before="93"/>
        <w:rPr>
          <w:rFonts w:ascii="Times New Roman" w:eastAsia="方正小标宋简体"/>
          <w:kern w:val="2"/>
          <w:sz w:val="72"/>
          <w:szCs w:val="72"/>
        </w:rPr>
      </w:pPr>
    </w:p>
    <w:p>
      <w:pPr>
        <w:adjustRightInd w:val="0"/>
        <w:snapToGrid w:val="0"/>
        <w:jc w:val="center"/>
        <w:outlineLvl w:val="0"/>
        <w:rPr>
          <w:rFonts w:eastAsia="方正小标宋简体"/>
          <w:sz w:val="48"/>
          <w:szCs w:val="48"/>
        </w:rPr>
      </w:pPr>
      <w:bookmarkStart w:id="6" w:name="_Toc31745"/>
      <w:bookmarkStart w:id="7" w:name="_Toc6266"/>
      <w:r>
        <w:rPr>
          <w:rFonts w:eastAsia="方正小标宋简体"/>
          <w:sz w:val="48"/>
          <w:szCs w:val="48"/>
        </w:rPr>
        <w:t>202</w:t>
      </w:r>
      <w:r>
        <w:rPr>
          <w:rFonts w:hint="eastAsia" w:eastAsia="方正小标宋简体"/>
          <w:sz w:val="48"/>
          <w:szCs w:val="48"/>
        </w:rPr>
        <w:t>4</w:t>
      </w:r>
      <w:r>
        <w:rPr>
          <w:rFonts w:eastAsia="方正小标宋简体"/>
          <w:sz w:val="48"/>
          <w:szCs w:val="48"/>
        </w:rPr>
        <w:t>年度</w:t>
      </w:r>
      <w:bookmarkEnd w:id="6"/>
      <w:bookmarkEnd w:id="7"/>
    </w:p>
    <w:p>
      <w:pPr>
        <w:jc w:val="center"/>
        <w:rPr>
          <w:rFonts w:eastAsia="方正小标宋简体"/>
          <w:sz w:val="48"/>
          <w:szCs w:val="48"/>
        </w:rPr>
      </w:pPr>
      <w:r>
        <w:rPr>
          <w:rFonts w:eastAsia="方正小标宋简体"/>
          <w:sz w:val="48"/>
          <w:szCs w:val="48"/>
        </w:rPr>
        <w:t>四川省阿坝州九寨沟县永和乡人民政府</w:t>
      </w:r>
    </w:p>
    <w:p>
      <w:pPr>
        <w:jc w:val="center"/>
        <w:rPr>
          <w:rFonts w:eastAsia="方正小标宋简体"/>
          <w:sz w:val="48"/>
          <w:szCs w:val="48"/>
        </w:rPr>
        <w:sectPr>
          <w:headerReference r:id="rId4" w:type="first"/>
          <w:footerReference r:id="rId6" w:type="first"/>
          <w:headerReference r:id="rId3" w:type="default"/>
          <w:footerReference r:id="rId5" w:type="default"/>
          <w:pgSz w:w="11906" w:h="16838"/>
          <w:pgMar w:top="1440" w:right="1800" w:bottom="1440" w:left="1800" w:header="851" w:footer="992" w:gutter="0"/>
          <w:pgNumType w:fmt="numberInDash" w:start="1"/>
          <w:cols w:space="425" w:num="1"/>
          <w:titlePg/>
          <w:docGrid w:type="lines" w:linePitch="312" w:charSpace="0"/>
        </w:sectPr>
      </w:pPr>
      <w:r>
        <w:rPr>
          <w:rFonts w:eastAsia="方正小标宋简体"/>
          <w:sz w:val="48"/>
          <w:szCs w:val="48"/>
        </w:rPr>
        <w:t>部门决算</w:t>
      </w:r>
    </w:p>
    <w:bookmarkEnd w:id="0"/>
    <w:bookmarkEnd w:id="1"/>
    <w:bookmarkEnd w:id="2"/>
    <w:bookmarkEnd w:id="3"/>
    <w:bookmarkEnd w:id="4"/>
    <w:bookmarkEnd w:id="5"/>
    <w:p>
      <w:pPr>
        <w:pStyle w:val="7"/>
        <w:spacing w:before="93"/>
        <w:rPr>
          <w:rFonts w:ascii="Times New Roman" w:eastAsia="方正小标宋简体"/>
          <w:kern w:val="2"/>
          <w:sz w:val="44"/>
          <w:szCs w:val="44"/>
        </w:rPr>
      </w:pPr>
      <w:r>
        <w:rPr>
          <w:rFonts w:hint="eastAsia" w:eastAsia="黑体"/>
          <w:sz w:val="48"/>
          <w:szCs w:val="48"/>
        </w:rPr>
        <w:t>目录</w:t>
      </w:r>
    </w:p>
    <w:p>
      <w:pPr>
        <w:widowControl/>
        <w:jc w:val="center"/>
        <w:rPr>
          <w:rFonts w:eastAsia="黑体" w:cstheme="minorBidi"/>
          <w:sz w:val="28"/>
          <w:szCs w:val="28"/>
        </w:rPr>
      </w:pPr>
    </w:p>
    <w:p>
      <w:pPr>
        <w:pStyle w:val="12"/>
        <w:rPr>
          <w:rFonts w:ascii="Times New Roman" w:hAnsi="Times New Roman" w:eastAsia="仿宋_GB2312" w:cs="仿宋_GB2312"/>
          <w:sz w:val="32"/>
          <w:szCs w:val="32"/>
        </w:rPr>
      </w:pPr>
      <w:r>
        <w:rPr>
          <w:rFonts w:hint="eastAsia" w:ascii="Times New Roman" w:hAnsi="Times New Roman" w:eastAsia="仿宋_GB2312" w:cs="仿宋_GB2312"/>
          <w:sz w:val="32"/>
          <w:szCs w:val="32"/>
        </w:rPr>
        <w:t>公开时间：2025年10月16日</w:t>
      </w:r>
    </w:p>
    <w:p>
      <w:pPr/>
    </w:p>
    <w:p>
      <w:pPr>
        <w:pStyle w:val="12"/>
        <w:adjustRightInd w:val="0"/>
        <w:snapToGrid w:val="0"/>
        <w:spacing w:before="0" w:line="560" w:lineRule="exact"/>
        <w:jc w:val="left"/>
        <w:rPr>
          <w:rFonts w:ascii="Times New Roman" w:hAnsi="Times New Roman" w:eastAsia="黑体" w:cs="黑体"/>
          <w:sz w:val="32"/>
          <w:szCs w:val="32"/>
        </w:rPr>
      </w:pPr>
      <w:r>
        <w:rPr>
          <w:rFonts w:hint="eastAsia" w:ascii="Times New Roman" w:hAnsi="Times New Roman" w:eastAsia="黑体" w:cs="黑体"/>
          <w:sz w:val="32"/>
          <w:szCs w:val="32"/>
        </w:rPr>
        <w:t>第一部分 部门概况</w:t>
      </w:r>
    </w:p>
    <w:p>
      <w:pPr>
        <w:pStyle w:val="14"/>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一、部门职责</w:t>
      </w:r>
    </w:p>
    <w:p>
      <w:pPr>
        <w:pStyle w:val="14"/>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二、机构设置</w:t>
      </w:r>
    </w:p>
    <w:p>
      <w:pPr>
        <w:pStyle w:val="12"/>
        <w:adjustRightInd w:val="0"/>
        <w:snapToGrid w:val="0"/>
        <w:spacing w:before="0" w:line="560" w:lineRule="exact"/>
        <w:jc w:val="left"/>
        <w:rPr>
          <w:rFonts w:ascii="Times New Roman" w:hAnsi="Times New Roman" w:eastAsia="黑体" w:cs="黑体"/>
          <w:sz w:val="32"/>
          <w:szCs w:val="32"/>
        </w:rPr>
      </w:pPr>
      <w:r>
        <w:rPr>
          <w:rFonts w:hint="eastAsia" w:ascii="Times New Roman" w:hAnsi="Times New Roman" w:eastAsia="黑体" w:cs="黑体"/>
          <w:sz w:val="32"/>
          <w:szCs w:val="32"/>
        </w:rPr>
        <w:t>第二部分 2024年度部门决算情况说明</w:t>
      </w:r>
    </w:p>
    <w:p>
      <w:pPr>
        <w:pStyle w:val="14"/>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一、收入支出决算总体情况说明</w:t>
      </w:r>
    </w:p>
    <w:p>
      <w:pPr>
        <w:pStyle w:val="14"/>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二、收入决算情况说明</w:t>
      </w:r>
    </w:p>
    <w:p>
      <w:pPr>
        <w:pStyle w:val="14"/>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三、支出决算情况说明</w:t>
      </w:r>
    </w:p>
    <w:p>
      <w:pPr>
        <w:pStyle w:val="14"/>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四、财政拨款收入支出决算总体情况说明</w:t>
      </w:r>
    </w:p>
    <w:p>
      <w:pPr>
        <w:pStyle w:val="14"/>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五、一般公共预算财政拨款支出决算情况说明</w:t>
      </w:r>
    </w:p>
    <w:p>
      <w:pPr>
        <w:pStyle w:val="14"/>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六、一般公共预算财政拨款基本支出决算情况说明</w:t>
      </w:r>
    </w:p>
    <w:p>
      <w:pPr>
        <w:pStyle w:val="14"/>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七、财政拨款“三公”经费支出决算情况说明</w:t>
      </w:r>
    </w:p>
    <w:p>
      <w:pPr>
        <w:pStyle w:val="14"/>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八、政府性基金预算支出决算情况说明</w:t>
      </w:r>
    </w:p>
    <w:p>
      <w:pPr>
        <w:pStyle w:val="14"/>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九、国有资本经营预算支出决算情况说明</w:t>
      </w:r>
    </w:p>
    <w:p>
      <w:pPr>
        <w:pStyle w:val="14"/>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十、其他重要事项的情况说明</w:t>
      </w:r>
    </w:p>
    <w:p>
      <w:pPr>
        <w:pStyle w:val="12"/>
        <w:adjustRightInd w:val="0"/>
        <w:snapToGrid w:val="0"/>
        <w:spacing w:before="0" w:line="560" w:lineRule="exact"/>
        <w:jc w:val="left"/>
        <w:rPr>
          <w:rFonts w:ascii="Times New Roman" w:hAnsi="Times New Roman" w:eastAsia="黑体" w:cs="黑体"/>
          <w:sz w:val="32"/>
          <w:szCs w:val="32"/>
        </w:rPr>
      </w:pPr>
      <w:r>
        <w:rPr>
          <w:rFonts w:hint="eastAsia" w:ascii="Times New Roman" w:hAnsi="Times New Roman" w:eastAsia="黑体" w:cs="黑体"/>
          <w:sz w:val="32"/>
          <w:szCs w:val="32"/>
        </w:rPr>
        <w:t>第三部分 名词解释</w:t>
      </w:r>
    </w:p>
    <w:p>
      <w:pPr>
        <w:pStyle w:val="12"/>
        <w:adjustRightInd w:val="0"/>
        <w:snapToGrid w:val="0"/>
        <w:spacing w:before="0" w:line="560" w:lineRule="exact"/>
        <w:jc w:val="left"/>
        <w:rPr>
          <w:rFonts w:ascii="Times New Roman" w:hAnsi="Times New Roman" w:eastAsia="黑体" w:cs="黑体"/>
          <w:sz w:val="32"/>
          <w:szCs w:val="32"/>
        </w:rPr>
      </w:pPr>
      <w:r>
        <w:rPr>
          <w:rFonts w:hint="eastAsia" w:ascii="Times New Roman" w:hAnsi="Times New Roman" w:eastAsia="黑体" w:cs="黑体"/>
          <w:sz w:val="32"/>
          <w:szCs w:val="32"/>
        </w:rPr>
        <w:t>第四部分 附件</w:t>
      </w:r>
    </w:p>
    <w:p>
      <w:pPr>
        <w:pStyle w:val="12"/>
        <w:adjustRightInd w:val="0"/>
        <w:snapToGrid w:val="0"/>
        <w:spacing w:before="0" w:line="560" w:lineRule="exact"/>
        <w:jc w:val="left"/>
        <w:rPr>
          <w:rFonts w:ascii="Times New Roman" w:hAnsi="Times New Roman" w:eastAsia="黑体" w:cs="黑体"/>
          <w:sz w:val="32"/>
          <w:szCs w:val="32"/>
        </w:rPr>
      </w:pPr>
      <w:r>
        <w:rPr>
          <w:rFonts w:hint="eastAsia" w:ascii="Times New Roman" w:hAnsi="Times New Roman" w:eastAsia="黑体" w:cs="黑体"/>
          <w:sz w:val="32"/>
          <w:szCs w:val="32"/>
        </w:rPr>
        <w:t>第五部分 附表</w:t>
      </w:r>
    </w:p>
    <w:p>
      <w:pPr>
        <w:pStyle w:val="14"/>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一、收入支出决算总表</w:t>
      </w:r>
    </w:p>
    <w:p>
      <w:pPr>
        <w:pStyle w:val="14"/>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二、收入决算表</w:t>
      </w:r>
    </w:p>
    <w:p>
      <w:pPr>
        <w:pStyle w:val="14"/>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三、支出决算表</w:t>
      </w:r>
    </w:p>
    <w:p>
      <w:pPr>
        <w:pStyle w:val="14"/>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四、财政拨款收入支出决算总表</w:t>
      </w:r>
    </w:p>
    <w:p>
      <w:pPr>
        <w:pStyle w:val="14"/>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五、财政拨款支出决算明细表</w:t>
      </w:r>
    </w:p>
    <w:p>
      <w:pPr>
        <w:pStyle w:val="14"/>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六、一般公共预算财政拨款支出决算表</w:t>
      </w:r>
    </w:p>
    <w:p>
      <w:pPr>
        <w:pStyle w:val="14"/>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七、一般公共预算财政拨款支出决算明细表</w:t>
      </w:r>
    </w:p>
    <w:p>
      <w:pPr>
        <w:pStyle w:val="14"/>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八、一般公共预算财政拨款基本支出决算明细表</w:t>
      </w:r>
    </w:p>
    <w:p>
      <w:pPr>
        <w:pStyle w:val="14"/>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九、一般公共预算财政拨款项目支出决算表</w:t>
      </w:r>
    </w:p>
    <w:p>
      <w:pPr>
        <w:pStyle w:val="14"/>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十、政府性基金预算财政拨款收入支出决算表</w:t>
      </w:r>
    </w:p>
    <w:p>
      <w:pPr>
        <w:pStyle w:val="14"/>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十一、国有资本经营预算财政拨款收入支出决算表</w:t>
      </w:r>
    </w:p>
    <w:p>
      <w:pPr>
        <w:pStyle w:val="14"/>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十二、国有资本经营预算财政拨款支出决算表</w:t>
      </w:r>
    </w:p>
    <w:p>
      <w:pPr>
        <w:pStyle w:val="14"/>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十三、财政拨款“三公”经费支出决算表</w:t>
      </w:r>
    </w:p>
    <w:p>
      <w:pPr>
        <w:pStyle w:val="14"/>
        <w:adjustRightInd w:val="0"/>
        <w:snapToGrid w:val="0"/>
        <w:spacing w:line="560" w:lineRule="exact"/>
        <w:ind w:left="0" w:leftChars="0" w:firstLine="643" w:firstLineChars="200"/>
        <w:jc w:val="left"/>
        <w:rPr>
          <w:rFonts w:eastAsia="仿宋_GB2312" w:cs="仿宋_GB2312"/>
          <w:b/>
          <w:bCs/>
          <w:sz w:val="32"/>
          <w:szCs w:val="32"/>
        </w:rPr>
      </w:pPr>
      <w:r>
        <w:rPr>
          <w:rFonts w:hint="eastAsia" w:eastAsia="仿宋_GB2312" w:cs="仿宋_GB2312"/>
          <w:b/>
          <w:bCs/>
          <w:sz w:val="32"/>
          <w:szCs w:val="32"/>
        </w:rPr>
        <w:t>（注：请部门根据实际注明页码）</w:t>
      </w:r>
    </w:p>
    <w:p>
      <w:pPr>
        <w:widowControl/>
        <w:spacing w:line="560" w:lineRule="exact"/>
        <w:jc w:val="left"/>
        <w:rPr>
          <w:rFonts w:eastAsia="仿宋_GB2312" w:cs="仿宋_GB2312"/>
          <w:bCs/>
          <w:kern w:val="44"/>
          <w:sz w:val="32"/>
          <w:szCs w:val="32"/>
        </w:rPr>
      </w:pPr>
      <w:bookmarkStart w:id="8" w:name="_Toc15377196"/>
      <w:bookmarkStart w:id="9" w:name="_Toc15396599"/>
      <w:r>
        <w:rPr>
          <w:rFonts w:hint="eastAsia" w:eastAsia="仿宋_GB2312" w:cs="仿宋_GB2312"/>
          <w:b/>
          <w:sz w:val="32"/>
          <w:szCs w:val="32"/>
        </w:rPr>
        <w:br w:type="page"/>
      </w:r>
    </w:p>
    <w:p>
      <w:pPr>
        <w:pStyle w:val="4"/>
        <w:jc w:val="center"/>
        <w:rPr>
          <w:rStyle w:val="28"/>
          <w:rFonts w:eastAsia="方正小标宋简体" w:cs="方正小标宋简体"/>
          <w:b/>
          <w:bCs w:val="0"/>
        </w:rPr>
      </w:pPr>
      <w:r>
        <w:rPr>
          <w:rFonts w:hint="eastAsia" w:eastAsia="方正小标宋简体" w:cs="方正小标宋简体"/>
          <w:b w:val="0"/>
        </w:rPr>
        <w:t xml:space="preserve">第一部分  </w:t>
      </w:r>
      <w:r>
        <w:rPr>
          <w:rStyle w:val="28"/>
          <w:rFonts w:hint="eastAsia" w:eastAsia="方正小标宋简体" w:cs="方正小标宋简体"/>
          <w:b w:val="0"/>
          <w:bCs w:val="0"/>
        </w:rPr>
        <w:t>部门概况</w:t>
      </w:r>
      <w:bookmarkEnd w:id="8"/>
      <w:bookmarkEnd w:id="9"/>
    </w:p>
    <w:p>
      <w:pPr>
        <w:widowControl/>
        <w:jc w:val="left"/>
        <w:rPr>
          <w:rFonts w:eastAsia="黑体"/>
          <w:sz w:val="32"/>
          <w:szCs w:val="32"/>
        </w:rPr>
      </w:pPr>
    </w:p>
    <w:p>
      <w:pPr>
        <w:pStyle w:val="5"/>
        <w:numPr>
          <w:ilvl w:val="0"/>
          <w:numId w:val="1"/>
        </w:numPr>
        <w:rPr>
          <w:rFonts w:ascii="Times New Roman" w:hAnsi="Times New Roman" w:eastAsia="黑体"/>
          <w:b w:val="0"/>
        </w:rPr>
      </w:pPr>
      <w:r>
        <w:rPr>
          <w:rFonts w:hint="eastAsia" w:ascii="Times New Roman" w:hAnsi="Times New Roman" w:eastAsia="黑体"/>
          <w:b w:val="0"/>
        </w:rPr>
        <w:t>部门职责</w:t>
      </w:r>
    </w:p>
    <w:p>
      <w:pPr>
        <w:widowControl/>
        <w:shd w:val="clear" w:color="auto" w:fill="FBFBFB"/>
        <w:spacing w:line="560" w:lineRule="exact"/>
        <w:ind w:firstLine="640" w:firstLineChars="200"/>
        <w:jc w:val="left"/>
        <w:rPr>
          <w:rFonts w:eastAsia="楷体"/>
          <w:color w:val="333333"/>
          <w:sz w:val="32"/>
          <w:szCs w:val="32"/>
        </w:rPr>
      </w:pPr>
      <w:r>
        <w:rPr>
          <w:rFonts w:eastAsia="楷体"/>
          <w:color w:val="000000"/>
          <w:kern w:val="0"/>
          <w:sz w:val="32"/>
          <w:szCs w:val="32"/>
          <w:shd w:val="clear" w:color="auto" w:fill="FBFBFB"/>
        </w:rPr>
        <w:t>（一）乡党委主要职责</w:t>
      </w:r>
    </w:p>
    <w:p>
      <w:pPr>
        <w:widowControl/>
        <w:shd w:val="clear" w:color="auto" w:fill="FBFBFB"/>
        <w:spacing w:line="560" w:lineRule="exact"/>
        <w:ind w:firstLine="640" w:firstLineChars="200"/>
        <w:jc w:val="left"/>
        <w:rPr>
          <w:rFonts w:eastAsia="仿宋_GB2312"/>
          <w:sz w:val="32"/>
          <w:szCs w:val="32"/>
          <w:shd w:val="clear" w:color="auto" w:fill="FFFFFF"/>
        </w:rPr>
      </w:pPr>
      <w:r>
        <w:rPr>
          <w:rFonts w:eastAsia="仿宋_GB2312"/>
          <w:sz w:val="32"/>
          <w:szCs w:val="32"/>
          <w:shd w:val="clear" w:color="auto" w:fill="FFFFFF"/>
        </w:rPr>
        <w:t>积极宣传、贯彻执行党的路线、方针、政策，负责领导本地区的工作，支持和保护行政组织、经济组织和群众自治组织充分行使职权；领导制定本乡的经济和社会发展规划并组织协调督促各部门贯彻实施，切实保证各项计划、目标的完成；负责乡领导班子的自身建设和对干部进行选拔、培养、使用、考核、监督工作；负责抓好党员的发展、教育、管理；严肃党纪，端正党风，抓好党的组织建设、作风建设、制度建设和思想建设；加强对村支部、村民委员会的领导、监督和检查工作，充分发挥他们的作用；负责本地区的社会治安综合治理、精神文明建设、廉政工作和政治思想工作；负责本地区社会主义民主法制建设；负责对乡共青团、妇联和民兵工作的领导；协助管理上级有关部门驻乡干部；完成县委交办的其它工作。</w:t>
      </w:r>
    </w:p>
    <w:p>
      <w:pPr>
        <w:widowControl/>
        <w:shd w:val="clear" w:color="auto" w:fill="FBFBFB"/>
        <w:spacing w:line="560" w:lineRule="exact"/>
        <w:ind w:firstLine="640" w:firstLineChars="200"/>
        <w:jc w:val="left"/>
        <w:rPr>
          <w:rFonts w:eastAsia="楷体"/>
          <w:color w:val="000000"/>
          <w:kern w:val="0"/>
          <w:sz w:val="32"/>
          <w:szCs w:val="32"/>
          <w:shd w:val="clear" w:color="auto" w:fill="FBFBFB"/>
        </w:rPr>
      </w:pPr>
      <w:r>
        <w:rPr>
          <w:rFonts w:eastAsia="楷体"/>
          <w:color w:val="000000"/>
          <w:kern w:val="0"/>
          <w:sz w:val="32"/>
          <w:szCs w:val="32"/>
          <w:shd w:val="clear" w:color="auto" w:fill="FBFBFB"/>
        </w:rPr>
        <w:t>（二）乡人大主席团主要职责</w:t>
      </w:r>
    </w:p>
    <w:p>
      <w:pPr>
        <w:widowControl/>
        <w:shd w:val="clear" w:color="auto" w:fill="FBFBFB"/>
        <w:spacing w:line="560" w:lineRule="exact"/>
        <w:ind w:firstLine="640" w:firstLineChars="200"/>
        <w:jc w:val="left"/>
        <w:rPr>
          <w:rFonts w:eastAsia="仿宋_GB2312"/>
          <w:sz w:val="32"/>
          <w:szCs w:val="32"/>
          <w:shd w:val="clear" w:color="auto" w:fill="FFFFFF"/>
        </w:rPr>
      </w:pPr>
      <w:r>
        <w:rPr>
          <w:rFonts w:eastAsia="仿宋_GB2312"/>
          <w:sz w:val="32"/>
          <w:szCs w:val="32"/>
          <w:shd w:val="clear" w:color="auto" w:fill="FFFFFF"/>
        </w:rPr>
        <w:t>检查、督促宪法、法律、法规及本级和上级人民代表大会决议、决定在本乡遵守、执行；在职权范围内通过和发布决议；健全和完善乡人民代表大会制度，使人大工作逐步实现制度化、规范化、法制化；充分行使乡人民代表大会的职权，听取和审议本级政府社会经济工作情况的报告，并监督本级人民政府工作；决定本行政区域内的经济、文化、公共事业的建设计划；负责组织人大代表开展对乡政府的评议，检查监督本级政府及相关单位办理本级人民代表提出的建议、批评和意见；受理个别职务、人民代表的辞职和任免；主持选举人民代表，决定召开人民代表大会；完成本级人民代表大会和上级人大交办的其它工作。</w:t>
      </w:r>
    </w:p>
    <w:p>
      <w:pPr>
        <w:widowControl/>
        <w:shd w:val="clear" w:color="auto" w:fill="FBFBFB"/>
        <w:spacing w:line="560" w:lineRule="exact"/>
        <w:ind w:firstLine="640" w:firstLineChars="200"/>
        <w:jc w:val="left"/>
        <w:rPr>
          <w:rFonts w:eastAsia="楷体"/>
          <w:color w:val="000000"/>
          <w:kern w:val="0"/>
          <w:sz w:val="32"/>
          <w:szCs w:val="32"/>
          <w:shd w:val="clear" w:color="auto" w:fill="FBFBFB"/>
        </w:rPr>
      </w:pPr>
      <w:r>
        <w:rPr>
          <w:rFonts w:eastAsia="楷体"/>
          <w:color w:val="000000"/>
          <w:kern w:val="0"/>
          <w:sz w:val="32"/>
          <w:szCs w:val="32"/>
          <w:shd w:val="clear" w:color="auto" w:fill="FBFBFB"/>
        </w:rPr>
        <w:t>（三）乡政府主要职责</w:t>
      </w:r>
    </w:p>
    <w:p>
      <w:pPr>
        <w:widowControl/>
        <w:shd w:val="clear" w:color="auto" w:fill="FBFBFB"/>
        <w:spacing w:line="560" w:lineRule="exact"/>
        <w:ind w:firstLine="640" w:firstLineChars="200"/>
        <w:jc w:val="left"/>
        <w:rPr>
          <w:rFonts w:eastAsia="仿宋_GB2312"/>
          <w:sz w:val="32"/>
          <w:szCs w:val="32"/>
          <w:shd w:val="clear" w:color="auto" w:fill="FFFFFF"/>
        </w:rPr>
      </w:pPr>
      <w:r>
        <w:rPr>
          <w:rFonts w:eastAsia="仿宋_GB2312"/>
          <w:sz w:val="32"/>
          <w:szCs w:val="32"/>
          <w:shd w:val="clear" w:color="auto" w:fill="FFFFFF"/>
        </w:rPr>
        <w:t>执行上级和本级党委、人民代表大会的决议、决定及命令，执行本行政区域内的国民经济和社会发展计划；认真宣传贯彻党的路线、方针、政策和国家的法律法规，稳定农村基本经济制度；坚持依法行政，推进政务公开，加强对村民委员会的指导，提高、培育村民委员会自治能力；加强民政、教育、科技、文化、卫生、计划生育、安全生产、劳动保障、国土资源的保护利用和乡村规划建设的社会管理；保护社会主义的全民所有的财产和劳动群众集体所有的财产，保护公民私人所有的合法财产，维护社会秩序，保障公民的人身权利、民主权利和其它权利；保护各种经济组织的合法权益；妥善处理本行政区域内的民族宗教事务，保障少数民族的权利和尊重少数民族的风俗习惯；保障宪法和法律赋予妇女的男女平等，同工同酬和婚姻自由等各种权利；办理上级人民政府交办的其它事项。</w:t>
      </w:r>
    </w:p>
    <w:p>
      <w:pPr>
        <w:widowControl/>
        <w:shd w:val="clear" w:color="auto" w:fill="FBFBFB"/>
        <w:spacing w:line="560" w:lineRule="exact"/>
        <w:ind w:firstLine="640" w:firstLineChars="200"/>
        <w:jc w:val="left"/>
        <w:rPr>
          <w:rFonts w:eastAsia="仿宋"/>
          <w:color w:val="333333"/>
          <w:sz w:val="32"/>
          <w:szCs w:val="32"/>
        </w:rPr>
      </w:pPr>
      <w:r>
        <w:rPr>
          <w:rFonts w:eastAsia="楷体"/>
          <w:color w:val="000000"/>
          <w:kern w:val="0"/>
          <w:sz w:val="32"/>
          <w:szCs w:val="32"/>
          <w:shd w:val="clear" w:color="auto" w:fill="FBFBFB"/>
        </w:rPr>
        <w:t>（四）乡纪委主要职责</w:t>
      </w:r>
    </w:p>
    <w:p>
      <w:pPr>
        <w:widowControl/>
        <w:shd w:val="clear" w:color="auto" w:fill="FBFBFB"/>
        <w:spacing w:line="560" w:lineRule="exact"/>
        <w:ind w:firstLine="640" w:firstLineChars="200"/>
        <w:jc w:val="left"/>
        <w:rPr>
          <w:rFonts w:eastAsia="仿宋_GB2312"/>
          <w:sz w:val="32"/>
          <w:szCs w:val="32"/>
          <w:shd w:val="clear" w:color="auto" w:fill="FFFFFF"/>
        </w:rPr>
      </w:pPr>
      <w:r>
        <w:rPr>
          <w:rFonts w:eastAsia="仿宋_GB2312"/>
          <w:sz w:val="32"/>
          <w:szCs w:val="32"/>
          <w:shd w:val="clear" w:color="auto" w:fill="FFFFFF"/>
        </w:rPr>
        <w:t>协助党委对全乡党员干部进行党性、党纪、党风和清正廉洁教育，负责对党风廉政工作提出意见、制定措施、监督执行；检查、处理党员干部贯彻执行党的路线、方针、政策、决议情况和违纪案件，受理党员干部的申诉和群众对党员干部的检举、控告，组织实施全乡领导干部廉洁自律工作，对选拔任用党政领导干部工作实行检查监督；完成党委和上级纪委、监察局交办的其它工作。</w:t>
      </w:r>
    </w:p>
    <w:p>
      <w:pPr>
        <w:widowControl/>
        <w:shd w:val="clear" w:color="auto" w:fill="FBFBFB"/>
        <w:spacing w:line="560" w:lineRule="exact"/>
        <w:ind w:firstLine="640" w:firstLineChars="200"/>
        <w:jc w:val="left"/>
        <w:rPr>
          <w:rFonts w:eastAsia="楷体"/>
          <w:color w:val="000000"/>
          <w:kern w:val="0"/>
          <w:sz w:val="32"/>
          <w:szCs w:val="32"/>
          <w:shd w:val="clear" w:color="auto" w:fill="FBFBFB"/>
        </w:rPr>
      </w:pPr>
      <w:r>
        <w:rPr>
          <w:rFonts w:eastAsia="楷体"/>
          <w:color w:val="000000"/>
          <w:kern w:val="0"/>
          <w:sz w:val="32"/>
          <w:szCs w:val="32"/>
          <w:shd w:val="clear" w:color="auto" w:fill="FBFBFB"/>
        </w:rPr>
        <w:t>（五）乡人民武装部主要职责</w:t>
      </w:r>
    </w:p>
    <w:p>
      <w:pPr>
        <w:pStyle w:val="27"/>
        <w:ind w:firstLine="640"/>
      </w:pPr>
      <w:r>
        <w:rPr>
          <w:rFonts w:eastAsia="仿宋_GB2312"/>
          <w:sz w:val="32"/>
          <w:szCs w:val="32"/>
          <w:shd w:val="clear" w:color="auto" w:fill="FFFFFF"/>
        </w:rPr>
        <w:t>贯彻上级关于民兵预备役工作的方针、政策、指导和规定；负责民兵的组织建设和武器装备管理；负责民兵预备役人员的政治教育，落实民兵参训人员；负责组织并带领民兵完成战备、治安执勤任务；负责民兵预备役人员的登记、统计工作；负责征兵工作；组织带领民兵参加两个文明建设；协助有关部门搞好拥军优属工作；战时负责组织动员民兵参军参战，支援前线，保卫后方等工作；负责抢险救灾工作以及上级临时交办的其他工作。</w:t>
      </w:r>
    </w:p>
    <w:p>
      <w:pPr>
        <w:pStyle w:val="5"/>
        <w:numPr>
          <w:ilvl w:val="0"/>
          <w:numId w:val="1"/>
        </w:numPr>
        <w:rPr>
          <w:rStyle w:val="29"/>
          <w:rFonts w:ascii="Times New Roman" w:hAnsi="Times New Roman" w:eastAsia="黑体"/>
          <w:b w:val="0"/>
          <w:bCs w:val="0"/>
        </w:rPr>
      </w:pPr>
      <w:bookmarkStart w:id="10" w:name="_Toc15396601"/>
      <w:bookmarkStart w:id="11" w:name="_Toc15377200"/>
      <w:r>
        <w:rPr>
          <w:rFonts w:hint="eastAsia" w:ascii="Times New Roman" w:hAnsi="Times New Roman" w:eastAsia="黑体"/>
          <w:b w:val="0"/>
        </w:rPr>
        <w:t>机</w:t>
      </w:r>
      <w:r>
        <w:rPr>
          <w:rStyle w:val="29"/>
          <w:rFonts w:hint="eastAsia" w:ascii="Times New Roman" w:hAnsi="Times New Roman" w:eastAsia="黑体"/>
          <w:b w:val="0"/>
          <w:bCs w:val="0"/>
        </w:rPr>
        <w:t>构设置</w:t>
      </w:r>
      <w:bookmarkEnd w:id="10"/>
      <w:bookmarkEnd w:id="11"/>
    </w:p>
    <w:p>
      <w:pPr>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永和乡政府单位为行政单位，内设机构数6个，财政供养人员行政编制21名，202</w:t>
      </w:r>
      <w:r>
        <w:rPr>
          <w:rFonts w:hint="eastAsia" w:ascii="仿宋_GB2312" w:hAnsi="仿宋_GB2312" w:eastAsia="仿宋_GB2312" w:cs="仿宋_GB2312"/>
          <w:sz w:val="32"/>
          <w:szCs w:val="32"/>
        </w:rPr>
        <w:t>4</w:t>
      </w:r>
      <w:r>
        <w:rPr>
          <w:rFonts w:ascii="仿宋_GB2312" w:hAnsi="仿宋_GB2312" w:eastAsia="仿宋_GB2312" w:cs="仿宋_GB2312"/>
          <w:sz w:val="32"/>
          <w:szCs w:val="32"/>
        </w:rPr>
        <w:t>年底实际财政供养行政</w:t>
      </w:r>
      <w:r>
        <w:rPr>
          <w:rFonts w:hint="eastAsia" w:ascii="仿宋_GB2312" w:hAnsi="仿宋_GB2312" w:eastAsia="仿宋_GB2312" w:cs="仿宋_GB2312"/>
          <w:sz w:val="32"/>
          <w:szCs w:val="32"/>
        </w:rPr>
        <w:t>20</w:t>
      </w:r>
      <w:r>
        <w:rPr>
          <w:rFonts w:ascii="仿宋_GB2312" w:hAnsi="仿宋_GB2312" w:eastAsia="仿宋_GB2312" w:cs="仿宋_GB2312"/>
          <w:sz w:val="32"/>
          <w:szCs w:val="32"/>
        </w:rPr>
        <w:t>人</w:t>
      </w:r>
      <w:r>
        <w:rPr>
          <w:rFonts w:hint="eastAsia" w:ascii="仿宋_GB2312" w:hAnsi="仿宋_GB2312" w:eastAsia="仿宋_GB2312" w:cs="仿宋_GB2312"/>
          <w:sz w:val="32"/>
          <w:szCs w:val="32"/>
        </w:rPr>
        <w:t>。</w:t>
      </w:r>
    </w:p>
    <w:p>
      <w:pPr>
        <w:pStyle w:val="27"/>
      </w:pPr>
    </w:p>
    <w:p>
      <w:pPr>
        <w:pStyle w:val="4"/>
        <w:jc w:val="center"/>
        <w:rPr>
          <w:rFonts w:eastAsia="方正小标宋简体" w:cs="方正小标宋简体"/>
          <w:b w:val="0"/>
        </w:rPr>
      </w:pPr>
      <w:bookmarkStart w:id="12" w:name="_Toc15377204"/>
      <w:bookmarkStart w:id="13" w:name="_Toc15396602"/>
      <w:r>
        <w:rPr>
          <w:rFonts w:hint="eastAsia" w:eastAsia="方正小标宋简体" w:cs="方正小标宋简体"/>
          <w:b w:val="0"/>
        </w:rPr>
        <w:t>第二部分  2024年度部门决算情况说明</w:t>
      </w:r>
      <w:bookmarkEnd w:id="12"/>
      <w:bookmarkEnd w:id="13"/>
    </w:p>
    <w:p>
      <w:pPr/>
    </w:p>
    <w:p>
      <w:pPr>
        <w:pStyle w:val="27"/>
        <w:spacing w:line="600" w:lineRule="exact"/>
        <w:ind w:firstLine="640"/>
        <w:outlineLvl w:val="1"/>
        <w:rPr>
          <w:rStyle w:val="29"/>
          <w:rFonts w:ascii="Times New Roman" w:hAnsi="Times New Roman" w:eastAsia="黑体"/>
          <w:b w:val="0"/>
        </w:rPr>
      </w:pPr>
      <w:bookmarkStart w:id="14" w:name="_Toc15377205"/>
      <w:bookmarkStart w:id="15" w:name="_Toc15396603"/>
      <w:r>
        <w:rPr>
          <w:rFonts w:hint="eastAsia" w:eastAsia="黑体"/>
          <w:sz w:val="32"/>
          <w:szCs w:val="32"/>
        </w:rPr>
        <w:t>一、收</w:t>
      </w:r>
      <w:r>
        <w:rPr>
          <w:rStyle w:val="29"/>
          <w:rFonts w:hint="eastAsia" w:ascii="Times New Roman" w:hAnsi="Times New Roman" w:eastAsia="黑体"/>
          <w:b w:val="0"/>
        </w:rPr>
        <w:t>入支出决算总体情况说明</w:t>
      </w:r>
      <w:bookmarkEnd w:id="14"/>
      <w:bookmarkEnd w:id="15"/>
    </w:p>
    <w:p>
      <w:pPr>
        <w:pStyle w:val="27"/>
        <w:spacing w:line="600" w:lineRule="exact"/>
        <w:ind w:firstLine="640"/>
        <w:outlineLvl w:val="1"/>
        <w:rPr>
          <w:rFonts w:eastAsia="仿宋_GB2312" w:cs="仿宋_GB2312"/>
          <w:sz w:val="32"/>
          <w:szCs w:val="32"/>
        </w:rPr>
      </w:pPr>
      <w:r>
        <w:rPr>
          <w:rFonts w:hint="eastAsia" w:eastAsia="仿宋_GB2312" w:cs="仿宋_GB2312"/>
          <w:sz w:val="32"/>
          <w:szCs w:val="32"/>
        </w:rPr>
        <w:t>2024年度收入、支出总计均为</w:t>
      </w:r>
      <w:r>
        <w:rPr>
          <w:rFonts w:hint="eastAsia" w:ascii="仿宋_GB2312" w:hAnsi="仿宋_GB2312" w:eastAsia="仿宋_GB2312" w:cs="仿宋_GB2312"/>
          <w:sz w:val="32"/>
          <w:szCs w:val="32"/>
        </w:rPr>
        <w:t>1611.05</w:t>
      </w:r>
      <w:r>
        <w:rPr>
          <w:rFonts w:hint="eastAsia" w:eastAsia="仿宋_GB2312" w:cs="仿宋_GB2312"/>
          <w:sz w:val="32"/>
          <w:szCs w:val="32"/>
        </w:rPr>
        <w:t>万元。与2023年度相比，收入、支出总计各减少323.71万元，下降16.73%。主要变动原因是项目减少、人员变动。</w:t>
      </w:r>
    </w:p>
    <w:p>
      <w:pPr>
        <w:ind w:firstLine="640" w:firstLineChars="200"/>
        <w:rPr>
          <w:rFonts w:eastAsia="仿宋_GB2312" w:cs="仿宋_GB2312"/>
          <w:sz w:val="32"/>
          <w:szCs w:val="32"/>
        </w:rPr>
      </w:pPr>
      <w:r>
        <w:rPr>
          <w:rFonts w:eastAsia="仿宋_GB2312" w:cs="仿宋_GB2312"/>
          <w:sz w:val="32"/>
          <w:szCs w:val="32"/>
        </w:rPr>
        <w:drawing>
          <wp:inline distT="0" distB="0" distL="0" distR="0">
            <wp:extent cx="5274310" cy="3076575"/>
            <wp:effectExtent l="0" t="0" r="21590" b="9525"/>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Pr>
          <w:rFonts w:hint="eastAsia" w:eastAsia="仿宋_GB2312" w:cs="仿宋_GB2312"/>
          <w:sz w:val="32"/>
          <w:szCs w:val="32"/>
        </w:rPr>
        <w:t>（图1：收入、支出决算总计变动情况图）（柱状图）</w:t>
      </w:r>
    </w:p>
    <w:p>
      <w:pPr>
        <w:ind w:firstLine="640" w:firstLineChars="200"/>
        <w:rPr>
          <w:rFonts w:eastAsia="仿宋_GB2312" w:cs="仿宋_GB2312"/>
          <w:sz w:val="32"/>
          <w:szCs w:val="32"/>
        </w:rPr>
      </w:pPr>
    </w:p>
    <w:p>
      <w:pPr>
        <w:pStyle w:val="27"/>
        <w:spacing w:line="600" w:lineRule="exact"/>
        <w:ind w:firstLine="640"/>
        <w:outlineLvl w:val="1"/>
        <w:rPr>
          <w:rFonts w:eastAsia="黑体"/>
          <w:sz w:val="32"/>
          <w:szCs w:val="32"/>
        </w:rPr>
      </w:pPr>
      <w:bookmarkStart w:id="16" w:name="_Toc15377206"/>
      <w:bookmarkStart w:id="17" w:name="_Toc15396604"/>
      <w:r>
        <w:rPr>
          <w:rFonts w:hint="eastAsia" w:eastAsia="黑体"/>
          <w:sz w:val="32"/>
          <w:szCs w:val="32"/>
        </w:rPr>
        <w:t>二、收入决算情况说明</w:t>
      </w:r>
      <w:bookmarkEnd w:id="16"/>
      <w:bookmarkEnd w:id="17"/>
    </w:p>
    <w:p>
      <w:pPr>
        <w:pStyle w:val="27"/>
        <w:spacing w:line="600" w:lineRule="exact"/>
        <w:ind w:firstLine="640"/>
        <w:jc w:val="left"/>
        <w:outlineLvl w:val="1"/>
        <w:rPr>
          <w:rFonts w:eastAsia="仿宋_GB2312" w:cs="仿宋_GB2312"/>
          <w:b/>
          <w:bCs/>
          <w:sz w:val="32"/>
          <w:szCs w:val="32"/>
        </w:rPr>
      </w:pPr>
      <w:r>
        <w:rPr>
          <w:rFonts w:hint="eastAsia" w:ascii="仿宋_GB2312" w:hAnsi="仿宋_GB2312" w:eastAsia="仿宋_GB2312" w:cs="仿宋_GB2312"/>
          <w:sz w:val="32"/>
          <w:szCs w:val="32"/>
        </w:rPr>
        <w:t>2024年度本年收入合计1533.6万元，其中：一般公共预算财政拨款收入1461.84万元，占95.32%；政府性基金预算财政拨款收入71.76万元，占4.67%；国有资本经营预算财政拨款收入0万元，占0%；上级补助收入0万元，占0%；事业收入0万元，占0%；经营收入0万元，占0%；附属单位上缴收入0万元，占0%；其他收入0万元，占0%。</w:t>
      </w:r>
      <w:r>
        <w:rPr>
          <w:rFonts w:hint="eastAsia" w:eastAsia="仿宋_GB2312" w:cs="仿宋_GB2312"/>
          <w:b/>
          <w:bCs/>
          <w:sz w:val="32"/>
          <w:szCs w:val="32"/>
        </w:rPr>
        <w:t>（注：仅罗列本部门涉及的收入）</w:t>
      </w:r>
    </w:p>
    <w:p>
      <w:pPr>
        <w:pStyle w:val="27"/>
        <w:spacing w:line="600" w:lineRule="exact"/>
        <w:ind w:firstLine="643"/>
        <w:jc w:val="left"/>
        <w:outlineLvl w:val="1"/>
        <w:rPr>
          <w:rFonts w:eastAsia="仿宋_GB2312" w:cs="仿宋_GB2312"/>
          <w:b/>
          <w:bCs/>
          <w:sz w:val="32"/>
          <w:szCs w:val="32"/>
        </w:rPr>
      </w:pPr>
      <w:r>
        <w:drawing>
          <wp:anchor distT="0" distB="0" distL="114300" distR="114300" simplePos="0" relativeHeight="251658240" behindDoc="0" locked="0" layoutInCell="1" allowOverlap="1">
            <wp:simplePos x="0" y="0"/>
            <wp:positionH relativeFrom="column">
              <wp:posOffset>81280</wp:posOffset>
            </wp:positionH>
            <wp:positionV relativeFrom="paragraph">
              <wp:posOffset>344805</wp:posOffset>
            </wp:positionV>
            <wp:extent cx="5012055" cy="3051810"/>
            <wp:effectExtent l="4445" t="4445" r="12700" b="10795"/>
            <wp:wrapNone/>
            <wp:docPr id="2"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pPr>
        <w:pStyle w:val="27"/>
        <w:spacing w:line="600" w:lineRule="exact"/>
        <w:ind w:firstLine="643"/>
        <w:jc w:val="left"/>
        <w:outlineLvl w:val="1"/>
        <w:rPr>
          <w:rFonts w:eastAsia="仿宋_GB2312" w:cs="仿宋_GB2312"/>
          <w:b/>
          <w:bCs/>
          <w:sz w:val="32"/>
          <w:szCs w:val="32"/>
        </w:rPr>
      </w:pPr>
    </w:p>
    <w:p>
      <w:pPr>
        <w:pStyle w:val="27"/>
        <w:spacing w:line="600" w:lineRule="exact"/>
        <w:ind w:firstLine="643"/>
        <w:jc w:val="left"/>
        <w:outlineLvl w:val="1"/>
        <w:rPr>
          <w:rFonts w:eastAsia="仿宋_GB2312" w:cs="仿宋_GB2312"/>
          <w:b/>
          <w:bCs/>
          <w:sz w:val="32"/>
          <w:szCs w:val="32"/>
        </w:rPr>
      </w:pPr>
    </w:p>
    <w:p>
      <w:pPr>
        <w:pStyle w:val="27"/>
        <w:spacing w:line="600" w:lineRule="exact"/>
        <w:ind w:firstLine="643"/>
        <w:jc w:val="left"/>
        <w:outlineLvl w:val="1"/>
        <w:rPr>
          <w:rFonts w:eastAsia="仿宋_GB2312" w:cs="仿宋_GB2312"/>
          <w:b/>
          <w:bCs/>
          <w:sz w:val="32"/>
          <w:szCs w:val="32"/>
        </w:rPr>
      </w:pPr>
    </w:p>
    <w:p>
      <w:pPr>
        <w:pStyle w:val="27"/>
        <w:spacing w:line="600" w:lineRule="exact"/>
        <w:ind w:firstLine="643"/>
        <w:jc w:val="left"/>
        <w:outlineLvl w:val="1"/>
        <w:rPr>
          <w:rFonts w:eastAsia="仿宋_GB2312" w:cs="仿宋_GB2312"/>
          <w:b/>
          <w:bCs/>
          <w:sz w:val="32"/>
          <w:szCs w:val="32"/>
        </w:rPr>
      </w:pPr>
    </w:p>
    <w:p>
      <w:pPr>
        <w:pStyle w:val="27"/>
        <w:spacing w:line="600" w:lineRule="exact"/>
        <w:ind w:firstLine="643"/>
        <w:jc w:val="left"/>
        <w:outlineLvl w:val="1"/>
        <w:rPr>
          <w:rFonts w:eastAsia="仿宋_GB2312" w:cs="仿宋_GB2312"/>
          <w:b/>
          <w:bCs/>
          <w:sz w:val="32"/>
          <w:szCs w:val="32"/>
        </w:rPr>
      </w:pPr>
    </w:p>
    <w:p>
      <w:pPr>
        <w:pStyle w:val="27"/>
        <w:spacing w:line="600" w:lineRule="exact"/>
        <w:ind w:firstLine="643"/>
        <w:jc w:val="left"/>
        <w:outlineLvl w:val="1"/>
        <w:rPr>
          <w:rFonts w:eastAsia="仿宋_GB2312" w:cs="仿宋_GB2312"/>
          <w:b/>
          <w:bCs/>
          <w:sz w:val="32"/>
          <w:szCs w:val="32"/>
        </w:rPr>
      </w:pPr>
    </w:p>
    <w:p>
      <w:pPr>
        <w:pStyle w:val="27"/>
        <w:spacing w:line="600" w:lineRule="exact"/>
        <w:ind w:firstLine="643"/>
        <w:jc w:val="left"/>
        <w:outlineLvl w:val="1"/>
        <w:rPr>
          <w:rFonts w:eastAsia="仿宋_GB2312" w:cs="仿宋_GB2312"/>
          <w:b/>
          <w:bCs/>
          <w:sz w:val="32"/>
          <w:szCs w:val="32"/>
        </w:rPr>
      </w:pPr>
    </w:p>
    <w:p>
      <w:pPr>
        <w:pStyle w:val="27"/>
        <w:spacing w:line="600" w:lineRule="exact"/>
        <w:ind w:left="0" w:leftChars="0" w:firstLine="0" w:firstLineChars="0"/>
        <w:jc w:val="left"/>
        <w:outlineLvl w:val="1"/>
        <w:rPr>
          <w:rFonts w:hint="eastAsia" w:eastAsia="仿宋_GB2312" w:cs="仿宋_GB2312"/>
          <w:b/>
          <w:bCs/>
          <w:sz w:val="32"/>
          <w:szCs w:val="32"/>
          <w:lang w:eastAsia="zh-CN"/>
        </w:rPr>
      </w:pPr>
    </w:p>
    <w:p>
      <w:pPr>
        <w:ind w:firstLine="800" w:firstLineChars="250"/>
        <w:rPr>
          <w:rFonts w:eastAsia="仿宋_GB2312" w:cs="仿宋_GB2312"/>
          <w:sz w:val="32"/>
          <w:szCs w:val="32"/>
        </w:rPr>
      </w:pPr>
      <w:r>
        <w:rPr>
          <w:rFonts w:hint="eastAsia" w:eastAsia="仿宋_GB2312" w:cs="仿宋_GB2312"/>
          <w:sz w:val="32"/>
          <w:szCs w:val="32"/>
        </w:rPr>
        <w:t>（图2：收入决算结构图）（饼状图）</w:t>
      </w:r>
    </w:p>
    <w:p>
      <w:pPr>
        <w:ind w:firstLine="800" w:firstLineChars="250"/>
        <w:rPr>
          <w:rFonts w:eastAsia="仿宋_GB2312" w:cs="仿宋_GB2312"/>
          <w:sz w:val="32"/>
          <w:szCs w:val="32"/>
        </w:rPr>
      </w:pPr>
    </w:p>
    <w:p>
      <w:pPr>
        <w:pStyle w:val="27"/>
        <w:spacing w:line="600" w:lineRule="exact"/>
        <w:ind w:firstLine="640"/>
        <w:outlineLvl w:val="1"/>
        <w:rPr>
          <w:rStyle w:val="29"/>
          <w:rFonts w:ascii="Times New Roman" w:hAnsi="Times New Roman" w:eastAsia="黑体"/>
          <w:b w:val="0"/>
        </w:rPr>
      </w:pPr>
      <w:bookmarkStart w:id="18" w:name="_Toc15396605"/>
      <w:bookmarkStart w:id="19" w:name="_Toc15377207"/>
      <w:r>
        <w:rPr>
          <w:rFonts w:hint="eastAsia" w:eastAsia="黑体"/>
          <w:sz w:val="32"/>
          <w:szCs w:val="32"/>
        </w:rPr>
        <w:t>三、支</w:t>
      </w:r>
      <w:r>
        <w:rPr>
          <w:rStyle w:val="29"/>
          <w:rFonts w:hint="eastAsia" w:ascii="Times New Roman" w:hAnsi="Times New Roman" w:eastAsia="黑体"/>
          <w:b w:val="0"/>
        </w:rPr>
        <w:t>出决算情况说明</w:t>
      </w:r>
      <w:bookmarkEnd w:id="18"/>
      <w:bookmarkEnd w:id="19"/>
    </w:p>
    <w:p>
      <w:pPr>
        <w:pStyle w:val="27"/>
        <w:spacing w:line="600" w:lineRule="exact"/>
        <w:ind w:firstLine="640"/>
        <w:jc w:val="left"/>
        <w:outlineLvl w:val="1"/>
        <w:rPr>
          <w:rFonts w:eastAsia="仿宋_GB2312" w:cs="仿宋_GB2312"/>
          <w:b/>
          <w:bCs/>
          <w:sz w:val="32"/>
          <w:szCs w:val="32"/>
        </w:rPr>
      </w:pPr>
      <w:r>
        <w:rPr>
          <w:rFonts w:hint="eastAsia" w:ascii="仿宋_GB2312" w:hAnsi="仿宋_GB2312" w:eastAsia="仿宋_GB2312" w:cs="仿宋_GB2312"/>
          <w:sz w:val="32"/>
          <w:szCs w:val="32"/>
        </w:rPr>
        <w:t>2024年度本年支出合计1611.05万元，其中：基本支出689.36万元，占42.78%；项目支出921.69万元，占57.21%；上缴上级支出0万元，占0%；经营支出0万元，占0%；对附属单位补助支出0万元，占0%%。</w:t>
      </w:r>
      <w:r>
        <w:rPr>
          <w:rFonts w:hint="eastAsia" w:eastAsia="仿宋_GB2312" w:cs="仿宋_GB2312"/>
          <w:b/>
          <w:bCs/>
          <w:sz w:val="32"/>
          <w:szCs w:val="32"/>
        </w:rPr>
        <w:t>（注：仅罗列本部门涉及的支出）</w:t>
      </w:r>
    </w:p>
    <w:p>
      <w:pPr>
        <w:pStyle w:val="27"/>
        <w:spacing w:line="600" w:lineRule="exact"/>
        <w:ind w:firstLine="643"/>
        <w:jc w:val="left"/>
        <w:outlineLvl w:val="1"/>
        <w:rPr>
          <w:rFonts w:eastAsia="仿宋_GB2312" w:cs="仿宋_GB2312"/>
          <w:b/>
          <w:bCs/>
          <w:sz w:val="32"/>
          <w:szCs w:val="32"/>
        </w:rPr>
      </w:pPr>
    </w:p>
    <w:p>
      <w:pPr>
        <w:pStyle w:val="27"/>
        <w:spacing w:line="600" w:lineRule="exact"/>
        <w:ind w:firstLine="643"/>
        <w:jc w:val="left"/>
        <w:outlineLvl w:val="1"/>
        <w:rPr>
          <w:rFonts w:eastAsia="仿宋_GB2312" w:cs="仿宋_GB2312"/>
          <w:b/>
          <w:bCs/>
          <w:sz w:val="32"/>
          <w:szCs w:val="32"/>
        </w:rPr>
      </w:pPr>
    </w:p>
    <w:p>
      <w:pPr>
        <w:pStyle w:val="27"/>
        <w:spacing w:line="600" w:lineRule="exact"/>
        <w:ind w:firstLine="643"/>
        <w:jc w:val="left"/>
        <w:outlineLvl w:val="1"/>
        <w:rPr>
          <w:rFonts w:eastAsia="仿宋_GB2312" w:cs="仿宋_GB2312"/>
          <w:b/>
          <w:bCs/>
          <w:sz w:val="32"/>
          <w:szCs w:val="32"/>
        </w:rPr>
      </w:pPr>
    </w:p>
    <w:p>
      <w:pPr>
        <w:pStyle w:val="27"/>
        <w:spacing w:line="600" w:lineRule="exact"/>
        <w:ind w:firstLine="643"/>
        <w:jc w:val="left"/>
        <w:outlineLvl w:val="1"/>
        <w:rPr>
          <w:rFonts w:eastAsia="仿宋_GB2312" w:cs="仿宋_GB2312"/>
          <w:b/>
          <w:bCs/>
          <w:sz w:val="32"/>
          <w:szCs w:val="32"/>
        </w:rPr>
      </w:pPr>
    </w:p>
    <w:p>
      <w:pPr>
        <w:pStyle w:val="27"/>
        <w:spacing w:line="600" w:lineRule="exact"/>
        <w:ind w:firstLine="643"/>
        <w:jc w:val="left"/>
        <w:outlineLvl w:val="1"/>
        <w:rPr>
          <w:rFonts w:eastAsia="仿宋_GB2312" w:cs="仿宋_GB2312"/>
          <w:b/>
          <w:bCs/>
          <w:sz w:val="32"/>
          <w:szCs w:val="32"/>
        </w:rPr>
      </w:pPr>
      <w:r>
        <w:drawing>
          <wp:anchor distT="0" distB="0" distL="114300" distR="114300" simplePos="0" relativeHeight="251661312" behindDoc="0" locked="0" layoutInCell="1" allowOverlap="1">
            <wp:simplePos x="0" y="0"/>
            <wp:positionH relativeFrom="column">
              <wp:posOffset>238125</wp:posOffset>
            </wp:positionH>
            <wp:positionV relativeFrom="paragraph">
              <wp:posOffset>157480</wp:posOffset>
            </wp:positionV>
            <wp:extent cx="4476750" cy="2714625"/>
            <wp:effectExtent l="4445" t="4445" r="14605" b="5080"/>
            <wp:wrapNone/>
            <wp:docPr id="14"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pPr>
        <w:pStyle w:val="27"/>
        <w:spacing w:line="600" w:lineRule="exact"/>
        <w:ind w:firstLine="643"/>
        <w:jc w:val="left"/>
        <w:outlineLvl w:val="1"/>
        <w:rPr>
          <w:rFonts w:eastAsia="仿宋_GB2312" w:cs="仿宋_GB2312"/>
          <w:b/>
          <w:bCs/>
          <w:sz w:val="32"/>
          <w:szCs w:val="32"/>
        </w:rPr>
      </w:pPr>
    </w:p>
    <w:p>
      <w:pPr>
        <w:pStyle w:val="27"/>
        <w:spacing w:line="600" w:lineRule="exact"/>
        <w:ind w:firstLine="643"/>
        <w:jc w:val="left"/>
        <w:outlineLvl w:val="1"/>
        <w:rPr>
          <w:rFonts w:eastAsia="仿宋_GB2312" w:cs="仿宋_GB2312"/>
          <w:b/>
          <w:bCs/>
          <w:sz w:val="32"/>
          <w:szCs w:val="32"/>
        </w:rPr>
      </w:pPr>
    </w:p>
    <w:p>
      <w:pPr>
        <w:pStyle w:val="27"/>
        <w:spacing w:line="600" w:lineRule="exact"/>
        <w:ind w:firstLine="643"/>
        <w:jc w:val="left"/>
        <w:outlineLvl w:val="1"/>
        <w:rPr>
          <w:rFonts w:eastAsia="仿宋_GB2312" w:cs="仿宋_GB2312"/>
          <w:b/>
          <w:bCs/>
          <w:sz w:val="32"/>
          <w:szCs w:val="32"/>
        </w:rPr>
      </w:pPr>
    </w:p>
    <w:p>
      <w:pPr>
        <w:pStyle w:val="27"/>
        <w:spacing w:line="600" w:lineRule="exact"/>
        <w:ind w:firstLine="640"/>
        <w:jc w:val="left"/>
        <w:outlineLvl w:val="1"/>
        <w:rPr>
          <w:rFonts w:eastAsia="仿宋_GB2312" w:cs="仿宋_GB2312"/>
          <w:sz w:val="32"/>
          <w:szCs w:val="32"/>
        </w:rPr>
      </w:pPr>
    </w:p>
    <w:p>
      <w:pPr>
        <w:pStyle w:val="27"/>
        <w:spacing w:line="600" w:lineRule="exact"/>
        <w:ind w:firstLine="640"/>
        <w:jc w:val="left"/>
        <w:outlineLvl w:val="1"/>
        <w:rPr>
          <w:rFonts w:eastAsia="仿宋_GB2312" w:cs="仿宋_GB2312"/>
          <w:sz w:val="32"/>
          <w:szCs w:val="32"/>
        </w:rPr>
      </w:pPr>
    </w:p>
    <w:p>
      <w:pPr>
        <w:pStyle w:val="27"/>
        <w:spacing w:line="600" w:lineRule="exact"/>
        <w:ind w:firstLine="640"/>
        <w:jc w:val="left"/>
        <w:outlineLvl w:val="1"/>
        <w:rPr>
          <w:rFonts w:eastAsia="仿宋_GB2312" w:cs="仿宋_GB2312"/>
          <w:sz w:val="32"/>
          <w:szCs w:val="32"/>
        </w:rPr>
      </w:pPr>
    </w:p>
    <w:p>
      <w:pPr>
        <w:pStyle w:val="27"/>
        <w:spacing w:line="600" w:lineRule="exact"/>
        <w:ind w:firstLine="640"/>
        <w:jc w:val="left"/>
        <w:outlineLvl w:val="1"/>
        <w:rPr>
          <w:rFonts w:hint="eastAsia" w:eastAsia="仿宋_GB2312" w:cs="仿宋_GB2312"/>
          <w:sz w:val="32"/>
          <w:szCs w:val="32"/>
          <w:lang w:eastAsia="zh-CN"/>
        </w:rPr>
      </w:pPr>
    </w:p>
    <w:p>
      <w:pPr>
        <w:ind w:firstLine="800" w:firstLineChars="250"/>
        <w:rPr>
          <w:rFonts w:eastAsia="仿宋_GB2312" w:cs="仿宋_GB2312"/>
          <w:sz w:val="32"/>
          <w:szCs w:val="32"/>
        </w:rPr>
      </w:pPr>
      <w:r>
        <w:rPr>
          <w:rFonts w:hint="eastAsia" w:eastAsia="仿宋_GB2312" w:cs="仿宋_GB2312"/>
          <w:sz w:val="32"/>
          <w:szCs w:val="32"/>
        </w:rPr>
        <w:t>（图3：支出决算结构图）（饼状图）</w:t>
      </w:r>
    </w:p>
    <w:p>
      <w:pPr>
        <w:ind w:firstLine="800" w:firstLineChars="250"/>
        <w:rPr>
          <w:rFonts w:eastAsia="仿宋_GB2312" w:cs="仿宋_GB2312"/>
          <w:sz w:val="32"/>
          <w:szCs w:val="32"/>
        </w:rPr>
      </w:pPr>
    </w:p>
    <w:p>
      <w:pPr>
        <w:spacing w:line="600" w:lineRule="exact"/>
        <w:ind w:firstLine="640" w:firstLineChars="200"/>
        <w:outlineLvl w:val="1"/>
        <w:rPr>
          <w:rStyle w:val="29"/>
          <w:rFonts w:ascii="Times New Roman" w:hAnsi="Times New Roman" w:eastAsia="黑体"/>
          <w:b w:val="0"/>
        </w:rPr>
      </w:pPr>
      <w:bookmarkStart w:id="20" w:name="_Toc15377208"/>
      <w:bookmarkStart w:id="21" w:name="_Toc15396606"/>
      <w:r>
        <w:rPr>
          <w:rFonts w:hint="eastAsia" w:eastAsia="黑体"/>
          <w:sz w:val="32"/>
          <w:szCs w:val="32"/>
        </w:rPr>
        <w:t>四、财</w:t>
      </w:r>
      <w:r>
        <w:rPr>
          <w:rStyle w:val="29"/>
          <w:rFonts w:hint="eastAsia" w:ascii="Times New Roman" w:hAnsi="Times New Roman" w:eastAsia="黑体"/>
          <w:b w:val="0"/>
        </w:rPr>
        <w:t>政拨款收入支出决算总体情况说明</w:t>
      </w:r>
      <w:bookmarkEnd w:id="20"/>
      <w:bookmarkEnd w:id="21"/>
    </w:p>
    <w:p>
      <w:pPr>
        <w:pStyle w:val="27"/>
        <w:spacing w:line="600" w:lineRule="exact"/>
        <w:ind w:firstLine="640"/>
        <w:outlineLvl w:val="1"/>
        <w:rPr>
          <w:rFonts w:eastAsia="仿宋_GB2312" w:cs="仿宋_GB2312"/>
          <w:sz w:val="32"/>
          <w:szCs w:val="32"/>
        </w:rPr>
      </w:pPr>
      <w:r>
        <w:rPr>
          <w:rFonts w:hint="eastAsia" w:eastAsia="仿宋_GB2312" w:cs="仿宋_GB2312"/>
          <w:sz w:val="32"/>
          <w:szCs w:val="32"/>
        </w:rPr>
        <w:t>2024年度财政拨款收入、支出总计均为</w:t>
      </w:r>
      <w:r>
        <w:rPr>
          <w:rFonts w:hint="eastAsia" w:ascii="仿宋_GB2312" w:hAnsi="仿宋_GB2312" w:eastAsia="仿宋_GB2312" w:cs="仿宋_GB2312"/>
          <w:sz w:val="32"/>
          <w:szCs w:val="32"/>
        </w:rPr>
        <w:t>1611.05</w:t>
      </w:r>
      <w:r>
        <w:rPr>
          <w:rFonts w:hint="eastAsia" w:eastAsia="仿宋_GB2312" w:cs="仿宋_GB2312"/>
          <w:sz w:val="32"/>
          <w:szCs w:val="32"/>
        </w:rPr>
        <w:t>万元，与2023年度相比，收入、支出总计各减少323.71万元，下降16.73%。主要变动原因是项目减少、人员变动。</w:t>
      </w:r>
    </w:p>
    <w:p>
      <w:pPr>
        <w:pStyle w:val="27"/>
        <w:spacing w:line="600" w:lineRule="exact"/>
        <w:ind w:firstLine="640"/>
        <w:outlineLvl w:val="1"/>
        <w:rPr>
          <w:rFonts w:eastAsia="仿宋_GB2312" w:cs="仿宋_GB2312"/>
          <w:sz w:val="32"/>
          <w:szCs w:val="32"/>
        </w:rPr>
      </w:pPr>
      <w:r>
        <w:rPr>
          <w:rFonts w:eastAsia="仿宋_GB2312" w:cs="仿宋_GB2312"/>
          <w:sz w:val="32"/>
          <w:szCs w:val="32"/>
        </w:rPr>
        <w:drawing>
          <wp:anchor distT="0" distB="0" distL="0" distR="0" simplePos="0" relativeHeight="251662336" behindDoc="0" locked="0" layoutInCell="1" allowOverlap="1">
            <wp:simplePos x="0" y="0"/>
            <wp:positionH relativeFrom="column">
              <wp:posOffset>66675</wp:posOffset>
            </wp:positionH>
            <wp:positionV relativeFrom="paragraph">
              <wp:posOffset>247650</wp:posOffset>
            </wp:positionV>
            <wp:extent cx="5428615" cy="3135630"/>
            <wp:effectExtent l="4445" t="4445" r="15240" b="22225"/>
            <wp:wrapNone/>
            <wp:docPr id="15" name="图表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p>
    <w:p>
      <w:pPr>
        <w:pStyle w:val="27"/>
        <w:spacing w:line="600" w:lineRule="exact"/>
        <w:ind w:firstLine="640"/>
        <w:outlineLvl w:val="1"/>
        <w:rPr>
          <w:rFonts w:eastAsia="仿宋_GB2312" w:cs="仿宋_GB2312"/>
          <w:sz w:val="32"/>
          <w:szCs w:val="32"/>
        </w:rPr>
      </w:pPr>
    </w:p>
    <w:p>
      <w:pPr>
        <w:pStyle w:val="27"/>
        <w:spacing w:line="600" w:lineRule="exact"/>
        <w:ind w:firstLine="640"/>
        <w:outlineLvl w:val="1"/>
        <w:rPr>
          <w:rFonts w:eastAsia="仿宋_GB2312" w:cs="仿宋_GB2312"/>
          <w:sz w:val="32"/>
          <w:szCs w:val="32"/>
        </w:rPr>
      </w:pPr>
    </w:p>
    <w:p>
      <w:pPr>
        <w:pStyle w:val="27"/>
        <w:spacing w:line="600" w:lineRule="exact"/>
        <w:ind w:firstLine="640"/>
        <w:outlineLvl w:val="1"/>
        <w:rPr>
          <w:rFonts w:eastAsia="仿宋_GB2312" w:cs="仿宋_GB2312"/>
          <w:sz w:val="32"/>
          <w:szCs w:val="32"/>
        </w:rPr>
      </w:pPr>
    </w:p>
    <w:p>
      <w:pPr>
        <w:pStyle w:val="27"/>
        <w:spacing w:line="600" w:lineRule="exact"/>
        <w:ind w:firstLine="640"/>
        <w:outlineLvl w:val="1"/>
        <w:rPr>
          <w:rFonts w:eastAsia="仿宋_GB2312" w:cs="仿宋_GB2312"/>
          <w:sz w:val="32"/>
          <w:szCs w:val="32"/>
        </w:rPr>
      </w:pPr>
    </w:p>
    <w:p>
      <w:pPr>
        <w:pStyle w:val="27"/>
        <w:spacing w:line="600" w:lineRule="exact"/>
        <w:ind w:firstLine="640"/>
        <w:outlineLvl w:val="1"/>
        <w:rPr>
          <w:rFonts w:eastAsia="仿宋_GB2312" w:cs="仿宋_GB2312"/>
          <w:sz w:val="32"/>
          <w:szCs w:val="32"/>
        </w:rPr>
      </w:pPr>
    </w:p>
    <w:p>
      <w:pPr>
        <w:pStyle w:val="27"/>
        <w:spacing w:line="600" w:lineRule="exact"/>
        <w:ind w:firstLine="640"/>
        <w:outlineLvl w:val="1"/>
        <w:rPr>
          <w:rFonts w:eastAsia="仿宋_GB2312" w:cs="仿宋_GB2312"/>
          <w:sz w:val="32"/>
          <w:szCs w:val="32"/>
        </w:rPr>
      </w:pPr>
    </w:p>
    <w:p>
      <w:pPr>
        <w:pStyle w:val="27"/>
        <w:spacing w:line="600" w:lineRule="exact"/>
        <w:ind w:firstLine="640"/>
        <w:outlineLvl w:val="1"/>
        <w:rPr>
          <w:rFonts w:eastAsia="仿宋_GB2312" w:cs="仿宋_GB2312"/>
          <w:sz w:val="32"/>
          <w:szCs w:val="32"/>
        </w:rPr>
      </w:pPr>
    </w:p>
    <w:p>
      <w:pPr>
        <w:pStyle w:val="27"/>
        <w:spacing w:line="600" w:lineRule="exact"/>
        <w:ind w:firstLine="640"/>
        <w:outlineLvl w:val="1"/>
        <w:rPr>
          <w:rFonts w:eastAsia="仿宋_GB2312" w:cs="仿宋_GB2312"/>
          <w:sz w:val="32"/>
          <w:szCs w:val="32"/>
        </w:rPr>
      </w:pPr>
    </w:p>
    <w:p>
      <w:pPr>
        <w:pStyle w:val="27"/>
        <w:spacing w:line="600" w:lineRule="exact"/>
        <w:ind w:firstLine="640"/>
        <w:outlineLvl w:val="1"/>
        <w:rPr>
          <w:rFonts w:eastAsia="仿宋_GB2312" w:cs="仿宋_GB2312"/>
          <w:sz w:val="32"/>
          <w:szCs w:val="32"/>
        </w:rPr>
      </w:pPr>
      <w:r>
        <w:rPr>
          <w:rFonts w:hint="eastAsia" w:eastAsia="仿宋_GB2312" w:cs="仿宋_GB2312"/>
          <w:sz w:val="32"/>
          <w:szCs w:val="32"/>
        </w:rPr>
        <w:t>图4：</w:t>
      </w:r>
      <w:r>
        <w:rPr>
          <w:rFonts w:hint="eastAsia" w:eastAsia="仿宋_GB2312" w:cs="仿宋_GB2312"/>
          <w:sz w:val="32"/>
          <w:szCs w:val="32"/>
          <w:lang w:eastAsia="zh-CN"/>
        </w:rPr>
        <w:t>（</w:t>
      </w:r>
      <w:r>
        <w:rPr>
          <w:rFonts w:hint="eastAsia" w:eastAsia="仿宋_GB2312" w:cs="仿宋_GB2312"/>
          <w:sz w:val="32"/>
          <w:szCs w:val="32"/>
        </w:rPr>
        <w:t>财政拨款收、支决算总计变动情况）（柱状图）</w:t>
      </w:r>
    </w:p>
    <w:p>
      <w:pPr>
        <w:spacing w:line="600" w:lineRule="exact"/>
        <w:ind w:firstLine="640"/>
        <w:rPr>
          <w:rFonts w:eastAsia="仿宋_GB2312" w:cs="仿宋_GB2312"/>
          <w:sz w:val="32"/>
          <w:szCs w:val="32"/>
        </w:rPr>
      </w:pPr>
    </w:p>
    <w:p>
      <w:pPr>
        <w:spacing w:line="600" w:lineRule="exact"/>
        <w:ind w:firstLine="640" w:firstLineChars="200"/>
        <w:outlineLvl w:val="1"/>
        <w:rPr>
          <w:rStyle w:val="29"/>
          <w:rFonts w:ascii="Times New Roman" w:hAnsi="Times New Roman" w:eastAsia="黑体"/>
          <w:b w:val="0"/>
        </w:rPr>
      </w:pPr>
      <w:bookmarkStart w:id="22" w:name="_Toc15396607"/>
      <w:bookmarkStart w:id="23" w:name="_Toc15377209"/>
      <w:r>
        <w:rPr>
          <w:rFonts w:hint="eastAsia" w:eastAsia="黑体"/>
          <w:sz w:val="32"/>
          <w:szCs w:val="32"/>
        </w:rPr>
        <w:t>五、</w:t>
      </w:r>
      <w:r>
        <w:rPr>
          <w:rFonts w:hint="eastAsia" w:eastAsia="黑体"/>
          <w:b/>
          <w:sz w:val="32"/>
          <w:szCs w:val="32"/>
        </w:rPr>
        <w:t>一</w:t>
      </w:r>
      <w:r>
        <w:rPr>
          <w:rStyle w:val="29"/>
          <w:rFonts w:hint="eastAsia" w:ascii="Times New Roman" w:hAnsi="Times New Roman" w:eastAsia="黑体"/>
          <w:b w:val="0"/>
        </w:rPr>
        <w:t>般公共预算财政拨款支出决算情况说明</w:t>
      </w:r>
      <w:bookmarkEnd w:id="22"/>
      <w:bookmarkEnd w:id="23"/>
    </w:p>
    <w:p>
      <w:pPr>
        <w:spacing w:line="600" w:lineRule="exact"/>
        <w:ind w:firstLine="643" w:firstLineChars="200"/>
        <w:outlineLvl w:val="2"/>
        <w:rPr>
          <w:rFonts w:eastAsia="楷体_GB2312" w:cs="楷体_GB2312"/>
          <w:b/>
          <w:sz w:val="32"/>
          <w:szCs w:val="32"/>
        </w:rPr>
      </w:pPr>
      <w:bookmarkStart w:id="24" w:name="_Toc15377210"/>
      <w:r>
        <w:rPr>
          <w:rFonts w:hint="eastAsia" w:eastAsia="楷体_GB2312" w:cs="楷体_GB2312"/>
          <w:b/>
          <w:sz w:val="32"/>
          <w:szCs w:val="32"/>
        </w:rPr>
        <w:t>（一）一般公共预算财政拨款支出决算总体情况</w:t>
      </w:r>
      <w:bookmarkEnd w:id="24"/>
    </w:p>
    <w:p>
      <w:pPr>
        <w:spacing w:line="60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2024年度一般公共预算财政拨款支出1539.29万元，占本年支出合计的95.54%。与2023年度相比，一般公共预算财政拨款支出减少27.78万元，下降1.77%。主要变动原因是人员变动。</w:t>
      </w:r>
    </w:p>
    <w:p>
      <w:pPr>
        <w:pStyle w:val="13"/>
      </w:pPr>
      <w:r>
        <w:drawing>
          <wp:inline distT="0" distB="0" distL="0" distR="0">
            <wp:extent cx="5274310" cy="3076575"/>
            <wp:effectExtent l="0" t="0" r="21590" b="9525"/>
            <wp:docPr id="10" name="图表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pPr>
        <w:spacing w:line="600" w:lineRule="exact"/>
        <w:ind w:firstLine="640"/>
        <w:rPr>
          <w:rFonts w:eastAsia="仿宋_GB2312" w:cs="仿宋_GB2312"/>
          <w:sz w:val="32"/>
          <w:szCs w:val="32"/>
        </w:rPr>
      </w:pPr>
      <w:r>
        <w:rPr>
          <w:rFonts w:hint="eastAsia" w:eastAsia="仿宋_GB2312" w:cs="仿宋_GB2312"/>
          <w:sz w:val="32"/>
          <w:szCs w:val="32"/>
        </w:rPr>
        <w:t>（图5：一般公共预算财政拨款支出决算变动情况）（柱状图）</w:t>
      </w:r>
    </w:p>
    <w:p>
      <w:pPr>
        <w:spacing w:line="600" w:lineRule="exact"/>
        <w:ind w:firstLine="640"/>
        <w:rPr>
          <w:rFonts w:eastAsia="仿宋_GB2312" w:cs="仿宋_GB2312"/>
          <w:sz w:val="32"/>
          <w:szCs w:val="32"/>
        </w:rPr>
      </w:pPr>
    </w:p>
    <w:p>
      <w:pPr>
        <w:spacing w:line="600" w:lineRule="exact"/>
        <w:ind w:firstLine="643" w:firstLineChars="200"/>
        <w:outlineLvl w:val="2"/>
        <w:rPr>
          <w:rFonts w:eastAsia="楷体_GB2312" w:cs="楷体_GB2312"/>
          <w:b/>
          <w:sz w:val="32"/>
          <w:szCs w:val="32"/>
        </w:rPr>
      </w:pPr>
      <w:bookmarkStart w:id="25" w:name="_Toc15377211"/>
      <w:r>
        <w:rPr>
          <w:rFonts w:hint="eastAsia" w:eastAsia="楷体_GB2312" w:cs="楷体_GB2312"/>
          <w:b/>
          <w:sz w:val="32"/>
          <w:szCs w:val="32"/>
        </w:rPr>
        <w:t>（二）一般公共预算财政拨款支出决算结构情况</w:t>
      </w:r>
      <w:bookmarkEnd w:id="25"/>
    </w:p>
    <w:p>
      <w:pPr>
        <w:spacing w:line="600" w:lineRule="exact"/>
        <w:ind w:firstLine="640"/>
        <w:rPr>
          <w:rFonts w:eastAsia="仿宋_GB2312" w:cs="仿宋_GB2312"/>
          <w:b/>
          <w:bCs/>
          <w:sz w:val="32"/>
          <w:szCs w:val="32"/>
        </w:rPr>
      </w:pPr>
      <w:r>
        <w:rPr>
          <w:rFonts w:hint="eastAsia" w:eastAsia="仿宋_GB2312" w:cs="仿宋_GB2312"/>
          <w:sz w:val="32"/>
          <w:szCs w:val="32"/>
        </w:rPr>
        <w:t>2024年度一般公共预算财政拨款支出</w:t>
      </w:r>
      <w:r>
        <w:rPr>
          <w:rFonts w:hint="eastAsia" w:ascii="仿宋_GB2312" w:hAnsi="仿宋_GB2312" w:eastAsia="仿宋_GB2312" w:cs="仿宋_GB2312"/>
          <w:sz w:val="32"/>
          <w:szCs w:val="32"/>
        </w:rPr>
        <w:t>1539.29万元</w:t>
      </w:r>
      <w:r>
        <w:rPr>
          <w:rFonts w:hint="eastAsia" w:eastAsia="仿宋_GB2312" w:cs="仿宋_GB2312"/>
          <w:sz w:val="32"/>
          <w:szCs w:val="32"/>
        </w:rPr>
        <w:t>，主要用于以下方面：一般公共服务支出517.9万元，占33.65%；文化旅游体育与传媒支出5.55万元，占0.36%；社会保障和就业支出90.52万元，占5.88%；卫生健康支出35.62万元，占2.31%；</w:t>
      </w:r>
      <w:r>
        <w:rPr>
          <w:rFonts w:eastAsia="仿宋_GB2312" w:cs="仿宋_GB2312"/>
          <w:sz w:val="32"/>
          <w:szCs w:val="32"/>
        </w:rPr>
        <w:t>节能环保支出</w:t>
      </w:r>
      <w:r>
        <w:rPr>
          <w:rFonts w:hint="eastAsia" w:eastAsia="仿宋_GB2312" w:cs="仿宋_GB2312"/>
          <w:sz w:val="32"/>
          <w:szCs w:val="32"/>
        </w:rPr>
        <w:t>46.15万元，占3%；</w:t>
      </w:r>
      <w:r>
        <w:rPr>
          <w:rFonts w:eastAsia="仿宋_GB2312" w:cs="仿宋_GB2312"/>
          <w:sz w:val="32"/>
          <w:szCs w:val="32"/>
        </w:rPr>
        <w:t>城乡社区支出</w:t>
      </w:r>
      <w:r>
        <w:rPr>
          <w:rFonts w:hint="eastAsia" w:eastAsia="仿宋_GB2312" w:cs="仿宋_GB2312"/>
          <w:sz w:val="32"/>
          <w:szCs w:val="32"/>
        </w:rPr>
        <w:t>9万，占0.58%；</w:t>
      </w:r>
      <w:r>
        <w:rPr>
          <w:rFonts w:eastAsia="仿宋_GB2312" w:cs="仿宋_GB2312"/>
          <w:sz w:val="32"/>
          <w:szCs w:val="32"/>
        </w:rPr>
        <w:t>农林水支出</w:t>
      </w:r>
      <w:r>
        <w:rPr>
          <w:rFonts w:hint="eastAsia" w:eastAsia="仿宋_GB2312" w:cs="仿宋_GB2312"/>
          <w:sz w:val="32"/>
          <w:szCs w:val="32"/>
        </w:rPr>
        <w:t>788.23</w:t>
      </w:r>
      <w:r>
        <w:rPr>
          <w:rFonts w:eastAsia="仿宋_GB2312" w:cs="仿宋_GB2312"/>
          <w:sz w:val="32"/>
          <w:szCs w:val="32"/>
        </w:rPr>
        <w:t>万元，占</w:t>
      </w:r>
      <w:r>
        <w:rPr>
          <w:rFonts w:hint="eastAsia" w:eastAsia="仿宋_GB2312" w:cs="仿宋_GB2312"/>
          <w:sz w:val="32"/>
          <w:szCs w:val="32"/>
        </w:rPr>
        <w:t xml:space="preserve">51.21 </w:t>
      </w:r>
      <w:r>
        <w:rPr>
          <w:rFonts w:eastAsia="仿宋_GB2312" w:cs="仿宋_GB2312"/>
          <w:sz w:val="32"/>
          <w:szCs w:val="32"/>
        </w:rPr>
        <w:t>%</w:t>
      </w:r>
      <w:r>
        <w:rPr>
          <w:rFonts w:hint="eastAsia" w:eastAsia="仿宋_GB2312" w:cs="仿宋_GB2312"/>
          <w:sz w:val="32"/>
          <w:szCs w:val="32"/>
        </w:rPr>
        <w:t>；住房保障支出46.32万元，占3.01%。</w:t>
      </w:r>
      <w:r>
        <w:rPr>
          <w:rFonts w:hint="eastAsia" w:eastAsia="仿宋_GB2312" w:cs="仿宋_GB2312"/>
          <w:b/>
          <w:bCs/>
          <w:sz w:val="32"/>
          <w:szCs w:val="32"/>
        </w:rPr>
        <w:t>（注：仅罗列本部门涉及的全部功能分类科目，至类级）</w:t>
      </w:r>
    </w:p>
    <w:p>
      <w:pPr>
        <w:pStyle w:val="2"/>
        <w:ind w:left="420"/>
      </w:pPr>
    </w:p>
    <w:p>
      <w:pPr>
        <w:pStyle w:val="2"/>
        <w:ind w:left="420"/>
        <w:rPr>
          <w:rFonts w:hint="eastAsia" w:eastAsia="宋体"/>
          <w:lang w:eastAsia="zh-CN"/>
        </w:rPr>
      </w:pPr>
      <w:r>
        <w:drawing>
          <wp:inline distT="0" distB="0" distL="114300" distR="114300">
            <wp:extent cx="5155565" cy="3612515"/>
            <wp:effectExtent l="4445" t="4445" r="21590" b="21590"/>
            <wp:docPr id="5"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pPr>
        <w:spacing w:line="600" w:lineRule="exact"/>
        <w:ind w:firstLine="640"/>
        <w:rPr>
          <w:rFonts w:eastAsia="仿宋_GB2312" w:cs="仿宋_GB2312"/>
          <w:sz w:val="32"/>
          <w:szCs w:val="32"/>
        </w:rPr>
      </w:pPr>
      <w:r>
        <w:rPr>
          <w:rFonts w:hint="eastAsia" w:eastAsia="仿宋_GB2312" w:cs="仿宋_GB2312"/>
          <w:sz w:val="32"/>
          <w:szCs w:val="32"/>
        </w:rPr>
        <w:t>（图6：一般公共预算财政拨款支出决算结构）（饼状图）</w:t>
      </w:r>
    </w:p>
    <w:p>
      <w:pPr>
        <w:spacing w:line="600" w:lineRule="exact"/>
        <w:ind w:firstLine="640"/>
        <w:rPr>
          <w:rFonts w:eastAsia="仿宋_GB2312" w:cs="仿宋_GB2312"/>
          <w:sz w:val="32"/>
          <w:szCs w:val="32"/>
        </w:rPr>
      </w:pPr>
    </w:p>
    <w:p>
      <w:pPr>
        <w:spacing w:line="600" w:lineRule="exact"/>
        <w:ind w:firstLine="643" w:firstLineChars="200"/>
        <w:outlineLvl w:val="2"/>
        <w:rPr>
          <w:rFonts w:eastAsia="楷体_GB2312" w:cs="楷体_GB2312"/>
          <w:b/>
          <w:sz w:val="32"/>
          <w:szCs w:val="32"/>
        </w:rPr>
      </w:pPr>
      <w:bookmarkStart w:id="26" w:name="_Toc15377212"/>
      <w:r>
        <w:rPr>
          <w:rFonts w:hint="eastAsia" w:eastAsia="楷体_GB2312" w:cs="楷体_GB2312"/>
          <w:b/>
          <w:sz w:val="32"/>
          <w:szCs w:val="32"/>
        </w:rPr>
        <w:t>（三）一般公共预算财政拨款支出决算具体情况</w:t>
      </w:r>
      <w:bookmarkEnd w:id="26"/>
    </w:p>
    <w:p>
      <w:pPr>
        <w:spacing w:line="600" w:lineRule="exact"/>
        <w:ind w:firstLine="640"/>
        <w:rPr>
          <w:rFonts w:eastAsia="仿宋_GB2312" w:cs="仿宋_GB2312"/>
          <w:sz w:val="32"/>
          <w:szCs w:val="32"/>
        </w:rPr>
      </w:pPr>
      <w:bookmarkStart w:id="27" w:name="_Toc15377213"/>
      <w:bookmarkStart w:id="28" w:name="_Toc15378460"/>
      <w:bookmarkStart w:id="29" w:name="_Toc15377444"/>
      <w:r>
        <w:rPr>
          <w:rFonts w:hint="eastAsia" w:eastAsia="仿宋_GB2312" w:cs="仿宋_GB2312"/>
          <w:sz w:val="32"/>
          <w:szCs w:val="32"/>
        </w:rPr>
        <w:t>2024年度一般公共预算财政拨款支出决算数为</w:t>
      </w:r>
      <w:r>
        <w:rPr>
          <w:rFonts w:hint="eastAsia" w:ascii="仿宋_GB2312" w:hAnsi="仿宋_GB2312" w:eastAsia="仿宋_GB2312" w:cs="仿宋_GB2312"/>
          <w:sz w:val="32"/>
          <w:szCs w:val="32"/>
        </w:rPr>
        <w:t>1539.29，</w:t>
      </w:r>
      <w:r>
        <w:rPr>
          <w:rFonts w:hint="eastAsia" w:eastAsia="仿宋_GB2312" w:cs="仿宋_GB2312"/>
          <w:sz w:val="32"/>
          <w:szCs w:val="32"/>
        </w:rPr>
        <w:t>完成预算100%。其中：</w:t>
      </w:r>
      <w:bookmarkEnd w:id="27"/>
      <w:bookmarkEnd w:id="28"/>
      <w:bookmarkEnd w:id="29"/>
    </w:p>
    <w:p>
      <w:pPr>
        <w:spacing w:line="600" w:lineRule="exact"/>
        <w:ind w:firstLine="640"/>
        <w:rPr>
          <w:rFonts w:eastAsia="仿宋_GB2312" w:cs="仿宋_GB2312"/>
          <w:sz w:val="32"/>
          <w:szCs w:val="32"/>
        </w:rPr>
      </w:pPr>
      <w:r>
        <w:rPr>
          <w:rFonts w:hint="eastAsia" w:eastAsia="仿宋_GB2312" w:cs="仿宋_GB2312"/>
          <w:sz w:val="32"/>
          <w:szCs w:val="32"/>
        </w:rPr>
        <w:t>1.</w:t>
      </w:r>
      <w:r>
        <w:rPr>
          <w:rFonts w:hint="eastAsia" w:eastAsia="仿宋_GB2312" w:cs="仿宋_GB2312"/>
          <w:sz w:val="32"/>
          <w:szCs w:val="32"/>
        </w:rPr>
        <w:tab/>
      </w:r>
      <w:r>
        <w:rPr>
          <w:rFonts w:hint="eastAsia" w:eastAsia="仿宋_GB2312" w:cs="仿宋_GB2312"/>
          <w:sz w:val="32"/>
          <w:szCs w:val="32"/>
        </w:rPr>
        <w:t>一般公共服务（类）政府办公厅（室）及相关机构事务（款）行政运行（项）: 支出决算为359.75万元，完成预算100%。</w:t>
      </w:r>
    </w:p>
    <w:p>
      <w:pPr>
        <w:spacing w:line="600" w:lineRule="exact"/>
        <w:ind w:firstLine="640"/>
        <w:rPr>
          <w:rFonts w:eastAsia="仿宋_GB2312" w:cs="仿宋_GB2312"/>
          <w:sz w:val="32"/>
          <w:szCs w:val="32"/>
        </w:rPr>
      </w:pPr>
      <w:r>
        <w:rPr>
          <w:rFonts w:hint="eastAsia" w:eastAsia="仿宋_GB2312" w:cs="仿宋_GB2312"/>
          <w:sz w:val="32"/>
          <w:szCs w:val="32"/>
        </w:rPr>
        <w:t>2.</w:t>
      </w:r>
      <w:r>
        <w:rPr>
          <w:rFonts w:hint="eastAsia" w:eastAsia="仿宋_GB2312" w:cs="仿宋_GB2312"/>
          <w:sz w:val="32"/>
          <w:szCs w:val="32"/>
        </w:rPr>
        <w:tab/>
      </w:r>
      <w:r>
        <w:rPr>
          <w:rFonts w:hint="eastAsia" w:eastAsia="仿宋_GB2312" w:cs="仿宋_GB2312"/>
          <w:sz w:val="32"/>
          <w:szCs w:val="32"/>
        </w:rPr>
        <w:t>一般公共服务（类）政府办公厅（室）及相关机构事务（款）事业运行（项）: 支出决算为139.8万元，完成预算100%。</w:t>
      </w:r>
    </w:p>
    <w:p>
      <w:pPr>
        <w:spacing w:line="600" w:lineRule="exact"/>
        <w:ind w:firstLine="640"/>
        <w:rPr>
          <w:rFonts w:eastAsia="仿宋_GB2312" w:cs="仿宋_GB2312"/>
          <w:sz w:val="32"/>
          <w:szCs w:val="32"/>
        </w:rPr>
      </w:pPr>
      <w:r>
        <w:rPr>
          <w:rFonts w:hint="eastAsia" w:eastAsia="仿宋_GB2312" w:cs="仿宋_GB2312"/>
          <w:sz w:val="32"/>
          <w:szCs w:val="32"/>
        </w:rPr>
        <w:t>3.</w:t>
      </w:r>
      <w:r>
        <w:rPr>
          <w:rFonts w:hint="eastAsia" w:eastAsia="仿宋_GB2312" w:cs="仿宋_GB2312"/>
          <w:sz w:val="32"/>
          <w:szCs w:val="32"/>
        </w:rPr>
        <w:tab/>
      </w:r>
      <w:r>
        <w:rPr>
          <w:rFonts w:hint="eastAsia" w:eastAsia="仿宋_GB2312" w:cs="仿宋_GB2312"/>
          <w:sz w:val="32"/>
          <w:szCs w:val="32"/>
        </w:rPr>
        <w:t>一般公共服务（类）人大事务（款）行政运行（项）: 支出决算为18.35万元，完成预算100%。</w:t>
      </w:r>
    </w:p>
    <w:p>
      <w:pPr>
        <w:spacing w:line="600" w:lineRule="exact"/>
        <w:ind w:firstLine="640"/>
        <w:rPr>
          <w:rFonts w:eastAsia="仿宋_GB2312" w:cs="仿宋_GB2312"/>
          <w:sz w:val="32"/>
          <w:szCs w:val="32"/>
        </w:rPr>
      </w:pPr>
      <w:r>
        <w:rPr>
          <w:rFonts w:hint="eastAsia" w:eastAsia="仿宋_GB2312" w:cs="仿宋_GB2312"/>
          <w:sz w:val="32"/>
          <w:szCs w:val="32"/>
        </w:rPr>
        <w:t>4.</w:t>
      </w:r>
      <w:r>
        <w:rPr>
          <w:rFonts w:hint="eastAsia" w:eastAsia="仿宋_GB2312" w:cs="仿宋_GB2312"/>
          <w:sz w:val="32"/>
          <w:szCs w:val="32"/>
        </w:rPr>
        <w:tab/>
      </w:r>
      <w:r>
        <w:rPr>
          <w:rFonts w:hint="eastAsia" w:eastAsia="仿宋_GB2312" w:cs="仿宋_GB2312"/>
          <w:sz w:val="32"/>
          <w:szCs w:val="32"/>
        </w:rPr>
        <w:t>文化旅游体育与传媒支出（类）文化和旅游（款）群众文化（项）: 支出决算为5.55万元，完成预算100%。</w:t>
      </w:r>
    </w:p>
    <w:p>
      <w:pPr>
        <w:spacing w:line="600" w:lineRule="exact"/>
        <w:ind w:firstLine="640"/>
        <w:rPr>
          <w:rFonts w:eastAsia="仿宋_GB2312" w:cs="仿宋_GB2312"/>
          <w:sz w:val="32"/>
          <w:szCs w:val="32"/>
        </w:rPr>
      </w:pPr>
      <w:r>
        <w:rPr>
          <w:rFonts w:hint="eastAsia" w:eastAsia="仿宋_GB2312" w:cs="仿宋_GB2312"/>
          <w:sz w:val="32"/>
          <w:szCs w:val="32"/>
        </w:rPr>
        <w:t>5.</w:t>
      </w:r>
      <w:r>
        <w:rPr>
          <w:rFonts w:hint="eastAsia" w:eastAsia="仿宋_GB2312" w:cs="仿宋_GB2312"/>
          <w:sz w:val="32"/>
          <w:szCs w:val="32"/>
        </w:rPr>
        <w:tab/>
      </w:r>
      <w:r>
        <w:rPr>
          <w:rFonts w:hint="eastAsia" w:eastAsia="仿宋_GB2312" w:cs="仿宋_GB2312"/>
          <w:sz w:val="32"/>
          <w:szCs w:val="32"/>
        </w:rPr>
        <w:t>社会保障和就业（类）行政事业单位养老支出（款）机关事业单位基本养老保险缴费支出（项）: 支出决算为52.26万元，完成预算100%。</w:t>
      </w:r>
    </w:p>
    <w:p>
      <w:pPr>
        <w:spacing w:line="600" w:lineRule="exact"/>
        <w:ind w:firstLine="640"/>
        <w:rPr>
          <w:rFonts w:eastAsia="仿宋_GB2312" w:cs="仿宋_GB2312"/>
          <w:sz w:val="32"/>
          <w:szCs w:val="32"/>
        </w:rPr>
      </w:pPr>
      <w:r>
        <w:rPr>
          <w:rFonts w:hint="eastAsia" w:eastAsia="仿宋_GB2312" w:cs="仿宋_GB2312"/>
          <w:sz w:val="32"/>
          <w:szCs w:val="32"/>
        </w:rPr>
        <w:t>6.</w:t>
      </w:r>
      <w:r>
        <w:rPr>
          <w:rFonts w:hint="eastAsia" w:eastAsia="仿宋_GB2312" w:cs="仿宋_GB2312"/>
          <w:sz w:val="32"/>
          <w:szCs w:val="32"/>
        </w:rPr>
        <w:tab/>
      </w:r>
      <w:r>
        <w:rPr>
          <w:rFonts w:hint="eastAsia" w:eastAsia="仿宋_GB2312" w:cs="仿宋_GB2312"/>
          <w:sz w:val="32"/>
          <w:szCs w:val="32"/>
        </w:rPr>
        <w:t>社会保障和就业（类）行政事业单位养老支出（款）机关事业单位职业年金缴费支出（项）: 支出决算为38.26万元，完成预算100%。</w:t>
      </w:r>
    </w:p>
    <w:p>
      <w:pPr>
        <w:spacing w:line="600" w:lineRule="exact"/>
        <w:ind w:firstLine="640"/>
        <w:rPr>
          <w:rFonts w:eastAsia="仿宋_GB2312" w:cs="仿宋_GB2312"/>
          <w:sz w:val="32"/>
          <w:szCs w:val="32"/>
        </w:rPr>
      </w:pPr>
      <w:r>
        <w:rPr>
          <w:rFonts w:hint="eastAsia" w:eastAsia="仿宋_GB2312" w:cs="仿宋_GB2312"/>
          <w:sz w:val="32"/>
          <w:szCs w:val="32"/>
        </w:rPr>
        <w:t>7.</w:t>
      </w:r>
      <w:r>
        <w:rPr>
          <w:rFonts w:hint="eastAsia" w:eastAsia="仿宋_GB2312" w:cs="仿宋_GB2312"/>
          <w:sz w:val="32"/>
          <w:szCs w:val="32"/>
        </w:rPr>
        <w:tab/>
      </w:r>
      <w:r>
        <w:rPr>
          <w:rFonts w:hint="eastAsia" w:eastAsia="仿宋_GB2312" w:cs="仿宋_GB2312"/>
          <w:sz w:val="32"/>
          <w:szCs w:val="32"/>
        </w:rPr>
        <w:t>卫生健康（类）公共卫生（款）重大公共卫生服务（项）:支出决算为1万元，完成预算100%。</w:t>
      </w:r>
    </w:p>
    <w:p>
      <w:pPr>
        <w:spacing w:line="600" w:lineRule="exact"/>
        <w:ind w:firstLine="640"/>
        <w:rPr>
          <w:rFonts w:eastAsia="仿宋_GB2312" w:cs="仿宋_GB2312"/>
          <w:sz w:val="32"/>
          <w:szCs w:val="32"/>
        </w:rPr>
      </w:pPr>
      <w:r>
        <w:rPr>
          <w:rFonts w:hint="eastAsia" w:eastAsia="仿宋_GB2312" w:cs="仿宋_GB2312"/>
          <w:sz w:val="32"/>
          <w:szCs w:val="32"/>
        </w:rPr>
        <w:t>8.</w:t>
      </w:r>
      <w:r>
        <w:rPr>
          <w:rFonts w:hint="eastAsia" w:eastAsia="仿宋_GB2312" w:cs="仿宋_GB2312"/>
          <w:sz w:val="32"/>
          <w:szCs w:val="32"/>
        </w:rPr>
        <w:tab/>
      </w:r>
      <w:r>
        <w:rPr>
          <w:rFonts w:hint="eastAsia" w:eastAsia="仿宋_GB2312" w:cs="仿宋_GB2312"/>
          <w:sz w:val="32"/>
          <w:szCs w:val="32"/>
        </w:rPr>
        <w:t>卫生健康（类）行政事业单位医疗（款）行政单位医疗（项）:支出决算为18.24万元，完成预算100%。</w:t>
      </w:r>
    </w:p>
    <w:p>
      <w:pPr>
        <w:spacing w:line="600" w:lineRule="exact"/>
        <w:ind w:firstLine="640"/>
        <w:rPr>
          <w:rFonts w:eastAsia="仿宋_GB2312" w:cs="仿宋_GB2312"/>
          <w:sz w:val="32"/>
          <w:szCs w:val="32"/>
        </w:rPr>
      </w:pPr>
      <w:r>
        <w:rPr>
          <w:rFonts w:hint="eastAsia" w:eastAsia="仿宋_GB2312" w:cs="仿宋_GB2312"/>
          <w:sz w:val="32"/>
          <w:szCs w:val="32"/>
        </w:rPr>
        <w:t>9.</w:t>
      </w:r>
      <w:r>
        <w:rPr>
          <w:rFonts w:hint="eastAsia" w:eastAsia="仿宋_GB2312" w:cs="仿宋_GB2312"/>
          <w:sz w:val="32"/>
          <w:szCs w:val="32"/>
        </w:rPr>
        <w:tab/>
      </w:r>
      <w:r>
        <w:rPr>
          <w:rFonts w:hint="eastAsia" w:eastAsia="仿宋_GB2312" w:cs="仿宋_GB2312"/>
          <w:sz w:val="32"/>
          <w:szCs w:val="32"/>
        </w:rPr>
        <w:t>卫生健康（类）行政事业单位医疗（款）公务员医疗补助（项）:支出决算为4.72万元，完成预算100%。</w:t>
      </w:r>
    </w:p>
    <w:p>
      <w:pPr>
        <w:spacing w:line="600" w:lineRule="exact"/>
        <w:ind w:firstLine="640"/>
        <w:rPr>
          <w:rFonts w:eastAsia="仿宋_GB2312" w:cs="仿宋_GB2312"/>
          <w:sz w:val="32"/>
          <w:szCs w:val="32"/>
        </w:rPr>
      </w:pPr>
      <w:r>
        <w:rPr>
          <w:rFonts w:hint="eastAsia" w:eastAsia="仿宋_GB2312" w:cs="仿宋_GB2312"/>
          <w:sz w:val="32"/>
          <w:szCs w:val="32"/>
        </w:rPr>
        <w:t>10.</w:t>
      </w:r>
      <w:r>
        <w:rPr>
          <w:rFonts w:hint="eastAsia" w:eastAsia="仿宋_GB2312" w:cs="仿宋_GB2312"/>
          <w:sz w:val="32"/>
          <w:szCs w:val="32"/>
        </w:rPr>
        <w:tab/>
      </w:r>
      <w:r>
        <w:rPr>
          <w:rFonts w:hint="eastAsia" w:eastAsia="仿宋_GB2312" w:cs="仿宋_GB2312"/>
          <w:sz w:val="32"/>
          <w:szCs w:val="32"/>
        </w:rPr>
        <w:t>卫生健康（类）行政事业单位医疗（款）其他行政事业单位医疗支出（项）:支出决算为11.66万元，完成预算100%。</w:t>
      </w:r>
    </w:p>
    <w:p>
      <w:pPr>
        <w:spacing w:line="600" w:lineRule="exact"/>
        <w:ind w:firstLine="640"/>
        <w:rPr>
          <w:rFonts w:eastAsia="仿宋_GB2312" w:cs="仿宋_GB2312"/>
          <w:sz w:val="32"/>
          <w:szCs w:val="32"/>
        </w:rPr>
      </w:pPr>
      <w:r>
        <w:rPr>
          <w:rFonts w:hint="eastAsia" w:eastAsia="仿宋_GB2312" w:cs="仿宋_GB2312"/>
          <w:sz w:val="32"/>
          <w:szCs w:val="32"/>
        </w:rPr>
        <w:t>11.</w:t>
      </w:r>
      <w:r>
        <w:rPr>
          <w:rFonts w:hint="eastAsia" w:eastAsia="仿宋_GB2312" w:cs="仿宋_GB2312"/>
          <w:sz w:val="32"/>
          <w:szCs w:val="32"/>
        </w:rPr>
        <w:tab/>
      </w:r>
      <w:r>
        <w:rPr>
          <w:rFonts w:hint="eastAsia" w:eastAsia="仿宋_GB2312" w:cs="仿宋_GB2312"/>
          <w:sz w:val="32"/>
          <w:szCs w:val="32"/>
        </w:rPr>
        <w:t>节能环保支出（类）自然生态保护（款）农村环境保护支出（项）:支出决算为46.15万元，完成预算100%。</w:t>
      </w:r>
    </w:p>
    <w:p>
      <w:pPr>
        <w:spacing w:line="600" w:lineRule="exact"/>
        <w:ind w:firstLine="640"/>
        <w:rPr>
          <w:rFonts w:eastAsia="仿宋_GB2312" w:cs="仿宋_GB2312"/>
          <w:sz w:val="32"/>
          <w:szCs w:val="32"/>
        </w:rPr>
      </w:pPr>
      <w:r>
        <w:rPr>
          <w:rFonts w:hint="eastAsia" w:eastAsia="仿宋_GB2312" w:cs="仿宋_GB2312"/>
          <w:sz w:val="32"/>
          <w:szCs w:val="32"/>
        </w:rPr>
        <w:t>12.</w:t>
      </w:r>
      <w:r>
        <w:rPr>
          <w:rFonts w:hint="eastAsia" w:eastAsia="仿宋_GB2312" w:cs="仿宋_GB2312"/>
          <w:sz w:val="32"/>
          <w:szCs w:val="32"/>
        </w:rPr>
        <w:tab/>
      </w:r>
      <w:r>
        <w:rPr>
          <w:rFonts w:hint="eastAsia" w:eastAsia="仿宋_GB2312" w:cs="仿宋_GB2312"/>
          <w:sz w:val="32"/>
          <w:szCs w:val="32"/>
        </w:rPr>
        <w:t>城乡社区支出（类）城乡社区环境卫生（款）其他城乡社区环境卫生支出（项）:支出决算为9万元，完成预算100%。</w:t>
      </w:r>
    </w:p>
    <w:p>
      <w:pPr>
        <w:spacing w:line="600" w:lineRule="exact"/>
        <w:ind w:firstLine="640"/>
        <w:rPr>
          <w:rFonts w:eastAsia="仿宋_GB2312" w:cs="仿宋_GB2312"/>
          <w:sz w:val="32"/>
          <w:szCs w:val="32"/>
        </w:rPr>
      </w:pPr>
      <w:r>
        <w:rPr>
          <w:rFonts w:hint="eastAsia" w:eastAsia="仿宋_GB2312" w:cs="仿宋_GB2312"/>
          <w:sz w:val="32"/>
          <w:szCs w:val="32"/>
        </w:rPr>
        <w:t>13.</w:t>
      </w:r>
      <w:r>
        <w:rPr>
          <w:rFonts w:hint="eastAsia" w:eastAsia="仿宋_GB2312" w:cs="仿宋_GB2312"/>
          <w:sz w:val="32"/>
          <w:szCs w:val="32"/>
        </w:rPr>
        <w:tab/>
      </w:r>
      <w:r>
        <w:rPr>
          <w:rFonts w:hint="eastAsia" w:eastAsia="仿宋_GB2312" w:cs="仿宋_GB2312"/>
          <w:sz w:val="32"/>
          <w:szCs w:val="32"/>
        </w:rPr>
        <w:t>城乡社区支出（类）国有土地使用权出让收入安排的支出（款）农村基础设施建设支出（项）:支出决算为57.46万元，完成预算100%。</w:t>
      </w:r>
    </w:p>
    <w:p>
      <w:pPr>
        <w:spacing w:line="600" w:lineRule="exact"/>
        <w:ind w:firstLine="640"/>
        <w:rPr>
          <w:rFonts w:eastAsia="仿宋_GB2312" w:cs="仿宋_GB2312"/>
          <w:sz w:val="32"/>
          <w:szCs w:val="32"/>
        </w:rPr>
      </w:pPr>
      <w:r>
        <w:rPr>
          <w:rFonts w:hint="eastAsia" w:eastAsia="仿宋_GB2312" w:cs="仿宋_GB2312"/>
          <w:sz w:val="32"/>
          <w:szCs w:val="32"/>
        </w:rPr>
        <w:t>14.</w:t>
      </w:r>
      <w:r>
        <w:rPr>
          <w:rFonts w:hint="eastAsia" w:eastAsia="仿宋_GB2312" w:cs="仿宋_GB2312"/>
          <w:sz w:val="32"/>
          <w:szCs w:val="32"/>
        </w:rPr>
        <w:tab/>
      </w:r>
      <w:r>
        <w:rPr>
          <w:rFonts w:hint="eastAsia" w:eastAsia="仿宋_GB2312" w:cs="仿宋_GB2312"/>
          <w:sz w:val="32"/>
          <w:szCs w:val="32"/>
        </w:rPr>
        <w:t>城乡社区支出（类）国有土地使用权出让收入安排的支出（款）农业生产发展支出（项）:支出决算为14.3万元，完成预算100%。</w:t>
      </w:r>
    </w:p>
    <w:p>
      <w:pPr>
        <w:pStyle w:val="13"/>
      </w:pPr>
    </w:p>
    <w:p>
      <w:pPr>
        <w:spacing w:line="600" w:lineRule="exact"/>
        <w:ind w:firstLine="640"/>
        <w:rPr>
          <w:rFonts w:eastAsia="仿宋_GB2312" w:cs="仿宋_GB2312"/>
          <w:sz w:val="32"/>
          <w:szCs w:val="32"/>
        </w:rPr>
      </w:pPr>
      <w:r>
        <w:rPr>
          <w:rFonts w:hint="eastAsia" w:eastAsia="仿宋_GB2312" w:cs="仿宋_GB2312"/>
          <w:sz w:val="32"/>
          <w:szCs w:val="32"/>
        </w:rPr>
        <w:t>15.</w:t>
      </w:r>
      <w:r>
        <w:rPr>
          <w:rFonts w:hint="eastAsia" w:eastAsia="仿宋_GB2312" w:cs="仿宋_GB2312"/>
          <w:sz w:val="32"/>
          <w:szCs w:val="32"/>
        </w:rPr>
        <w:tab/>
      </w:r>
      <w:r>
        <w:rPr>
          <w:rFonts w:hint="eastAsia" w:eastAsia="仿宋_GB2312" w:cs="仿宋_GB2312"/>
          <w:sz w:val="32"/>
          <w:szCs w:val="32"/>
        </w:rPr>
        <w:t>农林水支出（类）林业和草原（款）林业草原防灾减灾（项）:支出决算为4.5万元，完成预算100%。</w:t>
      </w:r>
    </w:p>
    <w:p>
      <w:pPr>
        <w:spacing w:line="600" w:lineRule="exact"/>
        <w:ind w:firstLine="640"/>
        <w:rPr>
          <w:rFonts w:eastAsia="仿宋_GB2312" w:cs="仿宋_GB2312"/>
          <w:sz w:val="32"/>
          <w:szCs w:val="32"/>
        </w:rPr>
      </w:pPr>
      <w:r>
        <w:rPr>
          <w:rFonts w:hint="eastAsia" w:eastAsia="仿宋_GB2312" w:cs="仿宋_GB2312"/>
          <w:sz w:val="32"/>
          <w:szCs w:val="32"/>
        </w:rPr>
        <w:t>16.</w:t>
      </w:r>
      <w:r>
        <w:rPr>
          <w:rFonts w:hint="eastAsia" w:eastAsia="仿宋_GB2312" w:cs="仿宋_GB2312"/>
          <w:sz w:val="32"/>
          <w:szCs w:val="32"/>
        </w:rPr>
        <w:tab/>
      </w:r>
      <w:r>
        <w:rPr>
          <w:rFonts w:hint="eastAsia" w:eastAsia="仿宋_GB2312" w:cs="仿宋_GB2312"/>
          <w:sz w:val="32"/>
          <w:szCs w:val="32"/>
        </w:rPr>
        <w:t>农林水支出（类）水利支出（款）防汛（项）:支出决算为4.99万元，完成预算100%。</w:t>
      </w:r>
    </w:p>
    <w:p>
      <w:pPr>
        <w:pStyle w:val="13"/>
        <w:rPr>
          <w:b/>
        </w:rPr>
      </w:pPr>
    </w:p>
    <w:p>
      <w:pPr>
        <w:spacing w:line="600" w:lineRule="exact"/>
        <w:ind w:firstLine="640"/>
        <w:rPr>
          <w:rFonts w:eastAsia="仿宋_GB2312" w:cs="仿宋_GB2312"/>
          <w:sz w:val="32"/>
          <w:szCs w:val="32"/>
        </w:rPr>
      </w:pPr>
      <w:r>
        <w:rPr>
          <w:rFonts w:hint="eastAsia" w:eastAsia="仿宋_GB2312" w:cs="仿宋_GB2312"/>
          <w:sz w:val="32"/>
          <w:szCs w:val="32"/>
        </w:rPr>
        <w:t>17.</w:t>
      </w:r>
      <w:r>
        <w:rPr>
          <w:rFonts w:hint="eastAsia" w:eastAsia="仿宋_GB2312" w:cs="仿宋_GB2312"/>
          <w:sz w:val="32"/>
          <w:szCs w:val="32"/>
        </w:rPr>
        <w:tab/>
      </w:r>
      <w:r>
        <w:rPr>
          <w:rFonts w:hint="eastAsia" w:eastAsia="仿宋_GB2312" w:cs="仿宋_GB2312"/>
          <w:sz w:val="32"/>
          <w:szCs w:val="32"/>
        </w:rPr>
        <w:t>农林水支出（类）巩固脱贫攻坚成果衔接乡村振兴（款）其他巩固脱贫攻坚成果衔接乡村振兴支出（项）:支出决算为543.78万元，完成预算100%。</w:t>
      </w:r>
    </w:p>
    <w:p>
      <w:pPr>
        <w:spacing w:line="600" w:lineRule="exact"/>
        <w:ind w:firstLine="640"/>
        <w:rPr>
          <w:rFonts w:eastAsia="仿宋_GB2312" w:cs="仿宋_GB2312"/>
          <w:sz w:val="32"/>
          <w:szCs w:val="32"/>
        </w:rPr>
      </w:pPr>
      <w:r>
        <w:rPr>
          <w:rFonts w:hint="eastAsia" w:eastAsia="仿宋_GB2312" w:cs="仿宋_GB2312"/>
          <w:sz w:val="32"/>
          <w:szCs w:val="32"/>
        </w:rPr>
        <w:t>18.</w:t>
      </w:r>
      <w:r>
        <w:rPr>
          <w:rFonts w:hint="eastAsia" w:eastAsia="仿宋_GB2312" w:cs="仿宋_GB2312"/>
          <w:sz w:val="32"/>
          <w:szCs w:val="32"/>
        </w:rPr>
        <w:tab/>
      </w:r>
      <w:r>
        <w:rPr>
          <w:rFonts w:hint="eastAsia" w:eastAsia="仿宋_GB2312" w:cs="仿宋_GB2312"/>
          <w:sz w:val="32"/>
          <w:szCs w:val="32"/>
        </w:rPr>
        <w:t>农林水支出（类）农村综合改革（款）其对村民委员会和村党支部的补助（项）:支出决算为234.96万元，完成预算100%。</w:t>
      </w:r>
    </w:p>
    <w:p>
      <w:pPr>
        <w:spacing w:line="600" w:lineRule="exact"/>
        <w:ind w:firstLine="640"/>
        <w:rPr>
          <w:rFonts w:eastAsia="仿宋_GB2312" w:cs="仿宋_GB2312"/>
          <w:sz w:val="32"/>
          <w:szCs w:val="32"/>
        </w:rPr>
      </w:pPr>
      <w:r>
        <w:rPr>
          <w:rFonts w:hint="eastAsia" w:eastAsia="仿宋_GB2312" w:cs="仿宋_GB2312"/>
          <w:sz w:val="32"/>
          <w:szCs w:val="32"/>
        </w:rPr>
        <w:t>19.</w:t>
      </w:r>
      <w:r>
        <w:rPr>
          <w:rFonts w:hint="eastAsia" w:eastAsia="仿宋_GB2312" w:cs="仿宋_GB2312"/>
          <w:sz w:val="32"/>
          <w:szCs w:val="32"/>
        </w:rPr>
        <w:tab/>
      </w:r>
      <w:r>
        <w:rPr>
          <w:rFonts w:hint="eastAsia" w:eastAsia="仿宋_GB2312" w:cs="仿宋_GB2312"/>
          <w:sz w:val="32"/>
          <w:szCs w:val="32"/>
        </w:rPr>
        <w:t>住房保障支出（类）住房改革支出（款）住房公积金（项）:支出决算为46.32万元，完成预算100%。</w:t>
      </w:r>
    </w:p>
    <w:p>
      <w:pPr>
        <w:spacing w:line="600" w:lineRule="exact"/>
        <w:ind w:firstLine="640"/>
        <w:rPr>
          <w:rFonts w:eastAsia="仿宋_GB2312" w:cs="仿宋_GB2312"/>
          <w:b/>
          <w:bCs/>
          <w:sz w:val="32"/>
          <w:szCs w:val="32"/>
        </w:rPr>
      </w:pPr>
      <w:r>
        <w:rPr>
          <w:rFonts w:hint="eastAsia" w:eastAsia="仿宋_GB2312" w:cs="仿宋_GB2312"/>
          <w:b/>
          <w:bCs/>
          <w:sz w:val="32"/>
          <w:szCs w:val="32"/>
        </w:rPr>
        <w:t>（注：仅罗列本部门涉及的全部功能分类科目，至项级。上述“预算”口径为全年预算数。增减变动原因为决算数&lt;项级&gt;和全年预算数&lt;项级&gt;比较，与预算数持平可以不写原因）</w:t>
      </w:r>
    </w:p>
    <w:p>
      <w:pPr>
        <w:spacing w:line="600" w:lineRule="exact"/>
        <w:ind w:firstLine="640"/>
        <w:rPr>
          <w:rFonts w:eastAsia="仿宋_GB2312" w:cs="仿宋_GB2312"/>
          <w:sz w:val="32"/>
          <w:szCs w:val="32"/>
        </w:rPr>
      </w:pPr>
    </w:p>
    <w:p>
      <w:pPr>
        <w:tabs>
          <w:tab w:val="right" w:pos="8306"/>
        </w:tabs>
        <w:spacing w:line="600" w:lineRule="exact"/>
        <w:ind w:firstLine="640"/>
        <w:outlineLvl w:val="1"/>
        <w:rPr>
          <w:rStyle w:val="29"/>
          <w:rFonts w:ascii="Times New Roman" w:hAnsi="Times New Roman"/>
        </w:rPr>
      </w:pPr>
      <w:bookmarkStart w:id="30" w:name="_Toc15377214"/>
      <w:bookmarkStart w:id="31" w:name="_Toc15396608"/>
      <w:r>
        <w:rPr>
          <w:rFonts w:hint="eastAsia" w:eastAsia="黑体"/>
          <w:sz w:val="32"/>
          <w:szCs w:val="32"/>
        </w:rPr>
        <w:t>六</w:t>
      </w:r>
      <w:r>
        <w:rPr>
          <w:rFonts w:hint="eastAsia" w:eastAsia="黑体"/>
          <w:b/>
          <w:sz w:val="32"/>
          <w:szCs w:val="32"/>
        </w:rPr>
        <w:t>、一</w:t>
      </w:r>
      <w:r>
        <w:rPr>
          <w:rStyle w:val="29"/>
          <w:rFonts w:hint="eastAsia" w:ascii="Times New Roman" w:hAnsi="Times New Roman" w:eastAsia="黑体"/>
          <w:b w:val="0"/>
        </w:rPr>
        <w:t>般公共预算财政拨款基本支出决算情况说明</w:t>
      </w:r>
      <w:bookmarkEnd w:id="30"/>
      <w:bookmarkEnd w:id="31"/>
      <w:r>
        <w:rPr>
          <w:rStyle w:val="29"/>
          <w:rFonts w:ascii="Times New Roman" w:hAnsi="Times New Roman" w:eastAsia="黑体"/>
          <w:b w:val="0"/>
        </w:rPr>
        <w:tab/>
      </w:r>
    </w:p>
    <w:p>
      <w:pPr>
        <w:spacing w:line="600" w:lineRule="exact"/>
        <w:ind w:firstLine="640"/>
        <w:rPr>
          <w:rFonts w:eastAsia="仿宋_GB2312" w:cs="仿宋_GB2312"/>
          <w:sz w:val="32"/>
          <w:szCs w:val="32"/>
        </w:rPr>
      </w:pPr>
      <w:r>
        <w:rPr>
          <w:rFonts w:hint="eastAsia" w:eastAsia="仿宋_GB2312" w:cs="仿宋_GB2312"/>
          <w:sz w:val="32"/>
          <w:szCs w:val="32"/>
        </w:rPr>
        <w:t>2024年度一般公共预算财政拨款基本支出</w:t>
      </w:r>
      <w:r>
        <w:rPr>
          <w:rFonts w:hint="eastAsia" w:ascii="仿宋_GB2312" w:hAnsi="仿宋_GB2312" w:eastAsia="仿宋_GB2312" w:cs="仿宋_GB2312"/>
          <w:sz w:val="32"/>
          <w:szCs w:val="32"/>
        </w:rPr>
        <w:t>689.36万</w:t>
      </w:r>
      <w:r>
        <w:rPr>
          <w:rFonts w:hint="eastAsia" w:eastAsia="仿宋_GB2312" w:cs="仿宋_GB2312"/>
          <w:sz w:val="32"/>
          <w:szCs w:val="32"/>
        </w:rPr>
        <w:t>元，其中：</w:t>
      </w:r>
    </w:p>
    <w:p>
      <w:pPr>
        <w:spacing w:line="600" w:lineRule="exact"/>
        <w:ind w:firstLine="640"/>
        <w:rPr>
          <w:rFonts w:eastAsia="仿宋_GB2312" w:cs="仿宋_GB2312"/>
          <w:sz w:val="32"/>
          <w:szCs w:val="32"/>
        </w:rPr>
      </w:pPr>
      <w:r>
        <w:rPr>
          <w:rFonts w:hint="eastAsia" w:eastAsia="仿宋_GB2312" w:cs="仿宋_GB2312"/>
          <w:sz w:val="32"/>
          <w:szCs w:val="32"/>
        </w:rPr>
        <w:t>人员经费</w:t>
      </w:r>
      <w:r>
        <w:rPr>
          <w:rFonts w:hint="eastAsia" w:ascii="仿宋_GB2312" w:hAnsi="仿宋_GB2312" w:eastAsia="仿宋_GB2312" w:cs="仿宋_GB2312"/>
          <w:sz w:val="32"/>
          <w:szCs w:val="32"/>
        </w:rPr>
        <w:t>626.06万</w:t>
      </w:r>
      <w:r>
        <w:rPr>
          <w:rFonts w:hint="eastAsia" w:eastAsia="仿宋_GB2312" w:cs="仿宋_GB2312"/>
          <w:sz w:val="32"/>
          <w:szCs w:val="32"/>
        </w:rPr>
        <w:t>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r>
        <w:rPr>
          <w:rFonts w:hint="eastAsia" w:eastAsia="仿宋_GB2312" w:cs="仿宋_GB2312"/>
          <w:sz w:val="32"/>
          <w:szCs w:val="32"/>
        </w:rPr>
        <w:br w:type="textWrapping"/>
      </w:r>
      <w:r>
        <w:rPr>
          <w:rFonts w:hint="eastAsia" w:eastAsia="仿宋_GB2312" w:cs="仿宋_GB2312"/>
          <w:sz w:val="32"/>
          <w:szCs w:val="32"/>
        </w:rPr>
        <w:t>　　公用经费</w:t>
      </w:r>
      <w:r>
        <w:rPr>
          <w:rFonts w:hint="eastAsia" w:ascii="仿宋_GB2312" w:hAnsi="仿宋_GB2312" w:eastAsia="仿宋_GB2312" w:cs="仿宋_GB2312"/>
          <w:sz w:val="32"/>
          <w:szCs w:val="32"/>
        </w:rPr>
        <w:t>63.31万</w:t>
      </w:r>
      <w:r>
        <w:rPr>
          <w:rFonts w:hint="eastAsia" w:eastAsia="仿宋_GB2312" w:cs="仿宋_GB2312"/>
          <w:sz w:val="32"/>
          <w:szCs w:val="32"/>
        </w:rPr>
        <w:t>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pPr>
        <w:spacing w:line="600" w:lineRule="exact"/>
        <w:ind w:firstLine="640"/>
        <w:rPr>
          <w:rFonts w:eastAsia="仿宋_GB2312" w:cs="仿宋_GB2312"/>
          <w:b/>
          <w:bCs/>
          <w:sz w:val="32"/>
          <w:szCs w:val="32"/>
        </w:rPr>
      </w:pPr>
      <w:r>
        <w:rPr>
          <w:rFonts w:hint="eastAsia" w:eastAsia="仿宋_GB2312" w:cs="仿宋_GB2312"/>
          <w:b/>
          <w:bCs/>
          <w:sz w:val="32"/>
          <w:szCs w:val="32"/>
        </w:rPr>
        <w:t>（注：仅罗列本部门实际支出涉及的经济分类科目）</w:t>
      </w:r>
    </w:p>
    <w:p>
      <w:pPr>
        <w:spacing w:line="600" w:lineRule="exact"/>
        <w:ind w:firstLine="640"/>
        <w:rPr>
          <w:rFonts w:eastAsia="仿宋_GB2312" w:cs="仿宋_GB2312"/>
          <w:sz w:val="32"/>
          <w:szCs w:val="32"/>
        </w:rPr>
      </w:pPr>
    </w:p>
    <w:p>
      <w:pPr>
        <w:spacing w:line="600" w:lineRule="exact"/>
        <w:ind w:firstLine="640"/>
        <w:outlineLvl w:val="1"/>
        <w:rPr>
          <w:rStyle w:val="29"/>
          <w:rFonts w:ascii="Times New Roman" w:hAnsi="Times New Roman" w:eastAsia="黑体"/>
          <w:b w:val="0"/>
        </w:rPr>
      </w:pPr>
      <w:bookmarkStart w:id="32" w:name="_Toc15377215"/>
      <w:bookmarkStart w:id="33" w:name="_Toc15396609"/>
      <w:r>
        <w:rPr>
          <w:rFonts w:hint="eastAsia" w:eastAsia="黑体"/>
          <w:sz w:val="32"/>
          <w:szCs w:val="32"/>
        </w:rPr>
        <w:t>七、</w:t>
      </w:r>
      <w:r>
        <w:rPr>
          <w:rStyle w:val="29"/>
          <w:rFonts w:hint="eastAsia" w:ascii="Times New Roman" w:hAnsi="Times New Roman" w:eastAsia="黑体"/>
          <w:b w:val="0"/>
        </w:rPr>
        <w:t>财政拨款</w:t>
      </w:r>
      <w:r>
        <w:rPr>
          <w:rStyle w:val="29"/>
          <w:rFonts w:hint="eastAsia" w:ascii="Times New Roman" w:hAnsi="Times New Roman" w:eastAsia="黑体"/>
        </w:rPr>
        <w:t>“</w:t>
      </w:r>
      <w:r>
        <w:rPr>
          <w:rStyle w:val="29"/>
          <w:rFonts w:hint="eastAsia" w:ascii="Times New Roman" w:hAnsi="Times New Roman" w:eastAsia="黑体"/>
          <w:b w:val="0"/>
        </w:rPr>
        <w:t>三公”经费支出决算情况说明</w:t>
      </w:r>
      <w:bookmarkEnd w:id="32"/>
      <w:bookmarkEnd w:id="33"/>
    </w:p>
    <w:p>
      <w:pPr>
        <w:spacing w:line="600" w:lineRule="exact"/>
        <w:ind w:firstLine="643" w:firstLineChars="200"/>
        <w:outlineLvl w:val="2"/>
        <w:rPr>
          <w:rFonts w:eastAsia="楷体_GB2312" w:cs="楷体_GB2312"/>
          <w:b/>
          <w:sz w:val="32"/>
          <w:szCs w:val="32"/>
        </w:rPr>
      </w:pPr>
      <w:bookmarkStart w:id="34" w:name="_Toc15377216"/>
      <w:r>
        <w:rPr>
          <w:rFonts w:hint="eastAsia" w:eastAsia="楷体_GB2312" w:cs="楷体_GB2312"/>
          <w:b/>
          <w:sz w:val="32"/>
          <w:szCs w:val="32"/>
        </w:rPr>
        <w:t>（一）“三公”经费财政拨款支出决算总体情况说明</w:t>
      </w:r>
      <w:bookmarkEnd w:id="34"/>
    </w:p>
    <w:p>
      <w:pPr>
        <w:spacing w:line="600" w:lineRule="exact"/>
        <w:ind w:firstLine="640"/>
        <w:rPr>
          <w:rFonts w:eastAsia="仿宋_GB2312" w:cs="仿宋_GB2312"/>
          <w:sz w:val="32"/>
          <w:szCs w:val="32"/>
        </w:rPr>
      </w:pPr>
      <w:r>
        <w:rPr>
          <w:rFonts w:hint="eastAsia" w:eastAsia="仿宋_GB2312" w:cs="仿宋_GB2312"/>
          <w:sz w:val="32"/>
          <w:szCs w:val="32"/>
        </w:rPr>
        <w:t>2024年度“三公”经费财政拨款支出决算为</w:t>
      </w:r>
      <w:r>
        <w:rPr>
          <w:rFonts w:hint="eastAsia" w:ascii="仿宋_GB2312" w:hAnsi="仿宋_GB2312" w:eastAsia="仿宋_GB2312" w:cs="仿宋_GB2312"/>
          <w:sz w:val="32"/>
          <w:szCs w:val="32"/>
        </w:rPr>
        <w:t>6万元，完成预算100%，</w:t>
      </w:r>
      <w:r>
        <w:rPr>
          <w:rFonts w:hint="eastAsia" w:eastAsia="仿宋_GB2312" w:cs="仿宋_GB2312"/>
          <w:sz w:val="32"/>
          <w:szCs w:val="32"/>
        </w:rPr>
        <w:t>较上年度持平。决算数与预算数持平的主要原因是未发生变化。</w:t>
      </w:r>
    </w:p>
    <w:p>
      <w:pPr>
        <w:spacing w:line="600" w:lineRule="exact"/>
        <w:ind w:firstLine="640"/>
        <w:rPr>
          <w:rFonts w:eastAsia="仿宋_GB2312" w:cs="仿宋_GB2312"/>
          <w:b/>
          <w:bCs/>
          <w:sz w:val="32"/>
          <w:szCs w:val="32"/>
        </w:rPr>
      </w:pPr>
      <w:r>
        <w:rPr>
          <w:rFonts w:hint="eastAsia" w:eastAsia="仿宋_GB2312" w:cs="仿宋_GB2312"/>
          <w:b/>
          <w:bCs/>
          <w:sz w:val="32"/>
          <w:szCs w:val="32"/>
        </w:rPr>
        <w:t>（注：上述“预算”口径为全年预算数，包括一般公共预算和政府性基金预算财政拨款支出决算情况）</w:t>
      </w:r>
    </w:p>
    <w:p>
      <w:pPr>
        <w:spacing w:line="600" w:lineRule="exact"/>
        <w:ind w:firstLine="643" w:firstLineChars="200"/>
        <w:outlineLvl w:val="2"/>
        <w:rPr>
          <w:rFonts w:eastAsia="楷体_GB2312" w:cs="楷体_GB2312"/>
          <w:b/>
          <w:sz w:val="32"/>
          <w:szCs w:val="32"/>
        </w:rPr>
      </w:pPr>
      <w:bookmarkStart w:id="35" w:name="_Toc15377217"/>
      <w:r>
        <w:rPr>
          <w:rFonts w:hint="eastAsia" w:eastAsia="楷体_GB2312" w:cs="楷体_GB2312"/>
          <w:b/>
          <w:sz w:val="32"/>
          <w:szCs w:val="32"/>
        </w:rPr>
        <w:t>（二）“三公”经费财政拨款支出决算具体情况说明</w:t>
      </w:r>
      <w:bookmarkEnd w:id="35"/>
    </w:p>
    <w:p>
      <w:pPr>
        <w:spacing w:line="60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2024年度“三公”经费财政拨款支出决算中，因公出国（境）费支出决算0万元，占0%；公务用车购置及运行维护费支出决算6万元，占100%；公务接待费支出决算0万元，占0%。具体情况如下：</w:t>
      </w:r>
    </w:p>
    <w:p>
      <w:pPr>
        <w:pStyle w:val="13"/>
      </w:pPr>
    </w:p>
    <w:p>
      <w:pPr>
        <w:pStyle w:val="2"/>
        <w:ind w:left="420"/>
      </w:pPr>
      <w:r>
        <w:rPr>
          <w:rFonts w:ascii="Times New Roman"/>
        </w:rPr>
        <w:drawing>
          <wp:inline distT="0" distB="0" distL="114300" distR="114300">
            <wp:extent cx="4572000" cy="2743200"/>
            <wp:effectExtent l="4445" t="4445" r="14605" b="14605"/>
            <wp:docPr id="8"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pPr>
        <w:spacing w:line="600" w:lineRule="exact"/>
        <w:ind w:firstLine="640"/>
        <w:rPr>
          <w:rFonts w:eastAsia="仿宋_GB2312" w:cs="仿宋_GB2312"/>
          <w:sz w:val="32"/>
          <w:szCs w:val="32"/>
        </w:rPr>
      </w:pPr>
      <w:r>
        <w:rPr>
          <w:rFonts w:hint="eastAsia" w:eastAsia="仿宋_GB2312" w:cs="仿宋_GB2312"/>
          <w:sz w:val="32"/>
          <w:szCs w:val="32"/>
        </w:rPr>
        <w:t>（图7：“三公”经费财政拨款支出结构）（饼状图）</w:t>
      </w:r>
    </w:p>
    <w:p>
      <w:pPr>
        <w:spacing w:line="600" w:lineRule="exact"/>
        <w:ind w:firstLine="640"/>
        <w:rPr>
          <w:rFonts w:eastAsia="仿宋_GB2312" w:cs="仿宋_GB2312"/>
          <w:sz w:val="32"/>
          <w:szCs w:val="32"/>
        </w:rPr>
      </w:pPr>
      <w:r>
        <w:rPr>
          <w:rFonts w:hint="eastAsia" w:eastAsia="仿宋_GB2312" w:cs="仿宋_GB2312"/>
          <w:b/>
          <w:bCs/>
          <w:sz w:val="32"/>
          <w:szCs w:val="32"/>
        </w:rPr>
        <w:t>1.因公出国（境）经费支出0万元，完成预算0%。</w:t>
      </w:r>
      <w:r>
        <w:rPr>
          <w:rFonts w:hint="eastAsia" w:eastAsia="仿宋_GB2312" w:cs="仿宋_GB2312"/>
          <w:sz w:val="32"/>
          <w:szCs w:val="32"/>
        </w:rPr>
        <w:t>全年安排因公出国（境）团</w:t>
      </w:r>
      <w:r>
        <w:rPr>
          <w:rFonts w:hint="eastAsia" w:ascii="仿宋_GB2312" w:hAnsi="仿宋_GB2312" w:eastAsia="仿宋_GB2312" w:cs="仿宋_GB2312"/>
          <w:sz w:val="32"/>
          <w:szCs w:val="32"/>
        </w:rPr>
        <w:t>组0</w:t>
      </w:r>
      <w:r>
        <w:rPr>
          <w:rFonts w:hint="eastAsia" w:eastAsia="仿宋_GB2312" w:cs="仿宋_GB2312"/>
          <w:sz w:val="32"/>
          <w:szCs w:val="32"/>
        </w:rPr>
        <w:t>次，出国（境）</w:t>
      </w:r>
      <w:r>
        <w:rPr>
          <w:rFonts w:hint="eastAsia" w:ascii="仿宋_GB2312" w:hAnsi="仿宋_GB2312" w:eastAsia="仿宋_GB2312" w:cs="仿宋_GB2312"/>
          <w:sz w:val="32"/>
          <w:szCs w:val="32"/>
        </w:rPr>
        <w:t>0人</w:t>
      </w:r>
      <w:r>
        <w:rPr>
          <w:rFonts w:hint="eastAsia" w:eastAsia="仿宋_GB2312" w:cs="仿宋_GB2312"/>
          <w:sz w:val="32"/>
          <w:szCs w:val="32"/>
        </w:rPr>
        <w:t>。因公出国（境）支出决算比2023年持平。</w:t>
      </w:r>
    </w:p>
    <w:p>
      <w:pPr>
        <w:spacing w:line="600" w:lineRule="exact"/>
        <w:ind w:firstLine="640"/>
        <w:rPr>
          <w:rFonts w:eastAsia="仿宋_GB2312" w:cs="仿宋_GB2312"/>
          <w:sz w:val="32"/>
          <w:szCs w:val="32"/>
        </w:rPr>
      </w:pPr>
      <w:r>
        <w:rPr>
          <w:rFonts w:hint="eastAsia" w:eastAsia="仿宋_GB2312" w:cs="仿宋_GB2312"/>
          <w:b/>
          <w:bCs/>
          <w:sz w:val="32"/>
          <w:szCs w:val="32"/>
        </w:rPr>
        <w:t>2.公务用车购置及运行维护费支出</w:t>
      </w:r>
      <w:r>
        <w:rPr>
          <w:rFonts w:hint="eastAsia" w:ascii="仿宋_GB2312" w:hAnsi="仿宋_GB2312" w:eastAsia="仿宋_GB2312" w:cs="仿宋_GB2312"/>
          <w:b/>
          <w:bCs/>
          <w:sz w:val="32"/>
          <w:szCs w:val="32"/>
        </w:rPr>
        <w:t>6万</w:t>
      </w:r>
      <w:r>
        <w:rPr>
          <w:rFonts w:hint="eastAsia" w:eastAsia="仿宋_GB2312" w:cs="仿宋_GB2312"/>
          <w:b/>
          <w:bCs/>
          <w:sz w:val="32"/>
          <w:szCs w:val="32"/>
        </w:rPr>
        <w:t>元，完成预算100%。</w:t>
      </w:r>
      <w:r>
        <w:rPr>
          <w:rFonts w:hint="eastAsia" w:eastAsia="仿宋_GB2312" w:cs="仿宋_GB2312"/>
          <w:sz w:val="32"/>
          <w:szCs w:val="32"/>
        </w:rPr>
        <w:t>公务用车购置及运行维护费支出决算比2023年度增持平。</w:t>
      </w:r>
    </w:p>
    <w:p>
      <w:pPr>
        <w:spacing w:line="600" w:lineRule="exact"/>
        <w:ind w:firstLine="640"/>
        <w:rPr>
          <w:rFonts w:eastAsia="仿宋_GB2312" w:cs="仿宋_GB2312"/>
          <w:sz w:val="32"/>
          <w:szCs w:val="32"/>
        </w:rPr>
      </w:pPr>
      <w:r>
        <w:rPr>
          <w:rFonts w:hint="eastAsia" w:eastAsia="仿宋_GB2312" w:cs="仿宋_GB2312"/>
          <w:sz w:val="32"/>
          <w:szCs w:val="32"/>
        </w:rPr>
        <w:t>其中：公务用车购置支</w:t>
      </w:r>
      <w:r>
        <w:rPr>
          <w:rFonts w:hint="eastAsia" w:ascii="仿宋_GB2312" w:hAnsi="仿宋_GB2312" w:eastAsia="仿宋_GB2312" w:cs="仿宋_GB2312"/>
          <w:sz w:val="32"/>
          <w:szCs w:val="32"/>
        </w:rPr>
        <w:t>出0</w:t>
      </w:r>
      <w:r>
        <w:rPr>
          <w:rFonts w:hint="eastAsia" w:eastAsia="仿宋_GB2312" w:cs="仿宋_GB2312"/>
          <w:sz w:val="32"/>
          <w:szCs w:val="32"/>
        </w:rPr>
        <w:t>万元。</w:t>
      </w:r>
      <w:r>
        <w:rPr>
          <w:rFonts w:eastAsia="仿宋_GB2312"/>
          <w:sz w:val="32"/>
          <w:szCs w:val="32"/>
        </w:rPr>
        <w:t>全年按规定更新购置公务用车0辆。截至202</w:t>
      </w:r>
      <w:r>
        <w:rPr>
          <w:rFonts w:hint="eastAsia" w:eastAsia="仿宋_GB2312"/>
          <w:sz w:val="32"/>
          <w:szCs w:val="32"/>
        </w:rPr>
        <w:t>4</w:t>
      </w:r>
      <w:r>
        <w:rPr>
          <w:rFonts w:eastAsia="仿宋_GB2312"/>
          <w:sz w:val="32"/>
          <w:szCs w:val="32"/>
        </w:rPr>
        <w:t>年12月31日，单位共有公务用车</w:t>
      </w:r>
      <w:r>
        <w:rPr>
          <w:rFonts w:hint="eastAsia" w:eastAsia="仿宋_GB2312"/>
          <w:sz w:val="32"/>
          <w:szCs w:val="32"/>
        </w:rPr>
        <w:t>3</w:t>
      </w:r>
      <w:r>
        <w:rPr>
          <w:rFonts w:eastAsia="仿宋_GB2312"/>
          <w:sz w:val="32"/>
          <w:szCs w:val="32"/>
        </w:rPr>
        <w:t>辆，其中越野车1辆</w:t>
      </w:r>
      <w:r>
        <w:rPr>
          <w:rFonts w:hint="eastAsia" w:eastAsia="仿宋_GB2312"/>
          <w:sz w:val="32"/>
          <w:szCs w:val="32"/>
        </w:rPr>
        <w:t>，</w:t>
      </w:r>
      <w:r>
        <w:rPr>
          <w:rFonts w:hint="eastAsia" w:eastAsia="仿宋_GB2312" w:cs="仿宋_GB2312"/>
          <w:sz w:val="32"/>
          <w:szCs w:val="32"/>
        </w:rPr>
        <w:t>主要用于应急保障。</w:t>
      </w:r>
    </w:p>
    <w:p>
      <w:pPr>
        <w:spacing w:line="600" w:lineRule="exact"/>
        <w:ind w:firstLine="640"/>
        <w:rPr>
          <w:rFonts w:eastAsia="仿宋_GB2312" w:cs="仿宋_GB2312"/>
          <w:sz w:val="32"/>
          <w:szCs w:val="32"/>
        </w:rPr>
      </w:pPr>
      <w:r>
        <w:rPr>
          <w:rFonts w:hint="eastAsia" w:eastAsia="仿宋_GB2312" w:cs="仿宋_GB2312"/>
          <w:sz w:val="32"/>
          <w:szCs w:val="32"/>
        </w:rPr>
        <w:t>公务用车运行维护费支</w:t>
      </w:r>
      <w:r>
        <w:rPr>
          <w:rFonts w:hint="eastAsia" w:ascii="仿宋_GB2312" w:hAnsi="仿宋_GB2312" w:eastAsia="仿宋_GB2312" w:cs="仿宋_GB2312"/>
          <w:sz w:val="32"/>
          <w:szCs w:val="32"/>
        </w:rPr>
        <w:t>出6</w:t>
      </w:r>
      <w:r>
        <w:rPr>
          <w:rFonts w:hint="eastAsia" w:eastAsia="仿宋_GB2312" w:cs="仿宋_GB2312"/>
          <w:sz w:val="32"/>
          <w:szCs w:val="32"/>
        </w:rPr>
        <w:t>万元。主要用于所需的公务用车燃料费、维修费、过路过桥费、保险费等支出。</w:t>
      </w:r>
    </w:p>
    <w:p>
      <w:pPr>
        <w:spacing w:line="600" w:lineRule="exact"/>
        <w:ind w:firstLine="640"/>
        <w:rPr>
          <w:rFonts w:eastAsia="仿宋_GB2312" w:cs="仿宋_GB2312"/>
          <w:sz w:val="32"/>
          <w:szCs w:val="32"/>
        </w:rPr>
      </w:pPr>
      <w:r>
        <w:rPr>
          <w:rFonts w:hint="eastAsia" w:eastAsia="仿宋_GB2312" w:cs="仿宋_GB2312"/>
          <w:b/>
          <w:bCs/>
          <w:sz w:val="32"/>
          <w:szCs w:val="32"/>
        </w:rPr>
        <w:t>3.公务接待费支出</w:t>
      </w:r>
      <w:r>
        <w:rPr>
          <w:rFonts w:hint="eastAsia" w:ascii="仿宋_GB2312" w:hAnsi="仿宋_GB2312" w:eastAsia="仿宋_GB2312" w:cs="仿宋_GB2312"/>
          <w:b/>
          <w:bCs/>
          <w:sz w:val="32"/>
          <w:szCs w:val="32"/>
        </w:rPr>
        <w:t>0万</w:t>
      </w:r>
      <w:r>
        <w:rPr>
          <w:rFonts w:hint="eastAsia" w:eastAsia="仿宋_GB2312" w:cs="仿宋_GB2312"/>
          <w:b/>
          <w:bCs/>
          <w:sz w:val="32"/>
          <w:szCs w:val="32"/>
        </w:rPr>
        <w:t>元，完成预算0%。</w:t>
      </w:r>
      <w:r>
        <w:rPr>
          <w:rFonts w:hint="eastAsia" w:eastAsia="仿宋_GB2312" w:cs="仿宋_GB2312"/>
          <w:sz w:val="32"/>
          <w:szCs w:val="32"/>
        </w:rPr>
        <w:t>公务接待费支出决算比2023年度持平。</w:t>
      </w:r>
    </w:p>
    <w:p>
      <w:pPr>
        <w:spacing w:line="600" w:lineRule="exact"/>
        <w:ind w:firstLine="640"/>
        <w:rPr>
          <w:rFonts w:eastAsia="仿宋_GB2312" w:cs="仿宋_GB2312"/>
          <w:sz w:val="32"/>
          <w:szCs w:val="32"/>
        </w:rPr>
      </w:pPr>
      <w:r>
        <w:rPr>
          <w:rFonts w:hint="eastAsia" w:eastAsia="仿宋_GB2312" w:cs="仿宋_GB2312"/>
          <w:sz w:val="32"/>
          <w:szCs w:val="32"/>
        </w:rPr>
        <w:t>国内公务接待支</w:t>
      </w:r>
      <w:r>
        <w:rPr>
          <w:rFonts w:hint="eastAsia" w:ascii="仿宋_GB2312" w:hAnsi="仿宋_GB2312" w:eastAsia="仿宋_GB2312" w:cs="仿宋_GB2312"/>
          <w:sz w:val="32"/>
          <w:szCs w:val="32"/>
        </w:rPr>
        <w:t>出0万</w:t>
      </w:r>
      <w:r>
        <w:rPr>
          <w:rFonts w:hint="eastAsia" w:eastAsia="仿宋_GB2312" w:cs="仿宋_GB2312"/>
          <w:sz w:val="32"/>
          <w:szCs w:val="32"/>
        </w:rPr>
        <w:t>元，国内公务接</w:t>
      </w:r>
      <w:r>
        <w:rPr>
          <w:rFonts w:hint="eastAsia" w:ascii="仿宋_GB2312" w:hAnsi="仿宋_GB2312" w:eastAsia="仿宋_GB2312" w:cs="仿宋_GB2312"/>
          <w:sz w:val="32"/>
          <w:szCs w:val="32"/>
        </w:rPr>
        <w:t>待0批次，0</w:t>
      </w:r>
      <w:r>
        <w:rPr>
          <w:rFonts w:hint="eastAsia" w:eastAsia="仿宋_GB2312" w:cs="仿宋_GB2312"/>
          <w:sz w:val="32"/>
          <w:szCs w:val="32"/>
        </w:rPr>
        <w:t>人次（不包括陪同人员），共计支出0万元。</w:t>
      </w:r>
    </w:p>
    <w:p>
      <w:pPr>
        <w:spacing w:line="600" w:lineRule="exact"/>
        <w:ind w:firstLine="640"/>
        <w:rPr>
          <w:rFonts w:eastAsia="仿宋_GB2312" w:cs="仿宋_GB2312"/>
          <w:sz w:val="32"/>
          <w:szCs w:val="32"/>
        </w:rPr>
      </w:pPr>
      <w:r>
        <w:rPr>
          <w:rFonts w:hint="eastAsia" w:eastAsia="仿宋_GB2312" w:cs="仿宋_GB2312"/>
          <w:sz w:val="32"/>
          <w:szCs w:val="32"/>
        </w:rPr>
        <w:t>外事接待支</w:t>
      </w:r>
      <w:r>
        <w:rPr>
          <w:rFonts w:hint="eastAsia" w:ascii="仿宋_GB2312" w:hAnsi="仿宋_GB2312" w:eastAsia="仿宋_GB2312" w:cs="仿宋_GB2312"/>
          <w:sz w:val="32"/>
          <w:szCs w:val="32"/>
        </w:rPr>
        <w:t>出0万元，外事接待0批次，0人次（不包括陪同人员），共计支出0万</w:t>
      </w:r>
      <w:r>
        <w:rPr>
          <w:rFonts w:hint="eastAsia" w:eastAsia="仿宋_GB2312" w:cs="仿宋_GB2312"/>
          <w:sz w:val="32"/>
          <w:szCs w:val="32"/>
        </w:rPr>
        <w:t>元。</w:t>
      </w:r>
    </w:p>
    <w:p>
      <w:pPr>
        <w:spacing w:line="600" w:lineRule="exact"/>
        <w:ind w:firstLine="640"/>
        <w:rPr>
          <w:rFonts w:eastAsia="仿宋_GB2312" w:cs="仿宋_GB2312"/>
          <w:sz w:val="32"/>
          <w:szCs w:val="32"/>
        </w:rPr>
      </w:pPr>
      <w:bookmarkStart w:id="36" w:name="_Toc15396610"/>
      <w:bookmarkStart w:id="37" w:name="_Toc15377218"/>
    </w:p>
    <w:p>
      <w:pPr>
        <w:spacing w:line="600" w:lineRule="exact"/>
        <w:ind w:firstLine="640"/>
        <w:outlineLvl w:val="1"/>
        <w:rPr>
          <w:rStyle w:val="29"/>
          <w:rFonts w:ascii="Times New Roman" w:hAnsi="Times New Roman" w:eastAsia="黑体"/>
        </w:rPr>
      </w:pPr>
      <w:r>
        <w:rPr>
          <w:rFonts w:hint="eastAsia" w:eastAsia="黑体"/>
          <w:sz w:val="32"/>
          <w:szCs w:val="32"/>
        </w:rPr>
        <w:t>八、</w:t>
      </w:r>
      <w:r>
        <w:rPr>
          <w:rStyle w:val="29"/>
          <w:rFonts w:hint="eastAsia" w:ascii="Times New Roman" w:hAnsi="Times New Roman" w:eastAsia="黑体"/>
          <w:b w:val="0"/>
        </w:rPr>
        <w:t>政府性基金预算支出决算情况说明</w:t>
      </w:r>
      <w:bookmarkEnd w:id="36"/>
      <w:bookmarkEnd w:id="37"/>
    </w:p>
    <w:p>
      <w:pPr>
        <w:spacing w:line="600" w:lineRule="exact"/>
        <w:ind w:firstLine="640"/>
        <w:rPr>
          <w:rFonts w:eastAsia="仿宋_GB2312" w:cs="仿宋_GB2312"/>
          <w:b/>
          <w:bCs/>
          <w:sz w:val="32"/>
          <w:szCs w:val="32"/>
        </w:rPr>
      </w:pPr>
      <w:r>
        <w:rPr>
          <w:rFonts w:hint="eastAsia" w:ascii="仿宋_GB2312" w:hAnsi="仿宋_GB2312" w:eastAsia="仿宋_GB2312" w:cs="仿宋_GB2312"/>
          <w:sz w:val="32"/>
          <w:szCs w:val="32"/>
        </w:rPr>
        <w:t>2024年度政府性基金预算财政拨款支出71.76万元，占本年支出合计的4.45%</w:t>
      </w:r>
      <w:r>
        <w:rPr>
          <w:rFonts w:hint="eastAsia" w:eastAsia="仿宋_GB2312" w:cs="仿宋_GB2312"/>
          <w:sz w:val="32"/>
          <w:szCs w:val="32"/>
        </w:rPr>
        <w:t>。</w:t>
      </w:r>
    </w:p>
    <w:p>
      <w:pPr>
        <w:spacing w:line="600" w:lineRule="exact"/>
        <w:ind w:firstLine="640"/>
        <w:rPr>
          <w:rFonts w:eastAsia="仿宋_GB2312" w:cs="仿宋_GB2312"/>
          <w:sz w:val="32"/>
          <w:szCs w:val="32"/>
        </w:rPr>
      </w:pPr>
    </w:p>
    <w:p>
      <w:pPr>
        <w:spacing w:line="600" w:lineRule="exact"/>
        <w:ind w:left="630"/>
        <w:outlineLvl w:val="1"/>
        <w:rPr>
          <w:rStyle w:val="29"/>
          <w:rFonts w:ascii="Times New Roman" w:hAnsi="Times New Roman" w:eastAsia="黑体"/>
          <w:b w:val="0"/>
        </w:rPr>
      </w:pPr>
      <w:bookmarkStart w:id="38" w:name="_Toc15396611"/>
      <w:bookmarkStart w:id="39" w:name="_Toc15377219"/>
      <w:r>
        <w:rPr>
          <w:rStyle w:val="29"/>
          <w:rFonts w:hint="eastAsia" w:ascii="Times New Roman" w:hAnsi="Times New Roman" w:eastAsia="黑体"/>
          <w:b w:val="0"/>
        </w:rPr>
        <w:t>九、国有资本经营预算支出决算情况说明</w:t>
      </w:r>
      <w:bookmarkEnd w:id="38"/>
      <w:bookmarkEnd w:id="39"/>
    </w:p>
    <w:p>
      <w:pPr>
        <w:spacing w:line="600" w:lineRule="exact"/>
        <w:ind w:firstLine="640"/>
        <w:rPr>
          <w:rFonts w:eastAsia="仿宋_GB2312" w:cs="仿宋_GB2312"/>
          <w:sz w:val="32"/>
          <w:szCs w:val="32"/>
        </w:rPr>
      </w:pPr>
      <w:r>
        <w:rPr>
          <w:rFonts w:hint="eastAsia" w:eastAsia="仿宋_GB2312" w:cs="仿宋_GB2312"/>
          <w:sz w:val="32"/>
          <w:szCs w:val="32"/>
        </w:rPr>
        <w:t>2024年度国有资本经营预算财政拨款支出</w:t>
      </w:r>
      <w:r>
        <w:rPr>
          <w:rFonts w:hint="eastAsia" w:ascii="仿宋_GB2312" w:hAnsi="仿宋_GB2312" w:eastAsia="仿宋_GB2312" w:cs="仿宋_GB2312"/>
          <w:sz w:val="32"/>
          <w:szCs w:val="32"/>
        </w:rPr>
        <w:t>0万元，占本年支出合计的0%</w:t>
      </w:r>
      <w:r>
        <w:rPr>
          <w:rFonts w:hint="eastAsia" w:eastAsia="仿宋_GB2312" w:cs="仿宋_GB2312"/>
          <w:sz w:val="32"/>
          <w:szCs w:val="32"/>
        </w:rPr>
        <w:t>。与2023年度相比，国有资本经营预算财政拨款支出持平。</w:t>
      </w:r>
    </w:p>
    <w:p>
      <w:pPr>
        <w:spacing w:line="600" w:lineRule="exact"/>
        <w:ind w:firstLine="640"/>
        <w:rPr>
          <w:rFonts w:eastAsia="仿宋_GB2312" w:cs="仿宋_GB2312"/>
          <w:sz w:val="32"/>
          <w:szCs w:val="32"/>
        </w:rPr>
      </w:pPr>
    </w:p>
    <w:p>
      <w:pPr>
        <w:spacing w:line="600" w:lineRule="exact"/>
        <w:ind w:left="630"/>
        <w:outlineLvl w:val="1"/>
        <w:rPr>
          <w:rStyle w:val="29"/>
          <w:rFonts w:ascii="Times New Roman" w:hAnsi="Times New Roman" w:eastAsia="黑体"/>
          <w:b w:val="0"/>
        </w:rPr>
      </w:pPr>
      <w:bookmarkStart w:id="40" w:name="_Toc15377221"/>
      <w:bookmarkStart w:id="41" w:name="_Toc15396612"/>
      <w:r>
        <w:rPr>
          <w:rStyle w:val="29"/>
          <w:rFonts w:hint="eastAsia" w:ascii="Times New Roman" w:hAnsi="Times New Roman" w:eastAsia="黑体"/>
          <w:b w:val="0"/>
        </w:rPr>
        <w:t>十、其他重要事项的情况说明</w:t>
      </w:r>
      <w:bookmarkEnd w:id="40"/>
      <w:bookmarkEnd w:id="41"/>
    </w:p>
    <w:p>
      <w:pPr>
        <w:spacing w:line="600" w:lineRule="exact"/>
        <w:ind w:firstLine="643" w:firstLineChars="200"/>
        <w:outlineLvl w:val="2"/>
        <w:rPr>
          <w:rFonts w:eastAsia="楷体_GB2312" w:cs="楷体_GB2312"/>
          <w:b/>
          <w:sz w:val="32"/>
          <w:szCs w:val="32"/>
        </w:rPr>
      </w:pPr>
      <w:bookmarkStart w:id="42" w:name="_Toc15377222"/>
      <w:r>
        <w:rPr>
          <w:rFonts w:hint="eastAsia" w:eastAsia="楷体_GB2312" w:cs="楷体_GB2312"/>
          <w:b/>
          <w:sz w:val="32"/>
          <w:szCs w:val="32"/>
        </w:rPr>
        <w:t>（一）机关运行经费支出情况</w:t>
      </w:r>
      <w:bookmarkEnd w:id="42"/>
    </w:p>
    <w:p>
      <w:pPr>
        <w:spacing w:line="600" w:lineRule="exact"/>
        <w:ind w:firstLine="640"/>
        <w:rPr>
          <w:rFonts w:eastAsia="仿宋_GB2312" w:cs="仿宋_GB2312"/>
          <w:sz w:val="32"/>
          <w:szCs w:val="32"/>
        </w:rPr>
      </w:pPr>
      <w:r>
        <w:rPr>
          <w:rFonts w:hint="eastAsia" w:eastAsia="仿宋_GB2312" w:cs="仿宋_GB2312"/>
          <w:sz w:val="32"/>
          <w:szCs w:val="32"/>
        </w:rPr>
        <w:t>2024年度</w:t>
      </w:r>
      <w:r>
        <w:rPr>
          <w:rFonts w:hint="eastAsia" w:ascii="仿宋_GB2312" w:hAnsi="仿宋_GB2312" w:eastAsia="仿宋_GB2312" w:cs="仿宋_GB2312"/>
          <w:sz w:val="32"/>
          <w:szCs w:val="32"/>
        </w:rPr>
        <w:t>，九寨沟县永和乡人民政府机关运行经费支出61.39万</w:t>
      </w:r>
      <w:r>
        <w:rPr>
          <w:rFonts w:hint="eastAsia" w:eastAsia="仿宋_GB2312" w:cs="仿宋_GB2312"/>
          <w:sz w:val="32"/>
          <w:szCs w:val="32"/>
        </w:rPr>
        <w:t>元，比2023年度增加18.5万元，增长43.13%。主要原因是人员变动，加大开支。</w:t>
      </w:r>
    </w:p>
    <w:p>
      <w:pPr>
        <w:spacing w:line="600" w:lineRule="exact"/>
        <w:ind w:firstLine="640"/>
        <w:rPr>
          <w:rFonts w:eastAsia="仿宋_GB2312" w:cs="仿宋_GB2312"/>
          <w:sz w:val="32"/>
          <w:szCs w:val="32"/>
        </w:rPr>
      </w:pPr>
    </w:p>
    <w:p>
      <w:pPr>
        <w:spacing w:line="600" w:lineRule="exact"/>
        <w:ind w:firstLine="643" w:firstLineChars="200"/>
        <w:outlineLvl w:val="2"/>
        <w:rPr>
          <w:rFonts w:eastAsia="楷体_GB2312" w:cs="楷体_GB2312"/>
          <w:b/>
          <w:sz w:val="32"/>
          <w:szCs w:val="32"/>
        </w:rPr>
      </w:pPr>
      <w:bookmarkStart w:id="43" w:name="_Toc15377223"/>
      <w:r>
        <w:rPr>
          <w:rFonts w:hint="eastAsia" w:eastAsia="楷体_GB2312" w:cs="楷体_GB2312"/>
          <w:b/>
          <w:sz w:val="32"/>
          <w:szCs w:val="32"/>
        </w:rPr>
        <w:t>（二）政府采购支出情况</w:t>
      </w:r>
      <w:bookmarkEnd w:id="43"/>
    </w:p>
    <w:p>
      <w:pPr>
        <w:spacing w:line="60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2024年度，九寨沟县永和乡人民政府政府采购支出总额0万元，其中：政府采购货物支出0万元、政府采购工程支出0万元、政府采购服务支出0万元。授予中小企业合同金额0万元，占政府采购支出总额的0%，其中：授予小微企业合同金额0万元，占政府采购支出总额的0%。</w:t>
      </w:r>
    </w:p>
    <w:p>
      <w:pPr>
        <w:spacing w:line="600" w:lineRule="exact"/>
        <w:ind w:firstLine="640"/>
        <w:rPr>
          <w:rFonts w:eastAsia="仿宋_GB2312" w:cs="仿宋_GB2312"/>
          <w:sz w:val="32"/>
          <w:szCs w:val="32"/>
        </w:rPr>
      </w:pPr>
    </w:p>
    <w:p>
      <w:pPr>
        <w:spacing w:line="600" w:lineRule="exact"/>
        <w:ind w:firstLine="643" w:firstLineChars="200"/>
        <w:outlineLvl w:val="2"/>
        <w:rPr>
          <w:rFonts w:eastAsia="楷体_GB2312" w:cs="楷体_GB2312"/>
          <w:b/>
          <w:sz w:val="32"/>
          <w:szCs w:val="32"/>
        </w:rPr>
      </w:pPr>
      <w:bookmarkStart w:id="44" w:name="_Toc15377224"/>
      <w:r>
        <w:rPr>
          <w:rFonts w:hint="eastAsia" w:eastAsia="楷体_GB2312" w:cs="楷体_GB2312"/>
          <w:b/>
          <w:sz w:val="32"/>
          <w:szCs w:val="32"/>
        </w:rPr>
        <w:t>（三）国有资产占有使用情况</w:t>
      </w:r>
      <w:bookmarkEnd w:id="44"/>
    </w:p>
    <w:p>
      <w:pPr>
        <w:spacing w:line="600" w:lineRule="exact"/>
        <w:ind w:firstLine="640"/>
        <w:rPr>
          <w:rFonts w:eastAsia="仿宋_GB2312" w:cs="仿宋_GB2312"/>
          <w:sz w:val="32"/>
          <w:szCs w:val="32"/>
        </w:rPr>
      </w:pPr>
      <w:r>
        <w:rPr>
          <w:rFonts w:hint="eastAsia" w:ascii="仿宋_GB2312" w:hAnsi="仿宋_GB2312" w:eastAsia="仿宋_GB2312" w:cs="仿宋_GB2312"/>
          <w:sz w:val="32"/>
          <w:szCs w:val="32"/>
        </w:rPr>
        <w:t>截至2024年12月31日，九寨沟县永和乡人民政府共有车辆3辆，其中：主要负责人用车0辆、机要通信用车1辆、应急保障用车1辆、其他用车1辆，其他用车主要是用于执法执勤。</w:t>
      </w:r>
    </w:p>
    <w:p>
      <w:pPr>
        <w:spacing w:line="600" w:lineRule="exact"/>
        <w:ind w:firstLine="643" w:firstLineChars="200"/>
        <w:outlineLvl w:val="2"/>
        <w:rPr>
          <w:rFonts w:eastAsia="楷体_GB2312" w:cs="楷体_GB2312"/>
          <w:b/>
          <w:sz w:val="32"/>
          <w:szCs w:val="32"/>
        </w:rPr>
      </w:pPr>
      <w:r>
        <w:rPr>
          <w:rFonts w:hint="eastAsia" w:eastAsia="楷体_GB2312" w:cs="楷体_GB2312"/>
          <w:b/>
          <w:sz w:val="32"/>
          <w:szCs w:val="32"/>
        </w:rPr>
        <w:t>（四）预算绩效管理情况</w:t>
      </w:r>
    </w:p>
    <w:p>
      <w:pPr>
        <w:spacing w:line="600" w:lineRule="exact"/>
        <w:ind w:firstLine="640"/>
        <w:rPr>
          <w:rFonts w:eastAsia="仿宋_GB2312" w:cs="仿宋_GB2312"/>
          <w:sz w:val="32"/>
          <w:szCs w:val="32"/>
        </w:rPr>
      </w:pPr>
      <w:r>
        <w:rPr>
          <w:rFonts w:hint="eastAsia" w:eastAsia="仿宋_GB2312" w:cs="仿宋_GB2312"/>
          <w:sz w:val="32"/>
          <w:szCs w:val="32"/>
        </w:rPr>
        <w:t>根据预算绩效管理要求，本部门在2024年度预算编制阶段，组织对</w:t>
      </w:r>
      <w:r>
        <w:rPr>
          <w:rFonts w:eastAsia="仿宋_GB2312" w:cs="仿宋_GB2312"/>
          <w:sz w:val="32"/>
          <w:szCs w:val="32"/>
        </w:rPr>
        <w:t>永和乡联合村农村污水治理“千村示范工程”</w:t>
      </w:r>
      <w:r>
        <w:rPr>
          <w:rFonts w:hint="eastAsia" w:eastAsia="仿宋_GB2312" w:cs="仿宋_GB2312"/>
          <w:sz w:val="32"/>
          <w:szCs w:val="32"/>
        </w:rPr>
        <w:t>等17个项目开展了预算事前绩效评估，对17个项目编制了绩效目标，预算执行过程中，选取17个项目开展绩效监控。</w:t>
      </w:r>
    </w:p>
    <w:p>
      <w:pPr>
        <w:spacing w:line="600" w:lineRule="exact"/>
        <w:ind w:firstLine="640"/>
        <w:rPr>
          <w:rFonts w:eastAsia="仿宋_GB2312" w:cs="仿宋_GB2312"/>
          <w:b/>
          <w:bCs/>
          <w:sz w:val="32"/>
          <w:szCs w:val="32"/>
        </w:rPr>
      </w:pPr>
      <w:r>
        <w:rPr>
          <w:rFonts w:hint="eastAsia" w:eastAsia="仿宋_GB2312" w:cs="仿宋_GB2312"/>
          <w:sz w:val="32"/>
          <w:szCs w:val="32"/>
        </w:rPr>
        <w:t>组织对2024年度一般公共预算、政府性基金预算、国有资本经营预算、社会保险基金预算以及资本资产、债券资金等全面开展绩效自评，形成九寨沟县永和乡人民政府整体（含部门预算项目）绩效自评报告、城乡环境综合治理等专项预算项目绩效自评报告，其中，九寨沟县永和乡人民政府整体（含部门预算项目）绩效自评得分为93分；城乡环境综合治理专项预算项目绩效自评得分为93分。绩效自评报告详见附件。</w:t>
      </w:r>
    </w:p>
    <w:p>
      <w:pPr>
        <w:spacing w:line="600" w:lineRule="exact"/>
        <w:ind w:firstLine="640"/>
        <w:rPr>
          <w:rFonts w:eastAsia="仿宋_GB2312" w:cs="仿宋_GB2312"/>
          <w:sz w:val="32"/>
          <w:szCs w:val="32"/>
        </w:rPr>
      </w:pPr>
    </w:p>
    <w:p>
      <w:pPr>
        <w:spacing w:line="600" w:lineRule="exact"/>
        <w:ind w:firstLine="640"/>
        <w:rPr>
          <w:rFonts w:eastAsia="仿宋_GB2312" w:cs="仿宋_GB2312"/>
          <w:sz w:val="32"/>
          <w:szCs w:val="32"/>
        </w:rPr>
      </w:pPr>
    </w:p>
    <w:p>
      <w:pPr>
        <w:spacing w:line="600" w:lineRule="exact"/>
        <w:jc w:val="center"/>
        <w:outlineLvl w:val="0"/>
        <w:rPr>
          <w:rFonts w:eastAsia="黑体"/>
          <w:sz w:val="44"/>
          <w:szCs w:val="44"/>
        </w:rPr>
      </w:pPr>
      <w:bookmarkStart w:id="45" w:name="_Toc15377225"/>
      <w:bookmarkStart w:id="46" w:name="_Toc15396613"/>
      <w:r>
        <w:rPr>
          <w:rFonts w:hint="eastAsia" w:eastAsia="黑体"/>
          <w:sz w:val="44"/>
          <w:szCs w:val="44"/>
        </w:rPr>
        <w:t>第三部分  名词解释</w:t>
      </w:r>
      <w:bookmarkEnd w:id="45"/>
      <w:bookmarkEnd w:id="46"/>
    </w:p>
    <w:p>
      <w:pPr>
        <w:spacing w:line="600" w:lineRule="exact"/>
        <w:jc w:val="left"/>
        <w:rPr>
          <w:b/>
          <w:sz w:val="44"/>
          <w:szCs w:val="44"/>
        </w:rPr>
      </w:pPr>
    </w:p>
    <w:p>
      <w:pPr>
        <w:spacing w:line="600" w:lineRule="exact"/>
        <w:ind w:firstLine="640"/>
        <w:rPr>
          <w:rFonts w:eastAsia="仿宋_GB2312" w:cs="仿宋_GB2312"/>
          <w:sz w:val="32"/>
          <w:szCs w:val="32"/>
        </w:rPr>
      </w:pPr>
      <w:r>
        <w:rPr>
          <w:rFonts w:hint="eastAsia" w:eastAsia="仿宋_GB2312" w:cs="仿宋_GB2312"/>
          <w:sz w:val="32"/>
          <w:szCs w:val="32"/>
        </w:rPr>
        <w:t>1.财政拨款收入：指单位从同级财政部门取得的财政预算资金。</w:t>
      </w:r>
    </w:p>
    <w:p>
      <w:pPr>
        <w:spacing w:line="600" w:lineRule="exact"/>
        <w:ind w:firstLine="640"/>
        <w:rPr>
          <w:rFonts w:eastAsia="仿宋_GB2312" w:cs="仿宋_GB2312"/>
          <w:sz w:val="32"/>
          <w:szCs w:val="32"/>
        </w:rPr>
      </w:pPr>
      <w:r>
        <w:rPr>
          <w:rFonts w:hint="eastAsia" w:eastAsia="仿宋_GB2312" w:cs="仿宋_GB2312"/>
          <w:sz w:val="32"/>
          <w:szCs w:val="32"/>
        </w:rPr>
        <w:t xml:space="preserve">2.年初结转和结余：指以前年度尚未完成、结转到本年按有关规定继续使用的资金。 </w:t>
      </w:r>
    </w:p>
    <w:p>
      <w:pPr>
        <w:spacing w:line="600" w:lineRule="exact"/>
        <w:ind w:firstLine="640"/>
        <w:rPr>
          <w:rFonts w:eastAsia="仿宋_GB2312" w:cs="仿宋_GB2312"/>
          <w:sz w:val="32"/>
          <w:szCs w:val="32"/>
        </w:rPr>
      </w:pPr>
      <w:r>
        <w:rPr>
          <w:rFonts w:hint="eastAsia" w:eastAsia="仿宋_GB2312" w:cs="仿宋_GB2312"/>
          <w:sz w:val="32"/>
          <w:szCs w:val="32"/>
        </w:rPr>
        <w:t>3.年末结转和结余：指单位按有关规定结转到下年或以后年度继续使用的资金。</w:t>
      </w:r>
    </w:p>
    <w:p>
      <w:pPr>
        <w:spacing w:line="600" w:lineRule="exact"/>
        <w:ind w:firstLine="640"/>
        <w:rPr>
          <w:rFonts w:eastAsia="仿宋_GB2312" w:cs="仿宋_GB2312"/>
          <w:sz w:val="32"/>
          <w:szCs w:val="32"/>
        </w:rPr>
      </w:pPr>
      <w:r>
        <w:rPr>
          <w:rFonts w:hint="eastAsia" w:eastAsia="仿宋_GB2312" w:cs="仿宋_GB2312"/>
          <w:sz w:val="32"/>
          <w:szCs w:val="32"/>
        </w:rPr>
        <w:t>4.-般公共服务(201)政府办公厅及相关机构事务支出(03)行政运行(01):指行政单位的基本支出。</w:t>
      </w:r>
    </w:p>
    <w:p>
      <w:pPr>
        <w:spacing w:line="600" w:lineRule="exact"/>
        <w:ind w:firstLine="640"/>
        <w:rPr>
          <w:rFonts w:eastAsia="仿宋_GB2312" w:cs="仿宋_GB2312"/>
          <w:sz w:val="32"/>
          <w:szCs w:val="32"/>
        </w:rPr>
      </w:pPr>
      <w:r>
        <w:rPr>
          <w:rFonts w:hint="eastAsia" w:eastAsia="仿宋_GB2312" w:cs="仿宋_GB2312"/>
          <w:sz w:val="32"/>
          <w:szCs w:val="32"/>
        </w:rPr>
        <w:t>5.一般公共服务（201）政府办公厅（室）及相关机构事务（03）事业运行（50）:指行政单位的基本支出。</w:t>
      </w:r>
    </w:p>
    <w:p>
      <w:pPr>
        <w:spacing w:line="600" w:lineRule="exact"/>
        <w:ind w:firstLine="640"/>
        <w:rPr>
          <w:rFonts w:eastAsia="仿宋_GB2312" w:cs="仿宋_GB2312"/>
          <w:sz w:val="32"/>
          <w:szCs w:val="32"/>
        </w:rPr>
      </w:pPr>
      <w:r>
        <w:rPr>
          <w:rFonts w:hint="eastAsia" w:eastAsia="仿宋_GB2312" w:cs="仿宋_GB2312"/>
          <w:sz w:val="32"/>
          <w:szCs w:val="32"/>
        </w:rPr>
        <w:t>6.一般公共服务（201）人大事务（01）行政运行（01）: 指人大事务的基本支出。</w:t>
      </w:r>
    </w:p>
    <w:p>
      <w:pPr>
        <w:spacing w:line="600" w:lineRule="exact"/>
        <w:ind w:firstLine="640"/>
        <w:rPr>
          <w:rFonts w:eastAsia="仿宋_GB2312" w:cs="仿宋_GB2312"/>
          <w:sz w:val="32"/>
          <w:szCs w:val="32"/>
        </w:rPr>
      </w:pPr>
      <w:r>
        <w:rPr>
          <w:rFonts w:hint="eastAsia" w:eastAsia="仿宋_GB2312" w:cs="仿宋_GB2312"/>
          <w:sz w:val="32"/>
          <w:szCs w:val="32"/>
        </w:rPr>
        <w:t>7.一般公共服务（201）政府办公厅（03）及相关机构事务（款）其他政府办公厅（室）及相关机构事务支出（99）: 指行政单位的基本支出。</w:t>
      </w:r>
    </w:p>
    <w:p>
      <w:pPr>
        <w:spacing w:line="600" w:lineRule="exact"/>
        <w:ind w:firstLine="640"/>
        <w:rPr>
          <w:rFonts w:eastAsia="仿宋_GB2312" w:cs="仿宋_GB2312"/>
          <w:sz w:val="32"/>
          <w:szCs w:val="32"/>
        </w:rPr>
      </w:pPr>
      <w:r>
        <w:rPr>
          <w:rFonts w:hint="eastAsia" w:eastAsia="仿宋_GB2312" w:cs="仿宋_GB2312"/>
          <w:sz w:val="32"/>
          <w:szCs w:val="32"/>
        </w:rPr>
        <w:t>8.文化旅游体育与传媒支出（207）文化和旅游（01）群众文化（99）: 指文化旅游体育与传媒的基本支出。</w:t>
      </w:r>
    </w:p>
    <w:p>
      <w:pPr>
        <w:spacing w:line="600" w:lineRule="exact"/>
        <w:ind w:firstLine="640"/>
        <w:rPr>
          <w:rFonts w:eastAsia="仿宋_GB2312" w:cs="仿宋_GB2312"/>
          <w:sz w:val="32"/>
          <w:szCs w:val="32"/>
        </w:rPr>
      </w:pPr>
      <w:r>
        <w:rPr>
          <w:rFonts w:hint="eastAsia" w:eastAsia="仿宋_GB2312" w:cs="仿宋_GB2312"/>
          <w:sz w:val="32"/>
          <w:szCs w:val="32"/>
        </w:rPr>
        <w:t>9.社会保障和就业（208）行政事业单位养老支出（05）机关事业单位基本养老保险缴费支出（05）: 指机关事业单位基本养老保险缴费缴纳支出。</w:t>
      </w:r>
    </w:p>
    <w:p>
      <w:pPr>
        <w:spacing w:line="600" w:lineRule="exact"/>
        <w:ind w:firstLine="640"/>
        <w:rPr>
          <w:rFonts w:eastAsia="仿宋_GB2312" w:cs="仿宋_GB2312"/>
          <w:sz w:val="32"/>
          <w:szCs w:val="32"/>
        </w:rPr>
      </w:pPr>
      <w:r>
        <w:rPr>
          <w:rFonts w:hint="eastAsia" w:eastAsia="仿宋_GB2312" w:cs="仿宋_GB2312"/>
          <w:sz w:val="32"/>
          <w:szCs w:val="32"/>
        </w:rPr>
        <w:t>10.社会保障和就业（208）行政事业单位养老支出（05）机关事业单位职业年金缴费支出（06）: 指机关事业单位职业年金缴纳支出。</w:t>
      </w:r>
    </w:p>
    <w:p>
      <w:pPr>
        <w:spacing w:line="600" w:lineRule="exact"/>
        <w:ind w:firstLine="640"/>
        <w:rPr>
          <w:rFonts w:eastAsia="仿宋_GB2312" w:cs="仿宋_GB2312"/>
          <w:sz w:val="32"/>
          <w:szCs w:val="32"/>
        </w:rPr>
      </w:pPr>
      <w:r>
        <w:rPr>
          <w:rFonts w:hint="eastAsia" w:eastAsia="仿宋_GB2312" w:cs="仿宋_GB2312"/>
          <w:sz w:val="32"/>
          <w:szCs w:val="32"/>
        </w:rPr>
        <w:t>11.卫生健康（210）公共卫生（04）重大公共卫生服务（09）:指重大公共卫生服务支出。</w:t>
      </w:r>
    </w:p>
    <w:p>
      <w:pPr>
        <w:spacing w:line="600" w:lineRule="exact"/>
        <w:ind w:firstLine="640"/>
        <w:rPr>
          <w:rFonts w:eastAsia="仿宋_GB2312" w:cs="仿宋_GB2312"/>
          <w:sz w:val="32"/>
          <w:szCs w:val="32"/>
        </w:rPr>
      </w:pPr>
      <w:r>
        <w:rPr>
          <w:rFonts w:hint="eastAsia" w:eastAsia="仿宋_GB2312" w:cs="仿宋_GB2312"/>
          <w:sz w:val="32"/>
          <w:szCs w:val="32"/>
        </w:rPr>
        <w:t>12.卫生健康（210）行政事业单位医疗（11）行政单位医疗（01）:指反映财政部门集中安排的行政单位基本医疗保险经费。</w:t>
      </w:r>
    </w:p>
    <w:p>
      <w:pPr>
        <w:spacing w:line="600" w:lineRule="exact"/>
        <w:ind w:firstLine="640"/>
        <w:rPr>
          <w:rFonts w:eastAsia="仿宋_GB2312" w:cs="仿宋_GB2312"/>
          <w:sz w:val="32"/>
          <w:szCs w:val="32"/>
        </w:rPr>
      </w:pPr>
      <w:r>
        <w:rPr>
          <w:rFonts w:hint="eastAsia" w:eastAsia="仿宋_GB2312" w:cs="仿宋_GB2312"/>
          <w:sz w:val="32"/>
          <w:szCs w:val="32"/>
        </w:rPr>
        <w:t>13.卫生健康（210）行政事业单位医疗（11）事业单位医疗（02）:指反映财政部门集中安排的行政单位基本医疗保险经费。</w:t>
      </w:r>
    </w:p>
    <w:p>
      <w:pPr>
        <w:spacing w:line="600" w:lineRule="exact"/>
        <w:ind w:firstLine="640"/>
        <w:rPr>
          <w:rFonts w:eastAsia="仿宋_GB2312" w:cs="仿宋_GB2312"/>
          <w:sz w:val="32"/>
          <w:szCs w:val="32"/>
        </w:rPr>
      </w:pPr>
      <w:r>
        <w:rPr>
          <w:rFonts w:hint="eastAsia" w:eastAsia="仿宋_GB2312" w:cs="仿宋_GB2312"/>
          <w:sz w:val="32"/>
          <w:szCs w:val="32"/>
        </w:rPr>
        <w:t>14.卫生健康（210）行政事业单位医疗（11）公务员医疗补助（03）:指财政部门集中安排的公务员医疗补助。</w:t>
      </w:r>
    </w:p>
    <w:p>
      <w:pPr>
        <w:spacing w:line="600" w:lineRule="exact"/>
        <w:ind w:firstLine="640"/>
        <w:rPr>
          <w:rFonts w:eastAsia="仿宋_GB2312" w:cs="仿宋_GB2312"/>
          <w:sz w:val="32"/>
          <w:szCs w:val="32"/>
        </w:rPr>
      </w:pPr>
      <w:r>
        <w:rPr>
          <w:rFonts w:hint="eastAsia" w:eastAsia="仿宋_GB2312" w:cs="仿宋_GB2312"/>
          <w:sz w:val="32"/>
          <w:szCs w:val="32"/>
        </w:rPr>
        <w:t>15.卫生健康（210）行政事业单位医疗（11）其他行政事业单位医疗支出（99）:指财政时其他医疗保险的补助支出。</w:t>
      </w:r>
    </w:p>
    <w:p>
      <w:pPr>
        <w:spacing w:line="600" w:lineRule="exact"/>
        <w:ind w:firstLine="640"/>
        <w:rPr>
          <w:rFonts w:eastAsia="仿宋_GB2312" w:cs="仿宋_GB2312"/>
          <w:sz w:val="32"/>
          <w:szCs w:val="32"/>
        </w:rPr>
      </w:pPr>
      <w:r>
        <w:rPr>
          <w:rFonts w:hint="eastAsia" w:eastAsia="仿宋_GB2312" w:cs="仿宋_GB2312"/>
          <w:sz w:val="32"/>
          <w:szCs w:val="32"/>
        </w:rPr>
        <w:t>16.城乡社区支出（212）城乡社区环境卫生（05）其他城乡社区环境卫生支出（01）:指城乡社区环境卫生支出。</w:t>
      </w:r>
    </w:p>
    <w:p>
      <w:pPr>
        <w:spacing w:line="600" w:lineRule="exact"/>
        <w:ind w:firstLine="640"/>
        <w:rPr>
          <w:rFonts w:eastAsia="仿宋_GB2312" w:cs="仿宋_GB2312"/>
          <w:sz w:val="32"/>
          <w:szCs w:val="32"/>
        </w:rPr>
      </w:pPr>
      <w:r>
        <w:rPr>
          <w:rFonts w:hint="eastAsia" w:eastAsia="仿宋_GB2312" w:cs="仿宋_GB2312"/>
          <w:sz w:val="32"/>
          <w:szCs w:val="32"/>
        </w:rPr>
        <w:t>17.农林水支出（213）农业农村（01）农业生产发展（22）:指农业生产发展支出。</w:t>
      </w:r>
    </w:p>
    <w:p>
      <w:pPr>
        <w:spacing w:line="600" w:lineRule="exact"/>
        <w:ind w:firstLine="640"/>
        <w:rPr>
          <w:rFonts w:eastAsia="仿宋_GB2312" w:cs="仿宋_GB2312"/>
          <w:sz w:val="32"/>
          <w:szCs w:val="32"/>
        </w:rPr>
      </w:pPr>
      <w:r>
        <w:rPr>
          <w:rFonts w:hint="eastAsia" w:eastAsia="仿宋_GB2312" w:cs="仿宋_GB2312"/>
          <w:sz w:val="32"/>
          <w:szCs w:val="32"/>
        </w:rPr>
        <w:t>18.农林水支出（213）农业农村（01）其他农业农村支出（99）:指其他用于农业方面的支出。</w:t>
      </w:r>
    </w:p>
    <w:p>
      <w:pPr>
        <w:spacing w:line="600" w:lineRule="exact"/>
        <w:ind w:firstLine="640"/>
        <w:rPr>
          <w:rFonts w:eastAsia="仿宋_GB2312" w:cs="仿宋_GB2312"/>
          <w:sz w:val="32"/>
          <w:szCs w:val="32"/>
        </w:rPr>
      </w:pPr>
      <w:r>
        <w:rPr>
          <w:rFonts w:hint="eastAsia" w:eastAsia="仿宋_GB2312" w:cs="仿宋_GB2312"/>
          <w:sz w:val="32"/>
          <w:szCs w:val="32"/>
        </w:rPr>
        <w:t>19.农林水支出（213）林业和草原（02）林业草原防灾减灾（31）:指林业草原防灾减灾支出。</w:t>
      </w:r>
    </w:p>
    <w:p>
      <w:pPr>
        <w:spacing w:line="600" w:lineRule="exact"/>
        <w:ind w:firstLine="640"/>
        <w:rPr>
          <w:rFonts w:eastAsia="仿宋_GB2312" w:cs="仿宋_GB2312"/>
          <w:sz w:val="32"/>
          <w:szCs w:val="32"/>
        </w:rPr>
      </w:pPr>
      <w:r>
        <w:rPr>
          <w:rFonts w:hint="eastAsia" w:eastAsia="仿宋_GB2312" w:cs="仿宋_GB2312"/>
          <w:sz w:val="32"/>
          <w:szCs w:val="32"/>
        </w:rPr>
        <w:t>20.农林水支出（213）巩固脱贫攻坚成果衔接乡村振兴（05）农村基础设施建设（04）:指农村基础设施建设支出。</w:t>
      </w:r>
    </w:p>
    <w:p>
      <w:pPr>
        <w:spacing w:line="600" w:lineRule="exact"/>
        <w:ind w:firstLine="640"/>
        <w:rPr>
          <w:rFonts w:eastAsia="仿宋_GB2312" w:cs="仿宋_GB2312"/>
          <w:sz w:val="32"/>
          <w:szCs w:val="32"/>
        </w:rPr>
      </w:pPr>
      <w:r>
        <w:rPr>
          <w:rFonts w:hint="eastAsia" w:eastAsia="仿宋_GB2312" w:cs="仿宋_GB2312"/>
          <w:sz w:val="32"/>
          <w:szCs w:val="32"/>
        </w:rPr>
        <w:t>21.农林水支出（213）巩固脱贫攻坚成果衔接乡村振兴（05）其他巩固脱贫攻坚成果衔接乡村振兴支出（99）:指其他用于扶贫方面的支出。</w:t>
      </w:r>
    </w:p>
    <w:p>
      <w:pPr>
        <w:spacing w:line="600" w:lineRule="exact"/>
        <w:ind w:firstLine="640"/>
        <w:rPr>
          <w:rFonts w:eastAsia="仿宋_GB2312" w:cs="仿宋_GB2312"/>
          <w:sz w:val="32"/>
          <w:szCs w:val="32"/>
        </w:rPr>
      </w:pPr>
      <w:r>
        <w:rPr>
          <w:rFonts w:hint="eastAsia" w:eastAsia="仿宋_GB2312" w:cs="仿宋_GB2312"/>
          <w:sz w:val="32"/>
          <w:szCs w:val="32"/>
        </w:rPr>
        <w:t>22.农林水支出（213）农村综合改革（07）其对村民委员会和村党支部的补助（05）:指各级财政对村民委员会和村党支部的补助支出。</w:t>
      </w:r>
    </w:p>
    <w:p>
      <w:pPr>
        <w:spacing w:line="600" w:lineRule="exact"/>
        <w:ind w:firstLine="640"/>
        <w:rPr>
          <w:rFonts w:eastAsia="仿宋_GB2312" w:cs="仿宋_GB2312"/>
          <w:sz w:val="32"/>
          <w:szCs w:val="32"/>
        </w:rPr>
      </w:pPr>
      <w:r>
        <w:rPr>
          <w:rFonts w:hint="eastAsia" w:eastAsia="仿宋_GB2312" w:cs="仿宋_GB2312"/>
          <w:sz w:val="32"/>
          <w:szCs w:val="32"/>
        </w:rPr>
        <w:t>23.住房保障支出（221）住房改革支出（02）住房公积金（01）:指行政事业单位按人力资源和社会保障部、财政部规定的基本工资和津补贴依规定比例为职工缴纳住房公积金。</w:t>
      </w:r>
    </w:p>
    <w:p>
      <w:pPr>
        <w:spacing w:line="600" w:lineRule="exact"/>
        <w:ind w:firstLine="640"/>
        <w:rPr>
          <w:rFonts w:eastAsia="仿宋_GB2312" w:cs="仿宋_GB2312"/>
          <w:sz w:val="32"/>
          <w:szCs w:val="32"/>
        </w:rPr>
      </w:pPr>
      <w:r>
        <w:rPr>
          <w:rFonts w:hint="eastAsia" w:eastAsia="仿宋_GB2312" w:cs="仿宋_GB2312"/>
          <w:sz w:val="32"/>
          <w:szCs w:val="32"/>
        </w:rPr>
        <w:t>24.灾害防治及应急管理支出（224）自然灾害防治（06）地质灾害防治（01）:指自然灾害防治、地质灾害支出。</w:t>
      </w:r>
    </w:p>
    <w:p>
      <w:pPr>
        <w:spacing w:line="600" w:lineRule="exact"/>
        <w:ind w:firstLine="640"/>
        <w:rPr>
          <w:rFonts w:eastAsia="仿宋_GB2312" w:cs="仿宋_GB2312"/>
          <w:sz w:val="32"/>
          <w:szCs w:val="32"/>
        </w:rPr>
      </w:pPr>
      <w:r>
        <w:rPr>
          <w:rFonts w:hint="eastAsia" w:eastAsia="仿宋_GB2312" w:cs="仿宋_GB2312"/>
          <w:sz w:val="32"/>
          <w:szCs w:val="32"/>
        </w:rPr>
        <w:t>25.灾害防治及应急管理支出（224）自然灾害防治（06）森林草原防灾减灾（02）:指自然灾害防治、森林草原防灾减灾支出。</w:t>
      </w:r>
    </w:p>
    <w:p>
      <w:pPr>
        <w:spacing w:line="600" w:lineRule="exact"/>
        <w:ind w:firstLine="640"/>
        <w:rPr>
          <w:rFonts w:eastAsia="仿宋_GB2312" w:cs="仿宋_GB2312"/>
          <w:sz w:val="32"/>
          <w:szCs w:val="32"/>
        </w:rPr>
      </w:pPr>
      <w:r>
        <w:rPr>
          <w:rFonts w:hint="eastAsia" w:eastAsia="仿宋_GB2312" w:cs="仿宋_GB2312"/>
          <w:sz w:val="32"/>
          <w:szCs w:val="32"/>
        </w:rPr>
        <w:t>26.基本支出：指为保障机构正常运转、完成日常工作任务而发生的人员支出和公用支出。</w:t>
      </w:r>
    </w:p>
    <w:p>
      <w:pPr>
        <w:spacing w:line="600" w:lineRule="exact"/>
        <w:ind w:firstLine="640"/>
        <w:rPr>
          <w:rFonts w:eastAsia="仿宋_GB2312" w:cs="仿宋_GB2312"/>
          <w:sz w:val="32"/>
          <w:szCs w:val="32"/>
        </w:rPr>
      </w:pPr>
      <w:r>
        <w:rPr>
          <w:rFonts w:hint="eastAsia" w:eastAsia="仿宋_GB2312" w:cs="仿宋_GB2312"/>
          <w:sz w:val="32"/>
          <w:szCs w:val="32"/>
        </w:rPr>
        <w:t xml:space="preserve">27.项目支出：指在基本支出之外为完成特定行政任务和事业发展目标所发生的支出。 </w:t>
      </w:r>
    </w:p>
    <w:p>
      <w:pPr>
        <w:spacing w:line="600" w:lineRule="exact"/>
        <w:ind w:firstLine="640"/>
        <w:rPr>
          <w:rFonts w:eastAsia="仿宋_GB2312" w:cs="仿宋_GB2312"/>
          <w:sz w:val="32"/>
          <w:szCs w:val="32"/>
        </w:rPr>
      </w:pPr>
      <w:r>
        <w:rPr>
          <w:rFonts w:hint="eastAsia" w:eastAsia="仿宋_GB2312" w:cs="仿宋_GB2312"/>
          <w:sz w:val="32"/>
          <w:szCs w:val="32"/>
        </w:rPr>
        <w:t>28.“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spacing w:line="600" w:lineRule="exact"/>
        <w:ind w:firstLine="640"/>
        <w:rPr>
          <w:rFonts w:eastAsia="仿宋_GB2312" w:cs="仿宋_GB2312"/>
          <w:b/>
          <w:bCs/>
          <w:sz w:val="32"/>
          <w:szCs w:val="32"/>
        </w:rPr>
      </w:pPr>
      <w:r>
        <w:rPr>
          <w:rFonts w:hint="eastAsia" w:eastAsia="仿宋_GB2312" w:cs="仿宋_GB2312"/>
          <w:sz w:val="32"/>
          <w:szCs w:val="32"/>
        </w:rPr>
        <w:t>29.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jc w:val="center"/>
        <w:rPr>
          <w:rStyle w:val="28"/>
          <w:rFonts w:eastAsia="黑体"/>
          <w:b w:val="0"/>
        </w:rPr>
      </w:pPr>
      <w:bookmarkStart w:id="47" w:name="_Toc15377226"/>
      <w:r>
        <w:rPr>
          <w:rFonts w:hint="eastAsia" w:eastAsia="仿宋_GB2312" w:cs="仿宋_GB2312"/>
          <w:sz w:val="32"/>
          <w:szCs w:val="32"/>
        </w:rPr>
        <w:br w:type="page"/>
      </w:r>
      <w:bookmarkStart w:id="48" w:name="_Toc15396614"/>
      <w:r>
        <w:rPr>
          <w:rFonts w:hint="eastAsia" w:eastAsia="黑体"/>
          <w:sz w:val="44"/>
          <w:szCs w:val="44"/>
        </w:rPr>
        <w:t>第四部分  附件</w:t>
      </w:r>
      <w:bookmarkEnd w:id="48"/>
    </w:p>
    <w:p>
      <w:pPr>
        <w:spacing w:line="572" w:lineRule="exact"/>
        <w:jc w:val="left"/>
        <w:outlineLvl w:val="0"/>
        <w:rPr>
          <w:rFonts w:eastAsia="黑体" w:cs="黑体"/>
          <w:color w:val="FF0000"/>
          <w:sz w:val="32"/>
          <w:szCs w:val="32"/>
        </w:rPr>
      </w:pPr>
    </w:p>
    <w:p>
      <w:pPr>
        <w:spacing w:line="572" w:lineRule="exact"/>
        <w:jc w:val="left"/>
        <w:outlineLvl w:val="0"/>
        <w:rPr>
          <w:rFonts w:eastAsia="黑体" w:cs="方正小标宋简体"/>
          <w:sz w:val="44"/>
          <w:szCs w:val="44"/>
        </w:rPr>
      </w:pPr>
      <w:r>
        <w:rPr>
          <w:rFonts w:hint="eastAsia" w:eastAsia="黑体" w:cs="黑体"/>
          <w:sz w:val="32"/>
          <w:szCs w:val="32"/>
        </w:rPr>
        <w:t>附件1</w:t>
      </w:r>
    </w:p>
    <w:p>
      <w:pPr>
        <w:widowControl/>
        <w:spacing w:line="578" w:lineRule="exact"/>
        <w:contextualSpacing/>
        <w:jc w:val="center"/>
        <w:rPr>
          <w:rFonts w:eastAsia="方正小标宋简体"/>
          <w:bCs/>
          <w:sz w:val="44"/>
          <w:szCs w:val="44"/>
          <w:shd w:val="clear" w:color="auto" w:fill="FFFFFF"/>
        </w:rPr>
      </w:pPr>
    </w:p>
    <w:p>
      <w:pPr>
        <w:widowControl/>
        <w:spacing w:line="578" w:lineRule="exact"/>
        <w:contextualSpacing/>
        <w:jc w:val="center"/>
        <w:rPr>
          <w:rFonts w:eastAsia="方正小标宋简体"/>
          <w:bCs/>
          <w:sz w:val="44"/>
          <w:szCs w:val="44"/>
          <w:shd w:val="clear" w:color="auto" w:fill="FFFFFF"/>
        </w:rPr>
      </w:pPr>
      <w:r>
        <w:rPr>
          <w:rFonts w:eastAsia="方正小标宋简体"/>
          <w:bCs/>
          <w:sz w:val="44"/>
          <w:szCs w:val="44"/>
          <w:shd w:val="clear" w:color="auto" w:fill="FFFFFF"/>
        </w:rPr>
        <w:t>部门预算绩效</w:t>
      </w:r>
      <w:r>
        <w:rPr>
          <w:rFonts w:hint="eastAsia" w:eastAsia="方正小标宋简体"/>
          <w:bCs/>
          <w:sz w:val="44"/>
          <w:szCs w:val="44"/>
          <w:shd w:val="clear" w:color="auto" w:fill="FFFFFF"/>
        </w:rPr>
        <w:t>评价</w:t>
      </w:r>
      <w:r>
        <w:rPr>
          <w:rFonts w:eastAsia="方正小标宋简体"/>
          <w:bCs/>
          <w:sz w:val="44"/>
          <w:szCs w:val="44"/>
          <w:shd w:val="clear" w:color="auto" w:fill="FFFFFF"/>
        </w:rPr>
        <w:t>报告范本</w:t>
      </w:r>
    </w:p>
    <w:p>
      <w:pPr>
        <w:widowControl/>
        <w:spacing w:line="578" w:lineRule="exact"/>
        <w:contextualSpacing/>
        <w:jc w:val="center"/>
        <w:rPr>
          <w:rFonts w:eastAsia="仿宋_GB2312"/>
          <w:sz w:val="32"/>
          <w:szCs w:val="32"/>
          <w:shd w:val="clear" w:color="auto" w:fill="FFFFFF"/>
        </w:rPr>
      </w:pPr>
      <w:r>
        <w:rPr>
          <w:rFonts w:eastAsia="仿宋_GB2312"/>
          <w:sz w:val="32"/>
          <w:szCs w:val="32"/>
          <w:shd w:val="clear" w:color="auto" w:fill="FFFFFF"/>
        </w:rPr>
        <w:t>（</w:t>
      </w:r>
      <w:r>
        <w:rPr>
          <w:rFonts w:hint="eastAsia" w:eastAsia="仿宋_GB2312"/>
          <w:sz w:val="32"/>
          <w:szCs w:val="32"/>
          <w:shd w:val="clear" w:color="auto" w:fill="FFFFFF"/>
          <w:lang w:eastAsia="zh-CN"/>
        </w:rPr>
        <w:t>永和乡人民政府</w:t>
      </w:r>
      <w:bookmarkStart w:id="64" w:name="_GoBack"/>
      <w:bookmarkEnd w:id="64"/>
      <w:r>
        <w:rPr>
          <w:rFonts w:eastAsia="仿宋_GB2312"/>
          <w:sz w:val="32"/>
          <w:szCs w:val="32"/>
          <w:shd w:val="clear" w:color="auto" w:fill="FFFFFF"/>
        </w:rPr>
        <w:t>）</w:t>
      </w:r>
    </w:p>
    <w:p>
      <w:pPr>
        <w:widowControl/>
        <w:adjustRightInd w:val="0"/>
        <w:snapToGrid w:val="0"/>
        <w:spacing w:line="578" w:lineRule="exact"/>
        <w:ind w:firstLine="480" w:firstLineChars="200"/>
        <w:contextualSpacing/>
        <w:jc w:val="left"/>
        <w:rPr>
          <w:rFonts w:eastAsia="黑体"/>
          <w:color w:val="000000"/>
          <w:kern w:val="0"/>
          <w:sz w:val="24"/>
          <w:szCs w:val="32"/>
          <w:shd w:val="clear" w:color="auto" w:fill="FFFFFF"/>
        </w:rPr>
      </w:pPr>
    </w:p>
    <w:p>
      <w:pPr>
        <w:widowControl/>
        <w:adjustRightInd w:val="0"/>
        <w:snapToGrid w:val="0"/>
        <w:spacing w:line="578" w:lineRule="exact"/>
        <w:ind w:firstLine="640" w:firstLineChars="200"/>
        <w:contextualSpacing/>
        <w:jc w:val="left"/>
        <w:rPr>
          <w:rFonts w:eastAsia="黑体"/>
          <w:color w:val="000000"/>
          <w:kern w:val="0"/>
          <w:sz w:val="32"/>
          <w:szCs w:val="32"/>
          <w:shd w:val="clear" w:color="auto" w:fill="FFFFFF"/>
          <w:lang w:val="zh-CN"/>
        </w:rPr>
      </w:pPr>
      <w:r>
        <w:rPr>
          <w:rFonts w:hint="eastAsia" w:eastAsia="黑体"/>
          <w:color w:val="000000"/>
          <w:kern w:val="0"/>
          <w:sz w:val="32"/>
          <w:szCs w:val="32"/>
          <w:shd w:val="clear" w:color="auto" w:fill="FFFFFF"/>
          <w:lang w:val="zh-CN"/>
        </w:rPr>
        <w:t>一、</w:t>
      </w:r>
      <w:r>
        <w:rPr>
          <w:rFonts w:eastAsia="黑体"/>
          <w:color w:val="000000"/>
          <w:kern w:val="0"/>
          <w:sz w:val="32"/>
          <w:szCs w:val="32"/>
          <w:shd w:val="clear" w:color="auto" w:fill="FFFFFF"/>
          <w:lang w:val="zh-CN"/>
        </w:rPr>
        <w:t>部门（单位）基本情况</w:t>
      </w:r>
    </w:p>
    <w:p>
      <w:pPr>
        <w:widowControl/>
        <w:adjustRightInd w:val="0"/>
        <w:snapToGrid w:val="0"/>
        <w:spacing w:line="578" w:lineRule="exact"/>
        <w:ind w:firstLine="643" w:firstLineChars="200"/>
        <w:contextualSpacing/>
        <w:jc w:val="left"/>
        <w:rPr>
          <w:rFonts w:eastAsia="仿宋_GB2312"/>
          <w:sz w:val="32"/>
          <w:szCs w:val="32"/>
        </w:rPr>
      </w:pPr>
      <w:r>
        <w:rPr>
          <w:rFonts w:hint="eastAsia" w:eastAsia="楷体_GB2312" w:cs="楷体_GB2312"/>
          <w:b/>
          <w:sz w:val="32"/>
          <w:szCs w:val="32"/>
          <w:lang w:val="zh-CN"/>
        </w:rPr>
        <w:t>（一）</w:t>
      </w:r>
      <w:r>
        <w:rPr>
          <w:rFonts w:eastAsia="楷体_GB2312" w:cs="楷体_GB2312"/>
          <w:b/>
          <w:sz w:val="32"/>
          <w:szCs w:val="32"/>
          <w:lang w:val="zh-CN"/>
        </w:rPr>
        <w:t>机构组成。</w:t>
      </w:r>
      <w:r>
        <w:rPr>
          <w:rFonts w:eastAsia="仿宋_GB2312"/>
          <w:sz w:val="32"/>
          <w:szCs w:val="32"/>
        </w:rPr>
        <w:t>九寨沟县永和乡人民政府内设处室及下属单位情况。</w:t>
      </w:r>
    </w:p>
    <w:p>
      <w:pPr>
        <w:widowControl/>
        <w:adjustRightInd w:val="0"/>
        <w:snapToGrid w:val="0"/>
        <w:spacing w:line="578" w:lineRule="exact"/>
        <w:ind w:firstLine="643" w:firstLineChars="200"/>
        <w:contextualSpacing/>
        <w:jc w:val="left"/>
        <w:rPr>
          <w:rFonts w:eastAsia="楷体_GB2312"/>
          <w:b/>
          <w:bCs/>
          <w:color w:val="000000"/>
          <w:kern w:val="0"/>
          <w:szCs w:val="32"/>
          <w:shd w:val="clear" w:color="auto" w:fill="FFFFFF"/>
          <w:lang w:val="zh-CN"/>
        </w:rPr>
      </w:pPr>
      <w:r>
        <w:rPr>
          <w:rFonts w:eastAsia="楷体_GB2312" w:cs="楷体_GB2312"/>
          <w:b/>
          <w:sz w:val="32"/>
          <w:szCs w:val="32"/>
          <w:lang w:val="zh-CN"/>
        </w:rPr>
        <w:t>（二）机构职能</w:t>
      </w:r>
      <w:r>
        <w:rPr>
          <w:rFonts w:hint="eastAsia" w:eastAsia="楷体_GB2312" w:cs="楷体_GB2312"/>
          <w:b/>
          <w:sz w:val="32"/>
          <w:szCs w:val="32"/>
          <w:lang w:val="zh-CN"/>
        </w:rPr>
        <w:t>。</w:t>
      </w:r>
      <w:r>
        <w:rPr>
          <w:rFonts w:hint="eastAsia" w:eastAsia="仿宋_GB2312" w:cs="仿宋_GB2312"/>
          <w:sz w:val="32"/>
          <w:szCs w:val="32"/>
        </w:rPr>
        <w:t>永和乡人民政府积极宣传、贯彻执行党的路线、方针、政策，负责领导本地区的工作，支持和保护行政组织、经济组织和群众自治组织充分行使职权；领导制定本乡的经济和社会发展规划并组织协调督促各部门贯彻实施，切实保证各项计划、目标的完成；负责乡领导班子的自身建设和对干部进行选拔、培养、使用、考核、监督工作；负责抓好党员的发展、教育、管理；严肃党纪，端正党风，抓好党的组织建设、作风建设、制度建设和思想建设；加强对村支部、村民委员会的领导、监督和检查工作，充分发挥他们的作用；负责本地区的社会治安综合治理、精神文明建设、廉政工作和政治思想工作；负责本地区社会主义民主法制建设；负责对乡共青团、妇联和民兵工作的领导；协助管理上级有关部门驻乡干部；完成县委交办的其它工作。</w:t>
      </w:r>
    </w:p>
    <w:p>
      <w:pPr>
        <w:spacing w:line="600" w:lineRule="exact"/>
        <w:ind w:firstLine="643" w:firstLineChars="200"/>
        <w:rPr>
          <w:szCs w:val="32"/>
        </w:rPr>
      </w:pPr>
      <w:r>
        <w:rPr>
          <w:rFonts w:eastAsia="楷体_GB2312"/>
          <w:b/>
          <w:bCs/>
          <w:color w:val="000000"/>
          <w:kern w:val="0"/>
          <w:sz w:val="32"/>
          <w:szCs w:val="32"/>
          <w:shd w:val="clear" w:color="auto" w:fill="FFFFFF"/>
          <w:lang w:val="zh-CN"/>
        </w:rPr>
        <w:t>（</w:t>
      </w:r>
      <w:r>
        <w:rPr>
          <w:rFonts w:hint="eastAsia" w:eastAsia="楷体_GB2312"/>
          <w:b/>
          <w:bCs/>
          <w:color w:val="000000"/>
          <w:kern w:val="0"/>
          <w:sz w:val="32"/>
          <w:szCs w:val="32"/>
          <w:shd w:val="clear" w:color="auto" w:fill="FFFFFF"/>
          <w:lang w:val="zh-CN"/>
        </w:rPr>
        <w:t>三</w:t>
      </w:r>
      <w:r>
        <w:rPr>
          <w:rFonts w:eastAsia="楷体_GB2312"/>
          <w:b/>
          <w:bCs/>
          <w:color w:val="000000"/>
          <w:kern w:val="0"/>
          <w:sz w:val="32"/>
          <w:szCs w:val="32"/>
          <w:shd w:val="clear" w:color="auto" w:fill="FFFFFF"/>
          <w:lang w:val="zh-CN"/>
        </w:rPr>
        <w:t>）人员概况</w:t>
      </w:r>
      <w:r>
        <w:rPr>
          <w:rFonts w:hint="eastAsia" w:eastAsia="楷体_GB2312"/>
          <w:b/>
          <w:bCs/>
          <w:color w:val="000000"/>
          <w:kern w:val="0"/>
          <w:sz w:val="32"/>
          <w:szCs w:val="32"/>
          <w:shd w:val="clear" w:color="auto" w:fill="FFFFFF"/>
          <w:lang w:val="zh-CN"/>
        </w:rPr>
        <w:t>。</w:t>
      </w:r>
      <w:r>
        <w:rPr>
          <w:rFonts w:eastAsia="仿宋_GB2312"/>
          <w:sz w:val="32"/>
          <w:szCs w:val="32"/>
        </w:rPr>
        <w:t>截至202</w:t>
      </w:r>
      <w:r>
        <w:rPr>
          <w:rFonts w:hint="eastAsia" w:eastAsia="仿宋_GB2312"/>
          <w:sz w:val="32"/>
          <w:szCs w:val="32"/>
        </w:rPr>
        <w:t>4</w:t>
      </w:r>
      <w:r>
        <w:rPr>
          <w:rFonts w:eastAsia="仿宋_GB2312"/>
          <w:sz w:val="32"/>
          <w:szCs w:val="32"/>
        </w:rPr>
        <w:t>年末，</w:t>
      </w:r>
      <w:r>
        <w:rPr>
          <w:rFonts w:hint="eastAsia" w:eastAsia="仿宋_GB2312" w:cs="仿宋_GB2312"/>
          <w:sz w:val="32"/>
          <w:szCs w:val="32"/>
        </w:rPr>
        <w:t>永和乡政府财政供养人员行政编制21名，2024年底实际财政供养行政20人。</w:t>
      </w:r>
    </w:p>
    <w:p>
      <w:pPr>
        <w:widowControl/>
        <w:adjustRightInd w:val="0"/>
        <w:snapToGrid w:val="0"/>
        <w:spacing w:line="578" w:lineRule="exact"/>
        <w:ind w:firstLine="640" w:firstLineChars="200"/>
        <w:contextualSpacing/>
        <w:jc w:val="left"/>
        <w:rPr>
          <w:rFonts w:eastAsia="黑体"/>
          <w:color w:val="000000"/>
          <w:kern w:val="0"/>
          <w:sz w:val="32"/>
          <w:szCs w:val="32"/>
          <w:shd w:val="clear" w:color="auto" w:fill="FFFFFF"/>
          <w:lang w:val="zh-CN"/>
        </w:rPr>
      </w:pPr>
      <w:r>
        <w:rPr>
          <w:rFonts w:eastAsia="黑体"/>
          <w:color w:val="000000"/>
          <w:kern w:val="0"/>
          <w:sz w:val="32"/>
          <w:szCs w:val="32"/>
          <w:shd w:val="clear" w:color="auto" w:fill="FFFFFF"/>
          <w:lang w:val="zh-CN"/>
        </w:rPr>
        <w:t>二、部门资金收支情况</w:t>
      </w:r>
    </w:p>
    <w:p>
      <w:pPr>
        <w:widowControl/>
        <w:adjustRightInd w:val="0"/>
        <w:snapToGrid w:val="0"/>
        <w:spacing w:line="578" w:lineRule="exact"/>
        <w:ind w:firstLine="643" w:firstLineChars="200"/>
        <w:contextualSpacing/>
        <w:jc w:val="left"/>
        <w:rPr>
          <w:rFonts w:eastAsia="楷体_GB2312"/>
          <w:b/>
          <w:bCs/>
          <w:color w:val="000000"/>
          <w:kern w:val="0"/>
          <w:szCs w:val="32"/>
          <w:shd w:val="clear" w:color="auto" w:fill="FFFFFF"/>
        </w:rPr>
      </w:pPr>
      <w:r>
        <w:rPr>
          <w:rFonts w:eastAsia="楷体_GB2312"/>
          <w:b/>
          <w:bCs/>
          <w:color w:val="000000"/>
          <w:kern w:val="0"/>
          <w:sz w:val="32"/>
          <w:szCs w:val="32"/>
          <w:shd w:val="clear" w:color="auto" w:fill="FFFFFF"/>
          <w:lang w:val="zh-CN"/>
        </w:rPr>
        <w:t>（一）</w:t>
      </w:r>
      <w:r>
        <w:rPr>
          <w:rFonts w:hint="eastAsia" w:eastAsia="楷体_GB2312"/>
          <w:b/>
          <w:bCs/>
          <w:color w:val="000000"/>
          <w:kern w:val="0"/>
          <w:sz w:val="32"/>
          <w:szCs w:val="32"/>
          <w:shd w:val="clear" w:color="auto" w:fill="FFFFFF"/>
          <w:lang w:val="zh-CN"/>
        </w:rPr>
        <w:t>收入情况</w:t>
      </w:r>
      <w:r>
        <w:rPr>
          <w:rFonts w:eastAsia="楷体_GB2312"/>
          <w:b/>
          <w:bCs/>
          <w:color w:val="000000"/>
          <w:kern w:val="0"/>
          <w:sz w:val="32"/>
          <w:szCs w:val="32"/>
          <w:shd w:val="clear" w:color="auto" w:fill="FFFFFF"/>
          <w:lang w:val="zh-CN"/>
        </w:rPr>
        <w:t>。</w:t>
      </w:r>
      <w:r>
        <w:rPr>
          <w:rFonts w:eastAsia="仿宋_GB2312"/>
          <w:sz w:val="32"/>
          <w:szCs w:val="32"/>
        </w:rPr>
        <w:t>永和乡人民政府</w:t>
      </w:r>
      <w:r>
        <w:rPr>
          <w:rFonts w:hint="eastAsia" w:eastAsia="仿宋_GB2312"/>
          <w:sz w:val="32"/>
          <w:szCs w:val="32"/>
        </w:rPr>
        <w:t>2024年年初预算收入情况8241892.45元、决算报表收入情况16110523.25元。</w:t>
      </w:r>
    </w:p>
    <w:p>
      <w:pPr>
        <w:widowControl/>
        <w:adjustRightInd w:val="0"/>
        <w:snapToGrid w:val="0"/>
        <w:spacing w:line="578" w:lineRule="exact"/>
        <w:ind w:firstLine="643" w:firstLineChars="200"/>
        <w:contextualSpacing/>
        <w:jc w:val="left"/>
        <w:rPr>
          <w:szCs w:val="32"/>
          <w:lang w:val="zh-CN"/>
        </w:rPr>
      </w:pPr>
      <w:r>
        <w:rPr>
          <w:rFonts w:eastAsia="楷体_GB2312"/>
          <w:b/>
          <w:bCs/>
          <w:color w:val="000000"/>
          <w:kern w:val="0"/>
          <w:sz w:val="32"/>
          <w:szCs w:val="32"/>
          <w:shd w:val="clear" w:color="auto" w:fill="FFFFFF"/>
          <w:lang w:val="zh-CN"/>
        </w:rPr>
        <w:t>（</w:t>
      </w:r>
      <w:r>
        <w:rPr>
          <w:rFonts w:hint="eastAsia" w:eastAsia="楷体_GB2312"/>
          <w:b/>
          <w:bCs/>
          <w:color w:val="000000"/>
          <w:kern w:val="0"/>
          <w:sz w:val="32"/>
          <w:szCs w:val="32"/>
          <w:shd w:val="clear" w:color="auto" w:fill="FFFFFF"/>
          <w:lang w:val="zh-CN"/>
        </w:rPr>
        <w:t>二</w:t>
      </w:r>
      <w:r>
        <w:rPr>
          <w:rFonts w:eastAsia="楷体_GB2312"/>
          <w:b/>
          <w:bCs/>
          <w:color w:val="000000"/>
          <w:kern w:val="0"/>
          <w:sz w:val="32"/>
          <w:szCs w:val="32"/>
          <w:shd w:val="clear" w:color="auto" w:fill="FFFFFF"/>
          <w:lang w:val="zh-CN"/>
        </w:rPr>
        <w:t>）</w:t>
      </w:r>
      <w:r>
        <w:rPr>
          <w:rFonts w:hint="eastAsia" w:eastAsia="楷体_GB2312"/>
          <w:b/>
          <w:bCs/>
          <w:color w:val="000000"/>
          <w:kern w:val="0"/>
          <w:sz w:val="32"/>
          <w:szCs w:val="32"/>
          <w:shd w:val="clear" w:color="auto" w:fill="FFFFFF"/>
          <w:lang w:val="zh-CN"/>
        </w:rPr>
        <w:t>支出情况</w:t>
      </w:r>
      <w:r>
        <w:rPr>
          <w:rFonts w:eastAsia="楷体_GB2312"/>
          <w:b/>
          <w:bCs/>
          <w:color w:val="000000"/>
          <w:kern w:val="0"/>
          <w:sz w:val="32"/>
          <w:szCs w:val="32"/>
          <w:shd w:val="clear" w:color="auto" w:fill="FFFFFF"/>
          <w:lang w:val="zh-CN"/>
        </w:rPr>
        <w:t>。</w:t>
      </w:r>
      <w:r>
        <w:rPr>
          <w:rFonts w:eastAsia="仿宋_GB2312"/>
          <w:sz w:val="32"/>
          <w:szCs w:val="32"/>
        </w:rPr>
        <w:t>永和乡人民政府</w:t>
      </w:r>
      <w:r>
        <w:rPr>
          <w:rFonts w:hint="eastAsia" w:eastAsia="仿宋_GB2312"/>
          <w:sz w:val="32"/>
          <w:szCs w:val="32"/>
        </w:rPr>
        <w:t>2024年年初预算支出情况8241892.45元、决算报表支出情况16110523.25元。</w:t>
      </w:r>
    </w:p>
    <w:p>
      <w:pPr>
        <w:widowControl/>
        <w:adjustRightInd w:val="0"/>
        <w:snapToGrid w:val="0"/>
        <w:spacing w:line="578" w:lineRule="exact"/>
        <w:ind w:firstLine="643" w:firstLineChars="200"/>
        <w:contextualSpacing/>
        <w:jc w:val="left"/>
        <w:rPr>
          <w:rFonts w:eastAsia="仿宋_GB2312"/>
          <w:color w:val="000000"/>
          <w:kern w:val="0"/>
          <w:szCs w:val="32"/>
          <w:shd w:val="clear" w:color="auto" w:fill="FFFFFF"/>
          <w:lang w:val="zh-CN"/>
        </w:rPr>
      </w:pPr>
      <w:r>
        <w:rPr>
          <w:rFonts w:eastAsia="楷体_GB2312"/>
          <w:b/>
          <w:bCs/>
          <w:color w:val="000000"/>
          <w:kern w:val="0"/>
          <w:sz w:val="32"/>
          <w:szCs w:val="32"/>
          <w:shd w:val="clear" w:color="auto" w:fill="FFFFFF"/>
          <w:lang w:val="zh-CN"/>
        </w:rPr>
        <w:t>（</w:t>
      </w:r>
      <w:r>
        <w:rPr>
          <w:rFonts w:hint="eastAsia" w:eastAsia="楷体_GB2312"/>
          <w:b/>
          <w:bCs/>
          <w:color w:val="000000"/>
          <w:kern w:val="0"/>
          <w:sz w:val="32"/>
          <w:szCs w:val="32"/>
          <w:shd w:val="clear" w:color="auto" w:fill="FFFFFF"/>
          <w:lang w:val="zh-CN"/>
        </w:rPr>
        <w:t>三</w:t>
      </w:r>
      <w:r>
        <w:rPr>
          <w:rFonts w:eastAsia="楷体_GB2312"/>
          <w:b/>
          <w:bCs/>
          <w:color w:val="000000"/>
          <w:kern w:val="0"/>
          <w:sz w:val="32"/>
          <w:szCs w:val="32"/>
          <w:shd w:val="clear" w:color="auto" w:fill="FFFFFF"/>
          <w:lang w:val="zh-CN"/>
        </w:rPr>
        <w:t>）结余分配和结转结余情况</w:t>
      </w:r>
      <w:r>
        <w:rPr>
          <w:rFonts w:hint="eastAsia" w:eastAsia="楷体_GB2312"/>
          <w:b/>
          <w:bCs/>
          <w:color w:val="000000"/>
          <w:kern w:val="0"/>
          <w:sz w:val="32"/>
          <w:szCs w:val="32"/>
          <w:shd w:val="clear" w:color="auto" w:fill="FFFFFF"/>
          <w:lang w:val="zh-CN"/>
        </w:rPr>
        <w:t>。</w:t>
      </w:r>
      <w:r>
        <w:rPr>
          <w:rFonts w:eastAsia="仿宋_GB2312"/>
          <w:sz w:val="32"/>
          <w:szCs w:val="32"/>
        </w:rPr>
        <w:t>永和乡人民政府</w:t>
      </w:r>
      <w:r>
        <w:rPr>
          <w:rFonts w:hint="eastAsia" w:eastAsia="仿宋_GB2312"/>
          <w:sz w:val="32"/>
          <w:szCs w:val="32"/>
        </w:rPr>
        <w:t>2024年决算报表</w:t>
      </w:r>
      <w:r>
        <w:rPr>
          <w:rFonts w:eastAsia="仿宋_GB2312"/>
          <w:sz w:val="32"/>
          <w:szCs w:val="32"/>
        </w:rPr>
        <w:t>结转结余</w:t>
      </w:r>
      <w:r>
        <w:rPr>
          <w:rFonts w:hint="eastAsia" w:eastAsia="仿宋_GB2312"/>
          <w:sz w:val="32"/>
          <w:szCs w:val="32"/>
        </w:rPr>
        <w:t>情况3032335.52元</w:t>
      </w:r>
      <w:r>
        <w:rPr>
          <w:rFonts w:eastAsia="仿宋_GB2312"/>
          <w:sz w:val="32"/>
          <w:szCs w:val="32"/>
        </w:rPr>
        <w:t>。</w:t>
      </w:r>
    </w:p>
    <w:p>
      <w:pPr>
        <w:widowControl/>
        <w:adjustRightInd w:val="0"/>
        <w:snapToGrid w:val="0"/>
        <w:spacing w:line="578" w:lineRule="exact"/>
        <w:ind w:firstLine="640" w:firstLineChars="200"/>
        <w:contextualSpacing/>
        <w:jc w:val="left"/>
        <w:rPr>
          <w:rFonts w:eastAsia="黑体"/>
          <w:color w:val="000000"/>
          <w:kern w:val="0"/>
          <w:sz w:val="32"/>
          <w:szCs w:val="32"/>
          <w:shd w:val="clear" w:color="auto" w:fill="FFFFFF"/>
          <w:lang w:val="zh-CN"/>
        </w:rPr>
      </w:pPr>
      <w:r>
        <w:rPr>
          <w:rFonts w:eastAsia="黑体"/>
          <w:color w:val="000000"/>
          <w:kern w:val="0"/>
          <w:sz w:val="32"/>
          <w:szCs w:val="32"/>
          <w:shd w:val="clear" w:color="auto" w:fill="FFFFFF"/>
          <w:lang w:val="zh-CN"/>
        </w:rPr>
        <w:t>三、部门预算绩效分析</w:t>
      </w:r>
    </w:p>
    <w:p>
      <w:pPr>
        <w:adjustRightInd w:val="0"/>
        <w:snapToGrid w:val="0"/>
        <w:spacing w:line="578" w:lineRule="exact"/>
        <w:ind w:firstLine="643" w:firstLineChars="200"/>
        <w:contextualSpacing/>
        <w:jc w:val="left"/>
        <w:rPr>
          <w:rFonts w:eastAsia="仿宋_GB2312" w:cs="仿宋_GB2312"/>
          <w:sz w:val="32"/>
          <w:szCs w:val="32"/>
          <w:lang w:val="zh-CN"/>
        </w:rPr>
      </w:pPr>
      <w:r>
        <w:rPr>
          <w:rFonts w:eastAsia="楷体_GB2312"/>
          <w:b/>
          <w:bCs/>
          <w:color w:val="000000"/>
          <w:kern w:val="0"/>
          <w:sz w:val="32"/>
          <w:szCs w:val="32"/>
          <w:shd w:val="clear" w:color="auto" w:fill="FFFFFF"/>
          <w:lang w:val="zh-CN"/>
        </w:rPr>
        <w:t>（一）</w:t>
      </w:r>
      <w:r>
        <w:rPr>
          <w:rFonts w:hint="eastAsia" w:eastAsia="楷体_GB2312"/>
          <w:b/>
          <w:bCs/>
          <w:color w:val="000000"/>
          <w:kern w:val="0"/>
          <w:sz w:val="32"/>
          <w:szCs w:val="32"/>
          <w:shd w:val="clear" w:color="auto" w:fill="FFFFFF"/>
          <w:lang w:val="zh-CN"/>
        </w:rPr>
        <w:t>部门预算</w:t>
      </w:r>
      <w:r>
        <w:rPr>
          <w:rFonts w:eastAsia="楷体_GB2312"/>
          <w:b/>
          <w:bCs/>
          <w:color w:val="000000"/>
          <w:kern w:val="0"/>
          <w:sz w:val="32"/>
          <w:szCs w:val="32"/>
          <w:shd w:val="clear" w:color="auto" w:fill="FFFFFF"/>
          <w:lang w:val="zh-CN"/>
        </w:rPr>
        <w:t>总体绩效分析。</w:t>
      </w:r>
      <w:r>
        <w:rPr>
          <w:rFonts w:eastAsia="仿宋_GB2312" w:cs="仿宋_GB2312"/>
          <w:sz w:val="32"/>
          <w:szCs w:val="32"/>
          <w:lang w:val="zh-CN"/>
        </w:rPr>
        <w:t>根据部门预算绩效评价指标体系</w:t>
      </w:r>
      <w:r>
        <w:rPr>
          <w:rFonts w:hint="eastAsia" w:eastAsia="仿宋_GB2312" w:cs="仿宋_GB2312"/>
          <w:sz w:val="32"/>
          <w:szCs w:val="32"/>
          <w:lang w:val="zh-CN"/>
        </w:rPr>
        <w:t>“</w:t>
      </w:r>
      <w:r>
        <w:rPr>
          <w:rFonts w:eastAsia="仿宋_GB2312" w:cs="仿宋_GB2312"/>
          <w:sz w:val="32"/>
          <w:szCs w:val="32"/>
          <w:lang w:val="zh-CN"/>
        </w:rPr>
        <w:t>总体绩效</w:t>
      </w:r>
      <w:r>
        <w:rPr>
          <w:rFonts w:hint="eastAsia" w:eastAsia="仿宋_GB2312" w:cs="仿宋_GB2312"/>
          <w:sz w:val="32"/>
          <w:szCs w:val="32"/>
          <w:lang w:val="zh-CN"/>
        </w:rPr>
        <w:t>”</w:t>
      </w:r>
      <w:r>
        <w:rPr>
          <w:rFonts w:eastAsia="仿宋_GB2312" w:cs="仿宋_GB2312"/>
          <w:sz w:val="32"/>
          <w:szCs w:val="32"/>
          <w:lang w:val="zh-CN"/>
        </w:rPr>
        <w:t>涉及</w:t>
      </w:r>
      <w:r>
        <w:rPr>
          <w:rFonts w:hint="eastAsia" w:eastAsia="仿宋_GB2312" w:cs="仿宋_GB2312"/>
          <w:sz w:val="32"/>
          <w:szCs w:val="32"/>
          <w:lang w:val="zh-CN"/>
        </w:rPr>
        <w:t>二、三级</w:t>
      </w:r>
      <w:r>
        <w:rPr>
          <w:rFonts w:eastAsia="仿宋_GB2312" w:cs="仿宋_GB2312"/>
          <w:sz w:val="32"/>
          <w:szCs w:val="32"/>
          <w:lang w:val="zh-CN"/>
        </w:rPr>
        <w:t>指标进行</w:t>
      </w:r>
      <w:r>
        <w:rPr>
          <w:rFonts w:hint="eastAsia" w:eastAsia="仿宋_GB2312" w:cs="仿宋_GB2312"/>
          <w:sz w:val="32"/>
          <w:szCs w:val="32"/>
          <w:lang w:val="zh-CN"/>
        </w:rPr>
        <w:t>逐项</w:t>
      </w:r>
      <w:r>
        <w:rPr>
          <w:rFonts w:eastAsia="仿宋_GB2312" w:cs="仿宋_GB2312"/>
          <w:sz w:val="32"/>
          <w:szCs w:val="32"/>
          <w:lang w:val="zh-CN"/>
        </w:rPr>
        <w:t>绩效分析</w:t>
      </w:r>
      <w:r>
        <w:rPr>
          <w:rFonts w:hint="eastAsia" w:eastAsia="仿宋_GB2312" w:cs="仿宋_GB2312"/>
          <w:sz w:val="32"/>
          <w:szCs w:val="32"/>
          <w:lang w:val="zh-CN"/>
        </w:rPr>
        <w:t>并评分</w:t>
      </w:r>
      <w:r>
        <w:rPr>
          <w:rFonts w:eastAsia="仿宋_GB2312" w:cs="仿宋_GB2312"/>
          <w:sz w:val="32"/>
          <w:szCs w:val="32"/>
          <w:lang w:val="zh-CN"/>
        </w:rPr>
        <w:t>，依次包括履职效能、预算管理、财务管理、资产管理、采购管理等情况。</w:t>
      </w:r>
    </w:p>
    <w:p>
      <w:pPr>
        <w:adjustRightInd w:val="0"/>
        <w:snapToGrid w:val="0"/>
        <w:spacing w:line="578" w:lineRule="exact"/>
        <w:ind w:firstLine="640" w:firstLineChars="200"/>
        <w:contextualSpacing/>
        <w:rPr>
          <w:rFonts w:eastAsia="仿宋_GB2312" w:cs="仿宋_GB2312"/>
          <w:sz w:val="32"/>
          <w:szCs w:val="32"/>
        </w:rPr>
      </w:pPr>
      <w:r>
        <w:rPr>
          <w:rFonts w:hint="eastAsia" w:eastAsia="仿宋_GB2312" w:cs="仿宋_GB2312"/>
          <w:sz w:val="32"/>
          <w:szCs w:val="32"/>
        </w:rPr>
        <w:t>1.履职效能。我乡在绩效目标中选定3个核心职能目标，对职能目标完成效果情况绩效分析，选定3个核心职能目标均圆满完成任务，并取得了较好的工作成果。在实现部门整体绩效目标的过程中，通过从事公务活动所发挥的功能程度，以及产生的效益和效果的集中体现。补齐乡村振兴基础设施短板、务实农业生产能力建设、持续改善村容、村貌、改善农村人居环境，推动永和乡经济发展以及休闲农业和乡村旅游配套设施提档升级，在丰富乡村文化生活中寻找切入点以提高人民生活水平、维护民族团结、提升村寨整体形象，采取村民自建方式因地制宜实施项目，在巩固脱贫攻坚成果、做好脱贫攻坚与实施乡村振兴战略有效衔接中发挥重要作用。</w:t>
      </w:r>
    </w:p>
    <w:p>
      <w:pPr>
        <w:adjustRightInd w:val="0"/>
        <w:snapToGrid w:val="0"/>
        <w:spacing w:line="578" w:lineRule="exact"/>
        <w:ind w:firstLine="640" w:firstLineChars="200"/>
        <w:contextualSpacing/>
        <w:rPr>
          <w:rFonts w:eastAsia="仿宋_GB2312" w:cs="仿宋_GB2312"/>
          <w:sz w:val="32"/>
          <w:szCs w:val="32"/>
        </w:rPr>
      </w:pPr>
      <w:r>
        <w:rPr>
          <w:rFonts w:hint="eastAsia" w:eastAsia="仿宋_GB2312" w:cs="仿宋_GB2312"/>
          <w:sz w:val="32"/>
          <w:szCs w:val="32"/>
        </w:rPr>
        <w:t>2.预算管理。财政预算是经法定程序审批的、政府在一个财政年度内的基本财政收支计划。财政预算规范和安排着财政活动，直接体现着政府的政策意向，直接关系到社会经济运作的好坏，因而必须预先做出周密的计划和规划。因而对财政预算进行科学、规范的管理就尤为重要，对振兴财政，促进国民经济，财政预算管理是现代国家公共财政体制建设的基本内容，也是衡量一国财政管理现代化水平的重要标志之一。我乡按照财政部门要求，单位收入统筹安排合理、每笔支出按进度执行、严控一般性支出，按时按质的完成了预算编制工作，按照规定执行进度支付资金，年终未有结转结余。</w:t>
      </w:r>
    </w:p>
    <w:p>
      <w:pPr>
        <w:adjustRightInd w:val="0"/>
        <w:snapToGrid w:val="0"/>
        <w:spacing w:line="578" w:lineRule="exact"/>
        <w:ind w:firstLine="640" w:firstLineChars="200"/>
        <w:contextualSpacing/>
        <w:rPr>
          <w:rFonts w:eastAsia="仿宋_GB2312" w:cs="仿宋_GB2312"/>
          <w:sz w:val="32"/>
          <w:szCs w:val="32"/>
        </w:rPr>
      </w:pPr>
      <w:r>
        <w:rPr>
          <w:rFonts w:hint="eastAsia" w:eastAsia="仿宋_GB2312" w:cs="仿宋_GB2312"/>
          <w:sz w:val="32"/>
          <w:szCs w:val="32"/>
        </w:rPr>
        <w:t>3.财务管理。项目资金均为财政拨款收入,在经县级部门审核通过后统一发放至我乡预算管理一体化。项目资金管理办法制定情况为明确资金管理的总体原则，专人管理、专户存储、专账核算等，确保资金使用的专业性和规范性。同时，详细描述资金支付的具体流程，包括经办人审查、业务部门审核、领导核准签字等步骤，确保每一笔资金的支付都经过严格的审核和批准。我乡财务管理由永和乡党委副书记、乡长苑玉环，负责审计工作；永和乡党委副书记、宣传委员王旭升，负责目标督查和绩效管理等工作；永和乡党委副书记、政法委员、统战委员杨成勇，负责对口支援、项目建设等工作；分管财务领导赵华毅，负责财政审核；财务岗位设置两人，会计余梓萌；出纳苟玉媛；以及其他相关人员构成。</w:t>
      </w:r>
    </w:p>
    <w:p>
      <w:pPr>
        <w:adjustRightInd w:val="0"/>
        <w:snapToGrid w:val="0"/>
        <w:spacing w:line="578" w:lineRule="exact"/>
        <w:ind w:firstLine="640" w:firstLineChars="200"/>
        <w:contextualSpacing/>
        <w:rPr>
          <w:rFonts w:eastAsia="仿宋_GB2312" w:cs="仿宋_GB2312"/>
          <w:sz w:val="32"/>
          <w:szCs w:val="32"/>
        </w:rPr>
      </w:pPr>
      <w:r>
        <w:rPr>
          <w:rFonts w:hint="eastAsia" w:eastAsia="仿宋_GB2312" w:cs="仿宋_GB2312"/>
          <w:sz w:val="32"/>
          <w:szCs w:val="32"/>
        </w:rPr>
        <w:t>4.资产管理。我乡制定了固定资产管理制度，定期进行资产盘点，及时进行资产入账，资产利用率达100%，无闲置资产。</w:t>
      </w:r>
    </w:p>
    <w:p>
      <w:pPr>
        <w:adjustRightInd w:val="0"/>
        <w:snapToGrid w:val="0"/>
        <w:spacing w:line="578" w:lineRule="exact"/>
        <w:ind w:firstLine="640" w:firstLineChars="200"/>
        <w:contextualSpacing/>
        <w:rPr>
          <w:rFonts w:eastAsia="仿宋_GB2312" w:cs="仿宋_GB2312"/>
          <w:sz w:val="32"/>
          <w:szCs w:val="32"/>
        </w:rPr>
      </w:pPr>
      <w:r>
        <w:rPr>
          <w:rFonts w:hint="eastAsia" w:eastAsia="仿宋_GB2312" w:cs="仿宋_GB2312"/>
          <w:sz w:val="32"/>
          <w:szCs w:val="32"/>
        </w:rPr>
        <w:t>（1）日常管理：资产卡片管理、资产录入、资产转移、资产维修、资产借用、资产启用、资产停用、资产退出；</w:t>
      </w:r>
    </w:p>
    <w:p>
      <w:pPr>
        <w:adjustRightInd w:val="0"/>
        <w:snapToGrid w:val="0"/>
        <w:spacing w:line="578" w:lineRule="exact"/>
        <w:ind w:firstLine="640" w:firstLineChars="200"/>
        <w:contextualSpacing/>
        <w:rPr>
          <w:rFonts w:eastAsia="仿宋_GB2312" w:cs="仿宋_GB2312"/>
          <w:sz w:val="32"/>
          <w:szCs w:val="32"/>
        </w:rPr>
      </w:pPr>
      <w:r>
        <w:rPr>
          <w:rFonts w:hint="eastAsia" w:eastAsia="仿宋_GB2312" w:cs="仿宋_GB2312"/>
          <w:sz w:val="32"/>
          <w:szCs w:val="32"/>
        </w:rPr>
        <w:t>（2）资产盘点：盘点单查询、盘点单录入、盘盈盘亏明细表、盘点汇总；</w:t>
      </w:r>
    </w:p>
    <w:p>
      <w:pPr>
        <w:adjustRightInd w:val="0"/>
        <w:snapToGrid w:val="0"/>
        <w:spacing w:line="578" w:lineRule="exact"/>
        <w:ind w:firstLine="640" w:firstLineChars="200"/>
        <w:contextualSpacing/>
        <w:rPr>
          <w:rFonts w:eastAsia="仿宋_GB2312" w:cs="仿宋_GB2312"/>
          <w:sz w:val="32"/>
          <w:szCs w:val="32"/>
        </w:rPr>
      </w:pPr>
      <w:r>
        <w:rPr>
          <w:rFonts w:hint="eastAsia" w:eastAsia="仿宋_GB2312" w:cs="仿宋_GB2312"/>
          <w:sz w:val="32"/>
          <w:szCs w:val="32"/>
        </w:rPr>
        <w:t>（3）折旧管理：计提折旧、折旧月报、折旧年报、资产减值准备、资产价值重估、累计折旧明细；</w:t>
      </w:r>
    </w:p>
    <w:p>
      <w:pPr>
        <w:adjustRightInd w:val="0"/>
        <w:snapToGrid w:val="0"/>
        <w:spacing w:line="578" w:lineRule="exact"/>
        <w:ind w:firstLine="640" w:firstLineChars="200"/>
        <w:contextualSpacing/>
        <w:rPr>
          <w:rFonts w:eastAsia="仿宋_GB2312" w:cs="仿宋_GB2312"/>
          <w:sz w:val="32"/>
          <w:szCs w:val="32"/>
        </w:rPr>
      </w:pPr>
      <w:r>
        <w:rPr>
          <w:rFonts w:hint="eastAsia" w:eastAsia="仿宋_GB2312" w:cs="仿宋_GB2312"/>
          <w:sz w:val="32"/>
          <w:szCs w:val="32"/>
        </w:rPr>
        <w:t>（4）报表管理：分类明细统计报表、部门明细统计报表、新增资产统计报表、退出资产统计报表；</w:t>
      </w:r>
    </w:p>
    <w:p>
      <w:pPr>
        <w:adjustRightInd w:val="0"/>
        <w:snapToGrid w:val="0"/>
        <w:spacing w:line="578" w:lineRule="exact"/>
        <w:ind w:firstLine="640" w:firstLineChars="200"/>
        <w:contextualSpacing/>
        <w:rPr>
          <w:rFonts w:eastAsia="仿宋_GB2312" w:cs="仿宋_GB2312"/>
          <w:sz w:val="32"/>
          <w:szCs w:val="32"/>
        </w:rPr>
      </w:pPr>
      <w:r>
        <w:rPr>
          <w:rFonts w:hint="eastAsia" w:eastAsia="仿宋_GB2312" w:cs="仿宋_GB2312"/>
          <w:sz w:val="32"/>
          <w:szCs w:val="32"/>
        </w:rPr>
        <w:t>（5）系统管理：操作员/权限、部门/人员信息、资产分类编码、资产属性信息。</w:t>
      </w:r>
    </w:p>
    <w:p>
      <w:pPr>
        <w:adjustRightInd w:val="0"/>
        <w:snapToGrid w:val="0"/>
        <w:spacing w:line="578" w:lineRule="exact"/>
        <w:ind w:firstLine="640" w:firstLineChars="200"/>
        <w:contextualSpacing/>
        <w:rPr>
          <w:rFonts w:eastAsia="仿宋_GB2312" w:cs="仿宋_GB2312"/>
          <w:sz w:val="32"/>
          <w:szCs w:val="32"/>
        </w:rPr>
      </w:pPr>
      <w:r>
        <w:rPr>
          <w:rFonts w:hint="eastAsia" w:eastAsia="仿宋_GB2312" w:cs="仿宋_GB2312"/>
          <w:sz w:val="32"/>
          <w:szCs w:val="32"/>
        </w:rPr>
        <w:t>5.采购管理。为了规范政府采购行为，加强财政支出管理，提高财政资金使用效益，促进经济和社会发展，根据预算法及有关法律、行政法规，我乡严格按照政府采购流程进行采购。</w:t>
      </w:r>
    </w:p>
    <w:p>
      <w:pPr>
        <w:adjustRightInd w:val="0"/>
        <w:snapToGrid w:val="0"/>
        <w:spacing w:line="578" w:lineRule="exact"/>
        <w:ind w:firstLine="643" w:firstLineChars="200"/>
        <w:contextualSpacing/>
        <w:rPr>
          <w:rFonts w:eastAsia="仿宋_GB2312" w:cs="仿宋_GB2312"/>
          <w:sz w:val="32"/>
          <w:szCs w:val="32"/>
        </w:rPr>
      </w:pPr>
      <w:r>
        <w:rPr>
          <w:rFonts w:eastAsia="楷体_GB2312"/>
          <w:b/>
          <w:bCs/>
          <w:color w:val="000000"/>
          <w:kern w:val="0"/>
          <w:sz w:val="32"/>
          <w:szCs w:val="32"/>
          <w:shd w:val="clear" w:color="auto" w:fill="FFFFFF"/>
          <w:lang w:val="zh-CN"/>
        </w:rPr>
        <w:t>（二）部门预算项目绩效分析。</w:t>
      </w:r>
      <w:r>
        <w:rPr>
          <w:rFonts w:hint="eastAsia" w:eastAsia="仿宋_GB2312" w:cs="仿宋_GB2312"/>
          <w:sz w:val="32"/>
          <w:szCs w:val="32"/>
          <w:lang w:val="zh-CN"/>
        </w:rPr>
        <w:t>填报以下数据，并</w:t>
      </w:r>
      <w:r>
        <w:rPr>
          <w:rFonts w:eastAsia="仿宋_GB2312" w:cs="仿宋_GB2312"/>
          <w:sz w:val="32"/>
          <w:szCs w:val="32"/>
          <w:lang w:val="zh-CN"/>
        </w:rPr>
        <w:t>根据部门预算绩效评价指标体系</w:t>
      </w:r>
      <w:r>
        <w:rPr>
          <w:rFonts w:hint="eastAsia" w:eastAsia="仿宋_GB2312" w:cs="仿宋_GB2312"/>
          <w:sz w:val="32"/>
          <w:szCs w:val="32"/>
          <w:lang w:val="zh-CN"/>
        </w:rPr>
        <w:t>“</w:t>
      </w:r>
      <w:r>
        <w:rPr>
          <w:rFonts w:eastAsia="仿宋_GB2312" w:cs="仿宋_GB2312"/>
          <w:sz w:val="32"/>
          <w:szCs w:val="32"/>
          <w:lang w:val="zh-CN"/>
        </w:rPr>
        <w:t>项目绩效</w:t>
      </w:r>
      <w:r>
        <w:rPr>
          <w:rFonts w:hint="eastAsia" w:eastAsia="仿宋_GB2312" w:cs="仿宋_GB2312"/>
          <w:sz w:val="32"/>
          <w:szCs w:val="32"/>
          <w:lang w:val="zh-CN"/>
        </w:rPr>
        <w:t>”</w:t>
      </w:r>
      <w:r>
        <w:rPr>
          <w:rFonts w:eastAsia="仿宋_GB2312" w:cs="仿宋_GB2312"/>
          <w:sz w:val="32"/>
          <w:szCs w:val="32"/>
          <w:lang w:val="zh-CN"/>
        </w:rPr>
        <w:t>涉及</w:t>
      </w:r>
      <w:r>
        <w:rPr>
          <w:rFonts w:hint="eastAsia" w:eastAsia="仿宋_GB2312" w:cs="仿宋_GB2312"/>
          <w:sz w:val="32"/>
          <w:szCs w:val="32"/>
          <w:lang w:val="zh-CN"/>
        </w:rPr>
        <w:t>二、三级</w:t>
      </w:r>
      <w:r>
        <w:rPr>
          <w:rFonts w:eastAsia="仿宋_GB2312" w:cs="仿宋_GB2312"/>
          <w:sz w:val="32"/>
          <w:szCs w:val="32"/>
          <w:lang w:val="zh-CN"/>
        </w:rPr>
        <w:t>指标进行</w:t>
      </w:r>
      <w:r>
        <w:rPr>
          <w:rFonts w:hint="eastAsia" w:eastAsia="仿宋_GB2312" w:cs="仿宋_GB2312"/>
          <w:sz w:val="32"/>
          <w:szCs w:val="32"/>
          <w:lang w:val="zh-CN"/>
        </w:rPr>
        <w:t>逐项</w:t>
      </w:r>
      <w:r>
        <w:rPr>
          <w:rFonts w:eastAsia="仿宋_GB2312" w:cs="仿宋_GB2312"/>
          <w:sz w:val="32"/>
          <w:szCs w:val="32"/>
          <w:lang w:val="zh-CN"/>
        </w:rPr>
        <w:t>绩效分析</w:t>
      </w:r>
      <w:r>
        <w:rPr>
          <w:rFonts w:hint="eastAsia" w:eastAsia="仿宋_GB2312" w:cs="仿宋_GB2312"/>
          <w:sz w:val="32"/>
          <w:szCs w:val="32"/>
          <w:lang w:val="zh-CN"/>
        </w:rPr>
        <w:t>并评分</w:t>
      </w:r>
      <w:r>
        <w:rPr>
          <w:rFonts w:eastAsia="仿宋_GB2312" w:cs="仿宋_GB2312"/>
          <w:sz w:val="32"/>
          <w:szCs w:val="32"/>
          <w:lang w:val="zh-CN"/>
        </w:rPr>
        <w:t>，依次包括项目</w:t>
      </w:r>
      <w:r>
        <w:rPr>
          <w:rFonts w:eastAsia="仿宋_GB2312" w:cs="仿宋_GB2312"/>
          <w:sz w:val="32"/>
          <w:szCs w:val="32"/>
        </w:rPr>
        <w:t>决策、项目执行、目标实现等情况</w:t>
      </w:r>
      <w:r>
        <w:rPr>
          <w:rFonts w:hint="eastAsia" w:eastAsia="仿宋_GB2312" w:cs="仿宋_GB2312"/>
          <w:sz w:val="32"/>
          <w:szCs w:val="32"/>
        </w:rPr>
        <w:t>。</w:t>
      </w:r>
    </w:p>
    <w:p>
      <w:pPr>
        <w:adjustRightInd w:val="0"/>
        <w:snapToGrid w:val="0"/>
        <w:spacing w:line="578" w:lineRule="exact"/>
        <w:ind w:firstLine="640" w:firstLineChars="200"/>
        <w:contextualSpacing/>
        <w:rPr>
          <w:rFonts w:eastAsia="仿宋_GB2312" w:cs="仿宋_GB2312"/>
          <w:sz w:val="32"/>
          <w:szCs w:val="32"/>
          <w:lang w:val="zh-CN"/>
        </w:rPr>
      </w:pPr>
      <w:r>
        <w:rPr>
          <w:rFonts w:eastAsia="仿宋_GB2312" w:cs="仿宋_GB2312"/>
          <w:sz w:val="32"/>
          <w:szCs w:val="32"/>
        </w:rPr>
        <w:t>常年项目绩效分析。</w:t>
      </w:r>
      <w:r>
        <w:rPr>
          <w:rFonts w:eastAsia="仿宋_GB2312" w:cs="仿宋_GB2312"/>
          <w:sz w:val="32"/>
          <w:szCs w:val="32"/>
          <w:lang w:val="zh-CN"/>
        </w:rPr>
        <w:t>该类项目总数</w:t>
      </w:r>
      <w:r>
        <w:rPr>
          <w:rFonts w:hint="eastAsia" w:eastAsia="仿宋_GB2312" w:cs="仿宋_GB2312"/>
          <w:sz w:val="32"/>
          <w:szCs w:val="32"/>
        </w:rPr>
        <w:t>8</w:t>
      </w:r>
      <w:r>
        <w:rPr>
          <w:rFonts w:eastAsia="仿宋_GB2312" w:cs="仿宋_GB2312"/>
          <w:sz w:val="32"/>
          <w:szCs w:val="32"/>
          <w:lang w:val="zh-CN"/>
        </w:rPr>
        <w:t>个，涉及预算总金额</w:t>
      </w:r>
      <w:r>
        <w:rPr>
          <w:rFonts w:hint="eastAsia" w:eastAsia="仿宋_GB2312" w:cs="仿宋_GB2312"/>
          <w:sz w:val="32"/>
          <w:szCs w:val="32"/>
        </w:rPr>
        <w:t>196.33</w:t>
      </w:r>
      <w:r>
        <w:rPr>
          <w:rFonts w:eastAsia="仿宋_GB2312" w:cs="仿宋_GB2312"/>
          <w:sz w:val="32"/>
          <w:szCs w:val="32"/>
          <w:lang w:val="zh-CN"/>
        </w:rPr>
        <w:t>万元，1</w:t>
      </w:r>
      <w:r>
        <w:rPr>
          <w:rFonts w:hint="eastAsia" w:eastAsia="仿宋_GB2312" w:cs="仿宋_GB2312"/>
          <w:sz w:val="32"/>
          <w:szCs w:val="32"/>
          <w:lang w:val="zh-CN"/>
        </w:rPr>
        <w:t>—</w:t>
      </w:r>
      <w:r>
        <w:rPr>
          <w:rFonts w:eastAsia="仿宋_GB2312" w:cs="仿宋_GB2312"/>
          <w:sz w:val="32"/>
          <w:szCs w:val="32"/>
          <w:lang w:val="zh-CN"/>
        </w:rPr>
        <w:t>1</w:t>
      </w:r>
      <w:r>
        <w:rPr>
          <w:rFonts w:eastAsia="仿宋_GB2312" w:cs="仿宋_GB2312"/>
          <w:sz w:val="32"/>
          <w:szCs w:val="32"/>
        </w:rPr>
        <w:t>2</w:t>
      </w:r>
      <w:r>
        <w:rPr>
          <w:rFonts w:eastAsia="仿宋_GB2312" w:cs="仿宋_GB2312"/>
          <w:sz w:val="32"/>
          <w:szCs w:val="32"/>
          <w:lang w:val="zh-CN"/>
        </w:rPr>
        <w:t>月预算执行总体进度为</w:t>
      </w:r>
      <w:r>
        <w:rPr>
          <w:rFonts w:hint="eastAsia" w:eastAsia="仿宋_GB2312" w:cs="仿宋_GB2312"/>
          <w:sz w:val="32"/>
          <w:szCs w:val="32"/>
        </w:rPr>
        <w:t>100</w:t>
      </w:r>
      <w:r>
        <w:rPr>
          <w:rFonts w:eastAsia="仿宋_GB2312" w:cs="仿宋_GB2312"/>
          <w:sz w:val="32"/>
          <w:szCs w:val="32"/>
          <w:lang w:val="zh-CN"/>
        </w:rPr>
        <w:t>%，其中：预算结余率大于</w:t>
      </w:r>
      <w:r>
        <w:rPr>
          <w:rFonts w:eastAsia="仿宋_GB2312" w:cs="仿宋_GB2312"/>
          <w:sz w:val="32"/>
          <w:szCs w:val="32"/>
        </w:rPr>
        <w:t>10%</w:t>
      </w:r>
      <w:r>
        <w:rPr>
          <w:rFonts w:eastAsia="仿宋_GB2312" w:cs="仿宋_GB2312"/>
          <w:sz w:val="32"/>
          <w:szCs w:val="32"/>
          <w:lang w:val="zh-CN"/>
        </w:rPr>
        <w:t>的项目共计</w:t>
      </w:r>
      <w:r>
        <w:rPr>
          <w:rFonts w:hint="eastAsia" w:eastAsia="仿宋_GB2312" w:cs="仿宋_GB2312"/>
          <w:sz w:val="32"/>
          <w:szCs w:val="32"/>
        </w:rPr>
        <w:t>0</w:t>
      </w:r>
      <w:r>
        <w:rPr>
          <w:rFonts w:eastAsia="仿宋_GB2312" w:cs="仿宋_GB2312"/>
          <w:sz w:val="32"/>
          <w:szCs w:val="32"/>
          <w:lang w:val="zh-CN"/>
        </w:rPr>
        <w:t>个。</w:t>
      </w:r>
    </w:p>
    <w:p>
      <w:pPr>
        <w:adjustRightInd w:val="0"/>
        <w:snapToGrid w:val="0"/>
        <w:spacing w:line="578" w:lineRule="exact"/>
        <w:ind w:firstLine="640" w:firstLineChars="200"/>
        <w:contextualSpacing/>
        <w:rPr>
          <w:rFonts w:eastAsia="仿宋_GB2312" w:cs="仿宋_GB2312"/>
          <w:sz w:val="32"/>
          <w:szCs w:val="32"/>
          <w:lang w:val="zh-CN"/>
        </w:rPr>
      </w:pPr>
      <w:r>
        <w:rPr>
          <w:rFonts w:eastAsia="仿宋_GB2312" w:cs="仿宋_GB2312"/>
          <w:sz w:val="32"/>
          <w:szCs w:val="32"/>
        </w:rPr>
        <w:t>阶段</w:t>
      </w:r>
      <w:r>
        <w:rPr>
          <w:rFonts w:hint="eastAsia" w:eastAsia="仿宋_GB2312" w:cs="仿宋_GB2312"/>
          <w:sz w:val="32"/>
          <w:szCs w:val="32"/>
        </w:rPr>
        <w:t>（</w:t>
      </w:r>
      <w:r>
        <w:rPr>
          <w:rFonts w:eastAsia="仿宋_GB2312" w:cs="仿宋_GB2312"/>
          <w:sz w:val="32"/>
          <w:szCs w:val="32"/>
        </w:rPr>
        <w:t>一次性</w:t>
      </w:r>
      <w:r>
        <w:rPr>
          <w:rFonts w:hint="eastAsia" w:eastAsia="仿宋_GB2312" w:cs="仿宋_GB2312"/>
          <w:sz w:val="32"/>
          <w:szCs w:val="32"/>
        </w:rPr>
        <w:t>）</w:t>
      </w:r>
      <w:r>
        <w:rPr>
          <w:rFonts w:eastAsia="仿宋_GB2312" w:cs="仿宋_GB2312"/>
          <w:sz w:val="32"/>
          <w:szCs w:val="32"/>
        </w:rPr>
        <w:t>项目绩效分析。</w:t>
      </w:r>
      <w:r>
        <w:rPr>
          <w:rFonts w:eastAsia="仿宋_GB2312" w:cs="仿宋_GB2312"/>
          <w:sz w:val="32"/>
          <w:szCs w:val="32"/>
          <w:lang w:val="zh-CN"/>
        </w:rPr>
        <w:t>该类项目总数</w:t>
      </w:r>
      <w:r>
        <w:rPr>
          <w:rFonts w:hint="eastAsia" w:eastAsia="仿宋_GB2312" w:cs="仿宋_GB2312"/>
          <w:sz w:val="32"/>
          <w:szCs w:val="32"/>
        </w:rPr>
        <w:t>9</w:t>
      </w:r>
      <w:r>
        <w:rPr>
          <w:rFonts w:eastAsia="仿宋_GB2312" w:cs="仿宋_GB2312"/>
          <w:sz w:val="32"/>
          <w:szCs w:val="32"/>
          <w:lang w:val="zh-CN"/>
        </w:rPr>
        <w:t>个，涉及预算总金额</w:t>
      </w:r>
      <w:r>
        <w:rPr>
          <w:rFonts w:hint="eastAsia" w:eastAsia="仿宋_GB2312" w:cs="仿宋_GB2312"/>
          <w:sz w:val="32"/>
          <w:szCs w:val="32"/>
        </w:rPr>
        <w:t>768</w:t>
      </w:r>
      <w:r>
        <w:rPr>
          <w:rFonts w:eastAsia="仿宋_GB2312" w:cs="仿宋_GB2312"/>
          <w:sz w:val="32"/>
          <w:szCs w:val="32"/>
          <w:lang w:val="zh-CN"/>
        </w:rPr>
        <w:t>万元，1</w:t>
      </w:r>
      <w:r>
        <w:rPr>
          <w:rFonts w:hint="eastAsia" w:eastAsia="仿宋_GB2312" w:cs="仿宋_GB2312"/>
          <w:sz w:val="32"/>
          <w:szCs w:val="32"/>
          <w:lang w:val="zh-CN"/>
        </w:rPr>
        <w:t>—</w:t>
      </w:r>
      <w:r>
        <w:rPr>
          <w:rFonts w:eastAsia="仿宋_GB2312" w:cs="仿宋_GB2312"/>
          <w:sz w:val="32"/>
          <w:szCs w:val="32"/>
          <w:lang w:val="zh-CN"/>
        </w:rPr>
        <w:t>1</w:t>
      </w:r>
      <w:r>
        <w:rPr>
          <w:rFonts w:eastAsia="仿宋_GB2312" w:cs="仿宋_GB2312"/>
          <w:sz w:val="32"/>
          <w:szCs w:val="32"/>
        </w:rPr>
        <w:t>2</w:t>
      </w:r>
      <w:r>
        <w:rPr>
          <w:rFonts w:eastAsia="仿宋_GB2312" w:cs="仿宋_GB2312"/>
          <w:sz w:val="32"/>
          <w:szCs w:val="32"/>
          <w:lang w:val="zh-CN"/>
        </w:rPr>
        <w:t>月预算执行总体进度为</w:t>
      </w:r>
      <w:r>
        <w:rPr>
          <w:rFonts w:hint="eastAsia" w:eastAsia="仿宋_GB2312" w:cs="仿宋_GB2312"/>
          <w:sz w:val="32"/>
          <w:szCs w:val="32"/>
        </w:rPr>
        <w:t>100</w:t>
      </w:r>
      <w:r>
        <w:rPr>
          <w:rFonts w:eastAsia="仿宋_GB2312" w:cs="仿宋_GB2312"/>
          <w:sz w:val="32"/>
          <w:szCs w:val="32"/>
          <w:lang w:val="zh-CN"/>
        </w:rPr>
        <w:t>%，其中：预算结余率大于</w:t>
      </w:r>
      <w:r>
        <w:rPr>
          <w:rFonts w:eastAsia="仿宋_GB2312" w:cs="仿宋_GB2312"/>
          <w:sz w:val="32"/>
          <w:szCs w:val="32"/>
        </w:rPr>
        <w:t>10%</w:t>
      </w:r>
      <w:r>
        <w:rPr>
          <w:rFonts w:eastAsia="仿宋_GB2312" w:cs="仿宋_GB2312"/>
          <w:sz w:val="32"/>
          <w:szCs w:val="32"/>
          <w:lang w:val="zh-CN"/>
        </w:rPr>
        <w:t>的项目共计</w:t>
      </w:r>
      <w:r>
        <w:rPr>
          <w:rFonts w:hint="eastAsia" w:eastAsia="仿宋_GB2312" w:cs="仿宋_GB2312"/>
          <w:sz w:val="32"/>
          <w:szCs w:val="32"/>
        </w:rPr>
        <w:t>0</w:t>
      </w:r>
      <w:r>
        <w:rPr>
          <w:rFonts w:eastAsia="仿宋_GB2312" w:cs="仿宋_GB2312"/>
          <w:sz w:val="32"/>
          <w:szCs w:val="32"/>
          <w:lang w:val="zh-CN"/>
        </w:rPr>
        <w:t>个。</w:t>
      </w:r>
    </w:p>
    <w:p>
      <w:pPr>
        <w:snapToGrid w:val="0"/>
        <w:spacing w:line="600" w:lineRule="exact"/>
        <w:ind w:firstLine="640" w:firstLineChars="200"/>
        <w:rPr>
          <w:rFonts w:eastAsia="仿宋_GB2312" w:cs="仿宋_GB2312"/>
          <w:sz w:val="32"/>
          <w:szCs w:val="32"/>
        </w:rPr>
      </w:pPr>
      <w:r>
        <w:rPr>
          <w:rFonts w:hint="eastAsia" w:eastAsia="仿宋_GB2312" w:cs="仿宋_GB2312"/>
          <w:sz w:val="32"/>
          <w:szCs w:val="32"/>
        </w:rPr>
        <w:t>1.项目决策。项目绩效目标设置按照县委县政府的工作目标,结合我乡实际确定，科学合理，每一步皆按照程序规范进行。各个项目目标完成、各个项目均已入库。</w:t>
      </w:r>
    </w:p>
    <w:p>
      <w:pPr>
        <w:snapToGrid w:val="0"/>
        <w:spacing w:line="600" w:lineRule="exact"/>
        <w:ind w:firstLine="640" w:firstLineChars="200"/>
        <w:rPr>
          <w:rFonts w:eastAsia="仿宋_GB2312" w:cs="仿宋_GB2312"/>
          <w:sz w:val="32"/>
          <w:szCs w:val="32"/>
        </w:rPr>
      </w:pPr>
      <w:r>
        <w:rPr>
          <w:rFonts w:hint="eastAsia" w:eastAsia="仿宋_GB2312" w:cs="仿宋_GB2312"/>
          <w:sz w:val="32"/>
          <w:szCs w:val="32"/>
        </w:rPr>
        <w:t>2.项目执行。按照程文件、合同以及实施方案完成进度，执行结果规范且良好。</w:t>
      </w:r>
    </w:p>
    <w:p>
      <w:pPr>
        <w:snapToGrid w:val="0"/>
        <w:spacing w:line="600" w:lineRule="exact"/>
        <w:ind w:firstLine="640" w:firstLineChars="200"/>
        <w:rPr>
          <w:rFonts w:eastAsia="仿宋_GB2312" w:cs="仿宋_GB2312"/>
          <w:sz w:val="32"/>
          <w:szCs w:val="32"/>
        </w:rPr>
      </w:pPr>
      <w:r>
        <w:rPr>
          <w:rFonts w:hint="eastAsia" w:eastAsia="仿宋_GB2312" w:cs="仿宋_GB2312"/>
          <w:sz w:val="32"/>
          <w:szCs w:val="32"/>
        </w:rPr>
        <w:t>3.目标实现。有效促进本乡发展，提高群众生活水平，改善村民生活质量，目标完成、实现效果良好。</w:t>
      </w:r>
    </w:p>
    <w:p>
      <w:pPr>
        <w:snapToGrid w:val="0"/>
        <w:spacing w:line="600" w:lineRule="exact"/>
        <w:ind w:firstLine="643" w:firstLineChars="200"/>
        <w:rPr>
          <w:rFonts w:eastAsia="仿宋_GB2312"/>
          <w:sz w:val="32"/>
          <w:szCs w:val="32"/>
          <w:lang w:bidi="ar"/>
        </w:rPr>
      </w:pPr>
      <w:r>
        <w:rPr>
          <w:rFonts w:eastAsia="楷体_GB2312"/>
          <w:b/>
          <w:bCs/>
          <w:color w:val="000000"/>
          <w:kern w:val="0"/>
          <w:sz w:val="32"/>
          <w:szCs w:val="32"/>
          <w:shd w:val="clear" w:color="auto" w:fill="FFFFFF"/>
          <w:lang w:val="zh-CN"/>
        </w:rPr>
        <w:t>（</w:t>
      </w:r>
      <w:r>
        <w:rPr>
          <w:rFonts w:hint="eastAsia" w:eastAsia="楷体_GB2312"/>
          <w:b/>
          <w:bCs/>
          <w:color w:val="000000"/>
          <w:kern w:val="0"/>
          <w:sz w:val="32"/>
          <w:szCs w:val="32"/>
          <w:shd w:val="clear" w:color="auto" w:fill="FFFFFF"/>
        </w:rPr>
        <w:t>三</w:t>
      </w:r>
      <w:r>
        <w:rPr>
          <w:rFonts w:eastAsia="楷体_GB2312"/>
          <w:b/>
          <w:bCs/>
          <w:color w:val="000000"/>
          <w:kern w:val="0"/>
          <w:sz w:val="32"/>
          <w:szCs w:val="32"/>
          <w:shd w:val="clear" w:color="auto" w:fill="FFFFFF"/>
          <w:lang w:val="zh-CN"/>
        </w:rPr>
        <w:t>）绩效结果应用情况</w:t>
      </w:r>
      <w:r>
        <w:rPr>
          <w:rFonts w:hint="eastAsia" w:eastAsia="楷体_GB2312"/>
          <w:b/>
          <w:bCs/>
          <w:color w:val="000000"/>
          <w:kern w:val="0"/>
          <w:sz w:val="32"/>
          <w:szCs w:val="32"/>
          <w:shd w:val="clear" w:color="auto" w:fill="FFFFFF"/>
          <w:lang w:val="zh-CN"/>
        </w:rPr>
        <w:t>。</w:t>
      </w:r>
      <w:r>
        <w:rPr>
          <w:rFonts w:hint="eastAsia" w:eastAsia="仿宋_GB2312"/>
          <w:sz w:val="32"/>
          <w:szCs w:val="32"/>
          <w:lang w:val="zh-CN" w:bidi="ar"/>
        </w:rPr>
        <w:t>绩效设置与实际相匹配，内部应用情况良好，2024年度我单位未出现超预算、无预算支付情况，且支付进度均按规定进行，信息主动公开，工作覆盖全面完整，产出和效果是相关联，群众满意度高。</w:t>
      </w:r>
    </w:p>
    <w:p>
      <w:pPr>
        <w:widowControl/>
        <w:adjustRightInd w:val="0"/>
        <w:snapToGrid w:val="0"/>
        <w:spacing w:line="578" w:lineRule="exact"/>
        <w:ind w:firstLine="640" w:firstLineChars="200"/>
        <w:contextualSpacing/>
        <w:jc w:val="left"/>
        <w:rPr>
          <w:rFonts w:eastAsia="黑体"/>
          <w:color w:val="000000"/>
          <w:kern w:val="0"/>
          <w:sz w:val="32"/>
          <w:szCs w:val="32"/>
          <w:shd w:val="clear" w:color="auto" w:fill="FFFFFF"/>
          <w:lang w:val="zh-CN"/>
        </w:rPr>
      </w:pPr>
      <w:r>
        <w:rPr>
          <w:rFonts w:eastAsia="黑体"/>
          <w:color w:val="000000"/>
          <w:kern w:val="0"/>
          <w:sz w:val="32"/>
          <w:szCs w:val="32"/>
          <w:shd w:val="clear" w:color="auto" w:fill="FFFFFF"/>
          <w:lang w:val="zh-CN"/>
        </w:rPr>
        <w:t>四、评价结论及建议</w:t>
      </w:r>
    </w:p>
    <w:p>
      <w:pPr>
        <w:widowControl/>
        <w:adjustRightInd w:val="0"/>
        <w:snapToGrid w:val="0"/>
        <w:spacing w:line="578" w:lineRule="exact"/>
        <w:ind w:firstLine="643" w:firstLineChars="200"/>
        <w:contextualSpacing/>
        <w:jc w:val="left"/>
        <w:rPr>
          <w:rFonts w:eastAsia="仿宋_GB2312"/>
          <w:sz w:val="32"/>
          <w:szCs w:val="32"/>
          <w:lang w:bidi="ar"/>
        </w:rPr>
      </w:pPr>
      <w:r>
        <w:rPr>
          <w:rFonts w:eastAsia="楷体_GB2312"/>
          <w:b/>
          <w:bCs/>
          <w:color w:val="000000"/>
          <w:kern w:val="0"/>
          <w:sz w:val="32"/>
          <w:szCs w:val="32"/>
          <w:shd w:val="clear" w:color="auto" w:fill="FFFFFF"/>
          <w:lang w:val="zh-CN"/>
        </w:rPr>
        <w:t>（一）评价结论。</w:t>
      </w:r>
      <w:r>
        <w:rPr>
          <w:rFonts w:hint="eastAsia" w:eastAsia="仿宋_GB2312"/>
          <w:sz w:val="32"/>
          <w:szCs w:val="32"/>
          <w:lang w:bidi="ar"/>
        </w:rPr>
        <w:t>通过自评，我乡整体达到对应绩效目标，较圆满完成了2024年度各项工作任务，每个项目自评评估总得分都90以上、评估等级优、得分情符合实际情况、预期产出和效果能满足需求及预算安排。</w:t>
      </w:r>
    </w:p>
    <w:p>
      <w:pPr>
        <w:widowControl/>
        <w:adjustRightInd w:val="0"/>
        <w:snapToGrid w:val="0"/>
        <w:spacing w:line="578" w:lineRule="exact"/>
        <w:ind w:firstLine="643" w:firstLineChars="200"/>
        <w:contextualSpacing/>
        <w:jc w:val="left"/>
        <w:rPr>
          <w:rFonts w:eastAsia="仿宋_GB2312"/>
          <w:sz w:val="32"/>
          <w:szCs w:val="32"/>
          <w:lang w:bidi="ar"/>
        </w:rPr>
      </w:pPr>
      <w:r>
        <w:rPr>
          <w:rFonts w:eastAsia="楷体_GB2312"/>
          <w:b/>
          <w:bCs/>
          <w:color w:val="000000"/>
          <w:kern w:val="0"/>
          <w:sz w:val="32"/>
          <w:szCs w:val="32"/>
          <w:shd w:val="clear" w:color="auto" w:fill="FFFFFF"/>
          <w:lang w:val="zh-CN"/>
        </w:rPr>
        <w:t>（二）存在问题。</w:t>
      </w:r>
      <w:r>
        <w:rPr>
          <w:rFonts w:hint="eastAsia" w:eastAsia="仿宋_GB2312"/>
          <w:sz w:val="32"/>
          <w:szCs w:val="32"/>
          <w:lang w:bidi="ar"/>
        </w:rPr>
        <w:t>无。</w:t>
      </w:r>
    </w:p>
    <w:p>
      <w:pPr>
        <w:widowControl/>
        <w:adjustRightInd w:val="0"/>
        <w:snapToGrid w:val="0"/>
        <w:spacing w:line="578" w:lineRule="exact"/>
        <w:ind w:firstLine="643" w:firstLineChars="200"/>
        <w:contextualSpacing/>
        <w:jc w:val="left"/>
        <w:rPr>
          <w:rFonts w:eastAsia="仿宋_GB2312"/>
          <w:sz w:val="32"/>
          <w:szCs w:val="32"/>
          <w:lang w:val="en" w:bidi="ar"/>
        </w:rPr>
      </w:pPr>
      <w:r>
        <w:rPr>
          <w:rFonts w:eastAsia="楷体_GB2312"/>
          <w:b/>
          <w:bCs/>
          <w:color w:val="000000"/>
          <w:kern w:val="0"/>
          <w:sz w:val="32"/>
          <w:szCs w:val="32"/>
          <w:shd w:val="clear" w:color="auto" w:fill="FFFFFF"/>
          <w:lang w:val="zh-CN"/>
        </w:rPr>
        <w:t>（三）改进建议。</w:t>
      </w:r>
      <w:bookmarkStart w:id="49" w:name="_Hlk110546638"/>
      <w:r>
        <w:rPr>
          <w:rFonts w:hint="eastAsia" w:eastAsia="仿宋_GB2312"/>
          <w:sz w:val="32"/>
          <w:szCs w:val="32"/>
          <w:lang w:bidi="ar"/>
        </w:rPr>
        <w:t>无。</w:t>
      </w:r>
    </w:p>
    <w:bookmarkEnd w:id="49"/>
    <w:p>
      <w:pPr>
        <w:pStyle w:val="2"/>
        <w:spacing w:line="560" w:lineRule="exact"/>
        <w:ind w:left="0" w:leftChars="0" w:firstLine="640"/>
        <w:rPr>
          <w:rFonts w:ascii="Times New Roman" w:eastAsia="仿宋_GB2312"/>
          <w:sz w:val="32"/>
          <w:lang w:val="zh-CN" w:bidi="ar"/>
        </w:rPr>
      </w:pPr>
    </w:p>
    <w:p>
      <w:pPr>
        <w:pStyle w:val="2"/>
        <w:spacing w:line="560" w:lineRule="exact"/>
        <w:ind w:left="0" w:leftChars="0" w:firstLine="640"/>
        <w:rPr>
          <w:rFonts w:hint="default" w:eastAsia="仿宋_GB2312" w:cs="仿宋_GB2312"/>
          <w:sz w:val="32"/>
          <w:szCs w:val="32"/>
          <w:lang w:val="zh-CN" w:eastAsia="zh-CN"/>
        </w:rPr>
      </w:pPr>
      <w:r>
        <w:rPr>
          <w:rFonts w:hint="eastAsia" w:ascii="Times New Roman" w:eastAsia="仿宋_GB2312"/>
          <w:sz w:val="32"/>
          <w:lang w:val="zh-CN" w:bidi="ar"/>
        </w:rPr>
        <w:t>附表：</w:t>
      </w:r>
      <w:r>
        <w:rPr>
          <w:rFonts w:hint="eastAsia" w:ascii="Times New Roman" w:eastAsia="仿宋_GB2312"/>
          <w:sz w:val="32"/>
          <w:lang w:bidi="ar"/>
        </w:rPr>
        <w:t>部门预算项目支出绩效自评表（2024年度）</w:t>
      </w:r>
    </w:p>
    <w:p>
      <w:pPr>
        <w:keepNext w:val="0"/>
        <w:keepLines w:val="0"/>
        <w:pageBreakBefore w:val="0"/>
        <w:widowControl/>
        <w:kinsoku/>
        <w:wordWrap/>
        <w:overflowPunct/>
        <w:topLinePunct w:val="0"/>
        <w:autoSpaceDE/>
        <w:autoSpaceDN/>
        <w:bidi w:val="0"/>
        <w:spacing w:line="578" w:lineRule="exact"/>
        <w:contextualSpacing/>
        <w:jc w:val="both"/>
        <w:textAlignment w:val="auto"/>
        <w:outlineLvl w:val="9"/>
        <w:rPr>
          <w:rFonts w:hint="default" w:ascii="Times New Roman" w:hAnsi="Times New Roman" w:eastAsia="宋体" w:cs="Times New Roman"/>
          <w:b/>
          <w:sz w:val="44"/>
          <w:szCs w:val="44"/>
          <w:highlight w:val="none"/>
          <w:shd w:val="clear" w:color="auto" w:fill="FFFFFF"/>
        </w:rPr>
      </w:pPr>
    </w:p>
    <w:p>
      <w:pPr>
        <w:autoSpaceDN w:val="0"/>
        <w:spacing w:line="360" w:lineRule="auto"/>
        <w:jc w:val="center"/>
        <w:outlineLvl w:val="0"/>
        <w:rPr>
          <w:rFonts w:hint="eastAsia" w:ascii="方正小标宋简体" w:eastAsia="方正小标宋简体" w:cs="方正小标宋简体"/>
          <w:sz w:val="44"/>
          <w:szCs w:val="44"/>
          <w:lang w:eastAsia="zh-CN"/>
        </w:rPr>
      </w:pPr>
      <w:r>
        <w:rPr>
          <w:rFonts w:hint="eastAsia" w:ascii="方正小标宋简体" w:eastAsia="方正小标宋简体" w:cs="方正小标宋简体"/>
          <w:sz w:val="44"/>
          <w:szCs w:val="44"/>
          <w:lang w:eastAsia="zh-CN"/>
        </w:rPr>
        <w:t>九寨沟县永和乡人民政府</w:t>
      </w:r>
    </w:p>
    <w:p>
      <w:pPr>
        <w:autoSpaceDN w:val="0"/>
        <w:spacing w:line="360" w:lineRule="auto"/>
        <w:jc w:val="center"/>
        <w:outlineLvl w:val="0"/>
        <w:rPr>
          <w:rFonts w:ascii="方正小标宋简体" w:eastAsia="方正小标宋简体" w:cs="方正小标宋简体"/>
          <w:sz w:val="44"/>
          <w:szCs w:val="44"/>
        </w:rPr>
      </w:pPr>
      <w:r>
        <w:rPr>
          <w:rFonts w:hint="eastAsia" w:ascii="方正小标宋简体" w:eastAsia="方正小标宋简体" w:cs="方正小标宋简体"/>
          <w:sz w:val="44"/>
          <w:szCs w:val="44"/>
        </w:rPr>
        <w:t>202</w:t>
      </w:r>
      <w:r>
        <w:rPr>
          <w:rFonts w:hint="eastAsia" w:ascii="方正小标宋简体" w:eastAsia="方正小标宋简体" w:cs="方正小标宋简体"/>
          <w:sz w:val="44"/>
          <w:szCs w:val="44"/>
          <w:lang w:val="en-US" w:eastAsia="zh-CN"/>
        </w:rPr>
        <w:t>4</w:t>
      </w:r>
      <w:r>
        <w:rPr>
          <w:rFonts w:hint="eastAsia" w:ascii="方正小标宋简体" w:eastAsia="方正小标宋简体" w:cs="方正小标宋简体"/>
          <w:sz w:val="44"/>
          <w:szCs w:val="44"/>
        </w:rPr>
        <w:t>年度部门整体支出绩效评价报告</w:t>
      </w:r>
    </w:p>
    <w:p>
      <w:pPr>
        <w:keepNext w:val="0"/>
        <w:keepLines w:val="0"/>
        <w:pageBreakBefore w:val="0"/>
        <w:widowControl/>
        <w:kinsoku/>
        <w:wordWrap/>
        <w:overflowPunct/>
        <w:topLinePunct w:val="0"/>
        <w:autoSpaceDE/>
        <w:autoSpaceDN/>
        <w:bidi w:val="0"/>
        <w:adjustRightInd w:val="0"/>
        <w:snapToGrid w:val="0"/>
        <w:spacing w:line="578" w:lineRule="exact"/>
        <w:ind w:firstLine="480" w:firstLineChars="200"/>
        <w:contextualSpacing/>
        <w:jc w:val="left"/>
        <w:textAlignment w:val="auto"/>
        <w:outlineLvl w:val="9"/>
        <w:rPr>
          <w:rFonts w:hint="default" w:ascii="Times New Roman" w:hAnsi="Times New Roman" w:eastAsia="黑体" w:cs="Times New Roman"/>
          <w:color w:val="000000"/>
          <w:kern w:val="0"/>
          <w:sz w:val="24"/>
          <w:szCs w:val="32"/>
          <w:highlight w:val="none"/>
          <w:shd w:val="clear" w:color="auto" w:fill="FFFFFF"/>
        </w:rPr>
      </w:pPr>
    </w:p>
    <w:p>
      <w:pPr>
        <w:spacing w:line="600" w:lineRule="exact"/>
        <w:ind w:left="630"/>
        <w:outlineLvl w:val="1"/>
        <w:rPr>
          <w:rStyle w:val="29"/>
          <w:rFonts w:hint="default" w:ascii="Times New Roman" w:hAnsi="Times New Roman" w:eastAsia="黑体"/>
          <w:b w:val="0"/>
          <w:lang w:val="zh-CN"/>
        </w:rPr>
      </w:pPr>
      <w:r>
        <w:rPr>
          <w:rStyle w:val="29"/>
          <w:rFonts w:hint="eastAsia" w:ascii="Times New Roman" w:hAnsi="Times New Roman" w:eastAsia="黑体"/>
          <w:b w:val="0"/>
          <w:lang w:val="zh-CN"/>
        </w:rPr>
        <w:t>一、</w:t>
      </w:r>
      <w:r>
        <w:rPr>
          <w:rStyle w:val="29"/>
          <w:rFonts w:hint="default" w:ascii="Times New Roman" w:hAnsi="Times New Roman" w:eastAsia="黑体"/>
          <w:b w:val="0"/>
          <w:lang w:val="zh-CN"/>
        </w:rPr>
        <w:t>部门（单位）基本情况</w:t>
      </w:r>
    </w:p>
    <w:p>
      <w:pPr>
        <w:adjustRightInd w:val="0"/>
        <w:snapToGrid w:val="0"/>
        <w:spacing w:line="578" w:lineRule="exact"/>
        <w:ind w:firstLine="640" w:firstLineChars="200"/>
        <w:contextualSpacing/>
        <w:rPr>
          <w:rFonts w:hint="default" w:eastAsia="仿宋_GB2312" w:cs="仿宋_GB2312"/>
          <w:sz w:val="32"/>
          <w:szCs w:val="32"/>
          <w:lang w:val="zh-CN"/>
        </w:rPr>
      </w:pPr>
      <w:r>
        <w:rPr>
          <w:rFonts w:hint="eastAsia" w:eastAsia="仿宋_GB2312" w:cs="仿宋_GB2312"/>
          <w:b/>
          <w:bCs/>
          <w:sz w:val="32"/>
          <w:szCs w:val="32"/>
          <w:lang w:val="zh-CN"/>
        </w:rPr>
        <w:t>（一）</w:t>
      </w:r>
      <w:r>
        <w:rPr>
          <w:rFonts w:hint="default" w:eastAsia="仿宋_GB2312" w:cs="仿宋_GB2312"/>
          <w:b/>
          <w:bCs/>
          <w:sz w:val="32"/>
          <w:szCs w:val="32"/>
          <w:lang w:val="zh-CN"/>
        </w:rPr>
        <w:t>机构组成。</w:t>
      </w:r>
      <w:r>
        <w:rPr>
          <w:rFonts w:hint="eastAsia" w:eastAsia="仿宋_GB2312" w:cs="仿宋_GB2312"/>
          <w:sz w:val="32"/>
          <w:szCs w:val="32"/>
          <w:lang w:val="en-US" w:eastAsia="zh-CN"/>
        </w:rPr>
        <w:t>永和乡人民政府</w:t>
      </w:r>
      <w:r>
        <w:rPr>
          <w:rFonts w:hint="eastAsia" w:eastAsia="仿宋_GB2312" w:cs="仿宋_GB2312"/>
          <w:sz w:val="32"/>
          <w:szCs w:val="32"/>
          <w:lang w:val="zh-CN" w:eastAsia="zh-CN"/>
        </w:rPr>
        <w:t>内设</w:t>
      </w:r>
      <w:r>
        <w:rPr>
          <w:rFonts w:hint="default" w:eastAsia="仿宋_GB2312" w:cs="仿宋_GB2312"/>
          <w:sz w:val="32"/>
          <w:szCs w:val="32"/>
          <w:lang w:val="zh-CN"/>
        </w:rPr>
        <w:t>处室</w:t>
      </w:r>
      <w:r>
        <w:rPr>
          <w:rFonts w:hint="eastAsia" w:eastAsia="仿宋_GB2312" w:cs="仿宋_GB2312"/>
          <w:sz w:val="32"/>
          <w:szCs w:val="32"/>
          <w:lang w:val="zh-CN" w:eastAsia="zh-CN"/>
        </w:rPr>
        <w:t>及下属单位情况</w:t>
      </w:r>
      <w:r>
        <w:rPr>
          <w:rFonts w:hint="default" w:eastAsia="仿宋_GB2312" w:cs="仿宋_GB2312"/>
          <w:sz w:val="32"/>
          <w:szCs w:val="32"/>
          <w:lang w:val="zh-CN"/>
        </w:rPr>
        <w:t>。内设</w:t>
      </w:r>
      <w:r>
        <w:rPr>
          <w:rFonts w:hint="eastAsia" w:eastAsia="仿宋_GB2312" w:cs="仿宋_GB2312"/>
          <w:sz w:val="32"/>
          <w:szCs w:val="32"/>
          <w:lang w:val="en-US" w:eastAsia="zh-CN"/>
        </w:rPr>
        <w:t>5</w:t>
      </w:r>
      <w:r>
        <w:rPr>
          <w:rFonts w:hint="default" w:eastAsia="仿宋_GB2312" w:cs="仿宋_GB2312"/>
          <w:sz w:val="32"/>
          <w:szCs w:val="32"/>
          <w:lang w:val="zh-CN"/>
        </w:rPr>
        <w:t>个机构，包括党政办公室、党建工作办公室和社会事务经济发展和乡村振兴办公室、社会治理和维护稳定办公室、应急管理办公室、综合行政执法办公室，事业单位设置，九寨沟县永和乡便民服务中心（九寨沟县永和乡退役军人服务站）、九寨沟县永和乡农业农村服务中心、九寨沟县永和乡文化宣传旅游服务中心。</w:t>
      </w:r>
    </w:p>
    <w:p>
      <w:pPr>
        <w:adjustRightInd w:val="0"/>
        <w:snapToGrid w:val="0"/>
        <w:spacing w:line="578" w:lineRule="exact"/>
        <w:ind w:firstLine="640" w:firstLineChars="200"/>
        <w:contextualSpacing/>
        <w:rPr>
          <w:rFonts w:hint="default" w:eastAsia="仿宋_GB2312" w:cs="仿宋_GB2312"/>
          <w:sz w:val="32"/>
          <w:szCs w:val="32"/>
          <w:lang w:val="zh-CN"/>
        </w:rPr>
      </w:pPr>
      <w:r>
        <w:rPr>
          <w:rFonts w:hint="default" w:eastAsia="仿宋_GB2312" w:cs="仿宋_GB2312"/>
          <w:b/>
          <w:bCs/>
          <w:sz w:val="32"/>
          <w:szCs w:val="32"/>
          <w:lang w:val="zh-CN"/>
        </w:rPr>
        <w:t>（二）机构职能</w:t>
      </w:r>
      <w:r>
        <w:rPr>
          <w:rFonts w:hint="eastAsia" w:eastAsia="仿宋_GB2312" w:cs="仿宋_GB2312"/>
          <w:b/>
          <w:bCs/>
          <w:sz w:val="32"/>
          <w:szCs w:val="32"/>
          <w:lang w:val="zh-CN"/>
        </w:rPr>
        <w:t>。</w:t>
      </w:r>
      <w:r>
        <w:rPr>
          <w:rFonts w:hint="eastAsia" w:eastAsia="仿宋_GB2312" w:cs="仿宋_GB2312"/>
          <w:sz w:val="32"/>
          <w:szCs w:val="32"/>
          <w:lang w:val="en-US" w:eastAsia="zh-CN"/>
        </w:rPr>
        <w:t>永和乡人民政府职责和功能。执行上级和本级党委、人民代表大会的决议、决定及命令，执行本行政区域内的国民经济和社会发展计划；认真宣传贯彻党的路线、方针、政策和国家的法律法规，稳定农村基本经济制度；坚持依法行政，推进政务公开，加强对村民委员会的指导，提高、培育村民委员会自治能力；加强民政、教育、科技、文化、卫生、计划生育、安全生产、劳动保障、国土资源的保护利用和乡村规划建设的社会管理；保护社会主义的全民所有的财产和劳动群众集体所有的财产，保护公民私人所有的合法财产，维护社会秩序，保障公民的人身权利、民主权利和其它权利；保护各种经济组织的合法权益；妥善处理本行政区域内的民族宗教事务，保障少数民族的权利和尊重少数民族的风俗习惯；保障宪法和法律赋予妇女的男女平等，同工同酬和婚姻自由等各种权利；办理上级人民政府交办的其它事项。</w:t>
      </w:r>
    </w:p>
    <w:p>
      <w:pPr>
        <w:adjustRightInd w:val="0"/>
        <w:snapToGrid w:val="0"/>
        <w:spacing w:line="578" w:lineRule="exact"/>
        <w:ind w:firstLine="640" w:firstLineChars="200"/>
        <w:contextualSpacing/>
        <w:rPr>
          <w:rFonts w:hint="default" w:eastAsia="仿宋_GB2312" w:cs="仿宋_GB2312"/>
          <w:sz w:val="32"/>
          <w:szCs w:val="32"/>
          <w:lang w:val="zh-CN"/>
        </w:rPr>
      </w:pPr>
      <w:r>
        <w:rPr>
          <w:rFonts w:hint="default" w:eastAsia="仿宋_GB2312" w:cs="仿宋_GB2312"/>
          <w:b/>
          <w:bCs/>
          <w:sz w:val="32"/>
          <w:szCs w:val="32"/>
          <w:lang w:val="zh-CN"/>
        </w:rPr>
        <w:t>（</w:t>
      </w:r>
      <w:r>
        <w:rPr>
          <w:rFonts w:hint="eastAsia" w:eastAsia="仿宋_GB2312" w:cs="仿宋_GB2312"/>
          <w:b/>
          <w:bCs/>
          <w:sz w:val="32"/>
          <w:szCs w:val="32"/>
          <w:lang w:val="zh-CN"/>
        </w:rPr>
        <w:t>三</w:t>
      </w:r>
      <w:r>
        <w:rPr>
          <w:rFonts w:hint="default" w:eastAsia="仿宋_GB2312" w:cs="仿宋_GB2312"/>
          <w:b/>
          <w:bCs/>
          <w:sz w:val="32"/>
          <w:szCs w:val="32"/>
          <w:lang w:val="zh-CN"/>
        </w:rPr>
        <w:t>）人员概况</w:t>
      </w:r>
      <w:r>
        <w:rPr>
          <w:rFonts w:hint="eastAsia" w:eastAsia="仿宋_GB2312" w:cs="仿宋_GB2312"/>
          <w:b/>
          <w:bCs/>
          <w:sz w:val="32"/>
          <w:szCs w:val="32"/>
          <w:lang w:val="zh-CN"/>
        </w:rPr>
        <w:t>。</w:t>
      </w:r>
      <w:r>
        <w:rPr>
          <w:rFonts w:hint="default" w:eastAsia="仿宋_GB2312" w:cs="仿宋_GB2312"/>
          <w:sz w:val="32"/>
          <w:szCs w:val="32"/>
          <w:lang w:val="zh-CN"/>
        </w:rPr>
        <w:t>截至202</w:t>
      </w:r>
      <w:r>
        <w:rPr>
          <w:rFonts w:hint="eastAsia" w:eastAsia="仿宋_GB2312" w:cs="仿宋_GB2312"/>
          <w:sz w:val="32"/>
          <w:szCs w:val="32"/>
          <w:lang w:val="en-US" w:eastAsia="zh-CN"/>
        </w:rPr>
        <w:t>4</w:t>
      </w:r>
      <w:r>
        <w:rPr>
          <w:rFonts w:hint="default" w:eastAsia="仿宋_GB2312" w:cs="仿宋_GB2312"/>
          <w:sz w:val="32"/>
          <w:szCs w:val="32"/>
          <w:lang w:val="zh-CN"/>
        </w:rPr>
        <w:t>年末，</w:t>
      </w:r>
      <w:r>
        <w:rPr>
          <w:rFonts w:hint="eastAsia" w:eastAsia="仿宋_GB2312" w:cs="仿宋_GB2312"/>
          <w:sz w:val="32"/>
          <w:szCs w:val="32"/>
          <w:lang w:val="en-US" w:eastAsia="zh-CN"/>
        </w:rPr>
        <w:t>永和乡人民政府有34个</w:t>
      </w:r>
      <w:r>
        <w:rPr>
          <w:rFonts w:hint="default" w:eastAsia="仿宋_GB2312" w:cs="仿宋_GB2312"/>
          <w:sz w:val="32"/>
          <w:szCs w:val="32"/>
          <w:lang w:val="zh-CN"/>
        </w:rPr>
        <w:t>编制</w:t>
      </w:r>
      <w:r>
        <w:rPr>
          <w:rFonts w:hint="eastAsia" w:eastAsia="仿宋_GB2312" w:cs="仿宋_GB2312"/>
          <w:sz w:val="32"/>
          <w:szCs w:val="32"/>
          <w:lang w:val="en-US" w:eastAsia="zh-CN"/>
        </w:rPr>
        <w:t>，</w:t>
      </w:r>
      <w:r>
        <w:rPr>
          <w:rFonts w:hint="default" w:eastAsia="仿宋_GB2312" w:cs="仿宋_GB2312"/>
          <w:sz w:val="32"/>
          <w:szCs w:val="32"/>
          <w:lang w:val="zh-CN"/>
        </w:rPr>
        <w:t>年末实有人数</w:t>
      </w:r>
      <w:r>
        <w:rPr>
          <w:rFonts w:hint="eastAsia" w:eastAsia="仿宋_GB2312" w:cs="仿宋_GB2312"/>
          <w:sz w:val="32"/>
          <w:szCs w:val="32"/>
          <w:lang w:val="en-US" w:eastAsia="zh-CN"/>
        </w:rPr>
        <w:t>29人。</w:t>
      </w:r>
    </w:p>
    <w:p>
      <w:pPr>
        <w:spacing w:line="600" w:lineRule="exact"/>
        <w:ind w:left="630"/>
        <w:outlineLvl w:val="1"/>
        <w:rPr>
          <w:rStyle w:val="29"/>
          <w:rFonts w:hint="default" w:ascii="Times New Roman" w:hAnsi="Times New Roman" w:eastAsia="黑体"/>
          <w:b w:val="0"/>
          <w:lang w:val="zh-CN"/>
        </w:rPr>
      </w:pPr>
      <w:r>
        <w:rPr>
          <w:rStyle w:val="29"/>
          <w:rFonts w:hint="default" w:ascii="Times New Roman" w:hAnsi="Times New Roman" w:eastAsia="黑体"/>
          <w:b w:val="0"/>
          <w:lang w:val="zh-CN"/>
        </w:rPr>
        <w:t>二、</w:t>
      </w:r>
      <w:r>
        <w:rPr>
          <w:rStyle w:val="29"/>
          <w:rFonts w:hint="default" w:ascii="Times New Roman" w:hAnsi="Times New Roman" w:eastAsia="黑体"/>
          <w:b w:val="0"/>
          <w:lang w:val="zh-CN" w:eastAsia="zh-CN"/>
        </w:rPr>
        <w:t>部门</w:t>
      </w:r>
      <w:r>
        <w:rPr>
          <w:rStyle w:val="29"/>
          <w:rFonts w:hint="default" w:ascii="Times New Roman" w:hAnsi="Times New Roman" w:eastAsia="黑体"/>
          <w:b w:val="0"/>
          <w:lang w:val="zh-CN"/>
        </w:rPr>
        <w:t>资金收支情况</w:t>
      </w:r>
    </w:p>
    <w:p>
      <w:pPr>
        <w:adjustRightInd w:val="0"/>
        <w:snapToGrid w:val="0"/>
        <w:spacing w:line="578" w:lineRule="exact"/>
        <w:ind w:firstLine="640" w:firstLineChars="200"/>
        <w:contextualSpacing/>
        <w:rPr>
          <w:rFonts w:hint="default" w:eastAsia="仿宋_GB2312" w:cs="仿宋_GB2312"/>
          <w:sz w:val="32"/>
          <w:szCs w:val="32"/>
          <w:lang w:val="en-US"/>
        </w:rPr>
      </w:pPr>
      <w:r>
        <w:rPr>
          <w:rFonts w:hint="default" w:eastAsia="仿宋_GB2312" w:cs="仿宋_GB2312"/>
          <w:b/>
          <w:bCs/>
          <w:sz w:val="32"/>
          <w:szCs w:val="32"/>
          <w:lang w:val="zh-CN"/>
        </w:rPr>
        <w:t>（一）</w:t>
      </w:r>
      <w:r>
        <w:rPr>
          <w:rFonts w:hint="eastAsia" w:eastAsia="仿宋_GB2312" w:cs="仿宋_GB2312"/>
          <w:b/>
          <w:bCs/>
          <w:sz w:val="32"/>
          <w:szCs w:val="32"/>
          <w:lang w:val="zh-CN"/>
        </w:rPr>
        <w:t>收入情况</w:t>
      </w:r>
      <w:r>
        <w:rPr>
          <w:rFonts w:hint="default" w:eastAsia="仿宋_GB2312" w:cs="仿宋_GB2312"/>
          <w:b/>
          <w:bCs/>
          <w:sz w:val="32"/>
          <w:szCs w:val="32"/>
          <w:lang w:val="zh-CN"/>
        </w:rPr>
        <w:t>。</w:t>
      </w:r>
      <w:r>
        <w:rPr>
          <w:rFonts w:hint="eastAsia" w:eastAsia="仿宋_GB2312" w:cs="仿宋_GB2312"/>
          <w:sz w:val="32"/>
          <w:szCs w:val="32"/>
          <w:lang w:val="en-US" w:eastAsia="zh-CN"/>
        </w:rPr>
        <w:t>永和乡人民政府2024年年初预算收入情况8241892.45</w:t>
      </w:r>
      <w:r>
        <w:rPr>
          <w:rFonts w:hint="eastAsia" w:eastAsia="仿宋_GB2312" w:cs="仿宋_GB2312"/>
          <w:sz w:val="32"/>
          <w:szCs w:val="32"/>
          <w:lang w:val="zh-CN" w:eastAsia="zh-CN"/>
        </w:rPr>
        <w:t>元</w:t>
      </w:r>
      <w:r>
        <w:rPr>
          <w:rFonts w:hint="eastAsia" w:eastAsia="仿宋_GB2312" w:cs="仿宋_GB2312"/>
          <w:sz w:val="32"/>
          <w:szCs w:val="32"/>
          <w:lang w:val="en-US" w:eastAsia="zh-CN"/>
        </w:rPr>
        <w:t>、决算报表收入情况16110523.25元。</w:t>
      </w:r>
    </w:p>
    <w:p>
      <w:pPr>
        <w:adjustRightInd w:val="0"/>
        <w:snapToGrid w:val="0"/>
        <w:spacing w:line="578" w:lineRule="exact"/>
        <w:ind w:firstLine="640" w:firstLineChars="200"/>
        <w:contextualSpacing/>
        <w:rPr>
          <w:rFonts w:hint="default" w:eastAsia="仿宋_GB2312" w:cs="仿宋_GB2312"/>
          <w:sz w:val="32"/>
          <w:szCs w:val="32"/>
          <w:lang w:val="zh-CN" w:eastAsia="zh-CN"/>
        </w:rPr>
      </w:pPr>
      <w:r>
        <w:rPr>
          <w:rFonts w:hint="default" w:eastAsia="仿宋_GB2312" w:cs="仿宋_GB2312"/>
          <w:b/>
          <w:bCs/>
          <w:sz w:val="32"/>
          <w:szCs w:val="32"/>
          <w:lang w:val="zh-CN"/>
        </w:rPr>
        <w:t>（</w:t>
      </w:r>
      <w:r>
        <w:rPr>
          <w:rFonts w:hint="eastAsia" w:eastAsia="仿宋_GB2312" w:cs="仿宋_GB2312"/>
          <w:b/>
          <w:bCs/>
          <w:sz w:val="32"/>
          <w:szCs w:val="32"/>
          <w:lang w:val="zh-CN"/>
        </w:rPr>
        <w:t>二</w:t>
      </w:r>
      <w:r>
        <w:rPr>
          <w:rFonts w:hint="default" w:eastAsia="仿宋_GB2312" w:cs="仿宋_GB2312"/>
          <w:b/>
          <w:bCs/>
          <w:sz w:val="32"/>
          <w:szCs w:val="32"/>
          <w:lang w:val="zh-CN"/>
        </w:rPr>
        <w:t>）</w:t>
      </w:r>
      <w:r>
        <w:rPr>
          <w:rFonts w:hint="eastAsia" w:eastAsia="仿宋_GB2312" w:cs="仿宋_GB2312"/>
          <w:b/>
          <w:bCs/>
          <w:sz w:val="32"/>
          <w:szCs w:val="32"/>
          <w:lang w:val="zh-CN"/>
        </w:rPr>
        <w:t>支出情况</w:t>
      </w:r>
      <w:r>
        <w:rPr>
          <w:rFonts w:hint="default" w:eastAsia="仿宋_GB2312" w:cs="仿宋_GB2312"/>
          <w:b/>
          <w:bCs/>
          <w:sz w:val="32"/>
          <w:szCs w:val="32"/>
          <w:lang w:val="zh-CN"/>
        </w:rPr>
        <w:t>。</w:t>
      </w:r>
      <w:r>
        <w:rPr>
          <w:rFonts w:hint="eastAsia" w:eastAsia="仿宋_GB2312" w:cs="仿宋_GB2312"/>
          <w:sz w:val="32"/>
          <w:szCs w:val="32"/>
          <w:lang w:val="en-US" w:eastAsia="zh-CN"/>
        </w:rPr>
        <w:t>永和乡人民政府2024年年初预算支出情况8241892.45</w:t>
      </w:r>
      <w:r>
        <w:rPr>
          <w:rFonts w:hint="eastAsia" w:eastAsia="仿宋_GB2312" w:cs="仿宋_GB2312"/>
          <w:sz w:val="32"/>
          <w:szCs w:val="32"/>
          <w:lang w:val="zh-CN" w:eastAsia="zh-CN"/>
        </w:rPr>
        <w:t>元</w:t>
      </w:r>
      <w:r>
        <w:rPr>
          <w:rFonts w:hint="eastAsia" w:eastAsia="仿宋_GB2312" w:cs="仿宋_GB2312"/>
          <w:sz w:val="32"/>
          <w:szCs w:val="32"/>
          <w:lang w:val="en-US" w:eastAsia="zh-CN"/>
        </w:rPr>
        <w:t>、决算报表收入情况16110523.25元</w:t>
      </w:r>
    </w:p>
    <w:p>
      <w:pPr>
        <w:adjustRightInd w:val="0"/>
        <w:snapToGrid w:val="0"/>
        <w:spacing w:line="578" w:lineRule="exact"/>
        <w:ind w:firstLine="640" w:firstLineChars="200"/>
        <w:contextualSpacing/>
        <w:rPr>
          <w:rFonts w:hint="default" w:eastAsia="仿宋_GB2312" w:cs="仿宋_GB2312"/>
          <w:sz w:val="32"/>
          <w:szCs w:val="32"/>
          <w:lang w:val="zh-CN" w:eastAsia="zh-CN"/>
        </w:rPr>
      </w:pPr>
      <w:r>
        <w:rPr>
          <w:rFonts w:hint="default" w:eastAsia="仿宋_GB2312" w:cs="仿宋_GB2312"/>
          <w:b/>
          <w:bCs/>
          <w:sz w:val="32"/>
          <w:szCs w:val="32"/>
          <w:lang w:val="zh-CN"/>
        </w:rPr>
        <w:t>（</w:t>
      </w:r>
      <w:r>
        <w:rPr>
          <w:rFonts w:hint="eastAsia" w:eastAsia="仿宋_GB2312" w:cs="仿宋_GB2312"/>
          <w:b/>
          <w:bCs/>
          <w:sz w:val="32"/>
          <w:szCs w:val="32"/>
          <w:lang w:val="zh-CN"/>
        </w:rPr>
        <w:t>三</w:t>
      </w:r>
      <w:r>
        <w:rPr>
          <w:rFonts w:hint="default" w:eastAsia="仿宋_GB2312" w:cs="仿宋_GB2312"/>
          <w:b/>
          <w:bCs/>
          <w:sz w:val="32"/>
          <w:szCs w:val="32"/>
          <w:lang w:val="zh-CN"/>
        </w:rPr>
        <w:t>）结余分配和结转结余情况</w:t>
      </w:r>
      <w:r>
        <w:rPr>
          <w:rFonts w:hint="eastAsia" w:eastAsia="仿宋_GB2312" w:cs="仿宋_GB2312"/>
          <w:b/>
          <w:bCs/>
          <w:sz w:val="32"/>
          <w:szCs w:val="32"/>
          <w:lang w:val="zh-CN" w:eastAsia="zh-CN"/>
        </w:rPr>
        <w:t>。</w:t>
      </w:r>
      <w:r>
        <w:rPr>
          <w:rFonts w:hint="eastAsia" w:eastAsia="仿宋_GB2312" w:cs="仿宋_GB2312"/>
          <w:sz w:val="32"/>
          <w:szCs w:val="32"/>
          <w:lang w:val="zh-CN"/>
        </w:rPr>
        <w:t>我</w:t>
      </w:r>
      <w:r>
        <w:rPr>
          <w:rFonts w:hint="eastAsia" w:eastAsia="仿宋_GB2312" w:cs="仿宋_GB2312"/>
          <w:sz w:val="32"/>
          <w:szCs w:val="32"/>
          <w:lang w:val="zh-CN" w:eastAsia="zh-CN"/>
        </w:rPr>
        <w:t>乡</w:t>
      </w:r>
      <w:r>
        <w:rPr>
          <w:rFonts w:hint="eastAsia" w:eastAsia="仿宋_GB2312" w:cs="仿宋_GB2312"/>
          <w:sz w:val="32"/>
          <w:szCs w:val="32"/>
          <w:lang w:val="zh-CN"/>
        </w:rPr>
        <w:t>202</w:t>
      </w:r>
      <w:r>
        <w:rPr>
          <w:rFonts w:hint="eastAsia" w:eastAsia="仿宋_GB2312" w:cs="仿宋_GB2312"/>
          <w:sz w:val="32"/>
          <w:szCs w:val="32"/>
          <w:lang w:val="en-US" w:eastAsia="zh-CN"/>
        </w:rPr>
        <w:t>4</w:t>
      </w:r>
      <w:r>
        <w:rPr>
          <w:rFonts w:hint="eastAsia" w:eastAsia="仿宋_GB2312" w:cs="仿宋_GB2312"/>
          <w:sz w:val="32"/>
          <w:szCs w:val="32"/>
          <w:lang w:val="zh-CN"/>
        </w:rPr>
        <w:t>年决算报表结转结余</w:t>
      </w:r>
      <w:r>
        <w:rPr>
          <w:rFonts w:hint="eastAsia" w:eastAsia="仿宋_GB2312" w:cs="仿宋_GB2312"/>
          <w:sz w:val="32"/>
          <w:szCs w:val="32"/>
          <w:lang w:val="en-US" w:eastAsia="zh-CN"/>
        </w:rPr>
        <w:t>774565.76元</w:t>
      </w:r>
      <w:r>
        <w:rPr>
          <w:rFonts w:hint="default" w:eastAsia="仿宋_GB2312" w:cs="仿宋_GB2312"/>
          <w:sz w:val="32"/>
          <w:szCs w:val="32"/>
          <w:lang w:val="en-US" w:eastAsia="zh-CN"/>
        </w:rPr>
        <w:t>。</w:t>
      </w:r>
    </w:p>
    <w:p>
      <w:pPr>
        <w:spacing w:line="600" w:lineRule="exact"/>
        <w:ind w:left="630"/>
        <w:outlineLvl w:val="1"/>
        <w:rPr>
          <w:rStyle w:val="29"/>
          <w:rFonts w:hint="default" w:ascii="Times New Roman" w:hAnsi="Times New Roman" w:eastAsia="黑体"/>
          <w:b w:val="0"/>
          <w:lang w:val="zh-CN"/>
        </w:rPr>
      </w:pPr>
      <w:r>
        <w:rPr>
          <w:rStyle w:val="29"/>
          <w:rFonts w:hint="default" w:ascii="Times New Roman" w:hAnsi="Times New Roman" w:eastAsia="黑体"/>
          <w:b w:val="0"/>
          <w:lang w:val="zh-CN"/>
        </w:rPr>
        <w:t>三、部门</w:t>
      </w:r>
      <w:r>
        <w:rPr>
          <w:rStyle w:val="29"/>
          <w:rFonts w:hint="default" w:ascii="Times New Roman" w:hAnsi="Times New Roman" w:eastAsia="黑体"/>
          <w:b w:val="0"/>
          <w:lang w:val="zh-CN" w:eastAsia="zh-CN"/>
        </w:rPr>
        <w:t>预算</w:t>
      </w:r>
      <w:r>
        <w:rPr>
          <w:rStyle w:val="29"/>
          <w:rFonts w:hint="default" w:ascii="Times New Roman" w:hAnsi="Times New Roman" w:eastAsia="黑体"/>
          <w:b w:val="0"/>
          <w:lang w:val="zh-CN"/>
        </w:rPr>
        <w:t>绩效</w:t>
      </w:r>
      <w:r>
        <w:rPr>
          <w:rStyle w:val="29"/>
          <w:rFonts w:hint="default" w:ascii="Times New Roman" w:hAnsi="Times New Roman" w:eastAsia="黑体"/>
          <w:b w:val="0"/>
          <w:lang w:val="zh-CN" w:eastAsia="zh-CN"/>
        </w:rPr>
        <w:t>分析</w:t>
      </w:r>
    </w:p>
    <w:p>
      <w:pPr>
        <w:adjustRightInd w:val="0"/>
        <w:snapToGrid w:val="0"/>
        <w:spacing w:line="578" w:lineRule="exact"/>
        <w:ind w:firstLine="640" w:firstLineChars="200"/>
        <w:contextualSpacing/>
        <w:rPr>
          <w:rFonts w:hint="default" w:eastAsia="仿宋_GB2312" w:cs="仿宋_GB2312"/>
          <w:b/>
          <w:bCs/>
          <w:sz w:val="32"/>
          <w:szCs w:val="32"/>
          <w:lang w:val="zh-CN"/>
        </w:rPr>
      </w:pPr>
      <w:r>
        <w:rPr>
          <w:rFonts w:hint="default" w:eastAsia="仿宋_GB2312" w:cs="仿宋_GB2312"/>
          <w:b/>
          <w:bCs/>
          <w:sz w:val="32"/>
          <w:szCs w:val="32"/>
          <w:lang w:val="zh-CN"/>
        </w:rPr>
        <w:t>（一）</w:t>
      </w:r>
      <w:r>
        <w:rPr>
          <w:rFonts w:hint="eastAsia" w:eastAsia="仿宋_GB2312" w:cs="仿宋_GB2312"/>
          <w:b/>
          <w:bCs/>
          <w:sz w:val="32"/>
          <w:szCs w:val="32"/>
          <w:lang w:val="zh-CN"/>
        </w:rPr>
        <w:t>部门预算</w:t>
      </w:r>
      <w:r>
        <w:rPr>
          <w:rFonts w:hint="default" w:eastAsia="仿宋_GB2312" w:cs="仿宋_GB2312"/>
          <w:b/>
          <w:bCs/>
          <w:sz w:val="32"/>
          <w:szCs w:val="32"/>
          <w:lang w:val="zh-CN"/>
        </w:rPr>
        <w:t>总体绩效分析。</w:t>
      </w:r>
    </w:p>
    <w:p>
      <w:pPr>
        <w:adjustRightInd w:val="0"/>
        <w:snapToGrid w:val="0"/>
        <w:spacing w:line="578" w:lineRule="exact"/>
        <w:ind w:firstLine="640" w:firstLineChars="200"/>
        <w:contextualSpacing/>
        <w:rPr>
          <w:rFonts w:hint="eastAsia" w:eastAsia="仿宋_GB2312" w:cs="仿宋_GB2312"/>
          <w:sz w:val="32"/>
          <w:szCs w:val="32"/>
          <w:lang w:val="zh-CN"/>
        </w:rPr>
      </w:pPr>
      <w:r>
        <w:rPr>
          <w:rFonts w:hint="eastAsia" w:eastAsia="仿宋_GB2312" w:cs="仿宋_GB2312"/>
          <w:sz w:val="32"/>
          <w:szCs w:val="32"/>
          <w:lang w:val="en-US" w:eastAsia="zh-CN"/>
        </w:rPr>
        <w:t>1.</w:t>
      </w:r>
      <w:r>
        <w:rPr>
          <w:rFonts w:hint="eastAsia" w:eastAsia="仿宋_GB2312" w:cs="仿宋_GB2312"/>
          <w:sz w:val="32"/>
          <w:szCs w:val="32"/>
          <w:lang w:val="zh-CN"/>
        </w:rPr>
        <w:t>履职效能。我乡在绩效目标中选定3个核心职能目标，对职能目标完成效果情况绩效分析，选定3个核心职能目标均圆满完成任务，并取得了较好的工作成果。在实现部门整体绩效目标的过程中，通过从事公务活动所发挥的功能程度，以及产生的效益和效果的集中体现。</w:t>
      </w:r>
      <w:r>
        <w:rPr>
          <w:rFonts w:hint="eastAsia" w:eastAsia="仿宋_GB2312" w:cs="仿宋_GB2312"/>
          <w:sz w:val="32"/>
          <w:szCs w:val="32"/>
          <w:lang w:val="en-US" w:eastAsia="zh-CN"/>
        </w:rPr>
        <w:t>补齐乡村振兴基础设施短板、务实农业生产能力建设、持续</w:t>
      </w:r>
      <w:r>
        <w:rPr>
          <w:rFonts w:hint="eastAsia" w:eastAsia="仿宋_GB2312" w:cs="仿宋_GB2312"/>
          <w:sz w:val="32"/>
          <w:szCs w:val="32"/>
          <w:lang w:val="zh-CN"/>
        </w:rPr>
        <w:t>改善村容、村貌、</w:t>
      </w:r>
      <w:r>
        <w:rPr>
          <w:rFonts w:hint="eastAsia" w:eastAsia="仿宋_GB2312" w:cs="仿宋_GB2312"/>
          <w:sz w:val="32"/>
          <w:szCs w:val="32"/>
          <w:lang w:val="en-US" w:eastAsia="zh-CN"/>
        </w:rPr>
        <w:t>改善农村人居环境</w:t>
      </w:r>
      <w:r>
        <w:rPr>
          <w:rFonts w:hint="eastAsia" w:eastAsia="仿宋_GB2312" w:cs="仿宋_GB2312"/>
          <w:sz w:val="32"/>
          <w:szCs w:val="32"/>
          <w:lang w:val="zh-CN"/>
        </w:rPr>
        <w:t>，</w:t>
      </w:r>
      <w:r>
        <w:rPr>
          <w:rFonts w:hint="eastAsia" w:eastAsia="仿宋_GB2312" w:cs="仿宋_GB2312"/>
          <w:sz w:val="32"/>
          <w:szCs w:val="32"/>
          <w:lang w:val="en-US" w:eastAsia="zh-CN"/>
        </w:rPr>
        <w:t>推动</w:t>
      </w:r>
      <w:r>
        <w:rPr>
          <w:rFonts w:hint="eastAsia" w:eastAsia="仿宋_GB2312" w:cs="仿宋_GB2312"/>
          <w:sz w:val="32"/>
          <w:szCs w:val="32"/>
          <w:lang w:val="zh-CN"/>
        </w:rPr>
        <w:t>永和乡经济发展以及</w:t>
      </w:r>
      <w:r>
        <w:rPr>
          <w:rFonts w:hint="eastAsia" w:eastAsia="仿宋_GB2312" w:cs="仿宋_GB2312"/>
          <w:sz w:val="32"/>
          <w:szCs w:val="32"/>
          <w:lang w:val="en-US" w:eastAsia="zh-CN"/>
        </w:rPr>
        <w:t>休闲农业和乡村旅游配套设施提档升级，在丰富乡村文化生活中寻找切入点以</w:t>
      </w:r>
      <w:r>
        <w:rPr>
          <w:rFonts w:hint="eastAsia" w:eastAsia="仿宋_GB2312" w:cs="仿宋_GB2312"/>
          <w:sz w:val="32"/>
          <w:szCs w:val="32"/>
          <w:lang w:val="zh-CN"/>
        </w:rPr>
        <w:t>提高人民生活水平、维护民族团结、提升村寨整体形象，</w:t>
      </w:r>
      <w:r>
        <w:rPr>
          <w:rFonts w:hint="eastAsia" w:eastAsia="仿宋_GB2312" w:cs="仿宋_GB2312"/>
          <w:sz w:val="32"/>
          <w:szCs w:val="32"/>
          <w:lang w:val="en-US" w:eastAsia="zh-CN"/>
        </w:rPr>
        <w:t>采取村民自建方式因地制宜实施项目，在巩固脱贫攻坚成果、做好脱贫攻坚与实施乡村振兴战略有效衔接中发挥重要作用。</w:t>
      </w:r>
    </w:p>
    <w:p>
      <w:pPr>
        <w:adjustRightInd w:val="0"/>
        <w:snapToGrid w:val="0"/>
        <w:spacing w:line="578" w:lineRule="exact"/>
        <w:ind w:firstLine="640" w:firstLineChars="200"/>
        <w:contextualSpacing/>
        <w:rPr>
          <w:rFonts w:hint="eastAsia" w:eastAsia="仿宋_GB2312" w:cs="仿宋_GB2312"/>
          <w:sz w:val="32"/>
          <w:szCs w:val="32"/>
          <w:lang w:val="zh-CN"/>
        </w:rPr>
      </w:pPr>
      <w:r>
        <w:rPr>
          <w:rFonts w:hint="eastAsia" w:eastAsia="仿宋_GB2312" w:cs="仿宋_GB2312"/>
          <w:sz w:val="32"/>
          <w:szCs w:val="32"/>
          <w:lang w:val="en-US" w:eastAsia="zh-CN"/>
        </w:rPr>
        <w:t>2.</w:t>
      </w:r>
      <w:r>
        <w:rPr>
          <w:rFonts w:hint="default" w:eastAsia="仿宋_GB2312" w:cs="仿宋_GB2312"/>
          <w:sz w:val="32"/>
          <w:szCs w:val="32"/>
          <w:lang w:val="zh-CN"/>
        </w:rPr>
        <w:t>预算管理</w:t>
      </w:r>
      <w:r>
        <w:rPr>
          <w:rFonts w:hint="eastAsia" w:eastAsia="仿宋_GB2312" w:cs="仿宋_GB2312"/>
          <w:sz w:val="32"/>
          <w:szCs w:val="32"/>
          <w:lang w:val="zh-CN"/>
        </w:rPr>
        <w:t>。财政预算是经法定程序审批的、政府在一个财政年度内的基本财政收支计划。财政预算规范和安排着财政活动，直接体现着政府的政策意向，直接关系到社会经济运作的好坏，因而必须预先做出周密的计划和规划。因而对财政预算进行科学、规范的管理就尤为重要，对振兴财政，促进国民经济，财政预算管理是现代国家公共财政体制建设的基本内容，也是衡量一国财政管理现代化水平的重要标志之一。我乡按照财政部门要求，单位收入统筹安排合理、每笔支出按进度执行、严控一般性支出，按时按质的完成了预算编制工作，按照规定执行进度支付资金，年终未有结转结余。</w:t>
      </w:r>
    </w:p>
    <w:p>
      <w:pPr>
        <w:adjustRightInd w:val="0"/>
        <w:snapToGrid w:val="0"/>
        <w:spacing w:line="578" w:lineRule="exact"/>
        <w:ind w:firstLine="640" w:firstLineChars="200"/>
        <w:contextualSpacing/>
        <w:rPr>
          <w:rFonts w:hint="eastAsia" w:eastAsia="仿宋_GB2312" w:cs="仿宋_GB2312"/>
          <w:sz w:val="32"/>
          <w:szCs w:val="32"/>
          <w:lang w:val="zh-CN"/>
        </w:rPr>
      </w:pPr>
      <w:r>
        <w:rPr>
          <w:rFonts w:hint="eastAsia" w:eastAsia="仿宋_GB2312" w:cs="仿宋_GB2312"/>
          <w:sz w:val="32"/>
          <w:szCs w:val="32"/>
          <w:lang w:val="en-US" w:eastAsia="zh-CN"/>
        </w:rPr>
        <w:t>3.</w:t>
      </w:r>
      <w:r>
        <w:rPr>
          <w:rFonts w:hint="default" w:eastAsia="仿宋_GB2312" w:cs="仿宋_GB2312"/>
          <w:sz w:val="32"/>
          <w:szCs w:val="32"/>
          <w:lang w:val="zh-CN"/>
        </w:rPr>
        <w:t>财务管理</w:t>
      </w:r>
      <w:r>
        <w:rPr>
          <w:rFonts w:hint="eastAsia" w:eastAsia="仿宋_GB2312" w:cs="仿宋_GB2312"/>
          <w:sz w:val="32"/>
          <w:szCs w:val="32"/>
          <w:lang w:val="zh-CN"/>
        </w:rPr>
        <w:t>。项目资金均为财政拨款收入,在经县级部门审核通过后统一发放至我乡预算管理一体化。项目资金管理办法制定情况为明确资金管理的总体原则，专人管理、专户存储、专账核算等，确保资金使用的专业性和规范性。同时，详细描述资金支付的具体流程，包括经办人审查、业务部门审核、领导核准签字等步骤，确保每一笔资金的支付都经过严格的审核和批准。我乡财务管理</w:t>
      </w:r>
      <w:r>
        <w:rPr>
          <w:rFonts w:hint="default" w:eastAsia="仿宋_GB2312" w:cs="仿宋_GB2312"/>
          <w:sz w:val="32"/>
          <w:szCs w:val="32"/>
          <w:lang w:val="zh-CN"/>
        </w:rPr>
        <w:t>由永和乡党委副书记、乡长苑玉环，负责审计工作；永和乡党委副书记、政法委员、统战委员杨成勇，负责对口支援、项目建设等工作；分管财务领导</w:t>
      </w:r>
      <w:r>
        <w:rPr>
          <w:rFonts w:hint="eastAsia" w:eastAsia="仿宋_GB2312" w:cs="仿宋_GB2312"/>
          <w:sz w:val="32"/>
          <w:szCs w:val="32"/>
          <w:lang w:val="zh-CN"/>
        </w:rPr>
        <w:t>赵华毅</w:t>
      </w:r>
      <w:r>
        <w:rPr>
          <w:rFonts w:hint="default" w:eastAsia="仿宋_GB2312" w:cs="仿宋_GB2312"/>
          <w:sz w:val="32"/>
          <w:szCs w:val="32"/>
          <w:lang w:val="zh-CN"/>
        </w:rPr>
        <w:t>，负责财政审核；</w:t>
      </w:r>
      <w:r>
        <w:rPr>
          <w:rFonts w:hint="eastAsia" w:eastAsia="仿宋_GB2312" w:cs="仿宋_GB2312"/>
          <w:sz w:val="32"/>
          <w:szCs w:val="32"/>
          <w:lang w:val="zh-CN"/>
        </w:rPr>
        <w:t>财务岗位设置两人，</w:t>
      </w:r>
      <w:r>
        <w:rPr>
          <w:rFonts w:hint="default" w:eastAsia="仿宋_GB2312" w:cs="仿宋_GB2312"/>
          <w:sz w:val="32"/>
          <w:szCs w:val="32"/>
          <w:lang w:val="zh-CN"/>
        </w:rPr>
        <w:t>会计</w:t>
      </w:r>
      <w:r>
        <w:rPr>
          <w:rFonts w:hint="eastAsia" w:eastAsia="仿宋_GB2312" w:cs="仿宋_GB2312"/>
          <w:sz w:val="32"/>
          <w:szCs w:val="32"/>
          <w:lang w:val="zh-CN"/>
        </w:rPr>
        <w:t>余梓萌</w:t>
      </w:r>
      <w:r>
        <w:rPr>
          <w:rFonts w:hint="default" w:eastAsia="仿宋_GB2312" w:cs="仿宋_GB2312"/>
          <w:sz w:val="32"/>
          <w:szCs w:val="32"/>
          <w:lang w:val="zh-CN"/>
        </w:rPr>
        <w:t>；出纳</w:t>
      </w:r>
      <w:r>
        <w:rPr>
          <w:rFonts w:hint="eastAsia" w:eastAsia="仿宋_GB2312" w:cs="仿宋_GB2312"/>
          <w:sz w:val="32"/>
          <w:szCs w:val="32"/>
          <w:lang w:val="zh-CN"/>
        </w:rPr>
        <w:t>苟玉媛</w:t>
      </w:r>
      <w:r>
        <w:rPr>
          <w:rFonts w:hint="default" w:eastAsia="仿宋_GB2312" w:cs="仿宋_GB2312"/>
          <w:sz w:val="32"/>
          <w:szCs w:val="32"/>
          <w:lang w:val="zh-CN"/>
        </w:rPr>
        <w:t>；以及其他相关人员构成。</w:t>
      </w:r>
    </w:p>
    <w:p>
      <w:pPr>
        <w:adjustRightInd w:val="0"/>
        <w:snapToGrid w:val="0"/>
        <w:spacing w:line="578" w:lineRule="exact"/>
        <w:ind w:firstLine="640" w:firstLineChars="200"/>
        <w:contextualSpacing/>
        <w:rPr>
          <w:rFonts w:hint="eastAsia" w:eastAsia="仿宋_GB2312" w:cs="仿宋_GB2312"/>
          <w:sz w:val="32"/>
          <w:szCs w:val="32"/>
          <w:lang w:val="zh-CN"/>
        </w:rPr>
      </w:pPr>
      <w:r>
        <w:rPr>
          <w:rFonts w:hint="eastAsia" w:eastAsia="仿宋_GB2312" w:cs="仿宋_GB2312"/>
          <w:sz w:val="32"/>
          <w:szCs w:val="32"/>
          <w:lang w:val="en-US" w:eastAsia="zh-CN"/>
        </w:rPr>
        <w:t>4.</w:t>
      </w:r>
      <w:r>
        <w:rPr>
          <w:rFonts w:hint="default" w:eastAsia="仿宋_GB2312" w:cs="仿宋_GB2312"/>
          <w:sz w:val="32"/>
          <w:szCs w:val="32"/>
          <w:lang w:val="zh-CN"/>
        </w:rPr>
        <w:t>资产管理</w:t>
      </w:r>
      <w:r>
        <w:rPr>
          <w:rFonts w:hint="eastAsia" w:eastAsia="仿宋_GB2312" w:cs="仿宋_GB2312"/>
          <w:sz w:val="32"/>
          <w:szCs w:val="32"/>
          <w:lang w:val="zh-CN"/>
        </w:rPr>
        <w:t>。我乡制定了固定资产管理制度，定期进行资产盘点，及时进行资产入账，资产利用率达100%，无闲置资产。</w:t>
      </w:r>
    </w:p>
    <w:p>
      <w:pPr>
        <w:adjustRightInd w:val="0"/>
        <w:snapToGrid w:val="0"/>
        <w:spacing w:line="578" w:lineRule="exact"/>
        <w:ind w:firstLine="640" w:firstLineChars="200"/>
        <w:contextualSpacing/>
        <w:rPr>
          <w:rFonts w:hint="eastAsia" w:eastAsia="仿宋_GB2312" w:cs="仿宋_GB2312"/>
          <w:sz w:val="32"/>
          <w:szCs w:val="32"/>
          <w:lang w:val="zh-CN"/>
        </w:rPr>
      </w:pPr>
      <w:r>
        <w:rPr>
          <w:rFonts w:hint="eastAsia" w:eastAsia="仿宋_GB2312" w:cs="仿宋_GB2312"/>
          <w:sz w:val="32"/>
          <w:szCs w:val="32"/>
          <w:lang w:val="zh-CN"/>
        </w:rPr>
        <w:t>（1）日常管理：资产卡片管理、资产录入、资产转移、资产维修、资产借用、资产启用、资产停用、资产退出；</w:t>
      </w:r>
    </w:p>
    <w:p>
      <w:pPr>
        <w:adjustRightInd w:val="0"/>
        <w:snapToGrid w:val="0"/>
        <w:spacing w:line="578" w:lineRule="exact"/>
        <w:ind w:firstLine="640" w:firstLineChars="200"/>
        <w:contextualSpacing/>
        <w:rPr>
          <w:rFonts w:hint="eastAsia" w:eastAsia="仿宋_GB2312" w:cs="仿宋_GB2312"/>
          <w:sz w:val="32"/>
          <w:szCs w:val="32"/>
          <w:lang w:val="zh-CN"/>
        </w:rPr>
      </w:pPr>
      <w:r>
        <w:rPr>
          <w:rFonts w:hint="eastAsia" w:eastAsia="仿宋_GB2312" w:cs="仿宋_GB2312"/>
          <w:sz w:val="32"/>
          <w:szCs w:val="32"/>
          <w:lang w:val="zh-CN"/>
        </w:rPr>
        <w:t>（2）资产盘点：盘点单查询、盘点单录入、盘盈盘亏明细表、盘点汇总；</w:t>
      </w:r>
    </w:p>
    <w:p>
      <w:pPr>
        <w:adjustRightInd w:val="0"/>
        <w:snapToGrid w:val="0"/>
        <w:spacing w:line="578" w:lineRule="exact"/>
        <w:ind w:firstLine="640" w:firstLineChars="200"/>
        <w:contextualSpacing/>
        <w:rPr>
          <w:rFonts w:hint="eastAsia" w:eastAsia="仿宋_GB2312" w:cs="仿宋_GB2312"/>
          <w:sz w:val="32"/>
          <w:szCs w:val="32"/>
          <w:lang w:val="zh-CN"/>
        </w:rPr>
      </w:pPr>
      <w:r>
        <w:rPr>
          <w:rFonts w:hint="eastAsia" w:eastAsia="仿宋_GB2312" w:cs="仿宋_GB2312"/>
          <w:sz w:val="32"/>
          <w:szCs w:val="32"/>
          <w:lang w:val="zh-CN"/>
        </w:rPr>
        <w:t>（3）折旧管理：计提折旧、折旧月报、折旧年报、资产减值准备、资产价值重估、累计折旧明细；</w:t>
      </w:r>
    </w:p>
    <w:p>
      <w:pPr>
        <w:adjustRightInd w:val="0"/>
        <w:snapToGrid w:val="0"/>
        <w:spacing w:line="578" w:lineRule="exact"/>
        <w:ind w:firstLine="640" w:firstLineChars="200"/>
        <w:contextualSpacing/>
        <w:rPr>
          <w:rFonts w:hint="eastAsia" w:eastAsia="仿宋_GB2312" w:cs="仿宋_GB2312"/>
          <w:sz w:val="32"/>
          <w:szCs w:val="32"/>
          <w:lang w:val="zh-CN"/>
        </w:rPr>
      </w:pPr>
      <w:r>
        <w:rPr>
          <w:rFonts w:hint="eastAsia" w:eastAsia="仿宋_GB2312" w:cs="仿宋_GB2312"/>
          <w:sz w:val="32"/>
          <w:szCs w:val="32"/>
          <w:lang w:val="zh-CN"/>
        </w:rPr>
        <w:t>（</w:t>
      </w:r>
      <w:r>
        <w:rPr>
          <w:rFonts w:hint="eastAsia" w:eastAsia="仿宋_GB2312" w:cs="仿宋_GB2312"/>
          <w:sz w:val="32"/>
          <w:szCs w:val="32"/>
          <w:lang w:val="en-US" w:eastAsia="zh-CN"/>
        </w:rPr>
        <w:t>4</w:t>
      </w:r>
      <w:r>
        <w:rPr>
          <w:rFonts w:hint="eastAsia" w:eastAsia="仿宋_GB2312" w:cs="仿宋_GB2312"/>
          <w:sz w:val="32"/>
          <w:szCs w:val="32"/>
          <w:lang w:val="zh-CN"/>
        </w:rPr>
        <w:t>）报表管理：分类明细统计报表、部门明细统计报表、新增资产统计报表、退出资产统计报表；</w:t>
      </w:r>
    </w:p>
    <w:p>
      <w:pPr>
        <w:adjustRightInd w:val="0"/>
        <w:snapToGrid w:val="0"/>
        <w:spacing w:line="578" w:lineRule="exact"/>
        <w:ind w:firstLine="640" w:firstLineChars="200"/>
        <w:contextualSpacing/>
        <w:rPr>
          <w:rFonts w:hint="eastAsia" w:eastAsia="仿宋_GB2312" w:cs="仿宋_GB2312"/>
          <w:sz w:val="32"/>
          <w:szCs w:val="32"/>
          <w:lang w:val="zh-CN"/>
        </w:rPr>
      </w:pPr>
      <w:r>
        <w:rPr>
          <w:rFonts w:hint="eastAsia" w:eastAsia="仿宋_GB2312" w:cs="仿宋_GB2312"/>
          <w:sz w:val="32"/>
          <w:szCs w:val="32"/>
          <w:lang w:val="zh-CN"/>
        </w:rPr>
        <w:t>（</w:t>
      </w:r>
      <w:r>
        <w:rPr>
          <w:rFonts w:hint="eastAsia" w:eastAsia="仿宋_GB2312" w:cs="仿宋_GB2312"/>
          <w:sz w:val="32"/>
          <w:szCs w:val="32"/>
          <w:lang w:val="en-US" w:eastAsia="zh-CN"/>
        </w:rPr>
        <w:t>5</w:t>
      </w:r>
      <w:r>
        <w:rPr>
          <w:rFonts w:hint="eastAsia" w:eastAsia="仿宋_GB2312" w:cs="仿宋_GB2312"/>
          <w:sz w:val="32"/>
          <w:szCs w:val="32"/>
          <w:lang w:val="zh-CN"/>
        </w:rPr>
        <w:t>）系统管理：操作员/权限、部门/人员信息、资产分类编码、资产属性信息。</w:t>
      </w:r>
    </w:p>
    <w:p>
      <w:pPr>
        <w:adjustRightInd w:val="0"/>
        <w:snapToGrid w:val="0"/>
        <w:spacing w:line="578" w:lineRule="exact"/>
        <w:ind w:firstLine="640" w:firstLineChars="200"/>
        <w:contextualSpacing/>
        <w:rPr>
          <w:rFonts w:hint="eastAsia" w:eastAsia="仿宋_GB2312" w:cs="仿宋_GB2312"/>
          <w:sz w:val="32"/>
          <w:szCs w:val="32"/>
          <w:lang w:val="zh-CN"/>
        </w:rPr>
      </w:pPr>
      <w:r>
        <w:rPr>
          <w:rFonts w:hint="eastAsia" w:eastAsia="仿宋_GB2312" w:cs="仿宋_GB2312"/>
          <w:sz w:val="32"/>
          <w:szCs w:val="32"/>
          <w:lang w:val="en-US" w:eastAsia="zh-CN"/>
        </w:rPr>
        <w:t>5.</w:t>
      </w:r>
      <w:r>
        <w:rPr>
          <w:rFonts w:hint="default" w:eastAsia="仿宋_GB2312" w:cs="仿宋_GB2312"/>
          <w:sz w:val="32"/>
          <w:szCs w:val="32"/>
          <w:lang w:val="zh-CN"/>
        </w:rPr>
        <w:t>采购管理</w:t>
      </w:r>
      <w:r>
        <w:rPr>
          <w:rFonts w:hint="eastAsia" w:eastAsia="仿宋_GB2312" w:cs="仿宋_GB2312"/>
          <w:sz w:val="32"/>
          <w:szCs w:val="32"/>
          <w:lang w:val="zh-CN"/>
        </w:rPr>
        <w:t>。为了规范政府采购行为，加强财政支出管理，提高财政资金使用效益，促进经济和社会发展，根据预算法及有关法律、行政法规，我乡严格按照政府采购流程进行采购。</w:t>
      </w:r>
    </w:p>
    <w:p>
      <w:pPr>
        <w:adjustRightInd w:val="0"/>
        <w:snapToGrid w:val="0"/>
        <w:spacing w:line="578" w:lineRule="exact"/>
        <w:ind w:firstLine="640" w:firstLineChars="200"/>
        <w:contextualSpacing/>
        <w:rPr>
          <w:rFonts w:hint="default" w:eastAsia="仿宋_GB2312" w:cs="仿宋_GB2312"/>
          <w:sz w:val="32"/>
          <w:szCs w:val="32"/>
          <w:lang w:val="en-US" w:eastAsia="zh-CN"/>
        </w:rPr>
      </w:pPr>
      <w:r>
        <w:rPr>
          <w:rFonts w:hint="default" w:eastAsia="仿宋_GB2312" w:cs="仿宋_GB2312"/>
          <w:b/>
          <w:bCs/>
          <w:sz w:val="32"/>
          <w:szCs w:val="32"/>
          <w:lang w:val="zh-CN"/>
        </w:rPr>
        <w:t>（二）部门预算项目绩效分析。</w:t>
      </w:r>
      <w:r>
        <w:rPr>
          <w:rFonts w:hint="eastAsia" w:eastAsia="仿宋_GB2312" w:cs="仿宋_GB2312"/>
          <w:sz w:val="32"/>
          <w:szCs w:val="32"/>
          <w:lang w:val="zh-CN" w:eastAsia="zh-CN"/>
        </w:rPr>
        <w:t>填报以下数据，</w:t>
      </w:r>
      <w:r>
        <w:rPr>
          <w:rFonts w:hint="eastAsia" w:eastAsia="仿宋_GB2312" w:cs="仿宋_GB2312"/>
          <w:sz w:val="32"/>
          <w:szCs w:val="32"/>
          <w:lang w:val="zh-CN"/>
        </w:rPr>
        <w:t>并</w:t>
      </w:r>
      <w:r>
        <w:rPr>
          <w:rFonts w:hint="default" w:eastAsia="仿宋_GB2312" w:cs="仿宋_GB2312"/>
          <w:sz w:val="32"/>
          <w:szCs w:val="32"/>
          <w:lang w:val="zh-CN"/>
        </w:rPr>
        <w:t>根据部门预算绩效评价指标体系“项目绩效”涉及</w:t>
      </w:r>
      <w:r>
        <w:rPr>
          <w:rFonts w:hint="eastAsia" w:eastAsia="仿宋_GB2312" w:cs="仿宋_GB2312"/>
          <w:sz w:val="32"/>
          <w:szCs w:val="32"/>
          <w:lang w:val="zh-CN"/>
        </w:rPr>
        <w:t>二、三级</w:t>
      </w:r>
      <w:r>
        <w:rPr>
          <w:rFonts w:hint="default" w:eastAsia="仿宋_GB2312" w:cs="仿宋_GB2312"/>
          <w:sz w:val="32"/>
          <w:szCs w:val="32"/>
          <w:lang w:val="zh-CN"/>
        </w:rPr>
        <w:t>指标进行</w:t>
      </w:r>
      <w:r>
        <w:rPr>
          <w:rFonts w:hint="eastAsia" w:eastAsia="仿宋_GB2312" w:cs="仿宋_GB2312"/>
          <w:sz w:val="32"/>
          <w:szCs w:val="32"/>
          <w:lang w:val="zh-CN"/>
        </w:rPr>
        <w:t>逐项</w:t>
      </w:r>
      <w:r>
        <w:rPr>
          <w:rFonts w:hint="default" w:eastAsia="仿宋_GB2312" w:cs="仿宋_GB2312"/>
          <w:sz w:val="32"/>
          <w:szCs w:val="32"/>
          <w:lang w:val="zh-CN"/>
        </w:rPr>
        <w:t>绩效分析</w:t>
      </w:r>
      <w:r>
        <w:rPr>
          <w:rFonts w:hint="eastAsia" w:eastAsia="仿宋_GB2312" w:cs="仿宋_GB2312"/>
          <w:sz w:val="32"/>
          <w:szCs w:val="32"/>
          <w:lang w:val="zh-CN"/>
        </w:rPr>
        <w:t>并评分</w:t>
      </w:r>
      <w:r>
        <w:rPr>
          <w:rFonts w:hint="default" w:eastAsia="仿宋_GB2312" w:cs="仿宋_GB2312"/>
          <w:sz w:val="32"/>
          <w:szCs w:val="32"/>
          <w:lang w:val="zh-CN"/>
        </w:rPr>
        <w:t>，依次包括项目</w:t>
      </w:r>
      <w:r>
        <w:rPr>
          <w:rFonts w:hint="default" w:eastAsia="仿宋_GB2312" w:cs="仿宋_GB2312"/>
          <w:sz w:val="32"/>
          <w:szCs w:val="32"/>
          <w:lang w:val="en-US" w:eastAsia="zh-CN"/>
        </w:rPr>
        <w:t>决策、项目执行、目标实现等情况</w:t>
      </w:r>
      <w:r>
        <w:rPr>
          <w:rFonts w:hint="eastAsia" w:eastAsia="仿宋_GB2312" w:cs="仿宋_GB2312"/>
          <w:sz w:val="32"/>
          <w:szCs w:val="32"/>
          <w:lang w:val="en-US" w:eastAsia="zh-CN"/>
        </w:rPr>
        <w:t>。</w:t>
      </w:r>
    </w:p>
    <w:p>
      <w:pPr>
        <w:adjustRightInd w:val="0"/>
        <w:snapToGrid w:val="0"/>
        <w:spacing w:line="578" w:lineRule="exact"/>
        <w:ind w:firstLine="640" w:firstLineChars="200"/>
        <w:contextualSpacing/>
        <w:rPr>
          <w:rFonts w:hint="default" w:eastAsia="仿宋_GB2312" w:cs="仿宋_GB2312"/>
          <w:sz w:val="32"/>
          <w:szCs w:val="32"/>
          <w:lang w:val="zh-CN" w:eastAsia="zh-CN"/>
        </w:rPr>
      </w:pPr>
      <w:r>
        <w:rPr>
          <w:rFonts w:hint="default" w:eastAsia="仿宋_GB2312" w:cs="仿宋_GB2312"/>
          <w:sz w:val="32"/>
          <w:szCs w:val="32"/>
          <w:lang w:val="en-US" w:eastAsia="zh-CN"/>
        </w:rPr>
        <w:t>常年项目绩效分析。</w:t>
      </w:r>
      <w:r>
        <w:rPr>
          <w:rFonts w:hint="default" w:eastAsia="仿宋_GB2312" w:cs="仿宋_GB2312"/>
          <w:sz w:val="32"/>
          <w:szCs w:val="32"/>
          <w:lang w:val="zh-CN" w:eastAsia="zh-CN"/>
        </w:rPr>
        <w:t>该类项目总数</w:t>
      </w:r>
      <w:r>
        <w:rPr>
          <w:rFonts w:hint="default" w:eastAsia="仿宋_GB2312" w:cs="仿宋_GB2312"/>
          <w:sz w:val="32"/>
          <w:szCs w:val="32"/>
          <w:lang w:val="en-US" w:eastAsia="zh-CN"/>
        </w:rPr>
        <w:t xml:space="preserve"> </w:t>
      </w:r>
      <w:r>
        <w:rPr>
          <w:rFonts w:hint="eastAsia" w:eastAsia="仿宋_GB2312" w:cs="仿宋_GB2312"/>
          <w:sz w:val="32"/>
          <w:szCs w:val="32"/>
          <w:lang w:val="en-US" w:eastAsia="zh-CN"/>
        </w:rPr>
        <w:t>9</w:t>
      </w:r>
      <w:r>
        <w:rPr>
          <w:rFonts w:hint="default" w:eastAsia="仿宋_GB2312" w:cs="仿宋_GB2312"/>
          <w:sz w:val="32"/>
          <w:szCs w:val="32"/>
          <w:lang w:val="zh-CN" w:eastAsia="zh-CN"/>
        </w:rPr>
        <w:t>个，涉及预算总金额</w:t>
      </w:r>
      <w:r>
        <w:rPr>
          <w:rFonts w:hint="eastAsia" w:eastAsia="仿宋_GB2312" w:cs="仿宋_GB2312"/>
          <w:sz w:val="32"/>
          <w:szCs w:val="32"/>
          <w:lang w:val="en-US" w:eastAsia="zh-CN"/>
        </w:rPr>
        <w:t>152.62</w:t>
      </w:r>
      <w:r>
        <w:rPr>
          <w:rFonts w:hint="default" w:eastAsia="仿宋_GB2312" w:cs="仿宋_GB2312"/>
          <w:sz w:val="32"/>
          <w:szCs w:val="32"/>
          <w:lang w:val="zh-CN" w:eastAsia="zh-CN"/>
        </w:rPr>
        <w:t>万元，</w:t>
      </w:r>
      <w:r>
        <w:rPr>
          <w:rFonts w:hint="default" w:eastAsia="仿宋_GB2312" w:cs="仿宋_GB2312"/>
          <w:sz w:val="32"/>
          <w:szCs w:val="32"/>
          <w:lang w:val="zh-CN"/>
        </w:rPr>
        <w:t>1</w:t>
      </w:r>
      <w:r>
        <w:rPr>
          <w:rFonts w:hint="eastAsia" w:eastAsia="仿宋_GB2312" w:cs="仿宋_GB2312"/>
          <w:sz w:val="32"/>
          <w:szCs w:val="32"/>
          <w:lang w:val="zh-CN" w:eastAsia="zh-CN"/>
        </w:rPr>
        <w:t>—</w:t>
      </w:r>
      <w:r>
        <w:rPr>
          <w:rFonts w:hint="default" w:eastAsia="仿宋_GB2312" w:cs="仿宋_GB2312"/>
          <w:sz w:val="32"/>
          <w:szCs w:val="32"/>
          <w:lang w:val="zh-CN"/>
        </w:rPr>
        <w:t>1</w:t>
      </w:r>
      <w:r>
        <w:rPr>
          <w:rFonts w:hint="default" w:eastAsia="仿宋_GB2312" w:cs="仿宋_GB2312"/>
          <w:sz w:val="32"/>
          <w:szCs w:val="32"/>
          <w:lang w:val="en-US" w:eastAsia="zh-CN"/>
        </w:rPr>
        <w:t>2</w:t>
      </w:r>
      <w:r>
        <w:rPr>
          <w:rFonts w:hint="default" w:eastAsia="仿宋_GB2312" w:cs="仿宋_GB2312"/>
          <w:sz w:val="32"/>
          <w:szCs w:val="32"/>
          <w:lang w:val="zh-CN"/>
        </w:rPr>
        <w:t>月预算执行总体进度为</w:t>
      </w:r>
      <w:r>
        <w:rPr>
          <w:rFonts w:hint="default" w:eastAsia="仿宋_GB2312" w:cs="仿宋_GB2312"/>
          <w:sz w:val="32"/>
          <w:szCs w:val="32"/>
          <w:lang w:val="en-US" w:eastAsia="zh-CN"/>
        </w:rPr>
        <w:t xml:space="preserve"> </w:t>
      </w:r>
      <w:r>
        <w:rPr>
          <w:rFonts w:hint="eastAsia" w:eastAsia="仿宋_GB2312" w:cs="仿宋_GB2312"/>
          <w:sz w:val="32"/>
          <w:szCs w:val="32"/>
          <w:lang w:val="en-US" w:eastAsia="zh-CN"/>
        </w:rPr>
        <w:t>100</w:t>
      </w:r>
      <w:r>
        <w:rPr>
          <w:rFonts w:hint="default" w:eastAsia="仿宋_GB2312" w:cs="仿宋_GB2312"/>
          <w:sz w:val="32"/>
          <w:szCs w:val="32"/>
          <w:lang w:val="zh-CN"/>
        </w:rPr>
        <w:t>%，其中：</w:t>
      </w:r>
      <w:r>
        <w:rPr>
          <w:rFonts w:hint="default" w:eastAsia="仿宋_GB2312" w:cs="仿宋_GB2312"/>
          <w:sz w:val="32"/>
          <w:szCs w:val="32"/>
          <w:lang w:val="zh-CN" w:eastAsia="zh-CN"/>
        </w:rPr>
        <w:t>预算结余率大于</w:t>
      </w:r>
      <w:r>
        <w:rPr>
          <w:rFonts w:hint="default" w:eastAsia="仿宋_GB2312" w:cs="仿宋_GB2312"/>
          <w:sz w:val="32"/>
          <w:szCs w:val="32"/>
          <w:lang w:val="en-US" w:eastAsia="zh-CN"/>
        </w:rPr>
        <w:t>10%</w:t>
      </w:r>
      <w:r>
        <w:rPr>
          <w:rFonts w:hint="default" w:eastAsia="仿宋_GB2312" w:cs="仿宋_GB2312"/>
          <w:sz w:val="32"/>
          <w:szCs w:val="32"/>
          <w:lang w:val="zh-CN" w:eastAsia="zh-CN"/>
        </w:rPr>
        <w:t>的项目共计</w:t>
      </w:r>
      <w:r>
        <w:rPr>
          <w:rFonts w:hint="default" w:eastAsia="仿宋_GB2312" w:cs="仿宋_GB2312"/>
          <w:sz w:val="32"/>
          <w:szCs w:val="32"/>
          <w:lang w:val="en-US" w:eastAsia="zh-CN"/>
        </w:rPr>
        <w:t xml:space="preserve"> </w:t>
      </w:r>
      <w:r>
        <w:rPr>
          <w:rFonts w:hint="eastAsia" w:eastAsia="仿宋_GB2312" w:cs="仿宋_GB2312"/>
          <w:sz w:val="32"/>
          <w:szCs w:val="32"/>
          <w:lang w:val="en-US" w:eastAsia="zh-CN"/>
        </w:rPr>
        <w:t>0</w:t>
      </w:r>
      <w:r>
        <w:rPr>
          <w:rFonts w:hint="default" w:eastAsia="仿宋_GB2312" w:cs="仿宋_GB2312"/>
          <w:sz w:val="32"/>
          <w:szCs w:val="32"/>
          <w:lang w:val="en-US" w:eastAsia="zh-CN"/>
        </w:rPr>
        <w:t xml:space="preserve"> </w:t>
      </w:r>
      <w:r>
        <w:rPr>
          <w:rFonts w:hint="default" w:eastAsia="仿宋_GB2312" w:cs="仿宋_GB2312"/>
          <w:sz w:val="32"/>
          <w:szCs w:val="32"/>
          <w:lang w:val="zh-CN" w:eastAsia="zh-CN"/>
        </w:rPr>
        <w:t>个。</w:t>
      </w:r>
    </w:p>
    <w:p>
      <w:pPr>
        <w:adjustRightInd w:val="0"/>
        <w:snapToGrid w:val="0"/>
        <w:spacing w:line="578" w:lineRule="exact"/>
        <w:ind w:firstLine="640" w:firstLineChars="200"/>
        <w:contextualSpacing/>
        <w:rPr>
          <w:rFonts w:hint="default" w:eastAsia="仿宋_GB2312" w:cs="仿宋_GB2312"/>
          <w:sz w:val="32"/>
          <w:szCs w:val="32"/>
          <w:lang w:val="zh-CN" w:eastAsia="zh-CN"/>
        </w:rPr>
      </w:pPr>
      <w:r>
        <w:rPr>
          <w:rFonts w:hint="default" w:eastAsia="仿宋_GB2312" w:cs="仿宋_GB2312"/>
          <w:sz w:val="32"/>
          <w:szCs w:val="32"/>
          <w:lang w:val="en-US" w:eastAsia="zh-CN"/>
        </w:rPr>
        <w:t>阶段</w:t>
      </w:r>
      <w:r>
        <w:rPr>
          <w:rFonts w:hint="eastAsia" w:eastAsia="仿宋_GB2312" w:cs="仿宋_GB2312"/>
          <w:sz w:val="32"/>
          <w:szCs w:val="32"/>
          <w:lang w:val="en-US" w:eastAsia="zh-CN"/>
        </w:rPr>
        <w:t>（</w:t>
      </w:r>
      <w:r>
        <w:rPr>
          <w:rFonts w:hint="default" w:eastAsia="仿宋_GB2312" w:cs="仿宋_GB2312"/>
          <w:sz w:val="32"/>
          <w:szCs w:val="32"/>
          <w:lang w:val="en-US" w:eastAsia="zh-CN"/>
        </w:rPr>
        <w:t>一次性</w:t>
      </w:r>
      <w:r>
        <w:rPr>
          <w:rFonts w:hint="eastAsia" w:eastAsia="仿宋_GB2312" w:cs="仿宋_GB2312"/>
          <w:sz w:val="32"/>
          <w:szCs w:val="32"/>
          <w:lang w:val="en-US" w:eastAsia="zh-CN"/>
        </w:rPr>
        <w:t>）</w:t>
      </w:r>
      <w:r>
        <w:rPr>
          <w:rFonts w:hint="default" w:eastAsia="仿宋_GB2312" w:cs="仿宋_GB2312"/>
          <w:sz w:val="32"/>
          <w:szCs w:val="32"/>
          <w:lang w:val="en-US" w:eastAsia="zh-CN"/>
        </w:rPr>
        <w:t>项目绩效分析。</w:t>
      </w:r>
      <w:r>
        <w:rPr>
          <w:rFonts w:hint="default" w:eastAsia="仿宋_GB2312" w:cs="仿宋_GB2312"/>
          <w:sz w:val="32"/>
          <w:szCs w:val="32"/>
          <w:lang w:val="zh-CN" w:eastAsia="zh-CN"/>
        </w:rPr>
        <w:t>该类项目总数</w:t>
      </w:r>
      <w:r>
        <w:rPr>
          <w:rFonts w:hint="default" w:eastAsia="仿宋_GB2312" w:cs="仿宋_GB2312"/>
          <w:sz w:val="32"/>
          <w:szCs w:val="32"/>
          <w:lang w:val="en-US" w:eastAsia="zh-CN"/>
        </w:rPr>
        <w:t xml:space="preserve"> </w:t>
      </w:r>
      <w:r>
        <w:rPr>
          <w:rFonts w:hint="eastAsia" w:eastAsia="仿宋_GB2312" w:cs="仿宋_GB2312"/>
          <w:sz w:val="32"/>
          <w:szCs w:val="32"/>
          <w:lang w:val="en-US" w:eastAsia="zh-CN"/>
        </w:rPr>
        <w:t>15</w:t>
      </w:r>
      <w:r>
        <w:rPr>
          <w:rFonts w:hint="default" w:eastAsia="仿宋_GB2312" w:cs="仿宋_GB2312"/>
          <w:sz w:val="32"/>
          <w:szCs w:val="32"/>
          <w:lang w:val="zh-CN" w:eastAsia="zh-CN"/>
        </w:rPr>
        <w:t>个，涉及预算总金额</w:t>
      </w:r>
      <w:r>
        <w:rPr>
          <w:rFonts w:hint="eastAsia" w:eastAsia="仿宋_GB2312" w:cs="仿宋_GB2312"/>
          <w:sz w:val="32"/>
          <w:szCs w:val="32"/>
          <w:lang w:val="en-US" w:eastAsia="zh-CN"/>
        </w:rPr>
        <w:t>743.99</w:t>
      </w:r>
      <w:r>
        <w:rPr>
          <w:rFonts w:hint="default" w:eastAsia="仿宋_GB2312" w:cs="仿宋_GB2312"/>
          <w:sz w:val="32"/>
          <w:szCs w:val="32"/>
          <w:lang w:val="zh-CN" w:eastAsia="zh-CN"/>
        </w:rPr>
        <w:t>万元，</w:t>
      </w:r>
      <w:r>
        <w:rPr>
          <w:rFonts w:hint="eastAsia" w:eastAsia="仿宋_GB2312" w:cs="仿宋_GB2312"/>
          <w:sz w:val="32"/>
          <w:szCs w:val="32"/>
          <w:lang w:val="en-US" w:eastAsia="zh-CN"/>
        </w:rPr>
        <w:t>13个项目</w:t>
      </w:r>
      <w:r>
        <w:rPr>
          <w:rFonts w:hint="default" w:eastAsia="仿宋_GB2312" w:cs="仿宋_GB2312"/>
          <w:sz w:val="32"/>
          <w:szCs w:val="32"/>
          <w:lang w:val="zh-CN"/>
        </w:rPr>
        <w:t>1</w:t>
      </w:r>
      <w:r>
        <w:rPr>
          <w:rFonts w:hint="eastAsia" w:eastAsia="仿宋_GB2312" w:cs="仿宋_GB2312"/>
          <w:sz w:val="32"/>
          <w:szCs w:val="32"/>
          <w:lang w:val="zh-CN" w:eastAsia="zh-CN"/>
        </w:rPr>
        <w:t>—</w:t>
      </w:r>
      <w:r>
        <w:rPr>
          <w:rFonts w:hint="default" w:eastAsia="仿宋_GB2312" w:cs="仿宋_GB2312"/>
          <w:sz w:val="32"/>
          <w:szCs w:val="32"/>
          <w:lang w:val="zh-CN"/>
        </w:rPr>
        <w:t>1</w:t>
      </w:r>
      <w:r>
        <w:rPr>
          <w:rFonts w:hint="default" w:eastAsia="仿宋_GB2312" w:cs="仿宋_GB2312"/>
          <w:sz w:val="32"/>
          <w:szCs w:val="32"/>
          <w:lang w:val="en-US" w:eastAsia="zh-CN"/>
        </w:rPr>
        <w:t>2</w:t>
      </w:r>
      <w:r>
        <w:rPr>
          <w:rFonts w:hint="default" w:eastAsia="仿宋_GB2312" w:cs="仿宋_GB2312"/>
          <w:sz w:val="32"/>
          <w:szCs w:val="32"/>
          <w:lang w:val="zh-CN"/>
        </w:rPr>
        <w:t>月预算执行总体进度为</w:t>
      </w:r>
      <w:r>
        <w:rPr>
          <w:rFonts w:hint="default" w:eastAsia="仿宋_GB2312" w:cs="仿宋_GB2312"/>
          <w:sz w:val="32"/>
          <w:szCs w:val="32"/>
          <w:lang w:val="en-US" w:eastAsia="zh-CN"/>
        </w:rPr>
        <w:t xml:space="preserve"> </w:t>
      </w:r>
      <w:r>
        <w:rPr>
          <w:rFonts w:hint="eastAsia" w:eastAsia="仿宋_GB2312" w:cs="仿宋_GB2312"/>
          <w:sz w:val="32"/>
          <w:szCs w:val="32"/>
          <w:lang w:val="en-US" w:eastAsia="zh-CN"/>
        </w:rPr>
        <w:t>100</w:t>
      </w:r>
      <w:r>
        <w:rPr>
          <w:rFonts w:hint="default" w:eastAsia="仿宋_GB2312" w:cs="仿宋_GB2312"/>
          <w:sz w:val="32"/>
          <w:szCs w:val="32"/>
          <w:lang w:val="en-US" w:eastAsia="zh-CN"/>
        </w:rPr>
        <w:t xml:space="preserve"> </w:t>
      </w:r>
      <w:r>
        <w:rPr>
          <w:rFonts w:hint="default" w:eastAsia="仿宋_GB2312" w:cs="仿宋_GB2312"/>
          <w:sz w:val="32"/>
          <w:szCs w:val="32"/>
          <w:lang w:val="zh-CN"/>
        </w:rPr>
        <w:t>%，</w:t>
      </w:r>
      <w:r>
        <w:rPr>
          <w:rFonts w:hint="default" w:eastAsia="仿宋_GB2312" w:cs="仿宋_GB2312"/>
          <w:sz w:val="32"/>
          <w:szCs w:val="32"/>
          <w:lang w:val="zh-CN" w:eastAsia="zh-CN"/>
        </w:rPr>
        <w:t>预算结余率大于</w:t>
      </w:r>
      <w:r>
        <w:rPr>
          <w:rFonts w:hint="default" w:eastAsia="仿宋_GB2312" w:cs="仿宋_GB2312"/>
          <w:sz w:val="32"/>
          <w:szCs w:val="32"/>
          <w:lang w:val="en-US" w:eastAsia="zh-CN"/>
        </w:rPr>
        <w:t>10%</w:t>
      </w:r>
      <w:r>
        <w:rPr>
          <w:rFonts w:hint="default" w:eastAsia="仿宋_GB2312" w:cs="仿宋_GB2312"/>
          <w:sz w:val="32"/>
          <w:szCs w:val="32"/>
          <w:lang w:val="zh-CN" w:eastAsia="zh-CN"/>
        </w:rPr>
        <w:t>的项目共计</w:t>
      </w:r>
      <w:r>
        <w:rPr>
          <w:rFonts w:hint="default" w:eastAsia="仿宋_GB2312" w:cs="仿宋_GB2312"/>
          <w:sz w:val="32"/>
          <w:szCs w:val="32"/>
          <w:lang w:val="en-US" w:eastAsia="zh-CN"/>
        </w:rPr>
        <w:t xml:space="preserve"> </w:t>
      </w:r>
      <w:r>
        <w:rPr>
          <w:rFonts w:hint="eastAsia" w:eastAsia="仿宋_GB2312" w:cs="仿宋_GB2312"/>
          <w:sz w:val="32"/>
          <w:szCs w:val="32"/>
          <w:lang w:val="en-US" w:eastAsia="zh-CN"/>
        </w:rPr>
        <w:t>2</w:t>
      </w:r>
      <w:r>
        <w:rPr>
          <w:rFonts w:hint="default" w:eastAsia="仿宋_GB2312" w:cs="仿宋_GB2312"/>
          <w:sz w:val="32"/>
          <w:szCs w:val="32"/>
          <w:lang w:val="zh-CN" w:eastAsia="zh-CN"/>
        </w:rPr>
        <w:t>个。</w:t>
      </w:r>
    </w:p>
    <w:p>
      <w:pPr>
        <w:adjustRightInd w:val="0"/>
        <w:snapToGrid w:val="0"/>
        <w:spacing w:line="578" w:lineRule="exact"/>
        <w:ind w:firstLine="640" w:firstLineChars="200"/>
        <w:contextualSpacing/>
        <w:rPr>
          <w:rFonts w:hint="eastAsia" w:eastAsia="仿宋_GB2312" w:cs="仿宋_GB2312"/>
          <w:sz w:val="32"/>
          <w:szCs w:val="32"/>
          <w:lang w:val="zh-CN" w:eastAsia="zh-CN"/>
        </w:rPr>
      </w:pPr>
      <w:r>
        <w:rPr>
          <w:rFonts w:hint="eastAsia" w:eastAsia="仿宋_GB2312" w:cs="仿宋_GB2312"/>
          <w:sz w:val="32"/>
          <w:szCs w:val="32"/>
          <w:lang w:val="en-US" w:eastAsia="zh-CN"/>
        </w:rPr>
        <w:t>1.</w:t>
      </w:r>
      <w:r>
        <w:rPr>
          <w:rFonts w:hint="eastAsia" w:eastAsia="仿宋_GB2312" w:cs="仿宋_GB2312"/>
          <w:sz w:val="32"/>
          <w:szCs w:val="32"/>
          <w:lang w:val="zh-CN"/>
        </w:rPr>
        <w:t>项目决策。项目绩效目标设置按照县委县政府的工作目标,结合我乡实际确定，</w:t>
      </w:r>
      <w:r>
        <w:rPr>
          <w:rFonts w:hint="eastAsia" w:eastAsia="仿宋_GB2312" w:cs="仿宋_GB2312"/>
          <w:sz w:val="32"/>
          <w:szCs w:val="32"/>
          <w:lang w:val="zh-CN" w:eastAsia="zh-CN"/>
        </w:rPr>
        <w:t>科学合理，每一步皆按照程序规范进行。各个项目目标完成、各个项目均已入库。</w:t>
      </w:r>
    </w:p>
    <w:p>
      <w:pPr>
        <w:adjustRightInd w:val="0"/>
        <w:snapToGrid w:val="0"/>
        <w:spacing w:line="578" w:lineRule="exact"/>
        <w:ind w:firstLine="640" w:firstLineChars="200"/>
        <w:contextualSpacing/>
        <w:rPr>
          <w:rFonts w:hint="eastAsia" w:eastAsia="仿宋_GB2312" w:cs="仿宋_GB2312"/>
          <w:sz w:val="32"/>
          <w:szCs w:val="32"/>
          <w:lang w:val="zh-CN"/>
        </w:rPr>
      </w:pPr>
      <w:r>
        <w:rPr>
          <w:rFonts w:hint="eastAsia" w:eastAsia="仿宋_GB2312" w:cs="仿宋_GB2312"/>
          <w:sz w:val="32"/>
          <w:szCs w:val="32"/>
          <w:lang w:val="en-US" w:eastAsia="zh-CN"/>
        </w:rPr>
        <w:t>2.项目执行</w:t>
      </w:r>
      <w:r>
        <w:rPr>
          <w:rFonts w:hint="eastAsia" w:eastAsia="仿宋_GB2312" w:cs="仿宋_GB2312"/>
          <w:sz w:val="32"/>
          <w:szCs w:val="32"/>
          <w:lang w:val="zh-CN"/>
        </w:rPr>
        <w:t>。</w:t>
      </w:r>
      <w:r>
        <w:rPr>
          <w:rFonts w:hint="eastAsia" w:eastAsia="仿宋_GB2312" w:cs="仿宋_GB2312"/>
          <w:sz w:val="32"/>
          <w:szCs w:val="32"/>
          <w:lang w:val="zh-CN" w:eastAsia="zh-CN"/>
        </w:rPr>
        <w:t>按照程文件、合同以及实施方案完成进度，执行结果规范且良好。</w:t>
      </w:r>
    </w:p>
    <w:p>
      <w:pPr>
        <w:adjustRightInd w:val="0"/>
        <w:snapToGrid w:val="0"/>
        <w:spacing w:line="578" w:lineRule="exact"/>
        <w:ind w:firstLine="640" w:firstLineChars="200"/>
        <w:contextualSpacing/>
        <w:rPr>
          <w:rFonts w:hint="eastAsia" w:eastAsia="仿宋_GB2312" w:cs="仿宋_GB2312"/>
          <w:sz w:val="32"/>
          <w:szCs w:val="32"/>
          <w:lang w:val="zh-CN" w:eastAsia="zh-CN"/>
        </w:rPr>
      </w:pPr>
      <w:r>
        <w:rPr>
          <w:rFonts w:hint="eastAsia" w:eastAsia="仿宋_GB2312" w:cs="仿宋_GB2312"/>
          <w:sz w:val="32"/>
          <w:szCs w:val="32"/>
          <w:lang w:val="en-US" w:eastAsia="zh-CN"/>
        </w:rPr>
        <w:t>3.</w:t>
      </w:r>
      <w:r>
        <w:rPr>
          <w:rFonts w:hint="eastAsia" w:eastAsia="仿宋_GB2312" w:cs="仿宋_GB2312"/>
          <w:sz w:val="32"/>
          <w:szCs w:val="32"/>
          <w:lang w:val="zh-CN"/>
        </w:rPr>
        <w:t>目标实现。</w:t>
      </w:r>
      <w:r>
        <w:rPr>
          <w:rFonts w:hint="eastAsia" w:eastAsia="仿宋_GB2312" w:cs="仿宋_GB2312"/>
          <w:sz w:val="32"/>
          <w:szCs w:val="32"/>
          <w:lang w:val="zh-CN" w:eastAsia="zh-CN"/>
        </w:rPr>
        <w:t>有效促进本乡发展，提高群众生活水平，改善村民生活质量，目标完成、实现效果良好。</w:t>
      </w:r>
    </w:p>
    <w:p>
      <w:pPr>
        <w:adjustRightInd w:val="0"/>
        <w:snapToGrid w:val="0"/>
        <w:spacing w:line="578" w:lineRule="exact"/>
        <w:ind w:firstLine="640" w:firstLineChars="200"/>
        <w:contextualSpacing/>
        <w:rPr>
          <w:rFonts w:hint="default" w:eastAsia="仿宋_GB2312" w:cs="仿宋_GB2312"/>
          <w:sz w:val="32"/>
          <w:szCs w:val="32"/>
          <w:lang w:val="en-US" w:eastAsia="zh-CN"/>
        </w:rPr>
      </w:pPr>
      <w:r>
        <w:rPr>
          <w:rFonts w:hint="default" w:eastAsia="仿宋_GB2312" w:cs="仿宋_GB2312"/>
          <w:b/>
          <w:bCs/>
          <w:sz w:val="32"/>
          <w:szCs w:val="32"/>
          <w:lang w:val="zh-CN"/>
        </w:rPr>
        <w:t>（</w:t>
      </w:r>
      <w:r>
        <w:rPr>
          <w:rFonts w:hint="eastAsia" w:eastAsia="仿宋_GB2312" w:cs="仿宋_GB2312"/>
          <w:b/>
          <w:bCs/>
          <w:sz w:val="32"/>
          <w:szCs w:val="32"/>
          <w:lang w:val="zh-CN"/>
        </w:rPr>
        <w:t>三</w:t>
      </w:r>
      <w:r>
        <w:rPr>
          <w:rFonts w:hint="default" w:eastAsia="仿宋_GB2312" w:cs="仿宋_GB2312"/>
          <w:b/>
          <w:bCs/>
          <w:sz w:val="32"/>
          <w:szCs w:val="32"/>
          <w:lang w:val="zh-CN"/>
        </w:rPr>
        <w:t>）</w:t>
      </w:r>
      <w:r>
        <w:rPr>
          <w:rFonts w:hint="default" w:eastAsia="仿宋_GB2312" w:cs="仿宋_GB2312"/>
          <w:b/>
          <w:bCs/>
          <w:sz w:val="32"/>
          <w:szCs w:val="32"/>
          <w:lang w:val="zh-CN" w:eastAsia="zh-CN"/>
        </w:rPr>
        <w:t>重点领域</w:t>
      </w:r>
      <w:r>
        <w:rPr>
          <w:rFonts w:hint="default" w:eastAsia="仿宋_GB2312" w:cs="仿宋_GB2312"/>
          <w:b/>
          <w:bCs/>
          <w:sz w:val="32"/>
          <w:szCs w:val="32"/>
          <w:lang w:val="zh-CN"/>
        </w:rPr>
        <w:t>绩效分析</w:t>
      </w:r>
      <w:r>
        <w:rPr>
          <w:rFonts w:hint="default" w:eastAsia="仿宋_GB2312" w:cs="仿宋_GB2312"/>
          <w:b/>
          <w:bCs/>
          <w:sz w:val="32"/>
          <w:szCs w:val="32"/>
          <w:lang w:val="zh-CN" w:eastAsia="zh-CN"/>
        </w:rPr>
        <w:t>。</w:t>
      </w:r>
      <w:r>
        <w:rPr>
          <w:rFonts w:hint="eastAsia" w:eastAsia="仿宋_GB2312" w:cs="仿宋_GB2312"/>
          <w:sz w:val="32"/>
          <w:szCs w:val="32"/>
          <w:lang w:val="zh-CN"/>
        </w:rPr>
        <w:t>我单位202</w:t>
      </w:r>
      <w:r>
        <w:rPr>
          <w:rFonts w:hint="eastAsia" w:eastAsia="仿宋_GB2312" w:cs="仿宋_GB2312"/>
          <w:sz w:val="32"/>
          <w:szCs w:val="32"/>
          <w:lang w:val="en-US" w:eastAsia="zh-CN"/>
        </w:rPr>
        <w:t>4</w:t>
      </w:r>
      <w:r>
        <w:rPr>
          <w:rFonts w:hint="eastAsia" w:eastAsia="仿宋_GB2312" w:cs="仿宋_GB2312"/>
          <w:sz w:val="32"/>
          <w:szCs w:val="32"/>
          <w:lang w:val="zh-CN"/>
        </w:rPr>
        <w:t>年度不</w:t>
      </w:r>
      <w:r>
        <w:rPr>
          <w:rFonts w:eastAsia="仿宋_GB2312" w:cs="仿宋_GB2312"/>
          <w:sz w:val="32"/>
          <w:szCs w:val="32"/>
          <w:lang w:val="zh-CN"/>
        </w:rPr>
        <w:t>涉及国有资本、行政事业性国有资产、债券资金、政府采购和政府购买服务等重点领域</w:t>
      </w:r>
      <w:r>
        <w:rPr>
          <w:rFonts w:hint="eastAsia" w:eastAsia="仿宋_GB2312" w:cs="仿宋_GB2312"/>
          <w:sz w:val="32"/>
          <w:szCs w:val="32"/>
          <w:lang w:val="zh-CN"/>
        </w:rPr>
        <w:t>。</w:t>
      </w:r>
    </w:p>
    <w:p>
      <w:pPr>
        <w:adjustRightInd w:val="0"/>
        <w:snapToGrid w:val="0"/>
        <w:spacing w:line="578" w:lineRule="exact"/>
        <w:ind w:firstLine="640" w:firstLineChars="200"/>
        <w:contextualSpacing/>
        <w:rPr>
          <w:rFonts w:hint="default" w:eastAsia="仿宋_GB2312" w:cs="仿宋_GB2312"/>
          <w:sz w:val="32"/>
          <w:szCs w:val="32"/>
          <w:lang w:val="zh-CN"/>
        </w:rPr>
      </w:pPr>
      <w:r>
        <w:rPr>
          <w:rFonts w:hint="default" w:eastAsia="仿宋_GB2312" w:cs="仿宋_GB2312"/>
          <w:b/>
          <w:bCs/>
          <w:sz w:val="32"/>
          <w:szCs w:val="32"/>
          <w:lang w:val="zh-CN"/>
        </w:rPr>
        <w:t>（四）绩效结果应用情况</w:t>
      </w:r>
      <w:r>
        <w:rPr>
          <w:rFonts w:hint="eastAsia" w:eastAsia="仿宋_GB2312" w:cs="仿宋_GB2312"/>
          <w:b/>
          <w:bCs/>
          <w:sz w:val="32"/>
          <w:szCs w:val="32"/>
          <w:lang w:val="zh-CN"/>
        </w:rPr>
        <w:t>。</w:t>
      </w:r>
      <w:r>
        <w:rPr>
          <w:rFonts w:hint="eastAsia" w:eastAsia="仿宋_GB2312" w:cs="仿宋_GB2312"/>
          <w:sz w:val="32"/>
          <w:szCs w:val="32"/>
          <w:lang w:val="zh-CN" w:eastAsia="zh-CN"/>
        </w:rPr>
        <w:t>绩效设置与实际相匹配，内部应用情况良好，202</w:t>
      </w:r>
      <w:r>
        <w:rPr>
          <w:rFonts w:hint="eastAsia" w:eastAsia="仿宋_GB2312" w:cs="仿宋_GB2312"/>
          <w:sz w:val="32"/>
          <w:szCs w:val="32"/>
          <w:lang w:val="en-US" w:eastAsia="zh-CN"/>
        </w:rPr>
        <w:t>4</w:t>
      </w:r>
      <w:r>
        <w:rPr>
          <w:rFonts w:hint="eastAsia" w:eastAsia="仿宋_GB2312" w:cs="仿宋_GB2312"/>
          <w:sz w:val="32"/>
          <w:szCs w:val="32"/>
          <w:lang w:val="zh-CN" w:eastAsia="zh-CN"/>
        </w:rPr>
        <w:t>年度我单位未出现超预算、无预算支付情况，且支付进度均按规定</w:t>
      </w:r>
      <w:r>
        <w:rPr>
          <w:rFonts w:hint="eastAsia" w:eastAsia="仿宋_GB2312" w:cs="仿宋_GB2312"/>
          <w:sz w:val="32"/>
          <w:szCs w:val="32"/>
          <w:lang w:val="zh-CN"/>
        </w:rPr>
        <w:t>进行，</w:t>
      </w:r>
      <w:r>
        <w:rPr>
          <w:rFonts w:hint="default" w:eastAsia="仿宋_GB2312" w:cs="仿宋_GB2312"/>
          <w:sz w:val="32"/>
          <w:szCs w:val="32"/>
          <w:lang w:val="zh-CN" w:eastAsia="zh-CN"/>
        </w:rPr>
        <w:t>信息</w:t>
      </w:r>
      <w:r>
        <w:rPr>
          <w:rFonts w:hint="eastAsia" w:eastAsia="仿宋_GB2312" w:cs="仿宋_GB2312"/>
          <w:sz w:val="32"/>
          <w:szCs w:val="32"/>
          <w:lang w:val="zh-CN" w:eastAsia="zh-CN"/>
        </w:rPr>
        <w:t>主动</w:t>
      </w:r>
      <w:r>
        <w:rPr>
          <w:rFonts w:hint="default" w:eastAsia="仿宋_GB2312" w:cs="仿宋_GB2312"/>
          <w:sz w:val="32"/>
          <w:szCs w:val="32"/>
          <w:lang w:val="zh-CN" w:eastAsia="zh-CN"/>
        </w:rPr>
        <w:t>公开</w:t>
      </w:r>
      <w:r>
        <w:rPr>
          <w:rFonts w:hint="eastAsia" w:eastAsia="仿宋_GB2312" w:cs="仿宋_GB2312"/>
          <w:sz w:val="32"/>
          <w:szCs w:val="32"/>
          <w:lang w:val="zh-CN" w:eastAsia="zh-CN"/>
        </w:rPr>
        <w:t>，工作覆盖全面完整，产出和效果是相关联，群众满意度高。</w:t>
      </w:r>
    </w:p>
    <w:p>
      <w:pPr>
        <w:spacing w:line="600" w:lineRule="exact"/>
        <w:ind w:left="630"/>
        <w:outlineLvl w:val="1"/>
        <w:rPr>
          <w:rStyle w:val="29"/>
          <w:rFonts w:hint="default" w:ascii="Times New Roman" w:hAnsi="Times New Roman" w:eastAsia="黑体"/>
          <w:b w:val="0"/>
          <w:lang w:val="zh-CN"/>
        </w:rPr>
      </w:pPr>
      <w:r>
        <w:rPr>
          <w:rStyle w:val="29"/>
          <w:rFonts w:hint="default" w:ascii="Times New Roman" w:hAnsi="Times New Roman" w:eastAsia="黑体"/>
          <w:b w:val="0"/>
          <w:lang w:val="zh-CN" w:eastAsia="zh-CN"/>
        </w:rPr>
        <w:t>四、</w:t>
      </w:r>
      <w:r>
        <w:rPr>
          <w:rStyle w:val="29"/>
          <w:rFonts w:hint="default" w:ascii="Times New Roman" w:hAnsi="Times New Roman" w:eastAsia="黑体"/>
          <w:b w:val="0"/>
          <w:lang w:val="zh-CN"/>
        </w:rPr>
        <w:t>评价结论及建议</w:t>
      </w:r>
    </w:p>
    <w:p>
      <w:pPr>
        <w:adjustRightInd w:val="0"/>
        <w:snapToGrid w:val="0"/>
        <w:spacing w:line="578" w:lineRule="exact"/>
        <w:ind w:firstLine="640" w:firstLineChars="200"/>
        <w:contextualSpacing/>
        <w:rPr>
          <w:rFonts w:hint="default" w:eastAsia="仿宋_GB2312" w:cs="仿宋_GB2312"/>
          <w:sz w:val="32"/>
          <w:szCs w:val="32"/>
          <w:lang w:val="en-US"/>
        </w:rPr>
      </w:pPr>
      <w:r>
        <w:rPr>
          <w:rFonts w:hint="default" w:eastAsia="仿宋_GB2312" w:cs="仿宋_GB2312"/>
          <w:b/>
          <w:bCs/>
          <w:sz w:val="32"/>
          <w:szCs w:val="32"/>
          <w:lang w:val="zh-CN"/>
        </w:rPr>
        <w:t>（一）评价结论。</w:t>
      </w:r>
      <w:r>
        <w:rPr>
          <w:rFonts w:hint="eastAsia" w:eastAsia="仿宋_GB2312" w:cs="仿宋_GB2312"/>
          <w:sz w:val="32"/>
          <w:szCs w:val="32"/>
          <w:lang w:val="zh-CN"/>
        </w:rPr>
        <w:t>通过自评，我</w:t>
      </w:r>
      <w:r>
        <w:rPr>
          <w:rFonts w:hint="eastAsia" w:eastAsia="仿宋_GB2312" w:cs="仿宋_GB2312"/>
          <w:sz w:val="32"/>
          <w:szCs w:val="32"/>
          <w:lang w:val="zh-CN" w:eastAsia="zh-CN"/>
        </w:rPr>
        <w:t>乡</w:t>
      </w:r>
      <w:r>
        <w:rPr>
          <w:rFonts w:hint="eastAsia" w:eastAsia="仿宋_GB2312" w:cs="仿宋_GB2312"/>
          <w:sz w:val="32"/>
          <w:szCs w:val="32"/>
          <w:lang w:val="zh-CN"/>
        </w:rPr>
        <w:t>整体达到对应绩效目标，较圆满完成了202</w:t>
      </w:r>
      <w:r>
        <w:rPr>
          <w:rFonts w:hint="eastAsia" w:eastAsia="仿宋_GB2312" w:cs="仿宋_GB2312"/>
          <w:sz w:val="32"/>
          <w:szCs w:val="32"/>
          <w:lang w:val="en-US" w:eastAsia="zh-CN"/>
        </w:rPr>
        <w:t>4</w:t>
      </w:r>
      <w:r>
        <w:rPr>
          <w:rFonts w:hint="eastAsia" w:eastAsia="仿宋_GB2312" w:cs="仿宋_GB2312"/>
          <w:sz w:val="32"/>
          <w:szCs w:val="32"/>
          <w:lang w:val="zh-CN"/>
        </w:rPr>
        <w:t>年度各项工作任务，</w:t>
      </w:r>
      <w:r>
        <w:rPr>
          <w:rFonts w:hint="eastAsia" w:eastAsia="仿宋_GB2312" w:cs="仿宋_GB2312"/>
          <w:sz w:val="32"/>
          <w:szCs w:val="32"/>
          <w:lang w:val="en-US" w:eastAsia="zh-CN"/>
        </w:rPr>
        <w:t>每个</w:t>
      </w:r>
      <w:r>
        <w:rPr>
          <w:rFonts w:hint="eastAsia" w:eastAsia="仿宋_GB2312" w:cs="仿宋_GB2312"/>
          <w:sz w:val="32"/>
          <w:szCs w:val="32"/>
          <w:lang w:val="zh-CN"/>
        </w:rPr>
        <w:t>项目自评评估总得分</w:t>
      </w:r>
      <w:r>
        <w:rPr>
          <w:rFonts w:hint="eastAsia" w:eastAsia="仿宋_GB2312" w:cs="仿宋_GB2312"/>
          <w:sz w:val="32"/>
          <w:szCs w:val="32"/>
          <w:lang w:val="zh-CN" w:eastAsia="zh-CN"/>
        </w:rPr>
        <w:t>都</w:t>
      </w:r>
      <w:r>
        <w:rPr>
          <w:rFonts w:hint="eastAsia" w:eastAsia="仿宋_GB2312" w:cs="仿宋_GB2312"/>
          <w:sz w:val="32"/>
          <w:szCs w:val="32"/>
          <w:lang w:val="zh-CN"/>
        </w:rPr>
        <w:t>90以上、评估等级优、得分情符合实际情况、预期产出和效果能满足需求及预算安排</w:t>
      </w:r>
      <w:r>
        <w:rPr>
          <w:rFonts w:hint="eastAsia" w:eastAsia="仿宋_GB2312" w:cs="仿宋_GB2312"/>
          <w:sz w:val="32"/>
          <w:szCs w:val="32"/>
          <w:lang w:val="zh-CN" w:eastAsia="zh-CN"/>
        </w:rPr>
        <w:t>。</w:t>
      </w:r>
    </w:p>
    <w:p>
      <w:pPr>
        <w:adjustRightInd w:val="0"/>
        <w:snapToGrid w:val="0"/>
        <w:spacing w:line="578" w:lineRule="exact"/>
        <w:ind w:firstLine="640" w:firstLineChars="200"/>
        <w:contextualSpacing/>
        <w:rPr>
          <w:rFonts w:hint="eastAsia" w:eastAsia="仿宋_GB2312" w:cs="仿宋_GB2312"/>
          <w:sz w:val="32"/>
          <w:szCs w:val="32"/>
          <w:lang w:val="en-US" w:eastAsia="zh-CN"/>
        </w:rPr>
      </w:pPr>
      <w:r>
        <w:rPr>
          <w:rFonts w:hint="default" w:eastAsia="仿宋_GB2312" w:cs="仿宋_GB2312"/>
          <w:b/>
          <w:bCs/>
          <w:sz w:val="32"/>
          <w:szCs w:val="32"/>
          <w:lang w:val="zh-CN"/>
        </w:rPr>
        <w:t>（二）存在问题。</w:t>
      </w:r>
      <w:r>
        <w:rPr>
          <w:rFonts w:hint="eastAsia" w:eastAsia="仿宋_GB2312" w:cs="仿宋_GB2312"/>
          <w:sz w:val="32"/>
          <w:szCs w:val="32"/>
          <w:lang w:val="en-US" w:eastAsia="zh-CN"/>
        </w:rPr>
        <w:t>无。</w:t>
      </w:r>
    </w:p>
    <w:p>
      <w:pPr>
        <w:adjustRightInd w:val="0"/>
        <w:snapToGrid w:val="0"/>
        <w:spacing w:line="578" w:lineRule="exact"/>
        <w:ind w:firstLine="640" w:firstLineChars="200"/>
        <w:contextualSpacing/>
        <w:rPr>
          <w:rFonts w:hint="eastAsia" w:eastAsia="仿宋_GB2312" w:cs="仿宋_GB2312"/>
          <w:sz w:val="32"/>
          <w:szCs w:val="32"/>
          <w:lang w:val="en" w:eastAsia="zh-CN"/>
        </w:rPr>
      </w:pPr>
      <w:r>
        <w:rPr>
          <w:rFonts w:hint="default" w:eastAsia="仿宋_GB2312" w:cs="仿宋_GB2312"/>
          <w:b/>
          <w:bCs/>
          <w:sz w:val="32"/>
          <w:szCs w:val="32"/>
          <w:lang w:val="zh-CN" w:eastAsia="zh-CN"/>
        </w:rPr>
        <w:t>（三）改进建议。</w:t>
      </w:r>
      <w:r>
        <w:rPr>
          <w:rFonts w:hint="eastAsia" w:eastAsia="仿宋_GB2312" w:cs="仿宋_GB2312"/>
          <w:sz w:val="32"/>
          <w:szCs w:val="32"/>
          <w:lang w:val="en-US" w:eastAsia="zh-CN"/>
        </w:rPr>
        <w:t>无。</w:t>
      </w:r>
    </w:p>
    <w:p>
      <w:pPr>
        <w:adjustRightInd w:val="0"/>
        <w:snapToGrid w:val="0"/>
        <w:spacing w:line="578" w:lineRule="exact"/>
        <w:ind w:firstLine="640" w:firstLineChars="200"/>
        <w:contextualSpacing/>
        <w:rPr>
          <w:rFonts w:hint="default" w:eastAsia="仿宋_GB2312" w:cs="仿宋_GB2312"/>
          <w:sz w:val="32"/>
          <w:szCs w:val="32"/>
          <w:lang w:val="zh-CN" w:eastAsia="zh-CN"/>
        </w:rPr>
      </w:pPr>
    </w:p>
    <w:p>
      <w:pPr>
        <w:adjustRightInd w:val="0"/>
        <w:snapToGrid w:val="0"/>
        <w:spacing w:line="578" w:lineRule="exact"/>
        <w:ind w:firstLine="640" w:firstLineChars="200"/>
        <w:contextualSpacing/>
        <w:rPr>
          <w:rFonts w:hint="default" w:eastAsia="仿宋_GB2312" w:cs="仿宋_GB2312"/>
          <w:sz w:val="32"/>
          <w:szCs w:val="32"/>
          <w:lang w:val="en-US" w:eastAsia="zh-CN"/>
        </w:rPr>
      </w:pPr>
    </w:p>
    <w:p>
      <w:pPr>
        <w:adjustRightInd w:val="0"/>
        <w:snapToGrid w:val="0"/>
        <w:spacing w:line="578" w:lineRule="exact"/>
        <w:ind w:firstLine="640" w:firstLineChars="200"/>
        <w:contextualSpacing/>
        <w:rPr>
          <w:rFonts w:hint="default" w:eastAsia="仿宋_GB2312" w:cs="仿宋_GB2312"/>
          <w:sz w:val="32"/>
          <w:szCs w:val="32"/>
          <w:lang w:val="en-US" w:eastAsia="zh-CN"/>
        </w:rPr>
      </w:pPr>
      <w:r>
        <w:rPr>
          <w:rFonts w:hint="eastAsia" w:eastAsia="仿宋_GB2312" w:cs="仿宋_GB2312"/>
          <w:sz w:val="32"/>
          <w:szCs w:val="32"/>
          <w:lang w:val="en-US" w:eastAsia="zh-CN"/>
        </w:rPr>
        <w:t>附表：</w:t>
      </w:r>
      <w:r>
        <w:rPr>
          <w:rFonts w:hint="default" w:eastAsia="仿宋_GB2312" w:cs="仿宋_GB2312"/>
          <w:sz w:val="32"/>
          <w:szCs w:val="32"/>
          <w:lang w:val="en-US" w:eastAsia="zh-CN"/>
        </w:rPr>
        <w:t>部门整体支出绩效目标完成情况自评表</w:t>
      </w:r>
      <w:r>
        <w:rPr>
          <w:rFonts w:hint="default" w:eastAsia="仿宋_GB2312" w:cs="仿宋_GB2312"/>
          <w:sz w:val="32"/>
          <w:szCs w:val="32"/>
          <w:lang w:val="en-US" w:eastAsia="zh-CN"/>
        </w:rPr>
        <w:br w:type="page"/>
      </w:r>
      <w:r>
        <w:rPr>
          <w:rFonts w:hint="eastAsia" w:eastAsia="仿宋_GB2312" w:cs="仿宋_GB2312"/>
          <w:sz w:val="32"/>
          <w:szCs w:val="32"/>
          <w:lang w:val="en-US" w:eastAsia="zh-CN"/>
        </w:rPr>
        <w:t>附表</w:t>
      </w:r>
    </w:p>
    <w:tbl>
      <w:tblPr>
        <w:tblStyle w:val="18"/>
        <w:tblW w:w="10560" w:type="dxa"/>
        <w:jc w:val="center"/>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1309"/>
        <w:gridCol w:w="1347"/>
        <w:gridCol w:w="1273"/>
        <w:gridCol w:w="1100"/>
        <w:gridCol w:w="1144"/>
        <w:gridCol w:w="1290"/>
        <w:gridCol w:w="1058"/>
        <w:gridCol w:w="926"/>
        <w:gridCol w:w="111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762" w:hRule="exact"/>
          <w:jc w:val="center"/>
        </w:trPr>
        <w:tc>
          <w:tcPr>
            <w:tcW w:w="10560" w:type="dxa"/>
            <w:gridSpan w:val="9"/>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600" w:lineRule="exact"/>
              <w:jc w:val="center"/>
              <w:textAlignment w:val="center"/>
              <w:outlineLvl w:val="9"/>
              <w:rPr>
                <w:rFonts w:hint="default" w:ascii="Times New Roman" w:hAnsi="Times New Roman" w:eastAsia="黑体" w:cs="Times New Roman"/>
                <w:i w:val="0"/>
                <w:color w:val="000000"/>
                <w:sz w:val="28"/>
                <w:szCs w:val="28"/>
                <w:u w:val="none"/>
              </w:rPr>
            </w:pPr>
            <w:r>
              <w:rPr>
                <w:rFonts w:hint="default" w:ascii="Times New Roman" w:hAnsi="Times New Roman" w:eastAsia="方正小标宋简体" w:cs="Times New Roman"/>
                <w:i w:val="0"/>
                <w:color w:val="000000"/>
                <w:kern w:val="0"/>
                <w:sz w:val="44"/>
                <w:szCs w:val="44"/>
                <w:u w:val="none"/>
                <w:lang w:val="en-US" w:eastAsia="zh-CN" w:bidi="ar"/>
              </w:rPr>
              <w:t>部门整体支出绩效目标完成情况自评表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3" w:hRule="atLeast"/>
          <w:jc w:val="center"/>
        </w:trPr>
        <w:tc>
          <w:tcPr>
            <w:tcW w:w="10560" w:type="dxa"/>
            <w:gridSpan w:val="9"/>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8"/>
                <w:szCs w:val="28"/>
                <w:u w:val="none"/>
              </w:rPr>
            </w:pPr>
            <w:r>
              <w:rPr>
                <w:rFonts w:hint="default" w:ascii="Times New Roman" w:hAnsi="Times New Roman" w:eastAsia="宋体" w:cs="Times New Roman"/>
                <w:i w:val="0"/>
                <w:color w:val="000000"/>
                <w:kern w:val="0"/>
                <w:sz w:val="28"/>
                <w:szCs w:val="28"/>
                <w:u w:val="none"/>
                <w:lang w:val="en-US" w:eastAsia="zh-CN" w:bidi="ar"/>
              </w:rPr>
              <w:t>（202</w:t>
            </w:r>
            <w:r>
              <w:rPr>
                <w:rFonts w:hint="eastAsia" w:eastAsia="宋体" w:cs="Times New Roman"/>
                <w:i w:val="0"/>
                <w:color w:val="000000"/>
                <w:kern w:val="0"/>
                <w:sz w:val="28"/>
                <w:szCs w:val="28"/>
                <w:u w:val="none"/>
                <w:lang w:val="en-US" w:eastAsia="zh-CN" w:bidi="ar"/>
              </w:rPr>
              <w:t>4</w:t>
            </w:r>
            <w:r>
              <w:rPr>
                <w:rFonts w:hint="default" w:ascii="Times New Roman" w:hAnsi="Times New Roman" w:eastAsia="宋体" w:cs="Times New Roman"/>
                <w:i w:val="0"/>
                <w:color w:val="000000"/>
                <w:kern w:val="0"/>
                <w:sz w:val="28"/>
                <w:szCs w:val="28"/>
                <w:u w:val="none"/>
                <w:lang w:val="en-US" w:eastAsia="zh-CN" w:bidi="ar"/>
              </w:rPr>
              <w:t>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3" w:hRule="atLeast"/>
          <w:jc w:val="center"/>
        </w:trPr>
        <w:tc>
          <w:tcPr>
            <w:tcW w:w="10560" w:type="dxa"/>
            <w:gridSpan w:val="9"/>
            <w:tcBorders>
              <w:bottom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right"/>
              <w:textAlignment w:val="center"/>
              <w:outlineLvl w:val="9"/>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3" w:hRule="atLeast"/>
          <w:jc w:val="center"/>
        </w:trPr>
        <w:tc>
          <w:tcPr>
            <w:tcW w:w="392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部门名称</w:t>
            </w:r>
          </w:p>
        </w:tc>
        <w:tc>
          <w:tcPr>
            <w:tcW w:w="663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eastAsia" w:eastAsia="宋体" w:cs="Times New Roman"/>
                <w:i w:val="0"/>
                <w:color w:val="000000"/>
                <w:kern w:val="0"/>
                <w:sz w:val="24"/>
                <w:szCs w:val="24"/>
                <w:u w:val="none"/>
                <w:lang w:val="en-US" w:eastAsia="zh-CN" w:bidi="ar"/>
              </w:rPr>
              <w:t>九寨沟县永和乡人民政府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3" w:hRule="atLeast"/>
          <w:jc w:val="center"/>
        </w:trPr>
        <w:tc>
          <w:tcPr>
            <w:tcW w:w="130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年度部门整体支出预算</w:t>
            </w: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资金总额</w:t>
            </w:r>
          </w:p>
        </w:tc>
        <w:tc>
          <w:tcPr>
            <w:tcW w:w="224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财政拨款</w:t>
            </w:r>
          </w:p>
        </w:tc>
        <w:tc>
          <w:tcPr>
            <w:tcW w:w="438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其他资金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3" w:hRule="atLeast"/>
          <w:jc w:val="center"/>
        </w:trPr>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eastAsia" w:cs="Times New Roman"/>
                <w:szCs w:val="32"/>
                <w:lang w:val="en-US" w:eastAsia="zh-CN"/>
              </w:rPr>
              <w:t>1611.05</w:t>
            </w:r>
          </w:p>
        </w:tc>
        <w:tc>
          <w:tcPr>
            <w:tcW w:w="224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eastAsia" w:cs="Times New Roman"/>
                <w:szCs w:val="32"/>
                <w:lang w:val="en-US" w:eastAsia="zh-CN"/>
              </w:rPr>
              <w:t>1611.05</w:t>
            </w:r>
          </w:p>
        </w:tc>
        <w:tc>
          <w:tcPr>
            <w:tcW w:w="438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eastAsia" w:cs="Times New Roman"/>
                <w:szCs w:val="32"/>
                <w:lang w:val="en-US" w:eastAsia="zh-CN"/>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3" w:hRule="atLeast"/>
          <w:jc w:val="center"/>
        </w:trPr>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年度总体</w:t>
            </w: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目标</w:t>
            </w:r>
          </w:p>
        </w:tc>
        <w:tc>
          <w:tcPr>
            <w:tcW w:w="9251"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在补上乡村振兴基础设施短板、务实农业生产能力建设、持续改善农村人居环境、推动休闲农业和乡村旅游配套设施提档升级、丰富乡村文化生活中寻找切入点，采取村民自建方式因地制宜实施项目，在巩固脱贫攻坚成果、做好脱贫攻坚与实施乡村振兴战略有效衔接中发挥重要作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3" w:hRule="atLeast"/>
          <w:jc w:val="center"/>
        </w:trPr>
        <w:tc>
          <w:tcPr>
            <w:tcW w:w="130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年度主要</w:t>
            </w: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任务</w:t>
            </w: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任务名称</w:t>
            </w:r>
          </w:p>
        </w:tc>
        <w:tc>
          <w:tcPr>
            <w:tcW w:w="663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主要内容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3" w:hRule="atLeast"/>
          <w:jc w:val="center"/>
        </w:trPr>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default" w:ascii="Times New Roman" w:hAnsi="Times New Roman" w:eastAsia="宋体" w:cs="Times New Roman"/>
                <w:i w:val="0"/>
                <w:color w:val="000000"/>
                <w:sz w:val="24"/>
                <w:szCs w:val="24"/>
                <w:u w:val="none"/>
              </w:rPr>
            </w:pPr>
            <w:r>
              <w:rPr>
                <w:rFonts w:hint="eastAsia" w:eastAsia="宋体"/>
                <w:color w:val="000000"/>
                <w:kern w:val="0"/>
                <w:sz w:val="21"/>
              </w:rPr>
              <w:t>保障人员经费与后勤保障</w:t>
            </w:r>
          </w:p>
        </w:tc>
        <w:tc>
          <w:tcPr>
            <w:tcW w:w="663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default" w:ascii="Times New Roman" w:hAnsi="Times New Roman" w:eastAsia="宋体" w:cs="Times New Roman"/>
                <w:i w:val="0"/>
                <w:color w:val="000000"/>
                <w:sz w:val="24"/>
                <w:szCs w:val="24"/>
                <w:u w:val="none"/>
              </w:rPr>
            </w:pPr>
            <w:r>
              <w:rPr>
                <w:rFonts w:hint="eastAsia" w:eastAsia="宋体"/>
                <w:color w:val="000000"/>
                <w:kern w:val="0"/>
                <w:sz w:val="21"/>
              </w:rPr>
              <w:t>按时发放工资、缴纳保险，合理安排做好人员后勤</w:t>
            </w:r>
            <w:r>
              <w:rPr>
                <w:rFonts w:hint="eastAsia" w:eastAsia="宋体"/>
                <w:color w:val="000000"/>
                <w:kern w:val="0"/>
                <w:sz w:val="21"/>
                <w:lang w:eastAsia="zh-CN"/>
              </w:rPr>
              <w:t>保障</w:t>
            </w:r>
            <w:r>
              <w:rPr>
                <w:rFonts w:hint="eastAsia" w:eastAsia="宋体"/>
                <w:color w:val="000000"/>
                <w:kern w:val="0"/>
                <w:sz w:val="21"/>
              </w:rPr>
              <w:t>工作。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3" w:hRule="atLeast"/>
          <w:jc w:val="center"/>
        </w:trPr>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24"/>
                <w:szCs w:val="24"/>
                <w:u w:val="none"/>
              </w:rPr>
            </w:pPr>
            <w:r>
              <w:rPr>
                <w:rFonts w:hint="default" w:eastAsia="宋体"/>
                <w:color w:val="000000"/>
                <w:kern w:val="0"/>
                <w:sz w:val="21"/>
                <w:lang w:val="en-US" w:eastAsia="zh-CN"/>
              </w:rPr>
              <w:t>改善农村人居环境</w:t>
            </w:r>
            <w:r>
              <w:rPr>
                <w:rFonts w:hint="eastAsia" w:eastAsia="宋体"/>
                <w:color w:val="000000"/>
                <w:kern w:val="0"/>
                <w:sz w:val="21"/>
                <w:lang w:val="en-US" w:eastAsia="zh-CN"/>
              </w:rPr>
              <w:t>，</w:t>
            </w:r>
            <w:r>
              <w:rPr>
                <w:rFonts w:hint="default" w:eastAsia="宋体"/>
                <w:color w:val="000000"/>
                <w:kern w:val="0"/>
                <w:sz w:val="21"/>
                <w:lang w:val="en-US" w:eastAsia="zh-CN"/>
              </w:rPr>
              <w:t>补乡村振兴基础设施短板</w:t>
            </w:r>
          </w:p>
        </w:tc>
        <w:tc>
          <w:tcPr>
            <w:tcW w:w="663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24"/>
                <w:szCs w:val="24"/>
                <w:u w:val="none"/>
              </w:rPr>
            </w:pPr>
            <w:r>
              <w:rPr>
                <w:rFonts w:hint="eastAsia" w:eastAsia="宋体"/>
                <w:color w:val="000000"/>
                <w:kern w:val="0"/>
                <w:sz w:val="21"/>
                <w:lang w:val="zh-CN"/>
              </w:rPr>
              <w:t>完善乡村内基础设施建设，为办公人员提供良好工作环境，为村民提供宜居宜业的生活条件。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3" w:hRule="atLeast"/>
          <w:jc w:val="center"/>
        </w:trPr>
        <w:tc>
          <w:tcPr>
            <w:tcW w:w="130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年度绩效</w:t>
            </w: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指标</w:t>
            </w: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一级指标</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二级指标</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三级指标</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绩效指标</w:t>
            </w: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性质</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绩效指标值</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绩效度量单位</w:t>
            </w:r>
          </w:p>
        </w:tc>
        <w:tc>
          <w:tcPr>
            <w:tcW w:w="926" w:type="dxa"/>
            <w:tcBorders>
              <w:top w:val="single" w:color="000000" w:sz="4" w:space="0"/>
              <w:left w:val="single" w:color="000000" w:sz="4" w:space="0"/>
              <w:bottom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权重</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实际完成</w:t>
            </w: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指标值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60" w:hRule="atLeast"/>
          <w:jc w:val="center"/>
        </w:trPr>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134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产出指标</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数量指标</w:t>
            </w:r>
          </w:p>
        </w:tc>
        <w:tc>
          <w:tcPr>
            <w:tcW w:w="1100" w:type="dxa"/>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default" w:ascii="Times New Roman" w:hAnsi="Times New Roman" w:eastAsia="宋体" w:cs="Times New Roman"/>
                <w:i w:val="0"/>
                <w:color w:val="000000"/>
                <w:sz w:val="24"/>
                <w:szCs w:val="24"/>
                <w:u w:val="none"/>
              </w:rPr>
            </w:pPr>
            <w:r>
              <w:rPr>
                <w:rFonts w:hint="eastAsia" w:eastAsia="宋体" w:cs="Times New Roman"/>
                <w:i w:val="0"/>
                <w:color w:val="000000"/>
                <w:kern w:val="0"/>
                <w:sz w:val="24"/>
                <w:szCs w:val="24"/>
                <w:u w:val="none"/>
                <w:lang w:val="en-US" w:eastAsia="zh-CN" w:bidi="ar"/>
              </w:rPr>
              <w:t>完成项目建设设施</w:t>
            </w:r>
          </w:p>
        </w:tc>
        <w:tc>
          <w:tcPr>
            <w:tcW w:w="1144" w:type="dxa"/>
            <w:tcBorders>
              <w:top w:val="single" w:color="000000" w:sz="4" w:space="0"/>
              <w:left w:val="single" w:color="000000" w:sz="4" w:space="0"/>
              <w:right w:val="single" w:color="000000" w:sz="4" w:space="0"/>
            </w:tcBorders>
            <w:shd w:val="clear" w:color="auto" w:fill="auto"/>
            <w:vAlign w:val="center"/>
          </w:tcPr>
          <w:p>
            <w:pPr>
              <w:widowControl/>
              <w:spacing w:line="300" w:lineRule="exact"/>
              <w:jc w:val="left"/>
              <w:textAlignment w:val="center"/>
              <w:rPr>
                <w:rFonts w:hint="default" w:ascii="Times New Roman" w:hAnsi="Times New Roman" w:eastAsia="宋体" w:cs="Times New Roman"/>
                <w:i w:val="0"/>
                <w:color w:val="000000"/>
                <w:sz w:val="24"/>
                <w:szCs w:val="24"/>
                <w:u w:val="none"/>
              </w:rPr>
            </w:pPr>
            <w:r>
              <w:rPr>
                <w:rFonts w:hint="eastAsia" w:eastAsia="宋体"/>
                <w:color w:val="000000"/>
                <w:sz w:val="24"/>
              </w:rPr>
              <w:t>≧</w:t>
            </w:r>
          </w:p>
        </w:tc>
        <w:tc>
          <w:tcPr>
            <w:tcW w:w="1290" w:type="dxa"/>
            <w:tcBorders>
              <w:top w:val="single" w:color="000000" w:sz="4" w:space="0"/>
              <w:left w:val="single" w:color="000000" w:sz="4" w:space="0"/>
              <w:right w:val="single" w:color="000000" w:sz="4" w:space="0"/>
            </w:tcBorders>
            <w:shd w:val="clear" w:color="auto" w:fill="auto"/>
            <w:vAlign w:val="center"/>
          </w:tcPr>
          <w:p>
            <w:pPr>
              <w:widowControl/>
              <w:spacing w:line="300" w:lineRule="exact"/>
              <w:jc w:val="left"/>
              <w:textAlignment w:val="center"/>
              <w:rPr>
                <w:rFonts w:hint="default" w:ascii="Times New Roman" w:hAnsi="Times New Roman" w:eastAsia="宋体" w:cs="Times New Roman"/>
                <w:i w:val="0"/>
                <w:color w:val="000000"/>
                <w:sz w:val="24"/>
                <w:szCs w:val="24"/>
                <w:u w:val="none"/>
              </w:rPr>
            </w:pPr>
            <w:r>
              <w:rPr>
                <w:rFonts w:hint="eastAsia" w:eastAsia="宋体"/>
                <w:color w:val="000000"/>
                <w:kern w:val="0"/>
                <w:sz w:val="24"/>
              </w:rPr>
              <w:t>10</w:t>
            </w:r>
            <w:r>
              <w:rPr>
                <w:rFonts w:hint="eastAsia" w:eastAsia="宋体"/>
                <w:color w:val="000000"/>
                <w:kern w:val="0"/>
                <w:sz w:val="24"/>
                <w:lang w:val="en-US" w:eastAsia="zh-CN"/>
              </w:rPr>
              <w:t>0</w:t>
            </w:r>
          </w:p>
        </w:tc>
        <w:tc>
          <w:tcPr>
            <w:tcW w:w="1058" w:type="dxa"/>
            <w:tcBorders>
              <w:top w:val="single" w:color="000000" w:sz="4" w:space="0"/>
              <w:left w:val="single" w:color="000000" w:sz="4" w:space="0"/>
              <w:right w:val="single" w:color="000000" w:sz="4" w:space="0"/>
            </w:tcBorders>
            <w:shd w:val="clear" w:color="auto" w:fill="auto"/>
            <w:vAlign w:val="center"/>
          </w:tcPr>
          <w:p>
            <w:pPr>
              <w:widowControl/>
              <w:spacing w:line="300" w:lineRule="exact"/>
              <w:jc w:val="left"/>
              <w:textAlignment w:val="center"/>
              <w:rPr>
                <w:rFonts w:hint="default" w:ascii="Times New Roman" w:hAnsi="Times New Roman" w:eastAsia="宋体" w:cs="Times New Roman"/>
                <w:i w:val="0"/>
                <w:color w:val="000000"/>
                <w:sz w:val="24"/>
                <w:szCs w:val="24"/>
                <w:u w:val="none"/>
              </w:rPr>
            </w:pPr>
            <w:r>
              <w:rPr>
                <w:rFonts w:hint="eastAsia" w:eastAsia="宋体"/>
                <w:color w:val="000000"/>
                <w:kern w:val="0"/>
                <w:sz w:val="24"/>
              </w:rPr>
              <w:t>%</w:t>
            </w:r>
          </w:p>
        </w:tc>
        <w:tc>
          <w:tcPr>
            <w:tcW w:w="926" w:type="dxa"/>
            <w:tcBorders>
              <w:top w:val="single" w:color="000000" w:sz="4" w:space="0"/>
              <w:left w:val="single" w:color="000000" w:sz="4" w:space="0"/>
              <w:right w:val="single" w:color="000000" w:sz="4" w:space="0"/>
            </w:tcBorders>
            <w:shd w:val="clear" w:color="auto" w:fill="auto"/>
            <w:vAlign w:val="center"/>
          </w:tcPr>
          <w:p>
            <w:pPr>
              <w:widowControl/>
              <w:spacing w:line="300" w:lineRule="exact"/>
              <w:jc w:val="left"/>
              <w:textAlignment w:val="center"/>
              <w:rPr>
                <w:rFonts w:hint="default" w:ascii="Times New Roman" w:hAnsi="Times New Roman" w:eastAsia="宋体" w:cs="Times New Roman"/>
                <w:i w:val="0"/>
                <w:color w:val="000000"/>
                <w:sz w:val="24"/>
                <w:szCs w:val="24"/>
                <w:u w:val="none"/>
              </w:rPr>
            </w:pPr>
            <w:r>
              <w:rPr>
                <w:rFonts w:hint="eastAsia" w:eastAsia="宋体"/>
                <w:color w:val="000000"/>
                <w:kern w:val="0"/>
                <w:sz w:val="24"/>
              </w:rPr>
              <w:t>20</w:t>
            </w:r>
          </w:p>
        </w:tc>
        <w:tc>
          <w:tcPr>
            <w:tcW w:w="1113" w:type="dxa"/>
            <w:tcBorders>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hint="default" w:ascii="Times New Roman" w:hAnsi="Times New Roman" w:eastAsia="宋体" w:cs="Times New Roman"/>
                <w:i w:val="0"/>
                <w:color w:val="000000"/>
                <w:sz w:val="24"/>
                <w:szCs w:val="24"/>
                <w:u w:val="none"/>
              </w:rPr>
            </w:pPr>
            <w:r>
              <w:rPr>
                <w:rFonts w:hint="eastAsia" w:eastAsia="宋体"/>
                <w:color w:val="000000"/>
                <w:sz w:val="24"/>
              </w:rPr>
              <w:t>10</w:t>
            </w:r>
            <w:r>
              <w:rPr>
                <w:rFonts w:hint="eastAsia" w:eastAsia="宋体"/>
                <w:color w:val="000000"/>
                <w:sz w:val="24"/>
                <w:lang w:val="en-US" w:eastAsia="zh-CN"/>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3" w:hRule="atLeast"/>
          <w:jc w:val="center"/>
        </w:trPr>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13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质量指标</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24"/>
                <w:szCs w:val="24"/>
                <w:u w:val="none"/>
              </w:rPr>
            </w:pPr>
            <w:r>
              <w:rPr>
                <w:rFonts w:hint="eastAsia" w:eastAsia="宋体" w:cs="Times New Roman"/>
                <w:i w:val="0"/>
                <w:color w:val="000000"/>
                <w:kern w:val="0"/>
                <w:sz w:val="24"/>
                <w:szCs w:val="24"/>
                <w:u w:val="none"/>
                <w:lang w:val="en-US" w:eastAsia="zh-CN" w:bidi="ar"/>
              </w:rPr>
              <w:t>项目建设竣工验收合格率</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24"/>
                <w:szCs w:val="24"/>
                <w:u w:val="none"/>
              </w:rPr>
            </w:pPr>
            <w:r>
              <w:rPr>
                <w:rFonts w:hint="eastAsia" w:eastAsia="宋体"/>
                <w:color w:val="000000"/>
                <w:sz w:val="24"/>
              </w:rPr>
              <w:t>≧</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hint="eastAsia"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100</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24"/>
                <w:szCs w:val="24"/>
                <w:u w:val="none"/>
              </w:rPr>
            </w:pPr>
            <w:r>
              <w:rPr>
                <w:rFonts w:hint="eastAsia" w:eastAsia="宋体"/>
                <w:color w:val="000000"/>
                <w:kern w:val="0"/>
                <w:sz w:val="24"/>
              </w:rPr>
              <w:t>%</w:t>
            </w: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hint="eastAsia"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20</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hint="eastAsia"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3" w:hRule="atLeast"/>
          <w:jc w:val="center"/>
        </w:trPr>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13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时效指标</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24"/>
                <w:szCs w:val="24"/>
                <w:u w:val="none"/>
              </w:rPr>
            </w:pPr>
            <w:r>
              <w:rPr>
                <w:rFonts w:hint="eastAsia" w:eastAsia="宋体" w:cs="Times New Roman"/>
                <w:i w:val="0"/>
                <w:color w:val="000000"/>
                <w:kern w:val="0"/>
                <w:sz w:val="24"/>
                <w:szCs w:val="24"/>
                <w:u w:val="none"/>
                <w:lang w:val="en-US" w:eastAsia="zh-CN" w:bidi="ar"/>
              </w:rPr>
              <w:t>项目建设按时完工</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24"/>
                <w:szCs w:val="24"/>
                <w:u w:val="none"/>
              </w:rPr>
            </w:pPr>
            <w:r>
              <w:rPr>
                <w:rFonts w:hint="eastAsia" w:eastAsia="宋体"/>
                <w:color w:val="000000"/>
                <w:sz w:val="24"/>
              </w:rPr>
              <w:t>≧</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hint="eastAsia"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100</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24"/>
                <w:szCs w:val="24"/>
                <w:u w:val="none"/>
              </w:rPr>
            </w:pPr>
            <w:r>
              <w:rPr>
                <w:rFonts w:hint="eastAsia" w:eastAsia="宋体"/>
                <w:color w:val="000000"/>
                <w:kern w:val="0"/>
                <w:sz w:val="24"/>
              </w:rPr>
              <w:t>%</w:t>
            </w: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hint="eastAsia"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20</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hint="eastAsia"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220" w:hRule="atLeast"/>
          <w:jc w:val="center"/>
        </w:trPr>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效益指标</w:t>
            </w:r>
          </w:p>
        </w:tc>
        <w:tc>
          <w:tcPr>
            <w:tcW w:w="1273" w:type="dxa"/>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社会效益</w:t>
            </w: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指标</w:t>
            </w:r>
          </w:p>
        </w:tc>
        <w:tc>
          <w:tcPr>
            <w:tcW w:w="1100" w:type="dxa"/>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hint="eastAsia" w:ascii="Times New Roman" w:hAnsi="Times New Roman" w:eastAsia="宋体" w:cs="Times New Roman"/>
                <w:i w:val="0"/>
                <w:color w:val="000000"/>
                <w:sz w:val="24"/>
                <w:szCs w:val="24"/>
                <w:u w:val="none"/>
                <w:lang w:eastAsia="zh-CN"/>
              </w:rPr>
            </w:pPr>
            <w:r>
              <w:rPr>
                <w:rFonts w:hint="eastAsia" w:eastAsia="宋体" w:cs="Times New Roman"/>
                <w:i w:val="0"/>
                <w:color w:val="000000"/>
                <w:sz w:val="24"/>
                <w:szCs w:val="24"/>
                <w:u w:val="none"/>
                <w:lang w:eastAsia="zh-CN"/>
              </w:rPr>
              <w:t>该项目让全乡</w:t>
            </w:r>
            <w:r>
              <w:rPr>
                <w:rFonts w:hint="eastAsia" w:eastAsia="宋体" w:cs="Times New Roman"/>
                <w:i w:val="0"/>
                <w:color w:val="000000"/>
                <w:sz w:val="24"/>
                <w:szCs w:val="24"/>
                <w:u w:val="none"/>
                <w:lang w:val="en-US" w:eastAsia="zh-CN"/>
              </w:rPr>
              <w:t>3711民群众</w:t>
            </w:r>
            <w:r>
              <w:rPr>
                <w:rFonts w:hint="eastAsia" w:eastAsia="宋体" w:cs="Times New Roman"/>
                <w:i w:val="0"/>
                <w:color w:val="000000"/>
                <w:sz w:val="24"/>
                <w:szCs w:val="24"/>
                <w:u w:val="none"/>
                <w:lang w:eastAsia="zh-CN"/>
              </w:rPr>
              <w:t>受益</w:t>
            </w:r>
          </w:p>
        </w:tc>
        <w:tc>
          <w:tcPr>
            <w:tcW w:w="1144" w:type="dxa"/>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hint="eastAsia" w:ascii="Times New Roman" w:hAnsi="Times New Roman" w:eastAsia="宋体" w:cs="Times New Roman"/>
                <w:i w:val="0"/>
                <w:color w:val="000000"/>
                <w:sz w:val="24"/>
                <w:szCs w:val="24"/>
                <w:u w:val="none"/>
                <w:lang w:eastAsia="zh-CN"/>
              </w:rPr>
            </w:pPr>
            <w:r>
              <w:rPr>
                <w:rFonts w:hint="eastAsia" w:eastAsia="宋体"/>
                <w:color w:val="000000"/>
                <w:sz w:val="24"/>
                <w:lang w:eastAsia="zh-CN"/>
              </w:rPr>
              <w:t>定性</w:t>
            </w:r>
          </w:p>
        </w:tc>
        <w:tc>
          <w:tcPr>
            <w:tcW w:w="1290" w:type="dxa"/>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hint="eastAsia" w:ascii="Times New Roman" w:hAnsi="Times New Roman" w:eastAsia="宋体" w:cs="Times New Roman"/>
                <w:i w:val="0"/>
                <w:color w:val="000000"/>
                <w:sz w:val="24"/>
                <w:szCs w:val="24"/>
                <w:u w:val="none"/>
                <w:lang w:eastAsia="zh-CN"/>
              </w:rPr>
            </w:pPr>
            <w:r>
              <w:rPr>
                <w:rFonts w:hint="eastAsia" w:eastAsia="宋体" w:cs="Times New Roman"/>
                <w:i w:val="0"/>
                <w:color w:val="000000"/>
                <w:sz w:val="24"/>
                <w:szCs w:val="24"/>
                <w:u w:val="none"/>
                <w:lang w:eastAsia="zh-CN"/>
              </w:rPr>
              <w:t>高</w:t>
            </w:r>
          </w:p>
        </w:tc>
        <w:tc>
          <w:tcPr>
            <w:tcW w:w="1058" w:type="dxa"/>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24"/>
                <w:szCs w:val="24"/>
                <w:u w:val="none"/>
              </w:rPr>
            </w:pPr>
          </w:p>
        </w:tc>
        <w:tc>
          <w:tcPr>
            <w:tcW w:w="926" w:type="dxa"/>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hint="eastAsia"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20</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3" w:hRule="atLeast"/>
          <w:jc w:val="center"/>
        </w:trPr>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满意度指标</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满意度指标</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24"/>
                <w:szCs w:val="24"/>
                <w:u w:val="none"/>
              </w:rPr>
            </w:pPr>
            <w:r>
              <w:rPr>
                <w:rFonts w:hint="eastAsia" w:eastAsia="宋体"/>
                <w:color w:val="000000"/>
                <w:sz w:val="24"/>
              </w:rPr>
              <w:t>群众满意度</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24"/>
                <w:szCs w:val="24"/>
                <w:u w:val="none"/>
              </w:rPr>
            </w:pPr>
            <w:r>
              <w:rPr>
                <w:rFonts w:hint="eastAsia" w:eastAsia="宋体"/>
                <w:color w:val="000000"/>
                <w:sz w:val="24"/>
              </w:rPr>
              <w:t>≧</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hint="eastAsia"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93</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24"/>
                <w:szCs w:val="24"/>
                <w:u w:val="none"/>
              </w:rPr>
            </w:pPr>
            <w:r>
              <w:rPr>
                <w:rFonts w:hint="eastAsia" w:eastAsia="宋体"/>
                <w:color w:val="000000"/>
                <w:kern w:val="0"/>
                <w:sz w:val="24"/>
              </w:rPr>
              <w:t>%</w:t>
            </w: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hint="eastAsia"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10</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hint="eastAsia"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98</w:t>
            </w:r>
          </w:p>
        </w:tc>
      </w:tr>
    </w:tbl>
    <w:p>
      <w:pPr>
        <w:pStyle w:val="2"/>
        <w:ind w:left="0" w:leftChars="0" w:firstLine="0" w:firstLineChars="0"/>
        <w:rPr>
          <w:rFonts w:hint="default" w:ascii="Times New Roman" w:hAnsi="Times New Roman" w:eastAsia="黑体" w:cs="Times New Roman"/>
          <w:sz w:val="24"/>
          <w:szCs w:val="24"/>
          <w:highlight w:val="none"/>
          <w:lang w:val="en-US" w:eastAsia="zh-CN"/>
        </w:rPr>
      </w:pPr>
    </w:p>
    <w:p>
      <w:pPr>
        <w:pStyle w:val="2"/>
        <w:spacing w:line="560" w:lineRule="exact"/>
        <w:ind w:left="0" w:leftChars="0" w:firstLine="0" w:firstLineChars="0"/>
        <w:rPr>
          <w:rFonts w:ascii="Times New Roman"/>
          <w:sz w:val="32"/>
          <w:highlight w:val="yellow"/>
          <w:lang w:val="zh-CN"/>
        </w:rPr>
      </w:pPr>
    </w:p>
    <w:p>
      <w:pPr>
        <w:pStyle w:val="7"/>
        <w:spacing w:before="93"/>
        <w:rPr>
          <w:rFonts w:ascii="Times New Roman" w:cs="宋体"/>
          <w:color w:val="FF0000"/>
          <w:sz w:val="32"/>
          <w:szCs w:val="32"/>
          <w:highlight w:val="yellow"/>
          <w:shd w:val="clear" w:color="auto" w:fill="FFFFFF"/>
          <w:lang w:val="zh-CN"/>
        </w:rPr>
      </w:pPr>
    </w:p>
    <w:p>
      <w:pPr>
        <w:rPr>
          <w:lang w:val="zh-CN"/>
        </w:rPr>
      </w:pPr>
      <w:r>
        <w:rPr>
          <w:rFonts w:hint="eastAsia" w:eastAsia="黑体" w:cs="黑体"/>
          <w:kern w:val="0"/>
          <w:sz w:val="32"/>
          <w:szCs w:val="32"/>
          <w:shd w:val="clear" w:color="auto" w:fill="FFFFFF"/>
          <w:lang w:val="zh-CN"/>
        </w:rPr>
        <w:br w:type="page"/>
      </w:r>
      <w:bookmarkStart w:id="50" w:name="_Toc15396618"/>
    </w:p>
    <w:p>
      <w:pPr>
        <w:pStyle w:val="2"/>
        <w:ind w:left="420"/>
        <w:rPr>
          <w:lang w:val="zh-CN"/>
        </w:rPr>
      </w:pPr>
    </w:p>
    <w:p>
      <w:pPr>
        <w:widowControl/>
        <w:jc w:val="center"/>
        <w:rPr>
          <w:rFonts w:eastAsia="仿宋"/>
        </w:rPr>
      </w:pPr>
      <w:r>
        <w:rPr>
          <w:rFonts w:hint="eastAsia" w:eastAsia="黑体"/>
          <w:sz w:val="44"/>
          <w:szCs w:val="44"/>
        </w:rPr>
        <w:t>第</w:t>
      </w:r>
      <w:r>
        <w:rPr>
          <w:rStyle w:val="28"/>
          <w:rFonts w:hint="eastAsia" w:eastAsia="黑体"/>
          <w:b w:val="0"/>
        </w:rPr>
        <w:t>五部分 附表</w:t>
      </w:r>
      <w:bookmarkEnd w:id="47"/>
      <w:bookmarkEnd w:id="50"/>
      <w:bookmarkStart w:id="51" w:name="_Toc15396619"/>
    </w:p>
    <w:p>
      <w:pPr>
        <w:pStyle w:val="14"/>
        <w:adjustRightInd w:val="0"/>
        <w:snapToGrid w:val="0"/>
        <w:spacing w:line="560" w:lineRule="exact"/>
        <w:jc w:val="left"/>
        <w:rPr>
          <w:rFonts w:eastAsia="仿宋_GB2312" w:cs="仿宋_GB2312"/>
          <w:sz w:val="32"/>
          <w:szCs w:val="32"/>
        </w:rPr>
      </w:pPr>
    </w:p>
    <w:p>
      <w:pPr>
        <w:pStyle w:val="14"/>
        <w:adjustRightInd w:val="0"/>
        <w:snapToGrid w:val="0"/>
        <w:spacing w:line="560" w:lineRule="exact"/>
        <w:jc w:val="left"/>
        <w:rPr>
          <w:rFonts w:eastAsia="仿宋_GB2312" w:cs="仿宋_GB2312"/>
          <w:sz w:val="32"/>
          <w:szCs w:val="32"/>
        </w:rPr>
      </w:pPr>
      <w:r>
        <w:rPr>
          <w:rFonts w:hint="eastAsia" w:eastAsia="仿宋_GB2312" w:cs="仿宋_GB2312"/>
          <w:sz w:val="32"/>
          <w:szCs w:val="32"/>
        </w:rPr>
        <w:t>一、收入支出决算总表</w:t>
      </w:r>
      <w:bookmarkEnd w:id="51"/>
    </w:p>
    <w:p>
      <w:pPr>
        <w:pStyle w:val="14"/>
        <w:adjustRightInd w:val="0"/>
        <w:snapToGrid w:val="0"/>
        <w:spacing w:line="560" w:lineRule="exact"/>
        <w:jc w:val="left"/>
        <w:rPr>
          <w:rFonts w:eastAsia="仿宋_GB2312" w:cs="仿宋_GB2312"/>
          <w:sz w:val="32"/>
          <w:szCs w:val="32"/>
        </w:rPr>
      </w:pPr>
      <w:bookmarkStart w:id="52" w:name="_Toc15396620"/>
      <w:r>
        <w:rPr>
          <w:rFonts w:hint="eastAsia" w:eastAsia="仿宋_GB2312" w:cs="仿宋_GB2312"/>
          <w:sz w:val="32"/>
          <w:szCs w:val="32"/>
        </w:rPr>
        <w:t>二、收入决算表</w:t>
      </w:r>
      <w:bookmarkEnd w:id="52"/>
    </w:p>
    <w:p>
      <w:pPr>
        <w:pStyle w:val="14"/>
        <w:adjustRightInd w:val="0"/>
        <w:snapToGrid w:val="0"/>
        <w:spacing w:line="560" w:lineRule="exact"/>
        <w:jc w:val="left"/>
        <w:rPr>
          <w:rFonts w:eastAsia="仿宋_GB2312" w:cs="仿宋_GB2312"/>
          <w:sz w:val="32"/>
          <w:szCs w:val="32"/>
        </w:rPr>
      </w:pPr>
      <w:bookmarkStart w:id="53" w:name="_Toc15396621"/>
      <w:r>
        <w:rPr>
          <w:rFonts w:hint="eastAsia" w:eastAsia="仿宋_GB2312" w:cs="仿宋_GB2312"/>
          <w:sz w:val="32"/>
          <w:szCs w:val="32"/>
        </w:rPr>
        <w:t>三、支出决算表</w:t>
      </w:r>
      <w:bookmarkEnd w:id="53"/>
    </w:p>
    <w:p>
      <w:pPr>
        <w:pStyle w:val="14"/>
        <w:adjustRightInd w:val="0"/>
        <w:snapToGrid w:val="0"/>
        <w:spacing w:line="560" w:lineRule="exact"/>
        <w:jc w:val="left"/>
        <w:rPr>
          <w:rFonts w:eastAsia="仿宋_GB2312" w:cs="仿宋_GB2312"/>
          <w:sz w:val="32"/>
          <w:szCs w:val="32"/>
        </w:rPr>
      </w:pPr>
      <w:bookmarkStart w:id="54" w:name="_Toc15396622"/>
      <w:r>
        <w:rPr>
          <w:rFonts w:hint="eastAsia" w:eastAsia="仿宋_GB2312" w:cs="仿宋_GB2312"/>
          <w:sz w:val="32"/>
          <w:szCs w:val="32"/>
        </w:rPr>
        <w:t>四、财政拨款收入支出决算总表</w:t>
      </w:r>
      <w:bookmarkEnd w:id="54"/>
    </w:p>
    <w:p>
      <w:pPr>
        <w:pStyle w:val="14"/>
        <w:adjustRightInd w:val="0"/>
        <w:snapToGrid w:val="0"/>
        <w:spacing w:line="560" w:lineRule="exact"/>
        <w:jc w:val="left"/>
        <w:rPr>
          <w:rFonts w:eastAsia="仿宋_GB2312" w:cs="仿宋_GB2312"/>
          <w:sz w:val="32"/>
          <w:szCs w:val="32"/>
        </w:rPr>
      </w:pPr>
      <w:bookmarkStart w:id="55" w:name="_Toc15396623"/>
      <w:r>
        <w:rPr>
          <w:rFonts w:hint="eastAsia" w:eastAsia="仿宋_GB2312" w:cs="仿宋_GB2312"/>
          <w:sz w:val="32"/>
          <w:szCs w:val="32"/>
        </w:rPr>
        <w:t>五、财政拨款支出决算明细表</w:t>
      </w:r>
      <w:bookmarkEnd w:id="55"/>
      <w:bookmarkStart w:id="56" w:name="_Toc15396624"/>
    </w:p>
    <w:p>
      <w:pPr>
        <w:pStyle w:val="14"/>
        <w:adjustRightInd w:val="0"/>
        <w:snapToGrid w:val="0"/>
        <w:spacing w:line="560" w:lineRule="exact"/>
        <w:jc w:val="left"/>
        <w:rPr>
          <w:rFonts w:eastAsia="仿宋_GB2312" w:cs="仿宋_GB2312"/>
          <w:sz w:val="32"/>
          <w:szCs w:val="32"/>
        </w:rPr>
      </w:pPr>
      <w:r>
        <w:rPr>
          <w:rFonts w:hint="eastAsia" w:eastAsia="仿宋_GB2312" w:cs="仿宋_GB2312"/>
          <w:sz w:val="32"/>
          <w:szCs w:val="32"/>
        </w:rPr>
        <w:t>六、一般公共预算财政拨款支出决算表</w:t>
      </w:r>
      <w:bookmarkEnd w:id="56"/>
    </w:p>
    <w:p>
      <w:pPr>
        <w:pStyle w:val="14"/>
        <w:adjustRightInd w:val="0"/>
        <w:snapToGrid w:val="0"/>
        <w:spacing w:line="560" w:lineRule="exact"/>
        <w:jc w:val="left"/>
        <w:rPr>
          <w:rFonts w:eastAsia="仿宋_GB2312" w:cs="仿宋_GB2312"/>
          <w:sz w:val="32"/>
          <w:szCs w:val="32"/>
        </w:rPr>
      </w:pPr>
      <w:bookmarkStart w:id="57" w:name="_Toc15396625"/>
      <w:r>
        <w:rPr>
          <w:rFonts w:hint="eastAsia" w:eastAsia="仿宋_GB2312" w:cs="仿宋_GB2312"/>
          <w:sz w:val="32"/>
          <w:szCs w:val="32"/>
        </w:rPr>
        <w:t>七、一般公共预算财政拨款支出决算明细表</w:t>
      </w:r>
      <w:bookmarkEnd w:id="57"/>
    </w:p>
    <w:p>
      <w:pPr>
        <w:pStyle w:val="14"/>
        <w:adjustRightInd w:val="0"/>
        <w:snapToGrid w:val="0"/>
        <w:spacing w:line="560" w:lineRule="exact"/>
        <w:jc w:val="left"/>
        <w:rPr>
          <w:rFonts w:eastAsia="仿宋_GB2312" w:cs="仿宋_GB2312"/>
          <w:sz w:val="32"/>
          <w:szCs w:val="32"/>
        </w:rPr>
      </w:pPr>
      <w:bookmarkStart w:id="58" w:name="_Toc15396626"/>
      <w:r>
        <w:rPr>
          <w:rFonts w:hint="eastAsia" w:eastAsia="仿宋_GB2312" w:cs="仿宋_GB2312"/>
          <w:sz w:val="32"/>
          <w:szCs w:val="32"/>
        </w:rPr>
        <w:t>八、一般公共预算财政拨款基本支出决算表</w:t>
      </w:r>
      <w:bookmarkEnd w:id="58"/>
    </w:p>
    <w:p>
      <w:pPr>
        <w:pStyle w:val="14"/>
        <w:adjustRightInd w:val="0"/>
        <w:snapToGrid w:val="0"/>
        <w:spacing w:line="560" w:lineRule="exact"/>
        <w:jc w:val="left"/>
        <w:rPr>
          <w:rFonts w:eastAsia="仿宋_GB2312" w:cs="仿宋_GB2312"/>
          <w:sz w:val="32"/>
          <w:szCs w:val="32"/>
        </w:rPr>
      </w:pPr>
      <w:bookmarkStart w:id="59" w:name="_Toc15396627"/>
      <w:r>
        <w:rPr>
          <w:rFonts w:hint="eastAsia" w:eastAsia="仿宋_GB2312" w:cs="仿宋_GB2312"/>
          <w:sz w:val="32"/>
          <w:szCs w:val="32"/>
        </w:rPr>
        <w:t>九、一般公共预算财政拨款项目支出决算表</w:t>
      </w:r>
      <w:bookmarkEnd w:id="59"/>
    </w:p>
    <w:p>
      <w:pPr>
        <w:pStyle w:val="14"/>
        <w:adjustRightInd w:val="0"/>
        <w:snapToGrid w:val="0"/>
        <w:spacing w:line="560" w:lineRule="exact"/>
        <w:jc w:val="left"/>
        <w:rPr>
          <w:rFonts w:eastAsia="仿宋_GB2312" w:cs="仿宋_GB2312"/>
          <w:sz w:val="32"/>
          <w:szCs w:val="32"/>
        </w:rPr>
      </w:pPr>
      <w:bookmarkStart w:id="60" w:name="_Toc15396628"/>
      <w:r>
        <w:rPr>
          <w:rFonts w:hint="eastAsia" w:eastAsia="仿宋_GB2312" w:cs="仿宋_GB2312"/>
          <w:sz w:val="32"/>
          <w:szCs w:val="32"/>
        </w:rPr>
        <w:t>十、</w:t>
      </w:r>
      <w:bookmarkEnd w:id="60"/>
      <w:r>
        <w:rPr>
          <w:rFonts w:hint="eastAsia" w:eastAsia="仿宋_GB2312" w:cs="仿宋_GB2312"/>
          <w:sz w:val="32"/>
          <w:szCs w:val="32"/>
        </w:rPr>
        <w:t>政府性基金预算财政拨款收入支出决算表</w:t>
      </w:r>
    </w:p>
    <w:p>
      <w:pPr>
        <w:pStyle w:val="14"/>
        <w:adjustRightInd w:val="0"/>
        <w:snapToGrid w:val="0"/>
        <w:spacing w:line="560" w:lineRule="exact"/>
        <w:jc w:val="left"/>
        <w:rPr>
          <w:rFonts w:eastAsia="仿宋_GB2312" w:cs="仿宋_GB2312"/>
          <w:sz w:val="32"/>
          <w:szCs w:val="32"/>
        </w:rPr>
      </w:pPr>
      <w:bookmarkStart w:id="61" w:name="_Toc15396629"/>
      <w:r>
        <w:rPr>
          <w:rFonts w:hint="eastAsia" w:eastAsia="仿宋_GB2312" w:cs="仿宋_GB2312"/>
          <w:sz w:val="32"/>
          <w:szCs w:val="32"/>
        </w:rPr>
        <w:t>十一、</w:t>
      </w:r>
      <w:bookmarkEnd w:id="61"/>
      <w:r>
        <w:rPr>
          <w:rFonts w:hint="eastAsia" w:eastAsia="仿宋_GB2312" w:cs="仿宋_GB2312"/>
          <w:sz w:val="32"/>
          <w:szCs w:val="32"/>
        </w:rPr>
        <w:t>国有资本经营预算财政拨款收入支出决算表</w:t>
      </w:r>
    </w:p>
    <w:p>
      <w:pPr>
        <w:pStyle w:val="14"/>
        <w:adjustRightInd w:val="0"/>
        <w:snapToGrid w:val="0"/>
        <w:spacing w:line="560" w:lineRule="exact"/>
        <w:jc w:val="left"/>
        <w:rPr>
          <w:rFonts w:eastAsia="仿宋_GB2312" w:cs="仿宋_GB2312"/>
          <w:sz w:val="32"/>
          <w:szCs w:val="32"/>
        </w:rPr>
      </w:pPr>
      <w:bookmarkStart w:id="62" w:name="_Toc15396630"/>
      <w:r>
        <w:rPr>
          <w:rFonts w:hint="eastAsia" w:eastAsia="仿宋_GB2312" w:cs="仿宋_GB2312"/>
          <w:sz w:val="32"/>
          <w:szCs w:val="32"/>
        </w:rPr>
        <w:t>十二、</w:t>
      </w:r>
      <w:bookmarkEnd w:id="62"/>
      <w:r>
        <w:rPr>
          <w:rFonts w:hint="eastAsia" w:eastAsia="仿宋_GB2312" w:cs="仿宋_GB2312"/>
          <w:sz w:val="32"/>
          <w:szCs w:val="32"/>
        </w:rPr>
        <w:t>国有资本经营预算财政拨款支出决算表</w:t>
      </w:r>
    </w:p>
    <w:p>
      <w:pPr>
        <w:pStyle w:val="14"/>
        <w:adjustRightInd w:val="0"/>
        <w:snapToGrid w:val="0"/>
        <w:spacing w:line="560" w:lineRule="exact"/>
        <w:jc w:val="left"/>
        <w:rPr>
          <w:rFonts w:eastAsia="仿宋_GB2312" w:cs="仿宋_GB2312"/>
          <w:sz w:val="32"/>
          <w:szCs w:val="32"/>
        </w:rPr>
      </w:pPr>
      <w:bookmarkStart w:id="63" w:name="_Toc15396631"/>
      <w:r>
        <w:rPr>
          <w:rFonts w:hint="eastAsia" w:eastAsia="仿宋_GB2312" w:cs="仿宋_GB2312"/>
          <w:sz w:val="32"/>
          <w:szCs w:val="32"/>
        </w:rPr>
        <w:t>十三、</w:t>
      </w:r>
      <w:bookmarkEnd w:id="63"/>
      <w:r>
        <w:rPr>
          <w:rFonts w:hint="eastAsia" w:eastAsia="仿宋_GB2312" w:cs="仿宋_GB2312"/>
          <w:sz w:val="32"/>
          <w:szCs w:val="32"/>
        </w:rPr>
        <w:t>财政拨款“三公”经费支出决算表</w:t>
      </w:r>
    </w:p>
    <w:p>
      <w:pPr/>
    </w:p>
    <w:sectPr>
      <w:footerReference r:id="rId8" w:type="first"/>
      <w:footerReference r:id="rId7" w:type="default"/>
      <w:pgSz w:w="11906" w:h="16838"/>
      <w:pgMar w:top="1440" w:right="1800" w:bottom="1440" w:left="1800" w:header="851" w:footer="992" w:gutter="0"/>
      <w:pgNumType w:fmt="numberInDash"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宋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modern"/>
    <w:pitch w:val="default"/>
    <w:sig w:usb0="E00002FF" w:usb1="400004FF" w:usb2="00000000" w:usb3="00000000" w:csb0="2000019F" w:csb1="00000000"/>
  </w:font>
  <w:font w:name="Calibri">
    <w:panose1 w:val="020F0502020204030204"/>
    <w:charset w:val="00"/>
    <w:family w:val="decorative"/>
    <w:pitch w:val="default"/>
    <w:sig w:usb0="E00002FF" w:usb1="4000ACFF" w:usb2="00000001" w:usb3="00000000" w:csb0="2000019F" w:csb1="00000000"/>
  </w:font>
  <w:font w:name="Arial">
    <w:panose1 w:val="020B0604020202020204"/>
    <w:charset w:val="01"/>
    <w:family w:val="decorative"/>
    <w:pitch w:val="default"/>
    <w:sig w:usb0="E0002AFF" w:usb1="C0007843" w:usb2="00000009" w:usb3="00000000" w:csb0="400001FF" w:csb1="FFFF0000"/>
  </w:font>
  <w:font w:name="Courier New">
    <w:panose1 w:val="02070309020205020404"/>
    <w:charset w:val="01"/>
    <w:family w:val="swiss"/>
    <w:pitch w:val="default"/>
    <w:sig w:usb0="E0002AFF" w:usb1="C0007843" w:usb2="00000009" w:usb3="00000000" w:csb0="400001FF" w:csb1="FFFF0000"/>
  </w:font>
  <w:font w:name="Symbol">
    <w:panose1 w:val="05050102010706020507"/>
    <w:charset w:val="02"/>
    <w:family w:val="modern"/>
    <w:pitch w:val="default"/>
    <w:sig w:usb0="00000000" w:usb1="00000000" w:usb2="00000000" w:usb3="00000000" w:csb0="80000000" w:csb1="00000000"/>
  </w:font>
  <w:font w:name="Cambria">
    <w:panose1 w:val="02040503050406030204"/>
    <w:charset w:val="00"/>
    <w:family w:val="swiss"/>
    <w:pitch w:val="default"/>
    <w:sig w:usb0="E00002FF" w:usb1="400004FF" w:usb2="00000000" w:usb3="00000000" w:csb0="2000019F" w:csb1="00000000"/>
  </w:font>
  <w:font w:name="Calibri">
    <w:panose1 w:val="020F0502020204030204"/>
    <w:charset w:val="00"/>
    <w:family w:val="roman"/>
    <w:pitch w:val="default"/>
    <w:sig w:usb0="E00002FF" w:usb1="4000ACFF" w:usb2="00000001" w:usb3="00000000" w:csb0="2000019F" w:csb1="00000000"/>
  </w:font>
  <w:font w:name="仿宋_GB2312">
    <w:panose1 w:val="02010609030101010101"/>
    <w:charset w:val="86"/>
    <w:family w:val="decorative"/>
    <w:pitch w:val="default"/>
    <w:sig w:usb0="00000001" w:usb1="080E0000" w:usb2="00000000" w:usb3="00000000" w:csb0="00040000" w:csb1="00000000"/>
  </w:font>
  <w:font w:name="仿宋">
    <w:panose1 w:val="02010609060101010101"/>
    <w:charset w:val="86"/>
    <w:family w:val="decorative"/>
    <w:pitch w:val="default"/>
    <w:sig w:usb0="800002BF" w:usb1="38CF7CFA" w:usb2="00000016" w:usb3="00000000" w:csb0="00040001" w:csb1="00000000"/>
  </w:font>
  <w:font w:name="Arial">
    <w:panose1 w:val="020B0604020202020204"/>
    <w:charset w:val="00"/>
    <w:family w:val="roman"/>
    <w:pitch w:val="default"/>
    <w:sig w:usb0="E0002AFF" w:usb1="C0007843" w:usb2="00000009" w:usb3="00000000" w:csb0="400001FF" w:csb1="FFFF0000"/>
  </w:font>
  <w:font w:name="黑体">
    <w:altName w:val="宋体"/>
    <w:panose1 w:val="02010609060101010101"/>
    <w:charset w:val="86"/>
    <w:family w:val="decorative"/>
    <w:pitch w:val="default"/>
    <w:sig w:usb0="00000000" w:usb1="00000000" w:usb2="00000016" w:usb3="00000000" w:csb0="00040001" w:csb1="00000000"/>
  </w:font>
  <w:font w:name="??">
    <w:altName w:val="Segoe Print"/>
    <w:panose1 w:val="00000000000000000000"/>
    <w:charset w:val="00"/>
    <w:family w:val="swiss"/>
    <w:pitch w:val="default"/>
    <w:sig w:usb0="00000000" w:usb1="00000000" w:usb2="00000000" w:usb3="00000000" w:csb0="00000000" w:csb1="00000000"/>
  </w:font>
  <w:font w:name="方正小标宋简体">
    <w:panose1 w:val="02010601030101010101"/>
    <w:charset w:val="86"/>
    <w:family w:val="script"/>
    <w:pitch w:val="default"/>
    <w:sig w:usb0="00000001" w:usb1="080E0000" w:usb2="00000000" w:usb3="00000000" w:csb0="00040000" w:csb1="00000000"/>
  </w:font>
  <w:font w:name="楷体">
    <w:panose1 w:val="02010609060101010101"/>
    <w:charset w:val="86"/>
    <w:family w:val="decorative"/>
    <w:pitch w:val="default"/>
    <w:sig w:usb0="800002BF" w:usb1="38CF7CFA" w:usb2="00000016" w:usb3="00000000" w:csb0="00040001" w:csb1="00000000"/>
  </w:font>
  <w:font w:name="楷体_GB2312">
    <w:panose1 w:val="02010609030101010101"/>
    <w:charset w:val="86"/>
    <w:family w:val="decorative"/>
    <w:pitch w:val="default"/>
    <w:sig w:usb0="00000001" w:usb1="080E0000" w:usb2="00000000" w:usb3="00000000" w:csb0="00040000" w:csb1="00000000"/>
  </w:font>
  <w:font w:name="宋体 (正文)">
    <w:altName w:val="宋体"/>
    <w:panose1 w:val="00000000000000000000"/>
    <w:charset w:val="01"/>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Arial">
    <w:panose1 w:val="020B0604020202020204"/>
    <w:charset w:val="01"/>
    <w:family w:val="roman"/>
    <w:pitch w:val="default"/>
    <w:sig w:usb0="E0002AFF" w:usb1="C0007843" w:usb2="00000009" w:usb3="00000000" w:csb0="400001FF" w:csb1="FFFF0000"/>
  </w:font>
  <w:font w:name="Courier New">
    <w:panose1 w:val="02070309020205020404"/>
    <w:charset w:val="01"/>
    <w:family w:val="decorative"/>
    <w:pitch w:val="default"/>
    <w:sig w:usb0="E0002AFF" w:usb1="C0007843" w:usb2="00000009" w:usb3="00000000" w:csb0="400001FF" w:csb1="FFFF0000"/>
  </w:font>
  <w:font w:name="Symbol">
    <w:panose1 w:val="05050102010706020507"/>
    <w:charset w:val="02"/>
    <w:family w:val="swiss"/>
    <w:pitch w:val="default"/>
    <w:sig w:usb0="00000000" w:usb1="00000000" w:usb2="00000000" w:usb3="00000000" w:csb0="80000000" w:csb1="00000000"/>
  </w:font>
  <w:font w:name="Cambria">
    <w:panose1 w:val="02040503050406030204"/>
    <w:charset w:val="00"/>
    <w:family w:val="decorative"/>
    <w:pitch w:val="default"/>
    <w:sig w:usb0="E00002FF" w:usb1="400004FF" w:usb2="00000000" w:usb3="00000000" w:csb0="2000019F" w:csb1="00000000"/>
  </w:font>
  <w:font w:name="Calibri">
    <w:panose1 w:val="020F0502020204030204"/>
    <w:charset w:val="00"/>
    <w:family w:val="modern"/>
    <w:pitch w:val="default"/>
    <w:sig w:usb0="E00002FF" w:usb1="4000ACFF" w:usb2="00000001" w:usb3="00000000" w:csb0="2000019F" w:csb1="00000000"/>
  </w:font>
  <w:font w:name="仿宋_GB2312">
    <w:panose1 w:val="02010609030101010101"/>
    <w:charset w:val="86"/>
    <w:family w:val="roman"/>
    <w:pitch w:val="default"/>
    <w:sig w:usb0="00000001" w:usb1="080E0000" w:usb2="00000000" w:usb3="00000000" w:csb0="00040000" w:csb1="00000000"/>
  </w:font>
  <w:font w:name="仿宋">
    <w:panose1 w:val="02010609060101010101"/>
    <w:charset w:val="86"/>
    <w:family w:val="roman"/>
    <w:pitch w:val="default"/>
    <w:sig w:usb0="800002BF" w:usb1="38CF7CFA" w:usb2="00000016" w:usb3="00000000" w:csb0="00040001" w:csb1="00000000"/>
  </w:font>
  <w:font w:name="Arial">
    <w:panose1 w:val="020B0604020202020204"/>
    <w:charset w:val="00"/>
    <w:family w:val="modern"/>
    <w:pitch w:val="default"/>
    <w:sig w:usb0="E0002AFF" w:usb1="C0007843" w:usb2="00000009" w:usb3="00000000" w:csb0="400001FF" w:csb1="FFFF0000"/>
  </w:font>
  <w:font w:name="黑体">
    <w:altName w:val="宋体"/>
    <w:panose1 w:val="02010609060101010101"/>
    <w:charset w:val="86"/>
    <w:family w:val="roman"/>
    <w:pitch w:val="default"/>
    <w:sig w:usb0="00000000" w:usb1="00000000" w:usb2="00000016" w:usb3="00000000" w:csb0="00040001" w:csb1="00000000"/>
  </w:font>
  <w:font w:name="??">
    <w:altName w:val="Segoe Print"/>
    <w:panose1 w:val="00000000000000000000"/>
    <w:charset w:val="00"/>
    <w:family w:val="decorative"/>
    <w:pitch w:val="default"/>
    <w:sig w:usb0="00000000" w:usb1="00000000" w:usb2="00000000" w:usb3="00000000" w:csb0="00000000" w:csb1="00000000"/>
  </w:font>
  <w:font w:name="楷体">
    <w:panose1 w:val="02010609060101010101"/>
    <w:charset w:val="86"/>
    <w:family w:val="roman"/>
    <w:pitch w:val="default"/>
    <w:sig w:usb0="800002BF" w:usb1="38CF7CFA" w:usb2="00000016" w:usb3="00000000" w:csb0="00040001" w:csb1="00000000"/>
  </w:font>
  <w:font w:name="楷体_GB2312">
    <w:panose1 w:val="02010609030101010101"/>
    <w:charset w:val="86"/>
    <w:family w:val="roman"/>
    <w:pitch w:val="default"/>
    <w:sig w:usb0="00000001" w:usb1="080E0000" w:usb2="00000000" w:usb3="00000000" w:csb0="00040000" w:csb1="00000000"/>
  </w:font>
  <w:font w:name="Arial">
    <w:panose1 w:val="020B0604020202020204"/>
    <w:charset w:val="01"/>
    <w:family w:val="modern"/>
    <w:pitch w:val="default"/>
    <w:sig w:usb0="E0002AFF" w:usb1="C0007843" w:usb2="00000009" w:usb3="00000000" w:csb0="400001FF" w:csb1="FFFF0000"/>
  </w:font>
  <w:font w:name="Courier New">
    <w:panose1 w:val="02070309020205020404"/>
    <w:charset w:val="01"/>
    <w:family w:val="roman"/>
    <w:pitch w:val="default"/>
    <w:sig w:usb0="E0002AFF" w:usb1="C0007843" w:usb2="00000009" w:usb3="00000000" w:csb0="400001FF" w:csb1="FFFF0000"/>
  </w:font>
  <w:font w:name="Symbol">
    <w:panose1 w:val="05050102010706020507"/>
    <w:charset w:val="02"/>
    <w:family w:val="decorative"/>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Arial">
    <w:panose1 w:val="020B0604020202020204"/>
    <w:charset w:val="00"/>
    <w:family w:val="swiss"/>
    <w:pitch w:val="default"/>
    <w:sig w:usb0="E0002AFF" w:usb1="C0007843" w:usb2="00000009" w:usb3="00000000" w:csb0="400001FF" w:csb1="FFFF0000"/>
  </w:font>
  <w:font w:name="黑体">
    <w:altName w:val="宋体"/>
    <w:panose1 w:val="02010609060101010101"/>
    <w:charset w:val="86"/>
    <w:family w:val="modern"/>
    <w:pitch w:val="default"/>
    <w:sig w:usb0="00000000" w:usb1="00000000" w:usb2="00000016" w:usb3="00000000" w:csb0="00040001" w:csb1="00000000"/>
  </w:font>
  <w:font w:name="??">
    <w:altName w:val="Segoe Print"/>
    <w:panose1 w:val="00000000000000000000"/>
    <w:charset w:val="00"/>
    <w:family w:val="roman"/>
    <w:pitch w:val="default"/>
    <w:sig w:usb0="00000000" w:usb1="00000000" w:usb2="00000000" w:usb3="00000000" w:csb0="00000000" w:csb1="00000000"/>
  </w:font>
  <w:font w:name="楷体">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swiss"/>
    <w:pitch w:val="default"/>
    <w:sig w:usb0="00000001" w:usb1="080E0000" w:usb2="00000000" w:usb3="00000000" w:csb0="00040000" w:csb1="00000000"/>
  </w:font>
  <w:font w:name="仿宋">
    <w:panose1 w:val="02010609060101010101"/>
    <w:charset w:val="86"/>
    <w:family w:val="swiss"/>
    <w:pitch w:val="default"/>
    <w:sig w:usb0="800002BF" w:usb1="38CF7CFA" w:usb2="00000016" w:usb3="00000000" w:csb0="00040001" w:csb1="00000000"/>
  </w:font>
  <w:font w:name="Arial">
    <w:panose1 w:val="020B0604020202020204"/>
    <w:charset w:val="00"/>
    <w:family w:val="decorative"/>
    <w:pitch w:val="default"/>
    <w:sig w:usb0="E0002AFF" w:usb1="C0007843" w:usb2="00000009" w:usb3="00000000" w:csb0="400001FF" w:csb1="FFFF0000"/>
  </w:font>
  <w:font w:name="黑体">
    <w:altName w:val="宋体"/>
    <w:panose1 w:val="02010609060101010101"/>
    <w:charset w:val="86"/>
    <w:family w:val="swiss"/>
    <w:pitch w:val="default"/>
    <w:sig w:usb0="00000000" w:usb1="00000000" w:usb2="00000016" w:usb3="00000000" w:csb0="00040001" w:csb1="00000000"/>
  </w:font>
  <w:font w:name="??">
    <w:altName w:val="Segoe Print"/>
    <w:panose1 w:val="00000000000000000000"/>
    <w:charset w:val="00"/>
    <w:family w:val="modern"/>
    <w:pitch w:val="default"/>
    <w:sig w:usb0="00000000" w:usb1="00000000" w:usb2="00000000" w:usb3="00000000" w:csb0="00000000" w:csb1="00000000"/>
  </w:font>
  <w:font w:name="楷体">
    <w:panose1 w:val="02010609060101010101"/>
    <w:charset w:val="86"/>
    <w:family w:val="swiss"/>
    <w:pitch w:val="default"/>
    <w:sig w:usb0="800002BF" w:usb1="38CF7CFA" w:usb2="00000016" w:usb3="00000000" w:csb0="00040001" w:csb1="00000000"/>
  </w:font>
  <w:font w:name="楷体_GB2312">
    <w:panose1 w:val="02010609030101010101"/>
    <w:charset w:val="86"/>
    <w:family w:val="swiss"/>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方正大标宋简体">
    <w:panose1 w:val="02010601030101010101"/>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新宋体">
    <w:panose1 w:val="02010609030101010101"/>
    <w:charset w:val="86"/>
    <w:family w:val="auto"/>
    <w:pitch w:val="default"/>
    <w:sig w:usb0="00000003" w:usb1="288F0000" w:usb2="00000006" w:usb3="00000000" w:csb0="00040001" w:csb1="00000000"/>
  </w:font>
  <w:font w:name="微软雅黑">
    <w:panose1 w:val="020B0503020204020204"/>
    <w:charset w:val="86"/>
    <w:family w:val="auto"/>
    <w:pitch w:val="default"/>
    <w:sig w:usb0="80000287" w:usb1="280F3C52" w:usb2="00000016" w:usb3="00000000" w:csb0="0004001F" w:csb1="00000000"/>
  </w:font>
  <w:font w:name="小标宋">
    <w:panose1 w:val="03000509000000000000"/>
    <w:charset w:val="86"/>
    <w:family w:val="auto"/>
    <w:pitch w:val="default"/>
    <w:sig w:usb0="00000001" w:usb1="080E0000" w:usb2="00000000" w:usb3="00000000" w:csb0="00040000" w:csb1="00000000"/>
  </w:font>
  <w:font w:name="Wingdings 2">
    <w:altName w:val="Wingdings"/>
    <w:panose1 w:val="05020102010507070707"/>
    <w:charset w:val="00"/>
    <w:family w:val="auto"/>
    <w:pitch w:val="default"/>
    <w:sig w:usb0="00000000" w:usb1="00000000" w:usb2="00000000" w:usb3="00000000" w:csb0="80000000" w:csb1="00000000"/>
  </w:font>
  <w:font w:name="Segoe Print">
    <w:panose1 w:val="02000600000000000000"/>
    <w:charset w:val="00"/>
    <w:family w:val="swiss"/>
    <w:pitch w:val="default"/>
    <w:sig w:usb0="0000028F" w:usb1="00000000" w:usb2="00000000" w:usb3="00000000" w:csb0="2000009F" w:csb1="47010000"/>
  </w:font>
  <w:font w:name="Segoe Print">
    <w:panose1 w:val="02000600000000000000"/>
    <w:charset w:val="00"/>
    <w:family w:val="decorative"/>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pPr>
  </w:p>
  <w:p>
    <w:pPr>
      <w:pStyle w:val="1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20" name="文本框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- 2 -</w:t>
                          </w:r>
                          <w:r>
                            <w:rPr>
                              <w:rFonts w:hint="eastAsia"/>
                              <w:sz w:val="1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LNJWO7QAAAABQEAAA8AAAAAAAAAAQAg&#10;AAAAIgAAAGRycy9kb3ducmV2LnhtbFBLAQIUABQAAAAIAIdO4kDwGtTmFgIAABUEAAAOAAAAAAAA&#10;AAEAIAAAAB8BAABkcnMvZTJvRG9jLnhtbFBLBQYAAAAABgAGAFkBAACnBQAAAAA=&#10;">
              <v:fill on="f" focussize="0,0"/>
              <v:stroke on="f" weight="0.5pt"/>
              <v:imagedata o:title=""/>
              <o:lock v:ext="edit" aspectratio="f"/>
              <v:textbox inset="0mm,0mm,0mm,0mm" style="mso-fit-shape-to-text:t;">
                <w:txbxContent>
                  <w:p>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- 2 -</w:t>
                    </w:r>
                    <w:r>
                      <w:rPr>
                        <w:rFonts w:hint="eastAsia"/>
                        <w:sz w:val="18"/>
                        <w:lang w:eastAsia="zh-CN"/>
                      </w:rPr>
                      <w:fldChar w:fldCharType="end"/>
                    </w:r>
                  </w:p>
                </w:txbxContent>
              </v:textbox>
            </v:shape>
          </w:pict>
        </mc:Fallback>
      </mc:AlternateContent>
    </w:r>
  </w:p>
  <w:p>
    <w:pPr>
      <w:pStyle w:val="1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w:rPr>
        <w:sz w:val="18"/>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21" name="文本框 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- 1 -</w:t>
                          </w:r>
                          <w:r>
                            <w:rPr>
                              <w:rFonts w:hint="eastAsia"/>
                              <w:sz w:val="1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KyQwkTAgAAFQ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CyskMJEwIAABUEAAAOAAAAAAAAAAEA&#10;IAAAAB8BAABkcnMvZTJvRG9jLnhtbFBLBQYAAAAABgAGAFkBAACkBQAAAAA=&#10;">
              <v:fill on="f" focussize="0,0"/>
              <v:stroke on="f" weight="0.5pt"/>
              <v:imagedata o:title=""/>
              <o:lock v:ext="edit" aspectratio="f"/>
              <v:textbox inset="0mm,0mm,0mm,0mm" style="mso-fit-shape-to-text:t;">
                <w:txbxContent>
                  <w:p>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- 1 -</w:t>
                    </w:r>
                    <w:r>
                      <w:rPr>
                        <w:rFonts w:hint="eastAsia"/>
                        <w:sz w:val="18"/>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959186288">
    <w:nsid w:val="392C0570"/>
    <w:multiLevelType w:val="multilevel"/>
    <w:tmpl w:val="392C0570"/>
    <w:lvl w:ilvl="0" w:tentative="1">
      <w:start w:val="1"/>
      <w:numFmt w:val="japaneseCounting"/>
      <w:lvlText w:val="%1、"/>
      <w:lvlJc w:val="left"/>
      <w:pPr>
        <w:ind w:left="660" w:hanging="66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num w:numId="1">
    <w:abstractNumId w:val="95918628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30CE"/>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6D05"/>
    <w:rsid w:val="002F1818"/>
    <w:rsid w:val="002F567B"/>
    <w:rsid w:val="003216A9"/>
    <w:rsid w:val="00335A74"/>
    <w:rsid w:val="0036561B"/>
    <w:rsid w:val="0037013F"/>
    <w:rsid w:val="00370A42"/>
    <w:rsid w:val="00380C92"/>
    <w:rsid w:val="003A484F"/>
    <w:rsid w:val="003A4883"/>
    <w:rsid w:val="003B0BE0"/>
    <w:rsid w:val="003B0C1B"/>
    <w:rsid w:val="003B688C"/>
    <w:rsid w:val="003C0291"/>
    <w:rsid w:val="003C39AE"/>
    <w:rsid w:val="003C624E"/>
    <w:rsid w:val="003C7B60"/>
    <w:rsid w:val="003D0C0F"/>
    <w:rsid w:val="003D1FB2"/>
    <w:rsid w:val="003D5C8D"/>
    <w:rsid w:val="003D66DA"/>
    <w:rsid w:val="003E1310"/>
    <w:rsid w:val="003E5927"/>
    <w:rsid w:val="003E6F55"/>
    <w:rsid w:val="00406254"/>
    <w:rsid w:val="004223DE"/>
    <w:rsid w:val="00434489"/>
    <w:rsid w:val="00437085"/>
    <w:rsid w:val="00443880"/>
    <w:rsid w:val="004464F4"/>
    <w:rsid w:val="00471401"/>
    <w:rsid w:val="00473F31"/>
    <w:rsid w:val="0048263A"/>
    <w:rsid w:val="00487E5D"/>
    <w:rsid w:val="00491B1F"/>
    <w:rsid w:val="004A711F"/>
    <w:rsid w:val="004B199D"/>
    <w:rsid w:val="004B4690"/>
    <w:rsid w:val="004E0A2D"/>
    <w:rsid w:val="004E206B"/>
    <w:rsid w:val="004E6DF7"/>
    <w:rsid w:val="004F0FBD"/>
    <w:rsid w:val="00505A47"/>
    <w:rsid w:val="00512FDA"/>
    <w:rsid w:val="00520DA0"/>
    <w:rsid w:val="00557E79"/>
    <w:rsid w:val="005664BB"/>
    <w:rsid w:val="00566FFA"/>
    <w:rsid w:val="0057481D"/>
    <w:rsid w:val="0058486E"/>
    <w:rsid w:val="00585B33"/>
    <w:rsid w:val="0059014D"/>
    <w:rsid w:val="005B5C64"/>
    <w:rsid w:val="005C5337"/>
    <w:rsid w:val="005C6BD0"/>
    <w:rsid w:val="005D1C8B"/>
    <w:rsid w:val="005D468D"/>
    <w:rsid w:val="005D5CED"/>
    <w:rsid w:val="005F1A4C"/>
    <w:rsid w:val="00605688"/>
    <w:rsid w:val="006070AF"/>
    <w:rsid w:val="00607E6C"/>
    <w:rsid w:val="006101B1"/>
    <w:rsid w:val="00612122"/>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32BFD"/>
    <w:rsid w:val="007416B6"/>
    <w:rsid w:val="00746F48"/>
    <w:rsid w:val="0075404D"/>
    <w:rsid w:val="0076182A"/>
    <w:rsid w:val="00767B7E"/>
    <w:rsid w:val="007770C3"/>
    <w:rsid w:val="00784D24"/>
    <w:rsid w:val="00785FBA"/>
    <w:rsid w:val="00786E4A"/>
    <w:rsid w:val="007875EB"/>
    <w:rsid w:val="0079426B"/>
    <w:rsid w:val="007B2070"/>
    <w:rsid w:val="007D1682"/>
    <w:rsid w:val="007D312A"/>
    <w:rsid w:val="007D3F19"/>
    <w:rsid w:val="007E23B0"/>
    <w:rsid w:val="007E23E5"/>
    <w:rsid w:val="007E57D2"/>
    <w:rsid w:val="007F1991"/>
    <w:rsid w:val="007F2C2F"/>
    <w:rsid w:val="007F55FC"/>
    <w:rsid w:val="007F5665"/>
    <w:rsid w:val="00800112"/>
    <w:rsid w:val="00813348"/>
    <w:rsid w:val="008253BB"/>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D4D43"/>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653FC"/>
    <w:rsid w:val="0097099F"/>
    <w:rsid w:val="00971997"/>
    <w:rsid w:val="00971FFC"/>
    <w:rsid w:val="0098660A"/>
    <w:rsid w:val="009931C3"/>
    <w:rsid w:val="009B2C43"/>
    <w:rsid w:val="009B4EAE"/>
    <w:rsid w:val="009B7573"/>
    <w:rsid w:val="009C22F4"/>
    <w:rsid w:val="009C2A4B"/>
    <w:rsid w:val="009C2E98"/>
    <w:rsid w:val="009D3447"/>
    <w:rsid w:val="009D4711"/>
    <w:rsid w:val="009F1185"/>
    <w:rsid w:val="009F18CD"/>
    <w:rsid w:val="009F2A13"/>
    <w:rsid w:val="009F7527"/>
    <w:rsid w:val="00A04EB0"/>
    <w:rsid w:val="00A13CC1"/>
    <w:rsid w:val="00A16847"/>
    <w:rsid w:val="00A237D8"/>
    <w:rsid w:val="00A2596F"/>
    <w:rsid w:val="00A268C4"/>
    <w:rsid w:val="00A307CD"/>
    <w:rsid w:val="00A331C8"/>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5620"/>
    <w:rsid w:val="00AD656B"/>
    <w:rsid w:val="00AD7C1B"/>
    <w:rsid w:val="00AE16BA"/>
    <w:rsid w:val="00AE1EBE"/>
    <w:rsid w:val="00B03273"/>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1C73"/>
    <w:rsid w:val="00B77EA6"/>
    <w:rsid w:val="00B81598"/>
    <w:rsid w:val="00B841F1"/>
    <w:rsid w:val="00B944D6"/>
    <w:rsid w:val="00BB4DF0"/>
    <w:rsid w:val="00BC289F"/>
    <w:rsid w:val="00BC2D50"/>
    <w:rsid w:val="00BC5361"/>
    <w:rsid w:val="00BC5460"/>
    <w:rsid w:val="00BC6B50"/>
    <w:rsid w:val="00BC7735"/>
    <w:rsid w:val="00BD0E25"/>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7035F"/>
    <w:rsid w:val="00D9569E"/>
    <w:rsid w:val="00DA634F"/>
    <w:rsid w:val="00DA65AC"/>
    <w:rsid w:val="00DB1913"/>
    <w:rsid w:val="00DC410D"/>
    <w:rsid w:val="00DC5A81"/>
    <w:rsid w:val="00DC68CA"/>
    <w:rsid w:val="00DC7CBA"/>
    <w:rsid w:val="00DD73B7"/>
    <w:rsid w:val="00DE5D55"/>
    <w:rsid w:val="00DF28BC"/>
    <w:rsid w:val="00DF34B9"/>
    <w:rsid w:val="00E01053"/>
    <w:rsid w:val="00E07ACF"/>
    <w:rsid w:val="00E331A1"/>
    <w:rsid w:val="00E33202"/>
    <w:rsid w:val="00E336A9"/>
    <w:rsid w:val="00E472B1"/>
    <w:rsid w:val="00E50624"/>
    <w:rsid w:val="00E54633"/>
    <w:rsid w:val="00E568DF"/>
    <w:rsid w:val="00E64269"/>
    <w:rsid w:val="00E82267"/>
    <w:rsid w:val="00E853CE"/>
    <w:rsid w:val="00E867B6"/>
    <w:rsid w:val="00EA010F"/>
    <w:rsid w:val="00EA1F54"/>
    <w:rsid w:val="00EB0630"/>
    <w:rsid w:val="00ED1B63"/>
    <w:rsid w:val="00ED3C1F"/>
    <w:rsid w:val="00ED4085"/>
    <w:rsid w:val="00ED420E"/>
    <w:rsid w:val="00ED6FBE"/>
    <w:rsid w:val="00EE2F57"/>
    <w:rsid w:val="00EF3247"/>
    <w:rsid w:val="00EF4C34"/>
    <w:rsid w:val="00EF77C6"/>
    <w:rsid w:val="00F05438"/>
    <w:rsid w:val="00F11553"/>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B3CB7"/>
    <w:rsid w:val="00FD3CC1"/>
    <w:rsid w:val="00FF1E02"/>
    <w:rsid w:val="00FF30B4"/>
    <w:rsid w:val="012A5EC2"/>
    <w:rsid w:val="015975B8"/>
    <w:rsid w:val="02FEBE30"/>
    <w:rsid w:val="04916F1E"/>
    <w:rsid w:val="061E35DE"/>
    <w:rsid w:val="066E0107"/>
    <w:rsid w:val="07996F6E"/>
    <w:rsid w:val="07DFD8BA"/>
    <w:rsid w:val="09867E8F"/>
    <w:rsid w:val="0A2032A3"/>
    <w:rsid w:val="0CA8290A"/>
    <w:rsid w:val="0D35B1ED"/>
    <w:rsid w:val="0E254B6B"/>
    <w:rsid w:val="0F98263C"/>
    <w:rsid w:val="101860EC"/>
    <w:rsid w:val="101F47CC"/>
    <w:rsid w:val="10C055FF"/>
    <w:rsid w:val="11694EBD"/>
    <w:rsid w:val="11772AA4"/>
    <w:rsid w:val="118107EC"/>
    <w:rsid w:val="12E24EE2"/>
    <w:rsid w:val="13D50BC4"/>
    <w:rsid w:val="14B17F78"/>
    <w:rsid w:val="156C4043"/>
    <w:rsid w:val="165E0673"/>
    <w:rsid w:val="16B831D5"/>
    <w:rsid w:val="16BB723D"/>
    <w:rsid w:val="17E50567"/>
    <w:rsid w:val="186504BB"/>
    <w:rsid w:val="19A445FC"/>
    <w:rsid w:val="1BE8440E"/>
    <w:rsid w:val="1D155CEE"/>
    <w:rsid w:val="1D1638FE"/>
    <w:rsid w:val="1E312DEB"/>
    <w:rsid w:val="1E740ACF"/>
    <w:rsid w:val="1FF35744"/>
    <w:rsid w:val="1FF6BC77"/>
    <w:rsid w:val="20441172"/>
    <w:rsid w:val="2186353C"/>
    <w:rsid w:val="23860B96"/>
    <w:rsid w:val="240371BF"/>
    <w:rsid w:val="244F3473"/>
    <w:rsid w:val="24C97D99"/>
    <w:rsid w:val="25A718F0"/>
    <w:rsid w:val="25BB59F6"/>
    <w:rsid w:val="260F557C"/>
    <w:rsid w:val="26970054"/>
    <w:rsid w:val="281408E2"/>
    <w:rsid w:val="29FD04D3"/>
    <w:rsid w:val="2BFF7BC6"/>
    <w:rsid w:val="2C8A61B5"/>
    <w:rsid w:val="2DF04E50"/>
    <w:rsid w:val="2E586DFA"/>
    <w:rsid w:val="2F040D46"/>
    <w:rsid w:val="2F6B035B"/>
    <w:rsid w:val="2FAE5751"/>
    <w:rsid w:val="2FB1A395"/>
    <w:rsid w:val="2FD9A7D8"/>
    <w:rsid w:val="2FDBF714"/>
    <w:rsid w:val="30AB6865"/>
    <w:rsid w:val="319F7F4E"/>
    <w:rsid w:val="32BD1EF1"/>
    <w:rsid w:val="3304709D"/>
    <w:rsid w:val="33A773CB"/>
    <w:rsid w:val="349D6851"/>
    <w:rsid w:val="36AA5135"/>
    <w:rsid w:val="36BE0DA7"/>
    <w:rsid w:val="376B6AA6"/>
    <w:rsid w:val="376D39B2"/>
    <w:rsid w:val="37E16F03"/>
    <w:rsid w:val="37F53A3B"/>
    <w:rsid w:val="389B6C89"/>
    <w:rsid w:val="38D469F0"/>
    <w:rsid w:val="39627CCD"/>
    <w:rsid w:val="397BAF1F"/>
    <w:rsid w:val="3AB79AF3"/>
    <w:rsid w:val="3AE834C0"/>
    <w:rsid w:val="3B7EF35A"/>
    <w:rsid w:val="3B9FDB6C"/>
    <w:rsid w:val="3BF5BC2F"/>
    <w:rsid w:val="3CEBA265"/>
    <w:rsid w:val="3D98207C"/>
    <w:rsid w:val="3DEE7CF3"/>
    <w:rsid w:val="3E740A63"/>
    <w:rsid w:val="3E78745D"/>
    <w:rsid w:val="3EE17838"/>
    <w:rsid w:val="3F55381A"/>
    <w:rsid w:val="3F7F7599"/>
    <w:rsid w:val="3FF4CAE0"/>
    <w:rsid w:val="3FF7B227"/>
    <w:rsid w:val="44E268DA"/>
    <w:rsid w:val="450D13D7"/>
    <w:rsid w:val="45506656"/>
    <w:rsid w:val="486A6C7A"/>
    <w:rsid w:val="4A627F82"/>
    <w:rsid w:val="4B0E749A"/>
    <w:rsid w:val="4B2477C4"/>
    <w:rsid w:val="4B4F25DA"/>
    <w:rsid w:val="4BE068DB"/>
    <w:rsid w:val="4D577224"/>
    <w:rsid w:val="4DBF1CEB"/>
    <w:rsid w:val="4DF0007C"/>
    <w:rsid w:val="4EAB630A"/>
    <w:rsid w:val="4ECE2238"/>
    <w:rsid w:val="4F833267"/>
    <w:rsid w:val="4FE9BD67"/>
    <w:rsid w:val="4FFB052F"/>
    <w:rsid w:val="537E6D0A"/>
    <w:rsid w:val="53F74C96"/>
    <w:rsid w:val="55170BA8"/>
    <w:rsid w:val="553218C9"/>
    <w:rsid w:val="567E1AA5"/>
    <w:rsid w:val="56E47B74"/>
    <w:rsid w:val="57175D52"/>
    <w:rsid w:val="57BD3DD4"/>
    <w:rsid w:val="5AF92295"/>
    <w:rsid w:val="5B250254"/>
    <w:rsid w:val="5BDD79E6"/>
    <w:rsid w:val="5BF561CA"/>
    <w:rsid w:val="5BFF5DFC"/>
    <w:rsid w:val="5CD71FC4"/>
    <w:rsid w:val="5D1F11B5"/>
    <w:rsid w:val="5D695134"/>
    <w:rsid w:val="5DAE1B18"/>
    <w:rsid w:val="5DE7D9E5"/>
    <w:rsid w:val="5ECEC941"/>
    <w:rsid w:val="5FBF9FF3"/>
    <w:rsid w:val="5FCD4E2C"/>
    <w:rsid w:val="5FEF394A"/>
    <w:rsid w:val="5FF67715"/>
    <w:rsid w:val="61B04CA1"/>
    <w:rsid w:val="62BF3928"/>
    <w:rsid w:val="63B3701E"/>
    <w:rsid w:val="647F5392"/>
    <w:rsid w:val="65E66580"/>
    <w:rsid w:val="664B1D71"/>
    <w:rsid w:val="664B4E8E"/>
    <w:rsid w:val="67277B67"/>
    <w:rsid w:val="67AA3209"/>
    <w:rsid w:val="698D0931"/>
    <w:rsid w:val="6A7FE5F3"/>
    <w:rsid w:val="6B053271"/>
    <w:rsid w:val="6BDD78B3"/>
    <w:rsid w:val="6C4A05C8"/>
    <w:rsid w:val="6C8742B8"/>
    <w:rsid w:val="6DBF5E93"/>
    <w:rsid w:val="6DFF077E"/>
    <w:rsid w:val="6E714EF0"/>
    <w:rsid w:val="6E7E3605"/>
    <w:rsid w:val="6E7FDCC7"/>
    <w:rsid w:val="6ED6A62E"/>
    <w:rsid w:val="6EE00B15"/>
    <w:rsid w:val="6F6FB3EB"/>
    <w:rsid w:val="6F8731EA"/>
    <w:rsid w:val="6FCE6052"/>
    <w:rsid w:val="6FD57C00"/>
    <w:rsid w:val="6FEFFFD8"/>
    <w:rsid w:val="6FF5CC65"/>
    <w:rsid w:val="6FFB47EC"/>
    <w:rsid w:val="6FFF034A"/>
    <w:rsid w:val="70484440"/>
    <w:rsid w:val="712A28F1"/>
    <w:rsid w:val="715C0E4B"/>
    <w:rsid w:val="71992E7C"/>
    <w:rsid w:val="72233669"/>
    <w:rsid w:val="72734D90"/>
    <w:rsid w:val="73160E6D"/>
    <w:rsid w:val="7332FE48"/>
    <w:rsid w:val="73AB61DA"/>
    <w:rsid w:val="73AD73D5"/>
    <w:rsid w:val="73B6EB34"/>
    <w:rsid w:val="73E337A7"/>
    <w:rsid w:val="73FA497D"/>
    <w:rsid w:val="744731E5"/>
    <w:rsid w:val="74BBD01D"/>
    <w:rsid w:val="74ED5379"/>
    <w:rsid w:val="75DEEEC2"/>
    <w:rsid w:val="75E32345"/>
    <w:rsid w:val="76E3355F"/>
    <w:rsid w:val="76FF5125"/>
    <w:rsid w:val="776F6FFA"/>
    <w:rsid w:val="778769C8"/>
    <w:rsid w:val="77A75DCA"/>
    <w:rsid w:val="77DC22F5"/>
    <w:rsid w:val="783E271A"/>
    <w:rsid w:val="78616DE9"/>
    <w:rsid w:val="78E875D7"/>
    <w:rsid w:val="79086DAD"/>
    <w:rsid w:val="79D7FD79"/>
    <w:rsid w:val="79EE5BA4"/>
    <w:rsid w:val="7A894339"/>
    <w:rsid w:val="7AD284E8"/>
    <w:rsid w:val="7AFF7572"/>
    <w:rsid w:val="7B6C7DFB"/>
    <w:rsid w:val="7BBFBED0"/>
    <w:rsid w:val="7BC3E394"/>
    <w:rsid w:val="7C1F3737"/>
    <w:rsid w:val="7CBFC87B"/>
    <w:rsid w:val="7CFE0F48"/>
    <w:rsid w:val="7D272ABC"/>
    <w:rsid w:val="7D7EC23E"/>
    <w:rsid w:val="7E8ADEBF"/>
    <w:rsid w:val="7EEF11D3"/>
    <w:rsid w:val="7EFE4840"/>
    <w:rsid w:val="7F0971A6"/>
    <w:rsid w:val="7F1D62E7"/>
    <w:rsid w:val="7F3F679B"/>
    <w:rsid w:val="7F4FC4EF"/>
    <w:rsid w:val="7F5E4D54"/>
    <w:rsid w:val="7F6E0135"/>
    <w:rsid w:val="7F79F205"/>
    <w:rsid w:val="7FA30C79"/>
    <w:rsid w:val="7FA79C44"/>
    <w:rsid w:val="7FAF8ABF"/>
    <w:rsid w:val="7FB7269E"/>
    <w:rsid w:val="7FC96657"/>
    <w:rsid w:val="7FDA9588"/>
    <w:rsid w:val="7FDF220F"/>
    <w:rsid w:val="7FEDC5F7"/>
    <w:rsid w:val="7FEDD9DE"/>
    <w:rsid w:val="7FF5890D"/>
    <w:rsid w:val="7FF93490"/>
    <w:rsid w:val="99FF2014"/>
    <w:rsid w:val="A6DD0D7F"/>
    <w:rsid w:val="ACFF4FBB"/>
    <w:rsid w:val="ADC6F725"/>
    <w:rsid w:val="B7CF06AB"/>
    <w:rsid w:val="B7CFA926"/>
    <w:rsid w:val="B7F8786B"/>
    <w:rsid w:val="BABB6AA1"/>
    <w:rsid w:val="BB2F4199"/>
    <w:rsid w:val="BCFFB442"/>
    <w:rsid w:val="BD079C78"/>
    <w:rsid w:val="BD733540"/>
    <w:rsid w:val="BF3735D5"/>
    <w:rsid w:val="BF7F09AC"/>
    <w:rsid w:val="BFD475C3"/>
    <w:rsid w:val="BFDE5EA6"/>
    <w:rsid w:val="CF6FC6F3"/>
    <w:rsid w:val="CFD3D3D7"/>
    <w:rsid w:val="CFDF1009"/>
    <w:rsid w:val="D7D7B16A"/>
    <w:rsid w:val="D8D6DB89"/>
    <w:rsid w:val="DB6F4CAB"/>
    <w:rsid w:val="DB777682"/>
    <w:rsid w:val="DD1FB521"/>
    <w:rsid w:val="DEFBFEAE"/>
    <w:rsid w:val="DF1F3B80"/>
    <w:rsid w:val="DF6F9789"/>
    <w:rsid w:val="DFE9BE81"/>
    <w:rsid w:val="DFFFA9E8"/>
    <w:rsid w:val="E5F4E9DC"/>
    <w:rsid w:val="E70FE695"/>
    <w:rsid w:val="EB2E368B"/>
    <w:rsid w:val="ECFED1BC"/>
    <w:rsid w:val="ED1D69BB"/>
    <w:rsid w:val="ED7FD312"/>
    <w:rsid w:val="EF2E1AC6"/>
    <w:rsid w:val="EF53993F"/>
    <w:rsid w:val="EF6FD633"/>
    <w:rsid w:val="EFBFB2F4"/>
    <w:rsid w:val="EFBFFA21"/>
    <w:rsid w:val="F2BEBCB8"/>
    <w:rsid w:val="F36FB518"/>
    <w:rsid w:val="F3DE1A04"/>
    <w:rsid w:val="F3F722E5"/>
    <w:rsid w:val="F4FBCD07"/>
    <w:rsid w:val="FA5F1E70"/>
    <w:rsid w:val="FA5FDB97"/>
    <w:rsid w:val="FB7F486A"/>
    <w:rsid w:val="FBFF5B2E"/>
    <w:rsid w:val="FD7FFE2B"/>
    <w:rsid w:val="FDEE196B"/>
    <w:rsid w:val="FDFE6575"/>
    <w:rsid w:val="FEDFDDC2"/>
    <w:rsid w:val="FEED32F6"/>
    <w:rsid w:val="FEF781DD"/>
    <w:rsid w:val="FF3F7E3F"/>
    <w:rsid w:val="FFBA12D7"/>
    <w:rsid w:val="FFCBD314"/>
    <w:rsid w:val="FFDFF91C"/>
    <w:rsid w:val="FFDFFAEE"/>
    <w:rsid w:val="FFEF6777"/>
    <w:rsid w:val="FFF9B57B"/>
    <w:rsid w:val="FFFD61D9"/>
    <w:rsid w:val="FFFD8F59"/>
    <w:rsid w:val="FFFF2BB1"/>
    <w:rsid w:val="FFFFB04D"/>
  </w:rsids>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28"/>
    <w:qFormat/>
    <w:uiPriority w:val="9"/>
    <w:pPr>
      <w:keepNext/>
      <w:keepLines/>
      <w:spacing w:before="340" w:after="330" w:line="578" w:lineRule="auto"/>
      <w:outlineLvl w:val="0"/>
    </w:pPr>
    <w:rPr>
      <w:b/>
      <w:bCs/>
      <w:kern w:val="44"/>
      <w:sz w:val="44"/>
      <w:szCs w:val="44"/>
    </w:rPr>
  </w:style>
  <w:style w:type="paragraph" w:styleId="5">
    <w:name w:val="heading 2"/>
    <w:basedOn w:val="1"/>
    <w:next w:val="1"/>
    <w:link w:val="29"/>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6">
    <w:name w:val="heading 3"/>
    <w:basedOn w:val="1"/>
    <w:next w:val="1"/>
    <w:link w:val="32"/>
    <w:unhideWhenUsed/>
    <w:qFormat/>
    <w:uiPriority w:val="9"/>
    <w:pPr>
      <w:keepNext/>
      <w:keepLines/>
      <w:spacing w:before="260" w:after="260" w:line="416" w:lineRule="auto"/>
      <w:outlineLvl w:val="2"/>
    </w:pPr>
    <w:rPr>
      <w:b/>
      <w:bCs/>
      <w:sz w:val="32"/>
      <w:szCs w:val="32"/>
    </w:rPr>
  </w:style>
  <w:style w:type="character" w:default="1" w:styleId="15">
    <w:name w:val="Default Paragraph Font"/>
    <w:unhideWhenUsed/>
    <w:uiPriority w:val="1"/>
  </w:style>
  <w:style w:type="table" w:default="1" w:styleId="18">
    <w:name w:val="Normal Table"/>
    <w:unhideWhenUsed/>
    <w:qFormat/>
    <w:uiPriority w:val="99"/>
    <w:tblPr>
      <w:tblLayout w:type="fixed"/>
      <w:tblCellMar>
        <w:top w:w="0" w:type="dxa"/>
        <w:left w:w="108" w:type="dxa"/>
        <w:bottom w:w="0" w:type="dxa"/>
        <w:right w:w="108" w:type="dxa"/>
      </w:tblCellMar>
    </w:tblPr>
  </w:style>
  <w:style w:type="paragraph" w:styleId="2">
    <w:name w:val="Body Text First Indent 2"/>
    <w:basedOn w:val="3"/>
    <w:unhideWhenUsed/>
    <w:qFormat/>
    <w:uiPriority w:val="99"/>
    <w:pPr>
      <w:ind w:firstLine="420" w:firstLineChars="200"/>
    </w:pPr>
  </w:style>
  <w:style w:type="paragraph" w:styleId="3">
    <w:name w:val="Body Text Indent"/>
    <w:basedOn w:val="1"/>
    <w:next w:val="2"/>
    <w:qFormat/>
    <w:uiPriority w:val="0"/>
    <w:pPr>
      <w:spacing w:after="120"/>
      <w:ind w:left="200" w:leftChars="200"/>
    </w:pPr>
    <w:rPr>
      <w:rFonts w:ascii="仿宋_GB2312"/>
      <w:szCs w:val="32"/>
    </w:rPr>
  </w:style>
  <w:style w:type="paragraph" w:styleId="7">
    <w:name w:val="Body Text"/>
    <w:basedOn w:val="1"/>
    <w:link w:val="25"/>
    <w:qFormat/>
    <w:uiPriority w:val="99"/>
    <w:pPr>
      <w:spacing w:beforeLines="30"/>
    </w:pPr>
    <w:rPr>
      <w:rFonts w:ascii="仿宋_GB2312" w:eastAsia="仿宋_GB2312"/>
      <w:kern w:val="0"/>
      <w:sz w:val="30"/>
    </w:rPr>
  </w:style>
  <w:style w:type="paragraph" w:styleId="8">
    <w:name w:val="toc 3"/>
    <w:basedOn w:val="1"/>
    <w:next w:val="1"/>
    <w:unhideWhenUsed/>
    <w:qFormat/>
    <w:uiPriority w:val="39"/>
    <w:pPr>
      <w:tabs>
        <w:tab w:val="right" w:leader="dot" w:pos="8296"/>
      </w:tabs>
      <w:ind w:left="840" w:leftChars="400"/>
    </w:pPr>
  </w:style>
  <w:style w:type="paragraph" w:styleId="9">
    <w:name w:val="Balloon Text"/>
    <w:basedOn w:val="1"/>
    <w:link w:val="31"/>
    <w:unhideWhenUsed/>
    <w:qFormat/>
    <w:uiPriority w:val="99"/>
    <w:rPr>
      <w:sz w:val="18"/>
      <w:szCs w:val="18"/>
    </w:rPr>
  </w:style>
  <w:style w:type="paragraph" w:styleId="10">
    <w:name w:val="footer"/>
    <w:basedOn w:val="1"/>
    <w:link w:val="23"/>
    <w:qFormat/>
    <w:uiPriority w:val="99"/>
    <w:pPr>
      <w:tabs>
        <w:tab w:val="center" w:pos="4153"/>
        <w:tab w:val="right" w:pos="8306"/>
      </w:tabs>
      <w:snapToGrid w:val="0"/>
      <w:jc w:val="left"/>
    </w:pPr>
    <w:rPr>
      <w:rFonts w:ascii="Calibri" w:hAnsi="Calibri"/>
      <w:kern w:val="0"/>
      <w:sz w:val="18"/>
      <w:szCs w:val="18"/>
    </w:rPr>
  </w:style>
  <w:style w:type="paragraph" w:styleId="11">
    <w:name w:val="header"/>
    <w:basedOn w:val="1"/>
    <w:link w:val="21"/>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2">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3">
    <w:name w:val="footnote text"/>
    <w:basedOn w:val="1"/>
    <w:next w:val="2"/>
    <w:semiHidden/>
    <w:qFormat/>
    <w:uiPriority w:val="0"/>
    <w:pPr>
      <w:snapToGrid w:val="0"/>
      <w:jc w:val="left"/>
    </w:pPr>
    <w:rPr>
      <w:sz w:val="18"/>
      <w:szCs w:val="18"/>
    </w:rPr>
  </w:style>
  <w:style w:type="paragraph" w:styleId="14">
    <w:name w:val="toc 2"/>
    <w:basedOn w:val="1"/>
    <w:next w:val="1"/>
    <w:unhideWhenUsed/>
    <w:qFormat/>
    <w:uiPriority w:val="39"/>
    <w:pPr>
      <w:tabs>
        <w:tab w:val="right" w:leader="dot" w:pos="8296"/>
      </w:tabs>
      <w:ind w:left="420" w:leftChars="200"/>
    </w:pPr>
  </w:style>
  <w:style w:type="character" w:styleId="16">
    <w:name w:val="Strong"/>
    <w:basedOn w:val="15"/>
    <w:qFormat/>
    <w:uiPriority w:val="99"/>
    <w:rPr>
      <w:b/>
    </w:rPr>
  </w:style>
  <w:style w:type="character" w:styleId="17">
    <w:name w:val="Hyperlink"/>
    <w:basedOn w:val="15"/>
    <w:unhideWhenUsed/>
    <w:qFormat/>
    <w:uiPriority w:val="99"/>
    <w:rPr>
      <w:color w:val="0000FF" w:themeColor="hyperlink"/>
      <w:u w:val="single"/>
      <w14:textFill>
        <w14:solidFill>
          <w14:schemeClr w14:val="hlink"/>
        </w14:solidFill>
      </w14:textFill>
    </w:rPr>
  </w:style>
  <w:style w:type="paragraph" w:customStyle="1" w:styleId="19">
    <w:name w:val="标题 5（有编号）（绿盟科技）"/>
    <w:next w:val="1"/>
    <w:qFormat/>
    <w:uiPriority w:val="99"/>
    <w:pPr>
      <w:keepNext/>
      <w:keepLines/>
      <w:widowControl w:val="0"/>
      <w:spacing w:before="280" w:after="156" w:line="377" w:lineRule="auto"/>
      <w:outlineLvl w:val="4"/>
    </w:pPr>
    <w:rPr>
      <w:rFonts w:ascii="Arial" w:hAnsi="Arial" w:eastAsia="黑体" w:cs="Times New Roman"/>
      <w:b/>
      <w:kern w:val="2"/>
      <w:sz w:val="24"/>
      <w:szCs w:val="28"/>
      <w:lang w:val="en-US" w:eastAsia="zh-CN" w:bidi="ar-SA"/>
    </w:rPr>
  </w:style>
  <w:style w:type="character" w:customStyle="1" w:styleId="20">
    <w:name w:val="Header Char"/>
    <w:basedOn w:val="15"/>
    <w:semiHidden/>
    <w:qFormat/>
    <w:uiPriority w:val="99"/>
    <w:rPr>
      <w:rFonts w:ascii="Times New Roman" w:hAnsi="Times New Roman"/>
      <w:sz w:val="18"/>
      <w:szCs w:val="18"/>
    </w:rPr>
  </w:style>
  <w:style w:type="character" w:customStyle="1" w:styleId="21">
    <w:name w:val="页眉 Char"/>
    <w:link w:val="11"/>
    <w:semiHidden/>
    <w:qFormat/>
    <w:locked/>
    <w:uiPriority w:val="99"/>
    <w:rPr>
      <w:sz w:val="18"/>
    </w:rPr>
  </w:style>
  <w:style w:type="character" w:customStyle="1" w:styleId="22">
    <w:name w:val="Footer Char"/>
    <w:basedOn w:val="15"/>
    <w:semiHidden/>
    <w:qFormat/>
    <w:uiPriority w:val="99"/>
    <w:rPr>
      <w:rFonts w:ascii="Times New Roman" w:hAnsi="Times New Roman"/>
      <w:sz w:val="18"/>
      <w:szCs w:val="18"/>
    </w:rPr>
  </w:style>
  <w:style w:type="character" w:customStyle="1" w:styleId="23">
    <w:name w:val="页脚 Char"/>
    <w:link w:val="10"/>
    <w:qFormat/>
    <w:locked/>
    <w:uiPriority w:val="99"/>
    <w:rPr>
      <w:sz w:val="18"/>
    </w:rPr>
  </w:style>
  <w:style w:type="character" w:customStyle="1" w:styleId="24">
    <w:name w:val="Body Text Char"/>
    <w:basedOn w:val="15"/>
    <w:semiHidden/>
    <w:qFormat/>
    <w:uiPriority w:val="99"/>
    <w:rPr>
      <w:rFonts w:ascii="Times New Roman" w:hAnsi="Times New Roman"/>
      <w:szCs w:val="24"/>
    </w:rPr>
  </w:style>
  <w:style w:type="character" w:customStyle="1" w:styleId="25">
    <w:name w:val="正文文本 Char"/>
    <w:link w:val="7"/>
    <w:qFormat/>
    <w:locked/>
    <w:uiPriority w:val="99"/>
    <w:rPr>
      <w:rFonts w:ascii="仿宋_GB2312" w:hAnsi="Times New Roman" w:eastAsia="仿宋_GB2312"/>
      <w:sz w:val="24"/>
    </w:rPr>
  </w:style>
  <w:style w:type="paragraph" w:customStyle="1" w:styleId="26">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27">
    <w:name w:val="List Paragraph"/>
    <w:basedOn w:val="1"/>
    <w:qFormat/>
    <w:uiPriority w:val="34"/>
    <w:pPr>
      <w:ind w:firstLine="420" w:firstLineChars="200"/>
    </w:pPr>
  </w:style>
  <w:style w:type="character" w:customStyle="1" w:styleId="28">
    <w:name w:val="标题 1 Char"/>
    <w:basedOn w:val="15"/>
    <w:link w:val="4"/>
    <w:qFormat/>
    <w:uiPriority w:val="9"/>
    <w:rPr>
      <w:rFonts w:ascii="Times New Roman" w:hAnsi="Times New Roman"/>
      <w:b/>
      <w:bCs/>
      <w:kern w:val="44"/>
      <w:sz w:val="44"/>
      <w:szCs w:val="44"/>
    </w:rPr>
  </w:style>
  <w:style w:type="character" w:customStyle="1" w:styleId="29">
    <w:name w:val="标题 2 Char"/>
    <w:basedOn w:val="15"/>
    <w:link w:val="5"/>
    <w:qFormat/>
    <w:uiPriority w:val="9"/>
    <w:rPr>
      <w:rFonts w:asciiTheme="majorHAnsi" w:hAnsiTheme="majorHAnsi" w:eastAsiaTheme="majorEastAsia" w:cstheme="majorBidi"/>
      <w:b/>
      <w:bCs/>
      <w:kern w:val="2"/>
      <w:sz w:val="32"/>
      <w:szCs w:val="32"/>
    </w:rPr>
  </w:style>
  <w:style w:type="paragraph" w:customStyle="1" w:styleId="30">
    <w:name w:val="TOC 标题1"/>
    <w:basedOn w:val="4"/>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1">
    <w:name w:val="批注框文本 Char"/>
    <w:basedOn w:val="15"/>
    <w:link w:val="9"/>
    <w:semiHidden/>
    <w:qFormat/>
    <w:uiPriority w:val="99"/>
    <w:rPr>
      <w:rFonts w:ascii="Times New Roman" w:hAnsi="Times New Roman"/>
      <w:kern w:val="2"/>
      <w:sz w:val="18"/>
      <w:szCs w:val="18"/>
    </w:rPr>
  </w:style>
  <w:style w:type="character" w:customStyle="1" w:styleId="32">
    <w:name w:val="标题 3 Char"/>
    <w:basedOn w:val="15"/>
    <w:link w:val="6"/>
    <w:qFormat/>
    <w:uiPriority w:val="9"/>
    <w:rPr>
      <w:rFonts w:ascii="Times New Roman" w:hAnsi="Times New Roman"/>
      <w:b/>
      <w:bCs/>
      <w:kern w:val="2"/>
      <w:sz w:val="32"/>
      <w:szCs w:val="32"/>
    </w:rPr>
  </w:style>
  <w:style w:type="paragraph" w:customStyle="1" w:styleId="33">
    <w:name w:val="TOC 标题2"/>
    <w:basedOn w:val="4"/>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34">
    <w:name w:val="四号正文"/>
    <w:basedOn w:val="1"/>
    <w:qFormat/>
    <w:uiPriority w:val="0"/>
    <w:pPr>
      <w:spacing w:line="360" w:lineRule="auto"/>
    </w:pPr>
    <w:rPr>
      <w:rFonts w:ascii="??" w:hAnsi="??"/>
      <w:color w:val="000000"/>
      <w:kern w:val="0"/>
      <w:sz w:val="28"/>
      <w:szCs w:val="21"/>
      <w:lang w:val="zh-CN"/>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customXml" Target="../customXml/item2.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chart" Target="charts/chart7.xml"/><Relationship Id="rId15" Type="http://schemas.openxmlformats.org/officeDocument/2006/relationships/chart" Target="charts/chart6.xml"/><Relationship Id="rId14" Type="http://schemas.openxmlformats.org/officeDocument/2006/relationships/chart" Target="charts/chart5.xml"/><Relationship Id="rId13" Type="http://schemas.openxmlformats.org/officeDocument/2006/relationships/chart" Target="charts/chart4.xml"/><Relationship Id="rId12" Type="http://schemas.openxmlformats.org/officeDocument/2006/relationships/chart" Target="charts/chart3.xml"/><Relationship Id="rId11" Type="http://schemas.openxmlformats.org/officeDocument/2006/relationships/chart" Target="charts/chart2.xml"/><Relationship Id="rId10" Type="http://schemas.openxmlformats.org/officeDocument/2006/relationships/chart" Target="charts/chart1.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3.xlsx"/></Relationships>
</file>

<file path=word/charts/_rels/chart2.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oleObject" Target="file:///F:\C&#30424;\Desktop\&#26032;&#24314; Microsoft Excel &#24037;&#20316;&#34920;.xlsx" TargetMode="External"/></Relationships>
</file>

<file path=word/charts/_rels/chart3.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oleObject" Target="file:///F:\C&#30424;\Desktop\&#26032;&#24314; Microsoft Excel &#24037;&#20316;&#34920;.xlsx" TargetMode="External"/></Relationships>
</file>

<file path=word/charts/_rels/chart4.xml.rels><?xml version="1.0" encoding="UTF-8" standalone="yes"?>
<Relationships xmlns="http://schemas.openxmlformats.org/package/2006/relationships"><Relationship Id="rId1" Type="http://schemas.openxmlformats.org/officeDocument/2006/relationships/package" Target="../embeddings/Workbook2.xlsx"/></Relationships>
</file>

<file path=word/charts/_rels/chart5.xml.rels><?xml version="1.0" encoding="UTF-8" standalone="yes"?>
<Relationships xmlns="http://schemas.openxmlformats.org/package/2006/relationships"><Relationship Id="rId1" Type="http://schemas.openxmlformats.org/officeDocument/2006/relationships/package" Target="../embeddings/Workbook1.xlsx"/></Relationships>
</file>

<file path=word/charts/_rels/chart6.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file:///F:\C&#30424;\Desktop\&#26032;&#24314; Microsoft Excel &#24037;&#20316;&#34920;.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C:\Users\Administrator\Desktop\&#20915;&#31639;&#22270;.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vertOverflow="ellipsis" anchor="ctr" anchorCtr="1"/>
          <a:lstStyle/>
          <a:p>
            <a:pPr algn="ctr">
              <a:defRPr sz="1800" b="1">
                <a:solidFill>
                  <a:schemeClr val="tx1"/>
                </a:solidFill>
                <a:latin typeface="+mn-lt"/>
                <a:ea typeface="+mn-ea"/>
                <a:cs typeface="+mn-cs"/>
              </a:defRPr>
            </a:pPr>
            <a:r>
              <a:rPr lang="zh-CN" altLang="zh-CN" sz="1800" b="0" i="0" u="none" strike="noStrike" baseline="0">
                <a:effectLst/>
                <a:latin typeface="宋体 (正文)"/>
              </a:rPr>
              <a:t>财政拨款收、支决算总计变动情况</a:t>
            </a:r>
            <a:endParaRPr lang="en-US" altLang="zh-CN">
              <a:latin typeface="宋体 (正文)"/>
            </a:endParaRPr>
          </a:p>
          <a:p>
            <a:pPr algn="ctr">
              <a:defRPr sz="1800" b="1">
                <a:solidFill>
                  <a:schemeClr val="tx1"/>
                </a:solidFill>
                <a:latin typeface="+mn-lt"/>
                <a:ea typeface="+mn-ea"/>
                <a:cs typeface="+mn-cs"/>
              </a:defRPr>
            </a:pPr>
            <a:r>
              <a:rPr lang="zh-CN" altLang="en-US" b="0"/>
              <a:t>金额（万元）</a:t>
            </a:r>
            <a:endParaRPr lang="zh-CN" altLang="en-US" b="0"/>
          </a:p>
        </c:rich>
      </c:tx>
      <c:layout/>
      <c:overlay val="0"/>
      <c:spPr>
        <a:noFill/>
        <a:ln>
          <a:noFill/>
        </a:ln>
        <a:effectLst/>
      </c:spPr>
    </c:title>
    <c:autoTitleDeleted val="0"/>
    <c:plotArea>
      <c:layout/>
      <c:barChart>
        <c:barDir val="col"/>
        <c:grouping val="clustered"/>
        <c:varyColors val="0"/>
        <c:ser>
          <c:idx val="0"/>
          <c:order val="0"/>
          <c:tx>
            <c:strRef>
              <c:f>Sheet1!$B$1</c:f>
              <c:strCache>
                <c:ptCount val="1"/>
                <c:pt idx="0">
                  <c:v>金额（万元）</c:v>
                </c:pt>
              </c:strCache>
            </c:strRef>
          </c:tx>
          <c:spPr>
            <a:solidFill>
              <a:schemeClr val="accent1"/>
            </a:solidFill>
            <a:ln>
              <a:noFill/>
            </a:ln>
            <a:effectLst/>
          </c:spPr>
          <c:invertIfNegative val="0"/>
          <c:dLbls>
            <c:numFmt formatCode="General" sourceLinked="1"/>
            <c:txPr>
              <a:bodyPr rot="0" spcFirstLastPara="0" vertOverflow="ellipsis" horzOverflow="overflow" vert="horz" wrap="square" anchor="ctr" anchorCtr="1"/>
              <a:lstStyle/>
              <a:p>
                <a:pPr>
                  <a:defRPr sz="1000" b="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spPr>
                    <a:noFill/>
                    <a:ln w="9525" cap="flat" cmpd="sng" algn="ctr">
                      <a:solidFill>
                        <a:schemeClr val="tx1"/>
                      </a:solidFill>
                      <a:prstDash val="solid"/>
                    </a:ln>
                    <a:effectLst/>
                  </c:spPr>
                </c15:leaderLines>
              </c:ext>
            </c:extLst>
          </c:dLbls>
          <c:cat>
            <c:strRef>
              <c:f>Sheet1!$A$2:$A$5</c:f>
              <c:strCache>
                <c:ptCount val="4"/>
                <c:pt idx="1">
                  <c:v>2023年</c:v>
                </c:pt>
                <c:pt idx="3">
                  <c:v>2024年</c:v>
                </c:pt>
              </c:strCache>
            </c:strRef>
          </c:cat>
          <c:val>
            <c:numRef>
              <c:f>Sheet1!$B$2:$B$5</c:f>
              <c:numCache>
                <c:formatCode>General</c:formatCode>
                <c:ptCount val="4"/>
                <c:pt idx="1" c:formatCode="General">
                  <c:v>1934.76</c:v>
                </c:pt>
                <c:pt idx="3" c:formatCode="General">
                  <c:v>1611.05</c:v>
                </c:pt>
              </c:numCache>
            </c:numRef>
          </c:val>
        </c:ser>
        <c:dLbls>
          <c:dLblPos val="outEnd"/>
          <c:showLegendKey val="0"/>
          <c:showVal val="0"/>
          <c:showCatName val="0"/>
          <c:showSerName val="0"/>
          <c:showPercent val="0"/>
          <c:showBubbleSize val="0"/>
        </c:dLbls>
        <c:gapWidth val="150"/>
        <c:axId val="147342848"/>
        <c:axId val="144787712"/>
      </c:barChart>
      <c:catAx>
        <c:axId val="147342848"/>
        <c:scaling>
          <c:orientation val="minMax"/>
        </c:scaling>
        <c:delete val="0"/>
        <c:axPos val="b"/>
        <c:numFmt formatCode="General" sourceLinked="1"/>
        <c:majorTickMark val="out"/>
        <c:minorTickMark val="none"/>
        <c:tickLblPos val="nextTo"/>
        <c:spPr>
          <a:noFill/>
          <a:ln>
            <a:solidFill>
              <a:schemeClr val="tx1">
                <a:lumMod val="50000"/>
                <a:lumOff val="50000"/>
              </a:schemeClr>
            </a:solidFill>
          </a:ln>
          <a:effectLst/>
        </c:spPr>
        <c:txPr>
          <a:bodyPr rot="-60000000" spcFirstLastPara="0" vertOverflow="ellipsis" horzOverflow="overflow" vert="horz" wrap="square" anchor="ctr" anchorCtr="1"/>
          <a:lstStyle/>
          <a:p>
            <a:pPr>
              <a:defRPr sz="1000" b="0">
                <a:solidFill>
                  <a:schemeClr val="tx1"/>
                </a:solidFill>
                <a:latin typeface="+mn-lt"/>
                <a:ea typeface="+mn-ea"/>
                <a:cs typeface="+mn-cs"/>
              </a:defRPr>
            </a:pPr>
          </a:p>
        </c:txPr>
        <c:crossAx val="144787712"/>
        <c:crosses val="autoZero"/>
        <c:auto val="1"/>
        <c:lblAlgn val="ctr"/>
        <c:lblOffset val="100"/>
        <c:tickMarkSkip val="1"/>
        <c:noMultiLvlLbl val="0"/>
      </c:catAx>
      <c:valAx>
        <c:axId val="144787712"/>
        <c:scaling>
          <c:orientation val="minMax"/>
          <c:max val="2000"/>
          <c:min val="1200"/>
        </c:scaling>
        <c:delete val="0"/>
        <c:axPos val="l"/>
        <c:majorGridlines>
          <c:spPr>
            <a:noFill/>
            <a:ln>
              <a:solidFill>
                <a:schemeClr val="tx1">
                  <a:lumMod val="50000"/>
                  <a:lumOff val="50000"/>
                </a:schemeClr>
              </a:solidFill>
            </a:ln>
            <a:effectLst/>
          </c:spPr>
        </c:majorGridlines>
        <c:numFmt formatCode="#,##0.00_);[Red]\(#,##0.00\)" sourceLinked="0"/>
        <c:majorTickMark val="out"/>
        <c:minorTickMark val="none"/>
        <c:tickLblPos val="nextTo"/>
        <c:spPr>
          <a:noFill/>
          <a:ln>
            <a:solidFill>
              <a:schemeClr val="tx1">
                <a:lumMod val="50000"/>
                <a:lumOff val="50000"/>
              </a:schemeClr>
            </a:solidFill>
          </a:ln>
          <a:effectLst/>
        </c:spPr>
        <c:txPr>
          <a:bodyPr rot="-60000000" spcFirstLastPara="0" vertOverflow="ellipsis" horzOverflow="overflow" vert="horz" wrap="square" anchor="ctr" anchorCtr="1"/>
          <a:lstStyle/>
          <a:p>
            <a:pPr>
              <a:defRPr sz="1000" b="0">
                <a:solidFill>
                  <a:schemeClr val="tx1"/>
                </a:solidFill>
                <a:latin typeface="+mn-lt"/>
                <a:ea typeface="+mn-ea"/>
                <a:cs typeface="+mn-cs"/>
              </a:defRPr>
            </a:pPr>
          </a:p>
        </c:txPr>
        <c:crossAx val="147342848"/>
        <c:crosses val="autoZero"/>
        <c:crossBetween val="between"/>
        <c:majorUnit val="100"/>
        <c:minorUnit val="0.1"/>
      </c:valAx>
      <c:spPr>
        <a:solidFill>
          <a:schemeClr val="bg1"/>
        </a:solidFill>
        <a:ln>
          <a:noFill/>
        </a:ln>
        <a:effectLst/>
      </c:spPr>
    </c:plotArea>
    <c:plotVisOnly val="1"/>
    <c:dispBlanksAs val="gap"/>
    <c:showDLblsOverMax val="0"/>
  </c:chart>
  <c:spPr>
    <a:solidFill>
      <a:schemeClr val="bg1"/>
    </a:solidFill>
    <a:ln w="9525" cap="flat" cmpd="sng" algn="ctr">
      <a:solidFill>
        <a:schemeClr val="tx1">
          <a:tint val="75000"/>
        </a:schemeClr>
      </a:solidFill>
      <a:prstDash val="solid"/>
    </a:ln>
    <a:effectLst/>
  </c:spPr>
  <c:txPr>
    <a:bodyPr rot="0" spcFirstLastPara="0" vertOverflow="ellipsis" horzOverflow="overflow" vert="horz" wrap="square" anchor="ctr" anchorCtr="1"/>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vertOverflow="ellipsis" anchor="ctr" anchorCtr="1"/>
          <a:lstStyle/>
          <a:p>
            <a:pPr algn="ctr" defTabSz="914400">
              <a:defRPr sz="1400" b="0" kern="1200" spc="0" baseline="0">
                <a:solidFill>
                  <a:schemeClr val="tx1">
                    <a:lumMod val="65000"/>
                    <a:lumOff val="35000"/>
                  </a:schemeClr>
                </a:solidFill>
                <a:latin typeface="+mn-lt"/>
                <a:ea typeface="+mn-ea"/>
                <a:cs typeface="+mn-cs"/>
              </a:defRPr>
            </a:pPr>
            <a:endParaRPr sz="1400" b="0" i="0" u="none" strike="noStrike" kern="1200" cap="none" spc="0" normalizeH="0" baseline="0">
              <a:solidFill>
                <a:schemeClr val="tx1">
                  <a:lumMod val="65000"/>
                  <a:lumOff val="35000"/>
                </a:schemeClr>
              </a:solidFill>
              <a:effectLst/>
              <a:latin typeface="+mn-lt"/>
              <a:ea typeface="+mn-ea"/>
              <a:cs typeface="+mn-cs"/>
            </a:endParaRPr>
          </a:p>
          <a:p>
            <a:pPr algn="ctr" defTabSz="914400">
              <a:defRPr sz="1400" b="0" kern="1200" spc="0" baseline="0">
                <a:solidFill>
                  <a:schemeClr val="tx1">
                    <a:lumMod val="65000"/>
                    <a:lumOff val="35000"/>
                  </a:schemeClr>
                </a:solidFill>
                <a:latin typeface="+mn-lt"/>
                <a:ea typeface="+mn-ea"/>
                <a:cs typeface="+mn-cs"/>
              </a:defRPr>
            </a:pPr>
            <a:r>
              <a:rPr sz="1400" i="0" u="none" strike="noStrike" kern="1200" cap="none" spc="0" normalizeH="0" baseline="0">
                <a:solidFill>
                  <a:schemeClr val="tx1">
                    <a:lumMod val="65000"/>
                    <a:lumOff val="35000"/>
                  </a:schemeClr>
                </a:solidFill>
                <a:effectLst/>
                <a:latin typeface="宋体" charset="0"/>
                <a:ea typeface="宋体" charset="0"/>
                <a:cs typeface="+mn-cs"/>
              </a:rPr>
              <a:t>收入决算结构图</a:t>
            </a:r>
            <a:endParaRPr sz="1400" i="0" u="none" strike="noStrike" kern="1200" cap="none" spc="0" normalizeH="0" baseline="0">
              <a:solidFill>
                <a:schemeClr val="tx1">
                  <a:lumMod val="65000"/>
                  <a:lumOff val="35000"/>
                </a:schemeClr>
              </a:solidFill>
              <a:effectLst/>
              <a:latin typeface="宋体" charset="0"/>
              <a:ea typeface="宋体" charset="0"/>
              <a:cs typeface="+mn-cs"/>
            </a:endParaRPr>
          </a:p>
          <a:p>
            <a:pPr algn="ctr" defTabSz="914400">
              <a:defRPr sz="1400" b="0" kern="1200" spc="0" baseline="0">
                <a:solidFill>
                  <a:schemeClr val="tx1">
                    <a:lumMod val="65000"/>
                    <a:lumOff val="35000"/>
                  </a:schemeClr>
                </a:solidFill>
                <a:latin typeface="+mn-lt"/>
                <a:ea typeface="+mn-ea"/>
                <a:cs typeface="+mn-cs"/>
              </a:defRPr>
            </a:pPr>
            <a:r>
              <a:rPr altLang="zh-CN" sz="1400" i="0" u="none" strike="noStrike" kern="1200" cap="none" spc="0" normalizeH="0" baseline="0">
                <a:solidFill>
                  <a:schemeClr val="tx1">
                    <a:lumMod val="65000"/>
                    <a:lumOff val="35000"/>
                  </a:schemeClr>
                </a:solidFill>
                <a:effectLst/>
                <a:latin typeface="宋体" charset="0"/>
                <a:ea typeface="宋体" charset="0"/>
                <a:cs typeface="+mn-cs"/>
              </a:rPr>
              <a:t>单位（万元）</a:t>
            </a:r>
            <a:endParaRPr altLang="zh-CN" sz="1400" i="0" u="none" strike="noStrike" kern="1200" cap="none" spc="0" normalizeH="0" baseline="0">
              <a:solidFill>
                <a:schemeClr val="tx1">
                  <a:lumMod val="65000"/>
                  <a:lumOff val="35000"/>
                </a:schemeClr>
              </a:solidFill>
              <a:effectLst/>
              <a:latin typeface="宋体" charset="0"/>
              <a:ea typeface="宋体" charset="0"/>
              <a:cs typeface="+mn-cs"/>
            </a:endParaRPr>
          </a:p>
        </c:rich>
      </c:tx>
      <c:layout/>
      <c:overlay val="0"/>
      <c:spPr>
        <a:noFill/>
        <a:ln>
          <a:noFill/>
        </a:ln>
        <a:effectLst/>
      </c:spPr>
    </c:title>
    <c:autoTitleDeleted val="0"/>
    <c:plotArea>
      <c:layout/>
      <c:pieChart>
        <c:varyColors val="1"/>
        <c:ser>
          <c:idx val="0"/>
          <c:order val="0"/>
          <c:spPr>
            <a:effectLst/>
          </c:spPr>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numFmt formatCode="General" sourceLinked="1"/>
            <c:spPr>
              <a:noFill/>
              <a:ln>
                <a:noFill/>
              </a:ln>
              <a:effectLst/>
            </c:spPr>
            <c:txPr>
              <a:bodyPr rot="0" spcFirstLastPara="0" vertOverflow="ellipsis" horzOverflow="overflow" vert="horz" wrap="square" anchor="ctr" anchorCtr="1"/>
              <a:lstStyle/>
              <a:p>
                <a:pPr>
                  <a:defRPr sz="900" kern="120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noFill/>
                    <a:ln w="9525" cap="flat" cmpd="sng" algn="ctr">
                      <a:solidFill>
                        <a:schemeClr val="tx1">
                          <a:lumMod val="35000"/>
                          <a:lumOff val="65000"/>
                        </a:schemeClr>
                      </a:solidFill>
                      <a:round/>
                    </a:ln>
                    <a:effectLst/>
                  </c:spPr>
                </c15:leaderLines>
              </c:ext>
            </c:extLst>
          </c:dLbls>
          <c:cat>
            <c:strRef>
              <c:f>'[新建 Microsoft Excel 工作表.xlsx]Sheet1'!$A$2:$A$3</c:f>
              <c:strCache>
                <c:ptCount val="2"/>
                <c:pt idx="0">
                  <c:v>一般公共预算财政拨款收入</c:v>
                </c:pt>
                <c:pt idx="1">
                  <c:v>政府性基金预算财政拨款收入</c:v>
                </c:pt>
              </c:strCache>
            </c:strRef>
          </c:cat>
          <c:val>
            <c:numRef>
              <c:f>'[新建 Microsoft Excel 工作表.xlsx]Sheet1'!$B$2:$B$3</c:f>
              <c:numCache>
                <c:formatCode>General</c:formatCode>
                <c:ptCount val="2"/>
                <c:pt idx="0" c:formatCode="General">
                  <c:v>1461.84</c:v>
                </c:pt>
                <c:pt idx="1" c:formatCode="General">
                  <c:v>71.76</c:v>
                </c:pt>
              </c:numCache>
            </c:numRef>
          </c:val>
        </c:ser>
        <c:dLbls>
          <c:dLblPos val="bestFit"/>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horzOverflow="overflow" vert="horz" wrap="square" anchor="ctr" anchorCtr="1"/>
        <a:lstStyle/>
        <a:p>
          <a:pPr>
            <a:defRPr sz="900" kern="120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rot="0" spcFirstLastPara="0" vertOverflow="ellipsis" horzOverflow="overflow" vert="horz" wrap="square" anchor="ctr" anchorCtr="1"/>
    <a:lstStyle/>
    <a:p>
      <a:pPr>
        <a:defRPr lang="zh-CN" sz="900" kern="1200">
          <a:solidFill>
            <a:schemeClr val="tx1"/>
          </a:solidFill>
          <a:latin typeface="+mn-lt"/>
          <a:ea typeface="+mn-ea"/>
          <a:cs typeface="+mn-cs"/>
        </a:defRPr>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horzOverflow="overflow" vert="horz" wrap="square" anchor="ctr" anchorCtr="1"/>
          <a:lstStyle/>
          <a:p>
            <a:pPr algn="ctr" defTabSz="914400">
              <a:defRPr sz="1800" b="0" kern="1200" spc="0" baseline="0">
                <a:solidFill>
                  <a:schemeClr val="tx1">
                    <a:lumMod val="65000"/>
                    <a:lumOff val="35000"/>
                  </a:schemeClr>
                </a:solidFill>
                <a:latin typeface="+mn-lt"/>
                <a:ea typeface="+mn-ea"/>
                <a:cs typeface="+mn-cs"/>
              </a:defRPr>
            </a:pPr>
            <a:r>
              <a:rPr sz="1800">
                <a:latin typeface="宋体" charset="0"/>
                <a:ea typeface="宋体" charset="0"/>
              </a:rPr>
              <a:t>财政拨款收、支决算总计变动情况</a:t>
            </a:r>
            <a:endParaRPr sz="1800">
              <a:latin typeface="宋体" charset="0"/>
              <a:ea typeface="宋体" charset="0"/>
            </a:endParaRPr>
          </a:p>
          <a:p>
            <a:pPr algn="ctr" defTabSz="914400">
              <a:defRPr sz="1800" b="0" kern="1200" spc="0" baseline="0">
                <a:solidFill>
                  <a:schemeClr val="tx1">
                    <a:lumMod val="65000"/>
                    <a:lumOff val="35000"/>
                  </a:schemeClr>
                </a:solidFill>
                <a:latin typeface="+mn-lt"/>
                <a:ea typeface="+mn-ea"/>
                <a:cs typeface="+mn-cs"/>
              </a:defRPr>
            </a:pPr>
            <a:r>
              <a:rPr sz="1800">
                <a:latin typeface="宋体" charset="0"/>
                <a:ea typeface="宋体" charset="0"/>
              </a:rPr>
              <a:t>单位（万元）</a:t>
            </a:r>
            <a:endParaRPr sz="1800">
              <a:latin typeface="宋体" charset="0"/>
              <a:ea typeface="宋体" charset="0"/>
            </a:endParaRPr>
          </a:p>
        </c:rich>
      </c:tx>
      <c:layout/>
      <c:overlay val="0"/>
      <c:spPr>
        <a:noFill/>
        <a:ln>
          <a:noFill/>
        </a:ln>
        <a:effectLst/>
      </c:spPr>
    </c:title>
    <c:autoTitleDeleted val="0"/>
    <c:plotArea>
      <c:layout/>
      <c:pieChart>
        <c:varyColors val="1"/>
        <c:ser>
          <c:idx val="0"/>
          <c:order val="0"/>
          <c:spPr>
            <a:effectLst/>
          </c:spPr>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numFmt formatCode="General" sourceLinked="1"/>
            <c:spPr>
              <a:noFill/>
              <a:ln>
                <a:noFill/>
              </a:ln>
              <a:effectLst/>
            </c:spPr>
            <c:txPr>
              <a:bodyPr rot="0" spcFirstLastPara="0" vertOverflow="ellipsis" horzOverflow="overflow" vert="horz" wrap="square" anchor="ctr" anchorCtr="1"/>
              <a:lstStyle/>
              <a:p>
                <a:pPr>
                  <a:defRPr sz="900" kern="120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noFill/>
                    <a:ln w="9525" cap="flat" cmpd="sng" algn="ctr">
                      <a:solidFill>
                        <a:schemeClr val="tx1">
                          <a:lumMod val="35000"/>
                          <a:lumOff val="65000"/>
                        </a:schemeClr>
                      </a:solidFill>
                      <a:round/>
                    </a:ln>
                    <a:effectLst/>
                  </c:spPr>
                </c15:leaderLines>
              </c:ext>
            </c:extLst>
          </c:dLbls>
          <c:cat>
            <c:strRef>
              <c:f>'[新建 Microsoft Excel 工作表.xlsx]Sheet1'!$A$2:$A$3</c:f>
              <c:strCache>
                <c:ptCount val="2"/>
                <c:pt idx="0">
                  <c:v>基本支出</c:v>
                </c:pt>
                <c:pt idx="1">
                  <c:v>项目支出</c:v>
                </c:pt>
              </c:strCache>
            </c:strRef>
          </c:cat>
          <c:val>
            <c:numRef>
              <c:f>'[新建 Microsoft Excel 工作表.xlsx]Sheet1'!$B$2:$B$3</c:f>
              <c:numCache>
                <c:formatCode>General</c:formatCode>
                <c:ptCount val="2"/>
                <c:pt idx="0" c:formatCode="General">
                  <c:v>689.36</c:v>
                </c:pt>
                <c:pt idx="1" c:formatCode="General">
                  <c:v>921.69</c:v>
                </c:pt>
              </c:numCache>
            </c:numRef>
          </c:val>
        </c:ser>
        <c:dLbls>
          <c:dLblPos val="bestFit"/>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horzOverflow="overflow" vert="horz" wrap="square" anchor="ctr" anchorCtr="1"/>
        <a:lstStyle/>
        <a:p>
          <a:pPr>
            <a:defRPr sz="900" kern="120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rot="0" spcFirstLastPara="0" vertOverflow="ellipsis" horzOverflow="overflow" vert="horz" wrap="square" anchor="ctr" anchorCtr="1"/>
    <a:lstStyle/>
    <a:p>
      <a:pPr>
        <a:defRPr lang="zh-CN" sz="900" kern="1200">
          <a:solidFill>
            <a:schemeClr val="tx1"/>
          </a:solidFill>
          <a:latin typeface="+mn-lt"/>
          <a:ea typeface="+mn-ea"/>
          <a:cs typeface="+mn-cs"/>
        </a:defRPr>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vertOverflow="ellipsis" anchor="ctr" anchorCtr="1"/>
          <a:lstStyle/>
          <a:p>
            <a:pPr algn="ctr">
              <a:defRPr sz="1800" b="1">
                <a:solidFill>
                  <a:schemeClr val="tx1"/>
                </a:solidFill>
                <a:latin typeface="+mn-lt"/>
                <a:ea typeface="+mn-ea"/>
                <a:cs typeface="+mn-cs"/>
              </a:defRPr>
            </a:pPr>
            <a:r>
              <a:rPr lang="zh-CN" altLang="en-US" b="0"/>
              <a:t>财政拨款收、支决算总计变动情况</a:t>
            </a:r>
            <a:endParaRPr lang="zh-CN" altLang="en-US" b="0"/>
          </a:p>
          <a:p>
            <a:pPr algn="ctr">
              <a:defRPr sz="1800" b="1">
                <a:solidFill>
                  <a:schemeClr val="tx1"/>
                </a:solidFill>
                <a:latin typeface="+mn-lt"/>
                <a:ea typeface="+mn-ea"/>
                <a:cs typeface="+mn-cs"/>
              </a:defRPr>
            </a:pPr>
            <a:r>
              <a:rPr lang="zh-CN" altLang="en-US" b="0"/>
              <a:t>金额（万元）</a:t>
            </a:r>
            <a:endParaRPr lang="zh-CN" altLang="en-US" b="0"/>
          </a:p>
        </c:rich>
      </c:tx>
      <c:layout/>
      <c:overlay val="0"/>
      <c:spPr>
        <a:noFill/>
        <a:ln>
          <a:noFill/>
        </a:ln>
        <a:effectLst/>
      </c:spPr>
    </c:title>
    <c:autoTitleDeleted val="0"/>
    <c:plotArea>
      <c:layout/>
      <c:barChart>
        <c:barDir val="col"/>
        <c:grouping val="clustered"/>
        <c:varyColors val="0"/>
        <c:ser>
          <c:idx val="0"/>
          <c:order val="0"/>
          <c:tx>
            <c:strRef>
              <c:f>Sheet1!$B$1</c:f>
              <c:strCache>
                <c:ptCount val="1"/>
                <c:pt idx="0">
                  <c:v>金额（万元）</c:v>
                </c:pt>
              </c:strCache>
            </c:strRef>
          </c:tx>
          <c:spPr>
            <a:solidFill>
              <a:schemeClr val="accent1"/>
            </a:solidFill>
            <a:ln>
              <a:noFill/>
            </a:ln>
            <a:effectLst/>
          </c:spPr>
          <c:invertIfNegative val="0"/>
          <c:dLbls>
            <c:numFmt formatCode="General" sourceLinked="1"/>
            <c:txPr>
              <a:bodyPr rot="0" spcFirstLastPara="0" vertOverflow="ellipsis" horzOverflow="overflow" vert="horz" wrap="square" anchor="ctr" anchorCtr="1"/>
              <a:lstStyle/>
              <a:p>
                <a:pPr>
                  <a:defRPr sz="1000" b="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spPr>
                    <a:noFill/>
                    <a:ln w="9525" cap="flat" cmpd="sng" algn="ctr">
                      <a:solidFill>
                        <a:schemeClr val="tx1"/>
                      </a:solidFill>
                      <a:prstDash val="solid"/>
                    </a:ln>
                    <a:effectLst/>
                  </c:spPr>
                </c15:leaderLines>
              </c:ext>
            </c:extLst>
          </c:dLbls>
          <c:cat>
            <c:strRef>
              <c:f>Sheet1!$A$2:$A$5</c:f>
              <c:strCache>
                <c:ptCount val="4"/>
                <c:pt idx="1">
                  <c:v>2023年</c:v>
                </c:pt>
                <c:pt idx="3">
                  <c:v>2024年</c:v>
                </c:pt>
              </c:strCache>
            </c:strRef>
          </c:cat>
          <c:val>
            <c:numRef>
              <c:f>Sheet1!$B$2:$B$5</c:f>
              <c:numCache>
                <c:formatCode>General</c:formatCode>
                <c:ptCount val="4"/>
                <c:pt idx="1" c:formatCode="General">
                  <c:v>1934.76</c:v>
                </c:pt>
                <c:pt idx="3" c:formatCode="General">
                  <c:v>1611.05</c:v>
                </c:pt>
              </c:numCache>
            </c:numRef>
          </c:val>
        </c:ser>
        <c:dLbls>
          <c:dLblPos val="outEnd"/>
          <c:showLegendKey val="0"/>
          <c:showVal val="0"/>
          <c:showCatName val="0"/>
          <c:showSerName val="0"/>
          <c:showPercent val="0"/>
          <c:showBubbleSize val="0"/>
        </c:dLbls>
        <c:gapWidth val="150"/>
        <c:axId val="147342848"/>
        <c:axId val="144787712"/>
      </c:barChart>
      <c:catAx>
        <c:axId val="147342848"/>
        <c:scaling>
          <c:orientation val="minMax"/>
        </c:scaling>
        <c:delete val="0"/>
        <c:axPos val="b"/>
        <c:numFmt formatCode="General" sourceLinked="1"/>
        <c:majorTickMark val="out"/>
        <c:minorTickMark val="none"/>
        <c:tickLblPos val="nextTo"/>
        <c:spPr>
          <a:noFill/>
          <a:ln>
            <a:solidFill>
              <a:schemeClr val="tx1">
                <a:lumMod val="50000"/>
                <a:lumOff val="50000"/>
              </a:schemeClr>
            </a:solidFill>
          </a:ln>
          <a:effectLst/>
        </c:spPr>
        <c:txPr>
          <a:bodyPr rot="-60000000" spcFirstLastPara="0" vertOverflow="ellipsis" horzOverflow="overflow" vert="horz" wrap="square" anchor="ctr" anchorCtr="1"/>
          <a:lstStyle/>
          <a:p>
            <a:pPr>
              <a:defRPr sz="1000" b="0">
                <a:solidFill>
                  <a:schemeClr val="tx1"/>
                </a:solidFill>
                <a:latin typeface="+mn-lt"/>
                <a:ea typeface="+mn-ea"/>
                <a:cs typeface="+mn-cs"/>
              </a:defRPr>
            </a:pPr>
          </a:p>
        </c:txPr>
        <c:crossAx val="144787712"/>
        <c:crosses val="autoZero"/>
        <c:auto val="1"/>
        <c:lblAlgn val="ctr"/>
        <c:lblOffset val="100"/>
        <c:tickMarkSkip val="1"/>
        <c:noMultiLvlLbl val="0"/>
      </c:catAx>
      <c:valAx>
        <c:axId val="144787712"/>
        <c:scaling>
          <c:orientation val="minMax"/>
          <c:max val="2000"/>
          <c:min val="1200"/>
        </c:scaling>
        <c:delete val="0"/>
        <c:axPos val="l"/>
        <c:majorGridlines>
          <c:spPr>
            <a:noFill/>
            <a:ln>
              <a:solidFill>
                <a:schemeClr val="tx1">
                  <a:lumMod val="50000"/>
                  <a:lumOff val="50000"/>
                </a:schemeClr>
              </a:solidFill>
            </a:ln>
            <a:effectLst/>
          </c:spPr>
        </c:majorGridlines>
        <c:numFmt formatCode="#,##0.00_);[Red]\(#,##0.00\)" sourceLinked="0"/>
        <c:majorTickMark val="out"/>
        <c:minorTickMark val="none"/>
        <c:tickLblPos val="nextTo"/>
        <c:spPr>
          <a:noFill/>
          <a:ln>
            <a:solidFill>
              <a:schemeClr val="tx1">
                <a:lumMod val="50000"/>
                <a:lumOff val="50000"/>
              </a:schemeClr>
            </a:solidFill>
          </a:ln>
          <a:effectLst/>
        </c:spPr>
        <c:txPr>
          <a:bodyPr rot="-60000000" spcFirstLastPara="0" vertOverflow="ellipsis" horzOverflow="overflow" vert="horz" wrap="square" anchor="ctr" anchorCtr="1"/>
          <a:lstStyle/>
          <a:p>
            <a:pPr>
              <a:defRPr sz="1000" b="0">
                <a:solidFill>
                  <a:schemeClr val="tx1"/>
                </a:solidFill>
                <a:latin typeface="+mn-lt"/>
                <a:ea typeface="+mn-ea"/>
                <a:cs typeface="+mn-cs"/>
              </a:defRPr>
            </a:pPr>
          </a:p>
        </c:txPr>
        <c:crossAx val="147342848"/>
        <c:crosses val="autoZero"/>
        <c:crossBetween val="between"/>
        <c:majorUnit val="100"/>
        <c:minorUnit val="0.1"/>
      </c:valAx>
      <c:spPr>
        <a:solidFill>
          <a:schemeClr val="bg1"/>
        </a:solidFill>
        <a:ln>
          <a:noFill/>
        </a:ln>
        <a:effectLst/>
      </c:spPr>
    </c:plotArea>
    <c:plotVisOnly val="1"/>
    <c:dispBlanksAs val="gap"/>
    <c:showDLblsOverMax val="0"/>
  </c:chart>
  <c:spPr>
    <a:solidFill>
      <a:schemeClr val="bg1"/>
    </a:solidFill>
    <a:ln w="9525" cap="flat" cmpd="sng" algn="ctr">
      <a:solidFill>
        <a:schemeClr val="tx1">
          <a:tint val="75000"/>
        </a:schemeClr>
      </a:solidFill>
      <a:prstDash val="solid"/>
    </a:ln>
    <a:effectLst/>
  </c:spPr>
  <c:txPr>
    <a:bodyPr rot="0" spcFirstLastPara="0" vertOverflow="ellipsis" horzOverflow="overflow" vert="horz" wrap="square" anchor="ctr" anchorCtr="1"/>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vertOverflow="ellipsis" anchor="ctr" anchorCtr="1"/>
          <a:lstStyle/>
          <a:p>
            <a:pPr algn="ctr">
              <a:defRPr sz="1800" b="1">
                <a:solidFill>
                  <a:schemeClr val="tx1"/>
                </a:solidFill>
                <a:latin typeface="+mn-lt"/>
                <a:ea typeface="+mn-ea"/>
                <a:cs typeface="+mn-cs"/>
              </a:defRPr>
            </a:pPr>
            <a:r>
              <a:rPr lang="zh-CN" altLang="en-US" b="0"/>
              <a:t>一般公共预算财政拨款支出决算变动情况
金额（万元）</a:t>
            </a:r>
            <a:endParaRPr lang="zh-CN" altLang="en-US" b="0"/>
          </a:p>
        </c:rich>
      </c:tx>
      <c:layout/>
      <c:overlay val="0"/>
      <c:spPr>
        <a:noFill/>
        <a:ln>
          <a:noFill/>
        </a:ln>
        <a:effectLst/>
      </c:spPr>
    </c:title>
    <c:autoTitleDeleted val="0"/>
    <c:plotArea>
      <c:layout/>
      <c:barChart>
        <c:barDir val="col"/>
        <c:grouping val="clustered"/>
        <c:varyColors val="0"/>
        <c:ser>
          <c:idx val="0"/>
          <c:order val="0"/>
          <c:tx>
            <c:strRef>
              <c:f>Sheet1!$B$1</c:f>
              <c:strCache>
                <c:ptCount val="1"/>
                <c:pt idx="0">
                  <c:v>一般公共预算财政拨款支出决算变动情况
</c:v>
                </c:pt>
              </c:strCache>
            </c:strRef>
          </c:tx>
          <c:spPr>
            <a:solidFill>
              <a:schemeClr val="accent1"/>
            </a:solidFill>
            <a:ln>
              <a:noFill/>
            </a:ln>
            <a:effectLst/>
          </c:spPr>
          <c:invertIfNegative val="0"/>
          <c:dLbls>
            <c:numFmt formatCode="General" sourceLinked="1"/>
            <c:txPr>
              <a:bodyPr rot="0" spcFirstLastPara="0" vertOverflow="ellipsis" horzOverflow="overflow" vert="horz" wrap="square" anchor="ctr" anchorCtr="1"/>
              <a:lstStyle/>
              <a:p>
                <a:pPr>
                  <a:defRPr sz="1000" b="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spPr>
                    <a:noFill/>
                    <a:ln w="9525" cap="flat" cmpd="sng" algn="ctr">
                      <a:solidFill>
                        <a:schemeClr val="tx1"/>
                      </a:solidFill>
                      <a:prstDash val="solid"/>
                    </a:ln>
                    <a:effectLst/>
                  </c:spPr>
                </c15:leaderLines>
              </c:ext>
            </c:extLst>
          </c:dLbls>
          <c:cat>
            <c:strRef>
              <c:f>Sheet1!$A$2:$A$5</c:f>
              <c:strCache>
                <c:ptCount val="4"/>
                <c:pt idx="1">
                  <c:v>2023年</c:v>
                </c:pt>
                <c:pt idx="3">
                  <c:v>2024年</c:v>
                </c:pt>
              </c:strCache>
            </c:strRef>
          </c:cat>
          <c:val>
            <c:numRef>
              <c:f>Sheet1!$B$2:$B$5</c:f>
              <c:numCache>
                <c:formatCode>General</c:formatCode>
                <c:ptCount val="4"/>
                <c:pt idx="1" c:formatCode="General">
                  <c:v>1567.07</c:v>
                </c:pt>
                <c:pt idx="3" c:formatCode="General">
                  <c:v>1539.29</c:v>
                </c:pt>
              </c:numCache>
            </c:numRef>
          </c:val>
        </c:ser>
        <c:dLbls>
          <c:dLblPos val="outEnd"/>
          <c:showLegendKey val="0"/>
          <c:showVal val="0"/>
          <c:showCatName val="0"/>
          <c:showSerName val="0"/>
          <c:showPercent val="0"/>
          <c:showBubbleSize val="0"/>
        </c:dLbls>
        <c:gapWidth val="150"/>
        <c:axId val="148402944"/>
        <c:axId val="148404480"/>
      </c:barChart>
      <c:catAx>
        <c:axId val="148402944"/>
        <c:scaling>
          <c:orientation val="minMax"/>
        </c:scaling>
        <c:delete val="0"/>
        <c:axPos val="b"/>
        <c:numFmt formatCode="General" sourceLinked="1"/>
        <c:majorTickMark val="out"/>
        <c:minorTickMark val="none"/>
        <c:tickLblPos val="nextTo"/>
        <c:spPr>
          <a:noFill/>
          <a:ln>
            <a:solidFill>
              <a:schemeClr val="tx1">
                <a:lumMod val="50000"/>
                <a:lumOff val="50000"/>
              </a:schemeClr>
            </a:solidFill>
          </a:ln>
          <a:effectLst/>
        </c:spPr>
        <c:txPr>
          <a:bodyPr rot="-60000000" spcFirstLastPara="0" vertOverflow="ellipsis" horzOverflow="overflow" vert="horz" wrap="square" anchor="ctr" anchorCtr="1"/>
          <a:lstStyle/>
          <a:p>
            <a:pPr>
              <a:defRPr sz="1000" b="0">
                <a:solidFill>
                  <a:schemeClr val="tx1"/>
                </a:solidFill>
                <a:latin typeface="+mn-lt"/>
                <a:ea typeface="+mn-ea"/>
                <a:cs typeface="+mn-cs"/>
              </a:defRPr>
            </a:pPr>
          </a:p>
        </c:txPr>
        <c:crossAx val="148404480"/>
        <c:crosses val="autoZero"/>
        <c:auto val="1"/>
        <c:lblAlgn val="ctr"/>
        <c:lblOffset val="100"/>
        <c:tickMarkSkip val="1"/>
        <c:noMultiLvlLbl val="0"/>
      </c:catAx>
      <c:valAx>
        <c:axId val="148404480"/>
        <c:scaling>
          <c:orientation val="minMax"/>
          <c:max val="1600"/>
          <c:min val="1350"/>
        </c:scaling>
        <c:delete val="0"/>
        <c:axPos val="l"/>
        <c:majorGridlines>
          <c:spPr>
            <a:noFill/>
            <a:ln>
              <a:solidFill>
                <a:schemeClr val="tx1">
                  <a:lumMod val="50000"/>
                  <a:lumOff val="50000"/>
                </a:schemeClr>
              </a:solidFill>
            </a:ln>
            <a:effectLst/>
          </c:spPr>
        </c:majorGridlines>
        <c:numFmt formatCode="General" sourceLinked="1"/>
        <c:majorTickMark val="out"/>
        <c:minorTickMark val="none"/>
        <c:tickLblPos val="nextTo"/>
        <c:spPr>
          <a:noFill/>
          <a:ln>
            <a:solidFill>
              <a:schemeClr val="tx1">
                <a:lumMod val="50000"/>
                <a:lumOff val="50000"/>
              </a:schemeClr>
            </a:solidFill>
          </a:ln>
          <a:effectLst/>
        </c:spPr>
        <c:txPr>
          <a:bodyPr rot="-60000000" spcFirstLastPara="0" vertOverflow="ellipsis" horzOverflow="overflow" vert="horz" wrap="square" anchor="ctr" anchorCtr="1"/>
          <a:lstStyle/>
          <a:p>
            <a:pPr>
              <a:defRPr sz="1000" b="0">
                <a:solidFill>
                  <a:schemeClr val="tx1"/>
                </a:solidFill>
                <a:latin typeface="+mn-lt"/>
                <a:ea typeface="+mn-ea"/>
                <a:cs typeface="+mn-cs"/>
              </a:defRPr>
            </a:pPr>
          </a:p>
        </c:txPr>
        <c:crossAx val="148402944"/>
        <c:crosses val="autoZero"/>
        <c:crossBetween val="between"/>
        <c:majorUnit val="50"/>
        <c:minorUnit val="0.1"/>
      </c:valAx>
      <c:spPr>
        <a:solidFill>
          <a:schemeClr val="bg1"/>
        </a:solidFill>
        <a:ln>
          <a:noFill/>
        </a:ln>
        <a:effectLst/>
      </c:spPr>
    </c:plotArea>
    <c:plotVisOnly val="1"/>
    <c:dispBlanksAs val="gap"/>
    <c:showDLblsOverMax val="0"/>
  </c:chart>
  <c:spPr>
    <a:solidFill>
      <a:schemeClr val="bg1"/>
    </a:solidFill>
    <a:ln w="9525" cap="flat" cmpd="sng" algn="ctr">
      <a:solidFill>
        <a:schemeClr val="tx1">
          <a:tint val="75000"/>
        </a:schemeClr>
      </a:solidFill>
      <a:prstDash val="solid"/>
    </a:ln>
    <a:effectLst/>
  </c:spPr>
  <c:txPr>
    <a:bodyPr rot="0" spcFirstLastPara="0" vertOverflow="ellipsis" horzOverflow="overflow" vert="horz" wrap="square" anchor="ctr" anchorCtr="1"/>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horzOverflow="overflow" vert="horz" wrap="square" anchor="ctr" anchorCtr="1"/>
          <a:lstStyle/>
          <a:p>
            <a:pPr algn="ctr" defTabSz="914400">
              <a:defRPr sz="1400" b="0" kern="1200" spc="0" baseline="0">
                <a:solidFill>
                  <a:schemeClr val="tx1">
                    <a:lumMod val="65000"/>
                    <a:lumOff val="35000"/>
                  </a:schemeClr>
                </a:solidFill>
                <a:latin typeface="+mn-lt"/>
                <a:ea typeface="+mn-ea"/>
                <a:cs typeface="+mn-cs"/>
              </a:defRPr>
            </a:pPr>
            <a:r>
              <a:t>一般公共预算财政拨款支出决算结构</a:t>
            </a:r>
          </a:p>
          <a:p>
            <a:pPr algn="ctr" defTabSz="914400">
              <a:defRPr sz="1400" b="0" kern="1200" spc="0" baseline="0">
                <a:solidFill>
                  <a:schemeClr val="tx1">
                    <a:lumMod val="65000"/>
                    <a:lumOff val="35000"/>
                  </a:schemeClr>
                </a:solidFill>
                <a:latin typeface="+mn-lt"/>
                <a:ea typeface="+mn-ea"/>
                <a:cs typeface="+mn-cs"/>
              </a:defRPr>
            </a:pPr>
            <a:r>
              <a:t>单位（万元）</a:t>
            </a:r>
          </a:p>
        </c:rich>
      </c:tx>
      <c:layout/>
      <c:overlay val="0"/>
      <c:spPr>
        <a:noFill/>
        <a:ln>
          <a:noFill/>
        </a:ln>
        <a:effectLst/>
      </c:spPr>
    </c:title>
    <c:autoTitleDeleted val="0"/>
    <c:plotArea>
      <c:layout/>
      <c:pieChart>
        <c:varyColors val="1"/>
        <c:ser>
          <c:idx val="0"/>
          <c:order val="0"/>
          <c:spPr>
            <a:effectLst/>
          </c:spPr>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Pt>
            <c:idx val="5"/>
            <c:bubble3D val="0"/>
            <c:spPr>
              <a:solidFill>
                <a:schemeClr val="accent6"/>
              </a:solidFill>
              <a:ln w="19050">
                <a:solidFill>
                  <a:schemeClr val="lt1"/>
                </a:solidFill>
              </a:ln>
              <a:effectLst/>
            </c:spPr>
          </c:dPt>
          <c:dPt>
            <c:idx val="6"/>
            <c:bubble3D val="0"/>
            <c:spPr>
              <a:solidFill>
                <a:schemeClr val="accent1">
                  <a:lumMod val="60000"/>
                </a:schemeClr>
              </a:solidFill>
              <a:ln w="19050">
                <a:solidFill>
                  <a:schemeClr val="lt1"/>
                </a:solidFill>
              </a:ln>
              <a:effectLst/>
            </c:spPr>
          </c:dPt>
          <c:dPt>
            <c:idx val="7"/>
            <c:bubble3D val="0"/>
            <c:spPr>
              <a:solidFill>
                <a:schemeClr val="accent2">
                  <a:lumMod val="60000"/>
                </a:schemeClr>
              </a:solidFill>
              <a:ln w="19050">
                <a:solidFill>
                  <a:schemeClr val="lt1"/>
                </a:solidFill>
              </a:ln>
              <a:effectLst/>
            </c:spPr>
          </c:dPt>
          <c:dLbls>
            <c:numFmt formatCode="General" sourceLinked="1"/>
            <c:spPr>
              <a:noFill/>
              <a:ln>
                <a:noFill/>
              </a:ln>
              <a:effectLst/>
            </c:spPr>
            <c:txPr>
              <a:bodyPr rot="0" spcFirstLastPara="0" vertOverflow="ellipsis" horzOverflow="overflow" vert="horz" wrap="square" anchor="ctr" anchorCtr="1"/>
              <a:lstStyle/>
              <a:p>
                <a:pPr>
                  <a:defRPr sz="900" kern="120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noFill/>
                    <a:ln w="9525" cap="flat" cmpd="sng" algn="ctr">
                      <a:solidFill>
                        <a:schemeClr val="tx1">
                          <a:lumMod val="35000"/>
                          <a:lumOff val="65000"/>
                        </a:schemeClr>
                      </a:solidFill>
                      <a:round/>
                    </a:ln>
                    <a:effectLst/>
                  </c:spPr>
                </c15:leaderLines>
              </c:ext>
            </c:extLst>
          </c:dLbls>
          <c:cat>
            <c:strRef>
              <c:f>'[新建 Microsoft Excel 工作表.xlsx]Sheet1'!$A$2:$A$9</c:f>
              <c:strCache>
                <c:ptCount val="8"/>
                <c:pt idx="0">
                  <c:v>一般公共服务支出</c:v>
                </c:pt>
                <c:pt idx="1">
                  <c:v>文化旅游体育与传媒支出</c:v>
                </c:pt>
                <c:pt idx="2">
                  <c:v>社会保障和就业支出</c:v>
                </c:pt>
                <c:pt idx="3">
                  <c:v>卫生健康支出</c:v>
                </c:pt>
                <c:pt idx="4">
                  <c:v>节能环保支出</c:v>
                </c:pt>
                <c:pt idx="5">
                  <c:v>城乡社区支出</c:v>
                </c:pt>
                <c:pt idx="6">
                  <c:v>农林水支出</c:v>
                </c:pt>
                <c:pt idx="7">
                  <c:v>住房保障支出</c:v>
                </c:pt>
              </c:strCache>
            </c:strRef>
          </c:cat>
          <c:val>
            <c:numRef>
              <c:f>'[新建 Microsoft Excel 工作表.xlsx]Sheet1'!$B$2:$B$9</c:f>
              <c:numCache>
                <c:formatCode>General</c:formatCode>
                <c:ptCount val="8"/>
                <c:pt idx="0" c:formatCode="General">
                  <c:v>517.9</c:v>
                </c:pt>
                <c:pt idx="1" c:formatCode="General">
                  <c:v>5.55</c:v>
                </c:pt>
                <c:pt idx="2" c:formatCode="General">
                  <c:v>90.52</c:v>
                </c:pt>
                <c:pt idx="3" c:formatCode="General">
                  <c:v>35.62</c:v>
                </c:pt>
                <c:pt idx="4" c:formatCode="General">
                  <c:v>46.15</c:v>
                </c:pt>
                <c:pt idx="5" c:formatCode="General">
                  <c:v>9</c:v>
                </c:pt>
                <c:pt idx="6" c:formatCode="General">
                  <c:v>788.23</c:v>
                </c:pt>
                <c:pt idx="7" c:formatCode="General">
                  <c:v>46.32</c:v>
                </c:pt>
              </c:numCache>
            </c:numRef>
          </c:val>
        </c:ser>
        <c:dLbls>
          <c:dLblPos val="bestFit"/>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horzOverflow="overflow" vert="horz" wrap="square" anchor="ctr" anchorCtr="1"/>
        <a:lstStyle/>
        <a:p>
          <a:pPr>
            <a:defRPr sz="900" kern="120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rot="0" spcFirstLastPara="0" vertOverflow="ellipsis" horzOverflow="overflow" vert="horz" wrap="square" anchor="ctr" anchorCtr="1"/>
    <a:lstStyle/>
    <a:p>
      <a:pPr>
        <a:defRPr lang="zh-CN" sz="900" kern="1200">
          <a:solidFill>
            <a:schemeClr val="tx1"/>
          </a:solidFill>
          <a:latin typeface="+mn-lt"/>
          <a:ea typeface="+mn-ea"/>
          <a:cs typeface="+mn-cs"/>
        </a:defRPr>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lgn="ctr" defTabSz="914400">
              <a:defRPr lang="zh-CN" sz="1400" b="0" i="0" u="none" strike="noStrike" kern="1200" spc="0" baseline="0">
                <a:solidFill>
                  <a:schemeClr val="tx1">
                    <a:lumMod val="65000"/>
                    <a:lumOff val="35000"/>
                  </a:schemeClr>
                </a:solidFill>
                <a:latin typeface="+mn-lt"/>
                <a:ea typeface="+mn-ea"/>
                <a:cs typeface="+mn-cs"/>
              </a:defRPr>
            </a:pPr>
            <a:r>
              <a:rPr lang="zh-CN" altLang="en-US" sz="1400" b="0" i="0" u="none" strike="noStrike" kern="1200" cap="none" spc="0" normalizeH="0" baseline="0">
                <a:solidFill>
                  <a:schemeClr val="tx1">
                    <a:lumMod val="65000"/>
                    <a:lumOff val="35000"/>
                  </a:schemeClr>
                </a:solidFill>
                <a:effectLst/>
                <a:latin typeface="+mn-lt"/>
                <a:ea typeface="+mn-ea"/>
                <a:cs typeface="+mn-cs"/>
              </a:rPr>
              <a:t>“三公”经费财政拨款支出结构 </a:t>
            </a:r>
            <a:endParaRPr lang="zh-CN" altLang="en-US" sz="1400" b="0" i="0" u="none" strike="noStrike" kern="1200" cap="none" spc="0" normalizeH="0" baseline="0">
              <a:solidFill>
                <a:schemeClr val="tx1">
                  <a:lumMod val="65000"/>
                  <a:lumOff val="35000"/>
                </a:schemeClr>
              </a:solidFill>
              <a:effectLst/>
              <a:latin typeface="+mn-lt"/>
              <a:ea typeface="+mn-ea"/>
              <a:cs typeface="+mn-cs"/>
            </a:endParaRPr>
          </a:p>
        </c:rich>
      </c:tx>
      <c:layout>
        <c:manualLayout>
          <c:xMode val="edge"/>
          <c:yMode val="edge"/>
          <c:x val="0.222083333333333"/>
          <c:y val="0.0277777777777778"/>
        </c:manualLayout>
      </c:layout>
      <c:overlay val="0"/>
      <c:spPr>
        <a:noFill/>
        <a:ln>
          <a:noFill/>
        </a:ln>
        <a:effectLst/>
      </c:spPr>
    </c:title>
    <c:autoTitleDeleted val="0"/>
    <c:plotArea>
      <c:layout/>
      <c:pieChart>
        <c:varyColors val="1"/>
        <c:ser>
          <c:idx val="0"/>
          <c:order val="0"/>
          <c:tx>
            <c:strRef>
              <c:f>'[决算图.xlsx]Sheet3 (4)'!$B$1:$B$2</c:f>
              <c:strCache>
                <c:ptCount val="1"/>
                <c:pt idx="0">
                  <c:v>“三公”经费财政拨款支出结构 占比</c:v>
                </c:pt>
              </c:strCache>
            </c:strRef>
          </c:tx>
          <c:spPr>
            <a:effectLst/>
          </c:spPr>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Lbls>
            <c:numFmt formatCode="General" sourceLinked="1"/>
            <c:spPr>
              <a:noFill/>
              <a:ln>
                <a:noFill/>
              </a:ln>
              <a:effectLst/>
            </c:spPr>
            <c:txPr>
              <a:bodyPr rot="0" spcFirstLastPara="0" vertOverflow="ellipsis" horzOverflow="overflow"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noFill/>
                    <a:ln w="9525" cap="flat" cmpd="sng" algn="ctr">
                      <a:solidFill>
                        <a:schemeClr val="tx1">
                          <a:lumMod val="35000"/>
                          <a:lumOff val="65000"/>
                        </a:schemeClr>
                      </a:solidFill>
                      <a:prstDash val="solid"/>
                      <a:round/>
                    </a:ln>
                    <a:effectLst/>
                  </c:spPr>
                </c15:leaderLines>
              </c:ext>
            </c:extLst>
          </c:dLbls>
          <c:cat>
            <c:strRef>
              <c:f>'[决算图.xlsx]Sheet3 (4)'!$A$3:$A$5</c:f>
              <c:strCache>
                <c:ptCount val="3"/>
                <c:pt idx="0">
                  <c:v>因公出国（境）费支出决算</c:v>
                </c:pt>
                <c:pt idx="1">
                  <c:v>公务用车购置及运行维护费支出决算</c:v>
                </c:pt>
                <c:pt idx="2">
                  <c:v>公务接待费支出决算</c:v>
                </c:pt>
              </c:strCache>
            </c:strRef>
          </c:cat>
          <c:val>
            <c:numRef>
              <c:f>'[决算图.xlsx]Sheet3 (4)'!$B$3:$B$5</c:f>
              <c:numCache>
                <c:formatCode>0.00%</c:formatCode>
                <c:ptCount val="3"/>
                <c:pt idx="0">
                  <c:v>0</c:v>
                </c:pt>
                <c:pt idx="1">
                  <c:v>0</c:v>
                </c:pt>
                <c:pt idx="2">
                  <c:v>1</c:v>
                </c:pt>
              </c:numCache>
            </c:numRef>
          </c:val>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horzOverflow="overflow"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rot="0" spcFirstLastPara="0" vertOverflow="ellipsis" horzOverflow="overflow" vert="horz" wrap="square" anchor="ctr" anchorCtr="1"/>
    <a:lstStyle/>
    <a:p>
      <a:pPr>
        <a:defRPr lang="zh-CN" sz="900" kern="1200">
          <a:solidFill>
            <a:schemeClr val="tx1"/>
          </a:solidFill>
          <a:latin typeface="+mn-lt"/>
          <a:ea typeface="+mn-ea"/>
          <a:cs typeface="+mn-cs"/>
        </a:defRPr>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1EED7A5-EFD5-4FC1-B4AF-CC6E6A28D96D}">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32</Pages>
  <Words>11548</Words>
  <Characters>1141</Characters>
  <Lines>9</Lines>
  <Paragraphs>25</Paragraphs>
  <ScaleCrop>false</ScaleCrop>
  <LinksUpToDate>false</LinksUpToDate>
  <CharactersWithSpaces>12664</CharactersWithSpaces>
  <Application>WPS Office_10.8.0.5562_F1E327BC-269C-435d-A152-05C5408002CA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2025-10-16T06:17:00Z</dcterms:created>
  <dc:creator>曹颖</dc:creator>
  <cp:lastModifiedBy>Administrator</cp:lastModifiedBy>
  <cp:lastPrinted>2025-08-06T17:34:00Z</cp:lastPrinted>
  <dcterms:modified xsi:type="dcterms:W3CDTF">2025-10-20T08:13:23Z</dcterms:modified>
  <dc:title>四川省***</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2052-10.8.0.5562</vt:lpwstr>
  </property>
  <property fmtid="{D5CDD505-2E9C-101B-9397-08002B2CF9AE}" pid="3" name="ICV">
    <vt:lpwstr>04787F2533EB45DC91BCDE4AB213247F</vt:lpwstr>
  </property>
</Properties>
</file>