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ascii="Times New Roman" w:eastAsia="方正小标宋简体"/>
          <w:kern w:val="2"/>
          <w:sz w:val="72"/>
          <w:szCs w:val="72"/>
        </w:rPr>
      </w:pPr>
      <w:bookmarkStart w:id="0" w:name="_Toc15378441"/>
      <w:bookmarkStart w:id="1" w:name="_Toc15396597"/>
      <w:bookmarkStart w:id="2" w:name="_Toc15377193"/>
      <w:bookmarkStart w:id="3" w:name="_Toc15377425"/>
      <w:bookmarkStart w:id="4" w:name="_Toc15396475"/>
      <w:bookmarkStart w:id="5" w:name="_Toc15306267"/>
    </w:p>
    <w:p>
      <w:pPr>
        <w:pStyle w:val="8"/>
        <w:spacing w:before="93"/>
        <w:rPr>
          <w:rFonts w:ascii="Times New Roman" w:eastAsia="方正小标宋简体"/>
          <w:kern w:val="2"/>
          <w:sz w:val="72"/>
          <w:szCs w:val="72"/>
        </w:rPr>
      </w:pPr>
    </w:p>
    <w:p>
      <w:pPr>
        <w:pStyle w:val="8"/>
        <w:spacing w:before="93"/>
        <w:rPr>
          <w:rFonts w:ascii="Times New Roman" w:eastAsia="方正小标宋简体"/>
          <w:kern w:val="2"/>
          <w:sz w:val="72"/>
          <w:szCs w:val="72"/>
        </w:rPr>
      </w:pPr>
    </w:p>
    <w:p>
      <w:pPr>
        <w:adjustRightInd w:val="0"/>
        <w:snapToGrid w:val="0"/>
        <w:jc w:val="center"/>
        <w:outlineLvl w:val="0"/>
        <w:rPr>
          <w:rFonts w:eastAsia="方正小标宋简体"/>
          <w:sz w:val="48"/>
          <w:szCs w:val="48"/>
        </w:rPr>
      </w:pPr>
      <w:bookmarkStart w:id="6" w:name="_Toc1310"/>
      <w:r>
        <w:rPr>
          <w:rFonts w:eastAsia="方正小标宋简体"/>
          <w:sz w:val="48"/>
          <w:szCs w:val="48"/>
        </w:rPr>
        <w:t>202</w:t>
      </w:r>
      <w:r>
        <w:rPr>
          <w:rFonts w:hint="eastAsia" w:eastAsia="方正小标宋简体"/>
          <w:sz w:val="48"/>
          <w:szCs w:val="48"/>
        </w:rPr>
        <w:t>4</w:t>
      </w:r>
      <w:r>
        <w:rPr>
          <w:rFonts w:eastAsia="方正小标宋简体"/>
          <w:sz w:val="48"/>
          <w:szCs w:val="48"/>
        </w:rPr>
        <w:t>年度</w:t>
      </w:r>
      <w:bookmarkEnd w:id="6"/>
    </w:p>
    <w:p>
      <w:pPr>
        <w:adjustRightInd w:val="0"/>
        <w:snapToGrid w:val="0"/>
        <w:jc w:val="center"/>
        <w:outlineLvl w:val="0"/>
        <w:rPr>
          <w:rFonts w:eastAsia="方正小标宋简体"/>
          <w:sz w:val="48"/>
          <w:szCs w:val="48"/>
        </w:rPr>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7" w:name="_Toc6779"/>
      <w:r>
        <w:rPr>
          <w:rFonts w:eastAsia="方正小标宋简体"/>
          <w:sz w:val="48"/>
          <w:szCs w:val="48"/>
        </w:rPr>
        <w:t>四川省阿坝州九寨沟县永和乡人民政府（本级）单位决算</w:t>
      </w:r>
      <w:bookmarkEnd w:id="7"/>
    </w:p>
    <w:bookmarkEnd w:id="0"/>
    <w:bookmarkEnd w:id="1"/>
    <w:bookmarkEnd w:id="2"/>
    <w:bookmarkEnd w:id="3"/>
    <w:bookmarkEnd w:id="4"/>
    <w:bookmarkEnd w:id="5"/>
    <w:p>
      <w:pPr>
        <w:pStyle w:val="8"/>
        <w:spacing w:before="93"/>
        <w:rPr>
          <w:rFonts w:ascii="Times New Roman" w:eastAsia="方正小标宋简体"/>
          <w:kern w:val="2"/>
          <w:sz w:val="44"/>
          <w:szCs w:val="44"/>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公开时间：2025年10月16日</w:t>
      </w:r>
    </w:p>
    <w:p>
      <w:pP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pPr>
        <w:widowControl/>
        <w:spacing w:line="560" w:lineRule="exact"/>
        <w:jc w:val="left"/>
        <w:rPr>
          <w:rFonts w:eastAsia="仿宋_GB2312" w:cs="仿宋_GB2312"/>
          <w:bCs/>
          <w:kern w:val="44"/>
          <w:sz w:val="32"/>
          <w:szCs w:val="32"/>
        </w:rPr>
      </w:pPr>
      <w:bookmarkStart w:id="8" w:name="_Toc15377196"/>
      <w:bookmarkStart w:id="9" w:name="_Toc15396599"/>
      <w:r>
        <w:rPr>
          <w:rFonts w:hint="eastAsia" w:eastAsia="仿宋_GB2312" w:cs="仿宋_GB2312"/>
          <w:b/>
          <w:sz w:val="32"/>
          <w:szCs w:val="32"/>
        </w:rPr>
        <w:br w:type="page"/>
      </w:r>
    </w:p>
    <w:p>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8"/>
      <w:bookmarkEnd w:id="9"/>
    </w:p>
    <w:p>
      <w:pPr>
        <w:widowControl/>
        <w:jc w:val="left"/>
        <w:rPr>
          <w:rFonts w:eastAsia="黑体"/>
          <w:sz w:val="32"/>
          <w:szCs w:val="32"/>
        </w:rPr>
      </w:pPr>
    </w:p>
    <w:p>
      <w:pPr>
        <w:pStyle w:val="6"/>
        <w:numPr>
          <w:ilvl w:val="0"/>
          <w:numId w:val="1"/>
        </w:numPr>
        <w:rPr>
          <w:rFonts w:hint="eastAsia" w:ascii="Times New Roman" w:hAnsi="Times New Roman" w:eastAsia="黑体"/>
          <w:b w:val="0"/>
        </w:rPr>
      </w:pPr>
      <w:r>
        <w:rPr>
          <w:rFonts w:hint="eastAsia" w:ascii="Times New Roman" w:hAnsi="Times New Roman" w:eastAsia="黑体"/>
          <w:b w:val="0"/>
        </w:rPr>
        <w:t>部门职责</w:t>
      </w:r>
    </w:p>
    <w:p>
      <w:pPr>
        <w:pStyle w:val="27"/>
        <w:widowControl/>
        <w:shd w:val="clear" w:color="auto" w:fill="FBFBFB"/>
        <w:spacing w:line="560" w:lineRule="exact"/>
        <w:ind w:firstLine="643"/>
        <w:jc w:val="left"/>
        <w:rPr>
          <w:rFonts w:eastAsia="楷体"/>
          <w:b/>
          <w:bCs/>
          <w:color w:val="333333"/>
          <w:sz w:val="32"/>
          <w:szCs w:val="32"/>
        </w:rPr>
      </w:pPr>
      <w:r>
        <w:rPr>
          <w:rFonts w:eastAsia="楷体"/>
          <w:b/>
          <w:bCs/>
          <w:color w:val="000000"/>
          <w:kern w:val="0"/>
          <w:sz w:val="32"/>
          <w:szCs w:val="32"/>
          <w:shd w:val="clear" w:color="auto" w:fill="FBFBFB"/>
        </w:rPr>
        <w:t>（一）乡党委主要职责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widowControl/>
        <w:shd w:val="clear" w:color="auto" w:fill="FBFBFB"/>
        <w:spacing w:line="560" w:lineRule="exact"/>
        <w:ind w:firstLine="643" w:firstLineChars="200"/>
        <w:jc w:val="left"/>
        <w:rPr>
          <w:rFonts w:eastAsia="楷体"/>
          <w:b/>
          <w:bCs/>
          <w:color w:val="000000"/>
          <w:kern w:val="0"/>
          <w:sz w:val="32"/>
          <w:szCs w:val="32"/>
          <w:shd w:val="clear" w:color="auto" w:fill="FBFBFB"/>
        </w:rPr>
      </w:pPr>
      <w:r>
        <w:rPr>
          <w:rFonts w:eastAsia="楷体"/>
          <w:b/>
          <w:bCs/>
          <w:color w:val="000000"/>
          <w:kern w:val="0"/>
          <w:sz w:val="32"/>
          <w:szCs w:val="32"/>
          <w:shd w:val="clear" w:color="auto" w:fill="FBFBFB"/>
        </w:rPr>
        <w:t>（二）乡人大主席团主要职责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widowControl/>
        <w:shd w:val="clear" w:color="auto" w:fill="FBFBFB"/>
        <w:spacing w:line="560" w:lineRule="exact"/>
        <w:ind w:firstLine="643" w:firstLineChars="200"/>
        <w:jc w:val="left"/>
        <w:rPr>
          <w:rFonts w:eastAsia="楷体"/>
          <w:b/>
          <w:bCs/>
          <w:color w:val="000000"/>
          <w:kern w:val="0"/>
          <w:sz w:val="32"/>
          <w:szCs w:val="32"/>
          <w:shd w:val="clear" w:color="auto" w:fill="FBFBFB"/>
        </w:rPr>
      </w:pPr>
      <w:r>
        <w:rPr>
          <w:rFonts w:eastAsia="楷体"/>
          <w:b/>
          <w:bCs/>
          <w:color w:val="000000"/>
          <w:kern w:val="0"/>
          <w:sz w:val="32"/>
          <w:szCs w:val="32"/>
          <w:shd w:val="clear" w:color="auto" w:fill="FBFBFB"/>
        </w:rPr>
        <w:t>（三）乡政府主要职责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widowControl/>
        <w:shd w:val="clear" w:color="auto" w:fill="FBFBFB"/>
        <w:spacing w:line="560" w:lineRule="exact"/>
        <w:ind w:firstLine="643" w:firstLineChars="200"/>
        <w:jc w:val="left"/>
        <w:rPr>
          <w:rFonts w:eastAsia="仿宋"/>
          <w:b/>
          <w:bCs/>
          <w:color w:val="333333"/>
          <w:sz w:val="32"/>
          <w:szCs w:val="32"/>
        </w:rPr>
      </w:pPr>
      <w:r>
        <w:rPr>
          <w:rFonts w:eastAsia="楷体"/>
          <w:b/>
          <w:bCs/>
          <w:color w:val="000000"/>
          <w:kern w:val="0"/>
          <w:sz w:val="32"/>
          <w:szCs w:val="32"/>
          <w:shd w:val="clear" w:color="auto" w:fill="FBFBFB"/>
        </w:rPr>
        <w:t>（四）乡纪委主要职责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widowControl/>
        <w:shd w:val="clear" w:color="auto" w:fill="FBFBFB"/>
        <w:spacing w:line="560" w:lineRule="exact"/>
        <w:ind w:firstLine="643" w:firstLineChars="200"/>
        <w:jc w:val="left"/>
        <w:rPr>
          <w:rFonts w:eastAsia="楷体"/>
          <w:b/>
          <w:bCs/>
          <w:color w:val="000000"/>
          <w:kern w:val="0"/>
          <w:sz w:val="32"/>
          <w:szCs w:val="32"/>
          <w:shd w:val="clear" w:color="auto" w:fill="FBFBFB"/>
        </w:rPr>
      </w:pPr>
      <w:r>
        <w:rPr>
          <w:rFonts w:eastAsia="楷体"/>
          <w:b/>
          <w:bCs/>
          <w:color w:val="000000"/>
          <w:kern w:val="0"/>
          <w:sz w:val="32"/>
          <w:szCs w:val="32"/>
          <w:shd w:val="clear" w:color="auto" w:fill="FBFBFB"/>
        </w:rPr>
        <w:t>（五）乡人民武装部主要职责</w:t>
      </w:r>
    </w:p>
    <w:p>
      <w:pPr>
        <w:widowControl/>
        <w:shd w:val="clear" w:color="auto" w:fill="FBFBFB"/>
        <w:spacing w:line="560" w:lineRule="exact"/>
        <w:ind w:firstLine="640" w:firstLineChars="200"/>
        <w:jc w:val="left"/>
      </w:pPr>
      <w:r>
        <w:rPr>
          <w:rFonts w:eastAsia="仿宋_GB231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
    <w:p>
      <w:pPr>
        <w:pStyle w:val="6"/>
        <w:rPr>
          <w:rStyle w:val="29"/>
          <w:rFonts w:ascii="Times New Roman" w:hAnsi="Times New Roman"/>
          <w:b w:val="0"/>
          <w:bCs w:val="0"/>
        </w:rPr>
      </w:pPr>
      <w:bookmarkStart w:id="10" w:name="_Toc15396601"/>
      <w:bookmarkStart w:id="11"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0"/>
      <w:bookmarkEnd w:id="11"/>
    </w:p>
    <w:p>
      <w:pPr>
        <w:ind w:firstLine="800" w:firstLineChars="250"/>
        <w:rPr>
          <w:rFonts w:hint="eastAsia" w:ascii="仿宋_GB2312" w:hAnsi="仿宋_GB2312" w:eastAsia="仿宋_GB2312" w:cs="仿宋_GB2312"/>
          <w:sz w:val="32"/>
          <w:szCs w:val="32"/>
        </w:rPr>
      </w:pPr>
      <w:r>
        <w:rPr>
          <w:rFonts w:ascii="仿宋_GB2312" w:hAnsi="仿宋_GB2312" w:eastAsia="仿宋_GB2312" w:cs="仿宋_GB2312"/>
          <w:sz w:val="32"/>
          <w:szCs w:val="32"/>
        </w:rPr>
        <w:t>永和乡政府单位为行政单位，内设机构数6个，财政供养人员行政编制21名，202</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年底实际财政供养行政</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人。</w:t>
      </w:r>
    </w:p>
    <w:p>
      <w:pPr>
        <w:pStyle w:val="2"/>
        <w:rPr>
          <w:rFonts w:hint="eastAsia"/>
        </w:rPr>
      </w:pPr>
    </w:p>
    <w:p>
      <w:pPr>
        <w:pStyle w:val="3"/>
        <w:ind w:left="420"/>
      </w:pPr>
    </w:p>
    <w:p>
      <w:pPr>
        <w:pStyle w:val="5"/>
        <w:jc w:val="center"/>
        <w:rPr>
          <w:rFonts w:eastAsia="方正小标宋简体" w:cs="方正小标宋简体"/>
          <w:b w:val="0"/>
        </w:rPr>
      </w:pPr>
      <w:bookmarkStart w:id="12" w:name="_Toc15396602"/>
      <w:bookmarkStart w:id="13" w:name="_Toc15377204"/>
      <w:r>
        <w:rPr>
          <w:rFonts w:hint="eastAsia" w:eastAsia="方正小标宋简体" w:cs="方正小标宋简体"/>
          <w:b w:val="0"/>
        </w:rPr>
        <w:t>第二部分  2024年度部门决算情况说明</w:t>
      </w:r>
      <w:bookmarkEnd w:id="12"/>
      <w:bookmarkEnd w:id="13"/>
    </w:p>
    <w:p>
      <w:pPr/>
    </w:p>
    <w:p>
      <w:pPr>
        <w:pStyle w:val="27"/>
        <w:spacing w:line="600" w:lineRule="exact"/>
        <w:ind w:firstLine="640"/>
        <w:outlineLvl w:val="1"/>
        <w:rPr>
          <w:rStyle w:val="29"/>
          <w:rFonts w:ascii="Times New Roman" w:hAnsi="Times New Roman" w:eastAsia="黑体"/>
          <w:b w:val="0"/>
        </w:rPr>
      </w:pPr>
      <w:bookmarkStart w:id="14" w:name="_Toc15377205"/>
      <w:bookmarkStart w:id="15"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4"/>
      <w:bookmarkEnd w:id="15"/>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1418.31</w:t>
      </w:r>
      <w:r>
        <w:rPr>
          <w:rFonts w:hint="eastAsia" w:eastAsia="仿宋_GB2312" w:cs="仿宋_GB2312"/>
          <w:sz w:val="32"/>
          <w:szCs w:val="32"/>
        </w:rPr>
        <w:t>万元。与2023年度相比，收入、支出总计各减少286.47万元，下降16.8%。主要变动原因是人员变动。</w:t>
      </w:r>
    </w:p>
    <w:p>
      <w:pPr>
        <w:pStyle w:val="27"/>
        <w:spacing w:line="600" w:lineRule="exact"/>
        <w:ind w:firstLine="640"/>
        <w:outlineLvl w:val="1"/>
        <w:rPr>
          <w:rFonts w:eastAsia="仿宋_GB2312" w:cs="仿宋_GB2312"/>
          <w:sz w:val="32"/>
          <w:szCs w:val="32"/>
        </w:rPr>
      </w:pPr>
      <w:r>
        <w:drawing>
          <wp:anchor distT="0" distB="0" distL="114300" distR="114300" simplePos="0" relativeHeight="251658240" behindDoc="0" locked="0" layoutInCell="1" allowOverlap="1">
            <wp:simplePos x="0" y="0"/>
            <wp:positionH relativeFrom="column">
              <wp:posOffset>458470</wp:posOffset>
            </wp:positionH>
            <wp:positionV relativeFrom="paragraph">
              <wp:posOffset>191135</wp:posOffset>
            </wp:positionV>
            <wp:extent cx="4572000" cy="2743200"/>
            <wp:effectExtent l="4445" t="4445" r="14605"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ind w:firstLine="640" w:firstLineChars="200"/>
        <w:rPr>
          <w:rFonts w:eastAsia="仿宋_GB2312" w:cs="仿宋_GB2312"/>
          <w:sz w:val="32"/>
          <w:szCs w:val="32"/>
        </w:rPr>
      </w:pPr>
    </w:p>
    <w:p>
      <w:pPr>
        <w:pStyle w:val="27"/>
        <w:spacing w:line="600" w:lineRule="exact"/>
        <w:ind w:firstLine="640"/>
        <w:outlineLvl w:val="1"/>
        <w:rPr>
          <w:rFonts w:eastAsia="黑体"/>
          <w:sz w:val="32"/>
          <w:szCs w:val="32"/>
        </w:rPr>
      </w:pPr>
      <w:bookmarkStart w:id="16" w:name="_Toc15396604"/>
      <w:bookmarkStart w:id="17" w:name="_Toc15377206"/>
      <w:r>
        <w:rPr>
          <w:rFonts w:hint="eastAsia" w:eastAsia="黑体"/>
          <w:sz w:val="32"/>
          <w:szCs w:val="32"/>
        </w:rPr>
        <w:t>二、收入决算情况说明</w:t>
      </w:r>
      <w:bookmarkEnd w:id="16"/>
      <w:bookmarkEnd w:id="17"/>
    </w:p>
    <w:p>
      <w:pPr>
        <w:pStyle w:val="27"/>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收入合计1363万元，其中：一般公共预算财政拨款收入1291.24万元，占94.73%；政府性基金预算财政拨款收入71.76万元，占5.26%%；国有资本经营预算财政拨款收入0万元，占0%；上级补助收入0万元，占0%；事业收入0万元，占0%；经营收入0万元，占0%；附属单位上缴收入0万元，占0%；其他收入0万元，占0%。</w:t>
      </w:r>
      <w:r>
        <w:rPr>
          <w:rFonts w:hint="eastAsia" w:eastAsia="仿宋_GB2312" w:cs="仿宋_GB2312"/>
          <w:b/>
          <w:bCs/>
          <w:sz w:val="32"/>
          <w:szCs w:val="32"/>
        </w:rPr>
        <w:t>（注：仅罗列本部门涉及的收入）</w:t>
      </w:r>
    </w:p>
    <w:p>
      <w:pPr>
        <w:pStyle w:val="27"/>
        <w:spacing w:line="600" w:lineRule="exact"/>
        <w:ind w:firstLine="643"/>
        <w:jc w:val="left"/>
        <w:outlineLvl w:val="1"/>
        <w:rPr>
          <w:rFonts w:eastAsia="仿宋_GB2312" w:cs="仿宋_GB2312"/>
          <w:b/>
          <w:bCs/>
          <w:sz w:val="32"/>
          <w:szCs w:val="32"/>
        </w:rPr>
      </w:pPr>
      <w:r>
        <w:drawing>
          <wp:anchor distT="0" distB="0" distL="114300" distR="114300" simplePos="0" relativeHeight="251659264" behindDoc="0" locked="0" layoutInCell="1" allowOverlap="1">
            <wp:simplePos x="0" y="0"/>
            <wp:positionH relativeFrom="column">
              <wp:posOffset>170815</wp:posOffset>
            </wp:positionH>
            <wp:positionV relativeFrom="paragraph">
              <wp:posOffset>59055</wp:posOffset>
            </wp:positionV>
            <wp:extent cx="5073015" cy="3068320"/>
            <wp:effectExtent l="4445" t="4445" r="8890" b="13335"/>
            <wp:wrapNone/>
            <wp:docPr id="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eastAsia="仿宋_GB2312" w:cs="仿宋_GB2312"/>
          <w:sz w:val="32"/>
          <w:szCs w:val="32"/>
        </w:rPr>
      </w:pPr>
      <w:r>
        <w:rPr>
          <w:rFonts w:hint="eastAsia" w:eastAsia="仿宋_GB2312" w:cs="仿宋_GB2312"/>
          <w:sz w:val="32"/>
          <w:szCs w:val="32"/>
        </w:rPr>
        <w:t>（图2：收入决算结构图）（饼状图）</w:t>
      </w:r>
    </w:p>
    <w:p>
      <w:pPr>
        <w:ind w:firstLine="800" w:firstLineChars="250"/>
        <w:rPr>
          <w:rFonts w:eastAsia="仿宋_GB2312" w:cs="仿宋_GB2312"/>
          <w:sz w:val="32"/>
          <w:szCs w:val="32"/>
        </w:rPr>
      </w:pPr>
    </w:p>
    <w:p>
      <w:pPr>
        <w:pStyle w:val="27"/>
        <w:spacing w:line="600" w:lineRule="exact"/>
        <w:ind w:firstLine="640"/>
        <w:outlineLvl w:val="1"/>
        <w:rPr>
          <w:rStyle w:val="29"/>
          <w:rFonts w:ascii="Times New Roman" w:hAnsi="Times New Roman" w:eastAsia="黑体"/>
          <w:b w:val="0"/>
        </w:rPr>
      </w:pPr>
      <w:bookmarkStart w:id="18" w:name="_Toc15377207"/>
      <w:bookmarkStart w:id="19" w:name="_Toc15396605"/>
      <w:r>
        <w:rPr>
          <w:rFonts w:hint="eastAsia" w:eastAsia="黑体"/>
          <w:sz w:val="32"/>
          <w:szCs w:val="32"/>
        </w:rPr>
        <w:t>三、支</w:t>
      </w:r>
      <w:r>
        <w:rPr>
          <w:rStyle w:val="29"/>
          <w:rFonts w:hint="eastAsia" w:ascii="Times New Roman" w:hAnsi="Times New Roman" w:eastAsia="黑体"/>
          <w:b w:val="0"/>
        </w:rPr>
        <w:t>出决算情况说明</w:t>
      </w:r>
      <w:bookmarkEnd w:id="18"/>
      <w:bookmarkEnd w:id="19"/>
    </w:p>
    <w:p>
      <w:pPr>
        <w:pStyle w:val="27"/>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2024年度本年支出合计1418.31万元，其中：基本支出496.62万元，占35.01%；项目支出921.69万元，占64.98%；上缴上级支出0万元，占0%；经营支出0万元，占0%；对附属单位补助支出0万元，占0%%。</w:t>
      </w:r>
      <w:r>
        <w:rPr>
          <w:rFonts w:hint="eastAsia" w:eastAsia="仿宋_GB2312" w:cs="仿宋_GB2312"/>
          <w:b/>
          <w:bCs/>
          <w:sz w:val="32"/>
          <w:szCs w:val="32"/>
        </w:rPr>
        <w:t>（注：仅罗列本部门涉及的支出）</w:t>
      </w: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208915</wp:posOffset>
            </wp:positionH>
            <wp:positionV relativeFrom="paragraph">
              <wp:posOffset>132715</wp:posOffset>
            </wp:positionV>
            <wp:extent cx="5022215" cy="2834640"/>
            <wp:effectExtent l="4445" t="4445" r="21590" b="18415"/>
            <wp:wrapNone/>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0" w:name="_Toc15377208"/>
      <w:bookmarkStart w:id="21"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0"/>
      <w:bookmarkEnd w:id="21"/>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1418.31</w:t>
      </w:r>
      <w:r>
        <w:rPr>
          <w:rFonts w:hint="eastAsia" w:eastAsia="仿宋_GB2312" w:cs="仿宋_GB2312"/>
          <w:sz w:val="32"/>
          <w:szCs w:val="32"/>
        </w:rPr>
        <w:t>万元。与2023年度相比，收入、支出总计各减少286.47万元，下降16.8%。主要变动原因是人员变动。</w:t>
      </w:r>
    </w:p>
    <w:p>
      <w:pPr>
        <w:spacing w:line="600" w:lineRule="exact"/>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411480</wp:posOffset>
            </wp:positionH>
            <wp:positionV relativeFrom="paragraph">
              <wp:posOffset>292735</wp:posOffset>
            </wp:positionV>
            <wp:extent cx="4572000" cy="2743200"/>
            <wp:effectExtent l="4445" t="4445" r="14605" b="14605"/>
            <wp:wrapNone/>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rPr>
          <w:rFonts w:eastAsia="仿宋_GB2312" w:cs="仿宋_GB2312"/>
          <w:sz w:val="32"/>
          <w:szCs w:val="32"/>
        </w:rPr>
      </w:pPr>
    </w:p>
    <w:p>
      <w:pPr>
        <w:pStyle w:val="3"/>
        <w:rPr>
          <w:rFonts w:eastAsia="仿宋_GB2312" w:cs="仿宋_GB2312"/>
          <w:sz w:val="32"/>
          <w:szCs w:val="32"/>
        </w:rPr>
      </w:pPr>
    </w:p>
    <w:p>
      <w:pPr>
        <w:pStyle w:val="3"/>
        <w:rPr>
          <w:rFonts w:eastAsia="仿宋_GB2312" w:cs="仿宋_GB2312"/>
          <w:sz w:val="32"/>
          <w:szCs w:val="32"/>
        </w:rPr>
      </w:pPr>
    </w:p>
    <w:p>
      <w:pPr>
        <w:pStyle w:val="3"/>
        <w:rPr>
          <w:rFonts w:eastAsia="仿宋_GB2312" w:cs="仿宋_GB2312"/>
          <w:sz w:val="32"/>
          <w:szCs w:val="32"/>
        </w:rPr>
      </w:pPr>
    </w:p>
    <w:p>
      <w:pPr>
        <w:pStyle w:val="3"/>
        <w:rPr>
          <w:rFonts w:eastAsia="仿宋_GB2312" w:cs="仿宋_GB2312"/>
          <w:sz w:val="32"/>
          <w:szCs w:val="32"/>
        </w:rPr>
      </w:pPr>
    </w:p>
    <w:p>
      <w:pPr>
        <w:spacing w:line="600" w:lineRule="exact"/>
        <w:ind w:firstLine="640" w:firstLineChars="200"/>
        <w:rPr>
          <w:rFonts w:hint="eastAsia" w:eastAsia="仿宋_GB2312" w:cs="仿宋_GB2312"/>
          <w:sz w:val="32"/>
          <w:szCs w:val="32"/>
        </w:rPr>
      </w:pPr>
    </w:p>
    <w:p>
      <w:pPr>
        <w:spacing w:line="600" w:lineRule="exact"/>
        <w:ind w:firstLine="640" w:firstLineChars="200"/>
        <w:rPr>
          <w:rFonts w:hint="eastAsia" w:eastAsia="仿宋_GB2312" w:cs="仿宋_GB2312"/>
          <w:sz w:val="32"/>
          <w:szCs w:val="32"/>
        </w:rPr>
      </w:pP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2" w:name="_Toc15377209"/>
      <w:bookmarkStart w:id="23"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2"/>
      <w:bookmarkEnd w:id="23"/>
    </w:p>
    <w:p>
      <w:pPr>
        <w:spacing w:line="600" w:lineRule="exact"/>
        <w:ind w:firstLine="643" w:firstLineChars="200"/>
        <w:outlineLvl w:val="2"/>
        <w:rPr>
          <w:rFonts w:eastAsia="楷体_GB2312" w:cs="楷体_GB2312"/>
          <w:b/>
          <w:sz w:val="32"/>
          <w:szCs w:val="32"/>
        </w:rPr>
      </w:pPr>
      <w:bookmarkStart w:id="24" w:name="_Toc15377210"/>
      <w:r>
        <w:rPr>
          <w:rFonts w:hint="eastAsia" w:eastAsia="楷体_GB2312" w:cs="楷体_GB2312"/>
          <w:b/>
          <w:sz w:val="32"/>
          <w:szCs w:val="32"/>
        </w:rPr>
        <w:t>（一）一般公共预算财政拨款支出决算总体情况</w:t>
      </w:r>
      <w:bookmarkEnd w:id="24"/>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2024年度一般公共预算财政拨款支出1346.55万元，占本年支出合计的94.94%。与2023年度相比，一般公共预算财政拨款支出增加9.46万元，增长0.71%。主要变动原因是人员变动。</w:t>
      </w:r>
    </w:p>
    <w:p>
      <w:pPr>
        <w:pStyle w:val="2"/>
      </w:pPr>
    </w:p>
    <w:p>
      <w:pPr>
        <w:pStyle w:val="3"/>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3"/>
      </w:pP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5" w:name="_Toc15377211"/>
      <w:r>
        <w:rPr>
          <w:rFonts w:hint="eastAsia" w:eastAsia="楷体_GB2312" w:cs="楷体_GB2312"/>
          <w:b/>
          <w:sz w:val="32"/>
          <w:szCs w:val="32"/>
        </w:rPr>
        <w:t>（二）一般公共预算财政拨款支出决算结构情况</w:t>
      </w:r>
      <w:bookmarkEnd w:id="25"/>
    </w:p>
    <w:p>
      <w:pPr>
        <w:spacing w:line="600" w:lineRule="exact"/>
        <w:ind w:firstLine="640"/>
        <w:rPr>
          <w:rFonts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1346.55万元</w:t>
      </w:r>
      <w:r>
        <w:rPr>
          <w:rFonts w:hint="eastAsia" w:eastAsia="仿宋_GB2312" w:cs="仿宋_GB2312"/>
          <w:sz w:val="32"/>
          <w:szCs w:val="32"/>
        </w:rPr>
        <w:t>，主要用于以下方面：一般公共服务支出378.1万元，占28.08%；文化旅游体育与传媒支出5.55万元，占0.41%；社会保障和就业支出64.09万元，占4.75%；卫生健康支出23.96万元，占1.78%；</w:t>
      </w:r>
      <w:r>
        <w:rPr>
          <w:rFonts w:eastAsia="仿宋_GB2312" w:cs="仿宋_GB2312"/>
          <w:sz w:val="32"/>
          <w:szCs w:val="32"/>
        </w:rPr>
        <w:t>节能环保支出</w:t>
      </w:r>
      <w:r>
        <w:rPr>
          <w:rFonts w:hint="eastAsia" w:eastAsia="仿宋_GB2312" w:cs="仿宋_GB2312"/>
          <w:sz w:val="32"/>
          <w:szCs w:val="32"/>
        </w:rPr>
        <w:t>46.15</w:t>
      </w:r>
      <w:r>
        <w:rPr>
          <w:rFonts w:hint="eastAsia" w:eastAsia="仿宋_GB2312" w:cs="仿宋_GB2312"/>
          <w:sz w:val="32"/>
          <w:szCs w:val="32"/>
          <w:lang w:eastAsia="zh-CN"/>
        </w:rPr>
        <w:t>万元</w:t>
      </w:r>
      <w:r>
        <w:rPr>
          <w:rFonts w:hint="eastAsia" w:eastAsia="仿宋_GB2312" w:cs="仿宋_GB2312"/>
          <w:sz w:val="32"/>
          <w:szCs w:val="32"/>
        </w:rPr>
        <w:t>，占3.43%；</w:t>
      </w:r>
      <w:r>
        <w:rPr>
          <w:rFonts w:eastAsia="仿宋_GB2312" w:cs="仿宋_GB2312"/>
          <w:sz w:val="32"/>
          <w:szCs w:val="32"/>
        </w:rPr>
        <w:t>城乡社区支出</w:t>
      </w:r>
      <w:r>
        <w:rPr>
          <w:rFonts w:hint="eastAsia" w:eastAsia="仿宋_GB2312" w:cs="仿宋_GB2312"/>
          <w:sz w:val="32"/>
          <w:szCs w:val="32"/>
        </w:rPr>
        <w:t>9万，占0.67%；</w:t>
      </w:r>
      <w:r>
        <w:rPr>
          <w:rFonts w:eastAsia="仿宋_GB2312" w:cs="仿宋_GB2312"/>
          <w:sz w:val="32"/>
          <w:szCs w:val="32"/>
        </w:rPr>
        <w:t>农林水支出</w:t>
      </w:r>
      <w:r>
        <w:rPr>
          <w:rFonts w:hint="eastAsia" w:eastAsia="仿宋_GB2312" w:cs="仿宋_GB2312"/>
          <w:sz w:val="32"/>
          <w:szCs w:val="32"/>
        </w:rPr>
        <w:t>788.23</w:t>
      </w:r>
      <w:r>
        <w:rPr>
          <w:rFonts w:eastAsia="仿宋_GB2312" w:cs="仿宋_GB2312"/>
          <w:sz w:val="32"/>
          <w:szCs w:val="32"/>
        </w:rPr>
        <w:t>万元，占</w:t>
      </w:r>
      <w:r>
        <w:rPr>
          <w:rFonts w:hint="eastAsia" w:eastAsia="仿宋_GB2312" w:cs="仿宋_GB2312"/>
          <w:sz w:val="32"/>
          <w:szCs w:val="32"/>
        </w:rPr>
        <w:t>58.54</w:t>
      </w:r>
      <w:r>
        <w:rPr>
          <w:rFonts w:eastAsia="仿宋_GB2312" w:cs="仿宋_GB2312"/>
          <w:sz w:val="32"/>
          <w:szCs w:val="32"/>
        </w:rPr>
        <w:t>%</w:t>
      </w:r>
      <w:r>
        <w:rPr>
          <w:rFonts w:hint="eastAsia" w:eastAsia="仿宋_GB2312" w:cs="仿宋_GB2312"/>
          <w:sz w:val="32"/>
          <w:szCs w:val="32"/>
        </w:rPr>
        <w:t>；住房保障支出31.47万元，占2.34%。</w:t>
      </w:r>
      <w:r>
        <w:rPr>
          <w:rFonts w:hint="eastAsia" w:eastAsia="仿宋_GB2312" w:cs="仿宋_GB2312"/>
          <w:b/>
          <w:bCs/>
          <w:sz w:val="32"/>
          <w:szCs w:val="32"/>
        </w:rPr>
        <w:t>（注：仅罗列本部门涉及的全部功能分类科目，至类级）</w:t>
      </w:r>
    </w:p>
    <w:p>
      <w:pPr>
        <w:pStyle w:val="2"/>
      </w:pPr>
    </w:p>
    <w:p>
      <w:pPr>
        <w:pStyle w:val="3"/>
        <w:ind w:left="420"/>
      </w:pPr>
    </w:p>
    <w:p>
      <w:pPr>
        <w:pStyle w:val="3"/>
        <w:ind w:left="420"/>
        <w:jc w:val="center"/>
      </w:pPr>
      <w:r>
        <w:drawing>
          <wp:inline distT="0" distB="0" distL="114300" distR="114300">
            <wp:extent cx="5711825" cy="3782695"/>
            <wp:effectExtent l="4445" t="4445" r="17780" b="2286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3"/>
        <w:ind w:left="420"/>
      </w:pP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6" w:name="_Toc15377212"/>
      <w:r>
        <w:rPr>
          <w:rFonts w:hint="eastAsia" w:eastAsia="楷体_GB2312" w:cs="楷体_GB2312"/>
          <w:b/>
          <w:sz w:val="32"/>
          <w:szCs w:val="32"/>
        </w:rPr>
        <w:t>（三）一般公共预算财政拨款支出决算具体情况</w:t>
      </w:r>
      <w:bookmarkEnd w:id="26"/>
    </w:p>
    <w:p>
      <w:pPr>
        <w:spacing w:line="600" w:lineRule="exact"/>
        <w:ind w:firstLine="640"/>
        <w:rPr>
          <w:rFonts w:eastAsia="仿宋_GB2312" w:cs="仿宋_GB2312"/>
          <w:sz w:val="32"/>
          <w:szCs w:val="32"/>
        </w:rPr>
      </w:pPr>
      <w:bookmarkStart w:id="27" w:name="_Toc15377444"/>
      <w:bookmarkStart w:id="28" w:name="_Toc15378460"/>
      <w:bookmarkStart w:id="29"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1346.55，</w:t>
      </w:r>
      <w:r>
        <w:rPr>
          <w:rFonts w:hint="eastAsia" w:eastAsia="仿宋_GB2312" w:cs="仿宋_GB2312"/>
          <w:sz w:val="32"/>
          <w:szCs w:val="32"/>
        </w:rPr>
        <w:t>完成预算100%。其中：</w:t>
      </w:r>
      <w:bookmarkEnd w:id="27"/>
      <w:bookmarkEnd w:id="28"/>
      <w:bookmarkEnd w:id="29"/>
    </w:p>
    <w:p>
      <w:pPr>
        <w:spacing w:line="600" w:lineRule="exact"/>
        <w:ind w:firstLine="640"/>
        <w:rPr>
          <w:rFonts w:eastAsia="仿宋_GB2312" w:cs="仿宋_GB2312"/>
          <w:sz w:val="32"/>
          <w:szCs w:val="32"/>
        </w:rPr>
      </w:pPr>
      <w:r>
        <w:rPr>
          <w:rFonts w:hint="eastAsia" w:eastAsia="仿宋_GB2312" w:cs="仿宋_GB2312"/>
          <w:sz w:val="32"/>
          <w:szCs w:val="32"/>
        </w:rPr>
        <w:t>1.</w:t>
      </w:r>
      <w:r>
        <w:rPr>
          <w:rFonts w:hint="eastAsia" w:eastAsia="仿宋_GB2312" w:cs="仿宋_GB2312"/>
          <w:sz w:val="32"/>
          <w:szCs w:val="32"/>
        </w:rPr>
        <w:tab/>
      </w:r>
      <w:r>
        <w:rPr>
          <w:rFonts w:hint="eastAsia" w:eastAsia="仿宋_GB2312" w:cs="仿宋_GB2312"/>
          <w:sz w:val="32"/>
          <w:szCs w:val="32"/>
        </w:rPr>
        <w:t>一般公共服务（类）政府办公厅（室）及相关机构事务（款）行政运行（项）: 支出决算为359.75万元，完成预算100%。</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rPr>
        <w:tab/>
      </w:r>
      <w:r>
        <w:rPr>
          <w:rFonts w:hint="eastAsia" w:eastAsia="仿宋_GB2312" w:cs="仿宋_GB2312"/>
          <w:sz w:val="32"/>
          <w:szCs w:val="32"/>
        </w:rPr>
        <w:t>一般公共服务（类）人大事务（款）行政运行（项）: 支出决算为18.35万元，完成预算100%。</w:t>
      </w:r>
    </w:p>
    <w:p>
      <w:pPr>
        <w:spacing w:line="600" w:lineRule="exact"/>
        <w:ind w:firstLine="640"/>
        <w:rPr>
          <w:rFonts w:eastAsia="仿宋_GB2312" w:cs="仿宋_GB2312"/>
          <w:sz w:val="32"/>
          <w:szCs w:val="32"/>
        </w:rPr>
      </w:pPr>
      <w:r>
        <w:rPr>
          <w:rFonts w:hint="eastAsia" w:eastAsia="仿宋_GB2312" w:cs="仿宋_GB2312"/>
          <w:sz w:val="32"/>
          <w:szCs w:val="32"/>
        </w:rPr>
        <w:t>3.</w:t>
      </w:r>
      <w:r>
        <w:rPr>
          <w:rFonts w:hint="eastAsia" w:eastAsia="仿宋_GB2312" w:cs="仿宋_GB2312"/>
          <w:sz w:val="32"/>
          <w:szCs w:val="32"/>
        </w:rPr>
        <w:tab/>
      </w:r>
      <w:r>
        <w:rPr>
          <w:rFonts w:hint="eastAsia" w:eastAsia="仿宋_GB2312" w:cs="仿宋_GB2312"/>
          <w:sz w:val="32"/>
          <w:szCs w:val="32"/>
        </w:rPr>
        <w:t>文化旅游体育与传媒支出（类）文化和旅游（款）群众文化（项）: 支出决算为5.55万元，完成预算100%。</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社会保障和就业（类）行政事业单位养老支出（款）机关事业单位基本养老保险缴费支出（项）: 支出决算为35.91万元，完成预算100%。</w:t>
      </w:r>
    </w:p>
    <w:p>
      <w:pPr>
        <w:spacing w:line="600" w:lineRule="exact"/>
        <w:ind w:firstLine="640"/>
        <w:rPr>
          <w:rFonts w:eastAsia="仿宋_GB2312" w:cs="仿宋_GB2312"/>
          <w:sz w:val="32"/>
          <w:szCs w:val="32"/>
        </w:rPr>
      </w:pPr>
      <w:r>
        <w:rPr>
          <w:rFonts w:hint="eastAsia" w:eastAsia="仿宋_GB2312" w:cs="仿宋_GB2312"/>
          <w:sz w:val="32"/>
          <w:szCs w:val="32"/>
        </w:rPr>
        <w:t>5.</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社会保障和就业（类）行政事业单位养老支出（款）机关事业单位职业年金缴费支出（项）: 支出决算为28.18万元，完成预算100%。</w:t>
      </w:r>
    </w:p>
    <w:p>
      <w:pPr>
        <w:spacing w:line="600" w:lineRule="exact"/>
        <w:ind w:firstLine="640"/>
        <w:rPr>
          <w:rFonts w:eastAsia="仿宋_GB2312" w:cs="仿宋_GB2312"/>
          <w:sz w:val="32"/>
          <w:szCs w:val="32"/>
        </w:rPr>
      </w:pPr>
      <w:r>
        <w:rPr>
          <w:rFonts w:hint="eastAsia" w:eastAsia="仿宋_GB2312" w:cs="仿宋_GB2312"/>
          <w:sz w:val="32"/>
          <w:szCs w:val="32"/>
        </w:rPr>
        <w:t>6.</w:t>
      </w:r>
      <w:r>
        <w:rPr>
          <w:rFonts w:hint="eastAsia" w:eastAsia="仿宋_GB2312" w:cs="仿宋_GB2312"/>
          <w:sz w:val="32"/>
          <w:szCs w:val="32"/>
        </w:rPr>
        <w:tab/>
      </w:r>
      <w:r>
        <w:rPr>
          <w:rFonts w:hint="eastAsia" w:eastAsia="仿宋_GB2312" w:cs="仿宋_GB2312"/>
          <w:sz w:val="32"/>
          <w:szCs w:val="32"/>
        </w:rPr>
        <w:t>卫生健康（类）公共卫生（款）重大公共卫生服务（项）:支出决算为1万元，完成预算100%。</w:t>
      </w:r>
    </w:p>
    <w:p>
      <w:pPr>
        <w:spacing w:line="600" w:lineRule="exact"/>
        <w:ind w:firstLine="640"/>
        <w:rPr>
          <w:rFonts w:eastAsia="仿宋_GB2312" w:cs="仿宋_GB2312"/>
          <w:sz w:val="32"/>
          <w:szCs w:val="32"/>
        </w:rPr>
      </w:pPr>
      <w:r>
        <w:rPr>
          <w:rFonts w:hint="eastAsia" w:eastAsia="仿宋_GB2312" w:cs="仿宋_GB2312"/>
          <w:sz w:val="32"/>
          <w:szCs w:val="32"/>
        </w:rPr>
        <w:t>7.</w:t>
      </w:r>
      <w:r>
        <w:rPr>
          <w:rFonts w:hint="eastAsia" w:eastAsia="仿宋_GB2312" w:cs="仿宋_GB2312"/>
          <w:sz w:val="32"/>
          <w:szCs w:val="32"/>
        </w:rPr>
        <w:tab/>
      </w:r>
      <w:r>
        <w:rPr>
          <w:rFonts w:hint="eastAsia" w:eastAsia="仿宋_GB2312" w:cs="仿宋_GB2312"/>
          <w:sz w:val="32"/>
          <w:szCs w:val="32"/>
        </w:rPr>
        <w:t>卫生健康（类）行政事业单位医疗（款）行政单位医疗（项）:支出决算为18.24万元，完成预算100%。</w:t>
      </w:r>
    </w:p>
    <w:p>
      <w:pPr>
        <w:spacing w:line="600" w:lineRule="exact"/>
        <w:ind w:firstLine="640"/>
        <w:rPr>
          <w:rFonts w:eastAsia="仿宋_GB2312" w:cs="仿宋_GB2312"/>
          <w:sz w:val="32"/>
          <w:szCs w:val="32"/>
        </w:rPr>
      </w:pPr>
      <w:r>
        <w:rPr>
          <w:rFonts w:hint="eastAsia" w:eastAsia="仿宋_GB2312" w:cs="仿宋_GB2312"/>
          <w:sz w:val="32"/>
          <w:szCs w:val="32"/>
        </w:rPr>
        <w:t>8.</w:t>
      </w:r>
      <w:r>
        <w:rPr>
          <w:rFonts w:hint="eastAsia" w:eastAsia="仿宋_GB2312" w:cs="仿宋_GB2312"/>
          <w:sz w:val="32"/>
          <w:szCs w:val="32"/>
        </w:rPr>
        <w:tab/>
      </w:r>
      <w:r>
        <w:rPr>
          <w:rFonts w:hint="eastAsia" w:eastAsia="仿宋_GB2312" w:cs="仿宋_GB2312"/>
          <w:sz w:val="32"/>
          <w:szCs w:val="32"/>
        </w:rPr>
        <w:t>卫生健康（类）行政事业单位医疗（款）公务员医疗补助（项）:支出决算为4.72万元，完成预算100%。</w:t>
      </w:r>
    </w:p>
    <w:p>
      <w:pPr>
        <w:spacing w:line="600" w:lineRule="exact"/>
        <w:ind w:firstLine="640"/>
        <w:rPr>
          <w:rFonts w:eastAsia="仿宋_GB2312" w:cs="仿宋_GB2312"/>
          <w:sz w:val="32"/>
          <w:szCs w:val="32"/>
        </w:rPr>
      </w:pPr>
      <w:r>
        <w:rPr>
          <w:rFonts w:hint="eastAsia" w:eastAsia="仿宋_GB2312" w:cs="仿宋_GB2312"/>
          <w:sz w:val="32"/>
          <w:szCs w:val="32"/>
        </w:rPr>
        <w:t>9.</w:t>
      </w:r>
      <w:r>
        <w:rPr>
          <w:rFonts w:hint="eastAsia" w:eastAsia="仿宋_GB2312" w:cs="仿宋_GB2312"/>
          <w:sz w:val="32"/>
          <w:szCs w:val="32"/>
        </w:rPr>
        <w:tab/>
      </w:r>
      <w:r>
        <w:rPr>
          <w:rFonts w:hint="eastAsia" w:eastAsia="仿宋_GB2312" w:cs="仿宋_GB2312"/>
          <w:sz w:val="32"/>
          <w:szCs w:val="32"/>
        </w:rPr>
        <w:t>节能环保支出（类）自然生态保护（款）农村环境保护支出（项）:支出决算为46.15万元，完成预算100%。</w:t>
      </w:r>
    </w:p>
    <w:p>
      <w:pPr>
        <w:spacing w:line="600" w:lineRule="exact"/>
        <w:ind w:firstLine="640"/>
        <w:rPr>
          <w:rFonts w:eastAsia="仿宋_GB2312" w:cs="仿宋_GB2312"/>
          <w:sz w:val="32"/>
          <w:szCs w:val="32"/>
        </w:rPr>
      </w:pPr>
      <w:r>
        <w:rPr>
          <w:rFonts w:hint="eastAsia" w:eastAsia="仿宋_GB2312" w:cs="仿宋_GB2312"/>
          <w:sz w:val="32"/>
          <w:szCs w:val="32"/>
        </w:rPr>
        <w:t>10.</w:t>
      </w:r>
      <w:r>
        <w:rPr>
          <w:rFonts w:hint="eastAsia" w:eastAsia="仿宋_GB2312" w:cs="仿宋_GB2312"/>
          <w:sz w:val="32"/>
          <w:szCs w:val="32"/>
        </w:rPr>
        <w:tab/>
      </w:r>
      <w:r>
        <w:rPr>
          <w:rFonts w:hint="eastAsia" w:eastAsia="仿宋_GB2312" w:cs="仿宋_GB2312"/>
          <w:sz w:val="32"/>
          <w:szCs w:val="32"/>
        </w:rPr>
        <w:t>城乡社区支出（类）城乡社区环境卫生（款）其他城乡社区环境卫生支出（项）:支出决算为9万元，完成预算100%。</w:t>
      </w:r>
    </w:p>
    <w:p>
      <w:pPr>
        <w:pStyle w:val="2"/>
      </w:pPr>
    </w:p>
    <w:p>
      <w:pPr>
        <w:spacing w:line="600" w:lineRule="exact"/>
        <w:ind w:firstLine="640"/>
        <w:rPr>
          <w:rFonts w:eastAsia="仿宋_GB2312" w:cs="仿宋_GB2312"/>
          <w:sz w:val="32"/>
          <w:szCs w:val="32"/>
        </w:rPr>
      </w:pPr>
      <w:r>
        <w:rPr>
          <w:rFonts w:hint="eastAsia" w:eastAsia="仿宋_GB2312" w:cs="仿宋_GB2312"/>
          <w:sz w:val="32"/>
          <w:szCs w:val="32"/>
        </w:rPr>
        <w:t>11.</w:t>
      </w:r>
      <w:r>
        <w:rPr>
          <w:rFonts w:hint="eastAsia" w:eastAsia="仿宋_GB2312" w:cs="仿宋_GB2312"/>
          <w:sz w:val="32"/>
          <w:szCs w:val="32"/>
        </w:rPr>
        <w:tab/>
      </w:r>
      <w:r>
        <w:rPr>
          <w:rFonts w:hint="eastAsia" w:eastAsia="仿宋_GB2312" w:cs="仿宋_GB2312"/>
          <w:sz w:val="32"/>
          <w:szCs w:val="32"/>
        </w:rPr>
        <w:t>农林水支出（类）林业和草原（款）林业草原防灾减灾（项）:支出决算为4.5万元，完成预算100%。</w:t>
      </w:r>
    </w:p>
    <w:p>
      <w:pPr>
        <w:spacing w:line="600" w:lineRule="exact"/>
        <w:ind w:firstLine="640"/>
        <w:rPr>
          <w:rFonts w:eastAsia="仿宋_GB2312" w:cs="仿宋_GB2312"/>
          <w:sz w:val="32"/>
          <w:szCs w:val="32"/>
        </w:rPr>
      </w:pPr>
      <w:r>
        <w:rPr>
          <w:rFonts w:hint="eastAsia" w:eastAsia="仿宋_GB2312" w:cs="仿宋_GB2312"/>
          <w:sz w:val="32"/>
          <w:szCs w:val="32"/>
        </w:rPr>
        <w:t>12.</w:t>
      </w:r>
      <w:r>
        <w:rPr>
          <w:rFonts w:hint="eastAsia" w:eastAsia="仿宋_GB2312" w:cs="仿宋_GB2312"/>
          <w:sz w:val="32"/>
          <w:szCs w:val="32"/>
        </w:rPr>
        <w:tab/>
      </w:r>
      <w:r>
        <w:rPr>
          <w:rFonts w:hint="eastAsia" w:eastAsia="仿宋_GB2312" w:cs="仿宋_GB2312"/>
          <w:sz w:val="32"/>
          <w:szCs w:val="32"/>
        </w:rPr>
        <w:t>农林水支出（类）水利支出（款）防汛（项）:支出决算为4.99万元，完成预算100%。</w:t>
      </w:r>
    </w:p>
    <w:p>
      <w:pPr>
        <w:pStyle w:val="2"/>
        <w:rPr>
          <w:b/>
        </w:rPr>
      </w:pPr>
    </w:p>
    <w:p>
      <w:pPr>
        <w:spacing w:line="600" w:lineRule="exact"/>
        <w:ind w:firstLine="640"/>
        <w:rPr>
          <w:rFonts w:eastAsia="仿宋_GB2312" w:cs="仿宋_GB2312"/>
          <w:sz w:val="32"/>
          <w:szCs w:val="32"/>
        </w:rPr>
      </w:pPr>
      <w:r>
        <w:rPr>
          <w:rFonts w:hint="eastAsia" w:eastAsia="仿宋_GB2312" w:cs="仿宋_GB2312"/>
          <w:sz w:val="32"/>
          <w:szCs w:val="32"/>
        </w:rPr>
        <w:t>13.</w:t>
      </w:r>
      <w:r>
        <w:rPr>
          <w:rFonts w:hint="eastAsia" w:eastAsia="仿宋_GB2312" w:cs="仿宋_GB2312"/>
          <w:sz w:val="32"/>
          <w:szCs w:val="32"/>
        </w:rPr>
        <w:tab/>
      </w:r>
      <w:r>
        <w:rPr>
          <w:rFonts w:hint="eastAsia" w:eastAsia="仿宋_GB2312" w:cs="仿宋_GB2312"/>
          <w:sz w:val="32"/>
          <w:szCs w:val="32"/>
        </w:rPr>
        <w:t>农林水支出（类）巩固脱贫攻坚成果衔接乡村振兴（款）其他巩固脱贫攻坚成果衔接乡村振兴支出（项）:支出决算为543.78万元，完成预算100%。</w:t>
      </w:r>
    </w:p>
    <w:p>
      <w:pPr>
        <w:spacing w:line="600" w:lineRule="exact"/>
        <w:ind w:firstLine="640"/>
        <w:rPr>
          <w:rFonts w:eastAsia="仿宋_GB2312" w:cs="仿宋_GB2312"/>
          <w:sz w:val="32"/>
          <w:szCs w:val="32"/>
        </w:rPr>
      </w:pPr>
      <w:r>
        <w:rPr>
          <w:rFonts w:hint="eastAsia" w:eastAsia="仿宋_GB2312" w:cs="仿宋_GB2312"/>
          <w:sz w:val="32"/>
          <w:szCs w:val="32"/>
        </w:rPr>
        <w:t>14.</w:t>
      </w:r>
      <w:r>
        <w:rPr>
          <w:rFonts w:hint="eastAsia" w:eastAsia="仿宋_GB2312" w:cs="仿宋_GB2312"/>
          <w:sz w:val="32"/>
          <w:szCs w:val="32"/>
        </w:rPr>
        <w:tab/>
      </w:r>
      <w:r>
        <w:rPr>
          <w:rFonts w:hint="eastAsia" w:eastAsia="仿宋_GB2312" w:cs="仿宋_GB2312"/>
          <w:sz w:val="32"/>
          <w:szCs w:val="32"/>
        </w:rPr>
        <w:t>农林水支出（类）农村综合改革（款）其对村民委员会和村党支部的补助（项）:支出决算为234.96万元，完成预算100%。</w:t>
      </w:r>
    </w:p>
    <w:p>
      <w:pPr>
        <w:spacing w:line="600" w:lineRule="exact"/>
        <w:ind w:firstLine="640"/>
        <w:rPr>
          <w:rFonts w:hint="eastAsia" w:eastAsia="仿宋_GB2312" w:cs="仿宋_GB2312"/>
          <w:sz w:val="32"/>
          <w:szCs w:val="32"/>
        </w:rPr>
      </w:pPr>
      <w:r>
        <w:rPr>
          <w:rFonts w:hint="eastAsia" w:eastAsia="仿宋_GB2312" w:cs="仿宋_GB2312"/>
          <w:sz w:val="32"/>
          <w:szCs w:val="32"/>
        </w:rPr>
        <w:t>15.</w:t>
      </w:r>
      <w:r>
        <w:rPr>
          <w:rFonts w:hint="eastAsia" w:eastAsia="仿宋_GB2312" w:cs="仿宋_GB2312"/>
          <w:sz w:val="32"/>
          <w:szCs w:val="32"/>
        </w:rPr>
        <w:tab/>
      </w:r>
      <w:r>
        <w:rPr>
          <w:rFonts w:hint="eastAsia" w:eastAsia="仿宋_GB2312" w:cs="仿宋_GB2312"/>
          <w:sz w:val="32"/>
          <w:szCs w:val="32"/>
        </w:rPr>
        <w:t>住房保障支出（类）住房改革支出（款）住房公积金（项）:支出决算为31.47万元，完成预算100%。</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30" w:name="_Toc15377214"/>
      <w:bookmarkStart w:id="31"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0"/>
      <w:bookmarkEnd w:id="31"/>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496.62万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435.23万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61.39万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b w:val="0"/>
        </w:rPr>
      </w:pPr>
      <w:bookmarkStart w:id="32" w:name="_Toc15396609"/>
      <w:bookmarkStart w:id="33"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2"/>
      <w:bookmarkEnd w:id="33"/>
    </w:p>
    <w:p>
      <w:pPr>
        <w:spacing w:line="600" w:lineRule="exact"/>
        <w:ind w:firstLine="643" w:firstLineChars="200"/>
        <w:outlineLvl w:val="2"/>
        <w:rPr>
          <w:rFonts w:eastAsia="楷体_GB2312" w:cs="楷体_GB2312"/>
          <w:b/>
          <w:sz w:val="32"/>
          <w:szCs w:val="32"/>
        </w:rPr>
      </w:pPr>
      <w:bookmarkStart w:id="34" w:name="_Toc15377216"/>
      <w:r>
        <w:rPr>
          <w:rFonts w:hint="eastAsia" w:eastAsia="楷体_GB2312" w:cs="楷体_GB2312"/>
          <w:b/>
          <w:sz w:val="32"/>
          <w:szCs w:val="32"/>
        </w:rPr>
        <w:t>（一）“三公”经费财政拨款支出决算总体情况说明</w:t>
      </w:r>
      <w:bookmarkEnd w:id="34"/>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6万元，完成预算100%，</w:t>
      </w:r>
      <w:r>
        <w:rPr>
          <w:rFonts w:hint="eastAsia" w:eastAsia="仿宋_GB2312" w:cs="仿宋_GB2312"/>
          <w:sz w:val="32"/>
          <w:szCs w:val="32"/>
        </w:rPr>
        <w:t>较上年度持平。</w:t>
      </w:r>
    </w:p>
    <w:p>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pPr>
        <w:spacing w:line="600" w:lineRule="exact"/>
        <w:ind w:firstLine="643" w:firstLineChars="200"/>
        <w:outlineLvl w:val="2"/>
        <w:rPr>
          <w:rFonts w:eastAsia="楷体_GB2312" w:cs="楷体_GB2312"/>
          <w:b/>
          <w:sz w:val="32"/>
          <w:szCs w:val="32"/>
        </w:rPr>
      </w:pPr>
      <w:bookmarkStart w:id="35" w:name="_Toc15377217"/>
      <w:r>
        <w:rPr>
          <w:rFonts w:hint="eastAsia" w:eastAsia="楷体_GB2312" w:cs="楷体_GB2312"/>
          <w:b/>
          <w:sz w:val="32"/>
          <w:szCs w:val="32"/>
        </w:rPr>
        <w:t>（二）“三公”经费财政拨款支出决算具体情况说明</w:t>
      </w:r>
      <w:bookmarkEnd w:id="35"/>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2024年度“三公”经费财政拨款支出决算中，因公出国（境）费支出决算0万元，占0%；公务用车购置及运行维护费支出决算6万元，占100%；公务接待费支出决算0万元，占0%。具体情况如下：</w:t>
      </w:r>
    </w:p>
    <w:p>
      <w:pPr>
        <w:pStyle w:val="2"/>
      </w:pPr>
      <w:r>
        <w:drawing>
          <wp:inline distT="0" distB="0" distL="114300" distR="114300">
            <wp:extent cx="4572000" cy="2743200"/>
            <wp:effectExtent l="4445" t="4445" r="1460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。因公出国（境）支出决算比2023年持平。</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6万</w:t>
      </w:r>
      <w:r>
        <w:rPr>
          <w:rFonts w:hint="eastAsia" w:eastAsia="仿宋_GB2312" w:cs="仿宋_GB2312"/>
          <w:b/>
          <w:bCs/>
          <w:sz w:val="32"/>
          <w:szCs w:val="32"/>
        </w:rPr>
        <w:t>元，完成预算**%。</w:t>
      </w:r>
      <w:r>
        <w:rPr>
          <w:rFonts w:hint="eastAsia" w:eastAsia="仿宋_GB2312" w:cs="仿宋_GB2312"/>
          <w:sz w:val="32"/>
          <w:szCs w:val="32"/>
        </w:rPr>
        <w:t>公务用车购置及运行维护费支出决算比2023年度持平。</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万元。全年按规定更新购置公务用车0辆。截至2024年12月31日，单位共有公务用车3辆，</w:t>
      </w:r>
      <w:r>
        <w:rPr>
          <w:rFonts w:eastAsia="仿宋_GB2312"/>
          <w:sz w:val="32"/>
          <w:szCs w:val="32"/>
        </w:rPr>
        <w:t>其中</w:t>
      </w:r>
      <w:r>
        <w:rPr>
          <w:rFonts w:hint="eastAsia" w:eastAsia="仿宋_GB2312"/>
          <w:sz w:val="32"/>
          <w:szCs w:val="32"/>
        </w:rPr>
        <w:t>：</w:t>
      </w:r>
      <w:r>
        <w:rPr>
          <w:rFonts w:eastAsia="仿宋_GB2312"/>
          <w:sz w:val="32"/>
          <w:szCs w:val="32"/>
        </w:rPr>
        <w:t>越野车1辆</w:t>
      </w:r>
      <w:r>
        <w:rPr>
          <w:rFonts w:hint="eastAsia" w:eastAsia="仿宋_GB2312"/>
          <w:sz w:val="32"/>
          <w:szCs w:val="32"/>
        </w:rPr>
        <w:t>，</w:t>
      </w:r>
      <w:r>
        <w:rPr>
          <w:rFonts w:hint="eastAsia" w:eastAsia="仿宋_GB2312" w:cs="仿宋_GB2312"/>
          <w:sz w:val="32"/>
          <w:szCs w:val="32"/>
        </w:rPr>
        <w:t>主要用于应急保障。</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出6</w:t>
      </w:r>
      <w:r>
        <w:rPr>
          <w:rFonts w:hint="eastAsia" w:eastAsia="仿宋_GB2312" w:cs="仿宋_GB2312"/>
          <w:sz w:val="32"/>
          <w:szCs w:val="32"/>
        </w:rPr>
        <w:t>万元。主要用于具体工作所需的公务用车燃料费、维修费、过路过桥费、保险费等支出。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公务接待费支出决算比2023年度持平。</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出0万元，外事接待0批次，0人次，共计支出0万</w:t>
      </w:r>
      <w:r>
        <w:rPr>
          <w:rFonts w:hint="eastAsia" w:eastAsia="仿宋_GB2312" w:cs="仿宋_GB2312"/>
          <w:sz w:val="32"/>
          <w:szCs w:val="32"/>
        </w:rPr>
        <w:t>元。</w:t>
      </w:r>
    </w:p>
    <w:p>
      <w:pPr>
        <w:spacing w:line="600" w:lineRule="exact"/>
        <w:ind w:firstLine="640"/>
        <w:rPr>
          <w:rFonts w:eastAsia="仿宋_GB2312" w:cs="仿宋_GB2312"/>
          <w:sz w:val="32"/>
          <w:szCs w:val="32"/>
        </w:rPr>
      </w:pPr>
      <w:bookmarkStart w:id="36" w:name="_Toc15396610"/>
      <w:bookmarkStart w:id="37" w:name="_Toc15377218"/>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6"/>
      <w:bookmarkEnd w:id="37"/>
    </w:p>
    <w:p>
      <w:pPr>
        <w:spacing w:line="600" w:lineRule="exact"/>
        <w:ind w:firstLine="640"/>
        <w:rPr>
          <w:rFonts w:eastAsia="仿宋_GB2312" w:cs="仿宋_GB2312"/>
          <w:b/>
          <w:bCs/>
          <w:sz w:val="32"/>
          <w:szCs w:val="32"/>
        </w:rPr>
      </w:pPr>
      <w:r>
        <w:rPr>
          <w:rFonts w:hint="eastAsia" w:ascii="仿宋_GB2312" w:hAnsi="仿宋_GB2312" w:eastAsia="仿宋_GB2312" w:cs="仿宋_GB2312"/>
          <w:sz w:val="32"/>
          <w:szCs w:val="32"/>
        </w:rPr>
        <w:t>2024年度政府性基金预算财政拨款支出71.76万元，占本年支出合计的5.05%</w:t>
      </w:r>
      <w:r>
        <w:rPr>
          <w:rFonts w:hint="eastAsia" w:eastAsia="仿宋_GB2312" w:cs="仿宋_GB2312"/>
          <w:sz w:val="32"/>
          <w:szCs w:val="32"/>
        </w:rPr>
        <w:t>。</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38" w:name="_Toc15377219"/>
      <w:bookmarkStart w:id="39" w:name="_Toc15396611"/>
      <w:r>
        <w:rPr>
          <w:rStyle w:val="29"/>
          <w:rFonts w:hint="eastAsia" w:ascii="Times New Roman" w:hAnsi="Times New Roman" w:eastAsia="黑体"/>
          <w:b w:val="0"/>
        </w:rPr>
        <w:t>九、国有资本经营预算支出决算情况说明</w:t>
      </w:r>
      <w:bookmarkEnd w:id="38"/>
      <w:bookmarkEnd w:id="39"/>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。与2023年度相比，国有资本经营预算财政拨款支出持平。</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40" w:name="_Toc15396612"/>
      <w:bookmarkStart w:id="41" w:name="_Toc15377221"/>
      <w:r>
        <w:rPr>
          <w:rStyle w:val="29"/>
          <w:rFonts w:hint="eastAsia" w:ascii="Times New Roman" w:hAnsi="Times New Roman" w:eastAsia="黑体"/>
          <w:b w:val="0"/>
        </w:rPr>
        <w:t>十、其他重要事项的情况说明</w:t>
      </w:r>
      <w:bookmarkEnd w:id="40"/>
      <w:bookmarkEnd w:id="41"/>
    </w:p>
    <w:p>
      <w:pPr>
        <w:spacing w:line="600" w:lineRule="exact"/>
        <w:ind w:firstLine="643" w:firstLineChars="200"/>
        <w:outlineLvl w:val="2"/>
        <w:rPr>
          <w:rFonts w:eastAsia="楷体_GB2312" w:cs="楷体_GB2312"/>
          <w:b/>
          <w:sz w:val="32"/>
          <w:szCs w:val="32"/>
        </w:rPr>
      </w:pPr>
      <w:bookmarkStart w:id="42" w:name="_Toc15377222"/>
      <w:r>
        <w:rPr>
          <w:rFonts w:hint="eastAsia" w:eastAsia="楷体_GB2312" w:cs="楷体_GB2312"/>
          <w:b/>
          <w:sz w:val="32"/>
          <w:szCs w:val="32"/>
        </w:rPr>
        <w:t>（一）机关运行经费支出情况</w:t>
      </w:r>
      <w:bookmarkEnd w:id="42"/>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，九寨沟县永和乡人民政府（本级）机关运行经费支出61.39万</w:t>
      </w:r>
      <w:r>
        <w:rPr>
          <w:rFonts w:hint="eastAsia" w:eastAsia="仿宋_GB2312" w:cs="仿宋_GB2312"/>
          <w:sz w:val="32"/>
          <w:szCs w:val="32"/>
        </w:rPr>
        <w:t>元，比2023年度增加18.5万元，增长43.13%。主要原因是人员变动。</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3" w:name="_Toc15377223"/>
      <w:r>
        <w:rPr>
          <w:rFonts w:hint="eastAsia" w:eastAsia="楷体_GB2312" w:cs="楷体_GB2312"/>
          <w:b/>
          <w:sz w:val="32"/>
          <w:szCs w:val="32"/>
        </w:rPr>
        <w:t>（二）政府采购支出情况</w:t>
      </w:r>
      <w:bookmarkEnd w:id="43"/>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九寨沟县永和乡人民政府（本级）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4" w:name="_Toc15377224"/>
      <w:r>
        <w:rPr>
          <w:rFonts w:hint="eastAsia" w:eastAsia="楷体_GB2312" w:cs="楷体_GB2312"/>
          <w:b/>
          <w:sz w:val="32"/>
          <w:szCs w:val="32"/>
        </w:rPr>
        <w:t>（三）国有资产占有使用情况</w:t>
      </w:r>
      <w:bookmarkEnd w:id="44"/>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截至2024年12月31日，九寨沟县永和乡人民政府（本级）共有车辆3辆，其中：主要负责人用车0辆、机要通信用车1辆、应急保障用车1辆、其他用车1辆，其他用车主要是用于执法执勤。</w:t>
      </w:r>
    </w:p>
    <w:p>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根据预算绩效管理要求，本部门在2024年度预算编制阶段，组织对</w:t>
      </w:r>
      <w:r>
        <w:rPr>
          <w:rFonts w:eastAsia="仿宋_GB2312" w:cs="仿宋_GB2312"/>
          <w:sz w:val="32"/>
          <w:szCs w:val="32"/>
        </w:rPr>
        <w:t>永和乡联合村农村污水治理“千村示范工程”</w:t>
      </w:r>
      <w:r>
        <w:rPr>
          <w:rFonts w:hint="eastAsia" w:eastAsia="仿宋_GB2312" w:cs="仿宋_GB2312"/>
          <w:sz w:val="32"/>
          <w:szCs w:val="32"/>
        </w:rPr>
        <w:t>等17个项目开展了预算事前绩效评估，对17个项目编制了绩效目标，预算执行过程中，选取17个项目开展绩效监控。</w:t>
      </w:r>
    </w:p>
    <w:p>
      <w:pPr>
        <w:spacing w:line="600" w:lineRule="exact"/>
        <w:ind w:firstLine="64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九寨沟县永和乡人民政府整体（含部门预算项目）绩效自评报告、城乡环境综合治理等专项预算项目绩效自评报告，其中，九寨沟县永和乡人民政府整体（含部门预算项目）绩效自评得分为93分；城乡环境综合治理专项预算项目绩效自评得分为93分。绩效自评报告详见附件。</w:t>
      </w:r>
    </w:p>
    <w:p>
      <w:pPr>
        <w:spacing w:line="600" w:lineRule="exact"/>
        <w:ind w:firstLine="640"/>
        <w:rPr>
          <w:rFonts w:eastAsia="仿宋_GB2312" w:cs="仿宋_GB2312"/>
          <w:b/>
          <w:bCs/>
          <w:sz w:val="32"/>
          <w:szCs w:val="32"/>
        </w:rPr>
      </w:pPr>
      <w:r>
        <w:rPr>
          <w:rFonts w:hint="eastAsia" w:eastAsia="仿宋_GB2312" w:cs="仿宋_GB2312"/>
          <w:b/>
          <w:bCs/>
          <w:sz w:val="32"/>
          <w:szCs w:val="32"/>
        </w:rPr>
        <w:t>（注：如不涉及，可根据实际修改表述。）</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p>
    <w:p>
      <w:pPr>
        <w:spacing w:line="600" w:lineRule="exact"/>
        <w:jc w:val="center"/>
        <w:outlineLvl w:val="0"/>
        <w:rPr>
          <w:rFonts w:hint="eastAsia" w:eastAsia="黑体"/>
          <w:sz w:val="44"/>
          <w:szCs w:val="44"/>
        </w:rPr>
      </w:pPr>
      <w:bookmarkStart w:id="45" w:name="_Toc15377225"/>
      <w:bookmarkStart w:id="46" w:name="_Toc15396613"/>
    </w:p>
    <w:p>
      <w:pPr>
        <w:spacing w:line="600" w:lineRule="exact"/>
        <w:jc w:val="center"/>
        <w:outlineLvl w:val="0"/>
        <w:rPr>
          <w:rFonts w:eastAsia="黑体"/>
          <w:sz w:val="44"/>
          <w:szCs w:val="44"/>
        </w:rPr>
      </w:pPr>
      <w:r>
        <w:rPr>
          <w:rFonts w:hint="eastAsia" w:eastAsia="黑体"/>
          <w:sz w:val="44"/>
          <w:szCs w:val="44"/>
        </w:rPr>
        <w:t>第三部分  名词解释</w:t>
      </w:r>
      <w:bookmarkEnd w:id="45"/>
      <w:bookmarkEnd w:id="46"/>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 xml:space="preserve">2.年初结转和结余：指以前年度尚未完成、结转到本年按有关规定继续使用的资金。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3.年末结转和结余：指单位按有关规定结转到下年或以后年度继续使用的资金。</w:t>
      </w:r>
    </w:p>
    <w:p>
      <w:pPr>
        <w:spacing w:line="600" w:lineRule="exact"/>
        <w:ind w:firstLine="640"/>
        <w:rPr>
          <w:rFonts w:eastAsia="仿宋_GB2312" w:cs="仿宋_GB2312"/>
          <w:sz w:val="32"/>
          <w:szCs w:val="32"/>
        </w:rPr>
      </w:pPr>
      <w:r>
        <w:rPr>
          <w:rFonts w:hint="eastAsia" w:eastAsia="仿宋_GB2312" w:cs="仿宋_GB2312"/>
          <w:sz w:val="32"/>
          <w:szCs w:val="32"/>
        </w:rPr>
        <w:t>4.-般公共服务(201)政府办公厅及相关机构事务支出(03)行政运行(01):指行政单位的基本支出。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5.一般公共服务（201）政府办公厅（室）及相关机构事务（03）事业运行（50）:指行政单位的基本支出。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6.一般公共服务（201）人大事务（01）行政运行（01）: 指人大事务的基本支出。</w:t>
      </w:r>
    </w:p>
    <w:p>
      <w:pPr>
        <w:spacing w:line="600" w:lineRule="exact"/>
        <w:ind w:firstLine="640"/>
        <w:rPr>
          <w:rFonts w:eastAsia="仿宋_GB2312" w:cs="仿宋_GB2312"/>
          <w:sz w:val="32"/>
          <w:szCs w:val="32"/>
        </w:rPr>
      </w:pPr>
      <w:r>
        <w:rPr>
          <w:rFonts w:hint="eastAsia" w:eastAsia="仿宋_GB2312" w:cs="仿宋_GB2312"/>
          <w:sz w:val="32"/>
          <w:szCs w:val="32"/>
        </w:rPr>
        <w:t>7.一般公共服务（201）政府办公厅（03）及相关机构事务（款）其他政府办公厅（室）及相关机构事务支出（99）: 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8.文化旅游体育与传媒支出（207）文化和旅游（01）群众文化（99）: 指文化旅游体育与传媒的基本支出。</w:t>
      </w:r>
    </w:p>
    <w:p>
      <w:pPr>
        <w:spacing w:line="600" w:lineRule="exact"/>
        <w:ind w:firstLine="640"/>
        <w:rPr>
          <w:rFonts w:eastAsia="仿宋_GB2312" w:cs="仿宋_GB2312"/>
          <w:sz w:val="32"/>
          <w:szCs w:val="32"/>
        </w:rPr>
      </w:pPr>
      <w:r>
        <w:rPr>
          <w:rFonts w:hint="eastAsia" w:eastAsia="仿宋_GB2312" w:cs="仿宋_GB2312"/>
          <w:sz w:val="32"/>
          <w:szCs w:val="32"/>
        </w:rPr>
        <w:t>9.社会保障和就业（208）行政事业单位养老支出（05）机关事业单位基本养老保险缴费支出（05）: 指机关事业单位基本养老保险缴费缴纳支出。</w:t>
      </w:r>
    </w:p>
    <w:p>
      <w:pPr>
        <w:spacing w:line="600" w:lineRule="exact"/>
        <w:ind w:firstLine="640"/>
        <w:rPr>
          <w:rFonts w:eastAsia="仿宋_GB2312" w:cs="仿宋_GB2312"/>
          <w:sz w:val="32"/>
          <w:szCs w:val="32"/>
        </w:rPr>
      </w:pPr>
      <w:r>
        <w:rPr>
          <w:rFonts w:hint="eastAsia" w:eastAsia="仿宋_GB2312" w:cs="仿宋_GB2312"/>
          <w:sz w:val="32"/>
          <w:szCs w:val="32"/>
        </w:rPr>
        <w:t>10.社会保障和就业（208）行政事业单位养老支出（05）机关事业单位职业年金缴费支出（06）: 指机关事业单位职业年金缴纳支出。</w:t>
      </w:r>
    </w:p>
    <w:p>
      <w:pPr>
        <w:spacing w:line="600" w:lineRule="exact"/>
        <w:ind w:firstLine="640"/>
        <w:rPr>
          <w:rFonts w:eastAsia="仿宋_GB2312" w:cs="仿宋_GB2312"/>
          <w:sz w:val="32"/>
          <w:szCs w:val="32"/>
        </w:rPr>
      </w:pPr>
      <w:r>
        <w:rPr>
          <w:rFonts w:hint="eastAsia" w:eastAsia="仿宋_GB2312" w:cs="仿宋_GB2312"/>
          <w:sz w:val="32"/>
          <w:szCs w:val="32"/>
        </w:rPr>
        <w:t>11.卫生健康（210）公共卫生（04）重大公共卫生服务（09）:指重大公共卫生服务支出。</w:t>
      </w:r>
    </w:p>
    <w:p>
      <w:pPr>
        <w:spacing w:line="600" w:lineRule="exact"/>
        <w:ind w:firstLine="640"/>
        <w:rPr>
          <w:rFonts w:eastAsia="仿宋_GB2312" w:cs="仿宋_GB2312"/>
          <w:sz w:val="32"/>
          <w:szCs w:val="32"/>
        </w:rPr>
      </w:pPr>
      <w:r>
        <w:rPr>
          <w:rFonts w:hint="eastAsia" w:eastAsia="仿宋_GB2312" w:cs="仿宋_GB2312"/>
          <w:sz w:val="32"/>
          <w:szCs w:val="32"/>
        </w:rPr>
        <w:t>12.卫生健康（210）行政事业单位医疗（11）行政单位医疗（01）:指反映财政部门集中安排的行政单位基本医疗保险经费。</w:t>
      </w:r>
    </w:p>
    <w:p>
      <w:pPr>
        <w:spacing w:line="600" w:lineRule="exact"/>
        <w:ind w:firstLine="640"/>
        <w:rPr>
          <w:rFonts w:eastAsia="仿宋_GB2312" w:cs="仿宋_GB2312"/>
          <w:sz w:val="32"/>
          <w:szCs w:val="32"/>
        </w:rPr>
      </w:pPr>
      <w:r>
        <w:rPr>
          <w:rFonts w:hint="eastAsia" w:eastAsia="仿宋_GB2312" w:cs="仿宋_GB2312"/>
          <w:sz w:val="32"/>
          <w:szCs w:val="32"/>
        </w:rPr>
        <w:t>13.卫生健康（210）行政事业单位医疗（11）事业单位医疗（02）:指反映财政部门集中安排的行政单位基本医疗保险经费。</w:t>
      </w:r>
    </w:p>
    <w:p>
      <w:pPr>
        <w:spacing w:line="600" w:lineRule="exact"/>
        <w:ind w:firstLine="640"/>
        <w:rPr>
          <w:rFonts w:eastAsia="仿宋_GB2312" w:cs="仿宋_GB2312"/>
          <w:sz w:val="32"/>
          <w:szCs w:val="32"/>
        </w:rPr>
      </w:pPr>
      <w:r>
        <w:rPr>
          <w:rFonts w:hint="eastAsia" w:eastAsia="仿宋_GB2312" w:cs="仿宋_GB2312"/>
          <w:sz w:val="32"/>
          <w:szCs w:val="32"/>
        </w:rPr>
        <w:t>14.卫生健康（210）行政事业单位医疗（11）公务员医疗补助（03）:指财政部门集中安排的公务员医疗补助。</w:t>
      </w:r>
    </w:p>
    <w:p>
      <w:pPr>
        <w:spacing w:line="600" w:lineRule="exact"/>
        <w:ind w:firstLine="640"/>
        <w:rPr>
          <w:rFonts w:eastAsia="仿宋_GB2312" w:cs="仿宋_GB2312"/>
          <w:sz w:val="32"/>
          <w:szCs w:val="32"/>
        </w:rPr>
      </w:pPr>
      <w:r>
        <w:rPr>
          <w:rFonts w:hint="eastAsia" w:eastAsia="仿宋_GB2312" w:cs="仿宋_GB2312"/>
          <w:sz w:val="32"/>
          <w:szCs w:val="32"/>
        </w:rPr>
        <w:t>15.卫生健康（210）行政事业单位医疗（11）其他行政事业单位医疗支出（99）:指财政时其他医疗保险的补助支出。</w:t>
      </w:r>
    </w:p>
    <w:p>
      <w:pPr>
        <w:spacing w:line="600" w:lineRule="exact"/>
        <w:ind w:firstLine="640"/>
        <w:rPr>
          <w:rFonts w:eastAsia="仿宋_GB2312" w:cs="仿宋_GB2312"/>
          <w:sz w:val="32"/>
          <w:szCs w:val="32"/>
        </w:rPr>
      </w:pPr>
      <w:r>
        <w:rPr>
          <w:rFonts w:hint="eastAsia" w:eastAsia="仿宋_GB2312" w:cs="仿宋_GB2312"/>
          <w:sz w:val="32"/>
          <w:szCs w:val="32"/>
        </w:rPr>
        <w:t>16.城乡社区支出（212）城乡社区环境卫生（05）其他城乡社区环境卫生支出（01）:指城乡社区环境卫生支出。</w:t>
      </w:r>
    </w:p>
    <w:p>
      <w:pPr>
        <w:spacing w:line="600" w:lineRule="exact"/>
        <w:ind w:firstLine="640"/>
        <w:rPr>
          <w:rFonts w:eastAsia="仿宋_GB2312" w:cs="仿宋_GB2312"/>
          <w:sz w:val="32"/>
          <w:szCs w:val="32"/>
        </w:rPr>
      </w:pPr>
      <w:r>
        <w:rPr>
          <w:rFonts w:hint="eastAsia" w:eastAsia="仿宋_GB2312" w:cs="仿宋_GB2312"/>
          <w:sz w:val="32"/>
          <w:szCs w:val="32"/>
        </w:rPr>
        <w:t>17.农林水支出（213）农业农村（01）农业生产发展（22）:指农业生产发展支出。</w:t>
      </w:r>
    </w:p>
    <w:p>
      <w:pPr>
        <w:spacing w:line="600" w:lineRule="exact"/>
        <w:ind w:firstLine="640"/>
        <w:rPr>
          <w:rFonts w:eastAsia="仿宋_GB2312" w:cs="仿宋_GB2312"/>
          <w:sz w:val="32"/>
          <w:szCs w:val="32"/>
        </w:rPr>
      </w:pPr>
      <w:r>
        <w:rPr>
          <w:rFonts w:hint="eastAsia" w:eastAsia="仿宋_GB2312" w:cs="仿宋_GB2312"/>
          <w:sz w:val="32"/>
          <w:szCs w:val="32"/>
        </w:rPr>
        <w:t>18.农林水支出（213）农业农村（01）其他农业农村支出（99）:指其他用于农业方面的支出。</w:t>
      </w:r>
    </w:p>
    <w:p>
      <w:pPr>
        <w:spacing w:line="600" w:lineRule="exact"/>
        <w:ind w:firstLine="640"/>
        <w:rPr>
          <w:rFonts w:eastAsia="仿宋_GB2312" w:cs="仿宋_GB2312"/>
          <w:sz w:val="32"/>
          <w:szCs w:val="32"/>
        </w:rPr>
      </w:pPr>
      <w:r>
        <w:rPr>
          <w:rFonts w:hint="eastAsia" w:eastAsia="仿宋_GB2312" w:cs="仿宋_GB2312"/>
          <w:sz w:val="32"/>
          <w:szCs w:val="32"/>
        </w:rPr>
        <w:t>19.农林水支出（213）林业和草原（02）林业草原防灾减灾（31）:指林业草原防灾减灾支出。</w:t>
      </w:r>
    </w:p>
    <w:p>
      <w:pPr>
        <w:spacing w:line="600" w:lineRule="exact"/>
        <w:ind w:firstLine="640"/>
        <w:rPr>
          <w:rFonts w:eastAsia="仿宋_GB2312" w:cs="仿宋_GB2312"/>
          <w:sz w:val="32"/>
          <w:szCs w:val="32"/>
        </w:rPr>
      </w:pPr>
      <w:r>
        <w:rPr>
          <w:rFonts w:hint="eastAsia" w:eastAsia="仿宋_GB2312" w:cs="仿宋_GB2312"/>
          <w:sz w:val="32"/>
          <w:szCs w:val="32"/>
        </w:rPr>
        <w:t>20.农林水支出（213）巩固脱贫攻坚成果衔接乡村振兴（05）农村基础设施建设（04）:指农村基础设施建设支出。</w:t>
      </w:r>
    </w:p>
    <w:p>
      <w:pPr>
        <w:spacing w:line="600" w:lineRule="exact"/>
        <w:ind w:firstLine="640"/>
        <w:rPr>
          <w:rFonts w:eastAsia="仿宋_GB2312" w:cs="仿宋_GB2312"/>
          <w:sz w:val="32"/>
          <w:szCs w:val="32"/>
        </w:rPr>
      </w:pPr>
      <w:r>
        <w:rPr>
          <w:rFonts w:hint="eastAsia" w:eastAsia="仿宋_GB2312" w:cs="仿宋_GB2312"/>
          <w:sz w:val="32"/>
          <w:szCs w:val="32"/>
        </w:rPr>
        <w:t>21.农林水支出（213）巩固脱贫攻坚成果衔接乡村振兴（05）其他巩固脱贫攻坚成果衔接乡村振兴支出（99）:指其他用于扶贫方面的支出。</w:t>
      </w:r>
    </w:p>
    <w:p>
      <w:pPr>
        <w:spacing w:line="600" w:lineRule="exact"/>
        <w:ind w:firstLine="640"/>
        <w:rPr>
          <w:rFonts w:eastAsia="仿宋_GB2312" w:cs="仿宋_GB2312"/>
          <w:sz w:val="32"/>
          <w:szCs w:val="32"/>
        </w:rPr>
      </w:pPr>
      <w:r>
        <w:rPr>
          <w:rFonts w:hint="eastAsia" w:eastAsia="仿宋_GB2312" w:cs="仿宋_GB2312"/>
          <w:sz w:val="32"/>
          <w:szCs w:val="32"/>
        </w:rPr>
        <w:t>22.农林水支出（213）农村综合改革（07）其对村民委员会和村党支部的补助（05）:指各级财政对村民委员会和村党支部的补助支出。</w:t>
      </w:r>
    </w:p>
    <w:p>
      <w:pPr>
        <w:spacing w:line="600" w:lineRule="exact"/>
        <w:ind w:firstLine="640"/>
        <w:rPr>
          <w:rFonts w:eastAsia="仿宋_GB2312" w:cs="仿宋_GB2312"/>
          <w:sz w:val="32"/>
          <w:szCs w:val="32"/>
        </w:rPr>
      </w:pPr>
      <w:r>
        <w:rPr>
          <w:rFonts w:hint="eastAsia" w:eastAsia="仿宋_GB2312" w:cs="仿宋_GB2312"/>
          <w:sz w:val="32"/>
          <w:szCs w:val="32"/>
        </w:rPr>
        <w:t>23.住房保障支出（221）住房改革支出（02）住房公积金（01）:指行政事业单位按人力资源和社会保障部、财政部规定的基本工资和津补贴依规定比例为职工缴纳住房公积金。</w:t>
      </w:r>
    </w:p>
    <w:p>
      <w:pPr>
        <w:spacing w:line="600" w:lineRule="exact"/>
        <w:ind w:firstLine="640"/>
        <w:rPr>
          <w:rFonts w:eastAsia="仿宋_GB2312" w:cs="仿宋_GB2312"/>
          <w:sz w:val="32"/>
          <w:szCs w:val="32"/>
        </w:rPr>
      </w:pPr>
      <w:r>
        <w:rPr>
          <w:rFonts w:hint="eastAsia" w:eastAsia="仿宋_GB2312" w:cs="仿宋_GB2312"/>
          <w:sz w:val="32"/>
          <w:szCs w:val="32"/>
        </w:rPr>
        <w:t>24.灾害防治及应急管理支出（224）自然灾害防治（06）地质灾害防治（01）:指自然灾害防治、地质灾害支出。</w:t>
      </w:r>
    </w:p>
    <w:p>
      <w:pPr>
        <w:spacing w:line="600" w:lineRule="exact"/>
        <w:ind w:firstLine="640"/>
        <w:rPr>
          <w:rFonts w:eastAsia="仿宋_GB2312" w:cs="仿宋_GB2312"/>
          <w:sz w:val="32"/>
          <w:szCs w:val="32"/>
        </w:rPr>
      </w:pPr>
      <w:r>
        <w:rPr>
          <w:rFonts w:hint="eastAsia" w:eastAsia="仿宋_GB2312" w:cs="仿宋_GB2312"/>
          <w:sz w:val="32"/>
          <w:szCs w:val="32"/>
        </w:rPr>
        <w:t>25.灾害防治及应急管理支出（224）自然灾害防治（06）森林草原防灾减灾（02）:指自然灾害防治、森林草原防灾减灾支出。</w:t>
      </w:r>
    </w:p>
    <w:p>
      <w:pPr>
        <w:spacing w:line="600" w:lineRule="exact"/>
        <w:ind w:firstLine="640"/>
        <w:rPr>
          <w:rFonts w:eastAsia="仿宋_GB2312" w:cs="仿宋_GB2312"/>
          <w:sz w:val="32"/>
          <w:szCs w:val="32"/>
        </w:rPr>
      </w:pPr>
      <w:r>
        <w:rPr>
          <w:rFonts w:hint="eastAsia" w:eastAsia="仿宋_GB2312" w:cs="仿宋_GB2312"/>
          <w:sz w:val="32"/>
          <w:szCs w:val="32"/>
        </w:rPr>
        <w:t>26.基本支出：指为保障机构正常运转、完成日常工作任务而发生的人员支出和公用支出。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27.项目支出：指在基本支出之外为完成特定行政任务和事业发展目标所发生的支出。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b/>
          <w:bCs/>
          <w:sz w:val="32"/>
          <w:szCs w:val="32"/>
        </w:rPr>
      </w:pPr>
      <w:r>
        <w:rPr>
          <w:rFonts w:hint="eastAsia" w:eastAsia="仿宋_GB2312" w:cs="仿宋_GB2312"/>
          <w:sz w:val="32"/>
          <w:szCs w:val="32"/>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rPr>
          <w:rStyle w:val="28"/>
          <w:rFonts w:eastAsia="仿宋_GB2312" w:cs="仿宋_GB2312"/>
          <w:kern w:val="2"/>
          <w:sz w:val="32"/>
          <w:szCs w:val="32"/>
        </w:rPr>
      </w:pPr>
      <w:bookmarkStart w:id="47" w:name="_Toc15377226"/>
      <w:r>
        <w:rPr>
          <w:rFonts w:hint="eastAsia" w:eastAsia="仿宋_GB2312" w:cs="仿宋_GB2312"/>
          <w:sz w:val="32"/>
          <w:szCs w:val="32"/>
        </w:rPr>
        <w:br w:type="page"/>
      </w:r>
      <w:bookmarkStart w:id="48" w:name="_Toc15396614"/>
      <w:r>
        <w:rPr>
          <w:rFonts w:hint="eastAsia" w:eastAsia="黑体"/>
          <w:sz w:val="44"/>
          <w:szCs w:val="44"/>
        </w:rPr>
        <w:t>第四部分  附件</w:t>
      </w:r>
      <w:bookmarkEnd w:id="48"/>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w:t>
      </w:r>
      <w:r>
        <w:rPr>
          <w:rFonts w:hint="eastAsia" w:eastAsia="仿宋_GB2312"/>
          <w:sz w:val="32"/>
          <w:szCs w:val="32"/>
          <w:shd w:val="clear" w:color="auto" w:fill="FFFFFF"/>
          <w:lang w:eastAsia="zh-CN"/>
        </w:rPr>
        <w:t>永和乡人民政府</w:t>
      </w:r>
      <w:bookmarkStart w:id="63" w:name="_GoBack"/>
      <w:bookmarkEnd w:id="63"/>
      <w:r>
        <w:rPr>
          <w:rFonts w:eastAsia="仿宋_GB2312"/>
          <w:sz w:val="32"/>
          <w:szCs w:val="32"/>
          <w:shd w:val="clear" w:color="auto" w:fill="FFFFFF"/>
        </w:rPr>
        <w:t>）</w:t>
      </w:r>
    </w:p>
    <w:p>
      <w:pPr>
        <w:pStyle w:val="3"/>
        <w:spacing w:line="560" w:lineRule="exact"/>
        <w:ind w:left="0" w:leftChars="0" w:firstLine="0" w:firstLineChars="0"/>
        <w:rPr>
          <w:rFonts w:ascii="Times New Roman" w:eastAsia="仿宋_GB2312"/>
          <w:sz w:val="32"/>
          <w:lang w:val="zh-CN" w:bidi="ar"/>
        </w:rPr>
      </w:pPr>
    </w:p>
    <w:p>
      <w:pPr>
        <w:pStyle w:val="3"/>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pPr>
        <w:pStyle w:val="3"/>
        <w:spacing w:line="560" w:lineRule="exact"/>
        <w:ind w:left="0" w:leftChars="0" w:firstLine="640"/>
        <w:rPr>
          <w:rFonts w:ascii="Times New Roman" w:eastAsia="仿宋_GB2312" w:cs="仿宋_GB2312"/>
          <w:kern w:val="0"/>
          <w:sz w:val="32"/>
          <w:lang w:val="zh-CN"/>
        </w:rPr>
      </w:pPr>
      <w:r>
        <w:rPr>
          <w:rFonts w:hint="eastAsia" w:ascii="Times New Roman" w:eastAsia="仿宋_GB2312" w:cs="仿宋_GB2312"/>
          <w:kern w:val="0"/>
          <w:sz w:val="32"/>
        </w:rPr>
        <w:t>（注：按照绩效自评工作安排，各部门已在预算管理一体化系统绩效自评模块上传“部门预算项目支出绩效自评表（2024年度）”，该表格应作为附表予以公开）</w:t>
      </w:r>
    </w:p>
    <w:tbl>
      <w:tblPr>
        <w:tblStyle w:val="18"/>
        <w:tblW w:w="90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11"/>
        <w:gridCol w:w="1183"/>
        <w:gridCol w:w="1045"/>
        <w:gridCol w:w="1355"/>
        <w:gridCol w:w="397"/>
        <w:gridCol w:w="993"/>
        <w:gridCol w:w="952"/>
        <w:gridCol w:w="663"/>
        <w:gridCol w:w="303"/>
        <w:gridCol w:w="270"/>
        <w:gridCol w:w="1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trPr>
        <w:tc>
          <w:tcPr>
            <w:tcW w:w="3994" w:type="dxa"/>
            <w:gridSpan w:val="4"/>
            <w:shd w:val="clear" w:color="auto" w:fill="auto"/>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报表编号：510000_0013zp</w:t>
            </w:r>
          </w:p>
        </w:tc>
        <w:tc>
          <w:tcPr>
            <w:tcW w:w="397" w:type="dxa"/>
            <w:shd w:val="clear" w:color="auto" w:fill="auto"/>
            <w:vAlign w:val="center"/>
          </w:tcPr>
          <w:p>
            <w:pPr>
              <w:rPr>
                <w:rFonts w:hint="eastAsia" w:ascii="宋体" w:hAnsi="宋体" w:eastAsia="宋体" w:cs="宋体"/>
                <w:i w:val="0"/>
                <w:color w:val="000000"/>
                <w:sz w:val="22"/>
                <w:szCs w:val="22"/>
                <w:u w:val="none"/>
              </w:rPr>
            </w:pPr>
          </w:p>
        </w:tc>
        <w:tc>
          <w:tcPr>
            <w:tcW w:w="2608" w:type="dxa"/>
            <w:gridSpan w:val="3"/>
            <w:shd w:val="clear" w:color="auto" w:fill="auto"/>
            <w:vAlign w:val="center"/>
          </w:tcPr>
          <w:p>
            <w:pPr>
              <w:rPr>
                <w:rFonts w:hint="eastAsia" w:ascii="宋体" w:hAnsi="宋体" w:eastAsia="宋体" w:cs="宋体"/>
                <w:i w:val="0"/>
                <w:color w:val="000000"/>
                <w:sz w:val="20"/>
                <w:szCs w:val="20"/>
                <w:u w:val="none"/>
              </w:rPr>
            </w:pPr>
          </w:p>
        </w:tc>
        <w:tc>
          <w:tcPr>
            <w:tcW w:w="303" w:type="dxa"/>
            <w:shd w:val="clear" w:color="auto" w:fill="auto"/>
            <w:vAlign w:val="center"/>
          </w:tcPr>
          <w:p>
            <w:pPr>
              <w:rPr>
                <w:rFonts w:hint="eastAsia" w:ascii="宋体" w:hAnsi="宋体" w:eastAsia="宋体" w:cs="宋体"/>
                <w:i w:val="0"/>
                <w:color w:val="000000"/>
                <w:sz w:val="22"/>
                <w:szCs w:val="22"/>
                <w:u w:val="none"/>
              </w:rPr>
            </w:pPr>
          </w:p>
        </w:tc>
        <w:tc>
          <w:tcPr>
            <w:tcW w:w="270" w:type="dxa"/>
            <w:shd w:val="clear" w:color="auto" w:fill="auto"/>
            <w:vAlign w:val="center"/>
          </w:tcPr>
          <w:p>
            <w:pPr>
              <w:rPr>
                <w:rFonts w:hint="eastAsia" w:ascii="宋体" w:hAnsi="宋体" w:eastAsia="宋体" w:cs="宋体"/>
                <w:i w:val="0"/>
                <w:color w:val="000000"/>
                <w:sz w:val="22"/>
                <w:szCs w:val="22"/>
                <w:u w:val="none"/>
              </w:rPr>
            </w:pPr>
          </w:p>
        </w:tc>
        <w:tc>
          <w:tcPr>
            <w:tcW w:w="1490"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51322521T000000049888-乡人大工作经费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保障全乡人大工作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召开乡人大代表会3次</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元/人·次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联合乡人大代表开展工作，发挥乡人大代表作用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元/人·次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51322521Y000000033226-公务用车运行维护费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51322521Y000000033227-工会经费和福利费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6.92</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51322521Y000000033228-邮电费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51322521Y000000033229-会议和培训费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51322521Y000000033232-办公印刷和接待费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2.37</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51322521Y000000046648-差旅费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3.53</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4.05</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3.53</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51322521Y000000047200-取暖费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51322522R000005285627-村干部补助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131.59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129.96</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129.96</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131.59</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129.96</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129.96</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51322522R000005473975-退休人员安家费、建房补助等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2.23</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2.23</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51322522R000006253856-目标绩效奖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24.38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24.38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24.38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24.38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51322522R000007404043-退休人员生活补助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51322522T000006692097-城乡环境综合治理专项经费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维护我乡群众利益，保障我乡群众身心健康，助力乡村振兴，特制定此项目</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切实给老百姓提供优美、宜居的生活环境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我乡各村内道路清扫，公路沿线、河道及公共区域的卫生清理</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，打造和谐村寨、美丽宜居村寨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51322522T000006824665-永和乡重大传染病防控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把重大传染病防治工作作为农村经济发展、社会稳定的一项大事来抓，认真落实各项安全措施，加强组织领导，落实责任目标，扎实开展安全大检查及专项整治，切实消除事故隐患，遏制各类重大传染病防治事故的发生，有效维护了国家和人民群众的生命财产安全，为群众提供安居乐业的环境,为群众提供良好稳定生活环境.提升群众幸福感,提高群众满意度。</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覆盖永和乡村民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为严格依照重大传染病防治法律法规的要求，认真开展重大传染病防治各项工作，确保我乡重大传染病防治形势的总体平稳</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为群众提供安居乐业的环境,为群众提供良好稳定生活环境.提升群众幸福感,提高群众满意度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51322522T000007413849-第一书记和工作队经费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51322522Y000000256510-水电费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0.21</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7.40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51322523R000009910090-单位缴费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115.76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122.68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122.68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115.76</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122.68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122.68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51322523R000009925326-工资性支出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231.03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245.50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245.50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231.03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245.50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245.50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51322523T000007628742-第一书记及工作队驻村生活补助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提高工作效率和工作质量，保障驻村帮扶工作有序有力有效。</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18.86</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99.84%</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18.86</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18.83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99.84%</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提高工作效率和工作质量，保障驻村帮扶工作有序有力有效。</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充分调动了第一书记及驻村工作队员苦干实干的积极性，</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作覆盖全面完整，契合我县政策，与部门的长期规划目标、年度工作目标相一致，产出和效果是相关联，群众满意度高。</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“从群众中来，到群众中去”的要求精神实质及群众意愿，是完全符合永和乡乡情的扶贫开发的新方式、新路子</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51322523T000008183993-森林草原防灭火工作经费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我乡人口基数相比较大，村寨密集，消防隐患较大，林区，草山风险较大，为维护我乡群众利益，保障我乡群众生命财产安全，</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我乡人口基数相比较大，村寨密集，消防隐患较大，林区，草山风险较大，为维护我乡群众利益，保障我乡群众生命财产安全，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森林草原防灭火工作一直是我乡的重点工作，时刻不能松懈。安全的生活环境，创就了群众的安居乐业日常，我们常态化抓，时刻抓。为切实给老百姓提供良好的生产生活环境，森林草原防灭火工作时刻不能松懈</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该项目主要用于我乡各村森林草原防灭火等政策知识宣传、业务培训、灭火队的管理等。森林草原是维护我们赖以生存的环境有效的屏障，具有可实施性</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与部门的长期规划目标、年度工作目标相一致，产出和效果相关联，群众满意度高.</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51322523T000008277366-永和乡伙食团补助费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为进一步提高我单位干部职工的餐饮水准，丰富干部职工的餐饮生活，让干部职工拥有更加宽松的就餐环境，让大家吃得安心，吃得放心，为职工提供良好稳定生活环境.提升职工幸福感,满意度。</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保障干部职工一天三次基本用餐</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为进一步提高我单位干部职工的餐饮水准</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进一步提高我单位干部职工的餐饮水准，丰富干部职工的餐饮生活</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提升群众幸福感,提高群众满意度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项目总成本为130000元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51322523T000008277429-永和乡安全生产工作经费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切实消除事故隐患，遏制各类安全生产事故的发生，有效维护了国家和人民群众的生命财产安全，为群众提供安居乐业的环境,为群众提供良好稳定生活环境.提升群众幸福感,提高群众满意度</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切实消除事故隐患，遏制各类安全生产事故的发生</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减少</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维护社会稳定</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群众提供良好稳定生活环境.提升群众幸福感,提高群众满意度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项目总资金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51322523T000009675603-森林防火奖补资金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我乡人口基数相比较大，村寨密集，消防隐患较大，林区，草山风险较大，为维护我乡群众利益，保障我乡群众生命财产安全。</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开展森林防火相关工作</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森林火灾下降</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完成森林防火安全检查奖补资金兑现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未发生森林火灾且防火工作成绩突出</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全乡3711人满意</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森林防火安全检查奖补资金30000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51322524R000009976175-其他人员支出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2.94</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51322524R000011819772-体检费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51322524T000009970433-乡镇文化站（中心）免费开放补助资金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政府为全社会提供公共文化服务水平，实现和保障人民群众基本文化权益，切实发挥文化免费开放的最大效益，不断探索新形势下促进文化事业繁荣发展的新思路、新办法，提高我乡公共文化服务水平，满足群主基本文化需求</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5.55</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5.55</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5.55</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5.55</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文化站（中心）免费开放数量</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所</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文化站（中心）免费开放满足辖区内群众对基本文化的需求，提高我乡公共文化服务水平</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文化站（中心）免费开放天数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文化站（中心）免费开放进一步提高政府为全社会提供公共文化服务水平，实现和保障人民群众基本文化权益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文化站（中心）免费开放让辖区内3771人满意</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3711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文化站（中心）免费开放项目总投资40000元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51322524T000009974517-永和乡人居环境整治提升项目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推动永和乡经济发展，提高人民生活水平、维护民族团结、提升全乡整体形象，改善村容、村貌；项目建设能够提供更多的就业机会，能够增加地区人民的收入，更能直接改善人民群众生活质量，促进国民经济发展和社会事业的全面进步。</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永和乡人居环境整治提升项目：新建镶嵌鹅卵石200米</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永和乡人居环境整治提升项目：绿化美化全乡主干道，提升全乡整体形象，改善村容、村貌</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永和乡人居环境整治提升项目：建设工期实效90天</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永和乡人居环境整治提升项目：项目建设能够提供更多的就业机会，能够增加地区人民的收入，更能直接改善人民群众生活质量，促进国民经济发展和社会事业的全面进步。</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永和乡人居环境整治提升项目：推动永和乡经济发展，提高人民生活水平、维护民族团结、改善人民群众生活质量，促进国民经济发展和社会事业的全面进步。</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永和乡人居环境整治提升项目：让全乡3711人满意。</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3711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永和乡人居环境整治提升项目：项目总投资1200000元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51322524T000011038117-人大纪委群团工作经费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积极开展人大纪委群团工作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开展活动 次数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不断完善提升基层代表阵地建设，促进人大纪委群团因地制宜开展活动，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在规定时 间内，开 展相关活 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在7个行政 村内形成 良好氛围</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全乡群众 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项目总资 金10万元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51322524T000011040114-基本民生—基层组织活动和公共服务运行经费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足村级办公需要，更好的为群众服务，调动村两委干部工作的积极性、主动性，保障村级组织正常运转，充分发挥村级党组织的战斗堡垒作用。为群众提供安居乐业的环境,为群众提供良好稳定生活环境.提升群众幸福感,提高群众满意度。</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满足7个行政村的办公需要</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保障村级组织正常运转</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各村按季度报账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充分发挥村级党组织的战斗堡垒作用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增强</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本项目总投资770000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51322524T000011820568-城乡建设用地增减挂钩试点项目工作经费及项目管理费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为深入贯彻落实科学发展观、统筹城乡和谐进展，服务社会主义新农村，促进土地节约集约利用，开拓用地空间，有效缓解建设用地供需矛盾，为我乡经济社会发展做好用地保障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征用土地面积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亩</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促进土地节约集约利用，征收部分土地集中使用，开拓用地空间，有效缓解建设用地供需矛盾，为我乡经济社会发展做好用地保障</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按照省州县土地增减挂钩要求，通过拆除和土地整理复垦等措施，保证土地面积平稳的基础上，最终实现增加耕地有效面积，提升质量，节约集约利用建设用地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年度计划使用资金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46150.6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51322524T000011852802-永和乡农副产品及中药材加工交易集散中心建设项目(部门)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建设本项目，辐射带动全乡中药材加工销售，增加农户就业，让全乡群众农产品能够集中售卖，方便群众售卖的同时也方便商贩集中采购，提升村寨整体风貌发展，规范农贸市场，提升农产品竞争力和知名度，增加群众收入。</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15.78</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15.78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改造提升斜坡村集散中心面积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草坡村药材加工基地面积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51322524T000011852959-永和乡农副产品及中药材加工交易集散中心建设项目（转移）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建设本项目，辐射带动全乡中药材加工销售，增加农户就业，让全乡群众农产品能够集中售卖，方便群众售卖的同时也方便商贩集中采购，提升村寨整体风貌发展，规范农贸市场，提升农产品竞争力和知名度，增加群众收入。</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草坡村药材加工基地面积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改造提升斜坡村集散中心面积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129</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51322524T000011852970-九寨沟县花椒现代农业园区（永和乡花椒运输设备）基地建设项目（部门）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通过实施山地轨道省力化设施设备建设项目，切实解决全村81户274人1200余亩花椒种植运输能力，在不破坏生态环境的同时，提高生产效率，减少群众生产成本，增加群众收入，助力巩固脱贫攻坚成果。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12.47</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12.47</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12.47</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12.47</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建设轨道规模</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机头</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51322524T000011852975-九寨沟县花椒现代农业园区（永和乡花椒运输设备）基地建设项目（转移）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通过实施山地轨道省力化设施设备建设项目，切实解决全村81户274人1200余亩花椒种植运输能力，在不破坏生态环境的同时，提高生产效率，减少群众生产成本，增加群众收入，助力巩固脱贫攻坚成果。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机头</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建设轨道规模</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51322524T000011852978-永和乡草坡村产业路维修项目（部门）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通过项目实施，切实解决由于雨水冲毁、垮塌等安全隐患，确保群众生产运输便利和安全。有效解决草坡村58户248人500余亩党参 ，花椒200余亩花椒运输。</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排水沟维修维护长度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清淤体积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路面恢复面积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挡土墙体积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防护措施安装长度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产业路维修项目预算控制数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51322524T000011852987-永和乡草坡村产业路维修项目（转移）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通过项目实施，切实解决由于雨水冲毁、垮塌等安全隐患，确保群众生产运输便利和安全。有效解决草坡村58户248人500余亩党参 ，花椒200余亩花椒运输。</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挡土墙体积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防护措施安装长度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排水沟维修维护长度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清淤体积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路面恢复面积</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增加群众经济收益</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产业路维修项目预算控制数</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89</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51322524T000011852993-九寨沟县永和乡联合村基础设施维修改造及村内环境提升项目（部门）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原有联合场坝已破败不堪，护栏老旧，场坝塌陷，存在较大安全隐患。坪上老桥塌陷、开裂，变型严重，存在重大安全隐患，建成后将大大提升老百姓生活质量和出行安全保障。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道路基础设施建设</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盏</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广场建设</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座（处）</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危桥新修</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建成后提升老百姓生活质量和出行安全保障</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年度计划使用资金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51322524T000011852999-九寨沟县永和乡联合村基础设施维修改造及村内环境提升项目（转移）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原有联合场坝已破败不堪，护栏老旧，场坝塌陷，存在较大安全隐患。坪上老桥塌陷、开裂，变型严重，存在重大安全隐患，建成后将大大提升老百姓生活质量和出行安全保障。</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85.91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85.91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85.91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85.91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广场建设</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座（处）</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道路基础设施建设</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盏</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危桥新修</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竣工验收合格率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竣工验收及时率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资金支付进度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建成后提升老百姓生活质量和出行安全保障</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年度计划使用资金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51322524T000012051154-2024年永和乡联合村农村污水治理“千村示范工程”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联合村设计建设污水处理设施1套，设计规模8m3/d，配套污水管网HDPE，主管DN300，465m；钢管D426*10，20m，DN150，240m，污水检查井2座，制作宣传标识警示牌1套。通过污水治理，确保治理后实现“三基本”，即基本看不到污水横流，公共空间基本没有生活污水乱倒乱排现象；基本闻不到臭味，公共空间或房前屋后基本没有黑臭水体、臭水沟、臭水坑等；基本听不到村民怨言，治理成效为多数村民群众认可。进一步改善农村人居环境，助力乡村振兴。</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46.15</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46.15</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46.15</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46.15</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建设污水处理设施、宣传标识警示牌</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污水处理设施</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污水检查井</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配套污水管网HDPE，主管DN300；钢管D426*10，DN150</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项目建设质量达标率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完成建设污水处理设施</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改善农村人居环境</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建设污水处理设施</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51322525R000012400304-年度考核奖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7.72</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51322525T000012133691-防汛应急抢险经费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确保人民群众的生命财产安全和社会稳定，减轻自然灾害带来的损失，保障防汛应急抢险工作顺利进行与经济社会的可持续发展。</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防汛应急抢险</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防汛应急抢险项目保质保量保障群众生命财产安全</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完成防汛应急抢险项目</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减轻自然灾害带来的损失</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人民群众的生命财产安全和社会稳定与经济社会的可持续发展</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防汛应急抢险经费</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51322525T000012229494-永和乡城沟村、大城村村内道路项目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城沟村：路面维修2091.4m，新建挡墙40m；更换污水井盖6套，更换雨水算子3套，便桥限重标志2套；新建临时钢便桥1座；大城村：新建挡墙22m，新建C25砼边沟44.7m，新建PVC污水管44.7m；更换河水井盖1套。</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57.01</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城沟村：新建临时钢便桥1座</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城沟村：路面维修2091.4m，新建挡墙40m；大城村：新建挡墙22m，新建C25砼边沟44.7m，新建PVC污水管44.7m</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2242.8</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城沟村：更换污水井盖6套，更换雨水算子3套，便桥限重标志2套；大城村：更换河水井盖1套</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项目建设质量达标率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完成建设道路设施</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改善农村人居环境，提升百姓出行保障</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建设道路设施</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51322525T000012290489-九寨沟县永和乡干部职工周转宿舍维修改造项目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改造维修职工周转宿舍2100平方米，改造引水管1000米 、电网1000米。着力实施六大提升改善项目，切实解决乡镇取暖、用水、用电、入厕、洗澡等问题，大力提升改善乡镇办公居住条件。</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改造维修职工周转宿舍</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改造引水管、电网</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项目建设质量达标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完成改造维修项目</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提升改善乡镇办公居住条件</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改造维修职工周转宿舍</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51322525T000012477677-永和乡城沟村挡土墙项目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54.76</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60.85%</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54.76</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60.85%</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51322525T000012477884-永和乡桥上村花椒园区灌溉项目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3"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6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14.30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71.48%</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14.30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71.48%</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5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1" w:type="dxa"/>
            <w:shd w:val="clear" w:color="auto" w:fill="auto"/>
            <w:vAlign w:val="center"/>
          </w:tcPr>
          <w:p>
            <w:pPr>
              <w:rPr>
                <w:rFonts w:hint="eastAsia" w:ascii="宋体" w:hAnsi="宋体" w:eastAsia="宋体" w:cs="宋体"/>
                <w:i w:val="0"/>
                <w:color w:val="000000"/>
                <w:sz w:val="18"/>
                <w:szCs w:val="18"/>
                <w:u w:val="none"/>
              </w:rPr>
            </w:pPr>
          </w:p>
        </w:tc>
        <w:tc>
          <w:tcPr>
            <w:tcW w:w="1183" w:type="dxa"/>
            <w:shd w:val="clear" w:color="auto" w:fill="auto"/>
            <w:vAlign w:val="center"/>
          </w:tcPr>
          <w:p>
            <w:pPr>
              <w:rPr>
                <w:rFonts w:hint="eastAsia" w:ascii="宋体" w:hAnsi="宋体" w:eastAsia="宋体" w:cs="宋体"/>
                <w:i w:val="0"/>
                <w:color w:val="000000"/>
                <w:sz w:val="18"/>
                <w:szCs w:val="18"/>
                <w:u w:val="none"/>
              </w:rPr>
            </w:pPr>
          </w:p>
        </w:tc>
        <w:tc>
          <w:tcPr>
            <w:tcW w:w="1045" w:type="dxa"/>
            <w:shd w:val="clear" w:color="auto" w:fill="auto"/>
            <w:vAlign w:val="center"/>
          </w:tcPr>
          <w:p>
            <w:pPr>
              <w:rPr>
                <w:rFonts w:hint="eastAsia" w:ascii="宋体" w:hAnsi="宋体" w:eastAsia="宋体" w:cs="宋体"/>
                <w:i w:val="0"/>
                <w:color w:val="000000"/>
                <w:sz w:val="18"/>
                <w:szCs w:val="18"/>
                <w:u w:val="none"/>
              </w:rPr>
            </w:pPr>
          </w:p>
        </w:tc>
        <w:tc>
          <w:tcPr>
            <w:tcW w:w="1355" w:type="dxa"/>
            <w:shd w:val="clear" w:color="auto" w:fill="auto"/>
            <w:vAlign w:val="center"/>
          </w:tcPr>
          <w:p>
            <w:pPr>
              <w:rPr>
                <w:rFonts w:hint="eastAsia" w:ascii="宋体" w:hAnsi="宋体" w:eastAsia="宋体" w:cs="宋体"/>
                <w:i w:val="0"/>
                <w:color w:val="000000"/>
                <w:sz w:val="18"/>
                <w:szCs w:val="18"/>
                <w:u w:val="none"/>
              </w:rPr>
            </w:pPr>
          </w:p>
        </w:tc>
        <w:tc>
          <w:tcPr>
            <w:tcW w:w="397" w:type="dxa"/>
            <w:shd w:val="clear" w:color="auto" w:fill="auto"/>
            <w:vAlign w:val="center"/>
          </w:tcPr>
          <w:p>
            <w:pPr>
              <w:rPr>
                <w:rFonts w:hint="eastAsia" w:ascii="宋体" w:hAnsi="宋体" w:eastAsia="宋体" w:cs="宋体"/>
                <w:i w:val="0"/>
                <w:color w:val="000000"/>
                <w:sz w:val="18"/>
                <w:szCs w:val="18"/>
                <w:u w:val="none"/>
              </w:rPr>
            </w:pPr>
          </w:p>
        </w:tc>
        <w:tc>
          <w:tcPr>
            <w:tcW w:w="993" w:type="dxa"/>
            <w:shd w:val="clear" w:color="auto" w:fill="auto"/>
            <w:vAlign w:val="center"/>
          </w:tcPr>
          <w:p>
            <w:pPr>
              <w:rPr>
                <w:rFonts w:hint="eastAsia" w:ascii="宋体" w:hAnsi="宋体" w:eastAsia="宋体" w:cs="宋体"/>
                <w:i w:val="0"/>
                <w:color w:val="000000"/>
                <w:sz w:val="18"/>
                <w:szCs w:val="18"/>
                <w:u w:val="none"/>
              </w:rPr>
            </w:pPr>
          </w:p>
        </w:tc>
        <w:tc>
          <w:tcPr>
            <w:tcW w:w="952" w:type="dxa"/>
            <w:shd w:val="clear" w:color="auto" w:fill="auto"/>
            <w:vAlign w:val="center"/>
          </w:tcPr>
          <w:p>
            <w:pPr>
              <w:rPr>
                <w:rFonts w:hint="eastAsia" w:ascii="宋体" w:hAnsi="宋体" w:eastAsia="宋体" w:cs="宋体"/>
                <w:i w:val="0"/>
                <w:color w:val="000000"/>
                <w:sz w:val="18"/>
                <w:szCs w:val="18"/>
                <w:u w:val="none"/>
              </w:rPr>
            </w:pPr>
          </w:p>
        </w:tc>
        <w:tc>
          <w:tcPr>
            <w:tcW w:w="663" w:type="dxa"/>
            <w:shd w:val="clear" w:color="auto" w:fill="auto"/>
            <w:vAlign w:val="center"/>
          </w:tcPr>
          <w:p>
            <w:pPr>
              <w:rPr>
                <w:rFonts w:hint="eastAsia" w:ascii="宋体" w:hAnsi="宋体" w:eastAsia="宋体" w:cs="宋体"/>
                <w:i w:val="0"/>
                <w:color w:val="000000"/>
                <w:sz w:val="18"/>
                <w:szCs w:val="18"/>
                <w:u w:val="none"/>
              </w:rPr>
            </w:pPr>
          </w:p>
        </w:tc>
        <w:tc>
          <w:tcPr>
            <w:tcW w:w="303" w:type="dxa"/>
            <w:shd w:val="clear" w:color="auto" w:fill="auto"/>
            <w:vAlign w:val="center"/>
          </w:tcPr>
          <w:p>
            <w:pPr>
              <w:rPr>
                <w:rFonts w:hint="eastAsia" w:ascii="宋体" w:hAnsi="宋体" w:eastAsia="宋体" w:cs="宋体"/>
                <w:i w:val="0"/>
                <w:color w:val="000000"/>
                <w:sz w:val="18"/>
                <w:szCs w:val="18"/>
                <w:u w:val="none"/>
              </w:rPr>
            </w:pPr>
          </w:p>
        </w:tc>
        <w:tc>
          <w:tcPr>
            <w:tcW w:w="270" w:type="dxa"/>
            <w:shd w:val="clear" w:color="auto" w:fill="auto"/>
            <w:vAlign w:val="center"/>
          </w:tcPr>
          <w:p>
            <w:pPr>
              <w:rPr>
                <w:rFonts w:hint="eastAsia" w:ascii="宋体" w:hAnsi="宋体" w:eastAsia="宋体" w:cs="宋体"/>
                <w:i w:val="0"/>
                <w:color w:val="000000"/>
                <w:sz w:val="18"/>
                <w:szCs w:val="18"/>
                <w:u w:val="none"/>
              </w:rPr>
            </w:pPr>
          </w:p>
        </w:tc>
        <w:tc>
          <w:tcPr>
            <w:tcW w:w="1490"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pStyle w:val="3"/>
        <w:spacing w:line="560" w:lineRule="exact"/>
        <w:ind w:left="0" w:leftChars="0" w:firstLine="0" w:firstLineChars="0"/>
        <w:rPr>
          <w:rFonts w:ascii="Times New Roman"/>
          <w:sz w:val="32"/>
          <w:highlight w:val="yellow"/>
          <w:lang w:val="zh-CN"/>
        </w:rPr>
      </w:pPr>
    </w:p>
    <w:p>
      <w:pPr>
        <w:pStyle w:val="8"/>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widowControl/>
        <w:jc w:val="center"/>
        <w:rPr>
          <w:rFonts w:eastAsia="仿宋"/>
        </w:rPr>
      </w:pPr>
      <w:bookmarkStart w:id="49" w:name="_Toc15396618"/>
      <w:r>
        <w:rPr>
          <w:rFonts w:hint="eastAsia" w:eastAsia="黑体"/>
          <w:sz w:val="44"/>
          <w:szCs w:val="44"/>
        </w:rPr>
        <w:t>第</w:t>
      </w:r>
      <w:r>
        <w:rPr>
          <w:rStyle w:val="28"/>
          <w:rFonts w:hint="eastAsia" w:eastAsia="黑体"/>
          <w:b w:val="0"/>
        </w:rPr>
        <w:t>五部分 附表</w:t>
      </w:r>
      <w:bookmarkEnd w:id="47"/>
      <w:bookmarkEnd w:id="49"/>
      <w:bookmarkStart w:id="50"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0"/>
    </w:p>
    <w:p>
      <w:pPr>
        <w:pStyle w:val="14"/>
        <w:adjustRightInd w:val="0"/>
        <w:snapToGrid w:val="0"/>
        <w:spacing w:line="560" w:lineRule="exact"/>
        <w:jc w:val="left"/>
        <w:rPr>
          <w:rFonts w:eastAsia="仿宋_GB2312" w:cs="仿宋_GB2312"/>
          <w:sz w:val="32"/>
          <w:szCs w:val="32"/>
        </w:rPr>
      </w:pPr>
      <w:bookmarkStart w:id="51" w:name="_Toc15396620"/>
      <w:r>
        <w:rPr>
          <w:rFonts w:hint="eastAsia" w:eastAsia="仿宋_GB2312" w:cs="仿宋_GB2312"/>
          <w:sz w:val="32"/>
          <w:szCs w:val="32"/>
        </w:rPr>
        <w:t>二、收入决算表</w:t>
      </w:r>
      <w:bookmarkEnd w:id="51"/>
    </w:p>
    <w:p>
      <w:pPr>
        <w:pStyle w:val="14"/>
        <w:adjustRightInd w:val="0"/>
        <w:snapToGrid w:val="0"/>
        <w:spacing w:line="560" w:lineRule="exact"/>
        <w:jc w:val="left"/>
        <w:rPr>
          <w:rFonts w:eastAsia="仿宋_GB2312" w:cs="仿宋_GB2312"/>
          <w:sz w:val="32"/>
          <w:szCs w:val="32"/>
        </w:rPr>
      </w:pPr>
      <w:bookmarkStart w:id="52" w:name="_Toc15396621"/>
      <w:r>
        <w:rPr>
          <w:rFonts w:hint="eastAsia" w:eastAsia="仿宋_GB2312" w:cs="仿宋_GB2312"/>
          <w:sz w:val="32"/>
          <w:szCs w:val="32"/>
        </w:rPr>
        <w:t>三、支出决算表</w:t>
      </w:r>
      <w:bookmarkEnd w:id="52"/>
    </w:p>
    <w:p>
      <w:pPr>
        <w:pStyle w:val="14"/>
        <w:adjustRightInd w:val="0"/>
        <w:snapToGrid w:val="0"/>
        <w:spacing w:line="560" w:lineRule="exact"/>
        <w:jc w:val="left"/>
        <w:rPr>
          <w:rFonts w:eastAsia="仿宋_GB2312" w:cs="仿宋_GB2312"/>
          <w:sz w:val="32"/>
          <w:szCs w:val="32"/>
        </w:rPr>
      </w:pPr>
      <w:bookmarkStart w:id="53" w:name="_Toc15396622"/>
      <w:r>
        <w:rPr>
          <w:rFonts w:hint="eastAsia" w:eastAsia="仿宋_GB2312" w:cs="仿宋_GB2312"/>
          <w:sz w:val="32"/>
          <w:szCs w:val="32"/>
        </w:rPr>
        <w:t>四、财政拨款收入支出决算总表</w:t>
      </w:r>
      <w:bookmarkEnd w:id="53"/>
    </w:p>
    <w:p>
      <w:pPr>
        <w:pStyle w:val="14"/>
        <w:adjustRightInd w:val="0"/>
        <w:snapToGrid w:val="0"/>
        <w:spacing w:line="560" w:lineRule="exact"/>
        <w:jc w:val="left"/>
        <w:rPr>
          <w:rFonts w:eastAsia="仿宋_GB2312" w:cs="仿宋_GB2312"/>
          <w:sz w:val="32"/>
          <w:szCs w:val="32"/>
        </w:rPr>
      </w:pPr>
      <w:bookmarkStart w:id="54" w:name="_Toc15396623"/>
      <w:r>
        <w:rPr>
          <w:rFonts w:hint="eastAsia" w:eastAsia="仿宋_GB2312" w:cs="仿宋_GB2312"/>
          <w:sz w:val="32"/>
          <w:szCs w:val="32"/>
        </w:rPr>
        <w:t>五、财政拨款支出决算明细表</w:t>
      </w:r>
      <w:bookmarkEnd w:id="54"/>
      <w:bookmarkStart w:id="55"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5"/>
    </w:p>
    <w:p>
      <w:pPr>
        <w:pStyle w:val="14"/>
        <w:adjustRightInd w:val="0"/>
        <w:snapToGrid w:val="0"/>
        <w:spacing w:line="560" w:lineRule="exact"/>
        <w:jc w:val="left"/>
        <w:rPr>
          <w:rFonts w:eastAsia="仿宋_GB2312" w:cs="仿宋_GB2312"/>
          <w:sz w:val="32"/>
          <w:szCs w:val="32"/>
        </w:rPr>
      </w:pPr>
      <w:bookmarkStart w:id="56" w:name="_Toc15396625"/>
      <w:r>
        <w:rPr>
          <w:rFonts w:hint="eastAsia" w:eastAsia="仿宋_GB2312" w:cs="仿宋_GB2312"/>
          <w:sz w:val="32"/>
          <w:szCs w:val="32"/>
        </w:rPr>
        <w:t>七、一般公共预算财政拨款支出决算明细表</w:t>
      </w:r>
      <w:bookmarkEnd w:id="56"/>
    </w:p>
    <w:p>
      <w:pPr>
        <w:pStyle w:val="14"/>
        <w:adjustRightInd w:val="0"/>
        <w:snapToGrid w:val="0"/>
        <w:spacing w:line="560" w:lineRule="exact"/>
        <w:jc w:val="left"/>
        <w:rPr>
          <w:rFonts w:eastAsia="仿宋_GB2312" w:cs="仿宋_GB2312"/>
          <w:sz w:val="32"/>
          <w:szCs w:val="32"/>
        </w:rPr>
      </w:pPr>
      <w:bookmarkStart w:id="57" w:name="_Toc15396626"/>
      <w:r>
        <w:rPr>
          <w:rFonts w:hint="eastAsia" w:eastAsia="仿宋_GB2312" w:cs="仿宋_GB2312"/>
          <w:sz w:val="32"/>
          <w:szCs w:val="32"/>
        </w:rPr>
        <w:t>八、一般公共预算财政拨款基本支出决算表</w:t>
      </w:r>
      <w:bookmarkEnd w:id="57"/>
    </w:p>
    <w:p>
      <w:pPr>
        <w:pStyle w:val="14"/>
        <w:adjustRightInd w:val="0"/>
        <w:snapToGrid w:val="0"/>
        <w:spacing w:line="560" w:lineRule="exact"/>
        <w:jc w:val="left"/>
        <w:rPr>
          <w:rFonts w:eastAsia="仿宋_GB2312" w:cs="仿宋_GB2312"/>
          <w:sz w:val="32"/>
          <w:szCs w:val="32"/>
        </w:rPr>
      </w:pPr>
      <w:bookmarkStart w:id="58" w:name="_Toc15396627"/>
      <w:r>
        <w:rPr>
          <w:rFonts w:hint="eastAsia" w:eastAsia="仿宋_GB2312" w:cs="仿宋_GB2312"/>
          <w:sz w:val="32"/>
          <w:szCs w:val="32"/>
        </w:rPr>
        <w:t>九、一般公共预算财政拨款项目支出决算表</w:t>
      </w:r>
      <w:bookmarkEnd w:id="58"/>
    </w:p>
    <w:p>
      <w:pPr>
        <w:pStyle w:val="14"/>
        <w:adjustRightInd w:val="0"/>
        <w:snapToGrid w:val="0"/>
        <w:spacing w:line="560" w:lineRule="exact"/>
        <w:jc w:val="left"/>
        <w:rPr>
          <w:rFonts w:eastAsia="仿宋_GB2312" w:cs="仿宋_GB2312"/>
          <w:sz w:val="32"/>
          <w:szCs w:val="32"/>
        </w:rPr>
      </w:pPr>
      <w:bookmarkStart w:id="59" w:name="_Toc15396628"/>
      <w:r>
        <w:rPr>
          <w:rFonts w:hint="eastAsia" w:eastAsia="仿宋_GB2312" w:cs="仿宋_GB2312"/>
          <w:sz w:val="32"/>
          <w:szCs w:val="32"/>
        </w:rPr>
        <w:t>十、</w:t>
      </w:r>
      <w:bookmarkEnd w:id="59"/>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0" w:name="_Toc15396629"/>
      <w:r>
        <w:rPr>
          <w:rFonts w:hint="eastAsia" w:eastAsia="仿宋_GB2312" w:cs="仿宋_GB2312"/>
          <w:sz w:val="32"/>
          <w:szCs w:val="32"/>
        </w:rPr>
        <w:t>十一、</w:t>
      </w:r>
      <w:bookmarkEnd w:id="60"/>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1" w:name="_Toc15396630"/>
      <w:r>
        <w:rPr>
          <w:rFonts w:hint="eastAsia" w:eastAsia="仿宋_GB2312" w:cs="仿宋_GB2312"/>
          <w:sz w:val="32"/>
          <w:szCs w:val="32"/>
        </w:rPr>
        <w:t>十二、</w:t>
      </w:r>
      <w:bookmarkEnd w:id="61"/>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2" w:name="_Toc15396631"/>
      <w:r>
        <w:rPr>
          <w:rFonts w:hint="eastAsia" w:eastAsia="仿宋_GB2312" w:cs="仿宋_GB2312"/>
          <w:sz w:val="32"/>
          <w:szCs w:val="32"/>
        </w:rPr>
        <w:t>十三、</w:t>
      </w:r>
      <w:bookmarkEnd w:id="62"/>
      <w:r>
        <w:rPr>
          <w:rFonts w:hint="eastAsia" w:eastAsia="仿宋_GB2312" w:cs="仿宋_GB2312"/>
          <w:sz w:val="32"/>
          <w:szCs w:val="32"/>
        </w:rPr>
        <w:t>财政拨款“三公”经费支出决算表</w:t>
      </w:r>
    </w:p>
    <w:p>
      <w:pPr/>
    </w:p>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altName w:val="宋体"/>
    <w:panose1 w:val="02010609060101010101"/>
    <w:charset w:val="86"/>
    <w:family w:val="decorative"/>
    <w:pitch w:val="default"/>
    <w:sig w:usb0="00000000" w:usb1="00000000" w:usb2="00000016" w:usb3="00000000" w:csb0="00040001" w:csb1="00000000"/>
  </w:font>
  <w:font w:name="??">
    <w:altName w:val="Segoe Print"/>
    <w:panose1 w:val="00000000000000000000"/>
    <w:charset w:val="00"/>
    <w:family w:val="swiss"/>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altName w:val="宋体"/>
    <w:panose1 w:val="02010609060101010101"/>
    <w:charset w:val="86"/>
    <w:family w:val="roman"/>
    <w:pitch w:val="default"/>
    <w:sig w:usb0="00000000" w:usb1="00000000" w:usb2="00000016" w:usb3="00000000" w:csb0="00040001" w:csb1="00000000"/>
  </w:font>
  <w:font w:name="??">
    <w:altName w:val="Segoe Print"/>
    <w:panose1 w:val="00000000000000000000"/>
    <w:charset w:val="00"/>
    <w:family w:val="decorative"/>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宋体"/>
    <w:panose1 w:val="02010609060101010101"/>
    <w:charset w:val="86"/>
    <w:family w:val="modern"/>
    <w:pitch w:val="default"/>
    <w:sig w:usb0="00000000" w:usb1="00000000"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黑体">
    <w:altName w:val="宋体"/>
    <w:panose1 w:val="02010609060101010101"/>
    <w:charset w:val="86"/>
    <w:family w:val="swiss"/>
    <w:pitch w:val="default"/>
    <w:sig w:usb0="00000000" w:usb1="00000000" w:usb2="00000016" w:usb3="00000000" w:csb0="00040001" w:csb1="00000000"/>
  </w:font>
  <w:font w:name="??">
    <w:altName w:val="Segoe Print"/>
    <w:panose1 w:val="00000000000000000000"/>
    <w:charset w:val="00"/>
    <w:family w:val="modern"/>
    <w:pitch w:val="default"/>
    <w:sig w:usb0="00000000" w:usb1="00000000" w:usb2="00000000" w:usb3="00000000" w:csb0="00000000" w:csb1="0000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黑体">
    <w:altName w:val="宋体"/>
    <w:panose1 w:val="00000000000000000000"/>
    <w:charset w:val="00"/>
    <w:family w:val="auto"/>
    <w:pitch w:val="default"/>
    <w:sig w:usb0="00000000" w:usb1="00000000" w:usb2="00000000" w:usb3="00000000" w:csb0="00000000" w:csb1="00000000"/>
  </w:font>
  <w:font w:name="simhei">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90256895">
    <w:nsid w:val="29247BFF"/>
    <w:multiLevelType w:val="multilevel"/>
    <w:tmpl w:val="29247BFF"/>
    <w:lvl w:ilvl="0" w:tentative="1">
      <w:start w:val="1"/>
      <w:numFmt w:val="japaneseCounting"/>
      <w:lvlText w:val="%1、"/>
      <w:lvlJc w:val="left"/>
      <w:pPr>
        <w:ind w:left="660" w:hanging="6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6902568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391E"/>
    <w:rsid w:val="00235629"/>
    <w:rsid w:val="00260C38"/>
    <w:rsid w:val="002616C0"/>
    <w:rsid w:val="00265372"/>
    <w:rsid w:val="002662AA"/>
    <w:rsid w:val="00280496"/>
    <w:rsid w:val="00284480"/>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38BD"/>
    <w:rsid w:val="004316A0"/>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E3F39"/>
    <w:rsid w:val="005F1A4C"/>
    <w:rsid w:val="00605688"/>
    <w:rsid w:val="006070AF"/>
    <w:rsid w:val="00607E6C"/>
    <w:rsid w:val="006101B1"/>
    <w:rsid w:val="00614E44"/>
    <w:rsid w:val="00616B6F"/>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64B4"/>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633D"/>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0A10A70"/>
    <w:rsid w:val="2186353C"/>
    <w:rsid w:val="21C02043"/>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407E1B"/>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9F7357"/>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5"/>
    <w:link w:val="5"/>
    <w:qFormat/>
    <w:uiPriority w:val="9"/>
    <w:rPr>
      <w:rFonts w:ascii="Times New Roman" w:hAnsi="Times New Roman"/>
      <w:b/>
      <w:bCs/>
      <w:kern w:val="44"/>
      <w:sz w:val="44"/>
      <w:szCs w:val="44"/>
    </w:rPr>
  </w:style>
  <w:style w:type="character" w:customStyle="1" w:styleId="29">
    <w:name w:val="标题 2 Char"/>
    <w:basedOn w:val="15"/>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5"/>
    <w:link w:val="10"/>
    <w:semiHidden/>
    <w:qFormat/>
    <w:uiPriority w:val="99"/>
    <w:rPr>
      <w:rFonts w:ascii="Times New Roman" w:hAnsi="Times New Roman"/>
      <w:kern w:val="2"/>
      <w:sz w:val="18"/>
      <w:szCs w:val="18"/>
    </w:rPr>
  </w:style>
  <w:style w:type="character" w:customStyle="1" w:styleId="32">
    <w:name w:val="标题 3 Char"/>
    <w:basedOn w:val="15"/>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C&#30424;\Desktop\&#26032;&#24314; Microsoft Excel &#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C&#30424;\Desktop\&#26032;&#24314; Microsoft Excel &#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C&#30424;\Desktop\&#26032;&#24314; Microsoft Excel &#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C&#30424;\Desktop\&#26032;&#24314; Microsoft Excel &#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C&#30424;\Desktop\&#26032;&#24314; Microsoft Excel &#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C&#30424;\Desktop\&#26032;&#24314; Microsoft Excel &#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Users\Administrator\Desktop\&#20915;&#31639;&#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收入、支出决算总计变动情况图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1704.78</c:v>
                </c:pt>
                <c:pt idx="1" c:formatCode="General">
                  <c:v>1418.31</c:v>
                </c:pt>
              </c:numCache>
            </c:numRef>
          </c:val>
        </c:ser>
        <c:dLbls>
          <c:dLblPos val="outEnd"/>
          <c:showLegendKey val="0"/>
          <c:showVal val="0"/>
          <c:showCatName val="0"/>
          <c:showSerName val="0"/>
          <c:showPercent val="0"/>
          <c:showBubbleSize val="0"/>
        </c:dLbls>
        <c:gapWidth val="219"/>
        <c:overlap val="-27"/>
        <c:axId val="677635868"/>
        <c:axId val="966668186"/>
      </c:barChart>
      <c:catAx>
        <c:axId val="6776358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966668186"/>
        <c:crosses val="autoZero"/>
        <c:auto val="1"/>
        <c:lblAlgn val="ctr"/>
        <c:lblOffset val="100"/>
        <c:tickMarkSkip val="1"/>
        <c:noMultiLvlLbl val="0"/>
      </c:catAx>
      <c:valAx>
        <c:axId val="966668186"/>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6776358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收入决算结构图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一般公共预算财政拨款收入</c:v>
                </c:pt>
                <c:pt idx="1">
                  <c:v>政府性基金预算财政拨款收入</c:v>
                </c:pt>
              </c:strCache>
            </c:strRef>
          </c:cat>
          <c:val>
            <c:numRef>
              <c:f>'[新建 Microsoft Excel 工作表.xlsx]Sheet1'!$B$2:$B$3</c:f>
              <c:numCache>
                <c:formatCode>General</c:formatCode>
                <c:ptCount val="2"/>
                <c:pt idx="0" c:formatCode="General">
                  <c:v>1291.24</c:v>
                </c:pt>
                <c:pt idx="1" c:formatCode="General">
                  <c:v>71.76</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收入决算结构图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基本支出</c:v>
                </c:pt>
                <c:pt idx="1">
                  <c:v>项目支出</c:v>
                </c:pt>
              </c:strCache>
            </c:strRef>
          </c:cat>
          <c:val>
            <c:numRef>
              <c:f>'[新建 Microsoft Excel 工作表.xlsx]Sheet1'!$B$2:$B$3</c:f>
              <c:numCache>
                <c:formatCode>General</c:formatCode>
                <c:ptCount val="2"/>
                <c:pt idx="0" c:formatCode="General">
                  <c:v>496.62</c:v>
                </c:pt>
                <c:pt idx="1" c:formatCode="General">
                  <c:v>921.69</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收入、支出决算总计变动情况图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1704.78</c:v>
                </c:pt>
                <c:pt idx="1" c:formatCode="General">
                  <c:v>1418.31</c:v>
                </c:pt>
              </c:numCache>
            </c:numRef>
          </c:val>
        </c:ser>
        <c:dLbls>
          <c:dLblPos val="outEnd"/>
          <c:showLegendKey val="0"/>
          <c:showVal val="0"/>
          <c:showCatName val="0"/>
          <c:showSerName val="0"/>
          <c:showPercent val="0"/>
          <c:showBubbleSize val="0"/>
        </c:dLbls>
        <c:gapWidth val="219"/>
        <c:overlap val="-27"/>
        <c:axId val="677635868"/>
        <c:axId val="966668186"/>
      </c:barChart>
      <c:catAx>
        <c:axId val="6776358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966668186"/>
        <c:crosses val="autoZero"/>
        <c:auto val="1"/>
        <c:lblAlgn val="ctr"/>
        <c:lblOffset val="100"/>
        <c:tickMarkSkip val="1"/>
        <c:noMultiLvlLbl val="0"/>
      </c:catAx>
      <c:valAx>
        <c:axId val="966668186"/>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6776358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一般公共预算财政拨款支出决算变动情况</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1346.55</c:v>
                </c:pt>
                <c:pt idx="1" c:formatCode="General">
                  <c:v>1337.09</c:v>
                </c:pt>
              </c:numCache>
            </c:numRef>
          </c:val>
        </c:ser>
        <c:dLbls>
          <c:dLblPos val="outEnd"/>
          <c:showLegendKey val="0"/>
          <c:showVal val="0"/>
          <c:showCatName val="0"/>
          <c:showSerName val="0"/>
          <c:showPercent val="0"/>
          <c:showBubbleSize val="0"/>
        </c:dLbls>
        <c:gapWidth val="219"/>
        <c:overlap val="-27"/>
        <c:axId val="504851021"/>
        <c:axId val="543728938"/>
      </c:barChart>
      <c:catAx>
        <c:axId val="50485102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543728938"/>
        <c:crosses val="autoZero"/>
        <c:auto val="1"/>
        <c:lblAlgn val="ctr"/>
        <c:lblOffset val="100"/>
        <c:tickMarkSkip val="1"/>
        <c:noMultiLvlLbl val="0"/>
      </c:catAx>
      <c:valAx>
        <c:axId val="543728938"/>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50485102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一般公共预算财政拨款支出决算结构</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工作表.xlsx]Sheet1'!$A$2:$A$9</c:f>
              <c:strCache>
                <c:ptCount val="8"/>
                <c:pt idx="0">
                  <c:v>一般公共服务支出</c:v>
                </c:pt>
                <c:pt idx="1">
                  <c:v>文化旅游体育与传媒支出</c:v>
                </c:pt>
                <c:pt idx="2">
                  <c:v>社会保障和就业支出</c:v>
                </c:pt>
                <c:pt idx="3">
                  <c:v>卫生健康支出</c:v>
                </c:pt>
                <c:pt idx="4">
                  <c:v>节能环保支出</c:v>
                </c:pt>
                <c:pt idx="5">
                  <c:v>城乡社区支出</c:v>
                </c:pt>
                <c:pt idx="6">
                  <c:v>农林水支出</c:v>
                </c:pt>
                <c:pt idx="7">
                  <c:v>住房保障支出</c:v>
                </c:pt>
              </c:strCache>
            </c:strRef>
          </c:cat>
          <c:val>
            <c:numRef>
              <c:f>'[新建 Microsoft Excel 工作表.xlsx]Sheet1'!$B$2:$B$9</c:f>
              <c:numCache>
                <c:formatCode>General</c:formatCode>
                <c:ptCount val="8"/>
                <c:pt idx="0" c:formatCode="General">
                  <c:v>378.1</c:v>
                </c:pt>
                <c:pt idx="1" c:formatCode="General">
                  <c:v>5.55</c:v>
                </c:pt>
                <c:pt idx="2" c:formatCode="General">
                  <c:v>64.09</c:v>
                </c:pt>
                <c:pt idx="3" c:formatCode="General">
                  <c:v>23.96</c:v>
                </c:pt>
                <c:pt idx="4" c:formatCode="General">
                  <c:v>46.15</c:v>
                </c:pt>
                <c:pt idx="5" c:formatCode="General">
                  <c:v>9</c:v>
                </c:pt>
                <c:pt idx="6" c:formatCode="General">
                  <c:v>788.23</c:v>
                </c:pt>
                <c:pt idx="7" c:formatCode="General">
                  <c:v>31.47</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sz="1400" b="0" i="0" u="none" strike="noStrike" kern="1200" cap="none" spc="0" normalizeH="0" baseline="0">
                <a:solidFill>
                  <a:schemeClr val="tx1">
                    <a:lumMod val="65000"/>
                    <a:lumOff val="35000"/>
                  </a:schemeClr>
                </a:solidFill>
                <a:effectLst/>
                <a:latin typeface="+mn-lt"/>
                <a:ea typeface="+mn-ea"/>
                <a:cs typeface="+mn-cs"/>
              </a:rPr>
              <a:t>“三公”经费财政拨款支出结构 </a:t>
            </a:r>
            <a:endParaRPr lang="zh-CN" altLang="en-US"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22083333333333"/>
          <c:y val="0.0277777777777778"/>
        </c:manualLayout>
      </c:layout>
      <c:overlay val="0"/>
      <c:spPr>
        <a:noFill/>
        <a:ln>
          <a:noFill/>
        </a:ln>
        <a:effectLst/>
      </c:spPr>
    </c:title>
    <c:autoTitleDeleted val="0"/>
    <c:plotArea>
      <c:layout/>
      <c:pieChart>
        <c:varyColors val="1"/>
        <c:ser>
          <c:idx val="0"/>
          <c:order val="0"/>
          <c:tx>
            <c:strRef>
              <c:f>'[决算图.xlsx]Sheet3 (4)'!$B$1:$B$2</c:f>
              <c:strCache>
                <c:ptCount val="1"/>
                <c:pt idx="0">
                  <c:v>“三公”经费财政拨款支出结构 占比</c:v>
                </c:pt>
              </c:strCache>
            </c:strRef>
          </c:tx>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prstDash val="solid"/>
                      <a:round/>
                    </a:ln>
                    <a:effectLst/>
                  </c:spPr>
                </c15:leaderLines>
              </c:ext>
            </c:extLst>
          </c:dLbls>
          <c:cat>
            <c:strRef>
              <c:f>'[决算图.xlsx]Sheet3 (4)'!$A$3:$A$5</c:f>
              <c:strCache>
                <c:ptCount val="3"/>
                <c:pt idx="0">
                  <c:v>因公出国（境）费支出决算</c:v>
                </c:pt>
                <c:pt idx="1">
                  <c:v>公务用车购置及运行维护费支出决算</c:v>
                </c:pt>
                <c:pt idx="2">
                  <c:v>公务接待费支出决算</c:v>
                </c:pt>
              </c:strCache>
            </c:strRef>
          </c:cat>
          <c:val>
            <c:numRef>
              <c:f>'[决算图.xlsx]Sheet3 (4)'!$B$3:$B$5</c:f>
              <c:numCache>
                <c:formatCode>0.00%</c:formatCode>
                <c:ptCount val="3"/>
                <c:pt idx="0">
                  <c:v>0</c:v>
                </c:pt>
                <c:pt idx="1">
                  <c:v>1</c:v>
                </c:pt>
                <c:pt idx="2" c:formatCode="General">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7241</Words>
  <Characters>870</Characters>
  <Lines>7</Lines>
  <Paragraphs>16</Paragraphs>
  <ScaleCrop>false</ScaleCrop>
  <LinksUpToDate>false</LinksUpToDate>
  <CharactersWithSpaces>8095</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2025-10-16T06:18:00Z</dcterms:created>
  <dc:creator>曹颖</dc:creator>
  <cp:lastModifiedBy>Administrator</cp:lastModifiedBy>
  <cp:lastPrinted>2025-08-06T17:34:00Z</cp:lastPrinted>
  <dcterms:modified xsi:type="dcterms:W3CDTF">2025-10-20T08:14:33Z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