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8"/>
        <w:spacing w:before="93"/>
        <w:rPr>
          <w:rFonts w:ascii="Times New Roman" w:eastAsia="方正小标宋简体"/>
          <w:kern w:val="2"/>
          <w:sz w:val="72"/>
          <w:szCs w:val="72"/>
        </w:rPr>
      </w:pPr>
      <w:bookmarkStart w:id="0" w:name="_Toc15377425"/>
      <w:bookmarkStart w:id="1" w:name="_Toc15396475"/>
      <w:bookmarkStart w:id="2" w:name="_Toc15396597"/>
      <w:bookmarkStart w:id="3" w:name="_Toc15377193"/>
      <w:bookmarkStart w:id="4" w:name="_Toc15306267"/>
      <w:bookmarkStart w:id="5" w:name="_Toc15378441"/>
    </w:p>
    <w:p>
      <w:pPr>
        <w:pStyle w:val="8"/>
        <w:spacing w:before="93"/>
        <w:rPr>
          <w:rFonts w:ascii="Times New Roman" w:eastAsia="方正小标宋简体"/>
          <w:kern w:val="2"/>
          <w:sz w:val="72"/>
          <w:szCs w:val="72"/>
        </w:rPr>
      </w:pPr>
    </w:p>
    <w:p>
      <w:pPr>
        <w:pStyle w:val="8"/>
        <w:spacing w:before="93"/>
        <w:rPr>
          <w:rFonts w:ascii="Times New Roman" w:eastAsia="方正小标宋简体"/>
          <w:kern w:val="2"/>
          <w:sz w:val="72"/>
          <w:szCs w:val="72"/>
        </w:rPr>
      </w:pPr>
    </w:p>
    <w:p>
      <w:pPr>
        <w:adjustRightInd w:val="0"/>
        <w:snapToGrid w:val="0"/>
        <w:spacing w:line="360" w:lineRule="auto"/>
        <w:jc w:val="center"/>
        <w:outlineLvl w:val="0"/>
        <w:rPr>
          <w:rFonts w:eastAsia="方正小标宋简体"/>
          <w:sz w:val="48"/>
          <w:szCs w:val="48"/>
        </w:rPr>
      </w:pPr>
      <w:bookmarkStart w:id="6" w:name="_Toc11116"/>
      <w:bookmarkStart w:id="7" w:name="_Toc180144043"/>
      <w:r>
        <w:rPr>
          <w:rFonts w:eastAsia="方正小标宋简体"/>
          <w:sz w:val="48"/>
          <w:szCs w:val="48"/>
        </w:rPr>
        <w:t>202</w:t>
      </w:r>
      <w:r>
        <w:rPr>
          <w:rFonts w:hint="eastAsia" w:eastAsia="方正小标宋简体"/>
          <w:sz w:val="48"/>
          <w:szCs w:val="48"/>
        </w:rPr>
        <w:t>4</w:t>
      </w:r>
      <w:r>
        <w:rPr>
          <w:rFonts w:eastAsia="方正小标宋简体"/>
          <w:sz w:val="48"/>
          <w:szCs w:val="48"/>
        </w:rPr>
        <w:t>年度</w:t>
      </w:r>
      <w:bookmarkEnd w:id="6"/>
      <w:bookmarkEnd w:id="7"/>
    </w:p>
    <w:p>
      <w:pPr>
        <w:adjustRightInd w:val="0"/>
        <w:snapToGrid w:val="0"/>
        <w:spacing w:line="360" w:lineRule="auto"/>
        <w:jc w:val="center"/>
        <w:outlineLvl w:val="0"/>
        <w:rPr>
          <w:rFonts w:eastAsia="方正小标宋简体"/>
          <w:sz w:val="48"/>
          <w:szCs w:val="48"/>
        </w:rPr>
      </w:pPr>
      <w:bookmarkStart w:id="8" w:name="_Toc14147"/>
      <w:bookmarkStart w:id="9" w:name="_Toc180144044"/>
      <w:r>
        <w:rPr>
          <w:rFonts w:eastAsia="方正小标宋简体"/>
          <w:sz w:val="48"/>
          <w:szCs w:val="48"/>
        </w:rPr>
        <w:t>四川省阿坝州九寨沟县</w:t>
      </w:r>
      <w:bookmarkEnd w:id="8"/>
      <w:bookmarkEnd w:id="9"/>
    </w:p>
    <w:p>
      <w:pPr>
        <w:adjustRightInd w:val="0"/>
        <w:snapToGrid w:val="0"/>
        <w:spacing w:line="360" w:lineRule="auto"/>
        <w:jc w:val="center"/>
        <w:outlineLvl w:val="0"/>
        <w:rPr>
          <w:rFonts w:eastAsia="方正小标宋简体"/>
          <w:sz w:val="48"/>
          <w:szCs w:val="48"/>
        </w:rPr>
      </w:pPr>
      <w:bookmarkStart w:id="10" w:name="_Toc180144045"/>
      <w:bookmarkStart w:id="11" w:name="_Toc10327"/>
      <w:r>
        <w:rPr>
          <w:rFonts w:eastAsia="方正小标宋简体"/>
          <w:sz w:val="48"/>
          <w:szCs w:val="48"/>
        </w:rPr>
        <w:t>永和乡便民服务中心单位决算</w:t>
      </w:r>
      <w:bookmarkEnd w:id="10"/>
      <w:bookmarkEnd w:id="11"/>
    </w:p>
    <w:p>
      <w:pPr>
        <w:pStyle w:val="19"/>
        <w:rPr>
          <w:rFonts w:ascii="Times New Roman" w:hAnsi="Times New Roman"/>
        </w:rPr>
        <w:sectPr>
          <w:headerReference r:id="rId4" w:type="first"/>
          <w:footerReference r:id="rId6" w:type="first"/>
          <w:headerReference r:id="rId3" w:type="default"/>
          <w:footerReference r:id="rId5" w:type="default"/>
          <w:pgSz w:w="11906" w:h="16838"/>
          <w:pgMar w:top="1440" w:right="1800" w:bottom="1440" w:left="1800" w:header="851" w:footer="992" w:gutter="0"/>
          <w:pgNumType w:fmt="numberInDash" w:start="1"/>
          <w:cols w:space="425" w:num="1"/>
          <w:titlePg/>
          <w:docGrid w:type="lines" w:linePitch="312" w:charSpace="0"/>
        </w:sectPr>
      </w:pPr>
    </w:p>
    <w:bookmarkEnd w:id="0"/>
    <w:bookmarkEnd w:id="1"/>
    <w:bookmarkEnd w:id="2"/>
    <w:bookmarkEnd w:id="3"/>
    <w:bookmarkEnd w:id="4"/>
    <w:bookmarkEnd w:id="5"/>
    <w:p>
      <w:pPr>
        <w:pStyle w:val="8"/>
        <w:spacing w:before="93"/>
        <w:rPr>
          <w:rFonts w:ascii="Times New Roman" w:eastAsia="方正小标宋简体"/>
          <w:kern w:val="2"/>
          <w:sz w:val="44"/>
          <w:szCs w:val="44"/>
        </w:rPr>
      </w:pPr>
      <w:r>
        <w:rPr>
          <w:rFonts w:hint="eastAsia" w:eastAsia="黑体"/>
          <w:sz w:val="48"/>
          <w:szCs w:val="48"/>
        </w:rPr>
        <w:t>目录</w:t>
      </w:r>
    </w:p>
    <w:p>
      <w:pPr>
        <w:widowControl/>
        <w:jc w:val="center"/>
        <w:rPr>
          <w:rFonts w:eastAsia="黑体" w:cstheme="minorBidi"/>
          <w:sz w:val="28"/>
          <w:szCs w:val="28"/>
        </w:rPr>
      </w:pPr>
    </w:p>
    <w:p>
      <w:pPr>
        <w:pStyle w:val="13"/>
        <w:rPr>
          <w:rFonts w:ascii="Times New Roman" w:hAnsi="Times New Roman" w:eastAsia="仿宋_GB2312" w:cs="仿宋_GB2312"/>
          <w:sz w:val="32"/>
          <w:szCs w:val="32"/>
        </w:rPr>
      </w:pPr>
      <w:r>
        <w:rPr>
          <w:rFonts w:hint="eastAsia" w:ascii="Times New Roman" w:hAnsi="Times New Roman" w:eastAsia="仿宋_GB2312" w:cs="仿宋_GB2312"/>
          <w:sz w:val="32"/>
          <w:szCs w:val="32"/>
        </w:rPr>
        <w:t>公开时间：2025年10月16日</w:t>
      </w:r>
    </w:p>
    <w:p>
      <w:pP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第一部分 部门概况</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一、部门职责</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二、机构设置</w:t>
      </w: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第二部分 2024年度部门决算情况说明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一、收入支出决算总体情况说明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四、财政拨款收入支出决算总体情况说明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五、一般公共预算财政拨款支出决算情况说明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六、一般公共预算财政拨款基本支出决算情况说明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七、财政拨款“三公”经费支出决算情况说明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八、政府性基金预算支出决算情况说明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九、国有资本经营预算支出决算情况说明</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十、其他重要事项的情况说明</w:t>
      </w: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第三部分 名词解释</w:t>
      </w: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第四部分 附件</w:t>
      </w:r>
    </w:p>
    <w:p>
      <w:pPr>
        <w:pStyle w:val="13"/>
        <w:adjustRightInd w:val="0"/>
        <w:snapToGrid w:val="0"/>
        <w:spacing w:before="0" w:line="560" w:lineRule="exact"/>
        <w:jc w:val="left"/>
        <w:rPr>
          <w:rFonts w:ascii="Times New Roman" w:hAnsi="Times New Roman" w:eastAsia="黑体" w:cs="黑体"/>
          <w:sz w:val="32"/>
          <w:szCs w:val="32"/>
        </w:rPr>
      </w:pPr>
      <w:r>
        <w:rPr>
          <w:rFonts w:hint="eastAsia" w:ascii="Times New Roman" w:hAnsi="Times New Roman" w:eastAsia="黑体" w:cs="黑体"/>
          <w:sz w:val="32"/>
          <w:szCs w:val="32"/>
        </w:rPr>
        <w:t>第五部分 附表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一、收入支出决算总表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二、收入决算表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三、支出决算表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四、财政拨款收入支出决算总表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五、财政拨款支出决算明细表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六、一般公共预算财政拨款支出决算表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七、一般公共预算财政拨款支出决算明细表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八、一般公共预算财政拨款基本支出决算明细表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九、一般公共预算财政拨款项目支出决算表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十、政府性基金预算财政拨款收入支出决算表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十一、国有资本经营预算财政拨款收入支出决算表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十二、国有资本经营预算财政拨款支出决算表</w:t>
      </w:r>
    </w:p>
    <w:p>
      <w:pPr>
        <w:pStyle w:val="14"/>
        <w:adjustRightInd w:val="0"/>
        <w:snapToGrid w:val="0"/>
        <w:spacing w:line="560" w:lineRule="exact"/>
        <w:ind w:left="0" w:leftChars="0" w:firstLine="640" w:firstLineChars="200"/>
        <w:jc w:val="left"/>
        <w:rPr>
          <w:rFonts w:eastAsia="仿宋_GB2312" w:cs="仿宋_GB2312"/>
          <w:sz w:val="32"/>
          <w:szCs w:val="32"/>
        </w:rPr>
      </w:pPr>
      <w:r>
        <w:rPr>
          <w:rFonts w:hint="eastAsia" w:eastAsia="仿宋_GB2312" w:cs="仿宋_GB2312"/>
          <w:sz w:val="32"/>
          <w:szCs w:val="32"/>
        </w:rPr>
        <w:t>十三、财政拨款“三公”经费支出决算表</w:t>
      </w:r>
    </w:p>
    <w:p>
      <w:pPr>
        <w:pStyle w:val="14"/>
        <w:adjustRightInd w:val="0"/>
        <w:snapToGrid w:val="0"/>
        <w:spacing w:line="560" w:lineRule="exact"/>
        <w:ind w:left="0" w:leftChars="0" w:firstLine="643" w:firstLineChars="200"/>
        <w:jc w:val="left"/>
        <w:rPr>
          <w:rFonts w:eastAsia="仿宋_GB2312" w:cs="仿宋_GB2312"/>
          <w:b/>
          <w:bCs/>
          <w:sz w:val="32"/>
          <w:szCs w:val="32"/>
        </w:rPr>
      </w:pPr>
      <w:r>
        <w:rPr>
          <w:rFonts w:hint="eastAsia" w:eastAsia="仿宋_GB2312" w:cs="仿宋_GB2312"/>
          <w:b/>
          <w:bCs/>
          <w:sz w:val="32"/>
          <w:szCs w:val="32"/>
        </w:rPr>
        <w:t>（注：请部门根据实际注明页码）</w:t>
      </w:r>
    </w:p>
    <w:p>
      <w:pPr>
        <w:widowControl/>
        <w:spacing w:line="560" w:lineRule="exact"/>
        <w:jc w:val="left"/>
        <w:rPr>
          <w:rFonts w:eastAsia="仿宋_GB2312" w:cs="仿宋_GB2312"/>
          <w:bCs/>
          <w:kern w:val="44"/>
          <w:sz w:val="32"/>
          <w:szCs w:val="32"/>
        </w:rPr>
      </w:pPr>
      <w:bookmarkStart w:id="12" w:name="_Toc15377196"/>
      <w:bookmarkStart w:id="13" w:name="_Toc15396599"/>
      <w:r>
        <w:rPr>
          <w:rFonts w:hint="eastAsia" w:eastAsia="仿宋_GB2312" w:cs="仿宋_GB2312"/>
          <w:b/>
          <w:sz w:val="32"/>
          <w:szCs w:val="32"/>
        </w:rPr>
        <w:br w:type="page"/>
      </w:r>
    </w:p>
    <w:p>
      <w:pPr>
        <w:pStyle w:val="5"/>
        <w:jc w:val="center"/>
        <w:rPr>
          <w:rStyle w:val="28"/>
          <w:rFonts w:eastAsia="方正小标宋简体" w:cs="方正小标宋简体"/>
          <w:b/>
          <w:bCs w:val="0"/>
        </w:rPr>
      </w:pPr>
      <w:r>
        <w:rPr>
          <w:rFonts w:hint="eastAsia" w:eastAsia="方正小标宋简体" w:cs="方正小标宋简体"/>
          <w:b w:val="0"/>
        </w:rPr>
        <w:t xml:space="preserve">第一部分  </w:t>
      </w:r>
      <w:r>
        <w:rPr>
          <w:rStyle w:val="28"/>
          <w:rFonts w:hint="eastAsia" w:eastAsia="方正小标宋简体" w:cs="方正小标宋简体"/>
          <w:b w:val="0"/>
          <w:bCs w:val="0"/>
        </w:rPr>
        <w:t>部门概况</w:t>
      </w:r>
      <w:bookmarkEnd w:id="12"/>
      <w:bookmarkEnd w:id="13"/>
    </w:p>
    <w:p>
      <w:pPr>
        <w:widowControl/>
        <w:jc w:val="left"/>
        <w:rPr>
          <w:rFonts w:eastAsia="黑体"/>
          <w:sz w:val="32"/>
          <w:szCs w:val="32"/>
        </w:rPr>
      </w:pPr>
    </w:p>
    <w:p>
      <w:pPr>
        <w:pStyle w:val="6"/>
        <w:numPr>
          <w:ilvl w:val="0"/>
          <w:numId w:val="1"/>
        </w:numPr>
        <w:rPr>
          <w:rFonts w:hint="eastAsia" w:ascii="Times New Roman" w:hAnsi="Times New Roman" w:eastAsia="黑体"/>
          <w:b w:val="0"/>
        </w:rPr>
      </w:pPr>
      <w:r>
        <w:rPr>
          <w:rFonts w:hint="eastAsia" w:ascii="Times New Roman" w:hAnsi="Times New Roman" w:eastAsia="黑体"/>
          <w:b w:val="0"/>
        </w:rPr>
        <w:t>部门职责</w:t>
      </w:r>
    </w:p>
    <w:p>
      <w:pPr>
        <w:pStyle w:val="27"/>
        <w:spacing w:line="560" w:lineRule="exact"/>
        <w:ind w:firstLine="640"/>
        <w:rPr>
          <w:rFonts w:eastAsia="仿宋"/>
          <w:sz w:val="32"/>
          <w:szCs w:val="32"/>
        </w:rPr>
      </w:pPr>
      <w:r>
        <w:rPr>
          <w:rFonts w:eastAsia="仿宋"/>
          <w:sz w:val="32"/>
          <w:szCs w:val="32"/>
        </w:rPr>
        <w:t>1、便民服务中心，挂退役军人服务站、农民工服务中心牌子，主要承担乡镇便民服务工作，负责便民服务中心的日常管理和退役军人、农民工管理服务等工作。</w:t>
      </w:r>
    </w:p>
    <w:p>
      <w:pPr>
        <w:spacing w:line="560" w:lineRule="exact"/>
        <w:ind w:firstLine="640" w:firstLineChars="200"/>
        <w:rPr>
          <w:rFonts w:eastAsia="仿宋"/>
          <w:sz w:val="32"/>
          <w:szCs w:val="32"/>
        </w:rPr>
      </w:pPr>
      <w:r>
        <w:rPr>
          <w:rFonts w:eastAsia="仿宋"/>
          <w:sz w:val="32"/>
          <w:szCs w:val="32"/>
        </w:rPr>
        <w:t>2.党群服务中心，主要承担辖区基层党组织和群团组织日常工作，负责党员、干部、群众团体管理服务等工作。</w:t>
      </w:r>
    </w:p>
    <w:p>
      <w:pPr>
        <w:spacing w:line="560" w:lineRule="exact"/>
        <w:ind w:firstLine="640" w:firstLineChars="200"/>
        <w:rPr>
          <w:rFonts w:eastAsia="仿宋"/>
          <w:sz w:val="32"/>
          <w:szCs w:val="32"/>
        </w:rPr>
      </w:pPr>
      <w:r>
        <w:rPr>
          <w:rFonts w:eastAsia="仿宋"/>
          <w:sz w:val="32"/>
          <w:szCs w:val="32"/>
        </w:rPr>
        <w:t>3.文化旅游服务中心，主要承担乡村文化、体育、旅游、广播影视等工作。</w:t>
      </w:r>
    </w:p>
    <w:p>
      <w:pPr>
        <w:spacing w:line="560" w:lineRule="exact"/>
        <w:ind w:firstLine="640" w:firstLineChars="200"/>
        <w:rPr>
          <w:rFonts w:eastAsia="仿宋"/>
          <w:sz w:val="32"/>
          <w:szCs w:val="32"/>
        </w:rPr>
      </w:pPr>
      <w:r>
        <w:rPr>
          <w:rFonts w:eastAsia="仿宋"/>
          <w:sz w:val="32"/>
          <w:szCs w:val="32"/>
        </w:rPr>
        <w:t>4.农业农村服务中心，主要承担涉农项目实施、技术推广、农村经营管理等工作。</w:t>
      </w:r>
    </w:p>
    <w:p>
      <w:pPr/>
    </w:p>
    <w:p>
      <w:pPr>
        <w:pStyle w:val="6"/>
        <w:rPr>
          <w:rStyle w:val="29"/>
          <w:rFonts w:ascii="Times New Roman" w:hAnsi="Times New Roman"/>
          <w:b w:val="0"/>
          <w:bCs w:val="0"/>
        </w:rPr>
      </w:pPr>
      <w:bookmarkStart w:id="14" w:name="_Toc15377200"/>
      <w:bookmarkStart w:id="15" w:name="_Toc15396601"/>
      <w:r>
        <w:rPr>
          <w:rFonts w:hint="eastAsia" w:ascii="Times New Roman" w:hAnsi="Times New Roman" w:eastAsia="黑体"/>
          <w:b w:val="0"/>
        </w:rPr>
        <w:t>二、机</w:t>
      </w:r>
      <w:r>
        <w:rPr>
          <w:rStyle w:val="29"/>
          <w:rFonts w:hint="eastAsia" w:ascii="Times New Roman" w:hAnsi="Times New Roman" w:eastAsia="黑体"/>
          <w:b w:val="0"/>
          <w:bCs w:val="0"/>
        </w:rPr>
        <w:t>构设置</w:t>
      </w:r>
      <w:bookmarkEnd w:id="14"/>
      <w:bookmarkEnd w:id="15"/>
    </w:p>
    <w:p>
      <w:pPr>
        <w:pStyle w:val="8"/>
        <w:adjustRightInd w:val="0"/>
        <w:snapToGrid w:val="0"/>
        <w:spacing w:before="93" w:line="600" w:lineRule="exact"/>
        <w:ind w:firstLine="672" w:firstLineChars="210"/>
        <w:rPr>
          <w:rFonts w:hint="eastAsia" w:ascii="Times New Roman" w:cs="仿宋_GB2312"/>
          <w:sz w:val="32"/>
          <w:szCs w:val="32"/>
        </w:rPr>
      </w:pPr>
      <w:r>
        <w:rPr>
          <w:rFonts w:hint="eastAsia" w:hAnsi="仿宋_GB2312" w:cs="仿宋_GB2312"/>
          <w:kern w:val="2"/>
          <w:sz w:val="32"/>
          <w:szCs w:val="32"/>
        </w:rPr>
        <w:t>2024年单位事业机构4个；财政供养人员编制13名，2024年实际供养人员事业13人，其中：事业工勤1人。</w:t>
      </w:r>
    </w:p>
    <w:p>
      <w:pPr>
        <w:pStyle w:val="8"/>
        <w:adjustRightInd w:val="0"/>
        <w:snapToGrid w:val="0"/>
        <w:spacing w:before="93" w:line="600" w:lineRule="exact"/>
        <w:ind w:firstLine="672" w:firstLineChars="210"/>
        <w:rPr>
          <w:rFonts w:hint="eastAsia" w:ascii="Times New Roman" w:cs="仿宋_GB2312"/>
          <w:sz w:val="32"/>
          <w:szCs w:val="32"/>
        </w:rPr>
      </w:pPr>
    </w:p>
    <w:p>
      <w:pPr>
        <w:pStyle w:val="8"/>
        <w:adjustRightInd w:val="0"/>
        <w:snapToGrid w:val="0"/>
        <w:spacing w:before="93" w:line="600" w:lineRule="exact"/>
        <w:ind w:firstLine="672" w:firstLineChars="210"/>
        <w:rPr>
          <w:rFonts w:eastAsia="仿宋"/>
          <w:sz w:val="32"/>
          <w:szCs w:val="32"/>
        </w:rPr>
      </w:pPr>
    </w:p>
    <w:p>
      <w:pPr>
        <w:pStyle w:val="5"/>
        <w:jc w:val="center"/>
        <w:rPr>
          <w:rFonts w:eastAsia="方正小标宋简体" w:cs="方正小标宋简体"/>
          <w:b w:val="0"/>
        </w:rPr>
      </w:pPr>
      <w:bookmarkStart w:id="16" w:name="_Toc15377204"/>
      <w:bookmarkStart w:id="17" w:name="_Toc15396602"/>
      <w:r>
        <w:rPr>
          <w:rFonts w:hint="eastAsia" w:eastAsia="方正小标宋简体" w:cs="方正小标宋简体"/>
          <w:b w:val="0"/>
        </w:rPr>
        <w:t>第二部分  2024年度部门决算情况说明</w:t>
      </w:r>
      <w:bookmarkEnd w:id="16"/>
      <w:bookmarkEnd w:id="17"/>
    </w:p>
    <w:p>
      <w:pPr/>
    </w:p>
    <w:p>
      <w:pPr>
        <w:pStyle w:val="27"/>
        <w:spacing w:line="600" w:lineRule="exact"/>
        <w:ind w:firstLine="640"/>
        <w:outlineLvl w:val="1"/>
        <w:rPr>
          <w:rStyle w:val="29"/>
          <w:rFonts w:ascii="Times New Roman" w:hAnsi="Times New Roman" w:eastAsia="黑体"/>
          <w:b w:val="0"/>
        </w:rPr>
      </w:pPr>
      <w:bookmarkStart w:id="18" w:name="_Toc15396603"/>
      <w:bookmarkStart w:id="19" w:name="_Toc15377205"/>
      <w:r>
        <w:rPr>
          <w:rFonts w:hint="eastAsia" w:eastAsia="黑体"/>
          <w:sz w:val="32"/>
          <w:szCs w:val="32"/>
        </w:rPr>
        <w:t>一、收</w:t>
      </w:r>
      <w:r>
        <w:rPr>
          <w:rStyle w:val="29"/>
          <w:rFonts w:hint="eastAsia" w:ascii="Times New Roman" w:hAnsi="Times New Roman" w:eastAsia="黑体"/>
          <w:b w:val="0"/>
        </w:rPr>
        <w:t>入支出决算总体情况说明</w:t>
      </w:r>
      <w:bookmarkEnd w:id="18"/>
      <w:bookmarkEnd w:id="19"/>
    </w:p>
    <w:p>
      <w:pPr>
        <w:pStyle w:val="27"/>
        <w:spacing w:line="600" w:lineRule="exact"/>
        <w:ind w:firstLine="640"/>
        <w:outlineLvl w:val="1"/>
        <w:rPr>
          <w:rFonts w:hint="eastAsia" w:eastAsia="仿宋_GB2312" w:cs="仿宋_GB2312"/>
          <w:sz w:val="32"/>
          <w:szCs w:val="32"/>
        </w:rPr>
      </w:pPr>
      <w:r>
        <w:rPr>
          <w:rFonts w:hint="eastAsia" w:eastAsia="仿宋_GB2312" w:cs="仿宋_GB2312"/>
          <w:sz w:val="32"/>
          <w:szCs w:val="32"/>
        </w:rPr>
        <w:t>2024年度收入、支出总计均为</w:t>
      </w:r>
      <w:r>
        <w:rPr>
          <w:rFonts w:hint="eastAsia" w:ascii="仿宋_GB2312" w:hAnsi="仿宋_GB2312" w:eastAsia="仿宋_GB2312" w:cs="仿宋_GB2312"/>
          <w:sz w:val="32"/>
          <w:szCs w:val="32"/>
        </w:rPr>
        <w:t>192.74</w:t>
      </w:r>
      <w:r>
        <w:rPr>
          <w:rFonts w:hint="eastAsia" w:eastAsia="仿宋_GB2312" w:cs="仿宋_GB2312"/>
          <w:sz w:val="32"/>
          <w:szCs w:val="32"/>
        </w:rPr>
        <w:t>万元。与2023年度相比，收入、支出总计各减少37.24万元，下降16.19%。主要变动原因是人员变动。</w:t>
      </w:r>
    </w:p>
    <w:p>
      <w:pPr>
        <w:pStyle w:val="27"/>
        <w:spacing w:line="600" w:lineRule="exact"/>
        <w:ind w:firstLine="640"/>
        <w:outlineLvl w:val="1"/>
        <w:rPr>
          <w:rFonts w:eastAsia="仿宋_GB2312" w:cs="仿宋_GB2312"/>
          <w:sz w:val="32"/>
          <w:szCs w:val="32"/>
        </w:rPr>
      </w:pPr>
      <w:r>
        <w:drawing>
          <wp:anchor distT="0" distB="0" distL="114300" distR="114300" simplePos="0" relativeHeight="251658240" behindDoc="0" locked="0" layoutInCell="1" allowOverlap="1">
            <wp:simplePos x="0" y="0"/>
            <wp:positionH relativeFrom="column">
              <wp:posOffset>305435</wp:posOffset>
            </wp:positionH>
            <wp:positionV relativeFrom="paragraph">
              <wp:posOffset>108585</wp:posOffset>
            </wp:positionV>
            <wp:extent cx="4572000" cy="2743200"/>
            <wp:effectExtent l="4445" t="4445" r="14605" b="14605"/>
            <wp:wrapNone/>
            <wp:docPr id="10"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Style w:val="27"/>
        <w:spacing w:line="600" w:lineRule="exact"/>
        <w:ind w:firstLine="640"/>
        <w:outlineLvl w:val="1"/>
        <w:rPr>
          <w:rFonts w:eastAsia="仿宋_GB2312" w:cs="仿宋_GB2312"/>
          <w:sz w:val="32"/>
          <w:szCs w:val="32"/>
        </w:rPr>
      </w:pPr>
    </w:p>
    <w:p>
      <w:pPr>
        <w:pStyle w:val="27"/>
        <w:spacing w:line="600" w:lineRule="exact"/>
        <w:ind w:firstLine="640"/>
        <w:outlineLvl w:val="1"/>
        <w:rPr>
          <w:rFonts w:eastAsia="仿宋_GB2312" w:cs="仿宋_GB2312"/>
          <w:sz w:val="32"/>
          <w:szCs w:val="32"/>
        </w:rPr>
      </w:pPr>
    </w:p>
    <w:p>
      <w:pPr>
        <w:ind w:firstLine="640" w:firstLineChars="200"/>
        <w:rPr>
          <w:rFonts w:hint="eastAsia" w:eastAsia="仿宋_GB2312" w:cs="仿宋_GB2312"/>
          <w:sz w:val="32"/>
          <w:szCs w:val="32"/>
        </w:rPr>
      </w:pPr>
    </w:p>
    <w:p>
      <w:pPr>
        <w:ind w:firstLine="640" w:firstLineChars="200"/>
        <w:rPr>
          <w:rFonts w:hint="eastAsia" w:eastAsia="仿宋_GB2312" w:cs="仿宋_GB2312"/>
          <w:sz w:val="32"/>
          <w:szCs w:val="32"/>
        </w:rPr>
      </w:pPr>
    </w:p>
    <w:p>
      <w:pPr>
        <w:ind w:firstLine="640" w:firstLineChars="200"/>
        <w:rPr>
          <w:rFonts w:hint="eastAsia" w:eastAsia="仿宋_GB2312" w:cs="仿宋_GB2312"/>
          <w:sz w:val="32"/>
          <w:szCs w:val="32"/>
        </w:rPr>
      </w:pPr>
    </w:p>
    <w:p>
      <w:pPr>
        <w:ind w:firstLine="640" w:firstLineChars="200"/>
        <w:rPr>
          <w:rFonts w:hint="eastAsia" w:eastAsia="仿宋_GB2312" w:cs="仿宋_GB2312"/>
          <w:sz w:val="32"/>
          <w:szCs w:val="32"/>
        </w:rPr>
      </w:pPr>
    </w:p>
    <w:p>
      <w:pPr>
        <w:ind w:firstLine="640" w:firstLineChars="200"/>
        <w:rPr>
          <w:rFonts w:hint="eastAsia" w:eastAsia="仿宋_GB2312" w:cs="仿宋_GB2312"/>
          <w:sz w:val="32"/>
          <w:szCs w:val="32"/>
        </w:rPr>
      </w:pPr>
    </w:p>
    <w:p>
      <w:pPr>
        <w:ind w:firstLine="640" w:firstLineChars="200"/>
        <w:rPr>
          <w:rFonts w:eastAsia="仿宋_GB2312" w:cs="仿宋_GB2312"/>
          <w:sz w:val="32"/>
          <w:szCs w:val="32"/>
        </w:rPr>
      </w:pPr>
      <w:r>
        <w:rPr>
          <w:rFonts w:hint="eastAsia" w:eastAsia="仿宋_GB2312" w:cs="仿宋_GB2312"/>
          <w:sz w:val="32"/>
          <w:szCs w:val="32"/>
        </w:rPr>
        <w:t>（图1：收入、支出决算总计变动情况图）（柱状图）</w:t>
      </w:r>
    </w:p>
    <w:p>
      <w:pPr>
        <w:ind w:firstLine="640" w:firstLineChars="200"/>
        <w:rPr>
          <w:rFonts w:eastAsia="仿宋_GB2312" w:cs="仿宋_GB2312"/>
          <w:sz w:val="32"/>
          <w:szCs w:val="32"/>
        </w:rPr>
      </w:pPr>
    </w:p>
    <w:p>
      <w:pPr>
        <w:pStyle w:val="27"/>
        <w:spacing w:line="600" w:lineRule="exact"/>
        <w:ind w:firstLine="640"/>
        <w:outlineLvl w:val="1"/>
        <w:rPr>
          <w:rFonts w:eastAsia="黑体"/>
          <w:sz w:val="32"/>
          <w:szCs w:val="32"/>
        </w:rPr>
      </w:pPr>
      <w:bookmarkStart w:id="20" w:name="_Toc15396604"/>
      <w:bookmarkStart w:id="21" w:name="_Toc15377206"/>
      <w:r>
        <w:rPr>
          <w:rFonts w:hint="eastAsia" w:eastAsia="黑体"/>
          <w:sz w:val="32"/>
          <w:szCs w:val="32"/>
        </w:rPr>
        <w:t>二、收入决算情况说明</w:t>
      </w:r>
      <w:bookmarkEnd w:id="20"/>
      <w:bookmarkEnd w:id="21"/>
    </w:p>
    <w:p>
      <w:pPr>
        <w:pStyle w:val="27"/>
        <w:spacing w:line="600" w:lineRule="exact"/>
        <w:ind w:firstLine="640"/>
        <w:jc w:val="left"/>
        <w:outlineLvl w:val="1"/>
        <w:rPr>
          <w:rFonts w:hint="eastAsia" w:eastAsia="仿宋_GB2312" w:cs="仿宋_GB2312"/>
          <w:b/>
          <w:bCs/>
          <w:sz w:val="32"/>
          <w:szCs w:val="32"/>
        </w:rPr>
      </w:pPr>
      <w:r>
        <w:rPr>
          <w:rFonts w:hint="eastAsia" w:ascii="仿宋_GB2312" w:hAnsi="仿宋_GB2312" w:eastAsia="仿宋_GB2312" w:cs="仿宋_GB2312"/>
          <w:sz w:val="32"/>
          <w:szCs w:val="32"/>
        </w:rPr>
        <w:t>2024年度本年收入合计170.59万元，其中：一般公共预算财政拨款收入170.59万元，占100%；政府性基金预算财政拨款收入0万元，占0%%；国有资本经营预算财政拨款收入0万元，占0%；上级补助收入0万元，占0%；事业收入0万元，占0%；经营收入0万元，占0%；附属单位上缴收入0万元，占0%；其他收入0万元，占0%。</w:t>
      </w:r>
      <w:r>
        <w:rPr>
          <w:rFonts w:hint="eastAsia" w:eastAsia="仿宋_GB2312" w:cs="仿宋_GB2312"/>
          <w:b/>
          <w:bCs/>
          <w:sz w:val="32"/>
          <w:szCs w:val="32"/>
        </w:rPr>
        <w:t>（注：仅罗列本部门涉及的收入）</w:t>
      </w:r>
    </w:p>
    <w:p>
      <w:pPr>
        <w:pStyle w:val="27"/>
        <w:spacing w:line="600" w:lineRule="exact"/>
        <w:ind w:firstLine="643"/>
        <w:jc w:val="left"/>
        <w:outlineLvl w:val="1"/>
        <w:rPr>
          <w:rFonts w:eastAsia="仿宋_GB2312" w:cs="仿宋_GB2312"/>
          <w:b/>
          <w:bCs/>
          <w:sz w:val="32"/>
          <w:szCs w:val="32"/>
        </w:rPr>
      </w:pPr>
      <w:r>
        <w:drawing>
          <wp:anchor distT="0" distB="0" distL="114300" distR="114300" simplePos="0" relativeHeight="251659264" behindDoc="0" locked="0" layoutInCell="1" allowOverlap="1">
            <wp:simplePos x="0" y="0"/>
            <wp:positionH relativeFrom="column">
              <wp:posOffset>179070</wp:posOffset>
            </wp:positionH>
            <wp:positionV relativeFrom="paragraph">
              <wp:posOffset>313690</wp:posOffset>
            </wp:positionV>
            <wp:extent cx="4572000" cy="2743200"/>
            <wp:effectExtent l="4445" t="4445" r="14605" b="14605"/>
            <wp:wrapNone/>
            <wp:docPr id="12"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ind w:firstLine="800" w:firstLineChars="250"/>
        <w:rPr>
          <w:rFonts w:hint="eastAsia" w:eastAsia="仿宋_GB2312" w:cs="仿宋_GB2312"/>
          <w:sz w:val="32"/>
          <w:szCs w:val="32"/>
        </w:rPr>
      </w:pPr>
    </w:p>
    <w:p>
      <w:pPr>
        <w:ind w:firstLine="800" w:firstLineChars="250"/>
        <w:rPr>
          <w:rFonts w:hint="eastAsia" w:eastAsia="仿宋_GB2312" w:cs="仿宋_GB2312"/>
          <w:sz w:val="32"/>
          <w:szCs w:val="32"/>
        </w:rPr>
      </w:pPr>
    </w:p>
    <w:p>
      <w:pPr>
        <w:ind w:firstLine="800" w:firstLineChars="250"/>
        <w:rPr>
          <w:rFonts w:hint="eastAsia" w:eastAsia="仿宋_GB2312" w:cs="仿宋_GB2312"/>
          <w:sz w:val="32"/>
          <w:szCs w:val="32"/>
        </w:rPr>
      </w:pPr>
    </w:p>
    <w:p>
      <w:pPr>
        <w:ind w:firstLine="800" w:firstLineChars="250"/>
        <w:rPr>
          <w:rFonts w:hint="eastAsia" w:eastAsia="仿宋_GB2312" w:cs="仿宋_GB2312"/>
          <w:sz w:val="32"/>
          <w:szCs w:val="32"/>
        </w:rPr>
      </w:pPr>
    </w:p>
    <w:p>
      <w:pPr>
        <w:ind w:firstLine="800" w:firstLineChars="250"/>
        <w:rPr>
          <w:rFonts w:hint="eastAsia" w:eastAsia="仿宋_GB2312" w:cs="仿宋_GB2312"/>
          <w:sz w:val="32"/>
          <w:szCs w:val="32"/>
        </w:rPr>
      </w:pPr>
    </w:p>
    <w:p>
      <w:pPr>
        <w:ind w:firstLine="800" w:firstLineChars="250"/>
        <w:rPr>
          <w:rFonts w:hint="eastAsia" w:eastAsia="仿宋_GB2312" w:cs="仿宋_GB2312"/>
          <w:sz w:val="32"/>
          <w:szCs w:val="32"/>
        </w:rPr>
      </w:pPr>
    </w:p>
    <w:p>
      <w:pPr>
        <w:ind w:firstLine="800" w:firstLineChars="250"/>
        <w:rPr>
          <w:rFonts w:hint="eastAsia" w:eastAsia="仿宋_GB2312" w:cs="仿宋_GB2312"/>
          <w:sz w:val="32"/>
          <w:szCs w:val="32"/>
        </w:rPr>
      </w:pPr>
    </w:p>
    <w:p>
      <w:pPr>
        <w:ind w:firstLine="800" w:firstLineChars="250"/>
        <w:rPr>
          <w:rFonts w:hint="eastAsia" w:eastAsia="仿宋_GB2312" w:cs="仿宋_GB2312"/>
          <w:sz w:val="32"/>
          <w:szCs w:val="32"/>
        </w:rPr>
      </w:pPr>
    </w:p>
    <w:p>
      <w:pPr>
        <w:ind w:firstLine="800" w:firstLineChars="250"/>
        <w:rPr>
          <w:rFonts w:eastAsia="仿宋_GB2312" w:cs="仿宋_GB2312"/>
          <w:sz w:val="32"/>
          <w:szCs w:val="32"/>
        </w:rPr>
      </w:pPr>
      <w:r>
        <w:rPr>
          <w:rFonts w:hint="eastAsia" w:eastAsia="仿宋_GB2312" w:cs="仿宋_GB2312"/>
          <w:sz w:val="32"/>
          <w:szCs w:val="32"/>
        </w:rPr>
        <w:t>（图2：收入决算结构图）（饼状图）</w:t>
      </w:r>
    </w:p>
    <w:p>
      <w:pPr>
        <w:ind w:firstLine="800" w:firstLineChars="250"/>
        <w:rPr>
          <w:rFonts w:eastAsia="仿宋_GB2312" w:cs="仿宋_GB2312"/>
          <w:sz w:val="32"/>
          <w:szCs w:val="32"/>
        </w:rPr>
      </w:pPr>
    </w:p>
    <w:p>
      <w:pPr>
        <w:pStyle w:val="27"/>
        <w:spacing w:line="600" w:lineRule="exact"/>
        <w:ind w:firstLine="640"/>
        <w:outlineLvl w:val="1"/>
        <w:rPr>
          <w:rStyle w:val="29"/>
          <w:rFonts w:ascii="Times New Roman" w:hAnsi="Times New Roman" w:eastAsia="黑体"/>
          <w:b w:val="0"/>
        </w:rPr>
      </w:pPr>
      <w:bookmarkStart w:id="22" w:name="_Toc15377207"/>
      <w:bookmarkStart w:id="23" w:name="_Toc15396605"/>
      <w:r>
        <w:rPr>
          <w:rFonts w:hint="eastAsia" w:eastAsia="黑体"/>
          <w:sz w:val="32"/>
          <w:szCs w:val="32"/>
        </w:rPr>
        <w:t>三、支</w:t>
      </w:r>
      <w:r>
        <w:rPr>
          <w:rStyle w:val="29"/>
          <w:rFonts w:hint="eastAsia" w:ascii="Times New Roman" w:hAnsi="Times New Roman" w:eastAsia="黑体"/>
          <w:b w:val="0"/>
        </w:rPr>
        <w:t>出决算情况说明</w:t>
      </w:r>
      <w:bookmarkEnd w:id="22"/>
      <w:bookmarkEnd w:id="23"/>
    </w:p>
    <w:p>
      <w:pPr>
        <w:pStyle w:val="27"/>
        <w:spacing w:line="600" w:lineRule="exact"/>
        <w:ind w:firstLine="640"/>
        <w:jc w:val="left"/>
        <w:outlineLvl w:val="1"/>
        <w:rPr>
          <w:rFonts w:hint="eastAsia" w:eastAsia="仿宋_GB2312" w:cs="仿宋_GB2312"/>
          <w:b/>
          <w:bCs/>
          <w:sz w:val="32"/>
          <w:szCs w:val="32"/>
        </w:rPr>
      </w:pPr>
      <w:r>
        <w:rPr>
          <w:rFonts w:hint="eastAsia" w:ascii="仿宋_GB2312" w:hAnsi="仿宋_GB2312" w:eastAsia="仿宋_GB2312" w:cs="仿宋_GB2312"/>
          <w:sz w:val="32"/>
          <w:szCs w:val="32"/>
        </w:rPr>
        <w:t>2024年度本年支出合计192.74万元，其中：基本支出192.74万元，占100%；项目支出0万元，占0%；上缴上级支出0万元，占0%；经营支出0万元，占0%；对附属单位补助支出0万元，占0%%。</w:t>
      </w:r>
      <w:r>
        <w:rPr>
          <w:rFonts w:hint="eastAsia" w:eastAsia="仿宋_GB2312" w:cs="仿宋_GB2312"/>
          <w:b/>
          <w:bCs/>
          <w:sz w:val="32"/>
          <w:szCs w:val="32"/>
        </w:rPr>
        <w:t>（注：仅罗列本部门涉及的支出）</w:t>
      </w:r>
    </w:p>
    <w:p>
      <w:pPr>
        <w:pStyle w:val="27"/>
        <w:spacing w:line="600" w:lineRule="exact"/>
        <w:ind w:firstLine="640"/>
        <w:jc w:val="left"/>
        <w:outlineLvl w:val="1"/>
        <w:rPr>
          <w:rFonts w:eastAsia="仿宋_GB2312" w:cs="仿宋_GB2312"/>
          <w:sz w:val="32"/>
          <w:szCs w:val="32"/>
        </w:rPr>
      </w:pPr>
    </w:p>
    <w:p>
      <w:pPr>
        <w:pStyle w:val="27"/>
        <w:spacing w:line="600" w:lineRule="exact"/>
        <w:ind w:firstLine="640"/>
        <w:jc w:val="left"/>
        <w:outlineLvl w:val="1"/>
        <w:rPr>
          <w:rFonts w:eastAsia="仿宋_GB2312" w:cs="仿宋_GB2312"/>
          <w:sz w:val="32"/>
          <w:szCs w:val="32"/>
        </w:rPr>
      </w:pPr>
    </w:p>
    <w:p>
      <w:pPr>
        <w:pStyle w:val="27"/>
        <w:spacing w:line="600" w:lineRule="exact"/>
        <w:ind w:firstLine="640"/>
        <w:jc w:val="left"/>
        <w:outlineLvl w:val="1"/>
        <w:rPr>
          <w:rFonts w:eastAsia="仿宋_GB2312" w:cs="仿宋_GB2312"/>
          <w:sz w:val="32"/>
          <w:szCs w:val="32"/>
        </w:rPr>
      </w:pPr>
    </w:p>
    <w:p>
      <w:pPr>
        <w:pStyle w:val="27"/>
        <w:spacing w:line="600" w:lineRule="exact"/>
        <w:ind w:firstLine="640"/>
        <w:jc w:val="left"/>
        <w:outlineLvl w:val="1"/>
        <w:rPr>
          <w:rFonts w:eastAsia="仿宋_GB2312" w:cs="仿宋_GB2312"/>
          <w:sz w:val="32"/>
          <w:szCs w:val="32"/>
        </w:rPr>
      </w:pPr>
    </w:p>
    <w:p>
      <w:pPr>
        <w:ind w:firstLine="800" w:firstLineChars="250"/>
        <w:rPr>
          <w:rFonts w:hint="eastAsia" w:eastAsia="仿宋_GB2312" w:cs="仿宋_GB2312"/>
          <w:sz w:val="32"/>
          <w:szCs w:val="32"/>
        </w:rPr>
      </w:pPr>
    </w:p>
    <w:p>
      <w:pPr>
        <w:ind w:firstLine="800" w:firstLineChars="250"/>
        <w:rPr>
          <w:rFonts w:hint="eastAsia" w:eastAsia="仿宋_GB2312" w:cs="仿宋_GB2312"/>
          <w:sz w:val="32"/>
          <w:szCs w:val="32"/>
        </w:rPr>
      </w:pPr>
      <w:r>
        <w:drawing>
          <wp:inline distT="0" distB="0" distL="114300" distR="114300">
            <wp:extent cx="4572000" cy="2743200"/>
            <wp:effectExtent l="4445" t="4445" r="14605" b="14605"/>
            <wp:docPr id="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ind w:firstLine="800" w:firstLineChars="250"/>
        <w:rPr>
          <w:rFonts w:hint="eastAsia" w:eastAsia="仿宋_GB2312" w:cs="仿宋_GB2312"/>
          <w:sz w:val="32"/>
          <w:szCs w:val="32"/>
        </w:rPr>
      </w:pPr>
    </w:p>
    <w:p>
      <w:pPr>
        <w:ind w:firstLine="800" w:firstLineChars="250"/>
        <w:rPr>
          <w:rFonts w:eastAsia="仿宋_GB2312" w:cs="仿宋_GB2312"/>
          <w:sz w:val="32"/>
          <w:szCs w:val="32"/>
        </w:rPr>
      </w:pPr>
      <w:r>
        <w:rPr>
          <w:rFonts w:hint="eastAsia" w:eastAsia="仿宋_GB2312" w:cs="仿宋_GB2312"/>
          <w:sz w:val="32"/>
          <w:szCs w:val="32"/>
        </w:rPr>
        <w:t>（图3：支出决算结构图）（饼状图）</w:t>
      </w:r>
    </w:p>
    <w:p>
      <w:pPr>
        <w:ind w:firstLine="800" w:firstLineChars="250"/>
        <w:rPr>
          <w:rFonts w:eastAsia="仿宋_GB2312" w:cs="仿宋_GB2312"/>
          <w:sz w:val="32"/>
          <w:szCs w:val="32"/>
        </w:rPr>
      </w:pPr>
    </w:p>
    <w:p>
      <w:pPr>
        <w:spacing w:line="600" w:lineRule="exact"/>
        <w:ind w:firstLine="640" w:firstLineChars="200"/>
        <w:outlineLvl w:val="1"/>
        <w:rPr>
          <w:rStyle w:val="29"/>
          <w:rFonts w:ascii="Times New Roman" w:hAnsi="Times New Roman" w:eastAsia="黑体"/>
          <w:b w:val="0"/>
        </w:rPr>
      </w:pPr>
      <w:bookmarkStart w:id="24" w:name="_Toc15377208"/>
      <w:bookmarkStart w:id="25" w:name="_Toc15396606"/>
      <w:r>
        <w:rPr>
          <w:rFonts w:hint="eastAsia" w:eastAsia="黑体"/>
          <w:sz w:val="32"/>
          <w:szCs w:val="32"/>
        </w:rPr>
        <w:t>四、财</w:t>
      </w:r>
      <w:r>
        <w:rPr>
          <w:rStyle w:val="29"/>
          <w:rFonts w:hint="eastAsia" w:ascii="Times New Roman" w:hAnsi="Times New Roman" w:eastAsia="黑体"/>
          <w:b w:val="0"/>
        </w:rPr>
        <w:t>政拨款收入支出决算总体情况说明</w:t>
      </w:r>
      <w:bookmarkEnd w:id="24"/>
      <w:bookmarkEnd w:id="25"/>
    </w:p>
    <w:p>
      <w:pPr>
        <w:spacing w:line="600" w:lineRule="exact"/>
        <w:ind w:firstLine="640"/>
        <w:rPr>
          <w:rFonts w:hint="eastAsia" w:eastAsia="仿宋_GB2312" w:cs="仿宋_GB2312"/>
          <w:sz w:val="32"/>
          <w:szCs w:val="32"/>
        </w:rPr>
      </w:pPr>
      <w:r>
        <w:rPr>
          <w:rFonts w:hint="eastAsia" w:eastAsia="仿宋_GB2312" w:cs="仿宋_GB2312"/>
          <w:sz w:val="32"/>
          <w:szCs w:val="32"/>
        </w:rPr>
        <w:t>2024年度财政拨款收入、支出总计均为</w:t>
      </w:r>
      <w:r>
        <w:rPr>
          <w:rFonts w:hint="eastAsia" w:ascii="仿宋_GB2312" w:hAnsi="仿宋_GB2312" w:eastAsia="仿宋_GB2312" w:cs="仿宋_GB2312"/>
          <w:sz w:val="32"/>
          <w:szCs w:val="32"/>
        </w:rPr>
        <w:t>192.74</w:t>
      </w:r>
      <w:r>
        <w:rPr>
          <w:rFonts w:hint="eastAsia" w:eastAsia="仿宋_GB2312" w:cs="仿宋_GB2312"/>
          <w:sz w:val="32"/>
          <w:szCs w:val="32"/>
        </w:rPr>
        <w:t>万元。与2023年度相比，收入、支出总计各减少37.24万元，下降16.19%。主要变动原因是人员变动。</w:t>
      </w:r>
    </w:p>
    <w:p>
      <w:pPr>
        <w:spacing w:line="600" w:lineRule="exact"/>
        <w:ind w:firstLine="640"/>
        <w:rPr>
          <w:rFonts w:hint="eastAsia" w:eastAsia="仿宋_GB2312" w:cs="仿宋_GB2312"/>
          <w:sz w:val="32"/>
          <w:szCs w:val="32"/>
        </w:rPr>
      </w:pPr>
      <w:r>
        <w:drawing>
          <wp:anchor distT="0" distB="0" distL="114300" distR="114300" simplePos="0" relativeHeight="251660288" behindDoc="0" locked="0" layoutInCell="1" allowOverlap="1">
            <wp:simplePos x="0" y="0"/>
            <wp:positionH relativeFrom="column">
              <wp:posOffset>383540</wp:posOffset>
            </wp:positionH>
            <wp:positionV relativeFrom="paragraph">
              <wp:posOffset>93980</wp:posOffset>
            </wp:positionV>
            <wp:extent cx="4572000" cy="2743200"/>
            <wp:effectExtent l="4445" t="4445" r="14605" b="14605"/>
            <wp:wrapNone/>
            <wp:docPr id="2"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p>
    <w:p>
      <w:pPr>
        <w:pStyle w:val="2"/>
        <w:rPr>
          <w:rFonts w:hint="eastAsia" w:eastAsia="仿宋_GB2312" w:cs="仿宋_GB2312"/>
          <w:sz w:val="32"/>
          <w:szCs w:val="32"/>
        </w:rPr>
      </w:pPr>
    </w:p>
    <w:p>
      <w:pPr>
        <w:pStyle w:val="3"/>
        <w:rPr>
          <w:rFonts w:hint="eastAsia" w:eastAsia="仿宋_GB2312" w:cs="仿宋_GB2312"/>
          <w:sz w:val="32"/>
          <w:szCs w:val="32"/>
        </w:rPr>
      </w:pPr>
    </w:p>
    <w:p>
      <w:pPr>
        <w:pStyle w:val="3"/>
        <w:rPr>
          <w:rFonts w:hint="eastAsia" w:eastAsia="仿宋_GB2312" w:cs="仿宋_GB2312"/>
          <w:sz w:val="32"/>
          <w:szCs w:val="32"/>
        </w:rPr>
      </w:pPr>
    </w:p>
    <w:p>
      <w:pPr>
        <w:pStyle w:val="3"/>
        <w:rPr>
          <w:rFonts w:hint="eastAsia" w:eastAsia="仿宋_GB2312" w:cs="仿宋_GB2312"/>
          <w:sz w:val="32"/>
          <w:szCs w:val="32"/>
        </w:rPr>
      </w:pPr>
    </w:p>
    <w:p>
      <w:pPr>
        <w:pStyle w:val="3"/>
        <w:rPr>
          <w:rFonts w:hint="eastAsia" w:eastAsia="仿宋_GB2312" w:cs="仿宋_GB2312"/>
          <w:sz w:val="32"/>
          <w:szCs w:val="32"/>
        </w:rPr>
      </w:pPr>
    </w:p>
    <w:p>
      <w:pPr>
        <w:spacing w:line="600" w:lineRule="exact"/>
        <w:ind w:firstLine="640"/>
        <w:rPr>
          <w:rFonts w:hint="eastAsia" w:eastAsia="仿宋_GB2312" w:cs="仿宋_GB2312"/>
          <w:sz w:val="32"/>
          <w:szCs w:val="32"/>
        </w:rPr>
      </w:pPr>
    </w:p>
    <w:p>
      <w:pPr>
        <w:spacing w:line="600" w:lineRule="exact"/>
        <w:ind w:firstLine="640"/>
        <w:rPr>
          <w:rFonts w:eastAsia="仿宋_GB2312" w:cs="仿宋_GB2312"/>
          <w:sz w:val="32"/>
          <w:szCs w:val="32"/>
        </w:rPr>
      </w:pPr>
      <w:r>
        <w:rPr>
          <w:rFonts w:hint="eastAsia" w:eastAsia="仿宋_GB2312" w:cs="仿宋_GB2312"/>
          <w:sz w:val="32"/>
          <w:szCs w:val="32"/>
        </w:rPr>
        <w:t>（图4：财政拨款收、支决算总计变动情况）（柱状图）</w:t>
      </w:r>
    </w:p>
    <w:p>
      <w:pPr>
        <w:spacing w:line="600" w:lineRule="exact"/>
        <w:ind w:firstLine="640"/>
        <w:rPr>
          <w:rFonts w:eastAsia="仿宋_GB2312" w:cs="仿宋_GB2312"/>
          <w:sz w:val="32"/>
          <w:szCs w:val="32"/>
        </w:rPr>
      </w:pPr>
    </w:p>
    <w:p>
      <w:pPr>
        <w:spacing w:line="600" w:lineRule="exact"/>
        <w:ind w:firstLine="640" w:firstLineChars="200"/>
        <w:outlineLvl w:val="1"/>
        <w:rPr>
          <w:rStyle w:val="29"/>
          <w:rFonts w:ascii="Times New Roman" w:hAnsi="Times New Roman" w:eastAsia="黑体"/>
          <w:b w:val="0"/>
        </w:rPr>
      </w:pPr>
      <w:bookmarkStart w:id="26" w:name="_Toc15396607"/>
      <w:bookmarkStart w:id="27" w:name="_Toc15377209"/>
      <w:r>
        <w:rPr>
          <w:rFonts w:hint="eastAsia" w:eastAsia="黑体"/>
          <w:sz w:val="32"/>
          <w:szCs w:val="32"/>
        </w:rPr>
        <w:t>五、</w:t>
      </w:r>
      <w:r>
        <w:rPr>
          <w:rFonts w:hint="eastAsia" w:eastAsia="黑体"/>
          <w:b/>
          <w:sz w:val="32"/>
          <w:szCs w:val="32"/>
        </w:rPr>
        <w:t>一</w:t>
      </w:r>
      <w:r>
        <w:rPr>
          <w:rStyle w:val="29"/>
          <w:rFonts w:hint="eastAsia" w:ascii="Times New Roman" w:hAnsi="Times New Roman" w:eastAsia="黑体"/>
          <w:b w:val="0"/>
        </w:rPr>
        <w:t>般公共预算财政拨款支出决算情况说明</w:t>
      </w:r>
      <w:bookmarkEnd w:id="26"/>
      <w:bookmarkEnd w:id="27"/>
    </w:p>
    <w:p>
      <w:pPr>
        <w:spacing w:line="600" w:lineRule="exact"/>
        <w:ind w:firstLine="643" w:firstLineChars="200"/>
        <w:outlineLvl w:val="2"/>
        <w:rPr>
          <w:rFonts w:eastAsia="楷体_GB2312" w:cs="楷体_GB2312"/>
          <w:b/>
          <w:sz w:val="32"/>
          <w:szCs w:val="32"/>
        </w:rPr>
      </w:pPr>
      <w:bookmarkStart w:id="28" w:name="_Toc15377210"/>
      <w:r>
        <w:rPr>
          <w:rFonts w:hint="eastAsia" w:eastAsia="楷体_GB2312" w:cs="楷体_GB2312"/>
          <w:b/>
          <w:sz w:val="32"/>
          <w:szCs w:val="32"/>
        </w:rPr>
        <w:t>（一）一般公共预算财政拨款支出决算总体情况</w:t>
      </w:r>
      <w:bookmarkEnd w:id="28"/>
    </w:p>
    <w:p>
      <w:pPr>
        <w:spacing w:line="600" w:lineRule="exact"/>
        <w:ind w:firstLine="640"/>
        <w:rPr>
          <w:rFonts w:hint="eastAsia" w:eastAsia="仿宋_GB2312" w:cs="仿宋_GB2312"/>
          <w:sz w:val="32"/>
          <w:szCs w:val="32"/>
        </w:rPr>
      </w:pPr>
      <w:r>
        <w:rPr>
          <w:rFonts w:hint="eastAsia" w:ascii="仿宋_GB2312" w:hAnsi="仿宋_GB2312" w:eastAsia="仿宋_GB2312" w:cs="仿宋_GB2312"/>
          <w:sz w:val="32"/>
          <w:szCs w:val="32"/>
        </w:rPr>
        <w:t>2024年度一般公共预算财政拨款支出192.74万元，占本年支出合计的100%。与2023年度相比，一般公共预算财政拨款支出</w:t>
      </w:r>
      <w:r>
        <w:rPr>
          <w:rFonts w:hint="eastAsia" w:eastAsia="仿宋_GB2312" w:cs="仿宋_GB2312"/>
          <w:sz w:val="32"/>
          <w:szCs w:val="32"/>
        </w:rPr>
        <w:t>减少37.24万元，下降16.19%。主要变动原因是人员变动。</w:t>
      </w:r>
    </w:p>
    <w:p>
      <w:pPr>
        <w:spacing w:line="600" w:lineRule="exact"/>
        <w:ind w:firstLine="640"/>
        <w:rPr>
          <w:rFonts w:hint="eastAsia" w:eastAsia="仿宋_GB2312" w:cs="仿宋_GB2312"/>
          <w:sz w:val="32"/>
          <w:szCs w:val="32"/>
        </w:rPr>
      </w:pPr>
      <w:r>
        <w:drawing>
          <wp:anchor distT="0" distB="0" distL="114300" distR="114300" simplePos="0" relativeHeight="251663360" behindDoc="0" locked="0" layoutInCell="1" allowOverlap="1">
            <wp:simplePos x="0" y="0"/>
            <wp:positionH relativeFrom="column">
              <wp:posOffset>458470</wp:posOffset>
            </wp:positionH>
            <wp:positionV relativeFrom="paragraph">
              <wp:posOffset>33655</wp:posOffset>
            </wp:positionV>
            <wp:extent cx="4572000" cy="2743200"/>
            <wp:effectExtent l="4445" t="4445" r="14605" b="14605"/>
            <wp:wrapNone/>
            <wp:docPr id="3"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pPr>
        <w:spacing w:line="600" w:lineRule="exact"/>
        <w:ind w:firstLine="640"/>
        <w:rPr>
          <w:rFonts w:hint="eastAsia" w:eastAsia="仿宋_GB2312" w:cs="仿宋_GB2312"/>
          <w:sz w:val="32"/>
          <w:szCs w:val="32"/>
        </w:rPr>
      </w:pPr>
    </w:p>
    <w:p>
      <w:pPr>
        <w:spacing w:line="600" w:lineRule="exact"/>
        <w:ind w:firstLine="640"/>
        <w:rPr>
          <w:rFonts w:hint="eastAsia" w:eastAsia="仿宋_GB2312" w:cs="仿宋_GB2312"/>
          <w:sz w:val="32"/>
          <w:szCs w:val="32"/>
        </w:rPr>
      </w:pPr>
    </w:p>
    <w:p>
      <w:pPr>
        <w:spacing w:line="600" w:lineRule="exact"/>
        <w:ind w:firstLine="640"/>
        <w:rPr>
          <w:rFonts w:hint="eastAsia" w:eastAsia="仿宋_GB2312" w:cs="仿宋_GB2312"/>
          <w:sz w:val="32"/>
          <w:szCs w:val="32"/>
        </w:rPr>
      </w:pPr>
    </w:p>
    <w:p>
      <w:pPr>
        <w:spacing w:line="600" w:lineRule="exact"/>
        <w:ind w:firstLine="640"/>
        <w:rPr>
          <w:rFonts w:hint="eastAsia" w:eastAsia="仿宋_GB2312" w:cs="仿宋_GB2312"/>
          <w:sz w:val="32"/>
          <w:szCs w:val="32"/>
        </w:rPr>
      </w:pPr>
    </w:p>
    <w:p>
      <w:pPr>
        <w:spacing w:line="600" w:lineRule="exact"/>
        <w:ind w:firstLine="640"/>
        <w:rPr>
          <w:rFonts w:hint="eastAsia" w:eastAsia="仿宋_GB2312" w:cs="仿宋_GB2312"/>
          <w:sz w:val="32"/>
          <w:szCs w:val="32"/>
        </w:rPr>
      </w:pPr>
    </w:p>
    <w:p>
      <w:pPr>
        <w:spacing w:line="600" w:lineRule="exact"/>
        <w:ind w:firstLine="640"/>
        <w:rPr>
          <w:rFonts w:hint="eastAsia" w:eastAsia="仿宋_GB2312" w:cs="仿宋_GB2312"/>
          <w:sz w:val="32"/>
          <w:szCs w:val="32"/>
        </w:rPr>
      </w:pPr>
    </w:p>
    <w:p>
      <w:pPr>
        <w:spacing w:line="600" w:lineRule="exact"/>
        <w:ind w:firstLine="640"/>
        <w:rPr>
          <w:rFonts w:hint="eastAsia" w:eastAsia="仿宋_GB2312" w:cs="仿宋_GB2312"/>
          <w:sz w:val="32"/>
          <w:szCs w:val="32"/>
        </w:rPr>
      </w:pPr>
    </w:p>
    <w:p>
      <w:pPr>
        <w:spacing w:line="600" w:lineRule="exact"/>
        <w:ind w:firstLine="640"/>
        <w:rPr>
          <w:rFonts w:eastAsia="仿宋_GB2312" w:cs="仿宋_GB2312"/>
          <w:sz w:val="32"/>
          <w:szCs w:val="32"/>
        </w:rPr>
      </w:pPr>
      <w:r>
        <w:rPr>
          <w:rFonts w:hint="eastAsia" w:eastAsia="仿宋_GB2312" w:cs="仿宋_GB2312"/>
          <w:sz w:val="32"/>
          <w:szCs w:val="32"/>
        </w:rPr>
        <w:t>（图5：一般公共预算财政拨款支出决算变动情况）（柱状图）</w:t>
      </w:r>
    </w:p>
    <w:p>
      <w:pPr>
        <w:spacing w:line="600" w:lineRule="exact"/>
        <w:ind w:firstLine="640"/>
        <w:rPr>
          <w:rFonts w:eastAsia="仿宋_GB2312" w:cs="仿宋_GB2312"/>
          <w:sz w:val="32"/>
          <w:szCs w:val="32"/>
        </w:rPr>
      </w:pPr>
    </w:p>
    <w:p>
      <w:pPr>
        <w:spacing w:line="600" w:lineRule="exact"/>
        <w:ind w:firstLine="643" w:firstLineChars="200"/>
        <w:outlineLvl w:val="2"/>
        <w:rPr>
          <w:rFonts w:eastAsia="楷体_GB2312" w:cs="楷体_GB2312"/>
          <w:b/>
          <w:sz w:val="32"/>
          <w:szCs w:val="32"/>
        </w:rPr>
      </w:pPr>
      <w:bookmarkStart w:id="29" w:name="_Toc15377211"/>
      <w:r>
        <w:rPr>
          <w:rFonts w:hint="eastAsia" w:eastAsia="楷体_GB2312" w:cs="楷体_GB2312"/>
          <w:b/>
          <w:sz w:val="32"/>
          <w:szCs w:val="32"/>
        </w:rPr>
        <w:t>（二）一般公共预算财政拨款支出决算结构情况</w:t>
      </w:r>
      <w:bookmarkEnd w:id="29"/>
    </w:p>
    <w:p>
      <w:pPr>
        <w:spacing w:line="600" w:lineRule="exact"/>
        <w:ind w:firstLine="640"/>
        <w:rPr>
          <w:rFonts w:hint="eastAsia" w:eastAsia="仿宋_GB2312" w:cs="仿宋_GB2312"/>
          <w:b/>
          <w:bCs/>
          <w:sz w:val="32"/>
          <w:szCs w:val="32"/>
        </w:rPr>
      </w:pPr>
      <w:r>
        <w:rPr>
          <w:rFonts w:hint="eastAsia" w:eastAsia="仿宋_GB2312" w:cs="仿宋_GB2312"/>
          <w:sz w:val="32"/>
          <w:szCs w:val="32"/>
        </w:rPr>
        <w:t>2024年度一般公共预算财政拨款支出</w:t>
      </w:r>
      <w:r>
        <w:rPr>
          <w:rFonts w:hint="eastAsia" w:ascii="仿宋_GB2312" w:hAnsi="仿宋_GB2312" w:eastAsia="仿宋_GB2312" w:cs="仿宋_GB2312"/>
          <w:sz w:val="32"/>
          <w:szCs w:val="32"/>
        </w:rPr>
        <w:t>192.74万元</w:t>
      </w:r>
      <w:r>
        <w:rPr>
          <w:rFonts w:hint="eastAsia" w:eastAsia="仿宋_GB2312" w:cs="仿宋_GB2312"/>
          <w:sz w:val="32"/>
          <w:szCs w:val="32"/>
        </w:rPr>
        <w:t>，主要用于以下方面：一般公共服务支出139.8万元，占72.5%；社会保障和就业支出26.43万元，占13.7%；卫生健康支出11.66万元，占6.04%；住房保障支出14.85万元，占7.7%。</w:t>
      </w:r>
      <w:r>
        <w:rPr>
          <w:rFonts w:hint="eastAsia" w:eastAsia="仿宋_GB2312" w:cs="仿宋_GB2312"/>
          <w:b/>
          <w:bCs/>
          <w:sz w:val="32"/>
          <w:szCs w:val="32"/>
        </w:rPr>
        <w:t>（注：仅罗列本部门涉及的全部功能分类科目，至类级）</w:t>
      </w:r>
    </w:p>
    <w:p>
      <w:pPr>
        <w:pStyle w:val="2"/>
      </w:pPr>
    </w:p>
    <w:p>
      <w:pPr>
        <w:pStyle w:val="3"/>
      </w:pPr>
    </w:p>
    <w:p>
      <w:pPr>
        <w:pStyle w:val="3"/>
      </w:pPr>
      <w:r>
        <w:drawing>
          <wp:inline distT="0" distB="0" distL="114300" distR="114300">
            <wp:extent cx="4915535" cy="3225165"/>
            <wp:effectExtent l="4445" t="4445" r="13970" b="8890"/>
            <wp:docPr id="13"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pPr>
        <w:pStyle w:val="3"/>
        <w:ind w:left="0" w:leftChars="0" w:firstLine="0" w:firstLineChars="0"/>
      </w:pPr>
    </w:p>
    <w:p>
      <w:pPr>
        <w:spacing w:line="600" w:lineRule="exact"/>
        <w:ind w:firstLine="640"/>
        <w:rPr>
          <w:rFonts w:eastAsia="仿宋_GB2312" w:cs="仿宋_GB2312"/>
          <w:sz w:val="32"/>
          <w:szCs w:val="32"/>
        </w:rPr>
      </w:pPr>
      <w:r>
        <w:rPr>
          <w:rFonts w:hint="eastAsia" w:eastAsia="仿宋_GB2312" w:cs="仿宋_GB2312"/>
          <w:sz w:val="32"/>
          <w:szCs w:val="32"/>
        </w:rPr>
        <w:t>（图6：一般公共预算财政拨款支出决算结构）（饼状图）</w:t>
      </w:r>
    </w:p>
    <w:p>
      <w:pPr>
        <w:spacing w:line="600" w:lineRule="exact"/>
        <w:ind w:firstLine="640"/>
        <w:rPr>
          <w:rFonts w:eastAsia="仿宋_GB2312" w:cs="仿宋_GB2312"/>
          <w:sz w:val="32"/>
          <w:szCs w:val="32"/>
        </w:rPr>
      </w:pPr>
    </w:p>
    <w:p>
      <w:pPr>
        <w:spacing w:line="600" w:lineRule="exact"/>
        <w:ind w:firstLine="643" w:firstLineChars="200"/>
        <w:outlineLvl w:val="2"/>
        <w:rPr>
          <w:rFonts w:eastAsia="楷体_GB2312" w:cs="楷体_GB2312"/>
          <w:b/>
          <w:sz w:val="32"/>
          <w:szCs w:val="32"/>
        </w:rPr>
      </w:pPr>
      <w:bookmarkStart w:id="30" w:name="_Toc15377212"/>
      <w:r>
        <w:rPr>
          <w:rFonts w:hint="eastAsia" w:eastAsia="楷体_GB2312" w:cs="楷体_GB2312"/>
          <w:b/>
          <w:sz w:val="32"/>
          <w:szCs w:val="32"/>
        </w:rPr>
        <w:t>（三）一般公共预算财政拨款支出决算具体情况</w:t>
      </w:r>
      <w:bookmarkEnd w:id="30"/>
    </w:p>
    <w:p>
      <w:pPr>
        <w:spacing w:line="600" w:lineRule="exact"/>
        <w:ind w:firstLine="640"/>
        <w:rPr>
          <w:rFonts w:eastAsia="仿宋_GB2312" w:cs="仿宋_GB2312"/>
          <w:sz w:val="32"/>
          <w:szCs w:val="32"/>
        </w:rPr>
      </w:pPr>
      <w:bookmarkStart w:id="31" w:name="_Toc15378460"/>
      <w:bookmarkStart w:id="32" w:name="_Toc15377213"/>
      <w:bookmarkStart w:id="33" w:name="_Toc15377444"/>
      <w:r>
        <w:rPr>
          <w:rFonts w:hint="eastAsia" w:eastAsia="仿宋_GB2312" w:cs="仿宋_GB2312"/>
          <w:sz w:val="32"/>
          <w:szCs w:val="32"/>
        </w:rPr>
        <w:t>2024年度一般公共预算财政拨款支出决算数为</w:t>
      </w:r>
      <w:r>
        <w:rPr>
          <w:rFonts w:hint="eastAsia" w:ascii="仿宋_GB2312" w:hAnsi="仿宋_GB2312" w:eastAsia="仿宋_GB2312" w:cs="仿宋_GB2312"/>
          <w:sz w:val="32"/>
          <w:szCs w:val="32"/>
        </w:rPr>
        <w:t>192.74，</w:t>
      </w:r>
      <w:r>
        <w:rPr>
          <w:rFonts w:hint="eastAsia" w:eastAsia="仿宋_GB2312" w:cs="仿宋_GB2312"/>
          <w:sz w:val="32"/>
          <w:szCs w:val="32"/>
        </w:rPr>
        <w:t>完成预算100%。其中：</w:t>
      </w:r>
      <w:bookmarkEnd w:id="31"/>
      <w:bookmarkEnd w:id="32"/>
      <w:bookmarkEnd w:id="33"/>
    </w:p>
    <w:p>
      <w:pPr>
        <w:spacing w:line="600" w:lineRule="exact"/>
        <w:ind w:firstLine="640"/>
        <w:rPr>
          <w:rFonts w:eastAsia="仿宋_GB2312" w:cs="仿宋_GB2312"/>
          <w:sz w:val="32"/>
          <w:szCs w:val="32"/>
        </w:rPr>
      </w:pPr>
      <w:r>
        <w:rPr>
          <w:rFonts w:hint="eastAsia" w:eastAsia="仿宋_GB2312" w:cs="仿宋_GB2312"/>
          <w:sz w:val="32"/>
          <w:szCs w:val="32"/>
        </w:rPr>
        <w:t>1.</w:t>
      </w:r>
      <w:r>
        <w:rPr>
          <w:rFonts w:hint="eastAsia" w:eastAsia="仿宋_GB2312" w:cs="仿宋_GB2312"/>
          <w:sz w:val="32"/>
          <w:szCs w:val="32"/>
        </w:rPr>
        <w:tab/>
      </w:r>
      <w:r>
        <w:rPr>
          <w:rFonts w:hint="eastAsia" w:eastAsia="仿宋_GB2312" w:cs="仿宋_GB2312"/>
          <w:sz w:val="32"/>
          <w:szCs w:val="32"/>
        </w:rPr>
        <w:t>一般公共服务（类）政府办公厅（室）及相关机构事务（款）事业运行（项）: 支出决算为139.8万元，完成预算100%。</w:t>
      </w:r>
    </w:p>
    <w:p>
      <w:pPr>
        <w:spacing w:line="600" w:lineRule="exact"/>
        <w:ind w:firstLine="640"/>
        <w:rPr>
          <w:rFonts w:eastAsia="仿宋_GB2312" w:cs="仿宋_GB2312"/>
          <w:sz w:val="32"/>
          <w:szCs w:val="32"/>
        </w:rPr>
      </w:pPr>
      <w:r>
        <w:rPr>
          <w:rFonts w:hint="eastAsia" w:eastAsia="仿宋_GB2312" w:cs="仿宋_GB2312"/>
          <w:sz w:val="32"/>
          <w:szCs w:val="32"/>
        </w:rPr>
        <w:t>2.</w:t>
      </w:r>
      <w:r>
        <w:rPr>
          <w:rFonts w:hint="eastAsia" w:eastAsia="仿宋_GB2312" w:cs="仿宋_GB2312"/>
          <w:sz w:val="32"/>
          <w:szCs w:val="32"/>
        </w:rPr>
        <w:tab/>
      </w:r>
      <w:r>
        <w:rPr>
          <w:rFonts w:hint="eastAsia" w:eastAsia="仿宋_GB2312" w:cs="仿宋_GB2312"/>
          <w:sz w:val="32"/>
          <w:szCs w:val="32"/>
        </w:rPr>
        <w:t>社会保障和就业（类）行政事业单位养老支出（款）机关事业单位基本养老保险缴费支出（项）: 支出决算为16.36万元，完成预算100%。</w:t>
      </w:r>
    </w:p>
    <w:p>
      <w:pPr>
        <w:spacing w:line="600" w:lineRule="exact"/>
        <w:ind w:firstLine="640"/>
        <w:rPr>
          <w:rFonts w:eastAsia="仿宋_GB2312" w:cs="仿宋_GB2312"/>
          <w:sz w:val="32"/>
          <w:szCs w:val="32"/>
        </w:rPr>
      </w:pPr>
      <w:r>
        <w:rPr>
          <w:rFonts w:hint="eastAsia" w:eastAsia="仿宋_GB2312" w:cs="仿宋_GB2312"/>
          <w:sz w:val="32"/>
          <w:szCs w:val="32"/>
        </w:rPr>
        <w:t>3.</w:t>
      </w:r>
      <w:r>
        <w:rPr>
          <w:rFonts w:hint="eastAsia" w:eastAsia="仿宋_GB2312" w:cs="仿宋_GB2312"/>
          <w:sz w:val="32"/>
          <w:szCs w:val="32"/>
        </w:rPr>
        <w:tab/>
      </w:r>
      <w:r>
        <w:rPr>
          <w:rFonts w:hint="eastAsia" w:eastAsia="仿宋_GB2312" w:cs="仿宋_GB2312"/>
          <w:sz w:val="32"/>
          <w:szCs w:val="32"/>
        </w:rPr>
        <w:t>社会保障和就业（类）行政事业单位养老支出（款）机关事业单位职业年金缴费支出（项）: 支出决算为10.07万元，完成预算100%。</w:t>
      </w:r>
    </w:p>
    <w:p>
      <w:pPr>
        <w:spacing w:line="600" w:lineRule="exact"/>
        <w:ind w:firstLine="640"/>
        <w:rPr>
          <w:rFonts w:eastAsia="仿宋_GB2312" w:cs="仿宋_GB2312"/>
          <w:sz w:val="32"/>
          <w:szCs w:val="32"/>
        </w:rPr>
      </w:pPr>
      <w:r>
        <w:rPr>
          <w:rFonts w:hint="eastAsia" w:eastAsia="仿宋_GB2312" w:cs="仿宋_GB2312"/>
          <w:sz w:val="32"/>
          <w:szCs w:val="32"/>
        </w:rPr>
        <w:t>4.</w:t>
      </w:r>
      <w:r>
        <w:rPr>
          <w:rFonts w:hint="eastAsia" w:eastAsia="仿宋_GB2312" w:cs="仿宋_GB2312"/>
          <w:sz w:val="32"/>
          <w:szCs w:val="32"/>
        </w:rPr>
        <w:tab/>
      </w:r>
      <w:r>
        <w:rPr>
          <w:rFonts w:hint="eastAsia" w:eastAsia="仿宋_GB2312" w:cs="仿宋_GB2312"/>
          <w:sz w:val="32"/>
          <w:szCs w:val="32"/>
        </w:rPr>
        <w:t>卫生健康（类）行政事业单位医疗（款）事业单位医疗（项）:支出决算为11.66万元，完成预算100%。</w:t>
      </w:r>
    </w:p>
    <w:p>
      <w:pPr>
        <w:spacing w:line="600" w:lineRule="exact"/>
        <w:ind w:firstLine="640"/>
        <w:rPr>
          <w:rFonts w:eastAsia="仿宋_GB2312" w:cs="仿宋_GB2312"/>
          <w:sz w:val="32"/>
          <w:szCs w:val="32"/>
        </w:rPr>
      </w:pPr>
      <w:r>
        <w:rPr>
          <w:rFonts w:hint="eastAsia" w:eastAsia="仿宋_GB2312" w:cs="仿宋_GB2312"/>
          <w:sz w:val="32"/>
          <w:szCs w:val="32"/>
        </w:rPr>
        <w:t>5.</w:t>
      </w:r>
      <w:r>
        <w:rPr>
          <w:rFonts w:hint="eastAsia" w:eastAsia="仿宋_GB2312" w:cs="仿宋_GB2312"/>
          <w:sz w:val="32"/>
          <w:szCs w:val="32"/>
        </w:rPr>
        <w:tab/>
      </w:r>
      <w:r>
        <w:rPr>
          <w:rFonts w:hint="eastAsia" w:eastAsia="仿宋_GB2312" w:cs="仿宋_GB2312"/>
          <w:sz w:val="32"/>
          <w:szCs w:val="32"/>
        </w:rPr>
        <w:t>住房保障支出（类）住房改革支出（款）住房公积金（项）:支出决算为14.85万元，完成预算100%。</w:t>
      </w:r>
    </w:p>
    <w:p>
      <w:pPr>
        <w:spacing w:line="600" w:lineRule="exact"/>
        <w:ind w:firstLine="640"/>
        <w:rPr>
          <w:rFonts w:eastAsia="仿宋_GB2312" w:cs="仿宋_GB2312"/>
          <w:b/>
          <w:bCs/>
          <w:sz w:val="32"/>
          <w:szCs w:val="32"/>
        </w:rPr>
      </w:pPr>
      <w:r>
        <w:rPr>
          <w:rFonts w:hint="eastAsia" w:eastAsia="仿宋_GB2312" w:cs="仿宋_GB2312"/>
          <w:b/>
          <w:bCs/>
          <w:sz w:val="32"/>
          <w:szCs w:val="32"/>
        </w:rPr>
        <w:t>（注：仅罗列本部门涉及的全部功能分类科目，至项级。上述“预算”口径为全年预算数。增减变动原因为决算数&lt;项级&gt;和全年预算数&lt;项级&gt;比较，与预算数持平可以不写原因）</w:t>
      </w:r>
    </w:p>
    <w:p>
      <w:pPr>
        <w:spacing w:line="600" w:lineRule="exact"/>
        <w:ind w:firstLine="640"/>
        <w:rPr>
          <w:rFonts w:eastAsia="仿宋_GB2312" w:cs="仿宋_GB2312"/>
          <w:sz w:val="32"/>
          <w:szCs w:val="32"/>
        </w:rPr>
      </w:pPr>
    </w:p>
    <w:p>
      <w:pPr>
        <w:tabs>
          <w:tab w:val="right" w:pos="8306"/>
        </w:tabs>
        <w:spacing w:line="600" w:lineRule="exact"/>
        <w:ind w:firstLine="640"/>
        <w:outlineLvl w:val="1"/>
        <w:rPr>
          <w:rStyle w:val="29"/>
          <w:rFonts w:ascii="Times New Roman" w:hAnsi="Times New Roman"/>
        </w:rPr>
      </w:pPr>
      <w:bookmarkStart w:id="34" w:name="_Toc15377214"/>
      <w:bookmarkStart w:id="35" w:name="_Toc15396608"/>
      <w:r>
        <w:rPr>
          <w:rFonts w:hint="eastAsia" w:eastAsia="黑体"/>
          <w:sz w:val="32"/>
          <w:szCs w:val="32"/>
        </w:rPr>
        <w:t>六</w:t>
      </w:r>
      <w:r>
        <w:rPr>
          <w:rFonts w:hint="eastAsia" w:eastAsia="黑体"/>
          <w:b/>
          <w:sz w:val="32"/>
          <w:szCs w:val="32"/>
        </w:rPr>
        <w:t>、一</w:t>
      </w:r>
      <w:r>
        <w:rPr>
          <w:rStyle w:val="29"/>
          <w:rFonts w:hint="eastAsia" w:ascii="Times New Roman" w:hAnsi="Times New Roman" w:eastAsia="黑体"/>
          <w:b w:val="0"/>
        </w:rPr>
        <w:t>般公共预算财政拨款基本支出决算情况说明</w:t>
      </w:r>
      <w:bookmarkEnd w:id="34"/>
      <w:bookmarkEnd w:id="35"/>
      <w:r>
        <w:rPr>
          <w:rStyle w:val="29"/>
          <w:rFonts w:ascii="Times New Roman" w:hAnsi="Times New Roman" w:eastAsia="黑体"/>
          <w:b w:val="0"/>
        </w:rPr>
        <w:tab/>
      </w:r>
    </w:p>
    <w:p>
      <w:pPr>
        <w:spacing w:line="600" w:lineRule="exact"/>
        <w:ind w:firstLine="640"/>
        <w:rPr>
          <w:rFonts w:eastAsia="仿宋_GB2312" w:cs="仿宋_GB2312"/>
          <w:sz w:val="32"/>
          <w:szCs w:val="32"/>
        </w:rPr>
      </w:pPr>
      <w:r>
        <w:rPr>
          <w:rFonts w:hint="eastAsia" w:eastAsia="仿宋_GB2312" w:cs="仿宋_GB2312"/>
          <w:sz w:val="32"/>
          <w:szCs w:val="32"/>
        </w:rPr>
        <w:t>2024年度一般公共预算财政拨款基本支出</w:t>
      </w:r>
      <w:r>
        <w:rPr>
          <w:rFonts w:hint="eastAsia" w:ascii="仿宋_GB2312" w:hAnsi="仿宋_GB2312" w:eastAsia="仿宋_GB2312" w:cs="仿宋_GB2312"/>
          <w:sz w:val="32"/>
          <w:szCs w:val="32"/>
        </w:rPr>
        <w:t>192.74万</w:t>
      </w:r>
      <w:r>
        <w:rPr>
          <w:rFonts w:hint="eastAsia" w:eastAsia="仿宋_GB2312" w:cs="仿宋_GB2312"/>
          <w:sz w:val="32"/>
          <w:szCs w:val="32"/>
        </w:rPr>
        <w:t>元，其中：</w:t>
      </w:r>
    </w:p>
    <w:p>
      <w:pPr>
        <w:spacing w:line="600" w:lineRule="exact"/>
        <w:ind w:firstLine="640"/>
        <w:rPr>
          <w:rFonts w:eastAsia="仿宋_GB2312" w:cs="仿宋_GB2312"/>
          <w:sz w:val="32"/>
          <w:szCs w:val="32"/>
        </w:rPr>
      </w:pPr>
      <w:r>
        <w:rPr>
          <w:rFonts w:hint="eastAsia" w:eastAsia="仿宋_GB2312" w:cs="仿宋_GB2312"/>
          <w:sz w:val="32"/>
          <w:szCs w:val="32"/>
        </w:rPr>
        <w:t>人员经费</w:t>
      </w:r>
      <w:r>
        <w:rPr>
          <w:rFonts w:hint="eastAsia" w:ascii="仿宋_GB2312" w:hAnsi="仿宋_GB2312" w:eastAsia="仿宋_GB2312" w:cs="仿宋_GB2312"/>
          <w:sz w:val="32"/>
          <w:szCs w:val="32"/>
        </w:rPr>
        <w:t>190.83万</w:t>
      </w:r>
      <w:r>
        <w:rPr>
          <w:rFonts w:hint="eastAsia" w:eastAsia="仿宋_GB2312" w:cs="仿宋_GB2312"/>
          <w:sz w:val="32"/>
          <w:szCs w:val="32"/>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eastAsia="仿宋_GB2312" w:cs="仿宋_GB2312"/>
          <w:sz w:val="32"/>
          <w:szCs w:val="32"/>
        </w:rPr>
        <w:br w:type="textWrapping"/>
      </w:r>
      <w:r>
        <w:rPr>
          <w:rFonts w:hint="eastAsia" w:eastAsia="仿宋_GB2312" w:cs="仿宋_GB2312"/>
          <w:sz w:val="32"/>
          <w:szCs w:val="32"/>
        </w:rPr>
        <w:t>　　公用经费</w:t>
      </w:r>
      <w:r>
        <w:rPr>
          <w:rFonts w:hint="eastAsia" w:ascii="仿宋_GB2312" w:hAnsi="仿宋_GB2312" w:eastAsia="仿宋_GB2312" w:cs="仿宋_GB2312"/>
          <w:sz w:val="32"/>
          <w:szCs w:val="32"/>
        </w:rPr>
        <w:t>1.91万</w:t>
      </w:r>
      <w:r>
        <w:rPr>
          <w:rFonts w:hint="eastAsia" w:eastAsia="仿宋_GB2312" w:cs="仿宋_GB2312"/>
          <w:sz w:val="32"/>
          <w:szCs w:val="32"/>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rPr>
          <w:rFonts w:eastAsia="仿宋_GB2312" w:cs="仿宋_GB2312"/>
          <w:b/>
          <w:bCs/>
          <w:sz w:val="32"/>
          <w:szCs w:val="32"/>
        </w:rPr>
      </w:pPr>
      <w:r>
        <w:rPr>
          <w:rFonts w:hint="eastAsia" w:eastAsia="仿宋_GB2312" w:cs="仿宋_GB2312"/>
          <w:b/>
          <w:bCs/>
          <w:sz w:val="32"/>
          <w:szCs w:val="32"/>
        </w:rPr>
        <w:t>（注：仅罗列本部门实际支出涉及的经济分类科目）</w:t>
      </w:r>
    </w:p>
    <w:p>
      <w:pPr>
        <w:spacing w:line="600" w:lineRule="exact"/>
        <w:ind w:firstLine="640"/>
        <w:rPr>
          <w:rFonts w:eastAsia="仿宋_GB2312" w:cs="仿宋_GB2312"/>
          <w:sz w:val="32"/>
          <w:szCs w:val="32"/>
        </w:rPr>
      </w:pPr>
    </w:p>
    <w:p>
      <w:pPr>
        <w:spacing w:line="600" w:lineRule="exact"/>
        <w:ind w:firstLine="640"/>
        <w:outlineLvl w:val="1"/>
        <w:rPr>
          <w:rStyle w:val="29"/>
          <w:rFonts w:ascii="Times New Roman" w:hAnsi="Times New Roman" w:eastAsia="黑体"/>
          <w:b w:val="0"/>
        </w:rPr>
      </w:pPr>
      <w:bookmarkStart w:id="36" w:name="_Toc15396609"/>
      <w:bookmarkStart w:id="37" w:name="_Toc15377215"/>
      <w:r>
        <w:rPr>
          <w:rFonts w:hint="eastAsia" w:eastAsia="黑体"/>
          <w:sz w:val="32"/>
          <w:szCs w:val="32"/>
        </w:rPr>
        <w:t>七、</w:t>
      </w:r>
      <w:r>
        <w:rPr>
          <w:rStyle w:val="29"/>
          <w:rFonts w:hint="eastAsia" w:ascii="Times New Roman" w:hAnsi="Times New Roman" w:eastAsia="黑体"/>
          <w:b w:val="0"/>
        </w:rPr>
        <w:t>财政拨款</w:t>
      </w:r>
      <w:r>
        <w:rPr>
          <w:rStyle w:val="29"/>
          <w:rFonts w:hint="eastAsia" w:ascii="Times New Roman" w:hAnsi="Times New Roman" w:eastAsia="黑体"/>
        </w:rPr>
        <w:t>“</w:t>
      </w:r>
      <w:r>
        <w:rPr>
          <w:rStyle w:val="29"/>
          <w:rFonts w:hint="eastAsia" w:ascii="Times New Roman" w:hAnsi="Times New Roman" w:eastAsia="黑体"/>
          <w:b w:val="0"/>
        </w:rPr>
        <w:t>三公”经费支出决算情况说明</w:t>
      </w:r>
      <w:bookmarkEnd w:id="36"/>
      <w:bookmarkEnd w:id="37"/>
    </w:p>
    <w:p>
      <w:pPr>
        <w:spacing w:line="600" w:lineRule="exact"/>
        <w:ind w:firstLine="643" w:firstLineChars="200"/>
        <w:outlineLvl w:val="2"/>
        <w:rPr>
          <w:rFonts w:eastAsia="楷体_GB2312" w:cs="楷体_GB2312"/>
          <w:b/>
          <w:sz w:val="32"/>
          <w:szCs w:val="32"/>
        </w:rPr>
      </w:pPr>
      <w:bookmarkStart w:id="38" w:name="_Toc15377216"/>
      <w:r>
        <w:rPr>
          <w:rFonts w:hint="eastAsia" w:eastAsia="楷体_GB2312" w:cs="楷体_GB2312"/>
          <w:b/>
          <w:sz w:val="32"/>
          <w:szCs w:val="32"/>
        </w:rPr>
        <w:t>（一）“三公”经费财政拨款支出决算总体情况说明</w:t>
      </w:r>
      <w:bookmarkEnd w:id="38"/>
    </w:p>
    <w:p>
      <w:pPr>
        <w:spacing w:line="600" w:lineRule="exact"/>
        <w:ind w:firstLine="640"/>
        <w:rPr>
          <w:rFonts w:eastAsia="仿宋_GB2312" w:cs="仿宋_GB2312"/>
          <w:sz w:val="32"/>
          <w:szCs w:val="32"/>
        </w:rPr>
      </w:pPr>
      <w:r>
        <w:rPr>
          <w:rFonts w:hint="eastAsia" w:eastAsia="仿宋_GB2312" w:cs="仿宋_GB2312"/>
          <w:sz w:val="32"/>
          <w:szCs w:val="32"/>
        </w:rPr>
        <w:t>2024年度“三公”经费财政拨款支出决算为</w:t>
      </w:r>
      <w:r>
        <w:rPr>
          <w:rFonts w:hint="eastAsia" w:ascii="仿宋_GB2312" w:hAnsi="仿宋_GB2312" w:eastAsia="仿宋_GB2312" w:cs="仿宋_GB2312"/>
          <w:sz w:val="32"/>
          <w:szCs w:val="32"/>
        </w:rPr>
        <w:t>0万元，完成预算0%，</w:t>
      </w:r>
      <w:r>
        <w:rPr>
          <w:rFonts w:hint="eastAsia" w:eastAsia="仿宋_GB2312" w:cs="仿宋_GB2312"/>
          <w:sz w:val="32"/>
          <w:szCs w:val="32"/>
        </w:rPr>
        <w:t>较上年度持平。</w:t>
      </w:r>
    </w:p>
    <w:p>
      <w:pPr>
        <w:spacing w:line="600" w:lineRule="exact"/>
        <w:ind w:firstLine="640"/>
        <w:rPr>
          <w:rFonts w:eastAsia="仿宋_GB2312" w:cs="仿宋_GB2312"/>
          <w:b/>
          <w:bCs/>
          <w:sz w:val="32"/>
          <w:szCs w:val="32"/>
        </w:rPr>
      </w:pPr>
      <w:r>
        <w:rPr>
          <w:rFonts w:hint="eastAsia" w:eastAsia="仿宋_GB2312" w:cs="仿宋_GB2312"/>
          <w:b/>
          <w:bCs/>
          <w:sz w:val="32"/>
          <w:szCs w:val="32"/>
        </w:rPr>
        <w:t>（注：上述“预算”口径为全年预算数，包括一般公共预算和政府性基金预算财政拨款支出决算情况）</w:t>
      </w:r>
    </w:p>
    <w:p>
      <w:pPr>
        <w:spacing w:line="600" w:lineRule="exact"/>
        <w:ind w:firstLine="643" w:firstLineChars="200"/>
        <w:outlineLvl w:val="2"/>
        <w:rPr>
          <w:rFonts w:eastAsia="楷体_GB2312" w:cs="楷体_GB2312"/>
          <w:b/>
          <w:sz w:val="32"/>
          <w:szCs w:val="32"/>
        </w:rPr>
      </w:pPr>
      <w:bookmarkStart w:id="39" w:name="_Toc15377217"/>
      <w:r>
        <w:rPr>
          <w:rFonts w:hint="eastAsia" w:eastAsia="楷体_GB2312" w:cs="楷体_GB2312"/>
          <w:b/>
          <w:sz w:val="32"/>
          <w:szCs w:val="32"/>
        </w:rPr>
        <w:t>（二）“三公”经费财政拨款支出决算具体情况说明</w:t>
      </w:r>
      <w:bookmarkEnd w:id="39"/>
    </w:p>
    <w:p>
      <w:pPr>
        <w:spacing w:line="600" w:lineRule="exact"/>
        <w:ind w:firstLine="64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2024年度“三公”经费财政拨款支出决算中，因公出国（境）费支出决算0万元，占0%；公务用车购置及运行维护费支出决算0万元，占0%；公务接待费支出决算0万元，占0%。具体情况如下：</w:t>
      </w:r>
    </w:p>
    <w:p>
      <w:pPr>
        <w:pStyle w:val="2"/>
      </w:pPr>
      <w:r>
        <w:drawing>
          <wp:inline distT="0" distB="0" distL="114300" distR="114300">
            <wp:extent cx="4572000" cy="2743200"/>
            <wp:effectExtent l="4445" t="4445" r="14605" b="14605"/>
            <wp:docPr id="8"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pPr>
        <w:spacing w:line="600" w:lineRule="exact"/>
        <w:ind w:firstLine="640"/>
        <w:rPr>
          <w:rFonts w:eastAsia="仿宋_GB2312" w:cs="仿宋_GB2312"/>
          <w:sz w:val="32"/>
          <w:szCs w:val="32"/>
        </w:rPr>
      </w:pPr>
      <w:r>
        <w:rPr>
          <w:rFonts w:hint="eastAsia" w:eastAsia="仿宋_GB2312" w:cs="仿宋_GB2312"/>
          <w:sz w:val="32"/>
          <w:szCs w:val="32"/>
        </w:rPr>
        <w:t>（图7：“三公”经费财政拨款支出结构）（饼状图）</w:t>
      </w:r>
    </w:p>
    <w:p>
      <w:pPr>
        <w:spacing w:line="600" w:lineRule="exact"/>
        <w:ind w:firstLine="640"/>
        <w:rPr>
          <w:rFonts w:eastAsia="仿宋_GB2312" w:cs="仿宋_GB2312"/>
          <w:sz w:val="32"/>
          <w:szCs w:val="32"/>
        </w:rPr>
      </w:pPr>
      <w:r>
        <w:rPr>
          <w:rFonts w:hint="eastAsia" w:eastAsia="仿宋_GB2312" w:cs="仿宋_GB2312"/>
          <w:b/>
          <w:bCs/>
          <w:sz w:val="32"/>
          <w:szCs w:val="32"/>
        </w:rPr>
        <w:t>1.因公出国（境）经费支出0万元，完成预算0%。</w:t>
      </w:r>
      <w:r>
        <w:rPr>
          <w:rFonts w:hint="eastAsia" w:eastAsia="仿宋_GB2312" w:cs="仿宋_GB2312"/>
          <w:sz w:val="32"/>
          <w:szCs w:val="32"/>
        </w:rPr>
        <w:t>全年安排因公出国（境）团</w:t>
      </w:r>
      <w:r>
        <w:rPr>
          <w:rFonts w:hint="eastAsia" w:ascii="仿宋_GB2312" w:hAnsi="仿宋_GB2312" w:eastAsia="仿宋_GB2312" w:cs="仿宋_GB2312"/>
          <w:sz w:val="32"/>
          <w:szCs w:val="32"/>
        </w:rPr>
        <w:t>组0</w:t>
      </w:r>
      <w:r>
        <w:rPr>
          <w:rFonts w:hint="eastAsia" w:eastAsia="仿宋_GB2312" w:cs="仿宋_GB2312"/>
          <w:sz w:val="32"/>
          <w:szCs w:val="32"/>
        </w:rPr>
        <w:t>次，出国（境）</w:t>
      </w:r>
      <w:r>
        <w:rPr>
          <w:rFonts w:hint="eastAsia" w:ascii="仿宋_GB2312" w:hAnsi="仿宋_GB2312" w:eastAsia="仿宋_GB2312" w:cs="仿宋_GB2312"/>
          <w:sz w:val="32"/>
          <w:szCs w:val="32"/>
        </w:rPr>
        <w:t>0人</w:t>
      </w:r>
    </w:p>
    <w:p>
      <w:pPr>
        <w:spacing w:line="600" w:lineRule="exact"/>
        <w:ind w:firstLine="640"/>
        <w:rPr>
          <w:rFonts w:eastAsia="仿宋_GB2312" w:cs="仿宋_GB2312"/>
          <w:sz w:val="32"/>
          <w:szCs w:val="32"/>
        </w:rPr>
      </w:pPr>
      <w:r>
        <w:rPr>
          <w:rFonts w:hint="eastAsia" w:eastAsia="仿宋_GB2312" w:cs="仿宋_GB2312"/>
          <w:b/>
          <w:bCs/>
          <w:sz w:val="32"/>
          <w:szCs w:val="32"/>
        </w:rPr>
        <w:t>2.公务用车购置及运行维护费支出</w:t>
      </w:r>
      <w:r>
        <w:rPr>
          <w:rFonts w:hint="eastAsia" w:ascii="仿宋_GB2312" w:hAnsi="仿宋_GB2312" w:eastAsia="仿宋_GB2312" w:cs="仿宋_GB2312"/>
          <w:b/>
          <w:bCs/>
          <w:sz w:val="32"/>
          <w:szCs w:val="32"/>
        </w:rPr>
        <w:t>0万</w:t>
      </w:r>
      <w:r>
        <w:rPr>
          <w:rFonts w:hint="eastAsia" w:eastAsia="仿宋_GB2312" w:cs="仿宋_GB2312"/>
          <w:b/>
          <w:bCs/>
          <w:sz w:val="32"/>
          <w:szCs w:val="32"/>
        </w:rPr>
        <w:t>元，完成预算0%。</w:t>
      </w:r>
      <w:r>
        <w:rPr>
          <w:rFonts w:hint="eastAsia" w:eastAsia="仿宋_GB2312" w:cs="仿宋_GB2312"/>
          <w:sz w:val="32"/>
          <w:szCs w:val="32"/>
        </w:rPr>
        <w:t>公务用车购置及运行维护费支出决算比2023年度持平。</w:t>
      </w:r>
    </w:p>
    <w:p>
      <w:pPr>
        <w:spacing w:line="600" w:lineRule="exact"/>
        <w:ind w:firstLine="640"/>
        <w:rPr>
          <w:rFonts w:eastAsia="仿宋_GB2312" w:cs="仿宋_GB2312"/>
          <w:sz w:val="32"/>
          <w:szCs w:val="32"/>
        </w:rPr>
      </w:pPr>
      <w:r>
        <w:rPr>
          <w:rFonts w:hint="eastAsia" w:eastAsia="仿宋_GB2312" w:cs="仿宋_GB2312"/>
          <w:sz w:val="32"/>
          <w:szCs w:val="32"/>
        </w:rPr>
        <w:t>公务用车运行维护费支</w:t>
      </w:r>
      <w:r>
        <w:rPr>
          <w:rFonts w:hint="eastAsia" w:ascii="仿宋_GB2312" w:hAnsi="仿宋_GB2312" w:eastAsia="仿宋_GB2312" w:cs="仿宋_GB2312"/>
          <w:sz w:val="32"/>
          <w:szCs w:val="32"/>
        </w:rPr>
        <w:t>出0</w:t>
      </w:r>
      <w:r>
        <w:rPr>
          <w:rFonts w:hint="eastAsia" w:eastAsia="仿宋_GB2312" w:cs="仿宋_GB2312"/>
          <w:sz w:val="32"/>
          <w:szCs w:val="32"/>
        </w:rPr>
        <w:t>万元。主要用于具体工作所需的公务用车燃料费、维修费、过路过桥费、保险费等支出。</w:t>
      </w:r>
    </w:p>
    <w:p>
      <w:pPr>
        <w:spacing w:line="600" w:lineRule="exact"/>
        <w:ind w:firstLine="640"/>
        <w:rPr>
          <w:rFonts w:eastAsia="仿宋_GB2312" w:cs="仿宋_GB2312"/>
          <w:sz w:val="32"/>
          <w:szCs w:val="32"/>
        </w:rPr>
      </w:pPr>
      <w:r>
        <w:rPr>
          <w:rFonts w:hint="eastAsia" w:eastAsia="仿宋_GB2312" w:cs="仿宋_GB2312"/>
          <w:b/>
          <w:bCs/>
          <w:sz w:val="32"/>
          <w:szCs w:val="32"/>
        </w:rPr>
        <w:t>3.公务接待费支出</w:t>
      </w:r>
      <w:r>
        <w:rPr>
          <w:rFonts w:hint="eastAsia" w:ascii="仿宋_GB2312" w:hAnsi="仿宋_GB2312" w:eastAsia="仿宋_GB2312" w:cs="仿宋_GB2312"/>
          <w:b/>
          <w:bCs/>
          <w:sz w:val="32"/>
          <w:szCs w:val="32"/>
        </w:rPr>
        <w:t>0万</w:t>
      </w:r>
      <w:r>
        <w:rPr>
          <w:rFonts w:hint="eastAsia" w:eastAsia="仿宋_GB2312" w:cs="仿宋_GB2312"/>
          <w:b/>
          <w:bCs/>
          <w:sz w:val="32"/>
          <w:szCs w:val="32"/>
        </w:rPr>
        <w:t>元，完成预算0%。</w:t>
      </w:r>
      <w:r>
        <w:rPr>
          <w:rFonts w:hint="eastAsia" w:eastAsia="仿宋_GB2312" w:cs="仿宋_GB2312"/>
          <w:sz w:val="32"/>
          <w:szCs w:val="32"/>
        </w:rPr>
        <w:t>公务接待费支出决算比2023年度持平。</w:t>
      </w:r>
    </w:p>
    <w:p>
      <w:pPr>
        <w:spacing w:line="600" w:lineRule="exact"/>
        <w:ind w:firstLine="640"/>
        <w:rPr>
          <w:rFonts w:eastAsia="仿宋_GB2312" w:cs="仿宋_GB2312"/>
          <w:sz w:val="32"/>
          <w:szCs w:val="32"/>
        </w:rPr>
      </w:pPr>
      <w:r>
        <w:rPr>
          <w:rFonts w:hint="eastAsia" w:eastAsia="仿宋_GB2312" w:cs="仿宋_GB2312"/>
          <w:sz w:val="32"/>
          <w:szCs w:val="32"/>
        </w:rPr>
        <w:t>国内公务接待支</w:t>
      </w:r>
      <w:r>
        <w:rPr>
          <w:rFonts w:hint="eastAsia" w:ascii="仿宋_GB2312" w:hAnsi="仿宋_GB2312" w:eastAsia="仿宋_GB2312" w:cs="仿宋_GB2312"/>
          <w:sz w:val="32"/>
          <w:szCs w:val="32"/>
        </w:rPr>
        <w:t>出0万</w:t>
      </w:r>
      <w:r>
        <w:rPr>
          <w:rFonts w:hint="eastAsia" w:eastAsia="仿宋_GB2312" w:cs="仿宋_GB2312"/>
          <w:sz w:val="32"/>
          <w:szCs w:val="32"/>
        </w:rPr>
        <w:t>元，主要用于执行公务、开展业务活动开支的交通费、住宿费、用餐费等。国内公务接</w:t>
      </w:r>
      <w:r>
        <w:rPr>
          <w:rFonts w:hint="eastAsia" w:ascii="仿宋_GB2312" w:hAnsi="仿宋_GB2312" w:eastAsia="仿宋_GB2312" w:cs="仿宋_GB2312"/>
          <w:sz w:val="32"/>
          <w:szCs w:val="32"/>
        </w:rPr>
        <w:t>待0批次，0</w:t>
      </w:r>
      <w:r>
        <w:rPr>
          <w:rFonts w:hint="eastAsia" w:eastAsia="仿宋_GB2312" w:cs="仿宋_GB2312"/>
          <w:sz w:val="32"/>
          <w:szCs w:val="32"/>
        </w:rPr>
        <w:t>人次，共计支出0万元。</w:t>
      </w:r>
    </w:p>
    <w:p>
      <w:pPr>
        <w:spacing w:line="600" w:lineRule="exact"/>
        <w:ind w:firstLine="640"/>
        <w:rPr>
          <w:rFonts w:eastAsia="仿宋_GB2312" w:cs="仿宋_GB2312"/>
          <w:sz w:val="32"/>
          <w:szCs w:val="32"/>
        </w:rPr>
      </w:pPr>
      <w:r>
        <w:rPr>
          <w:rFonts w:hint="eastAsia" w:eastAsia="仿宋_GB2312" w:cs="仿宋_GB2312"/>
          <w:sz w:val="32"/>
          <w:szCs w:val="32"/>
        </w:rPr>
        <w:t>外事接待支</w:t>
      </w:r>
      <w:r>
        <w:rPr>
          <w:rFonts w:hint="eastAsia" w:ascii="仿宋_GB2312" w:hAnsi="仿宋_GB2312" w:eastAsia="仿宋_GB2312" w:cs="仿宋_GB2312"/>
          <w:sz w:val="32"/>
          <w:szCs w:val="32"/>
        </w:rPr>
        <w:t>出0万元。外事接待0批次，0人次，共计支出0万</w:t>
      </w:r>
      <w:r>
        <w:rPr>
          <w:rFonts w:hint="eastAsia" w:eastAsia="仿宋_GB2312" w:cs="仿宋_GB2312"/>
          <w:sz w:val="32"/>
          <w:szCs w:val="32"/>
        </w:rPr>
        <w:t>元。</w:t>
      </w:r>
    </w:p>
    <w:p>
      <w:pPr>
        <w:spacing w:line="600" w:lineRule="exact"/>
        <w:ind w:firstLine="640"/>
        <w:rPr>
          <w:rFonts w:eastAsia="仿宋_GB2312" w:cs="仿宋_GB2312"/>
          <w:sz w:val="32"/>
          <w:szCs w:val="32"/>
        </w:rPr>
      </w:pPr>
      <w:bookmarkStart w:id="40" w:name="_Toc15377218"/>
      <w:bookmarkStart w:id="41" w:name="_Toc15396610"/>
    </w:p>
    <w:p>
      <w:pPr>
        <w:spacing w:line="600" w:lineRule="exact"/>
        <w:ind w:firstLine="640"/>
        <w:outlineLvl w:val="1"/>
        <w:rPr>
          <w:rStyle w:val="29"/>
          <w:rFonts w:ascii="Times New Roman" w:hAnsi="Times New Roman" w:eastAsia="黑体"/>
        </w:rPr>
      </w:pPr>
      <w:r>
        <w:rPr>
          <w:rFonts w:hint="eastAsia" w:eastAsia="黑体"/>
          <w:sz w:val="32"/>
          <w:szCs w:val="32"/>
        </w:rPr>
        <w:t>八、</w:t>
      </w:r>
      <w:r>
        <w:rPr>
          <w:rStyle w:val="29"/>
          <w:rFonts w:hint="eastAsia" w:ascii="Times New Roman" w:hAnsi="Times New Roman" w:eastAsia="黑体"/>
          <w:b w:val="0"/>
        </w:rPr>
        <w:t>政府性基金预算支出决算情况说明</w:t>
      </w:r>
      <w:bookmarkEnd w:id="40"/>
      <w:bookmarkEnd w:id="41"/>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2024年度政府性基金预算财政拨款支出0万元，占本年支出合计的0%</w:t>
      </w:r>
      <w:r>
        <w:rPr>
          <w:rFonts w:hint="eastAsia" w:eastAsia="仿宋_GB2312" w:cs="仿宋_GB2312"/>
          <w:sz w:val="32"/>
          <w:szCs w:val="32"/>
        </w:rPr>
        <w:t>。</w:t>
      </w:r>
    </w:p>
    <w:p>
      <w:pPr>
        <w:spacing w:line="600" w:lineRule="exact"/>
        <w:ind w:left="630"/>
        <w:outlineLvl w:val="1"/>
        <w:rPr>
          <w:rStyle w:val="29"/>
          <w:rFonts w:ascii="Times New Roman" w:hAnsi="Times New Roman" w:eastAsia="黑体"/>
          <w:b w:val="0"/>
        </w:rPr>
      </w:pPr>
      <w:bookmarkStart w:id="42" w:name="_Toc15377219"/>
      <w:bookmarkStart w:id="43" w:name="_Toc15396611"/>
      <w:r>
        <w:rPr>
          <w:rStyle w:val="29"/>
          <w:rFonts w:hint="eastAsia" w:ascii="Times New Roman" w:hAnsi="Times New Roman" w:eastAsia="黑体"/>
          <w:b w:val="0"/>
        </w:rPr>
        <w:t>九、国有资本经营预算支出决算情况说明</w:t>
      </w:r>
      <w:bookmarkEnd w:id="42"/>
      <w:bookmarkEnd w:id="43"/>
    </w:p>
    <w:p>
      <w:pPr>
        <w:spacing w:line="600" w:lineRule="exact"/>
        <w:ind w:firstLine="640"/>
        <w:rPr>
          <w:rFonts w:hint="eastAsia" w:eastAsia="仿宋_GB2312" w:cs="仿宋_GB2312"/>
          <w:sz w:val="32"/>
          <w:szCs w:val="32"/>
        </w:rPr>
      </w:pPr>
      <w:r>
        <w:rPr>
          <w:rFonts w:hint="eastAsia" w:eastAsia="仿宋_GB2312" w:cs="仿宋_GB2312"/>
          <w:sz w:val="32"/>
          <w:szCs w:val="32"/>
        </w:rPr>
        <w:t>2024年度国有资本经营预算财政拨款支出</w:t>
      </w:r>
      <w:r>
        <w:rPr>
          <w:rFonts w:hint="eastAsia" w:ascii="仿宋_GB2312" w:hAnsi="仿宋_GB2312" w:eastAsia="仿宋_GB2312" w:cs="仿宋_GB2312"/>
          <w:sz w:val="32"/>
          <w:szCs w:val="32"/>
        </w:rPr>
        <w:t>0万元，占本年支出合计的0%</w:t>
      </w:r>
      <w:r>
        <w:rPr>
          <w:rFonts w:hint="eastAsia" w:eastAsia="仿宋_GB2312" w:cs="仿宋_GB2312"/>
          <w:sz w:val="32"/>
          <w:szCs w:val="32"/>
        </w:rPr>
        <w:t>。</w:t>
      </w:r>
    </w:p>
    <w:p>
      <w:pPr>
        <w:pStyle w:val="2"/>
      </w:pPr>
    </w:p>
    <w:p>
      <w:pPr>
        <w:spacing w:line="600" w:lineRule="exact"/>
        <w:ind w:left="630"/>
        <w:outlineLvl w:val="1"/>
        <w:rPr>
          <w:rStyle w:val="29"/>
          <w:rFonts w:ascii="Times New Roman" w:hAnsi="Times New Roman" w:eastAsia="黑体"/>
          <w:b w:val="0"/>
        </w:rPr>
      </w:pPr>
      <w:bookmarkStart w:id="44" w:name="_Toc15396612"/>
      <w:bookmarkStart w:id="45" w:name="_Toc15377221"/>
      <w:r>
        <w:rPr>
          <w:rStyle w:val="29"/>
          <w:rFonts w:hint="eastAsia" w:ascii="Times New Roman" w:hAnsi="Times New Roman" w:eastAsia="黑体"/>
          <w:b w:val="0"/>
        </w:rPr>
        <w:t>十、其他重要事项的情况说明</w:t>
      </w:r>
      <w:bookmarkEnd w:id="44"/>
      <w:bookmarkEnd w:id="45"/>
    </w:p>
    <w:p>
      <w:pPr>
        <w:spacing w:line="600" w:lineRule="exact"/>
        <w:ind w:firstLine="643" w:firstLineChars="200"/>
        <w:outlineLvl w:val="2"/>
        <w:rPr>
          <w:rFonts w:eastAsia="楷体_GB2312" w:cs="楷体_GB2312"/>
          <w:b/>
          <w:sz w:val="32"/>
          <w:szCs w:val="32"/>
        </w:rPr>
      </w:pPr>
      <w:bookmarkStart w:id="46" w:name="_Toc15377222"/>
      <w:r>
        <w:rPr>
          <w:rFonts w:hint="eastAsia" w:eastAsia="楷体_GB2312" w:cs="楷体_GB2312"/>
          <w:b/>
          <w:sz w:val="32"/>
          <w:szCs w:val="32"/>
        </w:rPr>
        <w:t>（一）机关运行经费支出情况</w:t>
      </w:r>
      <w:bookmarkEnd w:id="46"/>
    </w:p>
    <w:p>
      <w:pPr>
        <w:spacing w:line="600" w:lineRule="exact"/>
        <w:ind w:firstLine="640"/>
        <w:rPr>
          <w:rFonts w:eastAsia="仿宋_GB2312" w:cs="仿宋_GB2312"/>
          <w:sz w:val="32"/>
          <w:szCs w:val="32"/>
        </w:rPr>
      </w:pPr>
      <w:r>
        <w:rPr>
          <w:rFonts w:hint="eastAsia" w:eastAsia="仿宋_GB2312" w:cs="仿宋_GB2312"/>
          <w:sz w:val="32"/>
          <w:szCs w:val="32"/>
        </w:rPr>
        <w:t>2024年度</w:t>
      </w:r>
      <w:r>
        <w:rPr>
          <w:rFonts w:hint="eastAsia" w:ascii="仿宋_GB2312" w:hAnsi="仿宋_GB2312" w:eastAsia="仿宋_GB2312" w:cs="仿宋_GB2312"/>
          <w:sz w:val="32"/>
          <w:szCs w:val="32"/>
        </w:rPr>
        <w:t>，九寨沟县永和乡便民服务中心机关运行经费支出0万</w:t>
      </w:r>
      <w:r>
        <w:rPr>
          <w:rFonts w:hint="eastAsia" w:eastAsia="仿宋_GB2312" w:cs="仿宋_GB2312"/>
          <w:sz w:val="32"/>
          <w:szCs w:val="32"/>
        </w:rPr>
        <w:t>元。</w:t>
      </w:r>
    </w:p>
    <w:p>
      <w:pPr>
        <w:spacing w:line="600" w:lineRule="exact"/>
        <w:ind w:firstLine="640"/>
        <w:rPr>
          <w:rFonts w:eastAsia="仿宋_GB2312" w:cs="仿宋_GB2312"/>
          <w:sz w:val="32"/>
          <w:szCs w:val="32"/>
        </w:rPr>
      </w:pPr>
    </w:p>
    <w:p>
      <w:pPr>
        <w:spacing w:line="600" w:lineRule="exact"/>
        <w:ind w:firstLine="643" w:firstLineChars="200"/>
        <w:outlineLvl w:val="2"/>
        <w:rPr>
          <w:rFonts w:eastAsia="楷体_GB2312" w:cs="楷体_GB2312"/>
          <w:b/>
          <w:sz w:val="32"/>
          <w:szCs w:val="32"/>
        </w:rPr>
      </w:pPr>
      <w:bookmarkStart w:id="47" w:name="_Toc15377223"/>
      <w:r>
        <w:rPr>
          <w:rFonts w:hint="eastAsia" w:eastAsia="楷体_GB2312" w:cs="楷体_GB2312"/>
          <w:b/>
          <w:sz w:val="32"/>
          <w:szCs w:val="32"/>
        </w:rPr>
        <w:t>（二）政府采购支出情况</w:t>
      </w:r>
      <w:bookmarkEnd w:id="47"/>
    </w:p>
    <w:p>
      <w:pPr>
        <w:spacing w:line="60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2024年度，九寨沟县永和乡便民服务中心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spacing w:line="600" w:lineRule="exact"/>
        <w:ind w:firstLine="640"/>
        <w:rPr>
          <w:rFonts w:eastAsia="仿宋_GB2312" w:cs="仿宋_GB2312"/>
          <w:sz w:val="32"/>
          <w:szCs w:val="32"/>
        </w:rPr>
      </w:pPr>
    </w:p>
    <w:p>
      <w:pPr>
        <w:spacing w:line="600" w:lineRule="exact"/>
        <w:ind w:firstLine="643" w:firstLineChars="200"/>
        <w:outlineLvl w:val="2"/>
        <w:rPr>
          <w:rFonts w:eastAsia="楷体_GB2312" w:cs="楷体_GB2312"/>
          <w:b/>
          <w:sz w:val="32"/>
          <w:szCs w:val="32"/>
        </w:rPr>
      </w:pPr>
      <w:bookmarkStart w:id="48" w:name="_Toc15377224"/>
      <w:r>
        <w:rPr>
          <w:rFonts w:hint="eastAsia" w:eastAsia="楷体_GB2312" w:cs="楷体_GB2312"/>
          <w:b/>
          <w:sz w:val="32"/>
          <w:szCs w:val="32"/>
        </w:rPr>
        <w:t>（三）国有资产占有使用情况</w:t>
      </w:r>
      <w:bookmarkEnd w:id="48"/>
    </w:p>
    <w:p>
      <w:pPr>
        <w:spacing w:line="600" w:lineRule="exact"/>
        <w:ind w:firstLine="640"/>
        <w:rPr>
          <w:rFonts w:eastAsia="仿宋_GB2312" w:cs="仿宋_GB2312"/>
          <w:sz w:val="32"/>
          <w:szCs w:val="32"/>
        </w:rPr>
      </w:pPr>
      <w:r>
        <w:rPr>
          <w:rFonts w:hint="eastAsia" w:ascii="仿宋_GB2312" w:hAnsi="仿宋_GB2312" w:eastAsia="仿宋_GB2312" w:cs="仿宋_GB2312"/>
          <w:sz w:val="32"/>
          <w:szCs w:val="32"/>
        </w:rPr>
        <w:t>截至2024年12月31日，九寨沟县永和乡便民服务中心共有车辆0辆。</w:t>
      </w:r>
    </w:p>
    <w:p>
      <w:pPr>
        <w:spacing w:line="600" w:lineRule="exact"/>
        <w:ind w:firstLine="640"/>
        <w:rPr>
          <w:rFonts w:eastAsia="仿宋_GB2312" w:cs="仿宋_GB2312"/>
          <w:sz w:val="32"/>
          <w:szCs w:val="32"/>
        </w:rPr>
      </w:pPr>
    </w:p>
    <w:p>
      <w:pPr>
        <w:spacing w:line="600" w:lineRule="exact"/>
        <w:ind w:firstLine="640"/>
        <w:rPr>
          <w:rFonts w:eastAsia="仿宋_GB2312" w:cs="仿宋_GB2312"/>
          <w:sz w:val="32"/>
          <w:szCs w:val="32"/>
        </w:rPr>
      </w:pPr>
    </w:p>
    <w:p>
      <w:pPr>
        <w:spacing w:line="600" w:lineRule="exact"/>
        <w:jc w:val="center"/>
        <w:outlineLvl w:val="0"/>
        <w:rPr>
          <w:rFonts w:eastAsia="黑体"/>
          <w:sz w:val="44"/>
          <w:szCs w:val="44"/>
        </w:rPr>
      </w:pPr>
      <w:bookmarkStart w:id="49" w:name="_Toc15396613"/>
      <w:bookmarkStart w:id="50" w:name="_Toc15377225"/>
      <w:r>
        <w:rPr>
          <w:rFonts w:hint="eastAsia" w:eastAsia="黑体"/>
          <w:sz w:val="44"/>
          <w:szCs w:val="44"/>
        </w:rPr>
        <w:t>第三部分  名词解释</w:t>
      </w:r>
      <w:bookmarkEnd w:id="49"/>
      <w:bookmarkEnd w:id="50"/>
    </w:p>
    <w:p>
      <w:pPr>
        <w:spacing w:line="600" w:lineRule="exact"/>
        <w:jc w:val="left"/>
        <w:rPr>
          <w:b/>
          <w:sz w:val="44"/>
          <w:szCs w:val="44"/>
        </w:rPr>
      </w:pPr>
    </w:p>
    <w:p>
      <w:pPr>
        <w:spacing w:line="600" w:lineRule="exact"/>
        <w:ind w:firstLine="640"/>
        <w:rPr>
          <w:rFonts w:hint="eastAsia" w:eastAsia="仿宋_GB2312" w:cs="仿宋_GB2312"/>
          <w:sz w:val="32"/>
          <w:szCs w:val="32"/>
        </w:rPr>
      </w:pPr>
      <w:r>
        <w:rPr>
          <w:rFonts w:hint="eastAsia" w:eastAsia="仿宋_GB2312" w:cs="仿宋_GB2312"/>
          <w:sz w:val="32"/>
          <w:szCs w:val="32"/>
        </w:rPr>
        <w:t>1.财政拨款收入：指单位从同级财政部门取得的财政预算资金。</w:t>
      </w:r>
    </w:p>
    <w:p>
      <w:pPr>
        <w:spacing w:line="600" w:lineRule="exact"/>
        <w:ind w:firstLine="640"/>
        <w:rPr>
          <w:rFonts w:hint="eastAsia" w:eastAsia="仿宋_GB2312" w:cs="仿宋_GB2312"/>
          <w:sz w:val="32"/>
          <w:szCs w:val="32"/>
        </w:rPr>
      </w:pPr>
      <w:r>
        <w:rPr>
          <w:rFonts w:hint="eastAsia" w:eastAsia="仿宋_GB2312" w:cs="仿宋_GB2312"/>
          <w:sz w:val="32"/>
          <w:szCs w:val="32"/>
        </w:rPr>
        <w:t>2.事业收入：指事业单位开展专业业务活动及辅助活动取得的收入。</w:t>
      </w:r>
    </w:p>
    <w:p>
      <w:pPr>
        <w:spacing w:line="600" w:lineRule="exact"/>
        <w:ind w:firstLine="640"/>
        <w:rPr>
          <w:rFonts w:hint="eastAsia" w:eastAsia="仿宋_GB2312" w:cs="仿宋_GB2312"/>
          <w:sz w:val="32"/>
          <w:szCs w:val="32"/>
        </w:rPr>
      </w:pPr>
      <w:r>
        <w:rPr>
          <w:rFonts w:hint="eastAsia" w:eastAsia="仿宋_GB2312" w:cs="仿宋_GB2312"/>
          <w:sz w:val="32"/>
          <w:szCs w:val="32"/>
        </w:rPr>
        <w:t xml:space="preserve">3.使用非财政拨款结余（含专用结余）：指事业单位使用以前年度积累的非财政拨款结余弥补当年收支差额的金额。 </w:t>
      </w:r>
    </w:p>
    <w:p>
      <w:pPr>
        <w:spacing w:line="600" w:lineRule="exact"/>
        <w:ind w:firstLine="640"/>
        <w:rPr>
          <w:rFonts w:hint="eastAsia" w:eastAsia="仿宋_GB2312" w:cs="仿宋_GB2312"/>
          <w:sz w:val="32"/>
          <w:szCs w:val="32"/>
        </w:rPr>
      </w:pPr>
      <w:r>
        <w:rPr>
          <w:rFonts w:hint="eastAsia" w:eastAsia="仿宋_GB2312" w:cs="仿宋_GB2312"/>
          <w:sz w:val="32"/>
          <w:szCs w:val="32"/>
        </w:rPr>
        <w:t xml:space="preserve">4.年初结转和结余：指以前年度尚未完成、结转到本年按有关规定继续使用的资金。 </w:t>
      </w:r>
    </w:p>
    <w:p>
      <w:pPr>
        <w:spacing w:line="600" w:lineRule="exact"/>
        <w:ind w:firstLine="640"/>
        <w:rPr>
          <w:rFonts w:hint="eastAsia" w:eastAsia="仿宋_GB2312" w:cs="仿宋_GB2312"/>
          <w:sz w:val="32"/>
          <w:szCs w:val="32"/>
        </w:rPr>
      </w:pPr>
      <w:r>
        <w:rPr>
          <w:rFonts w:hint="eastAsia" w:eastAsia="仿宋_GB2312" w:cs="仿宋_GB2312"/>
          <w:sz w:val="32"/>
          <w:szCs w:val="32"/>
        </w:rPr>
        <w:t>5.年末结转和结余：指单位按有关规定结转到下年或以后年度继续使用的资金。</w:t>
      </w:r>
    </w:p>
    <w:p>
      <w:pPr>
        <w:spacing w:line="600" w:lineRule="exact"/>
        <w:ind w:firstLine="640"/>
        <w:rPr>
          <w:rFonts w:hint="eastAsia" w:eastAsia="仿宋_GB2312" w:cs="仿宋_GB2312"/>
          <w:sz w:val="32"/>
          <w:szCs w:val="32"/>
        </w:rPr>
      </w:pPr>
      <w:r>
        <w:rPr>
          <w:rFonts w:hint="eastAsia" w:eastAsia="仿宋_GB2312" w:cs="仿宋_GB2312"/>
          <w:sz w:val="32"/>
          <w:szCs w:val="32"/>
        </w:rPr>
        <w:t>6.一般公共服务（201）人大事务（01）行政运行（01）: 指人大事务的基本支出。</w:t>
      </w:r>
    </w:p>
    <w:p>
      <w:pPr>
        <w:spacing w:line="600" w:lineRule="exact"/>
        <w:ind w:firstLine="640"/>
        <w:rPr>
          <w:rFonts w:hint="eastAsia" w:eastAsia="仿宋_GB2312" w:cs="仿宋_GB2312"/>
          <w:sz w:val="32"/>
          <w:szCs w:val="32"/>
        </w:rPr>
      </w:pPr>
      <w:r>
        <w:rPr>
          <w:rFonts w:hint="eastAsia" w:eastAsia="仿宋_GB2312" w:cs="仿宋_GB2312"/>
          <w:sz w:val="32"/>
          <w:szCs w:val="32"/>
        </w:rPr>
        <w:t>7.一般公共服务（201）政府办公厅（室）及相关机构事务（03）事业运行（50）: 指事业单位基本运行经费。</w:t>
      </w:r>
    </w:p>
    <w:p>
      <w:pPr>
        <w:spacing w:line="600" w:lineRule="exact"/>
        <w:ind w:firstLine="640"/>
        <w:rPr>
          <w:rFonts w:hint="eastAsia" w:eastAsia="仿宋_GB2312" w:cs="仿宋_GB2312"/>
          <w:sz w:val="32"/>
          <w:szCs w:val="32"/>
        </w:rPr>
      </w:pPr>
      <w:r>
        <w:rPr>
          <w:rFonts w:hint="eastAsia" w:eastAsia="仿宋_GB2312" w:cs="仿宋_GB2312"/>
          <w:sz w:val="32"/>
          <w:szCs w:val="32"/>
        </w:rPr>
        <w:t>8.社会保障和就业（208）行政事业单位养老支出（05）机关事业单位基本养老保险缴费支出（05）: 指事业单位事业单位基本养老保险缴费支出。</w:t>
      </w:r>
    </w:p>
    <w:p>
      <w:pPr>
        <w:spacing w:line="600" w:lineRule="exact"/>
        <w:ind w:firstLine="640"/>
        <w:rPr>
          <w:rFonts w:hint="eastAsia" w:eastAsia="仿宋_GB2312" w:cs="仿宋_GB2312"/>
          <w:sz w:val="32"/>
          <w:szCs w:val="32"/>
        </w:rPr>
      </w:pPr>
      <w:r>
        <w:rPr>
          <w:rFonts w:hint="eastAsia" w:eastAsia="仿宋_GB2312" w:cs="仿宋_GB2312"/>
          <w:sz w:val="32"/>
          <w:szCs w:val="32"/>
        </w:rPr>
        <w:t>9.社会保障和就业（208）行政事业单位养老支出（05）机关事业单位职业年金缴费支出（06）: 指事业单位职业年金缴费支出。</w:t>
      </w:r>
    </w:p>
    <w:p>
      <w:pPr>
        <w:spacing w:line="600" w:lineRule="exact"/>
        <w:ind w:firstLine="640"/>
        <w:rPr>
          <w:rFonts w:hint="eastAsia" w:eastAsia="仿宋_GB2312" w:cs="仿宋_GB2312"/>
          <w:sz w:val="32"/>
          <w:szCs w:val="32"/>
        </w:rPr>
      </w:pPr>
      <w:r>
        <w:rPr>
          <w:rFonts w:hint="eastAsia" w:eastAsia="仿宋_GB2312" w:cs="仿宋_GB2312"/>
          <w:sz w:val="32"/>
          <w:szCs w:val="32"/>
        </w:rPr>
        <w:t>10.卫生健康（210）行政事业单位医疗（11）事业单位医疗（02）: 指事业单位医疗缴费支出。</w:t>
      </w:r>
    </w:p>
    <w:p>
      <w:pPr>
        <w:spacing w:line="600" w:lineRule="exact"/>
        <w:ind w:firstLine="640"/>
        <w:rPr>
          <w:rFonts w:hint="eastAsia" w:eastAsia="仿宋_GB2312" w:cs="仿宋_GB2312"/>
          <w:sz w:val="32"/>
          <w:szCs w:val="32"/>
        </w:rPr>
      </w:pPr>
      <w:r>
        <w:rPr>
          <w:rFonts w:hint="eastAsia" w:eastAsia="仿宋_GB2312" w:cs="仿宋_GB2312"/>
          <w:sz w:val="32"/>
          <w:szCs w:val="32"/>
        </w:rPr>
        <w:t>11.卫生健康（210）行政事业单位医疗（11）公务员医疗补助（03）指公务员医疗补助支出。</w:t>
      </w:r>
    </w:p>
    <w:p>
      <w:pPr>
        <w:spacing w:line="600" w:lineRule="exact"/>
        <w:ind w:firstLine="640"/>
        <w:rPr>
          <w:rFonts w:hint="eastAsia" w:eastAsia="仿宋_GB2312" w:cs="仿宋_GB2312"/>
          <w:sz w:val="32"/>
          <w:szCs w:val="32"/>
        </w:rPr>
      </w:pPr>
      <w:r>
        <w:rPr>
          <w:rFonts w:hint="eastAsia" w:eastAsia="仿宋_GB2312" w:cs="仿宋_GB2312"/>
          <w:sz w:val="32"/>
          <w:szCs w:val="32"/>
        </w:rPr>
        <w:t>12.卫生健康（210）行政事业单位医疗（11）其他行政事业单位医疗支出（99）:指事业单位医疗支出</w:t>
      </w:r>
    </w:p>
    <w:p>
      <w:pPr>
        <w:spacing w:line="600" w:lineRule="exact"/>
        <w:ind w:firstLine="640"/>
        <w:rPr>
          <w:rFonts w:hint="eastAsia" w:eastAsia="仿宋_GB2312" w:cs="仿宋_GB2312"/>
          <w:sz w:val="32"/>
          <w:szCs w:val="32"/>
        </w:rPr>
      </w:pPr>
      <w:r>
        <w:rPr>
          <w:rFonts w:hint="eastAsia" w:eastAsia="仿宋_GB2312" w:cs="仿宋_GB2312"/>
          <w:sz w:val="32"/>
          <w:szCs w:val="32"/>
        </w:rPr>
        <w:t>13.住房保障支出（221）住房改革支出（02）住房公积金（01）：指住房公积金支出。</w:t>
      </w:r>
    </w:p>
    <w:p>
      <w:pPr>
        <w:spacing w:line="600" w:lineRule="exact"/>
        <w:ind w:firstLine="640"/>
        <w:rPr>
          <w:rFonts w:hint="eastAsia" w:eastAsia="仿宋_GB2312" w:cs="仿宋_GB2312"/>
          <w:sz w:val="32"/>
          <w:szCs w:val="32"/>
        </w:rPr>
      </w:pPr>
      <w:r>
        <w:rPr>
          <w:rFonts w:hint="eastAsia" w:eastAsia="仿宋_GB2312" w:cs="仿宋_GB2312"/>
          <w:sz w:val="32"/>
          <w:szCs w:val="32"/>
        </w:rPr>
        <w:t>14.基本支出：指为保障机构正常运转、完成日常工作任务而发生的人员支出和公用支出。</w:t>
      </w:r>
    </w:p>
    <w:p>
      <w:pPr>
        <w:spacing w:line="600" w:lineRule="exact"/>
        <w:ind w:firstLine="640"/>
        <w:rPr>
          <w:rFonts w:hint="eastAsia" w:eastAsia="仿宋_GB2312" w:cs="仿宋_GB2312"/>
          <w:sz w:val="32"/>
          <w:szCs w:val="32"/>
        </w:rPr>
      </w:pPr>
      <w:r>
        <w:rPr>
          <w:rFonts w:hint="eastAsia" w:eastAsia="仿宋_GB2312" w:cs="仿宋_GB2312"/>
          <w:sz w:val="32"/>
          <w:szCs w:val="32"/>
        </w:rPr>
        <w:t xml:space="preserve">15.项目支出：指在基本支出之外为完成特定行政任务和事业发展目标所发生的支出。 </w:t>
      </w:r>
    </w:p>
    <w:p>
      <w:pPr>
        <w:spacing w:line="600" w:lineRule="exact"/>
        <w:ind w:firstLine="640"/>
        <w:rPr>
          <w:rFonts w:hint="eastAsia" w:eastAsia="仿宋_GB2312" w:cs="仿宋_GB2312"/>
          <w:sz w:val="32"/>
          <w:szCs w:val="32"/>
        </w:rPr>
      </w:pPr>
      <w:r>
        <w:rPr>
          <w:rFonts w:hint="eastAsia" w:eastAsia="仿宋_GB2312" w:cs="仿宋_GB2312"/>
          <w:sz w:val="32"/>
          <w:szCs w:val="32"/>
        </w:rPr>
        <w:t>16.经营支出：指事业单位在专业业务活动及其辅助活动之外开展非独立核算经营活动发生的支出。</w:t>
      </w:r>
    </w:p>
    <w:p>
      <w:pPr>
        <w:spacing w:line="600" w:lineRule="exact"/>
        <w:ind w:firstLine="640"/>
        <w:rPr>
          <w:rFonts w:hint="eastAsia" w:eastAsia="仿宋_GB2312" w:cs="仿宋_GB2312"/>
          <w:sz w:val="32"/>
          <w:szCs w:val="32"/>
        </w:rPr>
      </w:pPr>
      <w:r>
        <w:rPr>
          <w:rFonts w:hint="eastAsia" w:eastAsia="仿宋_GB2312" w:cs="仿宋_GB2312"/>
          <w:sz w:val="32"/>
          <w:szCs w:val="32"/>
        </w:rPr>
        <w:t>17.“三公”经费：指单位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spacing w:line="600" w:lineRule="exact"/>
        <w:ind w:firstLine="640"/>
        <w:rPr>
          <w:rFonts w:hint="eastAsia" w:eastAsia="仿宋_GB2312" w:cs="仿宋_GB2312"/>
          <w:sz w:val="32"/>
          <w:szCs w:val="32"/>
        </w:rPr>
      </w:pPr>
      <w:r>
        <w:rPr>
          <w:rFonts w:hint="eastAsia" w:eastAsia="仿宋_GB2312" w:cs="仿宋_GB2312"/>
          <w:sz w:val="32"/>
          <w:szCs w:val="32"/>
        </w:rPr>
        <w:t>31.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ind w:firstLine="640"/>
        <w:rPr>
          <w:rFonts w:eastAsia="仿宋_GB2312" w:cs="仿宋_GB2312"/>
          <w:b/>
          <w:bCs/>
          <w:sz w:val="32"/>
          <w:szCs w:val="32"/>
        </w:rPr>
      </w:pPr>
      <w:r>
        <w:rPr>
          <w:rFonts w:hint="eastAsia" w:eastAsia="仿宋_GB2312" w:cs="仿宋_GB2312"/>
          <w:b/>
          <w:bCs/>
          <w:sz w:val="32"/>
          <w:szCs w:val="32"/>
        </w:rPr>
        <w:t>（注：名词解释部分请根据各部门实际列支情况罗列，并根据本部门职责职能增减名词解释内容）</w:t>
      </w:r>
    </w:p>
    <w:p>
      <w:pPr>
        <w:spacing w:line="600" w:lineRule="exact"/>
        <w:jc w:val="center"/>
        <w:rPr>
          <w:rStyle w:val="28"/>
          <w:rFonts w:eastAsia="黑体"/>
          <w:b w:val="0"/>
        </w:rPr>
      </w:pPr>
      <w:bookmarkStart w:id="51" w:name="_Toc15377226"/>
      <w:r>
        <w:rPr>
          <w:rFonts w:hint="eastAsia" w:eastAsia="仿宋_GB2312" w:cs="仿宋_GB2312"/>
          <w:sz w:val="32"/>
          <w:szCs w:val="32"/>
        </w:rPr>
        <w:br w:type="page"/>
      </w:r>
      <w:bookmarkStart w:id="52" w:name="_Toc15396614"/>
      <w:r>
        <w:rPr>
          <w:rFonts w:hint="eastAsia" w:eastAsia="黑体"/>
          <w:sz w:val="44"/>
          <w:szCs w:val="44"/>
        </w:rPr>
        <w:t>第四部分  附件</w:t>
      </w:r>
      <w:bookmarkEnd w:id="52"/>
    </w:p>
    <w:p>
      <w:pPr>
        <w:spacing w:line="572" w:lineRule="exact"/>
        <w:jc w:val="left"/>
        <w:outlineLvl w:val="0"/>
        <w:rPr>
          <w:rFonts w:eastAsia="黑体" w:cs="黑体"/>
          <w:color w:val="FF0000"/>
          <w:sz w:val="32"/>
          <w:szCs w:val="32"/>
        </w:rPr>
      </w:pPr>
    </w:p>
    <w:p>
      <w:pPr>
        <w:spacing w:line="572" w:lineRule="exact"/>
        <w:jc w:val="left"/>
        <w:outlineLvl w:val="0"/>
        <w:rPr>
          <w:rFonts w:eastAsia="黑体" w:cs="方正小标宋简体"/>
          <w:sz w:val="44"/>
          <w:szCs w:val="44"/>
        </w:rPr>
      </w:pPr>
      <w:r>
        <w:rPr>
          <w:rFonts w:hint="eastAsia" w:eastAsia="黑体" w:cs="黑体"/>
          <w:sz w:val="32"/>
          <w:szCs w:val="32"/>
        </w:rPr>
        <w:t>附件1</w:t>
      </w:r>
    </w:p>
    <w:p>
      <w:pPr>
        <w:widowControl/>
        <w:spacing w:line="578" w:lineRule="exact"/>
        <w:contextualSpacing/>
        <w:jc w:val="center"/>
        <w:rPr>
          <w:rFonts w:eastAsia="方正小标宋简体"/>
          <w:bCs/>
          <w:sz w:val="44"/>
          <w:szCs w:val="44"/>
          <w:shd w:val="clear" w:color="auto" w:fill="FFFFFF"/>
        </w:rPr>
      </w:pPr>
    </w:p>
    <w:p>
      <w:pPr>
        <w:pStyle w:val="3"/>
        <w:spacing w:line="560" w:lineRule="exact"/>
        <w:ind w:left="0" w:leftChars="0" w:firstLine="640"/>
        <w:rPr>
          <w:rFonts w:ascii="Times New Roman" w:eastAsia="仿宋_GB2312"/>
          <w:sz w:val="32"/>
          <w:lang w:val="zh-CN" w:bidi="ar"/>
        </w:rPr>
      </w:pPr>
      <w:r>
        <w:rPr>
          <w:rFonts w:hint="eastAsia" w:ascii="Times New Roman" w:eastAsia="仿宋_GB2312"/>
          <w:sz w:val="32"/>
          <w:lang w:val="zh-CN" w:bidi="ar"/>
        </w:rPr>
        <w:t>附表：</w:t>
      </w:r>
      <w:r>
        <w:rPr>
          <w:rFonts w:hint="eastAsia" w:ascii="Times New Roman" w:eastAsia="仿宋_GB2312"/>
          <w:sz w:val="32"/>
          <w:lang w:bidi="ar"/>
        </w:rPr>
        <w:t>部门预算项目支出绩效自评表（2024年度）</w:t>
      </w:r>
    </w:p>
    <w:tbl>
      <w:tblPr>
        <w:tblStyle w:val="18"/>
        <w:tblW w:w="906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414"/>
        <w:gridCol w:w="1191"/>
        <w:gridCol w:w="1052"/>
        <w:gridCol w:w="1361"/>
        <w:gridCol w:w="400"/>
        <w:gridCol w:w="971"/>
        <w:gridCol w:w="929"/>
        <w:gridCol w:w="667"/>
        <w:gridCol w:w="304"/>
        <w:gridCol w:w="272"/>
        <w:gridCol w:w="150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Ex>
        <w:trPr>
          <w:trHeight w:val="405" w:hRule="atLeast"/>
        </w:trPr>
        <w:tc>
          <w:tcPr>
            <w:tcW w:w="4018" w:type="dxa"/>
            <w:gridSpan w:val="4"/>
            <w:shd w:val="clear" w:color="auto" w:fill="auto"/>
            <w:vAlign w:val="center"/>
          </w:tcPr>
          <w:p>
            <w:pPr>
              <w:keepNext w:val="0"/>
              <w:keepLines w:val="0"/>
              <w:widowControl/>
              <w:suppressLineNumbers w:val="0"/>
              <w:jc w:val="left"/>
              <w:textAlignment w:val="center"/>
              <w:rPr>
                <w:rFonts w:ascii="宋体" w:hAnsi="宋体" w:eastAsia="宋体" w:cs="宋体"/>
                <w:i w:val="0"/>
                <w:color w:val="C0C0C0"/>
                <w:sz w:val="20"/>
                <w:szCs w:val="20"/>
                <w:u w:val="none"/>
              </w:rPr>
            </w:pPr>
            <w:r>
              <w:rPr>
                <w:rFonts w:ascii="宋体" w:hAnsi="宋体" w:eastAsia="宋体" w:cs="宋体"/>
                <w:i w:val="0"/>
                <w:color w:val="C0C0C0"/>
                <w:kern w:val="0"/>
                <w:sz w:val="20"/>
                <w:szCs w:val="20"/>
                <w:u w:val="none"/>
                <w:lang w:val="en-US" w:eastAsia="zh-CN" w:bidi="ar"/>
              </w:rPr>
              <w:t>报表编号：510000_0013zp</w:t>
            </w:r>
          </w:p>
        </w:tc>
        <w:tc>
          <w:tcPr>
            <w:tcW w:w="400" w:type="dxa"/>
            <w:shd w:val="clear" w:color="auto" w:fill="auto"/>
            <w:vAlign w:val="center"/>
          </w:tcPr>
          <w:p>
            <w:pPr>
              <w:rPr>
                <w:rFonts w:hint="eastAsia" w:ascii="宋体" w:hAnsi="宋体" w:eastAsia="宋体" w:cs="宋体"/>
                <w:i w:val="0"/>
                <w:color w:val="000000"/>
                <w:sz w:val="22"/>
                <w:szCs w:val="22"/>
                <w:u w:val="none"/>
              </w:rPr>
            </w:pPr>
          </w:p>
        </w:tc>
        <w:tc>
          <w:tcPr>
            <w:tcW w:w="2567" w:type="dxa"/>
            <w:gridSpan w:val="3"/>
            <w:shd w:val="clear" w:color="auto" w:fill="auto"/>
            <w:vAlign w:val="center"/>
          </w:tcPr>
          <w:p>
            <w:pPr>
              <w:rPr>
                <w:rFonts w:hint="eastAsia" w:ascii="宋体" w:hAnsi="宋体" w:eastAsia="宋体" w:cs="宋体"/>
                <w:i w:val="0"/>
                <w:color w:val="000000"/>
                <w:sz w:val="20"/>
                <w:szCs w:val="20"/>
                <w:u w:val="none"/>
              </w:rPr>
            </w:pPr>
          </w:p>
        </w:tc>
        <w:tc>
          <w:tcPr>
            <w:tcW w:w="304" w:type="dxa"/>
            <w:shd w:val="clear" w:color="auto" w:fill="auto"/>
            <w:vAlign w:val="center"/>
          </w:tcPr>
          <w:p>
            <w:pPr>
              <w:rPr>
                <w:rFonts w:hint="eastAsia" w:ascii="宋体" w:hAnsi="宋体" w:eastAsia="宋体" w:cs="宋体"/>
                <w:i w:val="0"/>
                <w:color w:val="000000"/>
                <w:sz w:val="22"/>
                <w:szCs w:val="22"/>
                <w:u w:val="none"/>
              </w:rPr>
            </w:pPr>
          </w:p>
        </w:tc>
        <w:tc>
          <w:tcPr>
            <w:tcW w:w="272" w:type="dxa"/>
            <w:shd w:val="clear" w:color="auto" w:fill="auto"/>
            <w:vAlign w:val="center"/>
          </w:tcPr>
          <w:p>
            <w:pPr>
              <w:rPr>
                <w:rFonts w:hint="eastAsia" w:ascii="宋体" w:hAnsi="宋体" w:eastAsia="宋体" w:cs="宋体"/>
                <w:i w:val="0"/>
                <w:color w:val="000000"/>
                <w:sz w:val="22"/>
                <w:szCs w:val="22"/>
                <w:u w:val="none"/>
              </w:rPr>
            </w:pPr>
          </w:p>
        </w:tc>
        <w:tc>
          <w:tcPr>
            <w:tcW w:w="1501" w:type="dxa"/>
            <w:shd w:val="clear" w:color="auto" w:fill="auto"/>
            <w:vAlign w:val="center"/>
          </w:tcPr>
          <w:p>
            <w:pPr>
              <w:rPr>
                <w:rFonts w:hint="eastAsia" w:ascii="宋体" w:hAnsi="宋体" w:eastAsia="宋体" w:cs="宋体"/>
                <w:i w:val="0"/>
                <w:color w:val="00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5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51322521Y000000033227-工会经费和福利费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7" w:type="dxa"/>
            <w:shd w:val="clear" w:color="auto" w:fill="auto"/>
            <w:vAlign w:val="center"/>
          </w:tcPr>
          <w:p>
            <w:pPr>
              <w:keepNext w:val="0"/>
              <w:keepLines w:val="0"/>
              <w:widowControl/>
              <w:suppressLineNumbers w:val="0"/>
              <w:jc w:val="left"/>
              <w:textAlignment w:val="center"/>
              <w:rPr>
                <w:rFonts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永和乡便民服务中心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提高预算编制质量，严格执行预算，保障单位日常运转</w:t>
            </w:r>
          </w:p>
        </w:tc>
        <w:tc>
          <w:tcPr>
            <w:tcW w:w="27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5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4.31</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1.91</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4.31</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1.91</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1.91</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科目调整次数</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次</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75"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质量指标</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预算编制准确率（计算方法为：∣（执行数-预算数）/预算数∣）</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经济效益指标</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“三公经费”控制率[计算方法为：（三公经费实际支出数/预算安排数]×100%）</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运转保障率</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4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4" w:type="dxa"/>
            <w:shd w:val="clear" w:color="auto" w:fill="auto"/>
            <w:vAlign w:val="center"/>
          </w:tcPr>
          <w:p>
            <w:pPr>
              <w:rPr>
                <w:rFonts w:hint="eastAsia" w:ascii="宋体" w:hAnsi="宋体" w:eastAsia="宋体" w:cs="宋体"/>
                <w:i w:val="0"/>
                <w:color w:val="000000"/>
                <w:sz w:val="18"/>
                <w:szCs w:val="18"/>
                <w:u w:val="none"/>
              </w:rPr>
            </w:pPr>
          </w:p>
        </w:tc>
        <w:tc>
          <w:tcPr>
            <w:tcW w:w="1191" w:type="dxa"/>
            <w:shd w:val="clear" w:color="auto" w:fill="auto"/>
            <w:vAlign w:val="center"/>
          </w:tcPr>
          <w:p>
            <w:pPr>
              <w:rPr>
                <w:rFonts w:hint="eastAsia" w:ascii="宋体" w:hAnsi="宋体" w:eastAsia="宋体" w:cs="宋体"/>
                <w:i w:val="0"/>
                <w:color w:val="000000"/>
                <w:sz w:val="18"/>
                <w:szCs w:val="18"/>
                <w:u w:val="none"/>
              </w:rPr>
            </w:pPr>
          </w:p>
        </w:tc>
        <w:tc>
          <w:tcPr>
            <w:tcW w:w="1052" w:type="dxa"/>
            <w:shd w:val="clear" w:color="auto" w:fill="auto"/>
            <w:vAlign w:val="center"/>
          </w:tcPr>
          <w:p>
            <w:pPr>
              <w:rPr>
                <w:rFonts w:hint="eastAsia" w:ascii="宋体" w:hAnsi="宋体" w:eastAsia="宋体" w:cs="宋体"/>
                <w:i w:val="0"/>
                <w:color w:val="000000"/>
                <w:sz w:val="18"/>
                <w:szCs w:val="18"/>
                <w:u w:val="none"/>
              </w:rPr>
            </w:pPr>
          </w:p>
        </w:tc>
        <w:tc>
          <w:tcPr>
            <w:tcW w:w="1361" w:type="dxa"/>
            <w:shd w:val="clear" w:color="auto" w:fill="auto"/>
            <w:vAlign w:val="center"/>
          </w:tcPr>
          <w:p>
            <w:pPr>
              <w:rPr>
                <w:rFonts w:hint="eastAsia" w:ascii="宋体" w:hAnsi="宋体" w:eastAsia="宋体" w:cs="宋体"/>
                <w:i w:val="0"/>
                <w:color w:val="000000"/>
                <w:sz w:val="18"/>
                <w:szCs w:val="18"/>
                <w:u w:val="none"/>
              </w:rPr>
            </w:pPr>
          </w:p>
        </w:tc>
        <w:tc>
          <w:tcPr>
            <w:tcW w:w="400" w:type="dxa"/>
            <w:shd w:val="clear" w:color="auto" w:fill="auto"/>
            <w:vAlign w:val="center"/>
          </w:tcPr>
          <w:p>
            <w:pPr>
              <w:rPr>
                <w:rFonts w:hint="eastAsia" w:ascii="宋体" w:hAnsi="宋体" w:eastAsia="宋体" w:cs="宋体"/>
                <w:i w:val="0"/>
                <w:color w:val="000000"/>
                <w:sz w:val="18"/>
                <w:szCs w:val="18"/>
                <w:u w:val="none"/>
              </w:rPr>
            </w:pPr>
          </w:p>
        </w:tc>
        <w:tc>
          <w:tcPr>
            <w:tcW w:w="971" w:type="dxa"/>
            <w:shd w:val="clear" w:color="auto" w:fill="auto"/>
            <w:vAlign w:val="center"/>
          </w:tcPr>
          <w:p>
            <w:pPr>
              <w:rPr>
                <w:rFonts w:hint="eastAsia" w:ascii="宋体" w:hAnsi="宋体" w:eastAsia="宋体" w:cs="宋体"/>
                <w:i w:val="0"/>
                <w:color w:val="000000"/>
                <w:sz w:val="18"/>
                <w:szCs w:val="18"/>
                <w:u w:val="none"/>
              </w:rPr>
            </w:pPr>
          </w:p>
        </w:tc>
        <w:tc>
          <w:tcPr>
            <w:tcW w:w="929" w:type="dxa"/>
            <w:shd w:val="clear" w:color="auto" w:fill="auto"/>
            <w:vAlign w:val="center"/>
          </w:tcPr>
          <w:p>
            <w:pPr>
              <w:rPr>
                <w:rFonts w:hint="eastAsia" w:ascii="宋体" w:hAnsi="宋体" w:eastAsia="宋体" w:cs="宋体"/>
                <w:i w:val="0"/>
                <w:color w:val="000000"/>
                <w:sz w:val="18"/>
                <w:szCs w:val="18"/>
                <w:u w:val="none"/>
              </w:rPr>
            </w:pPr>
          </w:p>
        </w:tc>
        <w:tc>
          <w:tcPr>
            <w:tcW w:w="667" w:type="dxa"/>
            <w:shd w:val="clear" w:color="auto" w:fill="auto"/>
            <w:vAlign w:val="center"/>
          </w:tcPr>
          <w:p>
            <w:pPr>
              <w:rPr>
                <w:rFonts w:hint="eastAsia" w:ascii="宋体" w:hAnsi="宋体" w:eastAsia="宋体" w:cs="宋体"/>
                <w:i w:val="0"/>
                <w:color w:val="000000"/>
                <w:sz w:val="18"/>
                <w:szCs w:val="18"/>
                <w:u w:val="none"/>
              </w:rPr>
            </w:pPr>
          </w:p>
        </w:tc>
        <w:tc>
          <w:tcPr>
            <w:tcW w:w="304" w:type="dxa"/>
            <w:shd w:val="clear" w:color="auto" w:fill="auto"/>
            <w:vAlign w:val="center"/>
          </w:tcPr>
          <w:p>
            <w:pPr>
              <w:rPr>
                <w:rFonts w:hint="eastAsia" w:ascii="宋体" w:hAnsi="宋体" w:eastAsia="宋体" w:cs="宋体"/>
                <w:i w:val="0"/>
                <w:color w:val="000000"/>
                <w:sz w:val="18"/>
                <w:szCs w:val="18"/>
                <w:u w:val="none"/>
              </w:rPr>
            </w:pPr>
          </w:p>
        </w:tc>
        <w:tc>
          <w:tcPr>
            <w:tcW w:w="272" w:type="dxa"/>
            <w:shd w:val="clear" w:color="auto" w:fill="auto"/>
            <w:vAlign w:val="center"/>
          </w:tcPr>
          <w:p>
            <w:pPr>
              <w:rPr>
                <w:rFonts w:hint="eastAsia" w:ascii="宋体" w:hAnsi="宋体" w:eastAsia="宋体" w:cs="宋体"/>
                <w:i w:val="0"/>
                <w:color w:val="000000"/>
                <w:sz w:val="18"/>
                <w:szCs w:val="18"/>
                <w:u w:val="none"/>
              </w:rPr>
            </w:pPr>
          </w:p>
        </w:tc>
        <w:tc>
          <w:tcPr>
            <w:tcW w:w="1501"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5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51322522R000006253856-目标绩效奖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7"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永和乡便民服务中心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27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5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16.85</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16.85</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16.85</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16.85</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4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4" w:type="dxa"/>
            <w:shd w:val="clear" w:color="auto" w:fill="auto"/>
            <w:vAlign w:val="center"/>
          </w:tcPr>
          <w:p>
            <w:pPr>
              <w:rPr>
                <w:rFonts w:hint="eastAsia" w:ascii="宋体" w:hAnsi="宋体" w:eastAsia="宋体" w:cs="宋体"/>
                <w:i w:val="0"/>
                <w:color w:val="000000"/>
                <w:sz w:val="18"/>
                <w:szCs w:val="18"/>
                <w:u w:val="none"/>
              </w:rPr>
            </w:pPr>
          </w:p>
        </w:tc>
        <w:tc>
          <w:tcPr>
            <w:tcW w:w="1191" w:type="dxa"/>
            <w:shd w:val="clear" w:color="auto" w:fill="auto"/>
            <w:vAlign w:val="center"/>
          </w:tcPr>
          <w:p>
            <w:pPr>
              <w:rPr>
                <w:rFonts w:hint="eastAsia" w:ascii="宋体" w:hAnsi="宋体" w:eastAsia="宋体" w:cs="宋体"/>
                <w:i w:val="0"/>
                <w:color w:val="000000"/>
                <w:sz w:val="18"/>
                <w:szCs w:val="18"/>
                <w:u w:val="none"/>
              </w:rPr>
            </w:pPr>
          </w:p>
        </w:tc>
        <w:tc>
          <w:tcPr>
            <w:tcW w:w="1052" w:type="dxa"/>
            <w:shd w:val="clear" w:color="auto" w:fill="auto"/>
            <w:vAlign w:val="center"/>
          </w:tcPr>
          <w:p>
            <w:pPr>
              <w:rPr>
                <w:rFonts w:hint="eastAsia" w:ascii="宋体" w:hAnsi="宋体" w:eastAsia="宋体" w:cs="宋体"/>
                <w:i w:val="0"/>
                <w:color w:val="000000"/>
                <w:sz w:val="18"/>
                <w:szCs w:val="18"/>
                <w:u w:val="none"/>
              </w:rPr>
            </w:pPr>
          </w:p>
        </w:tc>
        <w:tc>
          <w:tcPr>
            <w:tcW w:w="1361" w:type="dxa"/>
            <w:shd w:val="clear" w:color="auto" w:fill="auto"/>
            <w:vAlign w:val="center"/>
          </w:tcPr>
          <w:p>
            <w:pPr>
              <w:rPr>
                <w:rFonts w:hint="eastAsia" w:ascii="宋体" w:hAnsi="宋体" w:eastAsia="宋体" w:cs="宋体"/>
                <w:i w:val="0"/>
                <w:color w:val="000000"/>
                <w:sz w:val="18"/>
                <w:szCs w:val="18"/>
                <w:u w:val="none"/>
              </w:rPr>
            </w:pPr>
          </w:p>
        </w:tc>
        <w:tc>
          <w:tcPr>
            <w:tcW w:w="400" w:type="dxa"/>
            <w:shd w:val="clear" w:color="auto" w:fill="auto"/>
            <w:vAlign w:val="center"/>
          </w:tcPr>
          <w:p>
            <w:pPr>
              <w:rPr>
                <w:rFonts w:hint="eastAsia" w:ascii="宋体" w:hAnsi="宋体" w:eastAsia="宋体" w:cs="宋体"/>
                <w:i w:val="0"/>
                <w:color w:val="000000"/>
                <w:sz w:val="18"/>
                <w:szCs w:val="18"/>
                <w:u w:val="none"/>
              </w:rPr>
            </w:pPr>
          </w:p>
        </w:tc>
        <w:tc>
          <w:tcPr>
            <w:tcW w:w="971" w:type="dxa"/>
            <w:shd w:val="clear" w:color="auto" w:fill="auto"/>
            <w:vAlign w:val="center"/>
          </w:tcPr>
          <w:p>
            <w:pPr>
              <w:rPr>
                <w:rFonts w:hint="eastAsia" w:ascii="宋体" w:hAnsi="宋体" w:eastAsia="宋体" w:cs="宋体"/>
                <w:i w:val="0"/>
                <w:color w:val="000000"/>
                <w:sz w:val="18"/>
                <w:szCs w:val="18"/>
                <w:u w:val="none"/>
              </w:rPr>
            </w:pPr>
          </w:p>
        </w:tc>
        <w:tc>
          <w:tcPr>
            <w:tcW w:w="929" w:type="dxa"/>
            <w:shd w:val="clear" w:color="auto" w:fill="auto"/>
            <w:vAlign w:val="center"/>
          </w:tcPr>
          <w:p>
            <w:pPr>
              <w:rPr>
                <w:rFonts w:hint="eastAsia" w:ascii="宋体" w:hAnsi="宋体" w:eastAsia="宋体" w:cs="宋体"/>
                <w:i w:val="0"/>
                <w:color w:val="000000"/>
                <w:sz w:val="18"/>
                <w:szCs w:val="18"/>
                <w:u w:val="none"/>
              </w:rPr>
            </w:pPr>
          </w:p>
        </w:tc>
        <w:tc>
          <w:tcPr>
            <w:tcW w:w="667" w:type="dxa"/>
            <w:shd w:val="clear" w:color="auto" w:fill="auto"/>
            <w:vAlign w:val="center"/>
          </w:tcPr>
          <w:p>
            <w:pPr>
              <w:rPr>
                <w:rFonts w:hint="eastAsia" w:ascii="宋体" w:hAnsi="宋体" w:eastAsia="宋体" w:cs="宋体"/>
                <w:i w:val="0"/>
                <w:color w:val="000000"/>
                <w:sz w:val="18"/>
                <w:szCs w:val="18"/>
                <w:u w:val="none"/>
              </w:rPr>
            </w:pPr>
          </w:p>
        </w:tc>
        <w:tc>
          <w:tcPr>
            <w:tcW w:w="304" w:type="dxa"/>
            <w:shd w:val="clear" w:color="auto" w:fill="auto"/>
            <w:vAlign w:val="center"/>
          </w:tcPr>
          <w:p>
            <w:pPr>
              <w:rPr>
                <w:rFonts w:hint="eastAsia" w:ascii="宋体" w:hAnsi="宋体" w:eastAsia="宋体" w:cs="宋体"/>
                <w:i w:val="0"/>
                <w:color w:val="000000"/>
                <w:sz w:val="18"/>
                <w:szCs w:val="18"/>
                <w:u w:val="none"/>
              </w:rPr>
            </w:pPr>
          </w:p>
        </w:tc>
        <w:tc>
          <w:tcPr>
            <w:tcW w:w="272" w:type="dxa"/>
            <w:shd w:val="clear" w:color="auto" w:fill="auto"/>
            <w:vAlign w:val="center"/>
          </w:tcPr>
          <w:p>
            <w:pPr>
              <w:rPr>
                <w:rFonts w:hint="eastAsia" w:ascii="宋体" w:hAnsi="宋体" w:eastAsia="宋体" w:cs="宋体"/>
                <w:i w:val="0"/>
                <w:color w:val="000000"/>
                <w:sz w:val="18"/>
                <w:szCs w:val="18"/>
                <w:u w:val="none"/>
              </w:rPr>
            </w:pPr>
          </w:p>
        </w:tc>
        <w:tc>
          <w:tcPr>
            <w:tcW w:w="1501"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5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51322523R000009910090-单位缴费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7"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永和乡便民服务中心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27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5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72.82</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55.75</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55.75</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72.82</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55.75</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55.75</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4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4" w:type="dxa"/>
            <w:shd w:val="clear" w:color="auto" w:fill="auto"/>
            <w:vAlign w:val="center"/>
          </w:tcPr>
          <w:p>
            <w:pPr>
              <w:rPr>
                <w:rFonts w:hint="eastAsia" w:ascii="宋体" w:hAnsi="宋体" w:eastAsia="宋体" w:cs="宋体"/>
                <w:i w:val="0"/>
                <w:color w:val="000000"/>
                <w:sz w:val="18"/>
                <w:szCs w:val="18"/>
                <w:u w:val="none"/>
              </w:rPr>
            </w:pPr>
          </w:p>
        </w:tc>
        <w:tc>
          <w:tcPr>
            <w:tcW w:w="1191" w:type="dxa"/>
            <w:shd w:val="clear" w:color="auto" w:fill="auto"/>
            <w:vAlign w:val="center"/>
          </w:tcPr>
          <w:p>
            <w:pPr>
              <w:rPr>
                <w:rFonts w:hint="eastAsia" w:ascii="宋体" w:hAnsi="宋体" w:eastAsia="宋体" w:cs="宋体"/>
                <w:i w:val="0"/>
                <w:color w:val="000000"/>
                <w:sz w:val="18"/>
                <w:szCs w:val="18"/>
                <w:u w:val="none"/>
              </w:rPr>
            </w:pPr>
          </w:p>
        </w:tc>
        <w:tc>
          <w:tcPr>
            <w:tcW w:w="1052" w:type="dxa"/>
            <w:shd w:val="clear" w:color="auto" w:fill="auto"/>
            <w:vAlign w:val="center"/>
          </w:tcPr>
          <w:p>
            <w:pPr>
              <w:rPr>
                <w:rFonts w:hint="eastAsia" w:ascii="宋体" w:hAnsi="宋体" w:eastAsia="宋体" w:cs="宋体"/>
                <w:i w:val="0"/>
                <w:color w:val="000000"/>
                <w:sz w:val="18"/>
                <w:szCs w:val="18"/>
                <w:u w:val="none"/>
              </w:rPr>
            </w:pPr>
          </w:p>
        </w:tc>
        <w:tc>
          <w:tcPr>
            <w:tcW w:w="1361" w:type="dxa"/>
            <w:shd w:val="clear" w:color="auto" w:fill="auto"/>
            <w:vAlign w:val="center"/>
          </w:tcPr>
          <w:p>
            <w:pPr>
              <w:rPr>
                <w:rFonts w:hint="eastAsia" w:ascii="宋体" w:hAnsi="宋体" w:eastAsia="宋体" w:cs="宋体"/>
                <w:i w:val="0"/>
                <w:color w:val="000000"/>
                <w:sz w:val="18"/>
                <w:szCs w:val="18"/>
                <w:u w:val="none"/>
              </w:rPr>
            </w:pPr>
          </w:p>
        </w:tc>
        <w:tc>
          <w:tcPr>
            <w:tcW w:w="400" w:type="dxa"/>
            <w:shd w:val="clear" w:color="auto" w:fill="auto"/>
            <w:vAlign w:val="center"/>
          </w:tcPr>
          <w:p>
            <w:pPr>
              <w:rPr>
                <w:rFonts w:hint="eastAsia" w:ascii="宋体" w:hAnsi="宋体" w:eastAsia="宋体" w:cs="宋体"/>
                <w:i w:val="0"/>
                <w:color w:val="000000"/>
                <w:sz w:val="18"/>
                <w:szCs w:val="18"/>
                <w:u w:val="none"/>
              </w:rPr>
            </w:pPr>
          </w:p>
        </w:tc>
        <w:tc>
          <w:tcPr>
            <w:tcW w:w="971" w:type="dxa"/>
            <w:shd w:val="clear" w:color="auto" w:fill="auto"/>
            <w:vAlign w:val="center"/>
          </w:tcPr>
          <w:p>
            <w:pPr>
              <w:rPr>
                <w:rFonts w:hint="eastAsia" w:ascii="宋体" w:hAnsi="宋体" w:eastAsia="宋体" w:cs="宋体"/>
                <w:i w:val="0"/>
                <w:color w:val="000000"/>
                <w:sz w:val="18"/>
                <w:szCs w:val="18"/>
                <w:u w:val="none"/>
              </w:rPr>
            </w:pPr>
          </w:p>
        </w:tc>
        <w:tc>
          <w:tcPr>
            <w:tcW w:w="929" w:type="dxa"/>
            <w:shd w:val="clear" w:color="auto" w:fill="auto"/>
            <w:vAlign w:val="center"/>
          </w:tcPr>
          <w:p>
            <w:pPr>
              <w:rPr>
                <w:rFonts w:hint="eastAsia" w:ascii="宋体" w:hAnsi="宋体" w:eastAsia="宋体" w:cs="宋体"/>
                <w:i w:val="0"/>
                <w:color w:val="000000"/>
                <w:sz w:val="18"/>
                <w:szCs w:val="18"/>
                <w:u w:val="none"/>
              </w:rPr>
            </w:pPr>
          </w:p>
        </w:tc>
        <w:tc>
          <w:tcPr>
            <w:tcW w:w="667" w:type="dxa"/>
            <w:shd w:val="clear" w:color="auto" w:fill="auto"/>
            <w:vAlign w:val="center"/>
          </w:tcPr>
          <w:p>
            <w:pPr>
              <w:rPr>
                <w:rFonts w:hint="eastAsia" w:ascii="宋体" w:hAnsi="宋体" w:eastAsia="宋体" w:cs="宋体"/>
                <w:i w:val="0"/>
                <w:color w:val="000000"/>
                <w:sz w:val="18"/>
                <w:szCs w:val="18"/>
                <w:u w:val="none"/>
              </w:rPr>
            </w:pPr>
          </w:p>
        </w:tc>
        <w:tc>
          <w:tcPr>
            <w:tcW w:w="304" w:type="dxa"/>
            <w:shd w:val="clear" w:color="auto" w:fill="auto"/>
            <w:vAlign w:val="center"/>
          </w:tcPr>
          <w:p>
            <w:pPr>
              <w:rPr>
                <w:rFonts w:hint="eastAsia" w:ascii="宋体" w:hAnsi="宋体" w:eastAsia="宋体" w:cs="宋体"/>
                <w:i w:val="0"/>
                <w:color w:val="000000"/>
                <w:sz w:val="18"/>
                <w:szCs w:val="18"/>
                <w:u w:val="none"/>
              </w:rPr>
            </w:pPr>
          </w:p>
        </w:tc>
        <w:tc>
          <w:tcPr>
            <w:tcW w:w="272" w:type="dxa"/>
            <w:shd w:val="clear" w:color="auto" w:fill="auto"/>
            <w:vAlign w:val="center"/>
          </w:tcPr>
          <w:p>
            <w:pPr>
              <w:rPr>
                <w:rFonts w:hint="eastAsia" w:ascii="宋体" w:hAnsi="宋体" w:eastAsia="宋体" w:cs="宋体"/>
                <w:i w:val="0"/>
                <w:color w:val="000000"/>
                <w:sz w:val="18"/>
                <w:szCs w:val="18"/>
                <w:u w:val="none"/>
              </w:rPr>
            </w:pPr>
          </w:p>
        </w:tc>
        <w:tc>
          <w:tcPr>
            <w:tcW w:w="1501"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5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51322523R000009925326-工资性支出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7"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永和乡便民服务中心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27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5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144.53</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112.93</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112.93</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144.53</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112.93</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112.93</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4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4" w:type="dxa"/>
            <w:shd w:val="clear" w:color="auto" w:fill="auto"/>
            <w:vAlign w:val="center"/>
          </w:tcPr>
          <w:p>
            <w:pPr>
              <w:rPr>
                <w:rFonts w:hint="eastAsia" w:ascii="宋体" w:hAnsi="宋体" w:eastAsia="宋体" w:cs="宋体"/>
                <w:i w:val="0"/>
                <w:color w:val="000000"/>
                <w:sz w:val="18"/>
                <w:szCs w:val="18"/>
                <w:u w:val="none"/>
              </w:rPr>
            </w:pPr>
          </w:p>
        </w:tc>
        <w:tc>
          <w:tcPr>
            <w:tcW w:w="1191" w:type="dxa"/>
            <w:shd w:val="clear" w:color="auto" w:fill="auto"/>
            <w:vAlign w:val="center"/>
          </w:tcPr>
          <w:p>
            <w:pPr>
              <w:rPr>
                <w:rFonts w:hint="eastAsia" w:ascii="宋体" w:hAnsi="宋体" w:eastAsia="宋体" w:cs="宋体"/>
                <w:i w:val="0"/>
                <w:color w:val="000000"/>
                <w:sz w:val="18"/>
                <w:szCs w:val="18"/>
                <w:u w:val="none"/>
              </w:rPr>
            </w:pPr>
          </w:p>
        </w:tc>
        <w:tc>
          <w:tcPr>
            <w:tcW w:w="1052" w:type="dxa"/>
            <w:shd w:val="clear" w:color="auto" w:fill="auto"/>
            <w:vAlign w:val="center"/>
          </w:tcPr>
          <w:p>
            <w:pPr>
              <w:rPr>
                <w:rFonts w:hint="eastAsia" w:ascii="宋体" w:hAnsi="宋体" w:eastAsia="宋体" w:cs="宋体"/>
                <w:i w:val="0"/>
                <w:color w:val="000000"/>
                <w:sz w:val="18"/>
                <w:szCs w:val="18"/>
                <w:u w:val="none"/>
              </w:rPr>
            </w:pPr>
          </w:p>
        </w:tc>
        <w:tc>
          <w:tcPr>
            <w:tcW w:w="1361" w:type="dxa"/>
            <w:shd w:val="clear" w:color="auto" w:fill="auto"/>
            <w:vAlign w:val="center"/>
          </w:tcPr>
          <w:p>
            <w:pPr>
              <w:rPr>
                <w:rFonts w:hint="eastAsia" w:ascii="宋体" w:hAnsi="宋体" w:eastAsia="宋体" w:cs="宋体"/>
                <w:i w:val="0"/>
                <w:color w:val="000000"/>
                <w:sz w:val="18"/>
                <w:szCs w:val="18"/>
                <w:u w:val="none"/>
              </w:rPr>
            </w:pPr>
          </w:p>
        </w:tc>
        <w:tc>
          <w:tcPr>
            <w:tcW w:w="400" w:type="dxa"/>
            <w:shd w:val="clear" w:color="auto" w:fill="auto"/>
            <w:vAlign w:val="center"/>
          </w:tcPr>
          <w:p>
            <w:pPr>
              <w:rPr>
                <w:rFonts w:hint="eastAsia" w:ascii="宋体" w:hAnsi="宋体" w:eastAsia="宋体" w:cs="宋体"/>
                <w:i w:val="0"/>
                <w:color w:val="000000"/>
                <w:sz w:val="18"/>
                <w:szCs w:val="18"/>
                <w:u w:val="none"/>
              </w:rPr>
            </w:pPr>
          </w:p>
        </w:tc>
        <w:tc>
          <w:tcPr>
            <w:tcW w:w="971" w:type="dxa"/>
            <w:shd w:val="clear" w:color="auto" w:fill="auto"/>
            <w:vAlign w:val="center"/>
          </w:tcPr>
          <w:p>
            <w:pPr>
              <w:rPr>
                <w:rFonts w:hint="eastAsia" w:ascii="宋体" w:hAnsi="宋体" w:eastAsia="宋体" w:cs="宋体"/>
                <w:i w:val="0"/>
                <w:color w:val="000000"/>
                <w:sz w:val="18"/>
                <w:szCs w:val="18"/>
                <w:u w:val="none"/>
              </w:rPr>
            </w:pPr>
          </w:p>
        </w:tc>
        <w:tc>
          <w:tcPr>
            <w:tcW w:w="929" w:type="dxa"/>
            <w:shd w:val="clear" w:color="auto" w:fill="auto"/>
            <w:vAlign w:val="center"/>
          </w:tcPr>
          <w:p>
            <w:pPr>
              <w:rPr>
                <w:rFonts w:hint="eastAsia" w:ascii="宋体" w:hAnsi="宋体" w:eastAsia="宋体" w:cs="宋体"/>
                <w:i w:val="0"/>
                <w:color w:val="000000"/>
                <w:sz w:val="18"/>
                <w:szCs w:val="18"/>
                <w:u w:val="none"/>
              </w:rPr>
            </w:pPr>
          </w:p>
        </w:tc>
        <w:tc>
          <w:tcPr>
            <w:tcW w:w="667" w:type="dxa"/>
            <w:shd w:val="clear" w:color="auto" w:fill="auto"/>
            <w:vAlign w:val="center"/>
          </w:tcPr>
          <w:p>
            <w:pPr>
              <w:rPr>
                <w:rFonts w:hint="eastAsia" w:ascii="宋体" w:hAnsi="宋体" w:eastAsia="宋体" w:cs="宋体"/>
                <w:i w:val="0"/>
                <w:color w:val="000000"/>
                <w:sz w:val="18"/>
                <w:szCs w:val="18"/>
                <w:u w:val="none"/>
              </w:rPr>
            </w:pPr>
          </w:p>
        </w:tc>
        <w:tc>
          <w:tcPr>
            <w:tcW w:w="304" w:type="dxa"/>
            <w:shd w:val="clear" w:color="auto" w:fill="auto"/>
            <w:vAlign w:val="center"/>
          </w:tcPr>
          <w:p>
            <w:pPr>
              <w:rPr>
                <w:rFonts w:hint="eastAsia" w:ascii="宋体" w:hAnsi="宋体" w:eastAsia="宋体" w:cs="宋体"/>
                <w:i w:val="0"/>
                <w:color w:val="000000"/>
                <w:sz w:val="18"/>
                <w:szCs w:val="18"/>
                <w:u w:val="none"/>
              </w:rPr>
            </w:pPr>
          </w:p>
        </w:tc>
        <w:tc>
          <w:tcPr>
            <w:tcW w:w="272" w:type="dxa"/>
            <w:shd w:val="clear" w:color="auto" w:fill="auto"/>
            <w:vAlign w:val="center"/>
          </w:tcPr>
          <w:p>
            <w:pPr>
              <w:rPr>
                <w:rFonts w:hint="eastAsia" w:ascii="宋体" w:hAnsi="宋体" w:eastAsia="宋体" w:cs="宋体"/>
                <w:i w:val="0"/>
                <w:color w:val="000000"/>
                <w:sz w:val="18"/>
                <w:szCs w:val="18"/>
                <w:u w:val="none"/>
              </w:rPr>
            </w:pPr>
          </w:p>
        </w:tc>
        <w:tc>
          <w:tcPr>
            <w:tcW w:w="1501"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900" w:hRule="atLeast"/>
        </w:trPr>
        <w:tc>
          <w:tcPr>
            <w:tcW w:w="9062"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黑体" w:hAnsi="宋体" w:eastAsia="黑体" w:cs="黑体"/>
                <w:b/>
                <w:i w:val="0"/>
                <w:color w:val="000000"/>
                <w:sz w:val="30"/>
                <w:szCs w:val="30"/>
                <w:u w:val="none"/>
              </w:rPr>
            </w:pPr>
            <w:r>
              <w:rPr>
                <w:rFonts w:hint="default" w:ascii="黑体" w:hAnsi="宋体" w:eastAsia="黑体" w:cs="黑体"/>
                <w:b/>
                <w:i w:val="0"/>
                <w:color w:val="000000"/>
                <w:kern w:val="0"/>
                <w:sz w:val="30"/>
                <w:szCs w:val="30"/>
                <w:u w:val="none"/>
                <w:lang w:val="en-US" w:eastAsia="zh-CN" w:bidi="ar"/>
              </w:rPr>
              <w:t>部门预算项目支出绩效自评表（2024年度）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项目名称</w:t>
            </w:r>
          </w:p>
        </w:tc>
        <w:tc>
          <w:tcPr>
            <w:tcW w:w="745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51322525R000012400304-年度考核奖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10" w:hRule="atLeast"/>
        </w:trPr>
        <w:tc>
          <w:tcPr>
            <w:tcW w:w="160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主管部门</w:t>
            </w:r>
          </w:p>
        </w:tc>
        <w:tc>
          <w:tcPr>
            <w:tcW w:w="4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永和乡政府部门</w:t>
            </w:r>
          </w:p>
        </w:tc>
        <w:tc>
          <w:tcPr>
            <w:tcW w:w="667" w:type="dxa"/>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实施单位 （盖章）</w:t>
            </w:r>
          </w:p>
        </w:tc>
        <w:tc>
          <w:tcPr>
            <w:tcW w:w="207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永和乡便民服务中心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项目基本情况</w:t>
            </w:r>
          </w:p>
        </w:tc>
        <w:tc>
          <w:tcPr>
            <w:tcW w:w="119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1.项目年度目标完成情况</w:t>
            </w:r>
          </w:p>
        </w:tc>
        <w:tc>
          <w:tcPr>
            <w:tcW w:w="4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项目年度目标</w:t>
            </w:r>
          </w:p>
        </w:tc>
        <w:tc>
          <w:tcPr>
            <w:tcW w:w="27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年度目标完成情况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705"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9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4713"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严格执行相关政策，保障工资及时、足额发放或社保及时、足额缴纳，预算编制科学合理，减少结余资金</w:t>
            </w:r>
          </w:p>
        </w:tc>
        <w:tc>
          <w:tcPr>
            <w:tcW w:w="274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对照年度目标，说明相关任务目标的完成情况（100字以内）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9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2.项目实施内容及过程概述</w:t>
            </w:r>
          </w:p>
        </w:tc>
        <w:tc>
          <w:tcPr>
            <w:tcW w:w="745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预算执行情况（10分）</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年度预算数（万元）</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年初预算</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调整后预算数</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预算执行数</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预算执行率</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原因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45"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总额</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5.30</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5.30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color w:val="000000"/>
                <w:sz w:val="18"/>
                <w:szCs w:val="18"/>
                <w:u w:val="none"/>
              </w:rPr>
            </w:pPr>
            <w:r>
              <w:rPr>
                <w:rFonts w:hint="default" w:ascii="simhei" w:hAnsi="simhei" w:eastAsia="simhei" w:cs="simhei"/>
                <w:i/>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9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其中：财政资金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5.30</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5.30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100.00%</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05"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财政专户管理资金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6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单位资金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0.00%</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其他资金</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23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15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default" w:ascii="simhei" w:hAnsi="simhei" w:eastAsia="simhei" w:cs="simhei"/>
                <w:i/>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450" w:hRule="atLeast"/>
        </w:trPr>
        <w:tc>
          <w:tcPr>
            <w:tcW w:w="41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绩效指标（90分）</w:t>
            </w: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一级指标</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二级指标</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三级指标</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指标性质</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指标值</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度量单位</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完成值</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权重</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得分</w:t>
            </w: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未完成原因分析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产出指标</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数量指标</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发放（缴纳）覆盖率</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60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330" w:hRule="atLeast"/>
        </w:trPr>
        <w:tc>
          <w:tcPr>
            <w:tcW w:w="41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19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效益指标</w:t>
            </w:r>
          </w:p>
        </w:tc>
        <w:tc>
          <w:tcPr>
            <w:tcW w:w="105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社会效益指标</w:t>
            </w:r>
          </w:p>
        </w:tc>
        <w:tc>
          <w:tcPr>
            <w:tcW w:w="136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足额保障率（参保率）</w:t>
            </w:r>
          </w:p>
        </w:tc>
        <w:tc>
          <w:tcPr>
            <w:tcW w:w="4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97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92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w:t>
            </w:r>
          </w:p>
        </w:tc>
        <w:tc>
          <w:tcPr>
            <w:tcW w:w="667"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30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color w:val="000000"/>
                <w:sz w:val="16"/>
                <w:szCs w:val="16"/>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69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合计</w:t>
            </w:r>
          </w:p>
        </w:tc>
        <w:tc>
          <w:tcPr>
            <w:tcW w:w="30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100</w:t>
            </w:r>
          </w:p>
        </w:tc>
        <w:tc>
          <w:tcPr>
            <w:tcW w:w="272"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c>
          <w:tcPr>
            <w:tcW w:w="1501" w:type="dxa"/>
            <w:tcBorders>
              <w:top w:val="single" w:color="000000" w:sz="4" w:space="0"/>
              <w:left w:val="single" w:color="000000" w:sz="4" w:space="0"/>
              <w:bottom w:val="single" w:color="000000" w:sz="4" w:space="0"/>
              <w:right w:val="single" w:color="000000" w:sz="4" w:space="0"/>
            </w:tcBorders>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00" w:hRule="atLeast"/>
        </w:trPr>
        <w:tc>
          <w:tcPr>
            <w:tcW w:w="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评价结论</w:t>
            </w:r>
          </w:p>
        </w:tc>
        <w:tc>
          <w:tcPr>
            <w:tcW w:w="86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结合自评情况，说明项目自评总分，说明项目实施取得的成效或成果。（200字以内）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570" w:hRule="atLeast"/>
        </w:trPr>
        <w:tc>
          <w:tcPr>
            <w:tcW w:w="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存在问题</w:t>
            </w:r>
          </w:p>
        </w:tc>
        <w:tc>
          <w:tcPr>
            <w:tcW w:w="86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结合自评情况，分析存在的问题及原因。（200字以内）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630" w:hRule="atLeast"/>
        </w:trPr>
        <w:tc>
          <w:tcPr>
            <w:tcW w:w="41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改进措施</w:t>
            </w:r>
          </w:p>
        </w:tc>
        <w:tc>
          <w:tcPr>
            <w:tcW w:w="8648"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color w:val="000000"/>
                <w:sz w:val="16"/>
                <w:szCs w:val="16"/>
                <w:u w:val="none"/>
              </w:rPr>
            </w:pPr>
            <w:r>
              <w:rPr>
                <w:rFonts w:hint="eastAsia" w:ascii="微软雅黑" w:hAnsi="微软雅黑" w:eastAsia="微软雅黑" w:cs="微软雅黑"/>
                <w:i/>
                <w:color w:val="000000"/>
                <w:kern w:val="0"/>
                <w:sz w:val="16"/>
                <w:szCs w:val="16"/>
                <w:u w:val="none"/>
                <w:lang w:val="en-US" w:eastAsia="zh-CN" w:bidi="ar"/>
              </w:rPr>
              <w:t>针对项目自评中发现的问题，提出下一步改进完善的意见及有关政策性建议。（200字以内）</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41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项目负责人：</w:t>
            </w:r>
          </w:p>
        </w:tc>
        <w:tc>
          <w:tcPr>
            <w:tcW w:w="4644"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simhei" w:hAnsi="simhei" w:eastAsia="simhei" w:cs="simhei"/>
                <w:i w:val="0"/>
                <w:color w:val="000000"/>
                <w:sz w:val="18"/>
                <w:szCs w:val="18"/>
                <w:u w:val="none"/>
              </w:rPr>
            </w:pPr>
            <w:r>
              <w:rPr>
                <w:rFonts w:hint="default" w:ascii="simhei" w:hAnsi="simhei" w:eastAsia="simhei" w:cs="simhei"/>
                <w:i w:val="0"/>
                <w:color w:val="000000"/>
                <w:kern w:val="0"/>
                <w:sz w:val="18"/>
                <w:szCs w:val="18"/>
                <w:u w:val="none"/>
                <w:lang w:val="en-US" w:eastAsia="zh-CN" w:bidi="ar"/>
              </w:rPr>
              <w:t>财务负责人：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414" w:type="dxa"/>
            <w:shd w:val="clear" w:color="auto" w:fill="auto"/>
            <w:vAlign w:val="center"/>
          </w:tcPr>
          <w:p>
            <w:pPr>
              <w:rPr>
                <w:rFonts w:hint="eastAsia" w:ascii="宋体" w:hAnsi="宋体" w:eastAsia="宋体" w:cs="宋体"/>
                <w:i w:val="0"/>
                <w:color w:val="000000"/>
                <w:sz w:val="18"/>
                <w:szCs w:val="18"/>
                <w:u w:val="none"/>
              </w:rPr>
            </w:pPr>
          </w:p>
        </w:tc>
        <w:tc>
          <w:tcPr>
            <w:tcW w:w="1191" w:type="dxa"/>
            <w:shd w:val="clear" w:color="auto" w:fill="auto"/>
            <w:vAlign w:val="center"/>
          </w:tcPr>
          <w:p>
            <w:pPr>
              <w:rPr>
                <w:rFonts w:hint="eastAsia" w:ascii="宋体" w:hAnsi="宋体" w:eastAsia="宋体" w:cs="宋体"/>
                <w:i w:val="0"/>
                <w:color w:val="000000"/>
                <w:sz w:val="18"/>
                <w:szCs w:val="18"/>
                <w:u w:val="none"/>
              </w:rPr>
            </w:pPr>
          </w:p>
        </w:tc>
        <w:tc>
          <w:tcPr>
            <w:tcW w:w="1052" w:type="dxa"/>
            <w:shd w:val="clear" w:color="auto" w:fill="auto"/>
            <w:vAlign w:val="center"/>
          </w:tcPr>
          <w:p>
            <w:pPr>
              <w:rPr>
                <w:rFonts w:hint="eastAsia" w:ascii="宋体" w:hAnsi="宋体" w:eastAsia="宋体" w:cs="宋体"/>
                <w:i w:val="0"/>
                <w:color w:val="000000"/>
                <w:sz w:val="18"/>
                <w:szCs w:val="18"/>
                <w:u w:val="none"/>
              </w:rPr>
            </w:pPr>
          </w:p>
        </w:tc>
        <w:tc>
          <w:tcPr>
            <w:tcW w:w="1361" w:type="dxa"/>
            <w:shd w:val="clear" w:color="auto" w:fill="auto"/>
            <w:vAlign w:val="center"/>
          </w:tcPr>
          <w:p>
            <w:pPr>
              <w:rPr>
                <w:rFonts w:hint="eastAsia" w:ascii="宋体" w:hAnsi="宋体" w:eastAsia="宋体" w:cs="宋体"/>
                <w:i w:val="0"/>
                <w:color w:val="000000"/>
                <w:sz w:val="18"/>
                <w:szCs w:val="18"/>
                <w:u w:val="none"/>
              </w:rPr>
            </w:pPr>
          </w:p>
        </w:tc>
        <w:tc>
          <w:tcPr>
            <w:tcW w:w="400" w:type="dxa"/>
            <w:shd w:val="clear" w:color="auto" w:fill="auto"/>
            <w:vAlign w:val="center"/>
          </w:tcPr>
          <w:p>
            <w:pPr>
              <w:rPr>
                <w:rFonts w:hint="eastAsia" w:ascii="宋体" w:hAnsi="宋体" w:eastAsia="宋体" w:cs="宋体"/>
                <w:i w:val="0"/>
                <w:color w:val="000000"/>
                <w:sz w:val="18"/>
                <w:szCs w:val="18"/>
                <w:u w:val="none"/>
              </w:rPr>
            </w:pPr>
          </w:p>
        </w:tc>
        <w:tc>
          <w:tcPr>
            <w:tcW w:w="971" w:type="dxa"/>
            <w:shd w:val="clear" w:color="auto" w:fill="auto"/>
            <w:vAlign w:val="center"/>
          </w:tcPr>
          <w:p>
            <w:pPr>
              <w:rPr>
                <w:rFonts w:hint="eastAsia" w:ascii="宋体" w:hAnsi="宋体" w:eastAsia="宋体" w:cs="宋体"/>
                <w:i w:val="0"/>
                <w:color w:val="000000"/>
                <w:sz w:val="18"/>
                <w:szCs w:val="18"/>
                <w:u w:val="none"/>
              </w:rPr>
            </w:pPr>
          </w:p>
        </w:tc>
        <w:tc>
          <w:tcPr>
            <w:tcW w:w="929" w:type="dxa"/>
            <w:shd w:val="clear" w:color="auto" w:fill="auto"/>
            <w:vAlign w:val="center"/>
          </w:tcPr>
          <w:p>
            <w:pPr>
              <w:rPr>
                <w:rFonts w:hint="eastAsia" w:ascii="宋体" w:hAnsi="宋体" w:eastAsia="宋体" w:cs="宋体"/>
                <w:i w:val="0"/>
                <w:color w:val="000000"/>
                <w:sz w:val="18"/>
                <w:szCs w:val="18"/>
                <w:u w:val="none"/>
              </w:rPr>
            </w:pPr>
          </w:p>
        </w:tc>
        <w:tc>
          <w:tcPr>
            <w:tcW w:w="667" w:type="dxa"/>
            <w:shd w:val="clear" w:color="auto" w:fill="auto"/>
            <w:vAlign w:val="center"/>
          </w:tcPr>
          <w:p>
            <w:pPr>
              <w:rPr>
                <w:rFonts w:hint="eastAsia" w:ascii="宋体" w:hAnsi="宋体" w:eastAsia="宋体" w:cs="宋体"/>
                <w:i w:val="0"/>
                <w:color w:val="000000"/>
                <w:sz w:val="18"/>
                <w:szCs w:val="18"/>
                <w:u w:val="none"/>
              </w:rPr>
            </w:pPr>
          </w:p>
        </w:tc>
        <w:tc>
          <w:tcPr>
            <w:tcW w:w="304" w:type="dxa"/>
            <w:shd w:val="clear" w:color="auto" w:fill="auto"/>
            <w:vAlign w:val="center"/>
          </w:tcPr>
          <w:p>
            <w:pPr>
              <w:rPr>
                <w:rFonts w:hint="eastAsia" w:ascii="宋体" w:hAnsi="宋体" w:eastAsia="宋体" w:cs="宋体"/>
                <w:i w:val="0"/>
                <w:color w:val="000000"/>
                <w:sz w:val="18"/>
                <w:szCs w:val="18"/>
                <w:u w:val="none"/>
              </w:rPr>
            </w:pPr>
          </w:p>
        </w:tc>
        <w:tc>
          <w:tcPr>
            <w:tcW w:w="272" w:type="dxa"/>
            <w:shd w:val="clear" w:color="auto" w:fill="auto"/>
            <w:vAlign w:val="center"/>
          </w:tcPr>
          <w:p>
            <w:pPr>
              <w:rPr>
                <w:rFonts w:hint="eastAsia" w:ascii="宋体" w:hAnsi="宋体" w:eastAsia="宋体" w:cs="宋体"/>
                <w:i w:val="0"/>
                <w:color w:val="000000"/>
                <w:sz w:val="18"/>
                <w:szCs w:val="18"/>
                <w:u w:val="none"/>
              </w:rPr>
            </w:pPr>
          </w:p>
        </w:tc>
        <w:tc>
          <w:tcPr>
            <w:tcW w:w="1501" w:type="dxa"/>
            <w:shd w:val="clear" w:color="auto" w:fill="auto"/>
            <w:vAlign w:val="center"/>
          </w:tcPr>
          <w:p>
            <w:pPr>
              <w:rPr>
                <w:rFonts w:hint="eastAsia" w:ascii="宋体" w:hAnsi="宋体" w:eastAsia="宋体" w:cs="宋体"/>
                <w:i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062" w:type="dxa"/>
            <w:gridSpan w:val="11"/>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1、报表说明:该报表查询项目信息、绩效目标信息、预算及执行情况，用于预算单位查询导出开展项目自评。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062" w:type="dxa"/>
            <w:gridSpan w:val="11"/>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2、取数口径：部门项目绩效目标表信息，包括年初预算、追加预算、结转预算和调整预算的绩效目标（以项目的最终绩效目标为准）。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062" w:type="dxa"/>
            <w:gridSpan w:val="11"/>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适用地区：全省范围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Ex>
        <w:trPr>
          <w:trHeight w:val="285" w:hRule="atLeast"/>
        </w:trPr>
        <w:tc>
          <w:tcPr>
            <w:tcW w:w="9062" w:type="dxa"/>
            <w:gridSpan w:val="11"/>
            <w:shd w:val="clear" w:color="auto" w:fill="auto"/>
            <w:vAlign w:val="center"/>
          </w:tcPr>
          <w:p>
            <w:pPr>
              <w:keepNext w:val="0"/>
              <w:keepLines w:val="0"/>
              <w:widowControl/>
              <w:suppressLineNumbers w:val="0"/>
              <w:jc w:val="left"/>
              <w:textAlignment w:val="center"/>
              <w:rPr>
                <w:rFonts w:ascii="宋体" w:hAnsi="宋体" w:eastAsia="宋体" w:cs="宋体"/>
                <w:i w:val="0"/>
                <w:color w:val="000000"/>
                <w:sz w:val="18"/>
                <w:szCs w:val="18"/>
                <w:u w:val="none"/>
              </w:rPr>
            </w:pPr>
            <w:r>
              <w:rPr>
                <w:rFonts w:ascii="宋体" w:hAnsi="宋体" w:eastAsia="宋体" w:cs="宋体"/>
                <w:i w:val="0"/>
                <w:color w:val="000000"/>
                <w:kern w:val="0"/>
                <w:sz w:val="18"/>
                <w:szCs w:val="18"/>
                <w:u w:val="none"/>
                <w:lang w:val="en-US" w:eastAsia="zh-CN" w:bidi="ar"/>
              </w:rPr>
              <w:t>适用用户：部门用户、单位用户</w:t>
            </w:r>
          </w:p>
        </w:tc>
      </w:tr>
    </w:tbl>
    <w:p>
      <w:pPr>
        <w:pStyle w:val="3"/>
        <w:spacing w:line="560" w:lineRule="exact"/>
        <w:ind w:left="0" w:leftChars="0" w:firstLine="0" w:firstLineChars="0"/>
        <w:rPr>
          <w:rFonts w:ascii="Times New Roman"/>
          <w:sz w:val="32"/>
          <w:highlight w:val="yellow"/>
          <w:lang w:val="zh-CN"/>
        </w:rPr>
      </w:pPr>
    </w:p>
    <w:p>
      <w:pPr>
        <w:pStyle w:val="8"/>
        <w:spacing w:before="93"/>
        <w:rPr>
          <w:rFonts w:ascii="Times New Roman" w:cs="宋体"/>
          <w:color w:val="FF0000"/>
          <w:sz w:val="32"/>
          <w:szCs w:val="32"/>
          <w:highlight w:val="yellow"/>
          <w:shd w:val="clear" w:color="auto" w:fill="FFFFFF"/>
          <w:lang w:val="zh-CN"/>
        </w:rPr>
      </w:pPr>
    </w:p>
    <w:p>
      <w:pPr>
        <w:rPr>
          <w:rFonts w:eastAsia="仿宋_GB2312" w:cs="仿宋_GB2312"/>
          <w:kern w:val="0"/>
          <w:sz w:val="32"/>
          <w:szCs w:val="32"/>
        </w:rPr>
      </w:pPr>
      <w:r>
        <w:rPr>
          <w:rFonts w:hint="eastAsia" w:eastAsia="黑体" w:cs="黑体"/>
          <w:kern w:val="0"/>
          <w:sz w:val="32"/>
          <w:szCs w:val="32"/>
          <w:shd w:val="clear" w:color="auto" w:fill="FFFFFF"/>
          <w:lang w:val="zh-CN"/>
        </w:rPr>
        <w:br w:type="page"/>
      </w:r>
    </w:p>
    <w:p>
      <w:pPr>
        <w:spacing w:line="578" w:lineRule="exact"/>
        <w:jc w:val="center"/>
        <w:rPr>
          <w:rFonts w:hint="eastAsia" w:eastAsia="黑体"/>
          <w:sz w:val="44"/>
          <w:szCs w:val="44"/>
        </w:rPr>
      </w:pPr>
      <w:bookmarkStart w:id="53" w:name="_Toc15396618"/>
    </w:p>
    <w:p>
      <w:pPr>
        <w:spacing w:line="578" w:lineRule="exact"/>
        <w:jc w:val="center"/>
        <w:rPr>
          <w:rFonts w:eastAsia="仿宋"/>
        </w:rPr>
      </w:pPr>
      <w:bookmarkStart w:id="67" w:name="_GoBack"/>
      <w:bookmarkEnd w:id="67"/>
      <w:r>
        <w:rPr>
          <w:rFonts w:hint="eastAsia" w:eastAsia="黑体"/>
          <w:sz w:val="44"/>
          <w:szCs w:val="44"/>
        </w:rPr>
        <w:t>第</w:t>
      </w:r>
      <w:r>
        <w:rPr>
          <w:rStyle w:val="28"/>
          <w:rFonts w:hint="eastAsia" w:eastAsia="黑体"/>
          <w:b w:val="0"/>
        </w:rPr>
        <w:t>五部分 附表</w:t>
      </w:r>
      <w:bookmarkEnd w:id="51"/>
      <w:bookmarkEnd w:id="53"/>
      <w:bookmarkStart w:id="54" w:name="_Toc15396619"/>
    </w:p>
    <w:p>
      <w:pPr>
        <w:pStyle w:val="14"/>
        <w:adjustRightInd w:val="0"/>
        <w:snapToGrid w:val="0"/>
        <w:spacing w:line="560" w:lineRule="exact"/>
        <w:jc w:val="left"/>
        <w:rPr>
          <w:rFonts w:eastAsia="仿宋_GB2312" w:cs="仿宋_GB2312"/>
          <w:sz w:val="32"/>
          <w:szCs w:val="32"/>
        </w:rPr>
      </w:pPr>
    </w:p>
    <w:p>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一、收入支出决算总表</w:t>
      </w:r>
      <w:bookmarkEnd w:id="54"/>
    </w:p>
    <w:p>
      <w:pPr>
        <w:pStyle w:val="14"/>
        <w:adjustRightInd w:val="0"/>
        <w:snapToGrid w:val="0"/>
        <w:spacing w:line="560" w:lineRule="exact"/>
        <w:jc w:val="left"/>
        <w:rPr>
          <w:rFonts w:eastAsia="仿宋_GB2312" w:cs="仿宋_GB2312"/>
          <w:sz w:val="32"/>
          <w:szCs w:val="32"/>
        </w:rPr>
      </w:pPr>
      <w:bookmarkStart w:id="55" w:name="_Toc15396620"/>
      <w:r>
        <w:rPr>
          <w:rFonts w:hint="eastAsia" w:eastAsia="仿宋_GB2312" w:cs="仿宋_GB2312"/>
          <w:sz w:val="32"/>
          <w:szCs w:val="32"/>
        </w:rPr>
        <w:t>二、收入决算表</w:t>
      </w:r>
      <w:bookmarkEnd w:id="55"/>
    </w:p>
    <w:p>
      <w:pPr>
        <w:pStyle w:val="14"/>
        <w:adjustRightInd w:val="0"/>
        <w:snapToGrid w:val="0"/>
        <w:spacing w:line="560" w:lineRule="exact"/>
        <w:jc w:val="left"/>
        <w:rPr>
          <w:rFonts w:eastAsia="仿宋_GB2312" w:cs="仿宋_GB2312"/>
          <w:sz w:val="32"/>
          <w:szCs w:val="32"/>
        </w:rPr>
      </w:pPr>
      <w:bookmarkStart w:id="56" w:name="_Toc15396621"/>
      <w:r>
        <w:rPr>
          <w:rFonts w:hint="eastAsia" w:eastAsia="仿宋_GB2312" w:cs="仿宋_GB2312"/>
          <w:sz w:val="32"/>
          <w:szCs w:val="32"/>
        </w:rPr>
        <w:t>三、支出决算表</w:t>
      </w:r>
      <w:bookmarkEnd w:id="56"/>
    </w:p>
    <w:p>
      <w:pPr>
        <w:pStyle w:val="14"/>
        <w:adjustRightInd w:val="0"/>
        <w:snapToGrid w:val="0"/>
        <w:spacing w:line="560" w:lineRule="exact"/>
        <w:jc w:val="left"/>
        <w:rPr>
          <w:rFonts w:eastAsia="仿宋_GB2312" w:cs="仿宋_GB2312"/>
          <w:sz w:val="32"/>
          <w:szCs w:val="32"/>
        </w:rPr>
      </w:pPr>
      <w:bookmarkStart w:id="57" w:name="_Toc15396622"/>
      <w:r>
        <w:rPr>
          <w:rFonts w:hint="eastAsia" w:eastAsia="仿宋_GB2312" w:cs="仿宋_GB2312"/>
          <w:sz w:val="32"/>
          <w:szCs w:val="32"/>
        </w:rPr>
        <w:t>四、财政拨款收入支出决算总表</w:t>
      </w:r>
      <w:bookmarkEnd w:id="57"/>
    </w:p>
    <w:p>
      <w:pPr>
        <w:pStyle w:val="14"/>
        <w:adjustRightInd w:val="0"/>
        <w:snapToGrid w:val="0"/>
        <w:spacing w:line="560" w:lineRule="exact"/>
        <w:jc w:val="left"/>
        <w:rPr>
          <w:rFonts w:eastAsia="仿宋_GB2312" w:cs="仿宋_GB2312"/>
          <w:sz w:val="32"/>
          <w:szCs w:val="32"/>
        </w:rPr>
      </w:pPr>
      <w:bookmarkStart w:id="58" w:name="_Toc15396623"/>
      <w:r>
        <w:rPr>
          <w:rFonts w:hint="eastAsia" w:eastAsia="仿宋_GB2312" w:cs="仿宋_GB2312"/>
          <w:sz w:val="32"/>
          <w:szCs w:val="32"/>
        </w:rPr>
        <w:t>五、财政拨款支出决算明细表</w:t>
      </w:r>
      <w:bookmarkEnd w:id="58"/>
      <w:bookmarkStart w:id="59" w:name="_Toc15396624"/>
    </w:p>
    <w:p>
      <w:pPr>
        <w:pStyle w:val="14"/>
        <w:adjustRightInd w:val="0"/>
        <w:snapToGrid w:val="0"/>
        <w:spacing w:line="560" w:lineRule="exact"/>
        <w:jc w:val="left"/>
        <w:rPr>
          <w:rFonts w:eastAsia="仿宋_GB2312" w:cs="仿宋_GB2312"/>
          <w:sz w:val="32"/>
          <w:szCs w:val="32"/>
        </w:rPr>
      </w:pPr>
      <w:r>
        <w:rPr>
          <w:rFonts w:hint="eastAsia" w:eastAsia="仿宋_GB2312" w:cs="仿宋_GB2312"/>
          <w:sz w:val="32"/>
          <w:szCs w:val="32"/>
        </w:rPr>
        <w:t>六、一般公共预算财政拨款支出决算表</w:t>
      </w:r>
      <w:bookmarkEnd w:id="59"/>
    </w:p>
    <w:p>
      <w:pPr>
        <w:pStyle w:val="14"/>
        <w:adjustRightInd w:val="0"/>
        <w:snapToGrid w:val="0"/>
        <w:spacing w:line="560" w:lineRule="exact"/>
        <w:jc w:val="left"/>
        <w:rPr>
          <w:rFonts w:eastAsia="仿宋_GB2312" w:cs="仿宋_GB2312"/>
          <w:sz w:val="32"/>
          <w:szCs w:val="32"/>
        </w:rPr>
      </w:pPr>
      <w:bookmarkStart w:id="60" w:name="_Toc15396625"/>
      <w:r>
        <w:rPr>
          <w:rFonts w:hint="eastAsia" w:eastAsia="仿宋_GB2312" w:cs="仿宋_GB2312"/>
          <w:sz w:val="32"/>
          <w:szCs w:val="32"/>
        </w:rPr>
        <w:t>七、一般公共预算财政拨款支出决算明细表</w:t>
      </w:r>
      <w:bookmarkEnd w:id="60"/>
    </w:p>
    <w:p>
      <w:pPr>
        <w:pStyle w:val="14"/>
        <w:adjustRightInd w:val="0"/>
        <w:snapToGrid w:val="0"/>
        <w:spacing w:line="560" w:lineRule="exact"/>
        <w:jc w:val="left"/>
        <w:rPr>
          <w:rFonts w:eastAsia="仿宋_GB2312" w:cs="仿宋_GB2312"/>
          <w:sz w:val="32"/>
          <w:szCs w:val="32"/>
        </w:rPr>
      </w:pPr>
      <w:bookmarkStart w:id="61" w:name="_Toc15396626"/>
      <w:r>
        <w:rPr>
          <w:rFonts w:hint="eastAsia" w:eastAsia="仿宋_GB2312" w:cs="仿宋_GB2312"/>
          <w:sz w:val="32"/>
          <w:szCs w:val="32"/>
        </w:rPr>
        <w:t>八、一般公共预算财政拨款基本支出决算表</w:t>
      </w:r>
      <w:bookmarkEnd w:id="61"/>
    </w:p>
    <w:p>
      <w:pPr>
        <w:pStyle w:val="14"/>
        <w:adjustRightInd w:val="0"/>
        <w:snapToGrid w:val="0"/>
        <w:spacing w:line="560" w:lineRule="exact"/>
        <w:jc w:val="left"/>
        <w:rPr>
          <w:rFonts w:eastAsia="仿宋_GB2312" w:cs="仿宋_GB2312"/>
          <w:sz w:val="32"/>
          <w:szCs w:val="32"/>
        </w:rPr>
      </w:pPr>
      <w:bookmarkStart w:id="62" w:name="_Toc15396627"/>
      <w:r>
        <w:rPr>
          <w:rFonts w:hint="eastAsia" w:eastAsia="仿宋_GB2312" w:cs="仿宋_GB2312"/>
          <w:sz w:val="32"/>
          <w:szCs w:val="32"/>
        </w:rPr>
        <w:t>九、一般公共预算财政拨款项目支出决算表</w:t>
      </w:r>
      <w:bookmarkEnd w:id="62"/>
    </w:p>
    <w:p>
      <w:pPr>
        <w:pStyle w:val="14"/>
        <w:adjustRightInd w:val="0"/>
        <w:snapToGrid w:val="0"/>
        <w:spacing w:line="560" w:lineRule="exact"/>
        <w:jc w:val="left"/>
        <w:rPr>
          <w:rFonts w:eastAsia="仿宋_GB2312" w:cs="仿宋_GB2312"/>
          <w:sz w:val="32"/>
          <w:szCs w:val="32"/>
        </w:rPr>
      </w:pPr>
      <w:bookmarkStart w:id="63" w:name="_Toc15396628"/>
      <w:r>
        <w:rPr>
          <w:rFonts w:hint="eastAsia" w:eastAsia="仿宋_GB2312" w:cs="仿宋_GB2312"/>
          <w:sz w:val="32"/>
          <w:szCs w:val="32"/>
        </w:rPr>
        <w:t>十、</w:t>
      </w:r>
      <w:bookmarkEnd w:id="63"/>
      <w:r>
        <w:rPr>
          <w:rFonts w:hint="eastAsia" w:eastAsia="仿宋_GB2312" w:cs="仿宋_GB2312"/>
          <w:sz w:val="32"/>
          <w:szCs w:val="32"/>
        </w:rPr>
        <w:t>政府性基金预算财政拨款收入支出决算表</w:t>
      </w:r>
    </w:p>
    <w:p>
      <w:pPr>
        <w:pStyle w:val="14"/>
        <w:adjustRightInd w:val="0"/>
        <w:snapToGrid w:val="0"/>
        <w:spacing w:line="560" w:lineRule="exact"/>
        <w:jc w:val="left"/>
        <w:rPr>
          <w:rFonts w:eastAsia="仿宋_GB2312" w:cs="仿宋_GB2312"/>
          <w:sz w:val="32"/>
          <w:szCs w:val="32"/>
        </w:rPr>
      </w:pPr>
      <w:bookmarkStart w:id="64" w:name="_Toc15396629"/>
      <w:r>
        <w:rPr>
          <w:rFonts w:hint="eastAsia" w:eastAsia="仿宋_GB2312" w:cs="仿宋_GB2312"/>
          <w:sz w:val="32"/>
          <w:szCs w:val="32"/>
        </w:rPr>
        <w:t>十一、</w:t>
      </w:r>
      <w:bookmarkEnd w:id="64"/>
      <w:r>
        <w:rPr>
          <w:rFonts w:hint="eastAsia" w:eastAsia="仿宋_GB2312" w:cs="仿宋_GB2312"/>
          <w:sz w:val="32"/>
          <w:szCs w:val="32"/>
        </w:rPr>
        <w:t>国有资本经营预算财政拨款收入支出决算表</w:t>
      </w:r>
    </w:p>
    <w:p>
      <w:pPr>
        <w:pStyle w:val="14"/>
        <w:adjustRightInd w:val="0"/>
        <w:snapToGrid w:val="0"/>
        <w:spacing w:line="560" w:lineRule="exact"/>
        <w:jc w:val="left"/>
        <w:rPr>
          <w:rFonts w:eastAsia="仿宋_GB2312" w:cs="仿宋_GB2312"/>
          <w:sz w:val="32"/>
          <w:szCs w:val="32"/>
        </w:rPr>
      </w:pPr>
      <w:bookmarkStart w:id="65" w:name="_Toc15396630"/>
      <w:r>
        <w:rPr>
          <w:rFonts w:hint="eastAsia" w:eastAsia="仿宋_GB2312" w:cs="仿宋_GB2312"/>
          <w:sz w:val="32"/>
          <w:szCs w:val="32"/>
        </w:rPr>
        <w:t>十二、</w:t>
      </w:r>
      <w:bookmarkEnd w:id="65"/>
      <w:r>
        <w:rPr>
          <w:rFonts w:hint="eastAsia" w:eastAsia="仿宋_GB2312" w:cs="仿宋_GB2312"/>
          <w:sz w:val="32"/>
          <w:szCs w:val="32"/>
        </w:rPr>
        <w:t>国有资本经营预算财政拨款支出决算表</w:t>
      </w:r>
    </w:p>
    <w:p>
      <w:pPr>
        <w:pStyle w:val="14"/>
        <w:adjustRightInd w:val="0"/>
        <w:snapToGrid w:val="0"/>
        <w:spacing w:line="560" w:lineRule="exact"/>
        <w:jc w:val="left"/>
        <w:rPr>
          <w:rFonts w:eastAsia="仿宋_GB2312" w:cs="仿宋_GB2312"/>
          <w:sz w:val="32"/>
          <w:szCs w:val="32"/>
        </w:rPr>
      </w:pPr>
      <w:bookmarkStart w:id="66" w:name="_Toc15396631"/>
      <w:r>
        <w:rPr>
          <w:rFonts w:hint="eastAsia" w:eastAsia="仿宋_GB2312" w:cs="仿宋_GB2312"/>
          <w:sz w:val="32"/>
          <w:szCs w:val="32"/>
        </w:rPr>
        <w:t>十三、</w:t>
      </w:r>
      <w:bookmarkEnd w:id="66"/>
      <w:r>
        <w:rPr>
          <w:rFonts w:hint="eastAsia" w:eastAsia="仿宋_GB2312" w:cs="仿宋_GB2312"/>
          <w:sz w:val="32"/>
          <w:szCs w:val="32"/>
        </w:rPr>
        <w:t>财政拨款“三公”经费支出决算表</w:t>
      </w:r>
    </w:p>
    <w:p>
      <w:pPr/>
    </w:p>
    <w:sectPr>
      <w:footerReference r:id="rId8" w:type="first"/>
      <w:footerReference r:id="rId7"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2FF" w:usb1="400004FF" w:usb2="00000000" w:usb3="00000000" w:csb0="2000019F" w:csb1="00000000"/>
  </w:font>
  <w:font w:name="Calibri">
    <w:panose1 w:val="020F0502020204030204"/>
    <w:charset w:val="00"/>
    <w:family w:val="roman"/>
    <w:pitch w:val="default"/>
    <w:sig w:usb0="E00002FF" w:usb1="4000ACFF" w:usb2="00000001" w:usb3="00000000" w:csb0="2000019F"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font>
  <w:font w:name="Arial">
    <w:panose1 w:val="020B0604020202020204"/>
    <w:charset w:val="00"/>
    <w:family w:val="roman"/>
    <w:pitch w:val="default"/>
    <w:sig w:usb0="E0002AFF" w:usb1="C0007843" w:usb2="00000009" w:usb3="00000000" w:csb0="400001FF" w:csb1="FFFF0000"/>
  </w:font>
  <w:font w:name="黑体">
    <w:altName w:val="宋体"/>
    <w:panose1 w:val="02010609060101010101"/>
    <w:charset w:val="86"/>
    <w:family w:val="decorative"/>
    <w:pitch w:val="default"/>
    <w:sig w:usb0="00000000" w:usb1="00000000" w:usb2="00000016" w:usb3="00000000" w:csb0="00040001" w:csb1="00000000"/>
  </w:font>
  <w:font w:name="??">
    <w:altName w:val="Segoe Print"/>
    <w:panose1 w:val="00000000000000000000"/>
    <w:charset w:val="00"/>
    <w:family w:val="swiss"/>
    <w:pitch w:val="default"/>
    <w:sig w:usb0="00000000" w:usb1="00000000" w:usb2="00000000" w:usb3="00000000" w:csb0="00000000" w:csb1="0000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decorative"/>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1"/>
    <w:family w:val="roman"/>
    <w:pitch w:val="default"/>
    <w:sig w:usb0="E0002AFF" w:usb1="C0007843" w:usb2="00000009" w:usb3="00000000" w:csb0="400001FF" w:csb1="FFFF0000"/>
  </w:font>
  <w:font w:name="Courier New">
    <w:panose1 w:val="02070309020205020404"/>
    <w:charset w:val="01"/>
    <w:family w:val="decorative"/>
    <w:pitch w:val="default"/>
    <w:sig w:usb0="E0002A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2FF" w:usb1="400004FF" w:usb2="00000000" w:usb3="00000000" w:csb0="2000019F" w:csb1="00000000"/>
  </w:font>
  <w:font w:name="Calibri">
    <w:panose1 w:val="020F0502020204030204"/>
    <w:charset w:val="00"/>
    <w:family w:val="modern"/>
    <w:pitch w:val="default"/>
    <w:sig w:usb0="E00002FF" w:usb1="4000ACFF" w:usb2="00000001" w:usb3="00000000" w:csb0="2000019F" w:csb1="00000000"/>
  </w:font>
  <w:font w:name="仿宋_GB2312">
    <w:panose1 w:val="02010609030101010101"/>
    <w:charset w:val="86"/>
    <w:family w:val="roman"/>
    <w:pitch w:val="default"/>
    <w:sig w:usb0="00000001" w:usb1="080E0000" w:usb2="00000000" w:usb3="00000000" w:csb0="00040000" w:csb1="00000000"/>
  </w:font>
  <w:font w:name="仿宋">
    <w:panose1 w:val="02010609060101010101"/>
    <w:charset w:val="86"/>
    <w:family w:val="roman"/>
    <w:pitch w:val="default"/>
    <w:sig w:usb0="800002BF" w:usb1="38CF7CFA" w:usb2="00000016" w:usb3="00000000" w:csb0="00040001" w:csb1="00000000"/>
  </w:font>
  <w:font w:name="Arial">
    <w:panose1 w:val="020B0604020202020204"/>
    <w:charset w:val="00"/>
    <w:family w:val="modern"/>
    <w:pitch w:val="default"/>
    <w:sig w:usb0="E0002AFF" w:usb1="C0007843" w:usb2="00000009" w:usb3="00000000" w:csb0="400001FF" w:csb1="FFFF0000"/>
  </w:font>
  <w:font w:name="黑体">
    <w:altName w:val="宋体"/>
    <w:panose1 w:val="02010609060101010101"/>
    <w:charset w:val="86"/>
    <w:family w:val="roman"/>
    <w:pitch w:val="default"/>
    <w:sig w:usb0="00000000" w:usb1="00000000" w:usb2="00000016" w:usb3="00000000" w:csb0="00040001" w:csb1="00000000"/>
  </w:font>
  <w:font w:name="??">
    <w:altName w:val="Segoe Print"/>
    <w:panose1 w:val="00000000000000000000"/>
    <w:charset w:val="00"/>
    <w:family w:val="decorative"/>
    <w:pitch w:val="default"/>
    <w:sig w:usb0="00000000" w:usb1="00000000" w:usb2="00000000" w:usb3="00000000" w:csb0="00000000" w:csb1="00000000"/>
  </w:font>
  <w:font w:name="楷体_GB2312">
    <w:panose1 w:val="02010609030101010101"/>
    <w:charset w:val="86"/>
    <w:family w:val="roman"/>
    <w:pitch w:val="default"/>
    <w:sig w:usb0="00000001" w:usb1="080E0000" w:usb2="00000000" w:usb3="00000000" w:csb0="00040000" w:csb1="00000000"/>
  </w:font>
  <w:font w:name="Arial">
    <w:panose1 w:val="020B0604020202020204"/>
    <w:charset w:val="01"/>
    <w:family w:val="modern"/>
    <w:pitch w:val="default"/>
    <w:sig w:usb0="E0002AFF" w:usb1="C0007843" w:usb2="00000009" w:usb3="00000000" w:csb0="400001FF" w:csb1="FFFF0000"/>
  </w:font>
  <w:font w:name="Courier New">
    <w:panose1 w:val="02070309020205020404"/>
    <w:charset w:val="01"/>
    <w:family w:val="roman"/>
    <w:pitch w:val="default"/>
    <w:sig w:usb0="E0002A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黑体">
    <w:altName w:val="宋体"/>
    <w:panose1 w:val="02010609060101010101"/>
    <w:charset w:val="86"/>
    <w:family w:val="modern"/>
    <w:pitch w:val="default"/>
    <w:sig w:usb0="00000000" w:usb1="00000000" w:usb2="00000016" w:usb3="00000000" w:csb0="00040001" w:csb1="00000000"/>
  </w:font>
  <w:font w:name="??">
    <w:altName w:val="Segoe Print"/>
    <w:panose1 w:val="00000000000000000000"/>
    <w:charset w:val="00"/>
    <w:family w:val="roman"/>
    <w:pitch w:val="default"/>
    <w:sig w:usb0="00000000" w:usb1="00000000" w:usb2="00000000" w:usb3="00000000" w:csb0="00000000" w:csb1="00000000"/>
  </w:font>
  <w:font w:name="楷体_GB2312">
    <w:panose1 w:val="02010609030101010101"/>
    <w:charset w:val="86"/>
    <w:family w:val="modern"/>
    <w:pitch w:val="default"/>
    <w:sig w:usb0="00000001" w:usb1="080E0000" w:usb2="00000000" w:usb3="00000000" w:csb0="00040000" w:csb1="00000000"/>
  </w:font>
  <w:font w:name="黑体">
    <w:altName w:val="宋体"/>
    <w:panose1 w:val="00000000000000000000"/>
    <w:charset w:val="00"/>
    <w:family w:val="auto"/>
    <w:pitch w:val="default"/>
    <w:sig w:usb0="00000000" w:usb1="00000000" w:usb2="00000000" w:usb3="00000000" w:csb0="00000000" w:csb1="00000000"/>
  </w:font>
  <w:font w:name="simhei">
    <w:altName w:val="Segoe Print"/>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- 2 -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R1yZaEwIAABMEAAAOAAAAAAAAAAEA&#10;IAAAAB8BAABkcnMvZTJvRG9jLnhtbFBLBQYAAAAABgAGAFkBAACkBQ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- 2 -</w:t>
                    </w:r>
                    <w:r>
                      <w:rPr>
                        <w:rFonts w:hint="eastAsia"/>
                        <w:sz w:val="18"/>
                        <w:lang w:eastAsia="zh-CN"/>
                      </w:rPr>
                      <w:fldChar w:fldCharType="end"/>
                    </w:r>
                  </w:p>
                </w:txbxContent>
              </v:textbox>
            </v:shape>
          </w:pict>
        </mc:Fallback>
      </mc:AlternateContent>
    </w:r>
  </w:p>
  <w:p>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Vs2AVAgAAEwQAAA4AAABkcnMvZTJvRG9jLnhtbK1TTY7TMBTeI3EH&#10;y3uatIiZqm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Vs2AVAgAAEwQAAA4AAAAAAAAA&#10;AQAgAAAAHwEAAGRycy9lMm9Eb2MueG1sUEsFBgAAAAAGAAYAWQEAAKY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- 1 -</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750615615">
    <w:nsid w:val="2CBD7C3F"/>
    <w:multiLevelType w:val="multilevel"/>
    <w:tmpl w:val="2CBD7C3F"/>
    <w:lvl w:ilvl="0" w:tentative="1">
      <w:start w:val="1"/>
      <w:numFmt w:val="japaneseCounting"/>
      <w:lvlText w:val="%1、"/>
      <w:lvlJc w:val="left"/>
      <w:pPr>
        <w:ind w:left="660" w:hanging="660"/>
      </w:pPr>
      <w:rPr>
        <w:rFonts w:hint="default"/>
        <w:lang w:val="en-US"/>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7506156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E5997"/>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1FAC"/>
    <w:rsid w:val="006748A4"/>
    <w:rsid w:val="00681A31"/>
    <w:rsid w:val="00683E73"/>
    <w:rsid w:val="006A3141"/>
    <w:rsid w:val="006A5E34"/>
    <w:rsid w:val="006B2422"/>
    <w:rsid w:val="006B2B9A"/>
    <w:rsid w:val="006C1937"/>
    <w:rsid w:val="006F020C"/>
    <w:rsid w:val="007127B7"/>
    <w:rsid w:val="0071595B"/>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2952"/>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01FE"/>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A3DB3"/>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43E33"/>
    <w:rsid w:val="00D51276"/>
    <w:rsid w:val="00D7035F"/>
    <w:rsid w:val="00DA634F"/>
    <w:rsid w:val="00DA65AC"/>
    <w:rsid w:val="00DB1913"/>
    <w:rsid w:val="00DC410D"/>
    <w:rsid w:val="00DC5A81"/>
    <w:rsid w:val="00DC68CA"/>
    <w:rsid w:val="00DC7CBA"/>
    <w:rsid w:val="00DD73B7"/>
    <w:rsid w:val="00DE6ADA"/>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2A407F"/>
    <w:rsid w:val="07996F6E"/>
    <w:rsid w:val="07DFD8BA"/>
    <w:rsid w:val="09867E8F"/>
    <w:rsid w:val="0A2032A3"/>
    <w:rsid w:val="0CA8290A"/>
    <w:rsid w:val="0D35B1ED"/>
    <w:rsid w:val="0E254B6B"/>
    <w:rsid w:val="0F98263C"/>
    <w:rsid w:val="101860EC"/>
    <w:rsid w:val="101F47CC"/>
    <w:rsid w:val="10C055FF"/>
    <w:rsid w:val="11694EBD"/>
    <w:rsid w:val="11772AA4"/>
    <w:rsid w:val="118107EC"/>
    <w:rsid w:val="12E24EE2"/>
    <w:rsid w:val="13D50BC4"/>
    <w:rsid w:val="14B17F78"/>
    <w:rsid w:val="157D1E5E"/>
    <w:rsid w:val="165E0673"/>
    <w:rsid w:val="16B831D5"/>
    <w:rsid w:val="16BB723D"/>
    <w:rsid w:val="17E50567"/>
    <w:rsid w:val="186504BB"/>
    <w:rsid w:val="19A445FC"/>
    <w:rsid w:val="1BE8440E"/>
    <w:rsid w:val="1D155CEE"/>
    <w:rsid w:val="1D1638FE"/>
    <w:rsid w:val="1E312DEB"/>
    <w:rsid w:val="1E740ACF"/>
    <w:rsid w:val="1FF35744"/>
    <w:rsid w:val="1FF6BC77"/>
    <w:rsid w:val="2186353C"/>
    <w:rsid w:val="23860B96"/>
    <w:rsid w:val="240371BF"/>
    <w:rsid w:val="244F3473"/>
    <w:rsid w:val="24C97D99"/>
    <w:rsid w:val="25A718F0"/>
    <w:rsid w:val="25BB59F6"/>
    <w:rsid w:val="260F557C"/>
    <w:rsid w:val="26970054"/>
    <w:rsid w:val="281408E2"/>
    <w:rsid w:val="29FD04D3"/>
    <w:rsid w:val="2BFF7BC6"/>
    <w:rsid w:val="2C8A61B5"/>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0D55EC"/>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01B5B9F"/>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8">
    <w:name w:val="Normal Table"/>
    <w:unhideWhenUsed/>
    <w:qFormat/>
    <w:uiPriority w:val="99"/>
    <w:tblPr>
      <w:tblLayout w:type="fixed"/>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200" w:leftChars="200"/>
    </w:pPr>
    <w:rPr>
      <w:rFonts w:ascii="仿宋_GB2312"/>
      <w:szCs w:val="32"/>
    </w:rPr>
  </w:style>
  <w:style w:type="paragraph" w:styleId="8">
    <w:name w:val="Body Text"/>
    <w:basedOn w:val="1"/>
    <w:link w:val="25"/>
    <w:qFormat/>
    <w:uiPriority w:val="99"/>
    <w:pPr>
      <w:spacing w:beforeLines="30"/>
    </w:pPr>
    <w:rPr>
      <w:rFonts w:ascii="仿宋_GB2312" w:eastAsia="仿宋_GB2312"/>
      <w:kern w:val="0"/>
      <w:sz w:val="30"/>
    </w:rPr>
  </w:style>
  <w:style w:type="paragraph" w:styleId="9">
    <w:name w:val="toc 3"/>
    <w:basedOn w:val="1"/>
    <w:next w:val="1"/>
    <w:unhideWhenUsed/>
    <w:qFormat/>
    <w:uiPriority w:val="39"/>
    <w:pPr>
      <w:tabs>
        <w:tab w:val="right" w:leader="dot" w:pos="8296"/>
      </w:tabs>
      <w:ind w:left="840" w:leftChars="400"/>
    </w:pPr>
  </w:style>
  <w:style w:type="paragraph" w:styleId="10">
    <w:name w:val="Balloon Text"/>
    <w:basedOn w:val="1"/>
    <w:link w:val="31"/>
    <w:unhideWhenUsed/>
    <w:qFormat/>
    <w:uiPriority w:val="99"/>
    <w:rPr>
      <w:sz w:val="18"/>
      <w:szCs w:val="18"/>
    </w:rPr>
  </w:style>
  <w:style w:type="paragraph" w:styleId="11">
    <w:name w:val="footer"/>
    <w:basedOn w:val="1"/>
    <w:link w:val="23"/>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4">
    <w:name w:val="toc 2"/>
    <w:basedOn w:val="1"/>
    <w:next w:val="1"/>
    <w:unhideWhenUsed/>
    <w:qFormat/>
    <w:uiPriority w:val="39"/>
    <w:pPr>
      <w:tabs>
        <w:tab w:val="right" w:leader="dot" w:pos="8296"/>
      </w:tabs>
      <w:ind w:left="420" w:leftChars="200"/>
    </w:pPr>
  </w:style>
  <w:style w:type="character" w:styleId="16">
    <w:name w:val="Strong"/>
    <w:basedOn w:val="15"/>
    <w:qFormat/>
    <w:uiPriority w:val="99"/>
    <w:rPr>
      <w:b/>
    </w:rPr>
  </w:style>
  <w:style w:type="character" w:styleId="17">
    <w:name w:val="Hyperlink"/>
    <w:basedOn w:val="15"/>
    <w:unhideWhenUsed/>
    <w:qFormat/>
    <w:uiPriority w:val="99"/>
    <w:rPr>
      <w:color w:val="0000FF" w:themeColor="hyperlink"/>
      <w:u w:val="single"/>
      <w14:textFill>
        <w14:solidFill>
          <w14:schemeClr w14:val="hlink"/>
        </w14:solidFill>
      </w14:textFill>
    </w:rPr>
  </w:style>
  <w:style w:type="paragraph" w:customStyle="1" w:styleId="19">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 w:type="character" w:customStyle="1" w:styleId="20">
    <w:name w:val="Header Char"/>
    <w:basedOn w:val="15"/>
    <w:semiHidden/>
    <w:qFormat/>
    <w:uiPriority w:val="99"/>
    <w:rPr>
      <w:rFonts w:ascii="Times New Roman" w:hAnsi="Times New Roman"/>
      <w:sz w:val="18"/>
      <w:szCs w:val="18"/>
    </w:rPr>
  </w:style>
  <w:style w:type="character" w:customStyle="1" w:styleId="21">
    <w:name w:val="页眉 Char"/>
    <w:link w:val="12"/>
    <w:semiHidden/>
    <w:qFormat/>
    <w:locked/>
    <w:uiPriority w:val="99"/>
    <w:rPr>
      <w:sz w:val="18"/>
    </w:rPr>
  </w:style>
  <w:style w:type="character" w:customStyle="1" w:styleId="22">
    <w:name w:val="Footer Char"/>
    <w:basedOn w:val="15"/>
    <w:semiHidden/>
    <w:qFormat/>
    <w:uiPriority w:val="99"/>
    <w:rPr>
      <w:rFonts w:ascii="Times New Roman" w:hAnsi="Times New Roman"/>
      <w:sz w:val="18"/>
      <w:szCs w:val="18"/>
    </w:rPr>
  </w:style>
  <w:style w:type="character" w:customStyle="1" w:styleId="23">
    <w:name w:val="页脚 Char"/>
    <w:link w:val="11"/>
    <w:qFormat/>
    <w:locked/>
    <w:uiPriority w:val="99"/>
    <w:rPr>
      <w:sz w:val="18"/>
    </w:rPr>
  </w:style>
  <w:style w:type="character" w:customStyle="1" w:styleId="24">
    <w:name w:val="Body Text Char"/>
    <w:basedOn w:val="15"/>
    <w:semiHidden/>
    <w:qFormat/>
    <w:uiPriority w:val="99"/>
    <w:rPr>
      <w:rFonts w:ascii="Times New Roman" w:hAnsi="Times New Roman"/>
      <w:szCs w:val="24"/>
    </w:rPr>
  </w:style>
  <w:style w:type="character" w:customStyle="1" w:styleId="25">
    <w:name w:val="正文文本 Char"/>
    <w:link w:val="8"/>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7">
    <w:name w:val="List Paragraph"/>
    <w:basedOn w:val="1"/>
    <w:qFormat/>
    <w:uiPriority w:val="34"/>
    <w:pPr>
      <w:ind w:firstLine="420" w:firstLineChars="200"/>
    </w:pPr>
  </w:style>
  <w:style w:type="character" w:customStyle="1" w:styleId="28">
    <w:name w:val="标题 1 Char"/>
    <w:basedOn w:val="15"/>
    <w:link w:val="5"/>
    <w:qFormat/>
    <w:uiPriority w:val="9"/>
    <w:rPr>
      <w:rFonts w:ascii="Times New Roman" w:hAnsi="Times New Roman"/>
      <w:b/>
      <w:bCs/>
      <w:kern w:val="44"/>
      <w:sz w:val="44"/>
      <w:szCs w:val="44"/>
    </w:rPr>
  </w:style>
  <w:style w:type="character" w:customStyle="1" w:styleId="29">
    <w:name w:val="标题 2 Char"/>
    <w:basedOn w:val="15"/>
    <w:link w:val="6"/>
    <w:qFormat/>
    <w:uiPriority w:val="9"/>
    <w:rPr>
      <w:rFonts w:asciiTheme="majorHAnsi" w:hAnsiTheme="majorHAnsi" w:eastAsiaTheme="majorEastAsia" w:cstheme="majorBidi"/>
      <w:b/>
      <w:bCs/>
      <w:kern w:val="2"/>
      <w:sz w:val="32"/>
      <w:szCs w:val="32"/>
    </w:rPr>
  </w:style>
  <w:style w:type="paragraph" w:customStyle="1" w:styleId="30">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5"/>
    <w:link w:val="10"/>
    <w:semiHidden/>
    <w:qFormat/>
    <w:uiPriority w:val="99"/>
    <w:rPr>
      <w:rFonts w:ascii="Times New Roman" w:hAnsi="Times New Roman"/>
      <w:kern w:val="2"/>
      <w:sz w:val="18"/>
      <w:szCs w:val="18"/>
    </w:rPr>
  </w:style>
  <w:style w:type="character" w:customStyle="1" w:styleId="32">
    <w:name w:val="标题 3 Char"/>
    <w:basedOn w:val="15"/>
    <w:link w:val="7"/>
    <w:qFormat/>
    <w:uiPriority w:val="9"/>
    <w:rPr>
      <w:rFonts w:ascii="Times New Roman" w:hAnsi="Times New Roman"/>
      <w:b/>
      <w:bCs/>
      <w:kern w:val="2"/>
      <w:sz w:val="32"/>
      <w:szCs w:val="32"/>
    </w:rPr>
  </w:style>
  <w:style w:type="paragraph" w:customStyle="1" w:styleId="33">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4">
    <w:name w:val="四号正文"/>
    <w:basedOn w:val="1"/>
    <w:qFormat/>
    <w:uiPriority w:val="0"/>
    <w:pPr>
      <w:spacing w:line="360" w:lineRule="auto"/>
    </w:pPr>
    <w:rPr>
      <w:rFonts w:ascii="??" w:hAnsi="??"/>
      <w:color w:val="000000"/>
      <w:kern w:val="0"/>
      <w:sz w:val="28"/>
      <w:szCs w:val="21"/>
      <w:lang w:val="zh-C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chart" Target="charts/chart2.xml"/><Relationship Id="rId10" Type="http://schemas.openxmlformats.org/officeDocument/2006/relationships/chart" Target="charts/chart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F:\C&#30424;\Desktop\&#26032;&#24314; Microsoft Excel &#24037;&#20316;&#34920;.xlsx" TargetMode="External"/></Relationships>
</file>

<file path=word/charts/_rels/chart2.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oleObject" Target="file:///F:\C&#30424;\Desktop\&#26032;&#24314; Microsoft Excel &#24037;&#20316;&#34920;.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oleObject" Target="file:///F:\C&#30424;\Desktop\&#26032;&#24314; Microsoft Excel &#24037;&#20316;&#34920;.xlsx"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oleObject" Target="file:///F:\C&#30424;\Desktop\&#26032;&#24314; Microsoft Excel &#24037;&#20316;&#34920;.xlsx" TargetMode="External"/></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oleObject" Target="file:///F:\C&#30424;\Desktop\&#26032;&#24314; Microsoft Excel &#24037;&#20316;&#34920;.xlsx" TargetMode="External"/></Relationships>
</file>

<file path=word/charts/_rels/chart6.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F:\C&#30424;\Desktop\&#26032;&#24314; Microsoft Excel &#24037;&#20316;&#349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C:\Users\Administrator\Desktop\&#20915;&#31639;&#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defTabSz="914400">
              <a:defRPr sz="1400" b="0"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收入、支出决算总计变动情况图</a:t>
            </a:r>
            <a:endParaRPr sz="1400" b="0" i="0" u="none" strike="noStrike" kern="1200" cap="none" spc="0" normalizeH="0" baseline="0">
              <a:solidFill>
                <a:schemeClr val="tx1">
                  <a:lumMod val="65000"/>
                  <a:lumOff val="35000"/>
                </a:schemeClr>
              </a:solidFill>
              <a:effectLst/>
              <a:latin typeface="+mn-lt"/>
              <a:ea typeface="+mn-ea"/>
              <a:cs typeface="+mn-cs"/>
            </a:endParaRPr>
          </a:p>
          <a:p>
            <a:pPr algn="ctr" defTabSz="914400">
              <a:defRPr sz="1400" b="0"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单位（万元）</a:t>
            </a:r>
            <a:endParaRPr lang="en-US" altLang="zh-CN"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horzOverflow="overflow" vert="horz" wrap="square" anchor="ctr" anchorCtr="1"/>
              <a:lstStyle/>
              <a:p>
                <a:pPr>
                  <a:defRPr sz="900" kern="120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noFill/>
                    <a:ln w="9525" cap="flat" cmpd="sng" algn="ctr">
                      <a:solidFill>
                        <a:schemeClr val="tx1">
                          <a:lumMod val="35000"/>
                          <a:lumOff val="65000"/>
                        </a:schemeClr>
                      </a:solidFill>
                      <a:round/>
                    </a:ln>
                    <a:effectLst/>
                  </c:spPr>
                </c15:leaderLines>
              </c:ext>
            </c:extLst>
          </c:dLbls>
          <c:cat>
            <c:strRef>
              <c:f>'[新建 Microsoft Excel 工作表.xlsx]Sheet1'!$A$2:$A$3</c:f>
              <c:strCache>
                <c:ptCount val="2"/>
                <c:pt idx="0">
                  <c:v>2023年</c:v>
                </c:pt>
                <c:pt idx="1">
                  <c:v>2024年</c:v>
                </c:pt>
              </c:strCache>
            </c:strRef>
          </c:cat>
          <c:val>
            <c:numRef>
              <c:f>'[新建 Microsoft Excel 工作表.xlsx]Sheet1'!$B$2:$B$3</c:f>
              <c:numCache>
                <c:formatCode>General</c:formatCode>
                <c:ptCount val="2"/>
                <c:pt idx="0" c:formatCode="General">
                  <c:v>229.98</c:v>
                </c:pt>
                <c:pt idx="1" c:formatCode="General">
                  <c:v>192.74</c:v>
                </c:pt>
              </c:numCache>
            </c:numRef>
          </c:val>
        </c:ser>
        <c:dLbls>
          <c:dLblPos val="outEnd"/>
          <c:showLegendKey val="0"/>
          <c:showVal val="0"/>
          <c:showCatName val="0"/>
          <c:showSerName val="0"/>
          <c:showPercent val="0"/>
          <c:showBubbleSize val="0"/>
        </c:dLbls>
        <c:gapWidth val="219"/>
        <c:overlap val="-27"/>
        <c:axId val="366342230"/>
        <c:axId val="894260642"/>
      </c:barChart>
      <c:catAx>
        <c:axId val="36634223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horzOverflow="overflow" vert="horz" wrap="square" anchor="ctr" anchorCtr="1"/>
          <a:lstStyle/>
          <a:p>
            <a:pPr>
              <a:defRPr sz="900" kern="1200">
                <a:solidFill>
                  <a:schemeClr val="tx1">
                    <a:lumMod val="65000"/>
                    <a:lumOff val="35000"/>
                  </a:schemeClr>
                </a:solidFill>
                <a:latin typeface="+mn-lt"/>
                <a:ea typeface="+mn-ea"/>
                <a:cs typeface="+mn-cs"/>
              </a:defRPr>
            </a:pPr>
          </a:p>
        </c:txPr>
        <c:crossAx val="894260642"/>
        <c:crosses val="autoZero"/>
        <c:auto val="1"/>
        <c:lblAlgn val="ctr"/>
        <c:lblOffset val="100"/>
        <c:tickMarkSkip val="1"/>
        <c:noMultiLvlLbl val="0"/>
      </c:catAx>
      <c:valAx>
        <c:axId val="894260642"/>
        <c:scaling>
          <c:orientation val="minMax"/>
        </c:scaling>
        <c:delete val="0"/>
        <c:axPos val="l"/>
        <c:majorGridlines>
          <c:spPr>
            <a:noFill/>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sz="900" kern="1200">
                <a:solidFill>
                  <a:schemeClr val="tx1">
                    <a:lumMod val="65000"/>
                    <a:lumOff val="35000"/>
                  </a:schemeClr>
                </a:solidFill>
                <a:latin typeface="+mn-lt"/>
                <a:ea typeface="+mn-ea"/>
                <a:cs typeface="+mn-cs"/>
              </a:defRPr>
            </a:pPr>
          </a:p>
        </c:txPr>
        <c:crossAx val="36634223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1000" kern="1200">
          <a:solidFill>
            <a:schemeClr val="tx1"/>
          </a:solidFill>
          <a:latin typeface="+mn-lt"/>
          <a:ea typeface="+mn-ea"/>
          <a:cs typeface="+mn-cs"/>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horzOverflow="overflow" vert="horz" wrap="square" anchor="ctr" anchorCtr="1"/>
          <a:lstStyle/>
          <a:p>
            <a:pPr algn="ctr" defTabSz="914400">
              <a:defRPr sz="1400" b="0" kern="1200" spc="0" baseline="0">
                <a:solidFill>
                  <a:schemeClr val="tx1">
                    <a:lumMod val="65000"/>
                    <a:lumOff val="35000"/>
                  </a:schemeClr>
                </a:solidFill>
                <a:latin typeface="+mn-lt"/>
                <a:ea typeface="+mn-ea"/>
                <a:cs typeface="+mn-cs"/>
              </a:defRPr>
            </a:pPr>
            <a:r>
              <a:t>一般公共预算财政拨款收入</a:t>
            </a:r>
          </a:p>
          <a:p>
            <a:pPr algn="ctr" defTabSz="914400">
              <a:defRPr sz="1400" b="0" kern="1200" spc="0" baseline="0">
                <a:solidFill>
                  <a:schemeClr val="tx1">
                    <a:lumMod val="65000"/>
                    <a:lumOff val="35000"/>
                  </a:schemeClr>
                </a:solidFill>
                <a:latin typeface="+mn-lt"/>
                <a:ea typeface="+mn-ea"/>
                <a:cs typeface="+mn-cs"/>
              </a:defRPr>
            </a:pPr>
            <a:r>
              <a:t>单位（万元）</a:t>
            </a:r>
          </a:p>
        </c:rich>
      </c:tx>
      <c:layout/>
      <c:overlay val="0"/>
      <c:spPr>
        <a:noFill/>
        <a:ln>
          <a:noFill/>
        </a:ln>
        <a:effectLst/>
      </c:spPr>
    </c:title>
    <c:autoTitleDeleted val="0"/>
    <c:plotArea>
      <c:layout/>
      <c:pieChart>
        <c:varyColors val="1"/>
        <c:ser>
          <c:idx val="0"/>
          <c:order val="0"/>
          <c:tx>
            <c:strRef>
              <c:f>'[新建 Microsoft Excel 工作表.xlsx]Sheet1'!$A$2</c:f>
              <c:strCache>
                <c:ptCount val="1"/>
                <c:pt idx="0">
                  <c:v>一般公共预算财政拨款收入</c:v>
                </c:pt>
              </c:strCache>
            </c:strRef>
          </c:tx>
          <c:spPr>
            <a:effectLst/>
          </c:spPr>
          <c:dPt>
            <c:idx val="0"/>
            <c:bubble3D val="0"/>
            <c:spPr>
              <a:solidFill>
                <a:schemeClr val="accent1"/>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anchor="ctr" anchorCtr="1"/>
              <a:lstStyle/>
              <a:p>
                <a:pPr>
                  <a:defRPr sz="900" kern="120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noFill/>
                    <a:ln w="9525" cap="flat" cmpd="sng" algn="ctr">
                      <a:solidFill>
                        <a:schemeClr val="tx1">
                          <a:lumMod val="35000"/>
                          <a:lumOff val="65000"/>
                        </a:schemeClr>
                      </a:solidFill>
                      <a:round/>
                    </a:ln>
                    <a:effectLst/>
                  </c:spPr>
                </c15:leaderLines>
              </c:ext>
            </c:extLst>
          </c:dLbls>
          <c:val>
            <c:numRef>
              <c:f>'[新建 Microsoft Excel 工作表.xlsx]Sheet1'!$B$2</c:f>
              <c:numCache>
                <c:formatCode>General</c:formatCode>
                <c:ptCount val="1"/>
                <c:pt idx="0" c:formatCode="General">
                  <c:v>170.59</c:v>
                </c:pt>
              </c:numCache>
            </c:numRef>
          </c:val>
        </c:ser>
        <c:dLbls>
          <c:dLblPos val="bestFit"/>
          <c:showLegendKey val="0"/>
          <c:showVal val="0"/>
          <c:showCatName val="0"/>
          <c:showSerName val="0"/>
          <c:showPercent val="0"/>
          <c:showBubbleSize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900" kern="1200">
          <a:solidFill>
            <a:schemeClr val="tx1"/>
          </a:solidFill>
          <a:latin typeface="+mn-lt"/>
          <a:ea typeface="+mn-ea"/>
          <a:cs typeface="+mn-cs"/>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horzOverflow="overflow" vert="horz" wrap="square" anchor="ctr" anchorCtr="1"/>
        <a:lstStyle/>
        <a:p>
          <a:pPr>
            <a:defRPr sz="1400" b="0"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'[新建 Microsoft Excel 工作表.xlsx]Sheet1'!$A$2</c:f>
              <c:strCache>
                <c:ptCount val="1"/>
                <c:pt idx="0">
                  <c:v>基本支出</c:v>
                </c:pt>
              </c:strCache>
            </c:strRef>
          </c:tx>
          <c:spPr>
            <a:effectLst/>
          </c:spPr>
          <c:dPt>
            <c:idx val="0"/>
            <c:bubble3D val="0"/>
            <c:spPr>
              <a:solidFill>
                <a:schemeClr val="accent1"/>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anchor="ctr" anchorCtr="1"/>
              <a:lstStyle/>
              <a:p>
                <a:pPr>
                  <a:defRPr sz="900" kern="120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noFill/>
                    <a:ln w="9525" cap="flat" cmpd="sng" algn="ctr">
                      <a:solidFill>
                        <a:schemeClr val="tx1">
                          <a:lumMod val="35000"/>
                          <a:lumOff val="65000"/>
                        </a:schemeClr>
                      </a:solidFill>
                      <a:round/>
                    </a:ln>
                    <a:effectLst/>
                  </c:spPr>
                </c15:leaderLines>
              </c:ext>
            </c:extLst>
          </c:dLbls>
          <c:val>
            <c:numRef>
              <c:f>'[新建 Microsoft Excel 工作表.xlsx]Sheet1'!$B$2</c:f>
              <c:numCache>
                <c:formatCode>General</c:formatCode>
                <c:ptCount val="1"/>
                <c:pt idx="0" c:formatCode="General">
                  <c:v>192.74</c:v>
                </c:pt>
              </c:numCache>
            </c:numRef>
          </c:val>
        </c:ser>
        <c:dLbls>
          <c:dLblPos val="bestFit"/>
          <c:showLegendKey val="0"/>
          <c:showVal val="0"/>
          <c:showCatName val="0"/>
          <c:showSerName val="0"/>
          <c:showPercent val="0"/>
          <c:showBubbleSize val="0"/>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900" kern="1200">
          <a:solidFill>
            <a:schemeClr val="tx1"/>
          </a:solidFill>
          <a:latin typeface="+mn-lt"/>
          <a:ea typeface="+mn-ea"/>
          <a:cs typeface="+mn-cs"/>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defTabSz="914400">
              <a:defRPr sz="1400" b="0"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收入、支出决算总计变动情况图</a:t>
            </a:r>
            <a:endParaRPr sz="1400" b="0" i="0" u="none" strike="noStrike" kern="1200" cap="none" spc="0" normalizeH="0" baseline="0">
              <a:solidFill>
                <a:schemeClr val="tx1">
                  <a:lumMod val="65000"/>
                  <a:lumOff val="35000"/>
                </a:schemeClr>
              </a:solidFill>
              <a:effectLst/>
              <a:latin typeface="+mn-lt"/>
              <a:ea typeface="+mn-ea"/>
              <a:cs typeface="+mn-cs"/>
            </a:endParaRPr>
          </a:p>
          <a:p>
            <a:pPr algn="ctr" defTabSz="914400">
              <a:defRPr sz="1400" b="0"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单位（万元）</a:t>
            </a:r>
            <a:endParaRPr lang="en-US" altLang="zh-CN" sz="1400" b="0" i="0" u="none" strike="noStrike" kern="1200" cap="none" spc="0" normalizeH="0" baseline="0">
              <a:solidFill>
                <a:schemeClr val="tx1">
                  <a:lumMod val="65000"/>
                  <a:lumOff val="35000"/>
                </a:schemeClr>
              </a:solidFill>
              <a:effectLst/>
              <a:latin typeface="+mn-lt"/>
              <a:ea typeface="+mn-ea"/>
              <a:cs typeface="+mn-cs"/>
            </a:endParaRPr>
          </a:p>
        </c:rich>
      </c:tx>
      <c:layout>
        <c:manualLayout>
          <c:xMode val="edge"/>
          <c:yMode val="edge"/>
          <c:x val="0.222403762029746"/>
          <c:y val="0.0319444444444444"/>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horzOverflow="overflow" vert="horz" wrap="square" anchor="ctr" anchorCtr="1"/>
              <a:lstStyle/>
              <a:p>
                <a:pPr>
                  <a:defRPr sz="900" kern="120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noFill/>
                    <a:ln w="9525" cap="flat" cmpd="sng" algn="ctr">
                      <a:solidFill>
                        <a:schemeClr val="tx1">
                          <a:lumMod val="35000"/>
                          <a:lumOff val="65000"/>
                        </a:schemeClr>
                      </a:solidFill>
                      <a:round/>
                    </a:ln>
                    <a:effectLst/>
                  </c:spPr>
                </c15:leaderLines>
              </c:ext>
            </c:extLst>
          </c:dLbls>
          <c:cat>
            <c:strRef>
              <c:f>'[新建 Microsoft Excel 工作表.xlsx]Sheet1'!$A$2:$A$3</c:f>
              <c:strCache>
                <c:ptCount val="2"/>
                <c:pt idx="0">
                  <c:v>2023年</c:v>
                </c:pt>
                <c:pt idx="1">
                  <c:v>2024年</c:v>
                </c:pt>
              </c:strCache>
            </c:strRef>
          </c:cat>
          <c:val>
            <c:numRef>
              <c:f>'[新建 Microsoft Excel 工作表.xlsx]Sheet1'!$B$2:$B$3</c:f>
              <c:numCache>
                <c:formatCode>General</c:formatCode>
                <c:ptCount val="2"/>
                <c:pt idx="0" c:formatCode="General">
                  <c:v>229.98</c:v>
                </c:pt>
                <c:pt idx="1" c:formatCode="General">
                  <c:v>192.74</c:v>
                </c:pt>
              </c:numCache>
            </c:numRef>
          </c:val>
        </c:ser>
        <c:dLbls>
          <c:dLblPos val="outEnd"/>
          <c:showLegendKey val="0"/>
          <c:showVal val="0"/>
          <c:showCatName val="0"/>
          <c:showSerName val="0"/>
          <c:showPercent val="0"/>
          <c:showBubbleSize val="0"/>
        </c:dLbls>
        <c:gapWidth val="219"/>
        <c:overlap val="-27"/>
        <c:axId val="366342230"/>
        <c:axId val="894260642"/>
      </c:barChart>
      <c:catAx>
        <c:axId val="36634223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horzOverflow="overflow" vert="horz" wrap="square" anchor="ctr" anchorCtr="1"/>
          <a:lstStyle/>
          <a:p>
            <a:pPr>
              <a:defRPr sz="900" kern="1200">
                <a:solidFill>
                  <a:schemeClr val="tx1">
                    <a:lumMod val="65000"/>
                    <a:lumOff val="35000"/>
                  </a:schemeClr>
                </a:solidFill>
                <a:latin typeface="+mn-lt"/>
                <a:ea typeface="+mn-ea"/>
                <a:cs typeface="+mn-cs"/>
              </a:defRPr>
            </a:pPr>
          </a:p>
        </c:txPr>
        <c:crossAx val="894260642"/>
        <c:crosses val="autoZero"/>
        <c:auto val="1"/>
        <c:lblAlgn val="ctr"/>
        <c:lblOffset val="100"/>
        <c:tickMarkSkip val="1"/>
        <c:noMultiLvlLbl val="0"/>
      </c:catAx>
      <c:valAx>
        <c:axId val="894260642"/>
        <c:scaling>
          <c:orientation val="minMax"/>
        </c:scaling>
        <c:delete val="0"/>
        <c:axPos val="l"/>
        <c:majorGridlines>
          <c:spPr>
            <a:noFill/>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sz="900" kern="1200">
                <a:solidFill>
                  <a:schemeClr val="tx1">
                    <a:lumMod val="65000"/>
                    <a:lumOff val="35000"/>
                  </a:schemeClr>
                </a:solidFill>
                <a:latin typeface="+mn-lt"/>
                <a:ea typeface="+mn-ea"/>
                <a:cs typeface="+mn-cs"/>
              </a:defRPr>
            </a:pPr>
          </a:p>
        </c:txPr>
        <c:crossAx val="36634223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1000" kern="1200">
          <a:solidFill>
            <a:schemeClr val="tx1"/>
          </a:solidFill>
          <a:latin typeface="+mn-lt"/>
          <a:ea typeface="+mn-ea"/>
          <a:cs typeface="+mn-cs"/>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defTabSz="914400">
              <a:defRPr sz="1400" b="0"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收入、支出决算总计变动情况图</a:t>
            </a:r>
            <a:endParaRPr sz="1400" b="0" i="0" u="none" strike="noStrike" kern="1200" cap="none" spc="0" normalizeH="0" baseline="0">
              <a:solidFill>
                <a:schemeClr val="tx1">
                  <a:lumMod val="65000"/>
                  <a:lumOff val="35000"/>
                </a:schemeClr>
              </a:solidFill>
              <a:effectLst/>
              <a:latin typeface="+mn-lt"/>
              <a:ea typeface="+mn-ea"/>
              <a:cs typeface="+mn-cs"/>
            </a:endParaRPr>
          </a:p>
          <a:p>
            <a:pPr algn="ctr" defTabSz="914400">
              <a:defRPr sz="1400" b="0"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单位（万元）</a:t>
            </a:r>
            <a:endParaRPr lang="en-US" altLang="zh-CN" sz="1400" b="0" i="0" u="none" strike="noStrike" kern="1200" cap="none" spc="0" normalizeH="0" baseline="0">
              <a:solidFill>
                <a:schemeClr val="tx1">
                  <a:lumMod val="65000"/>
                  <a:lumOff val="35000"/>
                </a:schemeClr>
              </a:solidFill>
              <a:effectLst/>
              <a:latin typeface="+mn-lt"/>
              <a:ea typeface="+mn-ea"/>
              <a:cs typeface="+mn-cs"/>
            </a:endParaRPr>
          </a:p>
        </c:rich>
      </c:tx>
      <c:layout>
        <c:manualLayout>
          <c:xMode val="edge"/>
          <c:yMode val="edge"/>
          <c:x val="0.222403762029746"/>
          <c:y val="0.0319444444444444"/>
        </c:manualLayout>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numFmt formatCode="General" sourceLinked="1"/>
            <c:spPr>
              <a:noFill/>
              <a:ln>
                <a:noFill/>
              </a:ln>
              <a:effectLst/>
            </c:spPr>
            <c:txPr>
              <a:bodyPr rot="0" spcFirstLastPara="0" vertOverflow="ellipsis" horzOverflow="overflow" vert="horz" wrap="square" anchor="ctr" anchorCtr="1"/>
              <a:lstStyle/>
              <a:p>
                <a:pPr>
                  <a:defRPr sz="900" kern="120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noFill/>
                    <a:ln w="9525" cap="flat" cmpd="sng" algn="ctr">
                      <a:solidFill>
                        <a:schemeClr val="tx1">
                          <a:lumMod val="35000"/>
                          <a:lumOff val="65000"/>
                        </a:schemeClr>
                      </a:solidFill>
                      <a:round/>
                    </a:ln>
                    <a:effectLst/>
                  </c:spPr>
                </c15:leaderLines>
              </c:ext>
            </c:extLst>
          </c:dLbls>
          <c:cat>
            <c:strRef>
              <c:f>'[新建 Microsoft Excel 工作表.xlsx]Sheet1'!$A$2:$A$3</c:f>
              <c:strCache>
                <c:ptCount val="2"/>
                <c:pt idx="0">
                  <c:v>2023年</c:v>
                </c:pt>
                <c:pt idx="1">
                  <c:v>2024年</c:v>
                </c:pt>
              </c:strCache>
            </c:strRef>
          </c:cat>
          <c:val>
            <c:numRef>
              <c:f>'[新建 Microsoft Excel 工作表.xlsx]Sheet1'!$B$2:$B$3</c:f>
              <c:numCache>
                <c:formatCode>General</c:formatCode>
                <c:ptCount val="2"/>
                <c:pt idx="0" c:formatCode="General">
                  <c:v>229.98</c:v>
                </c:pt>
                <c:pt idx="1" c:formatCode="General">
                  <c:v>192.74</c:v>
                </c:pt>
              </c:numCache>
            </c:numRef>
          </c:val>
        </c:ser>
        <c:dLbls>
          <c:dLblPos val="outEnd"/>
          <c:showLegendKey val="0"/>
          <c:showVal val="0"/>
          <c:showCatName val="0"/>
          <c:showSerName val="0"/>
          <c:showPercent val="0"/>
          <c:showBubbleSize val="0"/>
        </c:dLbls>
        <c:gapWidth val="219"/>
        <c:overlap val="-27"/>
        <c:axId val="366342230"/>
        <c:axId val="894260642"/>
      </c:barChart>
      <c:catAx>
        <c:axId val="36634223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horzOverflow="overflow" vert="horz" wrap="square" anchor="ctr" anchorCtr="1"/>
          <a:lstStyle/>
          <a:p>
            <a:pPr>
              <a:defRPr sz="900" kern="1200">
                <a:solidFill>
                  <a:schemeClr val="tx1">
                    <a:lumMod val="65000"/>
                    <a:lumOff val="35000"/>
                  </a:schemeClr>
                </a:solidFill>
                <a:latin typeface="+mn-lt"/>
                <a:ea typeface="+mn-ea"/>
                <a:cs typeface="+mn-cs"/>
              </a:defRPr>
            </a:pPr>
          </a:p>
        </c:txPr>
        <c:crossAx val="894260642"/>
        <c:crosses val="autoZero"/>
        <c:auto val="1"/>
        <c:lblAlgn val="ctr"/>
        <c:lblOffset val="100"/>
        <c:tickMarkSkip val="1"/>
        <c:noMultiLvlLbl val="0"/>
      </c:catAx>
      <c:valAx>
        <c:axId val="894260642"/>
        <c:scaling>
          <c:orientation val="minMax"/>
        </c:scaling>
        <c:delete val="0"/>
        <c:axPos val="l"/>
        <c:majorGridlines>
          <c:spPr>
            <a:noFill/>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horzOverflow="overflow" vert="horz" wrap="square" anchor="ctr" anchorCtr="1"/>
          <a:lstStyle/>
          <a:p>
            <a:pPr>
              <a:defRPr sz="900" kern="1200">
                <a:solidFill>
                  <a:schemeClr val="tx1">
                    <a:lumMod val="65000"/>
                    <a:lumOff val="35000"/>
                  </a:schemeClr>
                </a:solidFill>
                <a:latin typeface="+mn-lt"/>
                <a:ea typeface="+mn-ea"/>
                <a:cs typeface="+mn-cs"/>
              </a:defRPr>
            </a:pPr>
          </a:p>
        </c:txPr>
        <c:crossAx val="36634223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1000" kern="1200">
          <a:solidFill>
            <a:schemeClr val="tx1"/>
          </a:solidFill>
          <a:latin typeface="+mn-lt"/>
          <a:ea typeface="+mn-ea"/>
          <a:cs typeface="+mn-cs"/>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vertOverflow="ellipsis" anchor="ctr" anchorCtr="1"/>
          <a:lstStyle/>
          <a:p>
            <a:pPr algn="ctr" defTabSz="914400">
              <a:defRPr sz="1400" b="0"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一般公共预算财政拨款支出决算结构</a:t>
            </a:r>
            <a:endParaRPr sz="1400" b="0" i="0" u="none" strike="noStrike" kern="1200" cap="none" spc="0" normalizeH="0" baseline="0">
              <a:solidFill>
                <a:schemeClr val="tx1">
                  <a:lumMod val="65000"/>
                  <a:lumOff val="35000"/>
                </a:schemeClr>
              </a:solidFill>
              <a:effectLst/>
              <a:latin typeface="+mn-lt"/>
              <a:ea typeface="+mn-ea"/>
              <a:cs typeface="+mn-cs"/>
            </a:endParaRPr>
          </a:p>
          <a:p>
            <a:pPr algn="ctr" defTabSz="914400">
              <a:defRPr sz="1400" b="0" kern="1200" spc="0" baseline="0">
                <a:solidFill>
                  <a:schemeClr val="tx1">
                    <a:lumMod val="65000"/>
                    <a:lumOff val="35000"/>
                  </a:schemeClr>
                </a:solidFill>
                <a:latin typeface="+mn-lt"/>
                <a:ea typeface="+mn-ea"/>
                <a:cs typeface="+mn-cs"/>
              </a:defRPr>
            </a:pPr>
            <a:r>
              <a:rPr sz="1400" b="0" i="0" u="none" strike="noStrike" kern="1200" cap="none" spc="0" normalizeH="0" baseline="0">
                <a:solidFill>
                  <a:schemeClr val="tx1">
                    <a:lumMod val="65000"/>
                    <a:lumOff val="35000"/>
                  </a:schemeClr>
                </a:solidFill>
                <a:effectLst/>
                <a:latin typeface="+mn-lt"/>
                <a:ea typeface="+mn-ea"/>
                <a:cs typeface="+mn-cs"/>
              </a:rPr>
              <a:t>单位（万元）</a:t>
            </a:r>
            <a:endParaRPr lang="en-US" altLang="zh-CN" sz="1400" b="0" i="0" u="none" strike="noStrike" kern="1200" cap="none" spc="0" normalizeH="0" baseline="0">
              <a:solidFill>
                <a:schemeClr val="tx1">
                  <a:lumMod val="65000"/>
                  <a:lumOff val="35000"/>
                </a:schemeClr>
              </a:solidFill>
              <a:effectLst/>
              <a:latin typeface="+mn-lt"/>
              <a:ea typeface="+mn-ea"/>
              <a:cs typeface="+mn-cs"/>
            </a:endParaRPr>
          </a:p>
        </c:rich>
      </c:tx>
      <c:layout/>
      <c:overlay val="0"/>
      <c:spPr>
        <a:noFill/>
        <a:ln>
          <a:noFill/>
        </a:ln>
        <a:effectLst/>
      </c:spPr>
    </c:title>
    <c:autoTitleDeleted val="0"/>
    <c:plotArea>
      <c:layout/>
      <c:pieChart>
        <c:varyColors val="1"/>
        <c:ser>
          <c:idx val="0"/>
          <c:order val="0"/>
          <c:spPr>
            <a:effectLst/>
          </c:spPr>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anchor="ctr" anchorCtr="1"/>
              <a:lstStyle/>
              <a:p>
                <a:pPr>
                  <a:defRPr sz="900" kern="120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noFill/>
                    <a:ln w="9525" cap="flat" cmpd="sng" algn="ctr">
                      <a:solidFill>
                        <a:schemeClr val="tx1">
                          <a:lumMod val="35000"/>
                          <a:lumOff val="65000"/>
                        </a:schemeClr>
                      </a:solidFill>
                      <a:round/>
                    </a:ln>
                    <a:effectLst/>
                  </c:spPr>
                </c15:leaderLines>
              </c:ext>
            </c:extLst>
          </c:dLbls>
          <c:cat>
            <c:strRef>
              <c:f>'[新建 Microsoft Excel 工作表.xlsx]Sheet1'!$A$2:$A$5</c:f>
              <c:strCache>
                <c:ptCount val="4"/>
                <c:pt idx="0">
                  <c:v>一般公共服务支出</c:v>
                </c:pt>
                <c:pt idx="1">
                  <c:v>社会保障和就业支出</c:v>
                </c:pt>
                <c:pt idx="2">
                  <c:v>卫生健康支出</c:v>
                </c:pt>
                <c:pt idx="3">
                  <c:v>住房保障支出</c:v>
                </c:pt>
              </c:strCache>
            </c:strRef>
          </c:cat>
          <c:val>
            <c:numRef>
              <c:f>'[新建 Microsoft Excel 工作表.xlsx]Sheet1'!$B$2:$B$5</c:f>
              <c:numCache>
                <c:formatCode>General</c:formatCode>
                <c:ptCount val="4"/>
                <c:pt idx="0" c:formatCode="General">
                  <c:v>139.8</c:v>
                </c:pt>
                <c:pt idx="1" c:formatCode="General">
                  <c:v>26.43</c:v>
                </c:pt>
                <c:pt idx="2" c:formatCode="General">
                  <c:v>11.66</c:v>
                </c:pt>
                <c:pt idx="3" c:formatCode="General">
                  <c:v>14.85</c:v>
                </c:pt>
              </c:numCache>
            </c:numRef>
          </c:val>
        </c:ser>
        <c:dLbls>
          <c:dLblPos val="bestFit"/>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sz="900" kern="120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rot="0" spcFirstLastPara="0" vertOverflow="ellipsis" horzOverflow="overflow" vert="horz" wrap="square" anchor="ctr" anchorCtr="1"/>
    <a:lstStyle/>
    <a:p>
      <a:pPr>
        <a:defRPr lang="zh-CN" sz="900" kern="1200">
          <a:solidFill>
            <a:schemeClr val="tx1"/>
          </a:solidFill>
          <a:latin typeface="+mn-lt"/>
          <a:ea typeface="+mn-ea"/>
          <a:cs typeface="+mn-cs"/>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lgn="ctr" defTabSz="914400">
              <a:defRPr lang="zh-CN" sz="1400" b="0" i="0" u="none" strike="noStrike" kern="1200" spc="0" baseline="0">
                <a:solidFill>
                  <a:schemeClr val="tx1">
                    <a:lumMod val="65000"/>
                    <a:lumOff val="35000"/>
                  </a:schemeClr>
                </a:solidFill>
                <a:latin typeface="+mn-lt"/>
                <a:ea typeface="+mn-ea"/>
                <a:cs typeface="+mn-cs"/>
              </a:defRPr>
            </a:pPr>
            <a:r>
              <a:rPr lang="zh-CN" altLang="en-US" sz="1400" b="0" i="0" u="none" strike="noStrike" kern="1200" cap="none" spc="0" normalizeH="0" baseline="0">
                <a:solidFill>
                  <a:schemeClr val="tx1">
                    <a:lumMod val="65000"/>
                    <a:lumOff val="35000"/>
                  </a:schemeClr>
                </a:solidFill>
                <a:effectLst/>
                <a:latin typeface="+mn-lt"/>
                <a:ea typeface="+mn-ea"/>
                <a:cs typeface="+mn-cs"/>
              </a:rPr>
              <a:t>“三公”经费财政拨款支出结构 </a:t>
            </a:r>
            <a:endParaRPr lang="zh-CN" altLang="en-US" sz="1400" b="0" i="0" u="none" strike="noStrike" kern="1200" cap="none" spc="0" normalizeH="0" baseline="0">
              <a:solidFill>
                <a:schemeClr val="tx1">
                  <a:lumMod val="65000"/>
                  <a:lumOff val="35000"/>
                </a:schemeClr>
              </a:solidFill>
              <a:effectLst/>
              <a:latin typeface="+mn-lt"/>
              <a:ea typeface="+mn-ea"/>
              <a:cs typeface="+mn-cs"/>
            </a:endParaRPr>
          </a:p>
        </c:rich>
      </c:tx>
      <c:layout>
        <c:manualLayout>
          <c:xMode val="edge"/>
          <c:yMode val="edge"/>
          <c:x val="0.222083333333333"/>
          <c:y val="0.0277777777777778"/>
        </c:manualLayout>
      </c:layout>
      <c:overlay val="0"/>
      <c:spPr>
        <a:noFill/>
        <a:ln>
          <a:noFill/>
        </a:ln>
        <a:effectLst/>
      </c:spPr>
    </c:title>
    <c:autoTitleDeleted val="0"/>
    <c:plotArea>
      <c:layout/>
      <c:pieChart>
        <c:varyColors val="1"/>
        <c:ser>
          <c:idx val="0"/>
          <c:order val="0"/>
          <c:tx>
            <c:strRef>
              <c:f>'[决算图.xlsx]Sheet3 (4)'!$B$1:$B$2</c:f>
              <c:strCache>
                <c:ptCount val="1"/>
                <c:pt idx="0">
                  <c:v>“三公”经费财政拨款支出结构 占比</c:v>
                </c:pt>
              </c:strCache>
            </c:strRef>
          </c:tx>
          <c:spPr>
            <a:effectLst/>
          </c:spPr>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numFmt formatCode="General" sourceLinked="1"/>
            <c:spPr>
              <a:noFill/>
              <a:ln>
                <a:noFill/>
              </a:ln>
              <a:effectLst/>
            </c:spPr>
            <c:txPr>
              <a:bodyPr rot="0" spcFirstLastPara="0" vertOverflow="ellipsis" horzOverflow="overflow"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noFill/>
                    <a:ln w="9525" cap="flat" cmpd="sng" algn="ctr">
                      <a:solidFill>
                        <a:schemeClr val="tx1">
                          <a:lumMod val="35000"/>
                          <a:lumOff val="65000"/>
                        </a:schemeClr>
                      </a:solidFill>
                      <a:prstDash val="solid"/>
                      <a:round/>
                    </a:ln>
                    <a:effectLst/>
                  </c:spPr>
                </c15:leaderLines>
              </c:ext>
            </c:extLst>
          </c:dLbls>
          <c:cat>
            <c:strRef>
              <c:f>'[决算图.xlsx]Sheet3 (4)'!$A$3:$A$5</c:f>
              <c:strCache>
                <c:ptCount val="3"/>
                <c:pt idx="0">
                  <c:v>因公出国（境）费支出决算</c:v>
                </c:pt>
                <c:pt idx="1">
                  <c:v>公务用车购置及运行维护费支出决算</c:v>
                </c:pt>
                <c:pt idx="2">
                  <c:v>公务接待费支出决算</c:v>
                </c:pt>
              </c:strCache>
            </c:strRef>
          </c:cat>
          <c:val>
            <c:numRef>
              <c:f>'[决算图.xlsx]Sheet3 (4)'!$B$3:$B$5</c:f>
              <c:numCache>
                <c:formatCode>0.00%</c:formatCode>
                <c:ptCount val="3"/>
                <c:pt idx="0">
                  <c:v>0</c:v>
                </c:pt>
                <c:pt idx="1">
                  <c:v>0</c:v>
                </c:pt>
                <c:pt idx="2">
                  <c:v>1</c:v>
                </c:pt>
              </c:numCache>
            </c:numRef>
          </c:val>
        </c:ser>
        <c:dLbls>
          <c:dLblPos val="bestFit"/>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horzOverflow="overflow"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rot="0" spcFirstLastPara="0" vertOverflow="ellipsis" horzOverflow="overflow" vert="horz" wrap="square" anchor="ctr" anchorCtr="1"/>
    <a:lstStyle/>
    <a:p>
      <a:pPr>
        <a:defRPr lang="zh-CN" sz="900" kern="1200">
          <a:solidFill>
            <a:schemeClr val="tx1"/>
          </a:solidFill>
          <a:latin typeface="+mn-lt"/>
          <a:ea typeface="+mn-ea"/>
          <a:cs typeface="+mn-cs"/>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922</Words>
  <Characters>5260</Characters>
  <Lines>43</Lines>
  <Paragraphs>12</Paragraphs>
  <ScaleCrop>false</ScaleCrop>
  <LinksUpToDate>false</LinksUpToDate>
  <CharactersWithSpaces>6170</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2025-10-16T02:34:00Z</dcterms:created>
  <dc:creator>曹颖</dc:creator>
  <cp:lastModifiedBy>Administrator</cp:lastModifiedBy>
  <cp:lastPrinted>2025-08-06T17:34:00Z</cp:lastPrinted>
  <dcterms:modified xsi:type="dcterms:W3CDTF">2025-10-20T08:15:28Z</dcterms:modified>
  <dc:title>四川省***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04787F2533EB45DC91BCDE4AB213247F</vt:lpwstr>
  </property>
</Properties>
</file>