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96597"/>
      <w:bookmarkStart w:id="2" w:name="_Toc15396475"/>
      <w:bookmarkStart w:id="3" w:name="_Toc15377425"/>
      <w:bookmarkStart w:id="4" w:name="_Toc15378441"/>
      <w:bookmarkStart w:id="5"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6" w:name="_Toc15396598"/>
      <w:bookmarkStart w:id="7" w:name="_Toc15377194"/>
      <w:bookmarkStart w:id="8" w:name="_Toc15378442"/>
      <w:bookmarkStart w:id="9" w:name="_Toc15396476"/>
      <w:bookmarkStart w:id="10" w:name="_Toc1537742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rPr>
        <w:t>九寨沟县大录乡</w:t>
      </w: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人民政府部门决算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公开时间：2023年</w:t>
      </w:r>
      <w:r>
        <w:rPr>
          <w:rFonts w:hint="eastAsia"/>
          <w:lang w:val="en-US" w:eastAsia="zh-CN"/>
        </w:rPr>
        <w:t>10</w:t>
      </w:r>
      <w:r>
        <w:rPr>
          <w:rFonts w:hint="eastAsia"/>
        </w:rPr>
        <w:t>月</w:t>
      </w:r>
      <w:r>
        <w:rPr>
          <w:rFonts w:hint="eastAsia"/>
          <w:lang w:val="en-US" w:eastAsia="zh-CN"/>
        </w:rPr>
        <w:t>16</w:t>
      </w:r>
      <w:r>
        <w:rPr>
          <w:rFonts w:hint="eastAsia"/>
        </w:rPr>
        <w:t>日</w:t>
      </w:r>
    </w:p>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pPr>
        <w:pStyle w:val="12"/>
        <w:adjustRightInd w:val="0"/>
        <w:snapToGrid w:val="0"/>
        <w:spacing w:before="0" w:line="440" w:lineRule="exact"/>
        <w:jc w:val="left"/>
        <w:rPr>
          <w:rFonts w:ascii="仿宋" w:hAnsi="仿宋" w:eastAsia="仿宋"/>
          <w:sz w:val="24"/>
        </w:rPr>
      </w:pPr>
      <w:r>
        <w:rPr>
          <w:rFonts w:hint="eastAsia"/>
          <w:sz w:val="24"/>
        </w:rPr>
        <w:t>一、部门职责</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pPr>
        <w:pStyle w:val="12"/>
        <w:adjustRightInd w:val="0"/>
        <w:snapToGrid w:val="0"/>
        <w:spacing w:before="0" w:line="440" w:lineRule="exact"/>
        <w:jc w:val="left"/>
        <w:rPr>
          <w:rFonts w:ascii="仿宋" w:hAnsi="仿宋" w:eastAsia="仿宋" w:cstheme="minorBidi"/>
          <w:sz w:val="24"/>
        </w:rPr>
      </w:pPr>
      <w:r>
        <w:rPr>
          <w:rFonts w:hint="eastAsia"/>
          <w:sz w:val="24"/>
        </w:rPr>
        <w:t>二、机构设置</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w:t>
      </w:r>
    </w:p>
    <w:p>
      <w:pPr>
        <w:pStyle w:val="12"/>
        <w:adjustRightInd w:val="0"/>
        <w:snapToGrid w:val="0"/>
        <w:spacing w:before="0" w:line="440" w:lineRule="exact"/>
        <w:jc w:val="left"/>
        <w:rPr>
          <w:sz w:val="24"/>
          <w:szCs w:val="24"/>
        </w:rPr>
      </w:pPr>
      <w:r>
        <w:rPr>
          <w:rFonts w:hint="eastAsia"/>
          <w:sz w:val="24"/>
        </w:rPr>
        <w:t>第二部分 2023年度部门决算情况说明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pPr>
        <w:pStyle w:val="12"/>
        <w:adjustRightInd w:val="0"/>
        <w:snapToGrid w:val="0"/>
        <w:spacing w:before="0" w:line="440" w:lineRule="exact"/>
        <w:jc w:val="left"/>
        <w:rPr>
          <w:rFonts w:ascii="仿宋" w:hAnsi="仿宋" w:eastAsia="仿宋" w:cstheme="minorBidi"/>
          <w:sz w:val="24"/>
        </w:rPr>
      </w:pPr>
      <w:r>
        <w:rPr>
          <w:rFonts w:hint="eastAsia"/>
          <w:sz w:val="24"/>
        </w:rPr>
        <w:t>一、收入支出决算总体情况说明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pPr>
        <w:pStyle w:val="12"/>
        <w:adjustRightInd w:val="0"/>
        <w:snapToGrid w:val="0"/>
        <w:spacing w:before="0" w:line="440" w:lineRule="exact"/>
        <w:jc w:val="left"/>
        <w:rPr>
          <w:rFonts w:ascii="仿宋" w:hAnsi="仿宋" w:eastAsia="仿宋" w:cstheme="minorBidi"/>
          <w:sz w:val="24"/>
        </w:rPr>
      </w:pPr>
      <w:r>
        <w:rPr>
          <w:rFonts w:hint="eastAsia"/>
          <w:sz w:val="24"/>
        </w:rPr>
        <w:t>二、收入决算情况说明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pPr>
        <w:pStyle w:val="12"/>
        <w:adjustRightInd w:val="0"/>
        <w:snapToGrid w:val="0"/>
        <w:spacing w:before="0" w:line="440" w:lineRule="exact"/>
        <w:jc w:val="left"/>
        <w:rPr>
          <w:rFonts w:ascii="仿宋" w:hAnsi="仿宋" w:eastAsia="仿宋" w:cstheme="minorBidi"/>
          <w:sz w:val="24"/>
        </w:rPr>
      </w:pPr>
      <w:r>
        <w:rPr>
          <w:rFonts w:hint="eastAsia"/>
          <w:sz w:val="24"/>
        </w:rPr>
        <w:t>三、支出决算情况说明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pPr>
        <w:pStyle w:val="12"/>
        <w:adjustRightInd w:val="0"/>
        <w:snapToGrid w:val="0"/>
        <w:spacing w:before="0" w:line="440" w:lineRule="exact"/>
        <w:jc w:val="left"/>
        <w:rPr>
          <w:rFonts w:ascii="仿宋" w:hAnsi="仿宋" w:eastAsia="仿宋" w:cstheme="minorBidi"/>
          <w:sz w:val="24"/>
        </w:rPr>
      </w:pPr>
      <w:r>
        <w:rPr>
          <w:rFonts w:hint="eastAsia"/>
          <w:sz w:val="24"/>
        </w:rPr>
        <w:t>四、财政拨款收入支出决算总体情况说明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pPr>
        <w:pStyle w:val="12"/>
        <w:adjustRightInd w:val="0"/>
        <w:snapToGrid w:val="0"/>
        <w:spacing w:before="0" w:line="440" w:lineRule="exact"/>
        <w:jc w:val="left"/>
        <w:rPr>
          <w:rFonts w:ascii="仿宋" w:hAnsi="仿宋" w:eastAsia="仿宋" w:cstheme="minorBidi"/>
          <w:sz w:val="24"/>
        </w:rPr>
      </w:pPr>
      <w:r>
        <w:rPr>
          <w:rFonts w:hint="eastAsia"/>
          <w:sz w:val="24"/>
        </w:rPr>
        <w:t>五、一般公共预算财政拨款支出决算情况说明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6</w:t>
      </w:r>
    </w:p>
    <w:p>
      <w:pPr>
        <w:pStyle w:val="12"/>
        <w:adjustRightInd w:val="0"/>
        <w:snapToGrid w:val="0"/>
        <w:spacing w:before="0" w:line="440" w:lineRule="exact"/>
        <w:jc w:val="left"/>
        <w:rPr>
          <w:rFonts w:ascii="仿宋" w:hAnsi="仿宋" w:eastAsia="仿宋" w:cstheme="minorBidi"/>
          <w:sz w:val="24"/>
        </w:rPr>
      </w:pPr>
      <w:r>
        <w:rPr>
          <w:rFonts w:hint="eastAsia"/>
          <w:sz w:val="24"/>
        </w:rPr>
        <w:t>六、一般公共预算财政拨款基本支出决算情况说明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8</w:t>
      </w:r>
    </w:p>
    <w:p>
      <w:pPr>
        <w:pStyle w:val="12"/>
        <w:adjustRightInd w:val="0"/>
        <w:snapToGrid w:val="0"/>
        <w:spacing w:before="0" w:line="440" w:lineRule="exact"/>
        <w:jc w:val="left"/>
        <w:rPr>
          <w:rFonts w:ascii="仿宋" w:hAnsi="仿宋" w:eastAsia="仿宋" w:cstheme="minorBidi"/>
          <w:sz w:val="24"/>
        </w:rPr>
      </w:pPr>
      <w:r>
        <w:rPr>
          <w:rFonts w:hint="eastAsia"/>
          <w:sz w:val="24"/>
        </w:rPr>
        <w:t>七、财政拨款“三公”经费支出决算情况说明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9</w:t>
      </w:r>
    </w:p>
    <w:p>
      <w:pPr>
        <w:pStyle w:val="12"/>
        <w:adjustRightInd w:val="0"/>
        <w:snapToGrid w:val="0"/>
        <w:spacing w:before="0" w:line="440" w:lineRule="exact"/>
        <w:jc w:val="left"/>
        <w:rPr>
          <w:rFonts w:ascii="仿宋" w:hAnsi="仿宋" w:eastAsia="仿宋" w:cstheme="minorBidi"/>
          <w:sz w:val="24"/>
        </w:rPr>
      </w:pPr>
      <w:r>
        <w:rPr>
          <w:rFonts w:hint="eastAsia"/>
          <w:sz w:val="24"/>
        </w:rPr>
        <w:t>八、政府性基金预算支出决算情况说明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10</w:t>
      </w:r>
    </w:p>
    <w:p>
      <w:pPr>
        <w:pStyle w:val="12"/>
        <w:adjustRightInd w:val="0"/>
        <w:snapToGrid w:val="0"/>
        <w:spacing w:before="0" w:line="440" w:lineRule="exact"/>
        <w:jc w:val="left"/>
        <w:rPr>
          <w:rFonts w:hint="eastAsia"/>
          <w:sz w:val="24"/>
        </w:rPr>
      </w:pPr>
      <w:r>
        <w:rPr>
          <w:rFonts w:hint="eastAsia"/>
          <w:sz w:val="24"/>
        </w:rPr>
        <w:t>九、国有资本经营预算支出决算情况说明</w:t>
      </w:r>
      <w:r>
        <w:rPr>
          <w:rFonts w:hint="eastAsia"/>
          <w:sz w:val="24"/>
          <w:lang w:val="en-US" w:eastAsia="zh-CN"/>
        </w:rPr>
        <w:tab/>
      </w:r>
      <w:r>
        <w:rPr>
          <w:rFonts w:hint="eastAsia"/>
          <w:sz w:val="24"/>
          <w:lang w:val="en-US" w:eastAsia="zh-CN"/>
        </w:rPr>
        <w:t>10</w:t>
      </w:r>
    </w:p>
    <w:p>
      <w:pPr>
        <w:pStyle w:val="12"/>
        <w:adjustRightInd w:val="0"/>
        <w:snapToGrid w:val="0"/>
        <w:spacing w:before="0" w:line="440" w:lineRule="exact"/>
        <w:jc w:val="left"/>
        <w:rPr>
          <w:rFonts w:asciiTheme="minorEastAsia" w:hAnsiTheme="minorEastAsia" w:eastAsiaTheme="minorEastAsia" w:cstheme="minorEastAsia"/>
          <w:sz w:val="24"/>
        </w:rPr>
      </w:pPr>
      <w:r>
        <w:rPr>
          <w:rFonts w:hint="eastAsia"/>
          <w:sz w:val="24"/>
        </w:rPr>
        <w:t>十、其他重要事项的情况说明</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kern w:val="0"/>
          <w:sz w:val="32"/>
          <w:szCs w:val="32"/>
          <w:lang w:val="en-US" w:eastAsia="zh-CN" w:bidi="ar"/>
        </w:rPr>
        <w:t>10</w:t>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11</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12</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31</w:t>
      </w:r>
    </w:p>
    <w:p>
      <w:pPr>
        <w:pStyle w:val="12"/>
        <w:adjustRightInd w:val="0"/>
        <w:snapToGrid w:val="0"/>
        <w:spacing w:before="0" w:line="440" w:lineRule="exact"/>
        <w:jc w:val="left"/>
        <w:rPr>
          <w:sz w:val="24"/>
        </w:rPr>
      </w:pPr>
      <w:r>
        <w:rPr>
          <w:rFonts w:hint="eastAsia"/>
          <w:sz w:val="24"/>
        </w:rPr>
        <w:t>一、收入支出决算总表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31</w:t>
      </w:r>
    </w:p>
    <w:p>
      <w:pPr>
        <w:pStyle w:val="12"/>
        <w:adjustRightInd w:val="0"/>
        <w:snapToGrid w:val="0"/>
        <w:spacing w:before="0" w:line="440" w:lineRule="exact"/>
        <w:jc w:val="left"/>
        <w:rPr>
          <w:sz w:val="24"/>
        </w:rPr>
      </w:pPr>
      <w:r>
        <w:rPr>
          <w:rFonts w:hint="eastAsia"/>
          <w:sz w:val="24"/>
        </w:rPr>
        <w:t>二、收入决算表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32</w:t>
      </w:r>
    </w:p>
    <w:p>
      <w:pPr>
        <w:pStyle w:val="12"/>
        <w:adjustRightInd w:val="0"/>
        <w:snapToGrid w:val="0"/>
        <w:spacing w:before="0" w:line="440" w:lineRule="exact"/>
        <w:jc w:val="left"/>
        <w:rPr>
          <w:sz w:val="24"/>
        </w:rPr>
      </w:pPr>
      <w:r>
        <w:rPr>
          <w:rFonts w:hint="eastAsia"/>
          <w:sz w:val="24"/>
        </w:rPr>
        <w:t>三、支出决算表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33</w:t>
      </w:r>
    </w:p>
    <w:p>
      <w:pPr>
        <w:pStyle w:val="12"/>
        <w:adjustRightInd w:val="0"/>
        <w:snapToGrid w:val="0"/>
        <w:spacing w:before="0" w:line="440" w:lineRule="exact"/>
        <w:jc w:val="left"/>
        <w:rPr>
          <w:sz w:val="24"/>
        </w:rPr>
      </w:pPr>
      <w:r>
        <w:rPr>
          <w:rFonts w:hint="eastAsia"/>
          <w:sz w:val="24"/>
        </w:rPr>
        <w:t>四、财政拨款收入支出决算总表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34</w:t>
      </w:r>
    </w:p>
    <w:p>
      <w:pPr>
        <w:pStyle w:val="12"/>
        <w:adjustRightInd w:val="0"/>
        <w:snapToGrid w:val="0"/>
        <w:spacing w:before="0" w:line="440" w:lineRule="exact"/>
        <w:jc w:val="left"/>
        <w:rPr>
          <w:sz w:val="24"/>
        </w:rPr>
      </w:pPr>
      <w:r>
        <w:rPr>
          <w:rFonts w:hint="eastAsia"/>
          <w:sz w:val="24"/>
        </w:rPr>
        <w:t>五、财政拨款支出决算明细表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35</w:t>
      </w:r>
    </w:p>
    <w:p>
      <w:pPr>
        <w:pStyle w:val="12"/>
        <w:adjustRightInd w:val="0"/>
        <w:snapToGrid w:val="0"/>
        <w:spacing w:before="0" w:line="440" w:lineRule="exact"/>
        <w:jc w:val="left"/>
        <w:rPr>
          <w:sz w:val="24"/>
        </w:rPr>
      </w:pPr>
      <w:r>
        <w:rPr>
          <w:rFonts w:hint="eastAsia"/>
          <w:sz w:val="24"/>
        </w:rPr>
        <w:t>六、一般公共预算财政拨款支出决算表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36</w:t>
      </w:r>
    </w:p>
    <w:p>
      <w:pPr>
        <w:pStyle w:val="12"/>
        <w:adjustRightInd w:val="0"/>
        <w:snapToGrid w:val="0"/>
        <w:spacing w:before="0" w:line="440" w:lineRule="exact"/>
        <w:jc w:val="left"/>
        <w:rPr>
          <w:sz w:val="24"/>
        </w:rPr>
      </w:pPr>
      <w:r>
        <w:rPr>
          <w:rFonts w:hint="eastAsia"/>
          <w:sz w:val="24"/>
        </w:rPr>
        <w:t>七、一般公共预算财政拨款支出决算明细表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37</w:t>
      </w:r>
    </w:p>
    <w:p>
      <w:pPr>
        <w:pStyle w:val="12"/>
        <w:adjustRightInd w:val="0"/>
        <w:snapToGrid w:val="0"/>
        <w:spacing w:before="0" w:line="440" w:lineRule="exact"/>
        <w:jc w:val="left"/>
        <w:rPr>
          <w:rFonts w:cstheme="minorBidi"/>
          <w:sz w:val="24"/>
          <w:szCs w:val="24"/>
        </w:rPr>
      </w:pPr>
      <w:r>
        <w:rPr>
          <w:rFonts w:hint="eastAsia"/>
          <w:sz w:val="24"/>
        </w:rPr>
        <w:t>八、一般公共预算财政拨款基本支出决算明细表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38</w:t>
      </w:r>
    </w:p>
    <w:p>
      <w:pPr>
        <w:pStyle w:val="13"/>
        <w:adjustRightInd w:val="0"/>
        <w:snapToGrid w:val="0"/>
        <w:spacing w:line="440" w:lineRule="exact"/>
        <w:jc w:val="left"/>
        <w:rPr>
          <w:sz w:val="24"/>
        </w:rPr>
      </w:pPr>
    </w:p>
    <w:p>
      <w:pPr>
        <w:pStyle w:val="12"/>
        <w:adjustRightInd w:val="0"/>
        <w:snapToGrid w:val="0"/>
        <w:spacing w:before="0" w:line="440" w:lineRule="exact"/>
        <w:jc w:val="left"/>
        <w:rPr>
          <w:sz w:val="24"/>
        </w:rPr>
      </w:pPr>
      <w:r>
        <w:rPr>
          <w:rFonts w:hint="eastAsia"/>
          <w:sz w:val="24"/>
        </w:rPr>
        <w:t>九、一般公共预算财政拨款项目支出决算表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39</w:t>
      </w:r>
    </w:p>
    <w:p>
      <w:pPr>
        <w:pStyle w:val="12"/>
        <w:adjustRightInd w:val="0"/>
        <w:snapToGrid w:val="0"/>
        <w:spacing w:before="0" w:line="440" w:lineRule="exact"/>
        <w:jc w:val="left"/>
        <w:rPr>
          <w:sz w:val="24"/>
        </w:rPr>
      </w:pPr>
      <w:r>
        <w:rPr>
          <w:rFonts w:hint="eastAsia"/>
          <w:sz w:val="24"/>
        </w:rPr>
        <w:t>十、政府性基金预算财政拨款收入支出决算表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39</w:t>
      </w:r>
    </w:p>
    <w:p>
      <w:pPr>
        <w:pStyle w:val="12"/>
        <w:adjustRightInd w:val="0"/>
        <w:snapToGrid w:val="0"/>
        <w:spacing w:before="0" w:line="440" w:lineRule="exact"/>
        <w:jc w:val="left"/>
        <w:rPr>
          <w:sz w:val="24"/>
        </w:rPr>
      </w:pPr>
      <w:r>
        <w:rPr>
          <w:rFonts w:hint="eastAsia"/>
          <w:sz w:val="24"/>
        </w:rPr>
        <w:t>十一、国有资本经营预算财政拨款收入支出决算表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40</w:t>
      </w:r>
    </w:p>
    <w:p>
      <w:pPr>
        <w:pStyle w:val="12"/>
        <w:adjustRightInd w:val="0"/>
        <w:snapToGrid w:val="0"/>
        <w:spacing w:before="0" w:line="440" w:lineRule="exact"/>
        <w:jc w:val="left"/>
        <w:rPr>
          <w:sz w:val="24"/>
        </w:rPr>
      </w:pPr>
      <w:r>
        <w:rPr>
          <w:rFonts w:hint="eastAsia"/>
          <w:sz w:val="24"/>
        </w:rPr>
        <w:t>十二、国有资本经营预算财政拨款支出决算表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40</w:t>
      </w:r>
    </w:p>
    <w:p>
      <w:pPr>
        <w:pStyle w:val="12"/>
        <w:adjustRightInd w:val="0"/>
        <w:snapToGrid w:val="0"/>
        <w:spacing w:before="0" w:line="440" w:lineRule="exact"/>
        <w:jc w:val="left"/>
        <w:rPr>
          <w:rFonts w:cstheme="minorBidi"/>
          <w:sz w:val="24"/>
          <w:szCs w:val="24"/>
        </w:rPr>
      </w:pPr>
      <w:r>
        <w:rPr>
          <w:rFonts w:hint="eastAsia"/>
          <w:sz w:val="24"/>
        </w:rPr>
        <w:t>十三、财政拨款“三公”经费支出决算表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41</w:t>
      </w:r>
    </w:p>
    <w:p>
      <w:pPr>
        <w:pStyle w:val="13"/>
        <w:adjustRightInd w:val="0"/>
        <w:snapToGrid w:val="0"/>
        <w:spacing w:line="440" w:lineRule="exact"/>
        <w:jc w:val="left"/>
        <w:rPr>
          <w:rFonts w:asciiTheme="minorEastAsia" w:hAnsiTheme="minorEastAsia" w:eastAsiaTheme="minorEastAsia" w:cstheme="minorEastAsia"/>
          <w:sz w:val="24"/>
        </w:rPr>
      </w:pP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widowControl/>
        <w:spacing w:line="440" w:lineRule="exact"/>
        <w:jc w:val="left"/>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5396599"/>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5"/>
        <w:numPr>
          <w:ilvl w:val="0"/>
          <w:numId w:val="1"/>
        </w:numPr>
        <w:rPr>
          <w:rFonts w:hint="eastAsia" w:ascii="黑体" w:hAnsi="黑体" w:eastAsia="黑体"/>
          <w:b w:val="0"/>
        </w:rPr>
      </w:pPr>
      <w:r>
        <w:rPr>
          <w:rFonts w:hint="eastAsia" w:ascii="黑体" w:hAnsi="黑体" w:eastAsia="黑体"/>
          <w:b w:val="0"/>
        </w:rPr>
        <w:t>部门职责</w:t>
      </w:r>
    </w:p>
    <w:p>
      <w:pPr>
        <w:spacing w:line="560" w:lineRule="exact"/>
        <w:ind w:firstLine="960" w:firstLineChars="300"/>
        <w:rPr>
          <w:rFonts w:ascii="仿宋_GB2312" w:eastAsia="仿宋_GB2312"/>
          <w:sz w:val="32"/>
          <w:szCs w:val="32"/>
          <w:shd w:val="clear" w:color="auto" w:fill="FFFFFF"/>
        </w:rPr>
      </w:pPr>
      <w:r>
        <w:rPr>
          <w:rFonts w:hint="eastAsia" w:ascii="仿宋_GB2312" w:eastAsia="仿宋_GB2312"/>
          <w:sz w:val="32"/>
          <w:szCs w:val="32"/>
          <w:shd w:val="clear" w:color="auto" w:fill="FFFFFF"/>
        </w:rPr>
        <w:t>1.乡党委主要职责</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 xml:space="preserve"> 积极宣传、贯彻执行党的路线、方针、政策，负责领导本地区的工作，支持和保护行政组织、经济组织和群众自治组织充分行使职权；领导制定</w:t>
      </w:r>
      <w:r>
        <w:rPr>
          <w:rFonts w:hint="eastAsia" w:hAnsi="仿宋_GB2312" w:cs="仿宋_GB2312"/>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rFonts w:hint="eastAsia"/>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pStyle w:val="7"/>
        <w:widowControl w:val="0"/>
        <w:numPr>
          <w:ilvl w:val="0"/>
          <w:numId w:val="2"/>
        </w:numPr>
        <w:adjustRightInd w:val="0"/>
        <w:snapToGrid w:val="0"/>
        <w:spacing w:before="0" w:beforeAutospacing="0" w:after="0" w:afterAutospacing="0" w:line="560" w:lineRule="exact"/>
        <w:ind w:firstLine="672" w:firstLineChars="210"/>
        <w:jc w:val="both"/>
        <w:rPr>
          <w:sz w:val="32"/>
          <w:szCs w:val="32"/>
          <w:shd w:val="clear" w:color="auto" w:fill="FFFFFF"/>
        </w:rPr>
      </w:pPr>
      <w:r>
        <w:rPr>
          <w:rFonts w:hint="eastAsia"/>
          <w:sz w:val="32"/>
          <w:szCs w:val="32"/>
          <w:shd w:val="clear" w:color="auto" w:fill="FFFFFF"/>
        </w:rPr>
        <w:t xml:space="preserve">乡人大主席团主要职责 </w:t>
      </w:r>
    </w:p>
    <w:p>
      <w:pPr>
        <w:pStyle w:val="7"/>
        <w:adjustRightInd w:val="0"/>
        <w:snapToGrid w:val="0"/>
        <w:spacing w:line="560" w:lineRule="exact"/>
        <w:ind w:firstLine="640" w:firstLineChars="200"/>
        <w:rPr>
          <w:sz w:val="32"/>
          <w:szCs w:val="32"/>
          <w:shd w:val="clear" w:color="auto" w:fill="FFFFFF"/>
        </w:rPr>
      </w:pPr>
      <w:r>
        <w:rPr>
          <w:rFonts w:hint="eastAsia"/>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3.乡政府主要职责</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4.乡纪委主要职责</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pStyle w:val="7"/>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5.乡人民武装部主要职责</w:t>
      </w:r>
    </w:p>
    <w:p>
      <w:pPr>
        <w:pStyle w:val="7"/>
        <w:adjustRightInd w:val="0"/>
        <w:snapToGrid w:val="0"/>
        <w:spacing w:line="560" w:lineRule="exact"/>
        <w:ind w:firstLine="672" w:firstLineChars="210"/>
      </w:pPr>
      <w:r>
        <w:rPr>
          <w:rFonts w:hint="eastAsia"/>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5"/>
        <w:rPr>
          <w:rStyle w:val="29"/>
          <w:b w:val="0"/>
          <w:bCs w:val="0"/>
        </w:rPr>
      </w:pPr>
      <w:bookmarkStart w:id="14" w:name="_Toc15377200"/>
      <w:bookmarkStart w:id="15" w:name="_Toc15396601"/>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pPr>
        <w:pStyle w:val="35"/>
        <w:autoSpaceDE w:val="0"/>
        <w:spacing w:before="0" w:beforeAutospacing="0" w:line="500" w:lineRule="exact"/>
        <w:ind w:firstLine="640" w:firstLineChars="200"/>
        <w:rPr>
          <w:rFonts w:hint="eastAsia" w:ascii="仿宋_GB2312" w:eastAsia="仿宋_GB2312"/>
          <w:sz w:val="32"/>
          <w:szCs w:val="32"/>
        </w:rPr>
      </w:pPr>
      <w:r>
        <w:rPr>
          <w:rFonts w:hint="eastAsia" w:ascii="仿宋" w:hAnsi="仿宋" w:eastAsia="仿宋"/>
          <w:sz w:val="32"/>
          <w:szCs w:val="32"/>
        </w:rPr>
        <w:t xml:space="preserve"> </w:t>
      </w:r>
      <w:r>
        <w:rPr>
          <w:rFonts w:hint="eastAsia" w:ascii="仿宋_GB2312" w:eastAsia="仿宋_GB2312"/>
          <w:sz w:val="32"/>
          <w:szCs w:val="32"/>
          <w:shd w:val="clear" w:color="auto" w:fill="FFFFFF"/>
        </w:rPr>
        <w:t>四川省阿坝州九寨沟县大录乡人民政府下属二级单位2个，其中行政单位1个，其他事业单位1个。</w:t>
      </w:r>
    </w:p>
    <w:p>
      <w:pPr>
        <w:pStyle w:val="35"/>
        <w:autoSpaceDE w:val="0"/>
        <w:spacing w:before="0" w:beforeAutospacing="0" w:line="500" w:lineRule="exact"/>
        <w:ind w:firstLine="640" w:firstLineChars="200"/>
        <w:rPr>
          <w:rFonts w:hint="eastAsia" w:ascii="仿宋_GB2312" w:eastAsia="仿宋_GB2312"/>
          <w:sz w:val="32"/>
          <w:szCs w:val="32"/>
        </w:rPr>
      </w:pPr>
      <w:r>
        <w:rPr>
          <w:rFonts w:hint="eastAsia" w:ascii="仿宋_GB2312" w:eastAsia="仿宋_GB2312"/>
          <w:sz w:val="32"/>
          <w:szCs w:val="32"/>
          <w:shd w:val="clear" w:color="auto" w:fill="FFFFFF"/>
        </w:rPr>
        <w:t>纳入四川省阿坝州九寨沟县大录乡人民政府202</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年度部门决算编制范围的二级预算单位包括：</w:t>
      </w:r>
    </w:p>
    <w:p>
      <w:pPr>
        <w:widowControl/>
        <w:numPr>
          <w:ilvl w:val="0"/>
          <w:numId w:val="3"/>
        </w:numPr>
        <w:autoSpaceDE w:val="0"/>
        <w:spacing w:line="500" w:lineRule="exact"/>
        <w:ind w:left="360"/>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九寨沟县大录乡人民政府</w:t>
      </w:r>
    </w:p>
    <w:p>
      <w:pPr>
        <w:widowControl/>
        <w:numPr>
          <w:ilvl w:val="0"/>
          <w:numId w:val="3"/>
        </w:numPr>
        <w:autoSpaceDE w:val="0"/>
        <w:spacing w:line="500" w:lineRule="exact"/>
        <w:ind w:left="360"/>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九寨沟县大录乡便民服务中心</w:t>
      </w:r>
    </w:p>
    <w:p>
      <w:pPr>
        <w:pStyle w:val="14"/>
        <w:shd w:val="clear" w:color="auto" w:fill="FFFFFF"/>
        <w:spacing w:before="0" w:beforeAutospacing="0" w:after="0" w:afterAutospacing="0" w:line="700" w:lineRule="exact"/>
        <w:rPr>
          <w:rFonts w:ascii="仿宋" w:hAnsi="仿宋" w:eastAsia="仿宋"/>
          <w:sz w:val="32"/>
          <w:szCs w:val="32"/>
        </w:rPr>
      </w:pPr>
      <w:r>
        <w:rPr>
          <w:rFonts w:hint="eastAsia" w:ascii="仿宋_GB2312" w:eastAsia="仿宋_GB2312"/>
          <w:color w:val="0000FF"/>
          <w:sz w:val="32"/>
          <w:szCs w:val="32"/>
          <w:shd w:val="clear" w:color="auto" w:fill="FFFFFF"/>
        </w:rPr>
        <w:t xml:space="preserve"> </w:t>
      </w:r>
      <w:bookmarkStart w:id="16" w:name="ole_link1"/>
      <w:bookmarkEnd w:id="16"/>
      <w:r>
        <w:rPr>
          <w:rFonts w:hint="eastAsia" w:ascii="仿宋_GB2312" w:eastAsia="仿宋_GB2312"/>
          <w:color w:val="0000FF"/>
          <w:sz w:val="32"/>
          <w:szCs w:val="32"/>
          <w:shd w:val="clear" w:color="auto" w:fill="FFFFFF"/>
        </w:rPr>
        <w:t xml:space="preserve"> </w:t>
      </w:r>
      <w:r>
        <w:rPr>
          <w:rFonts w:hint="eastAsia" w:ascii="仿宋_GB2312" w:eastAsia="仿宋_GB2312"/>
          <w:sz w:val="32"/>
          <w:szCs w:val="32"/>
        </w:rPr>
        <w:t>2023年单位机构数为9个，其中行政机构5个，事业机构4个；财政供养人员编制为3</w:t>
      </w:r>
      <w:r>
        <w:rPr>
          <w:rFonts w:hint="eastAsia" w:ascii="仿宋_GB2312" w:eastAsia="仿宋_GB2312"/>
          <w:sz w:val="32"/>
          <w:szCs w:val="32"/>
          <w:lang w:val="en-US" w:eastAsia="zh-CN"/>
        </w:rPr>
        <w:t>7</w:t>
      </w:r>
      <w:r>
        <w:rPr>
          <w:rFonts w:hint="eastAsia" w:ascii="仿宋_GB2312" w:eastAsia="仿宋_GB2312"/>
          <w:sz w:val="32"/>
          <w:szCs w:val="32"/>
        </w:rPr>
        <w:t>名，其中行政编制2</w:t>
      </w:r>
      <w:r>
        <w:rPr>
          <w:rFonts w:hint="eastAsia" w:ascii="仿宋_GB2312" w:eastAsia="仿宋_GB2312"/>
          <w:sz w:val="32"/>
          <w:szCs w:val="32"/>
          <w:lang w:val="en-US" w:eastAsia="zh-CN"/>
        </w:rPr>
        <w:t>2</w:t>
      </w:r>
      <w:r>
        <w:rPr>
          <w:rFonts w:hint="eastAsia" w:ascii="仿宋_GB2312" w:eastAsia="仿宋_GB2312"/>
          <w:sz w:val="32"/>
          <w:szCs w:val="32"/>
        </w:rPr>
        <w:t>名，工</w:t>
      </w:r>
      <w:bookmarkStart w:id="51" w:name="_GoBack"/>
      <w:bookmarkEnd w:id="51"/>
      <w:r>
        <w:rPr>
          <w:rFonts w:hint="eastAsia" w:ascii="仿宋_GB2312" w:eastAsia="仿宋_GB2312"/>
          <w:sz w:val="32"/>
          <w:szCs w:val="32"/>
        </w:rPr>
        <w:t>勤编制</w:t>
      </w:r>
      <w:r>
        <w:rPr>
          <w:rFonts w:hint="eastAsia" w:ascii="仿宋_GB2312" w:eastAsia="仿宋_GB2312"/>
          <w:sz w:val="32"/>
          <w:szCs w:val="32"/>
          <w:lang w:val="en-US" w:eastAsia="zh-CN"/>
        </w:rPr>
        <w:t>1</w:t>
      </w:r>
      <w:r>
        <w:rPr>
          <w:rFonts w:hint="eastAsia" w:ascii="仿宋_GB2312" w:eastAsia="仿宋_GB2312"/>
          <w:sz w:val="32"/>
          <w:szCs w:val="32"/>
        </w:rPr>
        <w:t>名，事业编制14名；</w:t>
      </w:r>
      <w:r>
        <w:rPr>
          <w:rFonts w:hint="eastAsia" w:ascii="仿宋_GB2312" w:eastAsia="仿宋_GB2312"/>
          <w:bCs/>
          <w:sz w:val="32"/>
          <w:szCs w:val="32"/>
        </w:rPr>
        <w:t>2022年底实际财政供养人员34人，其中：行政20人，行政工勤2人，事业12人。</w:t>
      </w:r>
    </w:p>
    <w:p>
      <w:pPr>
        <w:snapToGrid w:val="0"/>
        <w:spacing w:line="520" w:lineRule="exact"/>
        <w:rPr>
          <w:rFonts w:hint="eastAsia" w:ascii="仿宋_GB2312" w:hAnsi="仿宋" w:eastAsia="仿宋_GB2312"/>
          <w:sz w:val="32"/>
          <w:szCs w:val="32"/>
        </w:rPr>
      </w:pPr>
      <w:r>
        <w:rPr>
          <w:rFonts w:hint="eastAsia" w:ascii="仿宋" w:hAnsi="仿宋" w:eastAsia="仿宋"/>
          <w:sz w:val="32"/>
          <w:szCs w:val="32"/>
        </w:rPr>
        <w:t xml:space="preserve">    </w:t>
      </w:r>
      <w:r>
        <w:rPr>
          <w:rFonts w:hint="eastAsia" w:ascii="仿宋_GB2312" w:hAnsi="仿宋" w:eastAsia="仿宋_GB2312"/>
          <w:sz w:val="32"/>
          <w:szCs w:val="32"/>
        </w:rPr>
        <w:t>3．人员情况</w:t>
      </w:r>
    </w:p>
    <w:p>
      <w:pPr>
        <w:snapToGrid w:val="0"/>
        <w:spacing w:line="520" w:lineRule="exact"/>
        <w:ind w:firstLine="640" w:firstLineChars="200"/>
        <w:rPr>
          <w:rFonts w:hint="eastAsia" w:ascii="仿宋_GB2312" w:hAnsi="仿宋" w:eastAsia="仿宋_GB2312"/>
          <w:sz w:val="32"/>
          <w:szCs w:val="32"/>
        </w:rPr>
      </w:pPr>
      <w:r>
        <w:rPr>
          <w:rFonts w:hint="eastAsia" w:ascii="仿宋" w:hAnsi="仿宋" w:eastAsia="仿宋"/>
          <w:sz w:val="32"/>
          <w:szCs w:val="32"/>
        </w:rPr>
        <w:t>单位本年度年末实有人数为36人，</w:t>
      </w:r>
      <w:r>
        <w:rPr>
          <w:rFonts w:hint="eastAsia" w:ascii="仿宋_GB2312" w:eastAsia="仿宋_GB2312"/>
          <w:bCs/>
          <w:sz w:val="32"/>
          <w:szCs w:val="32"/>
        </w:rPr>
        <w:t>其中：行政21人，行政工勤1人，事业14人。</w:t>
      </w:r>
    </w:p>
    <w:p>
      <w:pPr>
        <w:widowControl/>
        <w:jc w:val="left"/>
        <w:rPr>
          <w:rFonts w:ascii="仿宋" w:hAnsi="仿宋" w:eastAsia="仿宋"/>
          <w:kern w:val="0"/>
          <w:sz w:val="32"/>
          <w:szCs w:val="32"/>
        </w:rPr>
      </w:pPr>
      <w:r>
        <w:rPr>
          <w:rFonts w:ascii="仿宋" w:hAnsi="仿宋" w:eastAsia="仿宋"/>
          <w:sz w:val="32"/>
          <w:szCs w:val="32"/>
        </w:rPr>
        <w:br w:type="page"/>
      </w:r>
    </w:p>
    <w:p>
      <w:pPr>
        <w:pStyle w:val="4"/>
        <w:ind w:right="440"/>
        <w:jc w:val="center"/>
        <w:rPr>
          <w:rStyle w:val="28"/>
          <w:rFonts w:ascii="黑体" w:hAnsi="黑体" w:eastAsia="黑体"/>
          <w:b w:val="0"/>
          <w:bCs/>
        </w:rPr>
      </w:pPr>
      <w:bookmarkStart w:id="17" w:name="_Toc15396602"/>
      <w:bookmarkStart w:id="18" w:name="_Toc15377204"/>
      <w:r>
        <w:rPr>
          <w:rFonts w:hint="eastAsia" w:ascii="黑体" w:hAnsi="黑体" w:eastAsia="黑体"/>
          <w:b w:val="0"/>
        </w:rPr>
        <w:t>第二部分 2023年度</w:t>
      </w:r>
      <w:r>
        <w:rPr>
          <w:rStyle w:val="28"/>
          <w:rFonts w:hint="eastAsia" w:ascii="黑体" w:hAnsi="黑体" w:eastAsia="黑体"/>
          <w:b w:val="0"/>
          <w:bCs/>
        </w:rPr>
        <w:t>部门决算情况说明</w:t>
      </w:r>
      <w:bookmarkEnd w:id="17"/>
      <w:bookmarkEnd w:id="18"/>
    </w:p>
    <w:p/>
    <w:p>
      <w:pPr>
        <w:pStyle w:val="27"/>
        <w:numPr>
          <w:ilvl w:val="0"/>
          <w:numId w:val="4"/>
        </w:numPr>
        <w:spacing w:line="600" w:lineRule="exact"/>
        <w:ind w:firstLineChars="0"/>
        <w:outlineLvl w:val="1"/>
        <w:rPr>
          <w:rStyle w:val="29"/>
          <w:rFonts w:ascii="黑体" w:hAnsi="黑体" w:eastAsia="黑体"/>
          <w:b w:val="0"/>
        </w:rPr>
      </w:pPr>
      <w:bookmarkStart w:id="19" w:name="_Toc15377205"/>
      <w:bookmarkStart w:id="20"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9"/>
      <w:bookmarkEnd w:id="20"/>
    </w:p>
    <w:p>
      <w:pPr>
        <w:pStyle w:val="35"/>
        <w:autoSpaceDE w:val="0"/>
        <w:spacing w:before="0" w:beforeAutospacing="0" w:line="500" w:lineRule="exact"/>
        <w:ind w:firstLine="640" w:firstLineChars="200"/>
        <w:rPr>
          <w:rFonts w:hint="eastAsia" w:ascii="仿宋_GB2312" w:eastAsia="仿宋_GB2312"/>
          <w:sz w:val="32"/>
          <w:szCs w:val="32"/>
          <w:shd w:val="clear" w:color="auto" w:fill="FFFFFF"/>
        </w:rPr>
      </w:pPr>
      <w:r>
        <w:rPr>
          <w:rFonts w:hint="eastAsia" w:ascii="仿宋" w:hAnsi="仿宋" w:eastAsia="仿宋"/>
          <w:sz w:val="32"/>
          <w:szCs w:val="32"/>
        </w:rPr>
        <w:t>2023年度收、支总计均为</w:t>
      </w:r>
      <w:r>
        <w:rPr>
          <w:rFonts w:hint="eastAsia"/>
          <w:sz w:val="32"/>
          <w:szCs w:val="32"/>
        </w:rPr>
        <w:t>1361.77</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w:t>
      </w:r>
      <w:r>
        <w:rPr>
          <w:rFonts w:hint="eastAsia" w:ascii="仿宋_GB2312" w:eastAsia="仿宋_GB2312"/>
          <w:sz w:val="32"/>
          <w:szCs w:val="32"/>
          <w:shd w:val="clear" w:color="auto" w:fill="FFFFFF"/>
        </w:rPr>
        <w:t>2003.06万元相比，收、支总计各增加-641.29万元，增长-32.02%。主要变动原因是人员、公用经费、项目减少。</w:t>
      </w:r>
    </w:p>
    <w:p>
      <w:pPr>
        <w:pStyle w:val="27"/>
        <w:numPr>
          <w:ilvl w:val="0"/>
          <w:numId w:val="4"/>
        </w:numPr>
        <w:spacing w:line="600" w:lineRule="exact"/>
        <w:ind w:firstLineChars="0"/>
        <w:outlineLvl w:val="1"/>
        <w:rPr>
          <w:rStyle w:val="29"/>
          <w:rFonts w:ascii="黑体" w:hAnsi="黑体" w:eastAsia="黑体"/>
          <w:b w:val="0"/>
        </w:rPr>
      </w:pPr>
      <w:bookmarkStart w:id="21" w:name="_Toc15396604"/>
      <w:bookmarkStart w:id="22" w:name="_Toc15377206"/>
      <w:r>
        <w:rPr>
          <w:rFonts w:hint="eastAsia" w:ascii="黑体" w:hAnsi="黑体" w:eastAsia="黑体"/>
          <w:sz w:val="32"/>
          <w:szCs w:val="32"/>
        </w:rPr>
        <w:t>收</w:t>
      </w:r>
      <w:r>
        <w:rPr>
          <w:rStyle w:val="29"/>
          <w:rFonts w:hint="eastAsia" w:ascii="黑体" w:hAnsi="黑体" w:eastAsia="黑体"/>
          <w:b w:val="0"/>
        </w:rPr>
        <w:t>入决算情况说明</w:t>
      </w:r>
      <w:bookmarkEnd w:id="21"/>
      <w:bookmarkEnd w:id="22"/>
    </w:p>
    <w:p>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1197.37</w:t>
      </w:r>
      <w:r>
        <w:rPr>
          <w:rFonts w:hint="eastAsia" w:ascii="仿宋" w:hAnsi="仿宋" w:eastAsia="仿宋"/>
          <w:sz w:val="32"/>
          <w:szCs w:val="32"/>
        </w:rPr>
        <w:t>万元，其中：一般公共预算财政拨款收入</w:t>
      </w:r>
      <w:r>
        <w:rPr>
          <w:sz w:val="32"/>
          <w:szCs w:val="32"/>
        </w:rPr>
        <w:t>1197.37</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pStyle w:val="27"/>
        <w:numPr>
          <w:ilvl w:val="0"/>
          <w:numId w:val="4"/>
        </w:numPr>
        <w:spacing w:line="600" w:lineRule="exact"/>
        <w:ind w:firstLineChars="0"/>
        <w:outlineLvl w:val="1"/>
        <w:rPr>
          <w:rStyle w:val="29"/>
          <w:rFonts w:ascii="黑体" w:hAnsi="黑体" w:eastAsia="黑体"/>
          <w:b w:val="0"/>
        </w:rPr>
      </w:pPr>
      <w:bookmarkStart w:id="23" w:name="_Toc15377207"/>
      <w:bookmarkStart w:id="24" w:name="_Toc15396605"/>
      <w:r>
        <w:rPr>
          <w:rFonts w:hint="eastAsia" w:ascii="黑体" w:hAnsi="黑体" w:eastAsia="黑体"/>
          <w:sz w:val="32"/>
          <w:szCs w:val="32"/>
        </w:rPr>
        <w:t>支</w:t>
      </w:r>
      <w:r>
        <w:rPr>
          <w:rStyle w:val="29"/>
          <w:rFonts w:hint="eastAsia" w:ascii="黑体" w:hAnsi="黑体" w:eastAsia="黑体"/>
          <w:b w:val="0"/>
        </w:rPr>
        <w:t>出决算情况说明</w:t>
      </w:r>
      <w:bookmarkEnd w:id="23"/>
      <w:bookmarkEnd w:id="24"/>
    </w:p>
    <w:p>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2023年度本年支出合计</w:t>
      </w:r>
      <w:r>
        <w:rPr>
          <w:sz w:val="32"/>
          <w:szCs w:val="32"/>
        </w:rPr>
        <w:t>1361.77</w:t>
      </w:r>
      <w:r>
        <w:rPr>
          <w:rFonts w:hint="eastAsia" w:ascii="仿宋" w:hAnsi="仿宋" w:eastAsia="仿宋"/>
          <w:sz w:val="32"/>
          <w:szCs w:val="32"/>
        </w:rPr>
        <w:t>万元，其中：基本支出</w:t>
      </w:r>
      <w:r>
        <w:rPr>
          <w:sz w:val="32"/>
          <w:szCs w:val="32"/>
        </w:rPr>
        <w:t>873.93</w:t>
      </w:r>
      <w:r>
        <w:rPr>
          <w:rFonts w:hint="eastAsia" w:ascii="仿宋" w:hAnsi="仿宋" w:eastAsia="仿宋"/>
          <w:sz w:val="32"/>
          <w:szCs w:val="32"/>
        </w:rPr>
        <w:t>万元，占</w:t>
      </w:r>
      <w:r>
        <w:rPr>
          <w:sz w:val="32"/>
          <w:szCs w:val="32"/>
        </w:rPr>
        <w:t>64.17</w:t>
      </w:r>
      <w:r>
        <w:rPr>
          <w:rFonts w:ascii="仿宋" w:hAnsi="仿宋" w:eastAsia="仿宋"/>
          <w:sz w:val="32"/>
          <w:szCs w:val="32"/>
        </w:rPr>
        <w:t>%</w:t>
      </w:r>
      <w:r>
        <w:rPr>
          <w:rFonts w:hint="eastAsia" w:ascii="仿宋" w:hAnsi="仿宋" w:eastAsia="仿宋"/>
          <w:sz w:val="32"/>
          <w:szCs w:val="32"/>
        </w:rPr>
        <w:t>；项目支出</w:t>
      </w:r>
      <w:r>
        <w:rPr>
          <w:sz w:val="32"/>
          <w:szCs w:val="32"/>
        </w:rPr>
        <w:t>487.84</w:t>
      </w:r>
      <w:r>
        <w:rPr>
          <w:rFonts w:hint="eastAsia" w:ascii="仿宋" w:hAnsi="仿宋" w:eastAsia="仿宋"/>
          <w:sz w:val="32"/>
          <w:szCs w:val="32"/>
        </w:rPr>
        <w:t>万元，占</w:t>
      </w:r>
      <w:r>
        <w:rPr>
          <w:sz w:val="32"/>
          <w:szCs w:val="32"/>
        </w:rPr>
        <w:t>35.8</w:t>
      </w:r>
      <w:r>
        <w:rPr>
          <w:rFonts w:hint="eastAsia"/>
          <w:sz w:val="32"/>
          <w:szCs w:val="32"/>
          <w:lang w:val="en-US" w:eastAsia="zh-CN"/>
        </w:rPr>
        <w:t>3</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Style w:val="29"/>
          <w:rFonts w:ascii="黑体" w:hAnsi="黑体" w:eastAsia="黑体"/>
          <w:b w:val="0"/>
        </w:rPr>
      </w:pPr>
      <w:bookmarkStart w:id="25" w:name="_Toc15377208"/>
      <w:bookmarkStart w:id="26"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5"/>
      <w:bookmarkEnd w:id="26"/>
    </w:p>
    <w:p>
      <w:pPr>
        <w:pStyle w:val="35"/>
        <w:autoSpaceDE w:val="0"/>
        <w:spacing w:before="0" w:beforeAutospacing="0" w:line="500" w:lineRule="exact"/>
        <w:ind w:firstLine="640" w:firstLineChars="200"/>
        <w:rPr>
          <w:rFonts w:ascii="仿宋" w:hAnsi="仿宋" w:eastAsia="仿宋"/>
          <w:b/>
          <w:sz w:val="32"/>
          <w:szCs w:val="32"/>
        </w:rPr>
      </w:pPr>
      <w:r>
        <w:rPr>
          <w:rFonts w:hint="eastAsia" w:ascii="仿宋" w:hAnsi="仿宋" w:eastAsia="仿宋"/>
          <w:sz w:val="32"/>
          <w:szCs w:val="32"/>
        </w:rPr>
        <w:t>2023年度财政拨款收、支总计均为</w:t>
      </w:r>
      <w:r>
        <w:rPr>
          <w:sz w:val="32"/>
          <w:szCs w:val="32"/>
        </w:rPr>
        <w:t>1361.77</w:t>
      </w:r>
      <w:r>
        <w:rPr>
          <w:rFonts w:hint="eastAsia" w:ascii="仿宋" w:hAnsi="仿宋" w:eastAsia="仿宋"/>
          <w:sz w:val="32"/>
          <w:szCs w:val="32"/>
        </w:rPr>
        <w:t>万元。与2022年度</w:t>
      </w:r>
      <w:r>
        <w:rPr>
          <w:rFonts w:hint="eastAsia" w:ascii="仿宋_GB2312" w:eastAsia="仿宋_GB2312"/>
          <w:sz w:val="32"/>
          <w:szCs w:val="32"/>
          <w:shd w:val="clear" w:color="auto" w:fill="FFFFFF"/>
        </w:rPr>
        <w:t>2003.06万元相比，收、支总计各增加-641.29万元，增长-32.02%。主要变动原因是人员、公用经费、项目减少。</w:t>
      </w:r>
    </w:p>
    <w:p>
      <w:pPr>
        <w:spacing w:line="600" w:lineRule="exact"/>
        <w:ind w:firstLine="640" w:firstLineChars="200"/>
        <w:outlineLvl w:val="1"/>
        <w:rPr>
          <w:rStyle w:val="29"/>
          <w:rFonts w:ascii="黑体" w:hAnsi="黑体" w:eastAsia="黑体"/>
          <w:b w:val="0"/>
        </w:rPr>
      </w:pPr>
      <w:bookmarkStart w:id="27" w:name="_Toc15377209"/>
      <w:bookmarkStart w:id="28"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7"/>
      <w:bookmarkEnd w:id="28"/>
    </w:p>
    <w:p>
      <w:pPr>
        <w:spacing w:line="600" w:lineRule="exact"/>
        <w:ind w:firstLine="643" w:firstLineChars="200"/>
        <w:outlineLvl w:val="2"/>
        <w:rPr>
          <w:rFonts w:ascii="仿宋" w:hAnsi="仿宋" w:eastAsia="仿宋"/>
          <w:b/>
          <w:sz w:val="32"/>
          <w:szCs w:val="32"/>
        </w:rPr>
      </w:pPr>
      <w:bookmarkStart w:id="29" w:name="_Toc15377210"/>
      <w:r>
        <w:rPr>
          <w:rFonts w:hint="eastAsia" w:ascii="仿宋" w:hAnsi="仿宋" w:eastAsia="仿宋"/>
          <w:b/>
          <w:sz w:val="32"/>
          <w:szCs w:val="32"/>
        </w:rPr>
        <w:t>（一）一般公共预算财政拨款支出决算总体情况</w:t>
      </w:r>
      <w:bookmarkEnd w:id="29"/>
    </w:p>
    <w:p>
      <w:pPr>
        <w:pStyle w:val="35"/>
        <w:autoSpaceDE w:val="0"/>
        <w:spacing w:before="0" w:beforeAutospacing="0" w:line="500" w:lineRule="exact"/>
        <w:ind w:firstLine="640" w:firstLineChars="200"/>
        <w:rPr>
          <w:rFonts w:hint="eastAsia" w:ascii="仿宋_GB2312" w:eastAsia="仿宋_GB2312"/>
          <w:sz w:val="32"/>
          <w:szCs w:val="32"/>
        </w:rPr>
      </w:pPr>
      <w:r>
        <w:rPr>
          <w:rFonts w:hint="eastAsia" w:ascii="仿宋" w:hAnsi="仿宋" w:eastAsia="仿宋"/>
          <w:sz w:val="32"/>
          <w:szCs w:val="32"/>
        </w:rPr>
        <w:t>2023年度一般公共预算财政拨款支出</w:t>
      </w:r>
      <w:r>
        <w:rPr>
          <w:sz w:val="32"/>
          <w:szCs w:val="32"/>
        </w:rPr>
        <w:t>1361.77</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641.29</w:t>
      </w:r>
      <w:r>
        <w:rPr>
          <w:rFonts w:hint="eastAsia" w:ascii="仿宋" w:hAnsi="仿宋" w:eastAsia="仿宋"/>
          <w:sz w:val="32"/>
          <w:szCs w:val="32"/>
        </w:rPr>
        <w:t>万元，下降</w:t>
      </w:r>
      <w:r>
        <w:rPr>
          <w:rFonts w:hint="eastAsia" w:ascii="仿宋" w:hAnsi="仿宋" w:eastAsia="仿宋"/>
          <w:sz w:val="32"/>
          <w:szCs w:val="32"/>
          <w:lang w:val="en-US" w:eastAsia="zh-CN"/>
        </w:rPr>
        <w:t>32.02</w:t>
      </w:r>
      <w:r>
        <w:rPr>
          <w:rFonts w:ascii="仿宋" w:hAnsi="仿宋" w:eastAsia="仿宋"/>
          <w:sz w:val="32"/>
          <w:szCs w:val="32"/>
        </w:rPr>
        <w:t>%</w:t>
      </w:r>
      <w:r>
        <w:rPr>
          <w:rFonts w:hint="eastAsia" w:ascii="仿宋" w:hAnsi="仿宋" w:eastAsia="仿宋"/>
          <w:sz w:val="32"/>
          <w:szCs w:val="32"/>
        </w:rPr>
        <w:t>。</w:t>
      </w:r>
      <w:r>
        <w:rPr>
          <w:rFonts w:hint="eastAsia" w:ascii="仿宋_GB2312" w:eastAsia="仿宋_GB2312"/>
          <w:sz w:val="32"/>
          <w:szCs w:val="32"/>
          <w:shd w:val="clear" w:color="auto" w:fill="FFFFFF"/>
        </w:rPr>
        <w:t>主要变动原因是人员、公用经费、项目减少。</w:t>
      </w:r>
    </w:p>
    <w:p>
      <w:pPr>
        <w:spacing w:line="600" w:lineRule="exact"/>
        <w:ind w:firstLine="643" w:firstLineChars="200"/>
        <w:outlineLvl w:val="2"/>
        <w:rPr>
          <w:rFonts w:ascii="仿宋" w:hAnsi="仿宋" w:eastAsia="仿宋"/>
          <w:b/>
          <w:sz w:val="32"/>
          <w:szCs w:val="32"/>
        </w:rPr>
      </w:pPr>
      <w:bookmarkStart w:id="30" w:name="_Toc15377211"/>
      <w:r>
        <w:rPr>
          <w:rFonts w:hint="eastAsia" w:ascii="仿宋" w:hAnsi="仿宋" w:eastAsia="仿宋"/>
          <w:b/>
          <w:sz w:val="32"/>
          <w:szCs w:val="32"/>
        </w:rPr>
        <w:t>（二）一般公共预算财政拨款支出决算结构情况</w:t>
      </w:r>
      <w:bookmarkEnd w:id="30"/>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1361.77</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618.71</w:t>
      </w:r>
      <w:r>
        <w:rPr>
          <w:rFonts w:hint="eastAsia" w:ascii="仿宋" w:hAnsi="仿宋" w:eastAsia="仿宋"/>
          <w:sz w:val="32"/>
          <w:szCs w:val="32"/>
        </w:rPr>
        <w:t>万元，占</w:t>
      </w:r>
      <w:r>
        <w:rPr>
          <w:rFonts w:hint="eastAsia" w:ascii="仿宋" w:hAnsi="仿宋" w:eastAsia="仿宋"/>
          <w:sz w:val="32"/>
          <w:szCs w:val="32"/>
          <w:lang w:val="en-US" w:eastAsia="zh-CN"/>
        </w:rPr>
        <w:t>45.43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城乡社区支出</w:t>
      </w:r>
      <w:r>
        <w:rPr>
          <w:rFonts w:hint="eastAsia" w:ascii="仿宋" w:hAnsi="仿宋" w:eastAsia="仿宋"/>
          <w:b/>
          <w:sz w:val="32"/>
          <w:szCs w:val="32"/>
          <w:lang w:val="en-US" w:eastAsia="zh-CN"/>
        </w:rPr>
        <w:t>7</w:t>
      </w:r>
      <w:r>
        <w:rPr>
          <w:rFonts w:hint="eastAsia" w:ascii="仿宋" w:hAnsi="仿宋" w:eastAsia="仿宋"/>
          <w:sz w:val="32"/>
          <w:szCs w:val="32"/>
        </w:rPr>
        <w:t>万元，占</w:t>
      </w:r>
      <w:r>
        <w:rPr>
          <w:rFonts w:hint="eastAsia" w:ascii="仿宋" w:hAnsi="仿宋" w:eastAsia="仿宋"/>
          <w:sz w:val="32"/>
          <w:szCs w:val="32"/>
          <w:lang w:val="en-US" w:eastAsia="zh-CN"/>
        </w:rPr>
        <w:t>0.51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农林水支出</w:t>
      </w:r>
      <w:r>
        <w:rPr>
          <w:rFonts w:hint="eastAsia" w:ascii="仿宋" w:hAnsi="仿宋" w:eastAsia="仿宋"/>
          <w:b/>
          <w:sz w:val="32"/>
          <w:szCs w:val="32"/>
          <w:lang w:val="en-US" w:eastAsia="zh-CN"/>
        </w:rPr>
        <w:t>553.40</w:t>
      </w:r>
      <w:r>
        <w:rPr>
          <w:rFonts w:hint="eastAsia" w:ascii="仿宋" w:hAnsi="仿宋" w:eastAsia="仿宋"/>
          <w:sz w:val="32"/>
          <w:szCs w:val="32"/>
        </w:rPr>
        <w:t>万元，占</w:t>
      </w:r>
      <w:r>
        <w:rPr>
          <w:rFonts w:hint="eastAsia" w:ascii="仿宋" w:hAnsi="仿宋" w:eastAsia="仿宋"/>
          <w:sz w:val="32"/>
          <w:szCs w:val="32"/>
          <w:lang w:val="en-US" w:eastAsia="zh-CN"/>
        </w:rPr>
        <w:t>40.64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4.56</w:t>
      </w:r>
      <w:r>
        <w:rPr>
          <w:rFonts w:hint="eastAsia" w:ascii="仿宋" w:hAnsi="仿宋" w:eastAsia="仿宋"/>
          <w:b/>
          <w:bCs/>
          <w:sz w:val="32"/>
          <w:szCs w:val="32"/>
        </w:rPr>
        <w:t>万元，占</w:t>
      </w:r>
      <w:r>
        <w:rPr>
          <w:rFonts w:hint="eastAsia" w:ascii="仿宋" w:hAnsi="仿宋" w:eastAsia="仿宋"/>
          <w:b/>
          <w:bCs/>
          <w:sz w:val="32"/>
          <w:szCs w:val="32"/>
          <w:lang w:val="en-US" w:eastAsia="zh-CN"/>
        </w:rPr>
        <w:t>0.33</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88.70</w:t>
      </w:r>
      <w:r>
        <w:rPr>
          <w:rFonts w:hint="eastAsia" w:ascii="仿宋" w:hAnsi="仿宋" w:eastAsia="仿宋"/>
          <w:sz w:val="32"/>
          <w:szCs w:val="32"/>
        </w:rPr>
        <w:t>万元，占</w:t>
      </w:r>
      <w:r>
        <w:rPr>
          <w:rFonts w:hint="eastAsia" w:ascii="仿宋" w:hAnsi="仿宋" w:eastAsia="仿宋"/>
          <w:sz w:val="32"/>
          <w:szCs w:val="32"/>
          <w:lang w:val="en-US" w:eastAsia="zh-CN"/>
        </w:rPr>
        <w:t>6.51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39.81</w:t>
      </w:r>
      <w:r>
        <w:rPr>
          <w:rFonts w:hint="eastAsia" w:ascii="仿宋" w:hAnsi="仿宋" w:eastAsia="仿宋"/>
          <w:sz w:val="32"/>
          <w:szCs w:val="32"/>
        </w:rPr>
        <w:t>万元，占</w:t>
      </w:r>
      <w:r>
        <w:rPr>
          <w:rFonts w:hint="eastAsia" w:ascii="仿宋" w:hAnsi="仿宋" w:eastAsia="仿宋"/>
          <w:sz w:val="32"/>
          <w:szCs w:val="32"/>
          <w:lang w:val="en-US" w:eastAsia="zh-CN"/>
        </w:rPr>
        <w:t>2.92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49.60</w:t>
      </w:r>
      <w:r>
        <w:rPr>
          <w:rFonts w:hint="eastAsia" w:ascii="仿宋" w:hAnsi="仿宋" w:eastAsia="仿宋"/>
          <w:sz w:val="32"/>
          <w:szCs w:val="32"/>
        </w:rPr>
        <w:t>万元，占</w:t>
      </w:r>
      <w:r>
        <w:rPr>
          <w:rFonts w:hint="eastAsia" w:ascii="仿宋" w:hAnsi="仿宋" w:eastAsia="仿宋"/>
          <w:sz w:val="32"/>
          <w:szCs w:val="32"/>
          <w:lang w:val="en-US" w:eastAsia="zh-CN"/>
        </w:rPr>
        <w:t>3.64</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2"/>
        <w:rPr>
          <w:rFonts w:ascii="仿宋" w:hAnsi="仿宋" w:eastAsia="仿宋"/>
          <w:b/>
          <w:sz w:val="32"/>
          <w:szCs w:val="32"/>
        </w:rPr>
      </w:pPr>
      <w:bookmarkStart w:id="31" w:name="_Toc15377212"/>
      <w:r>
        <w:rPr>
          <w:rFonts w:hint="eastAsia" w:ascii="仿宋" w:hAnsi="仿宋" w:eastAsia="仿宋"/>
          <w:b/>
          <w:sz w:val="32"/>
          <w:szCs w:val="32"/>
        </w:rPr>
        <w:t>（三）一般公共预算财政拨款支出决算具体情况</w:t>
      </w:r>
      <w:bookmarkEnd w:id="31"/>
    </w:p>
    <w:p>
      <w:pPr>
        <w:spacing w:line="600" w:lineRule="exact"/>
        <w:ind w:firstLine="643" w:firstLineChars="200"/>
        <w:outlineLvl w:val="2"/>
        <w:rPr>
          <w:rFonts w:ascii="仿宋" w:hAnsi="仿宋" w:eastAsia="仿宋"/>
          <w:sz w:val="32"/>
          <w:szCs w:val="32"/>
        </w:rPr>
      </w:pPr>
      <w:bookmarkStart w:id="32" w:name="_Toc15377213"/>
      <w:bookmarkStart w:id="33" w:name="_Toc15377444"/>
      <w:bookmarkStart w:id="34" w:name="_Toc15378460"/>
      <w:r>
        <w:rPr>
          <w:rFonts w:hint="eastAsia" w:ascii="仿宋" w:hAnsi="仿宋" w:eastAsia="仿宋"/>
          <w:b/>
          <w:sz w:val="32"/>
          <w:szCs w:val="32"/>
        </w:rPr>
        <w:t>2023年度一般公共预算支出决算数为</w:t>
      </w:r>
      <w:r>
        <w:rPr>
          <w:sz w:val="32"/>
          <w:szCs w:val="32"/>
        </w:rPr>
        <w:t>1361.77</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2"/>
      <w:bookmarkEnd w:id="33"/>
      <w:bookmarkEnd w:id="34"/>
    </w:p>
    <w:p>
      <w:pPr>
        <w:keepNext w:val="0"/>
        <w:keepLines w:val="0"/>
        <w:pageBreakBefore w:val="0"/>
        <w:widowControl/>
        <w:kinsoku/>
        <w:wordWrap/>
        <w:overflowPunct/>
        <w:topLinePunct w:val="0"/>
        <w:autoSpaceDE/>
        <w:autoSpaceDN/>
        <w:bidi w:val="0"/>
        <w:snapToGrid/>
        <w:spacing w:afterAutospacing="0" w:line="500" w:lineRule="exact"/>
        <w:ind w:left="630"/>
        <w:rPr>
          <w:rStyle w:val="17"/>
          <w:rFonts w:hint="eastAsia" w:ascii="仿宋_GB2312" w:hAnsi="仿宋_GB2312" w:eastAsia="仿宋_GB2312" w:cs="仿宋_GB2312"/>
          <w:b w:val="0"/>
          <w:bCs/>
          <w:color w:val="000000"/>
          <w:sz w:val="32"/>
          <w:szCs w:val="32"/>
        </w:rPr>
      </w:pPr>
      <w:r>
        <w:rPr>
          <w:rStyle w:val="17"/>
          <w:rFonts w:ascii="仿宋" w:hAnsi="仿宋" w:eastAsia="仿宋"/>
          <w:bCs/>
          <w:sz w:val="32"/>
          <w:szCs w:val="32"/>
        </w:rPr>
        <w:t>1.</w:t>
      </w:r>
      <w:r>
        <w:rPr>
          <w:rStyle w:val="17"/>
          <w:rFonts w:hint="eastAsia" w:ascii="仿宋_GB2312" w:hAnsi="仿宋_GB2312" w:eastAsia="仿宋_GB2312" w:cs="仿宋_GB2312"/>
          <w:bCs/>
          <w:color w:val="000000"/>
          <w:sz w:val="32"/>
          <w:szCs w:val="32"/>
        </w:rPr>
        <w:t>一般公共服务（201）</w:t>
      </w:r>
      <w:r>
        <w:rPr>
          <w:rStyle w:val="17"/>
          <w:rFonts w:hint="eastAsia" w:ascii="仿宋_GB2312" w:hAnsi="仿宋_GB2312" w:eastAsia="仿宋_GB2312" w:cs="仿宋_GB2312"/>
          <w:bCs/>
          <w:color w:val="000000"/>
          <w:sz w:val="32"/>
          <w:szCs w:val="32"/>
          <w:lang w:eastAsia="zh-CN"/>
        </w:rPr>
        <w:t>人大</w:t>
      </w:r>
      <w:r>
        <w:rPr>
          <w:rStyle w:val="17"/>
          <w:rFonts w:hint="eastAsia" w:ascii="仿宋_GB2312" w:hAnsi="仿宋_GB2312" w:eastAsia="仿宋_GB2312" w:cs="仿宋_GB2312"/>
          <w:bCs/>
          <w:color w:val="000000"/>
          <w:sz w:val="32"/>
          <w:szCs w:val="32"/>
        </w:rPr>
        <w:t>事务（0</w:t>
      </w:r>
      <w:r>
        <w:rPr>
          <w:rStyle w:val="17"/>
          <w:rFonts w:hint="eastAsia" w:ascii="仿宋_GB2312" w:hAnsi="仿宋_GB2312" w:eastAsia="仿宋_GB2312" w:cs="仿宋_GB2312"/>
          <w:bCs/>
          <w:color w:val="000000"/>
          <w:sz w:val="32"/>
          <w:szCs w:val="32"/>
          <w:lang w:val="en-US" w:eastAsia="zh-CN"/>
        </w:rPr>
        <w:t>1</w:t>
      </w:r>
      <w:r>
        <w:rPr>
          <w:rStyle w:val="17"/>
          <w:rFonts w:hint="eastAsia" w:ascii="仿宋_GB2312" w:hAnsi="仿宋_GB2312" w:eastAsia="仿宋_GB2312" w:cs="仿宋_GB2312"/>
          <w:bCs/>
          <w:color w:val="000000"/>
          <w:sz w:val="32"/>
          <w:szCs w:val="32"/>
        </w:rPr>
        <w:t>）行政运行（01）:</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5.3</w:t>
      </w:r>
      <w:r>
        <w:rPr>
          <w:rStyle w:val="17"/>
          <w:rFonts w:hint="eastAsia" w:ascii="仿宋_GB2312" w:hAnsi="仿宋_GB2312" w:eastAsia="仿宋_GB2312" w:cs="仿宋_GB2312"/>
          <w:b w:val="0"/>
          <w:bCs/>
          <w:color w:val="000000"/>
          <w:sz w:val="32"/>
          <w:szCs w:val="32"/>
        </w:rPr>
        <w:t>万元，完成预算100%。</w:t>
      </w:r>
    </w:p>
    <w:p>
      <w:pPr>
        <w:spacing w:line="600" w:lineRule="exact"/>
        <w:ind w:firstLine="643" w:firstLineChars="200"/>
        <w:rPr>
          <w:rStyle w:val="17"/>
          <w:rFonts w:hint="eastAsia" w:ascii="仿宋_GB2312" w:hAnsi="仿宋_GB2312" w:eastAsia="仿宋_GB2312" w:cs="仿宋_GB2312"/>
          <w:b w:val="0"/>
          <w:bCs/>
          <w:color w:val="000000"/>
          <w:sz w:val="32"/>
          <w:szCs w:val="32"/>
        </w:rPr>
      </w:pPr>
      <w:r>
        <w:rPr>
          <w:rStyle w:val="17"/>
          <w:rFonts w:ascii="仿宋" w:hAnsi="仿宋" w:eastAsia="仿宋"/>
          <w:bCs/>
          <w:sz w:val="32"/>
          <w:szCs w:val="32"/>
        </w:rPr>
        <w:t>2.</w:t>
      </w:r>
      <w:r>
        <w:rPr>
          <w:rStyle w:val="17"/>
          <w:rFonts w:hint="eastAsia" w:ascii="仿宋_GB2312" w:hAnsi="仿宋_GB2312" w:eastAsia="仿宋_GB2312" w:cs="仿宋_GB2312"/>
          <w:bCs/>
          <w:color w:val="000000"/>
          <w:sz w:val="32"/>
          <w:szCs w:val="32"/>
        </w:rPr>
        <w:t>一般公共服务（201）政府办公厅（室）及相关机构事务（03）行政运行（01）:</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390.50</w:t>
      </w:r>
      <w:r>
        <w:rPr>
          <w:rStyle w:val="17"/>
          <w:rFonts w:hint="eastAsia" w:ascii="仿宋_GB2312" w:hAnsi="仿宋_GB2312" w:eastAsia="仿宋_GB2312" w:cs="仿宋_GB2312"/>
          <w:b w:val="0"/>
          <w:bCs/>
          <w:color w:val="000000"/>
          <w:sz w:val="32"/>
          <w:szCs w:val="32"/>
        </w:rPr>
        <w:t>万元，完成预算100%。</w:t>
      </w:r>
    </w:p>
    <w:p>
      <w:pPr>
        <w:keepNext w:val="0"/>
        <w:keepLines w:val="0"/>
        <w:pageBreakBefore w:val="0"/>
        <w:widowControl/>
        <w:numPr>
          <w:ilvl w:val="0"/>
          <w:numId w:val="0"/>
        </w:numPr>
        <w:kinsoku/>
        <w:wordWrap/>
        <w:overflowPunct/>
        <w:topLinePunct w:val="0"/>
        <w:autoSpaceDE/>
        <w:autoSpaceDN/>
        <w:bidi w:val="0"/>
        <w:snapToGrid/>
        <w:spacing w:beforeAutospacing="0" w:afterAutospacing="0" w:line="500" w:lineRule="exact"/>
        <w:ind w:firstLine="643" w:firstLineChars="200"/>
      </w:pPr>
      <w:r>
        <w:rPr>
          <w:rStyle w:val="17"/>
          <w:rFonts w:hint="eastAsia" w:ascii="仿宋_GB2312" w:hAnsi="仿宋_GB2312" w:eastAsia="仿宋_GB2312" w:cs="仿宋_GB2312"/>
          <w:bCs/>
          <w:color w:val="000000"/>
          <w:sz w:val="32"/>
          <w:szCs w:val="32"/>
          <w:lang w:val="en-US" w:eastAsia="zh-CN"/>
        </w:rPr>
        <w:t>3.</w:t>
      </w:r>
      <w:r>
        <w:rPr>
          <w:rStyle w:val="17"/>
          <w:rFonts w:hint="eastAsia" w:ascii="仿宋_GB2312" w:hAnsi="仿宋_GB2312" w:eastAsia="仿宋_GB2312" w:cs="仿宋_GB2312"/>
          <w:bCs/>
          <w:color w:val="000000"/>
          <w:sz w:val="32"/>
          <w:szCs w:val="32"/>
        </w:rPr>
        <w:t>一般公共服务（</w:t>
      </w:r>
      <w:r>
        <w:rPr>
          <w:rStyle w:val="17"/>
          <w:rFonts w:hint="eastAsia" w:ascii="仿宋_GB2312" w:hAnsi="仿宋_GB2312" w:eastAsia="仿宋_GB2312" w:cs="仿宋_GB2312"/>
          <w:bCs/>
          <w:color w:val="000000"/>
          <w:sz w:val="32"/>
          <w:szCs w:val="32"/>
          <w:lang w:val="en-US" w:eastAsia="zh-CN"/>
        </w:rPr>
        <w:t>201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政府办公厅（室）及相关机构事务</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03</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事业运行</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50</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 xml:space="preserve"> 支出决算为</w:t>
      </w:r>
      <w:r>
        <w:rPr>
          <w:rStyle w:val="17"/>
          <w:rFonts w:hint="eastAsia" w:ascii="仿宋_GB2312" w:hAnsi="仿宋_GB2312" w:eastAsia="仿宋_GB2312" w:cs="仿宋_GB2312"/>
          <w:b w:val="0"/>
          <w:bCs/>
          <w:color w:val="000000"/>
          <w:sz w:val="32"/>
          <w:szCs w:val="32"/>
          <w:lang w:val="en-US" w:eastAsia="zh-CN"/>
        </w:rPr>
        <w:t>192.34</w:t>
      </w:r>
      <w:r>
        <w:rPr>
          <w:rStyle w:val="17"/>
          <w:rFonts w:hint="eastAsia" w:ascii="仿宋_GB2312" w:hAnsi="仿宋_GB2312" w:eastAsia="仿宋_GB2312" w:cs="仿宋_GB2312"/>
          <w:b w:val="0"/>
          <w:bCs/>
          <w:color w:val="000000"/>
          <w:sz w:val="32"/>
          <w:szCs w:val="32"/>
        </w:rPr>
        <w:t>万元，完成预算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Style w:val="17"/>
          <w:rFonts w:hint="eastAsia" w:ascii="仿宋_GB2312" w:hAnsi="仿宋_GB2312" w:eastAsia="仿宋_GB2312" w:cs="仿宋_GB2312"/>
          <w:b w:val="0"/>
          <w:bCs/>
          <w:color w:val="000000"/>
          <w:sz w:val="32"/>
          <w:szCs w:val="32"/>
          <w:lang w:eastAsia="zh-CN"/>
        </w:rPr>
        <w:t>。</w:t>
      </w:r>
    </w:p>
    <w:p>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4</w:t>
      </w:r>
      <w:r>
        <w:rPr>
          <w:rStyle w:val="17"/>
          <w:rFonts w:ascii="仿宋" w:hAnsi="仿宋" w:eastAsia="仿宋"/>
          <w:bCs/>
          <w:sz w:val="32"/>
          <w:szCs w:val="32"/>
        </w:rPr>
        <w:t>.</w:t>
      </w:r>
      <w:r>
        <w:rPr>
          <w:rStyle w:val="17"/>
          <w:rFonts w:hint="eastAsia" w:ascii="仿宋_GB2312" w:hAnsi="仿宋_GB2312" w:eastAsia="仿宋_GB2312" w:cs="仿宋_GB2312"/>
          <w:bCs/>
          <w:color w:val="000000"/>
          <w:sz w:val="32"/>
          <w:szCs w:val="32"/>
        </w:rPr>
        <w:t>一般公共服务（201）政府办公厅（室）及相关机构事务（03）</w:t>
      </w:r>
      <w:r>
        <w:rPr>
          <w:rStyle w:val="17"/>
          <w:rFonts w:hint="eastAsia" w:ascii="仿宋_GB2312" w:hAnsi="仿宋_GB2312" w:eastAsia="仿宋_GB2312" w:cs="仿宋_GB2312"/>
          <w:bCs/>
          <w:color w:val="000000"/>
          <w:sz w:val="32"/>
          <w:szCs w:val="32"/>
          <w:lang w:eastAsia="zh-CN"/>
        </w:rPr>
        <w:t>其他</w:t>
      </w:r>
      <w:r>
        <w:rPr>
          <w:rStyle w:val="17"/>
          <w:rFonts w:hint="eastAsia" w:ascii="仿宋_GB2312" w:hAnsi="仿宋_GB2312" w:eastAsia="仿宋_GB2312" w:cs="仿宋_GB2312"/>
          <w:bCs/>
          <w:color w:val="000000"/>
          <w:sz w:val="32"/>
          <w:szCs w:val="32"/>
        </w:rPr>
        <w:t>政府办公厅（室）及相关机构</w:t>
      </w:r>
      <w:r>
        <w:rPr>
          <w:rStyle w:val="17"/>
          <w:rFonts w:hint="eastAsia" w:ascii="仿宋_GB2312" w:hAnsi="仿宋_GB2312" w:eastAsia="仿宋_GB2312" w:cs="仿宋_GB2312"/>
          <w:bCs/>
          <w:color w:val="000000"/>
          <w:sz w:val="32"/>
          <w:szCs w:val="32"/>
          <w:lang w:eastAsia="zh-CN"/>
        </w:rPr>
        <w:t>事务支出</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99</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28.97</w:t>
      </w:r>
      <w:r>
        <w:rPr>
          <w:rStyle w:val="17"/>
          <w:rFonts w:hint="eastAsia" w:ascii="仿宋_GB2312" w:hAnsi="仿宋_GB2312" w:eastAsia="仿宋_GB2312" w:cs="仿宋_GB2312"/>
          <w:b w:val="0"/>
          <w:bCs/>
          <w:color w:val="000000"/>
          <w:sz w:val="32"/>
          <w:szCs w:val="32"/>
        </w:rPr>
        <w:t>万元，完成预算100%。</w:t>
      </w:r>
      <w:r>
        <w:rPr>
          <w:rStyle w:val="17"/>
          <w:rFonts w:hint="eastAsia" w:ascii="仿宋" w:hAnsi="仿宋" w:eastAsia="仿宋"/>
          <w:b w:val="0"/>
          <w:bCs/>
          <w:sz w:val="32"/>
          <w:szCs w:val="32"/>
        </w:rPr>
        <w:t>。</w:t>
      </w:r>
    </w:p>
    <w:p>
      <w:pPr>
        <w:keepNext w:val="0"/>
        <w:keepLines w:val="0"/>
        <w:pageBreakBefore w:val="0"/>
        <w:widowControl/>
        <w:kinsoku/>
        <w:wordWrap/>
        <w:overflowPunct/>
        <w:topLinePunct w:val="0"/>
        <w:autoSpaceDE/>
        <w:autoSpaceDN/>
        <w:bidi w:val="0"/>
        <w:snapToGrid/>
        <w:spacing w:afterAutospacing="0" w:line="500" w:lineRule="exact"/>
        <w:rPr>
          <w:rStyle w:val="17"/>
          <w:rFonts w:ascii="仿宋" w:hAnsi="仿宋" w:eastAsia="仿宋"/>
          <w:bCs/>
          <w:sz w:val="32"/>
          <w:szCs w:val="32"/>
        </w:rPr>
      </w:pPr>
      <w:r>
        <w:rPr>
          <w:rStyle w:val="17"/>
          <w:rFonts w:hint="eastAsia" w:ascii="仿宋" w:hAnsi="仿宋" w:eastAsia="仿宋"/>
          <w:bCs/>
          <w:sz w:val="32"/>
          <w:szCs w:val="32"/>
          <w:lang w:val="en-US" w:eastAsia="zh-CN"/>
        </w:rPr>
        <w:t xml:space="preserve">    5</w:t>
      </w:r>
      <w:r>
        <w:rPr>
          <w:rStyle w:val="17"/>
          <w:rFonts w:ascii="仿宋" w:hAnsi="仿宋" w:eastAsia="仿宋"/>
          <w:bCs/>
          <w:sz w:val="32"/>
          <w:szCs w:val="32"/>
        </w:rPr>
        <w:t>.</w:t>
      </w:r>
      <w:r>
        <w:rPr>
          <w:rStyle w:val="17"/>
          <w:rFonts w:hint="eastAsia" w:ascii="仿宋_GB2312" w:hAnsi="仿宋_GB2312" w:eastAsia="仿宋_GB2312" w:cs="仿宋_GB2312"/>
          <w:bCs/>
          <w:color w:val="000000"/>
          <w:sz w:val="32"/>
          <w:szCs w:val="32"/>
        </w:rPr>
        <w:t>一般公共服务（201）</w:t>
      </w:r>
      <w:r>
        <w:rPr>
          <w:rStyle w:val="17"/>
          <w:rFonts w:hint="eastAsia" w:ascii="仿宋_GB2312" w:hAnsi="仿宋_GB2312" w:eastAsia="仿宋_GB2312" w:cs="仿宋_GB2312"/>
          <w:bCs/>
          <w:color w:val="000000"/>
          <w:sz w:val="32"/>
          <w:szCs w:val="32"/>
          <w:lang w:val="en-US" w:eastAsia="zh-CN"/>
        </w:rPr>
        <w:t>党委</w:t>
      </w:r>
      <w:r>
        <w:rPr>
          <w:rStyle w:val="17"/>
          <w:rFonts w:hint="eastAsia" w:ascii="仿宋_GB2312" w:hAnsi="仿宋_GB2312" w:eastAsia="仿宋_GB2312" w:cs="仿宋_GB2312"/>
          <w:bCs/>
          <w:color w:val="000000"/>
          <w:sz w:val="32"/>
          <w:szCs w:val="32"/>
        </w:rPr>
        <w:t>办公厅（室）及相关机构</w:t>
      </w:r>
      <w:r>
        <w:rPr>
          <w:rStyle w:val="17"/>
          <w:rFonts w:hint="eastAsia" w:ascii="仿宋_GB2312" w:hAnsi="仿宋_GB2312" w:eastAsia="仿宋_GB2312" w:cs="仿宋_GB2312"/>
          <w:bCs/>
          <w:color w:val="000000"/>
          <w:sz w:val="32"/>
          <w:szCs w:val="32"/>
          <w:lang w:eastAsia="zh-CN"/>
        </w:rPr>
        <w:t>事务</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31</w:t>
      </w:r>
      <w:r>
        <w:rPr>
          <w:rStyle w:val="17"/>
          <w:rFonts w:hint="eastAsia" w:ascii="仿宋_GB2312" w:hAnsi="仿宋_GB2312" w:eastAsia="仿宋_GB2312" w:cs="仿宋_GB2312"/>
          <w:bCs/>
          <w:color w:val="000000"/>
          <w:sz w:val="32"/>
          <w:szCs w:val="32"/>
        </w:rPr>
        <w:t>）行政运行（01）:</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1.6</w:t>
      </w:r>
      <w:r>
        <w:rPr>
          <w:rStyle w:val="17"/>
          <w:rFonts w:hint="eastAsia" w:ascii="仿宋_GB2312" w:hAnsi="仿宋_GB2312" w:eastAsia="仿宋_GB2312" w:cs="仿宋_GB2312"/>
          <w:b w:val="0"/>
          <w:bCs/>
          <w:color w:val="000000"/>
          <w:sz w:val="32"/>
          <w:szCs w:val="32"/>
        </w:rPr>
        <w:t>万元，完成预算100%。</w:t>
      </w:r>
    </w:p>
    <w:p>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6.</w:t>
      </w:r>
      <w:r>
        <w:rPr>
          <w:rStyle w:val="17"/>
          <w:rFonts w:hint="eastAsia" w:ascii="仿宋" w:hAnsi="仿宋" w:eastAsia="仿宋"/>
          <w:bCs/>
          <w:sz w:val="32"/>
          <w:szCs w:val="32"/>
        </w:rPr>
        <w:t>文化旅游体育与传媒（</w:t>
      </w:r>
      <w:r>
        <w:rPr>
          <w:rStyle w:val="17"/>
          <w:rFonts w:hint="eastAsia" w:ascii="仿宋" w:hAnsi="仿宋" w:eastAsia="仿宋"/>
          <w:bCs/>
          <w:sz w:val="32"/>
          <w:szCs w:val="32"/>
          <w:lang w:val="en-US" w:eastAsia="zh-CN"/>
        </w:rPr>
        <w:t>207</w:t>
      </w:r>
      <w:r>
        <w:rPr>
          <w:rStyle w:val="17"/>
          <w:rFonts w:hint="eastAsia" w:ascii="仿宋" w:hAnsi="仿宋" w:eastAsia="仿宋"/>
          <w:bCs/>
          <w:sz w:val="32"/>
          <w:szCs w:val="32"/>
        </w:rPr>
        <w:t>）</w:t>
      </w:r>
      <w:r>
        <w:rPr>
          <w:rStyle w:val="17"/>
          <w:rFonts w:hint="eastAsia" w:ascii="仿宋" w:hAnsi="仿宋" w:eastAsia="仿宋"/>
          <w:bCs/>
          <w:sz w:val="32"/>
          <w:szCs w:val="32"/>
          <w:lang w:eastAsia="zh-CN"/>
        </w:rPr>
        <w:t>文化和旅游</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hint="eastAsia" w:ascii="仿宋" w:hAnsi="仿宋" w:eastAsia="仿宋"/>
          <w:bCs/>
          <w:sz w:val="32"/>
          <w:szCs w:val="32"/>
          <w:lang w:eastAsia="zh-CN"/>
        </w:rPr>
        <w:t>群众文化</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09</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4.56</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keepNext w:val="0"/>
        <w:keepLines w:val="0"/>
        <w:pageBreakBefore w:val="0"/>
        <w:widowControl/>
        <w:kinsoku/>
        <w:wordWrap/>
        <w:overflowPunct/>
        <w:topLinePunct w:val="0"/>
        <w:autoSpaceDE/>
        <w:autoSpaceDN/>
        <w:bidi w:val="0"/>
        <w:snapToGrid/>
        <w:spacing w:afterAutospacing="0" w:line="500" w:lineRule="exact"/>
        <w:ind w:firstLine="643" w:firstLineChars="200"/>
        <w:rPr>
          <w:rStyle w:val="17"/>
          <w:rFonts w:hint="eastAsia" w:ascii="仿宋_GB2312" w:hAnsi="仿宋_GB2312" w:eastAsia="仿宋_GB2312" w:cs="仿宋_GB2312"/>
          <w:b w:val="0"/>
          <w:bCs/>
          <w:color w:val="000000"/>
          <w:sz w:val="32"/>
          <w:szCs w:val="32"/>
        </w:rPr>
      </w:pPr>
      <w:r>
        <w:rPr>
          <w:rStyle w:val="17"/>
          <w:rFonts w:hint="eastAsia" w:ascii="仿宋" w:hAnsi="仿宋" w:eastAsia="仿宋"/>
          <w:bCs/>
          <w:sz w:val="32"/>
          <w:szCs w:val="32"/>
          <w:lang w:val="en-US" w:eastAsia="zh-CN"/>
        </w:rPr>
        <w:t>7</w:t>
      </w:r>
      <w:r>
        <w:rPr>
          <w:rStyle w:val="17"/>
          <w:rFonts w:ascii="仿宋" w:hAnsi="仿宋" w:eastAsia="仿宋"/>
          <w:bCs/>
          <w:sz w:val="32"/>
          <w:szCs w:val="32"/>
        </w:rPr>
        <w:t>.</w:t>
      </w:r>
      <w:r>
        <w:rPr>
          <w:rStyle w:val="17"/>
          <w:rFonts w:hint="eastAsia" w:ascii="仿宋_GB2312" w:hAnsi="仿宋_GB2312" w:eastAsia="仿宋_GB2312" w:cs="仿宋_GB2312"/>
          <w:bCs/>
          <w:color w:val="000000"/>
          <w:sz w:val="32"/>
          <w:szCs w:val="32"/>
        </w:rPr>
        <w:t>社会保障和就业（208）行政事业单位养老支出（05）机关事业单位基本养老保险缴费支出（05）:</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56.19</w:t>
      </w:r>
      <w:r>
        <w:rPr>
          <w:rStyle w:val="17"/>
          <w:rFonts w:hint="eastAsia" w:ascii="仿宋_GB2312" w:hAnsi="仿宋_GB2312" w:eastAsia="仿宋_GB2312" w:cs="仿宋_GB2312"/>
          <w:b w:val="0"/>
          <w:bCs/>
          <w:color w:val="000000"/>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Fonts w:ascii="仿宋" w:hAnsi="仿宋" w:eastAsia="仿宋"/>
          <w:b/>
          <w:sz w:val="32"/>
          <w:szCs w:val="32"/>
        </w:rPr>
      </w:pPr>
      <w:r>
        <w:rPr>
          <w:rStyle w:val="17"/>
          <w:rFonts w:hint="eastAsia" w:ascii="仿宋_GB2312" w:hAnsi="仿宋_GB2312" w:eastAsia="仿宋_GB2312" w:cs="仿宋_GB2312"/>
          <w:bCs/>
          <w:sz w:val="32"/>
          <w:szCs w:val="32"/>
          <w:lang w:val="en-US" w:eastAsia="zh-CN"/>
        </w:rPr>
        <w:t>8</w:t>
      </w:r>
      <w:r>
        <w:rPr>
          <w:rStyle w:val="17"/>
          <w:rFonts w:hint="eastAsia" w:ascii="仿宋_GB2312" w:hAnsi="仿宋_GB2312" w:eastAsia="仿宋_GB2312" w:cs="仿宋_GB2312"/>
          <w:bCs/>
          <w:sz w:val="32"/>
          <w:szCs w:val="32"/>
        </w:rPr>
        <w:t>.社会保障和就业（208）行政事业单位养老支出（05）机关事业职业年金缴费支出（06）:</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32.5</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lang w:val="en-US" w:eastAsia="zh-CN"/>
        </w:rPr>
        <w:t>9</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7"/>
          <w:rFonts w:hint="eastAsia" w:ascii="仿宋_GB2312" w:hAnsi="仿宋_GB2312" w:eastAsia="仿宋_GB2312" w:cs="仿宋_GB2312"/>
          <w:bCs/>
          <w:sz w:val="32"/>
          <w:szCs w:val="32"/>
        </w:rPr>
        <w:t>（210）公共卫生（04）重大公共卫生服务（09）:</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2</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lang w:val="en-US" w:eastAsia="zh-CN"/>
        </w:rPr>
        <w:t>10</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7"/>
          <w:rFonts w:hint="eastAsia" w:ascii="仿宋_GB2312" w:hAnsi="仿宋_GB2312" w:eastAsia="仿宋_GB2312" w:cs="仿宋_GB2312"/>
          <w:bCs/>
          <w:sz w:val="32"/>
          <w:szCs w:val="32"/>
        </w:rPr>
        <w:t>（210）行政事业单位医疗（11）行政单位医疗（01）:</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20.01</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210</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行政事业单位医疗</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事业单位医疗（</w:t>
      </w:r>
      <w:r>
        <w:rPr>
          <w:rStyle w:val="17"/>
          <w:rFonts w:hint="eastAsia" w:ascii="仿宋_GB2312" w:hAnsi="仿宋_GB2312" w:eastAsia="仿宋_GB2312" w:cs="仿宋_GB2312"/>
          <w:bCs/>
          <w:color w:val="000000"/>
          <w:sz w:val="32"/>
          <w:szCs w:val="32"/>
          <w:lang w:val="en-US" w:eastAsia="zh-CN"/>
        </w:rPr>
        <w:t>02</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10.37</w:t>
      </w:r>
      <w:r>
        <w:rPr>
          <w:rStyle w:val="17"/>
          <w:rFonts w:hint="eastAsia" w:ascii="仿宋_GB2312" w:hAnsi="仿宋_GB2312" w:eastAsia="仿宋_GB2312" w:cs="仿宋_GB2312"/>
          <w:b w:val="0"/>
          <w:bCs/>
          <w:color w:val="000000"/>
          <w:sz w:val="32"/>
          <w:szCs w:val="32"/>
        </w:rPr>
        <w:t>万元，完成预算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Style w:val="17"/>
          <w:rFonts w:hint="eastAsia" w:ascii="仿宋_GB2312" w:hAnsi="仿宋_GB2312" w:eastAsia="仿宋_GB2312" w:cs="仿宋_GB2312"/>
          <w:b w:val="0"/>
          <w:bCs/>
          <w:color w:val="000000"/>
          <w:sz w:val="32"/>
          <w:szCs w:val="32"/>
          <w:lang w:eastAsia="zh-CN"/>
        </w:rPr>
        <w:t>。</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rPr>
        <w:t>1</w:t>
      </w:r>
      <w:r>
        <w:rPr>
          <w:rStyle w:val="17"/>
          <w:rFonts w:hint="eastAsia" w:ascii="仿宋_GB2312" w:hAnsi="仿宋_GB2312" w:eastAsia="仿宋_GB2312" w:cs="仿宋_GB2312"/>
          <w:bCs/>
          <w:sz w:val="32"/>
          <w:szCs w:val="32"/>
          <w:lang w:val="en-US" w:eastAsia="zh-CN"/>
        </w:rPr>
        <w:t>2</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7"/>
          <w:rFonts w:hint="eastAsia" w:ascii="仿宋_GB2312" w:hAnsi="仿宋_GB2312" w:eastAsia="仿宋_GB2312" w:cs="仿宋_GB2312"/>
          <w:bCs/>
          <w:sz w:val="32"/>
          <w:szCs w:val="32"/>
        </w:rPr>
        <w:t>（210）行政事业单位医疗（11）公务员医疗补助（03）:</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6.61</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beforeAutospacing="0"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color w:val="000000"/>
          <w:sz w:val="32"/>
          <w:szCs w:val="32"/>
          <w:lang w:val="en-US" w:eastAsia="zh-CN"/>
        </w:rPr>
        <w:t>13</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210</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行政事业单位医疗</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其他事业行政单位医疗支出（</w:t>
      </w:r>
      <w:r>
        <w:rPr>
          <w:rStyle w:val="17"/>
          <w:rFonts w:hint="eastAsia" w:ascii="仿宋_GB2312" w:hAnsi="仿宋_GB2312" w:eastAsia="仿宋_GB2312" w:cs="仿宋_GB2312"/>
          <w:bCs/>
          <w:color w:val="000000"/>
          <w:sz w:val="32"/>
          <w:szCs w:val="32"/>
          <w:lang w:val="en-US" w:eastAsia="zh-CN"/>
        </w:rPr>
        <w:t>99</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0.18</w:t>
      </w:r>
      <w:r>
        <w:rPr>
          <w:rStyle w:val="17"/>
          <w:rFonts w:hint="eastAsia" w:ascii="仿宋_GB2312" w:hAnsi="仿宋_GB2312" w:eastAsia="仿宋_GB2312" w:cs="仿宋_GB2312"/>
          <w:b w:val="0"/>
          <w:bCs/>
          <w:color w:val="000000"/>
          <w:sz w:val="32"/>
          <w:szCs w:val="32"/>
        </w:rPr>
        <w:t>万元，完成预算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Style w:val="17"/>
          <w:rFonts w:hint="eastAsia" w:ascii="仿宋_GB2312" w:hAnsi="仿宋_GB2312" w:eastAsia="仿宋_GB2312" w:cs="仿宋_GB2312"/>
          <w:b w:val="0"/>
          <w:bCs/>
          <w:color w:val="000000"/>
          <w:sz w:val="32"/>
          <w:szCs w:val="32"/>
          <w:lang w:eastAsia="zh-CN"/>
        </w:rPr>
        <w:t>。</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14.</w:t>
      </w:r>
      <w:r>
        <w:rPr>
          <w:rFonts w:hint="eastAsia" w:ascii="仿宋_GB2312" w:hAnsi="仿宋_GB2312" w:eastAsia="仿宋_GB2312" w:cs="仿宋_GB2312"/>
          <w:b/>
          <w:bCs/>
          <w:sz w:val="32"/>
          <w:szCs w:val="32"/>
        </w:rPr>
        <w:t>城乡社区</w:t>
      </w:r>
      <w:r>
        <w:rPr>
          <w:rStyle w:val="17"/>
          <w:rFonts w:hint="eastAsia" w:ascii="仿宋_GB2312" w:hAnsi="仿宋_GB2312" w:eastAsia="仿宋_GB2312" w:cs="仿宋_GB2312"/>
          <w:bCs/>
          <w:sz w:val="32"/>
          <w:szCs w:val="32"/>
        </w:rPr>
        <w:t>（212）</w:t>
      </w:r>
      <w:r>
        <w:rPr>
          <w:rStyle w:val="17"/>
          <w:rFonts w:hint="eastAsia" w:ascii="仿宋_GB2312" w:hAnsi="仿宋_GB2312" w:eastAsia="仿宋_GB2312" w:cs="仿宋_GB2312"/>
          <w:bCs/>
          <w:sz w:val="32"/>
          <w:szCs w:val="32"/>
          <w:lang w:eastAsia="zh-CN"/>
        </w:rPr>
        <w:t>城乡社区环境卫生</w:t>
      </w:r>
      <w:r>
        <w:rPr>
          <w:rStyle w:val="17"/>
          <w:rFonts w:hint="eastAsia" w:ascii="仿宋_GB2312" w:hAnsi="仿宋_GB2312" w:eastAsia="仿宋_GB2312" w:cs="仿宋_GB2312"/>
          <w:bCs/>
          <w:sz w:val="32"/>
          <w:szCs w:val="32"/>
        </w:rPr>
        <w:t>（</w:t>
      </w:r>
      <w:r>
        <w:rPr>
          <w:rStyle w:val="17"/>
          <w:rFonts w:hint="eastAsia" w:ascii="仿宋_GB2312" w:hAnsi="仿宋_GB2312" w:eastAsia="仿宋_GB2312" w:cs="仿宋_GB2312"/>
          <w:bCs/>
          <w:sz w:val="32"/>
          <w:szCs w:val="32"/>
          <w:lang w:val="en-US" w:eastAsia="zh-CN"/>
        </w:rPr>
        <w:t>05</w:t>
      </w:r>
      <w:r>
        <w:rPr>
          <w:rStyle w:val="17"/>
          <w:rFonts w:hint="eastAsia" w:ascii="仿宋_GB2312" w:hAnsi="仿宋_GB2312" w:eastAsia="仿宋_GB2312" w:cs="仿宋_GB2312"/>
          <w:bCs/>
          <w:sz w:val="32"/>
          <w:szCs w:val="32"/>
        </w:rPr>
        <w:t xml:space="preserve">）  </w:t>
      </w:r>
      <w:r>
        <w:rPr>
          <w:rStyle w:val="17"/>
          <w:rFonts w:hint="eastAsia" w:ascii="仿宋_GB2312" w:hAnsi="仿宋_GB2312" w:eastAsia="仿宋_GB2312" w:cs="仿宋_GB2312"/>
          <w:bCs/>
          <w:sz w:val="32"/>
          <w:szCs w:val="32"/>
          <w:lang w:eastAsia="zh-CN"/>
        </w:rPr>
        <w:t>城乡社区环境卫生</w:t>
      </w:r>
      <w:r>
        <w:rPr>
          <w:rStyle w:val="17"/>
          <w:rFonts w:hint="eastAsia" w:ascii="仿宋_GB2312" w:hAnsi="仿宋_GB2312" w:eastAsia="仿宋_GB2312" w:cs="仿宋_GB2312"/>
          <w:bCs/>
          <w:sz w:val="32"/>
          <w:szCs w:val="32"/>
        </w:rPr>
        <w:t>（0</w:t>
      </w:r>
      <w:r>
        <w:rPr>
          <w:rStyle w:val="17"/>
          <w:rFonts w:hint="eastAsia" w:ascii="仿宋_GB2312" w:hAnsi="仿宋_GB2312" w:eastAsia="仿宋_GB2312" w:cs="仿宋_GB2312"/>
          <w:bCs/>
          <w:sz w:val="32"/>
          <w:szCs w:val="32"/>
          <w:lang w:val="en-US" w:eastAsia="zh-CN"/>
        </w:rPr>
        <w:t>1</w:t>
      </w:r>
      <w:r>
        <w:rPr>
          <w:rStyle w:val="17"/>
          <w:rFonts w:hint="eastAsia" w:ascii="仿宋_GB2312" w:hAnsi="仿宋_GB2312" w:eastAsia="仿宋_GB2312" w:cs="仿宋_GB2312"/>
          <w:bCs/>
          <w:sz w:val="32"/>
          <w:szCs w:val="32"/>
        </w:rPr>
        <w:t>）:</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7</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rPr>
        <w:t>1</w:t>
      </w:r>
      <w:r>
        <w:rPr>
          <w:rStyle w:val="17"/>
          <w:rFonts w:hint="eastAsia" w:ascii="仿宋_GB2312" w:hAnsi="仿宋_GB2312" w:eastAsia="仿宋_GB2312" w:cs="仿宋_GB2312"/>
          <w:bCs/>
          <w:sz w:val="32"/>
          <w:szCs w:val="32"/>
          <w:lang w:val="en-US" w:eastAsia="zh-CN"/>
        </w:rPr>
        <w:t>5</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7"/>
          <w:rFonts w:hint="eastAsia" w:ascii="仿宋_GB2312" w:hAnsi="仿宋_GB2312" w:eastAsia="仿宋_GB2312" w:cs="仿宋_GB2312"/>
          <w:bCs/>
          <w:sz w:val="32"/>
          <w:szCs w:val="32"/>
        </w:rPr>
        <w:t>（213）农业农村（01）其他农业农村支出（99）:</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116.27</w:t>
      </w:r>
      <w:r>
        <w:rPr>
          <w:rStyle w:val="17"/>
          <w:rFonts w:hint="eastAsia" w:ascii="仿宋_GB2312" w:hAnsi="仿宋_GB2312" w:eastAsia="仿宋_GB2312" w:cs="仿宋_GB2312"/>
          <w:b w:val="0"/>
          <w:bCs/>
          <w:sz w:val="32"/>
          <w:szCs w:val="32"/>
        </w:rPr>
        <w:t>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rPr>
        <w:t>1</w:t>
      </w:r>
      <w:r>
        <w:rPr>
          <w:rStyle w:val="17"/>
          <w:rFonts w:hint="eastAsia" w:ascii="仿宋_GB2312" w:hAnsi="仿宋_GB2312" w:eastAsia="仿宋_GB2312" w:cs="仿宋_GB2312"/>
          <w:bCs/>
          <w:sz w:val="32"/>
          <w:szCs w:val="32"/>
          <w:lang w:val="en-US" w:eastAsia="zh-CN"/>
        </w:rPr>
        <w:t>6</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7"/>
          <w:rFonts w:hint="eastAsia" w:ascii="仿宋_GB2312" w:hAnsi="仿宋_GB2312" w:eastAsia="仿宋_GB2312" w:cs="仿宋_GB2312"/>
          <w:bCs/>
          <w:sz w:val="32"/>
          <w:szCs w:val="32"/>
        </w:rPr>
        <w:t>（213）巩固脱贫攻坚成果衔接乡村振兴（05）其他巩固脱贫攻坚成果衔接乡村振兴支出（99）:</w:t>
      </w:r>
      <w:r>
        <w:rPr>
          <w:rStyle w:val="17"/>
          <w:rFonts w:hint="eastAsia" w:ascii="仿宋_GB2312" w:hAnsi="仿宋_GB2312" w:eastAsia="仿宋_GB2312" w:cs="仿宋_GB2312"/>
          <w:b w:val="0"/>
          <w:bCs/>
          <w:sz w:val="32"/>
          <w:szCs w:val="32"/>
        </w:rPr>
        <w:t>支出决算为266.67万元，完成预算100%。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Cs/>
          <w:sz w:val="32"/>
          <w:szCs w:val="32"/>
        </w:rPr>
        <w:t>1</w:t>
      </w:r>
      <w:r>
        <w:rPr>
          <w:rStyle w:val="17"/>
          <w:rFonts w:hint="eastAsia" w:ascii="仿宋_GB2312" w:hAnsi="仿宋_GB2312" w:eastAsia="仿宋_GB2312" w:cs="仿宋_GB2312"/>
          <w:bCs/>
          <w:sz w:val="32"/>
          <w:szCs w:val="32"/>
          <w:lang w:val="en-US" w:eastAsia="zh-CN"/>
        </w:rPr>
        <w:t>7</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7"/>
          <w:rFonts w:hint="eastAsia" w:ascii="仿宋_GB2312" w:hAnsi="仿宋_GB2312" w:eastAsia="仿宋_GB2312" w:cs="仿宋_GB2312"/>
          <w:bCs/>
          <w:sz w:val="32"/>
          <w:szCs w:val="32"/>
        </w:rPr>
        <w:t>（213）农村综合改革（07）对村民委员会和村党支部的补助（05）:</w:t>
      </w:r>
      <w:r>
        <w:rPr>
          <w:rStyle w:val="17"/>
          <w:rFonts w:hint="eastAsia" w:ascii="仿宋_GB2312" w:hAnsi="仿宋_GB2312" w:eastAsia="仿宋_GB2312" w:cs="仿宋_GB2312"/>
          <w:b w:val="0"/>
          <w:bCs/>
          <w:sz w:val="32"/>
          <w:szCs w:val="32"/>
        </w:rPr>
        <w:t>支出决算为170.47万元，完成预算100%。</w:t>
      </w:r>
    </w:p>
    <w:p>
      <w:pPr>
        <w:pStyle w:val="36"/>
        <w:keepNext w:val="0"/>
        <w:keepLines w:val="0"/>
        <w:pageBreakBefore w:val="0"/>
        <w:widowControl/>
        <w:kinsoku/>
        <w:wordWrap/>
        <w:overflowPunct/>
        <w:topLinePunct w:val="0"/>
        <w:autoSpaceDE/>
        <w:autoSpaceDN/>
        <w:bidi w:val="0"/>
        <w:snapToGrid/>
        <w:spacing w:afterAutospacing="0" w:line="500" w:lineRule="exact"/>
        <w:ind w:firstLine="642"/>
        <w:rPr>
          <w:rFonts w:ascii="仿宋" w:hAnsi="仿宋" w:eastAsia="仿宋"/>
          <w:b/>
          <w:sz w:val="32"/>
          <w:szCs w:val="32"/>
        </w:rPr>
      </w:pPr>
      <w:r>
        <w:rPr>
          <w:rStyle w:val="17"/>
          <w:rFonts w:hint="eastAsia" w:ascii="仿宋_GB2312" w:hAnsi="仿宋_GB2312" w:eastAsia="仿宋_GB2312" w:cs="仿宋_GB2312"/>
          <w:bCs/>
          <w:sz w:val="32"/>
          <w:szCs w:val="32"/>
        </w:rPr>
        <w:t>1</w:t>
      </w:r>
      <w:r>
        <w:rPr>
          <w:rStyle w:val="17"/>
          <w:rFonts w:hint="eastAsia" w:ascii="仿宋_GB2312" w:hAnsi="仿宋_GB2312" w:eastAsia="仿宋_GB2312" w:cs="仿宋_GB2312"/>
          <w:bCs/>
          <w:sz w:val="32"/>
          <w:szCs w:val="32"/>
          <w:lang w:val="en-US" w:eastAsia="zh-CN"/>
        </w:rPr>
        <w:t>5</w:t>
      </w:r>
      <w:r>
        <w:rPr>
          <w:rStyle w:val="17"/>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住房保障</w:t>
      </w:r>
      <w:r>
        <w:rPr>
          <w:rStyle w:val="17"/>
          <w:rFonts w:hint="eastAsia" w:ascii="仿宋_GB2312" w:hAnsi="仿宋_GB2312" w:eastAsia="仿宋_GB2312" w:cs="仿宋_GB2312"/>
          <w:bCs/>
          <w:sz w:val="32"/>
          <w:szCs w:val="32"/>
        </w:rPr>
        <w:t>（221）住房改革支出（02）住房公积金（01）:</w:t>
      </w:r>
      <w:r>
        <w:rPr>
          <w:rStyle w:val="17"/>
          <w:rFonts w:hint="eastAsia" w:ascii="仿宋_GB2312" w:hAnsi="仿宋_GB2312" w:eastAsia="仿宋_GB2312" w:cs="仿宋_GB2312"/>
          <w:b w:val="0"/>
          <w:bCs/>
          <w:sz w:val="32"/>
          <w:szCs w:val="32"/>
        </w:rPr>
        <w:t>支出决算为</w:t>
      </w:r>
      <w:r>
        <w:rPr>
          <w:rStyle w:val="17"/>
          <w:rFonts w:hint="eastAsia" w:ascii="仿宋_GB2312" w:hAnsi="仿宋_GB2312" w:eastAsia="仿宋_GB2312" w:cs="仿宋_GB2312"/>
          <w:b w:val="0"/>
          <w:bCs/>
          <w:sz w:val="32"/>
          <w:szCs w:val="32"/>
          <w:lang w:val="en-US" w:eastAsia="zh-CN"/>
        </w:rPr>
        <w:t>49.60</w:t>
      </w:r>
      <w:r>
        <w:rPr>
          <w:rStyle w:val="17"/>
          <w:rFonts w:hint="eastAsia" w:ascii="仿宋_GB2312" w:hAnsi="仿宋_GB2312" w:eastAsia="仿宋_GB2312" w:cs="仿宋_GB2312"/>
          <w:b w:val="0"/>
          <w:bCs/>
          <w:sz w:val="32"/>
          <w:szCs w:val="32"/>
        </w:rPr>
        <w:t>万元，完成预算100%。</w:t>
      </w:r>
    </w:p>
    <w:p>
      <w:pPr>
        <w:tabs>
          <w:tab w:val="right" w:pos="8306"/>
        </w:tabs>
        <w:spacing w:line="600" w:lineRule="exact"/>
        <w:ind w:firstLine="640"/>
        <w:outlineLvl w:val="1"/>
        <w:rPr>
          <w:rStyle w:val="29"/>
        </w:rPr>
      </w:pPr>
      <w:bookmarkStart w:id="35" w:name="_Toc15396608"/>
      <w:bookmarkStart w:id="36"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5"/>
      <w:bookmarkEnd w:id="36"/>
      <w:r>
        <w:rPr>
          <w:rStyle w:val="29"/>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873.93</w:t>
      </w:r>
      <w:r>
        <w:rPr>
          <w:rFonts w:hint="eastAsia" w:ascii="仿宋" w:hAnsi="仿宋" w:eastAsia="仿宋"/>
          <w:sz w:val="32"/>
          <w:szCs w:val="32"/>
        </w:rPr>
        <w:t>万元，其中：</w:t>
      </w:r>
    </w:p>
    <w:p>
      <w:pPr>
        <w:spacing w:line="600" w:lineRule="exact"/>
        <w:ind w:firstLine="645"/>
        <w:rPr>
          <w:rFonts w:ascii="仿宋" w:hAnsi="仿宋" w:eastAsia="仿宋"/>
          <w:b/>
          <w:sz w:val="32"/>
          <w:szCs w:val="32"/>
        </w:rPr>
      </w:pPr>
      <w:r>
        <w:rPr>
          <w:rFonts w:hint="eastAsia" w:ascii="仿宋" w:hAnsi="仿宋" w:eastAsia="仿宋"/>
          <w:sz w:val="32"/>
          <w:szCs w:val="32"/>
        </w:rPr>
        <w:t>人员经费</w:t>
      </w:r>
      <w:r>
        <w:rPr>
          <w:sz w:val="32"/>
          <w:szCs w:val="32"/>
        </w:rPr>
        <w:t>828.52</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45.41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37" w:name="_Toc15396609"/>
      <w:bookmarkStart w:id="38"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7"/>
      <w:bookmarkEnd w:id="38"/>
    </w:p>
    <w:p>
      <w:pPr>
        <w:spacing w:line="600" w:lineRule="exact"/>
        <w:ind w:firstLine="640"/>
        <w:outlineLvl w:val="2"/>
        <w:rPr>
          <w:rFonts w:ascii="仿宋" w:hAnsi="仿宋" w:eastAsia="仿宋"/>
          <w:b/>
          <w:sz w:val="32"/>
          <w:szCs w:val="32"/>
        </w:rPr>
      </w:pPr>
      <w:bookmarkStart w:id="39" w:name="_Toc15377216"/>
      <w:r>
        <w:rPr>
          <w:rFonts w:hint="eastAsia" w:ascii="仿宋" w:hAnsi="仿宋" w:eastAsia="仿宋"/>
          <w:b/>
          <w:sz w:val="32"/>
          <w:szCs w:val="32"/>
        </w:rPr>
        <w:t>（一）“三公”经费财政拨款支出决算总体情况说明</w:t>
      </w:r>
      <w:bookmarkEnd w:id="39"/>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6.12</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7.93</w:t>
      </w:r>
      <w:r>
        <w:rPr>
          <w:rFonts w:hint="eastAsia" w:ascii="仿宋" w:hAnsi="仿宋" w:eastAsia="仿宋"/>
          <w:sz w:val="32"/>
          <w:szCs w:val="32"/>
        </w:rPr>
        <w:t>万元，下降</w:t>
      </w:r>
      <w:r>
        <w:rPr>
          <w:rFonts w:hint="eastAsia" w:ascii="仿宋" w:hAnsi="仿宋" w:eastAsia="仿宋"/>
          <w:sz w:val="32"/>
          <w:szCs w:val="32"/>
          <w:lang w:val="en-US" w:eastAsia="zh-CN"/>
        </w:rPr>
        <w:t>56.44</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2022年汛期公务用车增加，2023年汛期正常用车。</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40" w:name="_Toc15377217"/>
      <w:r>
        <w:rPr>
          <w:rFonts w:hint="eastAsia" w:ascii="仿宋" w:hAnsi="仿宋" w:eastAsia="仿宋"/>
          <w:b/>
          <w:sz w:val="32"/>
          <w:szCs w:val="32"/>
        </w:rPr>
        <w:t>（二）“三公”经费财政拨款支出决算具体情况说明</w:t>
      </w:r>
      <w:bookmarkEnd w:id="40"/>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6.12</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6.12</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w:t>
      </w:r>
      <w:r>
        <w:rPr>
          <w:rFonts w:hint="eastAsia" w:ascii="仿宋" w:hAnsi="仿宋" w:eastAsia="仿宋"/>
          <w:sz w:val="32"/>
          <w:szCs w:val="32"/>
        </w:rPr>
        <w:t>减少</w:t>
      </w:r>
      <w:r>
        <w:rPr>
          <w:rFonts w:hint="eastAsia" w:ascii="仿宋" w:hAnsi="仿宋" w:eastAsia="仿宋"/>
          <w:sz w:val="32"/>
          <w:szCs w:val="32"/>
          <w:lang w:val="en-US" w:eastAsia="zh-CN"/>
        </w:rPr>
        <w:t>7.93</w:t>
      </w:r>
      <w:r>
        <w:rPr>
          <w:rFonts w:hint="eastAsia" w:ascii="仿宋" w:hAnsi="仿宋" w:eastAsia="仿宋"/>
          <w:sz w:val="32"/>
          <w:szCs w:val="32"/>
        </w:rPr>
        <w:t>万元，下降</w:t>
      </w:r>
      <w:r>
        <w:rPr>
          <w:rFonts w:hint="eastAsia" w:ascii="仿宋" w:hAnsi="仿宋" w:eastAsia="仿宋"/>
          <w:sz w:val="32"/>
          <w:szCs w:val="32"/>
          <w:lang w:val="en-US" w:eastAsia="zh-CN"/>
        </w:rPr>
        <w:t>56.44</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2022年汛期公务用车增加，2023年汛期正常用车</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sz w:val="32"/>
          <w:szCs w:val="32"/>
        </w:rPr>
        <w:t>6.12</w:t>
      </w:r>
      <w:r>
        <w:rPr>
          <w:rFonts w:hint="eastAsia" w:ascii="仿宋_GB2312" w:eastAsia="仿宋_GB2312"/>
          <w:sz w:val="32"/>
          <w:szCs w:val="32"/>
        </w:rPr>
        <w:t>万元。主要用于</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eastAsia="zh-CN"/>
        </w:rPr>
        <w:t>森林防火、安全生产、综治维稳等</w:t>
      </w:r>
      <w:r>
        <w:rPr>
          <w:rFonts w:hint="eastAsia" w:ascii="仿宋_GB2312" w:hAnsi="仿宋_GB2312" w:eastAsia="仿宋_GB2312" w:cs="仿宋_GB2312"/>
          <w:color w:val="000000"/>
          <w:sz w:val="32"/>
          <w:szCs w:val="32"/>
        </w:rPr>
        <w:t>工作所需</w:t>
      </w:r>
      <w:r>
        <w:rPr>
          <w:rFonts w:hint="eastAsia" w:ascii="仿宋_GB2312" w:eastAsia="仿宋_GB2312"/>
          <w:sz w:val="32"/>
          <w:szCs w:val="32"/>
        </w:rPr>
        <w:t>的公务用车燃料费、维修费、过路过桥费、保险费等支出</w:t>
      </w:r>
    </w:p>
    <w:p>
      <w:pPr>
        <w:spacing w:line="600" w:lineRule="exact"/>
        <w:ind w:firstLine="643" w:firstLineChars="200"/>
        <w:rPr>
          <w:rFonts w:ascii="黑体" w:eastAsia="黑体"/>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bookmarkStart w:id="41" w:name="_Toc15396610"/>
      <w:bookmarkStart w:id="42" w:name="_Toc15377218"/>
    </w:p>
    <w:p>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1"/>
      <w:bookmarkEnd w:id="42"/>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29"/>
          <w:rFonts w:ascii="黑体" w:hAnsi="黑体" w:eastAsia="黑体"/>
          <w:b w:val="0"/>
        </w:rPr>
      </w:pPr>
      <w:bookmarkStart w:id="43" w:name="_Toc15377219"/>
      <w:bookmarkStart w:id="44" w:name="_Toc15396611"/>
      <w:r>
        <w:rPr>
          <w:rStyle w:val="29"/>
          <w:rFonts w:hint="eastAsia" w:ascii="黑体" w:hAnsi="黑体" w:eastAsia="黑体"/>
          <w:b w:val="0"/>
        </w:rPr>
        <w:t>国有资本经营预算支出决算情况说明</w:t>
      </w:r>
      <w:bookmarkEnd w:id="43"/>
      <w:bookmarkEnd w:id="44"/>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29"/>
          <w:rFonts w:ascii="黑体" w:hAnsi="黑体" w:eastAsia="黑体"/>
          <w:b w:val="0"/>
        </w:rPr>
      </w:pPr>
      <w:bookmarkStart w:id="45" w:name="_Toc15396612"/>
      <w:bookmarkStart w:id="46" w:name="_Toc15377221"/>
      <w:r>
        <w:rPr>
          <w:rStyle w:val="29"/>
          <w:rFonts w:hint="eastAsia" w:ascii="黑体" w:hAnsi="黑体" w:eastAsia="黑体"/>
          <w:b w:val="0"/>
        </w:rPr>
        <w:t>其他重要事项的情况说明</w:t>
      </w:r>
      <w:bookmarkEnd w:id="45"/>
      <w:bookmarkEnd w:id="46"/>
    </w:p>
    <w:p>
      <w:pPr>
        <w:spacing w:line="600" w:lineRule="exact"/>
        <w:ind w:firstLine="643" w:firstLineChars="200"/>
        <w:outlineLvl w:val="2"/>
        <w:rPr>
          <w:rFonts w:ascii="仿宋" w:hAnsi="仿宋" w:eastAsia="仿宋"/>
          <w:sz w:val="32"/>
          <w:szCs w:val="32"/>
        </w:rPr>
      </w:pPr>
      <w:bookmarkStart w:id="47" w:name="_Toc15377222"/>
      <w:r>
        <w:rPr>
          <w:rFonts w:hint="eastAsia" w:ascii="仿宋" w:hAnsi="仿宋" w:eastAsia="仿宋"/>
          <w:b/>
          <w:sz w:val="32"/>
          <w:szCs w:val="32"/>
        </w:rPr>
        <w:t>（一）机关运行经费支出情况</w:t>
      </w:r>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大录乡政府</w:t>
      </w:r>
      <w:r>
        <w:rPr>
          <w:rFonts w:hint="eastAsia" w:ascii="仿宋_GB2312" w:eastAsia="仿宋_GB2312"/>
          <w:sz w:val="32"/>
          <w:szCs w:val="32"/>
        </w:rPr>
        <w:t>机关运行经费支出</w:t>
      </w:r>
      <w:r>
        <w:rPr>
          <w:sz w:val="32"/>
          <w:szCs w:val="32"/>
        </w:rPr>
        <w:t>37.72</w:t>
      </w:r>
      <w:r>
        <w:rPr>
          <w:rFonts w:hint="eastAsia" w:ascii="仿宋_GB2312" w:eastAsia="仿宋_GB2312"/>
          <w:sz w:val="32"/>
          <w:szCs w:val="32"/>
        </w:rPr>
        <w:t>万元，比2022年度</w:t>
      </w:r>
      <w:r>
        <w:rPr>
          <w:rFonts w:hint="eastAsia" w:ascii="仿宋_GB2312" w:hAnsi="宋体" w:eastAsia="仿宋_GB2312" w:cs="仿宋_GB2312"/>
          <w:kern w:val="0"/>
          <w:sz w:val="32"/>
          <w:szCs w:val="32"/>
          <w:shd w:val="clear" w:fill="FFFFFF"/>
        </w:rPr>
        <w:t>95.93万元</w:t>
      </w:r>
      <w:r>
        <w:rPr>
          <w:rFonts w:hint="eastAsia" w:ascii="仿宋_GB2312" w:eastAsia="仿宋_GB2312"/>
          <w:sz w:val="32"/>
          <w:szCs w:val="32"/>
        </w:rPr>
        <w:t>减少</w:t>
      </w:r>
      <w:r>
        <w:rPr>
          <w:rFonts w:hint="eastAsia" w:ascii="仿宋_GB2312" w:eastAsia="仿宋_GB2312"/>
          <w:sz w:val="32"/>
          <w:szCs w:val="32"/>
          <w:lang w:val="en-US" w:eastAsia="zh-CN"/>
        </w:rPr>
        <w:t>58.21</w:t>
      </w:r>
      <w:r>
        <w:rPr>
          <w:rFonts w:hint="eastAsia" w:ascii="仿宋_GB2312" w:eastAsia="仿宋_GB2312"/>
          <w:sz w:val="32"/>
          <w:szCs w:val="32"/>
        </w:rPr>
        <w:t>万元，下降</w:t>
      </w:r>
      <w:r>
        <w:rPr>
          <w:rFonts w:hint="eastAsia" w:ascii="仿宋_GB2312" w:eastAsia="仿宋_GB2312"/>
          <w:sz w:val="32"/>
          <w:szCs w:val="32"/>
          <w:lang w:val="en-US" w:eastAsia="zh-CN"/>
        </w:rPr>
        <w:t>60.68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节省开支</w:t>
      </w:r>
      <w:r>
        <w:rPr>
          <w:rFonts w:hint="eastAsia" w:ascii="仿宋_GB2312" w:eastAsia="仿宋_GB2312"/>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3"/>
      <w:r>
        <w:rPr>
          <w:rFonts w:hint="eastAsia" w:ascii="仿宋" w:hAnsi="仿宋" w:eastAsia="仿宋"/>
          <w:b/>
          <w:sz w:val="32"/>
          <w:szCs w:val="32"/>
        </w:rPr>
        <w:t>（二）政府采购支出情况</w:t>
      </w:r>
      <w:bookmarkEnd w:id="48"/>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大录乡政府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9" w:name="_Toc15377224"/>
      <w:r>
        <w:rPr>
          <w:rFonts w:hint="eastAsia" w:ascii="仿宋" w:hAnsi="仿宋" w:eastAsia="仿宋"/>
          <w:b/>
          <w:sz w:val="32"/>
          <w:szCs w:val="32"/>
        </w:rPr>
        <w:t>（三）国有资产占有使用情况</w:t>
      </w:r>
      <w:bookmarkEnd w:id="49"/>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大录乡政府</w:t>
      </w:r>
      <w:r>
        <w:rPr>
          <w:rFonts w:hint="eastAsia" w:ascii="仿宋_GB2312" w:eastAsia="仿宋_GB2312"/>
          <w:sz w:val="32"/>
          <w:szCs w:val="32"/>
        </w:rPr>
        <w:t>共有车辆</w:t>
      </w:r>
      <w:r>
        <w:rPr>
          <w:rFonts w:ascii="仿宋_GB2312" w:eastAsia="仿宋_GB2312"/>
          <w:sz w:val="32"/>
          <w:szCs w:val="32"/>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3</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根据预算绩效管理要求，本单位在2023年度预算编制阶段，组织对大录乡境内火葬点围挡隔离项目</w:t>
      </w:r>
      <w:r>
        <w:rPr>
          <w:rFonts w:hint="eastAsia" w:ascii="仿宋_GB2312" w:eastAsia="仿宋_GB2312"/>
          <w:sz w:val="32"/>
          <w:szCs w:val="32"/>
          <w:lang w:eastAsia="zh-CN"/>
        </w:rPr>
        <w:t>、九寨沟县大录乡红军村建设项目、大录乡办公设备采购及办公楼线路改造维修、2022年度“天府菜油”产业融合发展暨产油大县项目（农事机械、加工设备采购）、九寨沟县大录乡香扎村藏香猪养殖场改造提升项目、九寨沟县大录乡大录村神仙坪乡村旅游提升项目</w:t>
      </w:r>
      <w:r>
        <w:rPr>
          <w:rFonts w:hint="eastAsia" w:ascii="仿宋_GB2312" w:eastAsia="仿宋_GB2312"/>
          <w:sz w:val="32"/>
          <w:szCs w:val="32"/>
        </w:rPr>
        <w:t>等个</w:t>
      </w:r>
      <w:r>
        <w:rPr>
          <w:rFonts w:hint="eastAsia" w:ascii="仿宋_GB2312" w:eastAsia="仿宋_GB2312"/>
          <w:sz w:val="32"/>
          <w:szCs w:val="32"/>
          <w:lang w:val="en-US" w:eastAsia="zh-CN"/>
        </w:rPr>
        <w:t>6</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6</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6</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6</w:t>
      </w:r>
      <w:r>
        <w:rPr>
          <w:rFonts w:hint="eastAsia" w:ascii="仿宋_GB2312" w:eastAsia="仿宋_GB2312"/>
          <w:sz w:val="32"/>
          <w:szCs w:val="32"/>
        </w:rPr>
        <w:t>个项目开展绩效自评，绩效自评表详见第四部分附件。</w:t>
      </w:r>
    </w:p>
    <w:p>
      <w:pPr>
        <w:pStyle w:val="4"/>
        <w:jc w:val="center"/>
      </w:pPr>
      <w:r>
        <w:rPr>
          <w:rFonts w:hint="eastAsia"/>
        </w:rPr>
        <w:t>第三部分 名词解释</w:t>
      </w:r>
    </w:p>
    <w:p/>
    <w:p>
      <w:pPr>
        <w:pStyle w:val="14"/>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outlineLvl w:val="1"/>
        <w:rPr>
          <w:rFonts w:hint="eastAsia" w:ascii="仿宋_GB2312" w:hAnsi="仿宋_GB2312" w:eastAsia="仿宋_GB2312" w:cs="仿宋_GB2312"/>
          <w:color w:val="000000"/>
          <w:sz w:val="32"/>
          <w:szCs w:val="32"/>
        </w:rPr>
      </w:pPr>
      <w:bookmarkStart w:id="50" w:name="_Toc31225"/>
      <w:r>
        <w:rPr>
          <w:rFonts w:hint="eastAsia" w:ascii="仿宋_GB2312" w:hAnsi="仿宋_GB2312" w:eastAsia="仿宋_GB2312" w:cs="仿宋_GB2312"/>
          <w:color w:val="000000"/>
          <w:sz w:val="32"/>
          <w:szCs w:val="32"/>
        </w:rPr>
        <w:t>4.其他收入：指单位取得的除上述收入以外的各项收入。</w:t>
      </w:r>
      <w:bookmarkEnd w:id="50"/>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5.使用非财政拨款结余：指事业单位使用以前年度积累的非财政拨款结余弥补当年收支差额的金额。</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9.一般公共服务（201）政府办公厅及相关机构事务支出（03）行政运行（01）：指行政单位的基本支出。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10.一般公共服务（201）政府办公厅及相关机构事务支出（03）其他政府办公厅及相关机构事务支出（99）：指其他政府办公厅及相关机构事务支出。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11.一般公共服务（201）宗教事务（24）其他宗教事务支出（99）：指其他宗教事务支出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12.一般公共服务支出（201）党政办公厅及相关机构事务（31）行政运行（01）：指党政办公厅基本支出。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13.一般公共服务支出（201）组织事务(32）其他组织事务支出（99）：指其他用于中国共产党组织事务支出。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14.一般公共服务支出（201）其他一般公共服务支出（99）其他一般公共服务支出（99）：指其他一般公共服务支出。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15.国防支出（203）国防动员（06）民兵（07）：指民兵建设与管理方面的支出。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16.公共安全支出（204）公安（02）一般行政管理事务支出（02）：指行政单位未单独设置项级科目的其他项目支出。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17.公共安全支出（204）其他一般公共服务支出（99）：其他一般公共服务支出（01）：指其他用于公共安全方面的支出。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18.文化体育与传媒支出（207）其他文化体育与传媒支出（99）其他文化体育与传媒支出（99）:指其他文化体育与传媒支出。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19.社会保障和就业支出（208）行政事业单位离退休（05）机关事业单位基本养老保险缴费支出（05）：指机关事业范围实施养老制度有单位缴纳的基本养老保险费支出。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20.社会保障和就业支出（208）抚恤（08）死亡抚恤支出（01）：指按规定用于烈士和牺牲、病故人员家属的一次性和定期抚恤金以及丧葬补助费。</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21.社会保障和就业支出（208）其他社会保障和就业支出（99）其他社会保障和就业支出（01）:指其他社会保障和就业支出。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22.医疗卫生与计划生育支出（210）公共卫生（04）其他公共卫生支出（99）:指其他公共卫生支出。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23.医疗卫生与计划生育支出（210）计划生育事务（07）其他计划生育事务支出（99）:指其他计划生育事务支出。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25.医疗卫生与计划生育支出（210）行政单位医疗支出（11）公务员医疗补助（03）：指财政部门集中安排的公务员医疗补助。</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26.医疗卫生与计划生育支出(210)行政单位医疗支出(11)其他行政单位医疗支出(99):指财政对其他医疗保险的补助支出。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27.城乡社区支出（212）城乡环境卫生（05）城乡环境卫生（01）：指城乡社区道路清扫、垃圾清运与处理、公厕建设与维护、园林绿化等方面的支出。</w:t>
      </w:r>
    </w:p>
    <w:p>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28.农林水支出（213）农业（01）其他农业支出（99）：指其他用于农业方面的支出。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29.农林水支出（213）水利（03）防汛（14）：指防汛业务支出，包括物资购置、网络通信、车船维修、防汛值班、水毁修复以及防汛演练、灾后恢复的支出。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30.农林水支出（213）扶贫（05）农村基础设施建设（04）：指农村贫困地区乡道路、住房、基本农田、水利设施、人畜饮水、生态环境保护等改善人生产生活条件方面的支出。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31.农林水支出（213）扶贫（05）其他扶贫支出（99）：指其他用于扶贫方面的支出。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32.农林水支出（213）农村综合改革(07)对村民委员会和村党支部的补助(05)：指各级财政对村民委员会和村党支部的补助支出。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33.农林水支出（213）其他农林水支出（99）其他农林水支出(99)：指其他农林水支出。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34.住房保障支出（221）住房改革支出（02）住房公积金（01）：指行政事业单位按人力资源和社会保障部、财政部规定的基本工资和津补贴依规定比例为职工缴纳住房公积金。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35.粮油物资储备支出（222）粮油储备（04）储备粮油库建设（03）：指特殊时期对粮油的存储开支。</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36.基本支出：指为保障机构正常运转、完成日常工作任务而发生的人员支出和公用支出。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37.项目支出：指在基本支出之外为完成特定行政任务和事业发展目标所发生的支出。</w:t>
      </w:r>
    </w:p>
    <w:p>
      <w:pPr>
        <w:pStyle w:val="2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4"/>
        <w:spacing w:beforeAutospacing="0"/>
        <w:rPr>
          <w:rFonts w:ascii="仿宋" w:hAnsi="仿宋" w:eastAsia="仿宋"/>
          <w:b/>
          <w:sz w:val="32"/>
          <w:szCs w:val="32"/>
        </w:rPr>
      </w:pPr>
      <w:r>
        <w:rPr>
          <w:rFonts w:hint="eastAsia" w:ascii="仿宋_GB2312" w:hAnsi="仿宋_GB2312" w:eastAsia="仿宋_GB2312" w:cs="仿宋_GB2312"/>
          <w:sz w:val="32"/>
          <w:szCs w:val="32"/>
          <w:shd w:val="clear" w:color="auto" w:fill="FFFFFF"/>
        </w:rPr>
        <w:br w:type="page"/>
      </w:r>
    </w:p>
    <w:p>
      <w:pPr>
        <w:ind w:firstLine="420" w:firstLineChars="200"/>
      </w:pPr>
    </w:p>
    <w:p>
      <w:pPr>
        <w:ind w:firstLine="643" w:firstLineChars="200"/>
        <w:rPr>
          <w:rFonts w:ascii="仿宋" w:hAnsi="仿宋" w:eastAsia="仿宋"/>
          <w:b/>
          <w:sz w:val="32"/>
          <w:szCs w:val="32"/>
        </w:rPr>
      </w:pPr>
      <w:r>
        <w:rPr>
          <w:rFonts w:ascii="仿宋" w:hAnsi="仿宋" w:eastAsia="仿宋"/>
          <w:b/>
          <w:sz w:val="32"/>
          <w:szCs w:val="32"/>
        </w:rPr>
        <w:br w:type="page"/>
      </w:r>
    </w:p>
    <w:p>
      <w:pPr>
        <w:pStyle w:val="4"/>
        <w:jc w:val="center"/>
        <w:rPr>
          <w:rFonts w:ascii="黑体" w:hAnsi="黑体" w:eastAsia="黑体"/>
          <w:b w:val="0"/>
        </w:rPr>
      </w:pPr>
      <w:r>
        <w:rPr>
          <w:rFonts w:hint="eastAsia" w:ascii="黑体" w:hAnsi="黑体" w:eastAsia="黑体"/>
          <w:b w:val="0"/>
        </w:rPr>
        <w:t>第四部分 附件</w:t>
      </w:r>
    </w:p>
    <w:p/>
    <w:p>
      <w:pPr>
        <w:rPr>
          <w:rFonts w:ascii="黑体" w:hAnsi="黑体" w:eastAsia="黑体"/>
          <w:sz w:val="32"/>
          <w:szCs w:val="32"/>
        </w:rPr>
      </w:pPr>
      <w:r>
        <w:rPr>
          <w:rFonts w:hint="eastAsia" w:ascii="黑体" w:hAnsi="黑体" w:eastAsia="黑体"/>
          <w:sz w:val="32"/>
          <w:szCs w:val="32"/>
        </w:rPr>
        <w:t>附件1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eastAsia="zh-CN"/>
        </w:rPr>
        <w:t>大录乡</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 w:val="32"/>
          <w:szCs w:val="32"/>
        </w:rPr>
      </w:pPr>
      <w:r>
        <w:rPr>
          <w:rFonts w:hint="eastAsia"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kinsoku/>
        <w:wordWrap/>
        <w:overflowPunct/>
        <w:topLinePunct w:val="0"/>
        <w:autoSpaceDN/>
        <w:bidi w:val="0"/>
        <w:adjustRightInd w:val="0"/>
        <w:snapToGrid w:val="0"/>
        <w:spacing w:beforeAutospacing="0" w:line="500" w:lineRule="exact"/>
        <w:ind w:firstLine="643"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仿宋_GB2312" w:hAnsi="仿宋_GB2312" w:eastAsia="仿宋_GB2312" w:cs="仿宋_GB2312"/>
          <w:sz w:val="32"/>
          <w:szCs w:val="32"/>
          <w:lang w:val="en-US" w:eastAsia="zh-CN"/>
        </w:rPr>
        <w:t>大录乡</w:t>
      </w:r>
      <w:r>
        <w:rPr>
          <w:rFonts w:hint="eastAsia" w:ascii="仿宋_GB2312" w:hAnsi="仿宋_GB2312" w:eastAsia="仿宋_GB2312" w:cs="仿宋_GB2312"/>
          <w:sz w:val="32"/>
          <w:szCs w:val="32"/>
        </w:rPr>
        <w:t>人民政府统筹全</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人、财、物，整合</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政府所有人员和机构，</w:t>
      </w:r>
      <w:r>
        <w:rPr>
          <w:rFonts w:hint="eastAsia" w:ascii="仿宋_GB2312" w:hAnsi="仿宋_GB2312" w:eastAsia="仿宋_GB2312" w:cs="仿宋_GB2312"/>
          <w:b/>
          <w:bCs/>
          <w:sz w:val="32"/>
          <w:szCs w:val="32"/>
        </w:rPr>
        <w:t>设</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个党政综合办事机构</w:t>
      </w:r>
      <w:r>
        <w:rPr>
          <w:rFonts w:hint="eastAsia" w:ascii="仿宋_GB2312" w:hAnsi="仿宋_GB2312" w:eastAsia="仿宋_GB2312" w:cs="仿宋_GB2312"/>
          <w:sz w:val="32"/>
          <w:szCs w:val="32"/>
          <w:lang w:eastAsia="zh-CN"/>
        </w:rPr>
        <w:t>：党建工作办公室（党政办公室）；维护稳定和综合行政执法办公室（</w:t>
      </w:r>
      <w:r>
        <w:rPr>
          <w:rFonts w:hint="eastAsia" w:ascii="仿宋_GB2312" w:hAnsi="仿宋_GB2312" w:eastAsia="仿宋_GB2312" w:cs="仿宋_GB2312"/>
          <w:sz w:val="32"/>
          <w:szCs w:val="32"/>
          <w:lang w:val="en-US" w:eastAsia="zh-CN"/>
        </w:rPr>
        <w:t>群众工作办公室牌子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经济发展和乡村振兴办公室（村镇规划建设管理办公室、生态环境办公室）；社会事务和应急管理办公室（安全生产监督管理办公室）；财政工作办公室。</w:t>
      </w:r>
      <w:r>
        <w:rPr>
          <w:rFonts w:hint="eastAsia" w:ascii="仿宋_GB2312" w:hAnsi="仿宋_GB2312" w:eastAsia="仿宋_GB2312" w:cs="仿宋_GB2312"/>
          <w:b/>
          <w:bCs/>
          <w:sz w:val="32"/>
          <w:szCs w:val="32"/>
          <w:lang w:val="en-US" w:eastAsia="zh-CN"/>
        </w:rPr>
        <w:t>设4个中心</w:t>
      </w:r>
      <w:r>
        <w:rPr>
          <w:rFonts w:hint="eastAsia" w:ascii="仿宋_GB2312" w:hAnsi="仿宋_GB2312" w:eastAsia="仿宋_GB2312" w:cs="仿宋_GB2312"/>
          <w:sz w:val="32"/>
          <w:szCs w:val="32"/>
          <w:lang w:val="en-US" w:eastAsia="zh-CN"/>
        </w:rPr>
        <w:t>：大录乡便民服务中心（大录乡退役军人服务站、大录乡农民工服务中心）；大录乡党群服务中心；大录乡文化体育广电和旅游综合服务中心；大录乡农业农村服务中心。</w:t>
      </w:r>
    </w:p>
    <w:p>
      <w:pPr>
        <w:keepNext w:val="0"/>
        <w:keepLines w:val="0"/>
        <w:pageBreakBefore w:val="0"/>
        <w:widowControl w:val="0"/>
        <w:suppressLineNumbers w:val="0"/>
        <w:kinsoku/>
        <w:wordWrap/>
        <w:overflowPunct/>
        <w:topLinePunct w:val="0"/>
        <w:autoSpaceDE w:val="0"/>
        <w:autoSpaceDN/>
        <w:bidi w:val="0"/>
        <w:spacing w:beforeAutospacing="0" w:line="500" w:lineRule="exact"/>
        <w:ind w:left="0" w:firstLine="964" w:firstLineChars="300"/>
        <w:textAlignment w:val="auto"/>
        <w:rPr>
          <w:rFonts w:hint="eastAsia"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r>
        <w:rPr>
          <w:rFonts w:hint="eastAsia" w:eastAsia="楷体_GB2312" w:cs="Times New Roman"/>
          <w:b/>
          <w:bCs/>
          <w:color w:val="000000"/>
          <w:kern w:val="0"/>
          <w:sz w:val="32"/>
          <w:szCs w:val="32"/>
          <w:highlight w:val="none"/>
          <w:shd w:val="clear" w:color="auto" w:fill="FFFFFF"/>
          <w:lang w:val="zh-CN"/>
        </w:rPr>
        <w:t>。</w:t>
      </w:r>
    </w:p>
    <w:p>
      <w:pPr>
        <w:keepNext w:val="0"/>
        <w:keepLines w:val="0"/>
        <w:pageBreakBefore w:val="0"/>
        <w:widowControl w:val="0"/>
        <w:suppressLineNumbers w:val="0"/>
        <w:kinsoku/>
        <w:wordWrap/>
        <w:overflowPunct/>
        <w:topLinePunct w:val="0"/>
        <w:autoSpaceDE w:val="0"/>
        <w:autoSpaceDN/>
        <w:bidi w:val="0"/>
        <w:spacing w:beforeAutospacing="0" w:line="500" w:lineRule="exact"/>
        <w:ind w:left="0" w:firstLine="960" w:firstLineChars="30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1.乡党委主要职责</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 xml:space="preserve"> 积极宣传、贯彻执行党的路线、方针、政策，负责领导本地区的工作，支持和保护行政组织、经济组织和群众自治组织充分行使职权；领导制定</w:t>
      </w:r>
      <w:r>
        <w:rPr>
          <w:rFonts w:hint="eastAsia" w:ascii="仿宋_GB2312" w:hAnsi="宋体" w:eastAsia="仿宋_GB2312" w:cs="仿宋_GB2312"/>
          <w:color w:val="000000"/>
          <w:spacing w:val="15"/>
          <w:kern w:val="0"/>
          <w:sz w:val="32"/>
          <w:szCs w:val="32"/>
          <w:shd w:val="clear" w:fill="FFFFFF"/>
        </w:rPr>
        <w:t>本乡的经济和社会发展规划并组织协调督促各部门贯彻实施，切实保证各项计划、目标的完成；负责乡领导班子的自身建设和对干部进行选拔、培养、使用、考核、监督工作；负责抓好党员的发展</w:t>
      </w:r>
      <w:r>
        <w:rPr>
          <w:rFonts w:hint="eastAsia" w:ascii="仿宋_GB2312" w:hAnsi="宋体" w:eastAsia="仿宋_GB2312" w:cs="仿宋_GB2312"/>
          <w:kern w:val="0"/>
          <w:sz w:val="32"/>
          <w:szCs w:val="32"/>
          <w:shd w:val="clear"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00" w:lineRule="exact"/>
        <w:ind w:left="0" w:right="0" w:firstLine="640" w:firstLineChars="20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 xml:space="preserve">2.乡人大主席团主要职责 </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40" w:firstLineChars="20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3.乡政府主要职责</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4.乡纪委主要职责</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5.乡人民武装部主要职责</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shd w:val="clear"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35"/>
        <w:keepNext w:val="0"/>
        <w:keepLines w:val="0"/>
        <w:pageBreakBefore w:val="0"/>
        <w:widowControl/>
        <w:suppressLineNumbers w:val="0"/>
        <w:kinsoku/>
        <w:wordWrap/>
        <w:overflowPunct/>
        <w:topLinePunct w:val="0"/>
        <w:autoSpaceDE w:val="0"/>
        <w:autoSpaceDN/>
        <w:bidi w:val="0"/>
        <w:spacing w:before="0" w:beforeAutospacing="0" w:line="500" w:lineRule="exact"/>
        <w:ind w:left="0" w:firstLine="640" w:firstLineChars="200"/>
        <w:jc w:val="left"/>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6.大录乡便民服务中心。负责便民服务体系标准化、规范化建设，优化办事流程，拟订服务管理制度并组织实施，落实"最多跑一 也 次"改革向基层延伸各项工作；负责便民服务窗口工作人员的管理，协助派驻到本行政区域内的行政审批及公共服务事项进驻窗 口事宜；指导村便民服务点业务工作；承担退役军人就业创业扶持、拥军优属、优抚帮扶、走访慰问、信访接待、权益 保障等服务工作；牵头负责外出务工人员联络、农民工输出、培 训、维权、回引及返乡创业服务等工作；承担乡党委、政府交办 的其他工作。</w:t>
      </w:r>
    </w:p>
    <w:p>
      <w:pPr>
        <w:pStyle w:val="35"/>
        <w:keepNext w:val="0"/>
        <w:keepLines w:val="0"/>
        <w:pageBreakBefore w:val="0"/>
        <w:widowControl/>
        <w:suppressLineNumbers w:val="0"/>
        <w:kinsoku/>
        <w:wordWrap/>
        <w:overflowPunct/>
        <w:topLinePunct w:val="0"/>
        <w:autoSpaceDE w:val="0"/>
        <w:autoSpaceDN/>
        <w:bidi w:val="0"/>
        <w:spacing w:before="0" w:beforeAutospacing="0" w:line="500" w:lineRule="exact"/>
        <w:ind w:left="0" w:firstLine="640" w:firstLineChars="200"/>
        <w:jc w:val="left"/>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7.大录乡党群服务中心。承担本行政区域内基层党组织 和群团组织日常服务性工作；负责面向党员群众提供相关政策咨 询，组织实施党群活动和服务等工作；承担乡党委、政府交办的 其他工作。</w:t>
      </w:r>
    </w:p>
    <w:p>
      <w:pPr>
        <w:pStyle w:val="35"/>
        <w:keepNext w:val="0"/>
        <w:keepLines w:val="0"/>
        <w:pageBreakBefore w:val="0"/>
        <w:widowControl/>
        <w:suppressLineNumbers w:val="0"/>
        <w:kinsoku/>
        <w:wordWrap/>
        <w:overflowPunct/>
        <w:topLinePunct w:val="0"/>
        <w:autoSpaceDE w:val="0"/>
        <w:autoSpaceDN/>
        <w:bidi w:val="0"/>
        <w:spacing w:before="0" w:beforeAutospacing="0" w:line="500" w:lineRule="exact"/>
        <w:ind w:left="0" w:firstLine="640" w:firstLineChars="200"/>
        <w:jc w:val="left"/>
        <w:textAlignment w:val="auto"/>
        <w:rPr>
          <w:rFonts w:hint="eastAsia" w:ascii="仿宋_GB2312" w:hAnsi="宋体" w:eastAsia="仿宋_GB2312" w:cs="仿宋_GB2312"/>
          <w:kern w:val="0"/>
          <w:sz w:val="32"/>
          <w:szCs w:val="32"/>
          <w:shd w:val="clear" w:fill="FFFFFF"/>
        </w:rPr>
      </w:pPr>
      <w:r>
        <w:rPr>
          <w:rFonts w:hint="eastAsia" w:ascii="仿宋_GB2312" w:hAnsi="宋体" w:eastAsia="仿宋_GB2312" w:cs="仿宋_GB2312"/>
          <w:kern w:val="0"/>
          <w:sz w:val="32"/>
          <w:szCs w:val="32"/>
          <w:shd w:val="clear" w:fill="FFFFFF"/>
        </w:rPr>
        <w:t>8.大录乡文化体育广电和旅游综合服务中心。承担基层 新时代文明实践活动服务工作，做好理论宣讲、教育、文化、科 技、健康、法律、志愿服务等工作；拟订年度公益性文化项目实 施计划，组织开展多种形式的文娱体育活动和宣传文化阵地建 设；负责对乡村文化、文艺、体育等活动的指导、协调和宣传工 作；负责广播影视设施设备维护、信息上报等服务工作；组织实 施电视"村村通"、广播"村村响"、无线数字电视工程建设等 工作；拟订旅游发展项目实施计划，做好旅游发展等服务工作；承担乡党委、政府交办的其他工作。</w:t>
      </w:r>
    </w:p>
    <w:p>
      <w:pPr>
        <w:pStyle w:val="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line="500" w:lineRule="exact"/>
        <w:ind w:left="0" w:right="0" w:firstLine="672" w:firstLineChars="21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仿宋_GB2312" w:hAnsi="宋体" w:eastAsia="仿宋_GB2312" w:cs="仿宋_GB2312"/>
          <w:kern w:val="0"/>
          <w:sz w:val="32"/>
          <w:szCs w:val="32"/>
          <w:shd w:val="clear" w:fill="FFFFFF"/>
        </w:rPr>
        <w:t>9.大录乡农业农村服务中心。负责农牧业、林草业、水 权益 务等技术、品种、机具等的示范、推广，负责农业公共信息和培 、培 训教育等服务工作；负责农田水利建设、农产品及相关生产资料 交办 和投入品质量安全监测等服务性、技术性工作；负责林业、农业灾害、病虫害和动物疫病的监测、预防和处置；负责组织指导农 业产业发展、林业生产、农业机械管理、水产发展、农林水资源 保护、水土保持预防及水土流失治理等服务工作；负责新农村建 组织 设、乡村振兴、农村经济发展、农村土地承包、扶贫开发和综合 策咨 治理、农村改革服务等工作；负责农村宅基地和承包地的管理服 办的 务工作；组织实施乡道、村道的养护、路域环境整治及村道的路政管理、大中修等工作；负责综合统计工作。负责协助实施本乡 市政设施、公共事业等基础设施建设及其移交后的管理工作；负 基层 责园林绿化、环境卫生、市容市貌、环境综合整治和保护等工作；科 负责本行政区域内垃圾分类和环境整治达标等城市管理综合服 实务等工作；承担乡党委、政府交办的其他工作。</w:t>
      </w:r>
      <w:r>
        <w:rPr>
          <w:rFonts w:hint="eastAsia" w:cs="Times New Roman"/>
          <w:sz w:val="32"/>
          <w:szCs w:val="32"/>
          <w:lang w:val="en-US" w:eastAsia="zh-CN"/>
        </w:rPr>
        <w:t>。</w:t>
      </w:r>
    </w:p>
    <w:p>
      <w:pPr>
        <w:snapToGrid w:val="0"/>
        <w:spacing w:line="520" w:lineRule="exact"/>
        <w:ind w:firstLine="643" w:firstLineChars="200"/>
        <w:rPr>
          <w:rFonts w:hint="eastAsia" w:ascii="仿宋_GB2312" w:hAnsi="仿宋" w:eastAsia="仿宋_GB2312"/>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r>
        <w:rPr>
          <w:rFonts w:hint="default" w:ascii="Times New Roman" w:hAnsi="Times New Roman" w:cs="Times New Roman"/>
          <w:sz w:val="32"/>
          <w:szCs w:val="32"/>
        </w:rPr>
        <w:t>截至202</w:t>
      </w:r>
      <w:r>
        <w:rPr>
          <w:rFonts w:hint="eastAsia" w:ascii="Times New Roman" w:hAnsi="Times New Roman" w:cs="Times New Roman"/>
          <w:sz w:val="32"/>
          <w:szCs w:val="32"/>
          <w:lang w:val="en-US" w:eastAsia="zh-CN"/>
        </w:rPr>
        <w:t>3</w:t>
      </w:r>
      <w:r>
        <w:rPr>
          <w:rFonts w:hint="default" w:ascii="Times New Roman" w:hAnsi="Times New Roman" w:cs="Times New Roman"/>
          <w:sz w:val="32"/>
          <w:szCs w:val="32"/>
        </w:rPr>
        <w:t>年末，</w:t>
      </w:r>
      <w:r>
        <w:rPr>
          <w:rFonts w:hint="default" w:ascii="仿宋_GB2312" w:hAnsi="仿宋_GB2312" w:eastAsia="仿宋_GB2312" w:cs="仿宋_GB2312"/>
          <w:color w:val="000000"/>
          <w:kern w:val="0"/>
          <w:sz w:val="32"/>
          <w:szCs w:val="32"/>
          <w:lang w:val="en-US" w:eastAsia="zh-CN" w:bidi="ar-SA"/>
        </w:rPr>
        <w:t>财政供养人员编制为</w:t>
      </w:r>
      <w:r>
        <w:rPr>
          <w:rFonts w:hint="eastAsia" w:ascii="仿宋_GB2312" w:hAnsi="仿宋_GB2312" w:eastAsia="仿宋_GB2312" w:cs="仿宋_GB2312"/>
          <w:color w:val="000000"/>
          <w:kern w:val="0"/>
          <w:sz w:val="32"/>
          <w:szCs w:val="32"/>
          <w:lang w:val="en-US" w:eastAsia="zh-CN" w:bidi="ar-SA"/>
        </w:rPr>
        <w:t>38</w:t>
      </w:r>
      <w:r>
        <w:rPr>
          <w:rFonts w:hint="default" w:ascii="仿宋_GB2312" w:hAnsi="仿宋_GB2312" w:eastAsia="仿宋_GB2312" w:cs="仿宋_GB2312"/>
          <w:color w:val="000000"/>
          <w:kern w:val="0"/>
          <w:sz w:val="32"/>
          <w:szCs w:val="32"/>
          <w:lang w:val="en-US" w:eastAsia="zh-CN" w:bidi="ar-SA"/>
        </w:rPr>
        <w:t>名，其中行政编制</w:t>
      </w:r>
      <w:r>
        <w:rPr>
          <w:rFonts w:hint="eastAsia" w:ascii="仿宋_GB2312" w:hAnsi="仿宋_GB2312" w:eastAsia="仿宋_GB2312" w:cs="仿宋_GB2312"/>
          <w:color w:val="000000"/>
          <w:kern w:val="0"/>
          <w:sz w:val="32"/>
          <w:szCs w:val="32"/>
          <w:lang w:val="en-US" w:eastAsia="zh-CN" w:bidi="ar-SA"/>
        </w:rPr>
        <w:t>22</w:t>
      </w:r>
      <w:r>
        <w:rPr>
          <w:rFonts w:hint="default" w:ascii="仿宋_GB2312" w:hAnsi="仿宋_GB2312" w:eastAsia="仿宋_GB2312" w:cs="仿宋_GB2312"/>
          <w:color w:val="000000"/>
          <w:kern w:val="0"/>
          <w:sz w:val="32"/>
          <w:szCs w:val="32"/>
          <w:lang w:val="en-US" w:eastAsia="zh-CN" w:bidi="ar-SA"/>
        </w:rPr>
        <w:t>名，行政工勤编制</w:t>
      </w:r>
      <w:r>
        <w:rPr>
          <w:rFonts w:hint="eastAsia" w:ascii="仿宋_GB2312" w:hAnsi="仿宋_GB2312" w:cs="仿宋_GB2312"/>
          <w:color w:val="000000"/>
          <w:kern w:val="0"/>
          <w:sz w:val="32"/>
          <w:szCs w:val="32"/>
          <w:lang w:val="en-US" w:eastAsia="zh-CN" w:bidi="ar-SA"/>
        </w:rPr>
        <w:t>1</w:t>
      </w:r>
      <w:r>
        <w:rPr>
          <w:rFonts w:hint="default" w:ascii="仿宋_GB2312" w:hAnsi="仿宋_GB2312" w:eastAsia="仿宋_GB2312" w:cs="仿宋_GB2312"/>
          <w:color w:val="000000"/>
          <w:kern w:val="0"/>
          <w:sz w:val="32"/>
          <w:szCs w:val="32"/>
          <w:lang w:val="en-US" w:eastAsia="zh-CN" w:bidi="ar-SA"/>
        </w:rPr>
        <w:t>名，事业编制</w:t>
      </w:r>
      <w:r>
        <w:rPr>
          <w:rFonts w:hint="eastAsia" w:ascii="仿宋_GB2312" w:hAnsi="仿宋_GB2312" w:eastAsia="仿宋_GB2312" w:cs="仿宋_GB2312"/>
          <w:color w:val="000000"/>
          <w:kern w:val="0"/>
          <w:sz w:val="32"/>
          <w:szCs w:val="32"/>
          <w:lang w:val="en-US" w:eastAsia="zh-CN" w:bidi="ar-SA"/>
        </w:rPr>
        <w:t>14</w:t>
      </w:r>
      <w:r>
        <w:rPr>
          <w:rFonts w:hint="default" w:ascii="仿宋_GB2312" w:hAnsi="仿宋_GB2312" w:eastAsia="仿宋_GB2312" w:cs="仿宋_GB2312"/>
          <w:color w:val="000000"/>
          <w:kern w:val="0"/>
          <w:sz w:val="32"/>
          <w:szCs w:val="32"/>
          <w:lang w:val="en-US" w:eastAsia="zh-CN" w:bidi="ar-SA"/>
        </w:rPr>
        <w:t>名</w:t>
      </w:r>
      <w:r>
        <w:rPr>
          <w:rFonts w:hint="eastAsia" w:ascii="仿宋_GB2312" w:hAnsi="仿宋_GB2312" w:cs="仿宋_GB2312"/>
          <w:color w:val="000000"/>
          <w:kern w:val="0"/>
          <w:sz w:val="32"/>
          <w:szCs w:val="32"/>
          <w:lang w:val="en-US" w:eastAsia="zh-CN" w:bidi="ar-SA"/>
        </w:rPr>
        <w:t>;</w:t>
      </w:r>
      <w:r>
        <w:rPr>
          <w:rFonts w:hint="eastAsia" w:ascii="仿宋" w:hAnsi="仿宋" w:eastAsia="仿宋"/>
          <w:sz w:val="32"/>
          <w:szCs w:val="32"/>
        </w:rPr>
        <w:t>本年度年末实有人数为36人，</w:t>
      </w:r>
      <w:r>
        <w:rPr>
          <w:rFonts w:hint="eastAsia" w:ascii="仿宋_GB2312" w:eastAsia="仿宋_GB2312"/>
          <w:bCs/>
          <w:sz w:val="32"/>
          <w:szCs w:val="32"/>
        </w:rPr>
        <w:t>其中：行政21人，行政工勤1人，事业14人。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sz w:val="32"/>
          <w:szCs w:val="32"/>
        </w:rPr>
      </w:pP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pPr>
        <w:pStyle w:val="35"/>
        <w:autoSpaceDE w:val="0"/>
        <w:spacing w:before="0" w:beforeAutospacing="0" w:line="500" w:lineRule="exact"/>
        <w:ind w:firstLine="643" w:firstLineChars="200"/>
        <w:rPr>
          <w:rFonts w:hint="eastAsia" w:ascii="仿宋_GB2312" w:eastAsia="仿宋_GB2312"/>
          <w:sz w:val="32"/>
          <w:szCs w:val="32"/>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cs="Times New Roman"/>
          <w:sz w:val="32"/>
          <w:szCs w:val="32"/>
          <w:lang w:val="en-US" w:eastAsia="zh-CN"/>
        </w:rPr>
        <w:t>大录乡2023年</w:t>
      </w:r>
      <w:r>
        <w:rPr>
          <w:rFonts w:hint="eastAsia" w:ascii="仿宋_GB2312" w:eastAsia="仿宋_GB2312"/>
          <w:sz w:val="32"/>
          <w:szCs w:val="32"/>
          <w:shd w:val="clear" w:color="auto" w:fill="FFFFFF"/>
        </w:rPr>
        <w:t>收入合计1361.77万元，其中：一般公共预算财政拨款收入1197.</w:t>
      </w:r>
      <w:r>
        <w:rPr>
          <w:rFonts w:hint="eastAsia" w:ascii="仿宋_GB2312" w:eastAsia="仿宋_GB2312"/>
          <w:sz w:val="32"/>
          <w:szCs w:val="32"/>
          <w:shd w:val="clear" w:color="auto" w:fill="FFFFFF"/>
          <w:lang w:val="en-US" w:eastAsia="zh-CN"/>
        </w:rPr>
        <w:t>37</w:t>
      </w:r>
      <w:r>
        <w:rPr>
          <w:rFonts w:hint="eastAsia" w:ascii="仿宋_GB2312" w:eastAsia="仿宋_GB2312"/>
          <w:sz w:val="32"/>
          <w:szCs w:val="32"/>
          <w:shd w:val="clear" w:color="auto" w:fill="FFFFFF"/>
        </w:rPr>
        <w:t>万元，占87.9</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政府性基金预算财政拨款收入0.00万元，占0.00%；国有资本经营预算财政拨款收入0.00万元，占0.00%；上级补助收入0.00万元，占0.00%；事业收入0.00万元，占0.00%%；经营收入0.00万元，占0.00%%；附属单位上缴收入0.00万元，占0.00%；其他收入0.00万元，占0.00%；年初结转和结余</w:t>
      </w:r>
      <w:r>
        <w:rPr>
          <w:rFonts w:hint="eastAsia" w:ascii="仿宋_GB2312" w:eastAsia="仿宋_GB2312"/>
          <w:sz w:val="32"/>
          <w:szCs w:val="32"/>
          <w:shd w:val="clear" w:color="auto" w:fill="FFFFFF"/>
          <w:lang w:eastAsia="zh-CN"/>
        </w:rPr>
        <w:t>（存量资金）</w:t>
      </w:r>
      <w:r>
        <w:rPr>
          <w:rFonts w:hint="eastAsia" w:ascii="仿宋_GB2312" w:eastAsia="仿宋_GB2312"/>
          <w:sz w:val="32"/>
          <w:szCs w:val="32"/>
          <w:shd w:val="clear" w:color="auto" w:fill="FFFFFF"/>
          <w:lang w:val="en-US" w:eastAsia="zh-CN"/>
        </w:rPr>
        <w:t>164.40</w:t>
      </w:r>
      <w:r>
        <w:rPr>
          <w:rFonts w:hint="eastAsia" w:ascii="仿宋_GB2312" w:eastAsia="仿宋_GB2312"/>
          <w:sz w:val="32"/>
          <w:szCs w:val="32"/>
          <w:shd w:val="clear" w:color="auto" w:fill="FFFFFF"/>
        </w:rPr>
        <w:t>万元；占比12.</w:t>
      </w:r>
      <w:r>
        <w:rPr>
          <w:rFonts w:hint="eastAsia" w:ascii="仿宋_GB2312" w:eastAsia="仿宋_GB2312"/>
          <w:sz w:val="32"/>
          <w:szCs w:val="32"/>
          <w:shd w:val="clear" w:color="auto" w:fill="FFFFFF"/>
          <w:lang w:val="en-US" w:eastAsia="zh-CN"/>
        </w:rPr>
        <w:t>07</w:t>
      </w:r>
      <w:r>
        <w:rPr>
          <w:rFonts w:hint="eastAsia" w:ascii="仿宋_GB2312" w:eastAsia="仿宋_GB2312"/>
          <w:sz w:val="32"/>
          <w:szCs w:val="32"/>
          <w:shd w:val="clear" w:color="auto" w:fill="FFFFFF"/>
        </w:rPr>
        <w:t>%。</w:t>
      </w:r>
    </w:p>
    <w:p>
      <w:pPr>
        <w:pStyle w:val="14"/>
        <w:spacing w:before="0" w:beforeAutospacing="0" w:after="0" w:afterAutospacing="0" w:line="500" w:lineRule="exact"/>
        <w:ind w:firstLine="640"/>
        <w:rPr>
          <w:rFonts w:hint="eastAsia" w:ascii="仿宋_GB2312" w:hAnsi="宋体" w:eastAsia="仿宋_GB2312" w:cs="宋体"/>
          <w:kern w:val="0"/>
          <w:sz w:val="32"/>
          <w:szCs w:val="32"/>
          <w:shd w:val="clear" w:color="auto" w:fill="FFFFFF"/>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宋体" w:eastAsia="仿宋_GB2312" w:cs="宋体"/>
          <w:kern w:val="0"/>
          <w:sz w:val="32"/>
          <w:szCs w:val="32"/>
          <w:shd w:val="clear" w:color="auto" w:fill="FFFFFF"/>
          <w:lang w:val="en-US" w:eastAsia="zh-CN" w:bidi="ar-SA"/>
        </w:rPr>
        <w:t>本年度总支出为1361.77万元。其中：一般公共服务支出为618.71万元，占比45.43%；文化旅游体育与传媒支出为4.56万元，占比0.03%；社会保障和就业支出为88.70万元，占比6.51%；卫生健康支出为39.81万元，占比2.92%；城乡社区支出为7万元，占比0.05%；农林水支出为553.4万元，占比40.64%；住房保障支出为49.60万元，占比3.6%；</w:t>
      </w:r>
    </w:p>
    <w:p>
      <w:pPr>
        <w:pStyle w:val="35"/>
        <w:autoSpaceDE w:val="0"/>
        <w:spacing w:before="0" w:beforeAutospacing="0" w:line="500" w:lineRule="exact"/>
        <w:ind w:firstLine="643" w:firstLineChars="200"/>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仿宋_GB2312" w:hAnsi="宋体" w:eastAsia="仿宋_GB2312" w:cs="宋体"/>
          <w:sz w:val="32"/>
          <w:szCs w:val="32"/>
          <w:shd w:val="clear" w:color="auto" w:fill="FFFFFF"/>
          <w:lang w:val="en-US" w:eastAsia="zh-CN"/>
        </w:rPr>
        <w:t>大录乡2023年</w:t>
      </w:r>
      <w:r>
        <w:rPr>
          <w:rFonts w:hint="eastAsia" w:ascii="仿宋_GB2312" w:hAnsi="宋体" w:eastAsia="仿宋_GB2312" w:cs="宋体"/>
          <w:sz w:val="32"/>
          <w:szCs w:val="32"/>
          <w:shd w:val="clear" w:color="auto" w:fill="FFFFFF"/>
          <w:lang w:eastAsia="zh-CN"/>
        </w:rPr>
        <w:t>年初结转和结余（存量资金）</w:t>
      </w:r>
      <w:r>
        <w:rPr>
          <w:rFonts w:hint="eastAsia" w:ascii="仿宋_GB2312" w:hAnsi="宋体" w:eastAsia="仿宋_GB2312" w:cs="宋体"/>
          <w:sz w:val="32"/>
          <w:szCs w:val="32"/>
          <w:shd w:val="clear" w:color="auto" w:fill="FFFFFF"/>
          <w:lang w:val="en-US" w:eastAsia="zh-CN"/>
        </w:rPr>
        <w:t>164.40</w:t>
      </w:r>
      <w:r>
        <w:rPr>
          <w:rFonts w:hint="eastAsia" w:ascii="仿宋_GB2312" w:hAnsi="宋体" w:eastAsia="仿宋_GB2312" w:cs="宋体"/>
          <w:sz w:val="32"/>
          <w:szCs w:val="32"/>
          <w:shd w:val="clear" w:color="auto" w:fill="FFFFFF"/>
          <w:lang w:eastAsia="zh-CN"/>
        </w:rPr>
        <w:t>万元；占比12.</w:t>
      </w:r>
      <w:r>
        <w:rPr>
          <w:rFonts w:hint="eastAsia" w:ascii="仿宋_GB2312" w:hAnsi="宋体" w:eastAsia="仿宋_GB2312" w:cs="宋体"/>
          <w:sz w:val="32"/>
          <w:szCs w:val="32"/>
          <w:shd w:val="clear" w:color="auto" w:fill="FFFFFF"/>
          <w:lang w:val="en-US" w:eastAsia="zh-CN"/>
        </w:rPr>
        <w:t>07</w:t>
      </w:r>
      <w:r>
        <w:rPr>
          <w:rFonts w:hint="eastAsia" w:ascii="仿宋_GB2312" w:hAnsi="宋体" w:eastAsia="仿宋_GB2312" w:cs="宋体"/>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履职效能。认真宣传贯彻党的路线、方针、政策和国家的法律法规，稳定农村基本经济制度</w:t>
      </w:r>
      <w:r>
        <w:rPr>
          <w:rFonts w:hint="eastAsia" w:ascii="楷体_GB2312" w:hAnsi="楷体_GB2312" w:eastAsia="楷体_GB2312" w:cs="楷体_GB2312"/>
          <w:color w:val="000000"/>
          <w:kern w:val="0"/>
          <w:sz w:val="32"/>
          <w:szCs w:val="32"/>
          <w:highlight w:val="none"/>
          <w:shd w:val="clear" w:color="auto" w:fill="FFFFFF"/>
          <w:lang w:val="en-US" w:eastAsia="zh-CN"/>
        </w:rPr>
        <w:t>,</w:t>
      </w:r>
      <w:r>
        <w:rPr>
          <w:rFonts w:hint="eastAsia" w:ascii="Times New Roman" w:hAnsi="Times New Roman" w:cs="Times New Roman"/>
          <w:color w:val="000000"/>
          <w:kern w:val="0"/>
          <w:sz w:val="32"/>
          <w:szCs w:val="32"/>
          <w:highlight w:val="none"/>
          <w:shd w:val="clear" w:color="auto" w:fill="FFFFFF"/>
          <w:lang w:val="zh-CN"/>
        </w:rPr>
        <w:t>坚持依法行政，推进政务公开</w:t>
      </w:r>
      <w:r>
        <w:rPr>
          <w:rFonts w:hint="eastAsia" w:cs="Times New Roman"/>
          <w:color w:val="000000"/>
          <w:kern w:val="0"/>
          <w:sz w:val="32"/>
          <w:szCs w:val="32"/>
          <w:highlight w:val="none"/>
          <w:shd w:val="clear" w:color="auto" w:fill="FFFFFF"/>
          <w:lang w:val="en-US" w:eastAsia="zh-CN"/>
        </w:rPr>
        <w:t>;</w:t>
      </w:r>
      <w:r>
        <w:rPr>
          <w:rFonts w:hint="eastAsia" w:ascii="Times New Roman" w:hAnsi="Times New Roman" w:cs="Times New Roman"/>
          <w:color w:val="000000"/>
          <w:kern w:val="0"/>
          <w:sz w:val="32"/>
          <w:szCs w:val="32"/>
          <w:highlight w:val="none"/>
          <w:shd w:val="clear" w:color="auto" w:fill="FFFFFF"/>
          <w:lang w:val="zh-CN"/>
        </w:rPr>
        <w:t>加强对村民委员会的指导，提高、培育村民委员会自治能力</w:t>
      </w:r>
      <w:r>
        <w:rPr>
          <w:rFonts w:hint="eastAsia" w:cs="Times New Roman"/>
          <w:color w:val="000000"/>
          <w:kern w:val="0"/>
          <w:sz w:val="32"/>
          <w:szCs w:val="32"/>
          <w:highlight w:val="none"/>
          <w:shd w:val="clear" w:color="auto" w:fill="FFFFFF"/>
          <w:lang w:val="en-US" w:eastAsia="zh-CN"/>
        </w:rPr>
        <w:t>;执行上级和本级党委、人民代表大会的决议、决定及命令，执行本行政区域内的国民经济和社会发展计划。</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w:t>
      </w:r>
      <w:r>
        <w:rPr>
          <w:rFonts w:hint="default" w:ascii="楷体_GB2312" w:hAnsi="楷体_GB2312" w:eastAsia="楷体_GB2312" w:cs="楷体_GB2312"/>
          <w:color w:val="000000"/>
          <w:kern w:val="0"/>
          <w:sz w:val="32"/>
          <w:szCs w:val="32"/>
          <w:highlight w:val="none"/>
          <w:shd w:val="clear" w:color="auto" w:fill="FFFFFF"/>
          <w:lang w:val="zh-CN"/>
        </w:rPr>
        <w:t>预算管理</w:t>
      </w:r>
      <w:r>
        <w:rPr>
          <w:rFonts w:hint="eastAsia" w:ascii="楷体_GB2312" w:hAnsi="楷体_GB2312" w:eastAsia="楷体_GB2312" w:cs="楷体_GB2312"/>
          <w:color w:val="000000"/>
          <w:kern w:val="0"/>
          <w:sz w:val="32"/>
          <w:szCs w:val="32"/>
          <w:highlight w:val="none"/>
          <w:shd w:val="clear" w:color="auto" w:fill="FFFFFF"/>
          <w:lang w:val="zh-CN"/>
        </w:rPr>
        <w:t>。加强预算编制的管理，完善基本支出标准体系，坚持有保有压，建立标准动态调整机制，更好的发挥支出标准在预算管理中的基础性作用。细化预算编制，进一步提高预算编制的科学性和精准性。提高预算执行效率加快预算下达和资金拨付进度，确保资金效益发挥和政策落实。</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default" w:ascii="楷体_GB2312" w:hAnsi="楷体_GB2312" w:eastAsia="楷体_GB2312" w:cs="楷体_GB2312"/>
          <w:color w:val="000000"/>
          <w:kern w:val="0"/>
          <w:sz w:val="32"/>
          <w:szCs w:val="32"/>
          <w:highlight w:val="none"/>
          <w:shd w:val="clear" w:color="auto" w:fill="FFFFFF"/>
          <w:lang w:val="zh-CN"/>
        </w:rPr>
        <w:t>财务管理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sz w:val="32"/>
          <w:szCs w:val="32"/>
          <w:lang w:val="en-US" w:eastAsia="zh-CN"/>
        </w:rPr>
        <w:t>严格按照《九寨沟县（乡）镇财政资金管理制度》《九寨沟县乡镇财政会计核算工作制度》由工程领导小组进行</w:t>
      </w:r>
      <w:r>
        <w:rPr>
          <w:rFonts w:hint="eastAsia" w:ascii="仿宋_GB2312"/>
          <w:sz w:val="32"/>
          <w:szCs w:val="32"/>
          <w:lang w:val="zh-CN"/>
        </w:rPr>
        <w:t>项目财务管理制度建设、会计核算及账务处理等相关</w:t>
      </w:r>
      <w:r>
        <w:rPr>
          <w:rFonts w:hint="eastAsia" w:ascii="仿宋_GB2312"/>
          <w:sz w:val="32"/>
          <w:szCs w:val="32"/>
          <w:lang w:val="en-US" w:eastAsia="zh-CN"/>
        </w:rPr>
        <w:t>程序</w:t>
      </w:r>
      <w:r>
        <w:rPr>
          <w:rFonts w:hint="eastAsia" w:ascii="仿宋_GB2312"/>
          <w:sz w:val="32"/>
          <w:szCs w:val="32"/>
          <w:lang w:val="zh-CN"/>
        </w:rPr>
        <w:t>。项目严格执行财务管理制度、财务处理及时、会计核算规范。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4.</w:t>
      </w:r>
      <w:r>
        <w:rPr>
          <w:rFonts w:hint="default" w:ascii="楷体_GB2312" w:hAnsi="楷体_GB2312" w:eastAsia="楷体_GB2312" w:cs="楷体_GB2312"/>
          <w:color w:val="000000"/>
          <w:kern w:val="0"/>
          <w:sz w:val="32"/>
          <w:szCs w:val="32"/>
          <w:highlight w:val="none"/>
          <w:shd w:val="clear" w:color="auto" w:fill="FFFFFF"/>
          <w:lang w:val="zh-CN"/>
        </w:rPr>
        <w:t>资产管理</w:t>
      </w:r>
      <w:r>
        <w:rPr>
          <w:rFonts w:hint="eastAsia" w:ascii="楷体_GB2312" w:hAnsi="楷体_GB2312" w:eastAsia="楷体_GB2312" w:cs="楷体_GB2312"/>
          <w:color w:val="000000"/>
          <w:kern w:val="0"/>
          <w:sz w:val="32"/>
          <w:szCs w:val="32"/>
          <w:highlight w:val="none"/>
          <w:shd w:val="clear" w:color="auto" w:fill="FFFFFF"/>
          <w:lang w:val="zh-CN"/>
        </w:rPr>
        <w:t>。闲置资产为</w:t>
      </w:r>
      <w:r>
        <w:rPr>
          <w:rFonts w:hint="eastAsia" w:ascii="楷体_GB2312" w:hAnsi="楷体_GB2312" w:eastAsia="楷体_GB2312" w:cs="楷体_GB2312"/>
          <w:color w:val="000000"/>
          <w:kern w:val="0"/>
          <w:sz w:val="32"/>
          <w:szCs w:val="32"/>
          <w:highlight w:val="none"/>
          <w:shd w:val="clear" w:color="auto" w:fill="FFFFFF"/>
          <w:lang w:val="en-US" w:eastAsia="zh-CN"/>
        </w:rPr>
        <w:t>0，需盘活资产为0</w:t>
      </w:r>
      <w:r>
        <w:rPr>
          <w:rFonts w:hint="eastAsia" w:ascii="Times New Roman" w:hAnsi="Times New Roman"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5.</w:t>
      </w:r>
      <w:r>
        <w:rPr>
          <w:rFonts w:hint="default" w:ascii="楷体_GB2312" w:hAnsi="楷体_GB2312" w:eastAsia="楷体_GB2312" w:cs="楷体_GB2312"/>
          <w:color w:val="000000"/>
          <w:kern w:val="0"/>
          <w:sz w:val="32"/>
          <w:szCs w:val="32"/>
          <w:highlight w:val="none"/>
          <w:shd w:val="clear" w:color="auto" w:fill="FFFFFF"/>
          <w:lang w:val="zh-CN"/>
        </w:rPr>
        <w:t>采购管理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cs="Times New Roman"/>
          <w:color w:val="000000"/>
          <w:kern w:val="0"/>
          <w:sz w:val="32"/>
          <w:szCs w:val="32"/>
          <w:highlight w:val="none"/>
          <w:shd w:val="clear" w:color="auto" w:fill="FFFFFF"/>
          <w:lang w:val="zh-CN"/>
        </w:rPr>
        <w:t>采购执行率</w:t>
      </w:r>
      <w:r>
        <w:rPr>
          <w:rFonts w:hint="eastAsia" w:cs="Times New Roman"/>
          <w:color w:val="000000"/>
          <w:kern w:val="0"/>
          <w:sz w:val="32"/>
          <w:szCs w:val="32"/>
          <w:highlight w:val="none"/>
          <w:shd w:val="clear" w:color="auto" w:fill="FFFFFF"/>
          <w:lang w:val="en-US" w:eastAsia="zh-CN"/>
        </w:rPr>
        <w:t>100%</w:t>
      </w:r>
      <w:r>
        <w:rPr>
          <w:rFonts w:hint="eastAsia" w:ascii="Times New Roman" w:hAnsi="Times New Roman" w:cs="Times New Roman"/>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cs="Times New Roman"/>
          <w:color w:val="000000"/>
          <w:kern w:val="0"/>
          <w:sz w:val="32"/>
          <w:szCs w:val="32"/>
          <w:highlight w:val="none"/>
          <w:shd w:val="clear" w:color="auto" w:fill="FFFFFF"/>
          <w:lang w:val="zh-CN" w:eastAsia="zh-CN"/>
        </w:rPr>
      </w:pPr>
      <w:r>
        <w:rPr>
          <w:rFonts w:hint="default" w:cs="Times New Roman"/>
          <w:color w:val="000000"/>
          <w:kern w:val="0"/>
          <w:sz w:val="32"/>
          <w:szCs w:val="32"/>
          <w:highlight w:val="none"/>
          <w:shd w:val="clear" w:color="auto" w:fill="FFFFFF"/>
          <w:lang w:val="en-US" w:eastAsia="zh-CN"/>
        </w:rPr>
        <w:t>常年项目绩效分析。</w:t>
      </w:r>
      <w:r>
        <w:rPr>
          <w:rFonts w:hint="default" w:cs="Times New Roman"/>
          <w:color w:val="000000"/>
          <w:kern w:val="0"/>
          <w:sz w:val="32"/>
          <w:szCs w:val="32"/>
          <w:highlight w:val="none"/>
          <w:shd w:val="clear" w:color="auto" w:fill="FFFFFF"/>
          <w:lang w:val="zh-CN" w:eastAsia="zh-CN"/>
        </w:rPr>
        <w:t>该类项目总数</w:t>
      </w:r>
      <w:r>
        <w:rPr>
          <w:rFonts w:hint="default" w:cs="Times New Roman"/>
          <w:color w:val="000000"/>
          <w:kern w:val="0"/>
          <w:sz w:val="32"/>
          <w:szCs w:val="32"/>
          <w:highlight w:val="none"/>
          <w:shd w:val="clear" w:color="auto" w:fill="FFFFFF"/>
          <w:lang w:val="en-US" w:eastAsia="zh-CN"/>
        </w:rPr>
        <w:t xml:space="preserve"> </w:t>
      </w:r>
      <w:r>
        <w:rPr>
          <w:rFonts w:hint="eastAsia" w:cs="Times New Roman"/>
          <w:color w:val="000000"/>
          <w:kern w:val="0"/>
          <w:sz w:val="32"/>
          <w:szCs w:val="32"/>
          <w:highlight w:val="none"/>
          <w:shd w:val="clear" w:color="auto" w:fill="FFFFFF"/>
          <w:lang w:val="en-US" w:eastAsia="zh-CN"/>
        </w:rPr>
        <w:t>22</w:t>
      </w:r>
      <w:r>
        <w:rPr>
          <w:rFonts w:hint="default" w:cs="Times New Roman"/>
          <w:color w:val="000000"/>
          <w:kern w:val="0"/>
          <w:sz w:val="32"/>
          <w:szCs w:val="32"/>
          <w:highlight w:val="none"/>
          <w:shd w:val="clear" w:color="auto" w:fill="FFFFFF"/>
          <w:lang w:val="zh-CN" w:eastAsia="zh-CN"/>
        </w:rPr>
        <w:t>个，涉及预算总金额</w:t>
      </w:r>
      <w:r>
        <w:rPr>
          <w:rFonts w:hint="eastAsia" w:cs="Times New Roman"/>
          <w:color w:val="000000"/>
          <w:kern w:val="0"/>
          <w:sz w:val="32"/>
          <w:szCs w:val="32"/>
          <w:highlight w:val="none"/>
          <w:shd w:val="clear" w:color="auto" w:fill="FFFFFF"/>
          <w:lang w:val="en-US" w:eastAsia="zh-CN"/>
        </w:rPr>
        <w:t>749.23</w:t>
      </w:r>
      <w:r>
        <w:rPr>
          <w:rFonts w:hint="default" w:cs="Times New Roman"/>
          <w:color w:val="000000"/>
          <w:kern w:val="0"/>
          <w:sz w:val="32"/>
          <w:szCs w:val="32"/>
          <w:highlight w:val="none"/>
          <w:shd w:val="clear" w:color="auto" w:fill="FFFFFF"/>
          <w:lang w:val="zh-CN" w:eastAsia="zh-CN"/>
        </w:rPr>
        <w:t>万元，</w:t>
      </w:r>
      <w:r>
        <w:rPr>
          <w:rFonts w:hint="default" w:cs="Times New Roman"/>
          <w:color w:val="000000"/>
          <w:kern w:val="0"/>
          <w:sz w:val="32"/>
          <w:szCs w:val="32"/>
          <w:highlight w:val="none"/>
          <w:shd w:val="clear" w:color="auto" w:fill="FFFFFF"/>
          <w:lang w:val="zh-CN"/>
        </w:rPr>
        <w:t>1</w:t>
      </w:r>
      <w:r>
        <w:rPr>
          <w:rFonts w:hint="eastAsia" w:cs="Times New Roman"/>
          <w:color w:val="000000"/>
          <w:kern w:val="0"/>
          <w:sz w:val="32"/>
          <w:szCs w:val="32"/>
          <w:highlight w:val="none"/>
          <w:shd w:val="clear" w:color="auto" w:fill="FFFFFF"/>
          <w:lang w:val="zh-CN" w:eastAsia="zh-CN"/>
        </w:rPr>
        <w:t>—</w:t>
      </w:r>
      <w:r>
        <w:rPr>
          <w:rFonts w:hint="default" w:cs="Times New Roman"/>
          <w:color w:val="000000"/>
          <w:kern w:val="0"/>
          <w:sz w:val="32"/>
          <w:szCs w:val="32"/>
          <w:highlight w:val="none"/>
          <w:shd w:val="clear" w:color="auto" w:fill="FFFFFF"/>
          <w:lang w:val="zh-CN"/>
        </w:rPr>
        <w:t>1</w:t>
      </w:r>
      <w:r>
        <w:rPr>
          <w:rFonts w:hint="default" w:cs="Times New Roman"/>
          <w:color w:val="000000"/>
          <w:kern w:val="0"/>
          <w:sz w:val="32"/>
          <w:szCs w:val="32"/>
          <w:highlight w:val="none"/>
          <w:shd w:val="clear" w:color="auto" w:fill="FFFFFF"/>
          <w:lang w:val="en-US" w:eastAsia="zh-CN"/>
        </w:rPr>
        <w:t>2</w:t>
      </w:r>
      <w:r>
        <w:rPr>
          <w:rFonts w:hint="default" w:cs="Times New Roman"/>
          <w:color w:val="000000"/>
          <w:kern w:val="0"/>
          <w:sz w:val="32"/>
          <w:szCs w:val="32"/>
          <w:highlight w:val="none"/>
          <w:shd w:val="clear" w:color="auto" w:fill="FFFFFF"/>
          <w:lang w:val="zh-CN"/>
        </w:rPr>
        <w:t>月预算执行总体进度为</w:t>
      </w:r>
      <w:r>
        <w:rPr>
          <w:rFonts w:hint="eastAsia" w:cs="Times New Roman"/>
          <w:color w:val="000000"/>
          <w:kern w:val="0"/>
          <w:sz w:val="32"/>
          <w:szCs w:val="32"/>
          <w:highlight w:val="none"/>
          <w:shd w:val="clear" w:color="auto" w:fill="FFFFFF"/>
          <w:lang w:val="en-US" w:eastAsia="zh-CN"/>
        </w:rPr>
        <w:t>100</w:t>
      </w:r>
      <w:r>
        <w:rPr>
          <w:rFonts w:hint="default" w:cs="Times New Roman"/>
          <w:color w:val="000000"/>
          <w:kern w:val="0"/>
          <w:sz w:val="32"/>
          <w:szCs w:val="32"/>
          <w:highlight w:val="none"/>
          <w:shd w:val="clear" w:color="auto" w:fill="FFFFFF"/>
          <w:lang w:val="zh-CN"/>
        </w:rPr>
        <w:t>%，其中：</w:t>
      </w:r>
      <w:r>
        <w:rPr>
          <w:rFonts w:hint="default" w:cs="Times New Roman"/>
          <w:color w:val="000000"/>
          <w:kern w:val="0"/>
          <w:sz w:val="32"/>
          <w:szCs w:val="32"/>
          <w:highlight w:val="none"/>
          <w:shd w:val="clear" w:color="auto" w:fill="FFFFFF"/>
          <w:lang w:val="zh-CN" w:eastAsia="zh-CN"/>
        </w:rPr>
        <w:t>预算结余率大于</w:t>
      </w:r>
      <w:r>
        <w:rPr>
          <w:rFonts w:hint="default" w:cs="Times New Roman"/>
          <w:color w:val="000000"/>
          <w:kern w:val="0"/>
          <w:sz w:val="32"/>
          <w:szCs w:val="32"/>
          <w:highlight w:val="none"/>
          <w:shd w:val="clear" w:color="auto" w:fill="FFFFFF"/>
          <w:lang w:val="en-US" w:eastAsia="zh-CN"/>
        </w:rPr>
        <w:t>10%</w:t>
      </w:r>
      <w:r>
        <w:rPr>
          <w:rFonts w:hint="default" w:cs="Times New Roman"/>
          <w:color w:val="000000"/>
          <w:kern w:val="0"/>
          <w:sz w:val="32"/>
          <w:szCs w:val="32"/>
          <w:highlight w:val="none"/>
          <w:shd w:val="clear" w:color="auto" w:fill="FFFFFF"/>
          <w:lang w:val="zh-CN" w:eastAsia="zh-CN"/>
        </w:rPr>
        <w:t>的项目共计</w:t>
      </w:r>
      <w:r>
        <w:rPr>
          <w:rFonts w:hint="eastAsia" w:cs="Times New Roman"/>
          <w:color w:val="000000"/>
          <w:kern w:val="0"/>
          <w:sz w:val="32"/>
          <w:szCs w:val="32"/>
          <w:highlight w:val="none"/>
          <w:shd w:val="clear" w:color="auto" w:fill="FFFFFF"/>
          <w:lang w:val="en-US" w:eastAsia="zh-CN"/>
        </w:rPr>
        <w:t>0</w:t>
      </w:r>
      <w:r>
        <w:rPr>
          <w:rFonts w:hint="default" w:cs="Times New Roman"/>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sz w:val="32"/>
          <w:szCs w:val="32"/>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项目决策。</w:t>
      </w:r>
      <w:r>
        <w:rPr>
          <w:rFonts w:hint="eastAsia" w:ascii="仿宋_GB2312"/>
          <w:b w:val="0"/>
          <w:bCs/>
          <w:sz w:val="32"/>
          <w:szCs w:val="32"/>
          <w:lang w:val="zh-CN"/>
        </w:rPr>
        <w:t>项</w:t>
      </w:r>
      <w:r>
        <w:rPr>
          <w:rFonts w:hint="eastAsia" w:ascii="仿宋_GB2312"/>
          <w:sz w:val="32"/>
          <w:szCs w:val="32"/>
          <w:lang w:val="zh-CN"/>
        </w:rPr>
        <w:t>目申报内容与具体实施内容相符、申报目标合理可行。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sz w:val="32"/>
          <w:szCs w:val="32"/>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2.项目执行</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sz w:val="32"/>
          <w:szCs w:val="32"/>
          <w:lang w:val="zh-CN"/>
        </w:rPr>
        <w:t>办公室负责资金使用，编制各种报表，掌握进度，负责项目的实施。领导小组负责项目的整体运筹，协调部门，解决项目建设中的重大问题，负责项目资金管理、调度、审计等，为项目实施提供组织保障。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sz w:val="32"/>
          <w:szCs w:val="32"/>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color w:val="000000"/>
          <w:kern w:val="0"/>
          <w:sz w:val="32"/>
          <w:szCs w:val="32"/>
          <w:highlight w:val="none"/>
          <w:shd w:val="clear" w:color="auto" w:fill="FFFFFF"/>
          <w:lang w:val="zh-CN"/>
        </w:rPr>
        <w:t>目标实现。</w:t>
      </w:r>
      <w:r>
        <w:rPr>
          <w:rFonts w:hint="eastAsia" w:ascii="仿宋_GB2312"/>
          <w:sz w:val="32"/>
          <w:szCs w:val="32"/>
          <w:lang w:val="en-US" w:eastAsia="zh-CN"/>
        </w:rPr>
        <w:t>彻落实党和政府各项路线方针政策，促进经济发展、增加农民收入，强化公共服务、着力改善民生，加强社会管理、维护农村稳定，推进基层民主、促进农村和谐的重大任务。</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pPr>
        <w:pStyle w:val="2"/>
        <w:rPr>
          <w:rFonts w:hint="default"/>
          <w:sz w:val="32"/>
          <w:szCs w:val="32"/>
          <w:lang w:val="en-US" w:eastAsia="zh-CN"/>
        </w:rPr>
      </w:pPr>
      <w:r>
        <w:rPr>
          <w:rFonts w:hint="eastAsia" w:ascii="Times New Roman" w:eastAsia="楷体_GB2312" w:cs="Times New Roman"/>
          <w:b/>
          <w:bCs/>
          <w:color w:val="000000"/>
          <w:kern w:val="0"/>
          <w:sz w:val="32"/>
          <w:szCs w:val="32"/>
          <w:highlight w:val="none"/>
          <w:shd w:val="clear" w:color="auto" w:fill="FFFFFF"/>
          <w:lang w:val="zh-CN" w:eastAsia="zh-CN"/>
        </w:rPr>
        <w:t>无</w:t>
      </w:r>
    </w:p>
    <w:p>
      <w:pPr>
        <w:keepNext w:val="0"/>
        <w:keepLines w:val="0"/>
        <w:pageBreakBefore w:val="0"/>
        <w:widowControl w:val="0"/>
        <w:numPr>
          <w:ilvl w:val="0"/>
          <w:numId w:val="6"/>
        </w:numPr>
        <w:kinsoku/>
        <w:wordWrap/>
        <w:overflowPunct/>
        <w:topLinePunct w:val="0"/>
        <w:autoSpaceDE/>
        <w:autoSpaceDN/>
        <w:bidi w:val="0"/>
        <w:snapToGrid w:val="0"/>
        <w:spacing w:line="600" w:lineRule="exact"/>
        <w:ind w:firstLine="643" w:firstLineChars="200"/>
        <w:textAlignment w:val="auto"/>
        <w:rPr>
          <w:rFonts w:hint="eastAsia"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default" w:ascii="仿宋_GB2312" w:hAnsi="仿宋_GB2312" w:eastAsia="仿宋_GB2312" w:cs="仿宋_GB2312"/>
          <w:b/>
          <w:bCs w:val="0"/>
          <w:sz w:val="32"/>
          <w:szCs w:val="32"/>
        </w:rPr>
      </w:pPr>
      <w:r>
        <w:rPr>
          <w:rFonts w:hint="eastAsia" w:ascii="仿宋_GB2312" w:hAnsi="宋体" w:eastAsia="仿宋_GB2312" w:cs="仿宋_GB2312"/>
          <w:kern w:val="0"/>
          <w:sz w:val="32"/>
          <w:szCs w:val="32"/>
          <w:shd w:val="clear" w:fill="FFFFFF"/>
          <w:lang w:val="en-US" w:eastAsia="zh-CN"/>
        </w:rPr>
        <w:t>根据部门整体预算绩效管理情况，我乡预算编制完全符合乡政府日常办公、职工工资福利、农村基础设施改造等情况所需</w:t>
      </w:r>
      <w:r>
        <w:rPr>
          <w:rFonts w:hint="eastAsia" w:ascii="仿宋_GB2312" w:hAnsi="宋体" w:cs="仿宋_GB2312"/>
          <w:kern w:val="0"/>
          <w:sz w:val="32"/>
          <w:szCs w:val="32"/>
          <w:shd w:val="clear" w:fill="FFFFFF"/>
          <w:lang w:val="en-US" w:eastAsia="zh-CN"/>
        </w:rPr>
        <w:t>,</w:t>
      </w:r>
      <w:r>
        <w:rPr>
          <w:rFonts w:hint="eastAsia" w:ascii="仿宋_GB2312" w:hAnsi="宋体" w:eastAsia="仿宋_GB2312" w:cs="仿宋_GB2312"/>
          <w:kern w:val="0"/>
          <w:sz w:val="32"/>
          <w:szCs w:val="32"/>
          <w:shd w:val="clear" w:fill="FFFFFF"/>
          <w:lang w:val="en-US" w:eastAsia="zh-CN"/>
        </w:rPr>
        <w:t>较好的达到了各项工作开展的预期目标。</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pPr>
        <w:keepNext w:val="0"/>
        <w:keepLines w:val="0"/>
        <w:pageBreakBefore w:val="0"/>
        <w:widowControl w:val="0"/>
        <w:kinsoku/>
        <w:wordWrap/>
        <w:overflowPunct/>
        <w:topLinePunct w:val="0"/>
        <w:autoSpaceDE/>
        <w:autoSpaceDN/>
        <w:bidi w:val="0"/>
        <w:adjustRightInd/>
        <w:snapToGrid/>
        <w:spacing w:beforeAutospacing="0" w:line="500" w:lineRule="exact"/>
        <w:ind w:firstLine="560"/>
        <w:textAlignment w:val="auto"/>
        <w:rPr>
          <w:rFonts w:hint="eastAsia" w:ascii="仿宋_GB2312" w:hAnsi="宋体" w:eastAsia="仿宋_GB2312" w:cs="仿宋_GB2312"/>
          <w:kern w:val="0"/>
          <w:sz w:val="32"/>
          <w:szCs w:val="32"/>
          <w:shd w:val="clear"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_GB2312" w:hAnsi="仿宋_GB2312" w:eastAsia="仿宋_GB2312" w:cs="仿宋_GB2312"/>
          <w:b w:val="0"/>
          <w:bCs w:val="0"/>
          <w:kern w:val="0"/>
          <w:position w:val="0"/>
          <w:sz w:val="32"/>
          <w:szCs w:val="32"/>
          <w:highlight w:val="none"/>
          <w:lang w:val="en-US" w:eastAsia="zh-CN" w:bidi="ar-SA"/>
        </w:rPr>
        <w:t>简</w:t>
      </w:r>
      <w:r>
        <w:rPr>
          <w:rFonts w:hint="eastAsia" w:ascii="仿宋_GB2312" w:hAnsi="宋体" w:eastAsia="仿宋_GB2312" w:cs="仿宋_GB2312"/>
          <w:kern w:val="0"/>
          <w:sz w:val="32"/>
          <w:szCs w:val="32"/>
          <w:shd w:val="clear" w:fill="FFFFFF"/>
          <w:lang w:val="en-US" w:eastAsia="zh-CN"/>
        </w:rPr>
        <w:t>乡政府按照预算法按时完成预决算编制。在执行过程中有计划进行资金申报使用，完善资金管理及内部控制制度，确保资金安全，做到账款、账账、账实相符。为全乡经济和社会事业发展提供资金保障。</w:t>
      </w:r>
    </w:p>
    <w:p>
      <w:pPr>
        <w:keepNext w:val="0"/>
        <w:keepLines w:val="0"/>
        <w:pageBreakBefore w:val="0"/>
        <w:widowControl w:val="0"/>
        <w:kinsoku/>
        <w:wordWrap/>
        <w:overflowPunct/>
        <w:topLinePunct w:val="0"/>
        <w:autoSpaceDE/>
        <w:autoSpaceDN/>
        <w:bidi w:val="0"/>
        <w:adjustRightInd/>
        <w:snapToGrid/>
        <w:spacing w:beforeAutospacing="0" w:line="500" w:lineRule="exact"/>
        <w:ind w:firstLine="560"/>
        <w:textAlignment w:val="auto"/>
        <w:rPr>
          <w:rFonts w:hint="eastAsia" w:ascii="仿宋_GB2312" w:hAnsi="宋体" w:eastAsia="仿宋_GB2312" w:cs="仿宋_GB2312"/>
          <w:kern w:val="0"/>
          <w:sz w:val="32"/>
          <w:szCs w:val="32"/>
          <w:shd w:val="clear"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hAnsi="宋体" w:eastAsia="仿宋_GB2312" w:cs="仿宋_GB2312"/>
          <w:kern w:val="0"/>
          <w:sz w:val="32"/>
          <w:szCs w:val="32"/>
          <w:shd w:val="clear" w:fill="FFFFFF"/>
          <w:lang w:val="en-US" w:eastAsia="zh-CN"/>
        </w:rPr>
        <w:t>在资金使用计划和进度上有待进一步加强。</w:t>
      </w:r>
    </w:p>
    <w:p>
      <w:pPr>
        <w:keepNext w:val="0"/>
        <w:keepLines w:val="0"/>
        <w:pageBreakBefore w:val="0"/>
        <w:widowControl w:val="0"/>
        <w:kinsoku/>
        <w:wordWrap/>
        <w:overflowPunct/>
        <w:topLinePunct w:val="0"/>
        <w:autoSpaceDE/>
        <w:autoSpaceDN/>
        <w:bidi w:val="0"/>
        <w:adjustRightInd/>
        <w:snapToGrid/>
        <w:spacing w:beforeAutospacing="0" w:line="500" w:lineRule="exact"/>
        <w:ind w:firstLine="640"/>
        <w:textAlignment w:val="auto"/>
        <w:rPr>
          <w:rFonts w:hint="eastAsia" w:ascii="仿宋" w:hAnsi="仿宋" w:eastAsia="仿宋" w:cs="仿宋"/>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仿宋_GB2312" w:hAnsi="宋体" w:eastAsia="仿宋_GB2312" w:cs="仿宋_GB2312"/>
          <w:kern w:val="0"/>
          <w:sz w:val="32"/>
          <w:szCs w:val="32"/>
          <w:shd w:val="clear" w:fill="FFFFFF"/>
          <w:lang w:val="en-US" w:eastAsia="zh-CN"/>
        </w:rPr>
        <w:t>在今后工作中，进一步提高工作效率，</w:t>
      </w:r>
      <w:r>
        <w:rPr>
          <w:rFonts w:hint="default" w:ascii="仿宋_GB2312" w:hAnsi="宋体" w:eastAsia="仿宋_GB2312" w:cs="仿宋_GB2312"/>
          <w:kern w:val="0"/>
          <w:sz w:val="32"/>
          <w:szCs w:val="32"/>
          <w:shd w:val="clear" w:fill="FFFFFF"/>
          <w:lang w:val="en-US" w:eastAsia="zh-CN"/>
        </w:rPr>
        <w:t>完善财务制度，规范财经纪律，</w:t>
      </w:r>
      <w:r>
        <w:rPr>
          <w:rFonts w:hint="eastAsia" w:ascii="仿宋_GB2312" w:hAnsi="宋体" w:eastAsia="仿宋_GB2312" w:cs="仿宋_GB2312"/>
          <w:kern w:val="0"/>
          <w:sz w:val="32"/>
          <w:szCs w:val="32"/>
          <w:shd w:val="clear" w:fill="FFFFFF"/>
          <w:lang w:val="en-US" w:eastAsia="zh-CN"/>
        </w:rPr>
        <w:t>加大使用公务卡结算率，严格控制资金使用，把有限的资金用在刀忍上，加强财务人员的培训，提高财务人员专业素质，为全乡经济和社会事业发展更好地服好务</w:t>
      </w:r>
      <w:r>
        <w:rPr>
          <w:rFonts w:hint="eastAsia" w:ascii="仿宋" w:hAnsi="仿宋" w:eastAsia="仿宋" w:cs="仿宋"/>
          <w:sz w:val="32"/>
          <w:szCs w:val="32"/>
        </w:rPr>
        <w:t>。</w:t>
      </w:r>
    </w:p>
    <w:p/>
    <w:p>
      <w:pPr>
        <w:tabs>
          <w:tab w:val="right" w:pos="8306"/>
        </w:tabs>
        <w:rPr>
          <w:rFonts w:hint="eastAsia" w:ascii="黑体" w:hAnsi="黑体" w:eastAsia="黑体"/>
          <w:sz w:val="32"/>
          <w:szCs w:val="32"/>
        </w:rPr>
      </w:pPr>
      <w:r>
        <w:br w:type="page"/>
      </w:r>
      <w:r>
        <w:rPr>
          <w:rFonts w:hint="eastAsia" w:ascii="黑体" w:hAnsi="黑体" w:eastAsia="黑体"/>
          <w:sz w:val="32"/>
          <w:szCs w:val="32"/>
        </w:rPr>
        <w:t>附件2</w:t>
      </w:r>
    </w:p>
    <w:p>
      <w:pPr>
        <w:pStyle w:val="7"/>
        <w:spacing w:before="93"/>
      </w:pPr>
    </w:p>
    <w:p>
      <w:pPr>
        <w:pStyle w:val="7"/>
        <w:spacing w:before="93"/>
      </w:pPr>
      <w:r>
        <w:drawing>
          <wp:inline distT="0" distB="0" distL="114300" distR="114300">
            <wp:extent cx="5272405" cy="4008755"/>
            <wp:effectExtent l="0" t="0" r="4445"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72405" cy="4008755"/>
                    </a:xfrm>
                    <a:prstGeom prst="rect">
                      <a:avLst/>
                    </a:prstGeom>
                    <a:noFill/>
                    <a:ln>
                      <a:noFill/>
                    </a:ln>
                  </pic:spPr>
                </pic:pic>
              </a:graphicData>
            </a:graphic>
          </wp:inline>
        </w:drawing>
      </w:r>
    </w:p>
    <w:p>
      <w:pPr>
        <w:pStyle w:val="7"/>
        <w:spacing w:before="93"/>
      </w:pPr>
    </w:p>
    <w:p>
      <w:pPr>
        <w:pStyle w:val="7"/>
        <w:spacing w:before="93"/>
      </w:pPr>
      <w:r>
        <w:drawing>
          <wp:inline distT="0" distB="0" distL="114300" distR="114300">
            <wp:extent cx="5272405" cy="4906645"/>
            <wp:effectExtent l="0" t="0" r="4445"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5272405" cy="4906645"/>
                    </a:xfrm>
                    <a:prstGeom prst="rect">
                      <a:avLst/>
                    </a:prstGeom>
                    <a:noFill/>
                    <a:ln>
                      <a:noFill/>
                    </a:ln>
                  </pic:spPr>
                </pic:pic>
              </a:graphicData>
            </a:graphic>
          </wp:inline>
        </w:drawing>
      </w:r>
    </w:p>
    <w:p>
      <w:pPr>
        <w:pStyle w:val="7"/>
        <w:spacing w:before="93"/>
      </w:pPr>
    </w:p>
    <w:p>
      <w:pPr>
        <w:pStyle w:val="7"/>
        <w:spacing w:before="93"/>
      </w:pPr>
      <w:r>
        <w:drawing>
          <wp:inline distT="0" distB="0" distL="114300" distR="114300">
            <wp:extent cx="5272405" cy="3789680"/>
            <wp:effectExtent l="0" t="0" r="444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5272405" cy="3789680"/>
                    </a:xfrm>
                    <a:prstGeom prst="rect">
                      <a:avLst/>
                    </a:prstGeom>
                    <a:noFill/>
                    <a:ln>
                      <a:noFill/>
                    </a:ln>
                  </pic:spPr>
                </pic:pic>
              </a:graphicData>
            </a:graphic>
          </wp:inline>
        </w:drawing>
      </w:r>
    </w:p>
    <w:p>
      <w:pPr>
        <w:pStyle w:val="7"/>
        <w:spacing w:before="93"/>
        <w:rPr>
          <w:rFonts w:hAnsi="Calibri" w:cs="仿宋"/>
          <w:sz w:val="32"/>
          <w:szCs w:val="32"/>
        </w:rPr>
      </w:pPr>
    </w:p>
    <w:p>
      <w:pPr>
        <w:pStyle w:val="7"/>
        <w:spacing w:before="93"/>
        <w:rPr>
          <w:rFonts w:hAnsi="Calibri" w:cs="仿宋"/>
          <w:sz w:val="32"/>
          <w:szCs w:val="32"/>
        </w:rPr>
      </w:pPr>
      <w:r>
        <w:drawing>
          <wp:inline distT="0" distB="0" distL="114300" distR="114300">
            <wp:extent cx="5272405" cy="4228465"/>
            <wp:effectExtent l="0" t="0" r="444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5272405" cy="4228465"/>
                    </a:xfrm>
                    <a:prstGeom prst="rect">
                      <a:avLst/>
                    </a:prstGeom>
                    <a:noFill/>
                    <a:ln>
                      <a:noFill/>
                    </a:ln>
                  </pic:spPr>
                </pic:pic>
              </a:graphicData>
            </a:graphic>
          </wp:inline>
        </w:drawing>
      </w:r>
    </w:p>
    <w:p>
      <w:pPr>
        <w:pStyle w:val="7"/>
        <w:spacing w:before="93"/>
        <w:rPr>
          <w:rFonts w:hAnsi="Calibri" w:cs="仿宋"/>
          <w:sz w:val="32"/>
          <w:szCs w:val="32"/>
        </w:rPr>
      </w:pPr>
    </w:p>
    <w:p>
      <w:pPr>
        <w:pStyle w:val="7"/>
        <w:spacing w:before="93"/>
        <w:rPr>
          <w:rFonts w:hAnsi="Calibri" w:cs="仿宋"/>
          <w:sz w:val="32"/>
          <w:szCs w:val="32"/>
        </w:rPr>
      </w:pPr>
      <w:r>
        <w:drawing>
          <wp:inline distT="0" distB="0" distL="114300" distR="114300">
            <wp:extent cx="5272405" cy="4786630"/>
            <wp:effectExtent l="0" t="0" r="4445" b="139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5272405" cy="4786630"/>
                    </a:xfrm>
                    <a:prstGeom prst="rect">
                      <a:avLst/>
                    </a:prstGeom>
                    <a:noFill/>
                    <a:ln>
                      <a:noFill/>
                    </a:ln>
                  </pic:spPr>
                </pic:pic>
              </a:graphicData>
            </a:graphic>
          </wp:inline>
        </w:drawing>
      </w: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r>
        <w:drawing>
          <wp:inline distT="0" distB="0" distL="114300" distR="114300">
            <wp:extent cx="5272405" cy="5405120"/>
            <wp:effectExtent l="0" t="0" r="4445"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5272405" cy="5405120"/>
                    </a:xfrm>
                    <a:prstGeom prst="rect">
                      <a:avLst/>
                    </a:prstGeom>
                    <a:noFill/>
                    <a:ln>
                      <a:noFill/>
                    </a:ln>
                  </pic:spPr>
                </pic:pic>
              </a:graphicData>
            </a:graphic>
          </wp:inline>
        </w:drawing>
      </w:r>
    </w:p>
    <w:p>
      <w:pPr>
        <w:pStyle w:val="7"/>
        <w:spacing w:before="93"/>
        <w:rPr>
          <w:rFonts w:hAnsi="Calibri" w:cs="仿宋"/>
          <w:sz w:val="32"/>
          <w:szCs w:val="32"/>
        </w:rPr>
      </w:pPr>
      <w:r>
        <w:drawing>
          <wp:inline distT="0" distB="0" distL="114300" distR="114300">
            <wp:extent cx="5272405" cy="6602095"/>
            <wp:effectExtent l="0" t="0" r="4445"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5272405" cy="6602095"/>
                    </a:xfrm>
                    <a:prstGeom prst="rect">
                      <a:avLst/>
                    </a:prstGeom>
                    <a:noFill/>
                    <a:ln>
                      <a:noFill/>
                    </a:ln>
                  </pic:spPr>
                </pic:pic>
              </a:graphicData>
            </a:graphic>
          </wp:inline>
        </w:drawing>
      </w: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4"/>
        <w:jc w:val="center"/>
        <w:rPr>
          <w:rFonts w:ascii="黑体" w:hAnsi="黑体" w:eastAsia="黑体"/>
        </w:rPr>
      </w:pPr>
      <w:r>
        <w:rPr>
          <w:rFonts w:hint="eastAsia" w:ascii="黑体" w:hAnsi="黑体" w:eastAsia="黑体"/>
        </w:rPr>
        <w:t>第五部分 附表</w:t>
      </w:r>
    </w:p>
    <w:p>
      <w:pPr>
        <w:numPr>
          <w:ilvl w:val="0"/>
          <w:numId w:val="7"/>
        </w:numPr>
        <w:rPr>
          <w:rFonts w:hint="eastAsia" w:ascii="仿宋" w:hAnsi="仿宋" w:eastAsia="仿宋"/>
          <w:sz w:val="32"/>
          <w:szCs w:val="32"/>
        </w:rPr>
      </w:pPr>
      <w:r>
        <w:rPr>
          <w:rFonts w:hint="eastAsia" w:ascii="仿宋" w:hAnsi="仿宋" w:eastAsia="仿宋"/>
          <w:sz w:val="32"/>
          <w:szCs w:val="32"/>
        </w:rPr>
        <w:t>收入支出决算总表</w:t>
      </w:r>
    </w:p>
    <w:p>
      <w:pPr>
        <w:pStyle w:val="2"/>
        <w:numPr>
          <w:ilvl w:val="0"/>
          <w:numId w:val="0"/>
        </w:numPr>
      </w:pPr>
      <w:r>
        <w:drawing>
          <wp:inline distT="0" distB="0" distL="114300" distR="114300">
            <wp:extent cx="5270500" cy="6019165"/>
            <wp:effectExtent l="0" t="0" r="635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270500" cy="6019165"/>
                    </a:xfrm>
                    <a:prstGeom prst="rect">
                      <a:avLst/>
                    </a:prstGeom>
                    <a:noFill/>
                    <a:ln w="9525">
                      <a:noFill/>
                      <a:miter/>
                    </a:ln>
                  </pic:spPr>
                </pic:pic>
              </a:graphicData>
            </a:graphic>
          </wp:inline>
        </w:drawing>
      </w:r>
    </w:p>
    <w:p>
      <w:pPr>
        <w:pStyle w:val="2"/>
        <w:numPr>
          <w:ilvl w:val="0"/>
          <w:numId w:val="0"/>
        </w:numPr>
      </w:pPr>
    </w:p>
    <w:p>
      <w:pPr>
        <w:pStyle w:val="2"/>
        <w:numPr>
          <w:ilvl w:val="0"/>
          <w:numId w:val="0"/>
        </w:numPr>
      </w:pPr>
    </w:p>
    <w:p>
      <w:pPr>
        <w:pStyle w:val="2"/>
        <w:numPr>
          <w:ilvl w:val="0"/>
          <w:numId w:val="0"/>
        </w:numPr>
      </w:pPr>
    </w:p>
    <w:p>
      <w:pPr>
        <w:pStyle w:val="2"/>
        <w:numPr>
          <w:ilvl w:val="0"/>
          <w:numId w:val="0"/>
        </w:numPr>
      </w:pPr>
    </w:p>
    <w:p>
      <w:pPr>
        <w:pStyle w:val="2"/>
        <w:numPr>
          <w:ilvl w:val="0"/>
          <w:numId w:val="0"/>
        </w:numPr>
        <w:rPr>
          <w:rFonts w:hint="eastAsia"/>
        </w:rPr>
      </w:pPr>
    </w:p>
    <w:p>
      <w:pPr>
        <w:numPr>
          <w:ilvl w:val="0"/>
          <w:numId w:val="7"/>
        </w:numPr>
        <w:rPr>
          <w:rFonts w:hint="eastAsia" w:ascii="仿宋" w:hAnsi="仿宋" w:eastAsia="仿宋"/>
          <w:sz w:val="32"/>
          <w:szCs w:val="32"/>
        </w:rPr>
      </w:pPr>
      <w:r>
        <w:rPr>
          <w:rFonts w:hint="eastAsia" w:ascii="仿宋" w:hAnsi="仿宋" w:eastAsia="仿宋"/>
          <w:sz w:val="32"/>
          <w:szCs w:val="32"/>
        </w:rPr>
        <w:t>收入决算表</w:t>
      </w:r>
    </w:p>
    <w:p>
      <w:pPr>
        <w:pStyle w:val="2"/>
        <w:rPr>
          <w:rFonts w:hint="eastAsia"/>
        </w:rPr>
      </w:pPr>
    </w:p>
    <w:p>
      <w:pPr>
        <w:pStyle w:val="2"/>
        <w:numPr>
          <w:ilvl w:val="0"/>
          <w:numId w:val="0"/>
        </w:numPr>
      </w:pPr>
      <w:r>
        <w:drawing>
          <wp:inline distT="0" distB="0" distL="114300" distR="114300">
            <wp:extent cx="5273040" cy="7105015"/>
            <wp:effectExtent l="0" t="0" r="3810"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5273040" cy="7105015"/>
                    </a:xfrm>
                    <a:prstGeom prst="rect">
                      <a:avLst/>
                    </a:prstGeom>
                    <a:noFill/>
                    <a:ln w="9525">
                      <a:noFill/>
                      <a:miter/>
                    </a:ln>
                  </pic:spPr>
                </pic:pic>
              </a:graphicData>
            </a:graphic>
          </wp:inline>
        </w:drawing>
      </w:r>
    </w:p>
    <w:p>
      <w:pPr>
        <w:pStyle w:val="2"/>
        <w:numPr>
          <w:ilvl w:val="0"/>
          <w:numId w:val="0"/>
        </w:numPr>
      </w:pPr>
    </w:p>
    <w:p>
      <w:pPr>
        <w:pStyle w:val="2"/>
        <w:numPr>
          <w:ilvl w:val="0"/>
          <w:numId w:val="0"/>
        </w:numPr>
      </w:pPr>
    </w:p>
    <w:p>
      <w:pPr>
        <w:pStyle w:val="2"/>
        <w:numPr>
          <w:ilvl w:val="0"/>
          <w:numId w:val="0"/>
        </w:numPr>
      </w:pPr>
    </w:p>
    <w:p>
      <w:pPr>
        <w:numPr>
          <w:ilvl w:val="0"/>
          <w:numId w:val="7"/>
        </w:numPr>
        <w:rPr>
          <w:rFonts w:hint="eastAsia" w:ascii="仿宋" w:hAnsi="仿宋" w:eastAsia="仿宋"/>
          <w:sz w:val="32"/>
          <w:szCs w:val="32"/>
        </w:rPr>
      </w:pPr>
      <w:r>
        <w:rPr>
          <w:rFonts w:hint="eastAsia" w:ascii="仿宋" w:hAnsi="仿宋" w:eastAsia="仿宋"/>
          <w:sz w:val="32"/>
          <w:szCs w:val="32"/>
        </w:rPr>
        <w:t>支出决算表</w:t>
      </w:r>
    </w:p>
    <w:p>
      <w:pPr>
        <w:pStyle w:val="2"/>
        <w:numPr>
          <w:ilvl w:val="0"/>
          <w:numId w:val="0"/>
        </w:numPr>
      </w:pPr>
      <w:r>
        <w:drawing>
          <wp:inline distT="0" distB="0" distL="114300" distR="114300">
            <wp:extent cx="5267960" cy="7120890"/>
            <wp:effectExtent l="0" t="0" r="8890"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5267960" cy="712089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财政拨款收入支出决算总表</w:t>
      </w:r>
    </w:p>
    <w:p>
      <w:pPr>
        <w:pStyle w:val="2"/>
        <w:numPr>
          <w:ilvl w:val="0"/>
          <w:numId w:val="0"/>
        </w:numPr>
      </w:pPr>
      <w:r>
        <w:drawing>
          <wp:inline distT="0" distB="0" distL="114300" distR="114300">
            <wp:extent cx="5271135" cy="6791960"/>
            <wp:effectExtent l="0" t="0" r="5715" b="889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5271135" cy="679196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财政拨款支出决算明细表</w:t>
      </w:r>
    </w:p>
    <w:p>
      <w:pPr>
        <w:pStyle w:val="2"/>
        <w:numPr>
          <w:ilvl w:val="0"/>
          <w:numId w:val="0"/>
        </w:numPr>
      </w:pPr>
      <w:r>
        <w:drawing>
          <wp:inline distT="0" distB="0" distL="114300" distR="114300">
            <wp:extent cx="5270500" cy="19096990"/>
            <wp:effectExtent l="0" t="0" r="6350" b="1016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7"/>
                    <a:stretch>
                      <a:fillRect/>
                    </a:stretch>
                  </pic:blipFill>
                  <pic:spPr>
                    <a:xfrm>
                      <a:off x="0" y="0"/>
                      <a:ext cx="5270500" cy="1909699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一般公共预算财政拨款支出决算表</w:t>
      </w:r>
    </w:p>
    <w:tbl>
      <w:tblPr>
        <w:tblStyle w:val="15"/>
        <w:tblW w:w="86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95"/>
        <w:gridCol w:w="960"/>
        <w:gridCol w:w="960"/>
        <w:gridCol w:w="3660"/>
        <w:gridCol w:w="1080"/>
        <w:gridCol w:w="765"/>
        <w:gridCol w:w="7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669" w:type="dxa"/>
            <w:gridSpan w:val="7"/>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95" w:type="dxa"/>
            <w:shd w:val="clear" w:color="auto" w:fill="auto"/>
            <w:vAlign w:val="center"/>
          </w:tcPr>
          <w:p>
            <w:pPr>
              <w:rPr>
                <w:rFonts w:hint="eastAsia" w:ascii="宋体" w:hAnsi="宋体" w:eastAsia="宋体" w:cs="宋体"/>
                <w:i w:val="0"/>
                <w:color w:val="000000"/>
                <w:sz w:val="24"/>
                <w:szCs w:val="24"/>
                <w:u w:val="none"/>
              </w:rPr>
            </w:pPr>
          </w:p>
        </w:tc>
        <w:tc>
          <w:tcPr>
            <w:tcW w:w="960" w:type="dxa"/>
            <w:shd w:val="clear" w:color="auto" w:fill="auto"/>
            <w:vAlign w:val="center"/>
          </w:tcPr>
          <w:p>
            <w:pPr>
              <w:rPr>
                <w:rFonts w:hint="eastAsia" w:ascii="宋体" w:hAnsi="宋体" w:eastAsia="宋体" w:cs="宋体"/>
                <w:i w:val="0"/>
                <w:color w:val="000000"/>
                <w:sz w:val="24"/>
                <w:szCs w:val="24"/>
                <w:u w:val="none"/>
              </w:rPr>
            </w:pPr>
          </w:p>
        </w:tc>
        <w:tc>
          <w:tcPr>
            <w:tcW w:w="960" w:type="dxa"/>
            <w:shd w:val="clear" w:color="auto" w:fill="auto"/>
            <w:vAlign w:val="center"/>
          </w:tcPr>
          <w:p>
            <w:pPr>
              <w:rPr>
                <w:rFonts w:hint="eastAsia" w:ascii="宋体" w:hAnsi="宋体" w:eastAsia="宋体" w:cs="宋体"/>
                <w:i w:val="0"/>
                <w:color w:val="000000"/>
                <w:sz w:val="24"/>
                <w:szCs w:val="24"/>
                <w:u w:val="none"/>
              </w:rPr>
            </w:pPr>
          </w:p>
        </w:tc>
        <w:tc>
          <w:tcPr>
            <w:tcW w:w="3660" w:type="dxa"/>
            <w:shd w:val="clear" w:color="auto" w:fill="auto"/>
            <w:vAlign w:val="center"/>
          </w:tcPr>
          <w:p>
            <w:pPr>
              <w:rPr>
                <w:rFonts w:hint="eastAsia" w:ascii="宋体" w:hAnsi="宋体" w:eastAsia="宋体" w:cs="宋体"/>
                <w:i w:val="0"/>
                <w:color w:val="000000"/>
                <w:sz w:val="24"/>
                <w:szCs w:val="24"/>
                <w:u w:val="none"/>
              </w:rPr>
            </w:pPr>
          </w:p>
        </w:tc>
        <w:tc>
          <w:tcPr>
            <w:tcW w:w="1080" w:type="dxa"/>
            <w:shd w:val="clear" w:color="auto" w:fill="auto"/>
            <w:vAlign w:val="center"/>
          </w:tcPr>
          <w:p>
            <w:pPr>
              <w:rPr>
                <w:rFonts w:hint="eastAsia" w:ascii="宋体" w:hAnsi="宋体" w:eastAsia="宋体" w:cs="宋体"/>
                <w:i w:val="0"/>
                <w:color w:val="000000"/>
                <w:sz w:val="24"/>
                <w:szCs w:val="24"/>
                <w:u w:val="none"/>
              </w:rPr>
            </w:pPr>
          </w:p>
        </w:tc>
        <w:tc>
          <w:tcPr>
            <w:tcW w:w="765" w:type="dxa"/>
            <w:shd w:val="clear" w:color="auto" w:fill="auto"/>
            <w:vAlign w:val="center"/>
          </w:tcPr>
          <w:p>
            <w:pPr>
              <w:rPr>
                <w:rFonts w:hint="eastAsia" w:ascii="宋体" w:hAnsi="宋体" w:eastAsia="宋体" w:cs="宋体"/>
                <w:i w:val="0"/>
                <w:color w:val="000000"/>
                <w:sz w:val="24"/>
                <w:szCs w:val="24"/>
                <w:u w:val="none"/>
              </w:rPr>
            </w:pPr>
          </w:p>
        </w:tc>
        <w:tc>
          <w:tcPr>
            <w:tcW w:w="749"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6075" w:type="dxa"/>
            <w:gridSpan w:val="4"/>
            <w:tcBorders>
              <w:bottom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单位名称：大录乡政府</w:t>
            </w:r>
          </w:p>
        </w:tc>
        <w:tc>
          <w:tcPr>
            <w:tcW w:w="1080" w:type="dxa"/>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765" w:type="dxa"/>
            <w:tcBorders>
              <w:bottom w:val="single" w:color="000000" w:sz="4" w:space="0"/>
            </w:tcBorders>
            <w:shd w:val="clear" w:color="auto" w:fill="auto"/>
            <w:vAlign w:val="bottom"/>
          </w:tcPr>
          <w:p>
            <w:pPr>
              <w:rPr>
                <w:rFonts w:hint="eastAsia" w:ascii="宋体" w:hAnsi="宋体" w:eastAsia="宋体" w:cs="宋体"/>
                <w:i w:val="0"/>
                <w:color w:val="000000"/>
                <w:sz w:val="20"/>
                <w:szCs w:val="20"/>
                <w:u w:val="none"/>
              </w:rPr>
            </w:pPr>
          </w:p>
        </w:tc>
        <w:tc>
          <w:tcPr>
            <w:tcW w:w="749" w:type="dxa"/>
            <w:tcBorders>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241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366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241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4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366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1,361.77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873.93</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618.71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589.74</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人大事务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5.30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5.30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20103</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政府办公厅（室）及相关机构事务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611.81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582.84</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2010350</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192.34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192.34</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2010399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其他政府办公厅（室）及相关机构事务支出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20131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党委办公厅（室）及相关机构事务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1.60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2013101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207</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文化旅游体育与传媒支出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20701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文化和旅游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2070109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群众文化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88.70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88.70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88.70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88.70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56.19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56.19</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39.81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37.81</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21004</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公共卫生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2100409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重大公共卫生服务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37.81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37.81</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20.01</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10.37</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2101103</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公务员医疗补助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6.61</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0.81</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21205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城乡社区环境卫生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2120501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城乡社区环境卫生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553.40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108.09</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445.31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农业农村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116.27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2130199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116.27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266.67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2130599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其他巩固脱贫攻坚成果衔接乡村振兴支出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266.67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21307</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农村综合改革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170.47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108.09</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2130705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对村民委员会和村党支部的补助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170.47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108.09</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49.60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49.60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49.60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bl>
    <w:p>
      <w:pPr>
        <w:pStyle w:val="2"/>
        <w:numPr>
          <w:ilvl w:val="0"/>
          <w:numId w:val="0"/>
        </w:numPr>
      </w:pPr>
    </w:p>
    <w:p>
      <w:pPr>
        <w:numPr>
          <w:ilvl w:val="0"/>
          <w:numId w:val="7"/>
        </w:numPr>
        <w:rPr>
          <w:rFonts w:hint="eastAsia" w:ascii="仿宋" w:hAnsi="仿宋" w:eastAsia="仿宋"/>
          <w:sz w:val="32"/>
          <w:szCs w:val="32"/>
        </w:rPr>
      </w:pPr>
      <w:r>
        <w:rPr>
          <w:rFonts w:hint="eastAsia" w:ascii="仿宋" w:hAnsi="仿宋" w:eastAsia="仿宋"/>
          <w:sz w:val="32"/>
          <w:szCs w:val="32"/>
        </w:rPr>
        <w:t>一般公共预算财政拨款支出决算明细表</w:t>
      </w:r>
    </w:p>
    <w:p>
      <w:pPr>
        <w:pStyle w:val="2"/>
        <w:numPr>
          <w:ilvl w:val="0"/>
          <w:numId w:val="0"/>
        </w:numPr>
      </w:pPr>
      <w:r>
        <w:drawing>
          <wp:inline distT="0" distB="0" distL="114300" distR="114300">
            <wp:extent cx="5272405" cy="5913755"/>
            <wp:effectExtent l="0" t="0" r="4445" b="1079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8"/>
                    <a:stretch>
                      <a:fillRect/>
                    </a:stretch>
                  </pic:blipFill>
                  <pic:spPr>
                    <a:xfrm>
                      <a:off x="0" y="0"/>
                      <a:ext cx="5272405" cy="5913755"/>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一般公共预算财政拨款基本支出决算表</w:t>
      </w:r>
    </w:p>
    <w:p>
      <w:pPr>
        <w:pStyle w:val="2"/>
        <w:numPr>
          <w:ilvl w:val="0"/>
          <w:numId w:val="0"/>
        </w:numPr>
      </w:pPr>
      <w:r>
        <w:drawing>
          <wp:inline distT="0" distB="0" distL="114300" distR="114300">
            <wp:extent cx="5273675" cy="5439410"/>
            <wp:effectExtent l="0" t="0" r="3175" b="889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9"/>
                    <a:stretch>
                      <a:fillRect/>
                    </a:stretch>
                  </pic:blipFill>
                  <pic:spPr>
                    <a:xfrm>
                      <a:off x="0" y="0"/>
                      <a:ext cx="5273675" cy="543941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一般公共预算财政拨款项目支出决算表</w:t>
      </w:r>
    </w:p>
    <w:tbl>
      <w:tblPr>
        <w:tblStyle w:val="15"/>
        <w:tblW w:w="7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20"/>
        <w:gridCol w:w="960"/>
        <w:gridCol w:w="960"/>
        <w:gridCol w:w="3540"/>
        <w:gridCol w:w="720"/>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7980"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一般公共预算财政拨款项目支出决算表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20" w:type="dxa"/>
            <w:shd w:val="clear" w:color="auto" w:fill="auto"/>
            <w:vAlign w:val="center"/>
          </w:tcPr>
          <w:p>
            <w:pPr>
              <w:rPr>
                <w:rFonts w:hint="eastAsia" w:ascii="宋体" w:hAnsi="宋体" w:eastAsia="宋体" w:cs="宋体"/>
                <w:i w:val="0"/>
                <w:color w:val="000000"/>
                <w:sz w:val="24"/>
                <w:szCs w:val="24"/>
                <w:u w:val="none"/>
              </w:rPr>
            </w:pPr>
          </w:p>
        </w:tc>
        <w:tc>
          <w:tcPr>
            <w:tcW w:w="960" w:type="dxa"/>
            <w:shd w:val="clear" w:color="auto" w:fill="auto"/>
            <w:vAlign w:val="center"/>
          </w:tcPr>
          <w:p>
            <w:pPr>
              <w:rPr>
                <w:rFonts w:hint="eastAsia" w:ascii="宋体" w:hAnsi="宋体" w:eastAsia="宋体" w:cs="宋体"/>
                <w:i w:val="0"/>
                <w:color w:val="000000"/>
                <w:sz w:val="24"/>
                <w:szCs w:val="24"/>
                <w:u w:val="none"/>
              </w:rPr>
            </w:pPr>
          </w:p>
        </w:tc>
        <w:tc>
          <w:tcPr>
            <w:tcW w:w="960" w:type="dxa"/>
            <w:shd w:val="clear" w:color="auto" w:fill="auto"/>
            <w:vAlign w:val="center"/>
          </w:tcPr>
          <w:p>
            <w:pPr>
              <w:rPr>
                <w:rFonts w:hint="eastAsia" w:ascii="宋体" w:hAnsi="宋体" w:eastAsia="宋体" w:cs="宋体"/>
                <w:i w:val="0"/>
                <w:color w:val="000000"/>
                <w:sz w:val="24"/>
                <w:szCs w:val="24"/>
                <w:u w:val="none"/>
              </w:rPr>
            </w:pPr>
          </w:p>
        </w:tc>
        <w:tc>
          <w:tcPr>
            <w:tcW w:w="3540" w:type="dxa"/>
            <w:shd w:val="clear" w:color="auto" w:fill="auto"/>
            <w:vAlign w:val="center"/>
          </w:tcPr>
          <w:p>
            <w:pPr>
              <w:rPr>
                <w:rFonts w:hint="eastAsia" w:ascii="宋体" w:hAnsi="宋体" w:eastAsia="宋体" w:cs="宋体"/>
                <w:i w:val="0"/>
                <w:color w:val="000000"/>
                <w:sz w:val="24"/>
                <w:szCs w:val="24"/>
                <w:u w:val="none"/>
              </w:rPr>
            </w:pPr>
          </w:p>
        </w:tc>
        <w:tc>
          <w:tcPr>
            <w:tcW w:w="720" w:type="dxa"/>
            <w:shd w:val="clear" w:color="auto" w:fill="auto"/>
            <w:vAlign w:val="center"/>
          </w:tcPr>
          <w:p>
            <w:pPr>
              <w:rPr>
                <w:rFonts w:hint="eastAsia" w:ascii="宋体" w:hAnsi="宋体" w:eastAsia="宋体" w:cs="宋体"/>
                <w:i w:val="0"/>
                <w:color w:val="000000"/>
                <w:sz w:val="24"/>
                <w:szCs w:val="24"/>
                <w:u w:val="none"/>
              </w:rPr>
            </w:pPr>
          </w:p>
        </w:tc>
        <w:tc>
          <w:tcPr>
            <w:tcW w:w="1380"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5880"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单位名称：大录乡政府</w:t>
            </w:r>
          </w:p>
        </w:tc>
        <w:tc>
          <w:tcPr>
            <w:tcW w:w="72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380"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2340" w:type="dxa"/>
            <w:gridSpan w:val="3"/>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54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720"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1380"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2340" w:type="dxa"/>
            <w:gridSpan w:val="3"/>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354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72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420" w:type="dxa"/>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96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96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54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72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420"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96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96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3540"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354.45</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政府办公厅（室）及相关机构事务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2010399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其他政府办公厅（室）及相关机构事务支出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1.43</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207</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文化旅游体育与传媒支出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20701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文化和旅游</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2070109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群众文化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21004</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公共卫生</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2100409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重大公共卫生服务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城乡社区环境卫生</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2120501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城乡社区环境卫生</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339.46</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445.31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21301</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农业农村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10.41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2130199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10.41</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266.67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2130599</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其他巩固脱贫攻坚成果衔接乡村振兴支出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266.67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21307</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农村综合改革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62.38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2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2130705</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对村民委员会和村党支部的补助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62.38</w:t>
            </w:r>
          </w:p>
        </w:tc>
      </w:tr>
    </w:tbl>
    <w:p>
      <w:pPr>
        <w:pStyle w:val="2"/>
        <w:numPr>
          <w:ilvl w:val="0"/>
          <w:numId w:val="0"/>
        </w:numPr>
      </w:pPr>
    </w:p>
    <w:p>
      <w:pPr>
        <w:numPr>
          <w:ilvl w:val="0"/>
          <w:numId w:val="7"/>
        </w:numPr>
        <w:rPr>
          <w:rFonts w:hint="eastAsia" w:ascii="仿宋" w:hAnsi="仿宋" w:eastAsia="仿宋"/>
          <w:sz w:val="32"/>
          <w:szCs w:val="32"/>
        </w:rPr>
      </w:pPr>
      <w:r>
        <w:rPr>
          <w:rFonts w:hint="eastAsia" w:ascii="仿宋" w:hAnsi="仿宋" w:eastAsia="仿宋"/>
          <w:sz w:val="32"/>
          <w:szCs w:val="32"/>
        </w:rPr>
        <w:t>政府性基金预算财政拨款收入支出决算表</w:t>
      </w:r>
    </w:p>
    <w:tbl>
      <w:tblPr>
        <w:tblStyle w:val="15"/>
        <w:tblW w:w="84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2"/>
        <w:gridCol w:w="565"/>
        <w:gridCol w:w="565"/>
        <w:gridCol w:w="1394"/>
        <w:gridCol w:w="909"/>
        <w:gridCol w:w="829"/>
        <w:gridCol w:w="626"/>
        <w:gridCol w:w="812"/>
        <w:gridCol w:w="785"/>
        <w:gridCol w:w="856"/>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7593" w:type="dxa"/>
            <w:gridSpan w:val="10"/>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政府性基金预算财政拨款收入支出决算表</w:t>
            </w:r>
          </w:p>
        </w:tc>
        <w:tc>
          <w:tcPr>
            <w:tcW w:w="8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52" w:type="dxa"/>
            <w:shd w:val="clear" w:color="auto" w:fill="auto"/>
            <w:vAlign w:val="center"/>
          </w:tcPr>
          <w:p>
            <w:pPr>
              <w:rPr>
                <w:rFonts w:hint="eastAsia" w:ascii="宋体" w:hAnsi="宋体" w:eastAsia="宋体" w:cs="宋体"/>
                <w:i w:val="0"/>
                <w:color w:val="000000"/>
                <w:sz w:val="24"/>
                <w:szCs w:val="24"/>
                <w:u w:val="none"/>
              </w:rPr>
            </w:pPr>
          </w:p>
        </w:tc>
        <w:tc>
          <w:tcPr>
            <w:tcW w:w="565" w:type="dxa"/>
            <w:shd w:val="clear" w:color="auto" w:fill="auto"/>
            <w:vAlign w:val="center"/>
          </w:tcPr>
          <w:p>
            <w:pPr>
              <w:rPr>
                <w:rFonts w:hint="eastAsia" w:ascii="宋体" w:hAnsi="宋体" w:eastAsia="宋体" w:cs="宋体"/>
                <w:i w:val="0"/>
                <w:color w:val="000000"/>
                <w:sz w:val="24"/>
                <w:szCs w:val="24"/>
                <w:u w:val="none"/>
              </w:rPr>
            </w:pPr>
          </w:p>
        </w:tc>
        <w:tc>
          <w:tcPr>
            <w:tcW w:w="565" w:type="dxa"/>
            <w:shd w:val="clear" w:color="auto" w:fill="auto"/>
            <w:vAlign w:val="center"/>
          </w:tcPr>
          <w:p>
            <w:pPr>
              <w:rPr>
                <w:rFonts w:hint="eastAsia" w:ascii="宋体" w:hAnsi="宋体" w:eastAsia="宋体" w:cs="宋体"/>
                <w:i w:val="0"/>
                <w:color w:val="000000"/>
                <w:sz w:val="24"/>
                <w:szCs w:val="24"/>
                <w:u w:val="none"/>
              </w:rPr>
            </w:pPr>
          </w:p>
        </w:tc>
        <w:tc>
          <w:tcPr>
            <w:tcW w:w="1394" w:type="dxa"/>
            <w:shd w:val="clear" w:color="auto" w:fill="auto"/>
            <w:vAlign w:val="center"/>
          </w:tcPr>
          <w:p>
            <w:pPr>
              <w:rPr>
                <w:rFonts w:hint="eastAsia" w:ascii="宋体" w:hAnsi="宋体" w:eastAsia="宋体" w:cs="宋体"/>
                <w:i w:val="0"/>
                <w:color w:val="000000"/>
                <w:sz w:val="24"/>
                <w:szCs w:val="24"/>
                <w:u w:val="none"/>
              </w:rPr>
            </w:pPr>
          </w:p>
        </w:tc>
        <w:tc>
          <w:tcPr>
            <w:tcW w:w="909" w:type="dxa"/>
            <w:shd w:val="clear" w:color="auto" w:fill="auto"/>
            <w:vAlign w:val="center"/>
          </w:tcPr>
          <w:p>
            <w:pPr>
              <w:rPr>
                <w:rFonts w:hint="eastAsia" w:ascii="宋体" w:hAnsi="宋体" w:eastAsia="宋体" w:cs="宋体"/>
                <w:i w:val="0"/>
                <w:color w:val="000000"/>
                <w:sz w:val="24"/>
                <w:szCs w:val="24"/>
                <w:u w:val="none"/>
              </w:rPr>
            </w:pPr>
          </w:p>
        </w:tc>
        <w:tc>
          <w:tcPr>
            <w:tcW w:w="829" w:type="dxa"/>
            <w:shd w:val="clear" w:color="auto" w:fill="auto"/>
            <w:vAlign w:val="center"/>
          </w:tcPr>
          <w:p>
            <w:pPr>
              <w:rPr>
                <w:rFonts w:hint="eastAsia" w:ascii="宋体" w:hAnsi="宋体" w:eastAsia="宋体" w:cs="宋体"/>
                <w:i w:val="0"/>
                <w:color w:val="000000"/>
                <w:sz w:val="24"/>
                <w:szCs w:val="24"/>
                <w:u w:val="none"/>
              </w:rPr>
            </w:pPr>
          </w:p>
        </w:tc>
        <w:tc>
          <w:tcPr>
            <w:tcW w:w="626" w:type="dxa"/>
            <w:shd w:val="clear" w:color="auto" w:fill="auto"/>
            <w:vAlign w:val="center"/>
          </w:tcPr>
          <w:p>
            <w:pPr>
              <w:rPr>
                <w:rFonts w:hint="eastAsia" w:ascii="宋体" w:hAnsi="宋体" w:eastAsia="宋体" w:cs="宋体"/>
                <w:i w:val="0"/>
                <w:color w:val="000000"/>
                <w:sz w:val="24"/>
                <w:szCs w:val="24"/>
                <w:u w:val="none"/>
              </w:rPr>
            </w:pPr>
          </w:p>
        </w:tc>
        <w:tc>
          <w:tcPr>
            <w:tcW w:w="812" w:type="dxa"/>
            <w:shd w:val="clear" w:color="auto" w:fill="auto"/>
            <w:vAlign w:val="center"/>
          </w:tcPr>
          <w:p>
            <w:pPr>
              <w:rPr>
                <w:rFonts w:hint="eastAsia" w:ascii="宋体" w:hAnsi="宋体" w:eastAsia="宋体" w:cs="宋体"/>
                <w:i w:val="0"/>
                <w:color w:val="000000"/>
                <w:sz w:val="24"/>
                <w:szCs w:val="24"/>
                <w:u w:val="none"/>
              </w:rPr>
            </w:pPr>
          </w:p>
        </w:tc>
        <w:tc>
          <w:tcPr>
            <w:tcW w:w="785" w:type="dxa"/>
            <w:shd w:val="clear" w:color="auto" w:fill="auto"/>
            <w:vAlign w:val="center"/>
          </w:tcPr>
          <w:p>
            <w:pPr>
              <w:rPr>
                <w:rFonts w:hint="eastAsia" w:ascii="宋体" w:hAnsi="宋体" w:eastAsia="宋体" w:cs="宋体"/>
                <w:i w:val="0"/>
                <w:color w:val="000000"/>
                <w:sz w:val="24"/>
                <w:szCs w:val="24"/>
                <w:u w:val="none"/>
              </w:rPr>
            </w:pPr>
          </w:p>
        </w:tc>
        <w:tc>
          <w:tcPr>
            <w:tcW w:w="85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财决公开10表</w:t>
            </w:r>
          </w:p>
        </w:tc>
        <w:tc>
          <w:tcPr>
            <w:tcW w:w="840"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776" w:type="dxa"/>
            <w:gridSpan w:val="4"/>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单位名称：大录乡政府</w:t>
            </w:r>
          </w:p>
        </w:tc>
        <w:tc>
          <w:tcPr>
            <w:tcW w:w="909" w:type="dxa"/>
            <w:shd w:val="clear" w:color="auto" w:fill="auto"/>
            <w:vAlign w:val="bottom"/>
          </w:tcPr>
          <w:p>
            <w:pPr>
              <w:rPr>
                <w:rFonts w:hint="eastAsia" w:ascii="宋体" w:hAnsi="宋体" w:eastAsia="宋体" w:cs="宋体"/>
                <w:i w:val="0"/>
                <w:color w:val="000000"/>
                <w:sz w:val="20"/>
                <w:szCs w:val="20"/>
                <w:u w:val="none"/>
              </w:rPr>
            </w:pPr>
          </w:p>
        </w:tc>
        <w:tc>
          <w:tcPr>
            <w:tcW w:w="82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626" w:type="dxa"/>
            <w:shd w:val="clear" w:color="auto" w:fill="auto"/>
            <w:vAlign w:val="bottom"/>
          </w:tcPr>
          <w:p>
            <w:pPr>
              <w:rPr>
                <w:rFonts w:hint="eastAsia" w:ascii="宋体" w:hAnsi="宋体" w:eastAsia="宋体" w:cs="宋体"/>
                <w:i w:val="0"/>
                <w:color w:val="000000"/>
                <w:sz w:val="20"/>
                <w:szCs w:val="20"/>
                <w:u w:val="none"/>
              </w:rPr>
            </w:pPr>
          </w:p>
        </w:tc>
        <w:tc>
          <w:tcPr>
            <w:tcW w:w="812" w:type="dxa"/>
            <w:shd w:val="clear" w:color="auto" w:fill="auto"/>
            <w:vAlign w:val="bottom"/>
          </w:tcPr>
          <w:p>
            <w:pPr>
              <w:rPr>
                <w:rFonts w:hint="eastAsia" w:ascii="宋体" w:hAnsi="宋体" w:eastAsia="宋体" w:cs="宋体"/>
                <w:i w:val="0"/>
                <w:color w:val="000000"/>
                <w:sz w:val="20"/>
                <w:szCs w:val="20"/>
                <w:u w:val="none"/>
              </w:rPr>
            </w:pPr>
          </w:p>
        </w:tc>
        <w:tc>
          <w:tcPr>
            <w:tcW w:w="785" w:type="dxa"/>
            <w:shd w:val="clear" w:color="auto" w:fill="auto"/>
            <w:vAlign w:val="bottom"/>
          </w:tcPr>
          <w:p>
            <w:pPr>
              <w:rPr>
                <w:rFonts w:hint="eastAsia" w:ascii="宋体" w:hAnsi="宋体" w:eastAsia="宋体" w:cs="宋体"/>
                <w:i w:val="0"/>
                <w:color w:val="000000"/>
                <w:sz w:val="20"/>
                <w:szCs w:val="20"/>
                <w:u w:val="none"/>
              </w:rPr>
            </w:pPr>
          </w:p>
        </w:tc>
        <w:tc>
          <w:tcPr>
            <w:tcW w:w="85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840"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382"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394"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09"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829"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223" w:type="dxa"/>
            <w:gridSpan w:val="3"/>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856" w:type="dxa"/>
            <w:vMerge w:val="restart"/>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840" w:type="dxa"/>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38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394"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90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2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626"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1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785"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856"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38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394"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90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29"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626"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1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785"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56"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840" w:type="dxa"/>
            <w:tcBorders>
              <w:top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252"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56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565"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1394"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593" w:type="dxa"/>
            <w:gridSpan w:val="10"/>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注：本表以“万元”为金额单位（保留两位小数），反映部门/单位本年度政府性预算财政拨款收入、支出及结转和结余情况。</w:t>
            </w:r>
          </w:p>
        </w:tc>
        <w:tc>
          <w:tcPr>
            <w:tcW w:w="84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7593" w:type="dxa"/>
            <w:gridSpan w:val="10"/>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说明：如部门/单位没有政府性基金收入，也没有使用政府性基金安排的支出，应注明本表无数据。</w:t>
            </w:r>
          </w:p>
        </w:tc>
        <w:tc>
          <w:tcPr>
            <w:tcW w:w="84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bl>
    <w:p>
      <w:pPr>
        <w:pStyle w:val="2"/>
        <w:numPr>
          <w:ilvl w:val="0"/>
          <w:numId w:val="0"/>
        </w:numPr>
      </w:pPr>
    </w:p>
    <w:p>
      <w:pPr>
        <w:numPr>
          <w:ilvl w:val="0"/>
          <w:numId w:val="7"/>
        </w:numPr>
        <w:rPr>
          <w:rFonts w:hint="eastAsia" w:ascii="仿宋" w:hAnsi="仿宋" w:eastAsia="仿宋"/>
          <w:sz w:val="32"/>
          <w:szCs w:val="32"/>
        </w:rPr>
      </w:pPr>
      <w:r>
        <w:rPr>
          <w:rFonts w:hint="eastAsia" w:ascii="仿宋" w:hAnsi="仿宋" w:eastAsia="仿宋"/>
          <w:sz w:val="32"/>
          <w:szCs w:val="32"/>
        </w:rPr>
        <w:t>国有资本经营预算财政拨款收入支出决算表</w:t>
      </w:r>
    </w:p>
    <w:p>
      <w:pPr>
        <w:pStyle w:val="2"/>
        <w:numPr>
          <w:ilvl w:val="0"/>
          <w:numId w:val="0"/>
        </w:numPr>
      </w:pPr>
      <w:r>
        <w:drawing>
          <wp:inline distT="0" distB="0" distL="114300" distR="114300">
            <wp:extent cx="5270500" cy="1903730"/>
            <wp:effectExtent l="0" t="0" r="6350" b="127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0"/>
                    <a:stretch>
                      <a:fillRect/>
                    </a:stretch>
                  </pic:blipFill>
                  <pic:spPr>
                    <a:xfrm>
                      <a:off x="0" y="0"/>
                      <a:ext cx="5270500" cy="190373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国有资本经营预算财政拨款支出决算表</w:t>
      </w:r>
    </w:p>
    <w:p>
      <w:pPr>
        <w:pStyle w:val="2"/>
        <w:numPr>
          <w:ilvl w:val="0"/>
          <w:numId w:val="0"/>
        </w:numPr>
      </w:pPr>
      <w:r>
        <w:drawing>
          <wp:inline distT="0" distB="0" distL="114300" distR="114300">
            <wp:extent cx="5271770" cy="2039620"/>
            <wp:effectExtent l="0" t="0" r="5080" b="1778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1"/>
                    <a:stretch>
                      <a:fillRect/>
                    </a:stretch>
                  </pic:blipFill>
                  <pic:spPr>
                    <a:xfrm>
                      <a:off x="0" y="0"/>
                      <a:ext cx="5271770" cy="2039620"/>
                    </a:xfrm>
                    <a:prstGeom prst="rect">
                      <a:avLst/>
                    </a:prstGeom>
                    <a:noFill/>
                    <a:ln w="9525">
                      <a:noFill/>
                      <a:miter/>
                    </a:ln>
                  </pic:spPr>
                </pic:pic>
              </a:graphicData>
            </a:graphic>
          </wp:inline>
        </w:drawing>
      </w:r>
    </w:p>
    <w:p>
      <w:pPr>
        <w:numPr>
          <w:ilvl w:val="0"/>
          <w:numId w:val="7"/>
        </w:numPr>
        <w:rPr>
          <w:rFonts w:hint="eastAsia" w:ascii="仿宋" w:hAnsi="仿宋" w:eastAsia="仿宋"/>
          <w:sz w:val="32"/>
          <w:szCs w:val="32"/>
        </w:rPr>
      </w:pPr>
      <w:r>
        <w:rPr>
          <w:rFonts w:hint="eastAsia" w:ascii="仿宋" w:hAnsi="仿宋" w:eastAsia="仿宋"/>
          <w:sz w:val="32"/>
          <w:szCs w:val="32"/>
        </w:rPr>
        <w:t>财政拨款“三公”经费支出决算表</w:t>
      </w:r>
    </w:p>
    <w:tbl>
      <w:tblPr>
        <w:tblStyle w:val="15"/>
        <w:tblW w:w="84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92"/>
        <w:gridCol w:w="392"/>
        <w:gridCol w:w="401"/>
        <w:gridCol w:w="314"/>
        <w:gridCol w:w="401"/>
        <w:gridCol w:w="272"/>
        <w:gridCol w:w="392"/>
        <w:gridCol w:w="392"/>
        <w:gridCol w:w="409"/>
        <w:gridCol w:w="230"/>
        <w:gridCol w:w="409"/>
        <w:gridCol w:w="314"/>
        <w:gridCol w:w="392"/>
        <w:gridCol w:w="392"/>
        <w:gridCol w:w="392"/>
        <w:gridCol w:w="255"/>
        <w:gridCol w:w="392"/>
        <w:gridCol w:w="222"/>
        <w:gridCol w:w="213"/>
        <w:gridCol w:w="392"/>
        <w:gridCol w:w="197"/>
        <w:gridCol w:w="373"/>
        <w:gridCol w:w="398"/>
        <w:gridCol w:w="5"/>
        <w:gridCol w:w="382"/>
        <w:gridCol w:w="4"/>
        <w:gridCol w:w="106"/>
        <w:gridCol w:w="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327" w:type="dxa"/>
            <w:gridSpan w:val="2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财政拨款“三公”经费支出决算表</w:t>
            </w:r>
          </w:p>
        </w:tc>
        <w:tc>
          <w:tcPr>
            <w:tcW w:w="108"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401" w:type="dxa"/>
            <w:shd w:val="clear" w:color="auto" w:fill="auto"/>
            <w:vAlign w:val="center"/>
          </w:tcPr>
          <w:p>
            <w:pPr>
              <w:rPr>
                <w:rFonts w:hint="eastAsia" w:ascii="宋体" w:hAnsi="宋体" w:eastAsia="宋体" w:cs="宋体"/>
                <w:i w:val="0"/>
                <w:color w:val="000000"/>
                <w:sz w:val="24"/>
                <w:szCs w:val="24"/>
                <w:u w:val="none"/>
              </w:rPr>
            </w:pPr>
          </w:p>
        </w:tc>
        <w:tc>
          <w:tcPr>
            <w:tcW w:w="314" w:type="dxa"/>
            <w:shd w:val="clear" w:color="auto" w:fill="auto"/>
            <w:vAlign w:val="center"/>
          </w:tcPr>
          <w:p>
            <w:pPr>
              <w:rPr>
                <w:rFonts w:hint="eastAsia" w:ascii="宋体" w:hAnsi="宋体" w:eastAsia="宋体" w:cs="宋体"/>
                <w:i w:val="0"/>
                <w:color w:val="000000"/>
                <w:sz w:val="24"/>
                <w:szCs w:val="24"/>
                <w:u w:val="none"/>
              </w:rPr>
            </w:pPr>
          </w:p>
        </w:tc>
        <w:tc>
          <w:tcPr>
            <w:tcW w:w="401" w:type="dxa"/>
            <w:shd w:val="clear" w:color="auto" w:fill="auto"/>
            <w:vAlign w:val="center"/>
          </w:tcPr>
          <w:p>
            <w:pPr>
              <w:jc w:val="center"/>
              <w:rPr>
                <w:rFonts w:hint="eastAsia" w:ascii="宋体" w:hAnsi="宋体" w:eastAsia="宋体" w:cs="宋体"/>
                <w:i w:val="0"/>
                <w:color w:val="000000"/>
                <w:sz w:val="20"/>
                <w:szCs w:val="20"/>
                <w:u w:val="none"/>
              </w:rPr>
            </w:pPr>
          </w:p>
        </w:tc>
        <w:tc>
          <w:tcPr>
            <w:tcW w:w="27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409" w:type="dxa"/>
            <w:shd w:val="clear" w:color="auto" w:fill="auto"/>
            <w:vAlign w:val="center"/>
          </w:tcPr>
          <w:p>
            <w:pPr>
              <w:rPr>
                <w:rFonts w:hint="eastAsia" w:ascii="宋体" w:hAnsi="宋体" w:eastAsia="宋体" w:cs="宋体"/>
                <w:i w:val="0"/>
                <w:color w:val="000000"/>
                <w:sz w:val="24"/>
                <w:szCs w:val="24"/>
                <w:u w:val="none"/>
              </w:rPr>
            </w:pPr>
          </w:p>
        </w:tc>
        <w:tc>
          <w:tcPr>
            <w:tcW w:w="230" w:type="dxa"/>
            <w:shd w:val="clear" w:color="auto" w:fill="auto"/>
            <w:vAlign w:val="center"/>
          </w:tcPr>
          <w:p>
            <w:pPr>
              <w:rPr>
                <w:rFonts w:hint="eastAsia" w:ascii="宋体" w:hAnsi="宋体" w:eastAsia="宋体" w:cs="宋体"/>
                <w:i w:val="0"/>
                <w:color w:val="000000"/>
                <w:sz w:val="24"/>
                <w:szCs w:val="24"/>
                <w:u w:val="none"/>
              </w:rPr>
            </w:pPr>
          </w:p>
        </w:tc>
        <w:tc>
          <w:tcPr>
            <w:tcW w:w="409" w:type="dxa"/>
            <w:shd w:val="clear" w:color="auto" w:fill="auto"/>
            <w:vAlign w:val="center"/>
          </w:tcPr>
          <w:p>
            <w:pPr>
              <w:rPr>
                <w:rFonts w:hint="eastAsia" w:ascii="宋体" w:hAnsi="宋体" w:eastAsia="宋体" w:cs="宋体"/>
                <w:i w:val="0"/>
                <w:color w:val="000000"/>
                <w:sz w:val="24"/>
                <w:szCs w:val="24"/>
                <w:u w:val="none"/>
              </w:rPr>
            </w:pPr>
          </w:p>
        </w:tc>
        <w:tc>
          <w:tcPr>
            <w:tcW w:w="314"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55"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22" w:type="dxa"/>
            <w:shd w:val="clear" w:color="auto" w:fill="auto"/>
            <w:vAlign w:val="center"/>
          </w:tcPr>
          <w:p>
            <w:pPr>
              <w:rPr>
                <w:rFonts w:hint="eastAsia" w:ascii="宋体" w:hAnsi="宋体" w:eastAsia="宋体" w:cs="宋体"/>
                <w:i w:val="0"/>
                <w:color w:val="000000"/>
                <w:sz w:val="24"/>
                <w:szCs w:val="24"/>
                <w:u w:val="none"/>
              </w:rPr>
            </w:pPr>
          </w:p>
        </w:tc>
        <w:tc>
          <w:tcPr>
            <w:tcW w:w="213"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197" w:type="dxa"/>
            <w:shd w:val="clear" w:color="auto" w:fill="auto"/>
            <w:vAlign w:val="center"/>
          </w:tcPr>
          <w:p>
            <w:pPr>
              <w:rPr>
                <w:rFonts w:hint="eastAsia" w:ascii="宋体" w:hAnsi="宋体" w:eastAsia="宋体" w:cs="宋体"/>
                <w:i w:val="0"/>
                <w:color w:val="000000"/>
                <w:sz w:val="24"/>
                <w:szCs w:val="24"/>
                <w:u w:val="none"/>
              </w:rPr>
            </w:pPr>
          </w:p>
        </w:tc>
        <w:tc>
          <w:tcPr>
            <w:tcW w:w="373" w:type="dxa"/>
            <w:shd w:val="clear" w:color="auto" w:fill="auto"/>
            <w:vAlign w:val="center"/>
          </w:tcPr>
          <w:p>
            <w:pPr>
              <w:rPr>
                <w:rFonts w:hint="eastAsia" w:ascii="宋体" w:hAnsi="宋体" w:eastAsia="宋体" w:cs="宋体"/>
                <w:i w:val="0"/>
                <w:color w:val="000000"/>
                <w:sz w:val="24"/>
                <w:szCs w:val="24"/>
                <w:u w:val="none"/>
              </w:rPr>
            </w:pPr>
          </w:p>
        </w:tc>
        <w:tc>
          <w:tcPr>
            <w:tcW w:w="398" w:type="dxa"/>
            <w:shd w:val="clear" w:color="auto" w:fill="auto"/>
            <w:vAlign w:val="center"/>
          </w:tcPr>
          <w:p>
            <w:pPr>
              <w:rPr>
                <w:rFonts w:hint="eastAsia" w:ascii="宋体" w:hAnsi="宋体" w:eastAsia="宋体" w:cs="宋体"/>
                <w:i w:val="0"/>
                <w:color w:val="000000"/>
                <w:sz w:val="24"/>
                <w:szCs w:val="24"/>
                <w:u w:val="none"/>
              </w:rPr>
            </w:pPr>
          </w:p>
        </w:tc>
        <w:tc>
          <w:tcPr>
            <w:tcW w:w="391" w:type="dxa"/>
            <w:gridSpan w:val="3"/>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财决公开13表</w:t>
            </w:r>
          </w:p>
        </w:tc>
        <w:tc>
          <w:tcPr>
            <w:tcW w:w="108" w:type="dxa"/>
            <w:gridSpan w:val="2"/>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 w:type="dxa"/>
          <w:trHeight w:val="285" w:hRule="atLeast"/>
        </w:trPr>
        <w:tc>
          <w:tcPr>
            <w:tcW w:w="1499" w:type="dxa"/>
            <w:gridSpan w:val="4"/>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单位名称：大录乡政府</w:t>
            </w:r>
          </w:p>
        </w:tc>
        <w:tc>
          <w:tcPr>
            <w:tcW w:w="401" w:type="dxa"/>
            <w:shd w:val="clear" w:color="auto" w:fill="auto"/>
            <w:vAlign w:val="center"/>
          </w:tcPr>
          <w:p>
            <w:pPr>
              <w:rPr>
                <w:rFonts w:hint="eastAsia" w:ascii="宋体" w:hAnsi="宋体" w:eastAsia="宋体" w:cs="宋体"/>
                <w:i w:val="0"/>
                <w:color w:val="000000"/>
                <w:sz w:val="24"/>
                <w:szCs w:val="24"/>
                <w:u w:val="none"/>
              </w:rPr>
            </w:pPr>
          </w:p>
        </w:tc>
        <w:tc>
          <w:tcPr>
            <w:tcW w:w="27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409" w:type="dxa"/>
            <w:shd w:val="clear" w:color="auto" w:fill="auto"/>
            <w:vAlign w:val="center"/>
          </w:tcPr>
          <w:p>
            <w:pPr>
              <w:rPr>
                <w:rFonts w:hint="eastAsia" w:ascii="宋体" w:hAnsi="宋体" w:eastAsia="宋体" w:cs="宋体"/>
                <w:i w:val="0"/>
                <w:color w:val="000000"/>
                <w:sz w:val="24"/>
                <w:szCs w:val="24"/>
                <w:u w:val="none"/>
              </w:rPr>
            </w:pPr>
          </w:p>
        </w:tc>
        <w:tc>
          <w:tcPr>
            <w:tcW w:w="230" w:type="dxa"/>
            <w:shd w:val="clear" w:color="auto" w:fill="auto"/>
            <w:vAlign w:val="center"/>
          </w:tcPr>
          <w:p>
            <w:pPr>
              <w:rPr>
                <w:rFonts w:hint="eastAsia" w:ascii="宋体" w:hAnsi="宋体" w:eastAsia="宋体" w:cs="宋体"/>
                <w:i w:val="0"/>
                <w:color w:val="000000"/>
                <w:sz w:val="24"/>
                <w:szCs w:val="24"/>
                <w:u w:val="none"/>
              </w:rPr>
            </w:pPr>
          </w:p>
        </w:tc>
        <w:tc>
          <w:tcPr>
            <w:tcW w:w="409" w:type="dxa"/>
            <w:shd w:val="clear" w:color="auto" w:fill="auto"/>
            <w:vAlign w:val="center"/>
          </w:tcPr>
          <w:p>
            <w:pPr>
              <w:rPr>
                <w:rFonts w:hint="eastAsia" w:ascii="宋体" w:hAnsi="宋体" w:eastAsia="宋体" w:cs="宋体"/>
                <w:i w:val="0"/>
                <w:color w:val="000000"/>
                <w:sz w:val="24"/>
                <w:szCs w:val="24"/>
                <w:u w:val="none"/>
              </w:rPr>
            </w:pPr>
          </w:p>
        </w:tc>
        <w:tc>
          <w:tcPr>
            <w:tcW w:w="706"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2023年度</w:t>
            </w: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55"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22" w:type="dxa"/>
            <w:shd w:val="clear" w:color="auto" w:fill="auto"/>
            <w:vAlign w:val="center"/>
          </w:tcPr>
          <w:p>
            <w:pPr>
              <w:rPr>
                <w:rFonts w:hint="eastAsia" w:ascii="宋体" w:hAnsi="宋体" w:eastAsia="宋体" w:cs="宋体"/>
                <w:i w:val="0"/>
                <w:color w:val="000000"/>
                <w:sz w:val="24"/>
                <w:szCs w:val="24"/>
                <w:u w:val="none"/>
              </w:rPr>
            </w:pPr>
          </w:p>
        </w:tc>
        <w:tc>
          <w:tcPr>
            <w:tcW w:w="213"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197" w:type="dxa"/>
            <w:shd w:val="clear" w:color="auto" w:fill="auto"/>
            <w:vAlign w:val="center"/>
          </w:tcPr>
          <w:p>
            <w:pPr>
              <w:rPr>
                <w:rFonts w:hint="eastAsia" w:ascii="宋体" w:hAnsi="宋体" w:eastAsia="宋体" w:cs="宋体"/>
                <w:i w:val="0"/>
                <w:color w:val="000000"/>
                <w:sz w:val="24"/>
                <w:szCs w:val="24"/>
                <w:u w:val="none"/>
              </w:rPr>
            </w:pPr>
          </w:p>
        </w:tc>
        <w:tc>
          <w:tcPr>
            <w:tcW w:w="373" w:type="dxa"/>
            <w:shd w:val="clear" w:color="auto" w:fill="auto"/>
            <w:vAlign w:val="center"/>
          </w:tcPr>
          <w:p>
            <w:pPr>
              <w:rPr>
                <w:rFonts w:hint="eastAsia" w:ascii="宋体" w:hAnsi="宋体" w:eastAsia="宋体" w:cs="宋体"/>
                <w:i w:val="0"/>
                <w:color w:val="000000"/>
                <w:sz w:val="24"/>
                <w:szCs w:val="24"/>
                <w:u w:val="none"/>
              </w:rPr>
            </w:pPr>
          </w:p>
        </w:tc>
        <w:tc>
          <w:tcPr>
            <w:tcW w:w="398" w:type="dxa"/>
            <w:shd w:val="clear" w:color="auto" w:fill="auto"/>
            <w:vAlign w:val="center"/>
          </w:tcPr>
          <w:p>
            <w:pPr>
              <w:rPr>
                <w:rFonts w:hint="eastAsia" w:ascii="宋体" w:hAnsi="宋体" w:eastAsia="宋体" w:cs="宋体"/>
                <w:i w:val="0"/>
                <w:color w:val="000000"/>
                <w:sz w:val="24"/>
                <w:szCs w:val="24"/>
                <w:u w:val="none"/>
              </w:rPr>
            </w:pPr>
          </w:p>
        </w:tc>
        <w:tc>
          <w:tcPr>
            <w:tcW w:w="387" w:type="dxa"/>
            <w:gridSpan w:val="2"/>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10" w:type="dxa"/>
            <w:gridSpan w:val="2"/>
            <w:shd w:val="clear" w:color="auto" w:fill="auto"/>
            <w:vAlign w:val="bottom"/>
          </w:tcPr>
          <w:p>
            <w:pPr>
              <w:keepNext w:val="0"/>
              <w:keepLines w:val="0"/>
              <w:widowControl/>
              <w:suppressLineNumbers w:val="0"/>
              <w:jc w:val="right"/>
              <w:textAlignment w:val="bottom"/>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2172"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155" w:type="dxa"/>
            <w:gridSpan w:val="20"/>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8" w:type="dxa"/>
            <w:gridSpan w:val="2"/>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392" w:type="dxa"/>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合计</w:t>
            </w:r>
          </w:p>
        </w:tc>
        <w:tc>
          <w:tcPr>
            <w:tcW w:w="39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因公出国（境）费用</w:t>
            </w:r>
          </w:p>
        </w:tc>
        <w:tc>
          <w:tcPr>
            <w:tcW w:w="1116"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公务用车购置及运行费</w:t>
            </w:r>
          </w:p>
        </w:tc>
        <w:tc>
          <w:tcPr>
            <w:tcW w:w="27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公务接待费</w:t>
            </w:r>
          </w:p>
        </w:tc>
        <w:tc>
          <w:tcPr>
            <w:tcW w:w="39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合计</w:t>
            </w:r>
          </w:p>
        </w:tc>
        <w:tc>
          <w:tcPr>
            <w:tcW w:w="392"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因公出国（境）费</w:t>
            </w:r>
          </w:p>
        </w:tc>
        <w:tc>
          <w:tcPr>
            <w:tcW w:w="1048" w:type="dxa"/>
            <w:gridSpan w:val="3"/>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公务用车购置及运行费</w:t>
            </w:r>
          </w:p>
        </w:tc>
        <w:tc>
          <w:tcPr>
            <w:tcW w:w="314" w:type="dxa"/>
            <w:vMerge w:val="restart"/>
            <w:tcBorders>
              <w:bottom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公务接待费</w:t>
            </w:r>
          </w:p>
        </w:tc>
        <w:tc>
          <w:tcPr>
            <w:tcW w:w="2045" w:type="dxa"/>
            <w:gridSpan w:val="6"/>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其中：一般公共预算财政拨款</w:t>
            </w:r>
          </w:p>
        </w:tc>
        <w:tc>
          <w:tcPr>
            <w:tcW w:w="1964" w:type="dxa"/>
            <w:gridSpan w:val="8"/>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其中：政府性基金预算财政拨款</w:t>
            </w:r>
          </w:p>
        </w:tc>
        <w:tc>
          <w:tcPr>
            <w:tcW w:w="108" w:type="dxa"/>
            <w:gridSpan w:val="2"/>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kern w:val="0"/>
                <w:sz w:val="12"/>
                <w:szCs w:val="1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392"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314"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公务用车购置费</w:t>
            </w:r>
          </w:p>
        </w:tc>
        <w:tc>
          <w:tcPr>
            <w:tcW w:w="40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公务用车运行费</w:t>
            </w:r>
          </w:p>
        </w:tc>
        <w:tc>
          <w:tcPr>
            <w:tcW w:w="27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9"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23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购置费</w:t>
            </w:r>
          </w:p>
        </w:tc>
        <w:tc>
          <w:tcPr>
            <w:tcW w:w="409"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运行费</w:t>
            </w:r>
          </w:p>
        </w:tc>
        <w:tc>
          <w:tcPr>
            <w:tcW w:w="314" w:type="dxa"/>
            <w:vMerge w:val="continue"/>
            <w:tcBorders>
              <w:bottom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392"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因公出国（境）费</w:t>
            </w:r>
          </w:p>
        </w:tc>
        <w:tc>
          <w:tcPr>
            <w:tcW w:w="1039" w:type="dxa"/>
            <w:gridSpan w:val="3"/>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公务用车购置及运行费</w:t>
            </w:r>
          </w:p>
        </w:tc>
        <w:tc>
          <w:tcPr>
            <w:tcW w:w="222"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公务接待费</w:t>
            </w:r>
          </w:p>
        </w:tc>
        <w:tc>
          <w:tcPr>
            <w:tcW w:w="213"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392"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因公出国（境）费</w:t>
            </w:r>
          </w:p>
        </w:tc>
        <w:tc>
          <w:tcPr>
            <w:tcW w:w="973"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公务用车购置及运行费</w:t>
            </w:r>
          </w:p>
        </w:tc>
        <w:tc>
          <w:tcPr>
            <w:tcW w:w="386" w:type="dxa"/>
            <w:gridSpan w:val="2"/>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公务接待费</w:t>
            </w:r>
          </w:p>
        </w:tc>
        <w:tc>
          <w:tcPr>
            <w:tcW w:w="108"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kern w:val="0"/>
                <w:sz w:val="12"/>
                <w:szCs w:val="1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392"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14"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27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9"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23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409"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14" w:type="dxa"/>
            <w:vMerge w:val="continue"/>
            <w:tcBorders>
              <w:bottom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255"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购置费</w:t>
            </w:r>
          </w:p>
        </w:tc>
        <w:tc>
          <w:tcPr>
            <w:tcW w:w="392"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运行费</w:t>
            </w:r>
          </w:p>
        </w:tc>
        <w:tc>
          <w:tcPr>
            <w:tcW w:w="22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213"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39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197"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小计</w:t>
            </w:r>
          </w:p>
        </w:tc>
        <w:tc>
          <w:tcPr>
            <w:tcW w:w="373"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购置费</w:t>
            </w:r>
          </w:p>
        </w:tc>
        <w:tc>
          <w:tcPr>
            <w:tcW w:w="398" w:type="dxa"/>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12"/>
                <w:szCs w:val="12"/>
                <w:u w:val="none"/>
              </w:rPr>
            </w:pPr>
            <w:r>
              <w:rPr>
                <w:rFonts w:hint="eastAsia" w:ascii="宋体" w:hAnsi="宋体" w:eastAsia="宋体" w:cs="宋体"/>
                <w:i w:val="0"/>
                <w:color w:val="000000"/>
                <w:kern w:val="0"/>
                <w:sz w:val="12"/>
                <w:szCs w:val="12"/>
                <w:u w:val="none"/>
                <w:lang w:val="en-US" w:eastAsia="zh-CN" w:bidi="ar"/>
              </w:rPr>
              <w:t xml:space="preserve">公务用车 </w:t>
            </w:r>
            <w:r>
              <w:rPr>
                <w:rFonts w:hint="eastAsia" w:ascii="宋体" w:hAnsi="宋体" w:eastAsia="宋体" w:cs="宋体"/>
                <w:i w:val="0"/>
                <w:color w:val="000000"/>
                <w:kern w:val="0"/>
                <w:sz w:val="12"/>
                <w:szCs w:val="12"/>
                <w:u w:val="none"/>
                <w:lang w:val="en-US" w:eastAsia="zh-CN" w:bidi="ar"/>
              </w:rPr>
              <w:br w:type="textWrapping"/>
            </w:r>
            <w:r>
              <w:rPr>
                <w:rFonts w:hint="eastAsia" w:ascii="宋体" w:hAnsi="宋体" w:eastAsia="宋体" w:cs="宋体"/>
                <w:i w:val="0"/>
                <w:color w:val="000000"/>
                <w:kern w:val="0"/>
                <w:sz w:val="12"/>
                <w:szCs w:val="12"/>
                <w:u w:val="none"/>
                <w:lang w:val="en-US" w:eastAsia="zh-CN" w:bidi="ar"/>
              </w:rPr>
              <w:t>运行费</w:t>
            </w:r>
          </w:p>
        </w:tc>
        <w:tc>
          <w:tcPr>
            <w:tcW w:w="39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c>
          <w:tcPr>
            <w:tcW w:w="108" w:type="dxa"/>
            <w:gridSpan w:val="2"/>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12"/>
                <w:szCs w:val="1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2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314"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392"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255"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222"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3"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2"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97"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73"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8" w:type="dxa"/>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391" w:type="dxa"/>
            <w:gridSpan w:val="3"/>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8" w:type="dxa"/>
            <w:gridSpan w:val="2"/>
            <w:tcBorders>
              <w:top w:val="single" w:color="000000" w:sz="4" w:space="0"/>
              <w:left w:val="single" w:color="000000" w:sz="4" w:space="0"/>
              <w:bottom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 w:type="dxa"/>
          <w:trHeight w:val="540" w:hRule="atLeast"/>
        </w:trPr>
        <w:tc>
          <w:tcPr>
            <w:tcW w:w="4318" w:type="dxa"/>
            <w:gridSpan w:val="12"/>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55"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222" w:type="dxa"/>
            <w:shd w:val="clear" w:color="auto" w:fill="auto"/>
            <w:vAlign w:val="center"/>
          </w:tcPr>
          <w:p>
            <w:pPr>
              <w:rPr>
                <w:rFonts w:hint="eastAsia" w:ascii="宋体" w:hAnsi="宋体" w:eastAsia="宋体" w:cs="宋体"/>
                <w:i w:val="0"/>
                <w:color w:val="000000"/>
                <w:sz w:val="24"/>
                <w:szCs w:val="24"/>
                <w:u w:val="none"/>
              </w:rPr>
            </w:pPr>
          </w:p>
        </w:tc>
        <w:tc>
          <w:tcPr>
            <w:tcW w:w="213" w:type="dxa"/>
            <w:shd w:val="clear" w:color="auto" w:fill="auto"/>
            <w:vAlign w:val="center"/>
          </w:tcPr>
          <w:p>
            <w:pPr>
              <w:rPr>
                <w:rFonts w:hint="eastAsia" w:ascii="宋体" w:hAnsi="宋体" w:eastAsia="宋体" w:cs="宋体"/>
                <w:i w:val="0"/>
                <w:color w:val="000000"/>
                <w:sz w:val="24"/>
                <w:szCs w:val="24"/>
                <w:u w:val="none"/>
              </w:rPr>
            </w:pPr>
          </w:p>
        </w:tc>
        <w:tc>
          <w:tcPr>
            <w:tcW w:w="392" w:type="dxa"/>
            <w:shd w:val="clear" w:color="auto" w:fill="auto"/>
            <w:vAlign w:val="center"/>
          </w:tcPr>
          <w:p>
            <w:pPr>
              <w:rPr>
                <w:rFonts w:hint="eastAsia" w:ascii="宋体" w:hAnsi="宋体" w:eastAsia="宋体" w:cs="宋体"/>
                <w:i w:val="0"/>
                <w:color w:val="000000"/>
                <w:sz w:val="24"/>
                <w:szCs w:val="24"/>
                <w:u w:val="none"/>
              </w:rPr>
            </w:pPr>
          </w:p>
        </w:tc>
        <w:tc>
          <w:tcPr>
            <w:tcW w:w="197" w:type="dxa"/>
            <w:shd w:val="clear" w:color="auto" w:fill="auto"/>
            <w:vAlign w:val="center"/>
          </w:tcPr>
          <w:p>
            <w:pPr>
              <w:rPr>
                <w:rFonts w:hint="eastAsia" w:ascii="宋体" w:hAnsi="宋体" w:eastAsia="宋体" w:cs="宋体"/>
                <w:i w:val="0"/>
                <w:color w:val="000000"/>
                <w:sz w:val="24"/>
                <w:szCs w:val="24"/>
                <w:u w:val="none"/>
              </w:rPr>
            </w:pPr>
          </w:p>
        </w:tc>
        <w:tc>
          <w:tcPr>
            <w:tcW w:w="373" w:type="dxa"/>
            <w:shd w:val="clear" w:color="auto" w:fill="auto"/>
            <w:vAlign w:val="center"/>
          </w:tcPr>
          <w:p>
            <w:pPr>
              <w:rPr>
                <w:rFonts w:hint="eastAsia" w:ascii="宋体" w:hAnsi="宋体" w:eastAsia="宋体" w:cs="宋体"/>
                <w:i w:val="0"/>
                <w:color w:val="000000"/>
                <w:sz w:val="24"/>
                <w:szCs w:val="24"/>
                <w:u w:val="none"/>
              </w:rPr>
            </w:pPr>
          </w:p>
        </w:tc>
        <w:tc>
          <w:tcPr>
            <w:tcW w:w="398" w:type="dxa"/>
            <w:shd w:val="clear" w:color="auto" w:fill="auto"/>
            <w:vAlign w:val="center"/>
          </w:tcPr>
          <w:p>
            <w:pPr>
              <w:rPr>
                <w:rFonts w:hint="eastAsia" w:ascii="宋体" w:hAnsi="宋体" w:eastAsia="宋体" w:cs="宋体"/>
                <w:i w:val="0"/>
                <w:color w:val="000000"/>
                <w:sz w:val="24"/>
                <w:szCs w:val="24"/>
                <w:u w:val="none"/>
              </w:rPr>
            </w:pPr>
          </w:p>
        </w:tc>
        <w:tc>
          <w:tcPr>
            <w:tcW w:w="387" w:type="dxa"/>
            <w:gridSpan w:val="2"/>
            <w:shd w:val="clear" w:color="auto" w:fill="auto"/>
            <w:vAlign w:val="center"/>
          </w:tcPr>
          <w:p>
            <w:pPr>
              <w:rPr>
                <w:rFonts w:hint="eastAsia" w:ascii="宋体" w:hAnsi="宋体" w:eastAsia="宋体" w:cs="宋体"/>
                <w:i w:val="0"/>
                <w:color w:val="000000"/>
                <w:sz w:val="24"/>
                <w:szCs w:val="24"/>
                <w:u w:val="none"/>
              </w:rPr>
            </w:pPr>
          </w:p>
        </w:tc>
        <w:tc>
          <w:tcPr>
            <w:tcW w:w="110" w:type="dxa"/>
            <w:gridSpan w:val="2"/>
            <w:shd w:val="clear" w:color="auto" w:fill="auto"/>
            <w:vAlign w:val="center"/>
          </w:tcPr>
          <w:p>
            <w:pPr>
              <w:rPr>
                <w:rFonts w:hint="eastAsia" w:ascii="宋体" w:hAnsi="宋体" w:eastAsia="宋体" w:cs="宋体"/>
                <w:i w:val="0"/>
                <w:color w:val="000000"/>
                <w:sz w:val="24"/>
                <w:szCs w:val="24"/>
                <w:u w:val="none"/>
              </w:rPr>
            </w:pPr>
          </w:p>
        </w:tc>
      </w:tr>
    </w:tbl>
    <w:p>
      <w:pPr>
        <w:pStyle w:val="2"/>
        <w:numPr>
          <w:ilvl w:val="0"/>
          <w:numId w:val="0"/>
        </w:numPr>
      </w:pPr>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36554"/>
    <w:multiLevelType w:val="singleLevel"/>
    <w:tmpl w:val="8A736554"/>
    <w:lvl w:ilvl="0" w:tentative="0">
      <w:start w:val="4"/>
      <w:numFmt w:val="chineseCounting"/>
      <w:suff w:val="nothing"/>
      <w:lvlText w:val="（%1）"/>
      <w:lvlJc w:val="left"/>
      <w:rPr>
        <w:rFonts w:hint="eastAsia"/>
      </w:rPr>
    </w:lvl>
  </w:abstractNum>
  <w:abstractNum w:abstractNumId="1">
    <w:nsid w:val="BB7AC635"/>
    <w:multiLevelType w:val="singleLevel"/>
    <w:tmpl w:val="BB7AC635"/>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711CE37"/>
    <w:multiLevelType w:val="multilevel"/>
    <w:tmpl w:val="6711CE37"/>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
    <w:nsid w:val="6711CE92"/>
    <w:multiLevelType w:val="singleLevel"/>
    <w:tmpl w:val="6711CE92"/>
    <w:lvl w:ilvl="0" w:tentative="0">
      <w:start w:val="1"/>
      <w:numFmt w:val="chineseCounting"/>
      <w:suff w:val="nothing"/>
      <w:lvlText w:val="%1、"/>
      <w:lvlJc w:val="left"/>
    </w:lvl>
  </w:abstractNum>
  <w:abstractNum w:abstractNumId="6">
    <w:nsid w:val="7E25259D"/>
    <w:multiLevelType w:val="singleLevel"/>
    <w:tmpl w:val="7E25259D"/>
    <w:lvl w:ilvl="0" w:tentative="0">
      <w:start w:val="2"/>
      <w:numFmt w:val="decimal"/>
      <w:lvlText w:val="%1."/>
      <w:lvlJc w:val="left"/>
      <w:pPr>
        <w:tabs>
          <w:tab w:val="left" w:pos="312"/>
        </w:tabs>
      </w:pPr>
    </w:lvl>
  </w:abstractNum>
  <w:num w:numId="1">
    <w:abstractNumId w:val="1"/>
  </w:num>
  <w:num w:numId="2">
    <w:abstractNumId w:val="6"/>
  </w:num>
  <w:num w:numId="3">
    <w:abstractNumId w:val="4"/>
    <w:lvlOverride w:ilvl="0">
      <w:startOverride w:val="1"/>
    </w:lvlOverride>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2Nzk2ZWI5MjU1NzA5MzAzY2FhMjFhYzJiNmZmYmU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110CEA"/>
    <w:rsid w:val="0E7ED1F5"/>
    <w:rsid w:val="0F98263C"/>
    <w:rsid w:val="101860EC"/>
    <w:rsid w:val="10C055FF"/>
    <w:rsid w:val="118107EC"/>
    <w:rsid w:val="13D50BC4"/>
    <w:rsid w:val="13F5616D"/>
    <w:rsid w:val="16BB723D"/>
    <w:rsid w:val="16D334F9"/>
    <w:rsid w:val="17F9714D"/>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9FD04D3"/>
    <w:rsid w:val="2BFF7BC6"/>
    <w:rsid w:val="2C8A61B5"/>
    <w:rsid w:val="2CD59C95"/>
    <w:rsid w:val="2D1944EE"/>
    <w:rsid w:val="2DF04E50"/>
    <w:rsid w:val="2EFD05E5"/>
    <w:rsid w:val="2F040D46"/>
    <w:rsid w:val="2F330861"/>
    <w:rsid w:val="2F4F95CE"/>
    <w:rsid w:val="2FACAFDD"/>
    <w:rsid w:val="2FAE5751"/>
    <w:rsid w:val="2FB1A395"/>
    <w:rsid w:val="2FCF0B76"/>
    <w:rsid w:val="2FD9A7D8"/>
    <w:rsid w:val="301A446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8E2890"/>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A05045"/>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0F013E"/>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spacing w:before="100" w:beforeAutospacing="1" w:after="100" w:afterAutospacing="1"/>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普通(网站) 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文档正文"/>
    <w:basedOn w:val="1"/>
    <w:qFormat/>
    <w:uiPriority w:val="0"/>
    <w:pPr>
      <w:adjustRightInd w:val="0"/>
      <w:spacing w:line="480" w:lineRule="atLeast"/>
      <w:textAlignment w:val="baseline"/>
    </w:pPr>
    <w:rPr>
      <w:rFonts w:ascii="Arial" w:hAnsi="Arial" w:eastAsia="宋体"/>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12954</Words>
  <Characters>14728</Characters>
  <Lines>72</Lines>
  <Paragraphs>20</Paragraphs>
  <TotalTime>9</TotalTime>
  <ScaleCrop>false</ScaleCrop>
  <LinksUpToDate>false</LinksUpToDate>
  <CharactersWithSpaces>14838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2025-06-26T08:49:04Z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76338E2C8FB649D49EA5770C8EE74B74_13</vt:lpwstr>
  </property>
</Properties>
</file>