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color w:val="000000"/>
          <w:sz w:val="72"/>
          <w:szCs w:val="72"/>
        </w:rPr>
      </w:pPr>
      <w:bookmarkStart w:id="0" w:name="_Toc15306267"/>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adjustRightInd w:val="0"/>
        <w:snapToGrid w:val="0"/>
        <w:spacing w:line="360" w:lineRule="auto"/>
        <w:jc w:val="center"/>
        <w:outlineLvl w:val="9"/>
        <w:rPr>
          <w:rFonts w:ascii="方正小标宋简体" w:hAnsi="宋体" w:eastAsia="方正小标宋简体"/>
          <w:color w:val="000000"/>
          <w:sz w:val="72"/>
          <w:szCs w:val="72"/>
        </w:rPr>
      </w:pPr>
      <w:bookmarkStart w:id="1" w:name="_Toc15396475"/>
      <w:bookmarkStart w:id="2" w:name="_Toc30322"/>
      <w:bookmarkStart w:id="3" w:name="_Toc15396597"/>
      <w:bookmarkStart w:id="4" w:name="_Toc15378441"/>
      <w:bookmarkStart w:id="5" w:name="_Toc15377425"/>
      <w:bookmarkStart w:id="6" w:name="_Toc15377193"/>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9"/>
        <w:rPr>
          <w:rFonts w:ascii="方正小标宋简体" w:hAnsi="宋体" w:eastAsia="方正小标宋简体"/>
          <w:color w:val="000000"/>
          <w:sz w:val="72"/>
          <w:szCs w:val="72"/>
        </w:rPr>
      </w:pPr>
      <w:bookmarkStart w:id="7" w:name="_Toc15396598"/>
      <w:bookmarkStart w:id="8" w:name="_Toc15396476"/>
      <w:bookmarkStart w:id="9" w:name="_Toc15378442"/>
      <w:bookmarkStart w:id="10" w:name="_Toc30076"/>
      <w:bookmarkStart w:id="11" w:name="_Toc15377194"/>
      <w:bookmarkStart w:id="12" w:name="_Toc15377426"/>
      <w:r>
        <w:rPr>
          <w:rFonts w:hint="eastAsia" w:ascii="方正小标宋简体" w:hAnsi="宋体" w:eastAsia="方正小标宋简体"/>
          <w:color w:val="000000"/>
          <w:sz w:val="72"/>
          <w:szCs w:val="72"/>
        </w:rPr>
        <w:t>四川省阿坝州</w:t>
      </w:r>
      <w:bookmarkEnd w:id="0"/>
      <w:bookmarkStart w:id="13" w:name="_Toc15306268"/>
      <w:r>
        <w:rPr>
          <w:rFonts w:hint="eastAsia" w:ascii="方正小标宋简体" w:hAnsi="宋体" w:eastAsia="方正小标宋简体"/>
          <w:color w:val="000000"/>
          <w:sz w:val="72"/>
          <w:szCs w:val="72"/>
        </w:rPr>
        <w:t>九寨沟县水务局部门决算</w:t>
      </w:r>
      <w:bookmarkEnd w:id="7"/>
      <w:bookmarkEnd w:id="8"/>
      <w:bookmarkEnd w:id="9"/>
      <w:bookmarkEnd w:id="10"/>
      <w:bookmarkEnd w:id="11"/>
      <w:bookmarkEnd w:id="12"/>
      <w:bookmarkEnd w:id="13"/>
    </w:p>
    <w:p>
      <w:pPr>
        <w:widowControl/>
        <w:jc w:val="center"/>
        <w:outlineLvl w:val="9"/>
        <w:rPr>
          <w:rFonts w:ascii="方正小标宋简体" w:hAnsi="宋体" w:eastAsia="方正小标宋简体"/>
          <w:color w:val="000000"/>
          <w:sz w:val="36"/>
          <w:szCs w:val="36"/>
        </w:rPr>
      </w:pPr>
    </w:p>
    <w:p>
      <w:pPr>
        <w:outlineLvl w:val="9"/>
        <w:rPr>
          <w:rFonts w:ascii="方正小标宋简体" w:hAnsi="宋体" w:eastAsia="方正小标宋简体"/>
          <w:sz w:val="36"/>
          <w:szCs w:val="36"/>
        </w:rPr>
      </w:pPr>
    </w:p>
    <w:p>
      <w:pPr>
        <w:outlineLvl w:val="9"/>
        <w:rPr>
          <w:rFonts w:ascii="方正小标宋简体" w:hAnsi="宋体" w:eastAsia="方正小标宋简体"/>
          <w:sz w:val="36"/>
          <w:szCs w:val="36"/>
        </w:rPr>
      </w:pPr>
    </w:p>
    <w:p>
      <w:pPr>
        <w:outlineLvl w:val="9"/>
        <w:rPr>
          <w:rFonts w:ascii="方正小标宋简体" w:hAnsi="宋体" w:eastAsia="方正小标宋简体"/>
          <w:sz w:val="36"/>
          <w:szCs w:val="36"/>
        </w:rPr>
      </w:pPr>
    </w:p>
    <w:p>
      <w:pPr>
        <w:outlineLvl w:val="9"/>
        <w:rPr>
          <w:rFonts w:ascii="方正小标宋简体" w:hAnsi="宋体" w:eastAsia="方正小标宋简体"/>
          <w:sz w:val="36"/>
          <w:szCs w:val="36"/>
        </w:rPr>
      </w:pPr>
    </w:p>
    <w:p>
      <w:pPr>
        <w:outlineLvl w:val="9"/>
        <w:rPr>
          <w:rFonts w:ascii="方正小标宋简体" w:hAnsi="宋体" w:eastAsia="方正小标宋简体"/>
          <w:sz w:val="36"/>
          <w:szCs w:val="36"/>
        </w:rPr>
      </w:pPr>
    </w:p>
    <w:p>
      <w:pPr>
        <w:outlineLvl w:val="9"/>
        <w:rPr>
          <w:rFonts w:ascii="方正小标宋简体" w:hAnsi="宋体" w:eastAsia="方正小标宋简体"/>
          <w:sz w:val="36"/>
          <w:szCs w:val="36"/>
        </w:rPr>
      </w:pPr>
    </w:p>
    <w:p>
      <w:pPr>
        <w:autoSpaceDE w:val="0"/>
        <w:autoSpaceDN w:val="0"/>
        <w:adjustRightInd w:val="0"/>
        <w:ind w:firstLine="1276"/>
        <w:jc w:val="left"/>
        <w:outlineLvl w:val="9"/>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outlineLvl w:val="9"/>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outlineLvl w:val="9"/>
        <w:rPr>
          <w:rFonts w:ascii="方正小标宋简体" w:hAnsi="宋体" w:eastAsia="方正小标宋简体"/>
          <w:sz w:val="36"/>
          <w:szCs w:val="36"/>
        </w:rPr>
      </w:pPr>
    </w:p>
    <w:p>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pPr>
        <w:bidi w:val="0"/>
        <w:rPr>
          <w:rFonts w:ascii="Times New Roman" w:hAnsi="Times New Roman" w:eastAsia="宋体" w:cs="Times New Roman"/>
          <w:kern w:val="2"/>
          <w:sz w:val="21"/>
          <w:szCs w:val="24"/>
          <w:lang w:val="en-US" w:eastAsia="zh-CN" w:bidi="ar-SA"/>
        </w:rPr>
      </w:pPr>
    </w:p>
    <w:p>
      <w:pPr>
        <w:tabs>
          <w:tab w:val="left" w:pos="2927"/>
        </w:tabs>
        <w:bidi w:val="0"/>
        <w:jc w:val="left"/>
        <w:rPr>
          <w:rFonts w:ascii="Times New Roman" w:hAnsi="Times New Roman" w:eastAsia="宋体" w:cs="Times New Roman"/>
          <w:kern w:val="2"/>
          <w:sz w:val="21"/>
          <w:szCs w:val="24"/>
          <w:lang w:val="en-US" w:eastAsia="zh-CN" w:bidi="ar-SA"/>
        </w:rPr>
        <w:sectPr>
          <w:headerReference r:id="rId3" w:type="default"/>
          <w:pgSz w:w="11906" w:h="16838"/>
          <w:pgMar w:top="1440" w:right="1800" w:bottom="1440" w:left="1800" w:header="851" w:footer="992" w:gutter="0"/>
          <w:pgNumType w:start="1"/>
          <w:cols w:space="425" w:num="1"/>
          <w:titlePg/>
          <w:docGrid w:type="lines" w:linePitch="312" w:charSpace="0"/>
        </w:sectPr>
      </w:pPr>
      <w:r>
        <w:rPr>
          <w:rFonts w:hint="eastAsia"/>
          <w:lang w:val="en-US" w:eastAsia="zh-CN"/>
        </w:rPr>
        <w:tab/>
      </w:r>
    </w:p>
    <w:p>
      <w:pPr>
        <w:widowControl/>
        <w:jc w:val="center"/>
        <w:rPr>
          <w:rFonts w:ascii="黑体" w:hAnsi="黑体" w:eastAsia="黑体"/>
          <w:color w:val="000000"/>
          <w:sz w:val="48"/>
          <w:szCs w:val="48"/>
        </w:rPr>
      </w:pPr>
      <w:bookmarkStart w:id="14" w:name="_Toc21716"/>
      <w:bookmarkStart w:id="15" w:name="_Toc5963"/>
      <w:bookmarkStart w:id="16" w:name="_Toc2978"/>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Pr>
        <w:pStyle w:val="10"/>
      </w:pPr>
      <w:r>
        <w:rPr>
          <w:rFonts w:hint="eastAsia"/>
        </w:rPr>
        <w:t>公开时间：2020年</w:t>
      </w:r>
      <w:r>
        <w:rPr>
          <w:rFonts w:hint="eastAsia"/>
          <w:lang w:val="en-US" w:eastAsia="zh-CN"/>
        </w:rPr>
        <w:t>8</w:t>
      </w:r>
      <w:r>
        <w:rPr>
          <w:rFonts w:hint="eastAsia"/>
        </w:rPr>
        <w:t>月</w:t>
      </w:r>
      <w:r>
        <w:t>25</w:t>
      </w:r>
      <w:r>
        <w:rPr>
          <w:rFonts w:hint="eastAsia"/>
        </w:rPr>
        <w:t>日</w:t>
      </w:r>
    </w:p>
    <w:sdt>
      <w:sdtPr>
        <w:rPr>
          <w:rFonts w:ascii="宋体" w:hAnsi="宋体" w:eastAsia="宋体" w:cs="Times New Roman"/>
          <w:kern w:val="2"/>
          <w:sz w:val="21"/>
          <w:szCs w:val="24"/>
          <w:lang w:val="en-US" w:eastAsia="zh-CN" w:bidi="ar-SA"/>
        </w:rPr>
        <w:id w:val="147457443"/>
        <w15:color w:val="DBDBDB"/>
        <w:docPartObj>
          <w:docPartGallery w:val="Table of Contents"/>
          <w:docPartUnique/>
        </w:docPartObj>
      </w:sdtPr>
      <w:sdtEndPr>
        <w:rPr>
          <w:rFonts w:ascii="仿宋" w:hAnsi="仿宋" w:eastAsia="仿宋" w:cs="Times New Roman"/>
          <w:b/>
          <w:kern w:val="2"/>
          <w:sz w:val="28"/>
          <w:szCs w:val="28"/>
          <w:lang w:val="en-US" w:eastAsia="zh-CN" w:bidi="ar-SA"/>
        </w:rPr>
      </w:sdtEndPr>
      <w:sdtContent>
        <w:p>
          <w:pPr>
            <w:pStyle w:val="22"/>
            <w:tabs>
              <w:tab w:val="right" w:leader="dot" w:pos="8306"/>
            </w:tabs>
            <w:rPr>
              <w:b/>
            </w:rPr>
          </w:pPr>
          <w:r>
            <w:fldChar w:fldCharType="begin"/>
          </w:r>
          <w:r>
            <w:instrText xml:space="preserve">TOC \o "1-2" \h \u </w:instrText>
          </w:r>
          <w:r>
            <w:fldChar w:fldCharType="separate"/>
          </w:r>
          <w:r>
            <w:rPr>
              <w:b/>
            </w:rPr>
            <w:fldChar w:fldCharType="begin"/>
          </w:r>
          <w:r>
            <w:rPr>
              <w:b/>
            </w:rPr>
            <w:instrText xml:space="preserve"> HYPERLINK \l _Toc10852 </w:instrText>
          </w:r>
          <w:r>
            <w:rPr>
              <w:b/>
            </w:rPr>
            <w:fldChar w:fldCharType="separate"/>
          </w:r>
          <w:r>
            <w:rPr>
              <w:rFonts w:hint="eastAsia" w:ascii="黑体" w:hAnsi="黑体" w:eastAsia="黑体"/>
              <w:b/>
            </w:rPr>
            <w:t xml:space="preserve">第一部分 </w:t>
          </w:r>
          <w:r>
            <w:rPr>
              <w:rFonts w:hint="eastAsia" w:ascii="黑体" w:hAnsi="黑体" w:eastAsia="黑体"/>
              <w:b/>
              <w:bCs w:val="0"/>
            </w:rPr>
            <w:t>部门概况</w:t>
          </w:r>
          <w:r>
            <w:rPr>
              <w:b/>
            </w:rPr>
            <w:tab/>
          </w:r>
          <w:r>
            <w:rPr>
              <w:b/>
            </w:rPr>
            <w:fldChar w:fldCharType="begin"/>
          </w:r>
          <w:r>
            <w:rPr>
              <w:b/>
            </w:rPr>
            <w:instrText xml:space="preserve"> PAGEREF _Toc10852 </w:instrText>
          </w:r>
          <w:r>
            <w:rPr>
              <w:b/>
            </w:rPr>
            <w:fldChar w:fldCharType="separate"/>
          </w:r>
          <w:r>
            <w:rPr>
              <w:b/>
            </w:rPr>
            <w:t>1</w:t>
          </w:r>
          <w:r>
            <w:rPr>
              <w:b/>
            </w:rPr>
            <w:fldChar w:fldCharType="end"/>
          </w:r>
          <w:r>
            <w:rPr>
              <w:b/>
            </w:rPr>
            <w:fldChar w:fldCharType="end"/>
          </w:r>
        </w:p>
        <w:p>
          <w:pPr>
            <w:pStyle w:val="23"/>
            <w:tabs>
              <w:tab w:val="right" w:leader="dot" w:pos="8306"/>
            </w:tabs>
          </w:pPr>
          <w:r>
            <w:fldChar w:fldCharType="begin"/>
          </w:r>
          <w:r>
            <w:instrText xml:space="preserve"> HYPERLINK \l _Toc14100 </w:instrText>
          </w:r>
          <w:r>
            <w:fldChar w:fldCharType="separate"/>
          </w:r>
          <w:r>
            <w:rPr>
              <w:rFonts w:hint="eastAsia" w:ascii="黑体" w:hAnsi="黑体" w:eastAsia="黑体"/>
            </w:rPr>
            <w:t>一、基</w:t>
          </w:r>
          <w:r>
            <w:rPr>
              <w:rFonts w:hint="eastAsia" w:ascii="黑体" w:hAnsi="黑体" w:eastAsia="黑体"/>
              <w:bCs w:val="0"/>
            </w:rPr>
            <w:t>本职能及主要工作</w:t>
          </w:r>
          <w:r>
            <w:tab/>
          </w:r>
          <w:r>
            <w:fldChar w:fldCharType="begin"/>
          </w:r>
          <w:r>
            <w:instrText xml:space="preserve"> PAGEREF _Toc14100 </w:instrText>
          </w:r>
          <w:r>
            <w:fldChar w:fldCharType="separate"/>
          </w:r>
          <w:r>
            <w:t>1</w:t>
          </w:r>
          <w:r>
            <w:fldChar w:fldCharType="end"/>
          </w:r>
          <w:r>
            <w:fldChar w:fldCharType="end"/>
          </w:r>
        </w:p>
        <w:p>
          <w:pPr>
            <w:pStyle w:val="23"/>
            <w:tabs>
              <w:tab w:val="right" w:leader="dot" w:pos="8306"/>
            </w:tabs>
          </w:pPr>
          <w:r>
            <w:fldChar w:fldCharType="begin"/>
          </w:r>
          <w:r>
            <w:instrText xml:space="preserve"> HYPERLINK \l _Toc8125 </w:instrText>
          </w:r>
          <w:r>
            <w:fldChar w:fldCharType="separate"/>
          </w:r>
          <w:r>
            <w:rPr>
              <w:rFonts w:hint="eastAsia" w:ascii="黑体" w:hAnsi="黑体" w:eastAsia="黑体"/>
              <w:bCs w:val="0"/>
            </w:rPr>
            <w:t xml:space="preserve">二、 </w:t>
          </w:r>
          <w:r>
            <w:rPr>
              <w:rFonts w:hint="eastAsia" w:ascii="黑体" w:hAnsi="黑体" w:eastAsia="黑体"/>
            </w:rPr>
            <w:t>机</w:t>
          </w:r>
          <w:r>
            <w:rPr>
              <w:rFonts w:hint="eastAsia" w:ascii="黑体" w:hAnsi="黑体" w:eastAsia="黑体"/>
              <w:bCs w:val="0"/>
            </w:rPr>
            <w:t>构设置</w:t>
          </w:r>
          <w:r>
            <w:tab/>
          </w:r>
          <w:r>
            <w:fldChar w:fldCharType="begin"/>
          </w:r>
          <w:r>
            <w:instrText xml:space="preserve"> PAGEREF _Toc8125 </w:instrText>
          </w:r>
          <w:r>
            <w:fldChar w:fldCharType="separate"/>
          </w:r>
          <w:r>
            <w:t>6</w:t>
          </w:r>
          <w:r>
            <w:fldChar w:fldCharType="end"/>
          </w:r>
          <w:r>
            <w:fldChar w:fldCharType="end"/>
          </w:r>
        </w:p>
        <w:p>
          <w:pPr>
            <w:pStyle w:val="22"/>
            <w:tabs>
              <w:tab w:val="right" w:leader="dot" w:pos="8306"/>
            </w:tabs>
            <w:rPr>
              <w:b/>
            </w:rPr>
          </w:pPr>
          <w:r>
            <w:rPr>
              <w:b/>
            </w:rPr>
            <w:fldChar w:fldCharType="begin"/>
          </w:r>
          <w:r>
            <w:rPr>
              <w:b/>
            </w:rPr>
            <w:instrText xml:space="preserve"> HYPERLINK \l _Toc16642 </w:instrText>
          </w:r>
          <w:r>
            <w:rPr>
              <w:b/>
            </w:rPr>
            <w:fldChar w:fldCharType="separate"/>
          </w:r>
          <w:r>
            <w:rPr>
              <w:rFonts w:hint="eastAsia" w:ascii="黑体" w:hAnsi="黑体" w:eastAsia="黑体"/>
              <w:b/>
            </w:rPr>
            <w:t xml:space="preserve">第二部分 </w:t>
          </w:r>
          <w:r>
            <w:rPr>
              <w:rFonts w:hint="eastAsia" w:ascii="黑体" w:hAnsi="黑体" w:eastAsia="黑体"/>
              <w:b/>
              <w:bCs w:val="0"/>
            </w:rPr>
            <w:t>2019年度部门决算情况说明</w:t>
          </w:r>
          <w:r>
            <w:rPr>
              <w:b/>
            </w:rPr>
            <w:tab/>
          </w:r>
          <w:r>
            <w:rPr>
              <w:b/>
            </w:rPr>
            <w:fldChar w:fldCharType="begin"/>
          </w:r>
          <w:r>
            <w:rPr>
              <w:b/>
            </w:rPr>
            <w:instrText xml:space="preserve"> PAGEREF _Toc16642 </w:instrText>
          </w:r>
          <w:r>
            <w:rPr>
              <w:b/>
            </w:rPr>
            <w:fldChar w:fldCharType="separate"/>
          </w:r>
          <w:r>
            <w:rPr>
              <w:b/>
            </w:rPr>
            <w:t>6</w:t>
          </w:r>
          <w:r>
            <w:rPr>
              <w:b/>
            </w:rPr>
            <w:fldChar w:fldCharType="end"/>
          </w:r>
          <w:r>
            <w:rPr>
              <w:b/>
            </w:rPr>
            <w:fldChar w:fldCharType="end"/>
          </w:r>
        </w:p>
        <w:p>
          <w:pPr>
            <w:pStyle w:val="23"/>
            <w:tabs>
              <w:tab w:val="right" w:leader="dot" w:pos="8306"/>
            </w:tabs>
          </w:pPr>
          <w:r>
            <w:fldChar w:fldCharType="begin"/>
          </w:r>
          <w:r>
            <w:instrText xml:space="preserve"> HYPERLINK \l _Toc29991 </w:instrText>
          </w:r>
          <w:r>
            <w:fldChar w:fldCharType="separate"/>
          </w:r>
          <w:r>
            <w:rPr>
              <w:rFonts w:hint="default"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_Toc29991 </w:instrText>
          </w:r>
          <w:r>
            <w:fldChar w:fldCharType="separate"/>
          </w:r>
          <w:r>
            <w:t>6</w:t>
          </w:r>
          <w:r>
            <w:fldChar w:fldCharType="end"/>
          </w:r>
          <w:r>
            <w:fldChar w:fldCharType="end"/>
          </w:r>
        </w:p>
        <w:p>
          <w:pPr>
            <w:pStyle w:val="23"/>
            <w:tabs>
              <w:tab w:val="right" w:leader="dot" w:pos="8306"/>
            </w:tabs>
          </w:pPr>
          <w:r>
            <w:fldChar w:fldCharType="begin"/>
          </w:r>
          <w:r>
            <w:instrText xml:space="preserve"> HYPERLINK \l _Toc21453 </w:instrText>
          </w:r>
          <w:r>
            <w:fldChar w:fldCharType="separate"/>
          </w:r>
          <w:r>
            <w:rPr>
              <w:rFonts w:hint="default"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_Toc21453 </w:instrText>
          </w:r>
          <w:r>
            <w:fldChar w:fldCharType="separate"/>
          </w:r>
          <w:r>
            <w:t>7</w:t>
          </w:r>
          <w:r>
            <w:fldChar w:fldCharType="end"/>
          </w:r>
          <w:r>
            <w:fldChar w:fldCharType="end"/>
          </w:r>
        </w:p>
        <w:p>
          <w:pPr>
            <w:pStyle w:val="23"/>
            <w:tabs>
              <w:tab w:val="right" w:leader="dot" w:pos="8306"/>
            </w:tabs>
          </w:pPr>
          <w:r>
            <w:fldChar w:fldCharType="begin"/>
          </w:r>
          <w:r>
            <w:instrText xml:space="preserve"> HYPERLINK \l _Toc15823 </w:instrText>
          </w:r>
          <w:r>
            <w:fldChar w:fldCharType="separate"/>
          </w:r>
          <w:r>
            <w:rPr>
              <w:rFonts w:hint="default"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_Toc15823 </w:instrText>
          </w:r>
          <w:r>
            <w:fldChar w:fldCharType="separate"/>
          </w:r>
          <w:r>
            <w:t>8</w:t>
          </w:r>
          <w:r>
            <w:fldChar w:fldCharType="end"/>
          </w:r>
          <w:r>
            <w:fldChar w:fldCharType="end"/>
          </w:r>
        </w:p>
        <w:p>
          <w:pPr>
            <w:pStyle w:val="23"/>
            <w:tabs>
              <w:tab w:val="right" w:leader="dot" w:pos="8306"/>
            </w:tabs>
          </w:pPr>
          <w:r>
            <w:fldChar w:fldCharType="begin"/>
          </w:r>
          <w:r>
            <w:instrText xml:space="preserve"> HYPERLINK \l _Toc18524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_Toc18524 </w:instrText>
          </w:r>
          <w:r>
            <w:fldChar w:fldCharType="separate"/>
          </w:r>
          <w:r>
            <w:t>9</w:t>
          </w:r>
          <w:r>
            <w:fldChar w:fldCharType="end"/>
          </w:r>
          <w:r>
            <w:fldChar w:fldCharType="end"/>
          </w:r>
        </w:p>
        <w:p>
          <w:pPr>
            <w:pStyle w:val="23"/>
            <w:tabs>
              <w:tab w:val="right" w:leader="dot" w:pos="8306"/>
            </w:tabs>
          </w:pPr>
          <w:r>
            <w:fldChar w:fldCharType="begin"/>
          </w:r>
          <w:r>
            <w:instrText xml:space="preserve"> HYPERLINK \l _Toc32679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_Toc32679 </w:instrText>
          </w:r>
          <w:r>
            <w:fldChar w:fldCharType="separate"/>
          </w:r>
          <w:r>
            <w:t>10</w:t>
          </w:r>
          <w:r>
            <w:fldChar w:fldCharType="end"/>
          </w:r>
          <w:r>
            <w:fldChar w:fldCharType="end"/>
          </w:r>
        </w:p>
        <w:p>
          <w:pPr>
            <w:pStyle w:val="23"/>
            <w:tabs>
              <w:tab w:val="right" w:leader="dot" w:pos="8306"/>
            </w:tabs>
          </w:pPr>
          <w:r>
            <w:fldChar w:fldCharType="begin"/>
          </w:r>
          <w:r>
            <w:instrText xml:space="preserve"> HYPERLINK \l _Toc734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_Toc734 </w:instrText>
          </w:r>
          <w:r>
            <w:fldChar w:fldCharType="separate"/>
          </w:r>
          <w:r>
            <w:t>13</w:t>
          </w:r>
          <w:r>
            <w:fldChar w:fldCharType="end"/>
          </w:r>
          <w:r>
            <w:fldChar w:fldCharType="end"/>
          </w:r>
        </w:p>
        <w:p>
          <w:pPr>
            <w:pStyle w:val="23"/>
            <w:tabs>
              <w:tab w:val="right" w:leader="dot" w:pos="8306"/>
            </w:tabs>
          </w:pPr>
          <w:r>
            <w:fldChar w:fldCharType="begin"/>
          </w:r>
          <w:r>
            <w:instrText xml:space="preserve"> HYPERLINK \l _Toc13346 </w:instrText>
          </w:r>
          <w:r>
            <w:fldChar w:fldCharType="separate"/>
          </w:r>
          <w:r>
            <w:rPr>
              <w:rFonts w:hint="eastAsia" w:ascii="黑体" w:eastAsia="黑体"/>
              <w:szCs w:val="32"/>
            </w:rPr>
            <w:t>七、</w:t>
          </w:r>
          <w:r>
            <w:rPr>
              <w:rFonts w:hint="eastAsia" w:ascii="黑体" w:hAnsi="黑体" w:eastAsia="黑体"/>
            </w:rPr>
            <w:t>“三公”经费财政拨款支出决算情况说明</w:t>
          </w:r>
          <w:r>
            <w:tab/>
          </w:r>
          <w:r>
            <w:fldChar w:fldCharType="begin"/>
          </w:r>
          <w:r>
            <w:instrText xml:space="preserve"> PAGEREF _Toc13346 </w:instrText>
          </w:r>
          <w:r>
            <w:fldChar w:fldCharType="separate"/>
          </w:r>
          <w:r>
            <w:t>14</w:t>
          </w:r>
          <w:r>
            <w:fldChar w:fldCharType="end"/>
          </w:r>
          <w:r>
            <w:fldChar w:fldCharType="end"/>
          </w:r>
        </w:p>
        <w:p>
          <w:pPr>
            <w:pStyle w:val="23"/>
            <w:tabs>
              <w:tab w:val="right" w:leader="dot" w:pos="8306"/>
            </w:tabs>
          </w:pPr>
          <w:r>
            <w:fldChar w:fldCharType="begin"/>
          </w:r>
          <w:r>
            <w:instrText xml:space="preserve"> HYPERLINK \l _Toc3341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_Toc3341 </w:instrText>
          </w:r>
          <w:r>
            <w:fldChar w:fldCharType="separate"/>
          </w:r>
          <w:r>
            <w:t>14</w:t>
          </w:r>
          <w:r>
            <w:fldChar w:fldCharType="end"/>
          </w:r>
          <w:r>
            <w:fldChar w:fldCharType="end"/>
          </w:r>
        </w:p>
        <w:p>
          <w:pPr>
            <w:pStyle w:val="23"/>
            <w:tabs>
              <w:tab w:val="right" w:leader="dot" w:pos="8306"/>
            </w:tabs>
          </w:pPr>
          <w:r>
            <w:fldChar w:fldCharType="begin"/>
          </w:r>
          <w:r>
            <w:instrText xml:space="preserve"> HYPERLINK \l _Toc9176 </w:instrText>
          </w:r>
          <w:r>
            <w:fldChar w:fldCharType="separate"/>
          </w:r>
          <w:r>
            <w:rPr>
              <w:rFonts w:hint="eastAsia" w:ascii="黑体" w:hAnsi="黑体" w:eastAsia="黑体"/>
            </w:rPr>
            <w:t>九、 国有资本经营预算支出决算情况说明</w:t>
          </w:r>
          <w:r>
            <w:tab/>
          </w:r>
          <w:r>
            <w:fldChar w:fldCharType="begin"/>
          </w:r>
          <w:r>
            <w:instrText xml:space="preserve"> PAGEREF _Toc9176 </w:instrText>
          </w:r>
          <w:r>
            <w:fldChar w:fldCharType="separate"/>
          </w:r>
          <w:r>
            <w:t>15</w:t>
          </w:r>
          <w:r>
            <w:fldChar w:fldCharType="end"/>
          </w:r>
          <w:r>
            <w:fldChar w:fldCharType="end"/>
          </w:r>
        </w:p>
        <w:p>
          <w:pPr>
            <w:pStyle w:val="23"/>
            <w:tabs>
              <w:tab w:val="right" w:leader="dot" w:pos="8306"/>
            </w:tabs>
          </w:pPr>
          <w:r>
            <w:fldChar w:fldCharType="begin"/>
          </w:r>
          <w:r>
            <w:instrText xml:space="preserve"> HYPERLINK \l _Toc960 </w:instrText>
          </w:r>
          <w:r>
            <w:fldChar w:fldCharType="separate"/>
          </w:r>
          <w:r>
            <w:rPr>
              <w:rFonts w:hint="eastAsia" w:ascii="黑体" w:hAnsi="黑体" w:eastAsia="黑体"/>
              <w:szCs w:val="32"/>
            </w:rPr>
            <w:t>十</w:t>
          </w:r>
          <w:r>
            <w:rPr>
              <w:rFonts w:hint="eastAsia" w:ascii="黑体" w:hAnsi="黑体" w:eastAsia="黑体"/>
            </w:rPr>
            <w:t>、其他重要事项的情况说明</w:t>
          </w:r>
          <w:r>
            <w:tab/>
          </w:r>
          <w:r>
            <w:fldChar w:fldCharType="begin"/>
          </w:r>
          <w:r>
            <w:instrText xml:space="preserve"> PAGEREF _Toc960 </w:instrText>
          </w:r>
          <w:r>
            <w:fldChar w:fldCharType="separate"/>
          </w:r>
          <w:r>
            <w:t>15</w:t>
          </w:r>
          <w:r>
            <w:fldChar w:fldCharType="end"/>
          </w:r>
          <w:r>
            <w:fldChar w:fldCharType="end"/>
          </w:r>
        </w:p>
        <w:p>
          <w:pPr>
            <w:pStyle w:val="22"/>
            <w:tabs>
              <w:tab w:val="right" w:leader="dot" w:pos="8306"/>
            </w:tabs>
            <w:rPr>
              <w:b/>
            </w:rPr>
          </w:pPr>
          <w:r>
            <w:rPr>
              <w:b/>
            </w:rPr>
            <w:fldChar w:fldCharType="begin"/>
          </w:r>
          <w:r>
            <w:rPr>
              <w:b/>
            </w:rPr>
            <w:instrText xml:space="preserve"> HYPERLINK \l _Toc7265 </w:instrText>
          </w:r>
          <w:r>
            <w:rPr>
              <w:b/>
            </w:rPr>
            <w:fldChar w:fldCharType="separate"/>
          </w:r>
          <w:r>
            <w:rPr>
              <w:rFonts w:hint="eastAsia" w:ascii="黑体" w:hAnsi="黑体" w:eastAsia="黑体"/>
              <w:b/>
            </w:rPr>
            <w:t xml:space="preserve">第三部分 </w:t>
          </w:r>
          <w:r>
            <w:rPr>
              <w:rFonts w:hint="eastAsia" w:ascii="黑体" w:hAnsi="黑体" w:eastAsia="黑体"/>
              <w:b/>
              <w:szCs w:val="44"/>
            </w:rPr>
            <w:t>名</w:t>
          </w:r>
          <w:r>
            <w:rPr>
              <w:rFonts w:hint="eastAsia" w:ascii="黑体" w:hAnsi="黑体" w:eastAsia="黑体"/>
              <w:b/>
            </w:rPr>
            <w:t>词解释</w:t>
          </w:r>
          <w:r>
            <w:rPr>
              <w:b/>
            </w:rPr>
            <w:tab/>
          </w:r>
          <w:r>
            <w:rPr>
              <w:b/>
            </w:rPr>
            <w:fldChar w:fldCharType="begin"/>
          </w:r>
          <w:r>
            <w:rPr>
              <w:b/>
            </w:rPr>
            <w:instrText xml:space="preserve"> PAGEREF _Toc7265 </w:instrText>
          </w:r>
          <w:r>
            <w:rPr>
              <w:b/>
            </w:rPr>
            <w:fldChar w:fldCharType="separate"/>
          </w:r>
          <w:r>
            <w:rPr>
              <w:b/>
            </w:rPr>
            <w:t>27</w:t>
          </w:r>
          <w:r>
            <w:rPr>
              <w:b/>
            </w:rPr>
            <w:fldChar w:fldCharType="end"/>
          </w:r>
          <w:r>
            <w:rPr>
              <w:b/>
            </w:rPr>
            <w:fldChar w:fldCharType="end"/>
          </w:r>
        </w:p>
        <w:p>
          <w:pPr>
            <w:pStyle w:val="22"/>
            <w:tabs>
              <w:tab w:val="right" w:leader="dot" w:pos="8306"/>
            </w:tabs>
            <w:rPr>
              <w:b/>
            </w:rPr>
          </w:pPr>
          <w:r>
            <w:rPr>
              <w:b/>
            </w:rPr>
            <w:fldChar w:fldCharType="begin"/>
          </w:r>
          <w:r>
            <w:rPr>
              <w:b/>
            </w:rPr>
            <w:instrText xml:space="preserve"> HYPERLINK \l _Toc31202 </w:instrText>
          </w:r>
          <w:r>
            <w:rPr>
              <w:b/>
            </w:rPr>
            <w:fldChar w:fldCharType="separate"/>
          </w:r>
          <w:r>
            <w:rPr>
              <w:rFonts w:hint="eastAsia" w:ascii="黑体" w:hAnsi="黑体" w:eastAsia="黑体"/>
              <w:b/>
              <w:szCs w:val="44"/>
            </w:rPr>
            <w:t>第</w:t>
          </w:r>
          <w:r>
            <w:rPr>
              <w:rFonts w:hint="eastAsia" w:ascii="黑体" w:hAnsi="黑体" w:eastAsia="黑体"/>
              <w:b/>
            </w:rPr>
            <w:t>四部分 附件</w:t>
          </w:r>
          <w:r>
            <w:rPr>
              <w:b/>
            </w:rPr>
            <w:tab/>
          </w:r>
          <w:r>
            <w:rPr>
              <w:b/>
            </w:rPr>
            <w:fldChar w:fldCharType="begin"/>
          </w:r>
          <w:r>
            <w:rPr>
              <w:b/>
            </w:rPr>
            <w:instrText xml:space="preserve"> PAGEREF _Toc31202 </w:instrText>
          </w:r>
          <w:r>
            <w:rPr>
              <w:b/>
            </w:rPr>
            <w:fldChar w:fldCharType="separate"/>
          </w:r>
          <w:r>
            <w:rPr>
              <w:b/>
            </w:rPr>
            <w:t>32</w:t>
          </w:r>
          <w:r>
            <w:rPr>
              <w:b/>
            </w:rPr>
            <w:fldChar w:fldCharType="end"/>
          </w:r>
          <w:r>
            <w:rPr>
              <w:b/>
            </w:rPr>
            <w:fldChar w:fldCharType="end"/>
          </w:r>
        </w:p>
        <w:p>
          <w:pPr>
            <w:pStyle w:val="22"/>
            <w:tabs>
              <w:tab w:val="right" w:leader="dot" w:pos="8306"/>
            </w:tabs>
            <w:rPr>
              <w:b/>
            </w:rPr>
          </w:pPr>
          <w:r>
            <w:rPr>
              <w:b/>
            </w:rPr>
            <w:fldChar w:fldCharType="begin"/>
          </w:r>
          <w:r>
            <w:rPr>
              <w:b/>
            </w:rPr>
            <w:instrText xml:space="preserve"> HYPERLINK \l _Toc14818 </w:instrText>
          </w:r>
          <w:r>
            <w:rPr>
              <w:b/>
            </w:rPr>
            <w:fldChar w:fldCharType="separate"/>
          </w:r>
          <w:r>
            <w:rPr>
              <w:rFonts w:hint="eastAsia" w:ascii="黑体" w:hAnsi="黑体" w:eastAsia="黑体" w:cs="黑体"/>
              <w:b/>
              <w:szCs w:val="32"/>
            </w:rPr>
            <w:t>附件1</w:t>
          </w:r>
          <w:r>
            <w:rPr>
              <w:b/>
            </w:rPr>
            <w:tab/>
          </w:r>
          <w:r>
            <w:rPr>
              <w:b/>
            </w:rPr>
            <w:fldChar w:fldCharType="begin"/>
          </w:r>
          <w:r>
            <w:rPr>
              <w:b/>
            </w:rPr>
            <w:instrText xml:space="preserve"> PAGEREF _Toc14818 </w:instrText>
          </w:r>
          <w:r>
            <w:rPr>
              <w:b/>
            </w:rPr>
            <w:fldChar w:fldCharType="separate"/>
          </w:r>
          <w:r>
            <w:rPr>
              <w:b/>
            </w:rPr>
            <w:t>32</w:t>
          </w:r>
          <w:r>
            <w:rPr>
              <w:b/>
            </w:rPr>
            <w:fldChar w:fldCharType="end"/>
          </w:r>
          <w:r>
            <w:rPr>
              <w:b/>
            </w:rPr>
            <w:fldChar w:fldCharType="end"/>
          </w:r>
        </w:p>
        <w:p>
          <w:pPr>
            <w:pStyle w:val="22"/>
            <w:tabs>
              <w:tab w:val="right" w:leader="dot" w:pos="8306"/>
            </w:tabs>
            <w:rPr>
              <w:b/>
            </w:rPr>
          </w:pPr>
          <w:r>
            <w:rPr>
              <w:b/>
            </w:rPr>
            <w:fldChar w:fldCharType="begin"/>
          </w:r>
          <w:r>
            <w:rPr>
              <w:b/>
            </w:rPr>
            <w:instrText xml:space="preserve"> HYPERLINK \l _Toc17478 </w:instrText>
          </w:r>
          <w:r>
            <w:rPr>
              <w:b/>
            </w:rPr>
            <w:fldChar w:fldCharType="separate"/>
          </w:r>
          <w:r>
            <w:rPr>
              <w:rFonts w:hint="eastAsia" w:ascii="黑体" w:hAnsi="黑体" w:eastAsia="黑体" w:cs="黑体"/>
              <w:b/>
              <w:szCs w:val="32"/>
            </w:rPr>
            <w:t>附件2</w:t>
          </w:r>
          <w:r>
            <w:rPr>
              <w:b/>
            </w:rPr>
            <w:tab/>
          </w:r>
          <w:r>
            <w:rPr>
              <w:b/>
            </w:rPr>
            <w:fldChar w:fldCharType="begin"/>
          </w:r>
          <w:r>
            <w:rPr>
              <w:b/>
            </w:rPr>
            <w:instrText xml:space="preserve"> PAGEREF _Toc17478 </w:instrText>
          </w:r>
          <w:r>
            <w:rPr>
              <w:b/>
            </w:rPr>
            <w:fldChar w:fldCharType="separate"/>
          </w:r>
          <w:r>
            <w:rPr>
              <w:b/>
            </w:rPr>
            <w:t>35</w:t>
          </w:r>
          <w:r>
            <w:rPr>
              <w:b/>
            </w:rPr>
            <w:fldChar w:fldCharType="end"/>
          </w:r>
          <w:r>
            <w:rPr>
              <w:b/>
            </w:rPr>
            <w:fldChar w:fldCharType="end"/>
          </w:r>
        </w:p>
        <w:p>
          <w:pPr>
            <w:pStyle w:val="22"/>
            <w:tabs>
              <w:tab w:val="right" w:leader="dot" w:pos="8306"/>
            </w:tabs>
            <w:rPr>
              <w:b/>
            </w:rPr>
          </w:pPr>
          <w:r>
            <w:rPr>
              <w:b/>
            </w:rPr>
            <w:fldChar w:fldCharType="begin"/>
          </w:r>
          <w:r>
            <w:rPr>
              <w:b/>
            </w:rPr>
            <w:instrText xml:space="preserve"> HYPERLINK \l _Toc2592 </w:instrText>
          </w:r>
          <w:r>
            <w:rPr>
              <w:b/>
            </w:rPr>
            <w:fldChar w:fldCharType="separate"/>
          </w:r>
          <w:r>
            <w:rPr>
              <w:rFonts w:hint="eastAsia" w:ascii="黑体" w:hAnsi="黑体" w:eastAsia="黑体" w:cs="黑体"/>
              <w:b/>
              <w:szCs w:val="32"/>
            </w:rPr>
            <w:t>附件3</w:t>
          </w:r>
          <w:r>
            <w:rPr>
              <w:b/>
            </w:rPr>
            <w:tab/>
          </w:r>
          <w:r>
            <w:rPr>
              <w:b/>
            </w:rPr>
            <w:fldChar w:fldCharType="begin"/>
          </w:r>
          <w:r>
            <w:rPr>
              <w:b/>
            </w:rPr>
            <w:instrText xml:space="preserve"> PAGEREF _Toc2592 </w:instrText>
          </w:r>
          <w:r>
            <w:rPr>
              <w:b/>
            </w:rPr>
            <w:fldChar w:fldCharType="separate"/>
          </w:r>
          <w:r>
            <w:rPr>
              <w:b/>
            </w:rPr>
            <w:t>39</w:t>
          </w:r>
          <w:r>
            <w:rPr>
              <w:b/>
            </w:rPr>
            <w:fldChar w:fldCharType="end"/>
          </w:r>
          <w:r>
            <w:rPr>
              <w:b/>
            </w:rPr>
            <w:fldChar w:fldCharType="end"/>
          </w:r>
        </w:p>
        <w:p>
          <w:pPr>
            <w:pStyle w:val="22"/>
            <w:tabs>
              <w:tab w:val="right" w:leader="dot" w:pos="8306"/>
            </w:tabs>
            <w:rPr>
              <w:b/>
            </w:rPr>
          </w:pPr>
          <w:r>
            <w:rPr>
              <w:b/>
            </w:rPr>
            <w:fldChar w:fldCharType="begin"/>
          </w:r>
          <w:r>
            <w:rPr>
              <w:b/>
            </w:rPr>
            <w:instrText xml:space="preserve"> HYPERLINK \l _Toc31983 </w:instrText>
          </w:r>
          <w:r>
            <w:rPr>
              <w:b/>
            </w:rPr>
            <w:fldChar w:fldCharType="separate"/>
          </w:r>
          <w:r>
            <w:rPr>
              <w:rFonts w:hint="eastAsia" w:ascii="黑体" w:hAnsi="黑体" w:eastAsia="黑体" w:cs="黑体"/>
              <w:b/>
              <w:szCs w:val="32"/>
            </w:rPr>
            <w:t>附件4</w:t>
          </w:r>
          <w:r>
            <w:rPr>
              <w:b/>
            </w:rPr>
            <w:tab/>
          </w:r>
          <w:r>
            <w:rPr>
              <w:b/>
            </w:rPr>
            <w:fldChar w:fldCharType="begin"/>
          </w:r>
          <w:r>
            <w:rPr>
              <w:b/>
            </w:rPr>
            <w:instrText xml:space="preserve"> PAGEREF _Toc31983 </w:instrText>
          </w:r>
          <w:r>
            <w:rPr>
              <w:b/>
            </w:rPr>
            <w:fldChar w:fldCharType="separate"/>
          </w:r>
          <w:r>
            <w:rPr>
              <w:b/>
            </w:rPr>
            <w:t>43</w:t>
          </w:r>
          <w:r>
            <w:rPr>
              <w:b/>
            </w:rPr>
            <w:fldChar w:fldCharType="end"/>
          </w:r>
          <w:r>
            <w:rPr>
              <w:b/>
            </w:rPr>
            <w:fldChar w:fldCharType="end"/>
          </w:r>
        </w:p>
        <w:p>
          <w:pPr>
            <w:pStyle w:val="22"/>
            <w:tabs>
              <w:tab w:val="right" w:leader="dot" w:pos="8306"/>
            </w:tabs>
            <w:rPr>
              <w:b/>
            </w:rPr>
          </w:pPr>
          <w:r>
            <w:rPr>
              <w:b/>
            </w:rPr>
            <w:fldChar w:fldCharType="begin"/>
          </w:r>
          <w:r>
            <w:rPr>
              <w:b/>
            </w:rPr>
            <w:instrText xml:space="preserve"> HYPERLINK \l _Toc15642 </w:instrText>
          </w:r>
          <w:r>
            <w:rPr>
              <w:b/>
            </w:rPr>
            <w:fldChar w:fldCharType="separate"/>
          </w:r>
          <w:r>
            <w:rPr>
              <w:rFonts w:hint="eastAsia" w:ascii="黑体" w:hAnsi="黑体" w:eastAsia="黑体" w:cs="黑体"/>
              <w:b/>
              <w:szCs w:val="32"/>
            </w:rPr>
            <w:t>附件5</w:t>
          </w:r>
          <w:r>
            <w:rPr>
              <w:b/>
            </w:rPr>
            <w:tab/>
          </w:r>
          <w:r>
            <w:rPr>
              <w:b/>
            </w:rPr>
            <w:fldChar w:fldCharType="begin"/>
          </w:r>
          <w:r>
            <w:rPr>
              <w:b/>
            </w:rPr>
            <w:instrText xml:space="preserve"> PAGEREF _Toc15642 </w:instrText>
          </w:r>
          <w:r>
            <w:rPr>
              <w:b/>
            </w:rPr>
            <w:fldChar w:fldCharType="separate"/>
          </w:r>
          <w:r>
            <w:rPr>
              <w:b/>
            </w:rPr>
            <w:t>47</w:t>
          </w:r>
          <w:r>
            <w:rPr>
              <w:b/>
            </w:rPr>
            <w:fldChar w:fldCharType="end"/>
          </w:r>
          <w:r>
            <w:rPr>
              <w:b/>
            </w:rPr>
            <w:fldChar w:fldCharType="end"/>
          </w:r>
        </w:p>
        <w:p>
          <w:pPr>
            <w:pStyle w:val="22"/>
            <w:tabs>
              <w:tab w:val="right" w:leader="dot" w:pos="8306"/>
            </w:tabs>
            <w:rPr>
              <w:b/>
            </w:rPr>
          </w:pPr>
          <w:r>
            <w:rPr>
              <w:b/>
            </w:rPr>
            <w:fldChar w:fldCharType="begin"/>
          </w:r>
          <w:r>
            <w:rPr>
              <w:b/>
            </w:rPr>
            <w:instrText xml:space="preserve"> HYPERLINK \l _Toc16838 </w:instrText>
          </w:r>
          <w:r>
            <w:rPr>
              <w:b/>
            </w:rPr>
            <w:fldChar w:fldCharType="separate"/>
          </w:r>
          <w:r>
            <w:rPr>
              <w:rFonts w:hint="eastAsia" w:ascii="黑体" w:hAnsi="黑体" w:eastAsia="黑体" w:cs="黑体"/>
              <w:b/>
              <w:szCs w:val="32"/>
            </w:rPr>
            <w:t>附件6</w:t>
          </w:r>
          <w:r>
            <w:rPr>
              <w:b/>
            </w:rPr>
            <w:tab/>
          </w:r>
          <w:r>
            <w:rPr>
              <w:b/>
            </w:rPr>
            <w:fldChar w:fldCharType="begin"/>
          </w:r>
          <w:r>
            <w:rPr>
              <w:b/>
            </w:rPr>
            <w:instrText xml:space="preserve"> PAGEREF _Toc16838 </w:instrText>
          </w:r>
          <w:r>
            <w:rPr>
              <w:b/>
            </w:rPr>
            <w:fldChar w:fldCharType="separate"/>
          </w:r>
          <w:r>
            <w:rPr>
              <w:b/>
            </w:rPr>
            <w:t>50</w:t>
          </w:r>
          <w:r>
            <w:rPr>
              <w:b/>
            </w:rPr>
            <w:fldChar w:fldCharType="end"/>
          </w:r>
          <w:r>
            <w:rPr>
              <w:b/>
            </w:rPr>
            <w:fldChar w:fldCharType="end"/>
          </w:r>
        </w:p>
        <w:p>
          <w:pPr>
            <w:pStyle w:val="22"/>
            <w:tabs>
              <w:tab w:val="right" w:leader="dot" w:pos="8306"/>
            </w:tabs>
            <w:rPr>
              <w:b/>
            </w:rPr>
          </w:pPr>
          <w:r>
            <w:rPr>
              <w:b/>
            </w:rPr>
            <w:fldChar w:fldCharType="begin"/>
          </w:r>
          <w:r>
            <w:rPr>
              <w:b/>
            </w:rPr>
            <w:instrText xml:space="preserve"> HYPERLINK \l _Toc30576 </w:instrText>
          </w:r>
          <w:r>
            <w:rPr>
              <w:b/>
            </w:rPr>
            <w:fldChar w:fldCharType="separate"/>
          </w:r>
          <w:r>
            <w:rPr>
              <w:rFonts w:hint="eastAsia" w:ascii="黑体" w:hAnsi="黑体" w:eastAsia="黑体"/>
              <w:b/>
              <w:szCs w:val="44"/>
            </w:rPr>
            <w:t>第</w:t>
          </w:r>
          <w:r>
            <w:rPr>
              <w:rFonts w:hint="eastAsia" w:ascii="黑体" w:hAnsi="黑体" w:eastAsia="黑体"/>
              <w:b/>
            </w:rPr>
            <w:t>五部分 附表</w:t>
          </w:r>
          <w:r>
            <w:rPr>
              <w:b/>
            </w:rPr>
            <w:tab/>
          </w:r>
          <w:r>
            <w:rPr>
              <w:b/>
            </w:rPr>
            <w:fldChar w:fldCharType="begin"/>
          </w:r>
          <w:r>
            <w:rPr>
              <w:b/>
            </w:rPr>
            <w:instrText xml:space="preserve"> PAGEREF _Toc30576 </w:instrText>
          </w:r>
          <w:r>
            <w:rPr>
              <w:b/>
            </w:rPr>
            <w:fldChar w:fldCharType="separate"/>
          </w:r>
          <w:r>
            <w:rPr>
              <w:b/>
            </w:rPr>
            <w:t>53</w:t>
          </w:r>
          <w:r>
            <w:rPr>
              <w:b/>
            </w:rPr>
            <w:fldChar w:fldCharType="end"/>
          </w:r>
          <w:r>
            <w:rPr>
              <w:b/>
            </w:rPr>
            <w:fldChar w:fldCharType="end"/>
          </w:r>
        </w:p>
        <w:p>
          <w:pPr>
            <w:pStyle w:val="23"/>
            <w:tabs>
              <w:tab w:val="right" w:leader="dot" w:pos="8306"/>
            </w:tabs>
          </w:pPr>
          <w:r>
            <w:fldChar w:fldCharType="begin"/>
          </w:r>
          <w:r>
            <w:instrText xml:space="preserve"> HYPERLINK \l _Toc4563 </w:instrText>
          </w:r>
          <w:r>
            <w:fldChar w:fldCharType="separate"/>
          </w:r>
          <w:r>
            <w:rPr>
              <w:rFonts w:hint="eastAsia" w:ascii="仿宋" w:hAnsi="仿宋" w:eastAsia="仿宋"/>
            </w:rPr>
            <w:t>一、收</w:t>
          </w:r>
          <w:r>
            <w:rPr>
              <w:rFonts w:hint="eastAsia" w:ascii="仿宋" w:hAnsi="仿宋" w:eastAsia="仿宋"/>
              <w:bCs w:val="0"/>
            </w:rPr>
            <w:t>入支出决算总表</w:t>
          </w:r>
          <w:r>
            <w:tab/>
          </w:r>
          <w:r>
            <w:fldChar w:fldCharType="begin"/>
          </w:r>
          <w:r>
            <w:instrText xml:space="preserve"> PAGEREF _Toc4563 </w:instrText>
          </w:r>
          <w:r>
            <w:fldChar w:fldCharType="separate"/>
          </w:r>
          <w:r>
            <w:t>53</w:t>
          </w:r>
          <w:r>
            <w:fldChar w:fldCharType="end"/>
          </w:r>
          <w:r>
            <w:fldChar w:fldCharType="end"/>
          </w:r>
        </w:p>
        <w:p>
          <w:pPr>
            <w:pStyle w:val="23"/>
            <w:tabs>
              <w:tab w:val="right" w:leader="dot" w:pos="8306"/>
            </w:tabs>
          </w:pPr>
          <w:r>
            <w:fldChar w:fldCharType="begin"/>
          </w:r>
          <w:r>
            <w:instrText xml:space="preserve"> HYPERLINK \l _Toc15664 </w:instrText>
          </w:r>
          <w:r>
            <w:fldChar w:fldCharType="separate"/>
          </w:r>
          <w:r>
            <w:rPr>
              <w:rFonts w:hint="eastAsia" w:ascii="仿宋" w:hAnsi="仿宋" w:eastAsia="仿宋"/>
            </w:rPr>
            <w:t>二、收</w:t>
          </w:r>
          <w:r>
            <w:rPr>
              <w:rFonts w:hint="eastAsia" w:ascii="仿宋" w:hAnsi="仿宋" w:eastAsia="仿宋"/>
              <w:bCs w:val="0"/>
            </w:rPr>
            <w:t>入决算表</w:t>
          </w:r>
          <w:r>
            <w:tab/>
          </w:r>
          <w:r>
            <w:fldChar w:fldCharType="begin"/>
          </w:r>
          <w:r>
            <w:instrText xml:space="preserve"> PAGEREF _Toc15664 </w:instrText>
          </w:r>
          <w:r>
            <w:fldChar w:fldCharType="separate"/>
          </w:r>
          <w:r>
            <w:t>53</w:t>
          </w:r>
          <w:r>
            <w:fldChar w:fldCharType="end"/>
          </w:r>
          <w:r>
            <w:fldChar w:fldCharType="end"/>
          </w:r>
        </w:p>
        <w:p>
          <w:pPr>
            <w:pStyle w:val="23"/>
            <w:tabs>
              <w:tab w:val="right" w:leader="dot" w:pos="8306"/>
            </w:tabs>
          </w:pPr>
          <w:r>
            <w:fldChar w:fldCharType="begin"/>
          </w:r>
          <w:r>
            <w:instrText xml:space="preserve"> HYPERLINK \l _Toc1401 </w:instrText>
          </w:r>
          <w:r>
            <w:fldChar w:fldCharType="separate"/>
          </w:r>
          <w:r>
            <w:rPr>
              <w:rFonts w:hint="eastAsia" w:ascii="仿宋" w:hAnsi="仿宋" w:eastAsia="仿宋"/>
              <w:bCs w:val="0"/>
            </w:rPr>
            <w:t>三、</w:t>
          </w:r>
          <w:r>
            <w:rPr>
              <w:rFonts w:hint="eastAsia" w:ascii="仿宋" w:hAnsi="仿宋" w:eastAsia="仿宋"/>
            </w:rPr>
            <w:t>支</w:t>
          </w:r>
          <w:r>
            <w:rPr>
              <w:rFonts w:hint="eastAsia" w:ascii="仿宋" w:hAnsi="仿宋" w:eastAsia="仿宋"/>
              <w:bCs w:val="0"/>
            </w:rPr>
            <w:t>出决算表</w:t>
          </w:r>
          <w:r>
            <w:tab/>
          </w:r>
          <w:r>
            <w:fldChar w:fldCharType="begin"/>
          </w:r>
          <w:r>
            <w:instrText xml:space="preserve"> PAGEREF _Toc1401 </w:instrText>
          </w:r>
          <w:r>
            <w:fldChar w:fldCharType="separate"/>
          </w:r>
          <w:r>
            <w:t>53</w:t>
          </w:r>
          <w:r>
            <w:fldChar w:fldCharType="end"/>
          </w:r>
          <w:r>
            <w:fldChar w:fldCharType="end"/>
          </w:r>
        </w:p>
        <w:p>
          <w:pPr>
            <w:pStyle w:val="23"/>
            <w:tabs>
              <w:tab w:val="right" w:leader="dot" w:pos="8306"/>
            </w:tabs>
          </w:pPr>
          <w:r>
            <w:fldChar w:fldCharType="begin"/>
          </w:r>
          <w:r>
            <w:instrText xml:space="preserve"> HYPERLINK \l _Toc24497 </w:instrText>
          </w:r>
          <w:r>
            <w:fldChar w:fldCharType="separate"/>
          </w:r>
          <w:r>
            <w:rPr>
              <w:rFonts w:hint="eastAsia" w:ascii="仿宋" w:hAnsi="仿宋" w:eastAsia="仿宋"/>
              <w:bCs w:val="0"/>
            </w:rPr>
            <w:t>四、</w:t>
          </w:r>
          <w:r>
            <w:rPr>
              <w:rFonts w:hint="eastAsia" w:ascii="仿宋" w:hAnsi="仿宋" w:eastAsia="仿宋"/>
            </w:rPr>
            <w:t>财</w:t>
          </w:r>
          <w:r>
            <w:rPr>
              <w:rFonts w:hint="eastAsia" w:ascii="仿宋" w:hAnsi="仿宋" w:eastAsia="仿宋"/>
              <w:bCs w:val="0"/>
            </w:rPr>
            <w:t>政拨款收入支出决算总表</w:t>
          </w:r>
          <w:r>
            <w:tab/>
          </w:r>
          <w:r>
            <w:fldChar w:fldCharType="begin"/>
          </w:r>
          <w:r>
            <w:instrText xml:space="preserve"> PAGEREF _Toc24497 </w:instrText>
          </w:r>
          <w:r>
            <w:fldChar w:fldCharType="separate"/>
          </w:r>
          <w:r>
            <w:t>53</w:t>
          </w:r>
          <w:r>
            <w:fldChar w:fldCharType="end"/>
          </w:r>
          <w:r>
            <w:fldChar w:fldCharType="end"/>
          </w:r>
        </w:p>
        <w:p>
          <w:pPr>
            <w:pStyle w:val="23"/>
            <w:tabs>
              <w:tab w:val="right" w:leader="dot" w:pos="8306"/>
            </w:tabs>
          </w:pPr>
          <w:r>
            <w:fldChar w:fldCharType="begin"/>
          </w:r>
          <w:r>
            <w:instrText xml:space="preserve"> HYPERLINK \l _Toc16702 </w:instrText>
          </w:r>
          <w:r>
            <w:fldChar w:fldCharType="separate"/>
          </w:r>
          <w:r>
            <w:rPr>
              <w:rFonts w:hint="eastAsia" w:ascii="仿宋" w:hAnsi="仿宋" w:eastAsia="仿宋"/>
              <w:bCs w:val="0"/>
            </w:rPr>
            <w:t>五、</w:t>
          </w:r>
          <w:r>
            <w:rPr>
              <w:rFonts w:hint="eastAsia" w:ascii="仿宋" w:hAnsi="仿宋" w:eastAsia="仿宋"/>
            </w:rPr>
            <w:t>财</w:t>
          </w:r>
          <w:r>
            <w:rPr>
              <w:rFonts w:hint="eastAsia" w:ascii="仿宋" w:hAnsi="仿宋" w:eastAsia="仿宋"/>
              <w:bCs w:val="0"/>
            </w:rPr>
            <w:t>政拨款支出决算明细表</w:t>
          </w:r>
          <w:r>
            <w:tab/>
          </w:r>
          <w:r>
            <w:fldChar w:fldCharType="begin"/>
          </w:r>
          <w:r>
            <w:instrText xml:space="preserve"> PAGEREF _Toc16702 </w:instrText>
          </w:r>
          <w:r>
            <w:fldChar w:fldCharType="separate"/>
          </w:r>
          <w:r>
            <w:t>53</w:t>
          </w:r>
          <w:r>
            <w:fldChar w:fldCharType="end"/>
          </w:r>
          <w:r>
            <w:fldChar w:fldCharType="end"/>
          </w:r>
        </w:p>
        <w:p>
          <w:pPr>
            <w:pStyle w:val="23"/>
            <w:tabs>
              <w:tab w:val="right" w:leader="dot" w:pos="8306"/>
            </w:tabs>
          </w:pPr>
          <w:r>
            <w:fldChar w:fldCharType="begin"/>
          </w:r>
          <w:r>
            <w:instrText xml:space="preserve"> HYPERLINK \l _Toc28585 </w:instrText>
          </w:r>
          <w:r>
            <w:fldChar w:fldCharType="separate"/>
          </w:r>
          <w:r>
            <w:rPr>
              <w:rFonts w:hint="eastAsia" w:ascii="仿宋" w:hAnsi="仿宋" w:eastAsia="仿宋"/>
              <w:bCs w:val="0"/>
            </w:rPr>
            <w:t>六、</w:t>
          </w:r>
          <w:r>
            <w:rPr>
              <w:rFonts w:hint="eastAsia" w:ascii="仿宋" w:hAnsi="仿宋" w:eastAsia="仿宋"/>
            </w:rPr>
            <w:t>一</w:t>
          </w:r>
          <w:r>
            <w:rPr>
              <w:rFonts w:hint="eastAsia" w:ascii="仿宋" w:hAnsi="仿宋" w:eastAsia="仿宋"/>
              <w:bCs w:val="0"/>
            </w:rPr>
            <w:t>般公共预算财政拨款支出决算表</w:t>
          </w:r>
          <w:r>
            <w:tab/>
          </w:r>
          <w:r>
            <w:fldChar w:fldCharType="begin"/>
          </w:r>
          <w:r>
            <w:instrText xml:space="preserve"> PAGEREF _Toc28585 </w:instrText>
          </w:r>
          <w:r>
            <w:fldChar w:fldCharType="separate"/>
          </w:r>
          <w:r>
            <w:t>53</w:t>
          </w:r>
          <w:r>
            <w:fldChar w:fldCharType="end"/>
          </w:r>
          <w:r>
            <w:fldChar w:fldCharType="end"/>
          </w:r>
        </w:p>
        <w:p>
          <w:pPr>
            <w:pStyle w:val="23"/>
            <w:tabs>
              <w:tab w:val="right" w:leader="dot" w:pos="8306"/>
            </w:tabs>
          </w:pPr>
          <w:r>
            <w:fldChar w:fldCharType="begin"/>
          </w:r>
          <w:r>
            <w:instrText xml:space="preserve"> HYPERLINK \l _Toc16420 </w:instrText>
          </w:r>
          <w:r>
            <w:fldChar w:fldCharType="separate"/>
          </w:r>
          <w:r>
            <w:rPr>
              <w:rFonts w:hint="eastAsia" w:ascii="仿宋" w:hAnsi="仿宋" w:eastAsia="仿宋"/>
              <w:bCs w:val="0"/>
            </w:rPr>
            <w:t>七、</w:t>
          </w:r>
          <w:r>
            <w:rPr>
              <w:rFonts w:hint="eastAsia" w:ascii="仿宋" w:hAnsi="仿宋" w:eastAsia="仿宋"/>
            </w:rPr>
            <w:t>一</w:t>
          </w:r>
          <w:r>
            <w:rPr>
              <w:rFonts w:hint="eastAsia" w:ascii="仿宋" w:hAnsi="仿宋" w:eastAsia="仿宋"/>
              <w:bCs w:val="0"/>
            </w:rPr>
            <w:t>般公共预算财政拨款支出决算明细表</w:t>
          </w:r>
          <w:r>
            <w:tab/>
          </w:r>
          <w:r>
            <w:fldChar w:fldCharType="begin"/>
          </w:r>
          <w:r>
            <w:instrText xml:space="preserve"> PAGEREF _Toc16420 </w:instrText>
          </w:r>
          <w:r>
            <w:fldChar w:fldCharType="separate"/>
          </w:r>
          <w:r>
            <w:t>53</w:t>
          </w:r>
          <w:r>
            <w:fldChar w:fldCharType="end"/>
          </w:r>
          <w:r>
            <w:fldChar w:fldCharType="end"/>
          </w:r>
        </w:p>
        <w:p>
          <w:pPr>
            <w:pStyle w:val="23"/>
            <w:tabs>
              <w:tab w:val="right" w:leader="dot" w:pos="8306"/>
            </w:tabs>
          </w:pPr>
          <w:r>
            <w:fldChar w:fldCharType="begin"/>
          </w:r>
          <w:r>
            <w:instrText xml:space="preserve"> HYPERLINK \l _Toc31912 </w:instrText>
          </w:r>
          <w:r>
            <w:fldChar w:fldCharType="separate"/>
          </w:r>
          <w:r>
            <w:rPr>
              <w:rFonts w:hint="eastAsia" w:ascii="仿宋" w:hAnsi="仿宋" w:eastAsia="仿宋"/>
              <w:bCs w:val="0"/>
            </w:rPr>
            <w:t>八、</w:t>
          </w:r>
          <w:r>
            <w:rPr>
              <w:rFonts w:hint="eastAsia" w:ascii="仿宋" w:hAnsi="仿宋" w:eastAsia="仿宋"/>
            </w:rPr>
            <w:t>一</w:t>
          </w:r>
          <w:r>
            <w:rPr>
              <w:rFonts w:hint="eastAsia" w:ascii="仿宋" w:hAnsi="仿宋" w:eastAsia="仿宋"/>
              <w:bCs w:val="0"/>
            </w:rPr>
            <w:t>般公共预算财政拨款基本支出决算表</w:t>
          </w:r>
          <w:r>
            <w:tab/>
          </w:r>
          <w:r>
            <w:fldChar w:fldCharType="begin"/>
          </w:r>
          <w:r>
            <w:instrText xml:space="preserve"> PAGEREF _Toc31912 </w:instrText>
          </w:r>
          <w:r>
            <w:fldChar w:fldCharType="separate"/>
          </w:r>
          <w:r>
            <w:t>53</w:t>
          </w:r>
          <w:r>
            <w:fldChar w:fldCharType="end"/>
          </w:r>
          <w:r>
            <w:fldChar w:fldCharType="end"/>
          </w:r>
        </w:p>
        <w:p>
          <w:pPr>
            <w:pStyle w:val="23"/>
            <w:tabs>
              <w:tab w:val="right" w:leader="dot" w:pos="8306"/>
            </w:tabs>
          </w:pPr>
          <w:r>
            <w:fldChar w:fldCharType="begin"/>
          </w:r>
          <w:r>
            <w:instrText xml:space="preserve"> HYPERLINK \l _Toc14768 </w:instrText>
          </w:r>
          <w:r>
            <w:fldChar w:fldCharType="separate"/>
          </w:r>
          <w:r>
            <w:rPr>
              <w:rFonts w:hint="eastAsia" w:ascii="仿宋" w:hAnsi="仿宋" w:eastAsia="仿宋"/>
              <w:bCs w:val="0"/>
            </w:rPr>
            <w:t>九、</w:t>
          </w:r>
          <w:r>
            <w:rPr>
              <w:rFonts w:hint="eastAsia" w:ascii="仿宋" w:hAnsi="仿宋" w:eastAsia="仿宋"/>
            </w:rPr>
            <w:t>一</w:t>
          </w:r>
          <w:r>
            <w:rPr>
              <w:rFonts w:hint="eastAsia" w:ascii="仿宋" w:hAnsi="仿宋" w:eastAsia="仿宋"/>
              <w:bCs w:val="0"/>
            </w:rPr>
            <w:t>般公共预算财政拨款项目支出决算表</w:t>
          </w:r>
          <w:r>
            <w:tab/>
          </w:r>
          <w:r>
            <w:fldChar w:fldCharType="begin"/>
          </w:r>
          <w:r>
            <w:instrText xml:space="preserve"> PAGEREF _Toc14768 </w:instrText>
          </w:r>
          <w:r>
            <w:fldChar w:fldCharType="separate"/>
          </w:r>
          <w:r>
            <w:t>53</w:t>
          </w:r>
          <w:r>
            <w:fldChar w:fldCharType="end"/>
          </w:r>
          <w:r>
            <w:fldChar w:fldCharType="end"/>
          </w:r>
        </w:p>
        <w:p>
          <w:pPr>
            <w:pStyle w:val="23"/>
            <w:tabs>
              <w:tab w:val="right" w:leader="dot" w:pos="8306"/>
            </w:tabs>
          </w:pPr>
          <w:r>
            <w:fldChar w:fldCharType="begin"/>
          </w:r>
          <w:r>
            <w:instrText xml:space="preserve"> HYPERLINK \l _Toc30096 </w:instrText>
          </w:r>
          <w:r>
            <w:fldChar w:fldCharType="separate"/>
          </w:r>
          <w:r>
            <w:rPr>
              <w:rFonts w:hint="eastAsia" w:ascii="仿宋" w:hAnsi="仿宋" w:eastAsia="仿宋"/>
              <w:bCs w:val="0"/>
            </w:rPr>
            <w:t>十、</w:t>
          </w:r>
          <w:r>
            <w:rPr>
              <w:rFonts w:hint="eastAsia" w:ascii="仿宋" w:hAnsi="仿宋" w:eastAsia="仿宋"/>
            </w:rPr>
            <w:t>一</w:t>
          </w:r>
          <w:r>
            <w:rPr>
              <w:rFonts w:hint="eastAsia" w:ascii="仿宋" w:hAnsi="仿宋" w:eastAsia="仿宋"/>
              <w:bCs w:val="0"/>
            </w:rPr>
            <w:t>般公共预算财政拨款“三公”经费支出决算表</w:t>
          </w:r>
          <w:r>
            <w:tab/>
          </w:r>
          <w:r>
            <w:fldChar w:fldCharType="begin"/>
          </w:r>
          <w:r>
            <w:instrText xml:space="preserve"> PAGEREF _Toc30096 </w:instrText>
          </w:r>
          <w:r>
            <w:fldChar w:fldCharType="separate"/>
          </w:r>
          <w:r>
            <w:t>53</w:t>
          </w:r>
          <w:r>
            <w:fldChar w:fldCharType="end"/>
          </w:r>
          <w:r>
            <w:fldChar w:fldCharType="end"/>
          </w:r>
        </w:p>
        <w:p>
          <w:pPr>
            <w:pStyle w:val="23"/>
            <w:tabs>
              <w:tab w:val="right" w:leader="dot" w:pos="8306"/>
            </w:tabs>
          </w:pPr>
          <w:r>
            <w:fldChar w:fldCharType="begin"/>
          </w:r>
          <w:r>
            <w:instrText xml:space="preserve"> HYPERLINK \l _Toc18680 </w:instrText>
          </w:r>
          <w:r>
            <w:fldChar w:fldCharType="separate"/>
          </w:r>
          <w:r>
            <w:rPr>
              <w:rFonts w:hint="eastAsia" w:ascii="仿宋" w:hAnsi="仿宋" w:eastAsia="仿宋"/>
              <w:bCs w:val="0"/>
            </w:rPr>
            <w:t>十一、</w:t>
          </w:r>
          <w:r>
            <w:rPr>
              <w:rFonts w:hint="eastAsia" w:ascii="仿宋" w:hAnsi="仿宋" w:eastAsia="仿宋"/>
            </w:rPr>
            <w:t>政</w:t>
          </w:r>
          <w:r>
            <w:rPr>
              <w:rFonts w:hint="eastAsia" w:ascii="仿宋" w:hAnsi="仿宋" w:eastAsia="仿宋"/>
              <w:bCs w:val="0"/>
            </w:rPr>
            <w:t>府性基金预算财政拨款收入支出决算表</w:t>
          </w:r>
          <w:r>
            <w:tab/>
          </w:r>
          <w:r>
            <w:fldChar w:fldCharType="begin"/>
          </w:r>
          <w:r>
            <w:instrText xml:space="preserve"> PAGEREF _Toc18680 </w:instrText>
          </w:r>
          <w:r>
            <w:fldChar w:fldCharType="separate"/>
          </w:r>
          <w:r>
            <w:t>53</w:t>
          </w:r>
          <w:r>
            <w:fldChar w:fldCharType="end"/>
          </w:r>
          <w:r>
            <w:fldChar w:fldCharType="end"/>
          </w:r>
        </w:p>
        <w:p>
          <w:pPr>
            <w:pStyle w:val="23"/>
            <w:tabs>
              <w:tab w:val="right" w:leader="dot" w:pos="8306"/>
            </w:tabs>
          </w:pPr>
          <w:r>
            <w:fldChar w:fldCharType="begin"/>
          </w:r>
          <w:r>
            <w:instrText xml:space="preserve"> HYPERLINK \l _Toc22994 </w:instrText>
          </w:r>
          <w:r>
            <w:fldChar w:fldCharType="separate"/>
          </w:r>
          <w:r>
            <w:rPr>
              <w:rFonts w:hint="eastAsia" w:ascii="仿宋" w:hAnsi="仿宋" w:eastAsia="仿宋"/>
              <w:bCs w:val="0"/>
            </w:rPr>
            <w:t>十二、</w:t>
          </w:r>
          <w:r>
            <w:rPr>
              <w:rFonts w:hint="eastAsia" w:ascii="仿宋" w:hAnsi="仿宋" w:eastAsia="仿宋"/>
            </w:rPr>
            <w:t>政</w:t>
          </w:r>
          <w:r>
            <w:rPr>
              <w:rFonts w:hint="eastAsia" w:ascii="仿宋" w:hAnsi="仿宋" w:eastAsia="仿宋"/>
              <w:bCs w:val="0"/>
            </w:rPr>
            <w:t>府性基金预算财政拨款“三公”经费支出决算表</w:t>
          </w:r>
          <w:r>
            <w:tab/>
          </w:r>
          <w:r>
            <w:fldChar w:fldCharType="begin"/>
          </w:r>
          <w:r>
            <w:instrText xml:space="preserve"> PAGEREF _Toc22994 </w:instrText>
          </w:r>
          <w:r>
            <w:fldChar w:fldCharType="separate"/>
          </w:r>
          <w:r>
            <w:t>53</w:t>
          </w:r>
          <w:r>
            <w:fldChar w:fldCharType="end"/>
          </w:r>
          <w:r>
            <w:fldChar w:fldCharType="end"/>
          </w:r>
        </w:p>
        <w:p>
          <w:pPr>
            <w:pStyle w:val="23"/>
            <w:tabs>
              <w:tab w:val="right" w:leader="dot" w:pos="8306"/>
            </w:tabs>
          </w:pPr>
          <w:r>
            <w:fldChar w:fldCharType="begin"/>
          </w:r>
          <w:r>
            <w:instrText xml:space="preserve"> HYPERLINK \l _Toc25987 </w:instrText>
          </w:r>
          <w:r>
            <w:fldChar w:fldCharType="separate"/>
          </w:r>
          <w:r>
            <w:rPr>
              <w:rFonts w:hint="eastAsia" w:ascii="仿宋" w:hAnsi="仿宋" w:eastAsia="仿宋"/>
              <w:bCs w:val="0"/>
            </w:rPr>
            <w:t>十三、</w:t>
          </w:r>
          <w:r>
            <w:rPr>
              <w:rFonts w:hint="eastAsia" w:ascii="仿宋" w:hAnsi="仿宋" w:eastAsia="仿宋"/>
            </w:rPr>
            <w:t>国</w:t>
          </w:r>
          <w:r>
            <w:rPr>
              <w:rFonts w:hint="eastAsia" w:ascii="仿宋" w:hAnsi="仿宋" w:eastAsia="仿宋"/>
              <w:bCs w:val="0"/>
            </w:rPr>
            <w:t>有资本经营预算支出决算表</w:t>
          </w:r>
          <w:r>
            <w:tab/>
          </w:r>
          <w:r>
            <w:fldChar w:fldCharType="begin"/>
          </w:r>
          <w:r>
            <w:instrText xml:space="preserve"> PAGEREF _Toc25987 </w:instrText>
          </w:r>
          <w:r>
            <w:fldChar w:fldCharType="separate"/>
          </w:r>
          <w:r>
            <w:t>53</w:t>
          </w:r>
          <w:r>
            <w:fldChar w:fldCharType="end"/>
          </w:r>
          <w:r>
            <w:fldChar w:fldCharType="end"/>
          </w:r>
        </w:p>
        <w:p>
          <w:pPr>
            <w:pStyle w:val="10"/>
            <w:tabs>
              <w:tab w:val="right" w:leader="dot" w:pos="8306"/>
              <w:tab w:val="clear" w:pos="8296"/>
            </w:tabs>
            <w:jc w:val="both"/>
          </w:pPr>
          <w:r>
            <w:rPr>
              <w:b/>
            </w:rPr>
            <w:fldChar w:fldCharType="end"/>
          </w:r>
        </w:p>
      </w:sdtContent>
    </w:sdt>
    <w:p>
      <w:pPr>
        <w:pStyle w:val="4"/>
        <w:jc w:val="center"/>
        <w:outlineLvl w:val="9"/>
        <w:rPr>
          <w:rFonts w:hint="eastAsia" w:ascii="黑体" w:hAnsi="黑体" w:eastAsia="黑体"/>
          <w:b w:val="0"/>
        </w:rPr>
        <w:sectPr>
          <w:footerReference r:id="rId4" w:type="default"/>
          <w:pgSz w:w="11906" w:h="16838"/>
          <w:pgMar w:top="1440" w:right="1800" w:bottom="1440" w:left="1800" w:header="851" w:footer="992" w:gutter="0"/>
          <w:pgNumType w:start="1"/>
          <w:cols w:space="425" w:num="1"/>
          <w:docGrid w:type="lines" w:linePitch="312" w:charSpace="0"/>
        </w:sectPr>
      </w:pPr>
      <w:bookmarkStart w:id="17" w:name="_Toc10852"/>
    </w:p>
    <w:p>
      <w:pPr>
        <w:pStyle w:val="4"/>
        <w:jc w:val="center"/>
        <w:outlineLvl w:val="0"/>
        <w:rPr>
          <w:rFonts w:ascii="黑体" w:eastAsia="黑体"/>
          <w:color w:val="000000"/>
          <w:sz w:val="32"/>
          <w:szCs w:val="32"/>
        </w:rPr>
      </w:pPr>
      <w:bookmarkStart w:id="18" w:name="_Toc11401"/>
      <w:r>
        <w:rPr>
          <w:rFonts w:hint="eastAsia" w:ascii="黑体" w:hAnsi="黑体" w:eastAsia="黑体"/>
          <w:b w:val="0"/>
        </w:rPr>
        <w:t xml:space="preserve">第一部分 </w:t>
      </w:r>
      <w:r>
        <w:rPr>
          <w:rStyle w:val="17"/>
          <w:rFonts w:hint="eastAsia" w:ascii="黑体" w:hAnsi="黑体" w:eastAsia="黑体"/>
          <w:b w:val="0"/>
          <w:bCs w:val="0"/>
        </w:rPr>
        <w:t>部门概况</w:t>
      </w:r>
      <w:bookmarkEnd w:id="14"/>
      <w:bookmarkEnd w:id="15"/>
      <w:bookmarkEnd w:id="16"/>
      <w:bookmarkEnd w:id="17"/>
      <w:bookmarkEnd w:id="18"/>
    </w:p>
    <w:p>
      <w:pPr>
        <w:pStyle w:val="5"/>
        <w:rPr>
          <w:rStyle w:val="18"/>
          <w:rFonts w:ascii="仿宋" w:hAnsi="仿宋" w:eastAsia="仿宋"/>
          <w:b w:val="0"/>
          <w:bCs w:val="0"/>
        </w:rPr>
      </w:pPr>
      <w:bookmarkStart w:id="19" w:name="_Toc15396600"/>
      <w:bookmarkStart w:id="20" w:name="_Toc15377197"/>
      <w:bookmarkStart w:id="21" w:name="_Toc31787"/>
      <w:bookmarkStart w:id="22" w:name="_Toc15335"/>
      <w:bookmarkStart w:id="23" w:name="_Toc13354"/>
      <w:bookmarkStart w:id="24" w:name="_Toc5789"/>
      <w:bookmarkStart w:id="25" w:name="_Toc32506"/>
      <w:bookmarkStart w:id="26" w:name="_Toc14100"/>
      <w:bookmarkStart w:id="27" w:name="_Toc9844"/>
      <w:r>
        <w:rPr>
          <w:rFonts w:hint="eastAsia" w:ascii="黑体" w:hAnsi="黑体" w:eastAsia="黑体"/>
          <w:b w:val="0"/>
          <w:color w:val="000000"/>
        </w:rPr>
        <w:t>一、基</w:t>
      </w:r>
      <w:r>
        <w:rPr>
          <w:rStyle w:val="18"/>
          <w:rFonts w:hint="eastAsia" w:ascii="黑体" w:hAnsi="黑体" w:eastAsia="黑体"/>
          <w:b w:val="0"/>
          <w:bCs w:val="0"/>
        </w:rPr>
        <w:t>本职能及主要工作</w:t>
      </w:r>
      <w:bookmarkEnd w:id="19"/>
      <w:bookmarkEnd w:id="20"/>
      <w:bookmarkEnd w:id="21"/>
      <w:bookmarkEnd w:id="22"/>
      <w:bookmarkEnd w:id="23"/>
      <w:bookmarkEnd w:id="24"/>
      <w:bookmarkEnd w:id="25"/>
      <w:bookmarkEnd w:id="26"/>
      <w:bookmarkEnd w:id="27"/>
    </w:p>
    <w:p>
      <w:pPr>
        <w:spacing w:line="600" w:lineRule="exact"/>
        <w:ind w:firstLine="645"/>
        <w:rPr>
          <w:rFonts w:ascii="仿宋" w:hAnsi="仿宋" w:eastAsia="仿宋" w:cs="仿宋"/>
          <w:bCs/>
          <w:color w:val="000000"/>
          <w:sz w:val="32"/>
          <w:szCs w:val="32"/>
        </w:rPr>
      </w:pPr>
      <w:bookmarkStart w:id="28" w:name="_Toc15378445"/>
      <w:bookmarkStart w:id="29" w:name="_Toc15377198"/>
      <w:r>
        <w:rPr>
          <w:rFonts w:hint="eastAsia" w:ascii="仿宋" w:hAnsi="仿宋" w:eastAsia="仿宋" w:cs="仿宋"/>
          <w:bCs/>
          <w:color w:val="000000"/>
          <w:sz w:val="32"/>
          <w:szCs w:val="32"/>
        </w:rPr>
        <w:t>（一）主要职能。</w:t>
      </w:r>
      <w:bookmarkEnd w:id="28"/>
      <w:bookmarkEnd w:id="29"/>
    </w:p>
    <w:p>
      <w:pPr>
        <w:spacing w:line="600" w:lineRule="exact"/>
        <w:ind w:firstLine="645"/>
        <w:rPr>
          <w:rFonts w:eastAsia="仿宋_GB2312"/>
          <w:sz w:val="32"/>
          <w:szCs w:val="32"/>
        </w:rPr>
      </w:pPr>
      <w:r>
        <w:rPr>
          <w:rFonts w:hint="eastAsia" w:eastAsia="仿宋_GB2312"/>
          <w:sz w:val="32"/>
          <w:szCs w:val="32"/>
        </w:rPr>
        <w:t>1、贯彻执行党和国家有关水利工作方针政策和法律法规，拟订全县水利战略规划和政策，起草有关地方性法规和规章草案，组织编制、审查、申报水利综合规划、专业规划、专项规划。负责保障水资源的合理开发利用。</w:t>
      </w:r>
    </w:p>
    <w:p/>
    <w:p>
      <w:pPr>
        <w:spacing w:line="600" w:lineRule="exact"/>
        <w:ind w:firstLine="645"/>
        <w:rPr>
          <w:rFonts w:eastAsia="仿宋_GB2312"/>
          <w:sz w:val="32"/>
          <w:szCs w:val="32"/>
        </w:rPr>
      </w:pPr>
      <w:r>
        <w:rPr>
          <w:rFonts w:hint="eastAsia" w:eastAsia="仿宋_GB2312"/>
          <w:sz w:val="32"/>
          <w:szCs w:val="32"/>
        </w:rPr>
        <w:t>2、负责生活、生产经营和生态环境用水的统筹和保障。实施最严格水资源管理制度，实施水资源的统一监督管理。</w:t>
      </w:r>
    </w:p>
    <w:p>
      <w:pPr>
        <w:spacing w:line="600" w:lineRule="exact"/>
        <w:ind w:firstLine="645"/>
        <w:rPr>
          <w:rFonts w:eastAsia="仿宋_GB2312"/>
          <w:sz w:val="32"/>
          <w:szCs w:val="32"/>
        </w:rPr>
      </w:pPr>
      <w:r>
        <w:rPr>
          <w:rFonts w:hint="eastAsia" w:eastAsia="仿宋_GB2312"/>
          <w:sz w:val="32"/>
          <w:szCs w:val="32"/>
        </w:rPr>
        <w:t>3、按规定制定水利工程建设有关制度并组织实施，负责提出水利固定资产投资规模、方向、具体安排建议并组织实施，提出水利资金安排建议并负责项目实施的监督管理，按权限指导和组织编制、审核、申报水利基本建设项目建议书、可行性研究报告和初步设计。</w:t>
      </w:r>
    </w:p>
    <w:p>
      <w:pPr>
        <w:spacing w:line="600" w:lineRule="exact"/>
        <w:ind w:firstLine="645"/>
        <w:rPr>
          <w:rFonts w:eastAsia="仿宋_GB2312"/>
          <w:sz w:val="32"/>
          <w:szCs w:val="32"/>
        </w:rPr>
      </w:pPr>
      <w:r>
        <w:rPr>
          <w:rFonts w:hint="eastAsia" w:eastAsia="仿宋_GB2312"/>
          <w:sz w:val="32"/>
          <w:szCs w:val="32"/>
        </w:rPr>
        <w:t>4、负责水资源管理和保护工作。</w:t>
      </w:r>
    </w:p>
    <w:p>
      <w:pPr>
        <w:spacing w:line="600" w:lineRule="exact"/>
        <w:ind w:firstLine="645"/>
        <w:rPr>
          <w:rFonts w:eastAsia="仿宋_GB2312"/>
          <w:sz w:val="32"/>
          <w:szCs w:val="32"/>
        </w:rPr>
      </w:pPr>
      <w:r>
        <w:rPr>
          <w:rFonts w:hint="eastAsia" w:eastAsia="仿宋_GB2312"/>
          <w:sz w:val="32"/>
          <w:szCs w:val="32"/>
        </w:rPr>
        <w:t>5、负责节约用水工作。</w:t>
      </w:r>
    </w:p>
    <w:p>
      <w:pPr>
        <w:spacing w:line="600" w:lineRule="exact"/>
        <w:ind w:firstLine="645"/>
        <w:rPr>
          <w:rFonts w:eastAsia="仿宋_GB2312"/>
          <w:sz w:val="32"/>
          <w:szCs w:val="32"/>
        </w:rPr>
      </w:pPr>
      <w:r>
        <w:rPr>
          <w:rFonts w:hint="eastAsia" w:eastAsia="仿宋_GB2312"/>
          <w:sz w:val="32"/>
          <w:szCs w:val="32"/>
        </w:rPr>
        <w:t>6、负责洪水干旱灾害防治。</w:t>
      </w:r>
    </w:p>
    <w:p>
      <w:pPr>
        <w:spacing w:line="600" w:lineRule="exact"/>
        <w:ind w:firstLine="645"/>
        <w:rPr>
          <w:rFonts w:eastAsia="仿宋_GB2312"/>
          <w:sz w:val="32"/>
          <w:szCs w:val="32"/>
        </w:rPr>
      </w:pPr>
      <w:r>
        <w:rPr>
          <w:rFonts w:hint="eastAsia" w:eastAsia="仿宋_GB2312"/>
          <w:sz w:val="32"/>
          <w:szCs w:val="32"/>
        </w:rPr>
        <w:t>7、指导水利设施、水域及其岸线的管理、保护与综合利用。</w:t>
      </w:r>
    </w:p>
    <w:p>
      <w:pPr>
        <w:spacing w:line="600" w:lineRule="exact"/>
        <w:ind w:firstLine="645"/>
        <w:rPr>
          <w:rFonts w:eastAsia="仿宋_GB2312"/>
          <w:sz w:val="32"/>
          <w:szCs w:val="32"/>
        </w:rPr>
      </w:pPr>
      <w:r>
        <w:rPr>
          <w:rFonts w:hint="eastAsia" w:eastAsia="仿宋_GB2312"/>
          <w:sz w:val="32"/>
          <w:szCs w:val="32"/>
        </w:rPr>
        <w:t>8、承担全面推行河长制湖长制工作。</w:t>
      </w:r>
    </w:p>
    <w:p>
      <w:pPr>
        <w:spacing w:line="600" w:lineRule="exact"/>
        <w:ind w:firstLine="645"/>
        <w:rPr>
          <w:rFonts w:eastAsia="仿宋_GB2312"/>
          <w:sz w:val="32"/>
          <w:szCs w:val="32"/>
        </w:rPr>
      </w:pPr>
      <w:r>
        <w:rPr>
          <w:rFonts w:hint="eastAsia" w:eastAsia="仿宋_GB2312"/>
          <w:sz w:val="32"/>
          <w:szCs w:val="32"/>
        </w:rPr>
        <w:t>9、负责水土保持工作。</w:t>
      </w:r>
    </w:p>
    <w:p>
      <w:pPr>
        <w:spacing w:line="600" w:lineRule="exact"/>
        <w:ind w:firstLine="645"/>
        <w:rPr>
          <w:rFonts w:eastAsia="仿宋_GB2312"/>
          <w:sz w:val="32"/>
          <w:szCs w:val="32"/>
        </w:rPr>
      </w:pPr>
      <w:r>
        <w:rPr>
          <w:rFonts w:hint="eastAsia" w:eastAsia="仿宋_GB2312"/>
          <w:sz w:val="32"/>
          <w:szCs w:val="32"/>
        </w:rPr>
        <w:t>10、负责农村水利建设工作。</w:t>
      </w:r>
    </w:p>
    <w:p>
      <w:pPr>
        <w:spacing w:line="600" w:lineRule="exact"/>
        <w:ind w:firstLine="645"/>
        <w:rPr>
          <w:rFonts w:eastAsia="仿宋_GB2312"/>
          <w:sz w:val="32"/>
          <w:szCs w:val="32"/>
        </w:rPr>
      </w:pPr>
      <w:r>
        <w:rPr>
          <w:rFonts w:hint="eastAsia" w:eastAsia="仿宋_GB2312"/>
          <w:sz w:val="32"/>
          <w:szCs w:val="32"/>
        </w:rPr>
        <w:t>11、负责落实综合防灾减灾工作。</w:t>
      </w:r>
    </w:p>
    <w:p>
      <w:pPr>
        <w:spacing w:line="600" w:lineRule="exact"/>
        <w:ind w:firstLine="645"/>
        <w:rPr>
          <w:rFonts w:eastAsia="仿宋_GB2312"/>
          <w:sz w:val="32"/>
          <w:szCs w:val="32"/>
        </w:rPr>
      </w:pPr>
      <w:r>
        <w:rPr>
          <w:rFonts w:hint="eastAsia" w:eastAsia="仿宋_GB2312"/>
          <w:sz w:val="32"/>
          <w:szCs w:val="32"/>
        </w:rPr>
        <w:t>12、开展水利科技和教育工作。组织开展水利行业质量监督工作。承担水利统计工作。</w:t>
      </w:r>
    </w:p>
    <w:p>
      <w:pPr>
        <w:spacing w:line="600" w:lineRule="exact"/>
        <w:ind w:firstLine="645"/>
        <w:rPr>
          <w:rFonts w:eastAsia="仿宋_GB2312"/>
          <w:sz w:val="32"/>
          <w:szCs w:val="32"/>
        </w:rPr>
      </w:pPr>
      <w:r>
        <w:rPr>
          <w:rFonts w:hint="eastAsia" w:eastAsia="仿宋_GB2312"/>
          <w:sz w:val="32"/>
          <w:szCs w:val="32"/>
        </w:rPr>
        <w:t>13、负责职责范围内的水利行业安全生产、职业健康、生态环境保护和审批服务便民化等工作。</w:t>
      </w:r>
    </w:p>
    <w:p>
      <w:pPr>
        <w:spacing w:line="600" w:lineRule="exact"/>
        <w:ind w:firstLine="645"/>
        <w:outlineLvl w:val="0"/>
        <w:rPr>
          <w:rFonts w:ascii="仿宋" w:hAnsi="仿宋" w:eastAsia="仿宋"/>
          <w:bCs/>
          <w:color w:val="000000"/>
          <w:sz w:val="32"/>
          <w:szCs w:val="32"/>
        </w:rPr>
      </w:pPr>
      <w:bookmarkStart w:id="30" w:name="_Toc15378446"/>
      <w:bookmarkStart w:id="31" w:name="_Toc15377199"/>
      <w:bookmarkStart w:id="32" w:name="_Toc19632"/>
      <w:bookmarkStart w:id="33" w:name="_Toc21023"/>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30"/>
      <w:bookmarkEnd w:id="31"/>
      <w:bookmarkEnd w:id="32"/>
      <w:bookmarkEnd w:id="33"/>
    </w:p>
    <w:p>
      <w:pPr>
        <w:spacing w:line="600" w:lineRule="exact"/>
        <w:ind w:firstLine="645"/>
        <w:outlineLvl w:val="1"/>
        <w:rPr>
          <w:rFonts w:ascii="黑体" w:hAnsi="黑体" w:eastAsia="黑体" w:cs="黑体"/>
          <w:sz w:val="32"/>
          <w:szCs w:val="32"/>
        </w:rPr>
      </w:pPr>
      <w:bookmarkStart w:id="34" w:name="_Toc17034"/>
      <w:r>
        <w:rPr>
          <w:rFonts w:hint="eastAsia" w:ascii="黑体" w:hAnsi="黑体" w:eastAsia="黑体" w:cs="黑体"/>
          <w:sz w:val="32"/>
          <w:szCs w:val="32"/>
        </w:rPr>
        <w:t>1、全力推进灾后重建工作</w:t>
      </w:r>
      <w:bookmarkEnd w:id="34"/>
    </w:p>
    <w:p>
      <w:pPr>
        <w:spacing w:line="600" w:lineRule="exact"/>
        <w:ind w:firstLine="645"/>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涉及我县灾后重建水利设施建设项目3个，总投资14747万元，其中：中省专项投资13018万元，州县投资2881万元。一是漳扎、大录灾后重建堤防工程，计划投资13253万元。目前，累计完成投资12850万元，现已基本完工。二是九寨沟山洪灾害防治非工程措施建设项目，项目投资总投资294万元，已完成建设任务并竣工验收。三是水土保持设施恢复重建项目。总投资1200万元。漳扎镇水土保持工程总投资300万元，已全面竣工；小流域水土流失综合治理项目一期620万元，已全面竣工；小流域水土流失综合治理项目第二期280万元，已全面完成建设任务并通过县级验收。</w:t>
      </w:r>
    </w:p>
    <w:p>
      <w:pPr>
        <w:spacing w:line="600" w:lineRule="exact"/>
        <w:ind w:firstLine="645"/>
        <w:outlineLvl w:val="1"/>
        <w:rPr>
          <w:rFonts w:ascii="黑体" w:hAnsi="黑体" w:eastAsia="黑体"/>
          <w:sz w:val="32"/>
          <w:szCs w:val="32"/>
        </w:rPr>
      </w:pPr>
      <w:bookmarkStart w:id="35" w:name="_Toc6133"/>
      <w:r>
        <w:rPr>
          <w:rFonts w:hint="eastAsia" w:ascii="黑体" w:hAnsi="黑体" w:eastAsia="黑体"/>
          <w:sz w:val="32"/>
          <w:szCs w:val="32"/>
        </w:rPr>
        <w:t>2、抓好水利基础建设，保障生产生活</w:t>
      </w:r>
      <w:bookmarkEnd w:id="35"/>
    </w:p>
    <w:p>
      <w:pPr>
        <w:spacing w:line="600" w:lineRule="exact"/>
        <w:ind w:firstLine="645"/>
        <w:outlineLvl w:val="9"/>
        <w:rPr>
          <w:rFonts w:ascii="Times New Roman" w:hAnsi="Times New Roman" w:eastAsia="仿宋_GB2312" w:cs="Times New Roman"/>
          <w:sz w:val="32"/>
          <w:szCs w:val="32"/>
        </w:rPr>
      </w:pPr>
      <w:r>
        <w:rPr>
          <w:rFonts w:hint="eastAsia" w:ascii="仿宋_GB2312" w:hAnsi="仿宋_GB2312" w:eastAsia="仿宋_GB2312" w:cs="仿宋_GB2312"/>
          <w:sz w:val="32"/>
          <w:szCs w:val="32"/>
        </w:rPr>
        <w:t>（1）水利基础设施建设项目。一是县城堤防维修加固工程，总投资1680万元，已完成建设任务并竣工验收；二是县城堤防清平市场段应急治理工程，总投资926万元，已完成建设任务并竣工验收；三是县城一号桥下游右岸堤防应急抢险工程，总投资400万元，已完成建设任务并竣工验收；四是双河乡汤珠河防洪治理工程，总投资1688万元，项目已竣工验收；五是国家水土保持重点工程九寨沟县城沟小流域项目，总投资256万，已完工，正在组织验收和按照合同约定拨付资金。</w:t>
      </w:r>
    </w:p>
    <w:p>
      <w:pPr>
        <w:spacing w:line="600" w:lineRule="exact"/>
        <w:ind w:firstLine="645"/>
        <w:outlineLvl w:val="9"/>
        <w:rPr>
          <w:rFonts w:ascii="黑体" w:hAnsi="黑体" w:eastAsia="黑体" w:cs="黑体"/>
          <w:sz w:val="32"/>
          <w:szCs w:val="32"/>
        </w:rPr>
      </w:pPr>
      <w:r>
        <w:rPr>
          <w:rFonts w:hint="eastAsia" w:ascii="仿宋_GB2312" w:hAnsi="仿宋_GB2312" w:eastAsia="仿宋_GB2312" w:cs="仿宋_GB2312"/>
          <w:sz w:val="32"/>
          <w:szCs w:val="32"/>
        </w:rPr>
        <w:t>（2）水土保持惠民生助生态。截止目前，共检查30余次，出动车辆30台次，人员50余人次，下达整改通知书20余份，列出问题清单11处。目前，已整改13起，移交综合行政执法局立案查处1起，对九绵高速7标仁字沟弃渣场“未批先建”，处罚罚金30.45万元。2019年下达水土保持补偿费缴费通知书12份，共征收缴纳836.404万元，县级征收273.47万元 。</w:t>
      </w:r>
    </w:p>
    <w:p>
      <w:pPr>
        <w:spacing w:line="600" w:lineRule="exact"/>
        <w:ind w:firstLine="645"/>
        <w:outlineLvl w:val="1"/>
        <w:rPr>
          <w:rFonts w:ascii="黑体" w:hAnsi="黑体" w:eastAsia="黑体" w:cs="黑体"/>
          <w:sz w:val="32"/>
          <w:szCs w:val="32"/>
        </w:rPr>
      </w:pPr>
      <w:bookmarkStart w:id="36" w:name="_Toc24798"/>
      <w:r>
        <w:rPr>
          <w:rFonts w:hint="eastAsia" w:ascii="黑体" w:hAnsi="黑体" w:eastAsia="黑体" w:cs="黑体"/>
          <w:sz w:val="32"/>
          <w:szCs w:val="32"/>
        </w:rPr>
        <w:t>3、多措并举，扎实推进河长制工作</w:t>
      </w:r>
      <w:bookmarkEnd w:id="36"/>
    </w:p>
    <w:p>
      <w:pPr>
        <w:spacing w:line="580" w:lineRule="exact"/>
        <w:ind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今年以来，县级河长巡河累计102人次，乡镇河长巡河累计833人次，发现并整改问题208处，整改率达到100%；共组织开展清“四乱”、“扫黑除恶”集中排查30余次，人员439人，排查出涉乱线索41条，已完成整改销号33条，正在整改7条，移送综合执法局处理1条；同时高度重视反馈问题整改，及时建立问题整改四张清单，逗真碰硬完成水利部暗访督察涉及九寨沟7个问题整改。通过全面清查整改，全县河道非法采砂、弃渣乱堆乱占侵占河道现象得到有效遏制，水域生态环境进一步得到改善；按照河长制工作要求，落实生态扶贫河道管护员104名，灾后就业困难公益性岗位46个；我县需划定管理范围的县级河道30条，长度695.5公里，目前已落实资金136万开展县级河流汤珠河、草地沟、中路河共64.5公里河道管理范围划定工作。</w:t>
      </w:r>
    </w:p>
    <w:p>
      <w:pPr>
        <w:spacing w:line="600" w:lineRule="exact"/>
        <w:ind w:firstLine="645"/>
        <w:outlineLvl w:val="1"/>
        <w:rPr>
          <w:rFonts w:ascii="黑体" w:hAnsi="黑体" w:eastAsia="黑体" w:cs="黑体"/>
          <w:sz w:val="32"/>
          <w:szCs w:val="32"/>
        </w:rPr>
      </w:pPr>
      <w:bookmarkStart w:id="37" w:name="_Toc13084"/>
      <w:r>
        <w:rPr>
          <w:rFonts w:hint="eastAsia" w:ascii="黑体" w:hAnsi="黑体" w:eastAsia="黑体" w:cs="黑体"/>
          <w:sz w:val="32"/>
          <w:szCs w:val="32"/>
        </w:rPr>
        <w:t>4、全面推进水资源管理工作</w:t>
      </w:r>
      <w:bookmarkEnd w:id="37"/>
    </w:p>
    <w:p>
      <w:pPr>
        <w:spacing w:line="580" w:lineRule="exact"/>
        <w:ind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督促电站业主编制完成17座水电站下泄生态流量“一站一策”整改工作方案（永竹、彭丰两座电站已确定退出并已拆除，未列入下泄生态流量整改），目前15座电站下泄生态流量整改和在线监控监测设施的安装工作已完成，其中14座电站已接入省级信息平台，大录仙湾电站由于网络不通，未接入省级平台，可以实现数据拷贝保存；按照省水利厅工作部署，开展了96个取水工程（设施）的核查登记并入库，所有取水工程（设施）登记信息已全部通过省级复核。</w:t>
      </w:r>
    </w:p>
    <w:p>
      <w:pPr>
        <w:spacing w:line="600" w:lineRule="exact"/>
        <w:ind w:firstLine="645"/>
        <w:outlineLvl w:val="1"/>
        <w:rPr>
          <w:rFonts w:ascii="黑体" w:hAnsi="黑体" w:eastAsia="黑体" w:cs="黑体"/>
          <w:sz w:val="32"/>
          <w:szCs w:val="32"/>
        </w:rPr>
      </w:pPr>
      <w:bookmarkStart w:id="38" w:name="_Toc23588"/>
      <w:r>
        <w:rPr>
          <w:rFonts w:hint="eastAsia" w:ascii="黑体" w:hAnsi="黑体" w:eastAsia="黑体" w:cs="黑体"/>
          <w:sz w:val="32"/>
          <w:szCs w:val="32"/>
        </w:rPr>
        <w:t>5、全面推进防汛减灾工作</w:t>
      </w:r>
      <w:bookmarkEnd w:id="38"/>
    </w:p>
    <w:p>
      <w:pPr>
        <w:spacing w:line="580" w:lineRule="exact"/>
        <w:ind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入汛以来，我县共发生5次强降雨灾害，造成全县共15个乡镇6864人受灾，造成直接经济损失5729.274万元，其中水利设施损失共计1834.3万元。全县共投入灾情应急抢险人员546人次，大型机械410台班，发放编织袋4050条，钢材1.25吨。通过加强组织领导，强化责任落实，加强隐患排查，强化汛期监测预警信息发布和防汛物资储备，建立联动会商机制，建设防治项目，2019年我县防洪度汛、监测预警能力得到进一步提高，及时转移人员，确保了汛期无人员伤亡，有效保障了人民群众生命财产安全。</w:t>
      </w:r>
    </w:p>
    <w:p>
      <w:pPr>
        <w:pStyle w:val="5"/>
        <w:numPr>
          <w:ilvl w:val="0"/>
          <w:numId w:val="1"/>
        </w:numPr>
        <w:outlineLvl w:val="0"/>
        <w:rPr>
          <w:rStyle w:val="18"/>
          <w:rFonts w:ascii="黑体" w:hAnsi="黑体" w:eastAsia="黑体"/>
          <w:b w:val="0"/>
          <w:bCs w:val="0"/>
        </w:rPr>
      </w:pPr>
      <w:bookmarkStart w:id="39" w:name="_Toc15396601"/>
      <w:bookmarkStart w:id="40" w:name="_Toc31432"/>
      <w:bookmarkStart w:id="41" w:name="_Toc19297"/>
      <w:bookmarkStart w:id="42" w:name="_Toc15377200"/>
      <w:bookmarkStart w:id="43" w:name="_Toc30421"/>
      <w:bookmarkStart w:id="44" w:name="_Toc897"/>
      <w:bookmarkStart w:id="45" w:name="_Toc19894"/>
      <w:bookmarkStart w:id="46" w:name="_Toc8125"/>
      <w:bookmarkStart w:id="47" w:name="_Toc16390"/>
      <w:r>
        <w:rPr>
          <w:rFonts w:hint="eastAsia" w:ascii="黑体" w:hAnsi="黑体" w:eastAsia="黑体"/>
          <w:b w:val="0"/>
          <w:color w:val="000000"/>
        </w:rPr>
        <w:t>机</w:t>
      </w:r>
      <w:r>
        <w:rPr>
          <w:rStyle w:val="18"/>
          <w:rFonts w:hint="eastAsia" w:ascii="黑体" w:hAnsi="黑体" w:eastAsia="黑体"/>
          <w:b w:val="0"/>
          <w:bCs w:val="0"/>
        </w:rPr>
        <w:t>构设置</w:t>
      </w:r>
      <w:bookmarkEnd w:id="39"/>
      <w:bookmarkEnd w:id="40"/>
      <w:bookmarkEnd w:id="41"/>
      <w:bookmarkEnd w:id="42"/>
      <w:bookmarkEnd w:id="43"/>
      <w:bookmarkEnd w:id="44"/>
      <w:bookmarkEnd w:id="45"/>
      <w:bookmarkEnd w:id="46"/>
      <w:bookmarkEnd w:id="47"/>
    </w:p>
    <w:p>
      <w:pPr>
        <w:spacing w:line="600" w:lineRule="exact"/>
        <w:ind w:firstLine="645"/>
        <w:rPr>
          <w:rFonts w:hint="eastAsia" w:ascii="仿宋_GB2312" w:hAnsi="仿宋_GB2312" w:eastAsia="仿宋_GB2312" w:cs="仿宋_GB2312"/>
          <w:bCs/>
          <w:snapToGrid w:val="0"/>
          <w:spacing w:val="2"/>
          <w:kern w:val="0"/>
          <w:sz w:val="32"/>
          <w:szCs w:val="32"/>
        </w:rPr>
      </w:pPr>
      <w:r>
        <w:rPr>
          <w:rFonts w:hint="eastAsia" w:ascii="仿宋_GB2312" w:hAnsi="仿宋_GB2312" w:eastAsia="仿宋_GB2312" w:cs="仿宋_GB2312"/>
          <w:bCs/>
          <w:snapToGrid w:val="0"/>
          <w:spacing w:val="2"/>
          <w:kern w:val="0"/>
          <w:sz w:val="32"/>
          <w:szCs w:val="32"/>
        </w:rPr>
        <w:t>九寨沟县水务局（简称县水务局）是九寨沟县人民政府工作部门，为正科级。内设行政股室2个：综合股、规划建设股。事业场站6个。</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纳入2019年度部门决算编制范围的二级预算单位包括：</w:t>
      </w:r>
    </w:p>
    <w:p>
      <w:pPr>
        <w:widowControl/>
        <w:jc w:val="left"/>
        <w:rPr>
          <w:rFonts w:ascii="仿宋" w:hAnsi="仿宋" w:eastAsia="仿宋"/>
          <w:color w:val="000000"/>
          <w:sz w:val="32"/>
          <w:szCs w:val="32"/>
        </w:rPr>
      </w:pPr>
      <w:r>
        <w:rPr>
          <w:rFonts w:hint="eastAsia" w:ascii="仿宋" w:hAnsi="仿宋" w:eastAsia="仿宋"/>
          <w:color w:val="000000"/>
          <w:sz w:val="32"/>
          <w:szCs w:val="32"/>
        </w:rPr>
        <w:t>水务中心。</w:t>
      </w:r>
    </w:p>
    <w:p>
      <w:pPr>
        <w:pStyle w:val="4"/>
        <w:ind w:right="440"/>
        <w:jc w:val="center"/>
        <w:outlineLvl w:val="0"/>
      </w:pPr>
      <w:bookmarkStart w:id="48" w:name="_Toc15396602"/>
      <w:bookmarkStart w:id="49" w:name="_Toc6046"/>
      <w:bookmarkStart w:id="50" w:name="_Toc23883"/>
      <w:bookmarkStart w:id="51" w:name="_Toc8169"/>
      <w:bookmarkStart w:id="52" w:name="_Toc9003"/>
      <w:bookmarkStart w:id="53" w:name="_Toc3924"/>
      <w:bookmarkStart w:id="54" w:name="_Toc16642"/>
      <w:bookmarkStart w:id="55" w:name="_Toc3891"/>
      <w:bookmarkStart w:id="56"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17"/>
          <w:rFonts w:hint="eastAsia" w:ascii="黑体" w:hAnsi="黑体" w:eastAsia="黑体"/>
          <w:b w:val="0"/>
          <w:bCs w:val="0"/>
        </w:rPr>
        <w:t>2019年度部门决算情况说明</w:t>
      </w:r>
      <w:bookmarkEnd w:id="48"/>
      <w:bookmarkEnd w:id="49"/>
      <w:bookmarkEnd w:id="50"/>
      <w:bookmarkEnd w:id="51"/>
      <w:bookmarkEnd w:id="52"/>
      <w:bookmarkEnd w:id="53"/>
      <w:bookmarkEnd w:id="54"/>
      <w:bookmarkEnd w:id="55"/>
      <w:bookmarkEnd w:id="56"/>
    </w:p>
    <w:p>
      <w:pPr>
        <w:pStyle w:val="19"/>
        <w:numPr>
          <w:ilvl w:val="0"/>
          <w:numId w:val="2"/>
        </w:numPr>
        <w:spacing w:line="600" w:lineRule="exact"/>
        <w:ind w:firstLineChars="0"/>
        <w:outlineLvl w:val="1"/>
        <w:rPr>
          <w:rStyle w:val="18"/>
          <w:rFonts w:ascii="黑体" w:hAnsi="黑体" w:eastAsia="黑体"/>
          <w:b w:val="0"/>
        </w:rPr>
      </w:pPr>
      <w:bookmarkStart w:id="57" w:name="_Toc15377205"/>
      <w:bookmarkStart w:id="58" w:name="_Toc15396603"/>
      <w:bookmarkStart w:id="59" w:name="_Toc23694"/>
      <w:bookmarkStart w:id="60" w:name="_Toc17624"/>
      <w:bookmarkStart w:id="61" w:name="_Toc5000"/>
      <w:bookmarkStart w:id="62" w:name="_Toc5122"/>
      <w:bookmarkStart w:id="63" w:name="_Toc14150"/>
      <w:bookmarkStart w:id="64" w:name="_Toc29991"/>
      <w:bookmarkStart w:id="65" w:name="_Toc13200"/>
      <w:r>
        <w:rPr>
          <w:rFonts w:hint="eastAsia" w:ascii="黑体" w:hAnsi="黑体" w:eastAsia="黑体"/>
          <w:color w:val="000000"/>
          <w:sz w:val="32"/>
          <w:szCs w:val="32"/>
        </w:rPr>
        <w:t>收</w:t>
      </w:r>
      <w:r>
        <w:rPr>
          <w:rStyle w:val="18"/>
          <w:rFonts w:hint="eastAsia" w:ascii="黑体" w:hAnsi="黑体" w:eastAsia="黑体"/>
          <w:b w:val="0"/>
        </w:rPr>
        <w:t>入支出决算总体情况说明</w:t>
      </w:r>
      <w:bookmarkEnd w:id="57"/>
      <w:bookmarkEnd w:id="58"/>
      <w:bookmarkEnd w:id="59"/>
      <w:bookmarkEnd w:id="60"/>
      <w:bookmarkEnd w:id="61"/>
      <w:bookmarkEnd w:id="62"/>
      <w:bookmarkEnd w:id="63"/>
      <w:bookmarkEnd w:id="64"/>
      <w:bookmarkEnd w:id="65"/>
    </w:p>
    <w:p>
      <w:pPr>
        <w:spacing w:line="600" w:lineRule="exact"/>
        <w:ind w:firstLine="640" w:firstLineChars="200"/>
        <w:rPr>
          <w:rFonts w:ascii="仿宋" w:hAnsi="仿宋" w:eastAsia="仿宋"/>
          <w:color w:val="000000"/>
          <w:sz w:val="32"/>
          <w:szCs w:val="32"/>
        </w:rPr>
      </w:pPr>
      <w:r>
        <w:rPr>
          <w:rFonts w:hint="eastAsia" w:ascii="仿宋" w:hAnsi="仿宋" w:eastAsia="仿宋" w:cs="仿宋"/>
          <w:sz w:val="32"/>
          <w:szCs w:val="32"/>
          <w:lang w:val="zh-CN"/>
        </w:rPr>
        <w:t>1、</w:t>
      </w:r>
      <w:r>
        <w:rPr>
          <w:rFonts w:hint="eastAsia" w:ascii="仿宋" w:hAnsi="仿宋" w:eastAsia="仿宋" w:cs="仿宋"/>
          <w:sz w:val="32"/>
          <w:szCs w:val="32"/>
        </w:rPr>
        <w:t>2019</w:t>
      </w:r>
      <w:r>
        <w:rPr>
          <w:rFonts w:hint="eastAsia" w:ascii="仿宋" w:hAnsi="仿宋" w:eastAsia="仿宋" w:cs="仿宋"/>
          <w:sz w:val="32"/>
          <w:szCs w:val="32"/>
          <w:lang w:val="zh-CN"/>
        </w:rPr>
        <w:t>年财政拨款收入</w:t>
      </w:r>
      <w:r>
        <w:rPr>
          <w:rFonts w:hint="eastAsia" w:ascii="仿宋" w:hAnsi="仿宋" w:eastAsia="仿宋" w:cs="仿宋"/>
          <w:sz w:val="32"/>
          <w:szCs w:val="32"/>
        </w:rPr>
        <w:t>8770.81万</w:t>
      </w:r>
      <w:r>
        <w:rPr>
          <w:rFonts w:hint="eastAsia" w:ascii="仿宋" w:hAnsi="仿宋" w:eastAsia="仿宋" w:cs="仿宋"/>
          <w:sz w:val="32"/>
          <w:szCs w:val="32"/>
          <w:lang w:val="zh-CN"/>
        </w:rPr>
        <w:t>元</w:t>
      </w:r>
      <w:r>
        <w:rPr>
          <w:rFonts w:hint="eastAsia" w:ascii="仿宋_GB2312" w:hAnsi="仿宋_GB2312" w:eastAsia="仿宋_GB2312" w:cs="仿宋_GB2312"/>
          <w:bCs/>
          <w:sz w:val="28"/>
          <w:szCs w:val="28"/>
        </w:rPr>
        <w:t>，</w:t>
      </w:r>
      <w:r>
        <w:rPr>
          <w:rFonts w:hint="eastAsia" w:ascii="仿宋" w:hAnsi="仿宋" w:eastAsia="仿宋" w:cs="仿宋"/>
          <w:color w:val="000000"/>
          <w:sz w:val="32"/>
          <w:szCs w:val="32"/>
        </w:rPr>
        <w:t>2019年</w:t>
      </w:r>
      <w:r>
        <w:rPr>
          <w:rFonts w:hint="eastAsia" w:ascii="仿宋" w:hAnsi="仿宋" w:eastAsia="仿宋" w:cs="仿宋"/>
          <w:color w:val="000000"/>
          <w:sz w:val="32"/>
          <w:szCs w:val="32"/>
          <w:lang w:val="zh-CN"/>
        </w:rPr>
        <w:t>财政拨款支出</w:t>
      </w:r>
      <w:r>
        <w:rPr>
          <w:rFonts w:hint="eastAsia" w:ascii="仿宋" w:hAnsi="仿宋" w:eastAsia="仿宋" w:cs="仿宋"/>
          <w:color w:val="000000"/>
          <w:sz w:val="32"/>
          <w:szCs w:val="32"/>
        </w:rPr>
        <w:t>9501.72万</w:t>
      </w:r>
      <w:r>
        <w:rPr>
          <w:rFonts w:hint="eastAsia" w:ascii="仿宋" w:hAnsi="仿宋" w:eastAsia="仿宋" w:cs="仿宋"/>
          <w:color w:val="000000"/>
          <w:sz w:val="32"/>
          <w:szCs w:val="32"/>
          <w:lang w:val="zh-CN"/>
        </w:rPr>
        <w:t>元，</w:t>
      </w:r>
      <w:r>
        <w:rPr>
          <w:rFonts w:hint="eastAsia" w:ascii="仿宋" w:hAnsi="仿宋" w:eastAsia="仿宋"/>
          <w:color w:val="000000"/>
          <w:sz w:val="32"/>
          <w:szCs w:val="32"/>
        </w:rPr>
        <w:t>与2018年相比，收入总计增加8770.81万元，上升100</w:t>
      </w:r>
      <w:r>
        <w:rPr>
          <w:rFonts w:ascii="仿宋" w:hAnsi="仿宋" w:eastAsia="仿宋"/>
          <w:color w:val="000000"/>
          <w:sz w:val="32"/>
          <w:szCs w:val="32"/>
        </w:rPr>
        <w:t>%</w:t>
      </w:r>
      <w:r>
        <w:rPr>
          <w:rFonts w:hint="eastAsia" w:ascii="仿宋" w:hAnsi="仿宋" w:eastAsia="仿宋"/>
          <w:color w:val="000000"/>
          <w:sz w:val="32"/>
          <w:szCs w:val="32"/>
        </w:rPr>
        <w:t>；主要变动原因是机构改革，我局由原单位分出，单独成立九寨沟县水务局。</w:t>
      </w:r>
    </w:p>
    <w:p>
      <w:pPr>
        <w:spacing w:line="500" w:lineRule="exact"/>
        <w:ind w:firstLine="640" w:firstLineChars="200"/>
        <w:outlineLvl w:val="9"/>
        <w:rPr>
          <w:rFonts w:ascii="仿宋" w:hAnsi="仿宋" w:eastAsia="仿宋"/>
          <w:color w:val="000000"/>
          <w:kern w:val="0"/>
          <w:sz w:val="32"/>
          <w:szCs w:val="32"/>
        </w:rPr>
      </w:pPr>
    </w:p>
    <w:p>
      <w:pPr>
        <w:outlineLvl w:val="9"/>
      </w:pPr>
      <w:r>
        <w:rPr>
          <w:rFonts w:hint="eastAsia" w:ascii="仿宋" w:hAnsi="仿宋" w:eastAsia="仿宋"/>
          <w:color w:val="000000"/>
        </w:rPr>
        <w:drawing>
          <wp:anchor distT="0" distB="0" distL="114300" distR="114300" simplePos="0" relativeHeight="251659264" behindDoc="0" locked="0" layoutInCell="1" allowOverlap="1">
            <wp:simplePos x="0" y="0"/>
            <wp:positionH relativeFrom="column">
              <wp:posOffset>636905</wp:posOffset>
            </wp:positionH>
            <wp:positionV relativeFrom="paragraph">
              <wp:posOffset>241935</wp:posOffset>
            </wp:positionV>
            <wp:extent cx="4629785" cy="2883535"/>
            <wp:effectExtent l="4445" t="4445" r="13970" b="762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outlineLvl w:val="9"/>
        <w:rPr>
          <w:rFonts w:ascii="仿宋_GB2312" w:eastAsia="仿宋_GB2312"/>
          <w:color w:val="000000"/>
          <w:sz w:val="32"/>
          <w:szCs w:val="32"/>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pStyle w:val="19"/>
        <w:numPr>
          <w:ilvl w:val="0"/>
          <w:numId w:val="2"/>
        </w:numPr>
        <w:spacing w:line="600" w:lineRule="exact"/>
        <w:ind w:firstLineChars="0"/>
        <w:outlineLvl w:val="1"/>
        <w:rPr>
          <w:rStyle w:val="18"/>
          <w:rFonts w:ascii="黑体" w:hAnsi="黑体" w:eastAsia="黑体"/>
          <w:b w:val="0"/>
        </w:rPr>
      </w:pPr>
      <w:bookmarkStart w:id="66" w:name="_Toc15396604"/>
      <w:bookmarkStart w:id="67" w:name="_Toc15377206"/>
      <w:bookmarkStart w:id="68" w:name="_Toc18715"/>
      <w:bookmarkStart w:id="69" w:name="_Toc23382"/>
      <w:bookmarkStart w:id="70" w:name="_Toc26075"/>
      <w:bookmarkStart w:id="71" w:name="_Toc2447"/>
      <w:bookmarkStart w:id="72" w:name="_Toc22093"/>
      <w:bookmarkStart w:id="73" w:name="_Toc21453"/>
      <w:bookmarkStart w:id="74" w:name="_Toc18862"/>
      <w:r>
        <w:rPr>
          <w:rFonts w:hint="eastAsia" w:ascii="黑体" w:hAnsi="黑体" w:eastAsia="黑体"/>
          <w:color w:val="000000"/>
          <w:sz w:val="32"/>
          <w:szCs w:val="32"/>
        </w:rPr>
        <w:t>收</w:t>
      </w:r>
      <w:r>
        <w:rPr>
          <w:rStyle w:val="18"/>
          <w:rFonts w:hint="eastAsia" w:ascii="黑体" w:hAnsi="黑体" w:eastAsia="黑体"/>
          <w:b w:val="0"/>
        </w:rPr>
        <w:t>入决算情况说明</w:t>
      </w:r>
      <w:bookmarkEnd w:id="66"/>
      <w:bookmarkEnd w:id="67"/>
      <w:bookmarkEnd w:id="68"/>
      <w:bookmarkEnd w:id="69"/>
      <w:bookmarkEnd w:id="70"/>
      <w:bookmarkEnd w:id="71"/>
      <w:bookmarkEnd w:id="72"/>
      <w:bookmarkEnd w:id="73"/>
      <w:bookmarkEnd w:id="74"/>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s="仿宋"/>
          <w:sz w:val="32"/>
          <w:szCs w:val="32"/>
        </w:rPr>
        <w:t>8770.81</w:t>
      </w:r>
      <w:r>
        <w:rPr>
          <w:rFonts w:hint="eastAsia" w:ascii="仿宋" w:hAnsi="仿宋" w:eastAsia="仿宋"/>
          <w:color w:val="000000"/>
          <w:sz w:val="32"/>
          <w:szCs w:val="32"/>
        </w:rPr>
        <w:t>万元，其中：一般公共预算财政拨款收入</w:t>
      </w:r>
      <w:r>
        <w:rPr>
          <w:rFonts w:hint="eastAsia" w:ascii="仿宋" w:hAnsi="仿宋" w:eastAsia="仿宋" w:cs="仿宋"/>
          <w:sz w:val="32"/>
          <w:szCs w:val="32"/>
        </w:rPr>
        <w:t>8770.81</w:t>
      </w:r>
      <w:r>
        <w:rPr>
          <w:rFonts w:hint="eastAsia" w:ascii="仿宋" w:hAnsi="仿宋" w:eastAsia="仿宋"/>
          <w:color w:val="000000"/>
          <w:sz w:val="32"/>
          <w:szCs w:val="32"/>
        </w:rPr>
        <w:t>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w:t>
      </w:r>
    </w:p>
    <w:p>
      <w:pPr>
        <w:pStyle w:val="2"/>
        <w:ind w:left="0" w:leftChars="0" w:firstLine="0" w:firstLineChars="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0288" behindDoc="0" locked="0" layoutInCell="1" allowOverlap="1">
            <wp:simplePos x="0" y="0"/>
            <wp:positionH relativeFrom="column">
              <wp:posOffset>636270</wp:posOffset>
            </wp:positionH>
            <wp:positionV relativeFrom="paragraph">
              <wp:posOffset>-8890</wp:posOffset>
            </wp:positionV>
            <wp:extent cx="4361815" cy="3238500"/>
            <wp:effectExtent l="4445" t="4445" r="15240" b="1460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themeColor="text1"/>
          <w:sz w:val="32"/>
          <w:szCs w:val="32"/>
          <w14:textFill>
            <w14:solidFill>
              <w14:schemeClr w14:val="tx1"/>
            </w14:solidFill>
          </w14:textFill>
        </w:rPr>
        <w:t>（图2：收入决算结构图）（饼状图）</w:t>
      </w:r>
    </w:p>
    <w:p>
      <w:pPr>
        <w:pStyle w:val="19"/>
        <w:numPr>
          <w:ilvl w:val="0"/>
          <w:numId w:val="2"/>
        </w:numPr>
        <w:spacing w:line="600" w:lineRule="exact"/>
        <w:ind w:firstLineChars="0"/>
        <w:outlineLvl w:val="1"/>
        <w:rPr>
          <w:rStyle w:val="18"/>
          <w:rFonts w:ascii="黑体" w:hAnsi="黑体" w:eastAsia="黑体"/>
          <w:b w:val="0"/>
        </w:rPr>
      </w:pPr>
      <w:bookmarkStart w:id="75" w:name="_Toc15396605"/>
      <w:bookmarkStart w:id="76" w:name="_Toc15377207"/>
      <w:bookmarkStart w:id="77" w:name="_Toc21449"/>
      <w:bookmarkStart w:id="78" w:name="_Toc5792"/>
      <w:bookmarkStart w:id="79" w:name="_Toc9407"/>
      <w:bookmarkStart w:id="80" w:name="_Toc32414"/>
      <w:bookmarkStart w:id="81" w:name="_Toc27471"/>
      <w:bookmarkStart w:id="82" w:name="_Toc15823"/>
      <w:bookmarkStart w:id="83" w:name="_Toc1189"/>
      <w:r>
        <w:rPr>
          <w:rFonts w:hint="eastAsia" w:ascii="黑体" w:hAnsi="黑体" w:eastAsia="黑体"/>
          <w:color w:val="000000"/>
          <w:sz w:val="32"/>
          <w:szCs w:val="32"/>
        </w:rPr>
        <w:t>支</w:t>
      </w:r>
      <w:r>
        <w:rPr>
          <w:rStyle w:val="18"/>
          <w:rFonts w:hint="eastAsia" w:ascii="黑体" w:hAnsi="黑体" w:eastAsia="黑体"/>
          <w:b w:val="0"/>
        </w:rPr>
        <w:t>出决算情况说明</w:t>
      </w:r>
      <w:bookmarkEnd w:id="75"/>
      <w:bookmarkEnd w:id="76"/>
      <w:bookmarkEnd w:id="77"/>
      <w:bookmarkEnd w:id="78"/>
      <w:bookmarkEnd w:id="79"/>
      <w:bookmarkEnd w:id="80"/>
      <w:bookmarkEnd w:id="81"/>
      <w:bookmarkEnd w:id="82"/>
      <w:bookmarkEnd w:id="83"/>
    </w:p>
    <w:p>
      <w:pPr>
        <w:spacing w:line="600" w:lineRule="exact"/>
        <w:ind w:firstLine="640" w:firstLineChars="200"/>
        <w:outlineLvl w:val="9"/>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s="仿宋"/>
          <w:color w:val="000000"/>
          <w:sz w:val="32"/>
          <w:szCs w:val="32"/>
        </w:rPr>
        <w:t>9501.72</w:t>
      </w:r>
      <w:r>
        <w:rPr>
          <w:rFonts w:hint="eastAsia" w:ascii="仿宋" w:hAnsi="仿宋" w:eastAsia="仿宋"/>
          <w:color w:val="000000"/>
          <w:sz w:val="32"/>
          <w:szCs w:val="32"/>
        </w:rPr>
        <w:t>万元，其中：</w:t>
      </w:r>
      <w:r>
        <w:rPr>
          <w:rFonts w:hint="eastAsia" w:ascii="仿宋" w:hAnsi="仿宋" w:eastAsia="仿宋" w:cs="仿宋"/>
          <w:color w:val="000000"/>
          <w:sz w:val="32"/>
          <w:szCs w:val="32"/>
          <w:lang w:val="zh-CN"/>
        </w:rPr>
        <w:t>其中基本支出</w:t>
      </w:r>
      <w:r>
        <w:rPr>
          <w:rFonts w:hint="eastAsia" w:ascii="仿宋" w:hAnsi="仿宋" w:eastAsia="仿宋" w:cs="仿宋"/>
          <w:color w:val="000000"/>
          <w:sz w:val="32"/>
          <w:szCs w:val="32"/>
        </w:rPr>
        <w:t>253.67万</w:t>
      </w:r>
      <w:r>
        <w:rPr>
          <w:rFonts w:hint="eastAsia" w:ascii="仿宋" w:hAnsi="仿宋" w:eastAsia="仿宋" w:cs="仿宋"/>
          <w:color w:val="000000"/>
          <w:sz w:val="32"/>
          <w:szCs w:val="32"/>
          <w:lang w:val="zh-CN"/>
        </w:rPr>
        <w:t>元，项目支出</w:t>
      </w:r>
      <w:r>
        <w:rPr>
          <w:rFonts w:hint="eastAsia" w:ascii="仿宋" w:hAnsi="仿宋" w:eastAsia="仿宋" w:cs="仿宋"/>
          <w:color w:val="000000"/>
          <w:sz w:val="32"/>
          <w:szCs w:val="32"/>
        </w:rPr>
        <w:t>9248.05万</w:t>
      </w:r>
      <w:r>
        <w:rPr>
          <w:rFonts w:hint="eastAsia" w:ascii="仿宋" w:hAnsi="仿宋" w:eastAsia="仿宋" w:cs="仿宋"/>
          <w:color w:val="000000"/>
          <w:sz w:val="32"/>
          <w:szCs w:val="32"/>
          <w:lang w:val="zh-CN"/>
        </w:rPr>
        <w:t>元，</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pPr>
        <w:widowControl/>
        <w:spacing w:line="500" w:lineRule="exact"/>
        <w:ind w:firstLine="960" w:firstLineChars="300"/>
        <w:jc w:val="left"/>
        <w:outlineLvl w:val="9"/>
        <w:rPr>
          <w:rFonts w:ascii="仿宋" w:hAnsi="仿宋" w:eastAsia="仿宋" w:cs="仿宋"/>
          <w:color w:val="000000"/>
          <w:sz w:val="32"/>
          <w:szCs w:val="32"/>
          <w:lang w:val="zh-CN"/>
        </w:rPr>
      </w:pPr>
    </w:p>
    <w:p>
      <w:pPr>
        <w:pStyle w:val="2"/>
        <w:ind w:firstLine="640"/>
        <w:outlineLvl w:val="9"/>
        <w:rPr>
          <w:rFonts w:ascii="仿宋" w:hAnsi="仿宋" w:eastAsia="仿宋" w:cs="仿宋"/>
          <w:color w:val="000000"/>
          <w:sz w:val="32"/>
          <w:szCs w:val="32"/>
          <w:lang w:val="zh-CN"/>
        </w:rPr>
      </w:pPr>
      <w:r>
        <w:rPr>
          <w:rFonts w:hint="eastAsia" w:ascii="仿宋" w:hAnsi="仿宋" w:eastAsia="仿宋"/>
          <w:color w:val="000000"/>
          <w:sz w:val="32"/>
          <w:szCs w:val="32"/>
        </w:rPr>
        <w:drawing>
          <wp:anchor distT="0" distB="0" distL="114300" distR="114300" simplePos="0" relativeHeight="251662336" behindDoc="0" locked="0" layoutInCell="1" allowOverlap="1">
            <wp:simplePos x="0" y="0"/>
            <wp:positionH relativeFrom="column">
              <wp:posOffset>488950</wp:posOffset>
            </wp:positionH>
            <wp:positionV relativeFrom="paragraph">
              <wp:posOffset>446405</wp:posOffset>
            </wp:positionV>
            <wp:extent cx="4538980" cy="2663190"/>
            <wp:effectExtent l="4445" t="4445" r="9525" b="1841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outlineLvl w:val="9"/>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18"/>
          <w:rFonts w:ascii="黑体" w:hAnsi="黑体" w:eastAsia="黑体"/>
          <w:b w:val="0"/>
        </w:rPr>
      </w:pPr>
      <w:bookmarkStart w:id="84" w:name="_Toc15377208"/>
      <w:bookmarkStart w:id="85" w:name="_Toc15396606"/>
      <w:bookmarkStart w:id="86" w:name="_Toc31596"/>
      <w:bookmarkStart w:id="87" w:name="_Toc30181"/>
      <w:bookmarkStart w:id="88" w:name="_Toc20010"/>
      <w:bookmarkStart w:id="89" w:name="_Toc21626"/>
      <w:bookmarkStart w:id="90" w:name="_Toc29174"/>
      <w:bookmarkStart w:id="91" w:name="_Toc18524"/>
      <w:bookmarkStart w:id="92" w:name="_Toc1790"/>
      <w:r>
        <w:rPr>
          <w:rFonts w:hint="eastAsia" w:ascii="黑体" w:hAnsi="黑体" w:eastAsia="黑体"/>
          <w:color w:val="000000"/>
          <w:sz w:val="32"/>
          <w:szCs w:val="32"/>
        </w:rPr>
        <w:t>四、财</w:t>
      </w:r>
      <w:r>
        <w:rPr>
          <w:rStyle w:val="18"/>
          <w:rFonts w:hint="eastAsia" w:ascii="黑体" w:hAnsi="黑体" w:eastAsia="黑体"/>
          <w:b w:val="0"/>
        </w:rPr>
        <w:t>政拨款收入支出决算总体情况说明</w:t>
      </w:r>
      <w:bookmarkEnd w:id="84"/>
      <w:bookmarkEnd w:id="85"/>
      <w:bookmarkEnd w:id="86"/>
      <w:bookmarkEnd w:id="87"/>
      <w:bookmarkEnd w:id="88"/>
      <w:bookmarkEnd w:id="89"/>
      <w:bookmarkEnd w:id="90"/>
      <w:bookmarkEnd w:id="91"/>
      <w:bookmarkEnd w:id="92"/>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9年财政拨款收8770.81万元、支9501.72万元。与</w:t>
      </w:r>
      <w:r>
        <w:rPr>
          <w:rFonts w:ascii="仿宋" w:hAnsi="仿宋" w:eastAsia="仿宋"/>
          <w:color w:val="000000"/>
          <w:sz w:val="32"/>
          <w:szCs w:val="32"/>
        </w:rPr>
        <w:t>201</w:t>
      </w:r>
      <w:r>
        <w:rPr>
          <w:rFonts w:hint="eastAsia" w:ascii="仿宋" w:hAnsi="仿宋" w:eastAsia="仿宋"/>
          <w:color w:val="000000"/>
          <w:sz w:val="32"/>
          <w:szCs w:val="32"/>
        </w:rPr>
        <w:t>8年相比，财政拨款收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增加8770.81万元，支</w:t>
      </w:r>
      <w:r>
        <w:rPr>
          <w:rFonts w:hint="eastAsia" w:ascii="仿宋" w:hAnsi="仿宋" w:eastAsia="仿宋"/>
          <w:color w:val="000000"/>
          <w:sz w:val="32"/>
          <w:szCs w:val="32"/>
          <w:lang w:eastAsia="zh-CN"/>
        </w:rPr>
        <w:t>出增加</w:t>
      </w:r>
      <w:r>
        <w:rPr>
          <w:rFonts w:hint="eastAsia" w:ascii="仿宋" w:hAnsi="仿宋" w:eastAsia="仿宋"/>
          <w:color w:val="000000"/>
          <w:sz w:val="32"/>
          <w:szCs w:val="32"/>
        </w:rPr>
        <w:t>9501.72万元，增长100</w:t>
      </w:r>
      <w:r>
        <w:rPr>
          <w:rFonts w:ascii="仿宋" w:hAnsi="仿宋" w:eastAsia="仿宋"/>
          <w:color w:val="000000"/>
          <w:sz w:val="32"/>
          <w:szCs w:val="32"/>
        </w:rPr>
        <w:t>%</w:t>
      </w:r>
      <w:r>
        <w:rPr>
          <w:rFonts w:hint="eastAsia" w:ascii="仿宋" w:hAnsi="仿宋" w:eastAsia="仿宋"/>
          <w:color w:val="000000"/>
          <w:sz w:val="32"/>
          <w:szCs w:val="32"/>
        </w:rPr>
        <w:t>。主要变动原因是机构改革，我局由原单位分出，单独成立九寨沟县水务局，单位单独核算。</w:t>
      </w:r>
    </w:p>
    <w:p>
      <w:pPr>
        <w:pStyle w:val="2"/>
        <w:ind w:firstLine="640"/>
        <w:rPr>
          <w:rFonts w:ascii="仿宋" w:hAnsi="仿宋" w:eastAsia="仿宋"/>
          <w:color w:val="000000"/>
          <w:sz w:val="32"/>
          <w:szCs w:val="32"/>
        </w:rPr>
      </w:pPr>
    </w:p>
    <w:p>
      <w:pPr>
        <w:pStyle w:val="2"/>
        <w:ind w:firstLine="640"/>
        <w:rPr>
          <w:rFonts w:ascii="仿宋" w:hAnsi="仿宋" w:eastAsia="仿宋"/>
          <w:color w:val="000000"/>
          <w:sz w:val="32"/>
          <w:szCs w:val="32"/>
        </w:rPr>
      </w:pPr>
    </w:p>
    <w:p>
      <w:pPr>
        <w:pStyle w:val="2"/>
        <w:ind w:firstLine="640"/>
        <w:rPr>
          <w:rFonts w:ascii="仿宋" w:hAnsi="仿宋" w:eastAsia="仿宋"/>
          <w:color w:val="000000"/>
          <w:sz w:val="32"/>
          <w:szCs w:val="32"/>
        </w:rPr>
      </w:pPr>
    </w:p>
    <w:p>
      <w:pPr>
        <w:pStyle w:val="2"/>
        <w:ind w:firstLine="640"/>
        <w:rPr>
          <w:rFonts w:ascii="仿宋" w:hAnsi="仿宋" w:eastAsia="仿宋"/>
          <w:color w:val="000000"/>
          <w:sz w:val="32"/>
          <w:szCs w:val="32"/>
        </w:rPr>
      </w:pPr>
    </w:p>
    <w:p>
      <w:pPr>
        <w:pStyle w:val="2"/>
        <w:ind w:firstLine="640"/>
        <w:rPr>
          <w:rFonts w:ascii="仿宋" w:hAnsi="仿宋" w:eastAsia="仿宋"/>
          <w:color w:val="000000"/>
          <w:sz w:val="32"/>
          <w:szCs w:val="32"/>
        </w:rPr>
      </w:pPr>
    </w:p>
    <w:p>
      <w:pPr>
        <w:pStyle w:val="2"/>
        <w:ind w:firstLine="64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3360" behindDoc="0" locked="0" layoutInCell="1" allowOverlap="1">
            <wp:simplePos x="0" y="0"/>
            <wp:positionH relativeFrom="column">
              <wp:posOffset>290830</wp:posOffset>
            </wp:positionH>
            <wp:positionV relativeFrom="paragraph">
              <wp:posOffset>137795</wp:posOffset>
            </wp:positionV>
            <wp:extent cx="4903470" cy="3235960"/>
            <wp:effectExtent l="5080" t="4445" r="6350" b="17145"/>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18"/>
          <w:rFonts w:ascii="黑体" w:hAnsi="黑体" w:eastAsia="黑体"/>
          <w:b w:val="0"/>
        </w:rPr>
      </w:pPr>
      <w:bookmarkStart w:id="93" w:name="_Toc15377209"/>
      <w:bookmarkStart w:id="94" w:name="_Toc15396607"/>
      <w:bookmarkStart w:id="95" w:name="_Toc17263"/>
      <w:bookmarkStart w:id="96" w:name="_Toc15455"/>
      <w:bookmarkStart w:id="97" w:name="_Toc18582"/>
      <w:bookmarkStart w:id="98" w:name="_Toc20798"/>
      <w:bookmarkStart w:id="99" w:name="_Toc31017"/>
      <w:bookmarkStart w:id="100" w:name="_Toc32679"/>
      <w:bookmarkStart w:id="101" w:name="_Toc9388"/>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18"/>
          <w:rFonts w:hint="eastAsia" w:ascii="黑体" w:hAnsi="黑体" w:eastAsia="黑体"/>
          <w:b w:val="0"/>
        </w:rPr>
        <w:t>般公共预算财政拨款支出决算情况说明</w:t>
      </w:r>
      <w:bookmarkEnd w:id="93"/>
      <w:bookmarkEnd w:id="94"/>
      <w:bookmarkEnd w:id="95"/>
      <w:bookmarkEnd w:id="96"/>
      <w:bookmarkEnd w:id="97"/>
      <w:bookmarkEnd w:id="98"/>
      <w:bookmarkEnd w:id="99"/>
      <w:bookmarkEnd w:id="100"/>
      <w:bookmarkEnd w:id="101"/>
    </w:p>
    <w:p>
      <w:pPr>
        <w:spacing w:line="600" w:lineRule="exact"/>
        <w:ind w:firstLine="643" w:firstLineChars="200"/>
        <w:outlineLvl w:val="2"/>
        <w:rPr>
          <w:rFonts w:ascii="仿宋" w:hAnsi="仿宋" w:eastAsia="仿宋"/>
          <w:b/>
          <w:color w:val="000000"/>
          <w:sz w:val="32"/>
          <w:szCs w:val="32"/>
        </w:rPr>
      </w:pPr>
      <w:bookmarkStart w:id="102" w:name="_Toc15377210"/>
      <w:bookmarkStart w:id="103" w:name="_Toc25126"/>
      <w:r>
        <w:rPr>
          <w:rFonts w:hint="eastAsia" w:ascii="仿宋" w:hAnsi="仿宋" w:eastAsia="仿宋"/>
          <w:b/>
          <w:color w:val="000000"/>
          <w:sz w:val="32"/>
          <w:szCs w:val="32"/>
        </w:rPr>
        <w:t>（一）一般公共预算财政拨款支出决算总体情况</w:t>
      </w:r>
      <w:bookmarkEnd w:id="102"/>
      <w:bookmarkEnd w:id="103"/>
    </w:p>
    <w:p>
      <w:pPr>
        <w:spacing w:line="600" w:lineRule="exact"/>
        <w:ind w:firstLine="640" w:firstLineChars="200"/>
        <w:outlineLvl w:val="9"/>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9年一般公共预算财政拨款支出9501.7</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8年相比，一般公共预算财政拨款增加9501.7</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万元，增长100</w:t>
      </w:r>
      <w:r>
        <w:rPr>
          <w:rFonts w:ascii="仿宋" w:hAnsi="仿宋" w:eastAsia="仿宋"/>
          <w:color w:val="000000"/>
          <w:sz w:val="32"/>
          <w:szCs w:val="32"/>
        </w:rPr>
        <w:t>%</w:t>
      </w:r>
      <w:r>
        <w:rPr>
          <w:rFonts w:hint="eastAsia" w:ascii="仿宋" w:hAnsi="仿宋" w:eastAsia="仿宋"/>
          <w:color w:val="000000"/>
          <w:sz w:val="32"/>
          <w:szCs w:val="32"/>
        </w:rPr>
        <w:t>。主要变动原因是机构改革，我局由原单位分出，单独成立九寨沟县水务局，单位单独核算。</w:t>
      </w:r>
    </w:p>
    <w:p>
      <w:pPr>
        <w:spacing w:line="600" w:lineRule="exact"/>
        <w:ind w:firstLine="640" w:firstLineChars="200"/>
        <w:outlineLvl w:val="9"/>
        <w:rPr>
          <w:rFonts w:ascii="仿宋" w:hAnsi="仿宋" w:eastAsia="仿宋"/>
          <w:color w:val="000000"/>
          <w:sz w:val="32"/>
          <w:szCs w:val="32"/>
        </w:rPr>
      </w:pPr>
    </w:p>
    <w:p>
      <w:pPr>
        <w:pStyle w:val="2"/>
        <w:ind w:firstLine="640"/>
        <w:outlineLvl w:val="9"/>
        <w:rPr>
          <w:rFonts w:ascii="仿宋" w:hAnsi="仿宋" w:eastAsia="仿宋"/>
          <w:color w:val="000000"/>
          <w:sz w:val="32"/>
          <w:szCs w:val="32"/>
        </w:rPr>
      </w:pPr>
    </w:p>
    <w:p>
      <w:pPr>
        <w:pStyle w:val="2"/>
        <w:ind w:left="0" w:leftChars="0" w:firstLine="0" w:firstLineChars="0"/>
        <w:outlineLvl w:val="9"/>
        <w:rPr>
          <w:rFonts w:ascii="仿宋" w:hAnsi="仿宋" w:eastAsia="仿宋"/>
          <w:color w:val="000000"/>
          <w:sz w:val="32"/>
          <w:szCs w:val="32"/>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4384" behindDoc="0" locked="0" layoutInCell="1" allowOverlap="1">
            <wp:simplePos x="0" y="0"/>
            <wp:positionH relativeFrom="column">
              <wp:posOffset>367665</wp:posOffset>
            </wp:positionH>
            <wp:positionV relativeFrom="paragraph">
              <wp:posOffset>363220</wp:posOffset>
            </wp:positionV>
            <wp:extent cx="4585335" cy="2724785"/>
            <wp:effectExtent l="4445" t="4445" r="20320" b="13970"/>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outlineLvl w:val="9"/>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spacing w:line="600" w:lineRule="exact"/>
        <w:ind w:firstLine="643" w:firstLineChars="200"/>
        <w:outlineLvl w:val="2"/>
        <w:rPr>
          <w:rFonts w:ascii="仿宋" w:hAnsi="仿宋" w:eastAsia="仿宋"/>
          <w:b/>
          <w:color w:val="000000"/>
          <w:sz w:val="32"/>
          <w:szCs w:val="32"/>
        </w:rPr>
      </w:pPr>
      <w:bookmarkStart w:id="104" w:name="_Toc15377211"/>
      <w:bookmarkStart w:id="105" w:name="_Toc6173"/>
      <w:r>
        <w:rPr>
          <w:rFonts w:hint="eastAsia" w:ascii="仿宋" w:hAnsi="仿宋" w:eastAsia="仿宋"/>
          <w:b/>
          <w:color w:val="000000"/>
          <w:sz w:val="32"/>
          <w:szCs w:val="32"/>
        </w:rPr>
        <w:t>（二）一般公共预算财政拨款支出决算结构情况</w:t>
      </w:r>
      <w:bookmarkEnd w:id="104"/>
      <w:bookmarkEnd w:id="105"/>
    </w:p>
    <w:p>
      <w:pPr>
        <w:spacing w:line="600" w:lineRule="exact"/>
        <w:ind w:firstLine="640"/>
        <w:outlineLvl w:val="9"/>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14:textFill>
            <w14:solidFill>
              <w14:schemeClr w14:val="tx1"/>
            </w14:solidFill>
          </w14:textFill>
        </w:rPr>
        <w:t>政拨款支出9501.7</w:t>
      </w:r>
      <w:r>
        <w:rPr>
          <w:rFonts w:hint="eastAsia" w:ascii="仿宋" w:hAnsi="仿宋" w:eastAsia="仿宋"/>
          <w:color w:val="000000" w:themeColor="text1"/>
          <w:sz w:val="32"/>
          <w:szCs w:val="32"/>
          <w:lang w:val="en-US" w:eastAsia="zh-CN"/>
          <w14:textFill>
            <w14:solidFill>
              <w14:schemeClr w14:val="tx1"/>
            </w14:solidFill>
          </w14:textFill>
        </w:rPr>
        <w:t>2</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社会保障和就业（208）</w:t>
      </w:r>
      <w:r>
        <w:rPr>
          <w:rFonts w:hint="eastAsia" w:ascii="仿宋" w:hAnsi="仿宋" w:eastAsia="仿宋"/>
          <w:color w:val="000000" w:themeColor="text1"/>
          <w:sz w:val="32"/>
          <w:szCs w:val="32"/>
          <w14:textFill>
            <w14:solidFill>
              <w14:schemeClr w14:val="tx1"/>
            </w14:solidFill>
          </w14:textFill>
        </w:rPr>
        <w:t>支出9.59万元，占0.1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卫生健康支出</w:t>
      </w:r>
      <w:r>
        <w:rPr>
          <w:rFonts w:hint="eastAsia" w:ascii="仿宋" w:hAnsi="仿宋" w:eastAsia="仿宋"/>
          <w:b/>
          <w:color w:val="000000" w:themeColor="text1"/>
          <w:sz w:val="32"/>
          <w:szCs w:val="32"/>
          <w14:textFill>
            <w14:solidFill>
              <w14:schemeClr w14:val="tx1"/>
            </w14:solidFill>
          </w14:textFill>
        </w:rPr>
        <w:t>（210）</w:t>
      </w:r>
      <w:r>
        <w:rPr>
          <w:rFonts w:hint="eastAsia" w:ascii="仿宋" w:hAnsi="仿宋" w:eastAsia="仿宋"/>
          <w:color w:val="000000" w:themeColor="text1"/>
          <w:sz w:val="32"/>
          <w:szCs w:val="32"/>
          <w14:textFill>
            <w14:solidFill>
              <w14:schemeClr w14:val="tx1"/>
            </w14:solidFill>
          </w14:textFill>
        </w:rPr>
        <w:t>支出12.84万元，占0.13%；</w:t>
      </w:r>
      <w:r>
        <w:rPr>
          <w:rFonts w:hint="eastAsia" w:ascii="仿宋" w:hAnsi="仿宋" w:eastAsia="仿宋"/>
          <w:b/>
          <w:bCs/>
          <w:color w:val="000000" w:themeColor="text1"/>
          <w:sz w:val="32"/>
          <w:szCs w:val="32"/>
          <w14:textFill>
            <w14:solidFill>
              <w14:schemeClr w14:val="tx1"/>
            </w14:solidFill>
          </w14:textFill>
        </w:rPr>
        <w:t>农林水支出</w:t>
      </w:r>
      <w:r>
        <w:rPr>
          <w:rFonts w:hint="eastAsia" w:ascii="仿宋" w:hAnsi="仿宋" w:eastAsia="仿宋"/>
          <w:b/>
          <w:color w:val="000000" w:themeColor="text1"/>
          <w:sz w:val="32"/>
          <w:szCs w:val="32"/>
          <w14:textFill>
            <w14:solidFill>
              <w14:schemeClr w14:val="tx1"/>
            </w14:solidFill>
          </w14:textFill>
        </w:rPr>
        <w:t>（213）</w:t>
      </w:r>
      <w:r>
        <w:rPr>
          <w:rFonts w:hint="eastAsia" w:ascii="仿宋" w:hAnsi="仿宋" w:eastAsia="仿宋"/>
          <w:b/>
          <w:bCs/>
          <w:color w:val="000000" w:themeColor="text1"/>
          <w:sz w:val="32"/>
          <w:szCs w:val="32"/>
          <w14:textFill>
            <w14:solidFill>
              <w14:schemeClr w14:val="tx1"/>
            </w14:solidFill>
          </w14:textFill>
        </w:rPr>
        <w:t>支</w:t>
      </w:r>
      <w:r>
        <w:rPr>
          <w:rFonts w:hint="eastAsia" w:ascii="仿宋" w:hAnsi="仿宋" w:eastAsia="仿宋"/>
          <w:color w:val="000000" w:themeColor="text1"/>
          <w:sz w:val="32"/>
          <w:szCs w:val="32"/>
          <w14:textFill>
            <w14:solidFill>
              <w14:schemeClr w14:val="tx1"/>
            </w14:solidFill>
          </w14:textFill>
        </w:rPr>
        <w:t>出9469.72</w:t>
      </w:r>
      <w:r>
        <w:rPr>
          <w:rFonts w:hint="eastAsia" w:ascii="仿宋" w:hAnsi="仿宋" w:eastAsia="仿宋"/>
          <w:b/>
          <w:bCs/>
          <w:color w:val="000000" w:themeColor="text1"/>
          <w:sz w:val="32"/>
          <w:szCs w:val="32"/>
          <w14:textFill>
            <w14:solidFill>
              <w14:schemeClr w14:val="tx1"/>
            </w14:solidFill>
          </w14:textFill>
        </w:rPr>
        <w:t>万元，占99.66</w:t>
      </w:r>
      <w:r>
        <w:rPr>
          <w:rFonts w:ascii="仿宋" w:hAnsi="仿宋" w:eastAsia="仿宋"/>
          <w:b/>
          <w:bCs/>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住房保障</w:t>
      </w:r>
      <w:r>
        <w:rPr>
          <w:rFonts w:hint="eastAsia" w:ascii="仿宋" w:hAnsi="仿宋" w:eastAsia="仿宋"/>
          <w:b/>
          <w:color w:val="000000" w:themeColor="text1"/>
          <w:sz w:val="32"/>
          <w:szCs w:val="32"/>
          <w14:textFill>
            <w14:solidFill>
              <w14:schemeClr w14:val="tx1"/>
            </w14:solidFill>
          </w14:textFill>
        </w:rPr>
        <w:t>（221）</w:t>
      </w:r>
      <w:r>
        <w:rPr>
          <w:rFonts w:hint="eastAsia" w:ascii="仿宋" w:hAnsi="仿宋" w:eastAsia="仿宋"/>
          <w:b/>
          <w:bCs/>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14:textFill>
            <w14:solidFill>
              <w14:schemeClr w14:val="tx1"/>
            </w14:solidFill>
          </w14:textFill>
        </w:rPr>
        <w:t>9.57万元，占0.1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pStyle w:val="2"/>
        <w:ind w:firstLine="640"/>
        <w:outlineLvl w:val="9"/>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5408" behindDoc="0" locked="0" layoutInCell="1" allowOverlap="1">
            <wp:simplePos x="0" y="0"/>
            <wp:positionH relativeFrom="column">
              <wp:posOffset>913765</wp:posOffset>
            </wp:positionH>
            <wp:positionV relativeFrom="paragraph">
              <wp:posOffset>423545</wp:posOffset>
            </wp:positionV>
            <wp:extent cx="4276090" cy="2301240"/>
            <wp:effectExtent l="5080" t="5080" r="5080" b="17780"/>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firstLineChars="200"/>
        <w:outlineLvl w:val="9"/>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643" w:firstLineChars="200"/>
        <w:outlineLvl w:val="2"/>
        <w:rPr>
          <w:rFonts w:ascii="仿宋" w:hAnsi="仿宋" w:eastAsia="仿宋"/>
          <w:b/>
          <w:color w:val="000000"/>
          <w:sz w:val="32"/>
          <w:szCs w:val="32"/>
        </w:rPr>
      </w:pPr>
      <w:bookmarkStart w:id="106" w:name="_Toc15377212"/>
      <w:bookmarkStart w:id="107" w:name="_Toc21817"/>
      <w:r>
        <w:rPr>
          <w:rFonts w:hint="eastAsia" w:ascii="仿宋" w:hAnsi="仿宋" w:eastAsia="仿宋"/>
          <w:b/>
          <w:color w:val="000000"/>
          <w:sz w:val="32"/>
          <w:szCs w:val="32"/>
        </w:rPr>
        <w:t>（三）一般公共预算财政拨款支出决算具体情况</w:t>
      </w:r>
      <w:bookmarkEnd w:id="106"/>
      <w:bookmarkEnd w:id="107"/>
    </w:p>
    <w:p>
      <w:pPr>
        <w:spacing w:line="600" w:lineRule="exact"/>
        <w:ind w:firstLine="643" w:firstLineChars="200"/>
        <w:outlineLvl w:val="9"/>
        <w:rPr>
          <w:rFonts w:ascii="仿宋" w:hAnsi="仿宋" w:eastAsia="仿宋"/>
          <w:color w:val="FF0000"/>
          <w:sz w:val="32"/>
          <w:szCs w:val="32"/>
        </w:rPr>
      </w:pPr>
      <w:bookmarkStart w:id="108" w:name="_Toc15377444"/>
      <w:bookmarkStart w:id="109" w:name="_Toc15377213"/>
      <w:bookmarkStart w:id="110" w:name="_Toc15378460"/>
      <w:r>
        <w:rPr>
          <w:rFonts w:hint="eastAsia" w:ascii="仿宋" w:hAnsi="仿宋" w:eastAsia="仿宋"/>
          <w:b/>
          <w:color w:val="000000" w:themeColor="text1"/>
          <w:sz w:val="32"/>
          <w:szCs w:val="32"/>
          <w14:textFill>
            <w14:solidFill>
              <w14:schemeClr w14:val="tx1"/>
            </w14:solidFill>
          </w14:textFill>
        </w:rPr>
        <w:t>2019年般公共预算支出决算数为9501.7</w:t>
      </w:r>
      <w:r>
        <w:rPr>
          <w:rFonts w:hint="eastAsia" w:ascii="仿宋" w:hAnsi="仿宋" w:eastAsia="仿宋"/>
          <w:b/>
          <w:color w:val="000000" w:themeColor="text1"/>
          <w:sz w:val="32"/>
          <w:szCs w:val="32"/>
          <w:lang w:val="en-US" w:eastAsia="zh-CN"/>
          <w14:textFill>
            <w14:solidFill>
              <w14:schemeClr w14:val="tx1"/>
            </w14:solidFill>
          </w14:textFill>
        </w:rPr>
        <w:t>2</w:t>
      </w:r>
      <w:r>
        <w:rPr>
          <w:rFonts w:hint="eastAsia" w:ascii="仿宋" w:hAnsi="仿宋" w:eastAsia="仿宋"/>
          <w:b/>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14:textFill>
            <w14:solidFill>
              <w14:schemeClr w14:val="tx1"/>
            </w14:solidFill>
          </w14:textFill>
        </w:rPr>
        <w:t>完成</w:t>
      </w:r>
      <w:r>
        <w:rPr>
          <w:rStyle w:val="15"/>
          <w:rFonts w:hint="eastAsia" w:ascii="仿宋" w:hAnsi="仿宋" w:eastAsia="仿宋"/>
          <w:bCs/>
          <w:color w:val="000000"/>
          <w:sz w:val="32"/>
          <w:szCs w:val="32"/>
        </w:rPr>
        <w:t>预算100</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108"/>
      <w:bookmarkEnd w:id="109"/>
      <w:bookmarkEnd w:id="110"/>
    </w:p>
    <w:p>
      <w:pPr>
        <w:spacing w:line="600" w:lineRule="exact"/>
        <w:ind w:firstLine="640"/>
        <w:outlineLvl w:val="9"/>
        <w:rPr>
          <w:rFonts w:ascii="仿宋" w:hAnsi="仿宋" w:eastAsia="仿宋"/>
          <w:b/>
          <w:color w:val="000000"/>
          <w:sz w:val="32"/>
          <w:szCs w:val="32"/>
        </w:rPr>
      </w:pPr>
      <w:r>
        <w:rPr>
          <w:rStyle w:val="15"/>
          <w:rFonts w:ascii="仿宋" w:hAnsi="仿宋" w:eastAsia="仿宋"/>
          <w:bCs/>
          <w:color w:val="000000"/>
          <w:sz w:val="32"/>
          <w:szCs w:val="32"/>
        </w:rPr>
        <w:t>1.</w:t>
      </w:r>
      <w:r>
        <w:rPr>
          <w:rStyle w:val="15"/>
          <w:rFonts w:hint="eastAsia" w:ascii="仿宋" w:hAnsi="仿宋" w:eastAsia="仿宋"/>
          <w:bCs/>
          <w:color w:val="000000"/>
          <w:sz w:val="32"/>
          <w:szCs w:val="32"/>
        </w:rPr>
        <w:t>社会保障和就业（208）行政事业单位离退休（05）机关事业单位基本养老保险缴费支出（05）</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支出决算为2.83万元，完成预算100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Style w:val="15"/>
          <w:rFonts w:hint="eastAsia" w:ascii="仿宋" w:hAnsi="仿宋" w:eastAsia="仿宋"/>
          <w:bCs/>
          <w:color w:val="000000"/>
          <w:sz w:val="32"/>
          <w:szCs w:val="32"/>
        </w:rPr>
        <w:t>社会保障和就业（208）其他社会保障和就业支出（99）其他社会保障和就业支出（01）：</w:t>
      </w:r>
      <w:r>
        <w:rPr>
          <w:rStyle w:val="15"/>
          <w:rFonts w:hint="eastAsia" w:ascii="仿宋" w:hAnsi="仿宋" w:eastAsia="仿宋"/>
          <w:b w:val="0"/>
          <w:bCs/>
          <w:color w:val="000000"/>
          <w:sz w:val="32"/>
          <w:szCs w:val="32"/>
        </w:rPr>
        <w:t>支出决算为6.76万元，完成预算100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outlineLvl w:val="9"/>
        <w:rPr>
          <w:rFonts w:eastAsia="仿宋"/>
        </w:rPr>
      </w:pPr>
      <w:r>
        <w:rPr>
          <w:rFonts w:hint="eastAsia" w:ascii="仿宋" w:hAnsi="仿宋" w:eastAsia="仿宋"/>
          <w:b/>
          <w:bCs/>
          <w:color w:val="000000" w:themeColor="text1"/>
          <w:sz w:val="32"/>
          <w:szCs w:val="32"/>
          <w14:textFill>
            <w14:solidFill>
              <w14:schemeClr w14:val="tx1"/>
            </w14:solidFill>
          </w14:textFill>
        </w:rPr>
        <w:t>2.卫生健康支出</w:t>
      </w:r>
      <w:r>
        <w:rPr>
          <w:rStyle w:val="15"/>
          <w:rFonts w:hint="eastAsia" w:ascii="仿宋" w:hAnsi="仿宋" w:eastAsia="仿宋"/>
          <w:bCs/>
          <w:color w:val="000000"/>
          <w:sz w:val="32"/>
          <w:szCs w:val="32"/>
        </w:rPr>
        <w:t>（210）行政事业单位医疗（11）行政单位医疗（01）</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Fonts w:hint="eastAsia" w:ascii="仿宋" w:hAnsi="仿宋" w:eastAsia="仿宋"/>
          <w:color w:val="000000" w:themeColor="text1"/>
          <w:sz w:val="32"/>
          <w:szCs w:val="32"/>
          <w14:textFill>
            <w14:solidFill>
              <w14:schemeClr w14:val="tx1"/>
            </w14:solidFill>
          </w14:textFill>
        </w:rPr>
        <w:t>9.98</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 w:hAnsi="仿宋" w:eastAsia="仿宋"/>
          <w:b/>
          <w:bCs/>
          <w:color w:val="000000" w:themeColor="text1"/>
          <w:sz w:val="32"/>
          <w:szCs w:val="32"/>
          <w14:textFill>
            <w14:solidFill>
              <w14:schemeClr w14:val="tx1"/>
            </w14:solidFill>
          </w14:textFill>
        </w:rPr>
        <w:t>卫生健康支出</w:t>
      </w:r>
      <w:r>
        <w:rPr>
          <w:rStyle w:val="15"/>
          <w:rFonts w:hint="eastAsia" w:ascii="仿宋" w:hAnsi="仿宋" w:eastAsia="仿宋"/>
          <w:bCs/>
          <w:color w:val="000000"/>
          <w:sz w:val="32"/>
          <w:szCs w:val="32"/>
        </w:rPr>
        <w:t>（210）行政事业单位医疗（11）公务员医疗补助（03）：</w:t>
      </w:r>
      <w:r>
        <w:rPr>
          <w:rStyle w:val="15"/>
          <w:rFonts w:hint="eastAsia" w:ascii="仿宋" w:hAnsi="仿宋" w:eastAsia="仿宋"/>
          <w:b w:val="0"/>
          <w:bCs/>
          <w:color w:val="000000"/>
          <w:sz w:val="32"/>
          <w:szCs w:val="32"/>
        </w:rPr>
        <w:t>支出决算为</w:t>
      </w:r>
      <w:r>
        <w:rPr>
          <w:rFonts w:hint="eastAsia" w:ascii="仿宋" w:hAnsi="仿宋" w:eastAsia="仿宋"/>
          <w:color w:val="000000" w:themeColor="text1"/>
          <w:sz w:val="32"/>
          <w:szCs w:val="32"/>
          <w14:textFill>
            <w14:solidFill>
              <w14:schemeClr w14:val="tx1"/>
            </w14:solidFill>
          </w14:textFill>
        </w:rPr>
        <w:t>2.86</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outlineLvl w:val="9"/>
        <w:rPr>
          <w:rStyle w:val="15"/>
          <w:rFonts w:ascii="仿宋" w:hAnsi="仿宋" w:eastAsia="仿宋"/>
          <w:b w:val="0"/>
          <w:bCs/>
          <w:color w:val="000000"/>
          <w:sz w:val="32"/>
          <w:szCs w:val="32"/>
        </w:rPr>
      </w:pPr>
      <w:r>
        <w:rPr>
          <w:rStyle w:val="15"/>
          <w:rFonts w:hint="eastAsia" w:ascii="仿宋" w:hAnsi="仿宋" w:eastAsia="仿宋"/>
          <w:bCs/>
          <w:color w:val="000000"/>
          <w:sz w:val="32"/>
          <w:szCs w:val="32"/>
        </w:rPr>
        <w:t>3</w:t>
      </w:r>
      <w:r>
        <w:rPr>
          <w:rStyle w:val="15"/>
          <w:rFonts w:ascii="仿宋" w:hAnsi="仿宋" w:eastAsia="仿宋"/>
          <w:bCs/>
          <w:color w:val="000000"/>
          <w:sz w:val="32"/>
          <w:szCs w:val="32"/>
        </w:rPr>
        <w:t>.</w:t>
      </w:r>
      <w:r>
        <w:rPr>
          <w:rFonts w:hint="eastAsia" w:ascii="仿宋" w:hAnsi="仿宋" w:eastAsia="仿宋"/>
          <w:b/>
          <w:bCs/>
          <w:color w:val="000000" w:themeColor="text1"/>
          <w:sz w:val="32"/>
          <w:szCs w:val="32"/>
          <w14:textFill>
            <w14:solidFill>
              <w14:schemeClr w14:val="tx1"/>
            </w14:solidFill>
          </w14:textFill>
        </w:rPr>
        <w:t>农林水支出</w:t>
      </w:r>
      <w:r>
        <w:rPr>
          <w:rStyle w:val="15"/>
          <w:rFonts w:hint="eastAsia" w:ascii="仿宋" w:hAnsi="仿宋" w:eastAsia="仿宋"/>
          <w:bCs/>
          <w:color w:val="000000"/>
          <w:sz w:val="32"/>
          <w:szCs w:val="32"/>
        </w:rPr>
        <w:t>（213）农业</w:t>
      </w:r>
      <w:r>
        <w:rPr>
          <w:rFonts w:hint="eastAsia" w:ascii="仿宋" w:hAnsi="仿宋" w:eastAsia="仿宋"/>
          <w:b/>
          <w:bCs/>
          <w:color w:val="000000" w:themeColor="text1"/>
          <w:sz w:val="32"/>
          <w:szCs w:val="32"/>
          <w14:textFill>
            <w14:solidFill>
              <w14:schemeClr w14:val="tx1"/>
            </w14:solidFill>
          </w14:textFill>
        </w:rPr>
        <w:t>（01）</w:t>
      </w:r>
      <w:r>
        <w:rPr>
          <w:rStyle w:val="15"/>
          <w:rFonts w:hint="eastAsia" w:ascii="仿宋" w:hAnsi="仿宋" w:eastAsia="仿宋"/>
          <w:bCs/>
          <w:color w:val="000000"/>
          <w:sz w:val="32"/>
          <w:szCs w:val="32"/>
        </w:rPr>
        <w:t>行政运行（01）</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FF0000"/>
          <w:sz w:val="32"/>
          <w:szCs w:val="32"/>
        </w:rPr>
        <w:t>19.64</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 w:hAnsi="仿宋" w:eastAsia="仿宋"/>
          <w:b/>
          <w:bCs/>
          <w:color w:val="000000" w:themeColor="text1"/>
          <w:sz w:val="32"/>
          <w:szCs w:val="32"/>
          <w14:textFill>
            <w14:solidFill>
              <w14:schemeClr w14:val="tx1"/>
            </w14:solidFill>
          </w14:textFill>
        </w:rPr>
        <w:t>农林水支出</w:t>
      </w:r>
      <w:r>
        <w:rPr>
          <w:rStyle w:val="15"/>
          <w:rFonts w:hint="eastAsia" w:ascii="仿宋" w:hAnsi="仿宋" w:eastAsia="仿宋"/>
          <w:bCs/>
          <w:color w:val="000000"/>
          <w:sz w:val="32"/>
          <w:szCs w:val="32"/>
        </w:rPr>
        <w:t>（213）水利</w:t>
      </w:r>
      <w:r>
        <w:rPr>
          <w:rFonts w:hint="eastAsia" w:ascii="仿宋" w:hAnsi="仿宋" w:eastAsia="仿宋"/>
          <w:b/>
          <w:bCs/>
          <w:color w:val="000000" w:themeColor="text1"/>
          <w:sz w:val="32"/>
          <w:szCs w:val="32"/>
          <w14:textFill>
            <w14:solidFill>
              <w14:schemeClr w14:val="tx1"/>
            </w14:solidFill>
          </w14:textFill>
        </w:rPr>
        <w:t>（03）</w:t>
      </w:r>
      <w:r>
        <w:rPr>
          <w:rStyle w:val="15"/>
          <w:rFonts w:hint="eastAsia" w:ascii="仿宋" w:hAnsi="仿宋" w:eastAsia="仿宋"/>
          <w:bCs/>
          <w:color w:val="000000"/>
          <w:sz w:val="32"/>
          <w:szCs w:val="32"/>
        </w:rPr>
        <w:t>行政运行（01）</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FF0000"/>
          <w:sz w:val="32"/>
          <w:szCs w:val="32"/>
        </w:rPr>
        <w:t>208</w:t>
      </w:r>
      <w:r>
        <w:rPr>
          <w:rStyle w:val="15"/>
          <w:rFonts w:hint="eastAsia" w:ascii="仿宋" w:hAnsi="仿宋" w:eastAsia="仿宋"/>
          <w:b w:val="0"/>
          <w:bCs/>
          <w:color w:val="FF0000"/>
          <w:sz w:val="32"/>
          <w:szCs w:val="32"/>
          <w:lang w:val="en-US" w:eastAsia="zh-CN"/>
        </w:rPr>
        <w:t>.</w:t>
      </w:r>
      <w:r>
        <w:rPr>
          <w:rStyle w:val="15"/>
          <w:rFonts w:hint="eastAsia" w:ascii="仿宋" w:hAnsi="仿宋" w:eastAsia="仿宋"/>
          <w:b w:val="0"/>
          <w:bCs/>
          <w:color w:val="FF0000"/>
          <w:sz w:val="32"/>
          <w:szCs w:val="32"/>
        </w:rPr>
        <w:t>7</w:t>
      </w:r>
      <w:r>
        <w:rPr>
          <w:rStyle w:val="15"/>
          <w:rFonts w:hint="eastAsia" w:ascii="仿宋" w:hAnsi="仿宋" w:eastAsia="仿宋"/>
          <w:b w:val="0"/>
          <w:bCs/>
          <w:color w:val="FF0000"/>
          <w:sz w:val="32"/>
          <w:szCs w:val="32"/>
          <w:lang w:val="en-US" w:eastAsia="zh-CN"/>
        </w:rPr>
        <w:t>9</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 w:hAnsi="仿宋" w:eastAsia="仿宋"/>
          <w:b/>
          <w:bCs/>
          <w:color w:val="000000" w:themeColor="text1"/>
          <w:sz w:val="32"/>
          <w:szCs w:val="32"/>
          <w14:textFill>
            <w14:solidFill>
              <w14:schemeClr w14:val="tx1"/>
            </w14:solidFill>
          </w14:textFill>
        </w:rPr>
        <w:t>农林水支出</w:t>
      </w:r>
      <w:r>
        <w:rPr>
          <w:rStyle w:val="15"/>
          <w:rFonts w:hint="eastAsia" w:ascii="仿宋" w:hAnsi="仿宋" w:eastAsia="仿宋"/>
          <w:bCs/>
          <w:color w:val="000000"/>
          <w:sz w:val="32"/>
          <w:szCs w:val="32"/>
        </w:rPr>
        <w:t>（213）水利</w:t>
      </w:r>
      <w:r>
        <w:rPr>
          <w:rFonts w:hint="eastAsia" w:ascii="仿宋" w:hAnsi="仿宋" w:eastAsia="仿宋"/>
          <w:b/>
          <w:bCs/>
          <w:color w:val="000000" w:themeColor="text1"/>
          <w:sz w:val="32"/>
          <w:szCs w:val="32"/>
          <w14:textFill>
            <w14:solidFill>
              <w14:schemeClr w14:val="tx1"/>
            </w14:solidFill>
          </w14:textFill>
        </w:rPr>
        <w:t>（03）水利工程建设</w:t>
      </w:r>
      <w:r>
        <w:rPr>
          <w:rStyle w:val="15"/>
          <w:rFonts w:hint="eastAsia" w:ascii="仿宋" w:hAnsi="仿宋" w:eastAsia="仿宋"/>
          <w:bCs/>
          <w:color w:val="000000"/>
          <w:sz w:val="32"/>
          <w:szCs w:val="32"/>
        </w:rPr>
        <w:t>（05）</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FF0000"/>
          <w:sz w:val="32"/>
          <w:szCs w:val="32"/>
        </w:rPr>
        <w:t>572.6</w:t>
      </w:r>
      <w:r>
        <w:rPr>
          <w:rStyle w:val="15"/>
          <w:rFonts w:hint="eastAsia" w:ascii="仿宋" w:hAnsi="仿宋" w:eastAsia="仿宋"/>
          <w:b w:val="0"/>
          <w:bCs/>
          <w:color w:val="FF0000"/>
          <w:sz w:val="32"/>
          <w:szCs w:val="32"/>
          <w:lang w:val="en-US" w:eastAsia="zh-CN"/>
        </w:rPr>
        <w:t>8</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 w:hAnsi="仿宋" w:eastAsia="仿宋"/>
          <w:b/>
          <w:bCs/>
          <w:color w:val="000000" w:themeColor="text1"/>
          <w:sz w:val="32"/>
          <w:szCs w:val="32"/>
          <w14:textFill>
            <w14:solidFill>
              <w14:schemeClr w14:val="tx1"/>
            </w14:solidFill>
          </w14:textFill>
        </w:rPr>
        <w:t>农林水支出</w:t>
      </w:r>
      <w:r>
        <w:rPr>
          <w:rStyle w:val="15"/>
          <w:rFonts w:hint="eastAsia" w:ascii="仿宋" w:hAnsi="仿宋" w:eastAsia="仿宋"/>
          <w:bCs/>
          <w:color w:val="000000"/>
          <w:sz w:val="32"/>
          <w:szCs w:val="32"/>
        </w:rPr>
        <w:t>（213）水利</w:t>
      </w:r>
      <w:r>
        <w:rPr>
          <w:rFonts w:hint="eastAsia" w:ascii="仿宋" w:hAnsi="仿宋" w:eastAsia="仿宋"/>
          <w:b/>
          <w:bCs/>
          <w:color w:val="000000" w:themeColor="text1"/>
          <w:sz w:val="32"/>
          <w:szCs w:val="32"/>
          <w14:textFill>
            <w14:solidFill>
              <w14:schemeClr w14:val="tx1"/>
            </w14:solidFill>
          </w14:textFill>
        </w:rPr>
        <w:t>（03）水利工程运行与维护</w:t>
      </w:r>
      <w:r>
        <w:rPr>
          <w:rStyle w:val="15"/>
          <w:rFonts w:hint="eastAsia" w:ascii="仿宋" w:hAnsi="仿宋" w:eastAsia="仿宋"/>
          <w:bCs/>
          <w:color w:val="000000"/>
          <w:sz w:val="32"/>
          <w:szCs w:val="32"/>
        </w:rPr>
        <w:t>（06）</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FF0000"/>
          <w:sz w:val="32"/>
          <w:szCs w:val="32"/>
        </w:rPr>
        <w:t>167.3</w:t>
      </w:r>
      <w:r>
        <w:rPr>
          <w:rStyle w:val="15"/>
          <w:rFonts w:hint="eastAsia" w:ascii="仿宋" w:hAnsi="仿宋" w:eastAsia="仿宋"/>
          <w:b w:val="0"/>
          <w:bCs/>
          <w:color w:val="FF0000"/>
          <w:sz w:val="32"/>
          <w:szCs w:val="32"/>
          <w:lang w:val="en-US" w:eastAsia="zh-CN"/>
        </w:rPr>
        <w:t>2</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 w:hAnsi="仿宋" w:eastAsia="仿宋"/>
          <w:b/>
          <w:bCs/>
          <w:color w:val="000000" w:themeColor="text1"/>
          <w:sz w:val="32"/>
          <w:szCs w:val="32"/>
          <w14:textFill>
            <w14:solidFill>
              <w14:schemeClr w14:val="tx1"/>
            </w14:solidFill>
          </w14:textFill>
        </w:rPr>
        <w:t>农林水支出</w:t>
      </w:r>
      <w:r>
        <w:rPr>
          <w:rStyle w:val="15"/>
          <w:rFonts w:hint="eastAsia" w:ascii="仿宋" w:hAnsi="仿宋" w:eastAsia="仿宋"/>
          <w:bCs/>
          <w:color w:val="000000"/>
          <w:sz w:val="32"/>
          <w:szCs w:val="32"/>
        </w:rPr>
        <w:t>（213）水利</w:t>
      </w:r>
      <w:r>
        <w:rPr>
          <w:rFonts w:hint="eastAsia" w:ascii="仿宋" w:hAnsi="仿宋" w:eastAsia="仿宋"/>
          <w:b/>
          <w:bCs/>
          <w:color w:val="000000" w:themeColor="text1"/>
          <w:sz w:val="32"/>
          <w:szCs w:val="32"/>
          <w14:textFill>
            <w14:solidFill>
              <w14:schemeClr w14:val="tx1"/>
            </w14:solidFill>
          </w14:textFill>
        </w:rPr>
        <w:t>（03）水土保持</w:t>
      </w:r>
      <w:r>
        <w:rPr>
          <w:rStyle w:val="15"/>
          <w:rFonts w:hint="eastAsia" w:ascii="仿宋" w:hAnsi="仿宋" w:eastAsia="仿宋"/>
          <w:bCs/>
          <w:color w:val="000000"/>
          <w:sz w:val="32"/>
          <w:szCs w:val="32"/>
        </w:rPr>
        <w:t>（10）</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FF0000"/>
          <w:sz w:val="32"/>
          <w:szCs w:val="32"/>
        </w:rPr>
        <w:t>176.88</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 w:hAnsi="仿宋" w:eastAsia="仿宋"/>
          <w:b/>
          <w:bCs/>
          <w:color w:val="000000" w:themeColor="text1"/>
          <w:sz w:val="32"/>
          <w:szCs w:val="32"/>
          <w14:textFill>
            <w14:solidFill>
              <w14:schemeClr w14:val="tx1"/>
            </w14:solidFill>
          </w14:textFill>
        </w:rPr>
        <w:t>农林水支出</w:t>
      </w:r>
      <w:r>
        <w:rPr>
          <w:rStyle w:val="15"/>
          <w:rFonts w:hint="eastAsia" w:ascii="仿宋" w:hAnsi="仿宋" w:eastAsia="仿宋"/>
          <w:bCs/>
          <w:color w:val="000000"/>
          <w:sz w:val="32"/>
          <w:szCs w:val="32"/>
        </w:rPr>
        <w:t>（213）水利</w:t>
      </w:r>
      <w:r>
        <w:rPr>
          <w:rFonts w:hint="eastAsia" w:ascii="仿宋" w:hAnsi="仿宋" w:eastAsia="仿宋"/>
          <w:b/>
          <w:bCs/>
          <w:color w:val="000000" w:themeColor="text1"/>
          <w:sz w:val="32"/>
          <w:szCs w:val="32"/>
          <w14:textFill>
            <w14:solidFill>
              <w14:schemeClr w14:val="tx1"/>
            </w14:solidFill>
          </w14:textFill>
        </w:rPr>
        <w:t>（03）水资源节约管理与保护</w:t>
      </w:r>
      <w:r>
        <w:rPr>
          <w:rStyle w:val="15"/>
          <w:rFonts w:hint="eastAsia" w:ascii="仿宋" w:hAnsi="仿宋" w:eastAsia="仿宋"/>
          <w:bCs/>
          <w:color w:val="000000"/>
          <w:sz w:val="32"/>
          <w:szCs w:val="32"/>
        </w:rPr>
        <w:t>（11）</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FF0000"/>
          <w:sz w:val="32"/>
          <w:szCs w:val="32"/>
        </w:rPr>
        <w:t>9.6</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 w:hAnsi="仿宋" w:eastAsia="仿宋"/>
          <w:b/>
          <w:bCs/>
          <w:color w:val="000000" w:themeColor="text1"/>
          <w:sz w:val="32"/>
          <w:szCs w:val="32"/>
          <w14:textFill>
            <w14:solidFill>
              <w14:schemeClr w14:val="tx1"/>
            </w14:solidFill>
          </w14:textFill>
        </w:rPr>
        <w:t>农林水支出</w:t>
      </w:r>
      <w:r>
        <w:rPr>
          <w:rStyle w:val="15"/>
          <w:rFonts w:hint="eastAsia" w:ascii="仿宋" w:hAnsi="仿宋" w:eastAsia="仿宋"/>
          <w:bCs/>
          <w:color w:val="000000"/>
          <w:sz w:val="32"/>
          <w:szCs w:val="32"/>
        </w:rPr>
        <w:t>（213）水利</w:t>
      </w:r>
      <w:r>
        <w:rPr>
          <w:rFonts w:hint="eastAsia" w:ascii="仿宋" w:hAnsi="仿宋" w:eastAsia="仿宋"/>
          <w:b/>
          <w:bCs/>
          <w:color w:val="000000" w:themeColor="text1"/>
          <w:sz w:val="32"/>
          <w:szCs w:val="32"/>
          <w14:textFill>
            <w14:solidFill>
              <w14:schemeClr w14:val="tx1"/>
            </w14:solidFill>
          </w14:textFill>
        </w:rPr>
        <w:t>（03）防汛</w:t>
      </w:r>
      <w:r>
        <w:rPr>
          <w:rStyle w:val="15"/>
          <w:rFonts w:hint="eastAsia" w:ascii="仿宋" w:hAnsi="仿宋" w:eastAsia="仿宋"/>
          <w:bCs/>
          <w:color w:val="000000"/>
          <w:sz w:val="32"/>
          <w:szCs w:val="32"/>
        </w:rPr>
        <w:t>（14）</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FF0000"/>
          <w:sz w:val="32"/>
          <w:szCs w:val="32"/>
        </w:rPr>
        <w:t>858.6</w:t>
      </w:r>
      <w:r>
        <w:rPr>
          <w:rStyle w:val="15"/>
          <w:rFonts w:hint="eastAsia" w:ascii="仿宋" w:hAnsi="仿宋" w:eastAsia="仿宋"/>
          <w:b w:val="0"/>
          <w:bCs/>
          <w:color w:val="FF0000"/>
          <w:sz w:val="32"/>
          <w:szCs w:val="32"/>
          <w:lang w:val="en-US" w:eastAsia="zh-CN"/>
        </w:rPr>
        <w:t>7</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 w:hAnsi="仿宋" w:eastAsia="仿宋"/>
          <w:b/>
          <w:bCs/>
          <w:color w:val="000000" w:themeColor="text1"/>
          <w:sz w:val="32"/>
          <w:szCs w:val="32"/>
          <w14:textFill>
            <w14:solidFill>
              <w14:schemeClr w14:val="tx1"/>
            </w14:solidFill>
          </w14:textFill>
        </w:rPr>
        <w:t>农林水支出</w:t>
      </w:r>
      <w:r>
        <w:rPr>
          <w:rStyle w:val="15"/>
          <w:rFonts w:hint="eastAsia" w:ascii="仿宋" w:hAnsi="仿宋" w:eastAsia="仿宋"/>
          <w:bCs/>
          <w:color w:val="000000"/>
          <w:sz w:val="32"/>
          <w:szCs w:val="32"/>
        </w:rPr>
        <w:t>（213）水利</w:t>
      </w:r>
      <w:r>
        <w:rPr>
          <w:rFonts w:hint="eastAsia" w:ascii="仿宋" w:hAnsi="仿宋" w:eastAsia="仿宋"/>
          <w:b/>
          <w:bCs/>
          <w:color w:val="000000" w:themeColor="text1"/>
          <w:sz w:val="32"/>
          <w:szCs w:val="32"/>
          <w14:textFill>
            <w14:solidFill>
              <w14:schemeClr w14:val="tx1"/>
            </w14:solidFill>
          </w14:textFill>
        </w:rPr>
        <w:t>（03）</w:t>
      </w:r>
      <w:r>
        <w:rPr>
          <w:rStyle w:val="15"/>
          <w:rFonts w:hint="eastAsia" w:ascii="仿宋" w:hAnsi="仿宋" w:eastAsia="仿宋"/>
          <w:b w:val="0"/>
          <w:bCs/>
          <w:color w:val="000000"/>
          <w:sz w:val="32"/>
          <w:szCs w:val="32"/>
        </w:rPr>
        <w:t>农村人畜饮水</w:t>
      </w:r>
      <w:r>
        <w:rPr>
          <w:rStyle w:val="15"/>
          <w:rFonts w:hint="eastAsia" w:ascii="仿宋" w:hAnsi="仿宋" w:eastAsia="仿宋"/>
          <w:bCs/>
          <w:color w:val="000000"/>
          <w:sz w:val="32"/>
          <w:szCs w:val="32"/>
        </w:rPr>
        <w:t>（35）</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FF0000"/>
          <w:sz w:val="32"/>
          <w:szCs w:val="32"/>
        </w:rPr>
        <w:t>9.12</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 w:hAnsi="仿宋" w:eastAsia="仿宋"/>
          <w:b/>
          <w:bCs/>
          <w:color w:val="000000" w:themeColor="text1"/>
          <w:sz w:val="32"/>
          <w:szCs w:val="32"/>
          <w14:textFill>
            <w14:solidFill>
              <w14:schemeClr w14:val="tx1"/>
            </w14:solidFill>
          </w14:textFill>
        </w:rPr>
        <w:t>农林水支出</w:t>
      </w:r>
      <w:r>
        <w:rPr>
          <w:rStyle w:val="15"/>
          <w:rFonts w:hint="eastAsia" w:ascii="仿宋" w:hAnsi="仿宋" w:eastAsia="仿宋"/>
          <w:bCs/>
          <w:color w:val="000000"/>
          <w:sz w:val="32"/>
          <w:szCs w:val="32"/>
        </w:rPr>
        <w:t>（213）水利</w:t>
      </w:r>
      <w:r>
        <w:rPr>
          <w:rFonts w:hint="eastAsia" w:ascii="仿宋" w:hAnsi="仿宋" w:eastAsia="仿宋"/>
          <w:b/>
          <w:bCs/>
          <w:color w:val="000000" w:themeColor="text1"/>
          <w:sz w:val="32"/>
          <w:szCs w:val="32"/>
          <w14:textFill>
            <w14:solidFill>
              <w14:schemeClr w14:val="tx1"/>
            </w14:solidFill>
          </w14:textFill>
        </w:rPr>
        <w:t>（03）其他水利支出</w:t>
      </w:r>
      <w:r>
        <w:rPr>
          <w:rStyle w:val="15"/>
          <w:rFonts w:hint="eastAsia" w:ascii="仿宋" w:hAnsi="仿宋" w:eastAsia="仿宋"/>
          <w:bCs/>
          <w:color w:val="000000"/>
          <w:sz w:val="32"/>
          <w:szCs w:val="32"/>
        </w:rPr>
        <w:t>（99）</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FF0000"/>
          <w:sz w:val="32"/>
          <w:szCs w:val="32"/>
        </w:rPr>
        <w:t>433</w:t>
      </w:r>
      <w:r>
        <w:rPr>
          <w:rStyle w:val="15"/>
          <w:rFonts w:hint="eastAsia" w:ascii="仿宋" w:hAnsi="仿宋" w:eastAsia="仿宋"/>
          <w:b w:val="0"/>
          <w:bCs/>
          <w:color w:val="FF0000"/>
          <w:sz w:val="32"/>
          <w:szCs w:val="32"/>
          <w:lang w:val="en-US" w:eastAsia="zh-CN"/>
        </w:rPr>
        <w:t>2.</w:t>
      </w:r>
      <w:r>
        <w:rPr>
          <w:rStyle w:val="15"/>
          <w:rFonts w:hint="eastAsia" w:ascii="仿宋" w:hAnsi="仿宋" w:eastAsia="仿宋"/>
          <w:b w:val="0"/>
          <w:bCs/>
          <w:color w:val="FF0000"/>
          <w:sz w:val="32"/>
          <w:szCs w:val="32"/>
        </w:rPr>
        <w:t>6</w:t>
      </w:r>
      <w:r>
        <w:rPr>
          <w:rStyle w:val="15"/>
          <w:rFonts w:hint="eastAsia" w:ascii="仿宋" w:hAnsi="仿宋" w:eastAsia="仿宋"/>
          <w:b w:val="0"/>
          <w:bCs/>
          <w:color w:val="FF0000"/>
          <w:sz w:val="32"/>
          <w:szCs w:val="32"/>
          <w:lang w:val="en-US" w:eastAsia="zh-CN"/>
        </w:rPr>
        <w:t>1</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 w:hAnsi="仿宋" w:eastAsia="仿宋" w:cs="Times New Roman"/>
          <w:b/>
          <w:bCs/>
          <w:color w:val="000000" w:themeColor="text1"/>
          <w:sz w:val="32"/>
          <w:szCs w:val="32"/>
          <w:lang w:eastAsia="zh-CN"/>
          <w14:textFill>
            <w14:solidFill>
              <w14:schemeClr w14:val="tx1"/>
            </w14:solidFill>
          </w14:textFill>
        </w:rPr>
        <w:t>农林水</w:t>
      </w:r>
      <w:r>
        <w:rPr>
          <w:rStyle w:val="15"/>
          <w:rFonts w:hint="eastAsia" w:ascii="仿宋" w:hAnsi="仿宋" w:eastAsia="仿宋"/>
          <w:bCs/>
          <w:color w:val="000000"/>
          <w:sz w:val="32"/>
          <w:szCs w:val="32"/>
        </w:rPr>
        <w:t>（213）</w:t>
      </w:r>
      <w:r>
        <w:rPr>
          <w:rFonts w:hint="eastAsia" w:ascii="仿宋" w:hAnsi="仿宋" w:eastAsia="仿宋"/>
          <w:b/>
          <w:bCs/>
          <w:color w:val="000000" w:themeColor="text1"/>
          <w:sz w:val="32"/>
          <w:szCs w:val="32"/>
          <w14:textFill>
            <w14:solidFill>
              <w14:schemeClr w14:val="tx1"/>
            </w14:solidFill>
          </w14:textFill>
        </w:rPr>
        <w:t>扶贫（05）农村基层设施建设</w:t>
      </w:r>
      <w:r>
        <w:rPr>
          <w:rStyle w:val="15"/>
          <w:rFonts w:hint="eastAsia" w:ascii="仿宋" w:hAnsi="仿宋" w:eastAsia="仿宋"/>
          <w:bCs/>
          <w:color w:val="000000"/>
          <w:sz w:val="32"/>
          <w:szCs w:val="32"/>
        </w:rPr>
        <w:t>（04）</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FF0000"/>
          <w:sz w:val="32"/>
          <w:szCs w:val="32"/>
        </w:rPr>
        <w:t>576.88</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 w:hAnsi="仿宋" w:eastAsia="仿宋" w:cs="Times New Roman"/>
          <w:b/>
          <w:bCs/>
          <w:color w:val="000000" w:themeColor="text1"/>
          <w:sz w:val="32"/>
          <w:szCs w:val="32"/>
          <w:lang w:eastAsia="zh-CN"/>
          <w14:textFill>
            <w14:solidFill>
              <w14:schemeClr w14:val="tx1"/>
            </w14:solidFill>
          </w14:textFill>
        </w:rPr>
        <w:t>农林水</w:t>
      </w:r>
      <w:r>
        <w:rPr>
          <w:rStyle w:val="15"/>
          <w:rFonts w:hint="eastAsia" w:ascii="仿宋" w:hAnsi="仿宋" w:eastAsia="仿宋"/>
          <w:bCs/>
          <w:color w:val="000000"/>
          <w:sz w:val="32"/>
          <w:szCs w:val="32"/>
        </w:rPr>
        <w:t>（213）</w:t>
      </w:r>
      <w:r>
        <w:rPr>
          <w:rFonts w:hint="eastAsia" w:ascii="仿宋" w:hAnsi="仿宋" w:eastAsia="仿宋"/>
          <w:b/>
          <w:bCs/>
          <w:color w:val="000000" w:themeColor="text1"/>
          <w:sz w:val="32"/>
          <w:szCs w:val="32"/>
          <w14:textFill>
            <w14:solidFill>
              <w14:schemeClr w14:val="tx1"/>
            </w14:solidFill>
          </w14:textFill>
        </w:rPr>
        <w:t>其他农林水支出（99）其他农林水支出</w:t>
      </w:r>
      <w:r>
        <w:rPr>
          <w:rStyle w:val="15"/>
          <w:rFonts w:hint="eastAsia" w:ascii="仿宋" w:hAnsi="仿宋" w:eastAsia="仿宋"/>
          <w:bCs/>
          <w:color w:val="000000"/>
          <w:sz w:val="32"/>
          <w:szCs w:val="32"/>
        </w:rPr>
        <w:t>（99）</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FF0000"/>
          <w:sz w:val="32"/>
          <w:szCs w:val="32"/>
        </w:rPr>
        <w:t>2537.5</w:t>
      </w:r>
      <w:r>
        <w:rPr>
          <w:rStyle w:val="15"/>
          <w:rFonts w:hint="eastAsia" w:ascii="仿宋" w:hAnsi="仿宋" w:eastAsia="仿宋"/>
          <w:b w:val="0"/>
          <w:bCs/>
          <w:color w:val="FF0000"/>
          <w:sz w:val="32"/>
          <w:szCs w:val="32"/>
          <w:lang w:val="en-US" w:eastAsia="zh-CN"/>
        </w:rPr>
        <w:t>2</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outlineLvl w:val="9"/>
        <w:rPr>
          <w:rFonts w:ascii="仿宋" w:hAnsi="仿宋" w:eastAsia="仿宋"/>
          <w:b/>
          <w:color w:val="000000"/>
          <w:sz w:val="32"/>
          <w:szCs w:val="32"/>
        </w:rPr>
      </w:pPr>
      <w:r>
        <w:rPr>
          <w:rStyle w:val="15"/>
          <w:rFonts w:hint="eastAsia" w:ascii="仿宋" w:hAnsi="仿宋" w:eastAsia="仿宋"/>
          <w:bCs/>
          <w:color w:val="000000"/>
          <w:sz w:val="32"/>
          <w:szCs w:val="32"/>
          <w:lang w:val="en-US" w:eastAsia="zh-CN"/>
        </w:rPr>
        <w:t>4</w:t>
      </w:r>
      <w:r>
        <w:rPr>
          <w:rStyle w:val="15"/>
          <w:rFonts w:ascii="仿宋" w:hAnsi="仿宋" w:eastAsia="仿宋"/>
          <w:bCs/>
          <w:color w:val="000000"/>
          <w:sz w:val="32"/>
          <w:szCs w:val="32"/>
        </w:rPr>
        <w:t>.</w:t>
      </w:r>
      <w:r>
        <w:rPr>
          <w:rFonts w:hint="eastAsia" w:ascii="仿宋" w:hAnsi="仿宋" w:eastAsia="仿宋"/>
          <w:b/>
          <w:bCs/>
          <w:color w:val="000000" w:themeColor="text1"/>
          <w:sz w:val="32"/>
          <w:szCs w:val="32"/>
          <w14:textFill>
            <w14:solidFill>
              <w14:schemeClr w14:val="tx1"/>
            </w14:solidFill>
          </w14:textFill>
        </w:rPr>
        <w:t>住房保障支出</w:t>
      </w:r>
      <w:r>
        <w:rPr>
          <w:rStyle w:val="15"/>
          <w:rFonts w:hint="eastAsia" w:ascii="仿宋" w:hAnsi="仿宋" w:eastAsia="仿宋"/>
          <w:bCs/>
          <w:color w:val="000000"/>
          <w:sz w:val="32"/>
          <w:szCs w:val="32"/>
        </w:rPr>
        <w:t>（221）住房改革支出</w:t>
      </w:r>
      <w:r>
        <w:rPr>
          <w:rFonts w:hint="eastAsia" w:ascii="仿宋" w:hAnsi="仿宋" w:eastAsia="仿宋"/>
          <w:b/>
          <w:bCs/>
          <w:color w:val="000000" w:themeColor="text1"/>
          <w:sz w:val="32"/>
          <w:szCs w:val="32"/>
          <w14:textFill>
            <w14:solidFill>
              <w14:schemeClr w14:val="tx1"/>
            </w14:solidFill>
          </w14:textFill>
        </w:rPr>
        <w:t>（02）</w:t>
      </w:r>
      <w:r>
        <w:rPr>
          <w:rStyle w:val="15"/>
          <w:rFonts w:hint="eastAsia" w:ascii="仿宋" w:hAnsi="仿宋" w:eastAsia="仿宋"/>
          <w:bCs/>
          <w:color w:val="000000"/>
          <w:sz w:val="32"/>
          <w:szCs w:val="32"/>
        </w:rPr>
        <w:t>住房公积金（01）</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支出决算为9.57万元，完成预算100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tabs>
          <w:tab w:val="right" w:pos="8306"/>
        </w:tabs>
        <w:spacing w:line="600" w:lineRule="exact"/>
        <w:ind w:firstLine="640"/>
        <w:outlineLvl w:val="1"/>
        <w:rPr>
          <w:rStyle w:val="18"/>
        </w:rPr>
      </w:pPr>
      <w:bookmarkStart w:id="111" w:name="_Toc16976"/>
      <w:bookmarkStart w:id="112" w:name="_Toc734"/>
      <w:bookmarkStart w:id="113" w:name="_Toc3464"/>
      <w:bookmarkStart w:id="114" w:name="_Toc18335"/>
      <w:bookmarkStart w:id="115" w:name="_Toc14964"/>
      <w:bookmarkStart w:id="116" w:name="_Toc13572"/>
      <w:bookmarkStart w:id="117" w:name="_Toc11480"/>
      <w:bookmarkStart w:id="118" w:name="_Toc15396608"/>
      <w:bookmarkStart w:id="119"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18"/>
          <w:rFonts w:hint="eastAsia" w:ascii="黑体" w:hAnsi="黑体" w:eastAsia="黑体"/>
          <w:b w:val="0"/>
        </w:rPr>
        <w:t>般公共预算财政拨款基本支出决算情况说明</w:t>
      </w:r>
      <w:bookmarkEnd w:id="111"/>
      <w:bookmarkEnd w:id="112"/>
      <w:bookmarkEnd w:id="113"/>
      <w:bookmarkEnd w:id="114"/>
      <w:bookmarkEnd w:id="115"/>
      <w:bookmarkEnd w:id="116"/>
      <w:bookmarkEnd w:id="117"/>
      <w:bookmarkEnd w:id="118"/>
      <w:bookmarkEnd w:id="119"/>
      <w:r>
        <w:rPr>
          <w:rStyle w:val="18"/>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9年一般公共预算财政拨款基本支出253.67万元，其中：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48.43</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205.23</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18"/>
          <w:rFonts w:ascii="黑体" w:hAnsi="黑体" w:eastAsia="黑体"/>
          <w:b w:val="0"/>
        </w:rPr>
      </w:pPr>
      <w:bookmarkStart w:id="120" w:name="_Toc15377215"/>
      <w:bookmarkStart w:id="121" w:name="_Toc15396609"/>
      <w:bookmarkStart w:id="122" w:name="_Toc29108"/>
      <w:bookmarkStart w:id="123" w:name="_Toc15369"/>
      <w:bookmarkStart w:id="124" w:name="_Toc12774"/>
      <w:bookmarkStart w:id="125" w:name="_Toc10082"/>
      <w:bookmarkStart w:id="126" w:name="_Toc8244"/>
      <w:bookmarkStart w:id="127" w:name="_Toc13346"/>
      <w:bookmarkStart w:id="128" w:name="_Toc2424"/>
      <w:r>
        <w:rPr>
          <w:rFonts w:hint="eastAsia" w:ascii="黑体" w:eastAsia="黑体"/>
          <w:color w:val="000000"/>
          <w:sz w:val="32"/>
          <w:szCs w:val="32"/>
        </w:rPr>
        <w:t>七、</w:t>
      </w:r>
      <w:r>
        <w:rPr>
          <w:rStyle w:val="18"/>
          <w:rFonts w:hint="eastAsia" w:ascii="黑体" w:hAnsi="黑体" w:eastAsia="黑体"/>
        </w:rPr>
        <w:t>“</w:t>
      </w:r>
      <w:r>
        <w:rPr>
          <w:rStyle w:val="18"/>
          <w:rFonts w:hint="eastAsia" w:ascii="黑体" w:hAnsi="黑体" w:eastAsia="黑体"/>
          <w:b w:val="0"/>
        </w:rPr>
        <w:t>三公”经费财政拨款支出决算情况说明</w:t>
      </w:r>
      <w:bookmarkEnd w:id="120"/>
      <w:bookmarkEnd w:id="121"/>
      <w:bookmarkEnd w:id="122"/>
      <w:bookmarkEnd w:id="123"/>
      <w:bookmarkEnd w:id="124"/>
      <w:bookmarkEnd w:id="125"/>
      <w:bookmarkEnd w:id="126"/>
      <w:bookmarkEnd w:id="127"/>
      <w:bookmarkEnd w:id="128"/>
    </w:p>
    <w:p>
      <w:pPr>
        <w:spacing w:line="600" w:lineRule="exact"/>
        <w:ind w:firstLine="640"/>
        <w:outlineLvl w:val="2"/>
        <w:rPr>
          <w:rFonts w:ascii="仿宋" w:hAnsi="仿宋" w:eastAsia="仿宋"/>
          <w:b/>
          <w:color w:val="000000"/>
          <w:sz w:val="32"/>
          <w:szCs w:val="32"/>
        </w:rPr>
      </w:pPr>
      <w:bookmarkStart w:id="129" w:name="_Toc15377216"/>
      <w:bookmarkStart w:id="130" w:name="_Toc21924"/>
      <w:r>
        <w:rPr>
          <w:rFonts w:hint="eastAsia" w:ascii="仿宋" w:hAnsi="仿宋" w:eastAsia="仿宋"/>
          <w:b/>
          <w:color w:val="000000"/>
          <w:sz w:val="32"/>
          <w:szCs w:val="32"/>
        </w:rPr>
        <w:t>（一）“三公”经费财政拨款支出决算总体情况说明</w:t>
      </w:r>
      <w:bookmarkEnd w:id="129"/>
      <w:bookmarkEnd w:id="130"/>
    </w:p>
    <w:p>
      <w:pPr>
        <w:spacing w:line="600" w:lineRule="exact"/>
        <w:ind w:firstLine="640"/>
        <w:outlineLvl w:val="9"/>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9年“三公”经费财政拨款支出决算为0.25万元，完成预算100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131" w:name="_Toc15377217"/>
      <w:bookmarkStart w:id="132" w:name="_Toc25954"/>
      <w:r>
        <w:rPr>
          <w:rFonts w:hint="eastAsia" w:ascii="仿宋" w:hAnsi="仿宋" w:eastAsia="仿宋"/>
          <w:b/>
          <w:color w:val="000000"/>
          <w:sz w:val="32"/>
          <w:szCs w:val="32"/>
        </w:rPr>
        <w:t>（二）“三公”经费财政拨款支出决算具体情况说明</w:t>
      </w:r>
      <w:bookmarkEnd w:id="131"/>
      <w:bookmarkEnd w:id="132"/>
    </w:p>
    <w:p>
      <w:pPr>
        <w:spacing w:line="600" w:lineRule="exact"/>
        <w:ind w:firstLine="640"/>
        <w:outlineLvl w:val="9"/>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9年“三公”经费财政拨款支出决算中，公务接待费支出决算0.25万元，占100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outlineLvl w:val="9"/>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spacing w:line="600" w:lineRule="exact"/>
        <w:ind w:firstLine="640"/>
        <w:outlineLvl w:val="9"/>
        <w:rPr>
          <w:rFonts w:ascii="黑体" w:eastAsia="黑体"/>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rPr>
        <w:t>0.2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8年增加0.25万元，增长100</w:t>
      </w:r>
      <w:r>
        <w:rPr>
          <w:rFonts w:ascii="仿宋_GB2312" w:eastAsia="仿宋_GB2312"/>
          <w:color w:val="000000"/>
          <w:sz w:val="32"/>
          <w:szCs w:val="32"/>
        </w:rPr>
        <w:t>%</w:t>
      </w:r>
      <w:r>
        <w:rPr>
          <w:rFonts w:hint="eastAsia" w:ascii="仿宋_GB2312" w:eastAsia="仿宋_GB2312"/>
          <w:color w:val="000000"/>
          <w:sz w:val="32"/>
          <w:szCs w:val="32"/>
        </w:rPr>
        <w:t>。主要原因单位新成立。</w:t>
      </w:r>
      <w:bookmarkStart w:id="133" w:name="_Toc15396610"/>
      <w:bookmarkStart w:id="134" w:name="_Toc15377218"/>
    </w:p>
    <w:p>
      <w:pPr>
        <w:spacing w:line="600" w:lineRule="exact"/>
        <w:ind w:firstLine="640"/>
        <w:outlineLvl w:val="1"/>
        <w:rPr>
          <w:rStyle w:val="18"/>
          <w:rFonts w:ascii="黑体" w:hAnsi="黑体" w:eastAsia="黑体"/>
        </w:rPr>
      </w:pPr>
      <w:bookmarkStart w:id="135" w:name="_Toc3974"/>
      <w:bookmarkStart w:id="136" w:name="_Toc5259"/>
      <w:bookmarkStart w:id="137" w:name="_Toc21277"/>
      <w:bookmarkStart w:id="138" w:name="_Toc25747"/>
      <w:bookmarkStart w:id="139" w:name="_Toc20421"/>
      <w:bookmarkStart w:id="140" w:name="_Toc3341"/>
      <w:bookmarkStart w:id="141" w:name="_Toc3537"/>
      <w:r>
        <w:rPr>
          <w:rFonts w:hint="eastAsia" w:ascii="黑体" w:eastAsia="黑体"/>
          <w:color w:val="000000"/>
          <w:sz w:val="32"/>
          <w:szCs w:val="32"/>
        </w:rPr>
        <w:t>八、</w:t>
      </w:r>
      <w:r>
        <w:rPr>
          <w:rStyle w:val="18"/>
          <w:rFonts w:hint="eastAsia" w:ascii="黑体" w:hAnsi="黑体" w:eastAsia="黑体"/>
          <w:b w:val="0"/>
        </w:rPr>
        <w:t>政府性基金预算支出决算情况说明</w:t>
      </w:r>
      <w:bookmarkEnd w:id="133"/>
      <w:bookmarkEnd w:id="134"/>
      <w:bookmarkEnd w:id="135"/>
      <w:bookmarkEnd w:id="136"/>
      <w:bookmarkEnd w:id="137"/>
      <w:bookmarkEnd w:id="138"/>
      <w:bookmarkEnd w:id="139"/>
      <w:bookmarkEnd w:id="140"/>
      <w:bookmarkEnd w:id="141"/>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9年政府性基金预算拨款支出0万元。</w:t>
      </w:r>
    </w:p>
    <w:p>
      <w:pPr>
        <w:numPr>
          <w:ilvl w:val="0"/>
          <w:numId w:val="3"/>
        </w:numPr>
        <w:spacing w:line="600" w:lineRule="exact"/>
        <w:ind w:firstLine="640"/>
        <w:outlineLvl w:val="1"/>
        <w:rPr>
          <w:rStyle w:val="18"/>
          <w:rFonts w:ascii="黑体" w:hAnsi="黑体" w:eastAsia="黑体"/>
          <w:b w:val="0"/>
        </w:rPr>
      </w:pPr>
      <w:bookmarkStart w:id="142" w:name="_Toc15396611"/>
      <w:bookmarkStart w:id="143" w:name="_Toc15377219"/>
      <w:bookmarkStart w:id="144" w:name="_Toc25035"/>
      <w:bookmarkStart w:id="145" w:name="_Toc16644"/>
      <w:bookmarkStart w:id="146" w:name="_Toc19650"/>
      <w:bookmarkStart w:id="147" w:name="_Toc26627"/>
      <w:bookmarkStart w:id="148" w:name="_Toc17794"/>
      <w:bookmarkStart w:id="149" w:name="_Toc9176"/>
      <w:bookmarkStart w:id="150" w:name="_Toc12347"/>
      <w:r>
        <w:rPr>
          <w:rStyle w:val="18"/>
          <w:rFonts w:hint="eastAsia" w:ascii="黑体" w:hAnsi="黑体" w:eastAsia="黑体"/>
          <w:b w:val="0"/>
        </w:rPr>
        <w:t>国有资本经营预算支出决算情况说明</w:t>
      </w:r>
      <w:bookmarkEnd w:id="142"/>
      <w:bookmarkEnd w:id="143"/>
      <w:bookmarkEnd w:id="144"/>
      <w:bookmarkEnd w:id="145"/>
      <w:bookmarkEnd w:id="146"/>
      <w:bookmarkEnd w:id="147"/>
      <w:bookmarkEnd w:id="148"/>
      <w:bookmarkEnd w:id="149"/>
      <w:bookmarkEnd w:id="150"/>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9年国有资本经营预算拨款支出0万元。</w:t>
      </w:r>
    </w:p>
    <w:p>
      <w:pPr>
        <w:spacing w:line="600" w:lineRule="exact"/>
        <w:ind w:firstLine="800" w:firstLineChars="250"/>
        <w:outlineLvl w:val="1"/>
        <w:rPr>
          <w:rStyle w:val="18"/>
          <w:rFonts w:ascii="黑体" w:hAnsi="黑体" w:eastAsia="黑体"/>
        </w:rPr>
      </w:pPr>
      <w:bookmarkStart w:id="151" w:name="_Toc15396612"/>
      <w:bookmarkStart w:id="152" w:name="_Toc15377221"/>
      <w:bookmarkStart w:id="153" w:name="_Toc21760"/>
      <w:bookmarkStart w:id="154" w:name="_Toc23946"/>
      <w:bookmarkStart w:id="155" w:name="_Toc11297"/>
      <w:bookmarkStart w:id="156" w:name="_Toc31575"/>
      <w:bookmarkStart w:id="157" w:name="_Toc25961"/>
      <w:bookmarkStart w:id="158" w:name="_Toc960"/>
      <w:bookmarkStart w:id="159" w:name="_Toc19918"/>
      <w:r>
        <w:rPr>
          <w:rFonts w:hint="eastAsia" w:ascii="黑体" w:hAnsi="黑体" w:eastAsia="黑体"/>
          <w:color w:val="000000"/>
          <w:sz w:val="32"/>
          <w:szCs w:val="32"/>
        </w:rPr>
        <w:t>十</w:t>
      </w:r>
      <w:r>
        <w:rPr>
          <w:rStyle w:val="18"/>
          <w:rFonts w:hint="eastAsia" w:ascii="黑体" w:hAnsi="黑体" w:eastAsia="黑体"/>
        </w:rPr>
        <w:t>、</w:t>
      </w:r>
      <w:r>
        <w:rPr>
          <w:rStyle w:val="18"/>
          <w:rFonts w:hint="eastAsia" w:ascii="黑体" w:hAnsi="黑体" w:eastAsia="黑体"/>
          <w:b w:val="0"/>
        </w:rPr>
        <w:t>其他重要事项的情况说明</w:t>
      </w:r>
      <w:bookmarkEnd w:id="151"/>
      <w:bookmarkEnd w:id="152"/>
      <w:bookmarkEnd w:id="153"/>
      <w:bookmarkEnd w:id="154"/>
      <w:bookmarkEnd w:id="155"/>
      <w:bookmarkEnd w:id="156"/>
      <w:bookmarkEnd w:id="157"/>
      <w:bookmarkEnd w:id="158"/>
      <w:bookmarkEnd w:id="159"/>
    </w:p>
    <w:p>
      <w:pPr>
        <w:spacing w:line="600" w:lineRule="exact"/>
        <w:ind w:firstLine="643" w:firstLineChars="200"/>
        <w:outlineLvl w:val="2"/>
        <w:rPr>
          <w:rFonts w:ascii="仿宋" w:hAnsi="仿宋" w:eastAsia="仿宋"/>
          <w:color w:val="000000"/>
          <w:sz w:val="32"/>
          <w:szCs w:val="32"/>
        </w:rPr>
      </w:pPr>
      <w:bookmarkStart w:id="160" w:name="_Toc15377222"/>
      <w:bookmarkStart w:id="161" w:name="_Toc7890"/>
      <w:r>
        <w:rPr>
          <w:rFonts w:hint="eastAsia" w:ascii="仿宋" w:hAnsi="仿宋" w:eastAsia="仿宋"/>
          <w:b/>
          <w:color w:val="000000"/>
          <w:sz w:val="32"/>
          <w:szCs w:val="32"/>
        </w:rPr>
        <w:t>（一）机关运行经费支出情况</w:t>
      </w:r>
      <w:bookmarkEnd w:id="160"/>
      <w:bookmarkEnd w:id="161"/>
    </w:p>
    <w:p>
      <w:pPr>
        <w:spacing w:line="600" w:lineRule="exact"/>
        <w:ind w:firstLine="640" w:firstLineChars="200"/>
        <w:outlineLvl w:val="9"/>
        <w:rPr>
          <w:rFonts w:ascii="仿宋_GB2312" w:eastAsia="仿宋_GB2312"/>
          <w:color w:val="000000" w:themeColor="text1"/>
          <w:sz w:val="32"/>
          <w:szCs w:val="32"/>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9年，水务局机关运行经费支出205.23万元，比</w:t>
      </w:r>
      <w:r>
        <w:rPr>
          <w:rFonts w:ascii="仿宋_GB2312" w:eastAsia="仿宋_GB2312"/>
          <w:color w:val="000000"/>
          <w:sz w:val="32"/>
          <w:szCs w:val="32"/>
        </w:rPr>
        <w:t>201</w:t>
      </w:r>
      <w:r>
        <w:rPr>
          <w:rFonts w:hint="eastAsia" w:ascii="仿宋_GB2312" w:eastAsia="仿宋_GB2312"/>
          <w:color w:val="000000"/>
          <w:sz w:val="32"/>
          <w:szCs w:val="32"/>
        </w:rPr>
        <w:t>8年增加205.23万元，增长100</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 w:hAnsi="仿宋" w:eastAsia="仿宋"/>
          <w:color w:val="000000"/>
          <w:sz w:val="32"/>
          <w:szCs w:val="32"/>
        </w:rPr>
        <w:t>主要变动原因是机构改革，我局由原单位分出，单独成立九寨沟县水务局，单位单独核算。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62" w:name="_Toc17914"/>
      <w:bookmarkStart w:id="163" w:name="_Toc15377223"/>
      <w:r>
        <w:rPr>
          <w:rFonts w:hint="eastAsia" w:ascii="仿宋" w:hAnsi="仿宋" w:eastAsia="仿宋"/>
          <w:b/>
          <w:color w:val="000000"/>
          <w:sz w:val="32"/>
          <w:szCs w:val="32"/>
        </w:rPr>
        <w:t>（二）政府采购支出情况</w:t>
      </w:r>
      <w:bookmarkEnd w:id="162"/>
      <w:bookmarkEnd w:id="163"/>
    </w:p>
    <w:p>
      <w:pPr>
        <w:spacing w:line="600" w:lineRule="exact"/>
        <w:ind w:firstLine="640" w:firstLineChars="200"/>
        <w:outlineLvl w:val="9"/>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9年，水务局政府采购支出总额276.11万元，其中：政府采购货物支出143.91万元、政府采购服务支出132.2万元。主要用于防汛物资采购，物资储备采购等。授予中小企业合同金额276.11万元，占政府采购支出总额的100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64" w:name="_Toc31643"/>
      <w:bookmarkStart w:id="165" w:name="_Toc15377224"/>
      <w:r>
        <w:rPr>
          <w:rFonts w:hint="eastAsia" w:ascii="仿宋" w:hAnsi="仿宋" w:eastAsia="仿宋"/>
          <w:b/>
          <w:color w:val="000000"/>
          <w:sz w:val="32"/>
          <w:szCs w:val="32"/>
        </w:rPr>
        <w:t>（三）国有资产占有使用情况</w:t>
      </w:r>
      <w:bookmarkEnd w:id="164"/>
      <w:bookmarkEnd w:id="165"/>
    </w:p>
    <w:p>
      <w:pPr>
        <w:autoSpaceDE w:val="0"/>
        <w:autoSpaceDN w:val="0"/>
        <w:adjustRightInd w:val="0"/>
        <w:spacing w:line="600" w:lineRule="exact"/>
        <w:ind w:firstLine="640" w:firstLineChars="200"/>
        <w:jc w:val="left"/>
        <w:outlineLvl w:val="9"/>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日，水务局共有车辆0辆，其中：主要领导干部用车0辆、机要通信用车0辆、应急保障用车0辆、其他用车2辆……</w:t>
      </w:r>
      <w:r>
        <w:rPr>
          <w:rFonts w:hint="eastAsia" w:ascii="仿宋_GB2312" w:eastAsia="仿宋_GB2312"/>
          <w:color w:val="000000" w:themeColor="text1"/>
          <w:sz w:val="32"/>
          <w:szCs w:val="32"/>
          <w14:textFill>
            <w14:solidFill>
              <w14:schemeClr w14:val="tx1"/>
            </w14:solidFill>
          </w14:textFill>
        </w:rPr>
        <w:t>其他用车主要是用于日常公务用车，单价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万元以上通用设备0台（套），单价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万元以上专用设备0台（套）。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66" w:name="_Toc11359"/>
      <w:r>
        <w:rPr>
          <w:rFonts w:hint="eastAsia" w:ascii="仿宋" w:hAnsi="仿宋" w:eastAsia="仿宋"/>
          <w:b/>
          <w:color w:val="000000"/>
          <w:sz w:val="32"/>
          <w:szCs w:val="32"/>
        </w:rPr>
        <w:t>（四）预算绩效管理情况。</w:t>
      </w:r>
      <w:bookmarkEnd w:id="166"/>
    </w:p>
    <w:p>
      <w:pPr>
        <w:spacing w:line="580" w:lineRule="exact"/>
        <w:ind w:firstLine="640" w:firstLineChars="200"/>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根据预算绩效管理要求，本单位在年初预算编制阶段，组织对“九寨沟县8.8地震灾后重建小流域水土流失综合治理项目二期</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“8.8灾后重建九寨沟县山洪灾害防治非工程措施项目及2019年山洪灾害防治项目”“九寨沟县城堤防维修加固建设项目”“国家水土保持重点工程九寨沟县城沟小流域项目”“</w:t>
      </w:r>
      <w:r>
        <w:rPr>
          <w:rFonts w:hint="eastAsia" w:ascii="仿宋_GB2312" w:hAnsi="黑体" w:eastAsia="仿宋_GB2312"/>
          <w:sz w:val="32"/>
          <w:szCs w:val="32"/>
        </w:rPr>
        <w:t>九寨沟县河湖管理范围划定工作（一期）</w:t>
      </w:r>
      <w:r>
        <w:rPr>
          <w:rFonts w:hint="eastAsia" w:ascii="仿宋_GB2312" w:hAnsi="仿宋_GB2312" w:eastAsia="仿宋_GB2312" w:cs="仿宋_GB2312"/>
          <w:sz w:val="32"/>
          <w:szCs w:val="32"/>
        </w:rPr>
        <w:t>”5个项目开展了预算事前绩效评估，对这5个项目编制了绩效目标，预算执行过程中，选取5个项目开展绩效监控，年终执行完毕后，对5个项目开展了绩效目标完成情况自评。</w:t>
      </w:r>
    </w:p>
    <w:p>
      <w:pPr>
        <w:widowControl/>
        <w:spacing w:line="500" w:lineRule="exact"/>
        <w:ind w:firstLine="640" w:firstLineChars="200"/>
        <w:jc w:val="left"/>
        <w:outlineLvl w:val="9"/>
        <w:rPr>
          <w:rFonts w:ascii="仿宋" w:hAnsi="仿宋" w:eastAsia="仿宋" w:cs="仿宋"/>
          <w:color w:val="000000"/>
          <w:sz w:val="32"/>
          <w:szCs w:val="32"/>
          <w:lang w:val="zh-CN"/>
        </w:rPr>
      </w:pPr>
      <w:r>
        <w:rPr>
          <w:rFonts w:hint="eastAsia" w:ascii="仿宋_GB2312" w:hAnsi="仿宋_GB2312" w:eastAsia="仿宋_GB2312" w:cs="仿宋_GB2312"/>
          <w:sz w:val="32"/>
          <w:szCs w:val="32"/>
        </w:rPr>
        <w:t>本部门按要求对2019年部门整体支出开展绩效自评，从评价情况来看</w:t>
      </w:r>
      <w:r>
        <w:rPr>
          <w:rFonts w:hint="eastAsia" w:ascii="仿宋" w:hAnsi="仿宋" w:eastAsia="仿宋" w:cs="仿宋"/>
          <w:color w:val="000000"/>
          <w:sz w:val="32"/>
          <w:szCs w:val="32"/>
        </w:rPr>
        <w:t>2019</w:t>
      </w:r>
      <w:r>
        <w:rPr>
          <w:rFonts w:hint="eastAsia" w:ascii="仿宋" w:hAnsi="仿宋" w:eastAsia="仿宋" w:cs="仿宋"/>
          <w:color w:val="000000"/>
          <w:sz w:val="32"/>
          <w:szCs w:val="32"/>
          <w:lang w:val="zh-CN"/>
        </w:rPr>
        <w:t>年我局所有预算内资金都严格纳入财政大平台系统管理，日常支出都严格履行了我局的报账程序，</w:t>
      </w:r>
    </w:p>
    <w:p>
      <w:pPr>
        <w:pStyle w:val="12"/>
        <w:shd w:val="clear" w:color="auto" w:fill="FFFFFF"/>
        <w:spacing w:line="500" w:lineRule="exact"/>
        <w:ind w:firstLine="800" w:firstLineChars="250"/>
        <w:jc w:val="both"/>
        <w:outlineLvl w:val="9"/>
        <w:rPr>
          <w:rFonts w:ascii="仿宋" w:hAnsi="仿宋" w:eastAsia="仿宋" w:cs="仿宋"/>
          <w:color w:val="000000"/>
          <w:kern w:val="2"/>
          <w:sz w:val="32"/>
          <w:szCs w:val="32"/>
        </w:rPr>
      </w:pPr>
      <w:r>
        <w:rPr>
          <w:rFonts w:hint="eastAsia" w:ascii="仿宋_GB2312" w:hAnsi="仿宋_GB2312" w:eastAsia="仿宋_GB2312" w:cs="仿宋_GB2312"/>
          <w:sz w:val="32"/>
          <w:szCs w:val="32"/>
        </w:rPr>
        <w:t>本部门还自行组织了5个项目支出绩效评价，从评价情况来看</w:t>
      </w:r>
      <w:r>
        <w:rPr>
          <w:rFonts w:hint="eastAsia" w:ascii="仿宋" w:hAnsi="仿宋" w:eastAsia="仿宋" w:cs="仿宋"/>
          <w:color w:val="000000"/>
          <w:kern w:val="2"/>
          <w:sz w:val="32"/>
          <w:szCs w:val="32"/>
        </w:rPr>
        <w:t>对各项资金的管理、经费收支审批等均做了明确规定，正确组织资金的筹集、调度和使用，债权债务及时结算、结清。各项目经费支出严格按照合同及单位“三重一大”制度执行。</w:t>
      </w:r>
    </w:p>
    <w:p>
      <w:pPr>
        <w:spacing w:line="580" w:lineRule="exact"/>
        <w:ind w:firstLine="640" w:firstLineChars="200"/>
        <w:outlineLvl w:val="9"/>
        <w:rPr>
          <w:rFonts w:ascii="仿宋_GB2312" w:hAnsi="仿宋_GB2312" w:eastAsia="仿宋_GB2312" w:cs="仿宋_GB2312"/>
          <w:sz w:val="32"/>
          <w:szCs w:val="32"/>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本部门在2019年度部门决算中反映“九寨沟县8.8地震灾后重建小流域水土流失综合治理项目二期</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“8.8灾后重建九寨沟县山洪灾害防治非工程措施项目及2019年山洪灾害防治项目”“九寨沟县城堤防维修加固建设项目”“国家水土保持重点工程九寨沟县城沟小流域项目”“</w:t>
      </w:r>
      <w:r>
        <w:rPr>
          <w:rFonts w:hint="eastAsia" w:ascii="仿宋_GB2312" w:hAnsi="黑体" w:eastAsia="仿宋_GB2312"/>
          <w:sz w:val="32"/>
          <w:szCs w:val="32"/>
        </w:rPr>
        <w:t>九寨沟县河湖管理范围划定工作（一期）</w:t>
      </w:r>
      <w:r>
        <w:rPr>
          <w:rFonts w:hint="eastAsia" w:ascii="仿宋_GB2312" w:hAnsi="仿宋_GB2312" w:eastAsia="仿宋_GB2312" w:cs="仿宋_GB2312"/>
          <w:sz w:val="32"/>
          <w:szCs w:val="32"/>
        </w:rPr>
        <w:t>”等5个项目绩效目标实际完成情况。</w:t>
      </w:r>
    </w:p>
    <w:p>
      <w:pPr>
        <w:spacing w:line="520" w:lineRule="exact"/>
        <w:ind w:firstLine="640" w:firstLineChars="200"/>
        <w:outlineLvl w:val="9"/>
        <w:rPr>
          <w:rFonts w:ascii="仿宋_GB2312" w:hAnsi="仿宋_GB2312" w:eastAsia="仿宋_GB2312" w:cs="仿宋_GB2312"/>
          <w:color w:val="FF0000"/>
          <w:sz w:val="32"/>
          <w:szCs w:val="32"/>
        </w:rPr>
      </w:pPr>
      <w:r>
        <w:rPr>
          <w:rFonts w:hint="eastAsia" w:eastAsia="仿宋_GB2312"/>
          <w:sz w:val="32"/>
          <w:szCs w:val="32"/>
        </w:rPr>
        <w:t>（1）8.8灾后重建九寨沟县山洪灾害防治非工程措施项目及2019年山洪灾害防治项目绩效目</w:t>
      </w:r>
      <w:r>
        <w:rPr>
          <w:rFonts w:hint="eastAsia" w:eastAsia="仿宋_GB2312"/>
          <w:sz w:val="32"/>
          <w:szCs w:val="32"/>
          <w:lang w:eastAsia="zh-CN"/>
        </w:rPr>
        <w:t>（</w:t>
      </w:r>
      <w:r>
        <w:rPr>
          <w:rFonts w:hint="eastAsia" w:ascii="仿宋" w:hAnsi="仿宋" w:eastAsia="仿宋" w:cs="仿宋"/>
          <w:kern w:val="0"/>
          <w:sz w:val="32"/>
          <w:szCs w:val="32"/>
          <w:lang w:val="en-US" w:eastAsia="zh-CN"/>
        </w:rPr>
        <w:t>阿州财农【2018】147号</w:t>
      </w:r>
      <w:r>
        <w:rPr>
          <w:rFonts w:hint="eastAsia" w:eastAsia="仿宋_GB2312"/>
          <w:sz w:val="32"/>
          <w:szCs w:val="32"/>
          <w:lang w:eastAsia="zh-CN"/>
        </w:rPr>
        <w:t>）</w:t>
      </w:r>
      <w:r>
        <w:rPr>
          <w:rFonts w:hint="eastAsia" w:eastAsia="仿宋_GB2312"/>
          <w:sz w:val="32"/>
          <w:szCs w:val="32"/>
        </w:rPr>
        <w:t>标完成情况综述。项目全年预算数294万元，执行数为231.54万元，完成预算的78.75%。通过项目实施，本次"8∙8”九寨沟地震灾后恢复重建任务在</w:t>
      </w:r>
      <w:r>
        <w:rPr>
          <w:rFonts w:eastAsia="仿宋_GB2312"/>
          <w:sz w:val="32"/>
          <w:szCs w:val="32"/>
        </w:rPr>
        <w:t>12个乡镇共布置自动雨量站9个，自动水位站3座，视频监测站2个，简易雨量报警器75个（</w:t>
      </w:r>
      <w:r>
        <w:rPr>
          <w:rFonts w:hint="eastAsia" w:eastAsia="仿宋_GB2312"/>
          <w:sz w:val="32"/>
          <w:szCs w:val="32"/>
        </w:rPr>
        <w:t>人口密集区</w:t>
      </w:r>
      <w:r>
        <w:rPr>
          <w:rFonts w:eastAsia="仿宋_GB2312"/>
          <w:sz w:val="32"/>
          <w:szCs w:val="32"/>
        </w:rPr>
        <w:t>新建12个，升级改造63个），无线预警广播站30个（</w:t>
      </w:r>
      <w:r>
        <w:rPr>
          <w:rFonts w:hint="eastAsia" w:eastAsia="仿宋_GB2312"/>
          <w:sz w:val="32"/>
          <w:szCs w:val="32"/>
        </w:rPr>
        <w:t>人口密集区</w:t>
      </w:r>
      <w:r>
        <w:rPr>
          <w:rFonts w:eastAsia="仿宋_GB2312"/>
          <w:sz w:val="32"/>
          <w:szCs w:val="32"/>
        </w:rPr>
        <w:t>新建1</w:t>
      </w:r>
      <w:r>
        <w:rPr>
          <w:rFonts w:hint="eastAsia" w:eastAsia="仿宋_GB2312"/>
          <w:sz w:val="32"/>
          <w:szCs w:val="32"/>
        </w:rPr>
        <w:t>2</w:t>
      </w:r>
      <w:r>
        <w:rPr>
          <w:rFonts w:eastAsia="仿宋_GB2312"/>
          <w:sz w:val="32"/>
          <w:szCs w:val="32"/>
        </w:rPr>
        <w:t>个），手摇报警器</w:t>
      </w:r>
      <w:r>
        <w:rPr>
          <w:rFonts w:hint="eastAsia" w:eastAsia="仿宋_GB2312"/>
          <w:sz w:val="32"/>
          <w:szCs w:val="32"/>
        </w:rPr>
        <w:t>92</w:t>
      </w:r>
      <w:r>
        <w:rPr>
          <w:rFonts w:eastAsia="仿宋_GB2312"/>
          <w:sz w:val="32"/>
          <w:szCs w:val="32"/>
        </w:rPr>
        <w:t>个（</w:t>
      </w:r>
      <w:r>
        <w:rPr>
          <w:rFonts w:hint="eastAsia" w:eastAsia="仿宋_GB2312"/>
          <w:sz w:val="32"/>
          <w:szCs w:val="32"/>
        </w:rPr>
        <w:t>人口密集区</w:t>
      </w:r>
      <w:r>
        <w:rPr>
          <w:rFonts w:eastAsia="仿宋_GB2312"/>
          <w:sz w:val="32"/>
          <w:szCs w:val="32"/>
        </w:rPr>
        <w:t>新建1</w:t>
      </w:r>
      <w:r>
        <w:rPr>
          <w:rFonts w:hint="eastAsia" w:eastAsia="仿宋_GB2312"/>
          <w:sz w:val="32"/>
          <w:szCs w:val="32"/>
        </w:rPr>
        <w:t>2</w:t>
      </w:r>
      <w:r>
        <w:rPr>
          <w:rFonts w:eastAsia="仿宋_GB2312"/>
          <w:sz w:val="32"/>
          <w:szCs w:val="32"/>
        </w:rPr>
        <w:t>个），铜锣号142套（</w:t>
      </w:r>
      <w:r>
        <w:rPr>
          <w:rFonts w:hint="eastAsia" w:eastAsia="仿宋_GB2312"/>
          <w:sz w:val="32"/>
          <w:szCs w:val="32"/>
        </w:rPr>
        <w:t>人口密集区补充60</w:t>
      </w:r>
      <w:r>
        <w:rPr>
          <w:rFonts w:eastAsia="仿宋_GB2312"/>
          <w:sz w:val="32"/>
          <w:szCs w:val="32"/>
        </w:rPr>
        <w:t>个），对</w:t>
      </w:r>
      <w:r>
        <w:rPr>
          <w:rFonts w:hint="eastAsia" w:eastAsia="仿宋_GB2312"/>
          <w:sz w:val="32"/>
          <w:szCs w:val="32"/>
        </w:rPr>
        <w:t>12</w:t>
      </w:r>
      <w:r>
        <w:rPr>
          <w:rFonts w:eastAsia="仿宋_GB2312"/>
          <w:sz w:val="32"/>
          <w:szCs w:val="32"/>
        </w:rPr>
        <w:t>个乡镇、</w:t>
      </w:r>
      <w:r>
        <w:rPr>
          <w:rFonts w:hint="eastAsia" w:eastAsia="仿宋_GB2312"/>
          <w:sz w:val="32"/>
          <w:szCs w:val="32"/>
        </w:rPr>
        <w:t>92</w:t>
      </w:r>
      <w:r>
        <w:rPr>
          <w:rFonts w:eastAsia="仿宋_GB2312"/>
          <w:sz w:val="32"/>
          <w:szCs w:val="32"/>
        </w:rPr>
        <w:t>个行政村山洪灾害群测群防体系进行完善，并继续开展宣传、培训、演练工作</w:t>
      </w:r>
      <w:r>
        <w:rPr>
          <w:rFonts w:hint="eastAsia" w:eastAsia="仿宋_GB2312"/>
          <w:sz w:val="32"/>
          <w:szCs w:val="32"/>
        </w:rPr>
        <w:t>，</w:t>
      </w:r>
      <w:r>
        <w:rPr>
          <w:rFonts w:eastAsia="仿宋_GB2312"/>
          <w:sz w:val="32"/>
          <w:szCs w:val="32"/>
        </w:rPr>
        <w:t>应急救援设备12套。</w:t>
      </w:r>
      <w:r>
        <w:rPr>
          <w:rFonts w:hint="eastAsia" w:eastAsia="仿宋_GB2312"/>
          <w:sz w:val="32"/>
          <w:szCs w:val="32"/>
        </w:rPr>
        <w:t>九寨沟县 2019 年度山洪灾害防治项目非</w:t>
      </w:r>
      <w:r>
        <w:rPr>
          <w:rFonts w:eastAsia="仿宋_GB2312"/>
          <w:sz w:val="32"/>
          <w:szCs w:val="32"/>
        </w:rPr>
        <w:t>地震重灾区</w:t>
      </w:r>
      <w:r>
        <w:rPr>
          <w:rFonts w:hint="eastAsia" w:eastAsia="仿宋_GB2312"/>
          <w:sz w:val="32"/>
          <w:szCs w:val="32"/>
        </w:rPr>
        <w:t>任务在5</w:t>
      </w:r>
      <w:r>
        <w:rPr>
          <w:rFonts w:eastAsia="仿宋_GB2312"/>
          <w:sz w:val="32"/>
          <w:szCs w:val="32"/>
        </w:rPr>
        <w:t>个乡镇共布置自动雨量站</w:t>
      </w:r>
      <w:r>
        <w:rPr>
          <w:rFonts w:hint="eastAsia" w:eastAsia="仿宋_GB2312"/>
          <w:sz w:val="32"/>
          <w:szCs w:val="32"/>
        </w:rPr>
        <w:t>4</w:t>
      </w:r>
      <w:r>
        <w:rPr>
          <w:rFonts w:eastAsia="仿宋_GB2312"/>
          <w:sz w:val="32"/>
          <w:szCs w:val="32"/>
        </w:rPr>
        <w:t>个</w:t>
      </w:r>
      <w:r>
        <w:rPr>
          <w:rFonts w:hint="eastAsia" w:eastAsia="仿宋_GB2312"/>
          <w:sz w:val="32"/>
          <w:szCs w:val="32"/>
        </w:rPr>
        <w:t>，</w:t>
      </w:r>
      <w:r>
        <w:rPr>
          <w:rFonts w:eastAsia="仿宋_GB2312"/>
          <w:sz w:val="32"/>
          <w:szCs w:val="32"/>
        </w:rPr>
        <w:t>简易雨量报警器</w:t>
      </w:r>
      <w:r>
        <w:rPr>
          <w:rFonts w:hint="eastAsia" w:eastAsia="仿宋_GB2312"/>
          <w:sz w:val="32"/>
          <w:szCs w:val="32"/>
        </w:rPr>
        <w:t>28</w:t>
      </w:r>
      <w:r>
        <w:rPr>
          <w:rFonts w:eastAsia="仿宋_GB2312"/>
          <w:sz w:val="32"/>
          <w:szCs w:val="32"/>
        </w:rPr>
        <w:t>个（</w:t>
      </w:r>
      <w:r>
        <w:rPr>
          <w:rFonts w:hint="eastAsia" w:eastAsia="仿宋_GB2312"/>
          <w:sz w:val="32"/>
          <w:szCs w:val="32"/>
        </w:rPr>
        <w:t>人口密集区</w:t>
      </w:r>
      <w:r>
        <w:rPr>
          <w:rFonts w:eastAsia="仿宋_GB2312"/>
          <w:sz w:val="32"/>
          <w:szCs w:val="32"/>
        </w:rPr>
        <w:t>新建1</w:t>
      </w:r>
      <w:r>
        <w:rPr>
          <w:rFonts w:hint="eastAsia" w:eastAsia="仿宋_GB2312"/>
          <w:sz w:val="32"/>
          <w:szCs w:val="32"/>
        </w:rPr>
        <w:t>1</w:t>
      </w:r>
      <w:r>
        <w:rPr>
          <w:rFonts w:eastAsia="仿宋_GB2312"/>
          <w:sz w:val="32"/>
          <w:szCs w:val="32"/>
        </w:rPr>
        <w:t>个，升级改造</w:t>
      </w:r>
      <w:r>
        <w:rPr>
          <w:rFonts w:hint="eastAsia" w:eastAsia="仿宋_GB2312"/>
          <w:sz w:val="32"/>
          <w:szCs w:val="32"/>
        </w:rPr>
        <w:t>17</w:t>
      </w:r>
      <w:r>
        <w:rPr>
          <w:rFonts w:eastAsia="仿宋_GB2312"/>
          <w:sz w:val="32"/>
          <w:szCs w:val="32"/>
        </w:rPr>
        <w:t>个），无线预警广播站</w:t>
      </w:r>
      <w:r>
        <w:rPr>
          <w:rFonts w:hint="eastAsia" w:eastAsia="仿宋_GB2312"/>
          <w:sz w:val="32"/>
          <w:szCs w:val="32"/>
        </w:rPr>
        <w:t>18</w:t>
      </w:r>
      <w:r>
        <w:rPr>
          <w:rFonts w:eastAsia="仿宋_GB2312"/>
          <w:sz w:val="32"/>
          <w:szCs w:val="32"/>
        </w:rPr>
        <w:t>个（</w:t>
      </w:r>
      <w:r>
        <w:rPr>
          <w:rFonts w:hint="eastAsia" w:eastAsia="仿宋_GB2312"/>
          <w:sz w:val="32"/>
          <w:szCs w:val="32"/>
        </w:rPr>
        <w:t>人口密集区</w:t>
      </w:r>
      <w:r>
        <w:rPr>
          <w:rFonts w:eastAsia="仿宋_GB2312"/>
          <w:sz w:val="32"/>
          <w:szCs w:val="32"/>
        </w:rPr>
        <w:t>新建1</w:t>
      </w:r>
      <w:r>
        <w:rPr>
          <w:rFonts w:hint="eastAsia" w:eastAsia="仿宋_GB2312"/>
          <w:sz w:val="32"/>
          <w:szCs w:val="32"/>
        </w:rPr>
        <w:t>1</w:t>
      </w:r>
      <w:r>
        <w:rPr>
          <w:rFonts w:eastAsia="仿宋_GB2312"/>
          <w:sz w:val="32"/>
          <w:szCs w:val="32"/>
        </w:rPr>
        <w:t>个），手摇报警器</w:t>
      </w:r>
      <w:r>
        <w:rPr>
          <w:rFonts w:hint="eastAsia" w:eastAsia="仿宋_GB2312"/>
          <w:sz w:val="32"/>
          <w:szCs w:val="32"/>
        </w:rPr>
        <w:t>33</w:t>
      </w:r>
      <w:r>
        <w:rPr>
          <w:rFonts w:eastAsia="仿宋_GB2312"/>
          <w:sz w:val="32"/>
          <w:szCs w:val="32"/>
        </w:rPr>
        <w:t>个（</w:t>
      </w:r>
      <w:r>
        <w:rPr>
          <w:rFonts w:hint="eastAsia" w:eastAsia="仿宋_GB2312"/>
          <w:sz w:val="32"/>
          <w:szCs w:val="32"/>
        </w:rPr>
        <w:t>人口密集区</w:t>
      </w:r>
      <w:r>
        <w:rPr>
          <w:rFonts w:eastAsia="仿宋_GB2312"/>
          <w:sz w:val="32"/>
          <w:szCs w:val="32"/>
        </w:rPr>
        <w:t>新建1</w:t>
      </w:r>
      <w:r>
        <w:rPr>
          <w:rFonts w:hint="eastAsia" w:eastAsia="仿宋_GB2312"/>
          <w:sz w:val="32"/>
          <w:szCs w:val="32"/>
        </w:rPr>
        <w:t>1</w:t>
      </w:r>
      <w:r>
        <w:rPr>
          <w:rFonts w:eastAsia="仿宋_GB2312"/>
          <w:sz w:val="32"/>
          <w:szCs w:val="32"/>
        </w:rPr>
        <w:t>个），铜锣号</w:t>
      </w:r>
      <w:r>
        <w:rPr>
          <w:rFonts w:hint="eastAsia" w:eastAsia="仿宋_GB2312"/>
          <w:sz w:val="32"/>
          <w:szCs w:val="32"/>
        </w:rPr>
        <w:t>77</w:t>
      </w:r>
      <w:r>
        <w:rPr>
          <w:rFonts w:eastAsia="仿宋_GB2312"/>
          <w:sz w:val="32"/>
          <w:szCs w:val="32"/>
        </w:rPr>
        <w:t>套（</w:t>
      </w:r>
      <w:r>
        <w:rPr>
          <w:rFonts w:hint="eastAsia" w:eastAsia="仿宋_GB2312"/>
          <w:sz w:val="32"/>
          <w:szCs w:val="32"/>
        </w:rPr>
        <w:t>人口密集区补充55</w:t>
      </w:r>
      <w:r>
        <w:rPr>
          <w:rFonts w:eastAsia="仿宋_GB2312"/>
          <w:sz w:val="32"/>
          <w:szCs w:val="32"/>
        </w:rPr>
        <w:t>个），对</w:t>
      </w:r>
      <w:r>
        <w:rPr>
          <w:rFonts w:hint="eastAsia" w:eastAsia="仿宋_GB2312"/>
          <w:sz w:val="32"/>
          <w:szCs w:val="32"/>
        </w:rPr>
        <w:t>5</w:t>
      </w:r>
      <w:r>
        <w:rPr>
          <w:rFonts w:eastAsia="仿宋_GB2312"/>
          <w:sz w:val="32"/>
          <w:szCs w:val="32"/>
        </w:rPr>
        <w:t>个乡镇、</w:t>
      </w:r>
      <w:r>
        <w:rPr>
          <w:rFonts w:hint="eastAsia" w:eastAsia="仿宋_GB2312"/>
          <w:sz w:val="32"/>
          <w:szCs w:val="32"/>
        </w:rPr>
        <w:t>28</w:t>
      </w:r>
      <w:r>
        <w:rPr>
          <w:rFonts w:eastAsia="仿宋_GB2312"/>
          <w:sz w:val="32"/>
          <w:szCs w:val="32"/>
        </w:rPr>
        <w:t>个行政村山洪灾害群测群防体系进行完善，并继续开展宣传、培训、演练工作</w:t>
      </w:r>
      <w:r>
        <w:rPr>
          <w:rFonts w:hint="eastAsia" w:eastAsia="仿宋_GB2312"/>
          <w:sz w:val="32"/>
          <w:szCs w:val="32"/>
        </w:rPr>
        <w:t>，</w:t>
      </w:r>
      <w:r>
        <w:rPr>
          <w:rFonts w:eastAsia="仿宋_GB2312"/>
          <w:sz w:val="32"/>
          <w:szCs w:val="32"/>
        </w:rPr>
        <w:t>应急救援设备</w:t>
      </w:r>
      <w:r>
        <w:rPr>
          <w:rFonts w:hint="eastAsia" w:eastAsia="仿宋_GB2312"/>
          <w:sz w:val="32"/>
          <w:szCs w:val="32"/>
        </w:rPr>
        <w:t>5</w:t>
      </w:r>
      <w:r>
        <w:rPr>
          <w:rFonts w:eastAsia="仿宋_GB2312"/>
          <w:sz w:val="32"/>
          <w:szCs w:val="32"/>
        </w:rPr>
        <w:t>套</w:t>
      </w:r>
      <w:r>
        <w:rPr>
          <w:rFonts w:hint="eastAsia" w:eastAsia="仿宋_GB2312"/>
          <w:sz w:val="32"/>
          <w:szCs w:val="32"/>
        </w:rPr>
        <w:t>。</w:t>
      </w:r>
    </w:p>
    <w:p>
      <w:pPr>
        <w:adjustRightInd w:val="0"/>
        <w:snapToGrid w:val="0"/>
        <w:spacing w:line="600" w:lineRule="exact"/>
        <w:ind w:firstLine="640" w:firstLineChars="200"/>
        <w:outlineLvl w:val="9"/>
        <w:rPr>
          <w:lang w:val="zh-CN"/>
        </w:rPr>
      </w:pPr>
      <w:r>
        <w:rPr>
          <w:rFonts w:hint="eastAsia" w:eastAsia="仿宋_GB2312"/>
          <w:sz w:val="32"/>
          <w:szCs w:val="32"/>
        </w:rPr>
        <w:t>（2）</w:t>
      </w:r>
      <w:r>
        <w:rPr>
          <w:rFonts w:eastAsia="仿宋_GB2312"/>
          <w:sz w:val="32"/>
          <w:szCs w:val="32"/>
        </w:rPr>
        <w:t>小流域水土流失综合治理项目第二期</w:t>
      </w:r>
      <w:r>
        <w:rPr>
          <w:rFonts w:hint="eastAsia" w:eastAsia="仿宋_GB2312"/>
          <w:sz w:val="32"/>
          <w:szCs w:val="32"/>
          <w:lang w:eastAsia="zh-CN"/>
        </w:rPr>
        <w:t>（</w:t>
      </w:r>
      <w:r>
        <w:rPr>
          <w:rFonts w:hint="eastAsia" w:ascii="仿宋" w:hAnsi="仿宋" w:eastAsia="仿宋" w:cs="仿宋"/>
          <w:kern w:val="0"/>
          <w:sz w:val="32"/>
          <w:szCs w:val="32"/>
          <w:lang w:val="en-US" w:eastAsia="zh-CN"/>
        </w:rPr>
        <w:t>阿州财农【2018】147号</w:t>
      </w:r>
      <w:r>
        <w:rPr>
          <w:rFonts w:hint="eastAsia" w:eastAsia="仿宋_GB2312"/>
          <w:sz w:val="32"/>
          <w:szCs w:val="32"/>
          <w:lang w:eastAsia="zh-CN"/>
        </w:rPr>
        <w:t>）</w:t>
      </w:r>
      <w:r>
        <w:rPr>
          <w:rFonts w:eastAsia="仿宋_GB2312"/>
          <w:sz w:val="32"/>
          <w:szCs w:val="32"/>
        </w:rPr>
        <w:t>，</w:t>
      </w:r>
      <w:r>
        <w:rPr>
          <w:rFonts w:hint="eastAsia" w:eastAsia="仿宋_GB2312"/>
          <w:sz w:val="32"/>
          <w:szCs w:val="32"/>
        </w:rPr>
        <w:t>项目全年预算数280万元，执行数为188.91万元，完成预算的67.46%。通过项目实施规划治理水土流失面积6.00km²，主要措施包括封禁治理569.58hm²，保土耕作30.43hm²，修建排灌沟渠2302m，生产便道2302m，灌溉10.97hm²；项目以改善小流域环境，改善农民生产生活条件和农业基础设施条件，提高农业产业质量，降低了农民的劳动强度，对生态环境的保护提供有效保障。项目的实施有利于百姓脱贫奔康和对生产生活环境的生态治理。本项目大部分表现为经济效益和生态效益</w:t>
      </w:r>
      <w:r>
        <w:rPr>
          <w:rFonts w:hint="eastAsia" w:eastAsia="仿宋_GB2312"/>
          <w:sz w:val="32"/>
          <w:szCs w:val="32"/>
          <w:lang w:val="zh-CN"/>
        </w:rPr>
        <w:t>。</w:t>
      </w:r>
    </w:p>
    <w:p>
      <w:pPr>
        <w:adjustRightInd w:val="0"/>
        <w:snapToGrid w:val="0"/>
        <w:spacing w:line="600" w:lineRule="exact"/>
        <w:ind w:firstLine="640" w:firstLineChars="200"/>
        <w:outlineLvl w:val="9"/>
        <w:rPr>
          <w:rFonts w:hint="eastAsia" w:eastAsia="仿宋_GB2312"/>
        </w:rPr>
      </w:pPr>
      <w:r>
        <w:rPr>
          <w:rFonts w:hint="eastAsia" w:ascii="Times New Roman" w:hAnsi="Times New Roman" w:eastAsia="仿宋_GB2312" w:cs="Times New Roman"/>
          <w:sz w:val="32"/>
          <w:szCs w:val="32"/>
        </w:rPr>
        <w:t>（3）</w:t>
      </w:r>
      <w:r>
        <w:rPr>
          <w:rFonts w:hint="eastAsia" w:ascii="Times New Roman" w:hAnsi="Times New Roman" w:eastAsia="仿宋_GB2312" w:cs="Times New Roman"/>
          <w:sz w:val="32"/>
          <w:szCs w:val="32"/>
          <w:lang w:eastAsia="zh-CN"/>
        </w:rPr>
        <w:t>（阿州财投【2018】75号）</w:t>
      </w:r>
      <w:r>
        <w:rPr>
          <w:rFonts w:hint="eastAsia" w:ascii="Times New Roman" w:hAnsi="Times New Roman" w:eastAsia="仿宋_GB2312" w:cs="Times New Roman"/>
          <w:sz w:val="32"/>
          <w:szCs w:val="32"/>
        </w:rPr>
        <w:t>九寨沟县城堤防维修加固建设项目预算数1680万元，</w:t>
      </w:r>
      <w:r>
        <w:rPr>
          <w:rFonts w:hint="eastAsia" w:ascii="Times New Roman" w:hAnsi="Times New Roman" w:eastAsia="仿宋_GB2312" w:cs="Times New Roman"/>
          <w:sz w:val="32"/>
          <w:szCs w:val="32"/>
          <w:lang w:eastAsia="zh-CN"/>
        </w:rPr>
        <w:t>总计</w:t>
      </w:r>
      <w:r>
        <w:rPr>
          <w:rFonts w:hint="eastAsia" w:ascii="Times New Roman" w:hAnsi="Times New Roman" w:eastAsia="仿宋_GB2312" w:cs="Times New Roman"/>
          <w:sz w:val="32"/>
          <w:szCs w:val="32"/>
        </w:rPr>
        <w:t>执行数为1400万元，</w:t>
      </w:r>
      <w:r>
        <w:rPr>
          <w:rFonts w:hint="eastAsia" w:ascii="Times New Roman" w:hAnsi="Times New Roman" w:eastAsia="仿宋_GB2312" w:cs="Times New Roman"/>
          <w:sz w:val="32"/>
          <w:szCs w:val="32"/>
          <w:lang w:val="en-US" w:eastAsia="zh-CN"/>
        </w:rPr>
        <w:t>2019年项目</w:t>
      </w:r>
      <w:r>
        <w:rPr>
          <w:rFonts w:hint="eastAsia" w:ascii="Times New Roman" w:hAnsi="Times New Roman" w:eastAsia="仿宋_GB2312" w:cs="Times New Roman"/>
          <w:sz w:val="32"/>
          <w:szCs w:val="32"/>
        </w:rPr>
        <w:t>预算数</w:t>
      </w:r>
      <w:r>
        <w:rPr>
          <w:rFonts w:hint="eastAsia" w:ascii="Times New Roman" w:hAnsi="Times New Roman" w:eastAsia="仿宋_GB2312" w:cs="Times New Roman"/>
          <w:sz w:val="32"/>
          <w:szCs w:val="32"/>
          <w:lang w:val="en-US" w:eastAsia="zh-CN"/>
        </w:rPr>
        <w:t>767.8244</w:t>
      </w:r>
      <w:r>
        <w:rPr>
          <w:rFonts w:hint="eastAsia" w:ascii="Times New Roman" w:hAnsi="Times New Roman" w:eastAsia="仿宋_GB2312" w:cs="Times New Roman"/>
          <w:sz w:val="32"/>
          <w:szCs w:val="32"/>
        </w:rPr>
        <w:t>万元，执行数为</w:t>
      </w:r>
      <w:r>
        <w:rPr>
          <w:rFonts w:hint="eastAsia" w:ascii="Times New Roman" w:hAnsi="Times New Roman" w:eastAsia="仿宋_GB2312" w:cs="Times New Roman"/>
          <w:sz w:val="32"/>
          <w:szCs w:val="32"/>
          <w:lang w:val="en-US" w:eastAsia="zh-CN"/>
        </w:rPr>
        <w:t>439.37</w:t>
      </w:r>
      <w:r>
        <w:rPr>
          <w:rFonts w:hint="eastAsia"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57.22</w:t>
      </w:r>
      <w:r>
        <w:rPr>
          <w:rFonts w:hint="eastAsia" w:ascii="Times New Roman" w:hAnsi="Times New Roman" w:eastAsia="仿宋_GB2312" w:cs="Times New Roman"/>
          <w:sz w:val="32"/>
          <w:szCs w:val="32"/>
        </w:rPr>
        <w:t>%</w:t>
      </w:r>
      <w:r>
        <w:rPr>
          <w:rFonts w:hint="eastAsia" w:ascii="仿宋_GB2312" w:hAnsi="仿宋_GB2312" w:eastAsia="仿宋_GB2312" w:cs="仿宋_GB2312"/>
          <w:color w:val="FF0000"/>
          <w:sz w:val="32"/>
          <w:szCs w:val="32"/>
        </w:rPr>
        <w:t>。</w:t>
      </w:r>
      <w:r>
        <w:rPr>
          <w:rFonts w:hint="eastAsia" w:ascii="Times New Roman" w:hAnsi="Times New Roman" w:eastAsia="仿宋_GB2312" w:cs="Times New Roman"/>
          <w:sz w:val="32"/>
          <w:szCs w:val="32"/>
        </w:rPr>
        <w:t>通过项目实施恢复及加固提防11段共1198米，切实保障老百姓的生命财产安全，保护了企事业单位达120家，</w:t>
      </w:r>
      <w:r>
        <w:rPr>
          <w:rFonts w:hint="eastAsia" w:eastAsia="仿宋_GB2312" w:cs="Times New Roman"/>
          <w:sz w:val="32"/>
          <w:szCs w:val="32"/>
          <w:lang w:eastAsia="zh-CN"/>
        </w:rPr>
        <w:t>常住</w:t>
      </w:r>
      <w:r>
        <w:rPr>
          <w:rFonts w:hint="eastAsia" w:ascii="Times New Roman" w:hAnsi="Times New Roman" w:eastAsia="仿宋_GB2312" w:cs="Times New Roman"/>
          <w:sz w:val="32"/>
          <w:szCs w:val="32"/>
        </w:rPr>
        <w:t>人口1.5万人，保护耕地0.4万亩。综合治理河长6.7km。本项目大部分表现为经济效益。</w:t>
      </w:r>
    </w:p>
    <w:p>
      <w:pPr>
        <w:outlineLvl w:val="9"/>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（4）国家水土保持重点工程九寨沟县城沟小流域项目</w:t>
      </w:r>
      <w:r>
        <w:rPr>
          <w:rFonts w:hint="eastAsia" w:ascii="Times New Roman" w:hAnsi="Times New Roman" w:eastAsia="仿宋_GB2312" w:cs="Times New Roman"/>
          <w:sz w:val="32"/>
          <w:szCs w:val="32"/>
          <w:lang w:eastAsia="zh-CN"/>
        </w:rPr>
        <w:t>（</w:t>
      </w:r>
      <w:r>
        <w:rPr>
          <w:rFonts w:hint="eastAsia" w:ascii="仿宋" w:hAnsi="仿宋" w:eastAsia="仿宋" w:cs="仿宋"/>
          <w:kern w:val="0"/>
          <w:sz w:val="32"/>
          <w:szCs w:val="32"/>
          <w:lang w:val="en-US" w:eastAsia="zh-CN"/>
        </w:rPr>
        <w:t>九财预【2019】54号、九财预【2019】56号</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全年预算数256万元，执行数为176.88万元，完成预算的69.90%。通过项目实施共规划治理水土流失面积6.20km2，主要措施包括新建蓄水池5口，取水口1座(含沉砂池），新建护岸堤217.92m,铺设PE管5.35km，宣传碑1座，经果林0.82 hm²，封禁治理566.34hm²，保土耕作53.55hm²，水土保持项目以改善小流域环境，改善农民生产生活条件和农业基础设施条件，提高农业产业质量，降低了农民的劳动强度，对生态环境的保护提供有效保障。项目的实施有利于百姓脱贫奔康和对生产生活环境的生态治理。本项目大部分表现为经济效益和生态效益</w:t>
      </w:r>
      <w:r>
        <w:rPr>
          <w:rFonts w:hint="eastAsia" w:ascii="Times New Roman" w:hAnsi="Times New Roman" w:eastAsia="仿宋_GB2312" w:cs="Times New Roman"/>
          <w:sz w:val="32"/>
          <w:szCs w:val="32"/>
          <w:lang w:val="zh-CN"/>
        </w:rPr>
        <w:t>。</w:t>
      </w:r>
    </w:p>
    <w:p>
      <w:pPr>
        <w:adjustRightInd w:val="0"/>
        <w:snapToGrid w:val="0"/>
        <w:spacing w:line="600" w:lineRule="exact"/>
        <w:ind w:firstLine="640" w:firstLineChars="200"/>
        <w:outlineLvl w:val="9"/>
      </w:pP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5</w:t>
      </w:r>
      <w:r>
        <w:rPr>
          <w:rFonts w:hint="eastAsia" w:ascii="仿宋_GB2312" w:hAnsi="黑体" w:eastAsia="仿宋_GB2312"/>
          <w:sz w:val="32"/>
          <w:szCs w:val="32"/>
          <w:lang w:eastAsia="zh-CN"/>
        </w:rPr>
        <w:t>）</w:t>
      </w:r>
      <w:r>
        <w:rPr>
          <w:rFonts w:hint="eastAsia" w:ascii="仿宋_GB2312" w:hAnsi="黑体" w:eastAsia="仿宋_GB2312"/>
          <w:sz w:val="32"/>
          <w:szCs w:val="32"/>
        </w:rPr>
        <w:t>九寨沟</w:t>
      </w:r>
      <w:r>
        <w:rPr>
          <w:rFonts w:hint="eastAsia" w:ascii="Times New Roman" w:hAnsi="Times New Roman" w:eastAsia="仿宋_GB2312" w:cs="Times New Roman"/>
          <w:sz w:val="32"/>
          <w:szCs w:val="32"/>
        </w:rPr>
        <w:t>县河湖管理范围划定工作（一期）项目</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阿州财农〔2019〕49号</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全年预算数50万元，执行数为39.66万元，完成预算的79.32%。通过项目实施，对汤珠河、中路河、草地沟三条县级河流的管理范围划定工作，其三条河流总长度为64.5km，流域面积767.9km2，九寨沟县河湖管理范围划定工作（一期）的实施，为我县河道执法和管理提供了前提条件，是河道行洪安全的保障。是切实加强河湖水域岸线管理的重要举措，是实施“一河一策”保护治理的重要依据。</w:t>
      </w:r>
    </w:p>
    <w:p>
      <w:pPr>
        <w:pStyle w:val="6"/>
        <w:spacing w:before="93"/>
        <w:outlineLvl w:val="9"/>
        <w:rPr>
          <w:rFonts w:ascii="Times New Roman" w:eastAsia="宋体"/>
          <w:kern w:val="2"/>
          <w:sz w:val="21"/>
        </w:rPr>
      </w:pPr>
    </w:p>
    <w:p>
      <w:pPr>
        <w:outlineLvl w:val="9"/>
        <w:rPr>
          <w:rFonts w:ascii="Times New Roman" w:eastAsia="宋体"/>
          <w:kern w:val="2"/>
          <w:sz w:val="21"/>
        </w:rPr>
      </w:pPr>
    </w:p>
    <w:p>
      <w:pPr>
        <w:pStyle w:val="5"/>
        <w:outlineLvl w:val="9"/>
        <w:rPr>
          <w:rFonts w:ascii="Times New Roman" w:eastAsia="宋体"/>
          <w:kern w:val="2"/>
          <w:sz w:val="21"/>
        </w:rPr>
      </w:pPr>
    </w:p>
    <w:p>
      <w:pPr>
        <w:rPr>
          <w:rFonts w:ascii="Times New Roman" w:eastAsia="宋体"/>
          <w:kern w:val="2"/>
          <w:sz w:val="21"/>
        </w:rPr>
      </w:pPr>
    </w:p>
    <w:p>
      <w:pPr>
        <w:pStyle w:val="5"/>
        <w:outlineLvl w:val="9"/>
        <w:rPr>
          <w:rFonts w:ascii="Times New Roman" w:eastAsia="宋体"/>
          <w:kern w:val="2"/>
          <w:sz w:val="21"/>
        </w:rPr>
      </w:pPr>
    </w:p>
    <w:p>
      <w:pPr>
        <w:rPr>
          <w:rFonts w:ascii="Times New Roman" w:eastAsia="宋体"/>
          <w:kern w:val="2"/>
          <w:sz w:val="21"/>
        </w:rPr>
      </w:pPr>
    </w:p>
    <w:p>
      <w:pPr>
        <w:pStyle w:val="5"/>
        <w:outlineLvl w:val="9"/>
        <w:rPr>
          <w:rFonts w:ascii="Times New Roman" w:eastAsia="宋体"/>
          <w:kern w:val="2"/>
          <w:sz w:val="21"/>
        </w:rPr>
      </w:pPr>
    </w:p>
    <w:p>
      <w:pPr>
        <w:rPr>
          <w:rFonts w:ascii="Times New Roman" w:eastAsia="宋体"/>
          <w:kern w:val="2"/>
          <w:sz w:val="21"/>
        </w:rPr>
      </w:pPr>
    </w:p>
    <w:p>
      <w:pPr>
        <w:pStyle w:val="5"/>
        <w:outlineLvl w:val="9"/>
        <w:rPr>
          <w:rFonts w:ascii="Times New Roman" w:eastAsia="宋体"/>
          <w:kern w:val="2"/>
          <w:sz w:val="21"/>
        </w:rPr>
      </w:pPr>
    </w:p>
    <w:p>
      <w:pPr>
        <w:rPr>
          <w:rFonts w:ascii="Times New Roman" w:eastAsia="宋体"/>
          <w:kern w:val="2"/>
          <w:sz w:val="21"/>
        </w:rPr>
      </w:pPr>
    </w:p>
    <w:p/>
    <w:tbl>
      <w:tblPr>
        <w:tblStyle w:val="13"/>
        <w:tblpPr w:leftFromText="180" w:rightFromText="180" w:vertAnchor="text" w:horzAnchor="page" w:tblpXSpec="center" w:tblpY="423"/>
        <w:tblOverlap w:val="never"/>
        <w:tblW w:w="19620" w:type="dxa"/>
        <w:jc w:val="center"/>
        <w:tblLayout w:type="fixed"/>
        <w:tblCellMar>
          <w:top w:w="0" w:type="dxa"/>
          <w:left w:w="0" w:type="dxa"/>
          <w:bottom w:w="0" w:type="dxa"/>
          <w:right w:w="0" w:type="dxa"/>
        </w:tblCellMar>
      </w:tblPr>
      <w:tblGrid>
        <w:gridCol w:w="555"/>
        <w:gridCol w:w="1052"/>
        <w:gridCol w:w="1373"/>
        <w:gridCol w:w="2114"/>
        <w:gridCol w:w="2536"/>
        <w:gridCol w:w="2555"/>
        <w:gridCol w:w="90"/>
        <w:gridCol w:w="9345"/>
      </w:tblGrid>
      <w:tr>
        <w:tblPrEx>
          <w:tblCellMar>
            <w:top w:w="0" w:type="dxa"/>
            <w:left w:w="0" w:type="dxa"/>
            <w:bottom w:w="0" w:type="dxa"/>
            <w:right w:w="0" w:type="dxa"/>
          </w:tblCellMar>
        </w:tblPrEx>
        <w:trPr>
          <w:gridAfter w:val="2"/>
          <w:wAfter w:w="9435" w:type="dxa"/>
          <w:trHeight w:val="1587" w:hRule="atLeast"/>
          <w:jc w:val="center"/>
        </w:trPr>
        <w:tc>
          <w:tcPr>
            <w:tcW w:w="10185" w:type="dxa"/>
            <w:gridSpan w:val="6"/>
            <w:tcBorders>
              <w:top w:val="nil"/>
              <w:left w:val="nil"/>
              <w:bottom w:val="nil"/>
              <w:right w:val="nil"/>
            </w:tcBorders>
            <w:tcMar>
              <w:top w:w="15" w:type="dxa"/>
              <w:left w:w="15" w:type="dxa"/>
              <w:right w:w="15" w:type="dxa"/>
            </w:tcMar>
            <w:vAlign w:val="center"/>
          </w:tcPr>
          <w:p>
            <w:pPr>
              <w:widowControl/>
              <w:tabs>
                <w:tab w:val="left" w:pos="3241"/>
              </w:tabs>
              <w:jc w:val="left"/>
              <w:textAlignment w:val="center"/>
              <w:rPr>
                <w:rFonts w:ascii="宋体" w:hAnsi="宋体" w:cs="宋体"/>
                <w:b/>
                <w:bCs/>
                <w:color w:val="000000"/>
                <w:kern w:val="0"/>
                <w:sz w:val="36"/>
                <w:szCs w:val="36"/>
              </w:rPr>
            </w:pPr>
          </w:p>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gridAfter w:val="2"/>
          <w:wAfter w:w="9435" w:type="dxa"/>
          <w:trHeight w:val="276" w:hRule="atLeast"/>
          <w:jc w:val="center"/>
        </w:trPr>
        <w:tc>
          <w:tcPr>
            <w:tcW w:w="29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20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8.8灾后重建九寨沟县山洪灾害防治非工程措施项目</w:t>
            </w:r>
          </w:p>
        </w:tc>
      </w:tr>
      <w:tr>
        <w:tblPrEx>
          <w:tblCellMar>
            <w:top w:w="0" w:type="dxa"/>
            <w:left w:w="0" w:type="dxa"/>
            <w:bottom w:w="0" w:type="dxa"/>
            <w:right w:w="0" w:type="dxa"/>
          </w:tblCellMar>
        </w:tblPrEx>
        <w:trPr>
          <w:gridAfter w:val="2"/>
          <w:wAfter w:w="9435" w:type="dxa"/>
          <w:trHeight w:val="276" w:hRule="atLeast"/>
          <w:jc w:val="center"/>
        </w:trPr>
        <w:tc>
          <w:tcPr>
            <w:tcW w:w="29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20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水务局</w:t>
            </w:r>
          </w:p>
        </w:tc>
      </w:tr>
      <w:tr>
        <w:tblPrEx>
          <w:tblCellMar>
            <w:top w:w="0" w:type="dxa"/>
            <w:left w:w="0" w:type="dxa"/>
            <w:bottom w:w="0" w:type="dxa"/>
            <w:right w:w="0" w:type="dxa"/>
          </w:tblCellMar>
        </w:tblPrEx>
        <w:trPr>
          <w:gridAfter w:val="2"/>
          <w:wAfter w:w="9435" w:type="dxa"/>
          <w:trHeight w:val="385" w:hRule="atLeast"/>
          <w:jc w:val="center"/>
        </w:trPr>
        <w:tc>
          <w:tcPr>
            <w:tcW w:w="55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4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245</w:t>
            </w: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231.54</w:t>
            </w:r>
          </w:p>
        </w:tc>
      </w:tr>
      <w:tr>
        <w:tblPrEx>
          <w:tblCellMar>
            <w:top w:w="0" w:type="dxa"/>
            <w:left w:w="0" w:type="dxa"/>
            <w:bottom w:w="0" w:type="dxa"/>
            <w:right w:w="0" w:type="dxa"/>
          </w:tblCellMar>
        </w:tblPrEx>
        <w:trPr>
          <w:gridAfter w:val="2"/>
          <w:wAfter w:w="9435" w:type="dxa"/>
          <w:trHeight w:val="467" w:hRule="atLeast"/>
          <w:jc w:val="center"/>
        </w:trPr>
        <w:tc>
          <w:tcPr>
            <w:tcW w:w="55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4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245</w:t>
            </w: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231.54</w:t>
            </w:r>
          </w:p>
        </w:tc>
      </w:tr>
      <w:tr>
        <w:tblPrEx>
          <w:tblCellMar>
            <w:top w:w="0" w:type="dxa"/>
            <w:left w:w="0" w:type="dxa"/>
            <w:bottom w:w="0" w:type="dxa"/>
            <w:right w:w="0" w:type="dxa"/>
          </w:tblCellMar>
        </w:tblPrEx>
        <w:trPr>
          <w:gridAfter w:val="2"/>
          <w:wAfter w:w="9435" w:type="dxa"/>
          <w:trHeight w:val="158" w:hRule="atLeast"/>
          <w:jc w:val="center"/>
        </w:trPr>
        <w:tc>
          <w:tcPr>
            <w:tcW w:w="55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4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gridAfter w:val="2"/>
          <w:wAfter w:w="9435" w:type="dxa"/>
          <w:trHeight w:val="276" w:hRule="atLeast"/>
          <w:jc w:val="center"/>
        </w:trPr>
        <w:tc>
          <w:tcPr>
            <w:tcW w:w="55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53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509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gridAfter w:val="2"/>
          <w:wAfter w:w="9435" w:type="dxa"/>
          <w:trHeight w:val="1159" w:hRule="atLeast"/>
          <w:jc w:val="center"/>
        </w:trPr>
        <w:tc>
          <w:tcPr>
            <w:tcW w:w="55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53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szCs w:val="24"/>
              </w:rPr>
            </w:pPr>
            <w:r>
              <w:rPr>
                <w:rFonts w:hint="eastAsia" w:ascii="宋体" w:hAnsi="宋体" w:cs="宋体"/>
                <w:sz w:val="24"/>
                <w:szCs w:val="24"/>
              </w:rPr>
              <w:t>为12个乡镇共布置自动雨量站9个，自动水位站3座，视频监测站2个，简易雨量报警器75个（人口密集区新建12个，升级改造63个），无线预警广播站30个（人口密集区新建12个），手摇报警器92个（人口密集区新建12个），铜锣号142套（人口密集区补充60个），对12个乡镇、92个行政村山洪灾害群测群防体系进行完善，并继续开展宣传、培训、演练工作，应急救援设备12套。九寨沟县 2019 年度山洪灾害防治项目非地震重灾区任务在5个乡镇共布置自动雨量站4个，简易雨量报警器28个（人口密集区新建11个，升级改造17个），无线预警广播站18个（人口密集区新建11个），手摇报警器33个（人口密集区新建11个），铜锣号77套（人口密集区补充55个），对5个乡镇、28个行政村山洪灾害群测群防体系进行完善，并继续开展宣传、培训、演练工作，应急救援设备5套。</w:t>
            </w:r>
          </w:p>
        </w:tc>
        <w:tc>
          <w:tcPr>
            <w:tcW w:w="509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sz w:val="24"/>
                <w:szCs w:val="24"/>
              </w:rPr>
            </w:pPr>
            <w:r>
              <w:rPr>
                <w:rFonts w:hint="eastAsia" w:ascii="宋体" w:hAnsi="宋体" w:cs="宋体"/>
                <w:sz w:val="24"/>
                <w:szCs w:val="24"/>
              </w:rPr>
              <w:t>在12个乡镇共布置自动雨量站9个，自动水位站3座，视频监测站2个，简易雨量报警器75个（人口密集区新建12个，升级改造63个），无线预警广播站30个（人口密集区新建12个），手摇报警器92个（人口密集区新建12个），铜锣号142套（人口密集区补充60个），对12个乡镇、92个行政村山洪灾害群测群防体系进行完善，并继续开展宣传、培训、演练工作，应急救援设备12套。九寨沟县 2019 年度山洪灾害防治项目非地震重灾区任务在5个乡镇共布置自动雨量站4个，简易雨量报警器28个（人口密集区新建11个，升级改造17个），无线预警广播站18个（人口密集区新建11个），手摇报警器33个（人口密集区新建11个），铜锣号77套（人口密集区补充55个），对5个乡镇、28个行政村山洪灾害群测群防体系进行完善，并继续开展宣传、培训、演练工作，应急救援设备5套。</w:t>
            </w:r>
          </w:p>
        </w:tc>
      </w:tr>
      <w:tr>
        <w:tblPrEx>
          <w:tblCellMar>
            <w:top w:w="0" w:type="dxa"/>
            <w:left w:w="0" w:type="dxa"/>
            <w:bottom w:w="0" w:type="dxa"/>
            <w:right w:w="0" w:type="dxa"/>
          </w:tblCellMar>
        </w:tblPrEx>
        <w:trPr>
          <w:gridAfter w:val="2"/>
          <w:wAfter w:w="9435" w:type="dxa"/>
          <w:trHeight w:val="1042" w:hRule="atLeast"/>
          <w:jc w:val="center"/>
        </w:trPr>
        <w:tc>
          <w:tcPr>
            <w:tcW w:w="55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gridAfter w:val="2"/>
          <w:wAfter w:w="9435" w:type="dxa"/>
          <w:trHeight w:val="7872" w:hRule="atLeast"/>
          <w:jc w:val="center"/>
        </w:trPr>
        <w:tc>
          <w:tcPr>
            <w:tcW w:w="55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sz w:val="24"/>
              </w:rPr>
            </w:pPr>
            <w:r>
              <w:rPr>
                <w:rFonts w:hint="eastAsia" w:ascii="宋体" w:hAnsi="宋体" w:cs="宋体"/>
                <w:sz w:val="24"/>
              </w:rPr>
              <w:t>数量指标</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hAnsi="宋体" w:cs="宋体"/>
                <w:sz w:val="24"/>
                <w:szCs w:val="24"/>
              </w:rPr>
            </w:pPr>
            <w:r>
              <w:rPr>
                <w:rFonts w:hint="eastAsia" w:ascii="宋体" w:hAnsi="宋体" w:cs="宋体"/>
                <w:sz w:val="24"/>
                <w:szCs w:val="24"/>
              </w:rPr>
              <w:t>在12个乡镇共布置自动雨量站9个，自动水位站3座，视频监测站2个，简易雨量报警器75个（人口密集区新建12个，升级改造63个），无线预警广播站30个（人口密集区新建12个），手摇报警器92个（人口密集区新建12个），铜锣号142套（人口密集区补充60个），对12个乡镇、92个行政村山洪灾害群测群防体系进行完善，并继续开展宣传、培训、演练工作，应急救援设备12套。</w:t>
            </w:r>
          </w:p>
          <w:p>
            <w:pPr>
              <w:widowControl/>
              <w:jc w:val="center"/>
              <w:textAlignment w:val="center"/>
              <w:rPr>
                <w:rFonts w:ascii="宋体" w:hAnsi="宋体" w:cs="宋体"/>
                <w:color w:val="000000"/>
                <w:sz w:val="24"/>
                <w:szCs w:val="24"/>
              </w:rPr>
            </w:pPr>
            <w:r>
              <w:rPr>
                <w:rFonts w:hint="eastAsia" w:ascii="宋体" w:hAnsi="宋体" w:cs="宋体"/>
                <w:sz w:val="24"/>
                <w:szCs w:val="24"/>
              </w:rPr>
              <w:t>九寨沟县 2019 年度山洪灾害防治项目非地震重灾区任务在5个乡镇共布置自动雨量站4个，简易雨量报警器28个（人口密集区新建11个，升级改造17个），无线预警广播站18个（人口密集区新建11个），手摇报警器33个（人口密集区新建11个），铜锣号77套（人口密集区补充55个），对5个乡镇、28个行政村山洪灾害群测群防体系进行完善，并继续开展宣传、培训、演练工作，应急救援设备5套</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hAnsi="宋体" w:cs="宋体"/>
                <w:sz w:val="24"/>
                <w:szCs w:val="24"/>
              </w:rPr>
            </w:pPr>
            <w:r>
              <w:rPr>
                <w:rFonts w:hint="eastAsia" w:ascii="宋体" w:hAnsi="宋体" w:cs="宋体"/>
                <w:sz w:val="24"/>
                <w:szCs w:val="24"/>
              </w:rPr>
              <w:t>在12个乡镇共布置自动雨量站9个，自动水位站3座，视频监测站2个，简易雨量报警器75个（人口密集区新建12个，升级改造63个），无线预警广播站30个（人口密集区新建12个），手摇报警器92个（人口密集区新建12个），铜锣号142套（人口密集区补充60个），对12个乡镇、92个行政村山洪灾害群测群防体系进行完善，并继续开展宣传、培训、演练工作，应急救援设备12套。</w:t>
            </w:r>
          </w:p>
          <w:p>
            <w:pPr>
              <w:tabs>
                <w:tab w:val="left" w:pos="671"/>
              </w:tabs>
              <w:jc w:val="left"/>
              <w:rPr>
                <w:sz w:val="24"/>
                <w:szCs w:val="24"/>
              </w:rPr>
            </w:pPr>
            <w:r>
              <w:rPr>
                <w:rFonts w:hint="eastAsia" w:ascii="宋体" w:hAnsi="宋体" w:cs="宋体"/>
                <w:sz w:val="24"/>
                <w:szCs w:val="24"/>
              </w:rPr>
              <w:t>九寨沟县 2019 年度山洪灾害防治项目非地震重灾区任务在5个乡镇共布置自动雨量站4个，简易雨量报警器28个（人口密集区新建11个，升级改造17个），无线预警广播站18个（人口密集区新建11个），手摇报警器33个（人口密集区新建11个），铜锣号77套（人口密集区补充55个），对5个乡镇、28个行政村山洪灾害群测群防体系进行完善，并继续开展宣传、培训、演练工作，应急救援设备5套</w:t>
            </w:r>
          </w:p>
        </w:tc>
      </w:tr>
      <w:tr>
        <w:tblPrEx>
          <w:tblCellMar>
            <w:top w:w="0" w:type="dxa"/>
            <w:left w:w="0" w:type="dxa"/>
            <w:bottom w:w="0" w:type="dxa"/>
            <w:right w:w="0" w:type="dxa"/>
          </w:tblCellMar>
        </w:tblPrEx>
        <w:trPr>
          <w:gridAfter w:val="2"/>
          <w:wAfter w:w="9435" w:type="dxa"/>
          <w:trHeight w:val="431" w:hRule="atLeast"/>
          <w:jc w:val="center"/>
        </w:trPr>
        <w:tc>
          <w:tcPr>
            <w:tcW w:w="55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sz w:val="24"/>
              </w:rPr>
            </w:pPr>
            <w:r>
              <w:rPr>
                <w:rFonts w:hint="eastAsia" w:ascii="宋体" w:hAnsi="宋体" w:cs="宋体"/>
                <w:sz w:val="24"/>
              </w:rPr>
              <w:t>质量指标</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24"/>
              </w:rPr>
            </w:pPr>
            <w:r>
              <w:rPr>
                <w:rFonts w:hint="eastAsia" w:ascii="宋体" w:hAnsi="宋体" w:cs="宋体"/>
                <w:color w:val="000000"/>
                <w:kern w:val="0"/>
                <w:sz w:val="24"/>
              </w:rPr>
              <w:t>工程验收合格率</w:t>
            </w: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24"/>
              </w:rPr>
            </w:pPr>
            <w:r>
              <w:rPr>
                <w:rFonts w:hint="eastAsia" w:ascii="宋体" w:hAnsi="宋体" w:cs="宋体"/>
                <w:color w:val="000000"/>
                <w:kern w:val="0"/>
                <w:sz w:val="24"/>
              </w:rPr>
              <w:t>100%</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24"/>
              </w:rPr>
            </w:pPr>
            <w:r>
              <w:rPr>
                <w:rFonts w:hint="eastAsia" w:ascii="宋体" w:hAnsi="宋体" w:cs="宋体"/>
                <w:color w:val="000000"/>
                <w:kern w:val="0"/>
                <w:sz w:val="24"/>
              </w:rPr>
              <w:t>100%</w:t>
            </w:r>
          </w:p>
        </w:tc>
      </w:tr>
      <w:tr>
        <w:tblPrEx>
          <w:tblCellMar>
            <w:top w:w="0" w:type="dxa"/>
            <w:left w:w="0" w:type="dxa"/>
            <w:bottom w:w="0" w:type="dxa"/>
            <w:right w:w="0" w:type="dxa"/>
          </w:tblCellMar>
        </w:tblPrEx>
        <w:trPr>
          <w:gridAfter w:val="2"/>
          <w:wAfter w:w="9435" w:type="dxa"/>
          <w:trHeight w:val="591" w:hRule="atLeast"/>
          <w:jc w:val="center"/>
        </w:trPr>
        <w:tc>
          <w:tcPr>
            <w:tcW w:w="55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sz w:val="24"/>
              </w:rPr>
            </w:pPr>
            <w:r>
              <w:rPr>
                <w:rFonts w:hint="eastAsia" w:ascii="宋体" w:hAnsi="宋体" w:cs="宋体"/>
                <w:sz w:val="24"/>
              </w:rPr>
              <w:t>时效指标</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24"/>
              </w:rPr>
            </w:pPr>
            <w:r>
              <w:rPr>
                <w:rFonts w:hint="eastAsia" w:ascii="宋体" w:hAnsi="宋体" w:cs="宋体"/>
                <w:color w:val="000000"/>
                <w:kern w:val="0"/>
                <w:sz w:val="24"/>
              </w:rPr>
              <w:t>截至2019年12月月底，</w:t>
            </w:r>
            <w:r>
              <w:rPr>
                <w:rFonts w:hint="eastAsia" w:ascii="宋体" w:hAnsi="宋体" w:cs="宋体"/>
                <w:color w:val="000000"/>
                <w:kern w:val="0"/>
                <w:sz w:val="24"/>
                <w:lang w:eastAsia="zh-CN"/>
              </w:rPr>
              <w:t>项目完工</w:t>
            </w: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24"/>
              </w:rPr>
            </w:pPr>
            <w:r>
              <w:rPr>
                <w:rFonts w:hint="eastAsia" w:ascii="宋体" w:hAnsi="宋体" w:eastAsia="宋体" w:cs="宋体"/>
                <w:color w:val="000000"/>
                <w:kern w:val="0"/>
                <w:sz w:val="24"/>
                <w:lang w:eastAsia="zh-CN"/>
              </w:rPr>
              <w:t>是</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24"/>
              </w:rPr>
            </w:pPr>
            <w:r>
              <w:rPr>
                <w:rFonts w:hint="eastAsia" w:ascii="宋体" w:hAnsi="宋体" w:eastAsia="宋体" w:cs="宋体"/>
                <w:color w:val="000000"/>
                <w:kern w:val="0"/>
                <w:sz w:val="24"/>
                <w:lang w:eastAsia="zh-CN"/>
              </w:rPr>
              <w:t>是</w:t>
            </w:r>
          </w:p>
        </w:tc>
      </w:tr>
      <w:tr>
        <w:tblPrEx>
          <w:tblCellMar>
            <w:top w:w="0" w:type="dxa"/>
            <w:left w:w="0" w:type="dxa"/>
            <w:bottom w:w="0" w:type="dxa"/>
            <w:right w:w="0" w:type="dxa"/>
          </w:tblCellMar>
        </w:tblPrEx>
        <w:trPr>
          <w:gridAfter w:val="2"/>
          <w:wAfter w:w="9435" w:type="dxa"/>
          <w:trHeight w:val="90" w:hRule="atLeast"/>
          <w:jc w:val="center"/>
        </w:trPr>
        <w:tc>
          <w:tcPr>
            <w:tcW w:w="55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sz w:val="24"/>
              </w:rPr>
            </w:pPr>
            <w:r>
              <w:rPr>
                <w:rFonts w:hint="eastAsia" w:ascii="宋体" w:hAnsi="宋体" w:cs="宋体"/>
                <w:sz w:val="24"/>
              </w:rPr>
              <w:t>成本指标</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24"/>
              </w:rPr>
            </w:pPr>
            <w:r>
              <w:rPr>
                <w:rFonts w:hint="eastAsia" w:ascii="宋体" w:hAnsi="宋体" w:eastAsia="宋体" w:cs="宋体"/>
                <w:color w:val="000000"/>
                <w:kern w:val="0"/>
                <w:sz w:val="24"/>
                <w:lang w:val="en-US" w:eastAsia="zh-CN"/>
              </w:rPr>
              <w:t>单价是否控制在批复概算单价内</w:t>
            </w: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24"/>
              </w:rPr>
            </w:pPr>
            <w:r>
              <w:rPr>
                <w:rFonts w:hint="eastAsia" w:ascii="宋体" w:hAnsi="宋体" w:eastAsia="宋体" w:cs="宋体"/>
                <w:color w:val="000000"/>
                <w:kern w:val="0"/>
                <w:sz w:val="24"/>
                <w:lang w:eastAsia="zh-CN"/>
              </w:rPr>
              <w:t>是</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24"/>
              </w:rPr>
            </w:pPr>
            <w:r>
              <w:rPr>
                <w:rFonts w:hint="eastAsia" w:ascii="宋体" w:hAnsi="宋体" w:eastAsia="宋体" w:cs="宋体"/>
                <w:color w:val="000000"/>
                <w:kern w:val="0"/>
                <w:sz w:val="24"/>
                <w:lang w:eastAsia="zh-CN"/>
              </w:rPr>
              <w:t>是</w:t>
            </w:r>
          </w:p>
        </w:tc>
      </w:tr>
      <w:tr>
        <w:tblPrEx>
          <w:tblCellMar>
            <w:top w:w="0" w:type="dxa"/>
            <w:left w:w="0" w:type="dxa"/>
            <w:bottom w:w="0" w:type="dxa"/>
            <w:right w:w="0" w:type="dxa"/>
          </w:tblCellMar>
        </w:tblPrEx>
        <w:trPr>
          <w:gridAfter w:val="2"/>
          <w:wAfter w:w="9435" w:type="dxa"/>
          <w:trHeight w:val="375" w:hRule="atLeast"/>
          <w:jc w:val="center"/>
        </w:trPr>
        <w:tc>
          <w:tcPr>
            <w:tcW w:w="55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pPr>
          </w:p>
          <w:p>
            <w:pPr>
              <w:jc w:val="center"/>
            </w:pPr>
            <w:r>
              <w:rPr>
                <w:rFonts w:hint="eastAsia" w:ascii="宋体" w:hAnsi="宋体" w:cs="宋体"/>
                <w:color w:val="000000"/>
                <w:kern w:val="0"/>
                <w:sz w:val="24"/>
              </w:rPr>
              <w:t>满意度指标</w:t>
            </w: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sz w:val="24"/>
              </w:rPr>
            </w:pPr>
            <w:r>
              <w:rPr>
                <w:rFonts w:hint="eastAsia" w:ascii="宋体" w:hAnsi="宋体" w:cs="宋体"/>
                <w:sz w:val="24"/>
              </w:rPr>
              <w:t>服务对象满意度指标</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24"/>
              </w:rPr>
            </w:pP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24"/>
              </w:rPr>
            </w:pPr>
            <w:r>
              <w:rPr>
                <w:rFonts w:hint="eastAsia" w:ascii="宋体" w:hAnsi="宋体" w:cs="宋体"/>
                <w:color w:val="000000"/>
                <w:kern w:val="0"/>
                <w:sz w:val="24"/>
              </w:rPr>
              <w:t>群众满意度</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24"/>
              </w:rPr>
            </w:pPr>
            <w:r>
              <w:rPr>
                <w:rFonts w:hint="eastAsia" w:ascii="宋体" w:hAnsi="宋体" w:cs="宋体"/>
                <w:color w:val="000000"/>
                <w:kern w:val="0"/>
                <w:sz w:val="24"/>
              </w:rPr>
              <w:t>100%</w:t>
            </w:r>
          </w:p>
        </w:tc>
      </w:tr>
      <w:tr>
        <w:tblPrEx>
          <w:tblCellMar>
            <w:top w:w="0" w:type="dxa"/>
            <w:left w:w="0" w:type="dxa"/>
            <w:bottom w:w="0" w:type="dxa"/>
            <w:right w:w="0" w:type="dxa"/>
          </w:tblCellMar>
        </w:tblPrEx>
        <w:trPr>
          <w:trHeight w:val="90" w:hRule="atLeast"/>
          <w:jc w:val="center"/>
        </w:trPr>
        <w:tc>
          <w:tcPr>
            <w:tcW w:w="10185" w:type="dxa"/>
            <w:gridSpan w:val="6"/>
            <w:tcBorders>
              <w:top w:val="nil"/>
              <w:left w:val="nil"/>
              <w:bottom w:val="nil"/>
              <w:right w:val="nil"/>
            </w:tcBorders>
            <w:tcMar>
              <w:top w:w="15" w:type="dxa"/>
              <w:left w:w="15" w:type="dxa"/>
              <w:right w:w="15" w:type="dxa"/>
            </w:tcMar>
            <w:vAlign w:val="center"/>
          </w:tcPr>
          <w:p>
            <w:pPr>
              <w:widowControl/>
              <w:jc w:val="both"/>
              <w:textAlignment w:val="center"/>
              <w:rPr>
                <w:rFonts w:hint="eastAsia" w:ascii="宋体" w:hAnsi="宋体" w:cs="宋体"/>
                <w:b/>
                <w:bCs/>
                <w:color w:val="000000"/>
                <w:kern w:val="0"/>
                <w:sz w:val="36"/>
                <w:szCs w:val="36"/>
              </w:rPr>
            </w:pPr>
          </w:p>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c>
          <w:tcPr>
            <w:tcW w:w="9435" w:type="dxa"/>
            <w:gridSpan w:val="2"/>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b/>
                <w:bCs/>
                <w:color w:val="000000"/>
                <w:kern w:val="0"/>
                <w:sz w:val="36"/>
                <w:szCs w:val="36"/>
              </w:rPr>
            </w:pPr>
          </w:p>
        </w:tc>
      </w:tr>
      <w:tr>
        <w:tblPrEx>
          <w:tblCellMar>
            <w:top w:w="0" w:type="dxa"/>
            <w:left w:w="0" w:type="dxa"/>
            <w:bottom w:w="0" w:type="dxa"/>
            <w:right w:w="0" w:type="dxa"/>
          </w:tblCellMar>
        </w:tblPrEx>
        <w:trPr>
          <w:gridAfter w:val="2"/>
          <w:wAfter w:w="9435" w:type="dxa"/>
          <w:trHeight w:val="276" w:hRule="atLeast"/>
          <w:jc w:val="center"/>
        </w:trPr>
        <w:tc>
          <w:tcPr>
            <w:tcW w:w="29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20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kern w:val="0"/>
                <w:sz w:val="24"/>
              </w:rPr>
              <w:t>小流域水土流失综合治理项目第二期</w:t>
            </w:r>
          </w:p>
        </w:tc>
      </w:tr>
      <w:tr>
        <w:tblPrEx>
          <w:tblCellMar>
            <w:top w:w="0" w:type="dxa"/>
            <w:left w:w="0" w:type="dxa"/>
            <w:bottom w:w="0" w:type="dxa"/>
            <w:right w:w="0" w:type="dxa"/>
          </w:tblCellMar>
        </w:tblPrEx>
        <w:trPr>
          <w:gridAfter w:val="2"/>
          <w:wAfter w:w="9435" w:type="dxa"/>
          <w:trHeight w:val="276" w:hRule="atLeast"/>
          <w:jc w:val="center"/>
        </w:trPr>
        <w:tc>
          <w:tcPr>
            <w:tcW w:w="29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20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水务局</w:t>
            </w:r>
          </w:p>
        </w:tc>
      </w:tr>
      <w:tr>
        <w:tblPrEx>
          <w:tblCellMar>
            <w:top w:w="0" w:type="dxa"/>
            <w:left w:w="0" w:type="dxa"/>
            <w:bottom w:w="0" w:type="dxa"/>
            <w:right w:w="0" w:type="dxa"/>
          </w:tblCellMar>
        </w:tblPrEx>
        <w:trPr>
          <w:gridAfter w:val="2"/>
          <w:wAfter w:w="9435" w:type="dxa"/>
          <w:trHeight w:val="276" w:hRule="atLeast"/>
          <w:jc w:val="center"/>
        </w:trPr>
        <w:tc>
          <w:tcPr>
            <w:tcW w:w="55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4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280</w:t>
            </w: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188.91</w:t>
            </w:r>
          </w:p>
        </w:tc>
      </w:tr>
      <w:tr>
        <w:tblPrEx>
          <w:tblCellMar>
            <w:top w:w="0" w:type="dxa"/>
            <w:left w:w="0" w:type="dxa"/>
            <w:bottom w:w="0" w:type="dxa"/>
            <w:right w:w="0" w:type="dxa"/>
          </w:tblCellMar>
        </w:tblPrEx>
        <w:trPr>
          <w:gridAfter w:val="2"/>
          <w:wAfter w:w="9435" w:type="dxa"/>
          <w:trHeight w:val="276" w:hRule="atLeast"/>
          <w:jc w:val="center"/>
        </w:trPr>
        <w:tc>
          <w:tcPr>
            <w:tcW w:w="55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4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280</w:t>
            </w: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188.91</w:t>
            </w:r>
          </w:p>
        </w:tc>
      </w:tr>
      <w:tr>
        <w:tblPrEx>
          <w:tblCellMar>
            <w:top w:w="0" w:type="dxa"/>
            <w:left w:w="0" w:type="dxa"/>
            <w:bottom w:w="0" w:type="dxa"/>
            <w:right w:w="0" w:type="dxa"/>
          </w:tblCellMar>
        </w:tblPrEx>
        <w:trPr>
          <w:gridAfter w:val="2"/>
          <w:wAfter w:w="9435" w:type="dxa"/>
          <w:trHeight w:val="536" w:hRule="atLeast"/>
          <w:jc w:val="center"/>
        </w:trPr>
        <w:tc>
          <w:tcPr>
            <w:tcW w:w="55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4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gridAfter w:val="2"/>
          <w:wAfter w:w="9435" w:type="dxa"/>
          <w:trHeight w:val="276" w:hRule="atLeast"/>
          <w:jc w:val="center"/>
        </w:trPr>
        <w:tc>
          <w:tcPr>
            <w:tcW w:w="55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53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509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gridAfter w:val="2"/>
          <w:wAfter w:w="9435" w:type="dxa"/>
          <w:trHeight w:val="1159" w:hRule="atLeast"/>
          <w:jc w:val="center"/>
        </w:trPr>
        <w:tc>
          <w:tcPr>
            <w:tcW w:w="55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53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完成</w:t>
            </w:r>
            <w:r>
              <w:rPr>
                <w:rFonts w:ascii="宋体" w:hAnsi="宋体" w:cs="宋体"/>
                <w:color w:val="000000"/>
                <w:kern w:val="0"/>
                <w:sz w:val="24"/>
              </w:rPr>
              <w:t xml:space="preserve">治理水土流失面积6.00km²，封禁治理569.58hm²，保土耕作30.43hm²，修建排灌沟渠2302m，生产便道2302m，灌溉10.97hm²。 </w:t>
            </w:r>
          </w:p>
        </w:tc>
        <w:tc>
          <w:tcPr>
            <w:tcW w:w="509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完成</w:t>
            </w:r>
            <w:r>
              <w:rPr>
                <w:rFonts w:ascii="宋体" w:hAnsi="宋体" w:cs="宋体"/>
                <w:color w:val="000000"/>
                <w:kern w:val="0"/>
                <w:sz w:val="24"/>
              </w:rPr>
              <w:t>治理水土流失面积6.00km²，封禁治理569.58hm²，保土耕作30.43hm²，修建排灌沟渠2302m，生产便道2302m，灌溉10.97hm²</w:t>
            </w:r>
          </w:p>
        </w:tc>
      </w:tr>
      <w:tr>
        <w:tblPrEx>
          <w:tblCellMar>
            <w:top w:w="0" w:type="dxa"/>
            <w:left w:w="0" w:type="dxa"/>
            <w:bottom w:w="0" w:type="dxa"/>
            <w:right w:w="0" w:type="dxa"/>
          </w:tblCellMar>
        </w:tblPrEx>
        <w:trPr>
          <w:gridAfter w:val="2"/>
          <w:wAfter w:w="9435" w:type="dxa"/>
          <w:trHeight w:val="879" w:hRule="atLeast"/>
          <w:jc w:val="center"/>
        </w:trPr>
        <w:tc>
          <w:tcPr>
            <w:tcW w:w="55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二级指标</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gridAfter w:val="2"/>
          <w:wAfter w:w="9435" w:type="dxa"/>
          <w:trHeight w:val="2262" w:hRule="atLeast"/>
          <w:jc w:val="center"/>
        </w:trPr>
        <w:tc>
          <w:tcPr>
            <w:tcW w:w="55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sz w:val="24"/>
              </w:rPr>
            </w:pPr>
            <w:r>
              <w:rPr>
                <w:rFonts w:hint="eastAsia" w:ascii="宋体" w:hAnsi="宋体" w:cs="宋体"/>
                <w:sz w:val="24"/>
              </w:rPr>
              <w:t>数量指标</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完成</w:t>
            </w:r>
            <w:r>
              <w:rPr>
                <w:rFonts w:ascii="宋体" w:hAnsi="宋体" w:cs="宋体"/>
                <w:color w:val="000000"/>
                <w:kern w:val="0"/>
                <w:sz w:val="24"/>
              </w:rPr>
              <w:t xml:space="preserve">治理水土流失面积6.00km²，封禁治理569.58hm²，保土耕作30.43hm²，修建排灌沟渠2302m，生产便道2302m，灌溉10.97hm²。 </w:t>
            </w: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完成</w:t>
            </w:r>
            <w:r>
              <w:rPr>
                <w:rFonts w:ascii="宋体" w:hAnsi="宋体" w:cs="宋体"/>
                <w:color w:val="000000"/>
                <w:kern w:val="0"/>
                <w:sz w:val="24"/>
              </w:rPr>
              <w:t xml:space="preserve">治理水土流失面积6.00km²，封禁治理569.58hm²，保土耕作30.43hm²，修建排灌沟渠2302m，生产便道2302m，灌溉10.97hm²。 </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p>
          <w:p>
            <w:pPr>
              <w:widowControl/>
              <w:jc w:val="center"/>
              <w:textAlignment w:val="center"/>
              <w:rPr>
                <w:rFonts w:ascii="宋体" w:hAnsi="宋体" w:cs="宋体"/>
                <w:color w:val="000000"/>
                <w:kern w:val="0"/>
                <w:sz w:val="24"/>
              </w:rPr>
            </w:pPr>
            <w:r>
              <w:rPr>
                <w:rFonts w:hint="eastAsia" w:ascii="宋体" w:hAnsi="宋体" w:cs="宋体"/>
                <w:color w:val="000000"/>
                <w:kern w:val="0"/>
                <w:sz w:val="24"/>
              </w:rPr>
              <w:t>完成</w:t>
            </w:r>
            <w:r>
              <w:rPr>
                <w:rFonts w:ascii="宋体" w:hAnsi="宋体" w:cs="宋体"/>
                <w:color w:val="000000"/>
                <w:kern w:val="0"/>
                <w:sz w:val="24"/>
              </w:rPr>
              <w:t xml:space="preserve">治理水土流失面积6.00km²，封禁治理569.58hm²，保土耕作30.43hm²，修建排灌沟渠2302m，生产便道2302m，灌溉10.97hm²。 </w:t>
            </w:r>
          </w:p>
        </w:tc>
      </w:tr>
      <w:tr>
        <w:tblPrEx>
          <w:tblCellMar>
            <w:top w:w="0" w:type="dxa"/>
            <w:left w:w="0" w:type="dxa"/>
            <w:bottom w:w="0" w:type="dxa"/>
            <w:right w:w="0" w:type="dxa"/>
          </w:tblCellMar>
        </w:tblPrEx>
        <w:trPr>
          <w:gridAfter w:val="2"/>
          <w:wAfter w:w="9435" w:type="dxa"/>
          <w:trHeight w:val="90" w:hRule="atLeast"/>
          <w:jc w:val="center"/>
        </w:trPr>
        <w:tc>
          <w:tcPr>
            <w:tcW w:w="55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sz w:val="24"/>
              </w:rPr>
            </w:pPr>
            <w:r>
              <w:rPr>
                <w:rFonts w:hint="eastAsia" w:ascii="宋体" w:hAnsi="宋体" w:cs="宋体"/>
                <w:sz w:val="24"/>
              </w:rPr>
              <w:t>质量指标</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工程验收合格率</w:t>
            </w: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100%</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100%</w:t>
            </w:r>
          </w:p>
        </w:tc>
      </w:tr>
      <w:tr>
        <w:tblPrEx>
          <w:tblCellMar>
            <w:top w:w="0" w:type="dxa"/>
            <w:left w:w="0" w:type="dxa"/>
            <w:bottom w:w="0" w:type="dxa"/>
            <w:right w:w="0" w:type="dxa"/>
          </w:tblCellMar>
        </w:tblPrEx>
        <w:trPr>
          <w:gridAfter w:val="2"/>
          <w:wAfter w:w="9435" w:type="dxa"/>
          <w:trHeight w:val="872" w:hRule="atLeast"/>
          <w:jc w:val="center"/>
        </w:trPr>
        <w:tc>
          <w:tcPr>
            <w:tcW w:w="55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sz w:val="24"/>
              </w:rPr>
            </w:pPr>
            <w:r>
              <w:rPr>
                <w:rFonts w:hint="eastAsia" w:ascii="宋体" w:hAnsi="宋体" w:cs="宋体"/>
                <w:sz w:val="24"/>
              </w:rPr>
              <w:t>时效指标</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24"/>
              </w:rPr>
            </w:pPr>
            <w:r>
              <w:rPr>
                <w:rFonts w:hint="eastAsia" w:ascii="宋体" w:hAnsi="宋体" w:cs="宋体"/>
                <w:color w:val="000000"/>
                <w:kern w:val="0"/>
                <w:sz w:val="24"/>
              </w:rPr>
              <w:t>截至2019年12月月底，</w:t>
            </w:r>
            <w:r>
              <w:rPr>
                <w:rFonts w:hint="eastAsia" w:ascii="宋体" w:hAnsi="宋体" w:cs="宋体"/>
                <w:color w:val="000000"/>
                <w:kern w:val="0"/>
                <w:sz w:val="24"/>
                <w:lang w:eastAsia="zh-CN"/>
              </w:rPr>
              <w:t>项目完工</w:t>
            </w: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24"/>
              </w:rPr>
            </w:pPr>
            <w:r>
              <w:rPr>
                <w:rFonts w:hint="eastAsia" w:ascii="宋体" w:hAnsi="宋体" w:eastAsia="宋体" w:cs="宋体"/>
                <w:color w:val="000000"/>
                <w:kern w:val="0"/>
                <w:sz w:val="24"/>
                <w:lang w:eastAsia="zh-CN"/>
              </w:rPr>
              <w:t>是</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24"/>
              </w:rPr>
            </w:pPr>
            <w:r>
              <w:rPr>
                <w:rFonts w:hint="eastAsia" w:ascii="宋体" w:hAnsi="宋体" w:eastAsia="宋体" w:cs="宋体"/>
                <w:color w:val="000000"/>
                <w:kern w:val="0"/>
                <w:sz w:val="24"/>
                <w:lang w:eastAsia="zh-CN"/>
              </w:rPr>
              <w:t>是</w:t>
            </w:r>
          </w:p>
        </w:tc>
      </w:tr>
      <w:tr>
        <w:tblPrEx>
          <w:tblCellMar>
            <w:top w:w="0" w:type="dxa"/>
            <w:left w:w="0" w:type="dxa"/>
            <w:bottom w:w="0" w:type="dxa"/>
            <w:right w:w="0" w:type="dxa"/>
          </w:tblCellMar>
        </w:tblPrEx>
        <w:trPr>
          <w:gridAfter w:val="2"/>
          <w:wAfter w:w="9435" w:type="dxa"/>
          <w:trHeight w:val="767" w:hRule="atLeast"/>
          <w:jc w:val="center"/>
        </w:trPr>
        <w:tc>
          <w:tcPr>
            <w:tcW w:w="55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sz w:val="24"/>
              </w:rPr>
            </w:pPr>
            <w:r>
              <w:rPr>
                <w:rFonts w:hint="eastAsia" w:ascii="宋体" w:hAnsi="宋体" w:cs="宋体"/>
                <w:sz w:val="24"/>
              </w:rPr>
              <w:t>成本指标</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24"/>
              </w:rPr>
            </w:pPr>
            <w:r>
              <w:rPr>
                <w:rFonts w:hint="eastAsia" w:ascii="宋体" w:hAnsi="宋体" w:eastAsia="宋体" w:cs="宋体"/>
                <w:color w:val="000000"/>
                <w:kern w:val="0"/>
                <w:sz w:val="24"/>
                <w:lang w:val="en-US" w:eastAsia="zh-CN"/>
              </w:rPr>
              <w:t>单价是否控制在批复概算单价内</w:t>
            </w: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24"/>
              </w:rPr>
            </w:pPr>
            <w:r>
              <w:rPr>
                <w:rFonts w:hint="eastAsia" w:ascii="宋体" w:hAnsi="宋体" w:eastAsia="宋体" w:cs="宋体"/>
                <w:color w:val="000000"/>
                <w:kern w:val="0"/>
                <w:sz w:val="24"/>
                <w:lang w:eastAsia="zh-CN"/>
              </w:rPr>
              <w:t>是</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24"/>
              </w:rPr>
            </w:pPr>
            <w:r>
              <w:rPr>
                <w:rFonts w:hint="eastAsia" w:ascii="宋体" w:hAnsi="宋体" w:eastAsia="宋体" w:cs="宋体"/>
                <w:color w:val="000000"/>
                <w:kern w:val="0"/>
                <w:sz w:val="24"/>
                <w:lang w:eastAsia="zh-CN"/>
              </w:rPr>
              <w:t>是</w:t>
            </w:r>
          </w:p>
        </w:tc>
      </w:tr>
      <w:tr>
        <w:tblPrEx>
          <w:tblCellMar>
            <w:top w:w="0" w:type="dxa"/>
            <w:left w:w="0" w:type="dxa"/>
            <w:bottom w:w="0" w:type="dxa"/>
            <w:right w:w="0" w:type="dxa"/>
          </w:tblCellMar>
        </w:tblPrEx>
        <w:trPr>
          <w:gridAfter w:val="2"/>
          <w:wAfter w:w="9435" w:type="dxa"/>
          <w:trHeight w:val="606" w:hRule="atLeast"/>
          <w:jc w:val="center"/>
        </w:trPr>
        <w:tc>
          <w:tcPr>
            <w:tcW w:w="55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pPr>
          </w:p>
          <w:p>
            <w:pPr>
              <w:jc w:val="center"/>
            </w:pPr>
            <w:r>
              <w:rPr>
                <w:rFonts w:hint="eastAsia" w:ascii="宋体" w:hAnsi="宋体" w:cs="宋体"/>
                <w:color w:val="000000"/>
                <w:kern w:val="0"/>
                <w:sz w:val="24"/>
              </w:rPr>
              <w:t>满意度指标</w:t>
            </w: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sz w:val="24"/>
              </w:rPr>
            </w:pPr>
            <w:r>
              <w:rPr>
                <w:rFonts w:hint="eastAsia" w:ascii="宋体" w:hAnsi="宋体" w:cs="宋体"/>
                <w:sz w:val="24"/>
              </w:rPr>
              <w:t>服务对象满意度指标</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24"/>
              </w:rPr>
            </w:pP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24"/>
              </w:rPr>
            </w:pPr>
            <w:r>
              <w:rPr>
                <w:rFonts w:hint="eastAsia" w:ascii="宋体" w:hAnsi="宋体" w:cs="宋体"/>
                <w:color w:val="000000"/>
                <w:kern w:val="0"/>
                <w:sz w:val="24"/>
              </w:rPr>
              <w:t>群众满意度</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24"/>
              </w:rPr>
            </w:pPr>
            <w:r>
              <w:rPr>
                <w:rFonts w:hint="eastAsia" w:ascii="宋体" w:hAnsi="宋体" w:cs="宋体"/>
                <w:color w:val="000000"/>
                <w:kern w:val="0"/>
                <w:sz w:val="24"/>
              </w:rPr>
              <w:t>100%</w:t>
            </w:r>
          </w:p>
        </w:tc>
      </w:tr>
      <w:tr>
        <w:tblPrEx>
          <w:tblCellMar>
            <w:top w:w="0" w:type="dxa"/>
            <w:left w:w="0" w:type="dxa"/>
            <w:bottom w:w="0" w:type="dxa"/>
            <w:right w:w="0" w:type="dxa"/>
          </w:tblCellMar>
        </w:tblPrEx>
        <w:trPr>
          <w:gridAfter w:val="1"/>
          <w:wAfter w:w="9345" w:type="dxa"/>
          <w:trHeight w:val="1034" w:hRule="atLeast"/>
          <w:jc w:val="center"/>
        </w:trPr>
        <w:tc>
          <w:tcPr>
            <w:tcW w:w="10185"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b/>
                <w:bCs/>
                <w:color w:val="auto"/>
                <w:kern w:val="0"/>
                <w:sz w:val="36"/>
                <w:szCs w:val="36"/>
              </w:rPr>
            </w:pPr>
          </w:p>
          <w:p>
            <w:pPr>
              <w:pStyle w:val="2"/>
            </w:pPr>
          </w:p>
          <w:p>
            <w:pPr>
              <w:widowControl/>
              <w:jc w:val="center"/>
              <w:textAlignment w:val="center"/>
              <w:rPr>
                <w:rFonts w:ascii="宋体" w:hAnsi="宋体" w:cs="宋体"/>
                <w:color w:val="auto"/>
                <w:sz w:val="36"/>
                <w:szCs w:val="36"/>
              </w:rPr>
            </w:pPr>
            <w:r>
              <w:rPr>
                <w:rFonts w:hint="eastAsia" w:ascii="宋体" w:hAnsi="宋体" w:cs="宋体"/>
                <w:b/>
                <w:bCs/>
                <w:color w:val="auto"/>
                <w:kern w:val="0"/>
                <w:sz w:val="36"/>
                <w:szCs w:val="36"/>
              </w:rPr>
              <w:t>项目绩效目标完成情况表</w:t>
            </w:r>
            <w:r>
              <w:rPr>
                <w:rFonts w:hint="eastAsia" w:ascii="宋体" w:hAnsi="宋体" w:cs="宋体"/>
                <w:b/>
                <w:bCs/>
                <w:color w:val="auto"/>
                <w:kern w:val="0"/>
                <w:sz w:val="36"/>
                <w:szCs w:val="36"/>
              </w:rPr>
              <w:br w:type="textWrapping"/>
            </w:r>
            <w:r>
              <w:rPr>
                <w:rFonts w:hint="eastAsia" w:ascii="宋体" w:hAnsi="宋体" w:cs="宋体"/>
                <w:color w:val="auto"/>
                <w:kern w:val="0"/>
                <w:sz w:val="36"/>
                <w:szCs w:val="36"/>
              </w:rPr>
              <w:t>(2019 年度)</w:t>
            </w:r>
          </w:p>
        </w:tc>
        <w:tc>
          <w:tcPr>
            <w:tcW w:w="90" w:type="dxa"/>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b/>
                <w:bCs/>
                <w:color w:val="000000"/>
                <w:kern w:val="0"/>
                <w:sz w:val="36"/>
                <w:szCs w:val="36"/>
              </w:rPr>
            </w:pPr>
          </w:p>
        </w:tc>
      </w:tr>
      <w:tr>
        <w:tblPrEx>
          <w:tblCellMar>
            <w:top w:w="0" w:type="dxa"/>
            <w:left w:w="0" w:type="dxa"/>
            <w:bottom w:w="0" w:type="dxa"/>
            <w:right w:w="0" w:type="dxa"/>
          </w:tblCellMar>
        </w:tblPrEx>
        <w:trPr>
          <w:gridAfter w:val="2"/>
          <w:wAfter w:w="9435" w:type="dxa"/>
          <w:trHeight w:val="276" w:hRule="atLeast"/>
          <w:jc w:val="center"/>
        </w:trPr>
        <w:tc>
          <w:tcPr>
            <w:tcW w:w="29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项目名称</w:t>
            </w:r>
          </w:p>
        </w:tc>
        <w:tc>
          <w:tcPr>
            <w:tcW w:w="720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九寨沟县城堤防维修加固建设项目</w:t>
            </w:r>
          </w:p>
        </w:tc>
      </w:tr>
      <w:tr>
        <w:tblPrEx>
          <w:tblCellMar>
            <w:top w:w="0" w:type="dxa"/>
            <w:left w:w="0" w:type="dxa"/>
            <w:bottom w:w="0" w:type="dxa"/>
            <w:right w:w="0" w:type="dxa"/>
          </w:tblCellMar>
        </w:tblPrEx>
        <w:trPr>
          <w:gridAfter w:val="2"/>
          <w:wAfter w:w="9435" w:type="dxa"/>
          <w:trHeight w:val="276" w:hRule="atLeast"/>
          <w:jc w:val="center"/>
        </w:trPr>
        <w:tc>
          <w:tcPr>
            <w:tcW w:w="29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预算单位</w:t>
            </w:r>
          </w:p>
        </w:tc>
        <w:tc>
          <w:tcPr>
            <w:tcW w:w="720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水务局</w:t>
            </w:r>
          </w:p>
        </w:tc>
      </w:tr>
      <w:tr>
        <w:tblPrEx>
          <w:tblCellMar>
            <w:top w:w="0" w:type="dxa"/>
            <w:left w:w="0" w:type="dxa"/>
            <w:bottom w:w="0" w:type="dxa"/>
            <w:right w:w="0" w:type="dxa"/>
          </w:tblCellMar>
        </w:tblPrEx>
        <w:trPr>
          <w:gridAfter w:val="2"/>
          <w:wAfter w:w="9435" w:type="dxa"/>
          <w:trHeight w:val="276" w:hRule="atLeast"/>
          <w:jc w:val="center"/>
        </w:trPr>
        <w:tc>
          <w:tcPr>
            <w:tcW w:w="55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预算执行情况(万元)</w:t>
            </w:r>
          </w:p>
        </w:tc>
        <w:tc>
          <w:tcPr>
            <w:tcW w:w="24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预算数:</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767.8244</w:t>
            </w: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执行数:</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439.37</w:t>
            </w:r>
          </w:p>
        </w:tc>
      </w:tr>
      <w:tr>
        <w:tblPrEx>
          <w:tblCellMar>
            <w:top w:w="0" w:type="dxa"/>
            <w:left w:w="0" w:type="dxa"/>
            <w:bottom w:w="0" w:type="dxa"/>
            <w:right w:w="0" w:type="dxa"/>
          </w:tblCellMar>
        </w:tblPrEx>
        <w:trPr>
          <w:gridAfter w:val="2"/>
          <w:wAfter w:w="9435" w:type="dxa"/>
          <w:trHeight w:val="453" w:hRule="atLeast"/>
          <w:jc w:val="center"/>
        </w:trPr>
        <w:tc>
          <w:tcPr>
            <w:tcW w:w="55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auto"/>
                <w:sz w:val="24"/>
              </w:rPr>
            </w:pPr>
          </w:p>
        </w:tc>
        <w:tc>
          <w:tcPr>
            <w:tcW w:w="24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其中-财政拨款:</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767.8244</w:t>
            </w: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其中-财政拨款:</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439.37</w:t>
            </w:r>
          </w:p>
        </w:tc>
      </w:tr>
      <w:tr>
        <w:tblPrEx>
          <w:tblCellMar>
            <w:top w:w="0" w:type="dxa"/>
            <w:left w:w="0" w:type="dxa"/>
            <w:bottom w:w="0" w:type="dxa"/>
            <w:right w:w="0" w:type="dxa"/>
          </w:tblCellMar>
        </w:tblPrEx>
        <w:trPr>
          <w:gridAfter w:val="2"/>
          <w:wAfter w:w="9435" w:type="dxa"/>
          <w:trHeight w:val="730" w:hRule="atLeast"/>
          <w:jc w:val="center"/>
        </w:trPr>
        <w:tc>
          <w:tcPr>
            <w:tcW w:w="55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auto"/>
                <w:sz w:val="24"/>
              </w:rPr>
            </w:pPr>
          </w:p>
        </w:tc>
        <w:tc>
          <w:tcPr>
            <w:tcW w:w="24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其它资金:</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实际完成目标</w:t>
            </w: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其它资金:</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auto"/>
                <w:sz w:val="24"/>
              </w:rPr>
            </w:pPr>
          </w:p>
        </w:tc>
      </w:tr>
      <w:tr>
        <w:tblPrEx>
          <w:tblCellMar>
            <w:top w:w="0" w:type="dxa"/>
            <w:left w:w="0" w:type="dxa"/>
            <w:bottom w:w="0" w:type="dxa"/>
            <w:right w:w="0" w:type="dxa"/>
          </w:tblCellMar>
        </w:tblPrEx>
        <w:trPr>
          <w:gridAfter w:val="2"/>
          <w:wAfter w:w="9435" w:type="dxa"/>
          <w:trHeight w:val="276" w:hRule="atLeast"/>
          <w:jc w:val="center"/>
        </w:trPr>
        <w:tc>
          <w:tcPr>
            <w:tcW w:w="55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年度目标完成情况</w:t>
            </w:r>
          </w:p>
        </w:tc>
        <w:tc>
          <w:tcPr>
            <w:tcW w:w="453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预期目标</w:t>
            </w:r>
          </w:p>
        </w:tc>
        <w:tc>
          <w:tcPr>
            <w:tcW w:w="509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实际完成目标</w:t>
            </w:r>
          </w:p>
        </w:tc>
      </w:tr>
      <w:tr>
        <w:tblPrEx>
          <w:tblCellMar>
            <w:top w:w="0" w:type="dxa"/>
            <w:left w:w="0" w:type="dxa"/>
            <w:bottom w:w="0" w:type="dxa"/>
            <w:right w:w="0" w:type="dxa"/>
          </w:tblCellMar>
        </w:tblPrEx>
        <w:trPr>
          <w:gridAfter w:val="2"/>
          <w:wAfter w:w="9435" w:type="dxa"/>
          <w:trHeight w:val="725" w:hRule="atLeast"/>
          <w:jc w:val="center"/>
        </w:trPr>
        <w:tc>
          <w:tcPr>
            <w:tcW w:w="55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auto"/>
                <w:sz w:val="24"/>
              </w:rPr>
            </w:pPr>
          </w:p>
        </w:tc>
        <w:tc>
          <w:tcPr>
            <w:tcW w:w="453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恢复及加固提防11段共1198米</w:t>
            </w:r>
          </w:p>
        </w:tc>
        <w:tc>
          <w:tcPr>
            <w:tcW w:w="509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恢复及加固提防11段共1198米</w:t>
            </w:r>
          </w:p>
        </w:tc>
      </w:tr>
      <w:tr>
        <w:tblPrEx>
          <w:tblCellMar>
            <w:top w:w="0" w:type="dxa"/>
            <w:left w:w="0" w:type="dxa"/>
            <w:bottom w:w="0" w:type="dxa"/>
            <w:right w:w="0" w:type="dxa"/>
          </w:tblCellMar>
        </w:tblPrEx>
        <w:trPr>
          <w:gridAfter w:val="2"/>
          <w:wAfter w:w="9435" w:type="dxa"/>
          <w:trHeight w:val="743" w:hRule="atLeast"/>
          <w:jc w:val="center"/>
        </w:trPr>
        <w:tc>
          <w:tcPr>
            <w:tcW w:w="55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sz w:val="24"/>
              </w:rPr>
              <w:t>绩效指标完成情况</w:t>
            </w:r>
          </w:p>
        </w:tc>
        <w:tc>
          <w:tcPr>
            <w:tcW w:w="10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一级指标</w:t>
            </w: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auto"/>
                <w:sz w:val="24"/>
              </w:rPr>
            </w:pPr>
            <w:r>
              <w:rPr>
                <w:rFonts w:hint="eastAsia" w:ascii="宋体" w:hAnsi="宋体" w:cs="宋体"/>
                <w:color w:val="auto"/>
                <w:sz w:val="24"/>
              </w:rPr>
              <w:t>二级指标</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三级指标</w:t>
            </w: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预期指标值(包含数字及文字描述)</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实际完成指标值(包含数字及文字描述)</w:t>
            </w:r>
          </w:p>
        </w:tc>
      </w:tr>
      <w:tr>
        <w:tblPrEx>
          <w:tblCellMar>
            <w:top w:w="0" w:type="dxa"/>
            <w:left w:w="0" w:type="dxa"/>
            <w:bottom w:w="0" w:type="dxa"/>
            <w:right w:w="0" w:type="dxa"/>
          </w:tblCellMar>
        </w:tblPrEx>
        <w:trPr>
          <w:gridAfter w:val="2"/>
          <w:wAfter w:w="9435" w:type="dxa"/>
          <w:trHeight w:val="705" w:hRule="atLeast"/>
          <w:jc w:val="center"/>
        </w:trPr>
        <w:tc>
          <w:tcPr>
            <w:tcW w:w="55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0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kern w:val="0"/>
                <w:sz w:val="24"/>
              </w:rPr>
            </w:pPr>
            <w:r>
              <w:rPr>
                <w:rFonts w:hint="eastAsia" w:ascii="宋体" w:hAnsi="宋体" w:cs="宋体"/>
                <w:color w:val="auto"/>
                <w:kern w:val="0"/>
                <w:sz w:val="24"/>
              </w:rPr>
              <w:t>项目完成指标</w:t>
            </w: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auto"/>
                <w:sz w:val="24"/>
              </w:rPr>
            </w:pPr>
            <w:r>
              <w:rPr>
                <w:rFonts w:hint="eastAsia" w:ascii="宋体" w:hAnsi="宋体" w:cs="宋体"/>
                <w:color w:val="auto"/>
                <w:sz w:val="24"/>
              </w:rPr>
              <w:t>数量指标</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auto"/>
                <w:kern w:val="0"/>
                <w:sz w:val="24"/>
              </w:rPr>
            </w:pP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auto"/>
                <w:kern w:val="0"/>
                <w:sz w:val="24"/>
              </w:rPr>
            </w:pPr>
            <w:r>
              <w:rPr>
                <w:rFonts w:hint="eastAsia" w:ascii="宋体" w:hAnsi="宋体" w:cs="宋体"/>
                <w:color w:val="auto"/>
                <w:kern w:val="0"/>
                <w:sz w:val="24"/>
              </w:rPr>
              <w:t>恢复及加固提防11段共1198米</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auto"/>
                <w:kern w:val="0"/>
                <w:sz w:val="24"/>
              </w:rPr>
            </w:pPr>
            <w:r>
              <w:rPr>
                <w:rFonts w:hint="eastAsia" w:ascii="宋体" w:hAnsi="宋体" w:cs="宋体"/>
                <w:color w:val="auto"/>
                <w:kern w:val="0"/>
                <w:sz w:val="24"/>
              </w:rPr>
              <w:t>恢复及加固提防11段共1198米</w:t>
            </w:r>
          </w:p>
        </w:tc>
      </w:tr>
      <w:tr>
        <w:tblPrEx>
          <w:tblCellMar>
            <w:top w:w="0" w:type="dxa"/>
            <w:left w:w="0" w:type="dxa"/>
            <w:bottom w:w="0" w:type="dxa"/>
            <w:right w:w="0" w:type="dxa"/>
          </w:tblCellMar>
        </w:tblPrEx>
        <w:trPr>
          <w:gridAfter w:val="2"/>
          <w:wAfter w:w="9435" w:type="dxa"/>
          <w:trHeight w:val="899" w:hRule="atLeast"/>
          <w:jc w:val="center"/>
        </w:trPr>
        <w:tc>
          <w:tcPr>
            <w:tcW w:w="55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0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项目完成指标</w:t>
            </w: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auto"/>
                <w:sz w:val="24"/>
              </w:rPr>
            </w:pPr>
            <w:r>
              <w:rPr>
                <w:rFonts w:hint="eastAsia" w:ascii="宋体" w:hAnsi="宋体" w:cs="宋体"/>
                <w:color w:val="auto"/>
                <w:sz w:val="24"/>
              </w:rPr>
              <w:t>质量指标</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auto"/>
                <w:kern w:val="0"/>
                <w:sz w:val="24"/>
              </w:rPr>
            </w:pPr>
            <w:r>
              <w:rPr>
                <w:rFonts w:hint="eastAsia" w:ascii="宋体" w:hAnsi="宋体" w:cs="宋体"/>
                <w:color w:val="auto"/>
                <w:kern w:val="0"/>
                <w:sz w:val="24"/>
              </w:rPr>
              <w:t>工程验收合格率</w:t>
            </w: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auto"/>
                <w:kern w:val="0"/>
                <w:sz w:val="24"/>
              </w:rPr>
            </w:pPr>
            <w:r>
              <w:rPr>
                <w:rFonts w:hint="eastAsia" w:ascii="宋体" w:hAnsi="宋体" w:cs="宋体"/>
                <w:color w:val="auto"/>
                <w:kern w:val="0"/>
                <w:sz w:val="24"/>
              </w:rPr>
              <w:t>100%</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auto"/>
                <w:kern w:val="0"/>
                <w:sz w:val="24"/>
              </w:rPr>
            </w:pPr>
            <w:r>
              <w:rPr>
                <w:rFonts w:hint="eastAsia" w:ascii="宋体" w:hAnsi="宋体" w:cs="宋体"/>
                <w:color w:val="auto"/>
                <w:kern w:val="0"/>
                <w:sz w:val="24"/>
              </w:rPr>
              <w:t>100%</w:t>
            </w:r>
          </w:p>
        </w:tc>
      </w:tr>
      <w:tr>
        <w:tblPrEx>
          <w:tblCellMar>
            <w:top w:w="0" w:type="dxa"/>
            <w:left w:w="0" w:type="dxa"/>
            <w:bottom w:w="0" w:type="dxa"/>
            <w:right w:w="0" w:type="dxa"/>
          </w:tblCellMar>
        </w:tblPrEx>
        <w:trPr>
          <w:gridAfter w:val="2"/>
          <w:wAfter w:w="9435" w:type="dxa"/>
          <w:trHeight w:val="712" w:hRule="atLeast"/>
          <w:jc w:val="center"/>
        </w:trPr>
        <w:tc>
          <w:tcPr>
            <w:tcW w:w="55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0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项目完成指标</w:t>
            </w: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auto"/>
                <w:sz w:val="24"/>
              </w:rPr>
            </w:pPr>
            <w:r>
              <w:rPr>
                <w:rFonts w:hint="eastAsia" w:ascii="宋体" w:hAnsi="宋体" w:cs="宋体"/>
                <w:color w:val="auto"/>
                <w:sz w:val="24"/>
              </w:rPr>
              <w:t>时效指标</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auto"/>
                <w:kern w:val="0"/>
                <w:sz w:val="24"/>
                <w:lang w:val="en-US" w:eastAsia="zh-CN"/>
              </w:rPr>
            </w:pPr>
            <w:r>
              <w:rPr>
                <w:rFonts w:hint="eastAsia" w:ascii="宋体" w:hAnsi="宋体" w:cs="宋体"/>
                <w:color w:val="auto"/>
                <w:kern w:val="0"/>
                <w:sz w:val="24"/>
              </w:rPr>
              <w:t>截至2019年</w:t>
            </w:r>
            <w:r>
              <w:rPr>
                <w:rFonts w:hint="eastAsia" w:ascii="宋体" w:hAnsi="宋体" w:cs="宋体"/>
                <w:color w:val="auto"/>
                <w:kern w:val="0"/>
                <w:sz w:val="24"/>
                <w:lang w:val="en-US" w:eastAsia="zh-CN"/>
              </w:rPr>
              <w:t>6</w:t>
            </w:r>
            <w:r>
              <w:rPr>
                <w:rFonts w:hint="eastAsia" w:ascii="宋体" w:hAnsi="宋体" w:cs="宋体"/>
                <w:color w:val="auto"/>
                <w:kern w:val="0"/>
                <w:sz w:val="24"/>
              </w:rPr>
              <w:t>月底，</w:t>
            </w:r>
            <w:r>
              <w:rPr>
                <w:rFonts w:hint="eastAsia" w:ascii="宋体" w:hAnsi="宋体" w:cs="宋体"/>
                <w:color w:val="auto"/>
                <w:kern w:val="0"/>
                <w:sz w:val="24"/>
                <w:lang w:eastAsia="zh-CN"/>
              </w:rPr>
              <w:t>全面完工</w:t>
            </w: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auto"/>
                <w:kern w:val="0"/>
                <w:sz w:val="24"/>
                <w:lang w:eastAsia="zh-CN"/>
              </w:rPr>
            </w:pPr>
            <w:r>
              <w:rPr>
                <w:rFonts w:hint="eastAsia" w:ascii="宋体" w:hAnsi="宋体" w:cs="宋体"/>
                <w:color w:val="auto"/>
                <w:kern w:val="0"/>
                <w:sz w:val="24"/>
              </w:rPr>
              <w:t>截至2019年</w:t>
            </w:r>
            <w:r>
              <w:rPr>
                <w:rFonts w:hint="eastAsia" w:ascii="宋体" w:hAnsi="宋体" w:cs="宋体"/>
                <w:color w:val="auto"/>
                <w:kern w:val="0"/>
                <w:sz w:val="24"/>
                <w:lang w:val="en-US" w:eastAsia="zh-CN"/>
              </w:rPr>
              <w:t>6</w:t>
            </w:r>
            <w:r>
              <w:rPr>
                <w:rFonts w:hint="eastAsia" w:ascii="宋体" w:hAnsi="宋体" w:cs="宋体"/>
                <w:color w:val="auto"/>
                <w:kern w:val="0"/>
                <w:sz w:val="24"/>
              </w:rPr>
              <w:t>月底，</w:t>
            </w:r>
            <w:r>
              <w:rPr>
                <w:rFonts w:hint="eastAsia" w:ascii="宋体" w:hAnsi="宋体" w:cs="宋体"/>
                <w:color w:val="auto"/>
                <w:kern w:val="0"/>
                <w:sz w:val="24"/>
                <w:lang w:eastAsia="zh-CN"/>
              </w:rPr>
              <w:t>全面完工</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auto"/>
                <w:kern w:val="0"/>
                <w:sz w:val="24"/>
              </w:rPr>
            </w:pPr>
            <w:r>
              <w:rPr>
                <w:rFonts w:hint="eastAsia" w:ascii="宋体" w:hAnsi="宋体" w:cs="宋体"/>
                <w:color w:val="auto"/>
                <w:kern w:val="0"/>
                <w:sz w:val="24"/>
              </w:rPr>
              <w:t>截至2019年</w:t>
            </w:r>
            <w:r>
              <w:rPr>
                <w:rFonts w:hint="eastAsia" w:ascii="宋体" w:hAnsi="宋体" w:cs="宋体"/>
                <w:color w:val="auto"/>
                <w:kern w:val="0"/>
                <w:sz w:val="24"/>
                <w:lang w:val="en-US" w:eastAsia="zh-CN"/>
              </w:rPr>
              <w:t>6</w:t>
            </w:r>
            <w:r>
              <w:rPr>
                <w:rFonts w:hint="eastAsia" w:ascii="宋体" w:hAnsi="宋体" w:cs="宋体"/>
                <w:color w:val="auto"/>
                <w:kern w:val="0"/>
                <w:sz w:val="24"/>
              </w:rPr>
              <w:t>月底，</w:t>
            </w:r>
            <w:r>
              <w:rPr>
                <w:rFonts w:hint="eastAsia" w:ascii="宋体" w:hAnsi="宋体" w:cs="宋体"/>
                <w:color w:val="auto"/>
                <w:kern w:val="0"/>
                <w:sz w:val="24"/>
                <w:lang w:eastAsia="zh-CN"/>
              </w:rPr>
              <w:t>全面完工</w:t>
            </w:r>
          </w:p>
        </w:tc>
      </w:tr>
      <w:tr>
        <w:tblPrEx>
          <w:tblCellMar>
            <w:top w:w="0" w:type="dxa"/>
            <w:left w:w="0" w:type="dxa"/>
            <w:bottom w:w="0" w:type="dxa"/>
            <w:right w:w="0" w:type="dxa"/>
          </w:tblCellMar>
        </w:tblPrEx>
        <w:trPr>
          <w:gridAfter w:val="2"/>
          <w:wAfter w:w="9435" w:type="dxa"/>
          <w:trHeight w:val="740" w:hRule="atLeast"/>
          <w:jc w:val="center"/>
        </w:trPr>
        <w:tc>
          <w:tcPr>
            <w:tcW w:w="55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0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kern w:val="0"/>
                <w:sz w:val="24"/>
              </w:rPr>
            </w:pPr>
            <w:r>
              <w:rPr>
                <w:rFonts w:hint="eastAsia" w:ascii="宋体" w:hAnsi="宋体" w:cs="宋体"/>
                <w:color w:val="auto"/>
                <w:kern w:val="0"/>
                <w:sz w:val="24"/>
              </w:rPr>
              <w:t>项目完成指标</w:t>
            </w: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auto"/>
                <w:sz w:val="24"/>
              </w:rPr>
            </w:pPr>
            <w:r>
              <w:rPr>
                <w:rFonts w:hint="eastAsia" w:ascii="宋体" w:hAnsi="宋体" w:cs="宋体"/>
                <w:color w:val="auto"/>
                <w:sz w:val="24"/>
              </w:rPr>
              <w:t>成本指标</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rPr>
              <w:t>成本指标</w:t>
            </w: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单价是否控制在批复概算单价内</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eastAsia="zh-CN"/>
              </w:rPr>
              <w:t>是</w:t>
            </w:r>
          </w:p>
        </w:tc>
      </w:tr>
      <w:tr>
        <w:tblPrEx>
          <w:tblCellMar>
            <w:top w:w="0" w:type="dxa"/>
            <w:left w:w="0" w:type="dxa"/>
            <w:bottom w:w="0" w:type="dxa"/>
            <w:right w:w="0" w:type="dxa"/>
          </w:tblCellMar>
        </w:tblPrEx>
        <w:trPr>
          <w:gridAfter w:val="2"/>
          <w:wAfter w:w="9435" w:type="dxa"/>
          <w:trHeight w:val="671" w:hRule="atLeast"/>
          <w:jc w:val="center"/>
        </w:trPr>
        <w:tc>
          <w:tcPr>
            <w:tcW w:w="55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0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auto"/>
              </w:rPr>
            </w:pPr>
          </w:p>
          <w:p>
            <w:pPr>
              <w:jc w:val="center"/>
              <w:rPr>
                <w:color w:val="auto"/>
              </w:rPr>
            </w:pPr>
            <w:r>
              <w:rPr>
                <w:rFonts w:hint="eastAsia" w:ascii="宋体" w:hAnsi="宋体" w:cs="宋体"/>
                <w:color w:val="auto"/>
                <w:kern w:val="0"/>
                <w:sz w:val="24"/>
              </w:rPr>
              <w:t>满意度指标</w:t>
            </w: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auto"/>
                <w:sz w:val="24"/>
              </w:rPr>
            </w:pPr>
            <w:r>
              <w:rPr>
                <w:rFonts w:hint="eastAsia" w:ascii="宋体" w:hAnsi="宋体" w:cs="宋体"/>
                <w:color w:val="auto"/>
                <w:sz w:val="24"/>
              </w:rPr>
              <w:t>服务对象满意度指标</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auto"/>
                <w:kern w:val="0"/>
                <w:sz w:val="24"/>
              </w:rPr>
            </w:pP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auto"/>
                <w:kern w:val="0"/>
                <w:sz w:val="24"/>
              </w:rPr>
            </w:pPr>
            <w:r>
              <w:rPr>
                <w:rFonts w:hint="eastAsia" w:ascii="宋体" w:hAnsi="宋体" w:cs="宋体"/>
                <w:color w:val="auto"/>
                <w:kern w:val="0"/>
                <w:sz w:val="24"/>
              </w:rPr>
              <w:t>群众满意度</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auto"/>
                <w:kern w:val="0"/>
                <w:sz w:val="24"/>
              </w:rPr>
            </w:pPr>
            <w:r>
              <w:rPr>
                <w:rFonts w:hint="eastAsia" w:ascii="宋体" w:hAnsi="宋体" w:cs="宋体"/>
                <w:color w:val="auto"/>
                <w:kern w:val="0"/>
                <w:sz w:val="24"/>
              </w:rPr>
              <w:t>100%</w:t>
            </w:r>
          </w:p>
        </w:tc>
      </w:tr>
    </w:tbl>
    <w:p>
      <w:pPr>
        <w:pStyle w:val="5"/>
        <w:outlineLvl w:val="9"/>
        <w:rPr>
          <w:rFonts w:ascii="仿宋_GB2312" w:hAnsi="仿宋_GB2312" w:eastAsia="仿宋_GB2312" w:cs="仿宋_GB2312"/>
        </w:rPr>
      </w:pPr>
    </w:p>
    <w:p>
      <w:pPr>
        <w:rPr>
          <w:rFonts w:ascii="仿宋_GB2312" w:hAnsi="仿宋_GB2312" w:eastAsia="仿宋_GB2312" w:cs="仿宋_GB2312"/>
        </w:rPr>
      </w:pPr>
    </w:p>
    <w:p>
      <w:pPr>
        <w:pStyle w:val="5"/>
        <w:outlineLvl w:val="9"/>
      </w:pPr>
    </w:p>
    <w:p/>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589"/>
        <w:gridCol w:w="1168"/>
        <w:gridCol w:w="1025"/>
        <w:gridCol w:w="1980"/>
        <w:gridCol w:w="2604"/>
        <w:gridCol w:w="2594"/>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国家水土保持重点工程九寨沟县城沟小流域项目</w:t>
            </w:r>
          </w:p>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水务局</w:t>
            </w:r>
          </w:p>
        </w:tc>
      </w:tr>
      <w:tr>
        <w:tblPrEx>
          <w:tblCellMar>
            <w:top w:w="0" w:type="dxa"/>
            <w:left w:w="0" w:type="dxa"/>
            <w:bottom w:w="0" w:type="dxa"/>
            <w:right w:w="0" w:type="dxa"/>
          </w:tblCellMar>
        </w:tblPrEx>
        <w:trPr>
          <w:trHeight w:val="276" w:hRule="atLeast"/>
          <w:jc w:val="center"/>
        </w:trPr>
        <w:tc>
          <w:tcPr>
            <w:tcW w:w="58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1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19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256</w:t>
            </w:r>
          </w:p>
        </w:tc>
        <w:tc>
          <w:tcPr>
            <w:tcW w:w="26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5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176.88</w:t>
            </w:r>
          </w:p>
        </w:tc>
      </w:tr>
      <w:tr>
        <w:tblPrEx>
          <w:tblCellMar>
            <w:top w:w="0" w:type="dxa"/>
            <w:left w:w="0" w:type="dxa"/>
            <w:bottom w:w="0" w:type="dxa"/>
            <w:right w:w="0" w:type="dxa"/>
          </w:tblCellMar>
        </w:tblPrEx>
        <w:trPr>
          <w:trHeight w:val="276" w:hRule="atLeast"/>
          <w:jc w:val="center"/>
        </w:trPr>
        <w:tc>
          <w:tcPr>
            <w:tcW w:w="58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1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19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256</w:t>
            </w:r>
          </w:p>
        </w:tc>
        <w:tc>
          <w:tcPr>
            <w:tcW w:w="26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5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176.88</w:t>
            </w:r>
          </w:p>
        </w:tc>
      </w:tr>
      <w:tr>
        <w:tblPrEx>
          <w:tblCellMar>
            <w:top w:w="0" w:type="dxa"/>
            <w:left w:w="0" w:type="dxa"/>
            <w:bottom w:w="0" w:type="dxa"/>
            <w:right w:w="0" w:type="dxa"/>
          </w:tblCellMar>
        </w:tblPrEx>
        <w:trPr>
          <w:trHeight w:val="970" w:hRule="atLeast"/>
          <w:jc w:val="center"/>
        </w:trPr>
        <w:tc>
          <w:tcPr>
            <w:tcW w:w="58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1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19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6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5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58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17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519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672" w:hRule="atLeast"/>
          <w:jc w:val="center"/>
        </w:trPr>
        <w:tc>
          <w:tcPr>
            <w:tcW w:w="58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17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24"/>
              </w:rPr>
            </w:pPr>
            <w:r>
              <w:rPr>
                <w:rFonts w:hint="eastAsia" w:ascii="宋体" w:hAnsi="宋体" w:cs="宋体"/>
                <w:color w:val="000000"/>
                <w:kern w:val="0"/>
                <w:sz w:val="24"/>
              </w:rPr>
              <w:t>完成治理水土流失面积6.20km²，主要措施包括新建蓄水池5口，取水口1座(含沉砂池），新建护岸堤217.92m,铺设PE管5.35km，宣传碑1座，经果林0.82 hm²，封禁治理566.34hm²，保土耕作53.55  hm²。</w:t>
            </w:r>
          </w:p>
        </w:tc>
        <w:tc>
          <w:tcPr>
            <w:tcW w:w="519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24"/>
              </w:rPr>
            </w:pPr>
            <w:r>
              <w:rPr>
                <w:rFonts w:hint="eastAsia" w:ascii="宋体" w:hAnsi="宋体" w:cs="宋体"/>
                <w:color w:val="000000"/>
                <w:kern w:val="0"/>
                <w:sz w:val="24"/>
              </w:rPr>
              <w:t>完成治理水土流失面积6.20km²，主要措施包括新建蓄水池5口，取水口1座(含沉砂池），新建护岸堤217.92m,铺设PE管5.35km，宣传碑1座，经果林0.82 hm²，封禁治理566.34hm²，保土耕作53.55  hm²。</w:t>
            </w:r>
          </w:p>
        </w:tc>
      </w:tr>
      <w:tr>
        <w:tblPrEx>
          <w:tblCellMar>
            <w:top w:w="0" w:type="dxa"/>
            <w:left w:w="0" w:type="dxa"/>
            <w:bottom w:w="0" w:type="dxa"/>
            <w:right w:w="0" w:type="dxa"/>
          </w:tblCellMar>
        </w:tblPrEx>
        <w:trPr>
          <w:trHeight w:val="1042" w:hRule="atLeast"/>
          <w:jc w:val="center"/>
        </w:trPr>
        <w:tc>
          <w:tcPr>
            <w:tcW w:w="589"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1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19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6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5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2044" w:hRule="atLeast"/>
          <w:jc w:val="center"/>
        </w:trPr>
        <w:tc>
          <w:tcPr>
            <w:tcW w:w="58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1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sz w:val="24"/>
              </w:rPr>
            </w:pPr>
            <w:r>
              <w:rPr>
                <w:rFonts w:hint="eastAsia" w:ascii="宋体" w:hAnsi="宋体" w:cs="宋体"/>
                <w:sz w:val="24"/>
              </w:rPr>
              <w:t>数量指标</w:t>
            </w:r>
          </w:p>
        </w:tc>
        <w:tc>
          <w:tcPr>
            <w:tcW w:w="19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Theme="majorEastAsia" w:hAnsiTheme="majorEastAsia" w:eastAsiaTheme="majorEastAsia" w:cstheme="majorEastAsia"/>
                <w:color w:val="000000"/>
                <w:kern w:val="0"/>
                <w:sz w:val="24"/>
              </w:rPr>
            </w:pPr>
          </w:p>
        </w:tc>
        <w:tc>
          <w:tcPr>
            <w:tcW w:w="26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Theme="majorEastAsia" w:hAnsiTheme="majorEastAsia" w:eastAsiaTheme="majorEastAsia" w:cstheme="majorEastAsia"/>
                <w:color w:val="000000"/>
                <w:kern w:val="0"/>
                <w:sz w:val="24"/>
              </w:rPr>
            </w:pPr>
            <w:r>
              <w:rPr>
                <w:rFonts w:hint="eastAsia" w:asciiTheme="majorEastAsia" w:hAnsiTheme="majorEastAsia" w:eastAsiaTheme="majorEastAsia" w:cstheme="majorEastAsia"/>
                <w:color w:val="000000"/>
                <w:kern w:val="0"/>
                <w:sz w:val="24"/>
              </w:rPr>
              <w:t>完成治理水土流失面积6.20km²，主要措施包括新建蓄水池5口，取水口1座(含沉砂池），新建护岸堤217.92m,铺设PE管5.35km，宣传碑1座，经果林0.82 hm²，封禁治理566.34hm²，保土耕作53.55  hm²。</w:t>
            </w:r>
          </w:p>
        </w:tc>
        <w:tc>
          <w:tcPr>
            <w:tcW w:w="25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Theme="majorEastAsia" w:hAnsiTheme="majorEastAsia" w:eastAsiaTheme="majorEastAsia" w:cstheme="majorEastAsia"/>
                <w:color w:val="000000"/>
                <w:kern w:val="0"/>
                <w:sz w:val="24"/>
              </w:rPr>
            </w:pPr>
            <w:r>
              <w:rPr>
                <w:rFonts w:hint="eastAsia" w:asciiTheme="majorEastAsia" w:hAnsiTheme="majorEastAsia" w:eastAsiaTheme="majorEastAsia" w:cstheme="majorEastAsia"/>
                <w:color w:val="000000"/>
                <w:kern w:val="0"/>
                <w:sz w:val="24"/>
              </w:rPr>
              <w:t>完成治理水土流失面积6.20km²，主要措施包括新建蓄水池5口，取水口1座(含沉砂池），新建护岸堤217.92m,铺设PE管5.35km，宣传碑1座，经果林0.82 hm²，封禁治理566.34hm²，保土耕作53.55  hm²。</w:t>
            </w:r>
          </w:p>
        </w:tc>
      </w:tr>
      <w:tr>
        <w:tblPrEx>
          <w:tblCellMar>
            <w:top w:w="0" w:type="dxa"/>
            <w:left w:w="0" w:type="dxa"/>
            <w:bottom w:w="0" w:type="dxa"/>
            <w:right w:w="0" w:type="dxa"/>
          </w:tblCellMar>
        </w:tblPrEx>
        <w:trPr>
          <w:trHeight w:val="430" w:hRule="atLeast"/>
          <w:jc w:val="center"/>
        </w:trPr>
        <w:tc>
          <w:tcPr>
            <w:tcW w:w="58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1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sz w:val="24"/>
              </w:rPr>
            </w:pPr>
            <w:r>
              <w:rPr>
                <w:rFonts w:hint="eastAsia" w:ascii="宋体" w:hAnsi="宋体" w:cs="宋体"/>
                <w:sz w:val="24"/>
              </w:rPr>
              <w:t>质量指标</w:t>
            </w:r>
          </w:p>
        </w:tc>
        <w:tc>
          <w:tcPr>
            <w:tcW w:w="19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Theme="majorEastAsia" w:hAnsiTheme="majorEastAsia" w:eastAsiaTheme="majorEastAsia" w:cstheme="majorEastAsia"/>
                <w:color w:val="000000"/>
                <w:kern w:val="0"/>
                <w:sz w:val="24"/>
              </w:rPr>
            </w:pPr>
            <w:r>
              <w:rPr>
                <w:rFonts w:hint="eastAsia" w:asciiTheme="majorEastAsia" w:hAnsiTheme="majorEastAsia" w:eastAsiaTheme="majorEastAsia" w:cstheme="majorEastAsia"/>
                <w:color w:val="000000"/>
                <w:kern w:val="0"/>
                <w:sz w:val="24"/>
              </w:rPr>
              <w:t>工程验收合格率</w:t>
            </w:r>
          </w:p>
        </w:tc>
        <w:tc>
          <w:tcPr>
            <w:tcW w:w="26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Theme="majorEastAsia" w:hAnsiTheme="majorEastAsia" w:eastAsiaTheme="majorEastAsia" w:cstheme="majorEastAsia"/>
                <w:color w:val="000000"/>
                <w:kern w:val="0"/>
                <w:sz w:val="24"/>
              </w:rPr>
            </w:pPr>
            <w:r>
              <w:rPr>
                <w:rFonts w:hint="eastAsia" w:asciiTheme="majorEastAsia" w:hAnsiTheme="majorEastAsia" w:eastAsiaTheme="majorEastAsia" w:cstheme="majorEastAsia"/>
                <w:color w:val="000000"/>
                <w:kern w:val="0"/>
                <w:sz w:val="24"/>
              </w:rPr>
              <w:t>100%</w:t>
            </w:r>
          </w:p>
        </w:tc>
        <w:tc>
          <w:tcPr>
            <w:tcW w:w="25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Theme="majorEastAsia" w:hAnsiTheme="majorEastAsia" w:eastAsiaTheme="majorEastAsia" w:cstheme="majorEastAsia"/>
                <w:color w:val="000000"/>
                <w:kern w:val="0"/>
                <w:sz w:val="24"/>
              </w:rPr>
            </w:pPr>
            <w:r>
              <w:rPr>
                <w:rFonts w:hint="eastAsia" w:asciiTheme="majorEastAsia" w:hAnsiTheme="majorEastAsia" w:eastAsiaTheme="majorEastAsia" w:cstheme="majorEastAsia"/>
                <w:color w:val="000000"/>
                <w:kern w:val="0"/>
                <w:sz w:val="24"/>
              </w:rPr>
              <w:t>100%</w:t>
            </w:r>
          </w:p>
        </w:tc>
      </w:tr>
      <w:tr>
        <w:tblPrEx>
          <w:tblCellMar>
            <w:top w:w="0" w:type="dxa"/>
            <w:left w:w="0" w:type="dxa"/>
            <w:bottom w:w="0" w:type="dxa"/>
            <w:right w:w="0" w:type="dxa"/>
          </w:tblCellMar>
        </w:tblPrEx>
        <w:trPr>
          <w:trHeight w:val="90" w:hRule="atLeast"/>
          <w:jc w:val="center"/>
        </w:trPr>
        <w:tc>
          <w:tcPr>
            <w:tcW w:w="58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1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sz w:val="24"/>
              </w:rPr>
            </w:pPr>
            <w:r>
              <w:rPr>
                <w:rFonts w:hint="eastAsia" w:ascii="宋体" w:hAnsi="宋体" w:cs="宋体"/>
                <w:sz w:val="24"/>
              </w:rPr>
              <w:t>时效指标</w:t>
            </w:r>
          </w:p>
        </w:tc>
        <w:tc>
          <w:tcPr>
            <w:tcW w:w="19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Theme="majorEastAsia" w:hAnsiTheme="majorEastAsia" w:eastAsiaTheme="majorEastAsia" w:cstheme="majorEastAsia"/>
                <w:color w:val="000000"/>
                <w:kern w:val="0"/>
                <w:sz w:val="24"/>
              </w:rPr>
            </w:pPr>
            <w:r>
              <w:rPr>
                <w:rFonts w:hint="eastAsia" w:asciiTheme="majorEastAsia" w:hAnsiTheme="majorEastAsia" w:eastAsiaTheme="majorEastAsia" w:cstheme="majorEastAsia"/>
                <w:color w:val="000000"/>
                <w:kern w:val="0"/>
                <w:sz w:val="24"/>
              </w:rPr>
              <w:t>截至2019年12月月底，</w:t>
            </w:r>
            <w:r>
              <w:rPr>
                <w:rFonts w:hint="eastAsia" w:asciiTheme="majorEastAsia" w:hAnsiTheme="majorEastAsia" w:eastAsiaTheme="majorEastAsia" w:cstheme="majorEastAsia"/>
                <w:color w:val="000000"/>
                <w:kern w:val="0"/>
                <w:sz w:val="24"/>
                <w:lang w:eastAsia="zh-CN"/>
              </w:rPr>
              <w:t>项目完工</w:t>
            </w:r>
          </w:p>
        </w:tc>
        <w:tc>
          <w:tcPr>
            <w:tcW w:w="26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Theme="majorEastAsia" w:hAnsiTheme="majorEastAsia" w:eastAsiaTheme="majorEastAsia" w:cstheme="majorEastAsia"/>
                <w:color w:val="000000"/>
                <w:kern w:val="0"/>
                <w:sz w:val="24"/>
              </w:rPr>
            </w:pPr>
            <w:r>
              <w:rPr>
                <w:rFonts w:hint="eastAsia" w:asciiTheme="majorEastAsia" w:hAnsiTheme="majorEastAsia" w:eastAsiaTheme="majorEastAsia" w:cstheme="majorEastAsia"/>
                <w:color w:val="000000"/>
                <w:kern w:val="0"/>
                <w:sz w:val="24"/>
                <w:lang w:eastAsia="zh-CN"/>
              </w:rPr>
              <w:t>是</w:t>
            </w:r>
          </w:p>
        </w:tc>
        <w:tc>
          <w:tcPr>
            <w:tcW w:w="25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Theme="majorEastAsia" w:hAnsiTheme="majorEastAsia" w:eastAsiaTheme="majorEastAsia" w:cstheme="majorEastAsia"/>
                <w:color w:val="000000"/>
                <w:kern w:val="0"/>
                <w:sz w:val="24"/>
              </w:rPr>
            </w:pPr>
            <w:r>
              <w:rPr>
                <w:rFonts w:hint="eastAsia" w:asciiTheme="majorEastAsia" w:hAnsiTheme="majorEastAsia" w:eastAsiaTheme="majorEastAsia" w:cstheme="majorEastAsia"/>
                <w:color w:val="000000"/>
                <w:kern w:val="0"/>
                <w:sz w:val="24"/>
                <w:lang w:eastAsia="zh-CN"/>
              </w:rPr>
              <w:t>是</w:t>
            </w:r>
          </w:p>
        </w:tc>
      </w:tr>
      <w:tr>
        <w:tblPrEx>
          <w:tblCellMar>
            <w:top w:w="0" w:type="dxa"/>
            <w:left w:w="0" w:type="dxa"/>
            <w:bottom w:w="0" w:type="dxa"/>
            <w:right w:w="0" w:type="dxa"/>
          </w:tblCellMar>
        </w:tblPrEx>
        <w:trPr>
          <w:trHeight w:val="90" w:hRule="atLeast"/>
          <w:jc w:val="center"/>
        </w:trPr>
        <w:tc>
          <w:tcPr>
            <w:tcW w:w="58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1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sz w:val="24"/>
              </w:rPr>
            </w:pPr>
            <w:r>
              <w:rPr>
                <w:rFonts w:hint="eastAsia" w:ascii="宋体" w:hAnsi="宋体" w:cs="宋体"/>
                <w:sz w:val="24"/>
              </w:rPr>
              <w:t>成本指标</w:t>
            </w:r>
          </w:p>
        </w:tc>
        <w:tc>
          <w:tcPr>
            <w:tcW w:w="19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Theme="majorEastAsia" w:hAnsiTheme="majorEastAsia" w:eastAsiaTheme="majorEastAsia" w:cstheme="majorEastAsia"/>
                <w:color w:val="000000"/>
                <w:kern w:val="0"/>
                <w:sz w:val="24"/>
                <w:lang w:eastAsia="zh-CN"/>
              </w:rPr>
            </w:pPr>
            <w:r>
              <w:rPr>
                <w:rFonts w:hint="eastAsia" w:asciiTheme="majorEastAsia" w:hAnsiTheme="majorEastAsia" w:eastAsiaTheme="majorEastAsia" w:cstheme="majorEastAsia"/>
                <w:color w:val="000000"/>
                <w:kern w:val="0"/>
                <w:sz w:val="24"/>
                <w:lang w:val="en-US" w:eastAsia="zh-CN"/>
              </w:rPr>
              <w:t>单价是否控制在批复概算单价内</w:t>
            </w:r>
          </w:p>
        </w:tc>
        <w:tc>
          <w:tcPr>
            <w:tcW w:w="26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Theme="majorEastAsia" w:hAnsiTheme="majorEastAsia" w:eastAsiaTheme="majorEastAsia" w:cstheme="majorEastAsia"/>
                <w:color w:val="000000"/>
                <w:kern w:val="0"/>
                <w:sz w:val="24"/>
                <w:lang w:eastAsia="zh-CN"/>
              </w:rPr>
            </w:pPr>
            <w:r>
              <w:rPr>
                <w:rFonts w:hint="eastAsia" w:asciiTheme="majorEastAsia" w:hAnsiTheme="majorEastAsia" w:eastAsiaTheme="majorEastAsia" w:cstheme="majorEastAsia"/>
                <w:color w:val="000000"/>
                <w:kern w:val="0"/>
                <w:sz w:val="24"/>
                <w:lang w:eastAsia="zh-CN"/>
              </w:rPr>
              <w:t>是</w:t>
            </w:r>
          </w:p>
        </w:tc>
        <w:tc>
          <w:tcPr>
            <w:tcW w:w="25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Theme="majorEastAsia" w:hAnsiTheme="majorEastAsia" w:eastAsiaTheme="majorEastAsia" w:cstheme="majorEastAsia"/>
                <w:color w:val="000000"/>
                <w:kern w:val="0"/>
                <w:sz w:val="24"/>
              </w:rPr>
            </w:pPr>
            <w:r>
              <w:rPr>
                <w:rFonts w:hint="eastAsia" w:asciiTheme="majorEastAsia" w:hAnsiTheme="majorEastAsia" w:eastAsiaTheme="majorEastAsia" w:cstheme="majorEastAsia"/>
                <w:color w:val="000000"/>
                <w:kern w:val="0"/>
                <w:sz w:val="24"/>
                <w:lang w:eastAsia="zh-CN"/>
              </w:rPr>
              <w:t>是</w:t>
            </w:r>
          </w:p>
        </w:tc>
      </w:tr>
      <w:tr>
        <w:tblPrEx>
          <w:tblCellMar>
            <w:top w:w="0" w:type="dxa"/>
            <w:left w:w="0" w:type="dxa"/>
            <w:bottom w:w="0" w:type="dxa"/>
            <w:right w:w="0" w:type="dxa"/>
          </w:tblCellMar>
        </w:tblPrEx>
        <w:trPr>
          <w:trHeight w:val="634" w:hRule="atLeast"/>
          <w:jc w:val="center"/>
        </w:trPr>
        <w:tc>
          <w:tcPr>
            <w:tcW w:w="58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1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pPr>
          </w:p>
          <w:p>
            <w:pPr>
              <w:jc w:val="cente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sz w:val="24"/>
              </w:rPr>
            </w:pPr>
            <w:r>
              <w:rPr>
                <w:rFonts w:hint="eastAsia" w:ascii="宋体" w:hAnsi="宋体" w:cs="宋体"/>
                <w:sz w:val="24"/>
              </w:rPr>
              <w:t>服务对象满意度指标</w:t>
            </w:r>
          </w:p>
        </w:tc>
        <w:tc>
          <w:tcPr>
            <w:tcW w:w="19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Theme="majorEastAsia" w:hAnsiTheme="majorEastAsia" w:eastAsiaTheme="majorEastAsia" w:cstheme="majorEastAsia"/>
                <w:color w:val="000000"/>
                <w:kern w:val="0"/>
                <w:sz w:val="24"/>
              </w:rPr>
            </w:pPr>
          </w:p>
        </w:tc>
        <w:tc>
          <w:tcPr>
            <w:tcW w:w="26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Theme="majorEastAsia" w:hAnsiTheme="majorEastAsia" w:eastAsiaTheme="majorEastAsia" w:cstheme="majorEastAsia"/>
                <w:color w:val="000000"/>
                <w:kern w:val="0"/>
                <w:sz w:val="24"/>
              </w:rPr>
            </w:pPr>
            <w:r>
              <w:rPr>
                <w:rFonts w:hint="eastAsia" w:asciiTheme="majorEastAsia" w:hAnsiTheme="majorEastAsia" w:eastAsiaTheme="majorEastAsia" w:cstheme="majorEastAsia"/>
                <w:color w:val="000000"/>
                <w:kern w:val="0"/>
                <w:sz w:val="24"/>
              </w:rPr>
              <w:t>群众满意度</w:t>
            </w:r>
          </w:p>
        </w:tc>
        <w:tc>
          <w:tcPr>
            <w:tcW w:w="25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Theme="majorEastAsia" w:hAnsiTheme="majorEastAsia" w:eastAsiaTheme="majorEastAsia" w:cstheme="majorEastAsia"/>
                <w:color w:val="000000"/>
                <w:kern w:val="0"/>
                <w:sz w:val="24"/>
              </w:rPr>
            </w:pPr>
            <w:r>
              <w:rPr>
                <w:rFonts w:hint="eastAsia" w:asciiTheme="majorEastAsia" w:hAnsiTheme="majorEastAsia" w:eastAsiaTheme="majorEastAsia" w:cstheme="majorEastAsia"/>
                <w:color w:val="000000"/>
                <w:kern w:val="0"/>
                <w:sz w:val="24"/>
              </w:rPr>
              <w:t>100%</w:t>
            </w:r>
          </w:p>
        </w:tc>
      </w:tr>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b/>
                <w:bCs/>
                <w:color w:val="000000"/>
                <w:kern w:val="0"/>
                <w:sz w:val="36"/>
                <w:szCs w:val="36"/>
              </w:rPr>
            </w:pPr>
          </w:p>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九寨沟县河湖管理范围划定工作（一期）</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水务局</w:t>
            </w:r>
          </w:p>
        </w:tc>
      </w:tr>
      <w:tr>
        <w:tblPrEx>
          <w:tblCellMar>
            <w:top w:w="0" w:type="dxa"/>
            <w:left w:w="0" w:type="dxa"/>
            <w:bottom w:w="0" w:type="dxa"/>
            <w:right w:w="0" w:type="dxa"/>
          </w:tblCellMar>
        </w:tblPrEx>
        <w:trPr>
          <w:trHeight w:val="276" w:hRule="atLeast"/>
          <w:jc w:val="center"/>
        </w:trPr>
        <w:tc>
          <w:tcPr>
            <w:tcW w:w="58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1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19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136</w:t>
            </w:r>
          </w:p>
        </w:tc>
        <w:tc>
          <w:tcPr>
            <w:tcW w:w="26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执行数:</w:t>
            </w:r>
          </w:p>
        </w:tc>
        <w:tc>
          <w:tcPr>
            <w:tcW w:w="25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39.66</w:t>
            </w:r>
          </w:p>
        </w:tc>
      </w:tr>
      <w:tr>
        <w:tblPrEx>
          <w:tblCellMar>
            <w:top w:w="0" w:type="dxa"/>
            <w:left w:w="0" w:type="dxa"/>
            <w:bottom w:w="0" w:type="dxa"/>
            <w:right w:w="0" w:type="dxa"/>
          </w:tblCellMar>
        </w:tblPrEx>
        <w:trPr>
          <w:trHeight w:val="276" w:hRule="atLeast"/>
          <w:jc w:val="center"/>
        </w:trPr>
        <w:tc>
          <w:tcPr>
            <w:tcW w:w="58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1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19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136</w:t>
            </w:r>
          </w:p>
        </w:tc>
        <w:tc>
          <w:tcPr>
            <w:tcW w:w="26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其中-财政拨款:</w:t>
            </w:r>
          </w:p>
        </w:tc>
        <w:tc>
          <w:tcPr>
            <w:tcW w:w="25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39.66</w:t>
            </w:r>
          </w:p>
        </w:tc>
      </w:tr>
      <w:tr>
        <w:tblPrEx>
          <w:tblCellMar>
            <w:top w:w="0" w:type="dxa"/>
            <w:left w:w="0" w:type="dxa"/>
            <w:bottom w:w="0" w:type="dxa"/>
            <w:right w:w="0" w:type="dxa"/>
          </w:tblCellMar>
        </w:tblPrEx>
        <w:trPr>
          <w:trHeight w:val="1161" w:hRule="atLeast"/>
          <w:jc w:val="center"/>
        </w:trPr>
        <w:tc>
          <w:tcPr>
            <w:tcW w:w="58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1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19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6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5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58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17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519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58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17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24"/>
              </w:rPr>
            </w:pPr>
            <w:r>
              <w:rPr>
                <w:rFonts w:hint="eastAsia" w:ascii="宋体" w:hAnsi="宋体" w:cs="宋体"/>
                <w:color w:val="000000"/>
                <w:kern w:val="0"/>
                <w:sz w:val="24"/>
              </w:rPr>
              <w:t>九寨沟县汤珠河、中路河、草地沟三条河流的管理范围划定工作</w:t>
            </w:r>
          </w:p>
        </w:tc>
        <w:tc>
          <w:tcPr>
            <w:tcW w:w="519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24"/>
              </w:rPr>
            </w:pPr>
            <w:r>
              <w:rPr>
                <w:rFonts w:hint="eastAsia" w:ascii="宋体" w:hAnsi="宋体" w:cs="宋体"/>
                <w:color w:val="000000"/>
                <w:kern w:val="0"/>
                <w:sz w:val="24"/>
              </w:rPr>
              <w:t>顺利完成三条河流的管理范围划定编制工作</w:t>
            </w:r>
          </w:p>
        </w:tc>
      </w:tr>
      <w:tr>
        <w:tblPrEx>
          <w:tblCellMar>
            <w:top w:w="0" w:type="dxa"/>
            <w:left w:w="0" w:type="dxa"/>
            <w:bottom w:w="0" w:type="dxa"/>
            <w:right w:w="0" w:type="dxa"/>
          </w:tblCellMar>
        </w:tblPrEx>
        <w:trPr>
          <w:trHeight w:val="1042" w:hRule="atLeast"/>
          <w:jc w:val="center"/>
        </w:trPr>
        <w:tc>
          <w:tcPr>
            <w:tcW w:w="589"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16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19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6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5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58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16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sz w:val="24"/>
              </w:rPr>
            </w:pPr>
            <w:r>
              <w:rPr>
                <w:rFonts w:hint="eastAsia" w:ascii="宋体" w:hAnsi="宋体" w:cs="宋体"/>
                <w:sz w:val="24"/>
              </w:rPr>
              <w:t>数量指标</w:t>
            </w:r>
          </w:p>
        </w:tc>
        <w:tc>
          <w:tcPr>
            <w:tcW w:w="19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24"/>
              </w:rPr>
            </w:pPr>
          </w:p>
        </w:tc>
        <w:tc>
          <w:tcPr>
            <w:tcW w:w="26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24"/>
              </w:rPr>
            </w:pPr>
            <w:r>
              <w:rPr>
                <w:rFonts w:hint="eastAsia" w:ascii="宋体" w:hAnsi="宋体" w:cs="宋体"/>
                <w:color w:val="000000"/>
                <w:kern w:val="0"/>
                <w:sz w:val="24"/>
              </w:rPr>
              <w:t>九寨沟县汤珠河、中路河、草地沟三条河流的管理范围划定工作</w:t>
            </w:r>
          </w:p>
        </w:tc>
        <w:tc>
          <w:tcPr>
            <w:tcW w:w="25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24"/>
              </w:rPr>
            </w:pPr>
            <w:r>
              <w:rPr>
                <w:rFonts w:hint="eastAsia" w:ascii="宋体" w:hAnsi="宋体" w:cs="宋体"/>
                <w:color w:val="000000"/>
                <w:kern w:val="0"/>
                <w:sz w:val="24"/>
              </w:rPr>
              <w:t>九寨沟县汤珠河、中路河、草地沟三条河流的管理范围划定工作</w:t>
            </w:r>
          </w:p>
        </w:tc>
      </w:tr>
      <w:tr>
        <w:tblPrEx>
          <w:tblCellMar>
            <w:top w:w="0" w:type="dxa"/>
            <w:left w:w="0" w:type="dxa"/>
            <w:bottom w:w="0" w:type="dxa"/>
            <w:right w:w="0" w:type="dxa"/>
          </w:tblCellMar>
        </w:tblPrEx>
        <w:trPr>
          <w:trHeight w:val="1297" w:hRule="atLeast"/>
          <w:jc w:val="center"/>
        </w:trPr>
        <w:tc>
          <w:tcPr>
            <w:tcW w:w="58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16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sz w:val="24"/>
              </w:rPr>
            </w:pPr>
            <w:r>
              <w:rPr>
                <w:rFonts w:hint="eastAsia" w:ascii="宋体" w:hAnsi="宋体" w:cs="宋体"/>
                <w:sz w:val="24"/>
              </w:rPr>
              <w:t>质量指标</w:t>
            </w:r>
          </w:p>
        </w:tc>
        <w:tc>
          <w:tcPr>
            <w:tcW w:w="19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24"/>
              </w:rPr>
            </w:pPr>
            <w:r>
              <w:rPr>
                <w:rFonts w:hint="eastAsia" w:ascii="宋体" w:hAnsi="宋体" w:cs="宋体"/>
                <w:color w:val="000000"/>
                <w:kern w:val="0"/>
                <w:sz w:val="24"/>
              </w:rPr>
              <w:t>工程验收合格率</w:t>
            </w:r>
          </w:p>
        </w:tc>
        <w:tc>
          <w:tcPr>
            <w:tcW w:w="26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24"/>
              </w:rPr>
            </w:pPr>
            <w:r>
              <w:rPr>
                <w:rFonts w:hint="eastAsia" w:ascii="宋体" w:hAnsi="宋体" w:cs="宋体"/>
                <w:color w:val="000000"/>
                <w:kern w:val="0"/>
                <w:sz w:val="24"/>
              </w:rPr>
              <w:t>100%</w:t>
            </w:r>
          </w:p>
        </w:tc>
        <w:tc>
          <w:tcPr>
            <w:tcW w:w="25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24"/>
              </w:rPr>
            </w:pPr>
            <w:r>
              <w:rPr>
                <w:rFonts w:hint="eastAsia" w:ascii="宋体" w:hAnsi="宋体" w:cs="宋体"/>
                <w:color w:val="000000"/>
                <w:kern w:val="0"/>
                <w:sz w:val="24"/>
              </w:rPr>
              <w:t>100%</w:t>
            </w:r>
          </w:p>
        </w:tc>
      </w:tr>
      <w:tr>
        <w:tblPrEx>
          <w:tblCellMar>
            <w:top w:w="0" w:type="dxa"/>
            <w:left w:w="0" w:type="dxa"/>
            <w:bottom w:w="0" w:type="dxa"/>
            <w:right w:w="0" w:type="dxa"/>
          </w:tblCellMar>
        </w:tblPrEx>
        <w:trPr>
          <w:trHeight w:val="1042" w:hRule="atLeast"/>
          <w:jc w:val="center"/>
        </w:trPr>
        <w:tc>
          <w:tcPr>
            <w:tcW w:w="58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16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sz w:val="24"/>
              </w:rPr>
            </w:pPr>
            <w:r>
              <w:rPr>
                <w:rFonts w:hint="eastAsia" w:ascii="宋体" w:hAnsi="宋体" w:cs="宋体"/>
                <w:sz w:val="24"/>
              </w:rPr>
              <w:t>时效指标</w:t>
            </w:r>
          </w:p>
        </w:tc>
        <w:tc>
          <w:tcPr>
            <w:tcW w:w="19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eastAsia="zh-CN"/>
              </w:rPr>
            </w:pPr>
            <w:r>
              <w:rPr>
                <w:rFonts w:hint="eastAsia" w:ascii="宋体" w:hAnsi="宋体" w:cs="宋体"/>
                <w:color w:val="000000"/>
                <w:kern w:val="0"/>
                <w:sz w:val="24"/>
              </w:rPr>
              <w:t>截至2019年12月月底，</w:t>
            </w:r>
            <w:r>
              <w:rPr>
                <w:rFonts w:hint="eastAsia" w:ascii="宋体" w:hAnsi="宋体" w:cs="宋体"/>
                <w:color w:val="000000"/>
                <w:kern w:val="0"/>
                <w:sz w:val="24"/>
                <w:lang w:eastAsia="zh-CN"/>
              </w:rPr>
              <w:t>项目完工</w:t>
            </w:r>
          </w:p>
        </w:tc>
        <w:tc>
          <w:tcPr>
            <w:tcW w:w="26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lang w:eastAsia="zh-CN"/>
              </w:rPr>
              <w:t>是</w:t>
            </w:r>
          </w:p>
        </w:tc>
        <w:tc>
          <w:tcPr>
            <w:tcW w:w="25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lang w:eastAsia="zh-CN"/>
              </w:rPr>
              <w:t>是</w:t>
            </w:r>
          </w:p>
        </w:tc>
      </w:tr>
      <w:tr>
        <w:tblPrEx>
          <w:tblCellMar>
            <w:top w:w="0" w:type="dxa"/>
            <w:left w:w="0" w:type="dxa"/>
            <w:bottom w:w="0" w:type="dxa"/>
            <w:right w:w="0" w:type="dxa"/>
          </w:tblCellMar>
        </w:tblPrEx>
        <w:trPr>
          <w:trHeight w:val="1042" w:hRule="atLeast"/>
          <w:jc w:val="center"/>
        </w:trPr>
        <w:tc>
          <w:tcPr>
            <w:tcW w:w="58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16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sz w:val="24"/>
              </w:rPr>
            </w:pPr>
            <w:r>
              <w:rPr>
                <w:rFonts w:hint="eastAsia" w:ascii="宋体" w:hAnsi="宋体" w:cs="宋体"/>
                <w:sz w:val="24"/>
              </w:rPr>
              <w:t>成本指标</w:t>
            </w:r>
          </w:p>
        </w:tc>
        <w:tc>
          <w:tcPr>
            <w:tcW w:w="19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单价是否控制在批复概算单价内</w:t>
            </w:r>
          </w:p>
        </w:tc>
        <w:tc>
          <w:tcPr>
            <w:tcW w:w="26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eastAsia="zh-CN"/>
              </w:rPr>
              <w:t>是</w:t>
            </w:r>
          </w:p>
        </w:tc>
        <w:tc>
          <w:tcPr>
            <w:tcW w:w="25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eastAsia="zh-CN"/>
              </w:rPr>
              <w:t>是</w:t>
            </w:r>
          </w:p>
        </w:tc>
      </w:tr>
      <w:tr>
        <w:tblPrEx>
          <w:tblCellMar>
            <w:top w:w="0" w:type="dxa"/>
            <w:left w:w="0" w:type="dxa"/>
            <w:bottom w:w="0" w:type="dxa"/>
            <w:right w:w="0" w:type="dxa"/>
          </w:tblCellMar>
        </w:tblPrEx>
        <w:trPr>
          <w:trHeight w:val="1042" w:hRule="atLeast"/>
          <w:jc w:val="center"/>
        </w:trPr>
        <w:tc>
          <w:tcPr>
            <w:tcW w:w="58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16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pPr>
          </w:p>
          <w:p>
            <w:pPr>
              <w:jc w:val="center"/>
            </w:pPr>
            <w:r>
              <w:rPr>
                <w:rFonts w:hint="eastAsia" w:ascii="宋体" w:hAnsi="宋体" w:cs="宋体"/>
                <w:color w:val="000000"/>
                <w:kern w:val="0"/>
                <w:sz w:val="24"/>
              </w:rPr>
              <w:t>满意度指标</w:t>
            </w:r>
          </w:p>
        </w:tc>
        <w:tc>
          <w:tcPr>
            <w:tcW w:w="102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sz w:val="24"/>
              </w:rPr>
            </w:pPr>
            <w:r>
              <w:rPr>
                <w:rFonts w:hint="eastAsia" w:ascii="宋体" w:hAnsi="宋体" w:cs="宋体"/>
                <w:sz w:val="24"/>
              </w:rPr>
              <w:t>服务对象满意度指标</w:t>
            </w:r>
          </w:p>
        </w:tc>
        <w:tc>
          <w:tcPr>
            <w:tcW w:w="19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24"/>
              </w:rPr>
            </w:pPr>
          </w:p>
        </w:tc>
        <w:tc>
          <w:tcPr>
            <w:tcW w:w="26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24"/>
              </w:rPr>
            </w:pPr>
            <w:r>
              <w:rPr>
                <w:rFonts w:hint="eastAsia" w:ascii="宋体" w:hAnsi="宋体" w:cs="宋体"/>
                <w:color w:val="000000"/>
                <w:kern w:val="0"/>
                <w:sz w:val="24"/>
              </w:rPr>
              <w:t>群众满意度</w:t>
            </w:r>
          </w:p>
        </w:tc>
        <w:tc>
          <w:tcPr>
            <w:tcW w:w="25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24"/>
              </w:rPr>
            </w:pPr>
            <w:r>
              <w:rPr>
                <w:rFonts w:hint="eastAsia" w:ascii="宋体" w:hAnsi="宋体" w:cs="宋体"/>
                <w:color w:val="000000"/>
                <w:kern w:val="0"/>
                <w:sz w:val="24"/>
              </w:rPr>
              <w:t>100%</w:t>
            </w:r>
          </w:p>
        </w:tc>
      </w:tr>
    </w:tbl>
    <w:p>
      <w:pPr>
        <w:spacing w:line="580" w:lineRule="exact"/>
        <w:ind w:firstLine="640" w:firstLineChars="200"/>
        <w:rPr>
          <w:rFonts w:hint="eastAsia" w:ascii="楷体_GB2312" w:hAnsi="楷体_GB2312" w:eastAsia="楷体_GB2312" w:cs="楷体_GB2312"/>
          <w:sz w:val="32"/>
          <w:szCs w:val="32"/>
        </w:rPr>
      </w:pPr>
    </w:p>
    <w:p>
      <w:pPr>
        <w:spacing w:line="580" w:lineRule="exact"/>
        <w:ind w:firstLine="640" w:firstLineChars="200"/>
        <w:rPr>
          <w:rFonts w:hint="eastAsia" w:ascii="楷体_GB2312" w:hAnsi="楷体_GB2312" w:eastAsia="楷体_GB2312" w:cs="楷体_GB2312"/>
          <w:sz w:val="32"/>
          <w:szCs w:val="32"/>
        </w:rPr>
      </w:pPr>
    </w:p>
    <w:p>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本部门按要求对2019年部门整体支出绩效评价情况开展自评，《九寨沟县水务局2019年部门整体支出绩效评价报告》见附件（附件1）。</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本部门自行组织对“九寨沟县8.8地震灾后重建小流域水土流失综合治理项目二期</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“8.8灾后重建九寨沟县山洪灾害防治非工程措施项目及2019年山洪灾害防治项目”“九寨沟县城堤防维修加固建设项目”“国家水土保持重点工程九寨沟县城沟小流域项目”“九寨沟</w:t>
      </w:r>
      <w:r>
        <w:rPr>
          <w:rFonts w:hint="eastAsia" w:ascii="仿宋_GB2312" w:hAnsi="黑体" w:eastAsia="仿宋_GB2312"/>
          <w:sz w:val="32"/>
          <w:szCs w:val="32"/>
        </w:rPr>
        <w:t>县河湖管理范围划定工作（一期）</w:t>
      </w:r>
      <w:r>
        <w:rPr>
          <w:rFonts w:hint="eastAsia" w:ascii="仿宋_GB2312" w:hAnsi="仿宋_GB2312" w:eastAsia="仿宋_GB2312" w:cs="仿宋_GB2312"/>
          <w:sz w:val="32"/>
          <w:szCs w:val="32"/>
        </w:rPr>
        <w:t>”开展了绩效评价，《项目2019年绩效评价报告》见附件（附件2、附件3、附件4、附件5、附件6）。（非涉密部门均需公开部门整体支出评价报告，部门自行组织的绩效评价情况根据部门实际公开，若未组织项目绩效评价，则只需说明部门整体支出绩效评价情况）</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4"/>
        </w:numPr>
        <w:spacing w:line="600" w:lineRule="exact"/>
        <w:ind w:firstLine="660" w:firstLineChars="150"/>
        <w:jc w:val="center"/>
        <w:outlineLvl w:val="0"/>
        <w:rPr>
          <w:rStyle w:val="17"/>
          <w:rFonts w:ascii="黑体" w:hAnsi="黑体" w:eastAsia="黑体"/>
          <w:b w:val="0"/>
        </w:rPr>
      </w:pPr>
      <w:bookmarkStart w:id="167" w:name="_Toc15396613"/>
      <w:bookmarkStart w:id="168" w:name="_Toc15377225"/>
      <w:bookmarkStart w:id="169" w:name="_Toc15456"/>
      <w:bookmarkStart w:id="170" w:name="_Toc13765"/>
      <w:bookmarkStart w:id="171" w:name="_Toc5721"/>
      <w:bookmarkStart w:id="172" w:name="_Toc15499"/>
      <w:bookmarkStart w:id="173" w:name="_Toc5901"/>
      <w:bookmarkStart w:id="174" w:name="_Toc7265"/>
      <w:bookmarkStart w:id="175" w:name="_Toc27723"/>
      <w:r>
        <w:rPr>
          <w:rFonts w:hint="eastAsia" w:ascii="黑体" w:hAnsi="黑体" w:eastAsia="黑体"/>
          <w:color w:val="000000"/>
          <w:sz w:val="44"/>
          <w:szCs w:val="44"/>
        </w:rPr>
        <w:t>名</w:t>
      </w:r>
      <w:r>
        <w:rPr>
          <w:rStyle w:val="17"/>
          <w:rFonts w:hint="eastAsia" w:ascii="黑体" w:hAnsi="黑体" w:eastAsia="黑体"/>
          <w:b w:val="0"/>
        </w:rPr>
        <w:t>词解释</w:t>
      </w:r>
      <w:bookmarkEnd w:id="167"/>
      <w:bookmarkEnd w:id="168"/>
      <w:bookmarkEnd w:id="169"/>
      <w:bookmarkEnd w:id="170"/>
      <w:bookmarkEnd w:id="171"/>
      <w:bookmarkEnd w:id="172"/>
      <w:bookmarkEnd w:id="173"/>
      <w:bookmarkEnd w:id="174"/>
      <w:bookmarkEnd w:id="175"/>
    </w:p>
    <w:p>
      <w:pPr>
        <w:spacing w:line="600" w:lineRule="exact"/>
        <w:jc w:val="left"/>
        <w:rPr>
          <w:rFonts w:ascii="宋体"/>
          <w:b/>
          <w:color w:val="000000"/>
          <w:sz w:val="44"/>
          <w:szCs w:val="44"/>
        </w:rPr>
      </w:pPr>
    </w:p>
    <w:p>
      <w:pPr>
        <w:pStyle w:val="20"/>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0"/>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0"/>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0"/>
        <w:spacing w:line="560" w:lineRule="exact"/>
        <w:ind w:firstLine="640" w:firstLineChars="200"/>
        <w:rPr>
          <w:rFonts w:hint="eastAsia" w:ascii="仿宋_GB2312" w:eastAsia="仿宋_GB2312"/>
          <w:sz w:val="32"/>
          <w:szCs w:val="32"/>
          <w:lang w:val="en-US" w:eastAsia="zh-CN"/>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利息收入。</w:t>
      </w:r>
    </w:p>
    <w:p>
      <w:pPr>
        <w:pStyle w:val="20"/>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0"/>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0"/>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0"/>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eastAsia="仿宋_GB2312"/>
          <w:sz w:val="32"/>
          <w:szCs w:val="32"/>
        </w:rPr>
      </w:pPr>
      <w:r>
        <w:rPr>
          <w:rFonts w:ascii="仿宋_GB2312" w:eastAsia="仿宋_GB2312"/>
          <w:color w:val="000000"/>
          <w:sz w:val="32"/>
          <w:szCs w:val="32"/>
        </w:rPr>
        <w:t>9.</w:t>
      </w:r>
      <w:r>
        <w:rPr>
          <w:rFonts w:eastAsia="仿宋_GB2312"/>
          <w:sz w:val="32"/>
          <w:szCs w:val="32"/>
        </w:rPr>
        <w:t>社会保障和就业（</w:t>
      </w:r>
      <w:r>
        <w:rPr>
          <w:rFonts w:hint="eastAsia" w:eastAsia="仿宋_GB2312"/>
          <w:sz w:val="32"/>
          <w:szCs w:val="32"/>
        </w:rPr>
        <w:t>208</w:t>
      </w:r>
      <w:r>
        <w:rPr>
          <w:rFonts w:eastAsia="仿宋_GB2312"/>
          <w:sz w:val="32"/>
          <w:szCs w:val="32"/>
        </w:rPr>
        <w:t>）行政事业单位离退休（</w:t>
      </w:r>
      <w:r>
        <w:rPr>
          <w:rFonts w:hint="eastAsia" w:eastAsia="仿宋_GB2312"/>
          <w:sz w:val="32"/>
          <w:szCs w:val="32"/>
        </w:rPr>
        <w:t>05</w:t>
      </w:r>
      <w:r>
        <w:rPr>
          <w:rFonts w:eastAsia="仿宋_GB2312"/>
          <w:sz w:val="32"/>
          <w:szCs w:val="32"/>
        </w:rPr>
        <w:t>）机关事业单位基本养老保险缴费支出（</w:t>
      </w:r>
      <w:r>
        <w:rPr>
          <w:rFonts w:hint="eastAsia" w:eastAsia="仿宋_GB2312"/>
          <w:sz w:val="32"/>
          <w:szCs w:val="32"/>
        </w:rPr>
        <w:t>05</w:t>
      </w:r>
      <w:r>
        <w:rPr>
          <w:rFonts w:eastAsia="仿宋_GB2312"/>
          <w:sz w:val="32"/>
          <w:szCs w:val="32"/>
        </w:rPr>
        <w:t>）：指部门实施养老保险制度由单位缴纳的养老保险费的支出。</w:t>
      </w:r>
    </w:p>
    <w:p>
      <w:pPr>
        <w:ind w:firstLine="640" w:firstLineChars="200"/>
        <w:rPr>
          <w:rFonts w:hint="eastAsia" w:eastAsia="仿宋_GB2312"/>
          <w:b w:val="0"/>
          <w:bCs w:val="0"/>
          <w:sz w:val="32"/>
          <w:szCs w:val="32"/>
          <w:lang w:eastAsia="zh-CN"/>
        </w:rPr>
      </w:pPr>
      <w:r>
        <w:rPr>
          <w:rFonts w:ascii="仿宋_GB2312" w:eastAsia="仿宋_GB2312"/>
          <w:b w:val="0"/>
          <w:bCs w:val="0"/>
          <w:color w:val="000000"/>
          <w:sz w:val="32"/>
          <w:szCs w:val="32"/>
        </w:rPr>
        <w:t>10.</w:t>
      </w:r>
      <w:r>
        <w:rPr>
          <w:rStyle w:val="15"/>
          <w:rFonts w:hint="eastAsia" w:ascii="仿宋" w:hAnsi="仿宋" w:eastAsia="仿宋"/>
          <w:b w:val="0"/>
          <w:bCs w:val="0"/>
          <w:color w:val="000000"/>
          <w:sz w:val="32"/>
          <w:szCs w:val="32"/>
        </w:rPr>
        <w:t>社会保障和就业（208）其他社会保障和就业支出（99）其他社会保障和就业支出（01）</w:t>
      </w:r>
      <w:r>
        <w:rPr>
          <w:rFonts w:hint="eastAsia" w:eastAsia="仿宋_GB2312"/>
          <w:b w:val="0"/>
          <w:bCs w:val="0"/>
          <w:sz w:val="32"/>
          <w:szCs w:val="32"/>
          <w:lang w:eastAsia="zh-CN"/>
        </w:rPr>
        <w:t>：</w:t>
      </w:r>
      <w:r>
        <w:rPr>
          <w:rFonts w:eastAsia="仿宋_GB2312"/>
          <w:b w:val="0"/>
          <w:bCs w:val="0"/>
          <w:sz w:val="32"/>
          <w:szCs w:val="32"/>
        </w:rPr>
        <w:t>指</w:t>
      </w:r>
      <w:r>
        <w:rPr>
          <w:rFonts w:hint="eastAsia" w:eastAsia="仿宋_GB2312"/>
          <w:b w:val="0"/>
          <w:bCs w:val="0"/>
          <w:sz w:val="32"/>
          <w:szCs w:val="32"/>
          <w:lang w:eastAsia="zh-CN"/>
        </w:rPr>
        <w:t>反映上述项目以外其他用于社会保障和就业方面的支出。</w:t>
      </w:r>
    </w:p>
    <w:p>
      <w:pPr>
        <w:ind w:firstLine="640" w:firstLineChars="200"/>
        <w:rPr>
          <w:rFonts w:hint="eastAsia" w:ascii="仿宋_GB2312" w:hAnsi="Times New Roman" w:eastAsia="仿宋_GB2312" w:cs="Times New Roman"/>
          <w:b w:val="0"/>
          <w:bCs w:val="0"/>
          <w:color w:val="000000"/>
          <w:sz w:val="32"/>
          <w:szCs w:val="32"/>
          <w:lang w:eastAsia="zh-CN"/>
        </w:rPr>
      </w:pPr>
      <w:r>
        <w:rPr>
          <w:rFonts w:ascii="仿宋_GB2312" w:eastAsia="仿宋_GB2312"/>
          <w:b w:val="0"/>
          <w:bCs w:val="0"/>
          <w:color w:val="000000"/>
          <w:sz w:val="32"/>
          <w:szCs w:val="32"/>
        </w:rPr>
        <w:t>11.</w:t>
      </w:r>
      <w:r>
        <w:rPr>
          <w:rFonts w:hint="eastAsia" w:ascii="仿宋" w:hAnsi="仿宋" w:eastAsia="仿宋"/>
          <w:b w:val="0"/>
          <w:bCs w:val="0"/>
          <w:color w:val="000000" w:themeColor="text1"/>
          <w:sz w:val="32"/>
          <w:szCs w:val="32"/>
          <w14:textFill>
            <w14:solidFill>
              <w14:schemeClr w14:val="tx1"/>
            </w14:solidFill>
          </w14:textFill>
        </w:rPr>
        <w:t>卫生健康支出</w:t>
      </w:r>
      <w:r>
        <w:rPr>
          <w:rStyle w:val="15"/>
          <w:rFonts w:hint="eastAsia" w:ascii="仿宋" w:hAnsi="仿宋" w:eastAsia="仿宋"/>
          <w:b w:val="0"/>
          <w:bCs w:val="0"/>
          <w:color w:val="000000"/>
          <w:sz w:val="32"/>
          <w:szCs w:val="32"/>
        </w:rPr>
        <w:t>（210）行政事业单位医疗（11）行政单位医疗（01）</w:t>
      </w:r>
      <w:r>
        <w:rPr>
          <w:rFonts w:hint="eastAsia" w:ascii="仿宋_GB2312" w:eastAsia="仿宋_GB2312"/>
          <w:b w:val="0"/>
          <w:bCs w:val="0"/>
          <w:color w:val="000000"/>
          <w:sz w:val="32"/>
          <w:szCs w:val="32"/>
        </w:rPr>
        <w:t>：</w:t>
      </w:r>
      <w:r>
        <w:rPr>
          <w:rFonts w:hint="eastAsia" w:ascii="仿宋_GB2312" w:hAnsi="Times New Roman" w:eastAsia="仿宋_GB2312" w:cs="Times New Roman"/>
          <w:b w:val="0"/>
          <w:bCs w:val="0"/>
          <w:color w:val="000000"/>
          <w:sz w:val="32"/>
          <w:szCs w:val="32"/>
          <w:lang w:eastAsia="zh-CN"/>
        </w:rPr>
        <w:t>反映财政部门集中安排的行政单位基本医疗保险缴费经费，未参加医疗保险的行政单位的公费医疗经费，按国家规定享受离休人员、红军老战士待遇人员的医疗经费支出。</w:t>
      </w:r>
    </w:p>
    <w:p>
      <w:pPr>
        <w:ind w:firstLine="640" w:firstLineChars="200"/>
        <w:rPr>
          <w:rFonts w:ascii="仿宋_GB2312" w:eastAsia="仿宋_GB2312"/>
          <w:b w:val="0"/>
          <w:bCs w:val="0"/>
          <w:color w:val="000000"/>
          <w:sz w:val="32"/>
          <w:szCs w:val="32"/>
        </w:rPr>
      </w:pPr>
      <w:r>
        <w:rPr>
          <w:rFonts w:hint="eastAsia" w:ascii="仿宋_GB2312" w:hAnsi="Times New Roman" w:eastAsia="仿宋_GB2312" w:cs="Times New Roman"/>
          <w:b w:val="0"/>
          <w:bCs w:val="0"/>
          <w:color w:val="000000"/>
          <w:sz w:val="32"/>
          <w:szCs w:val="32"/>
          <w:lang w:eastAsia="zh-CN"/>
        </w:rPr>
        <w:t>12.卫生健康支出（210）行政事业单位</w:t>
      </w:r>
      <w:r>
        <w:rPr>
          <w:rStyle w:val="15"/>
          <w:rFonts w:hint="eastAsia" w:ascii="仿宋" w:hAnsi="仿宋" w:eastAsia="仿宋"/>
          <w:b w:val="0"/>
          <w:bCs w:val="0"/>
          <w:color w:val="000000"/>
          <w:sz w:val="32"/>
          <w:szCs w:val="32"/>
        </w:rPr>
        <w:t>医疗（11）公务员医疗补助（03）</w:t>
      </w:r>
      <w:r>
        <w:rPr>
          <w:rFonts w:hint="eastAsia" w:ascii="仿宋_GB2312" w:eastAsia="仿宋_GB2312"/>
          <w:b w:val="0"/>
          <w:bCs w:val="0"/>
          <w:color w:val="000000"/>
          <w:sz w:val="32"/>
          <w:szCs w:val="32"/>
        </w:rPr>
        <w:t>：</w:t>
      </w:r>
      <w:r>
        <w:rPr>
          <w:rFonts w:hint="eastAsia" w:ascii="仿宋_GB2312" w:eastAsia="仿宋_GB2312"/>
          <w:b w:val="0"/>
          <w:bCs w:val="0"/>
          <w:color w:val="000000"/>
          <w:sz w:val="32"/>
          <w:szCs w:val="32"/>
          <w:lang w:eastAsia="zh-CN"/>
        </w:rPr>
        <w:t>指部门实施的行政事业单位公务员职工基本医疗保险缴费的公务员基本医疗保险费的支出。</w:t>
      </w:r>
    </w:p>
    <w:p>
      <w:pPr>
        <w:ind w:firstLine="640" w:firstLineChars="200"/>
        <w:rPr>
          <w:rFonts w:ascii="仿宋_GB2312" w:eastAsia="仿宋_GB2312"/>
          <w:b w:val="0"/>
          <w:bCs w:val="0"/>
          <w:color w:val="000000"/>
          <w:sz w:val="32"/>
          <w:szCs w:val="32"/>
        </w:rPr>
      </w:pPr>
      <w:r>
        <w:rPr>
          <w:rFonts w:ascii="仿宋_GB2312" w:eastAsia="仿宋_GB2312"/>
          <w:b w:val="0"/>
          <w:bCs w:val="0"/>
          <w:color w:val="000000"/>
          <w:sz w:val="32"/>
          <w:szCs w:val="32"/>
        </w:rPr>
        <w:t>13.</w:t>
      </w:r>
      <w:r>
        <w:rPr>
          <w:rFonts w:hint="eastAsia" w:ascii="仿宋" w:hAnsi="仿宋" w:eastAsia="仿宋"/>
          <w:b w:val="0"/>
          <w:bCs w:val="0"/>
          <w:color w:val="000000" w:themeColor="text1"/>
          <w:sz w:val="32"/>
          <w:szCs w:val="32"/>
          <w14:textFill>
            <w14:solidFill>
              <w14:schemeClr w14:val="tx1"/>
            </w14:solidFill>
          </w14:textFill>
        </w:rPr>
        <w:t>农林水支出</w:t>
      </w:r>
      <w:r>
        <w:rPr>
          <w:rStyle w:val="15"/>
          <w:rFonts w:hint="eastAsia" w:ascii="仿宋" w:hAnsi="仿宋" w:eastAsia="仿宋"/>
          <w:b w:val="0"/>
          <w:bCs w:val="0"/>
          <w:color w:val="000000"/>
          <w:sz w:val="32"/>
          <w:szCs w:val="32"/>
        </w:rPr>
        <w:t>（213）农业</w:t>
      </w:r>
      <w:r>
        <w:rPr>
          <w:rFonts w:hint="eastAsia" w:ascii="仿宋" w:hAnsi="仿宋" w:eastAsia="仿宋"/>
          <w:b w:val="0"/>
          <w:bCs w:val="0"/>
          <w:color w:val="000000" w:themeColor="text1"/>
          <w:sz w:val="32"/>
          <w:szCs w:val="32"/>
          <w14:textFill>
            <w14:solidFill>
              <w14:schemeClr w14:val="tx1"/>
            </w14:solidFill>
          </w14:textFill>
        </w:rPr>
        <w:t>（01）</w:t>
      </w:r>
      <w:r>
        <w:rPr>
          <w:rStyle w:val="15"/>
          <w:rFonts w:hint="eastAsia" w:ascii="仿宋" w:hAnsi="仿宋" w:eastAsia="仿宋"/>
          <w:b w:val="0"/>
          <w:bCs w:val="0"/>
          <w:color w:val="000000"/>
          <w:sz w:val="32"/>
          <w:szCs w:val="32"/>
        </w:rPr>
        <w:t>行政运行（01）</w:t>
      </w:r>
      <w:r>
        <w:rPr>
          <w:rFonts w:hint="eastAsia" w:ascii="仿宋_GB2312" w:eastAsia="仿宋_GB2312"/>
          <w:b w:val="0"/>
          <w:bCs w:val="0"/>
          <w:color w:val="000000"/>
          <w:sz w:val="32"/>
          <w:szCs w:val="32"/>
        </w:rPr>
        <w:t>：指</w:t>
      </w:r>
      <w:r>
        <w:rPr>
          <w:rFonts w:hint="eastAsia" w:eastAsia="仿宋_GB2312"/>
          <w:b w:val="0"/>
          <w:bCs w:val="0"/>
          <w:sz w:val="32"/>
          <w:szCs w:val="32"/>
          <w:lang w:eastAsia="zh-CN"/>
        </w:rPr>
        <w:t>反映行政单位（包括实行公务员管理的事业单位）的基本支出。</w:t>
      </w:r>
    </w:p>
    <w:p>
      <w:pPr>
        <w:ind w:firstLine="640" w:firstLineChars="200"/>
        <w:rPr>
          <w:rFonts w:ascii="仿宋_GB2312" w:eastAsia="仿宋_GB2312"/>
          <w:b w:val="0"/>
          <w:bCs w:val="0"/>
          <w:color w:val="000000"/>
          <w:sz w:val="32"/>
          <w:szCs w:val="32"/>
        </w:rPr>
      </w:pPr>
      <w:r>
        <w:rPr>
          <w:rFonts w:ascii="仿宋_GB2312" w:eastAsia="仿宋_GB2312"/>
          <w:b w:val="0"/>
          <w:bCs w:val="0"/>
          <w:color w:val="000000"/>
          <w:sz w:val="32"/>
          <w:szCs w:val="32"/>
        </w:rPr>
        <w:t>14.</w:t>
      </w:r>
      <w:r>
        <w:rPr>
          <w:rFonts w:hint="eastAsia" w:ascii="仿宋" w:hAnsi="仿宋" w:eastAsia="仿宋"/>
          <w:b w:val="0"/>
          <w:bCs w:val="0"/>
          <w:color w:val="000000" w:themeColor="text1"/>
          <w:sz w:val="32"/>
          <w:szCs w:val="32"/>
          <w14:textFill>
            <w14:solidFill>
              <w14:schemeClr w14:val="tx1"/>
            </w14:solidFill>
          </w14:textFill>
        </w:rPr>
        <w:t>农林水支出</w:t>
      </w:r>
      <w:r>
        <w:rPr>
          <w:rStyle w:val="15"/>
          <w:rFonts w:hint="eastAsia" w:ascii="仿宋" w:hAnsi="仿宋" w:eastAsia="仿宋"/>
          <w:b w:val="0"/>
          <w:bCs w:val="0"/>
          <w:color w:val="000000"/>
          <w:sz w:val="32"/>
          <w:szCs w:val="32"/>
        </w:rPr>
        <w:t>（213）水利</w:t>
      </w:r>
      <w:r>
        <w:rPr>
          <w:rFonts w:hint="eastAsia" w:ascii="仿宋" w:hAnsi="仿宋" w:eastAsia="仿宋"/>
          <w:b w:val="0"/>
          <w:bCs w:val="0"/>
          <w:color w:val="000000" w:themeColor="text1"/>
          <w:sz w:val="32"/>
          <w:szCs w:val="32"/>
          <w14:textFill>
            <w14:solidFill>
              <w14:schemeClr w14:val="tx1"/>
            </w14:solidFill>
          </w14:textFill>
        </w:rPr>
        <w:t>（03）</w:t>
      </w:r>
      <w:r>
        <w:rPr>
          <w:rStyle w:val="15"/>
          <w:rFonts w:hint="eastAsia" w:ascii="仿宋" w:hAnsi="仿宋" w:eastAsia="仿宋"/>
          <w:b w:val="0"/>
          <w:bCs w:val="0"/>
          <w:color w:val="000000"/>
          <w:sz w:val="32"/>
          <w:szCs w:val="32"/>
        </w:rPr>
        <w:t>行政运行（01）</w:t>
      </w:r>
      <w:r>
        <w:rPr>
          <w:rFonts w:hint="eastAsia" w:ascii="仿宋_GB2312" w:eastAsia="仿宋_GB2312"/>
          <w:b w:val="0"/>
          <w:bCs w:val="0"/>
          <w:color w:val="000000"/>
          <w:sz w:val="32"/>
          <w:szCs w:val="32"/>
        </w:rPr>
        <w:t>：</w:t>
      </w:r>
      <w:r>
        <w:rPr>
          <w:rFonts w:hint="eastAsia" w:eastAsia="仿宋_GB2312"/>
          <w:b w:val="0"/>
          <w:bCs w:val="0"/>
          <w:sz w:val="32"/>
          <w:szCs w:val="32"/>
          <w:lang w:eastAsia="zh-CN"/>
        </w:rPr>
        <w:t>反映行政单位（包括实行公务员管理的事业单位）的基本支出</w:t>
      </w:r>
      <w:r>
        <w:rPr>
          <w:rFonts w:hint="eastAsia" w:ascii="仿宋_GB2312" w:eastAsia="仿宋_GB2312"/>
          <w:b w:val="0"/>
          <w:bCs w:val="0"/>
          <w:color w:val="000000"/>
          <w:sz w:val="32"/>
          <w:szCs w:val="32"/>
        </w:rPr>
        <w:t>。</w:t>
      </w:r>
    </w:p>
    <w:p>
      <w:pPr>
        <w:ind w:firstLine="640" w:firstLineChars="200"/>
        <w:rPr>
          <w:rFonts w:ascii="仿宋_GB2312" w:eastAsia="仿宋_GB2312"/>
          <w:b w:val="0"/>
          <w:bCs w:val="0"/>
          <w:color w:val="000000"/>
          <w:sz w:val="32"/>
          <w:szCs w:val="32"/>
        </w:rPr>
      </w:pPr>
      <w:r>
        <w:rPr>
          <w:rFonts w:ascii="仿宋_GB2312" w:eastAsia="仿宋_GB2312"/>
          <w:b w:val="0"/>
          <w:bCs w:val="0"/>
          <w:color w:val="000000"/>
          <w:sz w:val="32"/>
          <w:szCs w:val="32"/>
        </w:rPr>
        <w:t>15.</w:t>
      </w:r>
      <w:r>
        <w:rPr>
          <w:rFonts w:hint="eastAsia" w:ascii="仿宋" w:hAnsi="仿宋" w:eastAsia="仿宋"/>
          <w:b w:val="0"/>
          <w:bCs w:val="0"/>
          <w:color w:val="000000" w:themeColor="text1"/>
          <w:sz w:val="32"/>
          <w:szCs w:val="32"/>
          <w14:textFill>
            <w14:solidFill>
              <w14:schemeClr w14:val="tx1"/>
            </w14:solidFill>
          </w14:textFill>
        </w:rPr>
        <w:t>农林水支出</w:t>
      </w:r>
      <w:r>
        <w:rPr>
          <w:rStyle w:val="15"/>
          <w:rFonts w:hint="eastAsia" w:ascii="仿宋" w:hAnsi="仿宋" w:eastAsia="仿宋"/>
          <w:b w:val="0"/>
          <w:bCs w:val="0"/>
          <w:color w:val="000000"/>
          <w:sz w:val="32"/>
          <w:szCs w:val="32"/>
        </w:rPr>
        <w:t>（213）水利</w:t>
      </w:r>
      <w:r>
        <w:rPr>
          <w:rFonts w:hint="eastAsia" w:ascii="仿宋" w:hAnsi="仿宋" w:eastAsia="仿宋"/>
          <w:b w:val="0"/>
          <w:bCs w:val="0"/>
          <w:color w:val="000000" w:themeColor="text1"/>
          <w:sz w:val="32"/>
          <w:szCs w:val="32"/>
          <w14:textFill>
            <w14:solidFill>
              <w14:schemeClr w14:val="tx1"/>
            </w14:solidFill>
          </w14:textFill>
        </w:rPr>
        <w:t>（03）水利工程建设</w:t>
      </w:r>
      <w:r>
        <w:rPr>
          <w:rStyle w:val="15"/>
          <w:rFonts w:hint="eastAsia" w:ascii="仿宋" w:hAnsi="仿宋" w:eastAsia="仿宋"/>
          <w:b w:val="0"/>
          <w:bCs w:val="0"/>
          <w:color w:val="000000"/>
          <w:sz w:val="32"/>
          <w:szCs w:val="32"/>
        </w:rPr>
        <w:t>（05）</w:t>
      </w:r>
      <w:r>
        <w:rPr>
          <w:rFonts w:hint="eastAsia" w:ascii="仿宋_GB2312" w:eastAsia="仿宋_GB2312"/>
          <w:b w:val="0"/>
          <w:bCs w:val="0"/>
          <w:color w:val="000000"/>
          <w:sz w:val="32"/>
          <w:szCs w:val="32"/>
        </w:rPr>
        <w:t>：</w:t>
      </w:r>
      <w:r>
        <w:rPr>
          <w:rFonts w:hint="eastAsia" w:ascii="Times New Roman" w:hAnsi="Times New Roman" w:eastAsia="仿宋_GB2312" w:cs="Times New Roman"/>
          <w:b w:val="0"/>
          <w:bCs w:val="0"/>
          <w:sz w:val="32"/>
          <w:szCs w:val="32"/>
          <w:lang w:eastAsia="zh-CN"/>
        </w:rPr>
        <w:t>指一反映水利系统用于江、河、湖、滩等水利工程建设支出，</w:t>
      </w:r>
      <w:r>
        <w:rPr>
          <w:rFonts w:hint="eastAsia" w:ascii="Times New Roman" w:hAnsi="Times New Roman" w:eastAsia="仿宋_GB2312" w:cs="Times New Roman"/>
          <w:b w:val="0"/>
          <w:bCs w:val="0"/>
          <w:sz w:val="32"/>
          <w:szCs w:val="32"/>
          <w:lang w:eastAsia="zh-CN"/>
        </w:rPr>
        <w:br w:type="textWrapping"/>
      </w:r>
      <w:r>
        <w:rPr>
          <w:rFonts w:hint="eastAsia" w:ascii="Times New Roman" w:hAnsi="Times New Roman" w:eastAsia="仿宋_GB2312" w:cs="Times New Roman"/>
          <w:b w:val="0"/>
          <w:bCs w:val="0"/>
          <w:sz w:val="32"/>
          <w:szCs w:val="32"/>
          <w:lang w:eastAsia="zh-CN"/>
        </w:rPr>
        <w:t>包括堤防、河道、水库、水利枢纽、涵闸、灌区、供水、蓄滞洪区等水利工程及其附属设备、设施的建设、更新改造、大中型病险水库防险、大中型灌区改造、农村电气化建设等支出。</w:t>
      </w:r>
    </w:p>
    <w:p>
      <w:pPr>
        <w:ind w:firstLine="640" w:firstLineChars="200"/>
        <w:rPr>
          <w:rFonts w:ascii="仿宋_GB2312" w:eastAsia="仿宋_GB2312"/>
          <w:b w:val="0"/>
          <w:bCs w:val="0"/>
          <w:color w:val="000000"/>
          <w:sz w:val="32"/>
          <w:szCs w:val="32"/>
        </w:rPr>
      </w:pPr>
      <w:r>
        <w:rPr>
          <w:rFonts w:ascii="仿宋_GB2312" w:eastAsia="仿宋_GB2312"/>
          <w:b w:val="0"/>
          <w:bCs w:val="0"/>
          <w:color w:val="000000"/>
          <w:sz w:val="32"/>
          <w:szCs w:val="32"/>
        </w:rPr>
        <w:t>16.</w:t>
      </w:r>
      <w:r>
        <w:rPr>
          <w:rFonts w:hint="eastAsia" w:ascii="仿宋" w:hAnsi="仿宋" w:eastAsia="仿宋"/>
          <w:b w:val="0"/>
          <w:bCs w:val="0"/>
          <w:color w:val="000000" w:themeColor="text1"/>
          <w:sz w:val="32"/>
          <w:szCs w:val="32"/>
          <w14:textFill>
            <w14:solidFill>
              <w14:schemeClr w14:val="tx1"/>
            </w14:solidFill>
          </w14:textFill>
        </w:rPr>
        <w:t>农林水支出</w:t>
      </w:r>
      <w:r>
        <w:rPr>
          <w:rStyle w:val="15"/>
          <w:rFonts w:hint="eastAsia" w:ascii="仿宋" w:hAnsi="仿宋" w:eastAsia="仿宋"/>
          <w:b w:val="0"/>
          <w:bCs w:val="0"/>
          <w:color w:val="000000"/>
          <w:sz w:val="32"/>
          <w:szCs w:val="32"/>
        </w:rPr>
        <w:t>（213）水利</w:t>
      </w:r>
      <w:r>
        <w:rPr>
          <w:rFonts w:hint="eastAsia" w:ascii="仿宋" w:hAnsi="仿宋" w:eastAsia="仿宋"/>
          <w:b w:val="0"/>
          <w:bCs w:val="0"/>
          <w:color w:val="000000" w:themeColor="text1"/>
          <w:sz w:val="32"/>
          <w:szCs w:val="32"/>
          <w14:textFill>
            <w14:solidFill>
              <w14:schemeClr w14:val="tx1"/>
            </w14:solidFill>
          </w14:textFill>
        </w:rPr>
        <w:t>（03）水利工程运行与维护</w:t>
      </w:r>
      <w:r>
        <w:rPr>
          <w:rStyle w:val="15"/>
          <w:rFonts w:hint="eastAsia" w:ascii="仿宋" w:hAnsi="仿宋" w:eastAsia="仿宋"/>
          <w:b w:val="0"/>
          <w:bCs w:val="0"/>
          <w:color w:val="000000"/>
          <w:sz w:val="32"/>
          <w:szCs w:val="32"/>
        </w:rPr>
        <w:t>（06）</w:t>
      </w:r>
      <w:r>
        <w:rPr>
          <w:rFonts w:hint="eastAsia" w:ascii="仿宋_GB2312" w:eastAsia="仿宋_GB2312"/>
          <w:b w:val="0"/>
          <w:bCs w:val="0"/>
          <w:color w:val="000000"/>
          <w:sz w:val="32"/>
          <w:szCs w:val="32"/>
        </w:rPr>
        <w:t>：</w:t>
      </w:r>
      <w:r>
        <w:rPr>
          <w:rFonts w:hint="eastAsia" w:ascii="Times New Roman" w:hAnsi="Times New Roman" w:eastAsia="仿宋_GB2312" w:cs="Times New Roman"/>
          <w:b w:val="0"/>
          <w:bCs w:val="0"/>
          <w:sz w:val="32"/>
          <w:szCs w:val="32"/>
          <w:lang w:eastAsia="zh-CN"/>
        </w:rPr>
        <w:t>反映水利系统用于江、河、湖、滩等治理工程运行与维护方面的支出，以及纳入预算管理的水利工程管理单位的支出。</w:t>
      </w:r>
    </w:p>
    <w:p>
      <w:pPr>
        <w:ind w:firstLine="640" w:firstLineChars="200"/>
        <w:rPr>
          <w:rFonts w:ascii="仿宋_GB2312" w:eastAsia="仿宋_GB2312"/>
          <w:b w:val="0"/>
          <w:bCs w:val="0"/>
          <w:color w:val="000000"/>
          <w:sz w:val="32"/>
          <w:szCs w:val="32"/>
        </w:rPr>
      </w:pPr>
      <w:r>
        <w:rPr>
          <w:rFonts w:ascii="仿宋_GB2312" w:eastAsia="仿宋_GB2312"/>
          <w:b w:val="0"/>
          <w:bCs w:val="0"/>
          <w:color w:val="000000"/>
          <w:sz w:val="32"/>
          <w:szCs w:val="32"/>
        </w:rPr>
        <w:t>17.</w:t>
      </w:r>
      <w:r>
        <w:rPr>
          <w:rFonts w:hint="eastAsia" w:ascii="仿宋" w:hAnsi="仿宋" w:eastAsia="仿宋"/>
          <w:b w:val="0"/>
          <w:bCs w:val="0"/>
          <w:color w:val="000000" w:themeColor="text1"/>
          <w:sz w:val="32"/>
          <w:szCs w:val="32"/>
          <w14:textFill>
            <w14:solidFill>
              <w14:schemeClr w14:val="tx1"/>
            </w14:solidFill>
          </w14:textFill>
        </w:rPr>
        <w:t>农林水支出</w:t>
      </w:r>
      <w:r>
        <w:rPr>
          <w:rStyle w:val="15"/>
          <w:rFonts w:hint="eastAsia" w:ascii="仿宋" w:hAnsi="仿宋" w:eastAsia="仿宋"/>
          <w:b w:val="0"/>
          <w:bCs w:val="0"/>
          <w:color w:val="000000"/>
          <w:sz w:val="32"/>
          <w:szCs w:val="32"/>
        </w:rPr>
        <w:t>（213）水利</w:t>
      </w:r>
      <w:r>
        <w:rPr>
          <w:rFonts w:hint="eastAsia" w:ascii="仿宋" w:hAnsi="仿宋" w:eastAsia="仿宋"/>
          <w:b w:val="0"/>
          <w:bCs w:val="0"/>
          <w:color w:val="000000" w:themeColor="text1"/>
          <w:sz w:val="32"/>
          <w:szCs w:val="32"/>
          <w14:textFill>
            <w14:solidFill>
              <w14:schemeClr w14:val="tx1"/>
            </w14:solidFill>
          </w14:textFill>
        </w:rPr>
        <w:t>（03）水土保持</w:t>
      </w:r>
      <w:r>
        <w:rPr>
          <w:rStyle w:val="15"/>
          <w:rFonts w:hint="eastAsia" w:ascii="仿宋" w:hAnsi="仿宋" w:eastAsia="仿宋"/>
          <w:b w:val="0"/>
          <w:bCs w:val="0"/>
          <w:color w:val="000000"/>
          <w:sz w:val="32"/>
          <w:szCs w:val="32"/>
        </w:rPr>
        <w:t>（10）</w:t>
      </w:r>
      <w:r>
        <w:rPr>
          <w:rFonts w:hint="eastAsia" w:ascii="仿宋_GB2312" w:eastAsia="仿宋_GB2312"/>
          <w:b w:val="0"/>
          <w:bCs w:val="0"/>
          <w:color w:val="000000"/>
          <w:sz w:val="32"/>
          <w:szCs w:val="32"/>
        </w:rPr>
        <w:t>：</w:t>
      </w:r>
      <w:r>
        <w:rPr>
          <w:rFonts w:hint="eastAsia" w:ascii="Times New Roman" w:hAnsi="Times New Roman" w:eastAsia="仿宋_GB2312" w:cs="Times New Roman"/>
          <w:b w:val="0"/>
          <w:bCs w:val="0"/>
          <w:sz w:val="32"/>
          <w:szCs w:val="32"/>
          <w:lang w:eastAsia="zh-CN"/>
        </w:rPr>
        <w:t>指反映水利系统纳入预算管理的水土保持事业单位的支出，包括规划制订和实施，治理、生态修复、预防监测、调查协调、综合治理、开发技术的示范、监督执法等支出以及水士保持生态工程措施和各项管理保护活动的支出。</w:t>
      </w:r>
    </w:p>
    <w:p>
      <w:pPr>
        <w:ind w:firstLine="640" w:firstLineChars="200"/>
        <w:rPr>
          <w:rFonts w:ascii="仿宋_GB2312" w:eastAsia="仿宋_GB2312"/>
          <w:b w:val="0"/>
          <w:bCs w:val="0"/>
          <w:color w:val="000000"/>
          <w:sz w:val="32"/>
          <w:szCs w:val="32"/>
        </w:rPr>
      </w:pPr>
      <w:r>
        <w:rPr>
          <w:rFonts w:ascii="仿宋_GB2312" w:eastAsia="仿宋_GB2312"/>
          <w:b w:val="0"/>
          <w:bCs w:val="0"/>
          <w:color w:val="000000"/>
          <w:sz w:val="32"/>
          <w:szCs w:val="32"/>
        </w:rPr>
        <w:t>18.</w:t>
      </w:r>
      <w:r>
        <w:rPr>
          <w:rFonts w:hint="eastAsia" w:ascii="仿宋" w:hAnsi="仿宋" w:eastAsia="仿宋"/>
          <w:b w:val="0"/>
          <w:bCs w:val="0"/>
          <w:color w:val="000000" w:themeColor="text1"/>
          <w:sz w:val="32"/>
          <w:szCs w:val="32"/>
          <w14:textFill>
            <w14:solidFill>
              <w14:schemeClr w14:val="tx1"/>
            </w14:solidFill>
          </w14:textFill>
        </w:rPr>
        <w:t>农林水支出</w:t>
      </w:r>
      <w:r>
        <w:rPr>
          <w:rStyle w:val="15"/>
          <w:rFonts w:hint="eastAsia" w:ascii="仿宋" w:hAnsi="仿宋" w:eastAsia="仿宋"/>
          <w:b w:val="0"/>
          <w:bCs w:val="0"/>
          <w:color w:val="000000"/>
          <w:sz w:val="32"/>
          <w:szCs w:val="32"/>
        </w:rPr>
        <w:t>（213）水利</w:t>
      </w:r>
      <w:r>
        <w:rPr>
          <w:rFonts w:hint="eastAsia" w:ascii="仿宋" w:hAnsi="仿宋" w:eastAsia="仿宋"/>
          <w:b w:val="0"/>
          <w:bCs w:val="0"/>
          <w:color w:val="000000" w:themeColor="text1"/>
          <w:sz w:val="32"/>
          <w:szCs w:val="32"/>
          <w14:textFill>
            <w14:solidFill>
              <w14:schemeClr w14:val="tx1"/>
            </w14:solidFill>
          </w14:textFill>
        </w:rPr>
        <w:t>（03）水资源节约管理与保护</w:t>
      </w:r>
      <w:r>
        <w:rPr>
          <w:rStyle w:val="15"/>
          <w:rFonts w:hint="eastAsia" w:ascii="仿宋" w:hAnsi="仿宋" w:eastAsia="仿宋"/>
          <w:b w:val="0"/>
          <w:bCs w:val="0"/>
          <w:color w:val="000000"/>
          <w:sz w:val="32"/>
          <w:szCs w:val="32"/>
        </w:rPr>
        <w:t>（11）</w:t>
      </w:r>
      <w:r>
        <w:rPr>
          <w:rFonts w:hint="eastAsia" w:ascii="仿宋_GB2312" w:eastAsia="仿宋_GB2312"/>
          <w:b w:val="0"/>
          <w:bCs w:val="0"/>
          <w:color w:val="000000"/>
          <w:sz w:val="32"/>
          <w:szCs w:val="32"/>
        </w:rPr>
        <w:t>：</w:t>
      </w:r>
      <w:r>
        <w:rPr>
          <w:rFonts w:hint="eastAsia" w:ascii="Times New Roman" w:hAnsi="Times New Roman" w:eastAsia="仿宋_GB2312" w:cs="Times New Roman"/>
          <w:b w:val="0"/>
          <w:bCs w:val="0"/>
          <w:sz w:val="32"/>
          <w:szCs w:val="32"/>
          <w:lang w:eastAsia="zh-CN"/>
        </w:rPr>
        <w:t>指反映水利系统纳入预算管理的水资源管理与保护事业单位的支出。有关事项包括进行水资源调查评价和水资源规划，水量分配方案、节水以及相关标准的制订及监督实施，组织实施流域或跨流域水资源调度，水功能区监督管理，取水许可、江河湖库及水源地保护监管，水资源公报发布，基础资料整编，水量调度，节约用水，设备仪器运行维护入河排污口监督管理、审定水域纳污能力和限制排污控制，水资源论证，地下水资源管理，超采区治理和保护，用水定额管理，水务管理和各项保护管理等支出。</w:t>
      </w:r>
    </w:p>
    <w:p>
      <w:pPr>
        <w:ind w:firstLine="640" w:firstLineChars="200"/>
        <w:rPr>
          <w:rFonts w:ascii="仿宋_GB2312" w:eastAsia="仿宋_GB2312"/>
          <w:b w:val="0"/>
          <w:bCs w:val="0"/>
          <w:color w:val="000000"/>
          <w:sz w:val="32"/>
          <w:szCs w:val="32"/>
        </w:rPr>
      </w:pPr>
      <w:r>
        <w:rPr>
          <w:rFonts w:ascii="仿宋_GB2312" w:eastAsia="仿宋_GB2312"/>
          <w:b w:val="0"/>
          <w:bCs w:val="0"/>
          <w:color w:val="000000"/>
          <w:sz w:val="32"/>
          <w:szCs w:val="32"/>
        </w:rPr>
        <w:t>19.</w:t>
      </w:r>
      <w:r>
        <w:rPr>
          <w:rFonts w:hint="eastAsia" w:ascii="仿宋" w:hAnsi="仿宋" w:eastAsia="仿宋"/>
          <w:b w:val="0"/>
          <w:bCs w:val="0"/>
          <w:color w:val="000000" w:themeColor="text1"/>
          <w:sz w:val="32"/>
          <w:szCs w:val="32"/>
          <w14:textFill>
            <w14:solidFill>
              <w14:schemeClr w14:val="tx1"/>
            </w14:solidFill>
          </w14:textFill>
        </w:rPr>
        <w:t>农林水支出</w:t>
      </w:r>
      <w:r>
        <w:rPr>
          <w:rStyle w:val="15"/>
          <w:rFonts w:hint="eastAsia" w:ascii="仿宋" w:hAnsi="仿宋" w:eastAsia="仿宋"/>
          <w:b w:val="0"/>
          <w:bCs w:val="0"/>
          <w:color w:val="000000"/>
          <w:sz w:val="32"/>
          <w:szCs w:val="32"/>
        </w:rPr>
        <w:t>（213）水利</w:t>
      </w:r>
      <w:r>
        <w:rPr>
          <w:rFonts w:hint="eastAsia" w:ascii="仿宋" w:hAnsi="仿宋" w:eastAsia="仿宋"/>
          <w:b w:val="0"/>
          <w:bCs w:val="0"/>
          <w:color w:val="000000" w:themeColor="text1"/>
          <w:sz w:val="32"/>
          <w:szCs w:val="32"/>
          <w14:textFill>
            <w14:solidFill>
              <w14:schemeClr w14:val="tx1"/>
            </w14:solidFill>
          </w14:textFill>
        </w:rPr>
        <w:t>（03）防汛</w:t>
      </w:r>
      <w:r>
        <w:rPr>
          <w:rStyle w:val="15"/>
          <w:rFonts w:hint="eastAsia" w:ascii="仿宋" w:hAnsi="仿宋" w:eastAsia="仿宋"/>
          <w:b w:val="0"/>
          <w:bCs w:val="0"/>
          <w:color w:val="000000"/>
          <w:sz w:val="32"/>
          <w:szCs w:val="32"/>
        </w:rPr>
        <w:t>（14）</w:t>
      </w:r>
      <w:r>
        <w:rPr>
          <w:rFonts w:hint="eastAsia" w:ascii="仿宋_GB2312" w:eastAsia="仿宋_GB2312"/>
          <w:b w:val="0"/>
          <w:bCs w:val="0"/>
          <w:color w:val="000000"/>
          <w:sz w:val="32"/>
          <w:szCs w:val="32"/>
        </w:rPr>
        <w:t>：指</w:t>
      </w:r>
      <w:r>
        <w:rPr>
          <w:rFonts w:hint="eastAsia" w:eastAsia="仿宋_GB2312"/>
          <w:b w:val="0"/>
          <w:bCs w:val="0"/>
          <w:sz w:val="32"/>
          <w:szCs w:val="32"/>
          <w:lang w:eastAsia="zh-CN"/>
        </w:rPr>
        <w:t>反应防汛业务支出。有关事项包括防汛物资购置管护，防汛通信设施设备、网络系统、车船设备运行维护，防汛值班、水情报汛、防汛指挥系统运行维护、水毁修护以及防汛组织（如防汛预案编制、检查、演习、宣传、会议等），汛期调用民工及劳动保护，水利设施灾后重建，退田还湖，蓄滞洪区补偿、水情、雨情、决策支持，防汛视频会商，应急度汛，山洪灾害防治等支出。</w:t>
      </w:r>
    </w:p>
    <w:p>
      <w:pPr>
        <w:ind w:firstLine="640" w:firstLineChars="200"/>
        <w:rPr>
          <w:rFonts w:ascii="仿宋_GB2312" w:eastAsia="仿宋_GB2312"/>
          <w:b w:val="0"/>
          <w:bCs w:val="0"/>
          <w:color w:val="000000"/>
          <w:sz w:val="32"/>
          <w:szCs w:val="32"/>
        </w:rPr>
      </w:pPr>
      <w:r>
        <w:rPr>
          <w:rFonts w:ascii="仿宋_GB2312" w:eastAsia="仿宋_GB2312"/>
          <w:b w:val="0"/>
          <w:bCs w:val="0"/>
          <w:color w:val="000000"/>
          <w:sz w:val="32"/>
          <w:szCs w:val="32"/>
        </w:rPr>
        <w:t>20.</w:t>
      </w:r>
      <w:r>
        <w:rPr>
          <w:rFonts w:hint="eastAsia" w:ascii="仿宋" w:hAnsi="仿宋" w:eastAsia="仿宋"/>
          <w:b w:val="0"/>
          <w:bCs w:val="0"/>
          <w:color w:val="000000" w:themeColor="text1"/>
          <w:sz w:val="32"/>
          <w:szCs w:val="32"/>
          <w14:textFill>
            <w14:solidFill>
              <w14:schemeClr w14:val="tx1"/>
            </w14:solidFill>
          </w14:textFill>
        </w:rPr>
        <w:t>农林水支出</w:t>
      </w:r>
      <w:r>
        <w:rPr>
          <w:rStyle w:val="15"/>
          <w:rFonts w:hint="eastAsia" w:ascii="仿宋" w:hAnsi="仿宋" w:eastAsia="仿宋"/>
          <w:b w:val="0"/>
          <w:bCs w:val="0"/>
          <w:color w:val="000000"/>
          <w:sz w:val="32"/>
          <w:szCs w:val="32"/>
        </w:rPr>
        <w:t>（213）水利</w:t>
      </w:r>
      <w:r>
        <w:rPr>
          <w:rFonts w:hint="eastAsia" w:ascii="仿宋" w:hAnsi="仿宋" w:eastAsia="仿宋"/>
          <w:b w:val="0"/>
          <w:bCs w:val="0"/>
          <w:color w:val="000000" w:themeColor="text1"/>
          <w:sz w:val="32"/>
          <w:szCs w:val="32"/>
          <w14:textFill>
            <w14:solidFill>
              <w14:schemeClr w14:val="tx1"/>
            </w14:solidFill>
          </w14:textFill>
        </w:rPr>
        <w:t>（03）</w:t>
      </w:r>
      <w:r>
        <w:rPr>
          <w:rStyle w:val="15"/>
          <w:rFonts w:hint="eastAsia" w:ascii="仿宋" w:hAnsi="仿宋" w:eastAsia="仿宋"/>
          <w:b w:val="0"/>
          <w:bCs w:val="0"/>
          <w:color w:val="000000"/>
          <w:sz w:val="32"/>
          <w:szCs w:val="32"/>
        </w:rPr>
        <w:t>农村人畜饮水（35）</w:t>
      </w:r>
      <w:r>
        <w:rPr>
          <w:rFonts w:hint="eastAsia" w:ascii="仿宋_GB2312" w:eastAsia="仿宋_GB2312"/>
          <w:b w:val="0"/>
          <w:bCs w:val="0"/>
          <w:color w:val="000000"/>
          <w:sz w:val="32"/>
          <w:szCs w:val="32"/>
        </w:rPr>
        <w:t>：</w:t>
      </w:r>
      <w:r>
        <w:rPr>
          <w:rFonts w:hint="eastAsia" w:ascii="仿宋_GB2312" w:eastAsia="仿宋_GB2312"/>
          <w:b w:val="0"/>
          <w:bCs w:val="0"/>
          <w:color w:val="000000"/>
          <w:sz w:val="32"/>
          <w:szCs w:val="32"/>
          <w:lang w:eastAsia="zh-CN"/>
        </w:rPr>
        <w:t>指</w:t>
      </w:r>
      <w:r>
        <w:rPr>
          <w:rFonts w:hint="eastAsia" w:eastAsia="仿宋_GB2312"/>
          <w:b w:val="0"/>
          <w:bCs w:val="0"/>
          <w:sz w:val="32"/>
          <w:szCs w:val="32"/>
          <w:lang w:eastAsia="zh-CN"/>
        </w:rPr>
        <w:t>反映用于农村人畜饮水工程建设等方面的支出</w:t>
      </w:r>
      <w:r>
        <w:rPr>
          <w:rFonts w:hint="eastAsia" w:ascii="仿宋_GB2312" w:eastAsia="仿宋_GB2312"/>
          <w:b w:val="0"/>
          <w:bCs w:val="0"/>
          <w:color w:val="000000"/>
          <w:sz w:val="32"/>
          <w:szCs w:val="32"/>
        </w:rPr>
        <w:t>。</w:t>
      </w:r>
    </w:p>
    <w:p>
      <w:pPr>
        <w:ind w:firstLine="640" w:firstLineChars="200"/>
        <w:rPr>
          <w:rFonts w:ascii="仿宋_GB2312" w:eastAsia="仿宋_GB2312"/>
          <w:b w:val="0"/>
          <w:bCs w:val="0"/>
          <w:color w:val="000000"/>
          <w:sz w:val="32"/>
          <w:szCs w:val="32"/>
        </w:rPr>
      </w:pPr>
      <w:r>
        <w:rPr>
          <w:rFonts w:ascii="仿宋_GB2312" w:eastAsia="仿宋_GB2312"/>
          <w:b w:val="0"/>
          <w:bCs w:val="0"/>
          <w:color w:val="000000"/>
          <w:sz w:val="32"/>
          <w:szCs w:val="32"/>
        </w:rPr>
        <w:t>21.</w:t>
      </w:r>
      <w:r>
        <w:rPr>
          <w:rFonts w:hint="eastAsia" w:ascii="仿宋" w:hAnsi="仿宋" w:eastAsia="仿宋"/>
          <w:b w:val="0"/>
          <w:bCs w:val="0"/>
          <w:color w:val="000000" w:themeColor="text1"/>
          <w:sz w:val="32"/>
          <w:szCs w:val="32"/>
          <w14:textFill>
            <w14:solidFill>
              <w14:schemeClr w14:val="tx1"/>
            </w14:solidFill>
          </w14:textFill>
        </w:rPr>
        <w:t>农林水支出</w:t>
      </w:r>
      <w:r>
        <w:rPr>
          <w:rStyle w:val="15"/>
          <w:rFonts w:hint="eastAsia" w:ascii="仿宋" w:hAnsi="仿宋" w:eastAsia="仿宋"/>
          <w:b w:val="0"/>
          <w:bCs w:val="0"/>
          <w:color w:val="000000"/>
          <w:sz w:val="32"/>
          <w:szCs w:val="32"/>
        </w:rPr>
        <w:t>（213）水利</w:t>
      </w:r>
      <w:r>
        <w:rPr>
          <w:rFonts w:hint="eastAsia" w:ascii="仿宋" w:hAnsi="仿宋" w:eastAsia="仿宋"/>
          <w:b w:val="0"/>
          <w:bCs w:val="0"/>
          <w:color w:val="000000" w:themeColor="text1"/>
          <w:sz w:val="32"/>
          <w:szCs w:val="32"/>
          <w14:textFill>
            <w14:solidFill>
              <w14:schemeClr w14:val="tx1"/>
            </w14:solidFill>
          </w14:textFill>
        </w:rPr>
        <w:t>（03）其他水利支出</w:t>
      </w:r>
      <w:r>
        <w:rPr>
          <w:rStyle w:val="15"/>
          <w:rFonts w:hint="eastAsia" w:ascii="仿宋" w:hAnsi="仿宋" w:eastAsia="仿宋"/>
          <w:b w:val="0"/>
          <w:bCs w:val="0"/>
          <w:color w:val="000000"/>
          <w:sz w:val="32"/>
          <w:szCs w:val="32"/>
        </w:rPr>
        <w:t>（99）</w:t>
      </w:r>
      <w:r>
        <w:rPr>
          <w:rFonts w:hint="eastAsia" w:ascii="仿宋_GB2312" w:eastAsia="仿宋_GB2312"/>
          <w:b w:val="0"/>
          <w:bCs w:val="0"/>
          <w:color w:val="000000"/>
          <w:sz w:val="32"/>
          <w:szCs w:val="32"/>
        </w:rPr>
        <w:t>：指</w:t>
      </w:r>
      <w:r>
        <w:rPr>
          <w:rFonts w:hint="eastAsia" w:eastAsia="仿宋_GB2312"/>
          <w:b w:val="0"/>
          <w:bCs w:val="0"/>
          <w:sz w:val="32"/>
          <w:szCs w:val="32"/>
          <w:lang w:eastAsia="zh-CN"/>
        </w:rPr>
        <w:t>反映除上述项目以外其他用于水利方面的支出</w:t>
      </w:r>
      <w:r>
        <w:rPr>
          <w:rFonts w:hint="eastAsia" w:ascii="仿宋_GB2312" w:eastAsia="仿宋_GB2312"/>
          <w:b w:val="0"/>
          <w:bCs w:val="0"/>
          <w:color w:val="000000"/>
          <w:sz w:val="32"/>
          <w:szCs w:val="32"/>
        </w:rPr>
        <w:t>。</w:t>
      </w:r>
    </w:p>
    <w:p>
      <w:pPr>
        <w:ind w:firstLine="640" w:firstLineChars="200"/>
        <w:rPr>
          <w:rFonts w:ascii="仿宋_GB2312" w:eastAsia="仿宋_GB2312"/>
          <w:b w:val="0"/>
          <w:bCs w:val="0"/>
          <w:color w:val="000000"/>
          <w:sz w:val="32"/>
          <w:szCs w:val="32"/>
        </w:rPr>
      </w:pPr>
      <w:r>
        <w:rPr>
          <w:rFonts w:ascii="仿宋_GB2312" w:eastAsia="仿宋_GB2312"/>
          <w:b w:val="0"/>
          <w:bCs w:val="0"/>
          <w:color w:val="000000"/>
          <w:sz w:val="32"/>
          <w:szCs w:val="32"/>
        </w:rPr>
        <w:t>22.</w:t>
      </w:r>
      <w:r>
        <w:rPr>
          <w:rFonts w:hint="eastAsia" w:ascii="仿宋" w:hAnsi="仿宋" w:eastAsia="仿宋" w:cs="Times New Roman"/>
          <w:b w:val="0"/>
          <w:bCs w:val="0"/>
          <w:color w:val="000000" w:themeColor="text1"/>
          <w:sz w:val="32"/>
          <w:szCs w:val="32"/>
          <w:lang w:eastAsia="zh-CN"/>
          <w14:textFill>
            <w14:solidFill>
              <w14:schemeClr w14:val="tx1"/>
            </w14:solidFill>
          </w14:textFill>
        </w:rPr>
        <w:t>农林水</w:t>
      </w:r>
      <w:r>
        <w:rPr>
          <w:rStyle w:val="15"/>
          <w:rFonts w:hint="eastAsia" w:ascii="仿宋" w:hAnsi="仿宋" w:eastAsia="仿宋"/>
          <w:b w:val="0"/>
          <w:bCs w:val="0"/>
          <w:color w:val="000000"/>
          <w:sz w:val="32"/>
          <w:szCs w:val="32"/>
        </w:rPr>
        <w:t>（213）</w:t>
      </w:r>
      <w:r>
        <w:rPr>
          <w:rFonts w:hint="eastAsia" w:ascii="仿宋" w:hAnsi="仿宋" w:eastAsia="仿宋"/>
          <w:b w:val="0"/>
          <w:bCs w:val="0"/>
          <w:color w:val="000000" w:themeColor="text1"/>
          <w:sz w:val="32"/>
          <w:szCs w:val="32"/>
          <w14:textFill>
            <w14:solidFill>
              <w14:schemeClr w14:val="tx1"/>
            </w14:solidFill>
          </w14:textFill>
        </w:rPr>
        <w:t>扶贫（05）农村基层设施建设</w:t>
      </w:r>
      <w:r>
        <w:rPr>
          <w:rStyle w:val="15"/>
          <w:rFonts w:hint="eastAsia" w:ascii="仿宋" w:hAnsi="仿宋" w:eastAsia="仿宋"/>
          <w:b w:val="0"/>
          <w:bCs w:val="0"/>
          <w:color w:val="000000"/>
          <w:sz w:val="32"/>
          <w:szCs w:val="32"/>
        </w:rPr>
        <w:t>（04）</w:t>
      </w:r>
      <w:r>
        <w:rPr>
          <w:rFonts w:hint="eastAsia" w:ascii="仿宋_GB2312" w:eastAsia="仿宋_GB2312"/>
          <w:b w:val="0"/>
          <w:bCs w:val="0"/>
          <w:color w:val="000000"/>
          <w:sz w:val="32"/>
          <w:szCs w:val="32"/>
        </w:rPr>
        <w:t>：指</w:t>
      </w:r>
      <w:r>
        <w:rPr>
          <w:rFonts w:hint="eastAsia" w:eastAsia="仿宋_GB2312"/>
          <w:b w:val="0"/>
          <w:bCs w:val="0"/>
          <w:sz w:val="32"/>
          <w:szCs w:val="32"/>
          <w:lang w:eastAsia="zh-CN"/>
        </w:rPr>
        <w:t>反映用于农村贫困地区乡村道路、住房、基本农田、水利设施、人畜饮水、生态环境保护等生产生活条件改善方面的支出</w:t>
      </w:r>
      <w:r>
        <w:rPr>
          <w:rFonts w:hint="eastAsia" w:ascii="仿宋_GB2312" w:eastAsia="仿宋_GB2312"/>
          <w:b w:val="0"/>
          <w:bCs w:val="0"/>
          <w:color w:val="000000"/>
          <w:sz w:val="32"/>
          <w:szCs w:val="32"/>
        </w:rPr>
        <w:t>。</w:t>
      </w:r>
    </w:p>
    <w:p>
      <w:pPr>
        <w:ind w:firstLine="640" w:firstLineChars="200"/>
        <w:rPr>
          <w:rFonts w:ascii="仿宋_GB2312" w:eastAsia="仿宋_GB2312"/>
          <w:b w:val="0"/>
          <w:bCs w:val="0"/>
          <w:color w:val="000000"/>
          <w:sz w:val="32"/>
          <w:szCs w:val="32"/>
        </w:rPr>
      </w:pPr>
      <w:r>
        <w:rPr>
          <w:rFonts w:ascii="仿宋_GB2312" w:eastAsia="仿宋_GB2312"/>
          <w:b w:val="0"/>
          <w:bCs w:val="0"/>
          <w:color w:val="000000"/>
          <w:sz w:val="32"/>
          <w:szCs w:val="32"/>
        </w:rPr>
        <w:t>23.</w:t>
      </w:r>
      <w:r>
        <w:rPr>
          <w:rFonts w:hint="eastAsia" w:ascii="仿宋" w:hAnsi="仿宋" w:eastAsia="仿宋" w:cs="Times New Roman"/>
          <w:b w:val="0"/>
          <w:bCs w:val="0"/>
          <w:color w:val="000000" w:themeColor="text1"/>
          <w:sz w:val="32"/>
          <w:szCs w:val="32"/>
          <w:lang w:eastAsia="zh-CN"/>
          <w14:textFill>
            <w14:solidFill>
              <w14:schemeClr w14:val="tx1"/>
            </w14:solidFill>
          </w14:textFill>
        </w:rPr>
        <w:t>农林水</w:t>
      </w:r>
      <w:r>
        <w:rPr>
          <w:rStyle w:val="15"/>
          <w:rFonts w:hint="eastAsia" w:ascii="仿宋" w:hAnsi="仿宋" w:eastAsia="仿宋"/>
          <w:b w:val="0"/>
          <w:bCs w:val="0"/>
          <w:color w:val="000000"/>
          <w:sz w:val="32"/>
          <w:szCs w:val="32"/>
        </w:rPr>
        <w:t>（213）</w:t>
      </w:r>
      <w:r>
        <w:rPr>
          <w:rFonts w:hint="eastAsia" w:ascii="仿宋" w:hAnsi="仿宋" w:eastAsia="仿宋"/>
          <w:b w:val="0"/>
          <w:bCs w:val="0"/>
          <w:color w:val="000000" w:themeColor="text1"/>
          <w:sz w:val="32"/>
          <w:szCs w:val="32"/>
          <w14:textFill>
            <w14:solidFill>
              <w14:schemeClr w14:val="tx1"/>
            </w14:solidFill>
          </w14:textFill>
        </w:rPr>
        <w:t>其他农林水支出（99）其他农林水支出</w:t>
      </w:r>
      <w:r>
        <w:rPr>
          <w:rStyle w:val="15"/>
          <w:rFonts w:hint="eastAsia" w:ascii="仿宋" w:hAnsi="仿宋" w:eastAsia="仿宋"/>
          <w:b w:val="0"/>
          <w:bCs w:val="0"/>
          <w:color w:val="000000"/>
          <w:sz w:val="32"/>
          <w:szCs w:val="32"/>
        </w:rPr>
        <w:t>（99）</w:t>
      </w:r>
      <w:r>
        <w:rPr>
          <w:rFonts w:hint="eastAsia" w:ascii="仿宋_GB2312" w:eastAsia="仿宋_GB2312"/>
          <w:b w:val="0"/>
          <w:bCs w:val="0"/>
          <w:color w:val="000000"/>
          <w:sz w:val="32"/>
          <w:szCs w:val="32"/>
        </w:rPr>
        <w:t>：指</w:t>
      </w:r>
      <w:r>
        <w:rPr>
          <w:rFonts w:hint="eastAsia" w:eastAsia="仿宋_GB2312"/>
          <w:b w:val="0"/>
          <w:bCs w:val="0"/>
          <w:sz w:val="32"/>
          <w:szCs w:val="32"/>
          <w:lang w:eastAsia="zh-CN"/>
        </w:rPr>
        <w:t>反映除化解债务支出以外其他用于农林水方面的支出</w:t>
      </w:r>
      <w:r>
        <w:rPr>
          <w:rFonts w:hint="eastAsia" w:ascii="仿宋_GB2312" w:eastAsia="仿宋_GB2312"/>
          <w:b w:val="0"/>
          <w:bCs w:val="0"/>
          <w:color w:val="000000"/>
          <w:sz w:val="32"/>
          <w:szCs w:val="32"/>
        </w:rPr>
        <w:t>。</w:t>
      </w:r>
    </w:p>
    <w:p>
      <w:pPr>
        <w:ind w:firstLine="640" w:firstLineChars="200"/>
        <w:rPr>
          <w:rFonts w:hint="eastAsia" w:ascii="仿宋" w:hAnsi="仿宋" w:eastAsia="仿宋"/>
          <w:b w:val="0"/>
          <w:bCs w:val="0"/>
          <w:color w:val="000000"/>
          <w:sz w:val="32"/>
          <w:szCs w:val="32"/>
        </w:rPr>
      </w:pPr>
      <w:r>
        <w:rPr>
          <w:rFonts w:ascii="仿宋_GB2312" w:eastAsia="仿宋_GB2312"/>
          <w:b w:val="0"/>
          <w:bCs w:val="0"/>
          <w:color w:val="000000"/>
          <w:sz w:val="32"/>
          <w:szCs w:val="32"/>
        </w:rPr>
        <w:t>24.</w:t>
      </w:r>
      <w:r>
        <w:rPr>
          <w:rFonts w:hint="eastAsia" w:ascii="仿宋" w:hAnsi="仿宋" w:eastAsia="仿宋"/>
          <w:b w:val="0"/>
          <w:bCs w:val="0"/>
          <w:color w:val="000000" w:themeColor="text1"/>
          <w:sz w:val="32"/>
          <w:szCs w:val="32"/>
          <w14:textFill>
            <w14:solidFill>
              <w14:schemeClr w14:val="tx1"/>
            </w14:solidFill>
          </w14:textFill>
        </w:rPr>
        <w:t>住房保障支出</w:t>
      </w:r>
      <w:r>
        <w:rPr>
          <w:rStyle w:val="15"/>
          <w:rFonts w:hint="eastAsia" w:ascii="仿宋" w:hAnsi="仿宋" w:eastAsia="仿宋"/>
          <w:b w:val="0"/>
          <w:bCs w:val="0"/>
          <w:color w:val="000000"/>
          <w:sz w:val="32"/>
          <w:szCs w:val="32"/>
        </w:rPr>
        <w:t>（221）住房改革支出</w:t>
      </w:r>
      <w:r>
        <w:rPr>
          <w:rFonts w:hint="eastAsia" w:ascii="仿宋" w:hAnsi="仿宋" w:eastAsia="仿宋"/>
          <w:b w:val="0"/>
          <w:bCs w:val="0"/>
          <w:color w:val="000000" w:themeColor="text1"/>
          <w:sz w:val="32"/>
          <w:szCs w:val="32"/>
          <w14:textFill>
            <w14:solidFill>
              <w14:schemeClr w14:val="tx1"/>
            </w14:solidFill>
          </w14:textFill>
        </w:rPr>
        <w:t>（02）</w:t>
      </w:r>
      <w:r>
        <w:rPr>
          <w:rStyle w:val="15"/>
          <w:rFonts w:hint="eastAsia" w:ascii="仿宋" w:hAnsi="仿宋" w:eastAsia="仿宋"/>
          <w:b w:val="0"/>
          <w:bCs w:val="0"/>
          <w:color w:val="000000"/>
          <w:sz w:val="32"/>
          <w:szCs w:val="32"/>
        </w:rPr>
        <w:t>住房公积金（01）</w:t>
      </w:r>
      <w:r>
        <w:rPr>
          <w:rFonts w:hint="eastAsia" w:ascii="仿宋_GB2312" w:eastAsia="仿宋_GB2312"/>
          <w:b w:val="0"/>
          <w:bCs w:val="0"/>
          <w:color w:val="000000"/>
          <w:sz w:val="32"/>
          <w:szCs w:val="32"/>
        </w:rPr>
        <w:t>：指</w:t>
      </w:r>
      <w:r>
        <w:rPr>
          <w:rFonts w:hint="eastAsia" w:eastAsia="仿宋_GB2312"/>
          <w:b w:val="0"/>
          <w:bCs w:val="0"/>
          <w:sz w:val="32"/>
          <w:szCs w:val="32"/>
          <w:lang w:eastAsia="zh-CN"/>
        </w:rPr>
        <w:t>反映行政事业单位按人力资源和社会保障部、财政部规定的基本工资和津贴补贴以及规定比例为职工缴纳的住房公积金</w:t>
      </w:r>
      <w:r>
        <w:rPr>
          <w:rFonts w:hint="eastAsia" w:ascii="仿宋_GB2312" w:eastAsia="仿宋_GB2312"/>
          <w:b w:val="0"/>
          <w:bCs w:val="0"/>
          <w:color w:val="000000"/>
          <w:sz w:val="32"/>
          <w:szCs w:val="32"/>
        </w:rPr>
        <w:t>。</w:t>
      </w:r>
    </w:p>
    <w:p>
      <w:pPr>
        <w:ind w:firstLine="640" w:firstLineChars="200"/>
        <w:rPr>
          <w:rFonts w:ascii="仿宋_GB2312" w:eastAsia="仿宋_GB2312"/>
          <w:color w:val="000000"/>
          <w:sz w:val="32"/>
          <w:szCs w:val="32"/>
        </w:rPr>
      </w:pPr>
      <w:r>
        <w:rPr>
          <w:rFonts w:ascii="仿宋_GB2312" w:eastAsia="仿宋_GB2312"/>
          <w:b w:val="0"/>
          <w:bCs w:val="0"/>
          <w:color w:val="000000"/>
          <w:sz w:val="32"/>
          <w:szCs w:val="32"/>
        </w:rPr>
        <w:t>2</w:t>
      </w:r>
      <w:r>
        <w:rPr>
          <w:rFonts w:hint="eastAsia" w:ascii="仿宋_GB2312" w:eastAsia="仿宋_GB2312"/>
          <w:b w:val="0"/>
          <w:bCs w:val="0"/>
          <w:color w:val="000000"/>
          <w:sz w:val="32"/>
          <w:szCs w:val="32"/>
          <w:lang w:val="en-US" w:eastAsia="zh-CN"/>
        </w:rPr>
        <w:t>5</w:t>
      </w:r>
      <w:r>
        <w:rPr>
          <w:rFonts w:ascii="仿宋_GB2312" w:eastAsia="仿宋_GB2312"/>
          <w:b w:val="0"/>
          <w:bCs w:val="0"/>
          <w:color w:val="000000"/>
          <w:sz w:val="32"/>
          <w:szCs w:val="32"/>
        </w:rPr>
        <w:t>.</w:t>
      </w:r>
      <w:r>
        <w:rPr>
          <w:rFonts w:hint="eastAsia" w:ascii="仿宋_GB2312" w:eastAsia="仿宋_GB2312"/>
          <w:b w:val="0"/>
          <w:bCs w:val="0"/>
          <w:color w:val="000000"/>
          <w:sz w:val="32"/>
          <w:szCs w:val="32"/>
        </w:rPr>
        <w:t>基本支出：指为保障机构正常运转、完成日常工作</w:t>
      </w:r>
      <w:r>
        <w:rPr>
          <w:rFonts w:hint="eastAsia" w:ascii="仿宋_GB2312" w:eastAsia="仿宋_GB2312"/>
          <w:color w:val="000000"/>
          <w:sz w:val="32"/>
          <w:szCs w:val="32"/>
        </w:rPr>
        <w:t>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6</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0"/>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adjustRightInd w:val="0"/>
        <w:snapToGrid w:val="0"/>
        <w:spacing w:line="600" w:lineRule="exact"/>
        <w:ind w:firstLine="720"/>
        <w:rPr>
          <w:rFonts w:ascii="仿宋_GB2312" w:eastAsia="仿宋_GB2312"/>
          <w:sz w:val="32"/>
          <w:szCs w:val="32"/>
        </w:rPr>
      </w:pPr>
      <w:r>
        <w:rPr>
          <w:rFonts w:hint="eastAsia" w:ascii="仿宋_GB2312" w:eastAsia="仿宋_GB2312"/>
          <w:sz w:val="32"/>
          <w:szCs w:val="32"/>
          <w:lang w:val="en-US" w:eastAsia="zh-CN"/>
        </w:rPr>
        <w:t>29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0"/>
        <w:spacing w:line="560" w:lineRule="exact"/>
        <w:ind w:firstLine="640" w:firstLineChars="200"/>
        <w:rPr>
          <w:rFonts w:ascii="仿宋_GB2312" w:eastAsia="仿宋_GB2312" w:cs="黑体"/>
          <w:sz w:val="32"/>
          <w:szCs w:val="32"/>
        </w:rPr>
      </w:pPr>
    </w:p>
    <w:p>
      <w:pPr>
        <w:spacing w:line="600" w:lineRule="exact"/>
        <w:jc w:val="center"/>
        <w:outlineLvl w:val="0"/>
        <w:rPr>
          <w:rStyle w:val="17"/>
          <w:rFonts w:ascii="黑体" w:hAnsi="黑体" w:eastAsia="黑体"/>
          <w:b w:val="0"/>
        </w:rPr>
      </w:pPr>
      <w:bookmarkStart w:id="176" w:name="_Toc15377226"/>
      <w:r>
        <w:rPr>
          <w:rFonts w:ascii="宋体"/>
          <w:b/>
          <w:color w:val="000000"/>
          <w:sz w:val="44"/>
          <w:szCs w:val="44"/>
        </w:rPr>
        <w:br w:type="page"/>
      </w:r>
      <w:bookmarkStart w:id="177" w:name="_Toc15396614"/>
      <w:bookmarkStart w:id="178" w:name="_Toc15093"/>
      <w:bookmarkStart w:id="179" w:name="_Toc9271"/>
      <w:bookmarkStart w:id="180" w:name="_Toc1389"/>
      <w:bookmarkStart w:id="181" w:name="_Toc19563"/>
      <w:bookmarkStart w:id="182" w:name="_Toc20490"/>
      <w:bookmarkStart w:id="183" w:name="_Toc31202"/>
      <w:bookmarkStart w:id="184" w:name="_Toc8272"/>
      <w:r>
        <w:rPr>
          <w:rFonts w:hint="eastAsia" w:ascii="黑体" w:hAnsi="黑体" w:eastAsia="黑体"/>
          <w:color w:val="000000"/>
          <w:sz w:val="44"/>
          <w:szCs w:val="44"/>
        </w:rPr>
        <w:t>第</w:t>
      </w:r>
      <w:r>
        <w:rPr>
          <w:rStyle w:val="17"/>
          <w:rFonts w:hint="eastAsia" w:ascii="黑体" w:hAnsi="黑体" w:eastAsia="黑体"/>
          <w:b w:val="0"/>
        </w:rPr>
        <w:t>四部分 附件</w:t>
      </w:r>
      <w:bookmarkEnd w:id="177"/>
      <w:bookmarkEnd w:id="178"/>
      <w:bookmarkEnd w:id="179"/>
      <w:bookmarkEnd w:id="180"/>
      <w:bookmarkEnd w:id="181"/>
      <w:bookmarkEnd w:id="182"/>
      <w:bookmarkEnd w:id="183"/>
      <w:bookmarkEnd w:id="184"/>
    </w:p>
    <w:p>
      <w:pPr>
        <w:spacing w:line="600" w:lineRule="exact"/>
        <w:jc w:val="left"/>
        <w:outlineLvl w:val="0"/>
        <w:rPr>
          <w:rFonts w:ascii="方正小标宋简体" w:hAnsi="方正小标宋简体" w:eastAsia="方正小标宋简体" w:cs="方正小标宋简体"/>
          <w:sz w:val="44"/>
          <w:szCs w:val="44"/>
        </w:rPr>
      </w:pPr>
      <w:bookmarkStart w:id="185" w:name="_Toc28892"/>
      <w:bookmarkStart w:id="186" w:name="_Toc26478"/>
      <w:bookmarkStart w:id="187" w:name="_Toc27482"/>
      <w:bookmarkStart w:id="188" w:name="_Toc5703"/>
      <w:bookmarkStart w:id="189" w:name="_Toc30088"/>
      <w:bookmarkStart w:id="190" w:name="_Toc14818"/>
      <w:bookmarkStart w:id="191" w:name="_Toc10646"/>
      <w:r>
        <w:rPr>
          <w:rFonts w:hint="eastAsia" w:ascii="黑体" w:hAnsi="黑体" w:eastAsia="黑体" w:cs="黑体"/>
          <w:sz w:val="32"/>
          <w:szCs w:val="32"/>
        </w:rPr>
        <w:t>附件1</w:t>
      </w:r>
      <w:bookmarkEnd w:id="185"/>
      <w:bookmarkEnd w:id="186"/>
      <w:bookmarkEnd w:id="187"/>
      <w:bookmarkEnd w:id="188"/>
      <w:bookmarkEnd w:id="189"/>
      <w:bookmarkEnd w:id="190"/>
      <w:bookmarkEnd w:id="191"/>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rPr>
        <w:t>九寨沟县水务局</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w:t>
      </w:r>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val="zh-CN"/>
        </w:rPr>
        <w:t>绩效</w:t>
      </w:r>
      <w:r>
        <w:rPr>
          <w:rFonts w:hint="eastAsia" w:ascii="方正小标宋简体" w:hAnsi="宋体" w:eastAsia="方正小标宋简体"/>
          <w:color w:val="000000"/>
          <w:kern w:val="0"/>
          <w:sz w:val="40"/>
          <w:szCs w:val="44"/>
          <w:lang w:val="zh-CN"/>
        </w:rPr>
        <w:tab/>
      </w:r>
      <w:r>
        <w:rPr>
          <w:rFonts w:hint="eastAsia" w:ascii="方正小标宋简体" w:hAnsi="宋体" w:eastAsia="方正小标宋简体"/>
          <w:color w:val="000000"/>
          <w:kern w:val="0"/>
          <w:sz w:val="40"/>
          <w:szCs w:val="44"/>
          <w:lang w:val="zh-CN"/>
        </w:rPr>
        <w:t>评价报告</w:t>
      </w:r>
    </w:p>
    <w:p>
      <w:pPr>
        <w:widowControl/>
        <w:spacing w:line="580" w:lineRule="exact"/>
        <w:ind w:firstLine="640" w:firstLineChars="200"/>
        <w:contextualSpacing/>
        <w:jc w:val="center"/>
        <w:rPr>
          <w:rFonts w:ascii="黑体" w:hAnsi="宋体" w:eastAsia="黑体" w:cs="宋体"/>
          <w:color w:val="000000"/>
          <w:kern w:val="0"/>
          <w:sz w:val="24"/>
          <w:szCs w:val="32"/>
          <w:shd w:val="clear" w:color="auto" w:fill="FFFFFF"/>
        </w:rPr>
      </w:pPr>
      <w:r>
        <w:rPr>
          <w:rFonts w:hint="eastAsia" w:ascii="仿宋_GB2312" w:hAnsi="宋体" w:eastAsia="仿宋_GB2312"/>
          <w:sz w:val="32"/>
          <w:szCs w:val="32"/>
          <w:shd w:val="clear" w:color="auto" w:fill="FFFFFF"/>
        </w:rPr>
        <w:t>（报告范围包括机关和下属单位）</w:t>
      </w:r>
    </w:p>
    <w:p>
      <w:pPr>
        <w:widowControl/>
        <w:adjustRightInd w:val="0"/>
        <w:snapToGrid w:val="0"/>
        <w:spacing w:line="580" w:lineRule="exact"/>
        <w:ind w:firstLine="640" w:firstLineChars="200"/>
        <w:contextualSpacing/>
        <w:jc w:val="left"/>
        <w:outlineLvl w:val="9"/>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spacing w:line="500" w:lineRule="exact"/>
        <w:ind w:firstLine="643" w:firstLineChars="200"/>
        <w:outlineLvl w:val="9"/>
        <w:rPr>
          <w:rFonts w:hint="eastAsia" w:ascii="楷体" w:hAnsi="楷体" w:eastAsia="楷体" w:cs="楷体"/>
          <w:b/>
          <w:bCs/>
          <w:color w:val="000000"/>
          <w:sz w:val="32"/>
          <w:szCs w:val="32"/>
          <w:shd w:val="clear" w:color="auto" w:fill="FFFFFF"/>
          <w:lang w:val="zh-CN"/>
        </w:rPr>
      </w:pPr>
      <w:bookmarkStart w:id="192" w:name="_Toc2807"/>
      <w:r>
        <w:rPr>
          <w:rFonts w:hint="eastAsia" w:ascii="楷体" w:hAnsi="楷体" w:eastAsia="楷体" w:cs="楷体"/>
          <w:b/>
          <w:bCs/>
          <w:color w:val="000000"/>
          <w:sz w:val="32"/>
          <w:szCs w:val="32"/>
          <w:shd w:val="clear" w:color="auto" w:fill="FFFFFF"/>
          <w:lang w:val="zh-CN"/>
        </w:rPr>
        <w:t>（一）机构组成。</w:t>
      </w:r>
      <w:bookmarkEnd w:id="192"/>
    </w:p>
    <w:p>
      <w:pPr>
        <w:pStyle w:val="20"/>
        <w:spacing w:line="560" w:lineRule="exact"/>
        <w:ind w:firstLine="640" w:firstLineChars="200"/>
        <w:rPr>
          <w:rFonts w:hAnsi="宋体" w:cs="宋体"/>
          <w:color w:val="000000"/>
          <w:sz w:val="32"/>
          <w:szCs w:val="32"/>
          <w:shd w:val="clear" w:color="auto" w:fill="FFFFFF"/>
          <w:lang w:val="zh-CN"/>
        </w:rPr>
      </w:pPr>
      <w:r>
        <w:rPr>
          <w:rFonts w:hint="eastAsia" w:ascii="仿宋" w:hAnsi="仿宋" w:eastAsia="仿宋" w:cs="仿宋"/>
          <w:kern w:val="2"/>
          <w:sz w:val="32"/>
          <w:szCs w:val="32"/>
        </w:rPr>
        <w:t>九寨沟县水务局（简称县水务局）是九寨沟县人民政府工作部门，为正科级。内设行政股室2个：综合股、规划建设股。事业场站6个。</w:t>
      </w:r>
    </w:p>
    <w:p>
      <w:pPr>
        <w:spacing w:line="500" w:lineRule="exact"/>
        <w:ind w:firstLine="640" w:firstLineChars="200"/>
        <w:outlineLvl w:val="9"/>
        <w:rPr>
          <w:rFonts w:hint="eastAsia" w:ascii="楷体" w:hAnsi="楷体" w:eastAsia="楷体" w:cs="楷体"/>
          <w:color w:val="000000"/>
          <w:kern w:val="0"/>
          <w:sz w:val="32"/>
          <w:szCs w:val="32"/>
          <w:shd w:val="clear" w:color="auto" w:fill="FFFFFF"/>
          <w:lang w:val="zh-CN"/>
        </w:rPr>
      </w:pPr>
      <w:bookmarkStart w:id="193" w:name="_Toc9382"/>
      <w:r>
        <w:rPr>
          <w:rFonts w:hint="eastAsia" w:ascii="楷体" w:hAnsi="楷体" w:eastAsia="楷体" w:cs="楷体"/>
          <w:color w:val="000000"/>
          <w:sz w:val="32"/>
          <w:szCs w:val="32"/>
          <w:shd w:val="clear" w:color="auto" w:fill="FFFFFF"/>
          <w:lang w:val="zh-CN"/>
        </w:rPr>
        <w:t>（</w:t>
      </w:r>
      <w:r>
        <w:rPr>
          <w:rFonts w:hint="eastAsia" w:ascii="楷体" w:hAnsi="楷体" w:eastAsia="楷体" w:cs="楷体"/>
          <w:b/>
          <w:bCs/>
          <w:color w:val="000000"/>
          <w:sz w:val="32"/>
          <w:szCs w:val="32"/>
          <w:shd w:val="clear" w:color="auto" w:fill="FFFFFF"/>
          <w:lang w:val="zh-CN"/>
        </w:rPr>
        <w:t>二）</w:t>
      </w:r>
      <w:r>
        <w:rPr>
          <w:rFonts w:hint="eastAsia" w:ascii="楷体" w:hAnsi="楷体" w:eastAsia="楷体" w:cs="楷体"/>
          <w:b/>
          <w:bCs/>
          <w:color w:val="000000"/>
          <w:kern w:val="0"/>
          <w:sz w:val="32"/>
          <w:szCs w:val="32"/>
          <w:shd w:val="clear" w:color="auto" w:fill="FFFFFF"/>
          <w:lang w:val="zh-CN"/>
        </w:rPr>
        <w:t>机构职能。</w:t>
      </w:r>
      <w:bookmarkEnd w:id="193"/>
    </w:p>
    <w:p>
      <w:pPr>
        <w:pStyle w:val="2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贯彻执行党和国家有关水利工作方针政策和法律法规，拟订全县水利战略规划和政策，起草有关地方性法规和规章草案，组织编制、审查、申报水利综合规划、专业规划、专项规划。负责保障水资源的合理开发利用。</w:t>
      </w:r>
    </w:p>
    <w:p>
      <w:pPr>
        <w:pStyle w:val="2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2、负责生活、生产经营和生态环境用水的统筹和保障。实施最严格水资源管理制度，实施水资源的统一监督管理。</w:t>
      </w:r>
    </w:p>
    <w:p>
      <w:pPr>
        <w:pStyle w:val="2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3、按规定制定水利工程建设有关制度并组织实施，负责提出水利固定资产投资规模、方向、具体安排建议并组织实施，提出水利资金安排建议并负责项目实施的监督管理，按权限指导和组织编制、审核、申报水利基本建设项目建议书、可行性研究报告和初步设计。</w:t>
      </w:r>
    </w:p>
    <w:p>
      <w:pPr>
        <w:pStyle w:val="20"/>
        <w:spacing w:line="560" w:lineRule="exact"/>
        <w:ind w:firstLine="640" w:firstLineChars="200"/>
        <w:rPr>
          <w:rFonts w:ascii="仿宋" w:hAnsi="仿宋" w:eastAsia="仿宋" w:cs="仿宋"/>
          <w:sz w:val="32"/>
          <w:szCs w:val="32"/>
          <w:highlight w:val="yellow"/>
        </w:rPr>
      </w:pPr>
      <w:r>
        <w:rPr>
          <w:rFonts w:hint="eastAsia" w:ascii="仿宋" w:hAnsi="仿宋" w:eastAsia="仿宋" w:cs="仿宋"/>
          <w:sz w:val="32"/>
          <w:szCs w:val="32"/>
        </w:rPr>
        <w:t>4、负责水资源管理和保护工作。</w:t>
      </w:r>
    </w:p>
    <w:p>
      <w:pPr>
        <w:pStyle w:val="2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5、负责节约用水工作。</w:t>
      </w:r>
    </w:p>
    <w:p>
      <w:pPr>
        <w:pStyle w:val="2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6、负责洪水干旱灾害防治。</w:t>
      </w:r>
    </w:p>
    <w:p>
      <w:pPr>
        <w:pStyle w:val="2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7、指导水利设施、水域及其岸线的管理、保护与综合利用。</w:t>
      </w:r>
    </w:p>
    <w:p>
      <w:pPr>
        <w:pStyle w:val="20"/>
        <w:spacing w:line="560" w:lineRule="exact"/>
        <w:ind w:firstLine="640" w:firstLineChars="200"/>
        <w:rPr>
          <w:rFonts w:ascii="仿宋" w:hAnsi="仿宋" w:eastAsia="仿宋" w:cs="仿宋"/>
          <w:sz w:val="32"/>
          <w:szCs w:val="32"/>
          <w:highlight w:val="yellow"/>
        </w:rPr>
      </w:pPr>
      <w:r>
        <w:rPr>
          <w:rFonts w:hint="eastAsia" w:ascii="仿宋" w:hAnsi="仿宋" w:eastAsia="仿宋" w:cs="仿宋"/>
          <w:sz w:val="32"/>
          <w:szCs w:val="32"/>
        </w:rPr>
        <w:t>8、承担全面推行河长制湖长制工作。</w:t>
      </w:r>
    </w:p>
    <w:p>
      <w:pPr>
        <w:pStyle w:val="2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9、负责水土保持工作。</w:t>
      </w:r>
    </w:p>
    <w:p>
      <w:pPr>
        <w:pStyle w:val="2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10、负责农村水利建设工作。</w:t>
      </w:r>
    </w:p>
    <w:p>
      <w:pPr>
        <w:pStyle w:val="2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11、负责落实综合防灾减灾工作。</w:t>
      </w:r>
    </w:p>
    <w:p>
      <w:pPr>
        <w:pStyle w:val="2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12、开展水利科技和教育工作。组织开展水利行业质量监督工作。承担水利统计工作。</w:t>
      </w:r>
    </w:p>
    <w:p>
      <w:pPr>
        <w:pStyle w:val="20"/>
        <w:spacing w:line="560"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 w:hAnsi="仿宋" w:eastAsia="仿宋" w:cs="仿宋"/>
          <w:sz w:val="32"/>
          <w:szCs w:val="32"/>
        </w:rPr>
        <w:t>13、负责职责范围内的水利行业安全生产、职业健康、生态环境保护和审批服务便民化等工作。</w:t>
      </w:r>
    </w:p>
    <w:p>
      <w:pPr>
        <w:spacing w:line="500" w:lineRule="exact"/>
        <w:ind w:firstLine="643" w:firstLineChars="200"/>
        <w:outlineLvl w:val="9"/>
        <w:rPr>
          <w:rFonts w:ascii="仿宋_GB2312" w:hAnsi="宋体" w:eastAsia="仿宋_GB2312" w:cs="宋体"/>
          <w:b/>
          <w:bCs/>
          <w:color w:val="000000"/>
          <w:kern w:val="0"/>
          <w:sz w:val="32"/>
          <w:szCs w:val="32"/>
          <w:shd w:val="clear" w:color="auto" w:fill="FFFFFF"/>
          <w:lang w:val="zh-CN"/>
        </w:rPr>
      </w:pPr>
      <w:bookmarkStart w:id="194" w:name="_Toc3401"/>
      <w:r>
        <w:rPr>
          <w:rFonts w:hint="eastAsia" w:ascii="仿宋_GB2312" w:hAnsi="宋体" w:eastAsia="仿宋_GB2312" w:cs="宋体"/>
          <w:b/>
          <w:bCs/>
          <w:color w:val="000000"/>
          <w:kern w:val="0"/>
          <w:sz w:val="32"/>
          <w:szCs w:val="32"/>
          <w:shd w:val="clear" w:color="auto" w:fill="FFFFFF"/>
          <w:lang w:val="zh-CN"/>
        </w:rPr>
        <w:t>（三）人员概况。</w:t>
      </w:r>
      <w:bookmarkEnd w:id="194"/>
    </w:p>
    <w:p>
      <w:pPr>
        <w:pStyle w:val="20"/>
        <w:spacing w:line="560"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 w:hAnsi="仿宋" w:eastAsia="仿宋" w:cs="仿宋"/>
          <w:sz w:val="32"/>
          <w:szCs w:val="32"/>
          <w:lang w:val="zh-CN"/>
        </w:rPr>
        <w:t>县水务局行政编制5名。其中，局长1名，副局长2名；股级领导职数2名。县水务局事业编制编制</w:t>
      </w:r>
      <w:r>
        <w:rPr>
          <w:rFonts w:hint="eastAsia" w:ascii="仿宋" w:hAnsi="仿宋" w:eastAsia="仿宋" w:cs="仿宋"/>
          <w:sz w:val="32"/>
          <w:szCs w:val="32"/>
        </w:rPr>
        <w:t>22</w:t>
      </w:r>
      <w:r>
        <w:rPr>
          <w:rFonts w:hint="eastAsia" w:ascii="仿宋" w:hAnsi="仿宋" w:eastAsia="仿宋" w:cs="仿宋"/>
          <w:sz w:val="32"/>
          <w:szCs w:val="32"/>
          <w:lang w:val="zh-CN"/>
        </w:rPr>
        <w:t>名。其中：水政水资源站</w:t>
      </w:r>
      <w:r>
        <w:rPr>
          <w:rFonts w:hint="eastAsia" w:ascii="仿宋" w:hAnsi="仿宋" w:eastAsia="仿宋" w:cs="仿宋"/>
          <w:sz w:val="32"/>
          <w:szCs w:val="32"/>
        </w:rPr>
        <w:t>3名、</w:t>
      </w:r>
      <w:r>
        <w:rPr>
          <w:rFonts w:hint="eastAsia" w:ascii="仿宋" w:hAnsi="仿宋" w:eastAsia="仿宋" w:cs="仿宋"/>
          <w:sz w:val="32"/>
          <w:szCs w:val="32"/>
          <w:lang w:val="zh-CN"/>
        </w:rPr>
        <w:t>水旱灾害防治站</w:t>
      </w:r>
      <w:r>
        <w:rPr>
          <w:rFonts w:hint="eastAsia" w:ascii="仿宋" w:hAnsi="仿宋" w:eastAsia="仿宋" w:cs="仿宋"/>
          <w:sz w:val="32"/>
          <w:szCs w:val="32"/>
        </w:rPr>
        <w:t>4名，</w:t>
      </w:r>
      <w:r>
        <w:rPr>
          <w:rFonts w:hint="eastAsia" w:ascii="仿宋" w:hAnsi="仿宋" w:eastAsia="仿宋" w:cs="仿宋"/>
          <w:sz w:val="32"/>
          <w:szCs w:val="32"/>
          <w:lang w:val="zh-CN"/>
        </w:rPr>
        <w:t>水土保持站</w:t>
      </w:r>
      <w:r>
        <w:rPr>
          <w:rFonts w:hint="eastAsia" w:ascii="仿宋" w:hAnsi="仿宋" w:eastAsia="仿宋" w:cs="仿宋"/>
          <w:sz w:val="32"/>
          <w:szCs w:val="32"/>
        </w:rPr>
        <w:t>3名、</w:t>
      </w:r>
      <w:r>
        <w:rPr>
          <w:rFonts w:hint="eastAsia" w:ascii="仿宋" w:hAnsi="仿宋" w:eastAsia="仿宋" w:cs="仿宋"/>
          <w:sz w:val="32"/>
          <w:szCs w:val="32"/>
          <w:lang w:val="zh-CN"/>
        </w:rPr>
        <w:t>农村水利建设站</w:t>
      </w:r>
      <w:r>
        <w:rPr>
          <w:rFonts w:hint="eastAsia" w:ascii="仿宋" w:hAnsi="仿宋" w:eastAsia="仿宋" w:cs="仿宋"/>
          <w:sz w:val="32"/>
          <w:szCs w:val="32"/>
        </w:rPr>
        <w:t>4名、</w:t>
      </w:r>
      <w:r>
        <w:rPr>
          <w:rFonts w:hint="eastAsia" w:ascii="仿宋" w:hAnsi="仿宋" w:eastAsia="仿宋" w:cs="仿宋"/>
          <w:sz w:val="32"/>
          <w:szCs w:val="32"/>
          <w:lang w:val="zh-CN"/>
        </w:rPr>
        <w:t>九寨沟县河湖保护中心</w:t>
      </w:r>
      <w:r>
        <w:rPr>
          <w:rFonts w:hint="eastAsia" w:ascii="仿宋" w:hAnsi="仿宋" w:eastAsia="仿宋" w:cs="仿宋"/>
          <w:sz w:val="32"/>
          <w:szCs w:val="32"/>
        </w:rPr>
        <w:t>3名、</w:t>
      </w:r>
      <w:r>
        <w:rPr>
          <w:rFonts w:hint="eastAsia" w:ascii="仿宋" w:hAnsi="仿宋" w:eastAsia="仿宋" w:cs="仿宋"/>
          <w:sz w:val="32"/>
          <w:szCs w:val="32"/>
          <w:lang w:val="zh-CN"/>
        </w:rPr>
        <w:t>九寨沟县防汛工作中心</w:t>
      </w:r>
      <w:r>
        <w:rPr>
          <w:rFonts w:hint="eastAsia" w:ascii="仿宋" w:hAnsi="仿宋" w:eastAsia="仿宋" w:cs="仿宋"/>
          <w:sz w:val="32"/>
          <w:szCs w:val="32"/>
        </w:rPr>
        <w:t>5名。</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pStyle w:val="20"/>
        <w:spacing w:line="560"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pStyle w:val="20"/>
        <w:spacing w:line="560"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2019年度实际收到的一般公共预算财政拨款收入</w:t>
      </w:r>
      <w:r>
        <w:rPr>
          <w:rFonts w:hint="eastAsia" w:ascii="仿宋" w:hAnsi="仿宋" w:eastAsia="仿宋" w:cs="仿宋"/>
          <w:sz w:val="32"/>
          <w:szCs w:val="32"/>
        </w:rPr>
        <w:t>8908.02万</w:t>
      </w:r>
      <w:r>
        <w:rPr>
          <w:rFonts w:hint="eastAsia" w:ascii="仿宋_GB2312" w:hAnsi="宋体" w:eastAsia="仿宋_GB2312" w:cs="宋体"/>
          <w:color w:val="000000"/>
          <w:kern w:val="0"/>
          <w:sz w:val="32"/>
          <w:szCs w:val="32"/>
          <w:shd w:val="clear" w:color="auto" w:fill="FFFFFF"/>
          <w:lang w:val="zh-CN"/>
        </w:rPr>
        <w:t>元，其中水务中心一般公共预算财政拨款收入</w:t>
      </w:r>
      <w:r>
        <w:rPr>
          <w:rFonts w:hint="eastAsia" w:ascii="仿宋_GB2312" w:hAnsi="宋体" w:eastAsia="仿宋_GB2312" w:cs="宋体"/>
          <w:color w:val="000000"/>
          <w:kern w:val="0"/>
          <w:sz w:val="32"/>
          <w:szCs w:val="32"/>
          <w:shd w:val="clear" w:color="auto" w:fill="FFFFFF"/>
        </w:rPr>
        <w:t>137.21万元，</w:t>
      </w:r>
      <w:r>
        <w:rPr>
          <w:rFonts w:hint="eastAsia" w:ascii="仿宋_GB2312" w:hAnsi="宋体" w:eastAsia="仿宋_GB2312" w:cs="宋体"/>
          <w:color w:val="000000"/>
          <w:kern w:val="0"/>
          <w:sz w:val="32"/>
          <w:szCs w:val="32"/>
          <w:shd w:val="clear" w:color="auto" w:fill="FFFFFF"/>
          <w:lang w:val="zh-CN"/>
        </w:rPr>
        <w:t>财政部门拨款对账单</w:t>
      </w:r>
      <w:r>
        <w:rPr>
          <w:rFonts w:hint="eastAsia" w:ascii="仿宋_GB2312" w:hAnsi="宋体" w:eastAsia="仿宋_GB2312" w:cs="宋体"/>
          <w:color w:val="000000"/>
          <w:kern w:val="0"/>
          <w:sz w:val="32"/>
          <w:szCs w:val="32"/>
          <w:shd w:val="clear" w:color="auto" w:fill="FFFFFF"/>
        </w:rPr>
        <w:t>8908.02</w:t>
      </w:r>
      <w:r>
        <w:rPr>
          <w:rFonts w:hint="eastAsia" w:ascii="仿宋_GB2312" w:hAnsi="宋体" w:eastAsia="仿宋_GB2312" w:cs="宋体"/>
          <w:color w:val="000000"/>
          <w:kern w:val="0"/>
          <w:sz w:val="32"/>
          <w:szCs w:val="32"/>
          <w:shd w:val="clear" w:color="auto" w:fill="FFFFFF"/>
          <w:lang w:val="zh-CN"/>
        </w:rPr>
        <w:t>万元</w:t>
      </w:r>
      <w:r>
        <w:rPr>
          <w:rFonts w:hint="eastAsia" w:ascii="仿宋_GB2312" w:hAnsi="宋体" w:eastAsia="仿宋_GB2312" w:cs="宋体"/>
          <w:color w:val="000000"/>
          <w:kern w:val="0"/>
          <w:sz w:val="32"/>
          <w:szCs w:val="32"/>
          <w:shd w:val="clear" w:color="auto" w:fill="FFFFFF"/>
        </w:rPr>
        <w:t>。</w:t>
      </w:r>
    </w:p>
    <w:p>
      <w:pPr>
        <w:spacing w:line="500" w:lineRule="exact"/>
        <w:ind w:firstLine="640" w:firstLineChars="200"/>
        <w:outlineLvl w:val="9"/>
        <w:rPr>
          <w:rFonts w:ascii="仿宋_GB2312" w:hAnsi="宋体" w:eastAsia="仿宋_GB2312" w:cs="宋体"/>
          <w:color w:val="000000"/>
          <w:kern w:val="0"/>
          <w:sz w:val="32"/>
          <w:szCs w:val="32"/>
          <w:shd w:val="clear" w:color="auto" w:fill="FFFFFF"/>
          <w:lang w:val="zh-CN"/>
        </w:rPr>
      </w:pPr>
      <w:bookmarkStart w:id="195" w:name="_Toc10557"/>
      <w:r>
        <w:rPr>
          <w:rFonts w:hint="eastAsia" w:ascii="仿宋_GB2312" w:hAnsi="宋体" w:eastAsia="仿宋_GB2312" w:cs="宋体"/>
          <w:color w:val="000000"/>
          <w:kern w:val="0"/>
          <w:sz w:val="32"/>
          <w:szCs w:val="32"/>
          <w:shd w:val="clear" w:color="auto" w:fill="FFFFFF"/>
          <w:lang w:val="zh-CN"/>
        </w:rPr>
        <w:t>（二）部门财政资金支出情况。</w:t>
      </w:r>
      <w:bookmarkEnd w:id="195"/>
    </w:p>
    <w:p>
      <w:pPr>
        <w:pStyle w:val="20"/>
        <w:spacing w:line="560"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 w:hAnsi="仿宋" w:eastAsia="仿宋" w:cs="仿宋"/>
          <w:color w:val="000000"/>
          <w:sz w:val="32"/>
          <w:szCs w:val="32"/>
        </w:rPr>
        <w:t>2019年</w:t>
      </w:r>
      <w:r>
        <w:rPr>
          <w:rFonts w:hint="eastAsia" w:ascii="仿宋" w:hAnsi="仿宋" w:eastAsia="仿宋" w:cs="仿宋"/>
          <w:color w:val="000000"/>
          <w:sz w:val="32"/>
          <w:szCs w:val="32"/>
          <w:lang w:val="zh-CN"/>
        </w:rPr>
        <w:t>财政拨款支出</w:t>
      </w:r>
      <w:r>
        <w:rPr>
          <w:rFonts w:hint="eastAsia" w:ascii="仿宋" w:hAnsi="仿宋" w:eastAsia="仿宋" w:cs="仿宋"/>
          <w:color w:val="000000"/>
          <w:sz w:val="32"/>
          <w:szCs w:val="32"/>
        </w:rPr>
        <w:t>9638.93万</w:t>
      </w:r>
      <w:r>
        <w:rPr>
          <w:rFonts w:hint="eastAsia" w:ascii="仿宋" w:hAnsi="仿宋" w:eastAsia="仿宋" w:cs="仿宋"/>
          <w:color w:val="000000"/>
          <w:sz w:val="32"/>
          <w:szCs w:val="32"/>
          <w:lang w:val="zh-CN"/>
        </w:rPr>
        <w:t>元，其中基本支出</w:t>
      </w:r>
      <w:r>
        <w:rPr>
          <w:rFonts w:hint="eastAsia" w:ascii="仿宋" w:hAnsi="仿宋" w:eastAsia="仿宋" w:cs="仿宋"/>
          <w:color w:val="000000"/>
          <w:sz w:val="32"/>
          <w:szCs w:val="32"/>
        </w:rPr>
        <w:t>390.88万</w:t>
      </w:r>
      <w:r>
        <w:rPr>
          <w:rFonts w:hint="eastAsia" w:ascii="仿宋" w:hAnsi="仿宋" w:eastAsia="仿宋" w:cs="仿宋"/>
          <w:color w:val="000000"/>
          <w:sz w:val="32"/>
          <w:szCs w:val="32"/>
          <w:lang w:val="zh-CN"/>
        </w:rPr>
        <w:t>元，项目支出</w:t>
      </w:r>
      <w:r>
        <w:rPr>
          <w:rFonts w:hint="eastAsia" w:ascii="仿宋" w:hAnsi="仿宋" w:eastAsia="仿宋" w:cs="仿宋"/>
          <w:color w:val="000000"/>
          <w:sz w:val="32"/>
          <w:szCs w:val="32"/>
        </w:rPr>
        <w:t>9248.05万</w:t>
      </w:r>
      <w:r>
        <w:rPr>
          <w:rFonts w:hint="eastAsia" w:ascii="仿宋" w:hAnsi="仿宋" w:eastAsia="仿宋" w:cs="仿宋"/>
          <w:color w:val="000000"/>
          <w:sz w:val="32"/>
          <w:szCs w:val="32"/>
          <w:lang w:val="zh-CN"/>
        </w:rPr>
        <w:t>元。</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pStyle w:val="20"/>
        <w:spacing w:line="560"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spacing w:line="500" w:lineRule="exact"/>
        <w:ind w:firstLine="640" w:firstLineChars="200"/>
        <w:outlineLvl w:val="9"/>
        <w:rPr>
          <w:rFonts w:ascii="仿宋_GB2312" w:hAnsi="仿宋_GB2312" w:eastAsia="仿宋_GB2312" w:cs="仿宋_GB2312"/>
          <w:sz w:val="32"/>
          <w:szCs w:val="32"/>
          <w:lang w:val="zh-CN"/>
        </w:rPr>
      </w:pPr>
      <w:bookmarkStart w:id="196" w:name="_Toc12025"/>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zh-CN"/>
        </w:rPr>
        <w:t>预算编制情况。</w:t>
      </w:r>
      <w:bookmarkEnd w:id="196"/>
    </w:p>
    <w:p>
      <w:pPr>
        <w:pStyle w:val="20"/>
        <w:spacing w:line="56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我局</w:t>
      </w:r>
      <w:r>
        <w:rPr>
          <w:rFonts w:hint="eastAsia" w:ascii="仿宋_GB2312" w:hAnsi="仿宋_GB2312" w:eastAsia="仿宋_GB2312" w:cs="仿宋_GB2312"/>
          <w:sz w:val="32"/>
          <w:szCs w:val="32"/>
        </w:rPr>
        <w:t>2019</w:t>
      </w:r>
      <w:r>
        <w:rPr>
          <w:rFonts w:hint="eastAsia" w:ascii="仿宋_GB2312" w:hAnsi="仿宋_GB2312" w:eastAsia="仿宋_GB2312" w:cs="仿宋_GB2312"/>
          <w:sz w:val="32"/>
          <w:szCs w:val="32"/>
          <w:lang w:val="zh-CN"/>
        </w:rPr>
        <w:t>年预算编制严格按照《中华人民共和国预算法》的要求，按照相关填报口径做到科学合理的细化预算编制。</w:t>
      </w:r>
    </w:p>
    <w:p>
      <w:pPr>
        <w:pStyle w:val="20"/>
        <w:spacing w:line="56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zh-CN"/>
        </w:rPr>
        <w:t>执行管理情况。</w:t>
      </w:r>
      <w:r>
        <w:rPr>
          <w:rFonts w:hint="eastAsia" w:ascii="仿宋_GB2312" w:hAnsi="仿宋_GB2312" w:eastAsia="仿宋_GB2312" w:cs="仿宋_GB2312"/>
          <w:sz w:val="32"/>
          <w:szCs w:val="32"/>
          <w:lang w:val="zh-CN"/>
        </w:rPr>
        <w:tab/>
      </w:r>
    </w:p>
    <w:p>
      <w:pPr>
        <w:pStyle w:val="2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2019</w:t>
      </w:r>
      <w:r>
        <w:rPr>
          <w:rFonts w:hint="eastAsia" w:ascii="仿宋_GB2312" w:hAnsi="仿宋_GB2312" w:eastAsia="仿宋_GB2312" w:cs="仿宋_GB2312"/>
          <w:sz w:val="32"/>
          <w:szCs w:val="32"/>
          <w:lang w:val="zh-CN"/>
        </w:rPr>
        <w:t>年我局所有预算内资金都严格纳入财政大平台系统管理，日常支出都严格履行了我局的报账程序。</w:t>
      </w:r>
    </w:p>
    <w:p>
      <w:pPr>
        <w:pStyle w:val="20"/>
        <w:spacing w:line="560"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pStyle w:val="20"/>
        <w:spacing w:line="560"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sz w:val="32"/>
          <w:szCs w:val="32"/>
          <w:lang w:val="zh-CN"/>
        </w:rPr>
        <w:t>部门自评质量较好、绩效目标公开和自评公开、评价结果整改和应用结果反馈情况较好。</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pStyle w:val="20"/>
        <w:spacing w:line="560"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pStyle w:val="20"/>
        <w:spacing w:line="56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从整体上看，</w:t>
      </w:r>
      <w:r>
        <w:rPr>
          <w:rFonts w:hint="eastAsia" w:ascii="仿宋_GB2312" w:hAnsi="仿宋_GB2312" w:eastAsia="仿宋_GB2312" w:cs="仿宋_GB2312"/>
          <w:sz w:val="32"/>
          <w:szCs w:val="32"/>
        </w:rPr>
        <w:t>2019</w:t>
      </w:r>
      <w:r>
        <w:rPr>
          <w:rFonts w:hint="eastAsia" w:ascii="仿宋_GB2312" w:hAnsi="仿宋_GB2312" w:eastAsia="仿宋_GB2312" w:cs="仿宋_GB2312"/>
          <w:sz w:val="32"/>
          <w:szCs w:val="32"/>
          <w:lang w:val="zh-CN"/>
        </w:rPr>
        <w:t>年我局资金维护决策正确，资金管理规范，政策决策有力，有效发挥了财政资金使用效率。在人员经费支出上，严格执行县委、县政府的各项制度。在项目经费的使用上，严格按照项目资金实施方案执行。三公经费的使用严格按照预算执行。</w:t>
      </w:r>
    </w:p>
    <w:p>
      <w:pPr>
        <w:pStyle w:val="20"/>
        <w:spacing w:line="560"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olor w:val="000000"/>
          <w:sz w:val="32"/>
          <w:szCs w:val="32"/>
          <w:shd w:val="clear" w:color="auto" w:fill="FFFFFF"/>
          <w:lang w:val="zh-CN"/>
        </w:rPr>
        <w:t>（二）存在问题。</w:t>
      </w:r>
      <w:r>
        <w:rPr>
          <w:rFonts w:hint="eastAsia" w:ascii="仿宋" w:hAnsi="仿宋" w:eastAsia="仿宋" w:cs="仿宋"/>
          <w:color w:val="000000"/>
          <w:sz w:val="32"/>
          <w:szCs w:val="32"/>
        </w:rPr>
        <w:t>我局项目多，任务重，资金量大，财务人员专业技术能力需进一步提高。</w:t>
      </w:r>
    </w:p>
    <w:p>
      <w:pPr>
        <w:pStyle w:val="20"/>
        <w:spacing w:line="560" w:lineRule="exact"/>
        <w:ind w:firstLine="640" w:firstLineChars="200"/>
        <w:rPr>
          <w:rFonts w:ascii="仿宋_GB2312" w:hAnsi="仿宋_GB2312" w:eastAsia="仿宋_GB2312" w:cs="仿宋_GB2312"/>
          <w:sz w:val="32"/>
          <w:szCs w:val="32"/>
        </w:rPr>
      </w:pPr>
      <w:r>
        <w:rPr>
          <w:rFonts w:hint="eastAsia" w:ascii="仿宋_GB2312" w:hAnsi="宋体" w:eastAsia="仿宋_GB2312" w:cs="宋体"/>
          <w:color w:val="000000"/>
          <w:kern w:val="0"/>
          <w:sz w:val="32"/>
          <w:szCs w:val="32"/>
          <w:shd w:val="clear" w:color="auto" w:fill="FFFFFF"/>
          <w:lang w:val="zh-CN"/>
        </w:rPr>
        <w:t>（三）改进建议。</w:t>
      </w:r>
      <w:r>
        <w:rPr>
          <w:rFonts w:hint="eastAsia" w:ascii="仿宋_GB2312" w:hAnsi="仿宋_GB2312" w:eastAsia="仿宋_GB2312" w:cs="仿宋_GB2312"/>
          <w:sz w:val="32"/>
          <w:szCs w:val="32"/>
        </w:rPr>
        <w:t>严格按照财务规定程序，加大项目资金支付力度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zh-CN"/>
        </w:rPr>
        <w:t>加强年初预算的编制工作，提高预算编制的准确性和细化性。</w:t>
      </w:r>
    </w:p>
    <w:p>
      <w:pPr>
        <w:spacing w:line="580" w:lineRule="exact"/>
        <w:outlineLvl w:val="0"/>
        <w:rPr>
          <w:rFonts w:ascii="仿宋_GB2312" w:hAnsi="仿宋_GB2312" w:eastAsia="黑体" w:cs="仿宋_GB2312"/>
          <w:sz w:val="32"/>
          <w:szCs w:val="32"/>
        </w:rPr>
      </w:pPr>
      <w:r>
        <w:rPr>
          <w:rStyle w:val="17"/>
          <w:rFonts w:ascii="黑体" w:hAnsi="黑体" w:eastAsia="黑体"/>
          <w:b w:val="0"/>
        </w:rPr>
        <w:br w:type="page"/>
      </w:r>
      <w:bookmarkStart w:id="197" w:name="_Toc22081"/>
      <w:bookmarkStart w:id="198" w:name="_Toc11018"/>
      <w:bookmarkStart w:id="199" w:name="_Toc12394"/>
      <w:bookmarkStart w:id="200" w:name="_Toc9500"/>
      <w:bookmarkStart w:id="201" w:name="_Toc17478"/>
      <w:bookmarkStart w:id="202" w:name="_Toc23472"/>
      <w:r>
        <w:rPr>
          <w:rFonts w:hint="eastAsia" w:ascii="黑体" w:hAnsi="黑体" w:eastAsia="黑体" w:cs="黑体"/>
          <w:sz w:val="32"/>
          <w:szCs w:val="32"/>
        </w:rPr>
        <w:t>附件2</w:t>
      </w:r>
      <w:bookmarkEnd w:id="197"/>
      <w:bookmarkEnd w:id="198"/>
      <w:bookmarkEnd w:id="199"/>
      <w:bookmarkEnd w:id="200"/>
      <w:bookmarkEnd w:id="201"/>
      <w:bookmarkEnd w:id="202"/>
    </w:p>
    <w:p>
      <w:pPr>
        <w:spacing w:line="580" w:lineRule="exact"/>
        <w:ind w:firstLine="640" w:firstLineChars="200"/>
        <w:rPr>
          <w:rFonts w:ascii="仿宋_GB2312" w:hAnsi="仿宋_GB2312" w:eastAsia="仿宋_GB2312" w:cs="仿宋_GB2312"/>
          <w:sz w:val="32"/>
          <w:szCs w:val="32"/>
        </w:rPr>
      </w:pPr>
    </w:p>
    <w:p>
      <w:pPr>
        <w:spacing w:line="600" w:lineRule="exact"/>
        <w:jc w:val="center"/>
        <w:rPr>
          <w:rFonts w:ascii="方正小标宋简体" w:hAnsi="宋体" w:eastAsia="方正小标宋简体"/>
          <w:color w:val="000000"/>
          <w:kern w:val="0"/>
          <w:sz w:val="44"/>
          <w:szCs w:val="44"/>
        </w:rPr>
      </w:pPr>
      <w:r>
        <w:rPr>
          <w:rFonts w:hint="eastAsia" w:ascii="方正小标宋简体" w:hAnsi="宋体" w:eastAsia="方正小标宋简体"/>
          <w:color w:val="000000"/>
          <w:kern w:val="0"/>
          <w:sz w:val="44"/>
          <w:szCs w:val="44"/>
          <w:lang w:val="zh-CN"/>
        </w:rPr>
        <w:t>九寨沟县</w:t>
      </w:r>
      <w:r>
        <w:rPr>
          <w:rFonts w:hint="eastAsia" w:ascii="方正小标宋简体" w:hAnsi="宋体" w:eastAsia="方正小标宋简体"/>
          <w:color w:val="000000"/>
          <w:kern w:val="0"/>
          <w:sz w:val="44"/>
          <w:szCs w:val="44"/>
        </w:rPr>
        <w:t>8.8地震灾后重建小流域水土流失综合治理项目二期</w:t>
      </w:r>
      <w:r>
        <w:rPr>
          <w:rFonts w:hint="eastAsia" w:ascii="方正小标宋简体" w:hAnsi="宋体" w:eastAsia="方正小标宋简体"/>
          <w:color w:val="000000"/>
          <w:kern w:val="0"/>
          <w:sz w:val="44"/>
          <w:szCs w:val="44"/>
          <w:lang w:val="zh-CN"/>
        </w:rPr>
        <w:t>项目</w:t>
      </w:r>
      <w:r>
        <w:rPr>
          <w:rFonts w:hint="eastAsia" w:ascii="方正小标宋简体" w:hAnsi="宋体" w:eastAsia="方正小标宋简体"/>
          <w:color w:val="000000"/>
          <w:kern w:val="0"/>
          <w:sz w:val="44"/>
          <w:szCs w:val="44"/>
        </w:rPr>
        <w:t>2019年</w:t>
      </w: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val="zh-CN"/>
        </w:rPr>
        <w:t>绩效评价报告</w:t>
      </w:r>
    </w:p>
    <w:p>
      <w:pPr>
        <w:spacing w:line="600" w:lineRule="exact"/>
        <w:rPr>
          <w:rFonts w:ascii="宋体" w:hAns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pStyle w:val="2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九寨沟县“8.8”地震灾后恢复重建小流域水土流失综合治理项目（第二期）</w:t>
      </w:r>
      <w:r>
        <w:rPr>
          <w:rFonts w:hint="eastAsia" w:ascii="Times New Roman" w:hAnsi="Times New Roman" w:eastAsia="仿宋_GB2312" w:cs="Times New Roman"/>
          <w:sz w:val="32"/>
          <w:szCs w:val="32"/>
          <w:lang w:val="zh-CN"/>
        </w:rPr>
        <w:t>共规划治理水土流失面积6.00km²，主要措施包括封禁治理569.58hm²，保土耕作30.43hm²，修建排灌沟渠2302m，生产便道2302m，灌溉10.97hm²。</w:t>
      </w:r>
      <w:r>
        <w:rPr>
          <w:rFonts w:hint="eastAsia" w:ascii="Times New Roman" w:hAnsi="Times New Roman" w:eastAsia="仿宋_GB2312" w:cs="Times New Roman"/>
          <w:sz w:val="32"/>
          <w:szCs w:val="32"/>
        </w:rPr>
        <w:t xml:space="preserve"> </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pStyle w:val="20"/>
        <w:spacing w:line="560" w:lineRule="exact"/>
        <w:ind w:firstLine="640" w:firstLineChars="200"/>
        <w:rPr>
          <w:rFonts w:eastAsia="仿宋_GB2312"/>
          <w:sz w:val="32"/>
          <w:szCs w:val="32"/>
        </w:rPr>
      </w:pPr>
      <w:r>
        <w:rPr>
          <w:rFonts w:hint="eastAsia" w:ascii="仿宋_GB2312" w:hAnsi="宋体" w:eastAsia="仿宋_GB2312"/>
          <w:sz w:val="32"/>
          <w:szCs w:val="32"/>
        </w:rPr>
        <w:t>九寨沟县“8.8”地震灾后恢复重建小流域水土流失综合治理项目（第二期）</w:t>
      </w:r>
      <w:r>
        <w:rPr>
          <w:rFonts w:eastAsia="仿宋_GB2312"/>
          <w:sz w:val="32"/>
          <w:szCs w:val="32"/>
        </w:rPr>
        <w:t>共规划治理水土流失面积6.00km²，主要措施包括封禁治理</w:t>
      </w:r>
      <w:r>
        <w:rPr>
          <w:rFonts w:hint="eastAsia" w:eastAsia="仿宋_GB2312"/>
          <w:sz w:val="32"/>
          <w:szCs w:val="32"/>
        </w:rPr>
        <w:t>、</w:t>
      </w:r>
      <w:r>
        <w:rPr>
          <w:rFonts w:eastAsia="仿宋_GB2312"/>
          <w:sz w:val="32"/>
          <w:szCs w:val="32"/>
        </w:rPr>
        <w:t>保土耕作</w:t>
      </w:r>
      <w:r>
        <w:rPr>
          <w:rFonts w:hint="eastAsia" w:eastAsia="仿宋_GB2312"/>
          <w:sz w:val="32"/>
          <w:szCs w:val="32"/>
        </w:rPr>
        <w:t>、</w:t>
      </w:r>
      <w:r>
        <w:rPr>
          <w:rFonts w:eastAsia="仿宋_GB2312"/>
          <w:sz w:val="32"/>
          <w:szCs w:val="32"/>
        </w:rPr>
        <w:t>排灌沟渠</w:t>
      </w:r>
      <w:r>
        <w:rPr>
          <w:rFonts w:hint="eastAsia" w:eastAsia="仿宋_GB2312"/>
          <w:sz w:val="32"/>
          <w:szCs w:val="32"/>
        </w:rPr>
        <w:t>、</w:t>
      </w:r>
      <w:r>
        <w:rPr>
          <w:rFonts w:eastAsia="仿宋_GB2312"/>
          <w:sz w:val="32"/>
          <w:szCs w:val="32"/>
        </w:rPr>
        <w:t>生产便道</w:t>
      </w:r>
      <w:r>
        <w:rPr>
          <w:rFonts w:hint="eastAsia" w:eastAsia="仿宋_GB2312"/>
          <w:sz w:val="32"/>
          <w:szCs w:val="32"/>
        </w:rPr>
        <w:t>、以及农田</w:t>
      </w:r>
      <w:r>
        <w:rPr>
          <w:rFonts w:eastAsia="仿宋_GB2312"/>
          <w:sz w:val="32"/>
          <w:szCs w:val="32"/>
        </w:rPr>
        <w:t>灌溉</w:t>
      </w:r>
      <w:r>
        <w:rPr>
          <w:rFonts w:hint="eastAsia" w:eastAsia="仿宋_GB2312"/>
          <w:sz w:val="32"/>
          <w:szCs w:val="32"/>
        </w:rPr>
        <w:t>。通过小流域水土流失综合治理及配套设施的建设，有效改善农业基础设施条件生产条件差的问题，从根本上解决农业产业灌溉难的问题，从而实现农民增收，脱贫致富的目标。该项目于2019年7月1日开工建设，2019年10月24日已完成建设。</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单位自评。</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项目申报内容与具体实施内容相符、申报目标合理可行。</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pPr>
        <w:adjustRightInd w:val="0"/>
        <w:snapToGrid w:val="0"/>
        <w:spacing w:line="600" w:lineRule="exact"/>
        <w:ind w:firstLine="720"/>
        <w:rPr>
          <w:rFonts w:ascii="楷体_GB2312" w:hAnsi="宋体" w:eastAsia="楷体_GB2312"/>
          <w:b/>
          <w:sz w:val="32"/>
          <w:szCs w:val="32"/>
          <w:lang w:val="zh-CN"/>
        </w:rPr>
      </w:pPr>
      <w:r>
        <w:rPr>
          <w:rFonts w:hint="eastAsia" w:ascii="仿宋_GB2312" w:hAnsi="宋体" w:eastAsia="仿宋_GB2312"/>
          <w:sz w:val="32"/>
          <w:szCs w:val="32"/>
          <w:lang w:val="zh-CN"/>
        </w:rPr>
        <w:tab/>
      </w:r>
      <w:r>
        <w:rPr>
          <w:rFonts w:hint="eastAsia" w:ascii="楷体_GB2312" w:hAnsi="宋体" w:eastAsia="楷体_GB2312"/>
          <w:b/>
          <w:sz w:val="32"/>
          <w:szCs w:val="32"/>
          <w:lang w:val="en-US" w:eastAsia="zh-CN"/>
        </w:rPr>
        <w:t>1.</w:t>
      </w:r>
      <w:r>
        <w:rPr>
          <w:rFonts w:hint="eastAsia" w:ascii="楷体_GB2312" w:hAnsi="宋体" w:eastAsia="楷体_GB2312"/>
          <w:b/>
          <w:sz w:val="32"/>
          <w:szCs w:val="32"/>
          <w:lang w:val="zh-CN"/>
        </w:rPr>
        <w:t>资金计划、到位及使用情况。</w:t>
      </w:r>
    </w:p>
    <w:p>
      <w:pPr>
        <w:pStyle w:val="2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lang w:val="zh-CN"/>
        </w:rPr>
        <w:t>（</w:t>
      </w:r>
      <w:r>
        <w:rPr>
          <w:rFonts w:hint="eastAsia" w:ascii="仿宋_GB2312" w:hAnsi="宋体" w:eastAsia="仿宋_GB2312"/>
          <w:sz w:val="32"/>
          <w:szCs w:val="32"/>
          <w:lang w:val="en-US" w:eastAsia="zh-CN"/>
        </w:rPr>
        <w:t>1</w:t>
      </w:r>
      <w:r>
        <w:rPr>
          <w:rFonts w:hint="eastAsia" w:ascii="仿宋_GB2312" w:hAnsi="宋体" w:eastAsia="仿宋_GB2312"/>
          <w:sz w:val="32"/>
          <w:szCs w:val="32"/>
          <w:lang w:val="zh-CN"/>
        </w:rPr>
        <w:t>）资金计划及到位。一是</w:t>
      </w:r>
      <w:r>
        <w:rPr>
          <w:rFonts w:hint="eastAsia" w:ascii="仿宋_GB2312" w:hAnsi="宋体" w:eastAsia="仿宋_GB2312"/>
          <w:sz w:val="32"/>
          <w:szCs w:val="32"/>
        </w:rPr>
        <w:t>九寨沟县“8.8”地震灾后恢复重建小流域水土流失综合治理项目（第二期）：《阿坝州财政局 阿坝州水利局关于下达2019年中央财政水利发展资金预算的通知》（阿州财农【2018】147号）文件下达我局525万元，其中280万元用于水土保持灾后恢复重建项目。资金</w:t>
      </w:r>
      <w:r>
        <w:rPr>
          <w:rFonts w:hint="eastAsia" w:ascii="仿宋_GB2312" w:hAnsi="宋体" w:eastAsia="仿宋_GB2312"/>
          <w:sz w:val="32"/>
          <w:szCs w:val="32"/>
          <w:lang w:val="zh-CN"/>
        </w:rPr>
        <w:t>到位及时，到位率</w:t>
      </w:r>
      <w:r>
        <w:rPr>
          <w:rFonts w:hint="eastAsia" w:ascii="仿宋_GB2312" w:hAnsi="宋体" w:eastAsia="仿宋_GB2312"/>
          <w:sz w:val="32"/>
          <w:szCs w:val="32"/>
        </w:rPr>
        <w:t>100%。</w:t>
      </w:r>
    </w:p>
    <w:p>
      <w:pPr>
        <w:pStyle w:val="2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lang w:val="zh-CN"/>
        </w:rPr>
        <w:t>（</w:t>
      </w:r>
      <w:r>
        <w:rPr>
          <w:rFonts w:hint="eastAsia" w:ascii="仿宋_GB2312" w:hAnsi="宋体" w:eastAsia="仿宋_GB2312"/>
          <w:sz w:val="32"/>
          <w:szCs w:val="32"/>
          <w:lang w:val="en-US" w:eastAsia="zh-CN"/>
        </w:rPr>
        <w:t>2</w:t>
      </w:r>
      <w:r>
        <w:rPr>
          <w:rFonts w:hint="eastAsia" w:ascii="仿宋_GB2312" w:hAnsi="宋体" w:eastAsia="仿宋_GB2312"/>
          <w:sz w:val="32"/>
          <w:szCs w:val="32"/>
          <w:lang w:val="zh-CN"/>
        </w:rPr>
        <w:t>）资金使用。截止目前，已支付工程款1</w:t>
      </w:r>
      <w:r>
        <w:rPr>
          <w:rFonts w:hint="eastAsia" w:ascii="仿宋_GB2312" w:hAnsi="宋体" w:eastAsia="仿宋_GB2312"/>
          <w:sz w:val="32"/>
          <w:szCs w:val="32"/>
        </w:rPr>
        <w:t>,</w:t>
      </w:r>
      <w:r>
        <w:rPr>
          <w:rFonts w:hint="eastAsia" w:ascii="仿宋_GB2312" w:hAnsi="宋体" w:eastAsia="仿宋_GB2312"/>
          <w:sz w:val="32"/>
          <w:szCs w:val="32"/>
          <w:lang w:val="zh-CN"/>
        </w:rPr>
        <w:t>896</w:t>
      </w:r>
      <w:r>
        <w:rPr>
          <w:rFonts w:hint="eastAsia" w:ascii="仿宋_GB2312" w:hAnsi="宋体" w:eastAsia="仿宋_GB2312"/>
          <w:sz w:val="32"/>
          <w:szCs w:val="32"/>
        </w:rPr>
        <w:t>,</w:t>
      </w:r>
      <w:r>
        <w:rPr>
          <w:rFonts w:hint="eastAsia" w:ascii="仿宋_GB2312" w:hAnsi="宋体" w:eastAsia="仿宋_GB2312"/>
          <w:sz w:val="32"/>
          <w:szCs w:val="32"/>
          <w:lang w:val="zh-CN"/>
        </w:rPr>
        <w:t>394.11 元，剩余质保金58，651.36 元待质保期满后支付。已支付项目设计费118</w:t>
      </w:r>
      <w:r>
        <w:rPr>
          <w:rFonts w:hint="eastAsia" w:ascii="仿宋_GB2312" w:hAnsi="宋体" w:eastAsia="仿宋_GB2312"/>
          <w:sz w:val="32"/>
          <w:szCs w:val="32"/>
        </w:rPr>
        <w:t>,</w:t>
      </w:r>
      <w:r>
        <w:rPr>
          <w:rFonts w:hint="eastAsia" w:ascii="仿宋_GB2312" w:hAnsi="宋体" w:eastAsia="仿宋_GB2312"/>
          <w:sz w:val="32"/>
          <w:szCs w:val="32"/>
          <w:lang w:val="zh-CN"/>
        </w:rPr>
        <w:t>380.00元，已支付监理费</w:t>
      </w:r>
      <w:r>
        <w:rPr>
          <w:rFonts w:hint="eastAsia" w:ascii="仿宋_GB2312" w:hAnsi="宋体" w:eastAsia="仿宋_GB2312"/>
          <w:sz w:val="32"/>
          <w:szCs w:val="32"/>
        </w:rPr>
        <w:t>47,336.00元</w:t>
      </w:r>
      <w:r>
        <w:rPr>
          <w:rFonts w:hint="eastAsia" w:ascii="仿宋_GB2312" w:hAnsi="宋体" w:eastAsia="仿宋_GB2312"/>
          <w:sz w:val="32"/>
          <w:szCs w:val="32"/>
          <w:lang w:val="zh-CN"/>
        </w:rPr>
        <w:t>，剩余质保金</w:t>
      </w:r>
      <w:r>
        <w:rPr>
          <w:rFonts w:hint="eastAsia" w:ascii="仿宋_GB2312" w:hAnsi="宋体" w:eastAsia="仿宋_GB2312"/>
          <w:sz w:val="32"/>
          <w:szCs w:val="32"/>
        </w:rPr>
        <w:t>1,464.00元</w:t>
      </w:r>
      <w:r>
        <w:rPr>
          <w:rFonts w:hint="eastAsia" w:ascii="仿宋_GB2312" w:hAnsi="宋体" w:eastAsia="仿宋_GB2312"/>
          <w:sz w:val="32"/>
          <w:szCs w:val="32"/>
          <w:lang w:val="zh-CN"/>
        </w:rPr>
        <w:t>待质保期满后支付，已支付第三方检测费</w:t>
      </w:r>
      <w:r>
        <w:rPr>
          <w:rFonts w:hint="eastAsia" w:ascii="仿宋_GB2312" w:hAnsi="宋体" w:eastAsia="仿宋_GB2312"/>
          <w:sz w:val="32"/>
          <w:szCs w:val="32"/>
        </w:rPr>
        <w:t>8,700.00元</w:t>
      </w:r>
      <w:r>
        <w:rPr>
          <w:rFonts w:hint="eastAsia" w:ascii="仿宋_GB2312" w:hAnsi="宋体" w:eastAsia="仿宋_GB2312"/>
          <w:sz w:val="32"/>
          <w:szCs w:val="32"/>
          <w:lang w:val="zh-CN"/>
        </w:rPr>
        <w:t>，已支付水质检测费</w:t>
      </w:r>
      <w:r>
        <w:rPr>
          <w:rFonts w:hint="eastAsia" w:ascii="仿宋_GB2312" w:hAnsi="宋体" w:eastAsia="仿宋_GB2312"/>
          <w:sz w:val="32"/>
          <w:szCs w:val="32"/>
        </w:rPr>
        <w:t>2,980.00元，</w:t>
      </w:r>
      <w:r>
        <w:rPr>
          <w:rFonts w:hint="eastAsia" w:ascii="仿宋_GB2312" w:hAnsi="宋体" w:eastAsia="仿宋_GB2312"/>
          <w:sz w:val="32"/>
          <w:szCs w:val="32"/>
          <w:lang w:val="zh-CN"/>
        </w:rPr>
        <w:t>已支付审计费10</w:t>
      </w:r>
      <w:r>
        <w:rPr>
          <w:rFonts w:hint="eastAsia" w:ascii="仿宋_GB2312" w:hAnsi="宋体" w:eastAsia="仿宋_GB2312"/>
          <w:sz w:val="32"/>
          <w:szCs w:val="32"/>
        </w:rPr>
        <w:t>,</w:t>
      </w:r>
      <w:r>
        <w:rPr>
          <w:rFonts w:hint="eastAsia" w:ascii="仿宋_GB2312" w:hAnsi="宋体" w:eastAsia="仿宋_GB2312"/>
          <w:sz w:val="32"/>
          <w:szCs w:val="32"/>
          <w:lang w:val="zh-CN"/>
        </w:rPr>
        <w:t>547.07元，已支付财务决算费20</w:t>
      </w:r>
      <w:r>
        <w:rPr>
          <w:rFonts w:hint="eastAsia" w:ascii="仿宋_GB2312" w:hAnsi="宋体" w:eastAsia="仿宋_GB2312"/>
          <w:sz w:val="32"/>
          <w:szCs w:val="32"/>
        </w:rPr>
        <w:t>,</w:t>
      </w:r>
      <w:r>
        <w:rPr>
          <w:rFonts w:hint="eastAsia" w:ascii="仿宋_GB2312" w:hAnsi="宋体" w:eastAsia="仿宋_GB2312"/>
          <w:sz w:val="32"/>
          <w:szCs w:val="32"/>
          <w:lang w:val="zh-CN"/>
        </w:rPr>
        <w:t>490.00元，项目结余635</w:t>
      </w:r>
      <w:r>
        <w:rPr>
          <w:rFonts w:hint="eastAsia" w:ascii="仿宋_GB2312" w:hAnsi="宋体" w:eastAsia="仿宋_GB2312"/>
          <w:sz w:val="32"/>
          <w:szCs w:val="32"/>
        </w:rPr>
        <w:t>,</w:t>
      </w:r>
      <w:r>
        <w:rPr>
          <w:rFonts w:hint="eastAsia" w:ascii="仿宋_GB2312" w:hAnsi="宋体" w:eastAsia="仿宋_GB2312"/>
          <w:sz w:val="32"/>
          <w:szCs w:val="32"/>
          <w:lang w:val="zh-CN"/>
        </w:rPr>
        <w:t xml:space="preserve">057.46 </w:t>
      </w:r>
      <w:r>
        <w:rPr>
          <w:rFonts w:hint="eastAsia" w:ascii="仿宋_GB2312" w:hAnsi="宋体" w:eastAsia="仿宋_GB2312"/>
          <w:sz w:val="32"/>
          <w:szCs w:val="32"/>
        </w:rPr>
        <w:t>元。</w:t>
      </w:r>
      <w:r>
        <w:rPr>
          <w:rFonts w:hint="eastAsia" w:ascii="仿宋_GB2312" w:hAnsi="宋体" w:eastAsia="仿宋_GB2312"/>
          <w:sz w:val="32"/>
          <w:szCs w:val="32"/>
          <w:lang w:val="zh-CN"/>
        </w:rPr>
        <w:t>支付依据合规合法。</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pStyle w:val="20"/>
        <w:spacing w:line="560" w:lineRule="exact"/>
        <w:ind w:firstLine="640" w:firstLineChars="200"/>
        <w:rPr>
          <w:rFonts w:eastAsia="仿宋_GB2312"/>
          <w:color w:val="000000"/>
          <w:sz w:val="32"/>
          <w:szCs w:val="32"/>
        </w:rPr>
      </w:pPr>
      <w:r>
        <w:rPr>
          <w:rFonts w:hint="eastAsia" w:eastAsia="仿宋_GB2312"/>
          <w:color w:val="000000"/>
          <w:sz w:val="32"/>
          <w:szCs w:val="32"/>
        </w:rPr>
        <w:t>项目</w:t>
      </w:r>
      <w:r>
        <w:rPr>
          <w:rFonts w:eastAsia="仿宋_GB2312"/>
          <w:color w:val="000000"/>
          <w:sz w:val="32"/>
          <w:szCs w:val="32"/>
        </w:rPr>
        <w:t>资金实行专户存储、专账核算、专人管理、专款专用</w:t>
      </w:r>
      <w:r>
        <w:rPr>
          <w:rFonts w:hint="eastAsia" w:eastAsia="仿宋_GB2312"/>
          <w:color w:val="000000"/>
          <w:sz w:val="32"/>
          <w:szCs w:val="32"/>
        </w:rPr>
        <w:t>，灾后重建项目</w:t>
      </w:r>
      <w:r>
        <w:rPr>
          <w:rFonts w:eastAsia="仿宋_GB2312"/>
          <w:color w:val="000000"/>
          <w:sz w:val="32"/>
          <w:szCs w:val="32"/>
        </w:rPr>
        <w:t>报账</w:t>
      </w:r>
      <w:r>
        <w:rPr>
          <w:rFonts w:hint="eastAsia" w:eastAsia="仿宋_GB2312"/>
          <w:color w:val="000000"/>
          <w:sz w:val="32"/>
          <w:szCs w:val="32"/>
        </w:rPr>
        <w:t>程序</w:t>
      </w:r>
      <w:r>
        <w:rPr>
          <w:rFonts w:eastAsia="仿宋_GB2312"/>
          <w:color w:val="000000"/>
          <w:sz w:val="32"/>
          <w:szCs w:val="32"/>
        </w:rPr>
        <w:t>、转账结付的办法。</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pStyle w:val="20"/>
        <w:spacing w:line="560" w:lineRule="exact"/>
        <w:ind w:firstLine="640" w:firstLineChars="200"/>
        <w:rPr>
          <w:rFonts w:eastAsia="仿宋_GB2312"/>
          <w:sz w:val="32"/>
          <w:szCs w:val="32"/>
        </w:rPr>
      </w:pPr>
      <w:r>
        <w:rPr>
          <w:rFonts w:hint="eastAsia" w:ascii="仿宋_GB2312" w:hAnsi="宋体" w:eastAsia="仿宋_GB2312"/>
          <w:sz w:val="32"/>
          <w:szCs w:val="32"/>
        </w:rPr>
        <w:t>九寨沟县“8.8”地震灾后恢复重建小流域水土流失综合治理项目（第二期）</w:t>
      </w:r>
      <w:r>
        <w:rPr>
          <w:rFonts w:eastAsia="仿宋_GB2312"/>
          <w:sz w:val="32"/>
          <w:szCs w:val="32"/>
        </w:rPr>
        <w:t>共规划治理水土流失面积6.00km²，主要措施包括封禁治理</w:t>
      </w:r>
      <w:r>
        <w:rPr>
          <w:rFonts w:hint="eastAsia" w:eastAsia="仿宋_GB2312"/>
          <w:sz w:val="32"/>
          <w:szCs w:val="32"/>
        </w:rPr>
        <w:t>、</w:t>
      </w:r>
      <w:r>
        <w:rPr>
          <w:rFonts w:eastAsia="仿宋_GB2312"/>
          <w:sz w:val="32"/>
          <w:szCs w:val="32"/>
        </w:rPr>
        <w:t>保土耕作</w:t>
      </w:r>
      <w:r>
        <w:rPr>
          <w:rFonts w:hint="eastAsia" w:eastAsia="仿宋_GB2312"/>
          <w:sz w:val="32"/>
          <w:szCs w:val="32"/>
        </w:rPr>
        <w:t>、</w:t>
      </w:r>
      <w:r>
        <w:rPr>
          <w:rFonts w:eastAsia="仿宋_GB2312"/>
          <w:sz w:val="32"/>
          <w:szCs w:val="32"/>
        </w:rPr>
        <w:t>排灌沟渠</w:t>
      </w:r>
      <w:r>
        <w:rPr>
          <w:rFonts w:hint="eastAsia" w:eastAsia="仿宋_GB2312"/>
          <w:sz w:val="32"/>
          <w:szCs w:val="32"/>
        </w:rPr>
        <w:t>、</w:t>
      </w:r>
      <w:r>
        <w:rPr>
          <w:rFonts w:eastAsia="仿宋_GB2312"/>
          <w:sz w:val="32"/>
          <w:szCs w:val="32"/>
        </w:rPr>
        <w:t>生产便道</w:t>
      </w:r>
      <w:r>
        <w:rPr>
          <w:rFonts w:hint="eastAsia" w:eastAsia="仿宋_GB2312"/>
          <w:sz w:val="32"/>
          <w:szCs w:val="32"/>
        </w:rPr>
        <w:t>、以及农田</w:t>
      </w:r>
      <w:r>
        <w:rPr>
          <w:rFonts w:eastAsia="仿宋_GB2312"/>
          <w:sz w:val="32"/>
          <w:szCs w:val="32"/>
        </w:rPr>
        <w:t>灌溉</w:t>
      </w:r>
      <w:r>
        <w:rPr>
          <w:rFonts w:hint="eastAsia" w:eastAsia="仿宋_GB2312"/>
          <w:sz w:val="32"/>
          <w:szCs w:val="32"/>
        </w:rPr>
        <w:t>。通过小流域水土流失综合治理及配套设施的建设，有效改善农业基础设施条件生产条件差的问题，从根本上解决农业产业灌溉难的问题，从而实现农民增收，脱贫致富的目标。该项目于2019年7月1日开工建设，2019年10月24日已完成建设。</w:t>
      </w:r>
    </w:p>
    <w:p>
      <w:pPr>
        <w:numPr>
          <w:ilvl w:val="0"/>
          <w:numId w:val="5"/>
        </w:numPr>
        <w:adjustRightInd w:val="0"/>
        <w:snapToGrid w:val="0"/>
        <w:spacing w:line="600" w:lineRule="exact"/>
        <w:ind w:left="720"/>
        <w:rPr>
          <w:rFonts w:hint="eastAsia" w:ascii="楷体_GB2312" w:hAnsi="宋体" w:eastAsia="楷体_GB2312"/>
          <w:b/>
          <w:sz w:val="32"/>
          <w:szCs w:val="32"/>
          <w:lang w:val="zh-CN"/>
        </w:rPr>
      </w:pPr>
      <w:r>
        <w:rPr>
          <w:rFonts w:hint="eastAsia" w:ascii="楷体_GB2312" w:hAnsi="宋体" w:eastAsia="楷体_GB2312"/>
          <w:b/>
          <w:sz w:val="32"/>
          <w:szCs w:val="32"/>
          <w:lang w:val="zh-CN"/>
        </w:rPr>
        <w:t>项目组织架构及实施流程。</w:t>
      </w:r>
    </w:p>
    <w:p>
      <w:pPr>
        <w:pStyle w:val="20"/>
        <w:spacing w:line="560" w:lineRule="exact"/>
        <w:ind w:firstLine="640" w:firstLineChars="200"/>
        <w:rPr>
          <w:rFonts w:ascii="楷体_GB2312" w:hAnsi="宋体" w:eastAsia="楷体_GB2312"/>
          <w:b/>
          <w:sz w:val="32"/>
          <w:szCs w:val="32"/>
          <w:lang w:val="zh-CN"/>
        </w:rPr>
      </w:pPr>
      <w:r>
        <w:rPr>
          <w:rFonts w:hint="eastAsia" w:ascii="仿宋_GB2312" w:hAnsi="宋体" w:eastAsia="仿宋_GB2312"/>
          <w:sz w:val="32"/>
          <w:szCs w:val="32"/>
        </w:rPr>
        <w:t>两个项目工程建设部分均采用比选方式确定。</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（二）项目管理情况。</w:t>
      </w:r>
    </w:p>
    <w:p>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cs="Times New Roman"/>
          <w:sz w:val="32"/>
          <w:szCs w:val="32"/>
          <w:lang w:val="zh-CN"/>
        </w:rPr>
        <w:t>项目按照法律法规相关规定进行公开招投标确定相关实施单位，并严格按照项目招投标结果签订项目实施合同，按照合同中时间节点质量要求严格执行验收及拨付资金程序。项目总体评价为各项目实施单位执行相关法律法规及项目管理制度，按照招投标、政府采购、项目公示制等相关规定执行。</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（三）项目监管情况。</w:t>
      </w:r>
    </w:p>
    <w:p>
      <w:pPr>
        <w:pStyle w:val="20"/>
        <w:spacing w:line="56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严格按照项目审批及招投标程序，严格执行项目验收及资金拨付程序。</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pStyle w:val="2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该项目目前已全面竣工。</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pStyle w:val="20"/>
        <w:spacing w:line="560" w:lineRule="exact"/>
        <w:ind w:firstLine="640" w:firstLineChars="200"/>
        <w:rPr>
          <w:rFonts w:ascii="楷体_GB2312" w:hAnsi="宋体" w:eastAsia="楷体_GB2312"/>
          <w:b/>
          <w:sz w:val="32"/>
          <w:szCs w:val="32"/>
          <w:lang w:val="zh-CN"/>
        </w:rPr>
      </w:pPr>
      <w:r>
        <w:rPr>
          <w:rFonts w:hint="eastAsia" w:eastAsia="仿宋_GB2312"/>
          <w:color w:val="000000"/>
          <w:sz w:val="32"/>
          <w:szCs w:val="32"/>
        </w:rPr>
        <w:t>项目以改善小流域环境，改善农民生产生活条件和农业基础设施条件，提高农业产业质量，降低了农民的劳动强度，对生态环境的保护提供有效保障。项目的实施有利于百姓脱贫奔康和对生产生活环境的生态治理。本项目大部分表现为经济效益和生态效益</w:t>
      </w:r>
      <w:r>
        <w:rPr>
          <w:rFonts w:hint="eastAsia" w:ascii="仿宋_GB2312" w:hAnsi="宋体" w:eastAsia="仿宋_GB2312"/>
          <w:sz w:val="32"/>
          <w:szCs w:val="32"/>
          <w:lang w:val="zh-CN"/>
        </w:rPr>
        <w:t>。</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r>
        <w:rPr>
          <w:rFonts w:hint="eastAsia" w:ascii="仿宋_GB2312" w:hAnsi="宋体" w:eastAsia="仿宋_GB2312" w:cs="Times New Roman"/>
          <w:b w:val="0"/>
          <w:bCs w:val="0"/>
          <w:kern w:val="2"/>
          <w:sz w:val="32"/>
          <w:szCs w:val="32"/>
          <w:lang w:val="zh-CN" w:eastAsia="zh-CN" w:bidi="ar-SA"/>
        </w:rPr>
        <w:t>达到预期目标。</w:t>
      </w:r>
    </w:p>
    <w:p>
      <w:pPr>
        <w:pStyle w:val="20"/>
        <w:spacing w:line="560" w:lineRule="exact"/>
        <w:ind w:firstLine="643" w:firstLineChars="200"/>
        <w:rPr>
          <w:rFonts w:ascii="仿宋_GB2312" w:hAnsi="宋体" w:eastAsia="仿宋_GB2312"/>
          <w:sz w:val="32"/>
          <w:szCs w:val="32"/>
          <w:lang w:val="zh-CN"/>
        </w:rPr>
      </w:pPr>
      <w:r>
        <w:rPr>
          <w:rFonts w:hint="eastAsia" w:ascii="楷体_GB2312" w:hAnsi="宋体" w:eastAsia="楷体_GB2312"/>
          <w:b/>
          <w:sz w:val="32"/>
          <w:szCs w:val="32"/>
          <w:lang w:val="zh-CN"/>
        </w:rPr>
        <w:t>（二）存在的问题。</w:t>
      </w:r>
      <w:r>
        <w:rPr>
          <w:rFonts w:hint="eastAsia" w:ascii="仿宋_GB2312" w:hAnsi="宋体" w:eastAsia="仿宋_GB2312"/>
          <w:sz w:val="32"/>
          <w:szCs w:val="32"/>
          <w:lang w:val="zh-CN"/>
        </w:rPr>
        <w:t>目前尚无问题存在。</w:t>
      </w:r>
    </w:p>
    <w:p>
      <w:pPr>
        <w:pStyle w:val="20"/>
        <w:spacing w:line="560" w:lineRule="exact"/>
        <w:ind w:firstLine="643" w:firstLineChars="200"/>
        <w:rPr>
          <w:rFonts w:ascii="仿宋_GB2312" w:hAnsi="宋体" w:eastAsia="仿宋"/>
          <w:lang w:val="zh-CN"/>
        </w:rPr>
      </w:pPr>
      <w:r>
        <w:rPr>
          <w:rFonts w:hint="eastAsia" w:ascii="楷体_GB2312" w:hAnsi="宋体" w:eastAsia="楷体_GB2312"/>
          <w:b/>
          <w:sz w:val="32"/>
          <w:szCs w:val="32"/>
          <w:lang w:val="zh-CN"/>
        </w:rPr>
        <w:t>（三）相关建议。</w:t>
      </w:r>
      <w:r>
        <w:rPr>
          <w:rFonts w:hint="eastAsia" w:ascii="仿宋" w:hAnsi="仿宋" w:eastAsia="仿宋" w:cs="仿宋"/>
          <w:sz w:val="32"/>
          <w:szCs w:val="32"/>
        </w:rPr>
        <w:t>建立健全项目运行管理机制。结合我县水土流失实际情况，对所建的水土保持项目明确项目移交后的工程管理者职责，确保工程建成后长效运行。</w:t>
      </w:r>
    </w:p>
    <w:p>
      <w:pPr>
        <w:spacing w:line="580" w:lineRule="exact"/>
        <w:rPr>
          <w:rFonts w:ascii="仿宋_GB2312" w:hAnsi="仿宋_GB2312" w:eastAsia="仿宋_GB2312" w:cs="仿宋_GB2312"/>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pStyle w:val="5"/>
        <w:outlineLvl w:val="9"/>
        <w:rPr>
          <w:rFonts w:hint="eastAsia"/>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outlineLvl w:val="0"/>
        <w:rPr>
          <w:rFonts w:hint="eastAsia" w:ascii="黑体" w:hAnsi="黑体" w:eastAsia="黑体" w:cs="黑体"/>
          <w:sz w:val="32"/>
          <w:szCs w:val="32"/>
        </w:rPr>
      </w:pPr>
      <w:bookmarkStart w:id="203" w:name="_Toc9107"/>
      <w:bookmarkStart w:id="204" w:name="_Toc15876"/>
      <w:bookmarkStart w:id="205" w:name="_Toc2509"/>
      <w:bookmarkStart w:id="206" w:name="_Toc16868"/>
      <w:bookmarkStart w:id="207" w:name="_Toc2592"/>
      <w:bookmarkStart w:id="208" w:name="_Toc25040"/>
      <w:r>
        <w:rPr>
          <w:rFonts w:hint="eastAsia" w:ascii="黑体" w:hAnsi="黑体" w:eastAsia="黑体" w:cs="黑体"/>
          <w:sz w:val="32"/>
          <w:szCs w:val="32"/>
        </w:rPr>
        <w:t>附件3</w:t>
      </w:r>
      <w:bookmarkEnd w:id="203"/>
      <w:bookmarkEnd w:id="204"/>
      <w:bookmarkEnd w:id="205"/>
      <w:bookmarkEnd w:id="206"/>
      <w:bookmarkEnd w:id="207"/>
      <w:bookmarkEnd w:id="208"/>
    </w:p>
    <w:p>
      <w:pPr>
        <w:pStyle w:val="5"/>
        <w:outlineLvl w:val="9"/>
      </w:pPr>
    </w:p>
    <w:p>
      <w:pPr>
        <w:spacing w:line="600" w:lineRule="exact"/>
        <w:jc w:val="center"/>
        <w:rPr>
          <w:rFonts w:ascii="方正小标宋简体" w:hAnsi="宋体" w:eastAsia="方正小标宋简体"/>
          <w:color w:val="000000"/>
          <w:kern w:val="0"/>
          <w:sz w:val="44"/>
          <w:szCs w:val="44"/>
        </w:rPr>
      </w:pPr>
      <w:r>
        <w:rPr>
          <w:rFonts w:hint="eastAsia" w:ascii="方正小标宋简体" w:hAnsi="宋体" w:eastAsia="方正小标宋简体"/>
          <w:color w:val="000000"/>
          <w:kern w:val="0"/>
          <w:sz w:val="44"/>
          <w:szCs w:val="44"/>
        </w:rPr>
        <w:t>8.8灾后重建九寨沟县山洪灾害防治非工程措施项目及2019年山洪灾害防治项目</w:t>
      </w: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val="zh-CN"/>
        </w:rPr>
        <w:t>2019年绩效评价报告</w:t>
      </w:r>
    </w:p>
    <w:p>
      <w:pPr>
        <w:spacing w:line="600" w:lineRule="exact"/>
        <w:rPr>
          <w:rFonts w:ascii="宋体" w:hAns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受九寨沟“8·8”地震影响，九寨沟县前期建设的部分预警设施受损，已不能发挥预警作用。根据灾后重建要求，通过前期排查，确定了九寨沟“8·8”地震新增山洪隐患点，以及预警设施的受损情况，为在地震影响区域加强监测预警、强化群测群访，保障人民群众生命财产安全，急需补充设施建设，新建自动检测雨量、自动水位站、视频图像监测站。</w:t>
      </w:r>
    </w:p>
    <w:p>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项目建设内容及规模：建设13个自动雨量监测站、3个自动水位站；建设2个图像视频监测站；补充103个简易雨量站及报警器、48套无线预警广播、125套手摇报警器，219套锣、鼓、号、口哨报警器；配备17套应急救援工具；完善全县山洪灾害群测群防体系，并开展县级宣传、培训、演练工作。</w:t>
      </w:r>
    </w:p>
    <w:p>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建设13个自动雨量监测站、3个自动水位站；建设2个图像视频监测站；补充103个简易雨量站及报警器、48套无线预警广播、125套手摇报警器，219套锣、鼓、号、口哨报警器；配备17套应急救援工具；完善全县山洪灾害群测群防体系，并开展县级宣传、培训、演练工作。</w:t>
      </w:r>
    </w:p>
    <w:p>
      <w:pPr>
        <w:pStyle w:val="2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通过项目建设</w:t>
      </w:r>
      <w:r>
        <w:rPr>
          <w:rFonts w:ascii="仿宋_GB2312" w:hAnsi="宋体" w:eastAsia="仿宋_GB2312"/>
          <w:sz w:val="32"/>
          <w:szCs w:val="32"/>
        </w:rPr>
        <w:t>显著提高山洪灾害防御的支撑和保障能力，进一步完善防洪排涝和抗旱减灾体系，有效减低山洪灾害造成的经济损失，减免的经济损失主要包括：直接减免的农、林、牧、渔业损失，基础设施损失，城镇和农村居民财产损失，城乡企、事业财产及停产停业损失、骨干运输线中断的营运损失以及其他经济损失等；</w:t>
      </w:r>
      <w:r>
        <w:rPr>
          <w:rFonts w:hint="eastAsia" w:ascii="仿宋_GB2312" w:hAnsi="宋体" w:eastAsia="仿宋_GB2312"/>
          <w:sz w:val="32"/>
          <w:szCs w:val="32"/>
        </w:rPr>
        <w:t>提高了人们群测群防的能力，</w:t>
      </w:r>
      <w:r>
        <w:rPr>
          <w:rFonts w:ascii="仿宋_GB2312" w:hAnsi="宋体" w:eastAsia="仿宋_GB2312"/>
          <w:sz w:val="32"/>
          <w:szCs w:val="32"/>
        </w:rPr>
        <w:t>减免因山洪灾害造成的直接损失给受灾区内、外带来影响而间接造成的经济损失</w:t>
      </w:r>
      <w:r>
        <w:rPr>
          <w:rFonts w:hint="eastAsia" w:ascii="仿宋_GB2312" w:hAnsi="宋体" w:eastAsia="仿宋_GB2312"/>
          <w:sz w:val="32"/>
          <w:szCs w:val="32"/>
        </w:rPr>
        <w:t>，</w:t>
      </w:r>
      <w:r>
        <w:rPr>
          <w:rFonts w:ascii="仿宋_GB2312" w:hAnsi="宋体" w:eastAsia="仿宋_GB2312"/>
          <w:sz w:val="32"/>
          <w:szCs w:val="32"/>
        </w:rPr>
        <w:t>减轻山洪灾害对人民生命的威胁，避免人员伤亡</w:t>
      </w:r>
      <w:r>
        <w:rPr>
          <w:rFonts w:hint="eastAsia" w:ascii="仿宋_GB2312" w:hAnsi="宋体" w:eastAsia="仿宋_GB2312"/>
          <w:sz w:val="32"/>
          <w:szCs w:val="32"/>
        </w:rPr>
        <w:t>。该项目于2018年7月开工建设，2019年6月已完成建设。</w:t>
      </w:r>
    </w:p>
    <w:p>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说明项目绩效自评采用的组织实施步骤及方法。</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项目申报内容与具体实施内容相符、申报目标合理可行。</w:t>
      </w:r>
    </w:p>
    <w:p>
      <w:pPr>
        <w:pStyle w:val="20"/>
        <w:spacing w:line="560" w:lineRule="exact"/>
        <w:ind w:firstLine="643" w:firstLineChars="20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pPr>
        <w:pStyle w:val="20"/>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lang w:val="zh-CN"/>
        </w:rPr>
        <w:t>1．资金计划及到位。</w:t>
      </w:r>
      <w:r>
        <w:rPr>
          <w:rFonts w:hint="eastAsia" w:ascii="仿宋" w:hAnsi="仿宋" w:eastAsia="仿宋" w:cs="仿宋"/>
          <w:kern w:val="0"/>
          <w:sz w:val="32"/>
          <w:szCs w:val="32"/>
        </w:rPr>
        <w:t>《阿坝州财政局 阿坝州水利局关于下达2019年中央财政水利发展资金预算的通知》（阿州财农【2018】147号）文件下达我局525万元，其中245万元用于水非工程措施项目。资金</w:t>
      </w:r>
      <w:r>
        <w:rPr>
          <w:rFonts w:hint="eastAsia" w:ascii="仿宋" w:hAnsi="仿宋" w:eastAsia="仿宋" w:cs="仿宋"/>
          <w:kern w:val="0"/>
          <w:sz w:val="32"/>
          <w:szCs w:val="32"/>
          <w:lang w:val="zh-CN"/>
        </w:rPr>
        <w:t>到位及时，到位率</w:t>
      </w:r>
      <w:r>
        <w:rPr>
          <w:rFonts w:hint="eastAsia" w:ascii="仿宋" w:hAnsi="仿宋" w:eastAsia="仿宋" w:cs="仿宋"/>
          <w:kern w:val="0"/>
          <w:sz w:val="32"/>
          <w:szCs w:val="32"/>
        </w:rPr>
        <w:t>100%。</w:t>
      </w:r>
    </w:p>
    <w:p>
      <w:pPr>
        <w:pStyle w:val="20"/>
        <w:spacing w:line="560" w:lineRule="exact"/>
        <w:ind w:firstLine="640" w:firstLineChars="200"/>
        <w:rPr>
          <w:rFonts w:ascii="仿宋" w:hAnsi="仿宋" w:eastAsia="仿宋" w:cs="仿宋"/>
          <w:kern w:val="0"/>
          <w:sz w:val="32"/>
          <w:szCs w:val="32"/>
          <w:lang w:val="zh-CN"/>
        </w:rPr>
      </w:pPr>
      <w:r>
        <w:rPr>
          <w:rFonts w:hint="eastAsia" w:ascii="仿宋" w:hAnsi="仿宋" w:eastAsia="仿宋" w:cs="仿宋"/>
          <w:kern w:val="0"/>
          <w:sz w:val="32"/>
          <w:szCs w:val="32"/>
          <w:lang w:val="zh-CN"/>
        </w:rPr>
        <w:t>2．资金使用。该项目已使用资金1825411.22元，其中支付万江港利科技股份有限公司进度款1792256.22元，支付北京万博智业信息技术有限公司成都分公司监理费33155元。剩余624588.78元将归还前期县级财政借款，支付依据合规合法。</w:t>
      </w:r>
    </w:p>
    <w:p>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项目资金实行专户存储、专账核算、专人管理、专款专用，县级报账、转账结付的办法。</w:t>
      </w:r>
    </w:p>
    <w:p>
      <w:pPr>
        <w:pStyle w:val="20"/>
        <w:spacing w:line="560" w:lineRule="exact"/>
        <w:ind w:firstLine="640" w:firstLineChars="200"/>
        <w:rPr>
          <w:rFonts w:ascii="黑体" w:hAnsi="宋体" w:eastAsia="黑体"/>
          <w:sz w:val="32"/>
          <w:szCs w:val="32"/>
        </w:rPr>
      </w:pPr>
      <w:r>
        <w:rPr>
          <w:rFonts w:hint="eastAsia" w:ascii="黑体" w:hAnsi="宋体" w:eastAsia="黑体"/>
          <w:sz w:val="32"/>
          <w:szCs w:val="32"/>
        </w:rPr>
        <w:t>三、项目实施及管理情况</w:t>
      </w:r>
    </w:p>
    <w:p>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结合项目组织实施管理办法，重点围绕以下内容进行分析评价，并对自评中发现的问题分析说明。</w:t>
      </w:r>
    </w:p>
    <w:p>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pStyle w:val="20"/>
        <w:spacing w:line="560" w:lineRule="exact"/>
        <w:ind w:firstLine="640" w:firstLineChars="200"/>
        <w:rPr>
          <w:rFonts w:ascii="楷体_GB2312" w:hAnsi="宋体" w:eastAsia="楷体_GB2312"/>
          <w:b/>
          <w:sz w:val="32"/>
          <w:szCs w:val="32"/>
          <w:lang w:val="zh-CN"/>
        </w:rPr>
      </w:pPr>
      <w:r>
        <w:rPr>
          <w:rFonts w:hint="eastAsia" w:ascii="仿宋_GB2312" w:hAnsi="宋体" w:eastAsia="仿宋_GB2312"/>
          <w:sz w:val="32"/>
          <w:szCs w:val="32"/>
        </w:rPr>
        <w:t>该项目由公开采购方式确定。</w:t>
      </w:r>
    </w:p>
    <w:p>
      <w:pPr>
        <w:pStyle w:val="20"/>
        <w:spacing w:line="560" w:lineRule="exact"/>
        <w:ind w:firstLine="643"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（二）项目管理情况。</w:t>
      </w:r>
    </w:p>
    <w:p>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cs="Times New Roman"/>
          <w:sz w:val="32"/>
          <w:szCs w:val="32"/>
          <w:lang w:val="zh-CN"/>
        </w:rPr>
        <w:t>项目按照法律法规相关规定进行公开招投标确定相关实施单位，并严格按照项目招投标结果签订项目实施合同，按照合同中时间节点质量要求严格执行验收及拨付资金程序。项目总体评价为各项目实施单位执行相关法律法规及项目管理制度，按照招投标、政府采购、项目公示制等相关规定执行。</w:t>
      </w:r>
    </w:p>
    <w:p>
      <w:pPr>
        <w:pStyle w:val="20"/>
        <w:spacing w:line="560" w:lineRule="exact"/>
        <w:ind w:firstLine="643"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（三）项目监管情况。</w:t>
      </w:r>
    </w:p>
    <w:p>
      <w:pPr>
        <w:pStyle w:val="20"/>
        <w:spacing w:line="56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严格按照项目审批及招投标程序，严格执行项目验收及资金拨付程序。</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pStyle w:val="2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九寨沟县 2019 年度山洪灾害防治暨“8∙8”九寨沟地震灾后恢复重建山洪灾害防治非工程措施建设项目，目前已全部完成。</w:t>
      </w:r>
    </w:p>
    <w:p>
      <w:pPr>
        <w:pStyle w:val="20"/>
        <w:spacing w:line="560" w:lineRule="exact"/>
        <w:ind w:firstLine="643" w:firstLineChars="200"/>
        <w:rPr>
          <w:rFonts w:hint="eastAsia" w:ascii="仿宋_GB2312" w:hAnsi="宋体" w:eastAsia="仿宋_GB2312"/>
          <w:sz w:val="32"/>
          <w:szCs w:val="32"/>
          <w:lang w:val="zh-CN"/>
        </w:rPr>
      </w:pPr>
      <w:r>
        <w:rPr>
          <w:rFonts w:hint="eastAsia" w:ascii="楷体_GB2312" w:hAnsi="宋体" w:eastAsia="楷体_GB2312"/>
          <w:b/>
          <w:sz w:val="32"/>
          <w:szCs w:val="32"/>
          <w:lang w:val="zh-CN"/>
        </w:rPr>
        <w:t>（二）项目效益情况。</w:t>
      </w:r>
    </w:p>
    <w:p>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 xml:space="preserve"> 项目</w:t>
      </w:r>
      <w:r>
        <w:rPr>
          <w:rFonts w:ascii="仿宋_GB2312" w:hAnsi="宋体" w:eastAsia="仿宋_GB2312"/>
          <w:sz w:val="32"/>
          <w:szCs w:val="32"/>
        </w:rPr>
        <w:t>的实施建设将显著提高山洪灾害防御的支撑和保障能力，进一步完善防洪排涝和抗旱减灾体系，可以有效减低山洪灾害造成的经济损失，减免的经济损失主要包括：直接减免的农、林、牧、渔业损失，基础设施损失，城镇和农村居民财产损失，城乡企、事业财产及停产停业损失、骨干运输线中断的营运损失以及其他经济损失等；减免因山洪灾害造成的直接损失给受灾区内、外带来影响而间接造成的经济损失</w:t>
      </w:r>
      <w:r>
        <w:rPr>
          <w:rFonts w:hint="eastAsia" w:ascii="仿宋_GB2312" w:hAnsi="宋体" w:eastAsia="仿宋_GB2312"/>
          <w:sz w:val="32"/>
          <w:szCs w:val="32"/>
        </w:rPr>
        <w:t>；</w:t>
      </w:r>
      <w:r>
        <w:rPr>
          <w:rFonts w:ascii="仿宋_GB2312" w:hAnsi="宋体" w:eastAsia="仿宋_GB2312"/>
          <w:sz w:val="32"/>
          <w:szCs w:val="32"/>
        </w:rPr>
        <w:t>可以减免山洪灾害对生态环境的破坏。山洪灾害防治的环境效益主要体现在减少水土流失，保护山丘区宝贵的土地资源，保护森林植被、水质和自然景观，改善人居环境等方面</w:t>
      </w:r>
      <w:r>
        <w:rPr>
          <w:rFonts w:hint="eastAsia" w:ascii="仿宋_GB2312" w:hAnsi="宋体" w:eastAsia="仿宋_GB2312"/>
          <w:sz w:val="32"/>
          <w:szCs w:val="32"/>
        </w:rPr>
        <w:t>。</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pStyle w:val="20"/>
        <w:spacing w:line="560" w:lineRule="exact"/>
        <w:ind w:firstLine="643" w:firstLineChars="200"/>
        <w:rPr>
          <w:rFonts w:ascii="仿宋_GB2312" w:hAnsi="宋体" w:eastAsia="仿宋_GB2312" w:cs="Times New Roman"/>
          <w:b w:val="0"/>
          <w:bCs w:val="0"/>
          <w:kern w:val="2"/>
          <w:sz w:val="32"/>
          <w:szCs w:val="32"/>
          <w:lang w:val="zh-CN" w:eastAsia="zh-CN" w:bidi="ar-SA"/>
        </w:rPr>
      </w:pPr>
      <w:r>
        <w:rPr>
          <w:rFonts w:hint="eastAsia" w:ascii="楷体_GB2312" w:hAnsi="宋体" w:eastAsia="楷体_GB2312"/>
          <w:b/>
          <w:sz w:val="32"/>
          <w:szCs w:val="32"/>
          <w:lang w:val="zh-CN"/>
        </w:rPr>
        <w:t>（一）评价结论。</w:t>
      </w:r>
      <w:r>
        <w:rPr>
          <w:rFonts w:hint="eastAsia" w:ascii="仿宋_GB2312" w:hAnsi="宋体" w:eastAsia="仿宋_GB2312" w:cs="Times New Roman"/>
          <w:b w:val="0"/>
          <w:bCs w:val="0"/>
          <w:kern w:val="2"/>
          <w:sz w:val="32"/>
          <w:szCs w:val="32"/>
          <w:lang w:val="zh-CN" w:eastAsia="zh-CN" w:bidi="ar-SA"/>
        </w:rPr>
        <w:t>达到预期目标。</w:t>
      </w:r>
    </w:p>
    <w:p>
      <w:pPr>
        <w:pStyle w:val="20"/>
        <w:spacing w:line="560" w:lineRule="exact"/>
        <w:ind w:firstLine="643" w:firstLineChars="200"/>
        <w:rPr>
          <w:rFonts w:eastAsia="仿宋_GB2312"/>
          <w:sz w:val="32"/>
          <w:szCs w:val="32"/>
        </w:rPr>
      </w:pPr>
      <w:r>
        <w:rPr>
          <w:rFonts w:hint="eastAsia" w:ascii="楷体_GB2312" w:hAnsi="宋体" w:eastAsia="楷体_GB2312"/>
          <w:b/>
          <w:sz w:val="32"/>
          <w:szCs w:val="32"/>
          <w:lang w:val="zh-CN"/>
        </w:rPr>
        <w:t>（二）存在的问题。</w:t>
      </w:r>
      <w:r>
        <w:rPr>
          <w:rFonts w:hint="eastAsia" w:eastAsia="仿宋_GB2312"/>
          <w:sz w:val="32"/>
          <w:szCs w:val="32"/>
          <w:lang w:eastAsia="zh-CN"/>
        </w:rPr>
        <w:t>尚</w:t>
      </w:r>
      <w:r>
        <w:rPr>
          <w:rFonts w:hint="eastAsia" w:eastAsia="仿宋_GB2312"/>
          <w:sz w:val="32"/>
          <w:szCs w:val="32"/>
        </w:rPr>
        <w:t>无需整改的问题。</w:t>
      </w:r>
    </w:p>
    <w:p>
      <w:pPr>
        <w:pStyle w:val="20"/>
        <w:spacing w:line="560" w:lineRule="exact"/>
        <w:ind w:firstLine="643" w:firstLineChars="200"/>
      </w:pPr>
      <w:r>
        <w:rPr>
          <w:rFonts w:hint="eastAsia" w:ascii="楷体_GB2312" w:hAnsi="宋体" w:eastAsia="楷体_GB2312"/>
          <w:b/>
          <w:sz w:val="32"/>
          <w:szCs w:val="32"/>
          <w:lang w:val="zh-CN"/>
        </w:rPr>
        <w:t>（三）相关建议。</w:t>
      </w:r>
      <w:r>
        <w:rPr>
          <w:rFonts w:hint="eastAsia" w:ascii="仿宋" w:hAnsi="仿宋" w:eastAsia="仿宋" w:cs="仿宋"/>
          <w:sz w:val="32"/>
          <w:szCs w:val="32"/>
        </w:rPr>
        <w:t>为建立健全山洪灾害管理机制，持续高效发挥监测体系能力，结合我县实际，</w:t>
      </w:r>
      <w:r>
        <w:rPr>
          <w:rFonts w:hint="eastAsia" w:ascii="仿宋" w:hAnsi="仿宋" w:eastAsia="仿宋" w:cs="仿宋"/>
          <w:sz w:val="32"/>
          <w:szCs w:val="32"/>
          <w:lang w:eastAsia="zh-CN"/>
        </w:rPr>
        <w:t>需进一步</w:t>
      </w:r>
      <w:r>
        <w:rPr>
          <w:rFonts w:hint="eastAsia" w:ascii="仿宋" w:hAnsi="仿宋" w:eastAsia="仿宋" w:cs="仿宋"/>
          <w:sz w:val="32"/>
          <w:szCs w:val="32"/>
        </w:rPr>
        <w:t>加大项目的后期运行维护资金投入。</w:t>
      </w: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outlineLvl w:val="0"/>
        <w:rPr>
          <w:rFonts w:ascii="仿宋_GB2312" w:hAnsi="仿宋_GB2312" w:eastAsia="仿宋_GB2312" w:cs="仿宋_GB2312"/>
          <w:sz w:val="32"/>
          <w:szCs w:val="32"/>
        </w:rPr>
      </w:pPr>
      <w:bookmarkStart w:id="209" w:name="_Toc25772"/>
      <w:bookmarkStart w:id="210" w:name="_Toc23459"/>
      <w:bookmarkStart w:id="211" w:name="_Toc6513"/>
      <w:bookmarkStart w:id="212" w:name="_Toc1526"/>
      <w:bookmarkStart w:id="213" w:name="_Toc31983"/>
      <w:bookmarkStart w:id="214" w:name="_Toc10138"/>
      <w:r>
        <w:rPr>
          <w:rFonts w:hint="eastAsia" w:ascii="黑体" w:hAnsi="黑体" w:eastAsia="黑体" w:cs="黑体"/>
          <w:sz w:val="32"/>
          <w:szCs w:val="32"/>
        </w:rPr>
        <w:t>附件4</w:t>
      </w:r>
      <w:bookmarkEnd w:id="209"/>
      <w:bookmarkEnd w:id="210"/>
      <w:bookmarkEnd w:id="211"/>
      <w:bookmarkEnd w:id="212"/>
      <w:bookmarkEnd w:id="213"/>
      <w:bookmarkEnd w:id="214"/>
    </w:p>
    <w:p>
      <w:pPr>
        <w:spacing w:line="600" w:lineRule="exact"/>
        <w:jc w:val="center"/>
        <w:rPr>
          <w:rFonts w:ascii="方正小标宋简体" w:hAnsi="宋体" w:eastAsia="方正小标宋简体"/>
          <w:color w:val="000000"/>
          <w:kern w:val="0"/>
          <w:sz w:val="44"/>
          <w:szCs w:val="44"/>
        </w:rPr>
      </w:pPr>
      <w:r>
        <w:rPr>
          <w:rFonts w:hint="eastAsia" w:ascii="方正小标宋简体" w:hAnsi="宋体" w:eastAsia="方正小标宋简体"/>
          <w:color w:val="000000"/>
          <w:kern w:val="0"/>
          <w:sz w:val="44"/>
          <w:szCs w:val="44"/>
        </w:rPr>
        <w:t>九寨沟县城堤防维修加固建设项目</w:t>
      </w:r>
    </w:p>
    <w:p>
      <w:pPr>
        <w:spacing w:line="600" w:lineRule="exact"/>
        <w:jc w:val="center"/>
        <w:rPr>
          <w:rFonts w:hint="eastAsia"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val="zh-CN"/>
        </w:rPr>
        <w:t>2019年绩效评价报告</w:t>
      </w:r>
    </w:p>
    <w:p>
      <w:pPr>
        <w:pStyle w:val="5"/>
        <w:outlineLvl w:val="9"/>
        <w:rPr>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pStyle w:val="2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位于九寨沟县张家湾至新区二号桥，恢复治理重大病险堤防11处。项目设计防洪标准为20年一遇，堤防设计级别为4级。项目总投资1680万元，资金来源为中央预算内资金及县级配套资金，其中：中央资金1400万元，县级配套资金280万元。</w:t>
      </w:r>
    </w:p>
    <w:p>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pStyle w:val="20"/>
        <w:spacing w:line="560" w:lineRule="exact"/>
        <w:ind w:firstLine="640" w:firstLineChars="200"/>
        <w:rPr>
          <w:rFonts w:hint="default" w:ascii="仿宋_GB2312" w:hAnsi="宋体" w:eastAsia="仿宋_GB2312" w:cs="Times New Roman"/>
          <w:sz w:val="32"/>
          <w:szCs w:val="32"/>
          <w:lang w:val="en-US" w:eastAsia="zh-CN"/>
        </w:rPr>
      </w:pPr>
      <w:r>
        <w:rPr>
          <w:rFonts w:hint="eastAsia" w:ascii="仿宋_GB2312" w:hAnsi="宋体" w:eastAsia="仿宋_GB2312" w:cs="Times New Roman"/>
          <w:sz w:val="32"/>
          <w:szCs w:val="32"/>
          <w:lang w:val="zh-CN"/>
        </w:rPr>
        <w:t>恢复及加固提防11段共1198米</w:t>
      </w:r>
      <w:r>
        <w:rPr>
          <w:rFonts w:hint="eastAsia" w:ascii="仿宋_GB2312" w:hAnsi="宋体" w:eastAsia="仿宋_GB2312" w:cs="Times New Roman"/>
          <w:sz w:val="32"/>
          <w:szCs w:val="32"/>
          <w:lang w:val="zh-CN" w:eastAsia="zh-CN"/>
        </w:rPr>
        <w:t>，截止</w:t>
      </w:r>
      <w:r>
        <w:rPr>
          <w:rFonts w:hint="eastAsia" w:ascii="仿宋_GB2312" w:hAnsi="宋体" w:eastAsia="仿宋_GB2312" w:cs="Times New Roman"/>
          <w:sz w:val="32"/>
          <w:szCs w:val="32"/>
          <w:lang w:val="en-US" w:eastAsia="zh-CN"/>
        </w:rPr>
        <w:t>2019年6月，所有建设目内容顺利完成。</w:t>
      </w:r>
    </w:p>
    <w:p>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pStyle w:val="20"/>
        <w:spacing w:line="56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单位自评。</w:t>
      </w:r>
    </w:p>
    <w:p>
      <w:pPr>
        <w:pStyle w:val="20"/>
        <w:spacing w:line="560" w:lineRule="exact"/>
        <w:ind w:firstLine="640" w:firstLineChars="200"/>
        <w:rPr>
          <w:rFonts w:ascii="黑体" w:hAnsi="宋体" w:eastAsia="黑体"/>
          <w:sz w:val="32"/>
          <w:szCs w:val="32"/>
        </w:rPr>
      </w:pPr>
      <w:r>
        <w:rPr>
          <w:rFonts w:hint="eastAsia" w:ascii="黑体" w:hAnsi="宋体" w:eastAsia="黑体"/>
          <w:sz w:val="32"/>
          <w:szCs w:val="32"/>
        </w:rPr>
        <w:t>二、项目资金申报及使用情况</w:t>
      </w:r>
    </w:p>
    <w:p>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说明项目资金申报、批复及预算调整等程序的相关情况。</w:t>
      </w:r>
    </w:p>
    <w:p>
      <w:pPr>
        <w:pStyle w:val="20"/>
        <w:spacing w:line="560" w:lineRule="exact"/>
        <w:ind w:firstLine="643" w:firstLineChars="20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pPr>
        <w:pStyle w:val="20"/>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1.资金来源</w:t>
      </w:r>
    </w:p>
    <w:p>
      <w:pPr>
        <w:pStyle w:val="2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根据《九寨沟县财政局 九寨沟县发展和改革局关于转下达2018年暴雨洪涝灾害救灾应急补助中央预算内基建投资预算的通知》九财投资〔2018〕16号下达2018年暴雨洪涝灾害救灾应急补助中央预算内基建投资资金(九寨沟县城暴雨洪涝灾害应急恢复--县城堤防维修加固建设）1400万元（大写：壹仟肆佰万元元）。</w:t>
      </w:r>
    </w:p>
    <w:p>
      <w:pPr>
        <w:pStyle w:val="20"/>
        <w:spacing w:line="560" w:lineRule="exact"/>
        <w:ind w:firstLine="643" w:firstLineChars="200"/>
        <w:rPr>
          <w:rFonts w:ascii="楷体" w:hAnsi="楷体" w:eastAsia="楷体" w:cs="楷体"/>
          <w:b/>
          <w:bCs/>
        </w:rPr>
      </w:pPr>
      <w:r>
        <w:rPr>
          <w:rFonts w:hint="eastAsia" w:ascii="楷体" w:hAnsi="楷体" w:eastAsia="楷体" w:cs="楷体"/>
          <w:b/>
          <w:bCs/>
          <w:sz w:val="32"/>
          <w:szCs w:val="32"/>
        </w:rPr>
        <w:t>2.资金使用情况</w:t>
      </w:r>
    </w:p>
    <w:p>
      <w:pPr>
        <w:pStyle w:val="20"/>
        <w:spacing w:line="560" w:lineRule="exact"/>
        <w:ind w:firstLine="640" w:firstLineChars="200"/>
      </w:pPr>
      <w:r>
        <w:rPr>
          <w:rFonts w:hint="eastAsia" w:ascii="仿宋_GB2312" w:hAnsi="仿宋_GB2312" w:eastAsia="仿宋_GB2312" w:cs="仿宋_GB2312"/>
          <w:sz w:val="32"/>
          <w:szCs w:val="32"/>
        </w:rPr>
        <w:t>2019年3月11日按照合同约定拨付了2870937.29元（大写：贰佰捌拾柒万零玖佰叁拾柒元贰角玖分）的工程进度款。2019年4月15日分别支付工程进度款3325365.74元（大写：叁佰叁拾贰万伍仟叁佰陆拾伍元柒角肆分）和监理进度款125450元（大写：壹拾贰万伍仟肆佰伍拾元），2019年5月28日支付工程进度款3724071.41元（大写：叁佰柒拾贰万肆仟零柒拾壹元四角一分）。该项目已完成完工验收，目前施工单位正在做结算资料。</w:t>
      </w:r>
    </w:p>
    <w:p>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pStyle w:val="2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资金实行专户存储、专账核算、专人管理、专款专用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县级报账、转账结付的办法。</w:t>
      </w:r>
    </w:p>
    <w:p>
      <w:pPr>
        <w:pStyle w:val="20"/>
        <w:spacing w:line="560" w:lineRule="exact"/>
        <w:ind w:firstLine="640" w:firstLineChars="200"/>
        <w:rPr>
          <w:rFonts w:ascii="黑体" w:hAnsi="宋体" w:eastAsia="黑体"/>
          <w:sz w:val="32"/>
          <w:szCs w:val="32"/>
        </w:rPr>
      </w:pPr>
      <w:r>
        <w:rPr>
          <w:rFonts w:hint="eastAsia" w:ascii="黑体" w:hAnsi="宋体" w:eastAsia="黑体"/>
          <w:sz w:val="32"/>
          <w:szCs w:val="32"/>
        </w:rPr>
        <w:t>三、项目实施及管理情况</w:t>
      </w:r>
    </w:p>
    <w:p>
      <w:pPr>
        <w:pStyle w:val="2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项目由四川大学工程设计研究院有限公司和黄河勘测规划设计有限公司完成勘察设计工作于2018年11月挂网招标，并于2018年12月在阿坝州公共资源交易中心开标，由万锦建设集团有限公司中标，中标价为13157668.79万元。2019年1月8日签订施工合同。监理单位由四川省盛世华伦工程项目管理有限责任公司实施该项目已于在2019年5月已全部完工并在6月4日组织完工验收。</w:t>
      </w:r>
    </w:p>
    <w:p>
      <w:pPr>
        <w:pStyle w:val="20"/>
        <w:spacing w:line="560" w:lineRule="exact"/>
        <w:ind w:firstLine="643"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pStyle w:val="20"/>
        <w:spacing w:line="560" w:lineRule="exact"/>
        <w:ind w:firstLine="640" w:firstLineChars="200"/>
        <w:rPr>
          <w:rFonts w:ascii="楷体_GB2312" w:hAnsi="宋体" w:eastAsia="楷体_GB2312"/>
          <w:b/>
          <w:sz w:val="32"/>
          <w:szCs w:val="32"/>
          <w:lang w:val="zh-CN"/>
        </w:rPr>
      </w:pPr>
      <w:r>
        <w:rPr>
          <w:rFonts w:hint="eastAsia" w:ascii="仿宋_GB2312" w:hAnsi="宋体" w:eastAsia="仿宋_GB2312"/>
          <w:sz w:val="32"/>
          <w:szCs w:val="32"/>
        </w:rPr>
        <w:t>该项目由公开采购方式确定。</w:t>
      </w:r>
    </w:p>
    <w:p>
      <w:pPr>
        <w:pStyle w:val="20"/>
        <w:spacing w:line="560" w:lineRule="exact"/>
        <w:ind w:firstLine="643"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（二）项目管理情况。</w:t>
      </w:r>
    </w:p>
    <w:p>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cs="Times New Roman"/>
          <w:sz w:val="32"/>
          <w:szCs w:val="32"/>
          <w:lang w:val="zh-CN"/>
        </w:rPr>
        <w:t>项目按照法律法规相关规定进行公开招投标确定相关实施单位，并严格按照项目招投标结果签订项目实施合同，按照合同中时间节点质量要求严格执行验收及拨付资金程序。项目总体评价为各项目实施单位执行相关法律法规及项目管理制度，按照招投标、政府采购、项目公示制等相关规定执行。</w:t>
      </w:r>
    </w:p>
    <w:p>
      <w:pPr>
        <w:pStyle w:val="20"/>
        <w:spacing w:line="560" w:lineRule="exact"/>
        <w:ind w:firstLine="643"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（一）项目监管情况。</w:t>
      </w:r>
    </w:p>
    <w:p>
      <w:pPr>
        <w:pStyle w:val="20"/>
        <w:spacing w:line="56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严格按照项目审批及招投标程序，严格执行项目验收及资金拨付程序。</w:t>
      </w:r>
    </w:p>
    <w:p>
      <w:pPr>
        <w:pStyle w:val="20"/>
        <w:spacing w:line="560" w:lineRule="exact"/>
        <w:ind w:firstLine="640" w:firstLineChars="20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pStyle w:val="20"/>
        <w:spacing w:line="560" w:lineRule="exact"/>
        <w:ind w:firstLine="640" w:firstLineChars="200"/>
        <w:rPr>
          <w:rFonts w:hint="eastAsia" w:ascii="仿宋_GB2312" w:hAnsi="宋体" w:eastAsia="仿宋_GB2312" w:cs="Times New Roman"/>
          <w:sz w:val="32"/>
          <w:szCs w:val="32"/>
        </w:rPr>
      </w:pPr>
      <w:r>
        <w:rPr>
          <w:rFonts w:hint="eastAsia" w:ascii="仿宋_GB2312" w:hAnsi="宋体" w:eastAsia="仿宋_GB2312" w:cs="Times New Roman"/>
          <w:sz w:val="32"/>
          <w:szCs w:val="32"/>
        </w:rPr>
        <w:t>九寨沟县城堤防维修加固建设项目绩效目标完成情况综述。项目预算数1680万元，执行数为1400万元，</w:t>
      </w:r>
      <w:r>
        <w:rPr>
          <w:rFonts w:hint="eastAsia" w:ascii="仿宋_GB2312" w:hAnsi="宋体" w:eastAsia="仿宋_GB2312" w:cs="Times New Roman"/>
          <w:sz w:val="32"/>
          <w:szCs w:val="32"/>
          <w:lang w:val="en-US" w:eastAsia="zh-CN"/>
        </w:rPr>
        <w:t>2019年</w:t>
      </w:r>
      <w:r>
        <w:rPr>
          <w:rFonts w:hint="eastAsia" w:ascii="仿宋_GB2312" w:hAnsi="宋体" w:eastAsia="仿宋_GB2312" w:cs="Times New Roman"/>
          <w:sz w:val="32"/>
          <w:szCs w:val="32"/>
        </w:rPr>
        <w:t>项目预算数</w:t>
      </w:r>
      <w:r>
        <w:rPr>
          <w:rFonts w:hint="eastAsia" w:ascii="仿宋_GB2312" w:hAnsi="宋体" w:eastAsia="仿宋_GB2312" w:cs="Times New Roman"/>
          <w:sz w:val="32"/>
          <w:szCs w:val="32"/>
          <w:lang w:val="en-US" w:eastAsia="zh-CN"/>
        </w:rPr>
        <w:t>767.8244</w:t>
      </w:r>
      <w:r>
        <w:rPr>
          <w:rFonts w:hint="eastAsia" w:ascii="仿宋_GB2312" w:hAnsi="宋体" w:eastAsia="仿宋_GB2312" w:cs="Times New Roman"/>
          <w:sz w:val="32"/>
          <w:szCs w:val="32"/>
        </w:rPr>
        <w:t>万元，执行数为</w:t>
      </w:r>
      <w:r>
        <w:rPr>
          <w:rFonts w:hint="eastAsia" w:ascii="仿宋_GB2312" w:hAnsi="宋体" w:eastAsia="仿宋_GB2312" w:cs="Times New Roman"/>
          <w:sz w:val="32"/>
          <w:szCs w:val="32"/>
          <w:lang w:val="en-US" w:eastAsia="zh-CN"/>
        </w:rPr>
        <w:t>439.37</w:t>
      </w:r>
      <w:r>
        <w:rPr>
          <w:rFonts w:hint="eastAsia" w:ascii="仿宋_GB2312" w:hAnsi="宋体" w:eastAsia="仿宋_GB2312" w:cs="Times New Roman"/>
          <w:sz w:val="32"/>
          <w:szCs w:val="32"/>
        </w:rPr>
        <w:t>万元完成预算的</w:t>
      </w:r>
      <w:r>
        <w:rPr>
          <w:rFonts w:hint="eastAsia" w:ascii="仿宋_GB2312" w:hAnsi="宋体" w:eastAsia="仿宋_GB2312" w:cs="Times New Roman"/>
          <w:sz w:val="32"/>
          <w:szCs w:val="32"/>
          <w:lang w:val="en-US" w:eastAsia="zh-CN"/>
        </w:rPr>
        <w:t>57.22</w:t>
      </w:r>
      <w:r>
        <w:rPr>
          <w:rFonts w:hint="eastAsia" w:ascii="仿宋_GB2312" w:hAnsi="宋体" w:eastAsia="仿宋_GB2312" w:cs="Times New Roman"/>
          <w:sz w:val="32"/>
          <w:szCs w:val="32"/>
        </w:rPr>
        <w:t>%。通过项目实施恢复及加固提防11段共1198米，切实保障老百姓的生命财产安全，保护了企事业单位达120家，</w:t>
      </w:r>
      <w:bookmarkStart w:id="339" w:name="_GoBack"/>
      <w:bookmarkEnd w:id="339"/>
      <w:r>
        <w:rPr>
          <w:rFonts w:hint="eastAsia" w:ascii="仿宋_GB2312" w:hAnsi="宋体" w:eastAsia="仿宋_GB2312" w:cs="Times New Roman"/>
          <w:sz w:val="32"/>
          <w:szCs w:val="32"/>
          <w:lang w:eastAsia="zh-CN"/>
        </w:rPr>
        <w:t>常住</w:t>
      </w:r>
      <w:r>
        <w:rPr>
          <w:rFonts w:hint="eastAsia" w:ascii="仿宋_GB2312" w:hAnsi="宋体" w:eastAsia="仿宋_GB2312" w:cs="Times New Roman"/>
          <w:sz w:val="32"/>
          <w:szCs w:val="32"/>
        </w:rPr>
        <w:t>人口1.5万人，保护耕地0.4万亩。综合治理河长6.7km。本项目大部分表现为经济效益。</w:t>
      </w:r>
    </w:p>
    <w:p>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pStyle w:val="20"/>
        <w:spacing w:line="560" w:lineRule="exact"/>
        <w:ind w:firstLine="640" w:firstLineChars="200"/>
        <w:rPr>
          <w:rFonts w:hint="eastAsia" w:ascii="仿宋_GB2312" w:hAnsi="宋体" w:eastAsia="仿宋_GB2312" w:cs="Times New Roman"/>
          <w:sz w:val="32"/>
          <w:szCs w:val="32"/>
        </w:rPr>
      </w:pPr>
      <w:r>
        <w:rPr>
          <w:rFonts w:hint="eastAsia" w:ascii="仿宋_GB2312" w:hAnsi="宋体" w:eastAsia="仿宋_GB2312" w:cs="Times New Roman"/>
          <w:sz w:val="32"/>
          <w:szCs w:val="32"/>
        </w:rPr>
        <w:t>通过项目实施恢复及加固提防11段共1198米，切实保障老百姓的生命财产安全，保护了企事业单位达120家，</w:t>
      </w:r>
      <w:r>
        <w:rPr>
          <w:rFonts w:hint="eastAsia" w:ascii="仿宋_GB2312" w:hAnsi="宋体" w:eastAsia="仿宋_GB2312" w:cs="Times New Roman"/>
          <w:sz w:val="32"/>
          <w:szCs w:val="32"/>
          <w:lang w:eastAsia="zh-CN"/>
        </w:rPr>
        <w:t>常住</w:t>
      </w:r>
      <w:r>
        <w:rPr>
          <w:rFonts w:hint="eastAsia" w:ascii="仿宋_GB2312" w:hAnsi="宋体" w:eastAsia="仿宋_GB2312" w:cs="Times New Roman"/>
          <w:sz w:val="32"/>
          <w:szCs w:val="32"/>
        </w:rPr>
        <w:t>人口1.5万人，保护耕地0.4万亩。综合治理河长6.7km。本项目大部分表现为经济效益。</w:t>
      </w:r>
    </w:p>
    <w:p>
      <w:pPr>
        <w:pStyle w:val="20"/>
        <w:spacing w:line="560" w:lineRule="exact"/>
        <w:ind w:firstLine="640" w:firstLineChars="200"/>
        <w:rPr>
          <w:rFonts w:ascii="黑体" w:hAnsi="宋体" w:eastAsia="黑体"/>
          <w:sz w:val="32"/>
          <w:szCs w:val="32"/>
        </w:rPr>
      </w:pPr>
      <w:r>
        <w:rPr>
          <w:rFonts w:hint="eastAsia" w:ascii="黑体" w:hAnsi="宋体" w:eastAsia="黑体"/>
          <w:sz w:val="32"/>
          <w:szCs w:val="32"/>
        </w:rPr>
        <w:t>五、评价结论及建议</w:t>
      </w:r>
    </w:p>
    <w:p>
      <w:pPr>
        <w:pStyle w:val="20"/>
        <w:spacing w:line="560" w:lineRule="exact"/>
        <w:ind w:firstLine="643" w:firstLineChars="200"/>
        <w:rPr>
          <w:rFonts w:hint="eastAsia" w:ascii="仿宋_GB2312" w:hAnsi="宋体" w:eastAsia="仿宋_GB2312" w:cs="Times New Roman"/>
          <w:b w:val="0"/>
          <w:bCs w:val="0"/>
          <w:kern w:val="2"/>
          <w:sz w:val="32"/>
          <w:szCs w:val="32"/>
          <w:lang w:val="zh-CN" w:eastAsia="zh-CN" w:bidi="ar-SA"/>
        </w:rPr>
      </w:pPr>
      <w:r>
        <w:rPr>
          <w:rFonts w:hint="eastAsia" w:ascii="楷体_GB2312" w:hAnsi="宋体" w:eastAsia="楷体_GB2312"/>
          <w:b/>
          <w:sz w:val="32"/>
          <w:szCs w:val="32"/>
          <w:lang w:val="zh-CN"/>
        </w:rPr>
        <w:t>（一）评价结论。</w:t>
      </w:r>
      <w:r>
        <w:rPr>
          <w:rFonts w:hint="eastAsia" w:ascii="仿宋_GB2312" w:hAnsi="宋体" w:eastAsia="仿宋_GB2312" w:cs="Times New Roman"/>
          <w:b w:val="0"/>
          <w:bCs w:val="0"/>
          <w:kern w:val="2"/>
          <w:sz w:val="32"/>
          <w:szCs w:val="32"/>
          <w:lang w:val="zh-CN" w:eastAsia="zh-CN" w:bidi="ar-SA"/>
        </w:rPr>
        <w:t>达到预期目标。</w:t>
      </w:r>
    </w:p>
    <w:p>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r>
        <w:rPr>
          <w:rFonts w:hint="eastAsia" w:ascii="仿宋_GB2312" w:hAnsi="宋体" w:eastAsia="仿宋_GB2312" w:cs="Times New Roman"/>
          <w:sz w:val="32"/>
          <w:szCs w:val="32"/>
          <w:lang w:val="zh-CN"/>
        </w:rPr>
        <w:t>尚无存在的问题。</w:t>
      </w:r>
    </w:p>
    <w:p>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r>
        <w:rPr>
          <w:rFonts w:hint="eastAsia" w:ascii="仿宋_GB2312" w:hAnsi="宋体" w:eastAsia="仿宋_GB2312" w:cs="Times New Roman"/>
          <w:sz w:val="32"/>
          <w:szCs w:val="32"/>
          <w:lang w:val="zh-CN"/>
        </w:rPr>
        <w:t>无</w:t>
      </w:r>
    </w:p>
    <w:p>
      <w:pPr>
        <w:spacing w:line="580" w:lineRule="exact"/>
        <w:rPr>
          <w:rFonts w:ascii="黑体" w:hAnsi="黑体" w:eastAsia="黑体" w:cs="黑体"/>
          <w:sz w:val="32"/>
          <w:szCs w:val="32"/>
        </w:rPr>
      </w:pPr>
    </w:p>
    <w:p>
      <w:pPr>
        <w:tabs>
          <w:tab w:val="left" w:pos="1712"/>
        </w:tabs>
        <w:spacing w:line="580" w:lineRule="exact"/>
        <w:rPr>
          <w:rFonts w:hint="eastAsia" w:ascii="黑体" w:hAnsi="黑体" w:eastAsia="黑体" w:cs="黑体"/>
          <w:sz w:val="32"/>
          <w:szCs w:val="32"/>
        </w:rPr>
      </w:pPr>
    </w:p>
    <w:p>
      <w:pPr>
        <w:tabs>
          <w:tab w:val="left" w:pos="1712"/>
        </w:tabs>
        <w:spacing w:line="580" w:lineRule="exact"/>
        <w:rPr>
          <w:rFonts w:hint="eastAsia" w:ascii="黑体" w:hAnsi="黑体" w:eastAsia="黑体" w:cs="黑体"/>
          <w:sz w:val="32"/>
          <w:szCs w:val="32"/>
        </w:rPr>
      </w:pPr>
    </w:p>
    <w:p>
      <w:pPr>
        <w:tabs>
          <w:tab w:val="left" w:pos="1712"/>
        </w:tabs>
        <w:spacing w:line="580" w:lineRule="exact"/>
        <w:rPr>
          <w:rFonts w:hint="eastAsia" w:ascii="黑体" w:hAnsi="黑体" w:eastAsia="黑体" w:cs="黑体"/>
          <w:sz w:val="32"/>
          <w:szCs w:val="32"/>
        </w:rPr>
      </w:pPr>
    </w:p>
    <w:p>
      <w:pPr>
        <w:tabs>
          <w:tab w:val="left" w:pos="1712"/>
        </w:tabs>
        <w:spacing w:line="580" w:lineRule="exact"/>
        <w:rPr>
          <w:rFonts w:hint="eastAsia" w:ascii="黑体" w:hAnsi="黑体" w:eastAsia="黑体" w:cs="黑体"/>
          <w:sz w:val="32"/>
          <w:szCs w:val="32"/>
        </w:rPr>
      </w:pPr>
    </w:p>
    <w:p>
      <w:pPr>
        <w:tabs>
          <w:tab w:val="left" w:pos="1712"/>
        </w:tabs>
        <w:spacing w:line="580" w:lineRule="exact"/>
        <w:rPr>
          <w:rFonts w:hint="eastAsia" w:ascii="黑体" w:hAnsi="黑体" w:eastAsia="黑体" w:cs="黑体"/>
          <w:sz w:val="32"/>
          <w:szCs w:val="32"/>
        </w:rPr>
      </w:pPr>
    </w:p>
    <w:p>
      <w:pPr>
        <w:tabs>
          <w:tab w:val="left" w:pos="1712"/>
        </w:tabs>
        <w:spacing w:line="580" w:lineRule="exact"/>
        <w:rPr>
          <w:rFonts w:hint="eastAsia" w:ascii="黑体" w:hAnsi="黑体" w:eastAsia="黑体" w:cs="黑体"/>
          <w:sz w:val="32"/>
          <w:szCs w:val="32"/>
        </w:rPr>
      </w:pPr>
    </w:p>
    <w:p>
      <w:pPr>
        <w:tabs>
          <w:tab w:val="left" w:pos="1712"/>
        </w:tabs>
        <w:spacing w:line="580" w:lineRule="exact"/>
        <w:rPr>
          <w:rFonts w:hint="eastAsia" w:ascii="黑体" w:hAnsi="黑体" w:eastAsia="黑体" w:cs="黑体"/>
          <w:sz w:val="32"/>
          <w:szCs w:val="32"/>
        </w:rPr>
      </w:pPr>
    </w:p>
    <w:p>
      <w:pPr>
        <w:tabs>
          <w:tab w:val="left" w:pos="1712"/>
        </w:tabs>
        <w:spacing w:line="580" w:lineRule="exact"/>
        <w:rPr>
          <w:rFonts w:hint="eastAsia" w:ascii="黑体" w:hAnsi="黑体" w:eastAsia="黑体" w:cs="黑体"/>
          <w:sz w:val="32"/>
          <w:szCs w:val="32"/>
        </w:rPr>
      </w:pPr>
    </w:p>
    <w:p>
      <w:pPr>
        <w:tabs>
          <w:tab w:val="left" w:pos="1712"/>
        </w:tabs>
        <w:spacing w:line="580" w:lineRule="exact"/>
        <w:rPr>
          <w:rFonts w:hint="eastAsia" w:ascii="黑体" w:hAnsi="黑体" w:eastAsia="黑体" w:cs="黑体"/>
          <w:sz w:val="32"/>
          <w:szCs w:val="32"/>
        </w:rPr>
      </w:pPr>
    </w:p>
    <w:p>
      <w:pPr>
        <w:tabs>
          <w:tab w:val="left" w:pos="1712"/>
        </w:tabs>
        <w:spacing w:line="580" w:lineRule="exact"/>
        <w:rPr>
          <w:rFonts w:hint="eastAsia" w:ascii="黑体" w:hAnsi="黑体" w:eastAsia="黑体" w:cs="黑体"/>
          <w:sz w:val="32"/>
          <w:szCs w:val="32"/>
        </w:rPr>
      </w:pPr>
    </w:p>
    <w:p>
      <w:pPr>
        <w:tabs>
          <w:tab w:val="left" w:pos="1712"/>
        </w:tabs>
        <w:spacing w:line="580" w:lineRule="exact"/>
        <w:rPr>
          <w:rFonts w:hint="eastAsia" w:ascii="黑体" w:hAnsi="黑体" w:eastAsia="黑体" w:cs="黑体"/>
          <w:sz w:val="32"/>
          <w:szCs w:val="32"/>
        </w:rPr>
      </w:pPr>
    </w:p>
    <w:p>
      <w:pPr>
        <w:tabs>
          <w:tab w:val="left" w:pos="1712"/>
        </w:tabs>
        <w:spacing w:line="580" w:lineRule="exact"/>
        <w:rPr>
          <w:rFonts w:hint="eastAsia" w:ascii="黑体" w:hAnsi="黑体" w:eastAsia="黑体" w:cs="黑体"/>
          <w:sz w:val="32"/>
          <w:szCs w:val="32"/>
        </w:rPr>
      </w:pPr>
    </w:p>
    <w:p>
      <w:pPr>
        <w:tabs>
          <w:tab w:val="left" w:pos="1712"/>
        </w:tabs>
        <w:spacing w:line="580" w:lineRule="exact"/>
        <w:rPr>
          <w:rFonts w:hint="eastAsia" w:ascii="黑体" w:hAnsi="黑体" w:eastAsia="黑体" w:cs="黑体"/>
          <w:sz w:val="32"/>
          <w:szCs w:val="32"/>
        </w:rPr>
      </w:pPr>
    </w:p>
    <w:p>
      <w:pPr>
        <w:tabs>
          <w:tab w:val="left" w:pos="1712"/>
        </w:tabs>
        <w:spacing w:line="580" w:lineRule="exact"/>
        <w:outlineLvl w:val="0"/>
      </w:pPr>
      <w:bookmarkStart w:id="215" w:name="_Toc21430"/>
      <w:bookmarkStart w:id="216" w:name="_Toc7560"/>
      <w:bookmarkStart w:id="217" w:name="_Toc22798"/>
      <w:bookmarkStart w:id="218" w:name="_Toc15642"/>
      <w:bookmarkStart w:id="219" w:name="_Toc1388"/>
      <w:bookmarkStart w:id="220" w:name="_Toc740"/>
      <w:r>
        <w:rPr>
          <w:rFonts w:hint="eastAsia" w:ascii="黑体" w:hAnsi="黑体" w:eastAsia="黑体" w:cs="黑体"/>
          <w:sz w:val="32"/>
          <w:szCs w:val="32"/>
        </w:rPr>
        <w:t>附件5</w:t>
      </w:r>
      <w:bookmarkEnd w:id="215"/>
      <w:bookmarkEnd w:id="216"/>
      <w:bookmarkEnd w:id="217"/>
      <w:bookmarkEnd w:id="218"/>
      <w:bookmarkEnd w:id="219"/>
      <w:bookmarkEnd w:id="220"/>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rPr>
        <w:t>国家水土保持重点工程九寨沟县城沟小流域项目</w:t>
      </w:r>
      <w:r>
        <w:rPr>
          <w:rFonts w:hint="eastAsia" w:ascii="方正小标宋简体" w:hAnsi="宋体" w:eastAsia="方正小标宋简体"/>
          <w:color w:val="000000"/>
          <w:kern w:val="0"/>
          <w:sz w:val="44"/>
          <w:szCs w:val="44"/>
          <w:lang w:val="zh-CN"/>
        </w:rPr>
        <w:t>2019年绩效评价报告</w:t>
      </w:r>
    </w:p>
    <w:p>
      <w:pPr>
        <w:spacing w:line="600" w:lineRule="exact"/>
        <w:rPr>
          <w:rFonts w:ascii="宋体" w:hAns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pStyle w:val="2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国家水土保持重点工程九寨沟县城沟小流域项目共规划治理水土流失面积6.20km2，主要措施包括新建蓄水池5口，取水口1座(含沉砂池），新建护岸堤217.92m,铺设PE管5.35km，宣传碑1座，经果林0.82 hm²，封禁治理566.34hm²，保土耕作53.55hm²。</w:t>
      </w:r>
    </w:p>
    <w:p>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pStyle w:val="2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国家水土保持重点工程九寨沟县城沟小流域项目共规划治理水土流失面积6.20km2，主要措施包括新建蓄水池，取水口，护岸堤,并铺设PE管，宣传碑1座，经果林，封禁治理，保土耕作。通过对小流域治理及配套设施的建设，有效改善农业基础设施条件生产条件差的问题，护岸堤的修建有效的保证了农户耕地和房屋的安全。从根本上解决农业产业灌溉难的问题，从而实现农民增收，脱贫致富的目标。该项目于2019年8月10日开工建设，2019年11月26日已基本完成建设。</w:t>
      </w:r>
    </w:p>
    <w:p>
      <w:pPr>
        <w:pStyle w:val="20"/>
        <w:spacing w:line="560" w:lineRule="exact"/>
        <w:ind w:firstLine="643"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pStyle w:val="20"/>
        <w:spacing w:line="56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单位自评。</w:t>
      </w:r>
    </w:p>
    <w:p>
      <w:pPr>
        <w:pStyle w:val="20"/>
        <w:spacing w:line="560" w:lineRule="exact"/>
        <w:ind w:firstLine="640" w:firstLineChars="200"/>
        <w:rPr>
          <w:rFonts w:ascii="黑体" w:hAnsi="宋体" w:eastAsia="黑体"/>
          <w:sz w:val="32"/>
          <w:szCs w:val="32"/>
        </w:rPr>
      </w:pPr>
      <w:r>
        <w:rPr>
          <w:rFonts w:hint="eastAsia" w:ascii="黑体" w:hAnsi="宋体" w:eastAsia="黑体"/>
          <w:sz w:val="32"/>
          <w:szCs w:val="32"/>
        </w:rPr>
        <w:t>二、项目资金申报及使用情况</w:t>
      </w:r>
    </w:p>
    <w:p>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项目申报内容与具体实施内容相符、申报目标合理可行。</w:t>
      </w:r>
    </w:p>
    <w:p>
      <w:pPr>
        <w:pStyle w:val="20"/>
        <w:spacing w:line="560" w:lineRule="exact"/>
        <w:ind w:firstLine="643" w:firstLineChars="20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en-US" w:eastAsia="zh-CN"/>
        </w:rPr>
        <w:t>1.</w:t>
      </w:r>
      <w:r>
        <w:rPr>
          <w:rFonts w:hint="eastAsia" w:ascii="仿宋_GB2312" w:hAnsi="宋体" w:eastAsia="仿宋_GB2312"/>
          <w:sz w:val="32"/>
          <w:szCs w:val="32"/>
        </w:rPr>
        <w:t>国家水土保持重点工程九寨沟县城沟小流域项目：</w:t>
      </w:r>
      <w:r>
        <w:rPr>
          <w:rFonts w:hint="eastAsia" w:ascii="仿宋" w:hAnsi="仿宋" w:eastAsia="仿宋" w:cs="仿宋"/>
          <w:kern w:val="0"/>
          <w:sz w:val="32"/>
          <w:szCs w:val="32"/>
        </w:rPr>
        <w:t>《九寨沟县财政局关于下达国家水土保持重点工程九寨沟县城沟小流域项目资金的通知》（九财预【2019】54号）文件下达我局726,205.34元，《九寨沟县财政局关于下达国家水土保持重点工程九寨沟县城沟小流域项目资金的通知》（九财预【2019】56号）文件下达我局1,833,794.66元，共计256万元。资金</w:t>
      </w:r>
      <w:r>
        <w:rPr>
          <w:rFonts w:hint="eastAsia" w:ascii="仿宋_GB2312" w:hAnsi="宋体" w:eastAsia="仿宋_GB2312"/>
          <w:sz w:val="32"/>
          <w:szCs w:val="32"/>
          <w:lang w:val="zh-CN"/>
        </w:rPr>
        <w:t>到位及时，到位率</w:t>
      </w:r>
      <w:r>
        <w:rPr>
          <w:rFonts w:hint="eastAsia" w:ascii="仿宋_GB2312" w:hAnsi="宋体" w:eastAsia="仿宋_GB2312"/>
          <w:sz w:val="32"/>
          <w:szCs w:val="32"/>
        </w:rPr>
        <w:t>100%</w:t>
      </w:r>
      <w:r>
        <w:rPr>
          <w:rFonts w:hint="eastAsia" w:ascii="仿宋_GB2312" w:hAnsi="宋体" w:eastAsia="仿宋_GB2312"/>
          <w:sz w:val="32"/>
          <w:szCs w:val="32"/>
          <w:lang w:val="zh-CN"/>
        </w:rPr>
        <w:t>。</w:t>
      </w:r>
    </w:p>
    <w:p>
      <w:pPr>
        <w:pStyle w:val="20"/>
        <w:spacing w:line="560" w:lineRule="exact"/>
        <w:ind w:firstLine="640" w:firstLineChars="200"/>
        <w:rPr>
          <w:rFonts w:ascii="仿宋_GB2312" w:hAnsi="宋体" w:eastAsia="仿宋_GB2312"/>
          <w:sz w:val="32"/>
          <w:szCs w:val="32"/>
          <w:lang w:val="zh-CN"/>
        </w:rPr>
      </w:pPr>
      <w:r>
        <w:rPr>
          <w:rFonts w:hint="eastAsia" w:ascii="楷体_GB2312" w:hAnsi="宋体" w:eastAsia="楷体_GB2312"/>
          <w:sz w:val="32"/>
          <w:szCs w:val="32"/>
          <w:lang w:val="zh-CN"/>
        </w:rPr>
        <w:t>2．资金使用。</w:t>
      </w:r>
      <w:r>
        <w:rPr>
          <w:rFonts w:hint="eastAsia" w:ascii="仿宋_GB2312" w:hAnsi="宋体" w:eastAsia="仿宋_GB2312"/>
          <w:sz w:val="32"/>
          <w:szCs w:val="32"/>
          <w:lang w:val="zh-CN"/>
        </w:rPr>
        <w:t>截止目前，已支付工程款1</w:t>
      </w:r>
      <w:r>
        <w:rPr>
          <w:rFonts w:hint="eastAsia" w:ascii="仿宋_GB2312" w:hAnsi="宋体" w:eastAsia="仿宋_GB2312"/>
          <w:sz w:val="32"/>
          <w:szCs w:val="32"/>
        </w:rPr>
        <w:t>,</w:t>
      </w:r>
      <w:r>
        <w:rPr>
          <w:rFonts w:hint="eastAsia" w:ascii="仿宋_GB2312" w:hAnsi="宋体" w:eastAsia="仿宋_GB2312"/>
          <w:sz w:val="32"/>
          <w:szCs w:val="32"/>
          <w:lang w:val="zh-CN"/>
        </w:rPr>
        <w:t>604</w:t>
      </w:r>
      <w:r>
        <w:rPr>
          <w:rFonts w:hint="eastAsia" w:ascii="仿宋_GB2312" w:hAnsi="宋体" w:eastAsia="仿宋_GB2312"/>
          <w:sz w:val="32"/>
          <w:szCs w:val="32"/>
        </w:rPr>
        <w:t>,</w:t>
      </w:r>
      <w:r>
        <w:rPr>
          <w:rFonts w:hint="eastAsia" w:ascii="仿宋_GB2312" w:hAnsi="宋体" w:eastAsia="仿宋_GB2312"/>
          <w:sz w:val="32"/>
          <w:szCs w:val="32"/>
          <w:lang w:val="zh-CN"/>
        </w:rPr>
        <w:t>914.00 元，已支付项目可研设计费49</w:t>
      </w:r>
      <w:r>
        <w:rPr>
          <w:rFonts w:hint="eastAsia" w:ascii="仿宋_GB2312" w:hAnsi="宋体" w:eastAsia="仿宋_GB2312"/>
          <w:sz w:val="32"/>
          <w:szCs w:val="32"/>
        </w:rPr>
        <w:t>,</w:t>
      </w:r>
      <w:r>
        <w:rPr>
          <w:rFonts w:hint="eastAsia" w:ascii="仿宋_GB2312" w:hAnsi="宋体" w:eastAsia="仿宋_GB2312"/>
          <w:sz w:val="32"/>
          <w:szCs w:val="32"/>
          <w:lang w:val="zh-CN"/>
        </w:rPr>
        <w:t>450.00 元，已支付实施方案设计费</w:t>
      </w:r>
      <w:r>
        <w:rPr>
          <w:rFonts w:hint="eastAsia" w:ascii="仿宋_GB2312" w:hAnsi="宋体" w:eastAsia="仿宋_GB2312"/>
          <w:sz w:val="32"/>
          <w:szCs w:val="32"/>
        </w:rPr>
        <w:t>80,000.00元，</w:t>
      </w:r>
      <w:r>
        <w:rPr>
          <w:rFonts w:hint="eastAsia" w:ascii="仿宋_GB2312" w:hAnsi="宋体" w:eastAsia="仿宋_GB2312"/>
          <w:sz w:val="32"/>
          <w:szCs w:val="32"/>
          <w:lang w:val="zh-CN"/>
        </w:rPr>
        <w:t>已支付监理费34</w:t>
      </w:r>
      <w:r>
        <w:rPr>
          <w:rFonts w:hint="eastAsia" w:ascii="仿宋_GB2312" w:hAnsi="宋体" w:eastAsia="仿宋_GB2312"/>
          <w:sz w:val="32"/>
          <w:szCs w:val="32"/>
        </w:rPr>
        <w:t>,</w:t>
      </w:r>
      <w:r>
        <w:rPr>
          <w:rFonts w:hint="eastAsia" w:ascii="仿宋_GB2312" w:hAnsi="宋体" w:eastAsia="仿宋_GB2312"/>
          <w:sz w:val="32"/>
          <w:szCs w:val="32"/>
          <w:lang w:val="zh-CN"/>
        </w:rPr>
        <w:t xml:space="preserve">480.00 </w:t>
      </w:r>
      <w:r>
        <w:rPr>
          <w:rFonts w:hint="eastAsia" w:ascii="仿宋_GB2312" w:hAnsi="宋体" w:eastAsia="仿宋_GB2312"/>
          <w:sz w:val="32"/>
          <w:szCs w:val="32"/>
        </w:rPr>
        <w:t>元</w:t>
      </w:r>
      <w:r>
        <w:rPr>
          <w:rFonts w:hint="eastAsia" w:ascii="仿宋_GB2312" w:hAnsi="宋体" w:eastAsia="仿宋_GB2312"/>
          <w:sz w:val="32"/>
          <w:szCs w:val="32"/>
          <w:lang w:val="zh-CN"/>
        </w:rPr>
        <w:t>，已支付第三方检测费</w:t>
      </w:r>
      <w:r>
        <w:rPr>
          <w:rFonts w:hint="eastAsia" w:ascii="仿宋_GB2312" w:hAnsi="宋体" w:eastAsia="仿宋_GB2312"/>
          <w:sz w:val="32"/>
          <w:szCs w:val="32"/>
        </w:rPr>
        <w:t>6,400.00元。</w:t>
      </w:r>
      <w:r>
        <w:rPr>
          <w:rFonts w:hint="eastAsia" w:ascii="仿宋_GB2312" w:hAnsi="宋体" w:eastAsia="仿宋_GB2312"/>
          <w:sz w:val="32"/>
          <w:szCs w:val="32"/>
          <w:lang w:val="zh-CN"/>
        </w:rPr>
        <w:t>支付依据合规合法。</w:t>
      </w:r>
    </w:p>
    <w:p>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pStyle w:val="2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资金实行专户存储、专账核算、专人管理、专款专用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县级报账、转账结付的办法。</w:t>
      </w:r>
    </w:p>
    <w:p>
      <w:pPr>
        <w:pStyle w:val="20"/>
        <w:spacing w:line="560" w:lineRule="exact"/>
        <w:ind w:firstLine="640" w:firstLineChars="200"/>
        <w:rPr>
          <w:rFonts w:ascii="黑体" w:hAnsi="宋体" w:eastAsia="黑体"/>
          <w:sz w:val="32"/>
          <w:szCs w:val="32"/>
        </w:rPr>
      </w:pPr>
      <w:r>
        <w:rPr>
          <w:rFonts w:hint="eastAsia" w:ascii="黑体" w:hAnsi="宋体" w:eastAsia="黑体"/>
          <w:sz w:val="32"/>
          <w:szCs w:val="32"/>
        </w:rPr>
        <w:t>三、项目实施及管理情况</w:t>
      </w:r>
    </w:p>
    <w:p>
      <w:pPr>
        <w:pStyle w:val="20"/>
        <w:spacing w:line="560" w:lineRule="exact"/>
        <w:ind w:firstLine="640" w:firstLineChars="200"/>
        <w:rPr>
          <w:rFonts w:eastAsia="仿宋_GB2312"/>
          <w:color w:val="000000"/>
          <w:sz w:val="32"/>
          <w:szCs w:val="32"/>
        </w:rPr>
      </w:pPr>
      <w:r>
        <w:rPr>
          <w:rFonts w:hint="eastAsia" w:eastAsia="仿宋_GB2312"/>
          <w:color w:val="000000"/>
          <w:sz w:val="32"/>
          <w:szCs w:val="32"/>
        </w:rPr>
        <w:t>项目</w:t>
      </w:r>
      <w:r>
        <w:rPr>
          <w:rFonts w:eastAsia="仿宋_GB2312"/>
          <w:color w:val="000000"/>
          <w:sz w:val="32"/>
          <w:szCs w:val="32"/>
        </w:rPr>
        <w:t>资金实行专户存储、专账核算、专人管理、专款专用</w:t>
      </w:r>
      <w:r>
        <w:rPr>
          <w:rFonts w:hint="eastAsia" w:eastAsia="仿宋_GB2312"/>
          <w:color w:val="000000"/>
          <w:sz w:val="32"/>
          <w:szCs w:val="32"/>
        </w:rPr>
        <w:t>，</w:t>
      </w:r>
      <w:r>
        <w:rPr>
          <w:rFonts w:eastAsia="仿宋_GB2312"/>
          <w:color w:val="000000"/>
          <w:sz w:val="32"/>
          <w:szCs w:val="32"/>
        </w:rPr>
        <w:t>县级报账、转账结付的办法。</w:t>
      </w:r>
    </w:p>
    <w:p>
      <w:pPr>
        <w:pStyle w:val="20"/>
        <w:numPr>
          <w:ilvl w:val="0"/>
          <w:numId w:val="6"/>
        </w:numPr>
        <w:spacing w:line="560" w:lineRule="exact"/>
        <w:ind w:firstLine="643"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项目组织架构及实施流程。</w:t>
      </w:r>
    </w:p>
    <w:p>
      <w:pPr>
        <w:pStyle w:val="20"/>
        <w:spacing w:line="560" w:lineRule="exact"/>
        <w:ind w:firstLine="640" w:firstLineChars="200"/>
        <w:rPr>
          <w:lang w:val="zh-CN"/>
        </w:rPr>
      </w:pPr>
      <w:r>
        <w:rPr>
          <w:rFonts w:hint="eastAsia" w:ascii="仿宋_GB2312" w:hAnsi="宋体" w:eastAsia="仿宋_GB2312"/>
          <w:sz w:val="32"/>
          <w:szCs w:val="32"/>
        </w:rPr>
        <w:t>两个项目工程建设部分均采用比选方式确定。</w:t>
      </w:r>
    </w:p>
    <w:p>
      <w:pPr>
        <w:numPr>
          <w:ilvl w:val="0"/>
          <w:numId w:val="0"/>
        </w:numPr>
        <w:adjustRightInd w:val="0"/>
        <w:snapToGrid w:val="0"/>
        <w:spacing w:line="600" w:lineRule="exact"/>
        <w:ind w:left="720" w:leftChars="0"/>
        <w:rPr>
          <w:rFonts w:ascii="仿宋_GB2312" w:hAnsi="宋体" w:eastAsia="仿宋_GB2312"/>
          <w:sz w:val="32"/>
          <w:szCs w:val="32"/>
          <w:lang w:val="zh-CN"/>
        </w:rPr>
      </w:pPr>
      <w:r>
        <w:rPr>
          <w:rFonts w:hint="eastAsia" w:ascii="楷体_GB2312" w:hAnsi="宋体" w:eastAsia="楷体_GB2312"/>
          <w:b/>
          <w:sz w:val="32"/>
          <w:szCs w:val="32"/>
          <w:lang w:val="zh-CN"/>
        </w:rPr>
        <w:t>（二）项目管理情况。</w:t>
      </w:r>
    </w:p>
    <w:p>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cs="Times New Roman"/>
          <w:sz w:val="32"/>
          <w:szCs w:val="32"/>
          <w:lang w:val="zh-CN"/>
        </w:rPr>
        <w:t>项目按照法律法规相关规定进行公开招投标确定相关实施单位，并严格按照项目招投标结果签订项目实施合同，按照合同中时间节点质量要求严格执行验收及拨付资金程序。项目总体评价为各项目实施单位执行相关法律法规及项目管理制度，按照招投标、政府采购、项目公示制等相关规定执行。</w:t>
      </w:r>
    </w:p>
    <w:p>
      <w:pPr>
        <w:numPr>
          <w:ilvl w:val="0"/>
          <w:numId w:val="0"/>
        </w:numPr>
        <w:adjustRightInd w:val="0"/>
        <w:snapToGrid w:val="0"/>
        <w:spacing w:line="600" w:lineRule="exact"/>
        <w:ind w:left="720" w:leftChars="0"/>
        <w:rPr>
          <w:rFonts w:hint="eastAsia" w:ascii="楷体_GB2312" w:hAnsi="宋体" w:eastAsia="楷体_GB2312"/>
          <w:b/>
          <w:sz w:val="32"/>
          <w:szCs w:val="32"/>
          <w:lang w:val="zh-CN"/>
        </w:rPr>
      </w:pPr>
      <w:r>
        <w:rPr>
          <w:rFonts w:hint="eastAsia" w:ascii="楷体_GB2312" w:hAnsi="宋体" w:eastAsia="楷体_GB2312"/>
          <w:b/>
          <w:sz w:val="32"/>
          <w:szCs w:val="32"/>
          <w:lang w:val="zh-CN"/>
        </w:rPr>
        <w:t>（三）项目监管情况。</w:t>
      </w:r>
    </w:p>
    <w:p>
      <w:pPr>
        <w:pStyle w:val="20"/>
        <w:spacing w:line="56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严格按照项目审批及招投标程序，严格执行项目验收及资金拨付程序。</w:t>
      </w:r>
    </w:p>
    <w:p>
      <w:pPr>
        <w:numPr>
          <w:ilvl w:val="0"/>
          <w:numId w:val="0"/>
        </w:numPr>
        <w:adjustRightInd w:val="0"/>
        <w:snapToGrid w:val="0"/>
        <w:spacing w:line="600" w:lineRule="exact"/>
        <w:ind w:left="720" w:leftChars="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pStyle w:val="2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 xml:space="preserve">该项目目前已进入审计阶段。 </w:t>
      </w:r>
    </w:p>
    <w:p>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rPr>
        <w:t>水土保持项目以改善小流域环境，改善农民生产生活条件和农业基础设施条件，提高农业产业质量，降低了农民的劳动强度，对生态环境的保护提供有效保障。项目的实施有利于百姓脱贫奔康和对生产生活环境的生态治理。本项目大部分表现为经济效益和生态效益</w:t>
      </w:r>
      <w:r>
        <w:rPr>
          <w:rFonts w:hint="eastAsia" w:ascii="仿宋_GB2312" w:hAnsi="宋体" w:eastAsia="仿宋_GB2312"/>
          <w:sz w:val="32"/>
          <w:szCs w:val="32"/>
          <w:lang w:val="zh-CN"/>
        </w:rPr>
        <w:t>。</w:t>
      </w:r>
    </w:p>
    <w:p>
      <w:pPr>
        <w:pStyle w:val="20"/>
        <w:spacing w:line="560" w:lineRule="exact"/>
        <w:ind w:firstLine="640" w:firstLineChars="200"/>
        <w:rPr>
          <w:rFonts w:ascii="黑体" w:hAnsi="宋体" w:eastAsia="黑体"/>
          <w:sz w:val="32"/>
          <w:szCs w:val="32"/>
        </w:rPr>
      </w:pPr>
      <w:r>
        <w:rPr>
          <w:rFonts w:hint="eastAsia" w:ascii="黑体" w:hAnsi="宋体" w:eastAsia="黑体"/>
          <w:sz w:val="32"/>
          <w:szCs w:val="32"/>
        </w:rPr>
        <w:t>五、评价结论及建议</w:t>
      </w:r>
    </w:p>
    <w:p>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r>
        <w:rPr>
          <w:rFonts w:hint="eastAsia" w:ascii="仿宋_GB2312" w:hAnsi="宋体" w:eastAsia="仿宋_GB2312" w:cs="Times New Roman"/>
          <w:b w:val="0"/>
          <w:bCs w:val="0"/>
          <w:kern w:val="2"/>
          <w:sz w:val="32"/>
          <w:szCs w:val="32"/>
          <w:lang w:val="zh-CN" w:eastAsia="zh-CN" w:bidi="ar-SA"/>
        </w:rPr>
        <w:t>达到预期目标。</w:t>
      </w:r>
    </w:p>
    <w:p>
      <w:pPr>
        <w:pStyle w:val="20"/>
        <w:spacing w:line="560" w:lineRule="exact"/>
        <w:ind w:firstLine="643" w:firstLineChars="200"/>
        <w:rPr>
          <w:rFonts w:hint="eastAsia" w:ascii="仿宋_GB2312" w:hAnsi="宋体" w:eastAsia="仿宋_GB2312"/>
          <w:sz w:val="32"/>
          <w:szCs w:val="32"/>
          <w:lang w:val="zh-CN" w:eastAsia="zh-CN"/>
        </w:rPr>
      </w:pPr>
      <w:r>
        <w:rPr>
          <w:rFonts w:hint="eastAsia" w:ascii="楷体_GB2312" w:hAnsi="宋体" w:eastAsia="楷体_GB2312"/>
          <w:b/>
          <w:sz w:val="32"/>
          <w:szCs w:val="32"/>
          <w:lang w:val="zh-CN"/>
        </w:rPr>
        <w:t>（二）存在的问题。</w:t>
      </w:r>
      <w:r>
        <w:rPr>
          <w:rFonts w:hint="eastAsia" w:ascii="仿宋_GB2312" w:hAnsi="宋体" w:eastAsia="仿宋_GB2312"/>
          <w:sz w:val="32"/>
          <w:szCs w:val="32"/>
          <w:lang w:eastAsia="zh-CN"/>
        </w:rPr>
        <w:t>尚</w:t>
      </w:r>
      <w:r>
        <w:rPr>
          <w:rFonts w:hint="eastAsia" w:ascii="仿宋_GB2312" w:hAnsi="宋体" w:eastAsia="仿宋_GB2312"/>
          <w:sz w:val="32"/>
          <w:szCs w:val="32"/>
        </w:rPr>
        <w:t>无问题</w:t>
      </w:r>
      <w:r>
        <w:rPr>
          <w:rFonts w:hint="eastAsia" w:ascii="仿宋_GB2312" w:hAnsi="宋体" w:eastAsia="仿宋_GB2312"/>
          <w:sz w:val="32"/>
          <w:szCs w:val="32"/>
          <w:lang w:eastAsia="zh-CN"/>
        </w:rPr>
        <w:t>存在。</w:t>
      </w:r>
    </w:p>
    <w:p>
      <w:pPr>
        <w:pStyle w:val="20"/>
        <w:spacing w:line="560" w:lineRule="exact"/>
        <w:ind w:firstLine="643" w:firstLineChars="200"/>
      </w:pPr>
      <w:r>
        <w:rPr>
          <w:rFonts w:hint="eastAsia" w:ascii="楷体_GB2312" w:hAnsi="宋体" w:eastAsia="楷体_GB2312"/>
          <w:b/>
          <w:sz w:val="32"/>
          <w:szCs w:val="32"/>
          <w:lang w:val="zh-CN"/>
        </w:rPr>
        <w:t>（三）相关建议。</w:t>
      </w:r>
      <w:r>
        <w:rPr>
          <w:rFonts w:hint="eastAsia" w:ascii="仿宋" w:hAnsi="仿宋" w:eastAsia="仿宋" w:cs="仿宋"/>
          <w:sz w:val="32"/>
          <w:szCs w:val="32"/>
        </w:rPr>
        <w:t>建立健全项目运行管理机制。结合我县水土流失实际情况，对所建的水土保持项目明确项目移交后的工程管理者职责，确保工程建成后长效运行。</w:t>
      </w:r>
    </w:p>
    <w:p>
      <w:pPr>
        <w:spacing w:line="580" w:lineRule="exact"/>
        <w:rPr>
          <w:rFonts w:hint="eastAsia" w:ascii="黑体" w:hAnsi="黑体" w:eastAsia="黑体" w:cs="黑体"/>
          <w:sz w:val="32"/>
          <w:szCs w:val="32"/>
        </w:rPr>
      </w:pPr>
    </w:p>
    <w:p>
      <w:pPr>
        <w:spacing w:line="580" w:lineRule="exact"/>
        <w:outlineLvl w:val="0"/>
        <w:rPr>
          <w:rFonts w:ascii="仿宋_GB2312" w:hAnsi="仿宋_GB2312" w:eastAsia="仿宋_GB2312" w:cs="仿宋_GB2312"/>
          <w:sz w:val="32"/>
          <w:szCs w:val="32"/>
        </w:rPr>
      </w:pPr>
      <w:bookmarkStart w:id="221" w:name="_Toc11687"/>
      <w:bookmarkStart w:id="222" w:name="_Toc4135"/>
      <w:bookmarkStart w:id="223" w:name="_Toc9449"/>
      <w:bookmarkStart w:id="224" w:name="_Toc8449"/>
      <w:bookmarkStart w:id="225" w:name="_Toc16838"/>
      <w:bookmarkStart w:id="226" w:name="_Toc30548"/>
      <w:r>
        <w:rPr>
          <w:rFonts w:hint="eastAsia" w:ascii="黑体" w:hAnsi="黑体" w:eastAsia="黑体" w:cs="黑体"/>
          <w:sz w:val="32"/>
          <w:szCs w:val="32"/>
        </w:rPr>
        <w:t>附件6</w:t>
      </w:r>
      <w:bookmarkEnd w:id="221"/>
      <w:bookmarkEnd w:id="222"/>
      <w:bookmarkEnd w:id="223"/>
      <w:bookmarkEnd w:id="224"/>
      <w:bookmarkEnd w:id="225"/>
      <w:bookmarkEnd w:id="226"/>
    </w:p>
    <w:p>
      <w:pPr>
        <w:spacing w:line="600" w:lineRule="exact"/>
        <w:jc w:val="center"/>
        <w:rPr>
          <w:rFonts w:ascii="宋体" w:hAnsi="宋体"/>
          <w:sz w:val="32"/>
          <w:szCs w:val="32"/>
          <w:lang w:val="zh-CN"/>
        </w:rPr>
      </w:pPr>
      <w:r>
        <w:rPr>
          <w:rFonts w:hint="eastAsia" w:ascii="方正小标宋简体" w:hAnsi="宋体" w:eastAsia="方正小标宋简体"/>
          <w:color w:val="000000"/>
          <w:kern w:val="0"/>
          <w:sz w:val="44"/>
          <w:szCs w:val="44"/>
          <w:lang w:val="zh-CN"/>
        </w:rPr>
        <w:t>九寨沟县河湖管理范围划定工作（一）</w:t>
      </w:r>
      <w:r>
        <w:rPr>
          <w:rFonts w:hint="eastAsia" w:ascii="方正小标宋简体" w:hAnsi="宋体" w:eastAsia="方正小标宋简体"/>
          <w:color w:val="000000"/>
          <w:kern w:val="0"/>
          <w:sz w:val="44"/>
          <w:szCs w:val="44"/>
        </w:rPr>
        <w:t>2019年</w:t>
      </w:r>
      <w:r>
        <w:rPr>
          <w:rFonts w:hint="eastAsia" w:ascii="方正小标宋简体" w:hAnsi="宋体" w:eastAsia="方正小标宋简体"/>
          <w:color w:val="000000"/>
          <w:kern w:val="0"/>
          <w:sz w:val="44"/>
          <w:szCs w:val="44"/>
          <w:lang w:val="zh-CN"/>
        </w:rPr>
        <w:t>期评价报告</w:t>
      </w: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九寨沟县汤珠河、中路河、草地沟三条河流的管理范围划定，其中，汤珠河40460米，中路河5465米，草地沟14924米，共60849米。该项目于2019年9月公开招标采购编制服务，并于2019年10月15日与编制服务单位签订编制服务合同。受疫情影响，划界成果延迟了审查时间，导致项目实施进度滞后。2020年5月九寨沟县水务局组织相关专家对划界成果进行了技术审查，并达到入库要求。</w:t>
      </w:r>
    </w:p>
    <w:p>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rPr>
        <w:t>(二）</w:t>
      </w:r>
      <w:r>
        <w:rPr>
          <w:rFonts w:hint="eastAsia" w:ascii="楷体_GB2312" w:hAnsi="宋体" w:eastAsia="楷体_GB2312"/>
          <w:b/>
          <w:sz w:val="32"/>
          <w:szCs w:val="32"/>
          <w:lang w:val="zh-CN"/>
        </w:rPr>
        <w:t>项目资金申报及批复情况。</w:t>
      </w:r>
      <w:r>
        <w:rPr>
          <w:rFonts w:hint="eastAsia" w:ascii="楷体_GB2312" w:hAnsi="宋体" w:eastAsia="楷体_GB2312"/>
          <w:b/>
          <w:sz w:val="32"/>
          <w:szCs w:val="32"/>
          <w:lang w:val="zh-CN"/>
        </w:rPr>
        <w:tab/>
      </w:r>
    </w:p>
    <w:p>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该项目根据《阿坝州财政局 阿坝州水务局关于下达2019年中央水利发展资金的通知》（阿州财农〔2019〕49号）下达2019年中央水利发展资金115万元，其中50万元用于开展河湖管护工作；县财政局在九水务〔2019〕65号文件回复中建议下达存量资金86万元用于河湖范围划定试点工作。</w:t>
      </w:r>
    </w:p>
    <w:p>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开展九寨沟县汤珠河、中路河、草地沟三条河流共60849米的管理范围划定工作。</w:t>
      </w:r>
    </w:p>
    <w:p>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pStyle w:val="20"/>
        <w:spacing w:line="560" w:lineRule="exact"/>
        <w:ind w:firstLine="640" w:firstLineChars="200"/>
        <w:rPr>
          <w:lang w:val="zh-CN"/>
        </w:rPr>
      </w:pPr>
      <w:r>
        <w:rPr>
          <w:rFonts w:hint="eastAsia" w:ascii="仿宋_GB2312" w:hAnsi="宋体" w:eastAsia="仿宋_GB2312"/>
          <w:sz w:val="32"/>
          <w:szCs w:val="32"/>
          <w:lang w:val="zh-CN"/>
        </w:rPr>
        <w:t>项目申报内容与具体实施内容相符、申报目标合理可行。</w:t>
      </w:r>
    </w:p>
    <w:p>
      <w:pPr>
        <w:pStyle w:val="20"/>
        <w:spacing w:line="560" w:lineRule="exact"/>
        <w:ind w:firstLine="643" w:firstLineChars="20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1．资金计划及到位。经阿州财农〔2019〕49号下达2019年中央水利发展资金115万元，其中50万元用于开展河湖管护工作，县财政局在九水务〔2019〕65号文件回复中建议下达存量资金86万元用于河湖范围划定试点工作。共到位资金136万元，到位率100%。</w:t>
      </w:r>
    </w:p>
    <w:p>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2．资金使用。截止目前，已支付39.66万元，剩余质保金92.54万元待验收合格后支付，支付依据合规合法。</w:t>
      </w:r>
    </w:p>
    <w:p>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项目资金实行专户存储、专账核算、专人管理、专款专用，县级报账、转账结付的办法。</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九寨沟县水务局以公开招标的方式确定四川禹冰工程勘察设计有限公司、烟台市水利建筑勘察设计研究院为该编制服务单位。该项目于2019年10月15日与编制服务单位签订编制服务合同。</w:t>
      </w:r>
    </w:p>
    <w:p>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r>
        <w:rPr>
          <w:rFonts w:hint="eastAsia" w:ascii="仿宋_GB2312" w:hAnsi="宋体" w:eastAsia="仿宋_GB2312"/>
          <w:sz w:val="32"/>
          <w:szCs w:val="32"/>
        </w:rPr>
        <w:t>项目工程建设部分均该项目由公开采购方式确定。</w:t>
      </w:r>
    </w:p>
    <w:p>
      <w:pPr>
        <w:pStyle w:val="20"/>
        <w:spacing w:line="560" w:lineRule="exact"/>
        <w:ind w:firstLine="643"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（二）项目管理情况。</w:t>
      </w:r>
    </w:p>
    <w:p>
      <w:pPr>
        <w:pStyle w:val="20"/>
        <w:spacing w:line="560" w:lineRule="exact"/>
        <w:ind w:firstLine="640" w:firstLineChars="200"/>
        <w:rPr>
          <w:lang w:val="zh-CN"/>
        </w:rPr>
      </w:pPr>
      <w:r>
        <w:rPr>
          <w:rFonts w:hint="eastAsia" w:ascii="仿宋_GB2312" w:hAnsi="宋体" w:eastAsia="仿宋_GB2312" w:cs="Times New Roman"/>
          <w:sz w:val="32"/>
          <w:szCs w:val="32"/>
          <w:lang w:val="zh-CN"/>
        </w:rPr>
        <w:t>项目按照法律法规相关规定进行公开招投标确定相关实施单位，并严格按照项目招投标结果签订项目实施合同，按照合同中时间节点质量要求严格执行验收及拨付资金程序。项目总体评价为各项目实施单位执行相关法律法规及项目管理制度，按照招投标、政府采购、项目公示制等相关规定执行。</w:t>
      </w:r>
    </w:p>
    <w:p>
      <w:pPr>
        <w:pStyle w:val="20"/>
        <w:spacing w:line="560" w:lineRule="exact"/>
        <w:ind w:firstLine="643" w:firstLineChars="200"/>
        <w:rPr>
          <w:rFonts w:hint="eastAsia" w:ascii="仿宋_GB2312" w:hAnsi="宋体" w:eastAsia="仿宋_GB2312"/>
          <w:sz w:val="32"/>
          <w:szCs w:val="32"/>
          <w:lang w:val="zh-CN"/>
        </w:rPr>
      </w:pPr>
      <w:r>
        <w:rPr>
          <w:rFonts w:hint="eastAsia" w:ascii="楷体_GB2312" w:hAnsi="宋体" w:eastAsia="楷体_GB2312"/>
          <w:b/>
          <w:sz w:val="32"/>
          <w:szCs w:val="32"/>
          <w:lang w:val="zh-CN"/>
        </w:rPr>
        <w:t>（三）项目监管情况。</w:t>
      </w:r>
    </w:p>
    <w:p>
      <w:pPr>
        <w:pStyle w:val="20"/>
        <w:spacing w:line="56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严格按照项目审批及招投标程序，严格执行项目验收及资金拨付程序。</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该项目于2019年9月公开招标采购编制服务，并于2019年10月15日与编制服务单位签订编制服务合同。受疫情影响，划界成果延迟了审查时间，导致项目实施进度滞后。2020年5月九寨沟县水务局组织相关专家对划界成果进行了技术审查，并达到入库要求。项目将于2020年9月底进行现场定桩划界，10月组织综合验收。</w:t>
      </w:r>
    </w:p>
    <w:p>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九寨沟县河湖管理范围划定工作（一期）的实施，为我县河道执法和管理提供了前提条件，是河道行洪安全的保障。是切实加强河湖水域岸线管理的重要举措，是实施“一河一策”保护治理的重要依据。</w:t>
      </w:r>
    </w:p>
    <w:p>
      <w:pPr>
        <w:pStyle w:val="20"/>
        <w:spacing w:line="560" w:lineRule="exact"/>
        <w:ind w:firstLine="640" w:firstLineChars="200"/>
        <w:rPr>
          <w:rFonts w:ascii="黑体" w:hAnsi="宋体" w:eastAsia="黑体"/>
          <w:sz w:val="32"/>
          <w:szCs w:val="32"/>
        </w:rPr>
      </w:pPr>
      <w:r>
        <w:rPr>
          <w:rFonts w:hint="eastAsia" w:ascii="黑体" w:hAnsi="宋体" w:eastAsia="黑体"/>
          <w:sz w:val="32"/>
          <w:szCs w:val="32"/>
        </w:rPr>
        <w:t>五、评价结论及建议</w:t>
      </w:r>
    </w:p>
    <w:p>
      <w:pPr>
        <w:pStyle w:val="20"/>
        <w:spacing w:line="560" w:lineRule="exact"/>
        <w:ind w:firstLine="643" w:firstLineChars="200"/>
        <w:rPr>
          <w:rFonts w:ascii="仿宋_GB2312" w:hAnsi="宋体" w:eastAsia="仿宋_GB2312" w:cs="Times New Roman"/>
          <w:b w:val="0"/>
          <w:bCs w:val="0"/>
          <w:kern w:val="2"/>
          <w:sz w:val="32"/>
          <w:szCs w:val="32"/>
          <w:lang w:val="zh-CN" w:eastAsia="zh-CN" w:bidi="ar-SA"/>
        </w:rPr>
      </w:pPr>
      <w:r>
        <w:rPr>
          <w:rFonts w:hint="eastAsia" w:ascii="楷体_GB2312" w:hAnsi="宋体" w:eastAsia="楷体_GB2312"/>
          <w:b/>
          <w:sz w:val="32"/>
          <w:szCs w:val="32"/>
          <w:lang w:val="zh-CN"/>
        </w:rPr>
        <w:t>（一）评价结论。</w:t>
      </w:r>
      <w:r>
        <w:rPr>
          <w:rFonts w:hint="eastAsia" w:ascii="仿宋_GB2312" w:hAnsi="宋体" w:eastAsia="仿宋_GB2312" w:cs="Times New Roman"/>
          <w:b w:val="0"/>
          <w:bCs w:val="0"/>
          <w:kern w:val="2"/>
          <w:sz w:val="32"/>
          <w:szCs w:val="32"/>
          <w:lang w:val="zh-CN" w:eastAsia="zh-CN" w:bidi="ar-SA"/>
        </w:rPr>
        <w:t>达到预期目标。</w:t>
      </w:r>
    </w:p>
    <w:p>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r>
        <w:rPr>
          <w:rFonts w:hint="eastAsia" w:ascii="仿宋_GB2312" w:hAnsi="宋体" w:eastAsia="仿宋_GB2312" w:cs="Times New Roman"/>
          <w:b w:val="0"/>
          <w:bCs w:val="0"/>
          <w:kern w:val="2"/>
          <w:sz w:val="32"/>
          <w:szCs w:val="32"/>
          <w:lang w:val="zh-CN" w:eastAsia="zh-CN" w:bidi="ar-SA"/>
        </w:rPr>
        <w:t>尚无存在的问题。</w:t>
      </w:r>
    </w:p>
    <w:p>
      <w:pPr>
        <w:pStyle w:val="20"/>
        <w:spacing w:line="560" w:lineRule="exact"/>
        <w:ind w:firstLine="643" w:firstLineChars="200"/>
        <w:rPr>
          <w:rFonts w:hint="eastAsia"/>
        </w:rPr>
      </w:pPr>
      <w:r>
        <w:rPr>
          <w:rFonts w:hint="eastAsia" w:ascii="楷体_GB2312" w:hAnsi="宋体" w:eastAsia="楷体_GB2312"/>
          <w:b/>
          <w:sz w:val="32"/>
          <w:szCs w:val="32"/>
          <w:lang w:val="zh-CN"/>
        </w:rPr>
        <w:t>（三）相关建议。无</w:t>
      </w:r>
      <w:bookmarkStart w:id="227" w:name="_Toc15396618"/>
    </w:p>
    <w:p>
      <w:pPr>
        <w:spacing w:line="600" w:lineRule="exact"/>
        <w:jc w:val="both"/>
        <w:outlineLvl w:val="9"/>
        <w:rPr>
          <w:rFonts w:hint="eastAsia" w:ascii="黑体" w:hAnsi="黑体" w:eastAsia="黑体"/>
          <w:color w:val="000000"/>
          <w:sz w:val="44"/>
          <w:szCs w:val="44"/>
        </w:rPr>
      </w:pPr>
      <w:bookmarkStart w:id="228" w:name="_Toc16236"/>
      <w:bookmarkStart w:id="229" w:name="_Toc24397"/>
      <w:bookmarkStart w:id="230" w:name="_Toc1594"/>
      <w:bookmarkStart w:id="231" w:name="_Toc3525"/>
    </w:p>
    <w:p>
      <w:pPr>
        <w:spacing w:line="600" w:lineRule="exact"/>
        <w:jc w:val="center"/>
        <w:outlineLvl w:val="9"/>
        <w:rPr>
          <w:rFonts w:hint="eastAsia" w:ascii="黑体" w:hAnsi="黑体" w:eastAsia="黑体"/>
          <w:color w:val="000000"/>
          <w:sz w:val="44"/>
          <w:szCs w:val="44"/>
        </w:rPr>
      </w:pPr>
    </w:p>
    <w:p>
      <w:pPr>
        <w:spacing w:line="600" w:lineRule="exact"/>
        <w:jc w:val="center"/>
        <w:outlineLvl w:val="0"/>
        <w:rPr>
          <w:rFonts w:ascii="仿宋" w:hAnsi="仿宋" w:eastAsia="仿宋"/>
          <w:b/>
          <w:color w:val="000000"/>
          <w:sz w:val="44"/>
          <w:szCs w:val="44"/>
        </w:rPr>
      </w:pPr>
      <w:bookmarkStart w:id="232" w:name="_Toc18473"/>
      <w:bookmarkStart w:id="233" w:name="_Toc30576"/>
      <w:bookmarkStart w:id="234" w:name="_Toc29881"/>
      <w:r>
        <w:rPr>
          <w:rFonts w:hint="eastAsia" w:ascii="黑体" w:hAnsi="黑体" w:eastAsia="黑体"/>
          <w:color w:val="000000"/>
          <w:sz w:val="44"/>
          <w:szCs w:val="44"/>
        </w:rPr>
        <w:t>第</w:t>
      </w:r>
      <w:r>
        <w:rPr>
          <w:rStyle w:val="17"/>
          <w:rFonts w:hint="eastAsia" w:ascii="黑体" w:hAnsi="黑体" w:eastAsia="黑体"/>
          <w:b w:val="0"/>
        </w:rPr>
        <w:t>五部分 附表</w:t>
      </w:r>
      <w:bookmarkEnd w:id="176"/>
      <w:bookmarkEnd w:id="227"/>
      <w:bookmarkEnd w:id="228"/>
      <w:bookmarkEnd w:id="229"/>
      <w:bookmarkEnd w:id="230"/>
      <w:bookmarkEnd w:id="231"/>
      <w:bookmarkEnd w:id="232"/>
      <w:bookmarkEnd w:id="233"/>
      <w:bookmarkEnd w:id="234"/>
    </w:p>
    <w:p>
      <w:pPr>
        <w:pStyle w:val="5"/>
        <w:rPr>
          <w:rFonts w:ascii="仿宋" w:hAnsi="仿宋" w:eastAsia="仿宋"/>
          <w:color w:val="000000"/>
        </w:rPr>
      </w:pPr>
      <w:bookmarkStart w:id="235" w:name="_Toc15396619"/>
      <w:bookmarkStart w:id="236" w:name="_Toc24018"/>
      <w:bookmarkStart w:id="237" w:name="_Toc11772"/>
      <w:bookmarkStart w:id="238" w:name="_Toc5531"/>
      <w:bookmarkStart w:id="239" w:name="_Toc26727"/>
      <w:bookmarkStart w:id="240" w:name="_Toc19847"/>
      <w:bookmarkStart w:id="241" w:name="_Toc4563"/>
      <w:bookmarkStart w:id="242" w:name="_Toc25505"/>
      <w:r>
        <w:rPr>
          <w:rFonts w:hint="eastAsia" w:ascii="仿宋" w:hAnsi="仿宋" w:eastAsia="仿宋"/>
          <w:b w:val="0"/>
          <w:color w:val="000000"/>
        </w:rPr>
        <w:t>一、收</w:t>
      </w:r>
      <w:r>
        <w:rPr>
          <w:rStyle w:val="18"/>
          <w:rFonts w:hint="eastAsia" w:ascii="仿宋" w:hAnsi="仿宋" w:eastAsia="仿宋"/>
          <w:b w:val="0"/>
          <w:bCs w:val="0"/>
        </w:rPr>
        <w:t>入支出决算总表</w:t>
      </w:r>
      <w:bookmarkEnd w:id="235"/>
      <w:bookmarkEnd w:id="236"/>
      <w:bookmarkEnd w:id="237"/>
      <w:bookmarkEnd w:id="238"/>
      <w:bookmarkEnd w:id="239"/>
      <w:bookmarkEnd w:id="240"/>
      <w:bookmarkEnd w:id="241"/>
      <w:bookmarkEnd w:id="242"/>
    </w:p>
    <w:p>
      <w:pPr>
        <w:pStyle w:val="5"/>
        <w:rPr>
          <w:rFonts w:ascii="仿宋" w:hAnsi="仿宋" w:eastAsia="仿宋"/>
          <w:color w:val="000000"/>
        </w:rPr>
      </w:pPr>
      <w:bookmarkStart w:id="243" w:name="_Toc15396620"/>
      <w:bookmarkStart w:id="244" w:name="_Toc13648"/>
      <w:bookmarkStart w:id="245" w:name="_Toc27325"/>
      <w:bookmarkStart w:id="246" w:name="_Toc1948"/>
      <w:bookmarkStart w:id="247" w:name="_Toc8789"/>
      <w:bookmarkStart w:id="248" w:name="_Toc5406"/>
      <w:bookmarkStart w:id="249" w:name="_Toc15664"/>
      <w:bookmarkStart w:id="250" w:name="_Toc80"/>
      <w:r>
        <w:rPr>
          <w:rFonts w:hint="eastAsia" w:ascii="仿宋" w:hAnsi="仿宋" w:eastAsia="仿宋"/>
          <w:b w:val="0"/>
          <w:color w:val="000000"/>
        </w:rPr>
        <w:t>二、收</w:t>
      </w:r>
      <w:r>
        <w:rPr>
          <w:rStyle w:val="18"/>
          <w:rFonts w:hint="eastAsia" w:ascii="仿宋" w:hAnsi="仿宋" w:eastAsia="仿宋"/>
          <w:b w:val="0"/>
          <w:bCs w:val="0"/>
        </w:rPr>
        <w:t>入决算表</w:t>
      </w:r>
      <w:bookmarkEnd w:id="243"/>
      <w:bookmarkEnd w:id="244"/>
      <w:bookmarkEnd w:id="245"/>
      <w:bookmarkEnd w:id="246"/>
      <w:bookmarkEnd w:id="247"/>
      <w:bookmarkEnd w:id="248"/>
      <w:bookmarkEnd w:id="249"/>
      <w:bookmarkEnd w:id="250"/>
    </w:p>
    <w:p>
      <w:pPr>
        <w:pStyle w:val="5"/>
        <w:rPr>
          <w:rFonts w:ascii="仿宋" w:hAnsi="仿宋" w:eastAsia="仿宋"/>
          <w:color w:val="000000"/>
        </w:rPr>
      </w:pPr>
      <w:bookmarkStart w:id="251" w:name="_Toc15396621"/>
      <w:bookmarkStart w:id="252" w:name="_Toc28917"/>
      <w:bookmarkStart w:id="253" w:name="_Toc32516"/>
      <w:bookmarkStart w:id="254" w:name="_Toc12886"/>
      <w:bookmarkStart w:id="255" w:name="_Toc15034"/>
      <w:bookmarkStart w:id="256" w:name="_Toc7856"/>
      <w:bookmarkStart w:id="257" w:name="_Toc1401"/>
      <w:bookmarkStart w:id="258" w:name="_Toc20986"/>
      <w:r>
        <w:rPr>
          <w:rStyle w:val="18"/>
          <w:rFonts w:hint="eastAsia" w:ascii="仿宋" w:hAnsi="仿宋" w:eastAsia="仿宋"/>
          <w:b w:val="0"/>
          <w:bCs w:val="0"/>
        </w:rPr>
        <w:t>三、</w:t>
      </w:r>
      <w:r>
        <w:rPr>
          <w:rFonts w:hint="eastAsia" w:ascii="仿宋" w:hAnsi="仿宋" w:eastAsia="仿宋"/>
          <w:b w:val="0"/>
          <w:color w:val="000000"/>
        </w:rPr>
        <w:t>支</w:t>
      </w:r>
      <w:r>
        <w:rPr>
          <w:rStyle w:val="18"/>
          <w:rFonts w:hint="eastAsia" w:ascii="仿宋" w:hAnsi="仿宋" w:eastAsia="仿宋"/>
          <w:b w:val="0"/>
          <w:bCs w:val="0"/>
        </w:rPr>
        <w:t>出决算表</w:t>
      </w:r>
      <w:bookmarkEnd w:id="251"/>
      <w:bookmarkEnd w:id="252"/>
      <w:bookmarkEnd w:id="253"/>
      <w:bookmarkEnd w:id="254"/>
      <w:bookmarkEnd w:id="255"/>
      <w:bookmarkEnd w:id="256"/>
      <w:bookmarkEnd w:id="257"/>
      <w:bookmarkEnd w:id="258"/>
    </w:p>
    <w:p>
      <w:pPr>
        <w:pStyle w:val="5"/>
        <w:rPr>
          <w:rFonts w:ascii="仿宋" w:hAnsi="仿宋" w:eastAsia="仿宋"/>
          <w:b w:val="0"/>
          <w:color w:val="000000"/>
        </w:rPr>
      </w:pPr>
      <w:bookmarkStart w:id="259" w:name="_Toc15396622"/>
      <w:bookmarkStart w:id="260" w:name="_Toc10523"/>
      <w:bookmarkStart w:id="261" w:name="_Toc21439"/>
      <w:bookmarkStart w:id="262" w:name="_Toc19556"/>
      <w:bookmarkStart w:id="263" w:name="_Toc29674"/>
      <w:bookmarkStart w:id="264" w:name="_Toc27302"/>
      <w:bookmarkStart w:id="265" w:name="_Toc24497"/>
      <w:bookmarkStart w:id="266" w:name="_Toc31238"/>
      <w:r>
        <w:rPr>
          <w:rStyle w:val="18"/>
          <w:rFonts w:hint="eastAsia" w:ascii="仿宋" w:hAnsi="仿宋" w:eastAsia="仿宋"/>
          <w:b w:val="0"/>
          <w:bCs w:val="0"/>
        </w:rPr>
        <w:t>四、</w:t>
      </w:r>
      <w:r>
        <w:rPr>
          <w:rFonts w:hint="eastAsia" w:ascii="仿宋" w:hAnsi="仿宋" w:eastAsia="仿宋"/>
          <w:b w:val="0"/>
          <w:color w:val="000000"/>
        </w:rPr>
        <w:t>财</w:t>
      </w:r>
      <w:r>
        <w:rPr>
          <w:rStyle w:val="18"/>
          <w:rFonts w:hint="eastAsia" w:ascii="仿宋" w:hAnsi="仿宋" w:eastAsia="仿宋"/>
          <w:b w:val="0"/>
          <w:bCs w:val="0"/>
        </w:rPr>
        <w:t>政拨款收入支出决算总表</w:t>
      </w:r>
      <w:bookmarkEnd w:id="259"/>
      <w:bookmarkEnd w:id="260"/>
      <w:bookmarkEnd w:id="261"/>
      <w:bookmarkEnd w:id="262"/>
      <w:bookmarkEnd w:id="263"/>
      <w:bookmarkEnd w:id="264"/>
      <w:bookmarkEnd w:id="265"/>
      <w:bookmarkEnd w:id="266"/>
    </w:p>
    <w:p>
      <w:pPr>
        <w:pStyle w:val="5"/>
        <w:rPr>
          <w:rStyle w:val="18"/>
          <w:rFonts w:ascii="仿宋" w:hAnsi="仿宋" w:eastAsia="仿宋"/>
          <w:b w:val="0"/>
          <w:bCs w:val="0"/>
        </w:rPr>
      </w:pPr>
      <w:bookmarkStart w:id="267" w:name="_Toc15396623"/>
      <w:bookmarkStart w:id="268" w:name="_Toc27411"/>
      <w:bookmarkStart w:id="269" w:name="_Toc3404"/>
      <w:bookmarkStart w:id="270" w:name="_Toc6713"/>
      <w:bookmarkStart w:id="271" w:name="_Toc624"/>
      <w:bookmarkStart w:id="272" w:name="_Toc28592"/>
      <w:bookmarkStart w:id="273" w:name="_Toc16702"/>
      <w:bookmarkStart w:id="274" w:name="_Toc11829"/>
      <w:r>
        <w:rPr>
          <w:rStyle w:val="18"/>
          <w:rFonts w:hint="eastAsia" w:ascii="仿宋" w:hAnsi="仿宋" w:eastAsia="仿宋"/>
          <w:b w:val="0"/>
          <w:bCs w:val="0"/>
        </w:rPr>
        <w:t>五、</w:t>
      </w:r>
      <w:r>
        <w:rPr>
          <w:rFonts w:hint="eastAsia" w:ascii="仿宋" w:hAnsi="仿宋" w:eastAsia="仿宋"/>
          <w:b w:val="0"/>
          <w:color w:val="000000"/>
        </w:rPr>
        <w:t>财</w:t>
      </w:r>
      <w:r>
        <w:rPr>
          <w:rStyle w:val="18"/>
          <w:rFonts w:hint="eastAsia" w:ascii="仿宋" w:hAnsi="仿宋" w:eastAsia="仿宋"/>
          <w:b w:val="0"/>
          <w:bCs w:val="0"/>
        </w:rPr>
        <w:t>政拨款支出决算明细表</w:t>
      </w:r>
      <w:bookmarkEnd w:id="267"/>
      <w:bookmarkEnd w:id="268"/>
      <w:bookmarkEnd w:id="269"/>
      <w:bookmarkEnd w:id="270"/>
      <w:bookmarkEnd w:id="271"/>
      <w:bookmarkEnd w:id="272"/>
      <w:bookmarkEnd w:id="273"/>
      <w:bookmarkEnd w:id="274"/>
      <w:bookmarkStart w:id="275" w:name="_Toc15396624"/>
    </w:p>
    <w:p>
      <w:pPr>
        <w:pStyle w:val="5"/>
        <w:rPr>
          <w:rFonts w:ascii="仿宋" w:hAnsi="仿宋" w:eastAsia="仿宋"/>
          <w:color w:val="000000"/>
        </w:rPr>
      </w:pPr>
      <w:bookmarkStart w:id="276" w:name="_Toc8925"/>
      <w:bookmarkStart w:id="277" w:name="_Toc13335"/>
      <w:bookmarkStart w:id="278" w:name="_Toc23725"/>
      <w:bookmarkStart w:id="279" w:name="_Toc9488"/>
      <w:bookmarkStart w:id="280" w:name="_Toc32000"/>
      <w:bookmarkStart w:id="281" w:name="_Toc28585"/>
      <w:bookmarkStart w:id="282" w:name="_Toc16996"/>
      <w:r>
        <w:rPr>
          <w:rStyle w:val="18"/>
          <w:rFonts w:hint="eastAsia" w:ascii="仿宋" w:hAnsi="仿宋" w:eastAsia="仿宋"/>
          <w:b w:val="0"/>
          <w:bCs w:val="0"/>
        </w:rPr>
        <w:t>六、</w:t>
      </w:r>
      <w:r>
        <w:rPr>
          <w:rFonts w:hint="eastAsia" w:ascii="仿宋" w:hAnsi="仿宋" w:eastAsia="仿宋"/>
          <w:b w:val="0"/>
          <w:color w:val="000000"/>
        </w:rPr>
        <w:t>一</w:t>
      </w:r>
      <w:r>
        <w:rPr>
          <w:rStyle w:val="18"/>
          <w:rFonts w:hint="eastAsia" w:ascii="仿宋" w:hAnsi="仿宋" w:eastAsia="仿宋"/>
          <w:b w:val="0"/>
          <w:bCs w:val="0"/>
        </w:rPr>
        <w:t>般公共预算财政拨款支出决算表</w:t>
      </w:r>
      <w:bookmarkEnd w:id="275"/>
      <w:bookmarkEnd w:id="276"/>
      <w:bookmarkEnd w:id="277"/>
      <w:bookmarkEnd w:id="278"/>
      <w:bookmarkEnd w:id="279"/>
      <w:bookmarkEnd w:id="280"/>
      <w:bookmarkEnd w:id="281"/>
      <w:bookmarkEnd w:id="282"/>
    </w:p>
    <w:p>
      <w:pPr>
        <w:pStyle w:val="5"/>
        <w:rPr>
          <w:rFonts w:ascii="仿宋" w:hAnsi="仿宋" w:eastAsia="仿宋"/>
          <w:color w:val="000000"/>
        </w:rPr>
      </w:pPr>
      <w:bookmarkStart w:id="283" w:name="_Toc15396625"/>
      <w:bookmarkStart w:id="284" w:name="_Toc2975"/>
      <w:bookmarkStart w:id="285" w:name="_Toc5453"/>
      <w:bookmarkStart w:id="286" w:name="_Toc20907"/>
      <w:bookmarkStart w:id="287" w:name="_Toc7495"/>
      <w:bookmarkStart w:id="288" w:name="_Toc14907"/>
      <w:bookmarkStart w:id="289" w:name="_Toc16420"/>
      <w:bookmarkStart w:id="290" w:name="_Toc4757"/>
      <w:r>
        <w:rPr>
          <w:rStyle w:val="18"/>
          <w:rFonts w:hint="eastAsia" w:ascii="仿宋" w:hAnsi="仿宋" w:eastAsia="仿宋"/>
          <w:b w:val="0"/>
          <w:bCs w:val="0"/>
        </w:rPr>
        <w:t>七、</w:t>
      </w:r>
      <w:r>
        <w:rPr>
          <w:rFonts w:hint="eastAsia" w:ascii="仿宋" w:hAnsi="仿宋" w:eastAsia="仿宋"/>
          <w:b w:val="0"/>
          <w:color w:val="000000"/>
        </w:rPr>
        <w:t>一</w:t>
      </w:r>
      <w:r>
        <w:rPr>
          <w:rStyle w:val="18"/>
          <w:rFonts w:hint="eastAsia" w:ascii="仿宋" w:hAnsi="仿宋" w:eastAsia="仿宋"/>
          <w:b w:val="0"/>
          <w:bCs w:val="0"/>
        </w:rPr>
        <w:t>般公共预算财政拨款支出决算明细表</w:t>
      </w:r>
      <w:bookmarkEnd w:id="283"/>
      <w:bookmarkEnd w:id="284"/>
      <w:bookmarkEnd w:id="285"/>
      <w:bookmarkEnd w:id="286"/>
      <w:bookmarkEnd w:id="287"/>
      <w:bookmarkEnd w:id="288"/>
      <w:bookmarkEnd w:id="289"/>
      <w:bookmarkEnd w:id="290"/>
    </w:p>
    <w:p>
      <w:pPr>
        <w:pStyle w:val="5"/>
        <w:rPr>
          <w:rFonts w:ascii="仿宋" w:hAnsi="仿宋" w:eastAsia="仿宋"/>
          <w:color w:val="000000"/>
        </w:rPr>
      </w:pPr>
      <w:bookmarkStart w:id="291" w:name="_Toc15396626"/>
      <w:bookmarkStart w:id="292" w:name="_Toc17773"/>
      <w:bookmarkStart w:id="293" w:name="_Toc16666"/>
      <w:bookmarkStart w:id="294" w:name="_Toc15637"/>
      <w:bookmarkStart w:id="295" w:name="_Toc29774"/>
      <w:bookmarkStart w:id="296" w:name="_Toc25526"/>
      <w:bookmarkStart w:id="297" w:name="_Toc31912"/>
      <w:bookmarkStart w:id="298" w:name="_Toc24308"/>
      <w:r>
        <w:rPr>
          <w:rStyle w:val="18"/>
          <w:rFonts w:hint="eastAsia" w:ascii="仿宋" w:hAnsi="仿宋" w:eastAsia="仿宋"/>
          <w:b w:val="0"/>
          <w:bCs w:val="0"/>
        </w:rPr>
        <w:t>八、</w:t>
      </w:r>
      <w:r>
        <w:rPr>
          <w:rFonts w:hint="eastAsia" w:ascii="仿宋" w:hAnsi="仿宋" w:eastAsia="仿宋"/>
          <w:b w:val="0"/>
          <w:color w:val="000000"/>
        </w:rPr>
        <w:t>一</w:t>
      </w:r>
      <w:r>
        <w:rPr>
          <w:rStyle w:val="18"/>
          <w:rFonts w:hint="eastAsia" w:ascii="仿宋" w:hAnsi="仿宋" w:eastAsia="仿宋"/>
          <w:b w:val="0"/>
          <w:bCs w:val="0"/>
        </w:rPr>
        <w:t>般公共预算财政拨款基本支出决算表</w:t>
      </w:r>
      <w:bookmarkEnd w:id="291"/>
      <w:bookmarkEnd w:id="292"/>
      <w:bookmarkEnd w:id="293"/>
      <w:bookmarkEnd w:id="294"/>
      <w:bookmarkEnd w:id="295"/>
      <w:bookmarkEnd w:id="296"/>
      <w:bookmarkEnd w:id="297"/>
      <w:bookmarkEnd w:id="298"/>
    </w:p>
    <w:p>
      <w:pPr>
        <w:pStyle w:val="5"/>
        <w:rPr>
          <w:rFonts w:ascii="仿宋" w:hAnsi="仿宋" w:eastAsia="仿宋"/>
          <w:color w:val="000000"/>
        </w:rPr>
      </w:pPr>
      <w:bookmarkStart w:id="299" w:name="_Toc15396627"/>
      <w:bookmarkStart w:id="300" w:name="_Toc3700"/>
      <w:bookmarkStart w:id="301" w:name="_Toc7899"/>
      <w:bookmarkStart w:id="302" w:name="_Toc23896"/>
      <w:bookmarkStart w:id="303" w:name="_Toc20586"/>
      <w:bookmarkStart w:id="304" w:name="_Toc20916"/>
      <w:bookmarkStart w:id="305" w:name="_Toc14768"/>
      <w:bookmarkStart w:id="306" w:name="_Toc22896"/>
      <w:r>
        <w:rPr>
          <w:rStyle w:val="18"/>
          <w:rFonts w:hint="eastAsia" w:ascii="仿宋" w:hAnsi="仿宋" w:eastAsia="仿宋"/>
          <w:b w:val="0"/>
          <w:bCs w:val="0"/>
        </w:rPr>
        <w:t>九、</w:t>
      </w:r>
      <w:r>
        <w:rPr>
          <w:rFonts w:hint="eastAsia" w:ascii="仿宋" w:hAnsi="仿宋" w:eastAsia="仿宋"/>
          <w:b w:val="0"/>
          <w:color w:val="000000"/>
        </w:rPr>
        <w:t>一</w:t>
      </w:r>
      <w:r>
        <w:rPr>
          <w:rStyle w:val="18"/>
          <w:rFonts w:hint="eastAsia" w:ascii="仿宋" w:hAnsi="仿宋" w:eastAsia="仿宋"/>
          <w:b w:val="0"/>
          <w:bCs w:val="0"/>
        </w:rPr>
        <w:t>般公共预算财政拨款项目支出决算表</w:t>
      </w:r>
      <w:bookmarkEnd w:id="299"/>
      <w:bookmarkEnd w:id="300"/>
      <w:bookmarkEnd w:id="301"/>
      <w:bookmarkEnd w:id="302"/>
      <w:bookmarkEnd w:id="303"/>
      <w:bookmarkEnd w:id="304"/>
      <w:bookmarkEnd w:id="305"/>
      <w:bookmarkEnd w:id="306"/>
    </w:p>
    <w:p>
      <w:pPr>
        <w:pStyle w:val="5"/>
        <w:rPr>
          <w:rFonts w:ascii="仿宋" w:hAnsi="仿宋" w:eastAsia="仿宋"/>
          <w:color w:val="000000"/>
        </w:rPr>
      </w:pPr>
      <w:bookmarkStart w:id="307" w:name="_Toc15396628"/>
      <w:bookmarkStart w:id="308" w:name="_Toc6139"/>
      <w:bookmarkStart w:id="309" w:name="_Toc13260"/>
      <w:bookmarkStart w:id="310" w:name="_Toc20473"/>
      <w:bookmarkStart w:id="311" w:name="_Toc30706"/>
      <w:bookmarkStart w:id="312" w:name="_Toc24219"/>
      <w:bookmarkStart w:id="313" w:name="_Toc30096"/>
      <w:bookmarkStart w:id="314" w:name="_Toc18404"/>
      <w:r>
        <w:rPr>
          <w:rStyle w:val="18"/>
          <w:rFonts w:hint="eastAsia" w:ascii="仿宋" w:hAnsi="仿宋" w:eastAsia="仿宋"/>
          <w:b w:val="0"/>
          <w:bCs w:val="0"/>
        </w:rPr>
        <w:t>十、</w:t>
      </w:r>
      <w:r>
        <w:rPr>
          <w:rFonts w:hint="eastAsia" w:ascii="仿宋" w:hAnsi="仿宋" w:eastAsia="仿宋"/>
          <w:b w:val="0"/>
          <w:color w:val="000000"/>
        </w:rPr>
        <w:t>一</w:t>
      </w:r>
      <w:r>
        <w:rPr>
          <w:rStyle w:val="18"/>
          <w:rFonts w:hint="eastAsia" w:ascii="仿宋" w:hAnsi="仿宋" w:eastAsia="仿宋"/>
          <w:b w:val="0"/>
          <w:bCs w:val="0"/>
        </w:rPr>
        <w:t>般公共预算财政拨款“三公”经费支出决算表</w:t>
      </w:r>
      <w:bookmarkEnd w:id="307"/>
      <w:bookmarkEnd w:id="308"/>
      <w:bookmarkEnd w:id="309"/>
      <w:bookmarkEnd w:id="310"/>
      <w:bookmarkEnd w:id="311"/>
      <w:bookmarkEnd w:id="312"/>
      <w:bookmarkEnd w:id="313"/>
      <w:bookmarkEnd w:id="314"/>
    </w:p>
    <w:p>
      <w:pPr>
        <w:pStyle w:val="5"/>
        <w:rPr>
          <w:rFonts w:ascii="仿宋" w:hAnsi="仿宋" w:eastAsia="仿宋"/>
          <w:color w:val="000000"/>
        </w:rPr>
      </w:pPr>
      <w:bookmarkStart w:id="315" w:name="_Toc15396629"/>
      <w:bookmarkStart w:id="316" w:name="_Toc13761"/>
      <w:bookmarkStart w:id="317" w:name="_Toc13640"/>
      <w:bookmarkStart w:id="318" w:name="_Toc19719"/>
      <w:bookmarkStart w:id="319" w:name="_Toc28531"/>
      <w:bookmarkStart w:id="320" w:name="_Toc12467"/>
      <w:bookmarkStart w:id="321" w:name="_Toc18680"/>
      <w:bookmarkStart w:id="322" w:name="_Toc11451"/>
      <w:r>
        <w:rPr>
          <w:rStyle w:val="18"/>
          <w:rFonts w:hint="eastAsia" w:ascii="仿宋" w:hAnsi="仿宋" w:eastAsia="仿宋"/>
          <w:b w:val="0"/>
          <w:bCs w:val="0"/>
        </w:rPr>
        <w:t>十一、</w:t>
      </w:r>
      <w:r>
        <w:rPr>
          <w:rFonts w:hint="eastAsia" w:ascii="仿宋" w:hAnsi="仿宋" w:eastAsia="仿宋"/>
          <w:b w:val="0"/>
          <w:color w:val="000000"/>
        </w:rPr>
        <w:t>政</w:t>
      </w:r>
      <w:r>
        <w:rPr>
          <w:rStyle w:val="18"/>
          <w:rFonts w:hint="eastAsia" w:ascii="仿宋" w:hAnsi="仿宋" w:eastAsia="仿宋"/>
          <w:b w:val="0"/>
          <w:bCs w:val="0"/>
        </w:rPr>
        <w:t>府性基金预算财政拨款收入支出决算表</w:t>
      </w:r>
      <w:bookmarkEnd w:id="315"/>
      <w:bookmarkEnd w:id="316"/>
      <w:bookmarkEnd w:id="317"/>
      <w:bookmarkEnd w:id="318"/>
      <w:bookmarkEnd w:id="319"/>
      <w:bookmarkEnd w:id="320"/>
      <w:bookmarkEnd w:id="321"/>
      <w:bookmarkEnd w:id="322"/>
    </w:p>
    <w:p>
      <w:pPr>
        <w:pStyle w:val="5"/>
        <w:rPr>
          <w:rFonts w:ascii="仿宋" w:hAnsi="仿宋" w:eastAsia="仿宋"/>
          <w:color w:val="000000"/>
        </w:rPr>
      </w:pPr>
      <w:bookmarkStart w:id="323" w:name="_Toc15396630"/>
      <w:bookmarkStart w:id="324" w:name="_Toc13519"/>
      <w:bookmarkStart w:id="325" w:name="_Toc20251"/>
      <w:bookmarkStart w:id="326" w:name="_Toc10617"/>
      <w:bookmarkStart w:id="327" w:name="_Toc6547"/>
      <w:bookmarkStart w:id="328" w:name="_Toc6066"/>
      <w:bookmarkStart w:id="329" w:name="_Toc22994"/>
      <w:bookmarkStart w:id="330" w:name="_Toc20430"/>
      <w:r>
        <w:rPr>
          <w:rStyle w:val="18"/>
          <w:rFonts w:hint="eastAsia" w:ascii="仿宋" w:hAnsi="仿宋" w:eastAsia="仿宋"/>
          <w:b w:val="0"/>
          <w:bCs w:val="0"/>
        </w:rPr>
        <w:t>十二、</w:t>
      </w:r>
      <w:r>
        <w:rPr>
          <w:rFonts w:hint="eastAsia" w:ascii="仿宋" w:hAnsi="仿宋" w:eastAsia="仿宋"/>
          <w:b w:val="0"/>
          <w:color w:val="000000"/>
        </w:rPr>
        <w:t>政</w:t>
      </w:r>
      <w:r>
        <w:rPr>
          <w:rStyle w:val="18"/>
          <w:rFonts w:hint="eastAsia" w:ascii="仿宋" w:hAnsi="仿宋" w:eastAsia="仿宋"/>
          <w:b w:val="0"/>
          <w:bCs w:val="0"/>
        </w:rPr>
        <w:t>府性基金预算财政拨款“三公”经费支出决算表</w:t>
      </w:r>
      <w:bookmarkEnd w:id="323"/>
      <w:bookmarkEnd w:id="324"/>
      <w:bookmarkEnd w:id="325"/>
      <w:bookmarkEnd w:id="326"/>
      <w:bookmarkEnd w:id="327"/>
      <w:bookmarkEnd w:id="328"/>
      <w:bookmarkEnd w:id="329"/>
      <w:bookmarkEnd w:id="330"/>
    </w:p>
    <w:p>
      <w:pPr>
        <w:pStyle w:val="5"/>
        <w:rPr>
          <w:rFonts w:ascii="仿宋" w:hAnsi="仿宋" w:eastAsia="仿宋"/>
          <w:color w:val="000000" w:themeColor="text1"/>
          <w14:textFill>
            <w14:solidFill>
              <w14:schemeClr w14:val="tx1"/>
            </w14:solidFill>
          </w14:textFill>
        </w:rPr>
      </w:pPr>
      <w:bookmarkStart w:id="331" w:name="_Toc15396631"/>
      <w:bookmarkStart w:id="332" w:name="_Toc22583"/>
      <w:bookmarkStart w:id="333" w:name="_Toc18753"/>
      <w:bookmarkStart w:id="334" w:name="_Toc25091"/>
      <w:bookmarkStart w:id="335" w:name="_Toc6269"/>
      <w:bookmarkStart w:id="336" w:name="_Toc13267"/>
      <w:bookmarkStart w:id="337" w:name="_Toc25987"/>
      <w:bookmarkStart w:id="338" w:name="_Toc2879"/>
      <w:r>
        <w:rPr>
          <w:rStyle w:val="18"/>
          <w:rFonts w:hint="eastAsia" w:ascii="仿宋" w:hAnsi="仿宋" w:eastAsia="仿宋"/>
          <w:b w:val="0"/>
          <w:bCs w:val="0"/>
        </w:rPr>
        <w:t>十三、</w:t>
      </w:r>
      <w:r>
        <w:rPr>
          <w:rFonts w:hint="eastAsia" w:ascii="仿宋" w:hAnsi="仿宋" w:eastAsia="仿宋"/>
          <w:b w:val="0"/>
          <w:color w:val="000000"/>
        </w:rPr>
        <w:t>国</w:t>
      </w:r>
      <w:r>
        <w:rPr>
          <w:rStyle w:val="18"/>
          <w:rFonts w:hint="eastAsia" w:ascii="仿宋" w:hAnsi="仿宋" w:eastAsia="仿宋"/>
          <w:b w:val="0"/>
          <w:bCs w:val="0"/>
        </w:rPr>
        <w:t>有资本经营预算支出决算表</w:t>
      </w:r>
      <w:bookmarkEnd w:id="331"/>
      <w:bookmarkEnd w:id="332"/>
      <w:bookmarkEnd w:id="333"/>
      <w:bookmarkEnd w:id="334"/>
      <w:bookmarkEnd w:id="335"/>
      <w:bookmarkEnd w:id="336"/>
      <w:bookmarkEnd w:id="337"/>
      <w:bookmarkEnd w:id="338"/>
    </w:p>
    <w:p/>
    <w:sectPr>
      <w:footerReference r:id="rId5"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A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Calibri Light">
    <w:altName w:val="Calibri"/>
    <w:panose1 w:val="020F0302020204030204"/>
    <w:charset w:val="00"/>
    <w:family w:val="swiss"/>
    <w:pitch w:val="default"/>
    <w:sig w:usb0="00000000" w:usb1="00000000" w:usb2="00000000" w:usb3="00000000" w:csb0="0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14A2E14C"/>
    <w:multiLevelType w:val="singleLevel"/>
    <w:tmpl w:val="14A2E14C"/>
    <w:lvl w:ilvl="0" w:tentative="0">
      <w:start w:val="2"/>
      <w:numFmt w:val="chineseCounting"/>
      <w:suff w:val="nothing"/>
      <w:lvlText w:val="%1、"/>
      <w:lvlJc w:val="left"/>
      <w:rPr>
        <w:rFonts w:hint="eastAsia"/>
      </w:rPr>
    </w:lvl>
  </w:abstractNum>
  <w:abstractNum w:abstractNumId="4">
    <w:nsid w:val="5126FC04"/>
    <w:multiLevelType w:val="singleLevel"/>
    <w:tmpl w:val="5126FC04"/>
    <w:lvl w:ilvl="0" w:tentative="0">
      <w:start w:val="1"/>
      <w:numFmt w:val="chineseCounting"/>
      <w:suff w:val="nothing"/>
      <w:lvlText w:val="（%1）"/>
      <w:lvlJc w:val="left"/>
      <w:rPr>
        <w:rFonts w:hint="eastAsia"/>
      </w:rPr>
    </w:lvl>
  </w:abstractNum>
  <w:abstractNum w:abstractNumId="5">
    <w:nsid w:val="58488C56"/>
    <w:multiLevelType w:val="singleLevel"/>
    <w:tmpl w:val="58488C56"/>
    <w:lvl w:ilvl="0" w:tentative="0">
      <w:start w:val="1"/>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czYzU2ZTdmYTA1MmVmNjYwYjk5MWQxYmQ2YWZiOGQifQ=="/>
  </w:docVars>
  <w:rsids>
    <w:rsidRoot w:val="5ACE66FE"/>
    <w:rsid w:val="00124046"/>
    <w:rsid w:val="00667AD1"/>
    <w:rsid w:val="00946546"/>
    <w:rsid w:val="00A97B93"/>
    <w:rsid w:val="00D31DF7"/>
    <w:rsid w:val="00F2076C"/>
    <w:rsid w:val="016A1163"/>
    <w:rsid w:val="054E457F"/>
    <w:rsid w:val="06B87F73"/>
    <w:rsid w:val="09480E66"/>
    <w:rsid w:val="0C232803"/>
    <w:rsid w:val="0CC57A54"/>
    <w:rsid w:val="0D5271F2"/>
    <w:rsid w:val="0DF05B9E"/>
    <w:rsid w:val="133733E2"/>
    <w:rsid w:val="18B60EFA"/>
    <w:rsid w:val="1F3E1456"/>
    <w:rsid w:val="1F7A0640"/>
    <w:rsid w:val="1FA7176B"/>
    <w:rsid w:val="20BA7BAB"/>
    <w:rsid w:val="25107223"/>
    <w:rsid w:val="270D4B3C"/>
    <w:rsid w:val="27127F2A"/>
    <w:rsid w:val="2B9244F5"/>
    <w:rsid w:val="2E583940"/>
    <w:rsid w:val="302D1A1A"/>
    <w:rsid w:val="32DA731E"/>
    <w:rsid w:val="337E2747"/>
    <w:rsid w:val="3507157C"/>
    <w:rsid w:val="36F423F9"/>
    <w:rsid w:val="37F228F0"/>
    <w:rsid w:val="3C464252"/>
    <w:rsid w:val="3C78641F"/>
    <w:rsid w:val="3F132CA1"/>
    <w:rsid w:val="462D5BC5"/>
    <w:rsid w:val="48487E24"/>
    <w:rsid w:val="497F47C0"/>
    <w:rsid w:val="498A7CD1"/>
    <w:rsid w:val="49D439EB"/>
    <w:rsid w:val="4ACA5F49"/>
    <w:rsid w:val="4B5263DC"/>
    <w:rsid w:val="4C870A29"/>
    <w:rsid w:val="4DF40F01"/>
    <w:rsid w:val="4E1A56CB"/>
    <w:rsid w:val="4EBC0A92"/>
    <w:rsid w:val="5353639D"/>
    <w:rsid w:val="5A8E12CA"/>
    <w:rsid w:val="5AB100F0"/>
    <w:rsid w:val="5ACE66FE"/>
    <w:rsid w:val="5D4125E0"/>
    <w:rsid w:val="617D7E64"/>
    <w:rsid w:val="61C4024B"/>
    <w:rsid w:val="642F79FC"/>
    <w:rsid w:val="65F235EC"/>
    <w:rsid w:val="6EB175B4"/>
    <w:rsid w:val="6EDF2DA9"/>
    <w:rsid w:val="6F40309C"/>
    <w:rsid w:val="707136D4"/>
    <w:rsid w:val="726B49D4"/>
    <w:rsid w:val="78927AC0"/>
    <w:rsid w:val="789713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1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semiHidden/>
    <w:unhideWhenUsed/>
    <w:qFormat/>
    <w:uiPriority w:val="99"/>
    <w:pPr>
      <w:spacing w:after="120"/>
      <w:ind w:left="420" w:leftChars="200"/>
    </w:pPr>
  </w:style>
  <w:style w:type="paragraph" w:styleId="6">
    <w:name w:val="Body Text"/>
    <w:basedOn w:val="1"/>
    <w:next w:val="1"/>
    <w:qFormat/>
    <w:uiPriority w:val="99"/>
    <w:pPr>
      <w:spacing w:beforeLines="30"/>
    </w:pPr>
    <w:rPr>
      <w:rFonts w:ascii="仿宋_GB2312" w:eastAsia="仿宋_GB2312"/>
      <w:kern w:val="0"/>
      <w:sz w:val="30"/>
    </w:rPr>
  </w:style>
  <w:style w:type="paragraph" w:styleId="7">
    <w:name w:val="Balloon Text"/>
    <w:basedOn w:val="1"/>
    <w:link w:val="21"/>
    <w:qFormat/>
    <w:uiPriority w:val="0"/>
    <w:rPr>
      <w:sz w:val="18"/>
      <w:szCs w:val="18"/>
    </w:rPr>
  </w:style>
  <w:style w:type="paragraph" w:styleId="8">
    <w:name w:val="footer"/>
    <w:basedOn w:val="1"/>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semiHidden/>
    <w:unhideWhenUsed/>
    <w:qFormat/>
    <w:uiPriority w:val="99"/>
    <w:pPr>
      <w:widowControl/>
      <w:jc w:val="left"/>
    </w:pPr>
    <w:rPr>
      <w:rFonts w:ascii="微软雅黑" w:hAnsi="微软雅黑" w:cs="宋体"/>
      <w:kern w:val="0"/>
      <w:sz w:val="24"/>
    </w:rPr>
  </w:style>
  <w:style w:type="character" w:styleId="15">
    <w:name w:val="Strong"/>
    <w:basedOn w:val="14"/>
    <w:qFormat/>
    <w:uiPriority w:val="99"/>
    <w:rPr>
      <w:b/>
    </w:rPr>
  </w:style>
  <w:style w:type="character" w:styleId="16">
    <w:name w:val="Hyperlink"/>
    <w:basedOn w:val="14"/>
    <w:unhideWhenUsed/>
    <w:qFormat/>
    <w:uiPriority w:val="99"/>
    <w:rPr>
      <w:color w:val="0563C1" w:themeColor="hyperlink"/>
      <w:u w:val="single"/>
      <w14:textFill>
        <w14:solidFill>
          <w14:schemeClr w14:val="hlink"/>
        </w14:solidFill>
      </w14:textFill>
    </w:rPr>
  </w:style>
  <w:style w:type="character" w:customStyle="1" w:styleId="17">
    <w:name w:val="标题 1 Char"/>
    <w:basedOn w:val="14"/>
    <w:link w:val="4"/>
    <w:qFormat/>
    <w:uiPriority w:val="9"/>
    <w:rPr>
      <w:b/>
      <w:bCs/>
      <w:kern w:val="44"/>
      <w:sz w:val="44"/>
      <w:szCs w:val="44"/>
    </w:rPr>
  </w:style>
  <w:style w:type="character" w:customStyle="1" w:styleId="18">
    <w:name w:val="标题 2 Char"/>
    <w:basedOn w:val="14"/>
    <w:link w:val="5"/>
    <w:qFormat/>
    <w:uiPriority w:val="9"/>
    <w:rPr>
      <w:rFonts w:asciiTheme="majorHAnsi" w:hAnsiTheme="majorHAnsi" w:eastAsiaTheme="majorEastAsia" w:cstheme="majorBidi"/>
      <w:b/>
      <w:bCs/>
      <w:sz w:val="32"/>
      <w:szCs w:val="32"/>
    </w:rPr>
  </w:style>
  <w:style w:type="paragraph" w:styleId="19">
    <w:name w:val="List Paragraph"/>
    <w:basedOn w:val="1"/>
    <w:qFormat/>
    <w:uiPriority w:val="34"/>
    <w:pPr>
      <w:ind w:firstLine="420" w:firstLineChars="200"/>
    </w:pPr>
  </w:style>
  <w:style w:type="paragraph" w:customStyle="1" w:styleId="20">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1">
    <w:name w:val="批注框文本 Char"/>
    <w:basedOn w:val="14"/>
    <w:link w:val="7"/>
    <w:qFormat/>
    <w:uiPriority w:val="0"/>
    <w:rPr>
      <w:kern w:val="2"/>
      <w:sz w:val="18"/>
      <w:szCs w:val="18"/>
    </w:rPr>
  </w:style>
  <w:style w:type="paragraph" w:customStyle="1" w:styleId="22">
    <w:name w:val="WPSOffice手动目录 1"/>
    <w:qFormat/>
    <w:uiPriority w:val="0"/>
    <w:pPr>
      <w:ind w:leftChars="0"/>
    </w:pPr>
    <w:rPr>
      <w:rFonts w:ascii="Times New Roman" w:hAnsi="Times New Roman" w:eastAsia="宋体" w:cs="Times New Roman"/>
      <w:sz w:val="20"/>
      <w:szCs w:val="20"/>
    </w:rPr>
  </w:style>
  <w:style w:type="paragraph" w:customStyle="1" w:styleId="23">
    <w:name w:val="WPSOffice手动目录 2"/>
    <w:qFormat/>
    <w:uiPriority w:val="0"/>
    <w:pPr>
      <w:ind w:leftChars="200"/>
    </w:pPr>
    <w:rPr>
      <w:rFonts w:ascii="Times New Roman" w:hAnsi="Times New Roman" w:eastAsia="宋体" w:cs="Times New Roman"/>
      <w:sz w:val="20"/>
      <w:szCs w:val="20"/>
    </w:rPr>
  </w:style>
  <w:style w:type="paragraph" w:customStyle="1" w:styleId="24">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2018年</c:v>
                </c:pt>
              </c:strCache>
            </c:strRef>
          </c:tx>
          <c:spPr>
            <a:solidFill>
              <a:schemeClr val="accent6">
                <a:lumMod val="40000"/>
                <a:lumOff val="60000"/>
              </a:schemeClr>
            </a:solidFill>
            <a:ln>
              <a:noFill/>
            </a:ln>
            <a:effectLst/>
          </c:spPr>
          <c:invertIfNegative val="0"/>
          <c:dLbls>
            <c:dLbl>
              <c:idx val="0"/>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0</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0</c:v>
                </c:pt>
                <c:pt idx="1">
                  <c:v>0</c:v>
                </c:pt>
              </c:numCache>
            </c:numRef>
          </c:val>
        </c:ser>
        <c:ser>
          <c:idx val="1"/>
          <c:order val="1"/>
          <c:tx>
            <c:strRef>
              <c:f>Sheet1!$C$1</c:f>
              <c:strCache>
                <c:ptCount val="1"/>
                <c:pt idx="0">
                  <c:v>2019年</c:v>
                </c:pt>
              </c:strCache>
            </c:strRef>
          </c:tx>
          <c:spPr>
            <a:solidFill>
              <a:schemeClr val="accent6">
                <a:lumMod val="75000"/>
              </a:scheme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8770.81</c:v>
                </c:pt>
                <c:pt idx="1">
                  <c:v>9501.72</c:v>
                </c:pt>
              </c:numCache>
            </c:numRef>
          </c:val>
        </c:ser>
        <c:dLbls>
          <c:showLegendKey val="0"/>
          <c:showVal val="1"/>
          <c:showCatName val="0"/>
          <c:showSerName val="0"/>
          <c:showPercent val="0"/>
          <c:showBubbleSize val="0"/>
        </c:dLbls>
        <c:gapWidth val="219"/>
        <c:overlap val="-27"/>
        <c:axId val="154892928"/>
        <c:axId val="154902912"/>
      </c:barChart>
      <c:catAx>
        <c:axId val="15489292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4902912"/>
        <c:crosses val="autoZero"/>
        <c:auto val="1"/>
        <c:lblAlgn val="ctr"/>
        <c:lblOffset val="100"/>
        <c:noMultiLvlLbl val="0"/>
      </c:catAx>
      <c:valAx>
        <c:axId val="15490291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489292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列1</c:v>
                </c:pt>
              </c:strCache>
            </c:strRef>
          </c:tx>
          <c:explosion val="0"/>
          <c:dPt>
            <c:idx val="0"/>
            <c:bubble3D val="0"/>
            <c:spPr>
              <a:solidFill>
                <a:schemeClr val="accent6">
                  <a:lumMod val="75000"/>
                </a:schemeClr>
              </a:solidFill>
              <a:ln w="19050">
                <a:solidFill>
                  <a:schemeClr val="lt1"/>
                </a:solidFill>
              </a:ln>
              <a:effectLst/>
            </c:spPr>
          </c:dPt>
          <c:dPt>
            <c:idx val="1"/>
            <c:bubble3D val="0"/>
            <c:spPr>
              <a:solidFill>
                <a:schemeClr val="accent5"/>
              </a:solidFill>
              <a:ln w="19050">
                <a:solidFill>
                  <a:schemeClr val="lt1"/>
                </a:solidFill>
              </a:ln>
              <a:effectLst/>
            </c:spPr>
          </c:dPt>
          <c:dPt>
            <c:idx val="2"/>
            <c:bubble3D val="0"/>
            <c:spPr>
              <a:solidFill>
                <a:schemeClr val="accent4"/>
              </a:solidFill>
              <a:ln w="19050">
                <a:solidFill>
                  <a:schemeClr val="lt1"/>
                </a:solidFill>
              </a:ln>
              <a:effectLst/>
            </c:spPr>
          </c:dPt>
          <c:dPt>
            <c:idx val="3"/>
            <c:bubble3D val="0"/>
            <c:spPr>
              <a:solidFill>
                <a:schemeClr val="accent6">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一般公共预算财政拨款收入</c:v>
                </c:pt>
                <c:pt idx="1">
                  <c:v>政府性基金预算财政拨款收入</c:v>
                </c:pt>
                <c:pt idx="2">
                  <c:v>上级补助收入</c:v>
                </c:pt>
                <c:pt idx="3">
                  <c:v>事业收入</c:v>
                </c:pt>
              </c:strCache>
            </c:strRef>
          </c:cat>
          <c:val>
            <c:numRef>
              <c:f>Sheet1!$B$2:$B$5</c:f>
              <c:numCache>
                <c:formatCode>General</c:formatCode>
                <c:ptCount val="4"/>
                <c:pt idx="0">
                  <c:v>100</c:v>
                </c:pt>
                <c:pt idx="1">
                  <c:v>0</c:v>
                </c:pt>
                <c:pt idx="2">
                  <c:v>0</c:v>
                </c:pt>
                <c:pt idx="3">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explosion val="0"/>
          <c:dPt>
            <c:idx val="0"/>
            <c:bubble3D val="0"/>
            <c:spPr>
              <a:solidFill>
                <a:schemeClr val="accent6">
                  <a:lumMod val="75000"/>
                </a:schemeClr>
              </a:solidFill>
              <a:ln w="19050">
                <a:solidFill>
                  <a:schemeClr val="lt1"/>
                </a:solidFill>
              </a:ln>
              <a:effectLst/>
            </c:spPr>
          </c:dPt>
          <c:dPt>
            <c:idx val="1"/>
            <c:bubble3D val="0"/>
            <c:spPr>
              <a:solidFill>
                <a:schemeClr val="accent6">
                  <a:lumMod val="40000"/>
                  <a:lumOff val="60000"/>
                </a:schemeClr>
              </a:solidFill>
              <a:ln w="19050">
                <a:solidFill>
                  <a:schemeClr val="lt1"/>
                </a:solidFill>
              </a:ln>
              <a:effectLst/>
            </c:spPr>
          </c:dPt>
          <c:dPt>
            <c:idx val="2"/>
            <c:bubble3D val="0"/>
            <c:spPr>
              <a:solidFill>
                <a:schemeClr val="accent4"/>
              </a:solidFill>
              <a:ln w="19050">
                <a:solidFill>
                  <a:schemeClr val="lt1"/>
                </a:solidFill>
              </a:ln>
              <a:effectLst/>
            </c:spPr>
          </c:dPt>
          <c:dPt>
            <c:idx val="3"/>
            <c:bubble3D val="0"/>
            <c:spPr>
              <a:solidFill>
                <a:schemeClr val="accent6">
                  <a:lumMod val="60000"/>
                </a:schemeClr>
              </a:solidFill>
              <a:ln w="19050">
                <a:solidFill>
                  <a:schemeClr val="lt1"/>
                </a:solidFill>
              </a:ln>
              <a:effectLst/>
            </c:spPr>
          </c:dPt>
          <c:dPt>
            <c:idx val="4"/>
            <c:bubble3D val="0"/>
            <c:spPr>
              <a:solidFill>
                <a:schemeClr val="accent5">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0.00%</c:formatCode>
                <c:ptCount val="5"/>
                <c:pt idx="0">
                  <c:v>0.0267</c:v>
                </c:pt>
                <c:pt idx="1">
                  <c:v>0.9733</c:v>
                </c:pt>
                <c:pt idx="2" c:formatCode="General">
                  <c:v>0</c:v>
                </c:pt>
                <c:pt idx="3" c:formatCode="General">
                  <c:v>0</c:v>
                </c:pt>
                <c:pt idx="4" c:formatCode="General">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557068491981"/>
          <c:y val="0.095703152508157"/>
          <c:w val="0.877557927623015"/>
          <c:h val="0.823527616722612"/>
        </c:manualLayout>
      </c:layout>
      <c:barChart>
        <c:barDir val="col"/>
        <c:grouping val="clustered"/>
        <c:varyColors val="0"/>
        <c:ser>
          <c:idx val="0"/>
          <c:order val="0"/>
          <c:tx>
            <c:strRef>
              <c:f>Sheet1!$B$1</c:f>
              <c:strCache>
                <c:ptCount val="1"/>
                <c:pt idx="0">
                  <c:v>2018年</c:v>
                </c:pt>
              </c:strCache>
            </c:strRef>
          </c:tx>
          <c:spPr>
            <a:solidFill>
              <a:schemeClr val="accent6">
                <a:lumMod val="40000"/>
                <a:lumOff val="60000"/>
              </a:scheme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财政拨款收入</c:v>
                </c:pt>
                <c:pt idx="1">
                  <c:v>财政拨款支出</c:v>
                </c:pt>
              </c:strCache>
            </c:strRef>
          </c:cat>
          <c:val>
            <c:numRef>
              <c:f>Sheet1!$B$2:$B$3</c:f>
              <c:numCache>
                <c:formatCode>General</c:formatCode>
                <c:ptCount val="2"/>
                <c:pt idx="0">
                  <c:v>0</c:v>
                </c:pt>
                <c:pt idx="1">
                  <c:v>0</c:v>
                </c:pt>
              </c:numCache>
            </c:numRef>
          </c:val>
        </c:ser>
        <c:ser>
          <c:idx val="1"/>
          <c:order val="1"/>
          <c:tx>
            <c:strRef>
              <c:f>Sheet1!$C$1</c:f>
              <c:strCache>
                <c:ptCount val="1"/>
                <c:pt idx="0">
                  <c:v>2019年</c:v>
                </c:pt>
              </c:strCache>
            </c:strRef>
          </c:tx>
          <c:spPr>
            <a:solidFill>
              <a:schemeClr val="accent6">
                <a:lumMod val="75000"/>
              </a:scheme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财政拨款收入</c:v>
                </c:pt>
                <c:pt idx="1">
                  <c:v>财政拨款支出</c:v>
                </c:pt>
              </c:strCache>
            </c:strRef>
          </c:cat>
          <c:val>
            <c:numRef>
              <c:f>Sheet1!$C$2:$C$3</c:f>
              <c:numCache>
                <c:formatCode>General</c:formatCode>
                <c:ptCount val="2"/>
                <c:pt idx="0">
                  <c:v>8770.81</c:v>
                </c:pt>
                <c:pt idx="1">
                  <c:v>9501.72</c:v>
                </c:pt>
              </c:numCache>
            </c:numRef>
          </c:val>
        </c:ser>
        <c:dLbls>
          <c:showLegendKey val="0"/>
          <c:showVal val="1"/>
          <c:showCatName val="0"/>
          <c:showSerName val="0"/>
          <c:showPercent val="0"/>
          <c:showBubbleSize val="0"/>
        </c:dLbls>
        <c:gapWidth val="219"/>
        <c:overlap val="-27"/>
        <c:axId val="181637888"/>
        <c:axId val="181639424"/>
      </c:barChart>
      <c:catAx>
        <c:axId val="18163788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81639424"/>
        <c:crosses val="autoZero"/>
        <c:auto val="1"/>
        <c:lblAlgn val="ctr"/>
        <c:lblOffset val="100"/>
        <c:noMultiLvlLbl val="0"/>
      </c:catAx>
      <c:valAx>
        <c:axId val="18163942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8163788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一般公共预算财政拨款</c:v>
                </c:pt>
              </c:strCache>
            </c:strRef>
          </c:tx>
          <c:spPr>
            <a:solidFill>
              <a:schemeClr val="accent6">
                <a:lumMod val="75000"/>
              </a:scheme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2018年</c:v>
                </c:pt>
                <c:pt idx="1">
                  <c:v>2019年</c:v>
                </c:pt>
              </c:strCache>
            </c:strRef>
          </c:cat>
          <c:val>
            <c:numRef>
              <c:f>Sheet1!$B$2:$B$3</c:f>
              <c:numCache>
                <c:formatCode>General</c:formatCode>
                <c:ptCount val="2"/>
                <c:pt idx="0">
                  <c:v>0</c:v>
                </c:pt>
                <c:pt idx="1">
                  <c:v>9501.72</c:v>
                </c:pt>
              </c:numCache>
            </c:numRef>
          </c:val>
        </c:ser>
        <c:dLbls>
          <c:showLegendKey val="0"/>
          <c:showVal val="1"/>
          <c:showCatName val="0"/>
          <c:showSerName val="0"/>
          <c:showPercent val="0"/>
          <c:showBubbleSize val="0"/>
        </c:dLbls>
        <c:gapWidth val="219"/>
        <c:overlap val="-27"/>
        <c:axId val="181602176"/>
        <c:axId val="181603712"/>
      </c:barChart>
      <c:catAx>
        <c:axId val="181602176"/>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81603712"/>
        <c:crosses val="autoZero"/>
        <c:auto val="1"/>
        <c:lblAlgn val="ctr"/>
        <c:lblOffset val="100"/>
        <c:noMultiLvlLbl val="0"/>
      </c:catAx>
      <c:valAx>
        <c:axId val="18160371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8160217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explosion val="0"/>
          <c:dPt>
            <c:idx val="0"/>
            <c:bubble3D val="0"/>
            <c:spPr>
              <a:solidFill>
                <a:schemeClr val="accent6">
                  <a:lumMod val="75000"/>
                </a:schemeClr>
              </a:solidFill>
              <a:ln w="19050">
                <a:solidFill>
                  <a:schemeClr val="lt1"/>
                </a:solidFill>
              </a:ln>
              <a:effectLst/>
            </c:spPr>
          </c:dPt>
          <c:dPt>
            <c:idx val="1"/>
            <c:bubble3D val="0"/>
            <c:spPr>
              <a:solidFill>
                <a:schemeClr val="accent6">
                  <a:lumMod val="40000"/>
                  <a:lumOff val="60000"/>
                </a:schemeClr>
              </a:solidFill>
              <a:ln w="19050">
                <a:solidFill>
                  <a:schemeClr val="lt1"/>
                </a:solidFill>
              </a:ln>
              <a:effectLst/>
            </c:spPr>
          </c:dPt>
          <c:dPt>
            <c:idx val="2"/>
            <c:bubble3D val="0"/>
            <c:spPr>
              <a:solidFill>
                <a:schemeClr val="accent4"/>
              </a:solidFill>
              <a:ln w="19050">
                <a:solidFill>
                  <a:schemeClr val="lt1"/>
                </a:solidFill>
              </a:ln>
              <a:effectLst/>
            </c:spPr>
          </c:dPt>
          <c:dPt>
            <c:idx val="3"/>
            <c:bubble3D val="0"/>
            <c:spPr>
              <a:solidFill>
                <a:schemeClr val="accent6">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208类</c:v>
                </c:pt>
                <c:pt idx="1">
                  <c:v>2010类</c:v>
                </c:pt>
                <c:pt idx="2">
                  <c:v>213类</c:v>
                </c:pt>
                <c:pt idx="3">
                  <c:v>221类</c:v>
                </c:pt>
              </c:strCache>
            </c:strRef>
          </c:cat>
          <c:val>
            <c:numRef>
              <c:f>Sheet1!$B$2:$B$5</c:f>
              <c:numCache>
                <c:formatCode>0.00%</c:formatCode>
                <c:ptCount val="4"/>
                <c:pt idx="0">
                  <c:v>0.001</c:v>
                </c:pt>
                <c:pt idx="1">
                  <c:v>0.0013</c:v>
                </c:pt>
                <c:pt idx="2">
                  <c:v>0.9966</c:v>
                </c:pt>
                <c:pt idx="3">
                  <c:v>0.001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54</Pages>
  <Words>21490</Words>
  <Characters>23864</Characters>
  <Lines>164</Lines>
  <Paragraphs>46</Paragraphs>
  <TotalTime>4</TotalTime>
  <ScaleCrop>false</ScaleCrop>
  <LinksUpToDate>false</LinksUpToDate>
  <CharactersWithSpaces>24069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2020-09-21T01:13:00Z</dcterms:created>
  <dc:creator>哈宝monster</dc:creator>
  <cp:lastModifiedBy>Administrator</cp:lastModifiedBy>
  <dcterms:modified xsi:type="dcterms:W3CDTF">2023-07-14T02:27:17Z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24F391C0EB49498989583DFFCA3FB3C9_12</vt:lpwstr>
  </property>
</Properties>
</file>